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Pr="00FC2702" w:rsidRDefault="004C58B9" w:rsidP="004C58B9">
      <w:pPr>
        <w:jc w:val="center"/>
        <w:rPr>
          <w:rFonts w:ascii="Times New Roman" w:hAnsi="Times New Roman" w:cs="Times New Roman"/>
          <w:b/>
          <w:sz w:val="28"/>
          <w:szCs w:val="28"/>
        </w:rPr>
      </w:pPr>
      <w:r w:rsidRPr="00FC2702">
        <w:rPr>
          <w:rFonts w:ascii="Times New Roman" w:hAnsi="Times New Roman" w:cs="Times New Roman"/>
          <w:b/>
          <w:sz w:val="28"/>
          <w:szCs w:val="28"/>
        </w:rPr>
        <w:t>EXPLANATORY STATEMENT</w:t>
      </w:r>
    </w:p>
    <w:p w14:paraId="19E1CCC0" w14:textId="77777777" w:rsidR="004C58B9" w:rsidRPr="00FC2702" w:rsidRDefault="004C58B9" w:rsidP="004C58B9">
      <w:pPr>
        <w:jc w:val="center"/>
        <w:rPr>
          <w:rFonts w:ascii="Times New Roman" w:hAnsi="Times New Roman" w:cs="Times New Roman"/>
        </w:rPr>
      </w:pPr>
      <w:r w:rsidRPr="00FC2702">
        <w:rPr>
          <w:rFonts w:ascii="Times New Roman" w:hAnsi="Times New Roman" w:cs="Times New Roman"/>
        </w:rPr>
        <w:t>Approved by the Australian Communications and Media Authority</w:t>
      </w:r>
    </w:p>
    <w:p w14:paraId="06789AC6" w14:textId="57CD07A7" w:rsidR="004C58B9" w:rsidRPr="00FC2702" w:rsidRDefault="00F842B8" w:rsidP="004C58B9">
      <w:pPr>
        <w:jc w:val="center"/>
        <w:rPr>
          <w:rFonts w:ascii="Times New Roman" w:hAnsi="Times New Roman" w:cs="Times New Roman"/>
          <w:i/>
        </w:rPr>
      </w:pPr>
      <w:r w:rsidRPr="00FC2702">
        <w:rPr>
          <w:rFonts w:ascii="Times New Roman" w:hAnsi="Times New Roman" w:cs="Times New Roman"/>
          <w:i/>
        </w:rPr>
        <w:t>Radiocommunications Act 1992</w:t>
      </w:r>
    </w:p>
    <w:p w14:paraId="5BD65A2C" w14:textId="434A00E3" w:rsidR="004C58B9" w:rsidRPr="00FC2702" w:rsidRDefault="00574675" w:rsidP="004C58B9">
      <w:pPr>
        <w:jc w:val="center"/>
        <w:rPr>
          <w:rFonts w:ascii="Times New Roman" w:hAnsi="Times New Roman" w:cs="Times New Roman"/>
          <w:b/>
          <w:i/>
        </w:rPr>
      </w:pPr>
      <w:r w:rsidRPr="00FC2702">
        <w:rPr>
          <w:rFonts w:ascii="Times New Roman" w:hAnsi="Times New Roman" w:cs="Times New Roman"/>
          <w:b/>
          <w:i/>
        </w:rPr>
        <w:t>Radiocommunications (Area-</w:t>
      </w:r>
      <w:r w:rsidR="00381029">
        <w:rPr>
          <w:rFonts w:ascii="Times New Roman" w:hAnsi="Times New Roman" w:cs="Times New Roman"/>
          <w:b/>
          <w:i/>
        </w:rPr>
        <w:t>W</w:t>
      </w:r>
      <w:r w:rsidRPr="00FC2702">
        <w:rPr>
          <w:rFonts w:ascii="Times New Roman" w:hAnsi="Times New Roman" w:cs="Times New Roman"/>
          <w:b/>
          <w:i/>
        </w:rPr>
        <w:t>ide Licences – Limits, Authorisations and Transfers) Determination 2024</w:t>
      </w:r>
    </w:p>
    <w:p w14:paraId="494E2552" w14:textId="5AAAAA5C" w:rsidR="004C58B9" w:rsidRPr="00FC2702" w:rsidRDefault="004C58B9" w:rsidP="004C58B9">
      <w:pPr>
        <w:spacing w:before="280"/>
        <w:rPr>
          <w:rFonts w:ascii="Times New Roman" w:hAnsi="Times New Roman" w:cs="Times New Roman"/>
          <w:b/>
        </w:rPr>
      </w:pPr>
      <w:r w:rsidRPr="00FC2702">
        <w:rPr>
          <w:rFonts w:ascii="Times New Roman" w:hAnsi="Times New Roman" w:cs="Times New Roman"/>
          <w:b/>
        </w:rPr>
        <w:t>Authority</w:t>
      </w:r>
    </w:p>
    <w:p w14:paraId="55FAA4BD" w14:textId="0910EF8B" w:rsidR="004C58B9" w:rsidRPr="00FC2702" w:rsidRDefault="004C58B9" w:rsidP="004C58B9">
      <w:pPr>
        <w:rPr>
          <w:rFonts w:ascii="Times New Roman" w:hAnsi="Times New Roman" w:cs="Times New Roman"/>
        </w:rPr>
      </w:pPr>
      <w:r w:rsidRPr="00FC2702">
        <w:rPr>
          <w:rFonts w:ascii="Times New Roman" w:hAnsi="Times New Roman" w:cs="Times New Roman"/>
        </w:rPr>
        <w:t>The Australian Communications and Media Authority (</w:t>
      </w:r>
      <w:r w:rsidRPr="00FC2702">
        <w:rPr>
          <w:rFonts w:ascii="Times New Roman" w:hAnsi="Times New Roman" w:cs="Times New Roman"/>
          <w:bCs/>
        </w:rPr>
        <w:t xml:space="preserve">the </w:t>
      </w:r>
      <w:r w:rsidRPr="00FC2702">
        <w:rPr>
          <w:rFonts w:ascii="Times New Roman" w:hAnsi="Times New Roman" w:cs="Times New Roman"/>
          <w:b/>
        </w:rPr>
        <w:t>ACMA</w:t>
      </w:r>
      <w:r w:rsidRPr="00FC2702">
        <w:rPr>
          <w:rFonts w:ascii="Times New Roman" w:hAnsi="Times New Roman" w:cs="Times New Roman"/>
        </w:rPr>
        <w:t xml:space="preserve">) has made the </w:t>
      </w:r>
      <w:r w:rsidR="00574675" w:rsidRPr="00FC2702">
        <w:rPr>
          <w:rFonts w:ascii="Times New Roman" w:hAnsi="Times New Roman" w:cs="Times New Roman"/>
          <w:i/>
        </w:rPr>
        <w:t>Radiocommunications (Area-</w:t>
      </w:r>
      <w:r w:rsidR="00381029">
        <w:rPr>
          <w:rFonts w:ascii="Times New Roman" w:hAnsi="Times New Roman" w:cs="Times New Roman"/>
          <w:i/>
        </w:rPr>
        <w:t>W</w:t>
      </w:r>
      <w:r w:rsidR="00574675" w:rsidRPr="00FC2702">
        <w:rPr>
          <w:rFonts w:ascii="Times New Roman" w:hAnsi="Times New Roman" w:cs="Times New Roman"/>
          <w:i/>
        </w:rPr>
        <w:t>ide Licences – Limits, Authorisations and Transfers) Determination 2024</w:t>
      </w:r>
      <w:r w:rsidRPr="00FC2702">
        <w:rPr>
          <w:rFonts w:ascii="Times New Roman" w:hAnsi="Times New Roman" w:cs="Times New Roman"/>
          <w:i/>
        </w:rPr>
        <w:t xml:space="preserve"> </w:t>
      </w:r>
      <w:r w:rsidRPr="00FC2702">
        <w:rPr>
          <w:rFonts w:ascii="Times New Roman" w:hAnsi="Times New Roman" w:cs="Times New Roman"/>
        </w:rPr>
        <w:t>(</w:t>
      </w:r>
      <w:r w:rsidRPr="00FC2702">
        <w:rPr>
          <w:rFonts w:ascii="Times New Roman" w:hAnsi="Times New Roman" w:cs="Times New Roman"/>
          <w:bCs/>
        </w:rPr>
        <w:t xml:space="preserve">the </w:t>
      </w:r>
      <w:r w:rsidR="0022655E" w:rsidRPr="00FC2702">
        <w:rPr>
          <w:rFonts w:ascii="Times New Roman" w:hAnsi="Times New Roman" w:cs="Times New Roman"/>
          <w:b/>
        </w:rPr>
        <w:t>instrument</w:t>
      </w:r>
      <w:r w:rsidRPr="00FC2702">
        <w:rPr>
          <w:rFonts w:ascii="Times New Roman" w:hAnsi="Times New Roman" w:cs="Times New Roman"/>
        </w:rPr>
        <w:t xml:space="preserve">) under </w:t>
      </w:r>
      <w:r w:rsidR="0022655E" w:rsidRPr="00FC2702">
        <w:rPr>
          <w:rFonts w:ascii="Times New Roman" w:hAnsi="Times New Roman" w:cs="Times New Roman"/>
        </w:rPr>
        <w:t>sub</w:t>
      </w:r>
      <w:r w:rsidR="00135A0A" w:rsidRPr="00FC2702">
        <w:rPr>
          <w:rFonts w:ascii="Times New Roman" w:hAnsi="Times New Roman" w:cs="Times New Roman"/>
        </w:rPr>
        <w:t>section</w:t>
      </w:r>
      <w:r w:rsidR="0022655E" w:rsidRPr="00FC2702">
        <w:rPr>
          <w:rFonts w:ascii="Times New Roman" w:hAnsi="Times New Roman" w:cs="Times New Roman"/>
        </w:rPr>
        <w:t>s</w:t>
      </w:r>
      <w:r w:rsidR="00135A0A" w:rsidRPr="00FC2702">
        <w:rPr>
          <w:rFonts w:ascii="Times New Roman" w:hAnsi="Times New Roman" w:cs="Times New Roman"/>
        </w:rPr>
        <w:t xml:space="preserve"> 102G</w:t>
      </w:r>
      <w:r w:rsidR="00760F20" w:rsidRPr="00FC2702">
        <w:rPr>
          <w:rFonts w:ascii="Times New Roman" w:hAnsi="Times New Roman" w:cs="Times New Roman"/>
        </w:rPr>
        <w:t>(1)</w:t>
      </w:r>
      <w:r w:rsidR="00574675" w:rsidRPr="00FC2702">
        <w:rPr>
          <w:rFonts w:ascii="Times New Roman" w:hAnsi="Times New Roman" w:cs="Times New Roman"/>
        </w:rPr>
        <w:t>, 115</w:t>
      </w:r>
      <w:r w:rsidR="00760F20" w:rsidRPr="00FC2702">
        <w:rPr>
          <w:rFonts w:ascii="Times New Roman" w:hAnsi="Times New Roman" w:cs="Times New Roman"/>
        </w:rPr>
        <w:t>(1)</w:t>
      </w:r>
      <w:r w:rsidR="00574675" w:rsidRPr="00FC2702">
        <w:rPr>
          <w:rFonts w:ascii="Times New Roman" w:hAnsi="Times New Roman" w:cs="Times New Roman"/>
        </w:rPr>
        <w:t>, and 131AC</w:t>
      </w:r>
      <w:r w:rsidR="00760F20" w:rsidRPr="00FC2702">
        <w:rPr>
          <w:rFonts w:ascii="Times New Roman" w:hAnsi="Times New Roman" w:cs="Times New Roman"/>
        </w:rPr>
        <w:t>(1)</w:t>
      </w:r>
      <w:r w:rsidR="00135A0A" w:rsidRPr="00FC2702">
        <w:rPr>
          <w:rFonts w:ascii="Times New Roman" w:hAnsi="Times New Roman" w:cs="Times New Roman"/>
        </w:rPr>
        <w:t xml:space="preserve"> </w:t>
      </w:r>
      <w:r w:rsidRPr="00FC2702">
        <w:rPr>
          <w:rFonts w:ascii="Times New Roman" w:hAnsi="Times New Roman" w:cs="Times New Roman"/>
        </w:rPr>
        <w:t xml:space="preserve">of the </w:t>
      </w:r>
      <w:r w:rsidR="00135A0A" w:rsidRPr="00FC2702">
        <w:rPr>
          <w:rFonts w:ascii="Times New Roman" w:hAnsi="Times New Roman" w:cs="Times New Roman"/>
          <w:i/>
          <w:iCs/>
        </w:rPr>
        <w:t xml:space="preserve">Radiocommunications Act 1992 </w:t>
      </w:r>
      <w:r w:rsidRPr="00FC2702">
        <w:rPr>
          <w:rFonts w:ascii="Times New Roman" w:hAnsi="Times New Roman" w:cs="Times New Roman"/>
        </w:rPr>
        <w:t>(</w:t>
      </w:r>
      <w:r w:rsidRPr="00FC2702">
        <w:rPr>
          <w:rFonts w:ascii="Times New Roman" w:hAnsi="Times New Roman" w:cs="Times New Roman"/>
          <w:bCs/>
        </w:rPr>
        <w:t xml:space="preserve">the </w:t>
      </w:r>
      <w:r w:rsidRPr="00FC2702">
        <w:rPr>
          <w:rFonts w:ascii="Times New Roman" w:hAnsi="Times New Roman" w:cs="Times New Roman"/>
          <w:b/>
        </w:rPr>
        <w:t>Act</w:t>
      </w:r>
      <w:r w:rsidRPr="00FC2702">
        <w:rPr>
          <w:rFonts w:ascii="Times New Roman" w:hAnsi="Times New Roman" w:cs="Times New Roman"/>
        </w:rPr>
        <w:t>).</w:t>
      </w:r>
    </w:p>
    <w:p w14:paraId="0B8EBA5C" w14:textId="4553A011" w:rsidR="004C58B9" w:rsidRPr="00FC2702" w:rsidRDefault="005D6CA5" w:rsidP="004C58B9">
      <w:pPr>
        <w:rPr>
          <w:rFonts w:ascii="Times New Roman" w:hAnsi="Times New Roman" w:cs="Times New Roman"/>
        </w:rPr>
      </w:pPr>
      <w:r w:rsidRPr="00FC2702">
        <w:rPr>
          <w:rFonts w:ascii="Times New Roman" w:hAnsi="Times New Roman" w:cs="Times New Roman"/>
        </w:rPr>
        <w:t>Under subsection 102G(1) of the Act, the ACMA may, by legislative instrument, impose li</w:t>
      </w:r>
      <w:r w:rsidR="00634A0F" w:rsidRPr="00FC2702">
        <w:rPr>
          <w:rFonts w:ascii="Times New Roman" w:hAnsi="Times New Roman" w:cs="Times New Roman"/>
        </w:rPr>
        <w:t>m</w:t>
      </w:r>
      <w:r w:rsidRPr="00FC2702">
        <w:rPr>
          <w:rFonts w:ascii="Times New Roman" w:hAnsi="Times New Roman" w:cs="Times New Roman"/>
        </w:rPr>
        <w:t>its on the aggregate of the parts of the spectrum that</w:t>
      </w:r>
      <w:r w:rsidR="0088113D" w:rsidRPr="00FC2702">
        <w:rPr>
          <w:rFonts w:ascii="Times New Roman" w:hAnsi="Times New Roman" w:cs="Times New Roman"/>
        </w:rPr>
        <w:t>, under spectrum licences, under existing transmitter licences, and</w:t>
      </w:r>
      <w:r w:rsidR="00634A0F" w:rsidRPr="00FC2702">
        <w:rPr>
          <w:rFonts w:ascii="Times New Roman" w:hAnsi="Times New Roman" w:cs="Times New Roman"/>
        </w:rPr>
        <w:t xml:space="preserve"> as a result of the allocation or issue of transmitter licences</w:t>
      </w:r>
      <w:r w:rsidR="0088113D" w:rsidRPr="00FC2702">
        <w:rPr>
          <w:rFonts w:ascii="Times New Roman" w:hAnsi="Times New Roman" w:cs="Times New Roman"/>
        </w:rPr>
        <w:t>,</w:t>
      </w:r>
      <w:r w:rsidR="00634A0F" w:rsidRPr="00FC2702">
        <w:rPr>
          <w:rFonts w:ascii="Times New Roman" w:hAnsi="Times New Roman" w:cs="Times New Roman"/>
        </w:rPr>
        <w:t xml:space="preserve"> may be used by any one person or </w:t>
      </w:r>
      <w:r w:rsidR="00093021" w:rsidRPr="00FC2702">
        <w:rPr>
          <w:rFonts w:ascii="Times New Roman" w:hAnsi="Times New Roman" w:cs="Times New Roman"/>
        </w:rPr>
        <w:t xml:space="preserve">a </w:t>
      </w:r>
      <w:r w:rsidR="00634A0F" w:rsidRPr="00FC2702">
        <w:rPr>
          <w:rFonts w:ascii="Times New Roman" w:hAnsi="Times New Roman" w:cs="Times New Roman"/>
        </w:rPr>
        <w:t>specified person, or</w:t>
      </w:r>
      <w:r w:rsidR="0010789C" w:rsidRPr="00FC2702">
        <w:rPr>
          <w:rFonts w:ascii="Times New Roman" w:hAnsi="Times New Roman" w:cs="Times New Roman"/>
        </w:rPr>
        <w:t xml:space="preserve"> </w:t>
      </w:r>
      <w:r w:rsidR="00B70A9A" w:rsidRPr="00FC2702">
        <w:rPr>
          <w:rFonts w:ascii="Times New Roman" w:hAnsi="Times New Roman" w:cs="Times New Roman"/>
        </w:rPr>
        <w:t xml:space="preserve">may, in total, be used by </w:t>
      </w:r>
      <w:r w:rsidR="0010789C" w:rsidRPr="00FC2702">
        <w:rPr>
          <w:rFonts w:ascii="Times New Roman" w:hAnsi="Times New Roman" w:cs="Times New Roman"/>
        </w:rPr>
        <w:t>the members of a specified group of persons.</w:t>
      </w:r>
    </w:p>
    <w:p w14:paraId="42280F9B" w14:textId="18D4A331" w:rsidR="003D6FD2" w:rsidRPr="00FC2702" w:rsidRDefault="003D6FD2" w:rsidP="003D6FD2">
      <w:pPr>
        <w:rPr>
          <w:rFonts w:ascii="Times New Roman" w:hAnsi="Times New Roman" w:cs="Times New Roman"/>
        </w:rPr>
      </w:pPr>
      <w:r w:rsidRPr="00FC2702">
        <w:rPr>
          <w:rFonts w:ascii="Times New Roman" w:hAnsi="Times New Roman" w:cs="Times New Roman"/>
        </w:rPr>
        <w:t>Under subsection 115(1) of the Act, the ACMA may determine</w:t>
      </w:r>
      <w:r w:rsidR="008E04CD" w:rsidRPr="00FC2702">
        <w:rPr>
          <w:rFonts w:ascii="Times New Roman" w:hAnsi="Times New Roman" w:cs="Times New Roman"/>
        </w:rPr>
        <w:t>, among other things</w:t>
      </w:r>
      <w:r w:rsidR="00C15C74" w:rsidRPr="00FC2702">
        <w:rPr>
          <w:rFonts w:ascii="Times New Roman" w:hAnsi="Times New Roman" w:cs="Times New Roman"/>
        </w:rPr>
        <w:t>,</w:t>
      </w:r>
      <w:r w:rsidRPr="00FC2702">
        <w:rPr>
          <w:rFonts w:ascii="Times New Roman" w:hAnsi="Times New Roman" w:cs="Times New Roman"/>
        </w:rPr>
        <w:t xml:space="preserve"> circumstances in which </w:t>
      </w:r>
      <w:r w:rsidR="008E04CD" w:rsidRPr="00FC2702">
        <w:rPr>
          <w:rFonts w:ascii="Times New Roman" w:hAnsi="Times New Roman" w:cs="Times New Roman"/>
        </w:rPr>
        <w:t>a</w:t>
      </w:r>
      <w:r w:rsidRPr="00FC2702">
        <w:rPr>
          <w:rFonts w:ascii="Times New Roman" w:hAnsi="Times New Roman" w:cs="Times New Roman"/>
        </w:rPr>
        <w:t xml:space="preserve"> person </w:t>
      </w:r>
      <w:r w:rsidR="008E04CD" w:rsidRPr="00FC2702">
        <w:rPr>
          <w:rFonts w:ascii="Times New Roman" w:hAnsi="Times New Roman" w:cs="Times New Roman"/>
        </w:rPr>
        <w:t xml:space="preserve">must not be authorised </w:t>
      </w:r>
      <w:r w:rsidRPr="00FC2702">
        <w:rPr>
          <w:rFonts w:ascii="Times New Roman" w:hAnsi="Times New Roman" w:cs="Times New Roman"/>
        </w:rPr>
        <w:t xml:space="preserve">to operate a radiocommunications device under </w:t>
      </w:r>
      <w:r w:rsidR="008E04CD" w:rsidRPr="00FC2702">
        <w:rPr>
          <w:rFonts w:ascii="Times New Roman" w:hAnsi="Times New Roman" w:cs="Times New Roman"/>
        </w:rPr>
        <w:t>an apparatu</w:t>
      </w:r>
      <w:r w:rsidRPr="00FC2702">
        <w:rPr>
          <w:rFonts w:ascii="Times New Roman" w:hAnsi="Times New Roman" w:cs="Times New Roman"/>
        </w:rPr>
        <w:t xml:space="preserve">s licence. </w:t>
      </w:r>
    </w:p>
    <w:p w14:paraId="30C2F46F" w14:textId="23F34F59" w:rsidR="003D6FD2" w:rsidRPr="00FC2702" w:rsidRDefault="003D6FD2" w:rsidP="004C58B9">
      <w:pPr>
        <w:rPr>
          <w:rFonts w:ascii="Times New Roman" w:hAnsi="Times New Roman" w:cs="Times New Roman"/>
        </w:rPr>
      </w:pPr>
      <w:r w:rsidRPr="00FC2702">
        <w:rPr>
          <w:rFonts w:ascii="Times New Roman" w:hAnsi="Times New Roman" w:cs="Times New Roman"/>
        </w:rPr>
        <w:t xml:space="preserve">Under subsection 131AC(1) of the Act, the ACMA may determine </w:t>
      </w:r>
      <w:r w:rsidR="00D37B69" w:rsidRPr="00FC2702">
        <w:rPr>
          <w:rFonts w:ascii="Times New Roman" w:hAnsi="Times New Roman" w:cs="Times New Roman"/>
        </w:rPr>
        <w:t xml:space="preserve">that </w:t>
      </w:r>
      <w:r w:rsidRPr="00FC2702">
        <w:rPr>
          <w:rFonts w:ascii="Times New Roman" w:hAnsi="Times New Roman" w:cs="Times New Roman"/>
        </w:rPr>
        <w:t xml:space="preserve">particular types of apparatus licence </w:t>
      </w:r>
      <w:r w:rsidR="00240A8A" w:rsidRPr="00FC2702">
        <w:rPr>
          <w:rFonts w:ascii="Times New Roman" w:hAnsi="Times New Roman" w:cs="Times New Roman"/>
        </w:rPr>
        <w:t xml:space="preserve">are not transferrable under Division 8 of Part 3.3. of the Act, </w:t>
      </w:r>
      <w:r w:rsidRPr="00FC2702">
        <w:rPr>
          <w:rFonts w:ascii="Times New Roman" w:hAnsi="Times New Roman" w:cs="Times New Roman"/>
        </w:rPr>
        <w:t xml:space="preserve">and </w:t>
      </w:r>
      <w:r w:rsidR="00240A8A" w:rsidRPr="00FC2702">
        <w:rPr>
          <w:rFonts w:ascii="Times New Roman" w:hAnsi="Times New Roman" w:cs="Times New Roman"/>
        </w:rPr>
        <w:t xml:space="preserve">that in </w:t>
      </w:r>
      <w:r w:rsidRPr="00FC2702">
        <w:rPr>
          <w:rFonts w:ascii="Times New Roman" w:hAnsi="Times New Roman" w:cs="Times New Roman"/>
        </w:rPr>
        <w:t xml:space="preserve">specified circumstances an apparatus licence is not transferable </w:t>
      </w:r>
      <w:r w:rsidR="00E8334A" w:rsidRPr="00FC2702">
        <w:rPr>
          <w:rFonts w:ascii="Times New Roman" w:hAnsi="Times New Roman" w:cs="Times New Roman"/>
        </w:rPr>
        <w:t>under that Division</w:t>
      </w:r>
      <w:r w:rsidRPr="00FC2702">
        <w:rPr>
          <w:rFonts w:ascii="Times New Roman" w:hAnsi="Times New Roman" w:cs="Times New Roman"/>
        </w:rPr>
        <w:t>.</w:t>
      </w:r>
    </w:p>
    <w:p w14:paraId="7F0CA621" w14:textId="1C3978CA" w:rsidR="00E7610E" w:rsidRPr="00FC2702" w:rsidRDefault="00CB174E" w:rsidP="004C58B9">
      <w:pPr>
        <w:rPr>
          <w:rFonts w:ascii="Times New Roman" w:hAnsi="Times New Roman" w:cs="Times New Roman"/>
        </w:rPr>
      </w:pPr>
      <w:r w:rsidRPr="00FC2702">
        <w:rPr>
          <w:rFonts w:ascii="Times New Roman" w:hAnsi="Times New Roman" w:cs="Times New Roman"/>
        </w:rPr>
        <w:t xml:space="preserve">Section 28C of the Act requires the ACMA to have regard to any relevant Ministerial policy statements when preforming its spectrum management functions. </w:t>
      </w:r>
      <w:r w:rsidR="002B0982" w:rsidRPr="00FC2702">
        <w:rPr>
          <w:rFonts w:ascii="Times New Roman" w:hAnsi="Times New Roman" w:cs="Times New Roman"/>
        </w:rPr>
        <w:t>The ACMA has had regard to the</w:t>
      </w:r>
      <w:r w:rsidRPr="00FC2702">
        <w:rPr>
          <w:rFonts w:ascii="Times New Roman" w:hAnsi="Times New Roman" w:cs="Times New Roman"/>
        </w:rPr>
        <w:t xml:space="preserve"> </w:t>
      </w:r>
      <w:r w:rsidRPr="00FC2702">
        <w:rPr>
          <w:rFonts w:ascii="Times New Roman" w:hAnsi="Times New Roman" w:cs="Times New Roman"/>
          <w:i/>
          <w:iCs/>
        </w:rPr>
        <w:t>Radiocommunications (Ministerial Policy Statement – 3.4-4.0 GHz) Instrument 2022</w:t>
      </w:r>
      <w:r w:rsidR="002B0982" w:rsidRPr="00FC2702">
        <w:rPr>
          <w:rFonts w:ascii="Times New Roman" w:hAnsi="Times New Roman" w:cs="Times New Roman"/>
        </w:rPr>
        <w:t xml:space="preserve"> </w:t>
      </w:r>
      <w:r w:rsidR="00040092" w:rsidRPr="00FC2702">
        <w:rPr>
          <w:rFonts w:ascii="Times New Roman" w:hAnsi="Times New Roman" w:cs="Times New Roman"/>
        </w:rPr>
        <w:t xml:space="preserve">(the </w:t>
      </w:r>
      <w:r w:rsidR="00040092" w:rsidRPr="00FC2702">
        <w:rPr>
          <w:rFonts w:ascii="Times New Roman" w:hAnsi="Times New Roman" w:cs="Times New Roman"/>
          <w:b/>
          <w:bCs/>
        </w:rPr>
        <w:t>3.4–4.0 GHz Statement</w:t>
      </w:r>
      <w:r w:rsidR="00040092" w:rsidRPr="00FC2702">
        <w:rPr>
          <w:rFonts w:ascii="Times New Roman" w:hAnsi="Times New Roman" w:cs="Times New Roman"/>
        </w:rPr>
        <w:t xml:space="preserve">) </w:t>
      </w:r>
      <w:r w:rsidR="002B0982" w:rsidRPr="00FC2702">
        <w:rPr>
          <w:rFonts w:ascii="Times New Roman" w:hAnsi="Times New Roman" w:cs="Times New Roman"/>
        </w:rPr>
        <w:t>in making the instrument.</w:t>
      </w:r>
    </w:p>
    <w:p w14:paraId="7D900AC6" w14:textId="77777777" w:rsidR="004C58B9" w:rsidRPr="00FC2702" w:rsidRDefault="004C58B9" w:rsidP="004C58B9">
      <w:pPr>
        <w:rPr>
          <w:rFonts w:ascii="Times New Roman" w:hAnsi="Times New Roman" w:cs="Times New Roman"/>
          <w:b/>
        </w:rPr>
      </w:pPr>
      <w:r w:rsidRPr="00FC2702">
        <w:rPr>
          <w:rFonts w:ascii="Times New Roman" w:hAnsi="Times New Roman" w:cs="Times New Roman"/>
          <w:b/>
        </w:rPr>
        <w:t>Purpose and operation of the instrument</w:t>
      </w:r>
    </w:p>
    <w:p w14:paraId="461D726D" w14:textId="3E4809D9" w:rsidR="00D17600" w:rsidRPr="00FC2702" w:rsidRDefault="00D17600" w:rsidP="0018348C">
      <w:pPr>
        <w:rPr>
          <w:rFonts w:ascii="Times New Roman" w:hAnsi="Times New Roman" w:cs="Times New Roman"/>
        </w:rPr>
      </w:pPr>
      <w:r w:rsidRPr="00FC2702">
        <w:rPr>
          <w:rFonts w:ascii="Times New Roman" w:hAnsi="Times New Roman" w:cs="Times New Roman"/>
        </w:rPr>
        <w:t xml:space="preserve">The </w:t>
      </w:r>
      <w:r w:rsidR="00F12C89" w:rsidRPr="00FC2702">
        <w:rPr>
          <w:rFonts w:ascii="Times New Roman" w:hAnsi="Times New Roman" w:cs="Times New Roman"/>
        </w:rPr>
        <w:t>ACMA is preparing to</w:t>
      </w:r>
      <w:r w:rsidR="00B31810" w:rsidRPr="00FC2702">
        <w:rPr>
          <w:rFonts w:ascii="Times New Roman" w:hAnsi="Times New Roman" w:cs="Times New Roman"/>
        </w:rPr>
        <w:t xml:space="preserve"> allocate and</w:t>
      </w:r>
      <w:r w:rsidR="00F12C89" w:rsidRPr="00FC2702">
        <w:rPr>
          <w:rFonts w:ascii="Times New Roman" w:hAnsi="Times New Roman" w:cs="Times New Roman"/>
        </w:rPr>
        <w:t xml:space="preserve"> issue area-wide licences (</w:t>
      </w:r>
      <w:r w:rsidR="00F12C89" w:rsidRPr="00FC2702">
        <w:rPr>
          <w:rFonts w:ascii="Times New Roman" w:hAnsi="Times New Roman" w:cs="Times New Roman"/>
          <w:b/>
          <w:bCs/>
        </w:rPr>
        <w:t>AWLs</w:t>
      </w:r>
      <w:r w:rsidR="00F12C89" w:rsidRPr="00FC2702">
        <w:rPr>
          <w:rFonts w:ascii="Times New Roman" w:hAnsi="Times New Roman" w:cs="Times New Roman"/>
        </w:rPr>
        <w:t>), a type of transmitter licence, in:</w:t>
      </w:r>
    </w:p>
    <w:p w14:paraId="74AB268E" w14:textId="07DBE6E3" w:rsidR="00F12C89" w:rsidRPr="00FC2702" w:rsidRDefault="0007407E" w:rsidP="0007407E">
      <w:pPr>
        <w:pStyle w:val="ListParagraph"/>
        <w:numPr>
          <w:ilvl w:val="0"/>
          <w:numId w:val="31"/>
        </w:numPr>
        <w:rPr>
          <w:rFonts w:ascii="Times New Roman" w:hAnsi="Times New Roman" w:cs="Times New Roman"/>
        </w:rPr>
      </w:pPr>
      <w:r w:rsidRPr="00FC2702">
        <w:rPr>
          <w:rFonts w:ascii="Times New Roman" w:hAnsi="Times New Roman" w:cs="Times New Roman"/>
        </w:rPr>
        <w:t>the 3.</w:t>
      </w:r>
      <w:r w:rsidR="0071051A" w:rsidRPr="00FC2702">
        <w:rPr>
          <w:rFonts w:ascii="Times New Roman" w:hAnsi="Times New Roman" w:cs="Times New Roman"/>
        </w:rPr>
        <w:t>8</w:t>
      </w:r>
      <w:r w:rsidRPr="00FC2702">
        <w:rPr>
          <w:rFonts w:ascii="Times New Roman" w:hAnsi="Times New Roman" w:cs="Times New Roman"/>
        </w:rPr>
        <w:t xml:space="preserve"> </w:t>
      </w:r>
      <w:r w:rsidR="006A1231" w:rsidRPr="00FC2702">
        <w:rPr>
          <w:rFonts w:ascii="Times New Roman" w:hAnsi="Times New Roman" w:cs="Times New Roman"/>
        </w:rPr>
        <w:t xml:space="preserve">GHz </w:t>
      </w:r>
      <w:r w:rsidRPr="00FC2702">
        <w:rPr>
          <w:rFonts w:ascii="Times New Roman" w:hAnsi="Times New Roman" w:cs="Times New Roman"/>
        </w:rPr>
        <w:t>to 3.9</w:t>
      </w:r>
      <w:r w:rsidR="0071051A" w:rsidRPr="00FC2702">
        <w:rPr>
          <w:rFonts w:ascii="Times New Roman" w:hAnsi="Times New Roman" w:cs="Times New Roman"/>
        </w:rPr>
        <w:t>5</w:t>
      </w:r>
      <w:r w:rsidRPr="00FC2702">
        <w:rPr>
          <w:rFonts w:ascii="Times New Roman" w:hAnsi="Times New Roman" w:cs="Times New Roman"/>
        </w:rPr>
        <w:t xml:space="preserve"> GHz </w:t>
      </w:r>
      <w:r w:rsidR="0071051A" w:rsidRPr="00FC2702">
        <w:rPr>
          <w:rFonts w:ascii="Times New Roman" w:hAnsi="Times New Roman" w:cs="Times New Roman"/>
        </w:rPr>
        <w:t xml:space="preserve">frequency </w:t>
      </w:r>
      <w:r w:rsidRPr="00FC2702">
        <w:rPr>
          <w:rFonts w:ascii="Times New Roman" w:hAnsi="Times New Roman" w:cs="Times New Roman"/>
        </w:rPr>
        <w:t>band (</w:t>
      </w:r>
      <w:r w:rsidR="00D75293" w:rsidRPr="00FC2702">
        <w:rPr>
          <w:rFonts w:ascii="Times New Roman" w:hAnsi="Times New Roman" w:cs="Times New Roman"/>
        </w:rPr>
        <w:t xml:space="preserve">the </w:t>
      </w:r>
      <w:r w:rsidR="00D75293" w:rsidRPr="00FC2702">
        <w:rPr>
          <w:rFonts w:ascii="Times New Roman" w:hAnsi="Times New Roman" w:cs="Times New Roman"/>
          <w:b/>
          <w:bCs/>
        </w:rPr>
        <w:t>3.8 GHz band</w:t>
      </w:r>
      <w:r w:rsidR="00D75293" w:rsidRPr="00FC2702">
        <w:rPr>
          <w:rFonts w:ascii="Times New Roman" w:hAnsi="Times New Roman" w:cs="Times New Roman"/>
        </w:rPr>
        <w:t>)</w:t>
      </w:r>
      <w:r w:rsidR="003A7467" w:rsidRPr="00FC2702">
        <w:rPr>
          <w:rFonts w:ascii="Times New Roman" w:hAnsi="Times New Roman" w:cs="Times New Roman"/>
        </w:rPr>
        <w:t xml:space="preserve"> in </w:t>
      </w:r>
      <w:r w:rsidR="00D03924" w:rsidRPr="00FC2702">
        <w:rPr>
          <w:rFonts w:ascii="Times New Roman" w:hAnsi="Times New Roman" w:cs="Times New Roman"/>
        </w:rPr>
        <w:t xml:space="preserve">two areas specified in the instrument (the </w:t>
      </w:r>
      <w:r w:rsidR="003A7467" w:rsidRPr="00FC2702">
        <w:rPr>
          <w:rFonts w:ascii="Times New Roman" w:hAnsi="Times New Roman" w:cs="Times New Roman"/>
          <w:b/>
          <w:bCs/>
        </w:rPr>
        <w:t>metropolitan area</w:t>
      </w:r>
      <w:r w:rsidR="003A7467" w:rsidRPr="00FC2702">
        <w:rPr>
          <w:rFonts w:ascii="Times New Roman" w:hAnsi="Times New Roman" w:cs="Times New Roman"/>
        </w:rPr>
        <w:t xml:space="preserve"> and </w:t>
      </w:r>
      <w:r w:rsidR="00D03924" w:rsidRPr="00FC2702">
        <w:rPr>
          <w:rFonts w:ascii="Times New Roman" w:hAnsi="Times New Roman" w:cs="Times New Roman"/>
        </w:rPr>
        <w:t>the</w:t>
      </w:r>
      <w:r w:rsidR="003A7467" w:rsidRPr="00FC2702">
        <w:rPr>
          <w:rFonts w:ascii="Times New Roman" w:hAnsi="Times New Roman" w:cs="Times New Roman"/>
        </w:rPr>
        <w:t xml:space="preserve"> </w:t>
      </w:r>
      <w:r w:rsidR="003A7467" w:rsidRPr="00FC2702">
        <w:rPr>
          <w:rFonts w:ascii="Times New Roman" w:hAnsi="Times New Roman" w:cs="Times New Roman"/>
          <w:b/>
          <w:bCs/>
        </w:rPr>
        <w:t>regional area</w:t>
      </w:r>
      <w:r w:rsidR="00D03924" w:rsidRPr="00FC2702">
        <w:rPr>
          <w:rFonts w:ascii="Times New Roman" w:hAnsi="Times New Roman" w:cs="Times New Roman"/>
        </w:rPr>
        <w:t>)</w:t>
      </w:r>
      <w:r w:rsidR="003A7467" w:rsidRPr="00FC2702">
        <w:rPr>
          <w:rFonts w:ascii="Times New Roman" w:hAnsi="Times New Roman" w:cs="Times New Roman"/>
        </w:rPr>
        <w:t>;</w:t>
      </w:r>
    </w:p>
    <w:p w14:paraId="52AD9B45" w14:textId="0A5AF2F7" w:rsidR="003A7467" w:rsidRPr="00FC2702" w:rsidRDefault="003A7467" w:rsidP="00D623AE">
      <w:pPr>
        <w:pStyle w:val="ListParagraph"/>
        <w:numPr>
          <w:ilvl w:val="0"/>
          <w:numId w:val="31"/>
        </w:numPr>
        <w:rPr>
          <w:rFonts w:ascii="Times New Roman" w:hAnsi="Times New Roman" w:cs="Times New Roman"/>
        </w:rPr>
      </w:pPr>
      <w:r w:rsidRPr="00FC2702">
        <w:rPr>
          <w:rFonts w:ascii="Times New Roman" w:hAnsi="Times New Roman" w:cs="Times New Roman"/>
        </w:rPr>
        <w:t xml:space="preserve">the </w:t>
      </w:r>
      <w:r w:rsidR="00D623AE" w:rsidRPr="00FC2702">
        <w:rPr>
          <w:rFonts w:ascii="Times New Roman" w:hAnsi="Times New Roman" w:cs="Times New Roman"/>
        </w:rPr>
        <w:t xml:space="preserve">3.75 </w:t>
      </w:r>
      <w:r w:rsidR="006A1231" w:rsidRPr="00FC2702">
        <w:rPr>
          <w:rFonts w:ascii="Times New Roman" w:hAnsi="Times New Roman" w:cs="Times New Roman"/>
        </w:rPr>
        <w:t xml:space="preserve">GHz </w:t>
      </w:r>
      <w:r w:rsidR="00D623AE" w:rsidRPr="00FC2702">
        <w:rPr>
          <w:rFonts w:ascii="Times New Roman" w:hAnsi="Times New Roman" w:cs="Times New Roman"/>
        </w:rPr>
        <w:t xml:space="preserve">to 3.95 GHz frequency band (the </w:t>
      </w:r>
      <w:r w:rsidR="00D623AE" w:rsidRPr="00FC2702">
        <w:rPr>
          <w:rFonts w:ascii="Times New Roman" w:hAnsi="Times New Roman" w:cs="Times New Roman"/>
          <w:b/>
          <w:bCs/>
        </w:rPr>
        <w:t>extended 3.8 GHz band</w:t>
      </w:r>
      <w:r w:rsidR="00D623AE" w:rsidRPr="00FC2702">
        <w:rPr>
          <w:rFonts w:ascii="Times New Roman" w:hAnsi="Times New Roman" w:cs="Times New Roman"/>
        </w:rPr>
        <w:t xml:space="preserve">) in </w:t>
      </w:r>
      <w:r w:rsidR="00D03924" w:rsidRPr="00FC2702">
        <w:rPr>
          <w:rFonts w:ascii="Times New Roman" w:hAnsi="Times New Roman" w:cs="Times New Roman"/>
        </w:rPr>
        <w:t xml:space="preserve">a third area specified in the instrument (the </w:t>
      </w:r>
      <w:r w:rsidR="00D03924" w:rsidRPr="00FC2702">
        <w:rPr>
          <w:rFonts w:ascii="Times New Roman" w:hAnsi="Times New Roman" w:cs="Times New Roman"/>
          <w:b/>
          <w:bCs/>
        </w:rPr>
        <w:t>rural area</w:t>
      </w:r>
      <w:r w:rsidR="00D03924" w:rsidRPr="00FC2702">
        <w:rPr>
          <w:rFonts w:ascii="Times New Roman" w:hAnsi="Times New Roman" w:cs="Times New Roman"/>
        </w:rPr>
        <w:t>);</w:t>
      </w:r>
    </w:p>
    <w:p w14:paraId="66661371" w14:textId="5A7428A2" w:rsidR="00D03924" w:rsidRPr="00FC2702" w:rsidRDefault="00D03924" w:rsidP="00D03924">
      <w:pPr>
        <w:rPr>
          <w:rFonts w:ascii="Times New Roman" w:hAnsi="Times New Roman" w:cs="Times New Roman"/>
        </w:rPr>
      </w:pPr>
      <w:r w:rsidRPr="00FC2702">
        <w:rPr>
          <w:rFonts w:ascii="Times New Roman" w:hAnsi="Times New Roman" w:cs="Times New Roman"/>
        </w:rPr>
        <w:t xml:space="preserve">(collectively, the </w:t>
      </w:r>
      <w:r w:rsidRPr="00FC2702">
        <w:rPr>
          <w:rFonts w:ascii="Times New Roman" w:hAnsi="Times New Roman" w:cs="Times New Roman"/>
          <w:b/>
          <w:bCs/>
        </w:rPr>
        <w:t>relevant AWLs</w:t>
      </w:r>
      <w:r w:rsidRPr="00FC2702">
        <w:rPr>
          <w:rFonts w:ascii="Times New Roman" w:hAnsi="Times New Roman" w:cs="Times New Roman"/>
        </w:rPr>
        <w:t>).</w:t>
      </w:r>
    </w:p>
    <w:p w14:paraId="5D334301" w14:textId="09595070" w:rsidR="0018348C" w:rsidRPr="00FC2702" w:rsidRDefault="0018348C" w:rsidP="0018348C">
      <w:pPr>
        <w:rPr>
          <w:rFonts w:ascii="Times New Roman" w:hAnsi="Times New Roman" w:cs="Times New Roman"/>
        </w:rPr>
      </w:pPr>
      <w:r w:rsidRPr="00FC2702">
        <w:rPr>
          <w:rFonts w:ascii="Times New Roman" w:hAnsi="Times New Roman" w:cs="Times New Roman"/>
        </w:rPr>
        <w:t>The</w:t>
      </w:r>
      <w:r w:rsidR="002E78D1" w:rsidRPr="00FC2702">
        <w:rPr>
          <w:rFonts w:ascii="Times New Roman" w:hAnsi="Times New Roman" w:cs="Times New Roman"/>
        </w:rPr>
        <w:t xml:space="preserve"> allocation of the</w:t>
      </w:r>
      <w:r w:rsidR="00D03924" w:rsidRPr="00FC2702">
        <w:rPr>
          <w:rFonts w:ascii="Times New Roman" w:hAnsi="Times New Roman" w:cs="Times New Roman"/>
        </w:rPr>
        <w:t xml:space="preserve"> relevant</w:t>
      </w:r>
      <w:r w:rsidR="002E78D1" w:rsidRPr="00FC2702">
        <w:rPr>
          <w:rFonts w:ascii="Times New Roman" w:hAnsi="Times New Roman" w:cs="Times New Roman"/>
        </w:rPr>
        <w:t xml:space="preserve"> AWLs</w:t>
      </w:r>
      <w:r w:rsidRPr="00FC2702">
        <w:rPr>
          <w:rFonts w:ascii="Times New Roman" w:hAnsi="Times New Roman" w:cs="Times New Roman"/>
        </w:rPr>
        <w:t xml:space="preserve"> </w:t>
      </w:r>
      <w:r w:rsidR="002E78D1" w:rsidRPr="00FC2702">
        <w:rPr>
          <w:rFonts w:ascii="Times New Roman" w:hAnsi="Times New Roman" w:cs="Times New Roman"/>
        </w:rPr>
        <w:t xml:space="preserve">(the </w:t>
      </w:r>
      <w:r w:rsidRPr="00FC2702">
        <w:rPr>
          <w:rFonts w:ascii="Times New Roman" w:hAnsi="Times New Roman" w:cs="Times New Roman"/>
          <w:b/>
          <w:bCs/>
        </w:rPr>
        <w:t>3.8 GHz allocation process</w:t>
      </w:r>
      <w:r w:rsidR="002E78D1" w:rsidRPr="00FC2702">
        <w:rPr>
          <w:rFonts w:ascii="Times New Roman" w:hAnsi="Times New Roman" w:cs="Times New Roman"/>
        </w:rPr>
        <w:t>)</w:t>
      </w:r>
      <w:r w:rsidRPr="00FC2702">
        <w:rPr>
          <w:rFonts w:ascii="Times New Roman" w:hAnsi="Times New Roman" w:cs="Times New Roman"/>
        </w:rPr>
        <w:t xml:space="preserve"> is part of a larger allocation activity in which the ACMA is making spectrum available across the 3.4</w:t>
      </w:r>
      <w:r w:rsidR="006A1231" w:rsidRPr="00FC2702">
        <w:rPr>
          <w:rFonts w:ascii="Times New Roman" w:hAnsi="Times New Roman" w:cs="Times New Roman"/>
        </w:rPr>
        <w:t xml:space="preserve"> GHz to</w:t>
      </w:r>
      <w:r w:rsidR="00C4776B" w:rsidRPr="00FC2702">
        <w:rPr>
          <w:rFonts w:ascii="Times New Roman" w:hAnsi="Times New Roman" w:cs="Times New Roman"/>
        </w:rPr>
        <w:t xml:space="preserve"> </w:t>
      </w:r>
      <w:r w:rsidRPr="00FC2702">
        <w:rPr>
          <w:rFonts w:ascii="Times New Roman" w:hAnsi="Times New Roman" w:cs="Times New Roman"/>
        </w:rPr>
        <w:t xml:space="preserve">4 GHz </w:t>
      </w:r>
      <w:r w:rsidR="006A1231" w:rsidRPr="00FC2702">
        <w:rPr>
          <w:rFonts w:ascii="Times New Roman" w:hAnsi="Times New Roman" w:cs="Times New Roman"/>
        </w:rPr>
        <w:t xml:space="preserve">frequency </w:t>
      </w:r>
      <w:r w:rsidRPr="00FC2702">
        <w:rPr>
          <w:rFonts w:ascii="Times New Roman" w:hAnsi="Times New Roman" w:cs="Times New Roman"/>
        </w:rPr>
        <w:t xml:space="preserve">band. </w:t>
      </w:r>
      <w:r w:rsidR="002E78D1" w:rsidRPr="00FC2702">
        <w:rPr>
          <w:rFonts w:ascii="Times New Roman" w:hAnsi="Times New Roman" w:cs="Times New Roman"/>
        </w:rPr>
        <w:t xml:space="preserve">The ACMA has already conducted </w:t>
      </w:r>
      <w:r w:rsidR="00A431C9" w:rsidRPr="00FC2702">
        <w:rPr>
          <w:rFonts w:ascii="Times New Roman" w:hAnsi="Times New Roman" w:cs="Times New Roman"/>
        </w:rPr>
        <w:t>o</w:t>
      </w:r>
      <w:r w:rsidRPr="00FC2702">
        <w:rPr>
          <w:rFonts w:ascii="Times New Roman" w:hAnsi="Times New Roman" w:cs="Times New Roman"/>
        </w:rPr>
        <w:t>ther allocation activities</w:t>
      </w:r>
      <w:r w:rsidR="00A91536" w:rsidRPr="00FC2702">
        <w:rPr>
          <w:rFonts w:ascii="Times New Roman" w:hAnsi="Times New Roman" w:cs="Times New Roman"/>
        </w:rPr>
        <w:t xml:space="preserve"> in the 3.4 GHz band</w:t>
      </w:r>
      <w:r w:rsidR="00A431C9" w:rsidRPr="00FC2702">
        <w:rPr>
          <w:rFonts w:ascii="Times New Roman" w:hAnsi="Times New Roman" w:cs="Times New Roman"/>
        </w:rPr>
        <w:t>,</w:t>
      </w:r>
      <w:r w:rsidRPr="00FC2702">
        <w:rPr>
          <w:rFonts w:ascii="Times New Roman" w:hAnsi="Times New Roman" w:cs="Times New Roman"/>
        </w:rPr>
        <w:t xml:space="preserve"> </w:t>
      </w:r>
      <w:r w:rsidR="00A431C9" w:rsidRPr="00FC2702">
        <w:rPr>
          <w:rFonts w:ascii="Times New Roman" w:hAnsi="Times New Roman" w:cs="Times New Roman"/>
        </w:rPr>
        <w:t>including</w:t>
      </w:r>
      <w:r w:rsidRPr="00FC2702">
        <w:rPr>
          <w:rFonts w:ascii="Times New Roman" w:hAnsi="Times New Roman" w:cs="Times New Roman"/>
        </w:rPr>
        <w:t xml:space="preserve"> the auction of spectrum licences</w:t>
      </w:r>
      <w:r w:rsidR="00A91536" w:rsidRPr="00FC2702">
        <w:rPr>
          <w:rFonts w:ascii="Times New Roman" w:hAnsi="Times New Roman" w:cs="Times New Roman"/>
        </w:rPr>
        <w:t xml:space="preserve"> in particular parts of the 3.4 GHz band in certain metropolitan</w:t>
      </w:r>
      <w:r w:rsidR="004F7211">
        <w:rPr>
          <w:rFonts w:ascii="Times New Roman" w:hAnsi="Times New Roman" w:cs="Times New Roman"/>
        </w:rPr>
        <w:t xml:space="preserve"> areas</w:t>
      </w:r>
      <w:r w:rsidR="00A91536" w:rsidRPr="00FC2702">
        <w:rPr>
          <w:rFonts w:ascii="Times New Roman" w:hAnsi="Times New Roman" w:cs="Times New Roman"/>
        </w:rPr>
        <w:t xml:space="preserve"> and regional areas</w:t>
      </w:r>
      <w:r w:rsidRPr="00FC2702">
        <w:rPr>
          <w:rFonts w:ascii="Times New Roman" w:hAnsi="Times New Roman" w:cs="Times New Roman"/>
        </w:rPr>
        <w:t xml:space="preserve"> (</w:t>
      </w:r>
      <w:r w:rsidR="00A431C9" w:rsidRPr="00FC2702">
        <w:rPr>
          <w:rFonts w:ascii="Times New Roman" w:hAnsi="Times New Roman" w:cs="Times New Roman"/>
        </w:rPr>
        <w:t xml:space="preserve">which </w:t>
      </w:r>
      <w:r w:rsidR="00D24F67" w:rsidRPr="00FC2702">
        <w:rPr>
          <w:rFonts w:ascii="Times New Roman" w:hAnsi="Times New Roman" w:cs="Times New Roman"/>
        </w:rPr>
        <w:t>were</w:t>
      </w:r>
      <w:r w:rsidR="00A431C9" w:rsidRPr="00FC2702">
        <w:rPr>
          <w:rFonts w:ascii="Times New Roman" w:hAnsi="Times New Roman" w:cs="Times New Roman"/>
        </w:rPr>
        <w:t xml:space="preserve"> </w:t>
      </w:r>
      <w:r w:rsidRPr="00FC2702">
        <w:rPr>
          <w:rFonts w:ascii="Times New Roman" w:hAnsi="Times New Roman" w:cs="Times New Roman"/>
        </w:rPr>
        <w:t>designed for wide-area wireless broadband (</w:t>
      </w:r>
      <w:r w:rsidRPr="00FC2702">
        <w:rPr>
          <w:rFonts w:ascii="Times New Roman" w:hAnsi="Times New Roman" w:cs="Times New Roman"/>
          <w:b/>
          <w:bCs/>
        </w:rPr>
        <w:t>WA WBB</w:t>
      </w:r>
      <w:r w:rsidRPr="00FC2702">
        <w:rPr>
          <w:rFonts w:ascii="Times New Roman" w:hAnsi="Times New Roman" w:cs="Times New Roman"/>
        </w:rPr>
        <w:t>) use)</w:t>
      </w:r>
      <w:r w:rsidR="0076321E" w:rsidRPr="00FC2702">
        <w:rPr>
          <w:rFonts w:ascii="Times New Roman" w:hAnsi="Times New Roman" w:cs="Times New Roman"/>
        </w:rPr>
        <w:t xml:space="preserve"> (the </w:t>
      </w:r>
      <w:r w:rsidR="0076321E" w:rsidRPr="00FC2702">
        <w:rPr>
          <w:rFonts w:ascii="Times New Roman" w:hAnsi="Times New Roman" w:cs="Times New Roman"/>
          <w:b/>
          <w:bCs/>
        </w:rPr>
        <w:t>3.4/3.7 GHz band auction</w:t>
      </w:r>
      <w:r w:rsidR="0076321E" w:rsidRPr="00FC2702">
        <w:rPr>
          <w:rFonts w:ascii="Times New Roman" w:hAnsi="Times New Roman" w:cs="Times New Roman"/>
        </w:rPr>
        <w:t>)</w:t>
      </w:r>
      <w:r w:rsidR="00B31810" w:rsidRPr="00FC2702">
        <w:rPr>
          <w:rFonts w:ascii="Times New Roman" w:hAnsi="Times New Roman" w:cs="Times New Roman"/>
        </w:rPr>
        <w:t>,</w:t>
      </w:r>
      <w:r w:rsidR="00A431C9" w:rsidRPr="00FC2702">
        <w:rPr>
          <w:rFonts w:ascii="Times New Roman" w:hAnsi="Times New Roman" w:cs="Times New Roman"/>
        </w:rPr>
        <w:t xml:space="preserve"> a</w:t>
      </w:r>
      <w:r w:rsidR="006A1231" w:rsidRPr="00FC2702">
        <w:rPr>
          <w:rFonts w:ascii="Times New Roman" w:hAnsi="Times New Roman" w:cs="Times New Roman"/>
        </w:rPr>
        <w:t>nd</w:t>
      </w:r>
      <w:r w:rsidRPr="00FC2702">
        <w:rPr>
          <w:rFonts w:ascii="Times New Roman" w:hAnsi="Times New Roman" w:cs="Times New Roman"/>
        </w:rPr>
        <w:t xml:space="preserve"> the allocation of AWLs </w:t>
      </w:r>
      <w:r w:rsidR="00A91536" w:rsidRPr="00FC2702">
        <w:rPr>
          <w:rFonts w:ascii="Times New Roman" w:hAnsi="Times New Roman" w:cs="Times New Roman"/>
        </w:rPr>
        <w:t xml:space="preserve">in the 3.4 GHz </w:t>
      </w:r>
      <w:r w:rsidR="00DF0457">
        <w:rPr>
          <w:rFonts w:ascii="Times New Roman" w:hAnsi="Times New Roman" w:cs="Times New Roman"/>
        </w:rPr>
        <w:t xml:space="preserve">to 4 GHz </w:t>
      </w:r>
      <w:r w:rsidR="00A91536" w:rsidRPr="00FC2702">
        <w:rPr>
          <w:rFonts w:ascii="Times New Roman" w:hAnsi="Times New Roman" w:cs="Times New Roman"/>
        </w:rPr>
        <w:t>band in</w:t>
      </w:r>
      <w:r w:rsidRPr="00FC2702">
        <w:rPr>
          <w:rFonts w:ascii="Times New Roman" w:hAnsi="Times New Roman" w:cs="Times New Roman"/>
        </w:rPr>
        <w:t xml:space="preserve"> remote areas</w:t>
      </w:r>
      <w:r w:rsidR="0015107F" w:rsidRPr="00FC2702">
        <w:rPr>
          <w:rFonts w:ascii="Times New Roman" w:hAnsi="Times New Roman" w:cs="Times New Roman"/>
        </w:rPr>
        <w:t xml:space="preserve">. </w:t>
      </w:r>
    </w:p>
    <w:p w14:paraId="08EEEC78" w14:textId="6F65DA6D" w:rsidR="00A9521E" w:rsidRPr="00FC2702" w:rsidRDefault="0018348C" w:rsidP="007C5FF7">
      <w:pPr>
        <w:rPr>
          <w:rFonts w:ascii="Times New Roman" w:hAnsi="Times New Roman" w:cs="Times New Roman"/>
        </w:rPr>
      </w:pPr>
      <w:r w:rsidRPr="00FC2702">
        <w:rPr>
          <w:rFonts w:ascii="Times New Roman" w:hAnsi="Times New Roman" w:cs="Times New Roman"/>
        </w:rPr>
        <w:t xml:space="preserve">Given the </w:t>
      </w:r>
      <w:r w:rsidR="00AD77C9" w:rsidRPr="00FC2702">
        <w:rPr>
          <w:rFonts w:ascii="Times New Roman" w:hAnsi="Times New Roman" w:cs="Times New Roman"/>
        </w:rPr>
        <w:t xml:space="preserve">ACMA has already </w:t>
      </w:r>
      <w:r w:rsidR="00530894" w:rsidRPr="00FC2702">
        <w:rPr>
          <w:rFonts w:ascii="Times New Roman" w:hAnsi="Times New Roman" w:cs="Times New Roman"/>
        </w:rPr>
        <w:t>conducted the 3.4/</w:t>
      </w:r>
      <w:r w:rsidR="00D24F67" w:rsidRPr="00FC2702">
        <w:rPr>
          <w:rFonts w:ascii="Times New Roman" w:hAnsi="Times New Roman" w:cs="Times New Roman"/>
        </w:rPr>
        <w:t>3</w:t>
      </w:r>
      <w:r w:rsidR="00530894" w:rsidRPr="00FC2702">
        <w:rPr>
          <w:rFonts w:ascii="Times New Roman" w:hAnsi="Times New Roman" w:cs="Times New Roman"/>
        </w:rPr>
        <w:t>.7 GHz band auction</w:t>
      </w:r>
      <w:r w:rsidR="00AD77C9" w:rsidRPr="00FC2702">
        <w:rPr>
          <w:rFonts w:ascii="Times New Roman" w:hAnsi="Times New Roman" w:cs="Times New Roman"/>
        </w:rPr>
        <w:t xml:space="preserve">, the ACMA considers that </w:t>
      </w:r>
      <w:r w:rsidR="00530894" w:rsidRPr="00FC2702">
        <w:rPr>
          <w:rFonts w:ascii="Times New Roman" w:hAnsi="Times New Roman" w:cs="Times New Roman"/>
        </w:rPr>
        <w:t xml:space="preserve">the relevant </w:t>
      </w:r>
      <w:r w:rsidR="00AD77C9" w:rsidRPr="00FC2702">
        <w:rPr>
          <w:rFonts w:ascii="Times New Roman" w:hAnsi="Times New Roman" w:cs="Times New Roman"/>
        </w:rPr>
        <w:t xml:space="preserve">AWLs </w:t>
      </w:r>
      <w:r w:rsidR="00672188" w:rsidRPr="00FC2702">
        <w:rPr>
          <w:rFonts w:ascii="Times New Roman" w:hAnsi="Times New Roman" w:cs="Times New Roman"/>
        </w:rPr>
        <w:t xml:space="preserve">should principally be </w:t>
      </w:r>
      <w:r w:rsidR="00530894" w:rsidRPr="00FC2702">
        <w:rPr>
          <w:rFonts w:ascii="Times New Roman" w:hAnsi="Times New Roman" w:cs="Times New Roman"/>
        </w:rPr>
        <w:t xml:space="preserve">allocated and </w:t>
      </w:r>
      <w:r w:rsidR="00672188" w:rsidRPr="00FC2702">
        <w:rPr>
          <w:rFonts w:ascii="Times New Roman" w:hAnsi="Times New Roman" w:cs="Times New Roman"/>
        </w:rPr>
        <w:t>issued</w:t>
      </w:r>
      <w:r w:rsidRPr="00FC2702">
        <w:rPr>
          <w:rFonts w:ascii="Times New Roman" w:hAnsi="Times New Roman" w:cs="Times New Roman"/>
        </w:rPr>
        <w:t xml:space="preserve"> to support </w:t>
      </w:r>
      <w:r w:rsidR="002A469C" w:rsidRPr="00FC2702">
        <w:rPr>
          <w:rFonts w:ascii="Times New Roman" w:hAnsi="Times New Roman" w:cs="Times New Roman"/>
        </w:rPr>
        <w:t xml:space="preserve">other use cases and users, such as </w:t>
      </w:r>
      <w:r w:rsidR="00672188" w:rsidRPr="00FC2702">
        <w:rPr>
          <w:rFonts w:ascii="Times New Roman" w:hAnsi="Times New Roman" w:cs="Times New Roman"/>
        </w:rPr>
        <w:t>local area wireless broadband use.</w:t>
      </w:r>
      <w:r w:rsidRPr="00FC2702">
        <w:rPr>
          <w:rFonts w:ascii="Times New Roman" w:hAnsi="Times New Roman" w:cs="Times New Roman"/>
        </w:rPr>
        <w:t xml:space="preserve"> </w:t>
      </w:r>
      <w:r w:rsidR="0025431D" w:rsidRPr="00FC2702">
        <w:rPr>
          <w:rFonts w:ascii="Times New Roman" w:hAnsi="Times New Roman" w:cs="Times New Roman"/>
        </w:rPr>
        <w:t xml:space="preserve">As such, the ACMA has made the instrument to give a limited </w:t>
      </w:r>
      <w:r w:rsidR="0025431D" w:rsidRPr="00FC2702">
        <w:rPr>
          <w:rFonts w:ascii="Times New Roman" w:hAnsi="Times New Roman" w:cs="Times New Roman"/>
        </w:rPr>
        <w:lastRenderedPageBreak/>
        <w:t xml:space="preserve">priority </w:t>
      </w:r>
      <w:r w:rsidR="00530894" w:rsidRPr="00FC2702">
        <w:rPr>
          <w:rFonts w:ascii="Times New Roman" w:hAnsi="Times New Roman" w:cs="Times New Roman"/>
        </w:rPr>
        <w:t xml:space="preserve">in the 3.8 GHz allocation process </w:t>
      </w:r>
      <w:r w:rsidR="0025431D" w:rsidRPr="00FC2702">
        <w:rPr>
          <w:rFonts w:ascii="Times New Roman" w:hAnsi="Times New Roman" w:cs="Times New Roman"/>
        </w:rPr>
        <w:t>to persons</w:t>
      </w:r>
      <w:r w:rsidR="00530894" w:rsidRPr="00FC2702">
        <w:rPr>
          <w:rFonts w:ascii="Times New Roman" w:hAnsi="Times New Roman" w:cs="Times New Roman"/>
        </w:rPr>
        <w:t xml:space="preserve"> who do not hold spectrum licences in the 3.4 GHz band</w:t>
      </w:r>
      <w:r w:rsidR="00360EE4" w:rsidRPr="00FC2702">
        <w:rPr>
          <w:rFonts w:ascii="Times New Roman" w:hAnsi="Times New Roman" w:cs="Times New Roman"/>
        </w:rPr>
        <w:t>.</w:t>
      </w:r>
    </w:p>
    <w:p w14:paraId="160AD019" w14:textId="62C12A00" w:rsidR="003D1EB0" w:rsidRPr="00FC2702" w:rsidRDefault="003D1EB0" w:rsidP="007C5FF7">
      <w:pPr>
        <w:rPr>
          <w:rFonts w:ascii="Times New Roman" w:hAnsi="Times New Roman" w:cs="Times New Roman"/>
          <w:i/>
          <w:iCs/>
        </w:rPr>
      </w:pPr>
      <w:r w:rsidRPr="00FC2702">
        <w:rPr>
          <w:rFonts w:ascii="Times New Roman" w:hAnsi="Times New Roman" w:cs="Times New Roman"/>
          <w:i/>
          <w:iCs/>
        </w:rPr>
        <w:t>Persons to whom the instrument applies</w:t>
      </w:r>
    </w:p>
    <w:p w14:paraId="2C25982E" w14:textId="421A3B94" w:rsidR="003D1EB0" w:rsidRPr="00FC2702" w:rsidRDefault="00016678" w:rsidP="007C5FF7">
      <w:pPr>
        <w:rPr>
          <w:rFonts w:ascii="Times New Roman" w:hAnsi="Times New Roman" w:cs="Times New Roman"/>
        </w:rPr>
      </w:pPr>
      <w:r w:rsidRPr="00FC2702">
        <w:rPr>
          <w:rFonts w:ascii="Times New Roman" w:hAnsi="Times New Roman" w:cs="Times New Roman"/>
        </w:rPr>
        <w:t xml:space="preserve">In December 2023, the ACMA announced the results of </w:t>
      </w:r>
      <w:r w:rsidR="00530894" w:rsidRPr="00FC2702">
        <w:rPr>
          <w:rFonts w:ascii="Times New Roman" w:hAnsi="Times New Roman" w:cs="Times New Roman"/>
        </w:rPr>
        <w:t>3.4/3.7 GHz band auction</w:t>
      </w:r>
      <w:r w:rsidRPr="00FC2702">
        <w:rPr>
          <w:rFonts w:ascii="Times New Roman" w:hAnsi="Times New Roman" w:cs="Times New Roman"/>
        </w:rPr>
        <w:t xml:space="preserve">. </w:t>
      </w:r>
      <w:r w:rsidR="00AA3AB9" w:rsidRPr="00FC2702">
        <w:rPr>
          <w:rFonts w:ascii="Times New Roman" w:hAnsi="Times New Roman" w:cs="Times New Roman"/>
        </w:rPr>
        <w:t xml:space="preserve">As a result of this </w:t>
      </w:r>
      <w:r w:rsidR="00530894" w:rsidRPr="00FC2702">
        <w:rPr>
          <w:rFonts w:ascii="Times New Roman" w:hAnsi="Times New Roman" w:cs="Times New Roman"/>
        </w:rPr>
        <w:t>auction</w:t>
      </w:r>
      <w:r w:rsidR="00AA3AB9" w:rsidRPr="00FC2702">
        <w:rPr>
          <w:rFonts w:ascii="Times New Roman" w:hAnsi="Times New Roman" w:cs="Times New Roman"/>
        </w:rPr>
        <w:t>, and earlier allocations of spectrum licences, the only persons who hold spectrum licences in the 3.4 GHz band are, or are related bodies corporate of</w:t>
      </w:r>
      <w:r w:rsidR="004A3B23" w:rsidRPr="00FC2702">
        <w:rPr>
          <w:rFonts w:ascii="Times New Roman" w:hAnsi="Times New Roman" w:cs="Times New Roman"/>
        </w:rPr>
        <w:t>:</w:t>
      </w:r>
    </w:p>
    <w:p w14:paraId="55BDE237" w14:textId="77777777" w:rsidR="0049300C" w:rsidRPr="00FC2702" w:rsidRDefault="0049300C" w:rsidP="0049300C">
      <w:pPr>
        <w:pStyle w:val="ListParagraph"/>
        <w:numPr>
          <w:ilvl w:val="0"/>
          <w:numId w:val="32"/>
        </w:numPr>
        <w:rPr>
          <w:rFonts w:ascii="Times New Roman" w:hAnsi="Times New Roman" w:cs="Times New Roman"/>
        </w:rPr>
      </w:pPr>
      <w:r w:rsidRPr="00FC2702">
        <w:rPr>
          <w:rFonts w:ascii="Times New Roman" w:hAnsi="Times New Roman" w:cs="Times New Roman"/>
        </w:rPr>
        <w:t>NBN Co Limited;</w:t>
      </w:r>
    </w:p>
    <w:p w14:paraId="0ACCBE1C" w14:textId="47A04EC5" w:rsidR="0049300C" w:rsidRPr="00FC2702" w:rsidRDefault="0049300C" w:rsidP="0049300C">
      <w:pPr>
        <w:pStyle w:val="ListParagraph"/>
        <w:numPr>
          <w:ilvl w:val="0"/>
          <w:numId w:val="32"/>
        </w:numPr>
        <w:rPr>
          <w:rFonts w:ascii="Times New Roman" w:hAnsi="Times New Roman" w:cs="Times New Roman"/>
        </w:rPr>
      </w:pPr>
      <w:r w:rsidRPr="00FC2702">
        <w:rPr>
          <w:rFonts w:ascii="Times New Roman" w:hAnsi="Times New Roman" w:cs="Times New Roman"/>
        </w:rPr>
        <w:t>Optus Mobile Pty L</w:t>
      </w:r>
      <w:r w:rsidR="00525209" w:rsidRPr="00FC2702">
        <w:rPr>
          <w:rFonts w:ascii="Times New Roman" w:hAnsi="Times New Roman" w:cs="Times New Roman"/>
        </w:rPr>
        <w:t>imited</w:t>
      </w:r>
      <w:r w:rsidRPr="00FC2702">
        <w:rPr>
          <w:rFonts w:ascii="Times New Roman" w:hAnsi="Times New Roman" w:cs="Times New Roman"/>
        </w:rPr>
        <w:t>;</w:t>
      </w:r>
    </w:p>
    <w:p w14:paraId="76C3AC96" w14:textId="2BB5C0ED" w:rsidR="00525209" w:rsidRPr="00FC2702" w:rsidRDefault="00525209" w:rsidP="0049300C">
      <w:pPr>
        <w:pStyle w:val="ListParagraph"/>
        <w:numPr>
          <w:ilvl w:val="0"/>
          <w:numId w:val="32"/>
        </w:numPr>
        <w:rPr>
          <w:rFonts w:ascii="Times New Roman" w:hAnsi="Times New Roman" w:cs="Times New Roman"/>
        </w:rPr>
      </w:pPr>
      <w:r w:rsidRPr="00FC2702">
        <w:rPr>
          <w:rFonts w:ascii="Times New Roman" w:hAnsi="Times New Roman" w:cs="Times New Roman"/>
        </w:rPr>
        <w:t>Telstra Limited; and</w:t>
      </w:r>
    </w:p>
    <w:p w14:paraId="4AB07E93" w14:textId="77777777" w:rsidR="00C946CA" w:rsidRPr="00FC2702" w:rsidRDefault="00525209" w:rsidP="0049300C">
      <w:pPr>
        <w:pStyle w:val="ListParagraph"/>
        <w:numPr>
          <w:ilvl w:val="0"/>
          <w:numId w:val="32"/>
        </w:numPr>
        <w:rPr>
          <w:rFonts w:ascii="Times New Roman" w:hAnsi="Times New Roman" w:cs="Times New Roman"/>
        </w:rPr>
      </w:pPr>
      <w:r w:rsidRPr="00FC2702">
        <w:rPr>
          <w:rFonts w:ascii="Times New Roman" w:hAnsi="Times New Roman" w:cs="Times New Roman"/>
        </w:rPr>
        <w:t>Mobile JV Pty Limited</w:t>
      </w:r>
      <w:r w:rsidR="00C946CA" w:rsidRPr="00FC2702">
        <w:rPr>
          <w:rFonts w:ascii="Times New Roman" w:hAnsi="Times New Roman" w:cs="Times New Roman"/>
        </w:rPr>
        <w:t>;</w:t>
      </w:r>
    </w:p>
    <w:p w14:paraId="55F5C443" w14:textId="063276BB" w:rsidR="00525209" w:rsidRPr="00FC2702" w:rsidRDefault="00C946CA" w:rsidP="00C946CA">
      <w:pPr>
        <w:rPr>
          <w:rFonts w:ascii="Times New Roman" w:hAnsi="Times New Roman" w:cs="Times New Roman"/>
        </w:rPr>
      </w:pPr>
      <w:r w:rsidRPr="00FC2702">
        <w:rPr>
          <w:rFonts w:ascii="Times New Roman" w:hAnsi="Times New Roman" w:cs="Times New Roman"/>
        </w:rPr>
        <w:t xml:space="preserve">(collectively, the </w:t>
      </w:r>
      <w:r w:rsidRPr="00FC2702">
        <w:rPr>
          <w:rFonts w:ascii="Times New Roman" w:hAnsi="Times New Roman" w:cs="Times New Roman"/>
          <w:b/>
          <w:bCs/>
        </w:rPr>
        <w:t>named persons</w:t>
      </w:r>
      <w:r w:rsidRPr="00FC2702">
        <w:rPr>
          <w:rFonts w:ascii="Times New Roman" w:hAnsi="Times New Roman" w:cs="Times New Roman"/>
        </w:rPr>
        <w:t>)</w:t>
      </w:r>
      <w:r w:rsidR="00525209" w:rsidRPr="00FC2702">
        <w:rPr>
          <w:rFonts w:ascii="Times New Roman" w:hAnsi="Times New Roman" w:cs="Times New Roman"/>
        </w:rPr>
        <w:t>.</w:t>
      </w:r>
    </w:p>
    <w:p w14:paraId="54D7D057" w14:textId="0FB7E763" w:rsidR="00525209" w:rsidRPr="00FC2702" w:rsidRDefault="00C946CA" w:rsidP="00525209">
      <w:pPr>
        <w:rPr>
          <w:rFonts w:ascii="Times New Roman" w:hAnsi="Times New Roman" w:cs="Times New Roman"/>
        </w:rPr>
      </w:pPr>
      <w:r w:rsidRPr="00FC2702">
        <w:rPr>
          <w:rFonts w:ascii="Times New Roman" w:hAnsi="Times New Roman" w:cs="Times New Roman"/>
        </w:rPr>
        <w:t xml:space="preserve">Each of these provides, or is capable of providing, WA WBB services using their spectrum licences. </w:t>
      </w:r>
      <w:r w:rsidR="00C439F4" w:rsidRPr="00FC2702">
        <w:rPr>
          <w:rFonts w:ascii="Times New Roman" w:hAnsi="Times New Roman" w:cs="Times New Roman"/>
        </w:rPr>
        <w:t xml:space="preserve">Accordingly, the instrument restricts the ability of the named persons, and any associates of the named persons, to be allocated and issued </w:t>
      </w:r>
      <w:r w:rsidR="006015CF" w:rsidRPr="00FC2702">
        <w:rPr>
          <w:rFonts w:ascii="Times New Roman" w:hAnsi="Times New Roman" w:cs="Times New Roman"/>
        </w:rPr>
        <w:t>the re</w:t>
      </w:r>
      <w:r w:rsidR="00193B12" w:rsidRPr="00FC2702">
        <w:rPr>
          <w:rFonts w:ascii="Times New Roman" w:hAnsi="Times New Roman" w:cs="Times New Roman"/>
        </w:rPr>
        <w:t>l</w:t>
      </w:r>
      <w:r w:rsidR="006015CF" w:rsidRPr="00FC2702">
        <w:rPr>
          <w:rFonts w:ascii="Times New Roman" w:hAnsi="Times New Roman" w:cs="Times New Roman"/>
        </w:rPr>
        <w:t xml:space="preserve">evant </w:t>
      </w:r>
      <w:r w:rsidR="0097346E" w:rsidRPr="00FC2702">
        <w:rPr>
          <w:rFonts w:ascii="Times New Roman" w:hAnsi="Times New Roman" w:cs="Times New Roman"/>
        </w:rPr>
        <w:t>AWLs</w:t>
      </w:r>
      <w:r w:rsidR="00A277F7" w:rsidRPr="00FC2702">
        <w:rPr>
          <w:rFonts w:ascii="Times New Roman" w:hAnsi="Times New Roman" w:cs="Times New Roman"/>
        </w:rPr>
        <w:t xml:space="preserve">. An </w:t>
      </w:r>
      <w:r w:rsidR="004A3B23" w:rsidRPr="00FC2702">
        <w:rPr>
          <w:rFonts w:ascii="Times New Roman" w:hAnsi="Times New Roman" w:cs="Times New Roman"/>
        </w:rPr>
        <w:t>‘</w:t>
      </w:r>
      <w:r w:rsidR="00A277F7" w:rsidRPr="00FC2702">
        <w:rPr>
          <w:rFonts w:ascii="Times New Roman" w:hAnsi="Times New Roman" w:cs="Times New Roman"/>
        </w:rPr>
        <w:t>associate</w:t>
      </w:r>
      <w:r w:rsidR="004A3B23" w:rsidRPr="00FC2702">
        <w:rPr>
          <w:rFonts w:ascii="Times New Roman" w:hAnsi="Times New Roman" w:cs="Times New Roman"/>
        </w:rPr>
        <w:t>’</w:t>
      </w:r>
      <w:r w:rsidR="00A277F7" w:rsidRPr="00FC2702">
        <w:rPr>
          <w:rFonts w:ascii="Times New Roman" w:hAnsi="Times New Roman" w:cs="Times New Roman"/>
        </w:rPr>
        <w:t xml:space="preserve"> of a named person is any related body corporate, director or secretary of the named person, and any foreign company for which the named person is a local agent.</w:t>
      </w:r>
    </w:p>
    <w:p w14:paraId="1D66FED4" w14:textId="4772D73B" w:rsidR="00360EE4" w:rsidRPr="00FC2702" w:rsidRDefault="00360EE4" w:rsidP="007C5FF7">
      <w:pPr>
        <w:rPr>
          <w:rFonts w:ascii="Times New Roman" w:hAnsi="Times New Roman" w:cs="Times New Roman"/>
          <w:i/>
          <w:iCs/>
        </w:rPr>
      </w:pPr>
      <w:r w:rsidRPr="00FC2702">
        <w:rPr>
          <w:rFonts w:ascii="Times New Roman" w:hAnsi="Times New Roman" w:cs="Times New Roman"/>
          <w:i/>
          <w:iCs/>
        </w:rPr>
        <w:t>Allocation limit</w:t>
      </w:r>
      <w:r w:rsidR="00A87E94" w:rsidRPr="00FC2702">
        <w:rPr>
          <w:rFonts w:ascii="Times New Roman" w:hAnsi="Times New Roman" w:cs="Times New Roman"/>
          <w:i/>
          <w:iCs/>
        </w:rPr>
        <w:t>s</w:t>
      </w:r>
    </w:p>
    <w:p w14:paraId="45F35C04" w14:textId="278006E9" w:rsidR="0036639E" w:rsidRPr="00FC2702" w:rsidRDefault="00A87E94" w:rsidP="007C5FF7">
      <w:pPr>
        <w:rPr>
          <w:rFonts w:ascii="Times New Roman" w:hAnsi="Times New Roman" w:cs="Times New Roman"/>
        </w:rPr>
      </w:pPr>
      <w:r w:rsidRPr="00FC2702">
        <w:rPr>
          <w:rFonts w:ascii="Times New Roman" w:hAnsi="Times New Roman" w:cs="Times New Roman"/>
        </w:rPr>
        <w:t>Under section 102G of the Act, the instrument imposes t</w:t>
      </w:r>
      <w:r w:rsidR="0036639E" w:rsidRPr="00FC2702">
        <w:rPr>
          <w:rFonts w:ascii="Times New Roman" w:hAnsi="Times New Roman" w:cs="Times New Roman"/>
        </w:rPr>
        <w:t>emporary limits on the aggregate of the parts of the spectrum that</w:t>
      </w:r>
      <w:r w:rsidR="00BB6A1B" w:rsidRPr="00FC2702">
        <w:rPr>
          <w:rFonts w:ascii="Times New Roman" w:hAnsi="Times New Roman" w:cs="Times New Roman"/>
        </w:rPr>
        <w:t>, as a result of the allocation and issue of the relevant AWLs,</w:t>
      </w:r>
      <w:r w:rsidR="0036639E" w:rsidRPr="00FC2702">
        <w:rPr>
          <w:rFonts w:ascii="Times New Roman" w:hAnsi="Times New Roman" w:cs="Times New Roman"/>
        </w:rPr>
        <w:t xml:space="preserve"> may be used by the named persons and their associates.</w:t>
      </w:r>
    </w:p>
    <w:p w14:paraId="67385C9B" w14:textId="1477E081" w:rsidR="00C0245B" w:rsidRPr="00FC2702" w:rsidRDefault="000D2D7B" w:rsidP="007C5FF7">
      <w:pPr>
        <w:rPr>
          <w:rFonts w:ascii="Times New Roman" w:hAnsi="Times New Roman" w:cs="Times New Roman"/>
        </w:rPr>
      </w:pPr>
      <w:r w:rsidRPr="00FC2702">
        <w:rPr>
          <w:rFonts w:ascii="Times New Roman" w:hAnsi="Times New Roman" w:cs="Times New Roman"/>
        </w:rPr>
        <w:t xml:space="preserve">Each named person, and each associate of a named person, has a limit of nil MHz </w:t>
      </w:r>
      <w:r w:rsidR="00C0245B" w:rsidRPr="00FC2702">
        <w:rPr>
          <w:rFonts w:ascii="Times New Roman" w:hAnsi="Times New Roman" w:cs="Times New Roman"/>
        </w:rPr>
        <w:t xml:space="preserve">(the </w:t>
      </w:r>
      <w:r w:rsidR="00C0245B" w:rsidRPr="00FC2702">
        <w:rPr>
          <w:rFonts w:ascii="Times New Roman" w:hAnsi="Times New Roman" w:cs="Times New Roman"/>
          <w:b/>
          <w:bCs/>
        </w:rPr>
        <w:t>nil limit</w:t>
      </w:r>
      <w:r w:rsidR="00C0245B" w:rsidRPr="00FC2702">
        <w:rPr>
          <w:rFonts w:ascii="Times New Roman" w:hAnsi="Times New Roman" w:cs="Times New Roman"/>
        </w:rPr>
        <w:t xml:space="preserve">) </w:t>
      </w:r>
      <w:r w:rsidRPr="00FC2702">
        <w:rPr>
          <w:rFonts w:ascii="Times New Roman" w:hAnsi="Times New Roman" w:cs="Times New Roman"/>
        </w:rPr>
        <w:t>imposed in relation to the allocation and issue of</w:t>
      </w:r>
      <w:r w:rsidR="00131905" w:rsidRPr="00FC2702">
        <w:rPr>
          <w:rFonts w:ascii="Times New Roman" w:hAnsi="Times New Roman" w:cs="Times New Roman"/>
        </w:rPr>
        <w:t xml:space="preserve"> </w:t>
      </w:r>
      <w:r w:rsidR="00193B12" w:rsidRPr="00FC2702">
        <w:rPr>
          <w:rFonts w:ascii="Times New Roman" w:hAnsi="Times New Roman" w:cs="Times New Roman"/>
        </w:rPr>
        <w:t xml:space="preserve">the relevant </w:t>
      </w:r>
      <w:r w:rsidR="00131905" w:rsidRPr="00FC2702">
        <w:rPr>
          <w:rFonts w:ascii="Times New Roman" w:hAnsi="Times New Roman" w:cs="Times New Roman"/>
        </w:rPr>
        <w:t>AWLs</w:t>
      </w:r>
      <w:r w:rsidR="00193B12" w:rsidRPr="00FC2702">
        <w:rPr>
          <w:rFonts w:ascii="Times New Roman" w:hAnsi="Times New Roman" w:cs="Times New Roman"/>
        </w:rPr>
        <w:t xml:space="preserve">. </w:t>
      </w:r>
      <w:r w:rsidR="00621DDC" w:rsidRPr="00FC2702">
        <w:rPr>
          <w:rFonts w:ascii="Times New Roman" w:hAnsi="Times New Roman" w:cs="Times New Roman"/>
        </w:rPr>
        <w:t xml:space="preserve">This means that no named person, and no associate of a named person, may be allocated or issued a relevant AWL while the nil limit is imposed. </w:t>
      </w:r>
      <w:r w:rsidR="00C0245B" w:rsidRPr="00FC2702">
        <w:rPr>
          <w:rFonts w:ascii="Times New Roman" w:hAnsi="Times New Roman" w:cs="Times New Roman"/>
        </w:rPr>
        <w:t xml:space="preserve">The nil limit is imposed from the time the instrument commences until </w:t>
      </w:r>
      <w:r w:rsidR="009F46A7" w:rsidRPr="00FC2702">
        <w:rPr>
          <w:rFonts w:ascii="Times New Roman" w:hAnsi="Times New Roman" w:cs="Times New Roman"/>
        </w:rPr>
        <w:t xml:space="preserve">the end of </w:t>
      </w:r>
      <w:r w:rsidR="00AA4C19" w:rsidRPr="00FC2702">
        <w:rPr>
          <w:rFonts w:ascii="Times New Roman" w:hAnsi="Times New Roman" w:cs="Times New Roman"/>
        </w:rPr>
        <w:t xml:space="preserve">30 </w:t>
      </w:r>
      <w:r w:rsidR="009F46A7" w:rsidRPr="00FC2702">
        <w:rPr>
          <w:rFonts w:ascii="Times New Roman" w:hAnsi="Times New Roman" w:cs="Times New Roman"/>
        </w:rPr>
        <w:t>September 2024.</w:t>
      </w:r>
    </w:p>
    <w:p w14:paraId="48E85BDE" w14:textId="02A48409" w:rsidR="00915BF7" w:rsidRPr="00FC2702" w:rsidRDefault="00E25D7B" w:rsidP="00915BF7">
      <w:pPr>
        <w:jc w:val="both"/>
        <w:rPr>
          <w:rFonts w:ascii="Times New Roman" w:hAnsi="Times New Roman" w:cs="Times New Roman"/>
          <w:bCs/>
        </w:rPr>
      </w:pPr>
      <w:r w:rsidRPr="00FC2702">
        <w:rPr>
          <w:rFonts w:ascii="Times New Roman" w:hAnsi="Times New Roman" w:cs="Times New Roman"/>
        </w:rPr>
        <w:t xml:space="preserve">From </w:t>
      </w:r>
      <w:r w:rsidR="00AA4C19" w:rsidRPr="00FC2702">
        <w:rPr>
          <w:rFonts w:ascii="Times New Roman" w:hAnsi="Times New Roman" w:cs="Times New Roman"/>
        </w:rPr>
        <w:t xml:space="preserve">1 October </w:t>
      </w:r>
      <w:r w:rsidRPr="00FC2702">
        <w:rPr>
          <w:rFonts w:ascii="Times New Roman" w:hAnsi="Times New Roman" w:cs="Times New Roman"/>
        </w:rPr>
        <w:t xml:space="preserve">2024 until the </w:t>
      </w:r>
      <w:r w:rsidR="0034655C" w:rsidRPr="00FC2702">
        <w:rPr>
          <w:rFonts w:ascii="Times New Roman" w:hAnsi="Times New Roman" w:cs="Times New Roman"/>
        </w:rPr>
        <w:t xml:space="preserve">end of </w:t>
      </w:r>
      <w:r w:rsidR="00AA4C19" w:rsidRPr="00FC2702">
        <w:rPr>
          <w:rFonts w:ascii="Times New Roman" w:hAnsi="Times New Roman" w:cs="Times New Roman"/>
        </w:rPr>
        <w:t>30</w:t>
      </w:r>
      <w:r w:rsidR="0034655C" w:rsidRPr="00FC2702">
        <w:rPr>
          <w:rFonts w:ascii="Times New Roman" w:hAnsi="Times New Roman" w:cs="Times New Roman"/>
        </w:rPr>
        <w:t xml:space="preserve"> September 2025, different limits apply. </w:t>
      </w:r>
      <w:r w:rsidR="003A7BBE" w:rsidRPr="00FC2702">
        <w:rPr>
          <w:rFonts w:ascii="Times New Roman" w:hAnsi="Times New Roman" w:cs="Times New Roman"/>
        </w:rPr>
        <w:t>During this period</w:t>
      </w:r>
      <w:r w:rsidR="00A0240F" w:rsidRPr="00FC2702">
        <w:rPr>
          <w:rFonts w:ascii="Times New Roman" w:hAnsi="Times New Roman" w:cs="Times New Roman"/>
        </w:rPr>
        <w:t xml:space="preserve">, </w:t>
      </w:r>
      <w:r w:rsidR="00915BF7" w:rsidRPr="00FC2702">
        <w:rPr>
          <w:rFonts w:ascii="Times New Roman" w:hAnsi="Times New Roman" w:cs="Times New Roman"/>
          <w:bCs/>
        </w:rPr>
        <w:t xml:space="preserve">the instrument imposes limits on the aggregate of the parts of the spectrum that, under existing spectrum licences and as a result of the allocation </w:t>
      </w:r>
      <w:r w:rsidR="00BE3326" w:rsidRPr="00FC2702">
        <w:rPr>
          <w:rFonts w:ascii="Times New Roman" w:hAnsi="Times New Roman" w:cs="Times New Roman"/>
          <w:bCs/>
        </w:rPr>
        <w:t>or issue of AWLs</w:t>
      </w:r>
      <w:r w:rsidR="00915BF7" w:rsidRPr="00FC2702">
        <w:rPr>
          <w:rFonts w:ascii="Times New Roman" w:hAnsi="Times New Roman" w:cs="Times New Roman"/>
          <w:bCs/>
        </w:rPr>
        <w:t xml:space="preserve">, may be used by any one person, or by a ‘relevant group of persons’. A ‘relevant group of persons’ consists of a </w:t>
      </w:r>
      <w:r w:rsidR="009E1A91" w:rsidRPr="00FC2702">
        <w:rPr>
          <w:rFonts w:ascii="Times New Roman" w:hAnsi="Times New Roman" w:cs="Times New Roman"/>
          <w:bCs/>
        </w:rPr>
        <w:t xml:space="preserve">named </w:t>
      </w:r>
      <w:r w:rsidR="00915BF7" w:rsidRPr="00FC2702">
        <w:rPr>
          <w:rFonts w:ascii="Times New Roman" w:hAnsi="Times New Roman" w:cs="Times New Roman"/>
          <w:bCs/>
        </w:rPr>
        <w:t>person and all th</w:t>
      </w:r>
      <w:r w:rsidR="00442CC1" w:rsidRPr="00FC2702">
        <w:rPr>
          <w:rFonts w:ascii="Times New Roman" w:hAnsi="Times New Roman" w:cs="Times New Roman"/>
          <w:bCs/>
        </w:rPr>
        <w:t>e</w:t>
      </w:r>
      <w:r w:rsidR="00915BF7" w:rsidRPr="00FC2702">
        <w:rPr>
          <w:rFonts w:ascii="Times New Roman" w:hAnsi="Times New Roman" w:cs="Times New Roman"/>
          <w:bCs/>
        </w:rPr>
        <w:t xml:space="preserve"> person’s ‘associates’.</w:t>
      </w:r>
    </w:p>
    <w:p w14:paraId="15191F7B" w14:textId="301229D1" w:rsidR="00915BF7" w:rsidRPr="00FC2702" w:rsidRDefault="00915BF7" w:rsidP="00915BF7">
      <w:pPr>
        <w:jc w:val="both"/>
        <w:rPr>
          <w:rFonts w:ascii="Times New Roman" w:hAnsi="Times New Roman" w:cs="Times New Roman"/>
          <w:bCs/>
        </w:rPr>
      </w:pPr>
      <w:r w:rsidRPr="00FC2702">
        <w:rPr>
          <w:rFonts w:ascii="Times New Roman" w:hAnsi="Times New Roman" w:cs="Times New Roman"/>
          <w:bCs/>
        </w:rPr>
        <w:t>The effect of these limits is that no person, and no relevant group of persons, may, under existing spectrum licences</w:t>
      </w:r>
      <w:r w:rsidR="00D031F9" w:rsidRPr="00FC2702">
        <w:rPr>
          <w:rFonts w:ascii="Times New Roman" w:hAnsi="Times New Roman" w:cs="Times New Roman"/>
          <w:bCs/>
        </w:rPr>
        <w:t>, under</w:t>
      </w:r>
      <w:r w:rsidR="00BE3326" w:rsidRPr="00FC2702">
        <w:rPr>
          <w:rFonts w:ascii="Times New Roman" w:hAnsi="Times New Roman" w:cs="Times New Roman"/>
          <w:bCs/>
        </w:rPr>
        <w:t xml:space="preserve"> </w:t>
      </w:r>
      <w:r w:rsidR="00193B12" w:rsidRPr="00FC2702">
        <w:rPr>
          <w:rFonts w:ascii="Times New Roman" w:hAnsi="Times New Roman" w:cs="Times New Roman"/>
          <w:bCs/>
        </w:rPr>
        <w:t xml:space="preserve">relevant </w:t>
      </w:r>
      <w:r w:rsidR="00BE3326" w:rsidRPr="00FC2702">
        <w:rPr>
          <w:rFonts w:ascii="Times New Roman" w:hAnsi="Times New Roman" w:cs="Times New Roman"/>
          <w:bCs/>
        </w:rPr>
        <w:t>AWLs</w:t>
      </w:r>
      <w:r w:rsidR="00C76982" w:rsidRPr="00FC2702">
        <w:rPr>
          <w:rFonts w:ascii="Times New Roman" w:hAnsi="Times New Roman" w:cs="Times New Roman"/>
          <w:bCs/>
        </w:rPr>
        <w:t>,</w:t>
      </w:r>
      <w:r w:rsidRPr="00FC2702">
        <w:rPr>
          <w:rFonts w:ascii="Times New Roman" w:hAnsi="Times New Roman" w:cs="Times New Roman"/>
          <w:bCs/>
        </w:rPr>
        <w:t xml:space="preserve"> and as a result of the allocation </w:t>
      </w:r>
      <w:r w:rsidR="00C76982" w:rsidRPr="00FC2702">
        <w:rPr>
          <w:rFonts w:ascii="Times New Roman" w:hAnsi="Times New Roman" w:cs="Times New Roman"/>
          <w:bCs/>
        </w:rPr>
        <w:t>and issue of a</w:t>
      </w:r>
      <w:r w:rsidR="00193B12" w:rsidRPr="00FC2702">
        <w:rPr>
          <w:rFonts w:ascii="Times New Roman" w:hAnsi="Times New Roman" w:cs="Times New Roman"/>
          <w:bCs/>
        </w:rPr>
        <w:t xml:space="preserve"> relevant</w:t>
      </w:r>
      <w:r w:rsidR="00C76982" w:rsidRPr="00FC2702">
        <w:rPr>
          <w:rFonts w:ascii="Times New Roman" w:hAnsi="Times New Roman" w:cs="Times New Roman"/>
          <w:bCs/>
        </w:rPr>
        <w:t xml:space="preserve"> AWL</w:t>
      </w:r>
      <w:r w:rsidRPr="00FC2702">
        <w:rPr>
          <w:rFonts w:ascii="Times New Roman" w:hAnsi="Times New Roman" w:cs="Times New Roman"/>
          <w:bCs/>
        </w:rPr>
        <w:t>, use more than an aggregate of:</w:t>
      </w:r>
    </w:p>
    <w:p w14:paraId="7FD95E43" w14:textId="0358B00B" w:rsidR="00915BF7" w:rsidRPr="00FC2702" w:rsidRDefault="00915BF7" w:rsidP="00915BF7">
      <w:pPr>
        <w:pStyle w:val="ListParagraph"/>
        <w:numPr>
          <w:ilvl w:val="0"/>
          <w:numId w:val="34"/>
        </w:numPr>
        <w:jc w:val="both"/>
        <w:rPr>
          <w:rFonts w:ascii="Times New Roman" w:hAnsi="Times New Roman" w:cs="Times New Roman"/>
          <w:bCs/>
        </w:rPr>
      </w:pPr>
      <w:r w:rsidRPr="00FC2702">
        <w:rPr>
          <w:rFonts w:ascii="Times New Roman" w:hAnsi="Times New Roman" w:cs="Times New Roman"/>
          <w:bCs/>
        </w:rPr>
        <w:t xml:space="preserve">140 MHz in the </w:t>
      </w:r>
      <w:r w:rsidR="00C76982" w:rsidRPr="00FC2702">
        <w:rPr>
          <w:rFonts w:ascii="Times New Roman" w:hAnsi="Times New Roman" w:cs="Times New Roman"/>
          <w:bCs/>
        </w:rPr>
        <w:t xml:space="preserve">3.4 </w:t>
      </w:r>
      <w:r w:rsidR="001A27DD">
        <w:rPr>
          <w:rFonts w:ascii="Times New Roman" w:hAnsi="Times New Roman" w:cs="Times New Roman"/>
          <w:bCs/>
        </w:rPr>
        <w:t xml:space="preserve">to 3.95 </w:t>
      </w:r>
      <w:r w:rsidR="00C76982" w:rsidRPr="00FC2702">
        <w:rPr>
          <w:rFonts w:ascii="Times New Roman" w:hAnsi="Times New Roman" w:cs="Times New Roman"/>
          <w:bCs/>
        </w:rPr>
        <w:t>GHz</w:t>
      </w:r>
      <w:r w:rsidRPr="00FC2702">
        <w:rPr>
          <w:rFonts w:ascii="Times New Roman" w:hAnsi="Times New Roman" w:cs="Times New Roman"/>
          <w:bCs/>
        </w:rPr>
        <w:t xml:space="preserve"> band</w:t>
      </w:r>
      <w:r w:rsidR="001A27DD">
        <w:rPr>
          <w:rFonts w:ascii="Times New Roman" w:hAnsi="Times New Roman" w:cs="Times New Roman"/>
          <w:bCs/>
        </w:rPr>
        <w:t xml:space="preserve"> (the </w:t>
      </w:r>
      <w:r w:rsidR="001A27DD">
        <w:rPr>
          <w:rFonts w:ascii="Times New Roman" w:hAnsi="Times New Roman" w:cs="Times New Roman"/>
          <w:b/>
        </w:rPr>
        <w:t>3.4 GHz band</w:t>
      </w:r>
      <w:r w:rsidR="001A27DD">
        <w:rPr>
          <w:rFonts w:ascii="Times New Roman" w:hAnsi="Times New Roman" w:cs="Times New Roman"/>
          <w:bCs/>
        </w:rPr>
        <w:t>)</w:t>
      </w:r>
      <w:r w:rsidRPr="00FC2702">
        <w:rPr>
          <w:rFonts w:ascii="Times New Roman" w:hAnsi="Times New Roman" w:cs="Times New Roman"/>
          <w:bCs/>
        </w:rPr>
        <w:t xml:space="preserve"> in </w:t>
      </w:r>
      <w:r w:rsidR="009A2AA7" w:rsidRPr="00FC2702">
        <w:rPr>
          <w:rFonts w:ascii="Times New Roman" w:hAnsi="Times New Roman" w:cs="Times New Roman"/>
          <w:bCs/>
        </w:rPr>
        <w:t xml:space="preserve">the </w:t>
      </w:r>
      <w:r w:rsidR="00C76982" w:rsidRPr="00FC2702">
        <w:rPr>
          <w:rFonts w:ascii="Times New Roman" w:hAnsi="Times New Roman" w:cs="Times New Roman"/>
          <w:bCs/>
        </w:rPr>
        <w:t>metropolitan area</w:t>
      </w:r>
      <w:r w:rsidR="009A2AA7" w:rsidRPr="00FC2702">
        <w:rPr>
          <w:rFonts w:ascii="Times New Roman" w:hAnsi="Times New Roman" w:cs="Times New Roman"/>
          <w:bCs/>
        </w:rPr>
        <w:t>; or</w:t>
      </w:r>
    </w:p>
    <w:p w14:paraId="51023377" w14:textId="4369555F" w:rsidR="00915BF7" w:rsidRPr="00FC2702" w:rsidRDefault="00915BF7" w:rsidP="00915BF7">
      <w:pPr>
        <w:pStyle w:val="ListParagraph"/>
        <w:numPr>
          <w:ilvl w:val="0"/>
          <w:numId w:val="34"/>
        </w:numPr>
        <w:jc w:val="both"/>
        <w:rPr>
          <w:rFonts w:ascii="Times New Roman" w:hAnsi="Times New Roman" w:cs="Times New Roman"/>
          <w:bCs/>
        </w:rPr>
      </w:pPr>
      <w:r w:rsidRPr="00FC2702">
        <w:rPr>
          <w:rFonts w:ascii="Times New Roman" w:hAnsi="Times New Roman" w:cs="Times New Roman"/>
          <w:bCs/>
        </w:rPr>
        <w:t xml:space="preserve">160 MHz in the </w:t>
      </w:r>
      <w:r w:rsidR="009A2AA7" w:rsidRPr="00FC2702">
        <w:rPr>
          <w:rFonts w:ascii="Times New Roman" w:hAnsi="Times New Roman" w:cs="Times New Roman"/>
          <w:bCs/>
        </w:rPr>
        <w:t>3.4 GHz</w:t>
      </w:r>
      <w:r w:rsidRPr="00FC2702">
        <w:rPr>
          <w:rFonts w:ascii="Times New Roman" w:hAnsi="Times New Roman" w:cs="Times New Roman"/>
          <w:bCs/>
        </w:rPr>
        <w:t xml:space="preserve"> band in the </w:t>
      </w:r>
      <w:r w:rsidR="009A2AA7" w:rsidRPr="00FC2702">
        <w:rPr>
          <w:rFonts w:ascii="Times New Roman" w:hAnsi="Times New Roman" w:cs="Times New Roman"/>
          <w:bCs/>
        </w:rPr>
        <w:t>regional area or rural area</w:t>
      </w:r>
      <w:r w:rsidR="00970A4F" w:rsidRPr="00FC2702">
        <w:rPr>
          <w:rFonts w:ascii="Times New Roman" w:hAnsi="Times New Roman" w:cs="Times New Roman"/>
          <w:bCs/>
        </w:rPr>
        <w:t>;</w:t>
      </w:r>
    </w:p>
    <w:p w14:paraId="6A8F684D" w14:textId="0FFF15A2" w:rsidR="00970A4F" w:rsidRPr="00FC2702" w:rsidRDefault="00970A4F" w:rsidP="00A75329">
      <w:pPr>
        <w:jc w:val="both"/>
        <w:rPr>
          <w:rFonts w:ascii="Times New Roman" w:hAnsi="Times New Roman" w:cs="Times New Roman"/>
          <w:bCs/>
        </w:rPr>
      </w:pPr>
      <w:r w:rsidRPr="00FC2702">
        <w:rPr>
          <w:rFonts w:ascii="Times New Roman" w:hAnsi="Times New Roman" w:cs="Times New Roman"/>
          <w:bCs/>
        </w:rPr>
        <w:t xml:space="preserve">(collectively, the </w:t>
      </w:r>
      <w:r w:rsidRPr="00FC2702">
        <w:rPr>
          <w:rFonts w:ascii="Times New Roman" w:hAnsi="Times New Roman" w:cs="Times New Roman"/>
          <w:b/>
        </w:rPr>
        <w:t>140/160 limit</w:t>
      </w:r>
      <w:r w:rsidRPr="00FC2702">
        <w:rPr>
          <w:rFonts w:ascii="Times New Roman" w:hAnsi="Times New Roman" w:cs="Times New Roman"/>
          <w:bCs/>
        </w:rPr>
        <w:t>).</w:t>
      </w:r>
    </w:p>
    <w:p w14:paraId="5C7D3146" w14:textId="6694B344" w:rsidR="00915BF7" w:rsidRPr="00FC2702" w:rsidRDefault="005C58A2">
      <w:pPr>
        <w:keepLines/>
        <w:spacing w:line="257" w:lineRule="auto"/>
        <w:jc w:val="both"/>
        <w:rPr>
          <w:rFonts w:ascii="Times New Roman" w:hAnsi="Times New Roman" w:cs="Times New Roman"/>
          <w:bCs/>
        </w:rPr>
      </w:pPr>
      <w:r w:rsidRPr="00FC2702">
        <w:rPr>
          <w:rFonts w:ascii="Times New Roman" w:hAnsi="Times New Roman" w:cs="Times New Roman"/>
          <w:bCs/>
        </w:rPr>
        <w:t>S</w:t>
      </w:r>
      <w:r w:rsidR="00915BF7" w:rsidRPr="00FC2702">
        <w:rPr>
          <w:rFonts w:ascii="Times New Roman" w:hAnsi="Times New Roman" w:cs="Times New Roman"/>
          <w:bCs/>
        </w:rPr>
        <w:t xml:space="preserve">pectrum licences </w:t>
      </w:r>
      <w:r w:rsidRPr="00FC2702">
        <w:rPr>
          <w:rFonts w:ascii="Times New Roman" w:hAnsi="Times New Roman" w:cs="Times New Roman"/>
          <w:bCs/>
        </w:rPr>
        <w:t>have already been allocated and issued</w:t>
      </w:r>
      <w:r w:rsidR="00915BF7" w:rsidRPr="00FC2702">
        <w:rPr>
          <w:rFonts w:ascii="Times New Roman" w:hAnsi="Times New Roman" w:cs="Times New Roman"/>
          <w:bCs/>
        </w:rPr>
        <w:t xml:space="preserve"> </w:t>
      </w:r>
      <w:r w:rsidR="009B66C3" w:rsidRPr="00FC2702">
        <w:rPr>
          <w:rFonts w:ascii="Times New Roman" w:hAnsi="Times New Roman" w:cs="Times New Roman"/>
          <w:bCs/>
        </w:rPr>
        <w:t>to the named person</w:t>
      </w:r>
      <w:r w:rsidR="00447114" w:rsidRPr="00FC2702">
        <w:rPr>
          <w:rFonts w:ascii="Times New Roman" w:hAnsi="Times New Roman" w:cs="Times New Roman"/>
          <w:bCs/>
        </w:rPr>
        <w:t>s</w:t>
      </w:r>
      <w:r w:rsidR="009B66C3" w:rsidRPr="00FC2702">
        <w:rPr>
          <w:rFonts w:ascii="Times New Roman" w:hAnsi="Times New Roman" w:cs="Times New Roman"/>
          <w:bCs/>
        </w:rPr>
        <w:t xml:space="preserve"> or their associates </w:t>
      </w:r>
      <w:r w:rsidR="00915BF7" w:rsidRPr="00FC2702">
        <w:rPr>
          <w:rFonts w:ascii="Times New Roman" w:hAnsi="Times New Roman" w:cs="Times New Roman"/>
          <w:bCs/>
        </w:rPr>
        <w:t xml:space="preserve">in the </w:t>
      </w:r>
      <w:r w:rsidR="009A2AA7" w:rsidRPr="00FC2702">
        <w:rPr>
          <w:rFonts w:ascii="Times New Roman" w:hAnsi="Times New Roman" w:cs="Times New Roman"/>
          <w:bCs/>
        </w:rPr>
        <w:t>3.4 GHz</w:t>
      </w:r>
      <w:r w:rsidR="00915BF7" w:rsidRPr="00FC2702">
        <w:rPr>
          <w:rFonts w:ascii="Times New Roman" w:hAnsi="Times New Roman" w:cs="Times New Roman"/>
          <w:bCs/>
        </w:rPr>
        <w:t xml:space="preserve"> band. The combination of the </w:t>
      </w:r>
      <w:r w:rsidR="00B739DA" w:rsidRPr="00FC2702">
        <w:rPr>
          <w:rFonts w:ascii="Times New Roman" w:hAnsi="Times New Roman" w:cs="Times New Roman"/>
          <w:bCs/>
        </w:rPr>
        <w:t>140/160</w:t>
      </w:r>
      <w:r w:rsidR="00915BF7" w:rsidRPr="00FC2702">
        <w:rPr>
          <w:rFonts w:ascii="Times New Roman" w:hAnsi="Times New Roman" w:cs="Times New Roman"/>
          <w:bCs/>
        </w:rPr>
        <w:t xml:space="preserve"> limit and the existing </w:t>
      </w:r>
      <w:r w:rsidRPr="00FC2702">
        <w:rPr>
          <w:rFonts w:ascii="Times New Roman" w:hAnsi="Times New Roman" w:cs="Times New Roman"/>
          <w:bCs/>
        </w:rPr>
        <w:t xml:space="preserve">spectrum </w:t>
      </w:r>
      <w:r w:rsidR="00915BF7" w:rsidRPr="00FC2702">
        <w:rPr>
          <w:rFonts w:ascii="Times New Roman" w:hAnsi="Times New Roman" w:cs="Times New Roman"/>
          <w:bCs/>
        </w:rPr>
        <w:t xml:space="preserve">licences affects </w:t>
      </w:r>
      <w:r w:rsidR="00AC1FF7" w:rsidRPr="00FC2702">
        <w:rPr>
          <w:rFonts w:ascii="Times New Roman" w:hAnsi="Times New Roman" w:cs="Times New Roman"/>
          <w:bCs/>
        </w:rPr>
        <w:t>whether relevant</w:t>
      </w:r>
      <w:r w:rsidR="00915BF7" w:rsidRPr="00FC2702">
        <w:rPr>
          <w:rFonts w:ascii="Times New Roman" w:hAnsi="Times New Roman" w:cs="Times New Roman"/>
          <w:bCs/>
        </w:rPr>
        <w:t xml:space="preserve"> </w:t>
      </w:r>
      <w:r w:rsidRPr="00FC2702">
        <w:rPr>
          <w:rFonts w:ascii="Times New Roman" w:hAnsi="Times New Roman" w:cs="Times New Roman"/>
          <w:bCs/>
        </w:rPr>
        <w:t>AWLs</w:t>
      </w:r>
      <w:r w:rsidR="00915BF7" w:rsidRPr="00FC2702">
        <w:rPr>
          <w:rFonts w:ascii="Times New Roman" w:hAnsi="Times New Roman" w:cs="Times New Roman"/>
          <w:bCs/>
        </w:rPr>
        <w:t xml:space="preserve"> may be allocated </w:t>
      </w:r>
      <w:r w:rsidRPr="00FC2702">
        <w:rPr>
          <w:rFonts w:ascii="Times New Roman" w:hAnsi="Times New Roman" w:cs="Times New Roman"/>
          <w:bCs/>
        </w:rPr>
        <w:t xml:space="preserve">and issued </w:t>
      </w:r>
      <w:r w:rsidR="00915BF7" w:rsidRPr="00FC2702">
        <w:rPr>
          <w:rFonts w:ascii="Times New Roman" w:hAnsi="Times New Roman" w:cs="Times New Roman"/>
          <w:bCs/>
        </w:rPr>
        <w:t>to a</w:t>
      </w:r>
      <w:r w:rsidR="009B66C3" w:rsidRPr="00FC2702">
        <w:rPr>
          <w:rFonts w:ascii="Times New Roman" w:hAnsi="Times New Roman" w:cs="Times New Roman"/>
          <w:bCs/>
        </w:rPr>
        <w:t xml:space="preserve"> named</w:t>
      </w:r>
      <w:r w:rsidR="00915BF7" w:rsidRPr="00FC2702">
        <w:rPr>
          <w:rFonts w:ascii="Times New Roman" w:hAnsi="Times New Roman" w:cs="Times New Roman"/>
          <w:bCs/>
        </w:rPr>
        <w:t xml:space="preserve"> person </w:t>
      </w:r>
      <w:r w:rsidR="009B66C3" w:rsidRPr="00FC2702">
        <w:rPr>
          <w:rFonts w:ascii="Times New Roman" w:hAnsi="Times New Roman" w:cs="Times New Roman"/>
          <w:bCs/>
        </w:rPr>
        <w:t>or their associates</w:t>
      </w:r>
      <w:r w:rsidR="00915BF7" w:rsidRPr="00FC2702">
        <w:rPr>
          <w:rFonts w:ascii="Times New Roman" w:hAnsi="Times New Roman" w:cs="Times New Roman"/>
          <w:bCs/>
        </w:rPr>
        <w:t>.</w:t>
      </w:r>
    </w:p>
    <w:p w14:paraId="6AEAE870" w14:textId="5DA7D0F8" w:rsidR="00A904FA" w:rsidRPr="00FC2702" w:rsidRDefault="003E65E1" w:rsidP="00A75329">
      <w:pPr>
        <w:keepLines/>
        <w:spacing w:line="257" w:lineRule="auto"/>
        <w:jc w:val="both"/>
        <w:rPr>
          <w:rFonts w:ascii="Times New Roman" w:hAnsi="Times New Roman" w:cs="Times New Roman"/>
          <w:bCs/>
        </w:rPr>
      </w:pPr>
      <w:r w:rsidRPr="00FC2702">
        <w:rPr>
          <w:rFonts w:ascii="Times New Roman" w:hAnsi="Times New Roman" w:cs="Times New Roman"/>
          <w:bCs/>
        </w:rPr>
        <w:lastRenderedPageBreak/>
        <w:t>In imposing the nil limit and the 140/160 limit, t</w:t>
      </w:r>
      <w:r w:rsidR="00A904FA" w:rsidRPr="00FC2702">
        <w:rPr>
          <w:rFonts w:ascii="Times New Roman" w:hAnsi="Times New Roman" w:cs="Times New Roman"/>
          <w:bCs/>
        </w:rPr>
        <w:t xml:space="preserve">he ACMA </w:t>
      </w:r>
      <w:r w:rsidRPr="00FC2702">
        <w:rPr>
          <w:rFonts w:ascii="Times New Roman" w:hAnsi="Times New Roman" w:cs="Times New Roman"/>
          <w:bCs/>
        </w:rPr>
        <w:t>intends that AWLs in the 3.8 GHz band first be made available to persons w</w:t>
      </w:r>
      <w:r w:rsidR="00BE65F5" w:rsidRPr="00FC2702">
        <w:rPr>
          <w:rFonts w:ascii="Times New Roman" w:hAnsi="Times New Roman" w:cs="Times New Roman"/>
          <w:bCs/>
        </w:rPr>
        <w:t>ho have limited or no access to AWLs or spectrum licences in the 3.4 GHz band (enabled by the</w:t>
      </w:r>
      <w:r w:rsidR="001F3019" w:rsidRPr="00FC2702">
        <w:rPr>
          <w:rFonts w:ascii="Times New Roman" w:hAnsi="Times New Roman" w:cs="Times New Roman"/>
          <w:bCs/>
        </w:rPr>
        <w:t xml:space="preserve"> imposition of the</w:t>
      </w:r>
      <w:r w:rsidR="00BE65F5" w:rsidRPr="00FC2702">
        <w:rPr>
          <w:rFonts w:ascii="Times New Roman" w:hAnsi="Times New Roman" w:cs="Times New Roman"/>
          <w:bCs/>
        </w:rPr>
        <w:t xml:space="preserve"> nil limit), followed by </w:t>
      </w:r>
      <w:r w:rsidR="002E5784" w:rsidRPr="00FC2702">
        <w:rPr>
          <w:rFonts w:ascii="Times New Roman" w:hAnsi="Times New Roman" w:cs="Times New Roman"/>
          <w:bCs/>
        </w:rPr>
        <w:t xml:space="preserve">those who have access to some AWLs or spectrum licences in the 3.4 GHz band, but less than 140 MHz in the metropolitan area or 160 MHz in the regional </w:t>
      </w:r>
      <w:r w:rsidR="00066373">
        <w:rPr>
          <w:rFonts w:ascii="Times New Roman" w:hAnsi="Times New Roman" w:cs="Times New Roman"/>
          <w:bCs/>
        </w:rPr>
        <w:t xml:space="preserve">area </w:t>
      </w:r>
      <w:r w:rsidR="002E5784" w:rsidRPr="00FC2702">
        <w:rPr>
          <w:rFonts w:ascii="Times New Roman" w:hAnsi="Times New Roman" w:cs="Times New Roman"/>
          <w:bCs/>
        </w:rPr>
        <w:t>or rural area (</w:t>
      </w:r>
      <w:r w:rsidR="001F3019" w:rsidRPr="00FC2702">
        <w:rPr>
          <w:rFonts w:ascii="Times New Roman" w:hAnsi="Times New Roman" w:cs="Times New Roman"/>
          <w:bCs/>
        </w:rPr>
        <w:t xml:space="preserve">enabled by the </w:t>
      </w:r>
      <w:r w:rsidR="00DC53E9">
        <w:rPr>
          <w:rFonts w:ascii="Times New Roman" w:hAnsi="Times New Roman" w:cs="Times New Roman"/>
          <w:bCs/>
        </w:rPr>
        <w:t>lapse</w:t>
      </w:r>
      <w:r w:rsidR="001F3019" w:rsidRPr="00FC2702">
        <w:rPr>
          <w:rFonts w:ascii="Times New Roman" w:hAnsi="Times New Roman" w:cs="Times New Roman"/>
          <w:bCs/>
        </w:rPr>
        <w:t xml:space="preserve"> of the nil limit and the imposition of the </w:t>
      </w:r>
      <w:r w:rsidR="00C75123" w:rsidRPr="00FC2702">
        <w:rPr>
          <w:rFonts w:ascii="Times New Roman" w:hAnsi="Times New Roman" w:cs="Times New Roman"/>
          <w:bCs/>
        </w:rPr>
        <w:t xml:space="preserve">140/160 limit). After the 140/160 MHz limit </w:t>
      </w:r>
      <w:r w:rsidR="00DC53E9">
        <w:rPr>
          <w:rFonts w:ascii="Times New Roman" w:hAnsi="Times New Roman" w:cs="Times New Roman"/>
          <w:bCs/>
        </w:rPr>
        <w:t>lapses</w:t>
      </w:r>
      <w:r w:rsidR="00C75123" w:rsidRPr="00FC2702">
        <w:rPr>
          <w:rFonts w:ascii="Times New Roman" w:hAnsi="Times New Roman" w:cs="Times New Roman"/>
          <w:bCs/>
        </w:rPr>
        <w:t>, any person can be issued an AWL in the 3.8</w:t>
      </w:r>
      <w:r w:rsidR="008645F6" w:rsidRPr="00FC2702">
        <w:rPr>
          <w:rFonts w:ascii="Times New Roman" w:hAnsi="Times New Roman" w:cs="Times New Roman"/>
          <w:bCs/>
        </w:rPr>
        <w:t> </w:t>
      </w:r>
      <w:r w:rsidR="00C75123" w:rsidRPr="00FC2702">
        <w:rPr>
          <w:rFonts w:ascii="Times New Roman" w:hAnsi="Times New Roman" w:cs="Times New Roman"/>
          <w:bCs/>
        </w:rPr>
        <w:t xml:space="preserve">GHz band, </w:t>
      </w:r>
      <w:r w:rsidR="008645F6" w:rsidRPr="00FC2702">
        <w:rPr>
          <w:rFonts w:ascii="Times New Roman" w:hAnsi="Times New Roman" w:cs="Times New Roman"/>
          <w:bCs/>
        </w:rPr>
        <w:t>regardless of how much access they have to AWLs or spectrum licences in the 3.4 GHz band.</w:t>
      </w:r>
    </w:p>
    <w:p w14:paraId="38FD1F21" w14:textId="7F96D8CA" w:rsidR="00FF1970" w:rsidRPr="00FC2702" w:rsidRDefault="00FF1970" w:rsidP="00A75329">
      <w:pPr>
        <w:keepNext/>
        <w:spacing w:line="257" w:lineRule="auto"/>
        <w:rPr>
          <w:rFonts w:ascii="Times New Roman" w:hAnsi="Times New Roman" w:cs="Times New Roman"/>
          <w:i/>
          <w:iCs/>
        </w:rPr>
      </w:pPr>
      <w:r w:rsidRPr="00FC2702">
        <w:rPr>
          <w:rFonts w:ascii="Times New Roman" w:hAnsi="Times New Roman" w:cs="Times New Roman"/>
          <w:i/>
          <w:iCs/>
        </w:rPr>
        <w:t>Authorisation under and transfer of AWLs</w:t>
      </w:r>
    </w:p>
    <w:p w14:paraId="3F871F94" w14:textId="05F26E4B" w:rsidR="00EB3872" w:rsidRPr="00FC2702" w:rsidRDefault="008B0DBA" w:rsidP="007C5FF7">
      <w:pPr>
        <w:rPr>
          <w:rFonts w:ascii="Times New Roman" w:hAnsi="Times New Roman" w:cs="Times New Roman"/>
        </w:rPr>
      </w:pPr>
      <w:r w:rsidRPr="00FC2702">
        <w:rPr>
          <w:rFonts w:ascii="Times New Roman" w:hAnsi="Times New Roman" w:cs="Times New Roman"/>
        </w:rPr>
        <w:t xml:space="preserve">Under </w:t>
      </w:r>
      <w:r w:rsidR="00EB3872" w:rsidRPr="00FC2702">
        <w:rPr>
          <w:rFonts w:ascii="Times New Roman" w:hAnsi="Times New Roman" w:cs="Times New Roman"/>
        </w:rPr>
        <w:t>sub</w:t>
      </w:r>
      <w:r w:rsidRPr="00FC2702">
        <w:rPr>
          <w:rFonts w:ascii="Times New Roman" w:hAnsi="Times New Roman" w:cs="Times New Roman"/>
        </w:rPr>
        <w:t>section 114</w:t>
      </w:r>
      <w:r w:rsidR="00EB3872" w:rsidRPr="00FC2702">
        <w:rPr>
          <w:rFonts w:ascii="Times New Roman" w:hAnsi="Times New Roman" w:cs="Times New Roman"/>
        </w:rPr>
        <w:t>(1)</w:t>
      </w:r>
      <w:r w:rsidRPr="00FC2702">
        <w:rPr>
          <w:rFonts w:ascii="Times New Roman" w:hAnsi="Times New Roman" w:cs="Times New Roman"/>
        </w:rPr>
        <w:t xml:space="preserve"> of the Act, the licensee of an apparatus </w:t>
      </w:r>
      <w:r w:rsidR="00EB3872" w:rsidRPr="00FC2702">
        <w:rPr>
          <w:rFonts w:ascii="Times New Roman" w:hAnsi="Times New Roman" w:cs="Times New Roman"/>
        </w:rPr>
        <w:t xml:space="preserve">licence may authorise other persons to operate radiocommunications devices </w:t>
      </w:r>
      <w:r w:rsidR="003653B0" w:rsidRPr="00FC2702">
        <w:rPr>
          <w:rFonts w:ascii="Times New Roman" w:hAnsi="Times New Roman" w:cs="Times New Roman"/>
        </w:rPr>
        <w:t>under the licence. However, the licensee must not authorise a person to do so if it would be inconsistent with a determination of the ACMA under section 115 of the Act.</w:t>
      </w:r>
    </w:p>
    <w:p w14:paraId="1180188E" w14:textId="21EB6DB8" w:rsidR="003653B0" w:rsidRPr="00FC2702" w:rsidRDefault="006851D4" w:rsidP="007C5FF7">
      <w:pPr>
        <w:rPr>
          <w:rFonts w:ascii="Times New Roman" w:hAnsi="Times New Roman" w:cs="Times New Roman"/>
        </w:rPr>
      </w:pPr>
      <w:r w:rsidRPr="00FC2702">
        <w:rPr>
          <w:rFonts w:ascii="Times New Roman" w:hAnsi="Times New Roman" w:cs="Times New Roman"/>
        </w:rPr>
        <w:t>Under subsection 131AB</w:t>
      </w:r>
      <w:r w:rsidR="009279E8">
        <w:rPr>
          <w:rFonts w:ascii="Times New Roman" w:hAnsi="Times New Roman" w:cs="Times New Roman"/>
        </w:rPr>
        <w:t>(1)</w:t>
      </w:r>
      <w:r w:rsidRPr="00FC2702">
        <w:rPr>
          <w:rFonts w:ascii="Times New Roman" w:hAnsi="Times New Roman" w:cs="Times New Roman"/>
        </w:rPr>
        <w:t xml:space="preserve"> of the Act, the ACMA may, on application and subject to section 131AC, transfer an apparatus licence into the name of the transferee specified in the application form.</w:t>
      </w:r>
    </w:p>
    <w:p w14:paraId="32F53DE8" w14:textId="69FD1740" w:rsidR="00A9521E" w:rsidRPr="00FC2702" w:rsidRDefault="00DD2BBA" w:rsidP="007C5FF7">
      <w:pPr>
        <w:rPr>
          <w:rFonts w:ascii="Times New Roman" w:hAnsi="Times New Roman" w:cs="Times New Roman"/>
          <w:bCs/>
        </w:rPr>
      </w:pPr>
      <w:r w:rsidRPr="00FC2702">
        <w:rPr>
          <w:rFonts w:ascii="Times New Roman" w:hAnsi="Times New Roman" w:cs="Times New Roman"/>
        </w:rPr>
        <w:t>The instrument</w:t>
      </w:r>
      <w:r w:rsidR="007C5FF7" w:rsidRPr="00FC2702">
        <w:rPr>
          <w:rFonts w:ascii="Times New Roman" w:hAnsi="Times New Roman" w:cs="Times New Roman"/>
        </w:rPr>
        <w:t xml:space="preserve"> </w:t>
      </w:r>
      <w:r w:rsidR="0015508B" w:rsidRPr="00FC2702">
        <w:rPr>
          <w:rFonts w:ascii="Times New Roman" w:hAnsi="Times New Roman" w:cs="Times New Roman"/>
        </w:rPr>
        <w:t>prevents the licensee of a</w:t>
      </w:r>
      <w:r w:rsidR="00A43BAF" w:rsidRPr="00FC2702">
        <w:rPr>
          <w:rFonts w:ascii="Times New Roman" w:hAnsi="Times New Roman" w:cs="Times New Roman"/>
        </w:rPr>
        <w:t xml:space="preserve"> relevant</w:t>
      </w:r>
      <w:r w:rsidR="0015508B" w:rsidRPr="00FC2702">
        <w:rPr>
          <w:rFonts w:ascii="Times New Roman" w:hAnsi="Times New Roman" w:cs="Times New Roman"/>
        </w:rPr>
        <w:t xml:space="preserve"> AWL </w:t>
      </w:r>
      <w:r w:rsidR="00A43BAF" w:rsidRPr="00FC2702">
        <w:rPr>
          <w:rFonts w:ascii="Times New Roman" w:hAnsi="Times New Roman" w:cs="Times New Roman"/>
        </w:rPr>
        <w:t xml:space="preserve">from authorising a named person or their associate to operate radiocommunications transmitters </w:t>
      </w:r>
      <w:r w:rsidR="00B45AC9" w:rsidRPr="00FC2702">
        <w:rPr>
          <w:rFonts w:ascii="Times New Roman" w:hAnsi="Times New Roman" w:cs="Times New Roman"/>
        </w:rPr>
        <w:t>under the AWL during the period the nil limit is in force</w:t>
      </w:r>
      <w:r w:rsidR="006851D4" w:rsidRPr="00FC2702">
        <w:rPr>
          <w:rFonts w:ascii="Times New Roman" w:hAnsi="Times New Roman" w:cs="Times New Roman"/>
        </w:rPr>
        <w:t xml:space="preserve"> (under section 115 of the Act)</w:t>
      </w:r>
      <w:r w:rsidR="005F36DD" w:rsidRPr="00FC2702">
        <w:rPr>
          <w:rFonts w:ascii="Times New Roman" w:hAnsi="Times New Roman" w:cs="Times New Roman"/>
        </w:rPr>
        <w:t xml:space="preserve">, and </w:t>
      </w:r>
      <w:r w:rsidR="00F62105" w:rsidRPr="00FC2702">
        <w:rPr>
          <w:rFonts w:ascii="Times New Roman" w:hAnsi="Times New Roman" w:cs="Times New Roman"/>
        </w:rPr>
        <w:t xml:space="preserve">prevents </w:t>
      </w:r>
      <w:r w:rsidR="005F36DD" w:rsidRPr="00FC2702">
        <w:rPr>
          <w:rFonts w:ascii="Times New Roman" w:hAnsi="Times New Roman" w:cs="Times New Roman"/>
        </w:rPr>
        <w:t xml:space="preserve">the transfer of </w:t>
      </w:r>
      <w:r w:rsidR="00B45AC9" w:rsidRPr="00FC2702">
        <w:rPr>
          <w:rFonts w:ascii="Times New Roman" w:hAnsi="Times New Roman" w:cs="Times New Roman"/>
        </w:rPr>
        <w:t xml:space="preserve">a relevant </w:t>
      </w:r>
      <w:r w:rsidR="005F36DD" w:rsidRPr="00FC2702">
        <w:rPr>
          <w:rFonts w:ascii="Times New Roman" w:hAnsi="Times New Roman" w:cs="Times New Roman"/>
        </w:rPr>
        <w:t>AWL</w:t>
      </w:r>
      <w:r w:rsidR="00B45AC9" w:rsidRPr="00FC2702">
        <w:rPr>
          <w:rFonts w:ascii="Times New Roman" w:hAnsi="Times New Roman" w:cs="Times New Roman"/>
        </w:rPr>
        <w:t xml:space="preserve"> to a named person or their associate during</w:t>
      </w:r>
      <w:r w:rsidR="00A0677B" w:rsidRPr="00FC2702">
        <w:rPr>
          <w:rFonts w:ascii="Times New Roman" w:hAnsi="Times New Roman" w:cs="Times New Roman"/>
        </w:rPr>
        <w:t xml:space="preserve"> </w:t>
      </w:r>
      <w:r w:rsidR="00A9521E" w:rsidRPr="00FC2702">
        <w:rPr>
          <w:rFonts w:ascii="Times New Roman" w:hAnsi="Times New Roman" w:cs="Times New Roman"/>
        </w:rPr>
        <w:t xml:space="preserve">the period the </w:t>
      </w:r>
      <w:r w:rsidR="00B45AC9" w:rsidRPr="00FC2702">
        <w:rPr>
          <w:rFonts w:ascii="Times New Roman" w:hAnsi="Times New Roman" w:cs="Times New Roman"/>
        </w:rPr>
        <w:t xml:space="preserve">nil </w:t>
      </w:r>
      <w:r w:rsidR="00A9521E" w:rsidRPr="00FC2702">
        <w:rPr>
          <w:rFonts w:ascii="Times New Roman" w:hAnsi="Times New Roman" w:cs="Times New Roman"/>
        </w:rPr>
        <w:t xml:space="preserve">limit is in </w:t>
      </w:r>
      <w:r w:rsidR="00B45AC9" w:rsidRPr="00FC2702">
        <w:rPr>
          <w:rFonts w:ascii="Times New Roman" w:hAnsi="Times New Roman" w:cs="Times New Roman"/>
        </w:rPr>
        <w:t>force</w:t>
      </w:r>
      <w:r w:rsidR="006851D4" w:rsidRPr="00FC2702">
        <w:rPr>
          <w:rFonts w:ascii="Times New Roman" w:hAnsi="Times New Roman" w:cs="Times New Roman"/>
        </w:rPr>
        <w:t xml:space="preserve"> (under section 131AC of the Act)</w:t>
      </w:r>
      <w:r w:rsidR="005F36DD" w:rsidRPr="00FC2702">
        <w:rPr>
          <w:rFonts w:ascii="Times New Roman" w:hAnsi="Times New Roman" w:cs="Times New Roman"/>
        </w:rPr>
        <w:t>.</w:t>
      </w:r>
      <w:r w:rsidR="006132F3" w:rsidRPr="00FC2702">
        <w:rPr>
          <w:rFonts w:ascii="Times New Roman" w:hAnsi="Times New Roman" w:cs="Times New Roman"/>
          <w:bCs/>
        </w:rPr>
        <w:t xml:space="preserve"> </w:t>
      </w:r>
    </w:p>
    <w:p w14:paraId="1308F53D" w14:textId="07580FBF" w:rsidR="00B45AC9" w:rsidRPr="00FC2702" w:rsidRDefault="00B45AC9" w:rsidP="005F36DD">
      <w:pPr>
        <w:rPr>
          <w:rFonts w:ascii="Times New Roman" w:hAnsi="Times New Roman" w:cs="Times New Roman"/>
          <w:i/>
          <w:iCs/>
        </w:rPr>
      </w:pPr>
      <w:r w:rsidRPr="00FC2702">
        <w:rPr>
          <w:rFonts w:ascii="Times New Roman" w:hAnsi="Times New Roman" w:cs="Times New Roman"/>
          <w:i/>
          <w:iCs/>
        </w:rPr>
        <w:t>Other matters</w:t>
      </w:r>
    </w:p>
    <w:p w14:paraId="7D1B0CC9" w14:textId="463EB57E" w:rsidR="00B45AC9" w:rsidRPr="00FC2702" w:rsidRDefault="005F36DD" w:rsidP="005F36DD">
      <w:pPr>
        <w:rPr>
          <w:rFonts w:ascii="Times New Roman" w:hAnsi="Times New Roman" w:cs="Times New Roman"/>
        </w:rPr>
      </w:pPr>
      <w:r w:rsidRPr="00FC2702">
        <w:rPr>
          <w:rFonts w:ascii="Times New Roman" w:hAnsi="Times New Roman" w:cs="Times New Roman"/>
        </w:rPr>
        <w:t>The ACMA is guided by the object of the Act</w:t>
      </w:r>
      <w:r w:rsidR="006229FF" w:rsidRPr="00FC2702">
        <w:rPr>
          <w:rFonts w:ascii="Times New Roman" w:hAnsi="Times New Roman" w:cs="Times New Roman"/>
        </w:rPr>
        <w:t xml:space="preserve"> (section 3 of the Act)</w:t>
      </w:r>
      <w:r w:rsidRPr="00FC2702">
        <w:rPr>
          <w:rFonts w:ascii="Times New Roman" w:hAnsi="Times New Roman" w:cs="Times New Roman"/>
        </w:rPr>
        <w:t xml:space="preserve">, which requires the ACMA to promote the long-term public interest derived from the use of the spectrum, including by facilitating the efficient planning, allocation and use of the spectrum and supporting the communications policy objectives of the Commonwealth Government. </w:t>
      </w:r>
    </w:p>
    <w:p w14:paraId="625A0060" w14:textId="0E08A7D3" w:rsidR="005F36DD" w:rsidRPr="00FC2702" w:rsidRDefault="005F36DD" w:rsidP="005F36DD">
      <w:pPr>
        <w:rPr>
          <w:rFonts w:ascii="Times New Roman" w:hAnsi="Times New Roman" w:cs="Times New Roman"/>
        </w:rPr>
      </w:pPr>
      <w:r w:rsidRPr="00FC2702">
        <w:rPr>
          <w:rFonts w:ascii="Times New Roman" w:hAnsi="Times New Roman" w:cs="Times New Roman"/>
        </w:rPr>
        <w:t>Under section 28C of the Act, the ACMA is also required to have regard to any relevant Ministerial policy statements, in the performance of the ACMA’s spectrum management functions or the exercise of the ACMA’s spectrum management powers.</w:t>
      </w:r>
    </w:p>
    <w:p w14:paraId="31CD5D16" w14:textId="0A0891C3" w:rsidR="005F36DD" w:rsidRPr="00FC2702" w:rsidRDefault="005F36DD" w:rsidP="005F36DD">
      <w:pPr>
        <w:rPr>
          <w:rFonts w:ascii="Times New Roman" w:hAnsi="Times New Roman" w:cs="Times New Roman"/>
        </w:rPr>
      </w:pPr>
      <w:r w:rsidRPr="00FC2702">
        <w:rPr>
          <w:rFonts w:ascii="Times New Roman" w:hAnsi="Times New Roman" w:cs="Times New Roman"/>
        </w:rPr>
        <w:t xml:space="preserve">The 3.4–4.0 GHz Statement specifies </w:t>
      </w:r>
      <w:r w:rsidR="00DC53E9">
        <w:rPr>
          <w:rFonts w:ascii="Times New Roman" w:hAnsi="Times New Roman" w:cs="Times New Roman"/>
        </w:rPr>
        <w:t>certain</w:t>
      </w:r>
      <w:r w:rsidRPr="00FC2702">
        <w:rPr>
          <w:rFonts w:ascii="Times New Roman" w:hAnsi="Times New Roman" w:cs="Times New Roman"/>
        </w:rPr>
        <w:t xml:space="preserve"> Commonwealth Government communications policy objectives that apply in </w:t>
      </w:r>
      <w:r w:rsidR="00DC63B7" w:rsidRPr="00FC2702">
        <w:rPr>
          <w:rFonts w:ascii="Times New Roman" w:hAnsi="Times New Roman" w:cs="Times New Roman"/>
        </w:rPr>
        <w:t xml:space="preserve">relation to </w:t>
      </w:r>
      <w:r w:rsidRPr="00FC2702">
        <w:rPr>
          <w:rFonts w:ascii="Times New Roman" w:hAnsi="Times New Roman" w:cs="Times New Roman"/>
        </w:rPr>
        <w:t>the ACMA’s performance of its spectrum management functions, and exercise of its spectrum management powers, in relation to the 3.4 GHz</w:t>
      </w:r>
      <w:r w:rsidR="00051EE8">
        <w:rPr>
          <w:rFonts w:ascii="Times New Roman" w:hAnsi="Times New Roman" w:cs="Times New Roman"/>
        </w:rPr>
        <w:t xml:space="preserve"> to 4 GHz</w:t>
      </w:r>
      <w:r w:rsidRPr="00FC2702">
        <w:rPr>
          <w:rFonts w:ascii="Times New Roman" w:hAnsi="Times New Roman" w:cs="Times New Roman"/>
        </w:rPr>
        <w:t xml:space="preserve"> band. The 3.8 GHz band</w:t>
      </w:r>
      <w:r w:rsidR="00DC63B7" w:rsidRPr="00FC2702">
        <w:rPr>
          <w:rFonts w:ascii="Times New Roman" w:hAnsi="Times New Roman" w:cs="Times New Roman"/>
        </w:rPr>
        <w:t xml:space="preserve"> and extended 3.8 GHz band</w:t>
      </w:r>
      <w:r w:rsidRPr="00FC2702">
        <w:rPr>
          <w:rFonts w:ascii="Times New Roman" w:hAnsi="Times New Roman" w:cs="Times New Roman"/>
        </w:rPr>
        <w:t xml:space="preserve"> fall within the 3.4 GHz </w:t>
      </w:r>
      <w:r w:rsidR="00550508">
        <w:rPr>
          <w:rFonts w:ascii="Times New Roman" w:hAnsi="Times New Roman" w:cs="Times New Roman"/>
        </w:rPr>
        <w:t xml:space="preserve">to 4 GHz </w:t>
      </w:r>
      <w:r w:rsidRPr="00FC2702">
        <w:rPr>
          <w:rFonts w:ascii="Times New Roman" w:hAnsi="Times New Roman" w:cs="Times New Roman"/>
        </w:rPr>
        <w:t>band, and accordingly the ACMA has had regard to the 3.4–4.0 GHz Statement in preparing the instrument.</w:t>
      </w:r>
    </w:p>
    <w:p w14:paraId="1B4A4C46" w14:textId="2F29692E" w:rsidR="004A7687" w:rsidRPr="00FC2702" w:rsidRDefault="004A7687" w:rsidP="004A7687">
      <w:pPr>
        <w:rPr>
          <w:rFonts w:ascii="Times New Roman" w:hAnsi="Times New Roman" w:cs="Times New Roman"/>
        </w:rPr>
      </w:pPr>
      <w:r w:rsidRPr="00FC2702">
        <w:rPr>
          <w:rFonts w:ascii="Times New Roman" w:hAnsi="Times New Roman" w:cs="Times New Roman"/>
        </w:rPr>
        <w:t xml:space="preserve">A provision-by-provision description of the </w:t>
      </w:r>
      <w:r w:rsidR="00890AA7" w:rsidRPr="00FC2702">
        <w:rPr>
          <w:rFonts w:ascii="Times New Roman" w:hAnsi="Times New Roman" w:cs="Times New Roman"/>
        </w:rPr>
        <w:t>instrument</w:t>
      </w:r>
      <w:r w:rsidRPr="00FC2702">
        <w:rPr>
          <w:rFonts w:ascii="Times New Roman" w:hAnsi="Times New Roman" w:cs="Times New Roman"/>
        </w:rPr>
        <w:t xml:space="preserve"> is set out in the notes at </w:t>
      </w:r>
      <w:r w:rsidRPr="00FC2702">
        <w:rPr>
          <w:rFonts w:ascii="Times New Roman" w:hAnsi="Times New Roman" w:cs="Times New Roman"/>
          <w:b/>
        </w:rPr>
        <w:t>Attachment A</w:t>
      </w:r>
      <w:r w:rsidRPr="00FC2702">
        <w:rPr>
          <w:rFonts w:ascii="Times New Roman" w:hAnsi="Times New Roman" w:cs="Times New Roman"/>
        </w:rPr>
        <w:t>.</w:t>
      </w:r>
    </w:p>
    <w:p w14:paraId="62558F83" w14:textId="3BD00CD6" w:rsidR="004A7687" w:rsidRPr="00FC2702" w:rsidRDefault="004A7687" w:rsidP="004A7687">
      <w:pPr>
        <w:rPr>
          <w:rFonts w:ascii="Times New Roman" w:hAnsi="Times New Roman" w:cs="Times New Roman"/>
        </w:rPr>
      </w:pPr>
      <w:r w:rsidRPr="00FC2702">
        <w:rPr>
          <w:rFonts w:ascii="Times New Roman" w:hAnsi="Times New Roman" w:cs="Times New Roman"/>
        </w:rPr>
        <w:t xml:space="preserve">The </w:t>
      </w:r>
      <w:r w:rsidR="00890AA7" w:rsidRPr="00FC2702">
        <w:rPr>
          <w:rFonts w:ascii="Times New Roman" w:hAnsi="Times New Roman" w:cs="Times New Roman"/>
        </w:rPr>
        <w:t>instrument</w:t>
      </w:r>
      <w:r w:rsidRPr="00FC2702">
        <w:rPr>
          <w:rFonts w:ascii="Times New Roman" w:hAnsi="Times New Roman" w:cs="Times New Roman"/>
        </w:rPr>
        <w:t xml:space="preserve"> is a</w:t>
      </w:r>
      <w:r w:rsidR="00C55C89" w:rsidRPr="00FC2702">
        <w:rPr>
          <w:rFonts w:ascii="Times New Roman" w:hAnsi="Times New Roman" w:cs="Times New Roman"/>
        </w:rPr>
        <w:t xml:space="preserve"> </w:t>
      </w:r>
      <w:r w:rsidRPr="00FC2702">
        <w:rPr>
          <w:rFonts w:ascii="Times New Roman" w:hAnsi="Times New Roman" w:cs="Times New Roman"/>
        </w:rPr>
        <w:t xml:space="preserve">legislative instrument for the purposes of the </w:t>
      </w:r>
      <w:r w:rsidRPr="00FC2702">
        <w:rPr>
          <w:rFonts w:ascii="Times New Roman" w:hAnsi="Times New Roman" w:cs="Times New Roman"/>
          <w:i/>
        </w:rPr>
        <w:t xml:space="preserve">Legislation Act 2003 </w:t>
      </w:r>
      <w:r w:rsidRPr="00FC2702">
        <w:rPr>
          <w:rFonts w:ascii="Times New Roman" w:hAnsi="Times New Roman" w:cs="Times New Roman"/>
        </w:rPr>
        <w:t>(</w:t>
      </w:r>
      <w:r w:rsidRPr="00FC2702">
        <w:rPr>
          <w:rFonts w:ascii="Times New Roman" w:hAnsi="Times New Roman" w:cs="Times New Roman"/>
          <w:bCs/>
        </w:rPr>
        <w:t>the</w:t>
      </w:r>
      <w:r w:rsidRPr="00FC2702">
        <w:rPr>
          <w:rFonts w:ascii="Times New Roman" w:hAnsi="Times New Roman" w:cs="Times New Roman"/>
          <w:b/>
        </w:rPr>
        <w:t xml:space="preserve"> LA</w:t>
      </w:r>
      <w:r w:rsidRPr="00FC2702">
        <w:rPr>
          <w:rFonts w:ascii="Times New Roman" w:hAnsi="Times New Roman" w:cs="Times New Roman"/>
        </w:rPr>
        <w:t>)</w:t>
      </w:r>
      <w:r w:rsidR="00913A10" w:rsidRPr="00FC2702">
        <w:rPr>
          <w:rFonts w:ascii="Times New Roman" w:hAnsi="Times New Roman" w:cs="Times New Roman"/>
        </w:rPr>
        <w:t>, and is disallowable</w:t>
      </w:r>
      <w:r w:rsidRPr="00FC2702">
        <w:rPr>
          <w:rFonts w:ascii="Times New Roman" w:hAnsi="Times New Roman" w:cs="Times New Roman"/>
        </w:rPr>
        <w:t>.</w:t>
      </w:r>
    </w:p>
    <w:p w14:paraId="6E3BF136" w14:textId="32360EF9" w:rsidR="00BE35A6" w:rsidRPr="00FC2702" w:rsidRDefault="00BE35A6" w:rsidP="004A7687">
      <w:pPr>
        <w:rPr>
          <w:rFonts w:ascii="Times New Roman" w:hAnsi="Times New Roman" w:cs="Times New Roman"/>
        </w:rPr>
      </w:pPr>
      <w:r w:rsidRPr="00FC2702">
        <w:rPr>
          <w:rFonts w:ascii="Times New Roman" w:hAnsi="Times New Roman" w:cs="Times New Roman"/>
        </w:rPr>
        <w:t>The instrument is subject to the sunsetting provisions in Part 4 of Chapter 3 of the LA.</w:t>
      </w:r>
    </w:p>
    <w:p w14:paraId="11C2B357" w14:textId="7DDB14DB" w:rsidR="00462072" w:rsidRPr="00FC2702" w:rsidRDefault="004C58B9" w:rsidP="00462072">
      <w:pPr>
        <w:rPr>
          <w:rFonts w:ascii="Times New Roman" w:hAnsi="Times New Roman" w:cs="Times New Roman"/>
          <w:b/>
        </w:rPr>
      </w:pPr>
      <w:r w:rsidRPr="00FC2702">
        <w:rPr>
          <w:rFonts w:ascii="Times New Roman" w:hAnsi="Times New Roman" w:cs="Times New Roman"/>
          <w:b/>
        </w:rPr>
        <w:t>Documents incorporated by reference</w:t>
      </w:r>
    </w:p>
    <w:p w14:paraId="7F3835C4" w14:textId="77777777" w:rsidR="00BE35A6" w:rsidRPr="00FC2702" w:rsidRDefault="00E43CC9" w:rsidP="00A75329">
      <w:pPr>
        <w:rPr>
          <w:rFonts w:ascii="Times New Roman" w:hAnsi="Times New Roman" w:cs="Times New Roman"/>
        </w:rPr>
      </w:pPr>
      <w:r w:rsidRPr="00FC2702">
        <w:rPr>
          <w:rFonts w:ascii="Times New Roman" w:hAnsi="Times New Roman" w:cs="Times New Roman"/>
        </w:rPr>
        <w:t xml:space="preserve">Subsection 314A(1) of the Act provides that an instrument under the Act may make provision in relation to a matter by applying, adopting, or incorporating (with or without modifications) provisions of any Act as in force at a particular time, or as in force from time to time. Subsection 314A(2) of the Act provides that an instrument under the Act may make provision in relation to a matter by applying, </w:t>
      </w:r>
      <w:r w:rsidRPr="00FC2702">
        <w:rPr>
          <w:rFonts w:ascii="Times New Roman" w:hAnsi="Times New Roman" w:cs="Times New Roman"/>
        </w:rPr>
        <w:lastRenderedPageBreak/>
        <w:t xml:space="preserve">adopting or incorporating (with or without modifications) matters contained in any other instrument or writing as in force or existing at a particular time or from time to time. </w:t>
      </w:r>
    </w:p>
    <w:p w14:paraId="152C1678" w14:textId="331F463C" w:rsidR="00E43CC9" w:rsidRPr="00FC2702" w:rsidRDefault="00E43CC9" w:rsidP="00A75329">
      <w:pPr>
        <w:rPr>
          <w:rFonts w:ascii="Times New Roman" w:hAnsi="Times New Roman" w:cs="Times New Roman"/>
        </w:rPr>
      </w:pPr>
      <w:r w:rsidRPr="00FC2702">
        <w:rPr>
          <w:rFonts w:ascii="Times New Roman" w:hAnsi="Times New Roman" w:cs="Times New Roman"/>
        </w:rPr>
        <w:t>The instrument incorporates the following Acts and legislative instruments by reference</w:t>
      </w:r>
      <w:r w:rsidR="00A051ED" w:rsidRPr="00FC2702">
        <w:rPr>
          <w:rFonts w:ascii="Times New Roman" w:hAnsi="Times New Roman" w:cs="Times New Roman"/>
        </w:rPr>
        <w:t xml:space="preserve"> as in force from time to time</w:t>
      </w:r>
      <w:r w:rsidRPr="00FC2702">
        <w:rPr>
          <w:rFonts w:ascii="Times New Roman" w:hAnsi="Times New Roman" w:cs="Times New Roman"/>
        </w:rPr>
        <w:t>, or otherwise refers to them:</w:t>
      </w:r>
    </w:p>
    <w:p w14:paraId="02EC0912" w14:textId="381CF2E2" w:rsidR="0058756C" w:rsidRPr="00FC2702" w:rsidRDefault="00B80776" w:rsidP="0058756C">
      <w:pPr>
        <w:pStyle w:val="ListParagraph"/>
        <w:numPr>
          <w:ilvl w:val="0"/>
          <w:numId w:val="14"/>
        </w:numPr>
        <w:rPr>
          <w:rFonts w:ascii="Times New Roman" w:hAnsi="Times New Roman" w:cs="Times New Roman"/>
        </w:rPr>
      </w:pPr>
      <w:r w:rsidRPr="00FC2702">
        <w:rPr>
          <w:rFonts w:ascii="Times New Roman" w:hAnsi="Times New Roman" w:cs="Times New Roman"/>
        </w:rPr>
        <w:t>t</w:t>
      </w:r>
      <w:r w:rsidR="000E1BF4" w:rsidRPr="00FC2702">
        <w:rPr>
          <w:rFonts w:ascii="Times New Roman" w:hAnsi="Times New Roman" w:cs="Times New Roman"/>
        </w:rPr>
        <w:t>he Act;</w:t>
      </w:r>
    </w:p>
    <w:p w14:paraId="3060D511" w14:textId="65538B4A" w:rsidR="00315BBD" w:rsidRPr="00FC2702" w:rsidRDefault="005234ED">
      <w:pPr>
        <w:pStyle w:val="ListParagraph"/>
        <w:numPr>
          <w:ilvl w:val="0"/>
          <w:numId w:val="14"/>
        </w:numPr>
        <w:rPr>
          <w:rFonts w:ascii="Times New Roman" w:hAnsi="Times New Roman" w:cs="Times New Roman"/>
        </w:rPr>
      </w:pPr>
      <w:r w:rsidRPr="00FC2702">
        <w:rPr>
          <w:rFonts w:ascii="Times New Roman" w:hAnsi="Times New Roman" w:cs="Times New Roman"/>
        </w:rPr>
        <w:t xml:space="preserve">the </w:t>
      </w:r>
      <w:r w:rsidR="00315BBD" w:rsidRPr="00FC2702">
        <w:rPr>
          <w:rFonts w:ascii="Times New Roman" w:hAnsi="Times New Roman" w:cs="Times New Roman"/>
          <w:i/>
          <w:iCs/>
        </w:rPr>
        <w:t>Acts Interpretation Act 1901</w:t>
      </w:r>
      <w:r w:rsidR="00315BBD" w:rsidRPr="00FC2702">
        <w:rPr>
          <w:rFonts w:ascii="Times New Roman" w:hAnsi="Times New Roman" w:cs="Times New Roman"/>
        </w:rPr>
        <w:t>;</w:t>
      </w:r>
    </w:p>
    <w:p w14:paraId="7B8BCC6B" w14:textId="10488AAF" w:rsidR="0058756C" w:rsidRPr="00FC2702" w:rsidRDefault="00D010F9" w:rsidP="0058756C">
      <w:pPr>
        <w:pStyle w:val="ListParagraph"/>
        <w:numPr>
          <w:ilvl w:val="0"/>
          <w:numId w:val="14"/>
        </w:numPr>
        <w:rPr>
          <w:rFonts w:ascii="Times New Roman" w:hAnsi="Times New Roman" w:cs="Times New Roman"/>
        </w:rPr>
      </w:pPr>
      <w:r w:rsidRPr="00FC2702">
        <w:rPr>
          <w:rFonts w:ascii="Times New Roman" w:hAnsi="Times New Roman" w:cs="Times New Roman"/>
        </w:rPr>
        <w:t xml:space="preserve">the </w:t>
      </w:r>
      <w:r w:rsidR="00451B40" w:rsidRPr="00FC2702">
        <w:rPr>
          <w:rFonts w:ascii="Times New Roman" w:hAnsi="Times New Roman" w:cs="Times New Roman"/>
          <w:i/>
          <w:iCs/>
        </w:rPr>
        <w:t>Corporation</w:t>
      </w:r>
      <w:r w:rsidR="00B91F9A" w:rsidRPr="00FC2702">
        <w:rPr>
          <w:rFonts w:ascii="Times New Roman" w:hAnsi="Times New Roman" w:cs="Times New Roman"/>
          <w:i/>
          <w:iCs/>
        </w:rPr>
        <w:t>s</w:t>
      </w:r>
      <w:r w:rsidR="00451B40" w:rsidRPr="00FC2702">
        <w:rPr>
          <w:rFonts w:ascii="Times New Roman" w:hAnsi="Times New Roman" w:cs="Times New Roman"/>
          <w:i/>
          <w:iCs/>
        </w:rPr>
        <w:t xml:space="preserve"> Act 200</w:t>
      </w:r>
      <w:r w:rsidR="000E1BF4" w:rsidRPr="00FC2702">
        <w:rPr>
          <w:rFonts w:ascii="Times New Roman" w:hAnsi="Times New Roman" w:cs="Times New Roman"/>
          <w:i/>
          <w:iCs/>
        </w:rPr>
        <w:t>1</w:t>
      </w:r>
      <w:r w:rsidR="000E1BF4" w:rsidRPr="00FC2702">
        <w:rPr>
          <w:rFonts w:ascii="Times New Roman" w:hAnsi="Times New Roman" w:cs="Times New Roman"/>
        </w:rPr>
        <w:t>;</w:t>
      </w:r>
    </w:p>
    <w:p w14:paraId="3388B9B2" w14:textId="5AF47A40" w:rsidR="00074B4E" w:rsidRPr="00FC2702" w:rsidRDefault="00D010F9" w:rsidP="00074B4E">
      <w:pPr>
        <w:pStyle w:val="ListParagraph"/>
        <w:numPr>
          <w:ilvl w:val="0"/>
          <w:numId w:val="14"/>
        </w:numPr>
        <w:rPr>
          <w:rFonts w:ascii="Times New Roman" w:hAnsi="Times New Roman" w:cs="Times New Roman"/>
        </w:rPr>
      </w:pPr>
      <w:r w:rsidRPr="00FC2702">
        <w:rPr>
          <w:rFonts w:ascii="Times New Roman" w:hAnsi="Times New Roman" w:cs="Times New Roman"/>
        </w:rPr>
        <w:t>t</w:t>
      </w:r>
      <w:r w:rsidR="00074B4E" w:rsidRPr="00FC2702">
        <w:rPr>
          <w:rFonts w:ascii="Times New Roman" w:hAnsi="Times New Roman" w:cs="Times New Roman"/>
        </w:rPr>
        <w:t>he LA;</w:t>
      </w:r>
    </w:p>
    <w:p w14:paraId="66293A36" w14:textId="7168B3DB" w:rsidR="00451B40" w:rsidRPr="00FC2702" w:rsidRDefault="00B80776" w:rsidP="0058756C">
      <w:pPr>
        <w:pStyle w:val="ListParagraph"/>
        <w:numPr>
          <w:ilvl w:val="0"/>
          <w:numId w:val="14"/>
        </w:numPr>
        <w:rPr>
          <w:rFonts w:ascii="Times New Roman" w:hAnsi="Times New Roman" w:cs="Times New Roman"/>
        </w:rPr>
      </w:pPr>
      <w:r w:rsidRPr="00FC2702">
        <w:rPr>
          <w:rFonts w:ascii="Times New Roman" w:hAnsi="Times New Roman" w:cs="Times New Roman"/>
        </w:rPr>
        <w:t xml:space="preserve">the </w:t>
      </w:r>
      <w:r w:rsidR="00451B40" w:rsidRPr="00FC2702">
        <w:rPr>
          <w:rFonts w:ascii="Times New Roman" w:hAnsi="Times New Roman" w:cs="Times New Roman"/>
          <w:i/>
          <w:iCs/>
        </w:rPr>
        <w:t>Radiocommunications (Interpretation</w:t>
      </w:r>
      <w:r w:rsidR="00CB78B3" w:rsidRPr="00FC2702">
        <w:rPr>
          <w:rFonts w:ascii="Times New Roman" w:hAnsi="Times New Roman" w:cs="Times New Roman"/>
          <w:i/>
          <w:iCs/>
        </w:rPr>
        <w:t>)</w:t>
      </w:r>
      <w:r w:rsidR="00451B40" w:rsidRPr="00FC2702">
        <w:rPr>
          <w:rFonts w:ascii="Times New Roman" w:hAnsi="Times New Roman" w:cs="Times New Roman"/>
          <w:i/>
          <w:iCs/>
        </w:rPr>
        <w:t xml:space="preserve"> Determination 2015</w:t>
      </w:r>
      <w:r w:rsidRPr="00FC2702">
        <w:rPr>
          <w:rFonts w:ascii="Times New Roman" w:hAnsi="Times New Roman" w:cs="Times New Roman"/>
        </w:rPr>
        <w:t>, or another instrument that replaces that determination</w:t>
      </w:r>
      <w:r w:rsidR="00D010F9" w:rsidRPr="00FC2702">
        <w:rPr>
          <w:rFonts w:ascii="Times New Roman" w:hAnsi="Times New Roman" w:cs="Times New Roman"/>
        </w:rPr>
        <w:t>.</w:t>
      </w:r>
    </w:p>
    <w:p w14:paraId="10240D3B" w14:textId="77777777" w:rsidR="0077044A" w:rsidRPr="00FC2702" w:rsidRDefault="0077044A" w:rsidP="0077044A">
      <w:pPr>
        <w:shd w:val="clear" w:color="auto" w:fill="FFFFFF"/>
        <w:spacing w:line="233" w:lineRule="atLeast"/>
        <w:jc w:val="both"/>
        <w:rPr>
          <w:rFonts w:ascii="Times New Roman" w:hAnsi="Times New Roman" w:cs="Times New Roman"/>
          <w:color w:val="000000"/>
        </w:rPr>
      </w:pPr>
      <w:r w:rsidRPr="00FC2702">
        <w:rPr>
          <w:rFonts w:ascii="Times New Roman" w:hAnsi="Times New Roman" w:cs="Times New Roman"/>
          <w:color w:val="000000"/>
        </w:rPr>
        <w:t>The Acts and legislative instruments listed above may be obtained, free of charge, from the Federal Register of Legislation (</w:t>
      </w:r>
      <w:hyperlink r:id="rId11" w:history="1">
        <w:r w:rsidRPr="00FC2702">
          <w:rPr>
            <w:rStyle w:val="Hyperlink"/>
            <w:rFonts w:ascii="Times New Roman" w:hAnsi="Times New Roman" w:cs="Times New Roman"/>
            <w:color w:val="0F569E"/>
          </w:rPr>
          <w:t>www.legislation.gov.au</w:t>
        </w:r>
      </w:hyperlink>
      <w:r w:rsidRPr="00FC2702">
        <w:rPr>
          <w:rFonts w:ascii="Times New Roman" w:hAnsi="Times New Roman" w:cs="Times New Roman"/>
          <w:color w:val="000000"/>
        </w:rPr>
        <w:t>).</w:t>
      </w:r>
    </w:p>
    <w:p w14:paraId="39D5633F" w14:textId="66BEC4C6" w:rsidR="00A051ED" w:rsidRPr="00FC2702" w:rsidRDefault="00A051ED" w:rsidP="00517471">
      <w:pPr>
        <w:shd w:val="clear" w:color="auto" w:fill="FFFFFF"/>
        <w:spacing w:line="233" w:lineRule="atLeast"/>
        <w:jc w:val="both"/>
        <w:rPr>
          <w:rFonts w:ascii="Times New Roman" w:hAnsi="Times New Roman" w:cs="Times New Roman"/>
        </w:rPr>
      </w:pPr>
      <w:r w:rsidRPr="00FC2702">
        <w:rPr>
          <w:rFonts w:ascii="Times New Roman" w:hAnsi="Times New Roman" w:cs="Times New Roman"/>
        </w:rPr>
        <w:t>The</w:t>
      </w:r>
      <w:r w:rsidR="00FA6307" w:rsidRPr="00FC2702">
        <w:rPr>
          <w:rFonts w:ascii="Times New Roman" w:hAnsi="Times New Roman" w:cs="Times New Roman"/>
        </w:rPr>
        <w:t xml:space="preserve"> instrument also incorporates the</w:t>
      </w:r>
      <w:r w:rsidRPr="00FC2702">
        <w:rPr>
          <w:rFonts w:ascii="Times New Roman" w:hAnsi="Times New Roman" w:cs="Times New Roman"/>
        </w:rPr>
        <w:t xml:space="preserve"> Australian Spectrum Map Grid 2012, as existing from time to time. The Australian Spectrum Map Grid 2012</w:t>
      </w:r>
      <w:r w:rsidRPr="00FC2702">
        <w:rPr>
          <w:rFonts w:ascii="Times New Roman" w:hAnsi="Times New Roman" w:cs="Times New Roman"/>
          <w:i/>
          <w:iCs/>
        </w:rPr>
        <w:t xml:space="preserve"> </w:t>
      </w:r>
      <w:r w:rsidRPr="00FC2702">
        <w:rPr>
          <w:rFonts w:ascii="Times New Roman" w:hAnsi="Times New Roman" w:cs="Times New Roman"/>
        </w:rPr>
        <w:t xml:space="preserve">is published by the ACMA and is available, free of charge, on the ACMA’s website at </w:t>
      </w:r>
      <w:hyperlink r:id="rId12" w:history="1">
        <w:r w:rsidRPr="00FC2702">
          <w:rPr>
            <w:rStyle w:val="Hyperlink"/>
            <w:rFonts w:ascii="Times New Roman" w:hAnsi="Times New Roman" w:cs="Times New Roman"/>
          </w:rPr>
          <w:t>www.acma.gov.au</w:t>
        </w:r>
      </w:hyperlink>
      <w:r w:rsidRPr="00FC2702">
        <w:rPr>
          <w:rFonts w:ascii="Times New Roman" w:hAnsi="Times New Roman" w:cs="Times New Roman"/>
        </w:rPr>
        <w:t xml:space="preserve">. </w:t>
      </w:r>
    </w:p>
    <w:p w14:paraId="2EFDFDBF" w14:textId="4CDD75CB" w:rsidR="004C58B9" w:rsidRPr="00FC2702" w:rsidRDefault="004C58B9" w:rsidP="004C58B9">
      <w:pPr>
        <w:rPr>
          <w:rFonts w:ascii="Times New Roman" w:hAnsi="Times New Roman" w:cs="Times New Roman"/>
          <w:b/>
        </w:rPr>
      </w:pPr>
      <w:r w:rsidRPr="00FC2702">
        <w:rPr>
          <w:rFonts w:ascii="Times New Roman" w:hAnsi="Times New Roman" w:cs="Times New Roman"/>
          <w:b/>
        </w:rPr>
        <w:t>Consultation</w:t>
      </w:r>
    </w:p>
    <w:p w14:paraId="60FC4B12" w14:textId="6226C63C" w:rsidR="004C58B9" w:rsidRPr="00FC2702" w:rsidRDefault="004C58B9" w:rsidP="004C58B9">
      <w:pPr>
        <w:rPr>
          <w:rFonts w:ascii="Times New Roman" w:hAnsi="Times New Roman" w:cs="Times New Roman"/>
        </w:rPr>
      </w:pPr>
      <w:r w:rsidRPr="00FC2702">
        <w:rPr>
          <w:rFonts w:ascii="Times New Roman" w:hAnsi="Times New Roman" w:cs="Times New Roman"/>
        </w:rPr>
        <w:t xml:space="preserve">Before the instrument was made, the ACMA was satisfied that consultation was </w:t>
      </w:r>
      <w:r w:rsidR="00FF1BAF" w:rsidRPr="00FC2702">
        <w:rPr>
          <w:rFonts w:ascii="Times New Roman" w:hAnsi="Times New Roman" w:cs="Times New Roman"/>
        </w:rPr>
        <w:t xml:space="preserve">undertaken to the extent </w:t>
      </w:r>
      <w:r w:rsidR="00CF5E25" w:rsidRPr="00FC2702">
        <w:rPr>
          <w:rFonts w:ascii="Times New Roman" w:hAnsi="Times New Roman" w:cs="Times New Roman"/>
        </w:rPr>
        <w:t>appropriate</w:t>
      </w:r>
      <w:r w:rsidR="00FA0BC1" w:rsidRPr="00FC2702">
        <w:rPr>
          <w:rFonts w:ascii="Times New Roman" w:hAnsi="Times New Roman" w:cs="Times New Roman"/>
        </w:rPr>
        <w:t xml:space="preserve"> and reasonably practicable, </w:t>
      </w:r>
      <w:r w:rsidRPr="00FC2702">
        <w:rPr>
          <w:rFonts w:ascii="Times New Roman" w:hAnsi="Times New Roman" w:cs="Times New Roman"/>
        </w:rPr>
        <w:t>in accordance with section 17 of the LA.</w:t>
      </w:r>
    </w:p>
    <w:p w14:paraId="7B9AD358" w14:textId="6CA88CEF" w:rsidR="008C6F16" w:rsidRPr="00FC2702" w:rsidRDefault="009A5C59" w:rsidP="004C58B9">
      <w:pPr>
        <w:rPr>
          <w:rFonts w:ascii="Times New Roman" w:hAnsi="Times New Roman" w:cs="Times New Roman"/>
        </w:rPr>
      </w:pPr>
      <w:r w:rsidRPr="00FC2702">
        <w:rPr>
          <w:rFonts w:ascii="Times New Roman" w:hAnsi="Times New Roman" w:cs="Times New Roman"/>
        </w:rPr>
        <w:t>Between</w:t>
      </w:r>
      <w:r w:rsidR="00B6450A" w:rsidRPr="00FC2702">
        <w:rPr>
          <w:rFonts w:ascii="Times New Roman" w:hAnsi="Times New Roman" w:cs="Times New Roman"/>
        </w:rPr>
        <w:t xml:space="preserve"> </w:t>
      </w:r>
      <w:r w:rsidR="00C23F35" w:rsidRPr="00FC2702">
        <w:rPr>
          <w:rFonts w:ascii="Times New Roman" w:hAnsi="Times New Roman" w:cs="Times New Roman"/>
        </w:rPr>
        <w:t>20 June 2023</w:t>
      </w:r>
      <w:r w:rsidRPr="00FC2702">
        <w:rPr>
          <w:rFonts w:ascii="Times New Roman" w:hAnsi="Times New Roman" w:cs="Times New Roman"/>
        </w:rPr>
        <w:t xml:space="preserve"> and 1 August 2023</w:t>
      </w:r>
      <w:r w:rsidR="00C23F35" w:rsidRPr="00FC2702">
        <w:rPr>
          <w:rFonts w:ascii="Times New Roman" w:hAnsi="Times New Roman" w:cs="Times New Roman"/>
        </w:rPr>
        <w:t>,</w:t>
      </w:r>
      <w:r w:rsidR="008C6F16" w:rsidRPr="00FC2702">
        <w:rPr>
          <w:rFonts w:ascii="Times New Roman" w:hAnsi="Times New Roman" w:cs="Times New Roman"/>
        </w:rPr>
        <w:t xml:space="preserve"> the ACMA consul</w:t>
      </w:r>
      <w:r w:rsidR="00712AEE" w:rsidRPr="00FC2702">
        <w:rPr>
          <w:rFonts w:ascii="Times New Roman" w:hAnsi="Times New Roman" w:cs="Times New Roman"/>
        </w:rPr>
        <w:t>ted on</w:t>
      </w:r>
      <w:r w:rsidR="008C6F16" w:rsidRPr="00FC2702">
        <w:rPr>
          <w:rFonts w:ascii="Times New Roman" w:hAnsi="Times New Roman" w:cs="Times New Roman"/>
        </w:rPr>
        <w:t>:</w:t>
      </w:r>
    </w:p>
    <w:p w14:paraId="47857D91" w14:textId="5A5C45B5" w:rsidR="00B6149B" w:rsidRPr="00FC2702" w:rsidRDefault="004C3FC2">
      <w:pPr>
        <w:pStyle w:val="ListParagraph"/>
        <w:numPr>
          <w:ilvl w:val="0"/>
          <w:numId w:val="14"/>
        </w:numPr>
        <w:rPr>
          <w:rFonts w:ascii="Times New Roman" w:hAnsi="Times New Roman" w:cs="Times New Roman"/>
        </w:rPr>
      </w:pPr>
      <w:r w:rsidRPr="00FC2702">
        <w:rPr>
          <w:rFonts w:ascii="Times New Roman" w:hAnsi="Times New Roman" w:cs="Times New Roman"/>
        </w:rPr>
        <w:t>a</w:t>
      </w:r>
      <w:r w:rsidR="00BA26CE" w:rsidRPr="00FC2702">
        <w:rPr>
          <w:rFonts w:ascii="Times New Roman" w:hAnsi="Times New Roman" w:cs="Times New Roman"/>
        </w:rPr>
        <w:t xml:space="preserve"> </w:t>
      </w:r>
      <w:r w:rsidR="00B6149B" w:rsidRPr="00FC2702">
        <w:rPr>
          <w:rFonts w:ascii="Times New Roman" w:hAnsi="Times New Roman" w:cs="Times New Roman"/>
        </w:rPr>
        <w:t xml:space="preserve">draft </w:t>
      </w:r>
      <w:r w:rsidR="00BA26CE" w:rsidRPr="00FC2702">
        <w:rPr>
          <w:rFonts w:ascii="Times New Roman" w:hAnsi="Times New Roman" w:cs="Times New Roman"/>
        </w:rPr>
        <w:t xml:space="preserve">instrument under section 102G </w:t>
      </w:r>
      <w:r w:rsidR="00687AA2" w:rsidRPr="00FC2702">
        <w:rPr>
          <w:rFonts w:ascii="Times New Roman" w:hAnsi="Times New Roman" w:cs="Times New Roman"/>
        </w:rPr>
        <w:t xml:space="preserve">of the Act </w:t>
      </w:r>
      <w:r w:rsidR="004121C5" w:rsidRPr="00FC2702">
        <w:rPr>
          <w:rFonts w:ascii="Times New Roman" w:hAnsi="Times New Roman" w:cs="Times New Roman"/>
        </w:rPr>
        <w:t xml:space="preserve">to </w:t>
      </w:r>
      <w:r w:rsidR="00B6149B" w:rsidRPr="00FC2702">
        <w:rPr>
          <w:rFonts w:ascii="Times New Roman" w:hAnsi="Times New Roman" w:cs="Times New Roman"/>
        </w:rPr>
        <w:t>impos</w:t>
      </w:r>
      <w:r w:rsidR="004121C5" w:rsidRPr="00FC2702">
        <w:rPr>
          <w:rFonts w:ascii="Times New Roman" w:hAnsi="Times New Roman" w:cs="Times New Roman"/>
        </w:rPr>
        <w:t>e a</w:t>
      </w:r>
      <w:r w:rsidR="00B6149B" w:rsidRPr="00FC2702">
        <w:rPr>
          <w:rFonts w:ascii="Times New Roman" w:hAnsi="Times New Roman" w:cs="Times New Roman"/>
        </w:rPr>
        <w:t xml:space="preserve"> </w:t>
      </w:r>
      <w:r w:rsidR="00BA26CE" w:rsidRPr="00FC2702">
        <w:rPr>
          <w:rFonts w:ascii="Times New Roman" w:hAnsi="Times New Roman" w:cs="Times New Roman"/>
        </w:rPr>
        <w:t xml:space="preserve">nil </w:t>
      </w:r>
      <w:r w:rsidR="00B6149B" w:rsidRPr="00FC2702">
        <w:rPr>
          <w:rFonts w:ascii="Times New Roman" w:hAnsi="Times New Roman" w:cs="Times New Roman"/>
        </w:rPr>
        <w:t>MHz limit</w:t>
      </w:r>
      <w:r w:rsidR="002837E2" w:rsidRPr="00FC2702">
        <w:rPr>
          <w:rFonts w:ascii="Times New Roman" w:hAnsi="Times New Roman" w:cs="Times New Roman"/>
        </w:rPr>
        <w:t xml:space="preserve"> on </w:t>
      </w:r>
      <w:r w:rsidR="000A445B" w:rsidRPr="00FC2702">
        <w:rPr>
          <w:rFonts w:ascii="Times New Roman" w:hAnsi="Times New Roman" w:cs="Times New Roman"/>
        </w:rPr>
        <w:t>the named parties and their associates (however, the draft instrument proposed that TPG Internet Pty Ltd</w:t>
      </w:r>
      <w:r w:rsidR="00687AA2" w:rsidRPr="00FC2702">
        <w:rPr>
          <w:rFonts w:ascii="Times New Roman" w:hAnsi="Times New Roman" w:cs="Times New Roman"/>
        </w:rPr>
        <w:t xml:space="preserve"> would be named, rather than</w:t>
      </w:r>
      <w:r w:rsidR="00DC53E9">
        <w:rPr>
          <w:rFonts w:ascii="Times New Roman" w:hAnsi="Times New Roman" w:cs="Times New Roman"/>
        </w:rPr>
        <w:t xml:space="preserve"> its related entity</w:t>
      </w:r>
      <w:r w:rsidR="00687AA2" w:rsidRPr="00FC2702">
        <w:rPr>
          <w:rFonts w:ascii="Times New Roman" w:hAnsi="Times New Roman" w:cs="Times New Roman"/>
        </w:rPr>
        <w:t xml:space="preserve"> Mobile JV Pty Limited</w:t>
      </w:r>
      <w:r w:rsidR="002E2AD0" w:rsidRPr="00FC2702">
        <w:rPr>
          <w:rFonts w:ascii="Times New Roman" w:hAnsi="Times New Roman" w:cs="Times New Roman"/>
        </w:rPr>
        <w:t>).</w:t>
      </w:r>
    </w:p>
    <w:p w14:paraId="07972931" w14:textId="357AC1FC" w:rsidR="008C6F16" w:rsidRPr="00FC2702" w:rsidRDefault="00687AA2" w:rsidP="008C6F16">
      <w:pPr>
        <w:pStyle w:val="ListParagraph"/>
        <w:numPr>
          <w:ilvl w:val="0"/>
          <w:numId w:val="14"/>
        </w:numPr>
        <w:rPr>
          <w:rFonts w:ascii="Times New Roman" w:hAnsi="Times New Roman" w:cs="Times New Roman"/>
        </w:rPr>
      </w:pPr>
      <w:r w:rsidRPr="00FC2702">
        <w:rPr>
          <w:rFonts w:ascii="Times New Roman" w:hAnsi="Times New Roman" w:cs="Times New Roman"/>
        </w:rPr>
        <w:t>a</w:t>
      </w:r>
      <w:r w:rsidR="00B6149B" w:rsidRPr="00FC2702">
        <w:rPr>
          <w:rFonts w:ascii="Times New Roman" w:hAnsi="Times New Roman" w:cs="Times New Roman"/>
        </w:rPr>
        <w:t xml:space="preserve"> draft</w:t>
      </w:r>
      <w:r w:rsidRPr="00FC2702">
        <w:rPr>
          <w:rFonts w:ascii="Times New Roman" w:hAnsi="Times New Roman" w:cs="Times New Roman"/>
        </w:rPr>
        <w:t xml:space="preserve"> instrument under sections 115 and 131AC of the Act</w:t>
      </w:r>
      <w:r w:rsidR="004121C5" w:rsidRPr="00FC2702">
        <w:rPr>
          <w:rFonts w:ascii="Times New Roman" w:hAnsi="Times New Roman" w:cs="Times New Roman"/>
        </w:rPr>
        <w:t xml:space="preserve"> to </w:t>
      </w:r>
      <w:r w:rsidR="00941DAB" w:rsidRPr="00FC2702">
        <w:rPr>
          <w:rFonts w:ascii="Times New Roman" w:hAnsi="Times New Roman" w:cs="Times New Roman"/>
        </w:rPr>
        <w:t>restrict</w:t>
      </w:r>
      <w:r w:rsidRPr="00FC2702">
        <w:rPr>
          <w:rFonts w:ascii="Times New Roman" w:hAnsi="Times New Roman" w:cs="Times New Roman"/>
        </w:rPr>
        <w:t xml:space="preserve"> the ability of an AWL licensee to authorise</w:t>
      </w:r>
      <w:r w:rsidR="008E417B" w:rsidRPr="00FC2702">
        <w:rPr>
          <w:rFonts w:ascii="Times New Roman" w:hAnsi="Times New Roman" w:cs="Times New Roman"/>
        </w:rPr>
        <w:t>,</w:t>
      </w:r>
      <w:r w:rsidRPr="00FC2702">
        <w:rPr>
          <w:rFonts w:ascii="Times New Roman" w:hAnsi="Times New Roman" w:cs="Times New Roman"/>
        </w:rPr>
        <w:t xml:space="preserve"> or transfer the licence to</w:t>
      </w:r>
      <w:r w:rsidR="008E417B" w:rsidRPr="00FC2702">
        <w:rPr>
          <w:rFonts w:ascii="Times New Roman" w:hAnsi="Times New Roman" w:cs="Times New Roman"/>
        </w:rPr>
        <w:t>,</w:t>
      </w:r>
      <w:r w:rsidRPr="00FC2702">
        <w:rPr>
          <w:rFonts w:ascii="Times New Roman" w:hAnsi="Times New Roman" w:cs="Times New Roman"/>
        </w:rPr>
        <w:t xml:space="preserve"> a named person </w:t>
      </w:r>
      <w:r w:rsidR="009D6687" w:rsidRPr="00FC2702">
        <w:rPr>
          <w:rFonts w:ascii="Times New Roman" w:hAnsi="Times New Roman" w:cs="Times New Roman"/>
        </w:rPr>
        <w:t xml:space="preserve">or </w:t>
      </w:r>
      <w:r w:rsidR="004E640D" w:rsidRPr="00FC2702">
        <w:rPr>
          <w:rFonts w:ascii="Times New Roman" w:hAnsi="Times New Roman" w:cs="Times New Roman"/>
        </w:rPr>
        <w:t>the associate of a named person</w:t>
      </w:r>
      <w:r w:rsidR="00D76FE3" w:rsidRPr="00FC2702">
        <w:rPr>
          <w:rFonts w:ascii="Times New Roman" w:hAnsi="Times New Roman" w:cs="Times New Roman"/>
        </w:rPr>
        <w:t>.</w:t>
      </w:r>
    </w:p>
    <w:p w14:paraId="19DFEE60" w14:textId="212F4CC3" w:rsidR="000578B5" w:rsidRPr="00FC2702" w:rsidRDefault="008E417B" w:rsidP="008C6F16">
      <w:pPr>
        <w:pStyle w:val="ListParagraph"/>
        <w:numPr>
          <w:ilvl w:val="0"/>
          <w:numId w:val="14"/>
        </w:numPr>
        <w:rPr>
          <w:rFonts w:ascii="Times New Roman" w:hAnsi="Times New Roman" w:cs="Times New Roman"/>
        </w:rPr>
      </w:pPr>
      <w:r w:rsidRPr="00FC2702">
        <w:rPr>
          <w:rFonts w:ascii="Times New Roman" w:hAnsi="Times New Roman" w:cs="Times New Roman"/>
        </w:rPr>
        <w:t>a</w:t>
      </w:r>
      <w:r w:rsidR="00712AEE" w:rsidRPr="00FC2702">
        <w:rPr>
          <w:rFonts w:ascii="Times New Roman" w:hAnsi="Times New Roman" w:cs="Times New Roman"/>
        </w:rPr>
        <w:t xml:space="preserve"> draft of the</w:t>
      </w:r>
      <w:r w:rsidR="004E640D" w:rsidRPr="00FC2702">
        <w:rPr>
          <w:rFonts w:ascii="Times New Roman" w:hAnsi="Times New Roman" w:cs="Times New Roman"/>
        </w:rPr>
        <w:t xml:space="preserve"> proposed</w:t>
      </w:r>
      <w:r w:rsidR="00712AEE" w:rsidRPr="00FC2702">
        <w:rPr>
          <w:rFonts w:ascii="Times New Roman" w:hAnsi="Times New Roman" w:cs="Times New Roman"/>
        </w:rPr>
        <w:t xml:space="preserve"> frequency coordination and licensing procedures for AWLs in the </w:t>
      </w:r>
      <w:r w:rsidR="004E640D" w:rsidRPr="00FC2702">
        <w:rPr>
          <w:rFonts w:ascii="Times New Roman" w:hAnsi="Times New Roman" w:cs="Times New Roman"/>
        </w:rPr>
        <w:t>3.4</w:t>
      </w:r>
      <w:r w:rsidRPr="00FC2702">
        <w:rPr>
          <w:rFonts w:ascii="Times New Roman" w:hAnsi="Times New Roman" w:cs="Times New Roman"/>
        </w:rPr>
        <w:t> </w:t>
      </w:r>
      <w:r w:rsidR="004E640D" w:rsidRPr="00FC2702">
        <w:rPr>
          <w:rFonts w:ascii="Times New Roman" w:hAnsi="Times New Roman" w:cs="Times New Roman"/>
        </w:rPr>
        <w:t>G</w:t>
      </w:r>
      <w:r w:rsidR="00712AEE" w:rsidRPr="00FC2702">
        <w:rPr>
          <w:rFonts w:ascii="Times New Roman" w:hAnsi="Times New Roman" w:cs="Times New Roman"/>
        </w:rPr>
        <w:t xml:space="preserve">Hz </w:t>
      </w:r>
      <w:r w:rsidR="00550508">
        <w:rPr>
          <w:rFonts w:ascii="Times New Roman" w:hAnsi="Times New Roman" w:cs="Times New Roman"/>
        </w:rPr>
        <w:t xml:space="preserve">to 4 GHz </w:t>
      </w:r>
      <w:r w:rsidR="00712AEE" w:rsidRPr="00FC2702">
        <w:rPr>
          <w:rFonts w:ascii="Times New Roman" w:hAnsi="Times New Roman" w:cs="Times New Roman"/>
        </w:rPr>
        <w:t>band</w:t>
      </w:r>
      <w:r w:rsidR="002625C3" w:rsidRPr="00FC2702">
        <w:rPr>
          <w:rFonts w:ascii="Times New Roman" w:hAnsi="Times New Roman" w:cs="Times New Roman"/>
        </w:rPr>
        <w:t>.</w:t>
      </w:r>
    </w:p>
    <w:p w14:paraId="6BD2B61F" w14:textId="74D5522F" w:rsidR="00712AEE" w:rsidRPr="00FC2702" w:rsidRDefault="008E417B" w:rsidP="008C6F16">
      <w:pPr>
        <w:pStyle w:val="ListParagraph"/>
        <w:numPr>
          <w:ilvl w:val="0"/>
          <w:numId w:val="14"/>
        </w:numPr>
        <w:rPr>
          <w:rFonts w:ascii="Times New Roman" w:hAnsi="Times New Roman" w:cs="Times New Roman"/>
        </w:rPr>
      </w:pPr>
      <w:r w:rsidRPr="00FC2702">
        <w:rPr>
          <w:rFonts w:ascii="Times New Roman" w:hAnsi="Times New Roman" w:cs="Times New Roman"/>
        </w:rPr>
        <w:t>a</w:t>
      </w:r>
      <w:r w:rsidR="00712AEE" w:rsidRPr="00FC2702">
        <w:rPr>
          <w:rFonts w:ascii="Times New Roman" w:hAnsi="Times New Roman" w:cs="Times New Roman"/>
        </w:rPr>
        <w:t xml:space="preserve"> draft</w:t>
      </w:r>
      <w:r w:rsidR="004E640D" w:rsidRPr="00FC2702">
        <w:rPr>
          <w:rFonts w:ascii="Times New Roman" w:hAnsi="Times New Roman" w:cs="Times New Roman"/>
        </w:rPr>
        <w:t xml:space="preserve"> amendment to the</w:t>
      </w:r>
      <w:r w:rsidR="00712AEE" w:rsidRPr="00FC2702">
        <w:rPr>
          <w:rFonts w:ascii="Times New Roman" w:hAnsi="Times New Roman" w:cs="Times New Roman"/>
        </w:rPr>
        <w:t xml:space="preserve"> </w:t>
      </w:r>
      <w:r w:rsidR="00712AEE" w:rsidRPr="00FC2702">
        <w:rPr>
          <w:rFonts w:ascii="Times New Roman" w:hAnsi="Times New Roman" w:cs="Times New Roman"/>
          <w:i/>
          <w:iCs/>
        </w:rPr>
        <w:t>Radiocommunications (Interpretation) Determination 20</w:t>
      </w:r>
      <w:r w:rsidR="004E640D" w:rsidRPr="00FC2702">
        <w:rPr>
          <w:rFonts w:ascii="Times New Roman" w:hAnsi="Times New Roman" w:cs="Times New Roman"/>
          <w:i/>
          <w:iCs/>
        </w:rPr>
        <w:t>15</w:t>
      </w:r>
      <w:r w:rsidR="00712AEE" w:rsidRPr="00FC2702">
        <w:rPr>
          <w:rFonts w:ascii="Times New Roman" w:hAnsi="Times New Roman" w:cs="Times New Roman"/>
        </w:rPr>
        <w:t>.</w:t>
      </w:r>
    </w:p>
    <w:p w14:paraId="31BC8BA2" w14:textId="1C640A08" w:rsidR="00391233" w:rsidRPr="00FC2702" w:rsidRDefault="000329DA" w:rsidP="00391233">
      <w:pPr>
        <w:rPr>
          <w:rFonts w:ascii="Times New Roman" w:hAnsi="Times New Roman" w:cs="Times New Roman"/>
        </w:rPr>
      </w:pPr>
      <w:r w:rsidRPr="00FC2702">
        <w:rPr>
          <w:rFonts w:ascii="Times New Roman" w:hAnsi="Times New Roman" w:cs="Times New Roman"/>
        </w:rPr>
        <w:t>T</w:t>
      </w:r>
      <w:r w:rsidR="00C23F35" w:rsidRPr="00FC2702">
        <w:rPr>
          <w:rFonts w:ascii="Times New Roman" w:hAnsi="Times New Roman" w:cs="Times New Roman"/>
        </w:rPr>
        <w:t>he</w:t>
      </w:r>
      <w:r w:rsidR="004E640D" w:rsidRPr="00FC2702">
        <w:rPr>
          <w:rFonts w:ascii="Times New Roman" w:hAnsi="Times New Roman" w:cs="Times New Roman"/>
        </w:rPr>
        <w:t>se</w:t>
      </w:r>
      <w:r w:rsidR="00C23F35" w:rsidRPr="00FC2702">
        <w:rPr>
          <w:rFonts w:ascii="Times New Roman" w:hAnsi="Times New Roman" w:cs="Times New Roman"/>
        </w:rPr>
        <w:t xml:space="preserve"> </w:t>
      </w:r>
      <w:r w:rsidRPr="00FC2702">
        <w:rPr>
          <w:rFonts w:ascii="Times New Roman" w:hAnsi="Times New Roman" w:cs="Times New Roman"/>
        </w:rPr>
        <w:t xml:space="preserve">were accompanied by </w:t>
      </w:r>
      <w:r w:rsidR="004E640D" w:rsidRPr="00FC2702">
        <w:rPr>
          <w:rFonts w:ascii="Times New Roman" w:hAnsi="Times New Roman" w:cs="Times New Roman"/>
        </w:rPr>
        <w:t>a</w:t>
      </w:r>
      <w:r w:rsidRPr="00FC2702">
        <w:rPr>
          <w:rFonts w:ascii="Times New Roman" w:hAnsi="Times New Roman" w:cs="Times New Roman"/>
        </w:rPr>
        <w:t xml:space="preserve"> </w:t>
      </w:r>
      <w:r w:rsidR="00C23F35" w:rsidRPr="00FC2702">
        <w:rPr>
          <w:rFonts w:ascii="Times New Roman" w:hAnsi="Times New Roman" w:cs="Times New Roman"/>
        </w:rPr>
        <w:t>consultation paper</w:t>
      </w:r>
      <w:r w:rsidR="004E640D" w:rsidRPr="00FC2702">
        <w:rPr>
          <w:rFonts w:ascii="Times New Roman" w:hAnsi="Times New Roman" w:cs="Times New Roman"/>
        </w:rPr>
        <w:t>,</w:t>
      </w:r>
      <w:r w:rsidR="00C23F35" w:rsidRPr="00FC2702">
        <w:rPr>
          <w:rFonts w:ascii="Times New Roman" w:hAnsi="Times New Roman" w:cs="Times New Roman"/>
        </w:rPr>
        <w:t xml:space="preserve"> </w:t>
      </w:r>
      <w:r w:rsidR="00C23F35" w:rsidRPr="00FC2702">
        <w:rPr>
          <w:rFonts w:ascii="Times New Roman" w:hAnsi="Times New Roman" w:cs="Times New Roman"/>
          <w:i/>
          <w:iCs/>
        </w:rPr>
        <w:t>Area-wide apparatus licences</w:t>
      </w:r>
      <w:r w:rsidR="004B267D" w:rsidRPr="00FC2702">
        <w:rPr>
          <w:rFonts w:ascii="Times New Roman" w:hAnsi="Times New Roman" w:cs="Times New Roman"/>
          <w:i/>
          <w:iCs/>
        </w:rPr>
        <w:t xml:space="preserve"> in the 3.8 GHz band in metropolitan and regional Australia </w:t>
      </w:r>
      <w:r w:rsidR="004B267D" w:rsidRPr="00FC2702">
        <w:rPr>
          <w:rFonts w:ascii="Times New Roman" w:hAnsi="Times New Roman" w:cs="Times New Roman"/>
        </w:rPr>
        <w:t>(</w:t>
      </w:r>
      <w:r w:rsidR="004B267D" w:rsidRPr="00FC2702">
        <w:rPr>
          <w:rFonts w:ascii="Times New Roman" w:hAnsi="Times New Roman" w:cs="Times New Roman"/>
          <w:b/>
          <w:bCs/>
        </w:rPr>
        <w:t>draft allocation consultation</w:t>
      </w:r>
      <w:r w:rsidR="004B267D" w:rsidRPr="00FC2702">
        <w:rPr>
          <w:rFonts w:ascii="Times New Roman" w:hAnsi="Times New Roman" w:cs="Times New Roman"/>
        </w:rPr>
        <w:t>)</w:t>
      </w:r>
      <w:r w:rsidR="00E276AC" w:rsidRPr="00FC2702">
        <w:rPr>
          <w:rFonts w:ascii="Times New Roman" w:hAnsi="Times New Roman" w:cs="Times New Roman"/>
        </w:rPr>
        <w:t>.</w:t>
      </w:r>
      <w:r w:rsidR="000578B5" w:rsidRPr="00FC2702">
        <w:rPr>
          <w:rFonts w:ascii="Times New Roman" w:hAnsi="Times New Roman" w:cs="Times New Roman"/>
        </w:rPr>
        <w:t xml:space="preserve"> </w:t>
      </w:r>
      <w:r w:rsidR="002B410F" w:rsidRPr="00FC2702">
        <w:rPr>
          <w:rFonts w:ascii="Times New Roman" w:hAnsi="Times New Roman" w:cs="Times New Roman"/>
        </w:rPr>
        <w:t xml:space="preserve">The </w:t>
      </w:r>
      <w:r w:rsidR="00DA047A" w:rsidRPr="00FC2702">
        <w:rPr>
          <w:rFonts w:ascii="Times New Roman" w:hAnsi="Times New Roman" w:cs="Times New Roman"/>
        </w:rPr>
        <w:t xml:space="preserve">draft allocation </w:t>
      </w:r>
      <w:r w:rsidR="002B410F" w:rsidRPr="00FC2702">
        <w:rPr>
          <w:rFonts w:ascii="Times New Roman" w:hAnsi="Times New Roman" w:cs="Times New Roman"/>
        </w:rPr>
        <w:t xml:space="preserve">consultation </w:t>
      </w:r>
      <w:r w:rsidR="0051179F" w:rsidRPr="00FC2702">
        <w:rPr>
          <w:rFonts w:ascii="Times New Roman" w:hAnsi="Times New Roman" w:cs="Times New Roman"/>
        </w:rPr>
        <w:t>sought views on</w:t>
      </w:r>
      <w:r w:rsidR="002B410F" w:rsidRPr="00FC2702">
        <w:rPr>
          <w:rFonts w:ascii="Times New Roman" w:hAnsi="Times New Roman" w:cs="Times New Roman"/>
        </w:rPr>
        <w:t xml:space="preserve"> </w:t>
      </w:r>
      <w:r w:rsidR="003C496E" w:rsidRPr="00FC2702">
        <w:rPr>
          <w:rFonts w:ascii="Times New Roman" w:hAnsi="Times New Roman" w:cs="Times New Roman"/>
        </w:rPr>
        <w:t xml:space="preserve">a range of matters </w:t>
      </w:r>
      <w:r w:rsidR="00DA047A" w:rsidRPr="00FC2702">
        <w:rPr>
          <w:rFonts w:ascii="Times New Roman" w:hAnsi="Times New Roman" w:cs="Times New Roman"/>
        </w:rPr>
        <w:t xml:space="preserve">relating to the allocation of the relevant AWLs, </w:t>
      </w:r>
      <w:r w:rsidR="003C496E" w:rsidRPr="00FC2702">
        <w:rPr>
          <w:rFonts w:ascii="Times New Roman" w:hAnsi="Times New Roman" w:cs="Times New Roman"/>
        </w:rPr>
        <w:t xml:space="preserve">including </w:t>
      </w:r>
      <w:r w:rsidR="00DA047A" w:rsidRPr="00FC2702">
        <w:rPr>
          <w:rFonts w:ascii="Times New Roman" w:hAnsi="Times New Roman" w:cs="Times New Roman"/>
        </w:rPr>
        <w:t xml:space="preserve">the </w:t>
      </w:r>
      <w:r w:rsidR="003C496E" w:rsidRPr="00FC2702">
        <w:rPr>
          <w:rFonts w:ascii="Times New Roman" w:hAnsi="Times New Roman" w:cs="Times New Roman"/>
        </w:rPr>
        <w:t>technical framework</w:t>
      </w:r>
      <w:r w:rsidR="00DA047A" w:rsidRPr="00FC2702">
        <w:rPr>
          <w:rFonts w:ascii="Times New Roman" w:hAnsi="Times New Roman" w:cs="Times New Roman"/>
        </w:rPr>
        <w:t xml:space="preserve"> that would apply</w:t>
      </w:r>
      <w:r w:rsidR="003C496E" w:rsidRPr="00FC2702">
        <w:rPr>
          <w:rFonts w:ascii="Times New Roman" w:hAnsi="Times New Roman" w:cs="Times New Roman"/>
        </w:rPr>
        <w:t xml:space="preserve">, licence tax arrangements, and licence </w:t>
      </w:r>
      <w:r w:rsidR="00DA047A" w:rsidRPr="00FC2702">
        <w:rPr>
          <w:rFonts w:ascii="Times New Roman" w:hAnsi="Times New Roman" w:cs="Times New Roman"/>
        </w:rPr>
        <w:t xml:space="preserve">duration </w:t>
      </w:r>
      <w:r w:rsidR="003C496E" w:rsidRPr="00FC2702">
        <w:rPr>
          <w:rFonts w:ascii="Times New Roman" w:hAnsi="Times New Roman" w:cs="Times New Roman"/>
        </w:rPr>
        <w:t>and renewal.</w:t>
      </w:r>
      <w:r w:rsidR="002B410F" w:rsidRPr="00FC2702">
        <w:rPr>
          <w:rFonts w:ascii="Times New Roman" w:hAnsi="Times New Roman" w:cs="Times New Roman"/>
        </w:rPr>
        <w:t xml:space="preserve"> </w:t>
      </w:r>
      <w:r w:rsidR="0028037B" w:rsidRPr="00FC2702">
        <w:rPr>
          <w:rFonts w:ascii="Times New Roman" w:hAnsi="Times New Roman" w:cs="Times New Roman"/>
        </w:rPr>
        <w:t>Relevant</w:t>
      </w:r>
      <w:r w:rsidR="000E4942" w:rsidRPr="00FC2702">
        <w:rPr>
          <w:rFonts w:ascii="Times New Roman" w:hAnsi="Times New Roman" w:cs="Times New Roman"/>
        </w:rPr>
        <w:t>ly</w:t>
      </w:r>
      <w:r w:rsidR="0028037B" w:rsidRPr="00FC2702">
        <w:rPr>
          <w:rFonts w:ascii="Times New Roman" w:hAnsi="Times New Roman" w:cs="Times New Roman"/>
        </w:rPr>
        <w:t xml:space="preserve"> to th</w:t>
      </w:r>
      <w:r w:rsidR="00DA047A" w:rsidRPr="00FC2702">
        <w:rPr>
          <w:rFonts w:ascii="Times New Roman" w:hAnsi="Times New Roman" w:cs="Times New Roman"/>
        </w:rPr>
        <w:t>e</w:t>
      </w:r>
      <w:r w:rsidR="0028037B" w:rsidRPr="00FC2702">
        <w:rPr>
          <w:rFonts w:ascii="Times New Roman" w:hAnsi="Times New Roman" w:cs="Times New Roman"/>
        </w:rPr>
        <w:t xml:space="preserve"> instrument, the ACMA sought feedback on options for the approach to allocating </w:t>
      </w:r>
      <w:r w:rsidR="00DA047A" w:rsidRPr="00FC2702">
        <w:rPr>
          <w:rFonts w:ascii="Times New Roman" w:hAnsi="Times New Roman" w:cs="Times New Roman"/>
        </w:rPr>
        <w:t xml:space="preserve">the relevant </w:t>
      </w:r>
      <w:r w:rsidR="0028037B" w:rsidRPr="00FC2702">
        <w:rPr>
          <w:rFonts w:ascii="Times New Roman" w:hAnsi="Times New Roman" w:cs="Times New Roman"/>
        </w:rPr>
        <w:t>AWLs in the 3.8 GHz band</w:t>
      </w:r>
      <w:r w:rsidR="003257EA" w:rsidRPr="00FC2702">
        <w:rPr>
          <w:rFonts w:ascii="Times New Roman" w:hAnsi="Times New Roman" w:cs="Times New Roman"/>
        </w:rPr>
        <w:t>,</w:t>
      </w:r>
      <w:r w:rsidR="0028037B" w:rsidRPr="00FC2702">
        <w:rPr>
          <w:rFonts w:ascii="Times New Roman" w:hAnsi="Times New Roman" w:cs="Times New Roman"/>
        </w:rPr>
        <w:t xml:space="preserve"> the </w:t>
      </w:r>
      <w:r w:rsidR="003257EA" w:rsidRPr="00FC2702">
        <w:rPr>
          <w:rFonts w:ascii="Times New Roman" w:hAnsi="Times New Roman" w:cs="Times New Roman"/>
        </w:rPr>
        <w:t xml:space="preserve">imposition </w:t>
      </w:r>
      <w:r w:rsidR="0028037B" w:rsidRPr="00FC2702">
        <w:rPr>
          <w:rFonts w:ascii="Times New Roman" w:hAnsi="Times New Roman" w:cs="Times New Roman"/>
        </w:rPr>
        <w:t>of limits</w:t>
      </w:r>
      <w:r w:rsidR="003257EA" w:rsidRPr="00FC2702">
        <w:rPr>
          <w:rFonts w:ascii="Times New Roman" w:hAnsi="Times New Roman" w:cs="Times New Roman"/>
        </w:rPr>
        <w:t xml:space="preserve"> and restrictions on authorisation and transfer</w:t>
      </w:r>
      <w:r w:rsidR="0028037B" w:rsidRPr="00FC2702">
        <w:rPr>
          <w:rFonts w:ascii="Times New Roman" w:hAnsi="Times New Roman" w:cs="Times New Roman"/>
        </w:rPr>
        <w:t>.</w:t>
      </w:r>
    </w:p>
    <w:p w14:paraId="1EC1C165" w14:textId="1DDCADDF" w:rsidR="00C5595B" w:rsidRPr="00FC2702" w:rsidRDefault="00C5595B" w:rsidP="00D76FE3">
      <w:pPr>
        <w:rPr>
          <w:rFonts w:ascii="Times New Roman" w:hAnsi="Times New Roman" w:cs="Times New Roman"/>
        </w:rPr>
      </w:pPr>
      <w:r w:rsidRPr="00FC2702">
        <w:rPr>
          <w:rFonts w:ascii="Times New Roman" w:hAnsi="Times New Roman" w:cs="Times New Roman"/>
        </w:rPr>
        <w:t>Broadly, t</w:t>
      </w:r>
      <w:r w:rsidR="00391233" w:rsidRPr="00FC2702">
        <w:rPr>
          <w:rFonts w:ascii="Times New Roman" w:hAnsi="Times New Roman" w:cs="Times New Roman"/>
        </w:rPr>
        <w:t xml:space="preserve">he ACMA proposed two </w:t>
      </w:r>
      <w:r w:rsidR="00611C2C" w:rsidRPr="00FC2702">
        <w:rPr>
          <w:rFonts w:ascii="Times New Roman" w:hAnsi="Times New Roman" w:cs="Times New Roman"/>
        </w:rPr>
        <w:t xml:space="preserve">options </w:t>
      </w:r>
      <w:r w:rsidRPr="00FC2702">
        <w:rPr>
          <w:rFonts w:ascii="Times New Roman" w:hAnsi="Times New Roman" w:cs="Times New Roman"/>
        </w:rPr>
        <w:t>for</w:t>
      </w:r>
      <w:r w:rsidR="00611C2C" w:rsidRPr="00FC2702">
        <w:rPr>
          <w:rFonts w:ascii="Times New Roman" w:hAnsi="Times New Roman" w:cs="Times New Roman"/>
        </w:rPr>
        <w:t xml:space="preserve"> allocating </w:t>
      </w:r>
      <w:r w:rsidR="00971D89" w:rsidRPr="00FC2702">
        <w:rPr>
          <w:rFonts w:ascii="Times New Roman" w:hAnsi="Times New Roman" w:cs="Times New Roman"/>
        </w:rPr>
        <w:t xml:space="preserve">relevant </w:t>
      </w:r>
      <w:r w:rsidR="00611C2C" w:rsidRPr="00FC2702">
        <w:rPr>
          <w:rFonts w:ascii="Times New Roman" w:hAnsi="Times New Roman" w:cs="Times New Roman"/>
        </w:rPr>
        <w:t>AWLs</w:t>
      </w:r>
      <w:r w:rsidR="00550E29" w:rsidRPr="00FC2702">
        <w:rPr>
          <w:rFonts w:ascii="Times New Roman" w:hAnsi="Times New Roman" w:cs="Times New Roman"/>
        </w:rPr>
        <w:t>. In both options, the ACMA would ask for applications for relevant AWLs to be made during a 4-week ‘application window’</w:t>
      </w:r>
      <w:r w:rsidR="00FF064C" w:rsidRPr="00FC2702">
        <w:rPr>
          <w:rFonts w:ascii="Times New Roman" w:hAnsi="Times New Roman" w:cs="Times New Roman"/>
        </w:rPr>
        <w:t xml:space="preserve">. The ACMA would consider the applications made during the window and decide whether any relevant AWLs should be issued to those applicants. </w:t>
      </w:r>
      <w:r w:rsidR="00CB797E" w:rsidRPr="00FC2702">
        <w:rPr>
          <w:rFonts w:ascii="Times New Roman" w:hAnsi="Times New Roman" w:cs="Times New Roman"/>
        </w:rPr>
        <w:t>After those decisions had been made, any future applications</w:t>
      </w:r>
      <w:r w:rsidR="003458AD" w:rsidRPr="00FC2702">
        <w:rPr>
          <w:rFonts w:ascii="Times New Roman" w:hAnsi="Times New Roman" w:cs="Times New Roman"/>
        </w:rPr>
        <w:t xml:space="preserve"> for relevant AWLs</w:t>
      </w:r>
      <w:r w:rsidR="00CB797E" w:rsidRPr="00FC2702">
        <w:rPr>
          <w:rFonts w:ascii="Times New Roman" w:hAnsi="Times New Roman" w:cs="Times New Roman"/>
        </w:rPr>
        <w:t xml:space="preserve"> would</w:t>
      </w:r>
      <w:r w:rsidR="000D74AF" w:rsidRPr="00FC2702">
        <w:rPr>
          <w:rFonts w:ascii="Times New Roman" w:hAnsi="Times New Roman" w:cs="Times New Roman"/>
        </w:rPr>
        <w:t xml:space="preserve"> either be considered in another ‘application window’,</w:t>
      </w:r>
      <w:r w:rsidR="00102ACF" w:rsidRPr="00FC2702">
        <w:rPr>
          <w:rFonts w:ascii="Times New Roman" w:hAnsi="Times New Roman" w:cs="Times New Roman"/>
        </w:rPr>
        <w:t xml:space="preserve"> or</w:t>
      </w:r>
      <w:r w:rsidR="00CB797E" w:rsidRPr="00FC2702">
        <w:rPr>
          <w:rFonts w:ascii="Times New Roman" w:hAnsi="Times New Roman" w:cs="Times New Roman"/>
        </w:rPr>
        <w:t xml:space="preserve"> </w:t>
      </w:r>
      <w:r w:rsidR="003458AD" w:rsidRPr="00FC2702">
        <w:rPr>
          <w:rFonts w:ascii="Times New Roman" w:hAnsi="Times New Roman" w:cs="Times New Roman"/>
        </w:rPr>
        <w:lastRenderedPageBreak/>
        <w:t xml:space="preserve">generally </w:t>
      </w:r>
      <w:r w:rsidR="00CB797E" w:rsidRPr="00FC2702">
        <w:rPr>
          <w:rFonts w:ascii="Times New Roman" w:hAnsi="Times New Roman" w:cs="Times New Roman"/>
        </w:rPr>
        <w:t xml:space="preserve">be considered on a ‘first-in-time’ basis. </w:t>
      </w:r>
      <w:r w:rsidR="00AF66D9" w:rsidRPr="00FC2702">
        <w:rPr>
          <w:rFonts w:ascii="Times New Roman" w:hAnsi="Times New Roman" w:cs="Times New Roman"/>
        </w:rPr>
        <w:t>The options differed on how limits would be imposed</w:t>
      </w:r>
      <w:r w:rsidR="008B7943" w:rsidRPr="00FC2702">
        <w:rPr>
          <w:rFonts w:ascii="Times New Roman" w:hAnsi="Times New Roman" w:cs="Times New Roman"/>
        </w:rPr>
        <w:t>:</w:t>
      </w:r>
    </w:p>
    <w:p w14:paraId="3A021DD3" w14:textId="6C914E2C" w:rsidR="008B7943" w:rsidRPr="00FC2702" w:rsidRDefault="008B7943" w:rsidP="008B7943">
      <w:pPr>
        <w:pStyle w:val="ListParagraph"/>
        <w:numPr>
          <w:ilvl w:val="0"/>
          <w:numId w:val="28"/>
        </w:numPr>
        <w:rPr>
          <w:rFonts w:ascii="Times New Roman" w:hAnsi="Times New Roman" w:cs="Times New Roman"/>
        </w:rPr>
      </w:pPr>
      <w:r w:rsidRPr="00FC2702">
        <w:rPr>
          <w:rFonts w:ascii="Times New Roman" w:hAnsi="Times New Roman" w:cs="Times New Roman"/>
        </w:rPr>
        <w:t>Th</w:t>
      </w:r>
      <w:r w:rsidR="008353B7" w:rsidRPr="00FC2702">
        <w:rPr>
          <w:rFonts w:ascii="Times New Roman" w:hAnsi="Times New Roman" w:cs="Times New Roman"/>
        </w:rPr>
        <w:t xml:space="preserve">e first option was to </w:t>
      </w:r>
      <w:r w:rsidR="00AF66D9" w:rsidRPr="00FC2702">
        <w:rPr>
          <w:rFonts w:ascii="Times New Roman" w:hAnsi="Times New Roman" w:cs="Times New Roman"/>
        </w:rPr>
        <w:t xml:space="preserve">impose </w:t>
      </w:r>
      <w:r w:rsidR="008353B7" w:rsidRPr="00FC2702">
        <w:rPr>
          <w:rFonts w:ascii="Times New Roman" w:hAnsi="Times New Roman" w:cs="Times New Roman"/>
        </w:rPr>
        <w:t xml:space="preserve">a temporary </w:t>
      </w:r>
      <w:r w:rsidR="00AF66D9" w:rsidRPr="00FC2702">
        <w:rPr>
          <w:rFonts w:ascii="Times New Roman" w:hAnsi="Times New Roman" w:cs="Times New Roman"/>
        </w:rPr>
        <w:t>nil</w:t>
      </w:r>
      <w:r w:rsidR="008353B7" w:rsidRPr="00FC2702">
        <w:rPr>
          <w:rFonts w:ascii="Times New Roman" w:hAnsi="Times New Roman" w:cs="Times New Roman"/>
        </w:rPr>
        <w:t xml:space="preserve"> limit</w:t>
      </w:r>
      <w:r w:rsidR="00236878" w:rsidRPr="00FC2702">
        <w:rPr>
          <w:rFonts w:ascii="Times New Roman" w:hAnsi="Times New Roman" w:cs="Times New Roman"/>
        </w:rPr>
        <w:t xml:space="preserve"> under subsection 102G(1)</w:t>
      </w:r>
      <w:r w:rsidR="00AF66D9" w:rsidRPr="00FC2702">
        <w:rPr>
          <w:rFonts w:ascii="Times New Roman" w:hAnsi="Times New Roman" w:cs="Times New Roman"/>
        </w:rPr>
        <w:t>, for a period of 3, 6 or 12 months</w:t>
      </w:r>
      <w:r w:rsidR="002518F9" w:rsidRPr="00FC2702">
        <w:rPr>
          <w:rFonts w:ascii="Times New Roman" w:hAnsi="Times New Roman" w:cs="Times New Roman"/>
        </w:rPr>
        <w:t>, applying to the named persons and their associates</w:t>
      </w:r>
      <w:r w:rsidR="003F013E" w:rsidRPr="00FC2702">
        <w:rPr>
          <w:rFonts w:ascii="Times New Roman" w:hAnsi="Times New Roman" w:cs="Times New Roman"/>
        </w:rPr>
        <w:t>.</w:t>
      </w:r>
      <w:r w:rsidR="00973517" w:rsidRPr="00FC2702">
        <w:rPr>
          <w:rFonts w:ascii="Times New Roman" w:hAnsi="Times New Roman" w:cs="Times New Roman"/>
        </w:rPr>
        <w:t xml:space="preserve"> After the </w:t>
      </w:r>
      <w:r w:rsidR="00236878" w:rsidRPr="00FC2702">
        <w:rPr>
          <w:rFonts w:ascii="Times New Roman" w:hAnsi="Times New Roman" w:cs="Times New Roman"/>
        </w:rPr>
        <w:t>nil</w:t>
      </w:r>
      <w:r w:rsidR="00B4754E" w:rsidRPr="00FC2702">
        <w:rPr>
          <w:rFonts w:ascii="Times New Roman" w:hAnsi="Times New Roman" w:cs="Times New Roman"/>
        </w:rPr>
        <w:t xml:space="preserve"> limit </w:t>
      </w:r>
      <w:r w:rsidR="00236878" w:rsidRPr="00FC2702">
        <w:rPr>
          <w:rFonts w:ascii="Times New Roman" w:hAnsi="Times New Roman" w:cs="Times New Roman"/>
        </w:rPr>
        <w:t>ceased</w:t>
      </w:r>
      <w:r w:rsidR="00EE0A63" w:rsidRPr="00FC2702">
        <w:rPr>
          <w:rFonts w:ascii="Times New Roman" w:hAnsi="Times New Roman" w:cs="Times New Roman"/>
        </w:rPr>
        <w:t xml:space="preserve">, </w:t>
      </w:r>
      <w:r w:rsidR="00C714D6" w:rsidRPr="00FC2702">
        <w:rPr>
          <w:rFonts w:ascii="Times New Roman" w:hAnsi="Times New Roman" w:cs="Times New Roman"/>
        </w:rPr>
        <w:t xml:space="preserve">the ACMA would </w:t>
      </w:r>
      <w:r w:rsidR="002518F9" w:rsidRPr="00FC2702">
        <w:rPr>
          <w:rFonts w:ascii="Times New Roman" w:hAnsi="Times New Roman" w:cs="Times New Roman"/>
        </w:rPr>
        <w:t xml:space="preserve">impose </w:t>
      </w:r>
      <w:r w:rsidR="00C714D6" w:rsidRPr="00FC2702">
        <w:rPr>
          <w:rFonts w:ascii="Times New Roman" w:hAnsi="Times New Roman" w:cs="Times New Roman"/>
        </w:rPr>
        <w:t xml:space="preserve">a </w:t>
      </w:r>
      <w:r w:rsidR="003456AF" w:rsidRPr="00FC2702">
        <w:rPr>
          <w:rFonts w:ascii="Times New Roman" w:hAnsi="Times New Roman" w:cs="Times New Roman"/>
        </w:rPr>
        <w:t xml:space="preserve">temporary </w:t>
      </w:r>
      <w:r w:rsidR="00C714D6" w:rsidRPr="00FC2702">
        <w:rPr>
          <w:rFonts w:ascii="Times New Roman" w:hAnsi="Times New Roman" w:cs="Times New Roman"/>
        </w:rPr>
        <w:t>limit which place</w:t>
      </w:r>
      <w:r w:rsidR="002518F9" w:rsidRPr="00FC2702">
        <w:rPr>
          <w:rFonts w:ascii="Times New Roman" w:hAnsi="Times New Roman" w:cs="Times New Roman"/>
        </w:rPr>
        <w:t>d</w:t>
      </w:r>
      <w:r w:rsidR="00C714D6" w:rsidRPr="00FC2702">
        <w:rPr>
          <w:rFonts w:ascii="Times New Roman" w:hAnsi="Times New Roman" w:cs="Times New Roman"/>
        </w:rPr>
        <w:t xml:space="preserve"> a </w:t>
      </w:r>
      <w:r w:rsidR="002518F9" w:rsidRPr="00FC2702">
        <w:rPr>
          <w:rFonts w:ascii="Times New Roman" w:hAnsi="Times New Roman" w:cs="Times New Roman"/>
        </w:rPr>
        <w:t xml:space="preserve">limit </w:t>
      </w:r>
      <w:r w:rsidR="00C714D6" w:rsidRPr="00FC2702">
        <w:rPr>
          <w:rFonts w:ascii="Times New Roman" w:hAnsi="Times New Roman" w:cs="Times New Roman"/>
        </w:rPr>
        <w:t xml:space="preserve">on the </w:t>
      </w:r>
      <w:r w:rsidR="002518F9" w:rsidRPr="00FC2702">
        <w:rPr>
          <w:rFonts w:ascii="Times New Roman" w:hAnsi="Times New Roman" w:cs="Times New Roman"/>
        </w:rPr>
        <w:t xml:space="preserve">total </w:t>
      </w:r>
      <w:r w:rsidR="00C714D6" w:rsidRPr="00FC2702">
        <w:rPr>
          <w:rFonts w:ascii="Times New Roman" w:hAnsi="Times New Roman" w:cs="Times New Roman"/>
        </w:rPr>
        <w:t>amount of spectrum</w:t>
      </w:r>
      <w:r w:rsidR="002518F9" w:rsidRPr="00FC2702">
        <w:rPr>
          <w:rFonts w:ascii="Times New Roman" w:hAnsi="Times New Roman" w:cs="Times New Roman"/>
        </w:rPr>
        <w:t>, in aggregate,</w:t>
      </w:r>
      <w:r w:rsidR="00C714D6" w:rsidRPr="00FC2702">
        <w:rPr>
          <w:rFonts w:ascii="Times New Roman" w:hAnsi="Times New Roman" w:cs="Times New Roman"/>
        </w:rPr>
        <w:t xml:space="preserve"> any </w:t>
      </w:r>
      <w:r w:rsidR="0098443A" w:rsidRPr="00FC2702">
        <w:rPr>
          <w:rFonts w:ascii="Times New Roman" w:hAnsi="Times New Roman" w:cs="Times New Roman"/>
        </w:rPr>
        <w:t>named</w:t>
      </w:r>
      <w:r w:rsidR="007417B2" w:rsidRPr="00FC2702">
        <w:rPr>
          <w:rFonts w:ascii="Times New Roman" w:hAnsi="Times New Roman" w:cs="Times New Roman"/>
        </w:rPr>
        <w:t xml:space="preserve"> </w:t>
      </w:r>
      <w:r w:rsidR="002518F9" w:rsidRPr="00FC2702">
        <w:rPr>
          <w:rFonts w:ascii="Times New Roman" w:hAnsi="Times New Roman" w:cs="Times New Roman"/>
        </w:rPr>
        <w:t>person</w:t>
      </w:r>
      <w:r w:rsidR="007417B2" w:rsidRPr="00FC2702">
        <w:rPr>
          <w:rFonts w:ascii="Times New Roman" w:hAnsi="Times New Roman" w:cs="Times New Roman"/>
        </w:rPr>
        <w:t xml:space="preserve"> and</w:t>
      </w:r>
      <w:r w:rsidR="00C714D6" w:rsidRPr="00FC2702">
        <w:rPr>
          <w:rFonts w:ascii="Times New Roman" w:hAnsi="Times New Roman" w:cs="Times New Roman"/>
        </w:rPr>
        <w:t xml:space="preserve"> its associates could </w:t>
      </w:r>
      <w:r w:rsidR="002518F9" w:rsidRPr="00FC2702">
        <w:rPr>
          <w:rFonts w:ascii="Times New Roman" w:hAnsi="Times New Roman" w:cs="Times New Roman"/>
        </w:rPr>
        <w:t xml:space="preserve">be authorised to use </w:t>
      </w:r>
      <w:r w:rsidR="00C714D6" w:rsidRPr="00FC2702">
        <w:rPr>
          <w:rFonts w:ascii="Times New Roman" w:hAnsi="Times New Roman" w:cs="Times New Roman"/>
        </w:rPr>
        <w:t xml:space="preserve">in the 3.4 GHz band, as a result of </w:t>
      </w:r>
      <w:r w:rsidR="002518F9" w:rsidRPr="00FC2702">
        <w:rPr>
          <w:rFonts w:ascii="Times New Roman" w:hAnsi="Times New Roman" w:cs="Times New Roman"/>
        </w:rPr>
        <w:t xml:space="preserve">being issued </w:t>
      </w:r>
      <w:r w:rsidR="00A94844" w:rsidRPr="00FC2702">
        <w:rPr>
          <w:rFonts w:ascii="Times New Roman" w:hAnsi="Times New Roman" w:cs="Times New Roman"/>
        </w:rPr>
        <w:t>a relevant AWL</w:t>
      </w:r>
      <w:r w:rsidR="00483FBF" w:rsidRPr="00FC2702">
        <w:rPr>
          <w:rFonts w:ascii="Times New Roman" w:hAnsi="Times New Roman" w:cs="Times New Roman"/>
        </w:rPr>
        <w:t xml:space="preserve"> (the </w:t>
      </w:r>
      <w:r w:rsidR="00483FBF" w:rsidRPr="00FC2702">
        <w:rPr>
          <w:rFonts w:ascii="Times New Roman" w:hAnsi="Times New Roman" w:cs="Times New Roman"/>
          <w:b/>
          <w:bCs/>
        </w:rPr>
        <w:t>cross-band limit</w:t>
      </w:r>
      <w:r w:rsidR="00483FBF" w:rsidRPr="00FC2702">
        <w:rPr>
          <w:rFonts w:ascii="Times New Roman" w:hAnsi="Times New Roman" w:cs="Times New Roman"/>
        </w:rPr>
        <w:t>)</w:t>
      </w:r>
      <w:r w:rsidR="00C714D6" w:rsidRPr="00FC2702">
        <w:rPr>
          <w:rFonts w:ascii="Times New Roman" w:hAnsi="Times New Roman" w:cs="Times New Roman"/>
        </w:rPr>
        <w:t xml:space="preserve">. </w:t>
      </w:r>
      <w:r w:rsidR="00A94844" w:rsidRPr="00FC2702">
        <w:rPr>
          <w:rFonts w:ascii="Times New Roman" w:hAnsi="Times New Roman" w:cs="Times New Roman"/>
        </w:rPr>
        <w:t>This subsequent limit would be in place for a period of 3, 6 or 12 months</w:t>
      </w:r>
      <w:r w:rsidR="00F358EA" w:rsidRPr="00FC2702">
        <w:rPr>
          <w:rFonts w:ascii="Times New Roman" w:hAnsi="Times New Roman" w:cs="Times New Roman"/>
        </w:rPr>
        <w:t>, commencing after the nil limit ceased</w:t>
      </w:r>
      <w:r w:rsidR="00A94844" w:rsidRPr="00FC2702">
        <w:rPr>
          <w:rFonts w:ascii="Times New Roman" w:hAnsi="Times New Roman" w:cs="Times New Roman"/>
        </w:rPr>
        <w:t>.</w:t>
      </w:r>
      <w:r w:rsidR="00DF6D38" w:rsidRPr="00FC2702">
        <w:rPr>
          <w:rFonts w:ascii="Times New Roman" w:hAnsi="Times New Roman" w:cs="Times New Roman"/>
        </w:rPr>
        <w:t xml:space="preserve"> </w:t>
      </w:r>
      <w:r w:rsidR="00831207" w:rsidRPr="00FC2702">
        <w:rPr>
          <w:rFonts w:ascii="Times New Roman" w:hAnsi="Times New Roman" w:cs="Times New Roman"/>
        </w:rPr>
        <w:t>The cross-band limit would be</w:t>
      </w:r>
      <w:r w:rsidR="00A86F09" w:rsidRPr="00FC2702">
        <w:rPr>
          <w:rFonts w:ascii="Times New Roman" w:hAnsi="Times New Roman" w:cs="Times New Roman"/>
        </w:rPr>
        <w:t xml:space="preserve"> 140 MHz in </w:t>
      </w:r>
      <w:r w:rsidR="00454488" w:rsidRPr="00FC2702">
        <w:rPr>
          <w:rFonts w:ascii="Times New Roman" w:hAnsi="Times New Roman" w:cs="Times New Roman"/>
        </w:rPr>
        <w:t>the</w:t>
      </w:r>
      <w:r w:rsidR="00A86F09" w:rsidRPr="00FC2702">
        <w:rPr>
          <w:rFonts w:ascii="Times New Roman" w:hAnsi="Times New Roman" w:cs="Times New Roman"/>
        </w:rPr>
        <w:t xml:space="preserve"> metropolitan </w:t>
      </w:r>
      <w:r w:rsidR="00454488" w:rsidRPr="00FC2702">
        <w:rPr>
          <w:rFonts w:ascii="Times New Roman" w:hAnsi="Times New Roman" w:cs="Times New Roman"/>
        </w:rPr>
        <w:t>area</w:t>
      </w:r>
      <w:r w:rsidR="00A86F09" w:rsidRPr="00FC2702">
        <w:rPr>
          <w:rFonts w:ascii="Times New Roman" w:hAnsi="Times New Roman" w:cs="Times New Roman"/>
        </w:rPr>
        <w:t>, and</w:t>
      </w:r>
      <w:r w:rsidR="00831207" w:rsidRPr="00FC2702">
        <w:rPr>
          <w:rFonts w:ascii="Times New Roman" w:hAnsi="Times New Roman" w:cs="Times New Roman"/>
        </w:rPr>
        <w:t xml:space="preserve"> either 140 MHz or 160 MHz</w:t>
      </w:r>
      <w:r w:rsidR="00A86F09" w:rsidRPr="00FC2702">
        <w:rPr>
          <w:rFonts w:ascii="Times New Roman" w:hAnsi="Times New Roman" w:cs="Times New Roman"/>
        </w:rPr>
        <w:t xml:space="preserve"> </w:t>
      </w:r>
      <w:r w:rsidR="00CC4957" w:rsidRPr="00FC2702">
        <w:rPr>
          <w:rFonts w:ascii="Times New Roman" w:hAnsi="Times New Roman" w:cs="Times New Roman"/>
        </w:rPr>
        <w:t>in the regional area</w:t>
      </w:r>
      <w:r w:rsidR="009E7A9F">
        <w:rPr>
          <w:rFonts w:ascii="Times New Roman" w:hAnsi="Times New Roman" w:cs="Times New Roman"/>
        </w:rPr>
        <w:t>. These areas are divided into and renamed as a</w:t>
      </w:r>
      <w:r w:rsidR="001B2371" w:rsidRPr="00FC2702">
        <w:rPr>
          <w:rFonts w:ascii="Times New Roman" w:hAnsi="Times New Roman" w:cs="Times New Roman"/>
        </w:rPr>
        <w:t xml:space="preserve"> </w:t>
      </w:r>
      <w:r w:rsidR="00D22EF6">
        <w:rPr>
          <w:rFonts w:ascii="Times New Roman" w:hAnsi="Times New Roman" w:cs="Times New Roman"/>
        </w:rPr>
        <w:t xml:space="preserve">metropolitan area, </w:t>
      </w:r>
      <w:r w:rsidR="009E7A9F">
        <w:rPr>
          <w:rFonts w:ascii="Times New Roman" w:hAnsi="Times New Roman" w:cs="Times New Roman"/>
        </w:rPr>
        <w:t xml:space="preserve">a </w:t>
      </w:r>
      <w:r w:rsidR="00587102" w:rsidRPr="00FC2702">
        <w:rPr>
          <w:rFonts w:ascii="Times New Roman" w:hAnsi="Times New Roman" w:cs="Times New Roman"/>
        </w:rPr>
        <w:t xml:space="preserve">regional area and </w:t>
      </w:r>
      <w:r w:rsidR="009E7A9F">
        <w:rPr>
          <w:rFonts w:ascii="Times New Roman" w:hAnsi="Times New Roman" w:cs="Times New Roman"/>
        </w:rPr>
        <w:t xml:space="preserve">a </w:t>
      </w:r>
      <w:r w:rsidR="00587102" w:rsidRPr="00FC2702">
        <w:rPr>
          <w:rFonts w:ascii="Times New Roman" w:hAnsi="Times New Roman" w:cs="Times New Roman"/>
        </w:rPr>
        <w:t>rural area in the instrument</w:t>
      </w:r>
      <w:r w:rsidR="00831207" w:rsidRPr="00FC2702">
        <w:rPr>
          <w:rFonts w:ascii="Times New Roman" w:hAnsi="Times New Roman" w:cs="Times New Roman"/>
        </w:rPr>
        <w:t>.</w:t>
      </w:r>
    </w:p>
    <w:p w14:paraId="16ED54DF" w14:textId="775FA3D5" w:rsidR="008B09EE" w:rsidRPr="00FC2702" w:rsidRDefault="008B09EE" w:rsidP="008B7943">
      <w:pPr>
        <w:pStyle w:val="ListParagraph"/>
        <w:numPr>
          <w:ilvl w:val="0"/>
          <w:numId w:val="28"/>
        </w:numPr>
        <w:rPr>
          <w:rFonts w:ascii="Times New Roman" w:hAnsi="Times New Roman" w:cs="Times New Roman"/>
        </w:rPr>
      </w:pPr>
      <w:r w:rsidRPr="00FC2702">
        <w:rPr>
          <w:rFonts w:ascii="Times New Roman" w:hAnsi="Times New Roman" w:cs="Times New Roman"/>
        </w:rPr>
        <w:t xml:space="preserve">The second option was to </w:t>
      </w:r>
      <w:r w:rsidR="00483FBF" w:rsidRPr="00FC2702">
        <w:rPr>
          <w:rFonts w:ascii="Times New Roman" w:hAnsi="Times New Roman" w:cs="Times New Roman"/>
        </w:rPr>
        <w:t xml:space="preserve">impose </w:t>
      </w:r>
      <w:r w:rsidRPr="00FC2702">
        <w:rPr>
          <w:rFonts w:ascii="Times New Roman" w:hAnsi="Times New Roman" w:cs="Times New Roman"/>
        </w:rPr>
        <w:t>a temporary cross-band limit, similar to that proposed in the first option</w:t>
      </w:r>
      <w:r w:rsidR="00831207" w:rsidRPr="00FC2702">
        <w:rPr>
          <w:rFonts w:ascii="Times New Roman" w:hAnsi="Times New Roman" w:cs="Times New Roman"/>
        </w:rPr>
        <w:t>, for a period of up to 18 months</w:t>
      </w:r>
      <w:r w:rsidR="000453C3" w:rsidRPr="00FC2702">
        <w:rPr>
          <w:rFonts w:ascii="Times New Roman" w:hAnsi="Times New Roman" w:cs="Times New Roman"/>
        </w:rPr>
        <w:t xml:space="preserve"> (that is, there would be no nil limit)</w:t>
      </w:r>
      <w:r w:rsidR="008A087B" w:rsidRPr="00FC2702">
        <w:rPr>
          <w:rFonts w:ascii="Times New Roman" w:hAnsi="Times New Roman" w:cs="Times New Roman"/>
        </w:rPr>
        <w:t>.</w:t>
      </w:r>
    </w:p>
    <w:p w14:paraId="677A8826" w14:textId="731EC0C6" w:rsidR="00DE4AB0" w:rsidRPr="00FC2702" w:rsidRDefault="00BF13BC" w:rsidP="00AF45E9">
      <w:pPr>
        <w:rPr>
          <w:rFonts w:ascii="Times New Roman" w:hAnsi="Times New Roman" w:cs="Times New Roman"/>
        </w:rPr>
      </w:pPr>
      <w:r w:rsidRPr="00FC2702">
        <w:rPr>
          <w:rFonts w:ascii="Times New Roman" w:hAnsi="Times New Roman" w:cs="Times New Roman"/>
        </w:rPr>
        <w:t xml:space="preserve">In accordance with subsection </w:t>
      </w:r>
      <w:r w:rsidR="00680DEF" w:rsidRPr="00FC2702">
        <w:rPr>
          <w:rFonts w:ascii="Times New Roman" w:hAnsi="Times New Roman" w:cs="Times New Roman"/>
        </w:rPr>
        <w:t>102G(6)</w:t>
      </w:r>
      <w:r w:rsidR="008073D4" w:rsidRPr="00FC2702">
        <w:rPr>
          <w:rFonts w:ascii="Times New Roman" w:hAnsi="Times New Roman" w:cs="Times New Roman"/>
        </w:rPr>
        <w:t xml:space="preserve"> of the Act, the ACMA consulted with the Australian Competition and Consumer Commission (</w:t>
      </w:r>
      <w:r w:rsidR="0029379C" w:rsidRPr="00FC2702">
        <w:rPr>
          <w:rFonts w:ascii="Times New Roman" w:hAnsi="Times New Roman" w:cs="Times New Roman"/>
        </w:rPr>
        <w:t xml:space="preserve">the </w:t>
      </w:r>
      <w:r w:rsidR="008073D4" w:rsidRPr="00FC2702">
        <w:rPr>
          <w:rFonts w:ascii="Times New Roman" w:hAnsi="Times New Roman" w:cs="Times New Roman"/>
          <w:b/>
          <w:bCs/>
        </w:rPr>
        <w:t>ACCC</w:t>
      </w:r>
      <w:r w:rsidR="008073D4" w:rsidRPr="00FC2702">
        <w:rPr>
          <w:rFonts w:ascii="Times New Roman" w:hAnsi="Times New Roman" w:cs="Times New Roman"/>
        </w:rPr>
        <w:t xml:space="preserve">) about </w:t>
      </w:r>
      <w:r w:rsidR="00575837" w:rsidRPr="00FC2702">
        <w:rPr>
          <w:rFonts w:ascii="Times New Roman" w:hAnsi="Times New Roman" w:cs="Times New Roman"/>
        </w:rPr>
        <w:t xml:space="preserve">whether the </w:t>
      </w:r>
      <w:r w:rsidR="0029379C" w:rsidRPr="00FC2702">
        <w:rPr>
          <w:rFonts w:ascii="Times New Roman" w:hAnsi="Times New Roman" w:cs="Times New Roman"/>
        </w:rPr>
        <w:t xml:space="preserve">ACMA </w:t>
      </w:r>
      <w:r w:rsidR="00786D49" w:rsidRPr="00FC2702">
        <w:rPr>
          <w:rFonts w:ascii="Times New Roman" w:hAnsi="Times New Roman" w:cs="Times New Roman"/>
        </w:rPr>
        <w:t>should impose limits</w:t>
      </w:r>
      <w:r w:rsidR="00111971" w:rsidRPr="00FC2702">
        <w:rPr>
          <w:rFonts w:ascii="Times New Roman" w:hAnsi="Times New Roman" w:cs="Times New Roman"/>
        </w:rPr>
        <w:t xml:space="preserve"> </w:t>
      </w:r>
      <w:r w:rsidR="0029379C" w:rsidRPr="00FC2702">
        <w:rPr>
          <w:rFonts w:ascii="Times New Roman" w:hAnsi="Times New Roman" w:cs="Times New Roman"/>
        </w:rPr>
        <w:t xml:space="preserve">in relation to the allocation and issue of the relevant AWLs </w:t>
      </w:r>
      <w:r w:rsidR="00111971" w:rsidRPr="00FC2702">
        <w:rPr>
          <w:rFonts w:ascii="Times New Roman" w:hAnsi="Times New Roman" w:cs="Times New Roman"/>
        </w:rPr>
        <w:t>and, if so, the nature of the limits.</w:t>
      </w:r>
      <w:r w:rsidR="00D86734" w:rsidRPr="00FC2702">
        <w:rPr>
          <w:rFonts w:ascii="Times New Roman" w:hAnsi="Times New Roman" w:cs="Times New Roman"/>
        </w:rPr>
        <w:t xml:space="preserve"> </w:t>
      </w:r>
    </w:p>
    <w:p w14:paraId="74DD7FC2" w14:textId="1D70CDD2" w:rsidR="009E019F" w:rsidRPr="00FC2702" w:rsidRDefault="00D86734" w:rsidP="00AF45E9">
      <w:pPr>
        <w:rPr>
          <w:rFonts w:ascii="Times New Roman" w:hAnsi="Times New Roman" w:cs="Times New Roman"/>
        </w:rPr>
      </w:pPr>
      <w:r w:rsidRPr="00FC2702">
        <w:rPr>
          <w:rFonts w:ascii="Times New Roman" w:hAnsi="Times New Roman" w:cs="Times New Roman"/>
        </w:rPr>
        <w:t xml:space="preserve">The ACMA </w:t>
      </w:r>
      <w:r w:rsidR="00BF36F1">
        <w:rPr>
          <w:rFonts w:ascii="Times New Roman" w:hAnsi="Times New Roman" w:cs="Times New Roman"/>
        </w:rPr>
        <w:t xml:space="preserve">indicated </w:t>
      </w:r>
      <w:r w:rsidRPr="00FC2702">
        <w:rPr>
          <w:rFonts w:ascii="Times New Roman" w:hAnsi="Times New Roman" w:cs="Times New Roman"/>
        </w:rPr>
        <w:t xml:space="preserve">in its request </w:t>
      </w:r>
      <w:r w:rsidR="00556FA8" w:rsidRPr="00FC2702">
        <w:rPr>
          <w:rFonts w:ascii="Times New Roman" w:hAnsi="Times New Roman" w:cs="Times New Roman"/>
        </w:rPr>
        <w:t>that</w:t>
      </w:r>
      <w:r w:rsidR="009E019F" w:rsidRPr="00FC2702">
        <w:rPr>
          <w:rFonts w:ascii="Times New Roman" w:hAnsi="Times New Roman" w:cs="Times New Roman"/>
        </w:rPr>
        <w:t>:</w:t>
      </w:r>
    </w:p>
    <w:p w14:paraId="713F8D2C" w14:textId="1D347544" w:rsidR="004D2D48" w:rsidRPr="00FC2702" w:rsidRDefault="00585A00" w:rsidP="009E019F">
      <w:pPr>
        <w:pStyle w:val="ListParagraph"/>
        <w:numPr>
          <w:ilvl w:val="0"/>
          <w:numId w:val="36"/>
        </w:numPr>
        <w:rPr>
          <w:rFonts w:ascii="Times New Roman" w:hAnsi="Times New Roman" w:cs="Times New Roman"/>
        </w:rPr>
      </w:pPr>
      <w:r w:rsidRPr="00FC2702">
        <w:rPr>
          <w:rFonts w:ascii="Times New Roman" w:hAnsi="Times New Roman" w:cs="Times New Roman"/>
        </w:rPr>
        <w:t xml:space="preserve">it </w:t>
      </w:r>
      <w:r w:rsidR="007A5521" w:rsidRPr="00FC2702">
        <w:rPr>
          <w:rFonts w:ascii="Times New Roman" w:hAnsi="Times New Roman" w:cs="Times New Roman"/>
        </w:rPr>
        <w:t xml:space="preserve">would propose an allocation limit of </w:t>
      </w:r>
      <w:r w:rsidR="008E0667">
        <w:rPr>
          <w:rFonts w:ascii="Times New Roman" w:hAnsi="Times New Roman" w:cs="Times New Roman"/>
        </w:rPr>
        <w:t>nil</w:t>
      </w:r>
      <w:r w:rsidR="008E0667" w:rsidRPr="00FC2702">
        <w:rPr>
          <w:rFonts w:ascii="Times New Roman" w:hAnsi="Times New Roman" w:cs="Times New Roman"/>
        </w:rPr>
        <w:t xml:space="preserve"> </w:t>
      </w:r>
      <w:r w:rsidR="00DD0FDA" w:rsidRPr="00FC2702">
        <w:rPr>
          <w:rFonts w:ascii="Times New Roman" w:hAnsi="Times New Roman" w:cs="Times New Roman"/>
        </w:rPr>
        <w:t>MHz o</w:t>
      </w:r>
      <w:r w:rsidR="0007634C" w:rsidRPr="00FC2702">
        <w:rPr>
          <w:rFonts w:ascii="Times New Roman" w:hAnsi="Times New Roman" w:cs="Times New Roman"/>
        </w:rPr>
        <w:t>n the named persons</w:t>
      </w:r>
      <w:r w:rsidR="00571FC7" w:rsidRPr="00FC2702">
        <w:rPr>
          <w:rFonts w:ascii="Times New Roman" w:hAnsi="Times New Roman" w:cs="Times New Roman"/>
        </w:rPr>
        <w:t xml:space="preserve"> and associated parties from acquiring AWLs </w:t>
      </w:r>
      <w:r w:rsidR="00DE4AB0" w:rsidRPr="00FC2702">
        <w:rPr>
          <w:rFonts w:ascii="Times New Roman" w:hAnsi="Times New Roman" w:cs="Times New Roman"/>
        </w:rPr>
        <w:t>for a specified period of time</w:t>
      </w:r>
      <w:r w:rsidR="009E019F" w:rsidRPr="00FC2702">
        <w:rPr>
          <w:rFonts w:ascii="Times New Roman" w:hAnsi="Times New Roman" w:cs="Times New Roman"/>
        </w:rPr>
        <w:t xml:space="preserve">; and </w:t>
      </w:r>
    </w:p>
    <w:p w14:paraId="17F2930D" w14:textId="0B94B10E" w:rsidR="009E019F" w:rsidRPr="00FC2702" w:rsidRDefault="009E019F" w:rsidP="00517471">
      <w:pPr>
        <w:pStyle w:val="ListParagraph"/>
        <w:numPr>
          <w:ilvl w:val="0"/>
          <w:numId w:val="36"/>
        </w:numPr>
        <w:rPr>
          <w:rFonts w:ascii="Times New Roman" w:hAnsi="Times New Roman" w:cs="Times New Roman"/>
        </w:rPr>
      </w:pPr>
      <w:r w:rsidRPr="00FC2702">
        <w:rPr>
          <w:rFonts w:ascii="Times New Roman" w:hAnsi="Times New Roman" w:cs="Times New Roman"/>
        </w:rPr>
        <w:t xml:space="preserve">following the cessation of the proposed </w:t>
      </w:r>
      <w:r w:rsidR="008E0667">
        <w:rPr>
          <w:rFonts w:ascii="Times New Roman" w:hAnsi="Times New Roman" w:cs="Times New Roman"/>
        </w:rPr>
        <w:t>nil</w:t>
      </w:r>
      <w:r w:rsidR="008E0667" w:rsidRPr="00FC2702">
        <w:rPr>
          <w:rFonts w:ascii="Times New Roman" w:hAnsi="Times New Roman" w:cs="Times New Roman"/>
        </w:rPr>
        <w:t xml:space="preserve"> </w:t>
      </w:r>
      <w:r w:rsidRPr="00FC2702">
        <w:rPr>
          <w:rFonts w:ascii="Times New Roman" w:hAnsi="Times New Roman" w:cs="Times New Roman"/>
        </w:rPr>
        <w:t>MHz limit,</w:t>
      </w:r>
      <w:r w:rsidR="00BF36F1">
        <w:rPr>
          <w:rFonts w:ascii="Times New Roman" w:hAnsi="Times New Roman" w:cs="Times New Roman"/>
        </w:rPr>
        <w:t xml:space="preserve"> the ACMA proposed to</w:t>
      </w:r>
      <w:r w:rsidRPr="00FC2702">
        <w:rPr>
          <w:rFonts w:ascii="Times New Roman" w:hAnsi="Times New Roman" w:cs="Times New Roman"/>
        </w:rPr>
        <w:t xml:space="preserve"> impose cross-band limits on the </w:t>
      </w:r>
      <w:r w:rsidR="0007634C" w:rsidRPr="00FC2702">
        <w:rPr>
          <w:rFonts w:ascii="Times New Roman" w:hAnsi="Times New Roman" w:cs="Times New Roman"/>
        </w:rPr>
        <w:t xml:space="preserve">named persons and associated parties of 140 or 160 MHz in the 3.4 GHz band, for a period greater than 12 months beginning at the first time that the persons </w:t>
      </w:r>
      <w:r w:rsidR="00BF36F1">
        <w:rPr>
          <w:rFonts w:ascii="Times New Roman" w:hAnsi="Times New Roman" w:cs="Times New Roman"/>
        </w:rPr>
        <w:t>were</w:t>
      </w:r>
      <w:r w:rsidR="0007634C" w:rsidRPr="00FC2702">
        <w:rPr>
          <w:rFonts w:ascii="Times New Roman" w:hAnsi="Times New Roman" w:cs="Times New Roman"/>
        </w:rPr>
        <w:t xml:space="preserve"> able to apply for spectrum in these bands. </w:t>
      </w:r>
    </w:p>
    <w:p w14:paraId="5C55E0CC" w14:textId="723C5DC7" w:rsidR="007D58D3" w:rsidRPr="00FC2702" w:rsidRDefault="00EA0781" w:rsidP="00AF45E9">
      <w:pPr>
        <w:rPr>
          <w:rFonts w:ascii="Times New Roman" w:hAnsi="Times New Roman" w:cs="Times New Roman"/>
        </w:rPr>
      </w:pPr>
      <w:r w:rsidRPr="00FC2702">
        <w:rPr>
          <w:rFonts w:ascii="Times New Roman" w:hAnsi="Times New Roman" w:cs="Times New Roman"/>
        </w:rPr>
        <w:t xml:space="preserve">On 30 September </w:t>
      </w:r>
      <w:r w:rsidR="007D58D3" w:rsidRPr="00FC2702">
        <w:rPr>
          <w:rFonts w:ascii="Times New Roman" w:hAnsi="Times New Roman" w:cs="Times New Roman"/>
        </w:rPr>
        <w:t xml:space="preserve">2023, the ACCC </w:t>
      </w:r>
      <w:r w:rsidR="008550D2" w:rsidRPr="00FC2702">
        <w:rPr>
          <w:rFonts w:ascii="Times New Roman" w:hAnsi="Times New Roman" w:cs="Times New Roman"/>
        </w:rPr>
        <w:t>stated that</w:t>
      </w:r>
      <w:r w:rsidR="007D58D3" w:rsidRPr="00FC2702">
        <w:rPr>
          <w:rFonts w:ascii="Times New Roman" w:hAnsi="Times New Roman" w:cs="Times New Roman"/>
        </w:rPr>
        <w:t xml:space="preserve">: </w:t>
      </w:r>
    </w:p>
    <w:p w14:paraId="21C34B62" w14:textId="5E9E8A51" w:rsidR="00E868B9" w:rsidRPr="00FC2702" w:rsidRDefault="007F65C6" w:rsidP="007F65C6">
      <w:pPr>
        <w:pStyle w:val="ListParagraph"/>
        <w:numPr>
          <w:ilvl w:val="0"/>
          <w:numId w:val="30"/>
        </w:numPr>
        <w:rPr>
          <w:rFonts w:ascii="Times New Roman" w:hAnsi="Times New Roman" w:cs="Times New Roman"/>
        </w:rPr>
      </w:pPr>
      <w:r w:rsidRPr="00FC2702">
        <w:rPr>
          <w:rFonts w:ascii="Times New Roman" w:hAnsi="Times New Roman" w:cs="Times New Roman"/>
        </w:rPr>
        <w:t>it supported the ACMA’s pref</w:t>
      </w:r>
      <w:r w:rsidR="000E371B" w:rsidRPr="00FC2702">
        <w:rPr>
          <w:rFonts w:ascii="Times New Roman" w:hAnsi="Times New Roman" w:cs="Times New Roman"/>
        </w:rPr>
        <w:t>e</w:t>
      </w:r>
      <w:r w:rsidRPr="00FC2702">
        <w:rPr>
          <w:rFonts w:ascii="Times New Roman" w:hAnsi="Times New Roman" w:cs="Times New Roman"/>
        </w:rPr>
        <w:t>rred</w:t>
      </w:r>
      <w:r w:rsidR="005149C6" w:rsidRPr="00FC2702">
        <w:rPr>
          <w:rFonts w:ascii="Times New Roman" w:hAnsi="Times New Roman" w:cs="Times New Roman"/>
        </w:rPr>
        <w:t xml:space="preserve"> </w:t>
      </w:r>
      <w:r w:rsidRPr="00FC2702">
        <w:rPr>
          <w:rFonts w:ascii="Times New Roman" w:hAnsi="Times New Roman" w:cs="Times New Roman"/>
        </w:rPr>
        <w:t>nil</w:t>
      </w:r>
      <w:r w:rsidR="005149C6" w:rsidRPr="00FC2702">
        <w:rPr>
          <w:rFonts w:ascii="Times New Roman" w:hAnsi="Times New Roman" w:cs="Times New Roman"/>
        </w:rPr>
        <w:t xml:space="preserve"> limit </w:t>
      </w:r>
      <w:r w:rsidRPr="00FC2702">
        <w:rPr>
          <w:rFonts w:ascii="Times New Roman" w:hAnsi="Times New Roman" w:cs="Times New Roman"/>
        </w:rPr>
        <w:t>to apply to the named persons</w:t>
      </w:r>
      <w:r w:rsidR="005149C6" w:rsidRPr="00FC2702">
        <w:rPr>
          <w:rFonts w:ascii="Times New Roman" w:hAnsi="Times New Roman" w:cs="Times New Roman"/>
        </w:rPr>
        <w:t xml:space="preserve">. </w:t>
      </w:r>
      <w:r w:rsidR="000E371B" w:rsidRPr="00FC2702">
        <w:rPr>
          <w:rFonts w:ascii="Times New Roman" w:hAnsi="Times New Roman" w:cs="Times New Roman"/>
        </w:rPr>
        <w:t>The ACCC</w:t>
      </w:r>
      <w:r w:rsidR="005149C6" w:rsidRPr="00FC2702">
        <w:rPr>
          <w:rFonts w:ascii="Times New Roman" w:hAnsi="Times New Roman" w:cs="Times New Roman"/>
        </w:rPr>
        <w:t xml:space="preserve"> recommend</w:t>
      </w:r>
      <w:r w:rsidR="000E371B" w:rsidRPr="00FC2702">
        <w:rPr>
          <w:rFonts w:ascii="Times New Roman" w:hAnsi="Times New Roman" w:cs="Times New Roman"/>
        </w:rPr>
        <w:t>ed</w:t>
      </w:r>
      <w:r w:rsidR="005149C6" w:rsidRPr="00FC2702">
        <w:rPr>
          <w:rFonts w:ascii="Times New Roman" w:hAnsi="Times New Roman" w:cs="Times New Roman"/>
        </w:rPr>
        <w:t xml:space="preserve"> that </w:t>
      </w:r>
      <w:r w:rsidR="000E371B" w:rsidRPr="00FC2702">
        <w:rPr>
          <w:rFonts w:ascii="Times New Roman" w:hAnsi="Times New Roman" w:cs="Times New Roman"/>
        </w:rPr>
        <w:t>the</w:t>
      </w:r>
      <w:r w:rsidR="005149C6" w:rsidRPr="00FC2702">
        <w:rPr>
          <w:rFonts w:ascii="Times New Roman" w:hAnsi="Times New Roman" w:cs="Times New Roman"/>
        </w:rPr>
        <w:t xml:space="preserve"> limit be imposed for at least 12 months. </w:t>
      </w:r>
    </w:p>
    <w:p w14:paraId="63F0C943" w14:textId="128674D6" w:rsidR="005149C6" w:rsidRPr="00FC2702" w:rsidRDefault="000E371B" w:rsidP="00F55EA9">
      <w:pPr>
        <w:pStyle w:val="ListParagraph"/>
        <w:numPr>
          <w:ilvl w:val="0"/>
          <w:numId w:val="30"/>
        </w:numPr>
        <w:rPr>
          <w:rFonts w:ascii="Times New Roman" w:hAnsi="Times New Roman" w:cs="Times New Roman"/>
        </w:rPr>
      </w:pPr>
      <w:r w:rsidRPr="00FC2702">
        <w:rPr>
          <w:rFonts w:ascii="Times New Roman" w:hAnsi="Times New Roman" w:cs="Times New Roman"/>
        </w:rPr>
        <w:t>it supported the ACMA’s preferred cross-band limit to apply</w:t>
      </w:r>
      <w:r w:rsidR="00A31B6E" w:rsidRPr="00FC2702">
        <w:rPr>
          <w:rFonts w:ascii="Times New Roman" w:hAnsi="Times New Roman" w:cs="Times New Roman"/>
        </w:rPr>
        <w:t xml:space="preserve"> after the cessation of the nil limit, with a limit of</w:t>
      </w:r>
      <w:r w:rsidR="00BB5C1D" w:rsidRPr="00FC2702">
        <w:rPr>
          <w:rFonts w:ascii="Times New Roman" w:hAnsi="Times New Roman" w:cs="Times New Roman"/>
        </w:rPr>
        <w:t xml:space="preserve"> </w:t>
      </w:r>
      <w:r w:rsidR="00F22151" w:rsidRPr="00FC2702">
        <w:rPr>
          <w:rFonts w:ascii="Times New Roman" w:hAnsi="Times New Roman" w:cs="Times New Roman"/>
        </w:rPr>
        <w:t xml:space="preserve">140 MHz </w:t>
      </w:r>
      <w:r w:rsidR="00A31B6E" w:rsidRPr="00FC2702">
        <w:rPr>
          <w:rFonts w:ascii="Times New Roman" w:hAnsi="Times New Roman" w:cs="Times New Roman"/>
        </w:rPr>
        <w:t xml:space="preserve">applying </w:t>
      </w:r>
      <w:r w:rsidR="00F22151" w:rsidRPr="00FC2702">
        <w:rPr>
          <w:rFonts w:ascii="Times New Roman" w:hAnsi="Times New Roman" w:cs="Times New Roman"/>
        </w:rPr>
        <w:t xml:space="preserve">in </w:t>
      </w:r>
      <w:r w:rsidR="00A31B6E" w:rsidRPr="00FC2702">
        <w:rPr>
          <w:rFonts w:ascii="Times New Roman" w:hAnsi="Times New Roman" w:cs="Times New Roman"/>
        </w:rPr>
        <w:t xml:space="preserve">the </w:t>
      </w:r>
      <w:r w:rsidR="00F22151" w:rsidRPr="00FC2702">
        <w:rPr>
          <w:rFonts w:ascii="Times New Roman" w:hAnsi="Times New Roman" w:cs="Times New Roman"/>
        </w:rPr>
        <w:t xml:space="preserve">metropolitan area and 160 MHz </w:t>
      </w:r>
      <w:r w:rsidR="00A31B6E" w:rsidRPr="00FC2702">
        <w:rPr>
          <w:rFonts w:ascii="Times New Roman" w:hAnsi="Times New Roman" w:cs="Times New Roman"/>
        </w:rPr>
        <w:t xml:space="preserve">applying </w:t>
      </w:r>
      <w:r w:rsidR="00F22151" w:rsidRPr="00FC2702">
        <w:rPr>
          <w:rFonts w:ascii="Times New Roman" w:hAnsi="Times New Roman" w:cs="Times New Roman"/>
        </w:rPr>
        <w:t xml:space="preserve">in </w:t>
      </w:r>
      <w:r w:rsidR="00A31B6E" w:rsidRPr="00FC2702">
        <w:rPr>
          <w:rFonts w:ascii="Times New Roman" w:hAnsi="Times New Roman" w:cs="Times New Roman"/>
        </w:rPr>
        <w:t xml:space="preserve">the </w:t>
      </w:r>
      <w:r w:rsidR="00F22151" w:rsidRPr="00FC2702">
        <w:rPr>
          <w:rFonts w:ascii="Times New Roman" w:hAnsi="Times New Roman" w:cs="Times New Roman"/>
        </w:rPr>
        <w:t xml:space="preserve">regional </w:t>
      </w:r>
      <w:r w:rsidR="00066373">
        <w:rPr>
          <w:rFonts w:ascii="Times New Roman" w:hAnsi="Times New Roman" w:cs="Times New Roman"/>
        </w:rPr>
        <w:t xml:space="preserve">area </w:t>
      </w:r>
      <w:r w:rsidR="00F63578" w:rsidRPr="00FC2702">
        <w:rPr>
          <w:rFonts w:ascii="Times New Roman" w:hAnsi="Times New Roman" w:cs="Times New Roman"/>
        </w:rPr>
        <w:t xml:space="preserve">and </w:t>
      </w:r>
      <w:r w:rsidR="004F7211">
        <w:rPr>
          <w:rFonts w:ascii="Times New Roman" w:hAnsi="Times New Roman" w:cs="Times New Roman"/>
        </w:rPr>
        <w:t xml:space="preserve">the </w:t>
      </w:r>
      <w:r w:rsidR="00F63578" w:rsidRPr="00FC2702">
        <w:rPr>
          <w:rFonts w:ascii="Times New Roman" w:hAnsi="Times New Roman" w:cs="Times New Roman"/>
        </w:rPr>
        <w:t>rural</w:t>
      </w:r>
      <w:r w:rsidR="00F22151" w:rsidRPr="00FC2702">
        <w:rPr>
          <w:rFonts w:ascii="Times New Roman" w:hAnsi="Times New Roman" w:cs="Times New Roman"/>
        </w:rPr>
        <w:t xml:space="preserve"> area. </w:t>
      </w:r>
      <w:r w:rsidR="00A31B6E" w:rsidRPr="00FC2702">
        <w:rPr>
          <w:rFonts w:ascii="Times New Roman" w:hAnsi="Times New Roman" w:cs="Times New Roman"/>
        </w:rPr>
        <w:t xml:space="preserve">The ACCC </w:t>
      </w:r>
      <w:r w:rsidR="00F22151" w:rsidRPr="00FC2702">
        <w:rPr>
          <w:rFonts w:ascii="Times New Roman" w:hAnsi="Times New Roman" w:cs="Times New Roman"/>
        </w:rPr>
        <w:t>recommend</w:t>
      </w:r>
      <w:r w:rsidR="00A31B6E" w:rsidRPr="00FC2702">
        <w:rPr>
          <w:rFonts w:ascii="Times New Roman" w:hAnsi="Times New Roman" w:cs="Times New Roman"/>
        </w:rPr>
        <w:t>ed</w:t>
      </w:r>
      <w:r w:rsidR="00F22151" w:rsidRPr="00FC2702">
        <w:rPr>
          <w:rFonts w:ascii="Times New Roman" w:hAnsi="Times New Roman" w:cs="Times New Roman"/>
        </w:rPr>
        <w:t xml:space="preserve"> that the cross-band limit be review</w:t>
      </w:r>
      <w:r w:rsidR="001C4901" w:rsidRPr="00FC2702">
        <w:rPr>
          <w:rFonts w:ascii="Times New Roman" w:hAnsi="Times New Roman" w:cs="Times New Roman"/>
        </w:rPr>
        <w:t>ed</w:t>
      </w:r>
      <w:r w:rsidR="00F22151" w:rsidRPr="00FC2702">
        <w:rPr>
          <w:rFonts w:ascii="Times New Roman" w:hAnsi="Times New Roman" w:cs="Times New Roman"/>
        </w:rPr>
        <w:t xml:space="preserve"> after a period of 3</w:t>
      </w:r>
      <w:r w:rsidR="001C4901" w:rsidRPr="00FC2702">
        <w:rPr>
          <w:rFonts w:ascii="Times New Roman" w:hAnsi="Times New Roman" w:cs="Times New Roman"/>
        </w:rPr>
        <w:t xml:space="preserve"> to </w:t>
      </w:r>
      <w:r w:rsidR="00F22151" w:rsidRPr="00FC2702">
        <w:rPr>
          <w:rFonts w:ascii="Times New Roman" w:hAnsi="Times New Roman" w:cs="Times New Roman"/>
        </w:rPr>
        <w:t>5 years</w:t>
      </w:r>
      <w:r w:rsidR="001C4901" w:rsidRPr="00FC2702">
        <w:rPr>
          <w:rFonts w:ascii="Times New Roman" w:hAnsi="Times New Roman" w:cs="Times New Roman"/>
        </w:rPr>
        <w:t>,</w:t>
      </w:r>
      <w:r w:rsidR="00F22151" w:rsidRPr="00FC2702">
        <w:rPr>
          <w:rFonts w:ascii="Times New Roman" w:hAnsi="Times New Roman" w:cs="Times New Roman"/>
        </w:rPr>
        <w:t xml:space="preserve"> if there remain</w:t>
      </w:r>
      <w:r w:rsidR="001C4901" w:rsidRPr="00FC2702">
        <w:rPr>
          <w:rFonts w:ascii="Times New Roman" w:hAnsi="Times New Roman" w:cs="Times New Roman"/>
        </w:rPr>
        <w:t>ed</w:t>
      </w:r>
      <w:r w:rsidR="00F22151" w:rsidRPr="00FC2702">
        <w:rPr>
          <w:rFonts w:ascii="Times New Roman" w:hAnsi="Times New Roman" w:cs="Times New Roman"/>
        </w:rPr>
        <w:t xml:space="preserve"> spectrum available for allocation by that time. </w:t>
      </w:r>
    </w:p>
    <w:p w14:paraId="272A2B59" w14:textId="253B3882" w:rsidR="0029379C" w:rsidRPr="00FC2702" w:rsidRDefault="0029379C" w:rsidP="00A30DFB">
      <w:pPr>
        <w:rPr>
          <w:rFonts w:ascii="Times New Roman" w:hAnsi="Times New Roman" w:cs="Times New Roman"/>
        </w:rPr>
      </w:pPr>
      <w:r w:rsidRPr="00FC2702">
        <w:rPr>
          <w:rFonts w:ascii="Times New Roman" w:hAnsi="Times New Roman" w:cs="Times New Roman"/>
        </w:rPr>
        <w:t xml:space="preserve">The ACMA received 12 public submissions in response to the draft allocation consultation. Of the 12 submissions, 11 were relevant to the instrument. </w:t>
      </w:r>
    </w:p>
    <w:p w14:paraId="72963B0F" w14:textId="7D0B81ED" w:rsidR="00220EAF" w:rsidRPr="00FC2702" w:rsidRDefault="00854BE0" w:rsidP="004C58B9">
      <w:pPr>
        <w:rPr>
          <w:rFonts w:ascii="Times New Roman" w:hAnsi="Times New Roman" w:cs="Times New Roman"/>
          <w:i/>
          <w:iCs/>
        </w:rPr>
      </w:pPr>
      <w:r w:rsidRPr="00FC2702">
        <w:rPr>
          <w:rFonts w:ascii="Times New Roman" w:hAnsi="Times New Roman" w:cs="Times New Roman"/>
          <w:i/>
          <w:iCs/>
        </w:rPr>
        <w:t xml:space="preserve">Temporary </w:t>
      </w:r>
      <w:r w:rsidR="008C772F" w:rsidRPr="00FC2702">
        <w:rPr>
          <w:rFonts w:ascii="Times New Roman" w:hAnsi="Times New Roman" w:cs="Times New Roman"/>
          <w:i/>
          <w:iCs/>
        </w:rPr>
        <w:t>nil</w:t>
      </w:r>
      <w:r w:rsidR="00220EAF" w:rsidRPr="00FC2702">
        <w:rPr>
          <w:rFonts w:ascii="Times New Roman" w:hAnsi="Times New Roman" w:cs="Times New Roman"/>
          <w:i/>
          <w:iCs/>
        </w:rPr>
        <w:t xml:space="preserve"> limit</w:t>
      </w:r>
    </w:p>
    <w:p w14:paraId="0A907F08" w14:textId="6190F294" w:rsidR="00C54CA0" w:rsidRPr="00FC2702" w:rsidRDefault="00A55D87" w:rsidP="00EF000F">
      <w:pPr>
        <w:rPr>
          <w:rFonts w:ascii="Times New Roman" w:hAnsi="Times New Roman" w:cs="Times New Roman"/>
        </w:rPr>
      </w:pPr>
      <w:r w:rsidRPr="00FC2702">
        <w:rPr>
          <w:rFonts w:ascii="Times New Roman" w:hAnsi="Times New Roman" w:cs="Times New Roman"/>
        </w:rPr>
        <w:t>Some s</w:t>
      </w:r>
      <w:r w:rsidR="007111B8" w:rsidRPr="00FC2702">
        <w:rPr>
          <w:rFonts w:ascii="Times New Roman" w:hAnsi="Times New Roman" w:cs="Times New Roman"/>
        </w:rPr>
        <w:t xml:space="preserve">ubmitters suggested that the </w:t>
      </w:r>
      <w:r w:rsidRPr="00FC2702">
        <w:rPr>
          <w:rFonts w:ascii="Times New Roman" w:hAnsi="Times New Roman" w:cs="Times New Roman"/>
        </w:rPr>
        <w:t xml:space="preserve">imposition of a </w:t>
      </w:r>
      <w:r w:rsidR="007111B8" w:rsidRPr="00FC2702">
        <w:rPr>
          <w:rFonts w:ascii="Times New Roman" w:hAnsi="Times New Roman" w:cs="Times New Roman"/>
        </w:rPr>
        <w:t xml:space="preserve">limit would </w:t>
      </w:r>
      <w:r w:rsidR="007D797B" w:rsidRPr="00FC2702">
        <w:rPr>
          <w:rFonts w:ascii="Times New Roman" w:hAnsi="Times New Roman" w:cs="Times New Roman"/>
        </w:rPr>
        <w:t xml:space="preserve">distort the true demand for </w:t>
      </w:r>
      <w:r w:rsidRPr="00FC2702">
        <w:rPr>
          <w:rFonts w:ascii="Times New Roman" w:hAnsi="Times New Roman" w:cs="Times New Roman"/>
        </w:rPr>
        <w:t>relevant AWLs</w:t>
      </w:r>
      <w:r w:rsidR="00EE55B0" w:rsidRPr="00FC2702">
        <w:rPr>
          <w:rFonts w:ascii="Times New Roman" w:hAnsi="Times New Roman" w:cs="Times New Roman"/>
        </w:rPr>
        <w:t xml:space="preserve">, </w:t>
      </w:r>
      <w:r w:rsidR="00CB0335" w:rsidRPr="00FC2702">
        <w:rPr>
          <w:rFonts w:ascii="Times New Roman" w:hAnsi="Times New Roman" w:cs="Times New Roman"/>
        </w:rPr>
        <w:t xml:space="preserve">which may result in discontinuous spectrum </w:t>
      </w:r>
      <w:r w:rsidR="00093728" w:rsidRPr="00FC2702">
        <w:rPr>
          <w:rFonts w:ascii="Times New Roman" w:hAnsi="Times New Roman" w:cs="Times New Roman"/>
        </w:rPr>
        <w:t>remaining after the nil limit ceases to be in force</w:t>
      </w:r>
      <w:r w:rsidR="007D797B" w:rsidRPr="00FC2702">
        <w:rPr>
          <w:rFonts w:ascii="Times New Roman" w:hAnsi="Times New Roman" w:cs="Times New Roman"/>
        </w:rPr>
        <w:t>.</w:t>
      </w:r>
      <w:r w:rsidR="00614243" w:rsidRPr="00FC2702" w:rsidDel="00614243">
        <w:rPr>
          <w:rFonts w:ascii="Times New Roman" w:hAnsi="Times New Roman" w:cs="Times New Roman"/>
        </w:rPr>
        <w:t xml:space="preserve"> </w:t>
      </w:r>
      <w:r w:rsidR="00614243" w:rsidRPr="00FC2702">
        <w:rPr>
          <w:rFonts w:ascii="Times New Roman" w:hAnsi="Times New Roman" w:cs="Times New Roman"/>
        </w:rPr>
        <w:t xml:space="preserve">In turn, this discontinuous spectrum may not be </w:t>
      </w:r>
      <w:r w:rsidR="009B3538" w:rsidRPr="00FC2702">
        <w:rPr>
          <w:rFonts w:ascii="Times New Roman" w:hAnsi="Times New Roman" w:cs="Times New Roman"/>
        </w:rPr>
        <w:t>useful</w:t>
      </w:r>
      <w:r w:rsidR="00535507" w:rsidRPr="00FC2702">
        <w:rPr>
          <w:rFonts w:ascii="Times New Roman" w:hAnsi="Times New Roman" w:cs="Times New Roman"/>
        </w:rPr>
        <w:t xml:space="preserve"> to WA WBB providers.</w:t>
      </w:r>
    </w:p>
    <w:p w14:paraId="4102C255" w14:textId="792DE130" w:rsidR="00D43561" w:rsidRPr="00FC2702" w:rsidRDefault="00CB019E" w:rsidP="00D43561">
      <w:pPr>
        <w:rPr>
          <w:rFonts w:ascii="Times New Roman" w:hAnsi="Times New Roman" w:cs="Times New Roman"/>
        </w:rPr>
      </w:pPr>
      <w:r w:rsidRPr="00FC2702">
        <w:rPr>
          <w:rFonts w:ascii="Times New Roman" w:hAnsi="Times New Roman" w:cs="Times New Roman"/>
        </w:rPr>
        <w:t xml:space="preserve">The ACMA considers that while </w:t>
      </w:r>
      <w:r w:rsidR="00BF36F1">
        <w:rPr>
          <w:rFonts w:ascii="Times New Roman" w:hAnsi="Times New Roman" w:cs="Times New Roman"/>
        </w:rPr>
        <w:t>the precise exten</w:t>
      </w:r>
      <w:r w:rsidR="009E7A9F">
        <w:rPr>
          <w:rFonts w:ascii="Times New Roman" w:hAnsi="Times New Roman" w:cs="Times New Roman"/>
        </w:rPr>
        <w:t>t</w:t>
      </w:r>
      <w:r w:rsidR="00BF36F1">
        <w:rPr>
          <w:rFonts w:ascii="Times New Roman" w:hAnsi="Times New Roman" w:cs="Times New Roman"/>
        </w:rPr>
        <w:t xml:space="preserve"> of </w:t>
      </w:r>
      <w:r w:rsidRPr="00FC2702">
        <w:rPr>
          <w:rFonts w:ascii="Times New Roman" w:hAnsi="Times New Roman" w:cs="Times New Roman"/>
        </w:rPr>
        <w:t xml:space="preserve">demand for the spectrum from applicants </w:t>
      </w:r>
      <w:r w:rsidR="00A268C5" w:rsidRPr="00FC2702">
        <w:rPr>
          <w:rFonts w:ascii="Times New Roman" w:hAnsi="Times New Roman" w:cs="Times New Roman"/>
        </w:rPr>
        <w:t>other than</w:t>
      </w:r>
      <w:r w:rsidRPr="00FC2702">
        <w:rPr>
          <w:rFonts w:ascii="Times New Roman" w:hAnsi="Times New Roman" w:cs="Times New Roman"/>
        </w:rPr>
        <w:t xml:space="preserve"> the </w:t>
      </w:r>
      <w:r w:rsidR="00535507" w:rsidRPr="00FC2702">
        <w:rPr>
          <w:rFonts w:ascii="Times New Roman" w:hAnsi="Times New Roman" w:cs="Times New Roman"/>
        </w:rPr>
        <w:t>named persons</w:t>
      </w:r>
      <w:r w:rsidRPr="00FC2702">
        <w:rPr>
          <w:rFonts w:ascii="Times New Roman" w:hAnsi="Times New Roman" w:cs="Times New Roman"/>
        </w:rPr>
        <w:t xml:space="preserve"> is unknown, the intent of the </w:t>
      </w:r>
      <w:r w:rsidR="001D6AF5" w:rsidRPr="00FC2702">
        <w:rPr>
          <w:rFonts w:ascii="Times New Roman" w:hAnsi="Times New Roman" w:cs="Times New Roman"/>
        </w:rPr>
        <w:t xml:space="preserve">temporary </w:t>
      </w:r>
      <w:r w:rsidR="00535507" w:rsidRPr="00FC2702">
        <w:rPr>
          <w:rFonts w:ascii="Times New Roman" w:hAnsi="Times New Roman" w:cs="Times New Roman"/>
        </w:rPr>
        <w:t>nil</w:t>
      </w:r>
      <w:r w:rsidRPr="00FC2702">
        <w:rPr>
          <w:rFonts w:ascii="Times New Roman" w:hAnsi="Times New Roman" w:cs="Times New Roman"/>
        </w:rPr>
        <w:t xml:space="preserve"> limit is to provide an opportunity for </w:t>
      </w:r>
      <w:r w:rsidR="00535507" w:rsidRPr="00FC2702">
        <w:rPr>
          <w:rFonts w:ascii="Times New Roman" w:hAnsi="Times New Roman" w:cs="Times New Roman"/>
        </w:rPr>
        <w:t>others</w:t>
      </w:r>
      <w:r w:rsidRPr="00FC2702">
        <w:rPr>
          <w:rFonts w:ascii="Times New Roman" w:hAnsi="Times New Roman" w:cs="Times New Roman"/>
        </w:rPr>
        <w:t xml:space="preserve"> to </w:t>
      </w:r>
      <w:r w:rsidR="00535507" w:rsidRPr="00FC2702">
        <w:rPr>
          <w:rFonts w:ascii="Times New Roman" w:hAnsi="Times New Roman" w:cs="Times New Roman"/>
        </w:rPr>
        <w:t>be issued the relevant AWLs</w:t>
      </w:r>
      <w:r w:rsidRPr="00FC2702">
        <w:rPr>
          <w:rFonts w:ascii="Times New Roman" w:hAnsi="Times New Roman" w:cs="Times New Roman"/>
        </w:rPr>
        <w:t xml:space="preserve">. </w:t>
      </w:r>
      <w:r w:rsidR="00E81B0E" w:rsidRPr="00FC2702">
        <w:rPr>
          <w:rFonts w:ascii="Times New Roman" w:hAnsi="Times New Roman" w:cs="Times New Roman"/>
        </w:rPr>
        <w:t xml:space="preserve">The ACMA has decided to </w:t>
      </w:r>
      <w:r w:rsidR="00535507" w:rsidRPr="00FC2702">
        <w:rPr>
          <w:rFonts w:ascii="Times New Roman" w:hAnsi="Times New Roman" w:cs="Times New Roman"/>
        </w:rPr>
        <w:t>impose a temporary nil limit</w:t>
      </w:r>
      <w:r w:rsidR="00E81B0E" w:rsidRPr="00FC2702">
        <w:rPr>
          <w:rFonts w:ascii="Times New Roman" w:hAnsi="Times New Roman" w:cs="Times New Roman"/>
        </w:rPr>
        <w:t xml:space="preserve">, as the named persons </w:t>
      </w:r>
      <w:r w:rsidR="00697ADB" w:rsidRPr="00FC2702">
        <w:rPr>
          <w:rFonts w:ascii="Times New Roman" w:hAnsi="Times New Roman" w:cs="Times New Roman"/>
        </w:rPr>
        <w:t xml:space="preserve">(or their associates) </w:t>
      </w:r>
      <w:r w:rsidR="00B86FA7" w:rsidRPr="00FC2702">
        <w:rPr>
          <w:rFonts w:ascii="Times New Roman" w:hAnsi="Times New Roman" w:cs="Times New Roman"/>
        </w:rPr>
        <w:t xml:space="preserve">are </w:t>
      </w:r>
      <w:r w:rsidR="00E81B0E" w:rsidRPr="00FC2702">
        <w:rPr>
          <w:rFonts w:ascii="Times New Roman" w:hAnsi="Times New Roman" w:cs="Times New Roman"/>
        </w:rPr>
        <w:t xml:space="preserve">already spectrum </w:t>
      </w:r>
      <w:r w:rsidR="00B86FA7" w:rsidRPr="00FC2702">
        <w:rPr>
          <w:rFonts w:ascii="Times New Roman" w:hAnsi="Times New Roman" w:cs="Times New Roman"/>
        </w:rPr>
        <w:t xml:space="preserve">licensees </w:t>
      </w:r>
      <w:r w:rsidR="00E81B0E" w:rsidRPr="00FC2702">
        <w:rPr>
          <w:rFonts w:ascii="Times New Roman" w:hAnsi="Times New Roman" w:cs="Times New Roman"/>
        </w:rPr>
        <w:t>in the 3.4 GHz band</w:t>
      </w:r>
      <w:r w:rsidRPr="00FC2702">
        <w:rPr>
          <w:rFonts w:ascii="Times New Roman" w:hAnsi="Times New Roman" w:cs="Times New Roman"/>
        </w:rPr>
        <w:t xml:space="preserve">. </w:t>
      </w:r>
      <w:r w:rsidR="00F20B2F" w:rsidRPr="00FC2702">
        <w:rPr>
          <w:rFonts w:ascii="Times New Roman" w:hAnsi="Times New Roman" w:cs="Times New Roman"/>
        </w:rPr>
        <w:t xml:space="preserve">The </w:t>
      </w:r>
      <w:r w:rsidR="00F20B2F" w:rsidRPr="00FC2702">
        <w:rPr>
          <w:rFonts w:ascii="Times New Roman" w:hAnsi="Times New Roman" w:cs="Times New Roman"/>
        </w:rPr>
        <w:lastRenderedPageBreak/>
        <w:t>ACMA acknowledges that</w:t>
      </w:r>
      <w:r w:rsidRPr="00FC2702">
        <w:rPr>
          <w:rFonts w:ascii="Times New Roman" w:hAnsi="Times New Roman" w:cs="Times New Roman"/>
        </w:rPr>
        <w:t xml:space="preserve"> the leftover spectrum after the </w:t>
      </w:r>
      <w:r w:rsidR="00535507" w:rsidRPr="00FC2702">
        <w:rPr>
          <w:rFonts w:ascii="Times New Roman" w:hAnsi="Times New Roman" w:cs="Times New Roman"/>
        </w:rPr>
        <w:t>nil</w:t>
      </w:r>
      <w:r w:rsidRPr="00FC2702">
        <w:rPr>
          <w:rFonts w:ascii="Times New Roman" w:hAnsi="Times New Roman" w:cs="Times New Roman"/>
        </w:rPr>
        <w:t xml:space="preserve"> limit </w:t>
      </w:r>
      <w:r w:rsidR="00535507" w:rsidRPr="00FC2702">
        <w:rPr>
          <w:rFonts w:ascii="Times New Roman" w:hAnsi="Times New Roman" w:cs="Times New Roman"/>
        </w:rPr>
        <w:t>ceases to be in force</w:t>
      </w:r>
      <w:r w:rsidRPr="00FC2702">
        <w:rPr>
          <w:rFonts w:ascii="Times New Roman" w:hAnsi="Times New Roman" w:cs="Times New Roman"/>
        </w:rPr>
        <w:t xml:space="preserve"> may not be desirable </w:t>
      </w:r>
      <w:r w:rsidR="00535507" w:rsidRPr="00FC2702">
        <w:rPr>
          <w:rFonts w:ascii="Times New Roman" w:hAnsi="Times New Roman" w:cs="Times New Roman"/>
        </w:rPr>
        <w:t xml:space="preserve">to </w:t>
      </w:r>
      <w:r w:rsidRPr="00FC2702">
        <w:rPr>
          <w:rFonts w:ascii="Times New Roman" w:hAnsi="Times New Roman" w:cs="Times New Roman"/>
        </w:rPr>
        <w:t xml:space="preserve">the </w:t>
      </w:r>
      <w:r w:rsidR="00535507" w:rsidRPr="00FC2702">
        <w:rPr>
          <w:rFonts w:ascii="Times New Roman" w:hAnsi="Times New Roman" w:cs="Times New Roman"/>
        </w:rPr>
        <w:t>named persons</w:t>
      </w:r>
      <w:r w:rsidR="00F34E0E" w:rsidRPr="00FC2702">
        <w:rPr>
          <w:rFonts w:ascii="Times New Roman" w:hAnsi="Times New Roman" w:cs="Times New Roman"/>
        </w:rPr>
        <w:t>. However, on balance</w:t>
      </w:r>
      <w:r w:rsidRPr="00FC2702">
        <w:rPr>
          <w:rFonts w:ascii="Times New Roman" w:hAnsi="Times New Roman" w:cs="Times New Roman"/>
        </w:rPr>
        <w:t xml:space="preserve">, the ACMA considers this is a </w:t>
      </w:r>
      <w:r w:rsidR="00535507" w:rsidRPr="00FC2702">
        <w:rPr>
          <w:rFonts w:ascii="Times New Roman" w:hAnsi="Times New Roman" w:cs="Times New Roman"/>
        </w:rPr>
        <w:t xml:space="preserve">low </w:t>
      </w:r>
      <w:r w:rsidRPr="00FC2702">
        <w:rPr>
          <w:rFonts w:ascii="Times New Roman" w:hAnsi="Times New Roman" w:cs="Times New Roman"/>
        </w:rPr>
        <w:t xml:space="preserve">risk when traded off against the benefit of allowing </w:t>
      </w:r>
      <w:r w:rsidR="00F9798A" w:rsidRPr="00FC2702">
        <w:rPr>
          <w:rFonts w:ascii="Times New Roman" w:hAnsi="Times New Roman" w:cs="Times New Roman"/>
        </w:rPr>
        <w:t>new</w:t>
      </w:r>
      <w:r w:rsidRPr="00FC2702">
        <w:rPr>
          <w:rFonts w:ascii="Times New Roman" w:hAnsi="Times New Roman" w:cs="Times New Roman"/>
        </w:rPr>
        <w:t xml:space="preserve"> use cases</w:t>
      </w:r>
      <w:r w:rsidR="00F9798A" w:rsidRPr="00FC2702">
        <w:rPr>
          <w:rFonts w:ascii="Times New Roman" w:hAnsi="Times New Roman" w:cs="Times New Roman"/>
        </w:rPr>
        <w:t xml:space="preserve"> to emerge</w:t>
      </w:r>
      <w:r w:rsidRPr="00FC2702">
        <w:rPr>
          <w:rFonts w:ascii="Times New Roman" w:hAnsi="Times New Roman" w:cs="Times New Roman"/>
        </w:rPr>
        <w:t xml:space="preserve"> and </w:t>
      </w:r>
      <w:r w:rsidR="00F9798A" w:rsidRPr="00FC2702">
        <w:rPr>
          <w:rFonts w:ascii="Times New Roman" w:hAnsi="Times New Roman" w:cs="Times New Roman"/>
        </w:rPr>
        <w:t xml:space="preserve">new </w:t>
      </w:r>
      <w:r w:rsidRPr="00FC2702">
        <w:rPr>
          <w:rFonts w:ascii="Times New Roman" w:hAnsi="Times New Roman" w:cs="Times New Roman"/>
        </w:rPr>
        <w:t xml:space="preserve">users to </w:t>
      </w:r>
      <w:r w:rsidR="00535507" w:rsidRPr="00FC2702">
        <w:rPr>
          <w:rFonts w:ascii="Times New Roman" w:hAnsi="Times New Roman" w:cs="Times New Roman"/>
        </w:rPr>
        <w:t>be issued AWLs</w:t>
      </w:r>
      <w:r w:rsidR="00F20B2F" w:rsidRPr="00FC2702">
        <w:rPr>
          <w:rFonts w:ascii="Times New Roman" w:hAnsi="Times New Roman" w:cs="Times New Roman"/>
        </w:rPr>
        <w:t>.</w:t>
      </w:r>
    </w:p>
    <w:p w14:paraId="51D789C0" w14:textId="5004BB6B" w:rsidR="00EF000F" w:rsidRPr="00FC2702" w:rsidRDefault="004C52D6" w:rsidP="00EF000F">
      <w:pPr>
        <w:rPr>
          <w:rFonts w:ascii="Times New Roman" w:hAnsi="Times New Roman" w:cs="Times New Roman"/>
        </w:rPr>
      </w:pPr>
      <w:r w:rsidRPr="00FC2702">
        <w:rPr>
          <w:rFonts w:ascii="Times New Roman" w:hAnsi="Times New Roman" w:cs="Times New Roman"/>
        </w:rPr>
        <w:t>Submissions on the duration</w:t>
      </w:r>
      <w:r w:rsidR="00286E80" w:rsidRPr="00FC2702">
        <w:rPr>
          <w:rFonts w:ascii="Times New Roman" w:hAnsi="Times New Roman" w:cs="Times New Roman"/>
        </w:rPr>
        <w:t xml:space="preserve"> of the nil limit varied</w:t>
      </w:r>
      <w:r w:rsidR="00F9798A" w:rsidRPr="00FC2702">
        <w:rPr>
          <w:rFonts w:ascii="Times New Roman" w:hAnsi="Times New Roman" w:cs="Times New Roman"/>
        </w:rPr>
        <w:t>,</w:t>
      </w:r>
      <w:r w:rsidR="00286E80" w:rsidRPr="00FC2702">
        <w:rPr>
          <w:rFonts w:ascii="Times New Roman" w:hAnsi="Times New Roman" w:cs="Times New Roman"/>
        </w:rPr>
        <w:t xml:space="preserve"> from as short as possible to permanent</w:t>
      </w:r>
      <w:r w:rsidR="00F9798A" w:rsidRPr="00FC2702">
        <w:rPr>
          <w:rFonts w:ascii="Times New Roman" w:hAnsi="Times New Roman" w:cs="Times New Roman"/>
        </w:rPr>
        <w:t>ly imposed</w:t>
      </w:r>
      <w:r w:rsidR="003C0A0A" w:rsidRPr="00FC2702">
        <w:rPr>
          <w:rFonts w:ascii="Times New Roman" w:hAnsi="Times New Roman" w:cs="Times New Roman"/>
        </w:rPr>
        <w:t>.</w:t>
      </w:r>
    </w:p>
    <w:p w14:paraId="6E78584A" w14:textId="142E3808" w:rsidR="00D27DA3" w:rsidRPr="00FC2702" w:rsidRDefault="0092505C" w:rsidP="004C58B9">
      <w:pPr>
        <w:rPr>
          <w:rFonts w:ascii="Times New Roman" w:hAnsi="Times New Roman" w:cs="Times New Roman"/>
        </w:rPr>
      </w:pPr>
      <w:r w:rsidRPr="00FC2702">
        <w:rPr>
          <w:rFonts w:ascii="Times New Roman" w:hAnsi="Times New Roman" w:cs="Times New Roman"/>
        </w:rPr>
        <w:t>The ACMA considers a permanent nil limit is not tenable</w:t>
      </w:r>
      <w:r w:rsidR="00286E80" w:rsidRPr="00FC2702">
        <w:rPr>
          <w:rFonts w:ascii="Times New Roman" w:hAnsi="Times New Roman" w:cs="Times New Roman"/>
        </w:rPr>
        <w:t>,</w:t>
      </w:r>
      <w:r w:rsidRPr="00FC2702">
        <w:rPr>
          <w:rFonts w:ascii="Times New Roman" w:hAnsi="Times New Roman" w:cs="Times New Roman"/>
        </w:rPr>
        <w:t xml:space="preserve"> as it </w:t>
      </w:r>
      <w:r w:rsidR="007474C1" w:rsidRPr="00FC2702">
        <w:rPr>
          <w:rFonts w:ascii="Times New Roman" w:hAnsi="Times New Roman" w:cs="Times New Roman"/>
        </w:rPr>
        <w:t>may result in unused spectrum</w:t>
      </w:r>
      <w:r w:rsidRPr="00FC2702">
        <w:rPr>
          <w:rFonts w:ascii="Times New Roman" w:hAnsi="Times New Roman" w:cs="Times New Roman"/>
        </w:rPr>
        <w:t xml:space="preserve">. </w:t>
      </w:r>
      <w:r w:rsidR="00E4130D" w:rsidRPr="00FC2702">
        <w:rPr>
          <w:rFonts w:ascii="Times New Roman" w:hAnsi="Times New Roman" w:cs="Times New Roman"/>
        </w:rPr>
        <w:t xml:space="preserve">Noting the burden of such an intervention, and concerns from submitters regarding </w:t>
      </w:r>
      <w:r w:rsidR="007B24AC" w:rsidRPr="00FC2702">
        <w:rPr>
          <w:rFonts w:ascii="Times New Roman" w:hAnsi="Times New Roman" w:cs="Times New Roman"/>
        </w:rPr>
        <w:t xml:space="preserve">the </w:t>
      </w:r>
      <w:r w:rsidR="00E4130D" w:rsidRPr="00FC2702">
        <w:rPr>
          <w:rFonts w:ascii="Times New Roman" w:hAnsi="Times New Roman" w:cs="Times New Roman"/>
        </w:rPr>
        <w:t xml:space="preserve">scarce supply of spectrum, the ACMA </w:t>
      </w:r>
      <w:r w:rsidR="007B24AC" w:rsidRPr="00FC2702">
        <w:rPr>
          <w:rFonts w:ascii="Times New Roman" w:hAnsi="Times New Roman" w:cs="Times New Roman"/>
        </w:rPr>
        <w:t xml:space="preserve">considers </w:t>
      </w:r>
      <w:r w:rsidR="00E4130D" w:rsidRPr="00FC2702">
        <w:rPr>
          <w:rFonts w:ascii="Times New Roman" w:hAnsi="Times New Roman" w:cs="Times New Roman"/>
        </w:rPr>
        <w:t xml:space="preserve">that the nil limit should be imposed </w:t>
      </w:r>
      <w:r w:rsidR="007B24AC" w:rsidRPr="00FC2702">
        <w:rPr>
          <w:rFonts w:ascii="Times New Roman" w:hAnsi="Times New Roman" w:cs="Times New Roman"/>
        </w:rPr>
        <w:t xml:space="preserve">only </w:t>
      </w:r>
      <w:r w:rsidR="00E4130D" w:rsidRPr="00FC2702">
        <w:rPr>
          <w:rFonts w:ascii="Times New Roman" w:hAnsi="Times New Roman" w:cs="Times New Roman"/>
        </w:rPr>
        <w:t xml:space="preserve">for a limited time. </w:t>
      </w:r>
    </w:p>
    <w:p w14:paraId="060C92DB" w14:textId="4B3CF4AE" w:rsidR="00CB019E" w:rsidRPr="00FC2702" w:rsidRDefault="007B24AC" w:rsidP="004C58B9">
      <w:pPr>
        <w:rPr>
          <w:rFonts w:ascii="Times New Roman" w:hAnsi="Times New Roman" w:cs="Times New Roman"/>
        </w:rPr>
      </w:pPr>
      <w:r w:rsidRPr="00FC2702">
        <w:rPr>
          <w:rFonts w:ascii="Times New Roman" w:hAnsi="Times New Roman" w:cs="Times New Roman"/>
        </w:rPr>
        <w:t>A</w:t>
      </w:r>
      <w:r w:rsidR="00E4130D" w:rsidRPr="00FC2702">
        <w:rPr>
          <w:rFonts w:ascii="Times New Roman" w:hAnsi="Times New Roman" w:cs="Times New Roman"/>
        </w:rPr>
        <w:t xml:space="preserve"> 3-month period may not be enough time </w:t>
      </w:r>
      <w:r w:rsidRPr="00FC2702">
        <w:rPr>
          <w:rFonts w:ascii="Times New Roman" w:hAnsi="Times New Roman" w:cs="Times New Roman"/>
        </w:rPr>
        <w:t>to prioritise applicants other than the named persons</w:t>
      </w:r>
      <w:r w:rsidR="00E4130D" w:rsidRPr="00FC2702">
        <w:rPr>
          <w:rFonts w:ascii="Times New Roman" w:hAnsi="Times New Roman" w:cs="Times New Roman"/>
        </w:rPr>
        <w:t>.</w:t>
      </w:r>
      <w:r w:rsidR="00276B07" w:rsidRPr="00FC2702">
        <w:rPr>
          <w:rFonts w:ascii="Times New Roman" w:hAnsi="Times New Roman" w:cs="Times New Roman"/>
        </w:rPr>
        <w:t xml:space="preserve"> </w:t>
      </w:r>
      <w:r w:rsidRPr="00FC2702">
        <w:rPr>
          <w:rFonts w:ascii="Times New Roman" w:hAnsi="Times New Roman" w:cs="Times New Roman"/>
        </w:rPr>
        <w:t xml:space="preserve">Although </w:t>
      </w:r>
      <w:r w:rsidR="00276B07" w:rsidRPr="00FC2702">
        <w:rPr>
          <w:rFonts w:ascii="Times New Roman" w:hAnsi="Times New Roman" w:cs="Times New Roman"/>
        </w:rPr>
        <w:t xml:space="preserve">a 12-month period </w:t>
      </w:r>
      <w:r w:rsidR="002B36AE" w:rsidRPr="00FC2702">
        <w:rPr>
          <w:rFonts w:ascii="Times New Roman" w:hAnsi="Times New Roman" w:cs="Times New Roman"/>
        </w:rPr>
        <w:t>provide</w:t>
      </w:r>
      <w:r w:rsidR="006E23A2" w:rsidRPr="00FC2702">
        <w:rPr>
          <w:rFonts w:ascii="Times New Roman" w:hAnsi="Times New Roman" w:cs="Times New Roman"/>
        </w:rPr>
        <w:t>s</w:t>
      </w:r>
      <w:r w:rsidR="002B36AE" w:rsidRPr="00FC2702">
        <w:rPr>
          <w:rFonts w:ascii="Times New Roman" w:hAnsi="Times New Roman" w:cs="Times New Roman"/>
        </w:rPr>
        <w:t xml:space="preserve"> more opportunities for </w:t>
      </w:r>
      <w:r w:rsidRPr="00FC2702">
        <w:rPr>
          <w:rFonts w:ascii="Times New Roman" w:hAnsi="Times New Roman" w:cs="Times New Roman"/>
        </w:rPr>
        <w:t xml:space="preserve">persons </w:t>
      </w:r>
      <w:r w:rsidR="002B36AE" w:rsidRPr="00FC2702">
        <w:rPr>
          <w:rFonts w:ascii="Times New Roman" w:hAnsi="Times New Roman" w:cs="Times New Roman"/>
        </w:rPr>
        <w:t xml:space="preserve">to develop a business case and </w:t>
      </w:r>
      <w:r w:rsidRPr="00FC2702">
        <w:rPr>
          <w:rFonts w:ascii="Times New Roman" w:hAnsi="Times New Roman" w:cs="Times New Roman"/>
        </w:rPr>
        <w:t>apply for a relevant AWL</w:t>
      </w:r>
      <w:r w:rsidR="002B36AE" w:rsidRPr="00FC2702">
        <w:rPr>
          <w:rFonts w:ascii="Times New Roman" w:hAnsi="Times New Roman" w:cs="Times New Roman"/>
        </w:rPr>
        <w:t>, a longer period may</w:t>
      </w:r>
      <w:r w:rsidR="00866BDF" w:rsidRPr="00FC2702">
        <w:rPr>
          <w:rFonts w:ascii="Times New Roman" w:hAnsi="Times New Roman" w:cs="Times New Roman"/>
        </w:rPr>
        <w:t xml:space="preserve"> diminish the value of the </w:t>
      </w:r>
      <w:r w:rsidR="007876F0" w:rsidRPr="00FC2702">
        <w:rPr>
          <w:rFonts w:ascii="Times New Roman" w:hAnsi="Times New Roman" w:cs="Times New Roman"/>
        </w:rPr>
        <w:t>relevant AWLs to the named persons</w:t>
      </w:r>
      <w:r w:rsidR="00393E90" w:rsidRPr="00FC2702">
        <w:rPr>
          <w:rFonts w:ascii="Times New Roman" w:hAnsi="Times New Roman" w:cs="Times New Roman"/>
        </w:rPr>
        <w:t>.</w:t>
      </w:r>
      <w:r w:rsidR="00F44842" w:rsidRPr="00FC2702">
        <w:rPr>
          <w:rFonts w:ascii="Times New Roman" w:hAnsi="Times New Roman" w:cs="Times New Roman"/>
        </w:rPr>
        <w:t xml:space="preserve"> </w:t>
      </w:r>
      <w:r w:rsidR="006077FE" w:rsidRPr="00FC2702">
        <w:rPr>
          <w:rFonts w:ascii="Times New Roman" w:hAnsi="Times New Roman" w:cs="Times New Roman"/>
        </w:rPr>
        <w:t xml:space="preserve">In striking the balance between providing sufficient opportunity for </w:t>
      </w:r>
      <w:r w:rsidR="007876F0" w:rsidRPr="00FC2702">
        <w:rPr>
          <w:rFonts w:ascii="Times New Roman" w:hAnsi="Times New Roman" w:cs="Times New Roman"/>
        </w:rPr>
        <w:t>applicants other than the named persons</w:t>
      </w:r>
      <w:r w:rsidR="006077FE" w:rsidRPr="00FC2702">
        <w:rPr>
          <w:rFonts w:ascii="Times New Roman" w:hAnsi="Times New Roman" w:cs="Times New Roman"/>
        </w:rPr>
        <w:t xml:space="preserve">, and returning to </w:t>
      </w:r>
      <w:r w:rsidR="007876F0" w:rsidRPr="00FC2702">
        <w:rPr>
          <w:rFonts w:ascii="Times New Roman" w:hAnsi="Times New Roman" w:cs="Times New Roman"/>
        </w:rPr>
        <w:t>‘</w:t>
      </w:r>
      <w:r w:rsidR="006077FE" w:rsidRPr="00FC2702">
        <w:rPr>
          <w:rFonts w:ascii="Times New Roman" w:hAnsi="Times New Roman" w:cs="Times New Roman"/>
        </w:rPr>
        <w:t>normal</w:t>
      </w:r>
      <w:r w:rsidR="007876F0" w:rsidRPr="00FC2702">
        <w:rPr>
          <w:rFonts w:ascii="Times New Roman" w:hAnsi="Times New Roman" w:cs="Times New Roman"/>
        </w:rPr>
        <w:t>’</w:t>
      </w:r>
      <w:r w:rsidR="006077FE" w:rsidRPr="00FC2702">
        <w:rPr>
          <w:rFonts w:ascii="Times New Roman" w:hAnsi="Times New Roman" w:cs="Times New Roman"/>
        </w:rPr>
        <w:t xml:space="preserve"> settings, </w:t>
      </w:r>
      <w:r w:rsidR="00E4130D" w:rsidRPr="00FC2702">
        <w:rPr>
          <w:rFonts w:ascii="Times New Roman" w:hAnsi="Times New Roman" w:cs="Times New Roman"/>
        </w:rPr>
        <w:t>the ACMA</w:t>
      </w:r>
      <w:r w:rsidR="006077FE" w:rsidRPr="00FC2702">
        <w:rPr>
          <w:rFonts w:ascii="Times New Roman" w:hAnsi="Times New Roman" w:cs="Times New Roman"/>
        </w:rPr>
        <w:t xml:space="preserve"> consider</w:t>
      </w:r>
      <w:r w:rsidR="00E4130D" w:rsidRPr="00FC2702">
        <w:rPr>
          <w:rFonts w:ascii="Times New Roman" w:hAnsi="Times New Roman" w:cs="Times New Roman"/>
        </w:rPr>
        <w:t>s</w:t>
      </w:r>
      <w:r w:rsidR="006077FE" w:rsidRPr="00FC2702">
        <w:rPr>
          <w:rFonts w:ascii="Times New Roman" w:hAnsi="Times New Roman" w:cs="Times New Roman"/>
        </w:rPr>
        <w:t xml:space="preserve"> a </w:t>
      </w:r>
      <w:r w:rsidR="007876F0" w:rsidRPr="00FC2702">
        <w:rPr>
          <w:rFonts w:ascii="Times New Roman" w:hAnsi="Times New Roman" w:cs="Times New Roman"/>
        </w:rPr>
        <w:t>nil</w:t>
      </w:r>
      <w:r w:rsidR="00EF59F9" w:rsidRPr="00FC2702">
        <w:rPr>
          <w:rFonts w:ascii="Times New Roman" w:hAnsi="Times New Roman" w:cs="Times New Roman"/>
        </w:rPr>
        <w:t xml:space="preserve"> </w:t>
      </w:r>
      <w:r w:rsidR="006077FE" w:rsidRPr="00FC2702">
        <w:rPr>
          <w:rFonts w:ascii="Times New Roman" w:hAnsi="Times New Roman" w:cs="Times New Roman"/>
        </w:rPr>
        <w:t>limit</w:t>
      </w:r>
      <w:r w:rsidR="003503F4">
        <w:rPr>
          <w:rFonts w:ascii="Times New Roman" w:hAnsi="Times New Roman" w:cs="Times New Roman"/>
        </w:rPr>
        <w:t xml:space="preserve"> ending on 30 September 2024</w:t>
      </w:r>
      <w:r w:rsidR="006077FE" w:rsidRPr="00FC2702">
        <w:rPr>
          <w:rFonts w:ascii="Times New Roman" w:hAnsi="Times New Roman" w:cs="Times New Roman"/>
        </w:rPr>
        <w:t xml:space="preserve"> is appropriate</w:t>
      </w:r>
      <w:r w:rsidR="003B4EA9" w:rsidRPr="00FC2702">
        <w:rPr>
          <w:rFonts w:ascii="Times New Roman" w:hAnsi="Times New Roman" w:cs="Times New Roman"/>
        </w:rPr>
        <w:t xml:space="preserve"> to test demand for a range of different use cases</w:t>
      </w:r>
      <w:r w:rsidR="007876F0" w:rsidRPr="00FC2702">
        <w:rPr>
          <w:rFonts w:ascii="Times New Roman" w:hAnsi="Times New Roman" w:cs="Times New Roman"/>
        </w:rPr>
        <w:t xml:space="preserve"> and prioritise applicants other than the named persons</w:t>
      </w:r>
      <w:r w:rsidR="006077FE" w:rsidRPr="00FC2702">
        <w:rPr>
          <w:rFonts w:ascii="Times New Roman" w:hAnsi="Times New Roman" w:cs="Times New Roman"/>
        </w:rPr>
        <w:t xml:space="preserve">. </w:t>
      </w:r>
    </w:p>
    <w:p w14:paraId="294FA033" w14:textId="0C73E342" w:rsidR="00220EAF" w:rsidRPr="00FC2702" w:rsidRDefault="000E6F22" w:rsidP="00220EAF">
      <w:pPr>
        <w:rPr>
          <w:rFonts w:ascii="Times New Roman" w:hAnsi="Times New Roman" w:cs="Times New Roman"/>
          <w:i/>
          <w:iCs/>
        </w:rPr>
      </w:pPr>
      <w:r w:rsidRPr="00FC2702">
        <w:rPr>
          <w:rFonts w:ascii="Times New Roman" w:hAnsi="Times New Roman" w:cs="Times New Roman"/>
          <w:i/>
          <w:iCs/>
        </w:rPr>
        <w:t>Transfers and a</w:t>
      </w:r>
      <w:r w:rsidR="006B0BD4" w:rsidRPr="00FC2702">
        <w:rPr>
          <w:rFonts w:ascii="Times New Roman" w:hAnsi="Times New Roman" w:cs="Times New Roman"/>
          <w:i/>
          <w:iCs/>
        </w:rPr>
        <w:t>uthorisations</w:t>
      </w:r>
    </w:p>
    <w:p w14:paraId="7B8AF6E1" w14:textId="19FB4E8E" w:rsidR="00896A07" w:rsidRPr="00FC2702" w:rsidRDefault="00B25DA7" w:rsidP="00B25DA7">
      <w:pPr>
        <w:rPr>
          <w:rFonts w:ascii="Times New Roman" w:hAnsi="Times New Roman" w:cs="Times New Roman"/>
        </w:rPr>
      </w:pPr>
      <w:r w:rsidRPr="00FC2702">
        <w:rPr>
          <w:rFonts w:ascii="Times New Roman" w:hAnsi="Times New Roman" w:cs="Times New Roman"/>
        </w:rPr>
        <w:t xml:space="preserve">One submitter did not support </w:t>
      </w:r>
      <w:r w:rsidR="004D72A0" w:rsidRPr="00FC2702">
        <w:rPr>
          <w:rFonts w:ascii="Times New Roman" w:hAnsi="Times New Roman" w:cs="Times New Roman"/>
        </w:rPr>
        <w:t xml:space="preserve">the proposed restrictions on authorising </w:t>
      </w:r>
      <w:r w:rsidR="00540287" w:rsidRPr="00FC2702">
        <w:rPr>
          <w:rFonts w:ascii="Times New Roman" w:hAnsi="Times New Roman" w:cs="Times New Roman"/>
        </w:rPr>
        <w:t>persons to operate radiocommunications devices under relevant AWLs and on transferring relevant AWLs,</w:t>
      </w:r>
      <w:r w:rsidRPr="00FC2702">
        <w:rPr>
          <w:rFonts w:ascii="Times New Roman" w:hAnsi="Times New Roman" w:cs="Times New Roman"/>
        </w:rPr>
        <w:t xml:space="preserve"> because it considered </w:t>
      </w:r>
      <w:r w:rsidR="00EF59F9" w:rsidRPr="00FC2702">
        <w:rPr>
          <w:rFonts w:ascii="Times New Roman" w:hAnsi="Times New Roman" w:cs="Times New Roman"/>
        </w:rPr>
        <w:t>the</w:t>
      </w:r>
      <w:r w:rsidR="00855ABE" w:rsidRPr="00FC2702">
        <w:rPr>
          <w:rFonts w:ascii="Times New Roman" w:hAnsi="Times New Roman" w:cs="Times New Roman"/>
        </w:rPr>
        <w:t>y</w:t>
      </w:r>
      <w:r w:rsidRPr="00FC2702">
        <w:rPr>
          <w:rFonts w:ascii="Times New Roman" w:hAnsi="Times New Roman" w:cs="Times New Roman"/>
        </w:rPr>
        <w:t xml:space="preserve"> </w:t>
      </w:r>
      <w:r w:rsidR="00540287" w:rsidRPr="00FC2702">
        <w:rPr>
          <w:rFonts w:ascii="Times New Roman" w:hAnsi="Times New Roman" w:cs="Times New Roman"/>
        </w:rPr>
        <w:t>unnecessarily</w:t>
      </w:r>
      <w:r w:rsidRPr="00FC2702">
        <w:rPr>
          <w:rFonts w:ascii="Times New Roman" w:hAnsi="Times New Roman" w:cs="Times New Roman"/>
        </w:rPr>
        <w:t xml:space="preserve"> restrict market activity</w:t>
      </w:r>
      <w:r w:rsidR="007163C7" w:rsidRPr="00FC2702">
        <w:rPr>
          <w:rFonts w:ascii="Times New Roman" w:hAnsi="Times New Roman" w:cs="Times New Roman"/>
        </w:rPr>
        <w:t xml:space="preserve">. </w:t>
      </w:r>
    </w:p>
    <w:p w14:paraId="5DFC9808" w14:textId="26B0A587" w:rsidR="00B25DA7" w:rsidRPr="00FC2702" w:rsidRDefault="00EC27EC" w:rsidP="00B25DA7">
      <w:pPr>
        <w:rPr>
          <w:rFonts w:ascii="Times New Roman" w:hAnsi="Times New Roman" w:cs="Times New Roman"/>
        </w:rPr>
      </w:pPr>
      <w:r w:rsidRPr="00FC2702">
        <w:rPr>
          <w:rFonts w:ascii="Times New Roman" w:hAnsi="Times New Roman" w:cs="Times New Roman"/>
        </w:rPr>
        <w:t xml:space="preserve">The ACMA considers that the restrictions </w:t>
      </w:r>
      <w:r w:rsidR="00427D59" w:rsidRPr="00FC2702">
        <w:rPr>
          <w:rFonts w:ascii="Times New Roman" w:hAnsi="Times New Roman" w:cs="Times New Roman"/>
        </w:rPr>
        <w:t>will</w:t>
      </w:r>
      <w:r w:rsidRPr="00FC2702">
        <w:rPr>
          <w:rFonts w:ascii="Times New Roman" w:hAnsi="Times New Roman" w:cs="Times New Roman"/>
        </w:rPr>
        <w:t xml:space="preserve"> support the temporary nil limit by reducing the possibility of ‘gaming’ </w:t>
      </w:r>
      <w:r w:rsidR="00540287" w:rsidRPr="00FC2702">
        <w:rPr>
          <w:rFonts w:ascii="Times New Roman" w:hAnsi="Times New Roman" w:cs="Times New Roman"/>
        </w:rPr>
        <w:t xml:space="preserve">the </w:t>
      </w:r>
      <w:r w:rsidRPr="00FC2702">
        <w:rPr>
          <w:rFonts w:ascii="Times New Roman" w:hAnsi="Times New Roman" w:cs="Times New Roman"/>
        </w:rPr>
        <w:t>limit. The ACMA consider</w:t>
      </w:r>
      <w:r w:rsidR="00EC6A41" w:rsidRPr="00FC2702">
        <w:rPr>
          <w:rFonts w:ascii="Times New Roman" w:hAnsi="Times New Roman" w:cs="Times New Roman"/>
        </w:rPr>
        <w:t>s</w:t>
      </w:r>
      <w:r w:rsidRPr="00FC2702">
        <w:rPr>
          <w:rFonts w:ascii="Times New Roman" w:hAnsi="Times New Roman" w:cs="Times New Roman"/>
        </w:rPr>
        <w:t xml:space="preserve"> this is appropriately offset by the </w:t>
      </w:r>
      <w:r w:rsidR="00540287" w:rsidRPr="00FC2702">
        <w:rPr>
          <w:rFonts w:ascii="Times New Roman" w:hAnsi="Times New Roman" w:cs="Times New Roman"/>
        </w:rPr>
        <w:t xml:space="preserve">relatively </w:t>
      </w:r>
      <w:r w:rsidRPr="00FC2702">
        <w:rPr>
          <w:rFonts w:ascii="Times New Roman" w:hAnsi="Times New Roman" w:cs="Times New Roman"/>
        </w:rPr>
        <w:t xml:space="preserve">short period </w:t>
      </w:r>
      <w:r w:rsidR="00137569" w:rsidRPr="00FC2702">
        <w:rPr>
          <w:rFonts w:ascii="Times New Roman" w:hAnsi="Times New Roman" w:cs="Times New Roman"/>
        </w:rPr>
        <w:t xml:space="preserve">of </w:t>
      </w:r>
      <w:r w:rsidR="00A35420" w:rsidRPr="00FC2702">
        <w:rPr>
          <w:rFonts w:ascii="Times New Roman" w:hAnsi="Times New Roman" w:cs="Times New Roman"/>
        </w:rPr>
        <w:t xml:space="preserve">the temporary </w:t>
      </w:r>
      <w:r w:rsidR="00540287" w:rsidRPr="00FC2702">
        <w:rPr>
          <w:rFonts w:ascii="Times New Roman" w:hAnsi="Times New Roman" w:cs="Times New Roman"/>
        </w:rPr>
        <w:t>nil limit</w:t>
      </w:r>
      <w:r w:rsidRPr="00FC2702">
        <w:rPr>
          <w:rFonts w:ascii="Times New Roman" w:hAnsi="Times New Roman" w:cs="Times New Roman"/>
        </w:rPr>
        <w:t xml:space="preserve">, as well as the benefit it confers by providing </w:t>
      </w:r>
      <w:r w:rsidR="00540287" w:rsidRPr="00FC2702">
        <w:rPr>
          <w:rFonts w:ascii="Times New Roman" w:hAnsi="Times New Roman" w:cs="Times New Roman"/>
        </w:rPr>
        <w:t>persons other than the named persons</w:t>
      </w:r>
      <w:r w:rsidRPr="00FC2702">
        <w:rPr>
          <w:rFonts w:ascii="Times New Roman" w:hAnsi="Times New Roman" w:cs="Times New Roman"/>
        </w:rPr>
        <w:t xml:space="preserve"> with the opportunity to </w:t>
      </w:r>
      <w:r w:rsidR="00540287" w:rsidRPr="00FC2702">
        <w:rPr>
          <w:rFonts w:ascii="Times New Roman" w:hAnsi="Times New Roman" w:cs="Times New Roman"/>
        </w:rPr>
        <w:t xml:space="preserve">be issued </w:t>
      </w:r>
      <w:r w:rsidR="006A4FE5" w:rsidRPr="00FC2702">
        <w:rPr>
          <w:rFonts w:ascii="Times New Roman" w:hAnsi="Times New Roman" w:cs="Times New Roman"/>
        </w:rPr>
        <w:t>relevant AWLs</w:t>
      </w:r>
      <w:r w:rsidRPr="00FC2702">
        <w:rPr>
          <w:rFonts w:ascii="Times New Roman" w:hAnsi="Times New Roman" w:cs="Times New Roman"/>
        </w:rPr>
        <w:t>.</w:t>
      </w:r>
    </w:p>
    <w:p w14:paraId="289C77C3" w14:textId="7AF4AC91" w:rsidR="00F468CC" w:rsidRPr="00FC2702" w:rsidRDefault="00896A07" w:rsidP="00B25DA7">
      <w:pPr>
        <w:rPr>
          <w:rFonts w:ascii="Times New Roman" w:hAnsi="Times New Roman" w:cs="Times New Roman"/>
          <w:i/>
          <w:iCs/>
        </w:rPr>
      </w:pPr>
      <w:r w:rsidRPr="00FC2702">
        <w:rPr>
          <w:rFonts w:ascii="Times New Roman" w:hAnsi="Times New Roman" w:cs="Times New Roman"/>
          <w:i/>
          <w:iCs/>
        </w:rPr>
        <w:t>Associates</w:t>
      </w:r>
    </w:p>
    <w:p w14:paraId="3599D96C" w14:textId="0487CFE3" w:rsidR="00B25DA7" w:rsidRPr="00FC2702" w:rsidRDefault="00320F7A" w:rsidP="00B25DA7">
      <w:pPr>
        <w:rPr>
          <w:rFonts w:ascii="Times New Roman" w:hAnsi="Times New Roman" w:cs="Times New Roman"/>
        </w:rPr>
      </w:pPr>
      <w:r w:rsidRPr="00FC2702">
        <w:rPr>
          <w:rFonts w:ascii="Times New Roman" w:hAnsi="Times New Roman" w:cs="Times New Roman"/>
        </w:rPr>
        <w:t>For the proposed nil limit, t</w:t>
      </w:r>
      <w:r w:rsidR="00347CD5" w:rsidRPr="00FC2702">
        <w:rPr>
          <w:rFonts w:ascii="Times New Roman" w:hAnsi="Times New Roman" w:cs="Times New Roman"/>
        </w:rPr>
        <w:t>he</w:t>
      </w:r>
      <w:r w:rsidR="00B25DA7" w:rsidRPr="00FC2702">
        <w:rPr>
          <w:rFonts w:ascii="Times New Roman" w:hAnsi="Times New Roman" w:cs="Times New Roman"/>
        </w:rPr>
        <w:t xml:space="preserve"> ACMA proposed </w:t>
      </w:r>
      <w:r w:rsidR="007720F4" w:rsidRPr="00FC2702">
        <w:rPr>
          <w:rFonts w:ascii="Times New Roman" w:hAnsi="Times New Roman" w:cs="Times New Roman"/>
        </w:rPr>
        <w:t xml:space="preserve">that </w:t>
      </w:r>
      <w:r w:rsidR="00A06F18" w:rsidRPr="00FC2702">
        <w:rPr>
          <w:rFonts w:ascii="Times New Roman" w:hAnsi="Times New Roman" w:cs="Times New Roman"/>
        </w:rPr>
        <w:t>a</w:t>
      </w:r>
      <w:r w:rsidR="00347CD5" w:rsidRPr="00FC2702">
        <w:rPr>
          <w:rFonts w:ascii="Times New Roman" w:hAnsi="Times New Roman" w:cs="Times New Roman"/>
        </w:rPr>
        <w:t>n ‘associate’</w:t>
      </w:r>
      <w:r w:rsidRPr="00FC2702">
        <w:rPr>
          <w:rFonts w:ascii="Times New Roman" w:hAnsi="Times New Roman" w:cs="Times New Roman"/>
        </w:rPr>
        <w:t xml:space="preserve"> of a named person</w:t>
      </w:r>
      <w:r w:rsidR="00347CD5" w:rsidRPr="00FC2702">
        <w:rPr>
          <w:rFonts w:ascii="Times New Roman" w:hAnsi="Times New Roman" w:cs="Times New Roman"/>
        </w:rPr>
        <w:t xml:space="preserve"> </w:t>
      </w:r>
      <w:r w:rsidR="00683CA3" w:rsidRPr="00FC2702">
        <w:rPr>
          <w:rFonts w:ascii="Times New Roman" w:hAnsi="Times New Roman" w:cs="Times New Roman"/>
        </w:rPr>
        <w:t>include</w:t>
      </w:r>
      <w:r w:rsidR="00B25DA7" w:rsidRPr="00FC2702">
        <w:rPr>
          <w:rFonts w:ascii="Times New Roman" w:hAnsi="Times New Roman" w:cs="Times New Roman"/>
        </w:rPr>
        <w:t>:</w:t>
      </w:r>
    </w:p>
    <w:p w14:paraId="6A36C3FF" w14:textId="65DEC666" w:rsidR="00B25DA7" w:rsidRPr="00FC2702" w:rsidRDefault="00B25DA7" w:rsidP="00B25DA7">
      <w:pPr>
        <w:pStyle w:val="ListParagraph"/>
        <w:numPr>
          <w:ilvl w:val="0"/>
          <w:numId w:val="23"/>
        </w:numPr>
        <w:rPr>
          <w:rFonts w:ascii="Times New Roman" w:hAnsi="Times New Roman" w:cs="Times New Roman"/>
        </w:rPr>
      </w:pPr>
      <w:r w:rsidRPr="00FC2702">
        <w:rPr>
          <w:rFonts w:ascii="Times New Roman" w:hAnsi="Times New Roman" w:cs="Times New Roman"/>
        </w:rPr>
        <w:t xml:space="preserve">a related body corporate of </w:t>
      </w:r>
      <w:r w:rsidR="00320F7A" w:rsidRPr="00FC2702">
        <w:rPr>
          <w:rFonts w:ascii="Times New Roman" w:hAnsi="Times New Roman" w:cs="Times New Roman"/>
        </w:rPr>
        <w:t>the named person;</w:t>
      </w:r>
    </w:p>
    <w:p w14:paraId="5209FD94" w14:textId="2C28E2B6" w:rsidR="00B25DA7" w:rsidRPr="00FC2702" w:rsidRDefault="00B25DA7" w:rsidP="00B25DA7">
      <w:pPr>
        <w:pStyle w:val="ListParagraph"/>
        <w:numPr>
          <w:ilvl w:val="0"/>
          <w:numId w:val="23"/>
        </w:numPr>
        <w:rPr>
          <w:rFonts w:ascii="Times New Roman" w:hAnsi="Times New Roman" w:cs="Times New Roman"/>
        </w:rPr>
      </w:pPr>
      <w:r w:rsidRPr="00FC2702">
        <w:rPr>
          <w:rFonts w:ascii="Times New Roman" w:hAnsi="Times New Roman" w:cs="Times New Roman"/>
        </w:rPr>
        <w:t xml:space="preserve">a director or secretary of </w:t>
      </w:r>
      <w:r w:rsidR="00320F7A" w:rsidRPr="00FC2702">
        <w:rPr>
          <w:rFonts w:ascii="Times New Roman" w:hAnsi="Times New Roman" w:cs="Times New Roman"/>
        </w:rPr>
        <w:t>the named person;</w:t>
      </w:r>
    </w:p>
    <w:p w14:paraId="6451FED7" w14:textId="05CE78CB" w:rsidR="00B25DA7" w:rsidRPr="00FC2702" w:rsidRDefault="00B25DA7" w:rsidP="00B25DA7">
      <w:pPr>
        <w:pStyle w:val="ListParagraph"/>
        <w:numPr>
          <w:ilvl w:val="0"/>
          <w:numId w:val="23"/>
        </w:numPr>
        <w:rPr>
          <w:rFonts w:ascii="Times New Roman" w:hAnsi="Times New Roman" w:cs="Times New Roman"/>
        </w:rPr>
      </w:pPr>
      <w:r w:rsidRPr="00FC2702">
        <w:rPr>
          <w:rFonts w:ascii="Times New Roman" w:hAnsi="Times New Roman" w:cs="Times New Roman"/>
        </w:rPr>
        <w:t xml:space="preserve">a foreign company for which </w:t>
      </w:r>
      <w:r w:rsidR="00320F7A" w:rsidRPr="00FC2702">
        <w:rPr>
          <w:rFonts w:ascii="Times New Roman" w:hAnsi="Times New Roman" w:cs="Times New Roman"/>
        </w:rPr>
        <w:t>the named person</w:t>
      </w:r>
      <w:r w:rsidRPr="00FC2702">
        <w:rPr>
          <w:rFonts w:ascii="Times New Roman" w:hAnsi="Times New Roman" w:cs="Times New Roman"/>
        </w:rPr>
        <w:t xml:space="preserve"> is a local agent</w:t>
      </w:r>
      <w:r w:rsidR="0015536B" w:rsidRPr="00FC2702">
        <w:rPr>
          <w:rFonts w:ascii="Times New Roman" w:hAnsi="Times New Roman" w:cs="Times New Roman"/>
        </w:rPr>
        <w:t>;</w:t>
      </w:r>
    </w:p>
    <w:p w14:paraId="38AA6369" w14:textId="5E9AF063" w:rsidR="00B25DA7" w:rsidRPr="00FC2702" w:rsidRDefault="00B25DA7" w:rsidP="00B25DA7">
      <w:pPr>
        <w:pStyle w:val="ListParagraph"/>
        <w:numPr>
          <w:ilvl w:val="0"/>
          <w:numId w:val="23"/>
        </w:numPr>
        <w:rPr>
          <w:rFonts w:ascii="Times New Roman" w:hAnsi="Times New Roman" w:cs="Times New Roman"/>
        </w:rPr>
      </w:pPr>
      <w:r w:rsidRPr="00FC2702">
        <w:rPr>
          <w:rFonts w:ascii="Times New Roman" w:hAnsi="Times New Roman" w:cs="Times New Roman"/>
        </w:rPr>
        <w:t xml:space="preserve">any person who has an arrangement, agreement or understanding with </w:t>
      </w:r>
      <w:r w:rsidR="00F370DA" w:rsidRPr="00FC2702">
        <w:rPr>
          <w:rFonts w:ascii="Times New Roman" w:hAnsi="Times New Roman" w:cs="Times New Roman"/>
        </w:rPr>
        <w:t>the</w:t>
      </w:r>
      <w:r w:rsidRPr="00FC2702">
        <w:rPr>
          <w:rFonts w:ascii="Times New Roman" w:hAnsi="Times New Roman" w:cs="Times New Roman"/>
        </w:rPr>
        <w:t xml:space="preserve"> named person or another associate of </w:t>
      </w:r>
      <w:r w:rsidR="00F370DA" w:rsidRPr="00FC2702">
        <w:rPr>
          <w:rFonts w:ascii="Times New Roman" w:hAnsi="Times New Roman" w:cs="Times New Roman"/>
        </w:rPr>
        <w:t>the</w:t>
      </w:r>
      <w:r w:rsidRPr="00FC2702">
        <w:rPr>
          <w:rFonts w:ascii="Times New Roman" w:hAnsi="Times New Roman" w:cs="Times New Roman"/>
        </w:rPr>
        <w:t xml:space="preserve"> named person</w:t>
      </w:r>
      <w:r w:rsidR="00347386" w:rsidRPr="00FC2702">
        <w:rPr>
          <w:rFonts w:ascii="Times New Roman" w:hAnsi="Times New Roman" w:cs="Times New Roman"/>
        </w:rPr>
        <w:t xml:space="preserve"> or, alternatively, who acts in concert with a </w:t>
      </w:r>
      <w:r w:rsidR="00D17A4A" w:rsidRPr="00FC2702">
        <w:rPr>
          <w:rFonts w:ascii="Times New Roman" w:hAnsi="Times New Roman" w:cs="Times New Roman"/>
        </w:rPr>
        <w:t xml:space="preserve">named </w:t>
      </w:r>
      <w:r w:rsidR="00347386" w:rsidRPr="00FC2702">
        <w:rPr>
          <w:rFonts w:ascii="Times New Roman" w:hAnsi="Times New Roman" w:cs="Times New Roman"/>
        </w:rPr>
        <w:t>person</w:t>
      </w:r>
      <w:r w:rsidRPr="00FC2702">
        <w:rPr>
          <w:rFonts w:ascii="Times New Roman" w:hAnsi="Times New Roman" w:cs="Times New Roman"/>
        </w:rPr>
        <w:t>.</w:t>
      </w:r>
    </w:p>
    <w:p w14:paraId="67BA6032" w14:textId="2E06E5A7" w:rsidR="00126ED1" w:rsidRPr="00FC2702" w:rsidRDefault="00D626FF" w:rsidP="00352D64">
      <w:pPr>
        <w:rPr>
          <w:rFonts w:ascii="Times New Roman" w:hAnsi="Times New Roman" w:cs="Times New Roman"/>
        </w:rPr>
      </w:pPr>
      <w:r w:rsidRPr="00FC2702">
        <w:rPr>
          <w:rFonts w:ascii="Times New Roman" w:hAnsi="Times New Roman" w:cs="Times New Roman"/>
        </w:rPr>
        <w:t xml:space="preserve">Three submissions suggested that the nil limit should not apply to any associates of a named person. </w:t>
      </w:r>
      <w:r w:rsidR="00352D64" w:rsidRPr="00FC2702">
        <w:rPr>
          <w:rFonts w:ascii="Times New Roman" w:hAnsi="Times New Roman" w:cs="Times New Roman"/>
        </w:rPr>
        <w:t xml:space="preserve">The ACMA considers an associates policy is necessary for the </w:t>
      </w:r>
      <w:r w:rsidRPr="00FC2702">
        <w:rPr>
          <w:rFonts w:ascii="Times New Roman" w:hAnsi="Times New Roman" w:cs="Times New Roman"/>
        </w:rPr>
        <w:t xml:space="preserve">imposition </w:t>
      </w:r>
      <w:r w:rsidR="00352D64" w:rsidRPr="00FC2702">
        <w:rPr>
          <w:rFonts w:ascii="Times New Roman" w:hAnsi="Times New Roman" w:cs="Times New Roman"/>
        </w:rPr>
        <w:t>of any kind of limits</w:t>
      </w:r>
      <w:r w:rsidRPr="00FC2702">
        <w:rPr>
          <w:rFonts w:ascii="Times New Roman" w:hAnsi="Times New Roman" w:cs="Times New Roman"/>
        </w:rPr>
        <w:t xml:space="preserve"> on the allocation of spectrum licences or transmitter licences</w:t>
      </w:r>
      <w:r w:rsidR="00352D64" w:rsidRPr="00FC2702">
        <w:rPr>
          <w:rFonts w:ascii="Times New Roman" w:hAnsi="Times New Roman" w:cs="Times New Roman"/>
        </w:rPr>
        <w:t xml:space="preserve">. </w:t>
      </w:r>
      <w:r w:rsidRPr="00FC2702">
        <w:rPr>
          <w:rFonts w:ascii="Times New Roman" w:hAnsi="Times New Roman" w:cs="Times New Roman"/>
        </w:rPr>
        <w:t>T</w:t>
      </w:r>
      <w:r w:rsidR="00352D64" w:rsidRPr="00FC2702">
        <w:rPr>
          <w:rFonts w:ascii="Times New Roman" w:hAnsi="Times New Roman" w:cs="Times New Roman"/>
        </w:rPr>
        <w:t>he 3.8 GHz allocation</w:t>
      </w:r>
      <w:r w:rsidRPr="00FC2702">
        <w:rPr>
          <w:rFonts w:ascii="Times New Roman" w:hAnsi="Times New Roman" w:cs="Times New Roman"/>
        </w:rPr>
        <w:t xml:space="preserve"> process</w:t>
      </w:r>
      <w:r w:rsidR="00352D64" w:rsidRPr="00FC2702">
        <w:rPr>
          <w:rFonts w:ascii="Times New Roman" w:hAnsi="Times New Roman" w:cs="Times New Roman"/>
        </w:rPr>
        <w:t xml:space="preserve"> is intended to facilitate new use cases,</w:t>
      </w:r>
      <w:r w:rsidRPr="00FC2702">
        <w:rPr>
          <w:rFonts w:ascii="Times New Roman" w:hAnsi="Times New Roman" w:cs="Times New Roman"/>
        </w:rPr>
        <w:t xml:space="preserve"> and</w:t>
      </w:r>
      <w:r w:rsidR="00352D64" w:rsidRPr="00FC2702">
        <w:rPr>
          <w:rFonts w:ascii="Times New Roman" w:hAnsi="Times New Roman" w:cs="Times New Roman"/>
        </w:rPr>
        <w:t xml:space="preserve"> </w:t>
      </w:r>
      <w:r w:rsidR="008E0721" w:rsidRPr="00FC2702">
        <w:rPr>
          <w:rFonts w:ascii="Times New Roman" w:hAnsi="Times New Roman" w:cs="Times New Roman"/>
        </w:rPr>
        <w:t xml:space="preserve">the ACMA </w:t>
      </w:r>
      <w:r w:rsidR="00352D64" w:rsidRPr="00FC2702">
        <w:rPr>
          <w:rFonts w:ascii="Times New Roman" w:hAnsi="Times New Roman" w:cs="Times New Roman"/>
        </w:rPr>
        <w:t>consider</w:t>
      </w:r>
      <w:r w:rsidR="008E0721" w:rsidRPr="00FC2702">
        <w:rPr>
          <w:rFonts w:ascii="Times New Roman" w:hAnsi="Times New Roman" w:cs="Times New Roman"/>
        </w:rPr>
        <w:t>s</w:t>
      </w:r>
      <w:r w:rsidR="00352D64" w:rsidRPr="00FC2702">
        <w:rPr>
          <w:rFonts w:ascii="Times New Roman" w:hAnsi="Times New Roman" w:cs="Times New Roman"/>
        </w:rPr>
        <w:t xml:space="preserve"> that</w:t>
      </w:r>
      <w:r w:rsidRPr="00FC2702">
        <w:rPr>
          <w:rFonts w:ascii="Times New Roman" w:hAnsi="Times New Roman" w:cs="Times New Roman"/>
        </w:rPr>
        <w:t xml:space="preserve"> entities closely related to the </w:t>
      </w:r>
      <w:r w:rsidR="005B13E6" w:rsidRPr="00FC2702">
        <w:rPr>
          <w:rFonts w:ascii="Times New Roman" w:hAnsi="Times New Roman" w:cs="Times New Roman"/>
        </w:rPr>
        <w:t>named persons can</w:t>
      </w:r>
      <w:r w:rsidR="00352D64" w:rsidRPr="00FC2702">
        <w:rPr>
          <w:rFonts w:ascii="Times New Roman" w:hAnsi="Times New Roman" w:cs="Times New Roman"/>
        </w:rPr>
        <w:t xml:space="preserve"> </w:t>
      </w:r>
      <w:r w:rsidR="005B13E6" w:rsidRPr="00FC2702">
        <w:rPr>
          <w:rFonts w:ascii="Times New Roman" w:hAnsi="Times New Roman" w:cs="Times New Roman"/>
        </w:rPr>
        <w:t xml:space="preserve">use spectrum licences already held by the named persons or </w:t>
      </w:r>
      <w:r w:rsidR="00931E8A" w:rsidRPr="00FC2702">
        <w:rPr>
          <w:rFonts w:ascii="Times New Roman" w:hAnsi="Times New Roman" w:cs="Times New Roman"/>
        </w:rPr>
        <w:t>their related bodies corporate</w:t>
      </w:r>
      <w:r w:rsidR="005B13E6" w:rsidRPr="00FC2702">
        <w:rPr>
          <w:rFonts w:ascii="Times New Roman" w:hAnsi="Times New Roman" w:cs="Times New Roman"/>
        </w:rPr>
        <w:t xml:space="preserve"> </w:t>
      </w:r>
      <w:r w:rsidR="00352D64" w:rsidRPr="00FC2702">
        <w:rPr>
          <w:rFonts w:ascii="Times New Roman" w:hAnsi="Times New Roman" w:cs="Times New Roman"/>
        </w:rPr>
        <w:t xml:space="preserve">in the 3.4 GHz band. </w:t>
      </w:r>
      <w:r w:rsidR="00931E8A" w:rsidRPr="00FC2702">
        <w:rPr>
          <w:rFonts w:ascii="Times New Roman" w:hAnsi="Times New Roman" w:cs="Times New Roman"/>
        </w:rPr>
        <w:t>Allowing entities closely related to the named persons</w:t>
      </w:r>
      <w:r w:rsidR="00066373">
        <w:rPr>
          <w:rFonts w:ascii="Times New Roman" w:hAnsi="Times New Roman" w:cs="Times New Roman"/>
        </w:rPr>
        <w:t xml:space="preserve"> to use more spectrum</w:t>
      </w:r>
      <w:r w:rsidR="00931E8A" w:rsidRPr="00FC2702">
        <w:rPr>
          <w:rFonts w:ascii="Times New Roman" w:hAnsi="Times New Roman" w:cs="Times New Roman"/>
        </w:rPr>
        <w:t xml:space="preserve"> would allow for the possibility of </w:t>
      </w:r>
      <w:r w:rsidR="00383B20" w:rsidRPr="00FC2702">
        <w:rPr>
          <w:rFonts w:ascii="Times New Roman" w:hAnsi="Times New Roman" w:cs="Times New Roman"/>
        </w:rPr>
        <w:t>the named persons circumventing the imposed limits</w:t>
      </w:r>
      <w:r w:rsidR="00931E8A" w:rsidRPr="00FC2702">
        <w:rPr>
          <w:rFonts w:ascii="Times New Roman" w:hAnsi="Times New Roman" w:cs="Times New Roman"/>
        </w:rPr>
        <w:t>.</w:t>
      </w:r>
      <w:r w:rsidR="0003790E" w:rsidRPr="00FC2702">
        <w:rPr>
          <w:rFonts w:ascii="Times New Roman" w:hAnsi="Times New Roman" w:cs="Times New Roman"/>
        </w:rPr>
        <w:t xml:space="preserve"> However, in the interests of </w:t>
      </w:r>
      <w:r w:rsidR="0038139E" w:rsidRPr="00FC2702">
        <w:rPr>
          <w:rFonts w:ascii="Times New Roman" w:hAnsi="Times New Roman" w:cs="Times New Roman"/>
        </w:rPr>
        <w:t>simplicity, the ACMA has decided not to include as an associate any person who has an arrangement, agreement or understanding with a named person or an associate of a named person, or who acts in concert with a named person.</w:t>
      </w:r>
    </w:p>
    <w:p w14:paraId="3299A1A6" w14:textId="302315DD" w:rsidR="00BD286F" w:rsidRPr="00FC2702" w:rsidRDefault="000A22BD" w:rsidP="00BD286F">
      <w:pPr>
        <w:rPr>
          <w:rFonts w:ascii="Times New Roman" w:hAnsi="Times New Roman" w:cs="Times New Roman"/>
        </w:rPr>
      </w:pPr>
      <w:r w:rsidRPr="00FC2702">
        <w:rPr>
          <w:rFonts w:ascii="Times New Roman" w:hAnsi="Times New Roman" w:cs="Times New Roman"/>
        </w:rPr>
        <w:lastRenderedPageBreak/>
        <w:t>Other mechanisms</w:t>
      </w:r>
      <w:r w:rsidR="003E09B5" w:rsidRPr="00FC2702">
        <w:rPr>
          <w:rFonts w:ascii="Times New Roman" w:hAnsi="Times New Roman" w:cs="Times New Roman"/>
        </w:rPr>
        <w:t xml:space="preserve"> suggested by submitters</w:t>
      </w:r>
      <w:r w:rsidRPr="00FC2702">
        <w:rPr>
          <w:rFonts w:ascii="Times New Roman" w:hAnsi="Times New Roman" w:cs="Times New Roman"/>
        </w:rPr>
        <w:t xml:space="preserve"> to prevent such circumvention, such as a licence condition </w:t>
      </w:r>
      <w:r w:rsidR="00B078C8" w:rsidRPr="00FC2702">
        <w:rPr>
          <w:rFonts w:ascii="Times New Roman" w:hAnsi="Times New Roman" w:cs="Times New Roman"/>
        </w:rPr>
        <w:t xml:space="preserve">preventing the operation of radiocommunications transmitters under a relevant AWL for the </w:t>
      </w:r>
      <w:r w:rsidR="00A14AF6" w:rsidRPr="00FC2702">
        <w:rPr>
          <w:rFonts w:ascii="Times New Roman" w:hAnsi="Times New Roman" w:cs="Times New Roman"/>
        </w:rPr>
        <w:t>purpose of a public mobile telecommunications network</w:t>
      </w:r>
      <w:r w:rsidR="00347386" w:rsidRPr="00FC2702">
        <w:rPr>
          <w:rFonts w:ascii="Times New Roman" w:hAnsi="Times New Roman" w:cs="Times New Roman"/>
        </w:rPr>
        <w:t>,</w:t>
      </w:r>
      <w:r w:rsidR="00A14AF6" w:rsidRPr="00FC2702">
        <w:rPr>
          <w:rFonts w:ascii="Times New Roman" w:hAnsi="Times New Roman" w:cs="Times New Roman"/>
        </w:rPr>
        <w:t xml:space="preserve"> would likely be less effective</w:t>
      </w:r>
      <w:r w:rsidR="00066373">
        <w:rPr>
          <w:rFonts w:ascii="Times New Roman" w:hAnsi="Times New Roman" w:cs="Times New Roman"/>
        </w:rPr>
        <w:t xml:space="preserve"> and more complex</w:t>
      </w:r>
      <w:r w:rsidR="00347386" w:rsidRPr="00FC2702">
        <w:rPr>
          <w:rFonts w:ascii="Times New Roman" w:hAnsi="Times New Roman" w:cs="Times New Roman"/>
        </w:rPr>
        <w:t xml:space="preserve"> than imposing a limit</w:t>
      </w:r>
      <w:r w:rsidR="00A14AF6" w:rsidRPr="00FC2702">
        <w:rPr>
          <w:rFonts w:ascii="Times New Roman" w:hAnsi="Times New Roman" w:cs="Times New Roman"/>
        </w:rPr>
        <w:t>.</w:t>
      </w:r>
      <w:r w:rsidR="004D3087" w:rsidRPr="00FC2702">
        <w:rPr>
          <w:rFonts w:ascii="Times New Roman" w:hAnsi="Times New Roman" w:cs="Times New Roman"/>
        </w:rPr>
        <w:t xml:space="preserve"> </w:t>
      </w:r>
      <w:r w:rsidR="00A14AF6" w:rsidRPr="00FC2702">
        <w:rPr>
          <w:rFonts w:ascii="Times New Roman" w:hAnsi="Times New Roman" w:cs="Times New Roman"/>
        </w:rPr>
        <w:t>For example</w:t>
      </w:r>
      <w:r w:rsidR="004D3087" w:rsidRPr="00FC2702">
        <w:rPr>
          <w:rFonts w:ascii="Times New Roman" w:hAnsi="Times New Roman" w:cs="Times New Roman"/>
        </w:rPr>
        <w:t xml:space="preserve">, </w:t>
      </w:r>
      <w:r w:rsidR="00F63A96" w:rsidRPr="00FC2702">
        <w:rPr>
          <w:rFonts w:ascii="Times New Roman" w:hAnsi="Times New Roman" w:cs="Times New Roman"/>
        </w:rPr>
        <w:t xml:space="preserve">this may involve some degree of complexity </w:t>
      </w:r>
      <w:r w:rsidR="00066373">
        <w:rPr>
          <w:rFonts w:ascii="Times New Roman" w:hAnsi="Times New Roman" w:cs="Times New Roman"/>
        </w:rPr>
        <w:t xml:space="preserve">in </w:t>
      </w:r>
      <w:r w:rsidR="00A14AF6" w:rsidRPr="00FC2702">
        <w:rPr>
          <w:rFonts w:ascii="Times New Roman" w:hAnsi="Times New Roman" w:cs="Times New Roman"/>
        </w:rPr>
        <w:t>drafting</w:t>
      </w:r>
      <w:r w:rsidR="00F63A96" w:rsidRPr="00FC2702">
        <w:rPr>
          <w:rFonts w:ascii="Times New Roman" w:hAnsi="Times New Roman" w:cs="Times New Roman"/>
        </w:rPr>
        <w:t xml:space="preserve">, </w:t>
      </w:r>
      <w:r w:rsidR="00A14AF6" w:rsidRPr="00FC2702">
        <w:rPr>
          <w:rFonts w:ascii="Times New Roman" w:hAnsi="Times New Roman" w:cs="Times New Roman"/>
        </w:rPr>
        <w:t>and</w:t>
      </w:r>
      <w:r w:rsidR="00066373">
        <w:rPr>
          <w:rFonts w:ascii="Times New Roman" w:hAnsi="Times New Roman" w:cs="Times New Roman"/>
        </w:rPr>
        <w:t xml:space="preserve"> may</w:t>
      </w:r>
      <w:r w:rsidR="00A14AF6" w:rsidRPr="00FC2702">
        <w:rPr>
          <w:rFonts w:ascii="Times New Roman" w:hAnsi="Times New Roman" w:cs="Times New Roman"/>
        </w:rPr>
        <w:t xml:space="preserve"> </w:t>
      </w:r>
      <w:r w:rsidR="00F63A96" w:rsidRPr="00FC2702">
        <w:rPr>
          <w:rFonts w:ascii="Times New Roman" w:hAnsi="Times New Roman" w:cs="Times New Roman"/>
        </w:rPr>
        <w:t xml:space="preserve">introduces </w:t>
      </w:r>
      <w:r w:rsidR="00A14AF6" w:rsidRPr="00FC2702">
        <w:rPr>
          <w:rFonts w:ascii="Times New Roman" w:hAnsi="Times New Roman" w:cs="Times New Roman"/>
        </w:rPr>
        <w:t>a</w:t>
      </w:r>
      <w:r w:rsidR="00F63A96" w:rsidRPr="00FC2702">
        <w:rPr>
          <w:rFonts w:ascii="Times New Roman" w:hAnsi="Times New Roman" w:cs="Times New Roman"/>
        </w:rPr>
        <w:t xml:space="preserve"> risk that </w:t>
      </w:r>
      <w:r w:rsidR="00347386" w:rsidRPr="00FC2702">
        <w:rPr>
          <w:rFonts w:ascii="Times New Roman" w:hAnsi="Times New Roman" w:cs="Times New Roman"/>
        </w:rPr>
        <w:t>different entities are</w:t>
      </w:r>
      <w:r w:rsidR="00E159B2" w:rsidRPr="00FC2702">
        <w:rPr>
          <w:rFonts w:ascii="Times New Roman" w:hAnsi="Times New Roman" w:cs="Times New Roman"/>
        </w:rPr>
        <w:t xml:space="preserve"> disproportionately affect</w:t>
      </w:r>
      <w:r w:rsidR="00347386" w:rsidRPr="00FC2702">
        <w:rPr>
          <w:rFonts w:ascii="Times New Roman" w:hAnsi="Times New Roman" w:cs="Times New Roman"/>
        </w:rPr>
        <w:t>ed</w:t>
      </w:r>
      <w:r w:rsidR="00E159B2" w:rsidRPr="00FC2702">
        <w:rPr>
          <w:rFonts w:ascii="Times New Roman" w:hAnsi="Times New Roman" w:cs="Times New Roman"/>
        </w:rPr>
        <w:t xml:space="preserve">. </w:t>
      </w:r>
    </w:p>
    <w:p w14:paraId="12D7DB7A" w14:textId="4EAD1FE2" w:rsidR="00D25940" w:rsidRPr="00FC2702" w:rsidRDefault="00D25940" w:rsidP="00B25DA7">
      <w:pPr>
        <w:rPr>
          <w:rFonts w:ascii="Times New Roman" w:hAnsi="Times New Roman" w:cs="Times New Roman"/>
          <w:i/>
          <w:iCs/>
        </w:rPr>
      </w:pPr>
      <w:r w:rsidRPr="00FC2702">
        <w:rPr>
          <w:rFonts w:ascii="Times New Roman" w:hAnsi="Times New Roman" w:cs="Times New Roman"/>
          <w:i/>
          <w:iCs/>
        </w:rPr>
        <w:t>Cross-band limit</w:t>
      </w:r>
    </w:p>
    <w:p w14:paraId="462D178A" w14:textId="44512377" w:rsidR="00B602BE" w:rsidRPr="00FC2702" w:rsidRDefault="00A558CD" w:rsidP="002140C7">
      <w:pPr>
        <w:rPr>
          <w:rFonts w:ascii="Times New Roman" w:hAnsi="Times New Roman" w:cs="Times New Roman"/>
        </w:rPr>
      </w:pPr>
      <w:r w:rsidRPr="00FC2702">
        <w:rPr>
          <w:rFonts w:ascii="Times New Roman" w:hAnsi="Times New Roman" w:cs="Times New Roman"/>
        </w:rPr>
        <w:t xml:space="preserve">The </w:t>
      </w:r>
      <w:r w:rsidR="003E09B5" w:rsidRPr="00FC2702">
        <w:rPr>
          <w:rFonts w:ascii="Times New Roman" w:hAnsi="Times New Roman" w:cs="Times New Roman"/>
        </w:rPr>
        <w:t xml:space="preserve">proposed </w:t>
      </w:r>
      <w:r w:rsidRPr="00FC2702">
        <w:rPr>
          <w:rFonts w:ascii="Times New Roman" w:hAnsi="Times New Roman" w:cs="Times New Roman"/>
        </w:rPr>
        <w:t>c</w:t>
      </w:r>
      <w:r w:rsidR="00605131" w:rsidRPr="00FC2702">
        <w:rPr>
          <w:rFonts w:ascii="Times New Roman" w:hAnsi="Times New Roman" w:cs="Times New Roman"/>
        </w:rPr>
        <w:t xml:space="preserve">ross-band limit </w:t>
      </w:r>
      <w:r w:rsidRPr="00FC2702">
        <w:rPr>
          <w:rFonts w:ascii="Times New Roman" w:hAnsi="Times New Roman" w:cs="Times New Roman"/>
        </w:rPr>
        <w:t>was</w:t>
      </w:r>
      <w:r w:rsidR="00605131" w:rsidRPr="00FC2702">
        <w:rPr>
          <w:rFonts w:ascii="Times New Roman" w:hAnsi="Times New Roman" w:cs="Times New Roman"/>
        </w:rPr>
        <w:t xml:space="preserve"> </w:t>
      </w:r>
      <w:r w:rsidR="00235CB6" w:rsidRPr="00FC2702">
        <w:rPr>
          <w:rFonts w:ascii="Times New Roman" w:hAnsi="Times New Roman" w:cs="Times New Roman"/>
        </w:rPr>
        <w:t xml:space="preserve">generally </w:t>
      </w:r>
      <w:r w:rsidR="00605131" w:rsidRPr="00FC2702">
        <w:rPr>
          <w:rFonts w:ascii="Times New Roman" w:hAnsi="Times New Roman" w:cs="Times New Roman"/>
        </w:rPr>
        <w:t xml:space="preserve">supported by </w:t>
      </w:r>
      <w:r w:rsidR="00D3421E" w:rsidRPr="00FC2702">
        <w:rPr>
          <w:rFonts w:ascii="Times New Roman" w:hAnsi="Times New Roman" w:cs="Times New Roman"/>
        </w:rPr>
        <w:t xml:space="preserve">the </w:t>
      </w:r>
      <w:r w:rsidR="004F05A1" w:rsidRPr="00FC2702">
        <w:rPr>
          <w:rFonts w:ascii="Times New Roman" w:hAnsi="Times New Roman" w:cs="Times New Roman"/>
        </w:rPr>
        <w:t>submissions</w:t>
      </w:r>
      <w:r w:rsidR="00532E94" w:rsidRPr="00FC2702">
        <w:rPr>
          <w:rFonts w:ascii="Times New Roman" w:hAnsi="Times New Roman" w:cs="Times New Roman"/>
        </w:rPr>
        <w:t xml:space="preserve">, but submitters had different views on the </w:t>
      </w:r>
      <w:r w:rsidRPr="00FC2702">
        <w:rPr>
          <w:rFonts w:ascii="Times New Roman" w:hAnsi="Times New Roman" w:cs="Times New Roman"/>
        </w:rPr>
        <w:t>substance of the limit</w:t>
      </w:r>
      <w:r w:rsidR="00235CB6" w:rsidRPr="00FC2702">
        <w:rPr>
          <w:rFonts w:ascii="Times New Roman" w:hAnsi="Times New Roman" w:cs="Times New Roman"/>
        </w:rPr>
        <w:t>.</w:t>
      </w:r>
      <w:r w:rsidR="00172629" w:rsidRPr="00FC2702">
        <w:rPr>
          <w:rFonts w:ascii="Times New Roman" w:hAnsi="Times New Roman" w:cs="Times New Roman"/>
        </w:rPr>
        <w:t xml:space="preserve"> </w:t>
      </w:r>
    </w:p>
    <w:p w14:paraId="78A36391" w14:textId="7C83A73A" w:rsidR="00A75C4E" w:rsidRPr="00FC2702" w:rsidRDefault="00FD1E3F" w:rsidP="002140C7">
      <w:pPr>
        <w:rPr>
          <w:rFonts w:ascii="Times New Roman" w:hAnsi="Times New Roman" w:cs="Times New Roman"/>
        </w:rPr>
      </w:pPr>
      <w:r w:rsidRPr="00FC2702">
        <w:rPr>
          <w:rFonts w:ascii="Times New Roman" w:hAnsi="Times New Roman" w:cs="Times New Roman"/>
        </w:rPr>
        <w:t>Two submissions supported a cross-band limit of 140 MHz</w:t>
      </w:r>
      <w:r w:rsidR="00D426A5" w:rsidRPr="00FC2702">
        <w:rPr>
          <w:rFonts w:ascii="Times New Roman" w:hAnsi="Times New Roman" w:cs="Times New Roman"/>
        </w:rPr>
        <w:t xml:space="preserve"> in </w:t>
      </w:r>
      <w:r w:rsidR="007545C6" w:rsidRPr="00FC2702">
        <w:rPr>
          <w:rFonts w:ascii="Times New Roman" w:hAnsi="Times New Roman" w:cs="Times New Roman"/>
        </w:rPr>
        <w:t xml:space="preserve">the </w:t>
      </w:r>
      <w:r w:rsidR="00D426A5" w:rsidRPr="00FC2702">
        <w:rPr>
          <w:rFonts w:ascii="Times New Roman" w:hAnsi="Times New Roman" w:cs="Times New Roman"/>
        </w:rPr>
        <w:t xml:space="preserve">metropolitan </w:t>
      </w:r>
      <w:r w:rsidR="004F7211">
        <w:rPr>
          <w:rFonts w:ascii="Times New Roman" w:hAnsi="Times New Roman" w:cs="Times New Roman"/>
        </w:rPr>
        <w:t xml:space="preserve">area </w:t>
      </w:r>
      <w:r w:rsidR="00D426A5" w:rsidRPr="00FC2702">
        <w:rPr>
          <w:rFonts w:ascii="Times New Roman" w:hAnsi="Times New Roman" w:cs="Times New Roman"/>
        </w:rPr>
        <w:t xml:space="preserve">and </w:t>
      </w:r>
      <w:r w:rsidR="009B04D1">
        <w:rPr>
          <w:rFonts w:ascii="Times New Roman" w:hAnsi="Times New Roman" w:cs="Times New Roman"/>
        </w:rPr>
        <w:t xml:space="preserve">the </w:t>
      </w:r>
      <w:r w:rsidR="00D426A5" w:rsidRPr="00FC2702">
        <w:rPr>
          <w:rFonts w:ascii="Times New Roman" w:hAnsi="Times New Roman" w:cs="Times New Roman"/>
        </w:rPr>
        <w:t>regional area</w:t>
      </w:r>
      <w:r w:rsidR="00A558CD" w:rsidRPr="00FC2702">
        <w:rPr>
          <w:rFonts w:ascii="Times New Roman" w:hAnsi="Times New Roman" w:cs="Times New Roman"/>
        </w:rPr>
        <w:t>, across the 3.4 GHz band</w:t>
      </w:r>
      <w:r w:rsidR="00D426A5" w:rsidRPr="00FC2702">
        <w:rPr>
          <w:rFonts w:ascii="Times New Roman" w:hAnsi="Times New Roman" w:cs="Times New Roman"/>
        </w:rPr>
        <w:t xml:space="preserve">. </w:t>
      </w:r>
      <w:r w:rsidR="00415E6A" w:rsidRPr="00FC2702">
        <w:rPr>
          <w:rFonts w:ascii="Times New Roman" w:hAnsi="Times New Roman" w:cs="Times New Roman"/>
        </w:rPr>
        <w:t xml:space="preserve">One </w:t>
      </w:r>
      <w:r w:rsidR="00B602BE" w:rsidRPr="00FC2702">
        <w:rPr>
          <w:rFonts w:ascii="Times New Roman" w:hAnsi="Times New Roman" w:cs="Times New Roman"/>
        </w:rPr>
        <w:t>submission</w:t>
      </w:r>
      <w:r w:rsidR="00415E6A" w:rsidRPr="00FC2702">
        <w:rPr>
          <w:rFonts w:ascii="Times New Roman" w:hAnsi="Times New Roman" w:cs="Times New Roman"/>
        </w:rPr>
        <w:t xml:space="preserve"> proposed </w:t>
      </w:r>
      <w:r w:rsidR="00A558CD" w:rsidRPr="00FC2702">
        <w:rPr>
          <w:rFonts w:ascii="Times New Roman" w:hAnsi="Times New Roman" w:cs="Times New Roman"/>
        </w:rPr>
        <w:t xml:space="preserve">that the limits also take into account spectrum licences issued in the </w:t>
      </w:r>
      <w:r w:rsidR="00D8621C" w:rsidRPr="00FC2702">
        <w:rPr>
          <w:rFonts w:ascii="Times New Roman" w:hAnsi="Times New Roman" w:cs="Times New Roman"/>
        </w:rPr>
        <w:t>2302 MHz to 2400 MHz frequency band (</w:t>
      </w:r>
      <w:r w:rsidR="003E09B5" w:rsidRPr="00FC2702">
        <w:rPr>
          <w:rFonts w:ascii="Times New Roman" w:hAnsi="Times New Roman" w:cs="Times New Roman"/>
        </w:rPr>
        <w:t xml:space="preserve">the </w:t>
      </w:r>
      <w:r w:rsidR="00415E6A" w:rsidRPr="00FC2702">
        <w:rPr>
          <w:rFonts w:ascii="Times New Roman" w:hAnsi="Times New Roman" w:cs="Times New Roman"/>
          <w:b/>
          <w:bCs/>
        </w:rPr>
        <w:t xml:space="preserve">2.3 GHz </w:t>
      </w:r>
      <w:r w:rsidR="00EF1642" w:rsidRPr="00FC2702">
        <w:rPr>
          <w:rFonts w:ascii="Times New Roman" w:hAnsi="Times New Roman" w:cs="Times New Roman"/>
          <w:b/>
          <w:bCs/>
        </w:rPr>
        <w:t>band</w:t>
      </w:r>
      <w:r w:rsidR="00D8621C" w:rsidRPr="00FC2702">
        <w:rPr>
          <w:rFonts w:ascii="Times New Roman" w:hAnsi="Times New Roman" w:cs="Times New Roman"/>
        </w:rPr>
        <w:t>)</w:t>
      </w:r>
      <w:r w:rsidR="00EF1642" w:rsidRPr="00FC2702">
        <w:rPr>
          <w:rFonts w:ascii="Times New Roman" w:hAnsi="Times New Roman" w:cs="Times New Roman"/>
        </w:rPr>
        <w:t xml:space="preserve">. </w:t>
      </w:r>
    </w:p>
    <w:p w14:paraId="5FA5323B" w14:textId="3697E1A0" w:rsidR="00410D59" w:rsidRPr="00FC2702" w:rsidRDefault="00D571C0" w:rsidP="002140C7">
      <w:pPr>
        <w:rPr>
          <w:rFonts w:ascii="Times New Roman" w:hAnsi="Times New Roman" w:cs="Times New Roman"/>
        </w:rPr>
      </w:pPr>
      <w:r w:rsidRPr="00FC2702">
        <w:rPr>
          <w:rFonts w:ascii="Times New Roman" w:hAnsi="Times New Roman" w:cs="Times New Roman"/>
        </w:rPr>
        <w:t xml:space="preserve">The ACMA considers the cross-band limit should </w:t>
      </w:r>
      <w:r w:rsidR="00D8621C" w:rsidRPr="00FC2702">
        <w:rPr>
          <w:rFonts w:ascii="Times New Roman" w:hAnsi="Times New Roman" w:cs="Times New Roman"/>
        </w:rPr>
        <w:t xml:space="preserve">be consistent </w:t>
      </w:r>
      <w:r w:rsidRPr="00FC2702">
        <w:rPr>
          <w:rFonts w:ascii="Times New Roman" w:hAnsi="Times New Roman" w:cs="Times New Roman"/>
        </w:rPr>
        <w:t xml:space="preserve">with the </w:t>
      </w:r>
      <w:r w:rsidR="00D8621C" w:rsidRPr="00FC2702">
        <w:rPr>
          <w:rFonts w:ascii="Times New Roman" w:hAnsi="Times New Roman" w:cs="Times New Roman"/>
        </w:rPr>
        <w:t xml:space="preserve">limits imposed </w:t>
      </w:r>
      <w:r w:rsidRPr="00FC2702">
        <w:rPr>
          <w:rFonts w:ascii="Times New Roman" w:hAnsi="Times New Roman" w:cs="Times New Roman"/>
        </w:rPr>
        <w:t xml:space="preserve">in the </w:t>
      </w:r>
      <w:r w:rsidR="008741A0" w:rsidRPr="00FC2702">
        <w:rPr>
          <w:rFonts w:ascii="Times New Roman" w:hAnsi="Times New Roman" w:cs="Times New Roman"/>
        </w:rPr>
        <w:t xml:space="preserve">ACMA’s 3.4/3.7 GHz </w:t>
      </w:r>
      <w:r w:rsidR="00C424B2" w:rsidRPr="00FC2702">
        <w:rPr>
          <w:rFonts w:ascii="Times New Roman" w:hAnsi="Times New Roman" w:cs="Times New Roman"/>
        </w:rPr>
        <w:t xml:space="preserve">band </w:t>
      </w:r>
      <w:r w:rsidR="00045012" w:rsidRPr="00FC2702">
        <w:rPr>
          <w:rFonts w:ascii="Times New Roman" w:hAnsi="Times New Roman" w:cs="Times New Roman"/>
        </w:rPr>
        <w:t xml:space="preserve">auction (as set out in the </w:t>
      </w:r>
      <w:r w:rsidR="00045012" w:rsidRPr="00FC2702">
        <w:rPr>
          <w:rFonts w:ascii="Times New Roman" w:hAnsi="Times New Roman" w:cs="Times New Roman"/>
          <w:i/>
          <w:iCs/>
        </w:rPr>
        <w:t>Radiocommunications (Spectrum Licence Allocation – 3.4/3.7 GHz Bands) Determination 2023</w:t>
      </w:r>
      <w:r w:rsidR="00045012" w:rsidRPr="00FC2702">
        <w:rPr>
          <w:rFonts w:ascii="Times New Roman" w:hAnsi="Times New Roman" w:cs="Times New Roman"/>
        </w:rPr>
        <w:t>)</w:t>
      </w:r>
      <w:r w:rsidRPr="00FC2702">
        <w:rPr>
          <w:rFonts w:ascii="Times New Roman" w:hAnsi="Times New Roman" w:cs="Times New Roman"/>
        </w:rPr>
        <w:t xml:space="preserve">. </w:t>
      </w:r>
      <w:r w:rsidR="007545C6" w:rsidRPr="00FC2702">
        <w:rPr>
          <w:rFonts w:ascii="Times New Roman" w:hAnsi="Times New Roman" w:cs="Times New Roman"/>
        </w:rPr>
        <w:t xml:space="preserve">As a result, the ACMA has imposed a cross-band limit of 140 MHz in the metropolitan area, </w:t>
      </w:r>
      <w:r w:rsidR="00066373">
        <w:rPr>
          <w:rFonts w:ascii="Times New Roman" w:hAnsi="Times New Roman" w:cs="Times New Roman"/>
        </w:rPr>
        <w:t xml:space="preserve">and of </w:t>
      </w:r>
      <w:r w:rsidR="007545C6" w:rsidRPr="00FC2702">
        <w:rPr>
          <w:rFonts w:ascii="Times New Roman" w:hAnsi="Times New Roman" w:cs="Times New Roman"/>
        </w:rPr>
        <w:t xml:space="preserve">160 MHz in the regional </w:t>
      </w:r>
      <w:r w:rsidR="00066373">
        <w:rPr>
          <w:rFonts w:ascii="Times New Roman" w:hAnsi="Times New Roman" w:cs="Times New Roman"/>
        </w:rPr>
        <w:t xml:space="preserve">area and </w:t>
      </w:r>
      <w:r w:rsidR="004F7211">
        <w:rPr>
          <w:rFonts w:ascii="Times New Roman" w:hAnsi="Times New Roman" w:cs="Times New Roman"/>
        </w:rPr>
        <w:t xml:space="preserve">the </w:t>
      </w:r>
      <w:r w:rsidR="00066373">
        <w:rPr>
          <w:rFonts w:ascii="Times New Roman" w:hAnsi="Times New Roman" w:cs="Times New Roman"/>
        </w:rPr>
        <w:t xml:space="preserve">rural </w:t>
      </w:r>
      <w:r w:rsidR="007545C6" w:rsidRPr="00FC2702">
        <w:rPr>
          <w:rFonts w:ascii="Times New Roman" w:hAnsi="Times New Roman" w:cs="Times New Roman"/>
        </w:rPr>
        <w:t>area</w:t>
      </w:r>
      <w:r w:rsidR="00B177AB" w:rsidRPr="00FC2702">
        <w:rPr>
          <w:rFonts w:ascii="Times New Roman" w:hAnsi="Times New Roman" w:cs="Times New Roman"/>
        </w:rPr>
        <w:t>.</w:t>
      </w:r>
      <w:r w:rsidR="008A42EA" w:rsidRPr="00FC2702">
        <w:rPr>
          <w:rFonts w:ascii="Times New Roman" w:hAnsi="Times New Roman" w:cs="Times New Roman"/>
        </w:rPr>
        <w:t xml:space="preserve"> </w:t>
      </w:r>
      <w:r w:rsidR="00B177AB" w:rsidRPr="00FC2702">
        <w:rPr>
          <w:rFonts w:ascii="Times New Roman" w:hAnsi="Times New Roman" w:cs="Times New Roman"/>
        </w:rPr>
        <w:t>T</w:t>
      </w:r>
      <w:r w:rsidR="008A42EA" w:rsidRPr="00FC2702">
        <w:rPr>
          <w:rFonts w:ascii="Times New Roman" w:hAnsi="Times New Roman" w:cs="Times New Roman"/>
        </w:rPr>
        <w:t>he cross-band limit only takes into account spectrum licences issued in the 3.4 GHz band, and not the 2.3 GHz band.</w:t>
      </w:r>
      <w:r w:rsidR="00954DC9">
        <w:rPr>
          <w:rStyle w:val="FootnoteReference"/>
          <w:rFonts w:ascii="Times New Roman" w:hAnsi="Times New Roman" w:cs="Times New Roman"/>
        </w:rPr>
        <w:footnoteReference w:id="2"/>
      </w:r>
      <w:r w:rsidR="007545C6" w:rsidRPr="00FC2702">
        <w:rPr>
          <w:rFonts w:ascii="Times New Roman" w:hAnsi="Times New Roman" w:cs="Times New Roman"/>
        </w:rPr>
        <w:t xml:space="preserve"> </w:t>
      </w:r>
    </w:p>
    <w:p w14:paraId="6E39B4E0" w14:textId="5E68BA09" w:rsidR="00410D59" w:rsidRPr="00FC2702" w:rsidRDefault="00410D59" w:rsidP="00E85755">
      <w:pPr>
        <w:rPr>
          <w:rFonts w:ascii="Times New Roman" w:hAnsi="Times New Roman" w:cs="Times New Roman"/>
        </w:rPr>
      </w:pPr>
      <w:r w:rsidRPr="00FC2702">
        <w:rPr>
          <w:rFonts w:ascii="Times New Roman" w:hAnsi="Times New Roman" w:cs="Times New Roman"/>
        </w:rPr>
        <w:t xml:space="preserve">One submission proposed the use of an ‘insignificant holdings test’ </w:t>
      </w:r>
      <w:r w:rsidR="005B5DE5" w:rsidRPr="00FC2702">
        <w:rPr>
          <w:rFonts w:ascii="Times New Roman" w:hAnsi="Times New Roman" w:cs="Times New Roman"/>
        </w:rPr>
        <w:t>as was used in the 3.4/3.7 GHz band auction, in order to determine whether the metropolitan or regional</w:t>
      </w:r>
      <w:r w:rsidR="00600ED6" w:rsidRPr="00FC2702">
        <w:rPr>
          <w:rFonts w:ascii="Times New Roman" w:hAnsi="Times New Roman" w:cs="Times New Roman"/>
        </w:rPr>
        <w:t>/rural</w:t>
      </w:r>
      <w:r w:rsidR="005B5DE5" w:rsidRPr="00FC2702">
        <w:rPr>
          <w:rFonts w:ascii="Times New Roman" w:hAnsi="Times New Roman" w:cs="Times New Roman"/>
        </w:rPr>
        <w:t xml:space="preserve"> limit applied to an applicant.</w:t>
      </w:r>
    </w:p>
    <w:p w14:paraId="6A8493DF" w14:textId="32B5C44C" w:rsidR="00E85755" w:rsidRPr="00FC2702" w:rsidRDefault="005B5DE5" w:rsidP="009947E6">
      <w:pPr>
        <w:rPr>
          <w:rFonts w:ascii="Times New Roman" w:hAnsi="Times New Roman" w:cs="Times New Roman"/>
        </w:rPr>
      </w:pPr>
      <w:r w:rsidRPr="00FC2702">
        <w:rPr>
          <w:rFonts w:ascii="Times New Roman" w:hAnsi="Times New Roman" w:cs="Times New Roman"/>
        </w:rPr>
        <w:t xml:space="preserve">The ACMA considers such a test is not necessary in this allocation. </w:t>
      </w:r>
      <w:r w:rsidR="00410D59" w:rsidRPr="00FC2702">
        <w:rPr>
          <w:rFonts w:ascii="Times New Roman" w:hAnsi="Times New Roman" w:cs="Times New Roman"/>
        </w:rPr>
        <w:t xml:space="preserve">The nature of AWLs allows </w:t>
      </w:r>
      <w:r w:rsidR="00F21261" w:rsidRPr="00FC2702">
        <w:rPr>
          <w:rFonts w:ascii="Times New Roman" w:hAnsi="Times New Roman" w:cs="Times New Roman"/>
        </w:rPr>
        <w:t>an applicant</w:t>
      </w:r>
      <w:r w:rsidR="00D901DA" w:rsidRPr="00FC2702">
        <w:rPr>
          <w:rFonts w:ascii="Times New Roman" w:hAnsi="Times New Roman" w:cs="Times New Roman"/>
        </w:rPr>
        <w:t xml:space="preserve"> to </w:t>
      </w:r>
      <w:r w:rsidR="009947E6" w:rsidRPr="00FC2702">
        <w:rPr>
          <w:rFonts w:ascii="Times New Roman" w:hAnsi="Times New Roman" w:cs="Times New Roman"/>
        </w:rPr>
        <w:t xml:space="preserve">apply for an AWL in </w:t>
      </w:r>
      <w:r w:rsidR="00AE1EFA" w:rsidRPr="00FC2702">
        <w:rPr>
          <w:rFonts w:ascii="Times New Roman" w:hAnsi="Times New Roman" w:cs="Times New Roman"/>
        </w:rPr>
        <w:t>very specific</w:t>
      </w:r>
      <w:r w:rsidR="009947E6" w:rsidRPr="00FC2702">
        <w:rPr>
          <w:rFonts w:ascii="Times New Roman" w:hAnsi="Times New Roman" w:cs="Times New Roman"/>
        </w:rPr>
        <w:t xml:space="preserve"> </w:t>
      </w:r>
      <w:r w:rsidR="00F21261" w:rsidRPr="00FC2702">
        <w:rPr>
          <w:rFonts w:ascii="Times New Roman" w:hAnsi="Times New Roman" w:cs="Times New Roman"/>
        </w:rPr>
        <w:t xml:space="preserve">geographic areas. </w:t>
      </w:r>
      <w:r w:rsidR="00C5371F" w:rsidRPr="00FC2702">
        <w:rPr>
          <w:rFonts w:ascii="Times New Roman" w:hAnsi="Times New Roman" w:cs="Times New Roman"/>
        </w:rPr>
        <w:t xml:space="preserve">If the applicant </w:t>
      </w:r>
      <w:r w:rsidR="00AE1EFA" w:rsidRPr="00FC2702">
        <w:rPr>
          <w:rFonts w:ascii="Times New Roman" w:hAnsi="Times New Roman" w:cs="Times New Roman"/>
        </w:rPr>
        <w:t>holds spectrum licences</w:t>
      </w:r>
      <w:r w:rsidR="00C5371F" w:rsidRPr="00FC2702">
        <w:rPr>
          <w:rFonts w:ascii="Times New Roman" w:hAnsi="Times New Roman" w:cs="Times New Roman"/>
        </w:rPr>
        <w:t xml:space="preserve"> in a geographic area that would cause them to exceed the application limit</w:t>
      </w:r>
      <w:r w:rsidR="00AE1EFA" w:rsidRPr="00FC2702">
        <w:rPr>
          <w:rFonts w:ascii="Times New Roman" w:hAnsi="Times New Roman" w:cs="Times New Roman"/>
        </w:rPr>
        <w:t xml:space="preserve"> if a relevant AWL were issued to them</w:t>
      </w:r>
      <w:r w:rsidR="00C424B2" w:rsidRPr="00FC2702">
        <w:rPr>
          <w:rFonts w:ascii="Times New Roman" w:hAnsi="Times New Roman" w:cs="Times New Roman"/>
        </w:rPr>
        <w:t xml:space="preserve"> covering that area</w:t>
      </w:r>
      <w:r w:rsidR="00C5371F" w:rsidRPr="00FC2702">
        <w:rPr>
          <w:rFonts w:ascii="Times New Roman" w:hAnsi="Times New Roman" w:cs="Times New Roman"/>
        </w:rPr>
        <w:t xml:space="preserve">, the applicant </w:t>
      </w:r>
      <w:r w:rsidR="00AE1EFA" w:rsidRPr="00FC2702">
        <w:rPr>
          <w:rFonts w:ascii="Times New Roman" w:hAnsi="Times New Roman" w:cs="Times New Roman"/>
        </w:rPr>
        <w:t xml:space="preserve">can tailor its application so that </w:t>
      </w:r>
      <w:r w:rsidR="00B44394" w:rsidRPr="00FC2702">
        <w:rPr>
          <w:rFonts w:ascii="Times New Roman" w:hAnsi="Times New Roman" w:cs="Times New Roman"/>
        </w:rPr>
        <w:t>the AWL it applies for does not cover that area</w:t>
      </w:r>
      <w:r w:rsidR="00C5371F" w:rsidRPr="00FC2702">
        <w:rPr>
          <w:rFonts w:ascii="Times New Roman" w:hAnsi="Times New Roman" w:cs="Times New Roman"/>
        </w:rPr>
        <w:t>.</w:t>
      </w:r>
      <w:r w:rsidR="00592BEF" w:rsidRPr="00FC2702">
        <w:rPr>
          <w:rFonts w:ascii="Times New Roman" w:hAnsi="Times New Roman" w:cs="Times New Roman"/>
        </w:rPr>
        <w:t xml:space="preserve"> </w:t>
      </w:r>
    </w:p>
    <w:p w14:paraId="635C35C3" w14:textId="77777777" w:rsidR="00E72E3F" w:rsidRPr="00FC2702" w:rsidRDefault="00FB3451" w:rsidP="002140C7">
      <w:pPr>
        <w:rPr>
          <w:rFonts w:ascii="Times New Roman" w:hAnsi="Times New Roman" w:cs="Times New Roman"/>
        </w:rPr>
      </w:pPr>
      <w:r w:rsidRPr="00FC2702">
        <w:rPr>
          <w:rFonts w:ascii="Times New Roman" w:hAnsi="Times New Roman" w:cs="Times New Roman"/>
        </w:rPr>
        <w:t>One</w:t>
      </w:r>
      <w:r w:rsidR="003C2CAB" w:rsidRPr="00FC2702">
        <w:rPr>
          <w:rFonts w:ascii="Times New Roman" w:hAnsi="Times New Roman" w:cs="Times New Roman"/>
        </w:rPr>
        <w:t xml:space="preserve"> s</w:t>
      </w:r>
      <w:r w:rsidR="00B602BE" w:rsidRPr="00FC2702">
        <w:rPr>
          <w:rFonts w:ascii="Times New Roman" w:hAnsi="Times New Roman" w:cs="Times New Roman"/>
        </w:rPr>
        <w:t xml:space="preserve">ubmission </w:t>
      </w:r>
      <w:r w:rsidRPr="00FC2702">
        <w:rPr>
          <w:rFonts w:ascii="Times New Roman" w:hAnsi="Times New Roman" w:cs="Times New Roman"/>
        </w:rPr>
        <w:t>proposed</w:t>
      </w:r>
      <w:r w:rsidR="00705072" w:rsidRPr="00FC2702">
        <w:rPr>
          <w:rFonts w:ascii="Times New Roman" w:hAnsi="Times New Roman" w:cs="Times New Roman"/>
        </w:rPr>
        <w:t xml:space="preserve"> </w:t>
      </w:r>
      <w:r w:rsidR="002140C7" w:rsidRPr="00FC2702">
        <w:rPr>
          <w:rFonts w:ascii="Times New Roman" w:hAnsi="Times New Roman" w:cs="Times New Roman"/>
        </w:rPr>
        <w:t>a permanent cross band limit</w:t>
      </w:r>
      <w:r w:rsidRPr="00FC2702">
        <w:rPr>
          <w:rFonts w:ascii="Times New Roman" w:hAnsi="Times New Roman" w:cs="Times New Roman"/>
        </w:rPr>
        <w:t>; another submission proposed a permanent cross-band limit, but, failing that, supported a 12-month limit</w:t>
      </w:r>
      <w:r w:rsidR="002140C7" w:rsidRPr="00FC2702">
        <w:rPr>
          <w:rFonts w:ascii="Times New Roman" w:hAnsi="Times New Roman" w:cs="Times New Roman"/>
        </w:rPr>
        <w:t xml:space="preserve">. </w:t>
      </w:r>
    </w:p>
    <w:p w14:paraId="64830D2B" w14:textId="7C976547" w:rsidR="002140C7" w:rsidRPr="00FC2702" w:rsidRDefault="0018551E" w:rsidP="002140C7">
      <w:pPr>
        <w:rPr>
          <w:rFonts w:ascii="Times New Roman" w:hAnsi="Times New Roman" w:cs="Times New Roman"/>
        </w:rPr>
      </w:pPr>
      <w:r w:rsidRPr="00FC2702">
        <w:rPr>
          <w:rFonts w:ascii="Times New Roman" w:hAnsi="Times New Roman" w:cs="Times New Roman"/>
        </w:rPr>
        <w:t xml:space="preserve">The ACMA </w:t>
      </w:r>
      <w:r w:rsidR="00CB4CD0" w:rsidRPr="00FC2702">
        <w:rPr>
          <w:rFonts w:ascii="Times New Roman" w:hAnsi="Times New Roman" w:cs="Times New Roman"/>
        </w:rPr>
        <w:t>consider</w:t>
      </w:r>
      <w:r w:rsidRPr="00FC2702">
        <w:rPr>
          <w:rFonts w:ascii="Times New Roman" w:hAnsi="Times New Roman" w:cs="Times New Roman"/>
        </w:rPr>
        <w:t>s</w:t>
      </w:r>
      <w:r w:rsidR="00CB4CD0" w:rsidRPr="00FC2702">
        <w:rPr>
          <w:rFonts w:ascii="Times New Roman" w:hAnsi="Times New Roman" w:cs="Times New Roman"/>
        </w:rPr>
        <w:t xml:space="preserve"> </w:t>
      </w:r>
      <w:r w:rsidR="00B44394" w:rsidRPr="00FC2702">
        <w:rPr>
          <w:rFonts w:ascii="Times New Roman" w:hAnsi="Times New Roman" w:cs="Times New Roman"/>
        </w:rPr>
        <w:t>that</w:t>
      </w:r>
      <w:r w:rsidR="00CB4CD0" w:rsidRPr="00FC2702">
        <w:rPr>
          <w:rFonts w:ascii="Times New Roman" w:hAnsi="Times New Roman" w:cs="Times New Roman"/>
        </w:rPr>
        <w:t xml:space="preserve"> limits </w:t>
      </w:r>
      <w:r w:rsidR="00B44394" w:rsidRPr="00FC2702">
        <w:rPr>
          <w:rFonts w:ascii="Times New Roman" w:hAnsi="Times New Roman" w:cs="Times New Roman"/>
        </w:rPr>
        <w:t xml:space="preserve">imposed under section 102G </w:t>
      </w:r>
      <w:r w:rsidR="00CB4CD0" w:rsidRPr="00FC2702">
        <w:rPr>
          <w:rFonts w:ascii="Times New Roman" w:hAnsi="Times New Roman" w:cs="Times New Roman"/>
        </w:rPr>
        <w:t xml:space="preserve">are </w:t>
      </w:r>
      <w:r w:rsidR="00B44394" w:rsidRPr="00FC2702">
        <w:rPr>
          <w:rFonts w:ascii="Times New Roman" w:hAnsi="Times New Roman" w:cs="Times New Roman"/>
        </w:rPr>
        <w:t xml:space="preserve">an </w:t>
      </w:r>
      <w:r w:rsidR="00CB4CD0" w:rsidRPr="00FC2702">
        <w:rPr>
          <w:rFonts w:ascii="Times New Roman" w:hAnsi="Times New Roman" w:cs="Times New Roman"/>
        </w:rPr>
        <w:t xml:space="preserve">appropriate mechanism </w:t>
      </w:r>
      <w:r w:rsidR="00B44394" w:rsidRPr="00FC2702">
        <w:rPr>
          <w:rFonts w:ascii="Times New Roman" w:hAnsi="Times New Roman" w:cs="Times New Roman"/>
        </w:rPr>
        <w:t>for</w:t>
      </w:r>
      <w:r w:rsidR="00CB4CD0" w:rsidRPr="00FC2702">
        <w:rPr>
          <w:rFonts w:ascii="Times New Roman" w:hAnsi="Times New Roman" w:cs="Times New Roman"/>
        </w:rPr>
        <w:t xml:space="preserve"> temporarily correct</w:t>
      </w:r>
      <w:r w:rsidR="00B44394" w:rsidRPr="00FC2702">
        <w:rPr>
          <w:rFonts w:ascii="Times New Roman" w:hAnsi="Times New Roman" w:cs="Times New Roman"/>
        </w:rPr>
        <w:t>ing</w:t>
      </w:r>
      <w:r w:rsidR="00CB4CD0" w:rsidRPr="00FC2702">
        <w:rPr>
          <w:rFonts w:ascii="Times New Roman" w:hAnsi="Times New Roman" w:cs="Times New Roman"/>
        </w:rPr>
        <w:t xml:space="preserve"> competitive imbalances. The benefits of th</w:t>
      </w:r>
      <w:r w:rsidR="00B44394" w:rsidRPr="00FC2702">
        <w:rPr>
          <w:rFonts w:ascii="Times New Roman" w:hAnsi="Times New Roman" w:cs="Times New Roman"/>
        </w:rPr>
        <w:t>is</w:t>
      </w:r>
      <w:r w:rsidR="00CB4CD0" w:rsidRPr="00FC2702">
        <w:rPr>
          <w:rFonts w:ascii="Times New Roman" w:hAnsi="Times New Roman" w:cs="Times New Roman"/>
        </w:rPr>
        <w:t xml:space="preserve"> mechanism become less relevant the longer </w:t>
      </w:r>
      <w:r w:rsidR="00B44394" w:rsidRPr="00FC2702">
        <w:rPr>
          <w:rFonts w:ascii="Times New Roman" w:hAnsi="Times New Roman" w:cs="Times New Roman"/>
        </w:rPr>
        <w:t xml:space="preserve">limits </w:t>
      </w:r>
      <w:r w:rsidR="00CB4CD0" w:rsidRPr="00FC2702">
        <w:rPr>
          <w:rFonts w:ascii="Times New Roman" w:hAnsi="Times New Roman" w:cs="Times New Roman"/>
        </w:rPr>
        <w:t>are in place.</w:t>
      </w:r>
      <w:r w:rsidR="00CB2FF2" w:rsidRPr="00FC2702">
        <w:rPr>
          <w:rFonts w:ascii="Times New Roman" w:hAnsi="Times New Roman" w:cs="Times New Roman"/>
        </w:rPr>
        <w:t xml:space="preserve"> A person not subject to the limit has the opportunity to apply for a licence, </w:t>
      </w:r>
      <w:r w:rsidR="009943D4" w:rsidRPr="00FC2702">
        <w:rPr>
          <w:rFonts w:ascii="Times New Roman" w:hAnsi="Times New Roman" w:cs="Times New Roman"/>
        </w:rPr>
        <w:t>and by not applying demonstrates that the</w:t>
      </w:r>
      <w:r w:rsidR="004B3F28" w:rsidRPr="00FC2702">
        <w:rPr>
          <w:rFonts w:ascii="Times New Roman" w:hAnsi="Times New Roman" w:cs="Times New Roman"/>
        </w:rPr>
        <w:t xml:space="preserve">y have little demand for </w:t>
      </w:r>
      <w:r w:rsidR="009943D4" w:rsidRPr="00FC2702">
        <w:rPr>
          <w:rFonts w:ascii="Times New Roman" w:hAnsi="Times New Roman" w:cs="Times New Roman"/>
        </w:rPr>
        <w:t>the licence.</w:t>
      </w:r>
      <w:r w:rsidR="00CB4CD0" w:rsidRPr="00FC2702">
        <w:rPr>
          <w:rFonts w:ascii="Times New Roman" w:hAnsi="Times New Roman" w:cs="Times New Roman"/>
        </w:rPr>
        <w:t xml:space="preserve"> After</w:t>
      </w:r>
      <w:r w:rsidR="009943D4" w:rsidRPr="00FC2702">
        <w:rPr>
          <w:rFonts w:ascii="Times New Roman" w:hAnsi="Times New Roman" w:cs="Times New Roman"/>
        </w:rPr>
        <w:t xml:space="preserve"> a period allowing for the demonstration of demand for licences by persons not subject to the </w:t>
      </w:r>
      <w:r w:rsidR="00423706" w:rsidRPr="00FC2702">
        <w:rPr>
          <w:rFonts w:ascii="Times New Roman" w:hAnsi="Times New Roman" w:cs="Times New Roman"/>
        </w:rPr>
        <w:t>limit</w:t>
      </w:r>
      <w:r w:rsidR="00CB4CD0" w:rsidRPr="00FC2702">
        <w:rPr>
          <w:rFonts w:ascii="Times New Roman" w:hAnsi="Times New Roman" w:cs="Times New Roman"/>
        </w:rPr>
        <w:t xml:space="preserve">, </w:t>
      </w:r>
      <w:r w:rsidR="00560ABF" w:rsidRPr="00FC2702">
        <w:rPr>
          <w:rFonts w:ascii="Times New Roman" w:hAnsi="Times New Roman" w:cs="Times New Roman"/>
        </w:rPr>
        <w:t>the ACMA</w:t>
      </w:r>
      <w:r w:rsidR="00CB4CD0" w:rsidRPr="00FC2702">
        <w:rPr>
          <w:rFonts w:ascii="Times New Roman" w:hAnsi="Times New Roman" w:cs="Times New Roman"/>
        </w:rPr>
        <w:t xml:space="preserve"> consider</w:t>
      </w:r>
      <w:r w:rsidR="00560ABF" w:rsidRPr="00FC2702">
        <w:rPr>
          <w:rFonts w:ascii="Times New Roman" w:hAnsi="Times New Roman" w:cs="Times New Roman"/>
        </w:rPr>
        <w:t>s</w:t>
      </w:r>
      <w:r w:rsidR="00CB4CD0" w:rsidRPr="00FC2702">
        <w:rPr>
          <w:rFonts w:ascii="Times New Roman" w:hAnsi="Times New Roman" w:cs="Times New Roman"/>
        </w:rPr>
        <w:t xml:space="preserve"> it is preferable to </w:t>
      </w:r>
      <w:r w:rsidR="00423706" w:rsidRPr="00FC2702">
        <w:rPr>
          <w:rFonts w:ascii="Times New Roman" w:hAnsi="Times New Roman" w:cs="Times New Roman"/>
        </w:rPr>
        <w:t>allow any person who has demand for a licence to apply for it</w:t>
      </w:r>
      <w:r w:rsidR="00CB4CD0" w:rsidRPr="00FC2702">
        <w:rPr>
          <w:rFonts w:ascii="Times New Roman" w:hAnsi="Times New Roman" w:cs="Times New Roman"/>
        </w:rPr>
        <w:t>, there</w:t>
      </w:r>
      <w:r w:rsidR="00423706" w:rsidRPr="00FC2702">
        <w:rPr>
          <w:rFonts w:ascii="Times New Roman" w:hAnsi="Times New Roman" w:cs="Times New Roman"/>
        </w:rPr>
        <w:t>by</w:t>
      </w:r>
      <w:r w:rsidR="00CB4CD0" w:rsidRPr="00FC2702">
        <w:rPr>
          <w:rFonts w:ascii="Times New Roman" w:hAnsi="Times New Roman" w:cs="Times New Roman"/>
        </w:rPr>
        <w:t xml:space="preserve"> facilitating the use of any vacant spectrum.</w:t>
      </w:r>
      <w:r w:rsidR="00110C6C" w:rsidRPr="00FC2702">
        <w:rPr>
          <w:rFonts w:ascii="Times New Roman" w:hAnsi="Times New Roman" w:cs="Times New Roman"/>
        </w:rPr>
        <w:t xml:space="preserve"> Additionally, the </w:t>
      </w:r>
      <w:r w:rsidR="00592639">
        <w:rPr>
          <w:rFonts w:ascii="Times New Roman" w:hAnsi="Times New Roman" w:cs="Times New Roman"/>
        </w:rPr>
        <w:t>issuing of licences, and the trading of spectrum licences and the transfer of apparatus licences</w:t>
      </w:r>
      <w:r w:rsidR="00110C6C" w:rsidRPr="00FC2702">
        <w:rPr>
          <w:rFonts w:ascii="Times New Roman" w:hAnsi="Times New Roman" w:cs="Times New Roman"/>
        </w:rPr>
        <w:t xml:space="preserve"> </w:t>
      </w:r>
      <w:r w:rsidR="00592639">
        <w:rPr>
          <w:rFonts w:ascii="Times New Roman" w:hAnsi="Times New Roman" w:cs="Times New Roman"/>
        </w:rPr>
        <w:t>are</w:t>
      </w:r>
      <w:r w:rsidR="00110C6C" w:rsidRPr="00FC2702">
        <w:rPr>
          <w:rFonts w:ascii="Times New Roman" w:hAnsi="Times New Roman" w:cs="Times New Roman"/>
        </w:rPr>
        <w:t xml:space="preserve"> separately subject to review and action by the ACCC under section 50 of the </w:t>
      </w:r>
      <w:r w:rsidR="00110C6C" w:rsidRPr="00FC2702">
        <w:rPr>
          <w:rFonts w:ascii="Times New Roman" w:hAnsi="Times New Roman" w:cs="Times New Roman"/>
          <w:i/>
          <w:iCs/>
        </w:rPr>
        <w:t>Competition and Consumer Act 2010</w:t>
      </w:r>
      <w:r w:rsidR="00110C6C" w:rsidRPr="00FC2702">
        <w:rPr>
          <w:rFonts w:ascii="Times New Roman" w:hAnsi="Times New Roman" w:cs="Times New Roman"/>
        </w:rPr>
        <w:t>, which prohibits the acquisition of any asset that substantially lessens competition in any market.</w:t>
      </w:r>
    </w:p>
    <w:p w14:paraId="2E01E108" w14:textId="77777777" w:rsidR="004C58B9" w:rsidRPr="00FC2702" w:rsidRDefault="004C58B9" w:rsidP="004C58B9">
      <w:pPr>
        <w:rPr>
          <w:rFonts w:ascii="Times New Roman" w:hAnsi="Times New Roman" w:cs="Times New Roman"/>
          <w:b/>
        </w:rPr>
      </w:pPr>
      <w:r w:rsidRPr="00FC2702">
        <w:rPr>
          <w:rFonts w:ascii="Times New Roman" w:hAnsi="Times New Roman" w:cs="Times New Roman"/>
          <w:b/>
        </w:rPr>
        <w:t>Regulatory impact assessment</w:t>
      </w:r>
    </w:p>
    <w:p w14:paraId="3E451803" w14:textId="2333E315" w:rsidR="00524B80" w:rsidRPr="00FC2702" w:rsidRDefault="00524B80" w:rsidP="00524B80">
      <w:pPr>
        <w:rPr>
          <w:rFonts w:ascii="Times New Roman" w:hAnsi="Times New Roman" w:cs="Times New Roman"/>
        </w:rPr>
      </w:pPr>
      <w:r w:rsidRPr="00FC2702">
        <w:rPr>
          <w:rFonts w:ascii="Times New Roman" w:hAnsi="Times New Roman" w:cs="Times New Roman"/>
        </w:rPr>
        <w:lastRenderedPageBreak/>
        <w:t>A preliminary assessment of the proposal to make the instrument was conducted by the Office of Impact Analysis (</w:t>
      </w:r>
      <w:r w:rsidR="000836EF" w:rsidRPr="00FC2702">
        <w:rPr>
          <w:rFonts w:ascii="Times New Roman" w:hAnsi="Times New Roman" w:cs="Times New Roman"/>
        </w:rPr>
        <w:t xml:space="preserve">the </w:t>
      </w:r>
      <w:r w:rsidRPr="00FC2702">
        <w:rPr>
          <w:rFonts w:ascii="Times New Roman" w:hAnsi="Times New Roman" w:cs="Times New Roman"/>
          <w:b/>
          <w:bCs/>
        </w:rPr>
        <w:t>OIA</w:t>
      </w:r>
      <w:r w:rsidRPr="00FC2702">
        <w:rPr>
          <w:rFonts w:ascii="Times New Roman" w:hAnsi="Times New Roman" w:cs="Times New Roman"/>
        </w:rPr>
        <w:t>), based on information provided by the ACMA, for the purposes of determining whether a Regulation Impact Statement (</w:t>
      </w:r>
      <w:r w:rsidRPr="00FC2702">
        <w:rPr>
          <w:rFonts w:ascii="Times New Roman" w:hAnsi="Times New Roman" w:cs="Times New Roman"/>
          <w:b/>
          <w:bCs/>
        </w:rPr>
        <w:t>RIS</w:t>
      </w:r>
      <w:r w:rsidRPr="00FC2702">
        <w:rPr>
          <w:rFonts w:ascii="Times New Roman" w:hAnsi="Times New Roman" w:cs="Times New Roman"/>
        </w:rPr>
        <w:t xml:space="preserve">) would be required. </w:t>
      </w:r>
      <w:r w:rsidR="000836EF" w:rsidRPr="00FC2702">
        <w:rPr>
          <w:rFonts w:ascii="Times New Roman" w:hAnsi="Times New Roman" w:cs="Times New Roman"/>
        </w:rPr>
        <w:t xml:space="preserve">The </w:t>
      </w:r>
      <w:r w:rsidRPr="00FC2702">
        <w:rPr>
          <w:rFonts w:ascii="Times New Roman" w:hAnsi="Times New Roman" w:cs="Times New Roman"/>
        </w:rPr>
        <w:t>OIA advised that a RIS would not be required because the proposal is unlikely to have a more than minor impact (OIA reference number OIA23-05294).</w:t>
      </w:r>
      <w:r w:rsidRPr="00FC2702" w:rsidDel="00D5063B">
        <w:rPr>
          <w:rFonts w:ascii="Times New Roman" w:hAnsi="Times New Roman" w:cs="Times New Roman"/>
        </w:rPr>
        <w:t xml:space="preserve"> </w:t>
      </w:r>
    </w:p>
    <w:p w14:paraId="645DD02E" w14:textId="77777777" w:rsidR="004C58B9" w:rsidRPr="00FC2702" w:rsidRDefault="004C58B9" w:rsidP="004C58B9">
      <w:pPr>
        <w:rPr>
          <w:rFonts w:ascii="Times New Roman" w:hAnsi="Times New Roman" w:cs="Times New Roman"/>
          <w:b/>
        </w:rPr>
      </w:pPr>
      <w:r w:rsidRPr="00FC2702">
        <w:rPr>
          <w:rFonts w:ascii="Times New Roman" w:hAnsi="Times New Roman" w:cs="Times New Roman"/>
          <w:b/>
        </w:rPr>
        <w:t>Statement of compatibility with human rights</w:t>
      </w:r>
    </w:p>
    <w:p w14:paraId="7E0868EC" w14:textId="6BF39D2E" w:rsidR="004C58B9" w:rsidRPr="00FC2702" w:rsidRDefault="004C58B9" w:rsidP="004C58B9">
      <w:pPr>
        <w:rPr>
          <w:rFonts w:ascii="Times New Roman" w:hAnsi="Times New Roman" w:cs="Times New Roman"/>
        </w:rPr>
      </w:pPr>
      <w:r w:rsidRPr="00FC2702">
        <w:rPr>
          <w:rFonts w:ascii="Times New Roman" w:hAnsi="Times New Roman" w:cs="Times New Roman"/>
        </w:rPr>
        <w:t xml:space="preserve">Subsection 9(1) of the </w:t>
      </w:r>
      <w:r w:rsidRPr="00FC2702">
        <w:rPr>
          <w:rFonts w:ascii="Times New Roman" w:hAnsi="Times New Roman" w:cs="Times New Roman"/>
          <w:i/>
        </w:rPr>
        <w:t>Human Rights (Parliamentary Scrutiny) Act 2011</w:t>
      </w:r>
      <w:r w:rsidRPr="00FC2702">
        <w:rPr>
          <w:rFonts w:ascii="Times New Roman" w:hAnsi="Times New Roman" w:cs="Times New Roman"/>
        </w:rPr>
        <w:t xml:space="preserve"> requires the rule-maker in relation to a legislative instrument to which section 42 of the LA applies</w:t>
      </w:r>
      <w:r w:rsidR="00473EF4">
        <w:rPr>
          <w:rFonts w:ascii="Times New Roman" w:hAnsi="Times New Roman" w:cs="Times New Roman"/>
        </w:rPr>
        <w:t xml:space="preserve"> </w:t>
      </w:r>
      <w:r w:rsidR="002F2F8B" w:rsidRPr="00FC2702">
        <w:rPr>
          <w:rFonts w:ascii="Times New Roman" w:hAnsi="Times New Roman" w:cs="Times New Roman"/>
        </w:rPr>
        <w:t>(disallowance)</w:t>
      </w:r>
      <w:r w:rsidRPr="00FC2702">
        <w:rPr>
          <w:rFonts w:ascii="Times New Roman" w:hAnsi="Times New Roman" w:cs="Times New Roman"/>
        </w:rPr>
        <w:t xml:space="preserve"> to cause a statement of compatibility</w:t>
      </w:r>
      <w:r w:rsidR="002F2F8B" w:rsidRPr="00FC2702">
        <w:rPr>
          <w:rFonts w:ascii="Times New Roman" w:hAnsi="Times New Roman" w:cs="Times New Roman"/>
        </w:rPr>
        <w:t xml:space="preserve"> with human rights</w:t>
      </w:r>
      <w:r w:rsidRPr="00FC2702">
        <w:rPr>
          <w:rFonts w:ascii="Times New Roman" w:hAnsi="Times New Roman" w:cs="Times New Roman"/>
        </w:rPr>
        <w:t xml:space="preserve"> to be prepared in respect of that legislative instrument.  </w:t>
      </w:r>
    </w:p>
    <w:p w14:paraId="23AE1B60" w14:textId="77777777" w:rsidR="004C58B9" w:rsidRPr="00FC2702" w:rsidRDefault="004C58B9" w:rsidP="004C58B9">
      <w:pPr>
        <w:rPr>
          <w:rFonts w:ascii="Times New Roman" w:hAnsi="Times New Roman" w:cs="Times New Roman"/>
        </w:rPr>
      </w:pPr>
      <w:r w:rsidRPr="00FC2702">
        <w:rPr>
          <w:rFonts w:ascii="Times New Roman" w:hAnsi="Times New Roman" w:cs="Times New Roman"/>
        </w:rPr>
        <w:t>The statement of compatibility set out below has been prepared to meet that requirement.</w:t>
      </w:r>
    </w:p>
    <w:p w14:paraId="695CEC3E" w14:textId="77777777" w:rsidR="004C58B9" w:rsidRPr="00FC2702" w:rsidRDefault="004C58B9" w:rsidP="004C58B9">
      <w:pPr>
        <w:rPr>
          <w:rFonts w:ascii="Times New Roman" w:hAnsi="Times New Roman" w:cs="Times New Roman"/>
          <w:b/>
          <w:iCs/>
        </w:rPr>
      </w:pPr>
      <w:r w:rsidRPr="00FC2702">
        <w:rPr>
          <w:rFonts w:ascii="Times New Roman" w:hAnsi="Times New Roman" w:cs="Times New Roman"/>
          <w:b/>
          <w:i/>
        </w:rPr>
        <w:t>Overview of the instrument</w:t>
      </w:r>
    </w:p>
    <w:p w14:paraId="0B7BD273" w14:textId="54D7AD4D" w:rsidR="002F2F8B" w:rsidRPr="00FC2702" w:rsidRDefault="002F2F8B" w:rsidP="002F2F8B">
      <w:pPr>
        <w:rPr>
          <w:rFonts w:ascii="Times New Roman" w:hAnsi="Times New Roman" w:cs="Times New Roman"/>
        </w:rPr>
      </w:pPr>
      <w:r w:rsidRPr="00FC2702">
        <w:rPr>
          <w:rFonts w:ascii="Times New Roman" w:hAnsi="Times New Roman" w:cs="Times New Roman"/>
        </w:rPr>
        <w:t>The ACMA is preparing to</w:t>
      </w:r>
      <w:r w:rsidR="005B43E8" w:rsidRPr="00FC2702">
        <w:rPr>
          <w:rFonts w:ascii="Times New Roman" w:hAnsi="Times New Roman" w:cs="Times New Roman"/>
        </w:rPr>
        <w:t xml:space="preserve"> allocate and</w:t>
      </w:r>
      <w:r w:rsidRPr="00FC2702">
        <w:rPr>
          <w:rFonts w:ascii="Times New Roman" w:hAnsi="Times New Roman" w:cs="Times New Roman"/>
        </w:rPr>
        <w:t xml:space="preserve"> issue </w:t>
      </w:r>
      <w:r w:rsidR="00DF58A5" w:rsidRPr="00FC2702">
        <w:rPr>
          <w:rFonts w:ascii="Times New Roman" w:hAnsi="Times New Roman" w:cs="Times New Roman"/>
        </w:rPr>
        <w:t xml:space="preserve">the relevant AWLs. </w:t>
      </w:r>
      <w:r w:rsidRPr="00FC2702">
        <w:rPr>
          <w:rFonts w:ascii="Times New Roman" w:hAnsi="Times New Roman" w:cs="Times New Roman"/>
        </w:rPr>
        <w:t>The allocation of the relevant AWLs is part of a larger allocation activity in which the ACMA is making spectrum available across the 3.4 GHz</w:t>
      </w:r>
      <w:r w:rsidR="0084784B">
        <w:rPr>
          <w:rFonts w:ascii="Times New Roman" w:hAnsi="Times New Roman" w:cs="Times New Roman"/>
        </w:rPr>
        <w:t xml:space="preserve"> to 4 GHz</w:t>
      </w:r>
      <w:r w:rsidRPr="00FC2702">
        <w:rPr>
          <w:rFonts w:ascii="Times New Roman" w:hAnsi="Times New Roman" w:cs="Times New Roman"/>
        </w:rPr>
        <w:t xml:space="preserve"> band. The ACMA has already conducted other allocation activities in the 3.4 GHz band, including the auction of spectrum licences in particular parts of the 3.4 GHz band in certain metropolitan</w:t>
      </w:r>
      <w:r w:rsidR="004F7211">
        <w:rPr>
          <w:rFonts w:ascii="Times New Roman" w:hAnsi="Times New Roman" w:cs="Times New Roman"/>
        </w:rPr>
        <w:t xml:space="preserve"> areas</w:t>
      </w:r>
      <w:r w:rsidRPr="00FC2702">
        <w:rPr>
          <w:rFonts w:ascii="Times New Roman" w:hAnsi="Times New Roman" w:cs="Times New Roman"/>
        </w:rPr>
        <w:t xml:space="preserve"> and regional areas (which are designed for </w:t>
      </w:r>
      <w:r w:rsidR="00DF58A5" w:rsidRPr="00FC2702">
        <w:rPr>
          <w:rFonts w:ascii="Times New Roman" w:hAnsi="Times New Roman" w:cs="Times New Roman"/>
        </w:rPr>
        <w:t>WA WBB</w:t>
      </w:r>
      <w:r w:rsidRPr="00FC2702">
        <w:rPr>
          <w:rFonts w:ascii="Times New Roman" w:hAnsi="Times New Roman" w:cs="Times New Roman"/>
        </w:rPr>
        <w:t xml:space="preserve"> use) and the allocation of AWLs in the 3.4 GHz</w:t>
      </w:r>
      <w:r w:rsidR="0084784B">
        <w:rPr>
          <w:rFonts w:ascii="Times New Roman" w:hAnsi="Times New Roman" w:cs="Times New Roman"/>
        </w:rPr>
        <w:t xml:space="preserve"> to 4 GHz</w:t>
      </w:r>
      <w:r w:rsidRPr="00FC2702">
        <w:rPr>
          <w:rFonts w:ascii="Times New Roman" w:hAnsi="Times New Roman" w:cs="Times New Roman"/>
        </w:rPr>
        <w:t xml:space="preserve"> band in remote areas. </w:t>
      </w:r>
    </w:p>
    <w:p w14:paraId="28454D43" w14:textId="57154230" w:rsidR="002F2F8B" w:rsidRPr="00FC2702" w:rsidRDefault="002F2F8B" w:rsidP="002F2F8B">
      <w:pPr>
        <w:rPr>
          <w:rFonts w:ascii="Times New Roman" w:hAnsi="Times New Roman" w:cs="Times New Roman"/>
        </w:rPr>
      </w:pPr>
      <w:r w:rsidRPr="00FC2702">
        <w:rPr>
          <w:rFonts w:ascii="Times New Roman" w:hAnsi="Times New Roman" w:cs="Times New Roman"/>
        </w:rPr>
        <w:t>Given the ACMA has already allocated spectrum licences in the 3.4 GHz band that are designed for WA WBB use, the ACMA considers that</w:t>
      </w:r>
      <w:r w:rsidR="00DF58A5" w:rsidRPr="00FC2702">
        <w:rPr>
          <w:rFonts w:ascii="Times New Roman" w:hAnsi="Times New Roman" w:cs="Times New Roman"/>
        </w:rPr>
        <w:t xml:space="preserve"> the relevant</w:t>
      </w:r>
      <w:r w:rsidRPr="00FC2702">
        <w:rPr>
          <w:rFonts w:ascii="Times New Roman" w:hAnsi="Times New Roman" w:cs="Times New Roman"/>
        </w:rPr>
        <w:t xml:space="preserve"> AWLs should principally be</w:t>
      </w:r>
      <w:r w:rsidR="00C75B85" w:rsidRPr="00FC2702">
        <w:rPr>
          <w:rFonts w:ascii="Times New Roman" w:hAnsi="Times New Roman" w:cs="Times New Roman"/>
        </w:rPr>
        <w:t xml:space="preserve"> allocated and</w:t>
      </w:r>
      <w:r w:rsidRPr="00FC2702">
        <w:rPr>
          <w:rFonts w:ascii="Times New Roman" w:hAnsi="Times New Roman" w:cs="Times New Roman"/>
        </w:rPr>
        <w:t xml:space="preserve"> issued to support </w:t>
      </w:r>
      <w:r w:rsidR="0001252F" w:rsidRPr="00FC2702">
        <w:rPr>
          <w:rFonts w:ascii="Times New Roman" w:hAnsi="Times New Roman" w:cs="Times New Roman"/>
        </w:rPr>
        <w:t>other users and use cases, such as</w:t>
      </w:r>
      <w:r w:rsidRPr="00FC2702">
        <w:rPr>
          <w:rFonts w:ascii="Times New Roman" w:hAnsi="Times New Roman" w:cs="Times New Roman"/>
        </w:rPr>
        <w:t xml:space="preserve"> </w:t>
      </w:r>
      <w:r w:rsidR="00590D1F" w:rsidRPr="00FC2702">
        <w:rPr>
          <w:rFonts w:ascii="Times New Roman" w:hAnsi="Times New Roman" w:cs="Times New Roman"/>
        </w:rPr>
        <w:t xml:space="preserve">local area wireless broadband </w:t>
      </w:r>
      <w:r w:rsidRPr="00FC2702">
        <w:rPr>
          <w:rFonts w:ascii="Times New Roman" w:hAnsi="Times New Roman" w:cs="Times New Roman"/>
        </w:rPr>
        <w:t xml:space="preserve">use. As such, the ACMA has made the instrument to give a limited priority to persons, other than </w:t>
      </w:r>
      <w:r w:rsidR="00403F84">
        <w:rPr>
          <w:rFonts w:ascii="Times New Roman" w:hAnsi="Times New Roman" w:cs="Times New Roman"/>
        </w:rPr>
        <w:t>certain named</w:t>
      </w:r>
      <w:r w:rsidRPr="00FC2702">
        <w:rPr>
          <w:rFonts w:ascii="Times New Roman" w:hAnsi="Times New Roman" w:cs="Times New Roman"/>
        </w:rPr>
        <w:t xml:space="preserve"> persons who provide WA WBB services and their associates, in the </w:t>
      </w:r>
      <w:r w:rsidR="000B3645" w:rsidRPr="00FC2702">
        <w:rPr>
          <w:rFonts w:ascii="Times New Roman" w:hAnsi="Times New Roman" w:cs="Times New Roman"/>
        </w:rPr>
        <w:t>allocation and issue of r</w:t>
      </w:r>
      <w:r w:rsidR="00C75B85" w:rsidRPr="00FC2702">
        <w:rPr>
          <w:rFonts w:ascii="Times New Roman" w:hAnsi="Times New Roman" w:cs="Times New Roman"/>
        </w:rPr>
        <w:t>e</w:t>
      </w:r>
      <w:r w:rsidR="000B3645" w:rsidRPr="00FC2702">
        <w:rPr>
          <w:rFonts w:ascii="Times New Roman" w:hAnsi="Times New Roman" w:cs="Times New Roman"/>
        </w:rPr>
        <w:t>levant AWLs</w:t>
      </w:r>
      <w:r w:rsidRPr="00FC2702">
        <w:rPr>
          <w:rFonts w:ascii="Times New Roman" w:hAnsi="Times New Roman" w:cs="Times New Roman"/>
        </w:rPr>
        <w:t>.</w:t>
      </w:r>
    </w:p>
    <w:p w14:paraId="05B1C1C2" w14:textId="77777777" w:rsidR="002F2F8B" w:rsidRPr="00FC2702" w:rsidRDefault="002F2F8B" w:rsidP="002F2F8B">
      <w:pPr>
        <w:rPr>
          <w:rFonts w:ascii="Times New Roman" w:hAnsi="Times New Roman" w:cs="Times New Roman"/>
          <w:i/>
          <w:iCs/>
        </w:rPr>
      </w:pPr>
      <w:r w:rsidRPr="00FC2702">
        <w:rPr>
          <w:rFonts w:ascii="Times New Roman" w:hAnsi="Times New Roman" w:cs="Times New Roman"/>
          <w:i/>
          <w:iCs/>
        </w:rPr>
        <w:t>Persons to whom the instrument applies</w:t>
      </w:r>
    </w:p>
    <w:p w14:paraId="595F4A52" w14:textId="747530E4" w:rsidR="002F2F8B" w:rsidRPr="00FC2702" w:rsidRDefault="002F2F8B" w:rsidP="002F2F8B">
      <w:pPr>
        <w:rPr>
          <w:rFonts w:ascii="Times New Roman" w:hAnsi="Times New Roman" w:cs="Times New Roman"/>
        </w:rPr>
      </w:pPr>
      <w:r w:rsidRPr="00FC2702">
        <w:rPr>
          <w:rFonts w:ascii="Times New Roman" w:hAnsi="Times New Roman" w:cs="Times New Roman"/>
        </w:rPr>
        <w:t>Each of the</w:t>
      </w:r>
      <w:r w:rsidR="000B3645" w:rsidRPr="00FC2702">
        <w:rPr>
          <w:rFonts w:ascii="Times New Roman" w:hAnsi="Times New Roman" w:cs="Times New Roman"/>
        </w:rPr>
        <w:t xml:space="preserve"> named persons</w:t>
      </w:r>
      <w:r w:rsidRPr="00FC2702">
        <w:rPr>
          <w:rFonts w:ascii="Times New Roman" w:hAnsi="Times New Roman" w:cs="Times New Roman"/>
        </w:rPr>
        <w:t xml:space="preserve"> provides, or is capable of providing, </w:t>
      </w:r>
      <w:r w:rsidR="00043FF1" w:rsidRPr="00FC2702">
        <w:rPr>
          <w:rFonts w:ascii="Times New Roman" w:hAnsi="Times New Roman" w:cs="Times New Roman"/>
        </w:rPr>
        <w:t>wireless broadband</w:t>
      </w:r>
      <w:r w:rsidRPr="00FC2702">
        <w:rPr>
          <w:rFonts w:ascii="Times New Roman" w:hAnsi="Times New Roman" w:cs="Times New Roman"/>
        </w:rPr>
        <w:t xml:space="preserve"> services using their spectrum licences. Accordingly, the instrument restricts the ability of the named persons, and any associates of the named persons, to be allocated and issued the relevant AWLs. An associate of a named person is any related body corporate, director or secretary of the named person, and any foreign company for which the named person is a local agent.</w:t>
      </w:r>
    </w:p>
    <w:p w14:paraId="37B32459" w14:textId="77777777" w:rsidR="002F2F8B" w:rsidRPr="00FC2702" w:rsidRDefault="002F2F8B" w:rsidP="002F2F8B">
      <w:pPr>
        <w:rPr>
          <w:rFonts w:ascii="Times New Roman" w:hAnsi="Times New Roman" w:cs="Times New Roman"/>
          <w:i/>
          <w:iCs/>
        </w:rPr>
      </w:pPr>
      <w:r w:rsidRPr="00FC2702">
        <w:rPr>
          <w:rFonts w:ascii="Times New Roman" w:hAnsi="Times New Roman" w:cs="Times New Roman"/>
          <w:i/>
          <w:iCs/>
        </w:rPr>
        <w:t>Allocation limits</w:t>
      </w:r>
    </w:p>
    <w:p w14:paraId="6E864E22" w14:textId="7AA371D7" w:rsidR="002F2F8B" w:rsidRPr="00FC2702" w:rsidRDefault="002F2F8B" w:rsidP="002F2F8B">
      <w:pPr>
        <w:rPr>
          <w:rFonts w:ascii="Times New Roman" w:hAnsi="Times New Roman" w:cs="Times New Roman"/>
        </w:rPr>
      </w:pPr>
      <w:r w:rsidRPr="00FC2702">
        <w:rPr>
          <w:rFonts w:ascii="Times New Roman" w:hAnsi="Times New Roman" w:cs="Times New Roman"/>
        </w:rPr>
        <w:t>Under section 102G of the Act, the instrument imposes temporary limits on the aggregate of the parts of the spectrum that may be used by the named persons and their associates.</w:t>
      </w:r>
    </w:p>
    <w:p w14:paraId="31706C75" w14:textId="258A45D5" w:rsidR="002F2F8B" w:rsidRPr="00FC2702" w:rsidRDefault="00571C78" w:rsidP="002F2F8B">
      <w:pPr>
        <w:rPr>
          <w:rFonts w:ascii="Times New Roman" w:hAnsi="Times New Roman" w:cs="Times New Roman"/>
        </w:rPr>
      </w:pPr>
      <w:r w:rsidRPr="00FC2702">
        <w:rPr>
          <w:rFonts w:ascii="Times New Roman" w:hAnsi="Times New Roman" w:cs="Times New Roman"/>
        </w:rPr>
        <w:t>A nil limit is imposed on e</w:t>
      </w:r>
      <w:r w:rsidR="002F2F8B" w:rsidRPr="00FC2702">
        <w:rPr>
          <w:rFonts w:ascii="Times New Roman" w:hAnsi="Times New Roman" w:cs="Times New Roman"/>
        </w:rPr>
        <w:t xml:space="preserve">ach named person, and each associate of a named person, in relation to the allocation and issue of the relevant AWLs. The nil limit is imposed from the time the instrument commences until the end of </w:t>
      </w:r>
      <w:r w:rsidR="00FF1275" w:rsidRPr="00FC2702">
        <w:rPr>
          <w:rFonts w:ascii="Times New Roman" w:hAnsi="Times New Roman" w:cs="Times New Roman"/>
        </w:rPr>
        <w:t>30</w:t>
      </w:r>
      <w:r w:rsidR="002F2F8B" w:rsidRPr="00FC2702">
        <w:rPr>
          <w:rFonts w:ascii="Times New Roman" w:hAnsi="Times New Roman" w:cs="Times New Roman"/>
        </w:rPr>
        <w:t xml:space="preserve"> September 2024.</w:t>
      </w:r>
    </w:p>
    <w:p w14:paraId="40FD92F4" w14:textId="466D7AD4" w:rsidR="002F2F8B" w:rsidRPr="00FC2702" w:rsidRDefault="002F2F8B" w:rsidP="002F2F8B">
      <w:pPr>
        <w:jc w:val="both"/>
        <w:rPr>
          <w:rFonts w:ascii="Times New Roman" w:hAnsi="Times New Roman" w:cs="Times New Roman"/>
          <w:bCs/>
        </w:rPr>
      </w:pPr>
      <w:r w:rsidRPr="00FC2702">
        <w:rPr>
          <w:rFonts w:ascii="Times New Roman" w:hAnsi="Times New Roman" w:cs="Times New Roman"/>
        </w:rPr>
        <w:t xml:space="preserve">From </w:t>
      </w:r>
      <w:r w:rsidR="00FF1275" w:rsidRPr="00FC2702">
        <w:rPr>
          <w:rFonts w:ascii="Times New Roman" w:hAnsi="Times New Roman" w:cs="Times New Roman"/>
        </w:rPr>
        <w:t>1</w:t>
      </w:r>
      <w:r w:rsidRPr="00FC2702">
        <w:rPr>
          <w:rFonts w:ascii="Times New Roman" w:hAnsi="Times New Roman" w:cs="Times New Roman"/>
        </w:rPr>
        <w:t xml:space="preserve"> </w:t>
      </w:r>
      <w:r w:rsidR="00FF1275" w:rsidRPr="00FC2702">
        <w:rPr>
          <w:rFonts w:ascii="Times New Roman" w:hAnsi="Times New Roman" w:cs="Times New Roman"/>
        </w:rPr>
        <w:t>October</w:t>
      </w:r>
      <w:r w:rsidRPr="00FC2702">
        <w:rPr>
          <w:rFonts w:ascii="Times New Roman" w:hAnsi="Times New Roman" w:cs="Times New Roman"/>
        </w:rPr>
        <w:t xml:space="preserve"> 2024 until the end of </w:t>
      </w:r>
      <w:r w:rsidR="00FF1275" w:rsidRPr="00FC2702">
        <w:rPr>
          <w:rFonts w:ascii="Times New Roman" w:hAnsi="Times New Roman" w:cs="Times New Roman"/>
        </w:rPr>
        <w:t>30</w:t>
      </w:r>
      <w:r w:rsidRPr="00FC2702">
        <w:rPr>
          <w:rFonts w:ascii="Times New Roman" w:hAnsi="Times New Roman" w:cs="Times New Roman"/>
        </w:rPr>
        <w:t xml:space="preserve"> September 2025, </w:t>
      </w:r>
      <w:r w:rsidR="00571C78" w:rsidRPr="00FC2702">
        <w:rPr>
          <w:rFonts w:ascii="Times New Roman" w:hAnsi="Times New Roman" w:cs="Times New Roman"/>
        </w:rPr>
        <w:t>the 140/160</w:t>
      </w:r>
      <w:r w:rsidRPr="00FC2702">
        <w:rPr>
          <w:rFonts w:ascii="Times New Roman" w:hAnsi="Times New Roman" w:cs="Times New Roman"/>
        </w:rPr>
        <w:t xml:space="preserve"> limit appl</w:t>
      </w:r>
      <w:r w:rsidR="00571C78" w:rsidRPr="00FC2702">
        <w:rPr>
          <w:rFonts w:ascii="Times New Roman" w:hAnsi="Times New Roman" w:cs="Times New Roman"/>
        </w:rPr>
        <w:t>ies</w:t>
      </w:r>
      <w:r w:rsidRPr="00FC2702">
        <w:rPr>
          <w:rFonts w:ascii="Times New Roman" w:hAnsi="Times New Roman" w:cs="Times New Roman"/>
        </w:rPr>
        <w:t xml:space="preserve">. During this period, </w:t>
      </w:r>
      <w:r w:rsidRPr="00FC2702">
        <w:rPr>
          <w:rFonts w:ascii="Times New Roman" w:hAnsi="Times New Roman" w:cs="Times New Roman"/>
          <w:bCs/>
        </w:rPr>
        <w:t xml:space="preserve">the instrument imposes limits on the aggregate of the parts of the spectrum that, under existing spectrum licences and as a result of the allocation or issue of </w:t>
      </w:r>
      <w:r w:rsidR="00A96AF2" w:rsidRPr="00FC2702">
        <w:rPr>
          <w:rFonts w:ascii="Times New Roman" w:hAnsi="Times New Roman" w:cs="Times New Roman"/>
          <w:bCs/>
        </w:rPr>
        <w:t xml:space="preserve">relevant </w:t>
      </w:r>
      <w:r w:rsidRPr="00FC2702">
        <w:rPr>
          <w:rFonts w:ascii="Times New Roman" w:hAnsi="Times New Roman" w:cs="Times New Roman"/>
          <w:bCs/>
        </w:rPr>
        <w:t xml:space="preserve">AWLs, may be used by </w:t>
      </w:r>
      <w:r w:rsidR="007C4039" w:rsidRPr="00FC2702">
        <w:rPr>
          <w:rFonts w:ascii="Times New Roman" w:hAnsi="Times New Roman" w:cs="Times New Roman"/>
          <w:bCs/>
        </w:rPr>
        <w:t>a named person</w:t>
      </w:r>
      <w:r w:rsidRPr="00FC2702">
        <w:rPr>
          <w:rFonts w:ascii="Times New Roman" w:hAnsi="Times New Roman" w:cs="Times New Roman"/>
          <w:bCs/>
        </w:rPr>
        <w:t xml:space="preserve">, or by a ‘relevant group of persons’. A ‘relevant group of persons’ consists of a </w:t>
      </w:r>
      <w:r w:rsidR="004E2F4C" w:rsidRPr="00FC2702">
        <w:rPr>
          <w:rFonts w:ascii="Times New Roman" w:hAnsi="Times New Roman" w:cs="Times New Roman"/>
          <w:bCs/>
        </w:rPr>
        <w:t xml:space="preserve">named </w:t>
      </w:r>
      <w:r w:rsidRPr="00FC2702">
        <w:rPr>
          <w:rFonts w:ascii="Times New Roman" w:hAnsi="Times New Roman" w:cs="Times New Roman"/>
          <w:bCs/>
        </w:rPr>
        <w:t>person and all th</w:t>
      </w:r>
      <w:r w:rsidR="004E2F4C" w:rsidRPr="00FC2702">
        <w:rPr>
          <w:rFonts w:ascii="Times New Roman" w:hAnsi="Times New Roman" w:cs="Times New Roman"/>
          <w:bCs/>
        </w:rPr>
        <w:t>at</w:t>
      </w:r>
      <w:r w:rsidRPr="00FC2702">
        <w:rPr>
          <w:rFonts w:ascii="Times New Roman" w:hAnsi="Times New Roman" w:cs="Times New Roman"/>
          <w:bCs/>
        </w:rPr>
        <w:t xml:space="preserve"> person’s ‘associates’.</w:t>
      </w:r>
    </w:p>
    <w:p w14:paraId="5AFB7B4C" w14:textId="48537314" w:rsidR="002F2F8B" w:rsidRPr="00FC2702" w:rsidRDefault="002F2F8B" w:rsidP="002F2F8B">
      <w:pPr>
        <w:jc w:val="both"/>
        <w:rPr>
          <w:rFonts w:ascii="Times New Roman" w:hAnsi="Times New Roman" w:cs="Times New Roman"/>
          <w:bCs/>
        </w:rPr>
      </w:pPr>
      <w:r w:rsidRPr="00FC2702">
        <w:rPr>
          <w:rFonts w:ascii="Times New Roman" w:hAnsi="Times New Roman" w:cs="Times New Roman"/>
          <w:bCs/>
        </w:rPr>
        <w:lastRenderedPageBreak/>
        <w:t>The effect of the</w:t>
      </w:r>
      <w:r w:rsidR="00571C78" w:rsidRPr="00FC2702">
        <w:rPr>
          <w:rFonts w:ascii="Times New Roman" w:hAnsi="Times New Roman" w:cs="Times New Roman"/>
          <w:bCs/>
        </w:rPr>
        <w:t xml:space="preserve"> 140/160</w:t>
      </w:r>
      <w:r w:rsidRPr="00FC2702">
        <w:rPr>
          <w:rFonts w:ascii="Times New Roman" w:hAnsi="Times New Roman" w:cs="Times New Roman"/>
          <w:bCs/>
        </w:rPr>
        <w:t xml:space="preserve"> limit is that no </w:t>
      </w:r>
      <w:r w:rsidR="007C4039" w:rsidRPr="00FC2702">
        <w:rPr>
          <w:rFonts w:ascii="Times New Roman" w:hAnsi="Times New Roman" w:cs="Times New Roman"/>
          <w:bCs/>
        </w:rPr>
        <w:t xml:space="preserve">named </w:t>
      </w:r>
      <w:r w:rsidRPr="00FC2702">
        <w:rPr>
          <w:rFonts w:ascii="Times New Roman" w:hAnsi="Times New Roman" w:cs="Times New Roman"/>
          <w:bCs/>
        </w:rPr>
        <w:t>person, and no relevant group of persons, may, under existing spectrum licences and relevant AWLs, and as a result of the allocation and issue of a relevant AWL, use more than an aggregate of:</w:t>
      </w:r>
    </w:p>
    <w:p w14:paraId="7CB5F895" w14:textId="77777777" w:rsidR="002F2F8B" w:rsidRPr="00FC2702" w:rsidRDefault="002F2F8B" w:rsidP="002F2F8B">
      <w:pPr>
        <w:pStyle w:val="ListParagraph"/>
        <w:numPr>
          <w:ilvl w:val="0"/>
          <w:numId w:val="34"/>
        </w:numPr>
        <w:jc w:val="both"/>
        <w:rPr>
          <w:rFonts w:ascii="Times New Roman" w:hAnsi="Times New Roman" w:cs="Times New Roman"/>
          <w:bCs/>
        </w:rPr>
      </w:pPr>
      <w:r w:rsidRPr="00FC2702">
        <w:rPr>
          <w:rFonts w:ascii="Times New Roman" w:hAnsi="Times New Roman" w:cs="Times New Roman"/>
          <w:bCs/>
        </w:rPr>
        <w:t>140 MHz in the 3.4 GHz band in the metropolitan area; or</w:t>
      </w:r>
    </w:p>
    <w:p w14:paraId="6C0E747F" w14:textId="63BF14F3" w:rsidR="002F2F8B" w:rsidRPr="00FC2702" w:rsidRDefault="002F2F8B" w:rsidP="002F2F8B">
      <w:pPr>
        <w:pStyle w:val="ListParagraph"/>
        <w:numPr>
          <w:ilvl w:val="0"/>
          <w:numId w:val="34"/>
        </w:numPr>
        <w:jc w:val="both"/>
        <w:rPr>
          <w:rFonts w:ascii="Times New Roman" w:hAnsi="Times New Roman" w:cs="Times New Roman"/>
          <w:bCs/>
        </w:rPr>
      </w:pPr>
      <w:r w:rsidRPr="00FC2702">
        <w:rPr>
          <w:rFonts w:ascii="Times New Roman" w:hAnsi="Times New Roman" w:cs="Times New Roman"/>
          <w:bCs/>
        </w:rPr>
        <w:t>160 MHz in the 3.4 GHz band in the regional area or rural area</w:t>
      </w:r>
      <w:r w:rsidR="00571C78" w:rsidRPr="00FC2702">
        <w:rPr>
          <w:rFonts w:ascii="Times New Roman" w:hAnsi="Times New Roman" w:cs="Times New Roman"/>
          <w:bCs/>
        </w:rPr>
        <w:t>.</w:t>
      </w:r>
    </w:p>
    <w:p w14:paraId="438872C5" w14:textId="65990CC4" w:rsidR="002F2F8B" w:rsidRPr="00FC2702" w:rsidRDefault="002F2F8B" w:rsidP="002F2F8B">
      <w:pPr>
        <w:jc w:val="both"/>
        <w:rPr>
          <w:rFonts w:ascii="Times New Roman" w:hAnsi="Times New Roman" w:cs="Times New Roman"/>
          <w:bCs/>
        </w:rPr>
      </w:pPr>
      <w:r w:rsidRPr="00FC2702">
        <w:rPr>
          <w:rFonts w:ascii="Times New Roman" w:hAnsi="Times New Roman" w:cs="Times New Roman"/>
          <w:bCs/>
        </w:rPr>
        <w:t xml:space="preserve">Spectrum licences have already been allocated and issued to the named persons or their associates in the 3.4 GHz band. The combination of the 140/160 limit and the existing spectrum licences affects </w:t>
      </w:r>
      <w:r w:rsidR="00AA65D2">
        <w:rPr>
          <w:rFonts w:ascii="Times New Roman" w:hAnsi="Times New Roman" w:cs="Times New Roman"/>
          <w:bCs/>
        </w:rPr>
        <w:t>which</w:t>
      </w:r>
      <w:r w:rsidRPr="00FC2702">
        <w:rPr>
          <w:rFonts w:ascii="Times New Roman" w:hAnsi="Times New Roman" w:cs="Times New Roman"/>
          <w:bCs/>
        </w:rPr>
        <w:t xml:space="preserve"> </w:t>
      </w:r>
      <w:r w:rsidR="00571C78" w:rsidRPr="00FC2702">
        <w:rPr>
          <w:rFonts w:ascii="Times New Roman" w:hAnsi="Times New Roman" w:cs="Times New Roman"/>
          <w:bCs/>
        </w:rPr>
        <w:t xml:space="preserve">relevant </w:t>
      </w:r>
      <w:r w:rsidRPr="00FC2702">
        <w:rPr>
          <w:rFonts w:ascii="Times New Roman" w:hAnsi="Times New Roman" w:cs="Times New Roman"/>
          <w:bCs/>
        </w:rPr>
        <w:t>AWLs may be allocated and issued to a named person or their associates.</w:t>
      </w:r>
    </w:p>
    <w:p w14:paraId="13931BAC" w14:textId="77777777" w:rsidR="002F2F8B" w:rsidRPr="00FC2702" w:rsidRDefault="002F2F8B" w:rsidP="00F160C4">
      <w:pPr>
        <w:keepNext/>
        <w:spacing w:line="257" w:lineRule="auto"/>
        <w:rPr>
          <w:rFonts w:ascii="Times New Roman" w:hAnsi="Times New Roman" w:cs="Times New Roman"/>
          <w:i/>
          <w:iCs/>
        </w:rPr>
      </w:pPr>
      <w:r w:rsidRPr="00FC2702">
        <w:rPr>
          <w:rFonts w:ascii="Times New Roman" w:hAnsi="Times New Roman" w:cs="Times New Roman"/>
          <w:i/>
          <w:iCs/>
        </w:rPr>
        <w:t>Authorisation under and transfer of AWLs</w:t>
      </w:r>
    </w:p>
    <w:p w14:paraId="0D9944EB" w14:textId="77777777" w:rsidR="002F2F8B" w:rsidRPr="00FC2702" w:rsidRDefault="002F2F8B" w:rsidP="002F2F8B">
      <w:pPr>
        <w:rPr>
          <w:rFonts w:ascii="Times New Roman" w:hAnsi="Times New Roman" w:cs="Times New Roman"/>
        </w:rPr>
      </w:pPr>
      <w:r w:rsidRPr="00FC2702">
        <w:rPr>
          <w:rFonts w:ascii="Times New Roman" w:hAnsi="Times New Roman" w:cs="Times New Roman"/>
        </w:rPr>
        <w:t>Under subsection 114(1) of the Act, the licensee of an apparatus licence may authorise other persons to operate radiocommunications devices under the licence. However, the licensee must not authorise a person to do so if it would be inconsistent with a determination of the ACMA under section 115 of the Act.</w:t>
      </w:r>
    </w:p>
    <w:p w14:paraId="4BF59E06" w14:textId="0AF1E71E" w:rsidR="002F2F8B" w:rsidRPr="00FC2702" w:rsidRDefault="002F2F8B" w:rsidP="002F2F8B">
      <w:pPr>
        <w:rPr>
          <w:rFonts w:ascii="Times New Roman" w:hAnsi="Times New Roman" w:cs="Times New Roman"/>
        </w:rPr>
      </w:pPr>
      <w:r w:rsidRPr="00FC2702">
        <w:rPr>
          <w:rFonts w:ascii="Times New Roman" w:hAnsi="Times New Roman" w:cs="Times New Roman"/>
        </w:rPr>
        <w:t>Under subsection 131AB</w:t>
      </w:r>
      <w:r w:rsidR="009279E8">
        <w:rPr>
          <w:rFonts w:ascii="Times New Roman" w:hAnsi="Times New Roman" w:cs="Times New Roman"/>
        </w:rPr>
        <w:t>(1)</w:t>
      </w:r>
      <w:r w:rsidRPr="00FC2702">
        <w:rPr>
          <w:rFonts w:ascii="Times New Roman" w:hAnsi="Times New Roman" w:cs="Times New Roman"/>
        </w:rPr>
        <w:t xml:space="preserve"> of the Act, the ACMA may, on application and subject to section 131AC, transfer an apparatus licence into the name of the transferee specified in the application form.</w:t>
      </w:r>
    </w:p>
    <w:p w14:paraId="28BC1DEE" w14:textId="43A7AAF5" w:rsidR="002F2F8B" w:rsidRPr="00FC2702" w:rsidRDefault="002F2F8B" w:rsidP="002F2F8B">
      <w:pPr>
        <w:rPr>
          <w:rFonts w:ascii="Times New Roman" w:hAnsi="Times New Roman" w:cs="Times New Roman"/>
          <w:bCs/>
        </w:rPr>
      </w:pPr>
      <w:r w:rsidRPr="00FC2702">
        <w:rPr>
          <w:rFonts w:ascii="Times New Roman" w:hAnsi="Times New Roman" w:cs="Times New Roman"/>
        </w:rPr>
        <w:t>The instrument prevents the licensee of a relevant AWL from authorising a named person or their associate to operate radiocommunications transmitters under the AWL during the period the nil limit is in force (under section 115 of the Act) and</w:t>
      </w:r>
      <w:r w:rsidR="003879A1" w:rsidRPr="00FC2702">
        <w:rPr>
          <w:rFonts w:ascii="Times New Roman" w:hAnsi="Times New Roman" w:cs="Times New Roman"/>
        </w:rPr>
        <w:t xml:space="preserve"> prevents</w:t>
      </w:r>
      <w:r w:rsidRPr="00FC2702">
        <w:rPr>
          <w:rFonts w:ascii="Times New Roman" w:hAnsi="Times New Roman" w:cs="Times New Roman"/>
        </w:rPr>
        <w:t xml:space="preserve"> the transfer of a relevant AWL to a named person or their associate during the period the nil limit is in force (under section 131AC of the Act).</w:t>
      </w:r>
      <w:r w:rsidRPr="00FC2702">
        <w:rPr>
          <w:rFonts w:ascii="Times New Roman" w:hAnsi="Times New Roman" w:cs="Times New Roman"/>
          <w:bCs/>
        </w:rPr>
        <w:t xml:space="preserve"> </w:t>
      </w:r>
    </w:p>
    <w:p w14:paraId="62B66CB7" w14:textId="77777777" w:rsidR="004C58B9" w:rsidRPr="00FC2702" w:rsidRDefault="004C58B9" w:rsidP="004C58B9">
      <w:pPr>
        <w:rPr>
          <w:rFonts w:ascii="Times New Roman" w:hAnsi="Times New Roman" w:cs="Times New Roman"/>
          <w:b/>
          <w:i/>
        </w:rPr>
      </w:pPr>
      <w:r w:rsidRPr="00FC2702">
        <w:rPr>
          <w:rFonts w:ascii="Times New Roman" w:hAnsi="Times New Roman" w:cs="Times New Roman"/>
          <w:b/>
          <w:i/>
        </w:rPr>
        <w:t>Human rights implications</w:t>
      </w:r>
    </w:p>
    <w:p w14:paraId="0B759C40" w14:textId="77777777" w:rsidR="004C58B9" w:rsidRPr="00FC2702" w:rsidRDefault="004C58B9" w:rsidP="004C58B9">
      <w:pPr>
        <w:rPr>
          <w:rFonts w:ascii="Times New Roman" w:hAnsi="Times New Roman" w:cs="Times New Roman"/>
        </w:rPr>
      </w:pPr>
      <w:r w:rsidRPr="00FC2702">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sidRPr="00FC2702">
        <w:rPr>
          <w:rFonts w:ascii="Times New Roman" w:hAnsi="Times New Roman" w:cs="Times New Roman"/>
          <w:i/>
        </w:rPr>
        <w:t xml:space="preserve"> Human Rights (Parliamentary Scrutiny) Act 2011 </w:t>
      </w:r>
      <w:r w:rsidRPr="00FC2702">
        <w:rPr>
          <w:rFonts w:ascii="Times New Roman" w:hAnsi="Times New Roman" w:cs="Times New Roman"/>
        </w:rPr>
        <w:t xml:space="preserve">as they apply to Australia. </w:t>
      </w:r>
    </w:p>
    <w:p w14:paraId="39F7E8B7" w14:textId="77777777" w:rsidR="004C58B9" w:rsidRPr="00FC2702" w:rsidRDefault="004C58B9" w:rsidP="004C58B9">
      <w:pPr>
        <w:rPr>
          <w:rFonts w:ascii="Times New Roman" w:hAnsi="Times New Roman" w:cs="Times New Roman"/>
        </w:rPr>
      </w:pPr>
      <w:r w:rsidRPr="00FC2702">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Pr="00FC2702" w:rsidRDefault="004C58B9" w:rsidP="004C58B9">
      <w:pPr>
        <w:rPr>
          <w:rFonts w:ascii="Times New Roman" w:hAnsi="Times New Roman" w:cs="Times New Roman"/>
          <w:b/>
          <w:i/>
        </w:rPr>
      </w:pPr>
      <w:r w:rsidRPr="00FC2702">
        <w:rPr>
          <w:rFonts w:ascii="Times New Roman" w:hAnsi="Times New Roman" w:cs="Times New Roman"/>
          <w:b/>
          <w:i/>
        </w:rPr>
        <w:t>Conclusion</w:t>
      </w:r>
    </w:p>
    <w:p w14:paraId="14033D5D" w14:textId="77777777" w:rsidR="004C58B9" w:rsidRPr="00FC2702" w:rsidRDefault="004C58B9" w:rsidP="004C58B9">
      <w:pPr>
        <w:rPr>
          <w:rFonts w:ascii="Times New Roman" w:hAnsi="Times New Roman" w:cs="Times New Roman"/>
        </w:rPr>
      </w:pPr>
      <w:r w:rsidRPr="00FC2702">
        <w:rPr>
          <w:rFonts w:ascii="Times New Roman" w:hAnsi="Times New Roman" w:cs="Times New Roman"/>
        </w:rPr>
        <w:t>The instrument is compatible with human rights as it does not raise any human rights issues.</w:t>
      </w:r>
    </w:p>
    <w:p w14:paraId="0761EB7B" w14:textId="77777777" w:rsidR="004C58B9" w:rsidRPr="00FC2702" w:rsidRDefault="004C58B9" w:rsidP="004C58B9">
      <w:pPr>
        <w:rPr>
          <w:rFonts w:ascii="Times New Roman" w:hAnsi="Times New Roman" w:cs="Times New Roman"/>
        </w:rPr>
      </w:pPr>
    </w:p>
    <w:p w14:paraId="529383EE" w14:textId="77777777" w:rsidR="004C58B9" w:rsidRPr="00FC2702" w:rsidRDefault="004C58B9" w:rsidP="004C58B9">
      <w:pPr>
        <w:rPr>
          <w:rFonts w:ascii="Times New Roman" w:hAnsi="Times New Roman" w:cs="Times New Roman"/>
          <w:b/>
        </w:rPr>
      </w:pPr>
      <w:r w:rsidRPr="00FC2702">
        <w:rPr>
          <w:rFonts w:ascii="Times New Roman" w:hAnsi="Times New Roman" w:cs="Times New Roman"/>
          <w:b/>
        </w:rPr>
        <w:br w:type="page"/>
      </w:r>
    </w:p>
    <w:p w14:paraId="00392EC9" w14:textId="77777777" w:rsidR="004C58B9" w:rsidRPr="00FC2702" w:rsidRDefault="004C58B9" w:rsidP="004C58B9">
      <w:pPr>
        <w:jc w:val="right"/>
        <w:rPr>
          <w:rFonts w:ascii="Times New Roman" w:hAnsi="Times New Roman" w:cs="Times New Roman"/>
          <w:b/>
          <w:sz w:val="28"/>
          <w:szCs w:val="28"/>
        </w:rPr>
      </w:pPr>
      <w:r w:rsidRPr="00FC2702">
        <w:rPr>
          <w:rFonts w:ascii="Times New Roman" w:hAnsi="Times New Roman" w:cs="Times New Roman"/>
          <w:b/>
          <w:sz w:val="28"/>
          <w:szCs w:val="28"/>
        </w:rPr>
        <w:lastRenderedPageBreak/>
        <w:t>Attachment A</w:t>
      </w:r>
    </w:p>
    <w:p w14:paraId="2CC48905" w14:textId="2F51E52E" w:rsidR="004C58B9" w:rsidRPr="00FC2702" w:rsidRDefault="004C58B9" w:rsidP="004C58B9">
      <w:pPr>
        <w:jc w:val="center"/>
        <w:rPr>
          <w:rFonts w:ascii="Times New Roman" w:hAnsi="Times New Roman" w:cs="Times New Roman"/>
          <w:b/>
          <w:sz w:val="28"/>
          <w:szCs w:val="28"/>
        </w:rPr>
      </w:pPr>
      <w:r w:rsidRPr="00FC2702">
        <w:rPr>
          <w:rFonts w:ascii="Times New Roman" w:hAnsi="Times New Roman" w:cs="Times New Roman"/>
          <w:b/>
          <w:sz w:val="28"/>
          <w:szCs w:val="28"/>
        </w:rPr>
        <w:t xml:space="preserve">Notes to the </w:t>
      </w:r>
      <w:r w:rsidR="00D1638C" w:rsidRPr="00FC2702">
        <w:rPr>
          <w:rFonts w:ascii="Times New Roman" w:hAnsi="Times New Roman" w:cs="Times New Roman"/>
          <w:b/>
          <w:i/>
          <w:sz w:val="28"/>
          <w:szCs w:val="28"/>
        </w:rPr>
        <w:t>Radiocommunications (Area-Wide Licence</w:t>
      </w:r>
      <w:r w:rsidR="00EA7007" w:rsidRPr="00FC2702">
        <w:rPr>
          <w:rFonts w:ascii="Times New Roman" w:hAnsi="Times New Roman" w:cs="Times New Roman"/>
          <w:b/>
          <w:i/>
          <w:sz w:val="28"/>
          <w:szCs w:val="28"/>
        </w:rPr>
        <w:t>s – Limits, Authorisations and Transfers</w:t>
      </w:r>
      <w:r w:rsidR="00D1638C" w:rsidRPr="00FC2702">
        <w:rPr>
          <w:rFonts w:ascii="Times New Roman" w:hAnsi="Times New Roman" w:cs="Times New Roman"/>
          <w:b/>
          <w:i/>
          <w:sz w:val="28"/>
          <w:szCs w:val="28"/>
        </w:rPr>
        <w:t>) Determination 202</w:t>
      </w:r>
      <w:r w:rsidR="00EA7007" w:rsidRPr="00FC2702">
        <w:rPr>
          <w:rFonts w:ascii="Times New Roman" w:hAnsi="Times New Roman" w:cs="Times New Roman"/>
          <w:b/>
          <w:i/>
          <w:sz w:val="28"/>
          <w:szCs w:val="28"/>
        </w:rPr>
        <w:t>4</w:t>
      </w:r>
      <w:r w:rsidR="00D1638C" w:rsidRPr="00FC2702">
        <w:rPr>
          <w:rFonts w:ascii="Times New Roman" w:hAnsi="Times New Roman" w:cs="Times New Roman"/>
          <w:b/>
          <w:i/>
          <w:sz w:val="28"/>
          <w:szCs w:val="28"/>
        </w:rPr>
        <w:t xml:space="preserve"> </w:t>
      </w:r>
    </w:p>
    <w:p w14:paraId="6A976F35" w14:textId="77777777" w:rsidR="004C58B9" w:rsidRPr="00FC2702" w:rsidRDefault="004C58B9" w:rsidP="004C58B9">
      <w:pPr>
        <w:rPr>
          <w:rFonts w:ascii="Times New Roman" w:hAnsi="Times New Roman" w:cs="Times New Roman"/>
          <w:b/>
        </w:rPr>
      </w:pPr>
      <w:r w:rsidRPr="00FC2702">
        <w:rPr>
          <w:rFonts w:ascii="Times New Roman" w:hAnsi="Times New Roman" w:cs="Times New Roman"/>
          <w:b/>
        </w:rPr>
        <w:t>Section 1</w:t>
      </w:r>
      <w:r w:rsidRPr="00FC2702">
        <w:rPr>
          <w:rFonts w:ascii="Times New Roman" w:hAnsi="Times New Roman" w:cs="Times New Roman"/>
          <w:b/>
        </w:rPr>
        <w:tab/>
        <w:t>Name</w:t>
      </w:r>
    </w:p>
    <w:p w14:paraId="4E9236AB" w14:textId="184683E7" w:rsidR="004C58B9" w:rsidRPr="00FC2702" w:rsidRDefault="004C58B9" w:rsidP="004C58B9">
      <w:pPr>
        <w:rPr>
          <w:rFonts w:ascii="Times New Roman" w:hAnsi="Times New Roman" w:cs="Times New Roman"/>
        </w:rPr>
      </w:pPr>
      <w:r w:rsidRPr="00FC2702">
        <w:rPr>
          <w:rFonts w:ascii="Times New Roman" w:hAnsi="Times New Roman" w:cs="Times New Roman"/>
        </w:rPr>
        <w:t>This section provides for the instrument to be cited as the</w:t>
      </w:r>
      <w:r w:rsidR="00003ABC" w:rsidRPr="00FC2702">
        <w:rPr>
          <w:rFonts w:ascii="Times New Roman" w:hAnsi="Times New Roman" w:cs="Times New Roman"/>
          <w:i/>
        </w:rPr>
        <w:t xml:space="preserve"> Radiocommunications (Area-</w:t>
      </w:r>
      <w:r w:rsidR="00FC0381" w:rsidRPr="00FC2702">
        <w:rPr>
          <w:rFonts w:ascii="Times New Roman" w:hAnsi="Times New Roman" w:cs="Times New Roman"/>
          <w:i/>
        </w:rPr>
        <w:t>W</w:t>
      </w:r>
      <w:r w:rsidR="00003ABC" w:rsidRPr="00FC2702">
        <w:rPr>
          <w:rFonts w:ascii="Times New Roman" w:hAnsi="Times New Roman" w:cs="Times New Roman"/>
          <w:i/>
        </w:rPr>
        <w:t xml:space="preserve">ide Licences – Limits, Authorisations and Transfers) Determination 2024. </w:t>
      </w:r>
    </w:p>
    <w:p w14:paraId="5A4825F8" w14:textId="77777777" w:rsidR="004C58B9" w:rsidRPr="00FC2702" w:rsidRDefault="004C58B9" w:rsidP="004C58B9">
      <w:pPr>
        <w:rPr>
          <w:rFonts w:ascii="Times New Roman" w:hAnsi="Times New Roman" w:cs="Times New Roman"/>
          <w:b/>
        </w:rPr>
      </w:pPr>
      <w:r w:rsidRPr="00FC2702">
        <w:rPr>
          <w:rFonts w:ascii="Times New Roman" w:hAnsi="Times New Roman" w:cs="Times New Roman"/>
          <w:b/>
        </w:rPr>
        <w:t>Section 2</w:t>
      </w:r>
      <w:r w:rsidRPr="00FC2702">
        <w:rPr>
          <w:rFonts w:ascii="Times New Roman" w:hAnsi="Times New Roman" w:cs="Times New Roman"/>
          <w:b/>
        </w:rPr>
        <w:tab/>
        <w:t>Commencement</w:t>
      </w:r>
    </w:p>
    <w:p w14:paraId="1CE591DC" w14:textId="5758E4B0" w:rsidR="004C58B9" w:rsidRPr="00FC2702" w:rsidRDefault="004C58B9" w:rsidP="004C58B9">
      <w:pPr>
        <w:rPr>
          <w:rFonts w:ascii="Times New Roman" w:hAnsi="Times New Roman" w:cs="Times New Roman"/>
        </w:rPr>
      </w:pPr>
      <w:r w:rsidRPr="00FC2702">
        <w:rPr>
          <w:rFonts w:ascii="Times New Roman" w:hAnsi="Times New Roman" w:cs="Times New Roman"/>
        </w:rPr>
        <w:t>This section</w:t>
      </w:r>
      <w:r w:rsidR="00226E9B" w:rsidRPr="00FC2702">
        <w:rPr>
          <w:rFonts w:ascii="Times New Roman" w:hAnsi="Times New Roman" w:cs="Times New Roman"/>
        </w:rPr>
        <w:t xml:space="preserve"> provides that the instrument will commence at the start of the day after it is registered. </w:t>
      </w:r>
      <w:r w:rsidRPr="00FC2702">
        <w:rPr>
          <w:rFonts w:ascii="Times New Roman" w:hAnsi="Times New Roman" w:cs="Times New Roman"/>
        </w:rPr>
        <w:t xml:space="preserve"> </w:t>
      </w:r>
      <w:r w:rsidR="009E5CC3" w:rsidRPr="00FC2702">
        <w:rPr>
          <w:rFonts w:ascii="Times New Roman" w:hAnsi="Times New Roman" w:cs="Times New Roman"/>
        </w:rPr>
        <w:t xml:space="preserve"> </w:t>
      </w:r>
    </w:p>
    <w:p w14:paraId="2E195494" w14:textId="77777777" w:rsidR="004C58B9" w:rsidRPr="00FC2702" w:rsidRDefault="004C58B9" w:rsidP="004C58B9">
      <w:pPr>
        <w:rPr>
          <w:rFonts w:ascii="Times New Roman" w:hAnsi="Times New Roman" w:cs="Times New Roman"/>
        </w:rPr>
      </w:pPr>
      <w:r w:rsidRPr="00FC2702">
        <w:rPr>
          <w:rFonts w:ascii="Times New Roman" w:hAnsi="Times New Roman" w:cs="Times New Roman"/>
        </w:rPr>
        <w:t xml:space="preserve">The Federal Register of Legislation may be accessed free of charge at </w:t>
      </w:r>
      <w:hyperlink r:id="rId13" w:history="1">
        <w:r w:rsidRPr="00FC2702">
          <w:rPr>
            <w:rStyle w:val="Hyperlink"/>
            <w:rFonts w:ascii="Times New Roman" w:hAnsi="Times New Roman" w:cs="Times New Roman"/>
          </w:rPr>
          <w:t>www.legislation.gov.au</w:t>
        </w:r>
      </w:hyperlink>
      <w:r w:rsidRPr="00FC2702">
        <w:rPr>
          <w:rFonts w:ascii="Times New Roman" w:hAnsi="Times New Roman" w:cs="Times New Roman"/>
        </w:rPr>
        <w:t>.</w:t>
      </w:r>
    </w:p>
    <w:p w14:paraId="1CCE7953" w14:textId="77777777" w:rsidR="004C58B9" w:rsidRPr="00FC2702" w:rsidRDefault="004C58B9" w:rsidP="004C58B9">
      <w:pPr>
        <w:rPr>
          <w:rFonts w:ascii="Times New Roman" w:hAnsi="Times New Roman" w:cs="Times New Roman"/>
          <w:b/>
        </w:rPr>
      </w:pPr>
      <w:r w:rsidRPr="00FC2702">
        <w:rPr>
          <w:rFonts w:ascii="Times New Roman" w:hAnsi="Times New Roman" w:cs="Times New Roman"/>
          <w:b/>
        </w:rPr>
        <w:t>Section 3</w:t>
      </w:r>
      <w:r w:rsidRPr="00FC2702">
        <w:rPr>
          <w:rFonts w:ascii="Times New Roman" w:hAnsi="Times New Roman" w:cs="Times New Roman"/>
          <w:b/>
        </w:rPr>
        <w:tab/>
        <w:t>Authority</w:t>
      </w:r>
    </w:p>
    <w:p w14:paraId="38112A89" w14:textId="3B8BB988" w:rsidR="004C58B9" w:rsidRPr="00FC2702" w:rsidRDefault="004C58B9" w:rsidP="004C58B9">
      <w:pPr>
        <w:rPr>
          <w:rFonts w:ascii="Times New Roman" w:hAnsi="Times New Roman" w:cs="Times New Roman"/>
        </w:rPr>
      </w:pPr>
      <w:r w:rsidRPr="00FC2702">
        <w:rPr>
          <w:rFonts w:ascii="Times New Roman" w:hAnsi="Times New Roman" w:cs="Times New Roman"/>
        </w:rPr>
        <w:t>This section identifies the provision</w:t>
      </w:r>
      <w:r w:rsidR="004717B0" w:rsidRPr="00FC2702">
        <w:rPr>
          <w:rFonts w:ascii="Times New Roman" w:hAnsi="Times New Roman" w:cs="Times New Roman"/>
        </w:rPr>
        <w:t>s</w:t>
      </w:r>
      <w:r w:rsidRPr="00FC2702">
        <w:rPr>
          <w:rFonts w:ascii="Times New Roman" w:hAnsi="Times New Roman" w:cs="Times New Roman"/>
        </w:rPr>
        <w:t xml:space="preserve"> of the Act that authorise the making of the instrument, namely </w:t>
      </w:r>
      <w:r w:rsidR="00E02DA0" w:rsidRPr="00FC2702">
        <w:rPr>
          <w:rFonts w:ascii="Times New Roman" w:hAnsi="Times New Roman" w:cs="Times New Roman"/>
        </w:rPr>
        <w:t xml:space="preserve">under </w:t>
      </w:r>
      <w:r w:rsidR="0058335B" w:rsidRPr="00FC2702">
        <w:rPr>
          <w:rFonts w:ascii="Times New Roman" w:hAnsi="Times New Roman" w:cs="Times New Roman"/>
        </w:rPr>
        <w:t xml:space="preserve">subsections </w:t>
      </w:r>
      <w:r w:rsidR="00D1638C" w:rsidRPr="00FC2702">
        <w:rPr>
          <w:rFonts w:ascii="Times New Roman" w:hAnsi="Times New Roman" w:cs="Times New Roman"/>
        </w:rPr>
        <w:t>102G</w:t>
      </w:r>
      <w:r w:rsidR="0058335B" w:rsidRPr="00FC2702">
        <w:rPr>
          <w:rFonts w:ascii="Times New Roman" w:hAnsi="Times New Roman" w:cs="Times New Roman"/>
        </w:rPr>
        <w:t>(1)</w:t>
      </w:r>
      <w:r w:rsidR="00E02DA0" w:rsidRPr="00FC2702">
        <w:rPr>
          <w:rFonts w:ascii="Times New Roman" w:hAnsi="Times New Roman" w:cs="Times New Roman"/>
        </w:rPr>
        <w:t>, 115</w:t>
      </w:r>
      <w:r w:rsidR="0058335B" w:rsidRPr="00FC2702">
        <w:rPr>
          <w:rFonts w:ascii="Times New Roman" w:hAnsi="Times New Roman" w:cs="Times New Roman"/>
        </w:rPr>
        <w:t>(1)</w:t>
      </w:r>
      <w:r w:rsidR="00E02DA0" w:rsidRPr="00FC2702">
        <w:rPr>
          <w:rFonts w:ascii="Times New Roman" w:hAnsi="Times New Roman" w:cs="Times New Roman"/>
        </w:rPr>
        <w:t>, and 131AC</w:t>
      </w:r>
      <w:r w:rsidR="0058335B" w:rsidRPr="00FC2702">
        <w:rPr>
          <w:rFonts w:ascii="Times New Roman" w:hAnsi="Times New Roman" w:cs="Times New Roman"/>
        </w:rPr>
        <w:t>(1)</w:t>
      </w:r>
      <w:r w:rsidRPr="00FC2702">
        <w:rPr>
          <w:rFonts w:ascii="Times New Roman" w:hAnsi="Times New Roman" w:cs="Times New Roman"/>
        </w:rPr>
        <w:t>.</w:t>
      </w:r>
    </w:p>
    <w:p w14:paraId="092F5492" w14:textId="3DB3F361" w:rsidR="004C58B9" w:rsidRPr="00FC2702" w:rsidRDefault="004C58B9" w:rsidP="004C58B9">
      <w:pPr>
        <w:rPr>
          <w:rFonts w:ascii="Times New Roman" w:hAnsi="Times New Roman" w:cs="Times New Roman"/>
          <w:b/>
        </w:rPr>
      </w:pPr>
      <w:r w:rsidRPr="00FC2702">
        <w:rPr>
          <w:rFonts w:ascii="Times New Roman" w:hAnsi="Times New Roman" w:cs="Times New Roman"/>
          <w:b/>
        </w:rPr>
        <w:t xml:space="preserve">Section </w:t>
      </w:r>
      <w:r w:rsidR="002D24FC" w:rsidRPr="00FC2702">
        <w:rPr>
          <w:rFonts w:ascii="Times New Roman" w:hAnsi="Times New Roman" w:cs="Times New Roman"/>
          <w:b/>
        </w:rPr>
        <w:t>4</w:t>
      </w:r>
      <w:r w:rsidRPr="00FC2702">
        <w:rPr>
          <w:rFonts w:ascii="Times New Roman" w:hAnsi="Times New Roman" w:cs="Times New Roman"/>
          <w:b/>
        </w:rPr>
        <w:tab/>
      </w:r>
      <w:r w:rsidR="007061DA" w:rsidRPr="00FC2702">
        <w:rPr>
          <w:rFonts w:ascii="Times New Roman" w:hAnsi="Times New Roman" w:cs="Times New Roman"/>
          <w:b/>
        </w:rPr>
        <w:t xml:space="preserve">Interpretation </w:t>
      </w:r>
    </w:p>
    <w:p w14:paraId="77CC0EEC" w14:textId="77777777" w:rsidR="004C58B9" w:rsidRPr="00FC2702" w:rsidRDefault="004C58B9" w:rsidP="004C58B9">
      <w:pPr>
        <w:rPr>
          <w:rFonts w:ascii="Times New Roman" w:hAnsi="Times New Roman" w:cs="Times New Roman"/>
        </w:rPr>
      </w:pPr>
      <w:r w:rsidRPr="00FC2702">
        <w:rPr>
          <w:rFonts w:ascii="Times New Roman" w:hAnsi="Times New Roman" w:cs="Times New Roman"/>
        </w:rPr>
        <w:t xml:space="preserve">This section defines a number of key terms used throughout the instrument.  </w:t>
      </w:r>
    </w:p>
    <w:p w14:paraId="6A65622D" w14:textId="77777777" w:rsidR="004C58B9" w:rsidRPr="00FC2702" w:rsidRDefault="004C58B9" w:rsidP="004C58B9">
      <w:pPr>
        <w:rPr>
          <w:rFonts w:ascii="Times New Roman" w:hAnsi="Times New Roman" w:cs="Times New Roman"/>
        </w:rPr>
      </w:pPr>
      <w:r w:rsidRPr="00FC2702">
        <w:rPr>
          <w:rFonts w:ascii="Times New Roman" w:hAnsi="Times New Roman" w:cs="Times New Roman"/>
        </w:rPr>
        <w:t>A number of other expressions used in the instrument are defined in the Act.</w:t>
      </w:r>
    </w:p>
    <w:p w14:paraId="4E744EA9" w14:textId="17E059A6" w:rsidR="004C58B9" w:rsidRPr="00FC2702" w:rsidRDefault="004C58B9" w:rsidP="004C58B9">
      <w:pPr>
        <w:rPr>
          <w:rFonts w:ascii="Times New Roman" w:hAnsi="Times New Roman" w:cs="Times New Roman"/>
          <w:b/>
        </w:rPr>
      </w:pPr>
      <w:r w:rsidRPr="00FC2702">
        <w:rPr>
          <w:rFonts w:ascii="Times New Roman" w:hAnsi="Times New Roman" w:cs="Times New Roman"/>
          <w:b/>
        </w:rPr>
        <w:t xml:space="preserve">Section </w:t>
      </w:r>
      <w:r w:rsidR="002D24FC" w:rsidRPr="00FC2702">
        <w:rPr>
          <w:rFonts w:ascii="Times New Roman" w:hAnsi="Times New Roman" w:cs="Times New Roman"/>
          <w:b/>
        </w:rPr>
        <w:t>5</w:t>
      </w:r>
      <w:r w:rsidRPr="00FC2702">
        <w:rPr>
          <w:rFonts w:ascii="Times New Roman" w:hAnsi="Times New Roman" w:cs="Times New Roman"/>
          <w:b/>
        </w:rPr>
        <w:tab/>
        <w:t>References to other instruments</w:t>
      </w:r>
    </w:p>
    <w:p w14:paraId="5EFA7BF7" w14:textId="77777777" w:rsidR="004C58B9" w:rsidRPr="00FC2702" w:rsidRDefault="004C58B9" w:rsidP="004C58B9">
      <w:pPr>
        <w:spacing w:after="40"/>
        <w:rPr>
          <w:rFonts w:ascii="Times New Roman" w:hAnsi="Times New Roman" w:cs="Times New Roman"/>
        </w:rPr>
      </w:pPr>
      <w:r w:rsidRPr="00FC2702">
        <w:rPr>
          <w:rFonts w:ascii="Times New Roman" w:hAnsi="Times New Roman" w:cs="Times New Roman"/>
        </w:rPr>
        <w:t>This section provides that in the instrument, unless the contrary intention appears:</w:t>
      </w:r>
    </w:p>
    <w:p w14:paraId="4A729303" w14:textId="77777777" w:rsidR="004C58B9" w:rsidRPr="00FC2702" w:rsidRDefault="004C58B9" w:rsidP="004C58B9">
      <w:pPr>
        <w:pStyle w:val="ListParagraph"/>
        <w:numPr>
          <w:ilvl w:val="0"/>
          <w:numId w:val="15"/>
        </w:numPr>
        <w:rPr>
          <w:rFonts w:ascii="Times New Roman" w:hAnsi="Times New Roman" w:cs="Times New Roman"/>
        </w:rPr>
      </w:pPr>
      <w:r w:rsidRPr="00FC2702">
        <w:rPr>
          <w:rFonts w:ascii="Times New Roman" w:hAnsi="Times New Roman" w:cs="Times New Roman"/>
        </w:rPr>
        <w:t>a reference to any other legislative instrument is a reference to that other legislative instrument as in force from time to time; and</w:t>
      </w:r>
    </w:p>
    <w:p w14:paraId="287EC397" w14:textId="25B3CC4B" w:rsidR="004C58B9" w:rsidRPr="00FC2702" w:rsidRDefault="004C58B9" w:rsidP="004C58B9">
      <w:pPr>
        <w:pStyle w:val="ListParagraph"/>
        <w:numPr>
          <w:ilvl w:val="0"/>
          <w:numId w:val="15"/>
        </w:numPr>
        <w:rPr>
          <w:rFonts w:ascii="Times New Roman" w:hAnsi="Times New Roman" w:cs="Times New Roman"/>
        </w:rPr>
      </w:pPr>
      <w:r w:rsidRPr="00FC2702">
        <w:rPr>
          <w:rFonts w:ascii="Times New Roman" w:hAnsi="Times New Roman" w:cs="Times New Roman"/>
        </w:rPr>
        <w:t xml:space="preserve">a reference to any other kind of instrument is a reference to that other instrument as in force </w:t>
      </w:r>
      <w:r w:rsidR="007B4A6D" w:rsidRPr="00FC2702">
        <w:rPr>
          <w:rFonts w:ascii="Times New Roman" w:hAnsi="Times New Roman" w:cs="Times New Roman"/>
        </w:rPr>
        <w:t xml:space="preserve">or existing </w:t>
      </w:r>
      <w:r w:rsidRPr="00FC2702">
        <w:rPr>
          <w:rFonts w:ascii="Times New Roman" w:hAnsi="Times New Roman" w:cs="Times New Roman"/>
        </w:rPr>
        <w:t>from time to time.</w:t>
      </w:r>
    </w:p>
    <w:p w14:paraId="54A1CF98" w14:textId="0360E523" w:rsidR="002D24FC" w:rsidRPr="00FC2702" w:rsidRDefault="002D24FC" w:rsidP="004C58B9">
      <w:pPr>
        <w:rPr>
          <w:rFonts w:ascii="Times New Roman" w:hAnsi="Times New Roman" w:cs="Times New Roman"/>
          <w:b/>
        </w:rPr>
      </w:pPr>
      <w:r w:rsidRPr="00FC2702">
        <w:rPr>
          <w:rFonts w:ascii="Times New Roman" w:hAnsi="Times New Roman" w:cs="Times New Roman"/>
          <w:b/>
        </w:rPr>
        <w:t>Section 6</w:t>
      </w:r>
      <w:r w:rsidR="00E710DC" w:rsidRPr="00FC2702">
        <w:rPr>
          <w:rFonts w:ascii="Times New Roman" w:hAnsi="Times New Roman" w:cs="Times New Roman"/>
          <w:b/>
        </w:rPr>
        <w:tab/>
        <w:t xml:space="preserve">Schedule 1–Initial </w:t>
      </w:r>
      <w:r w:rsidR="00E73B88" w:rsidRPr="00FC2702">
        <w:rPr>
          <w:rFonts w:ascii="Times New Roman" w:hAnsi="Times New Roman" w:cs="Times New Roman"/>
          <w:b/>
        </w:rPr>
        <w:t>l</w:t>
      </w:r>
      <w:r w:rsidR="00E710DC" w:rsidRPr="00FC2702">
        <w:rPr>
          <w:rFonts w:ascii="Times New Roman" w:hAnsi="Times New Roman" w:cs="Times New Roman"/>
          <w:b/>
        </w:rPr>
        <w:t xml:space="preserve">imits </w:t>
      </w:r>
    </w:p>
    <w:p w14:paraId="654AF91D" w14:textId="559E2243" w:rsidR="00E710DC" w:rsidRPr="00FC2702" w:rsidRDefault="00E710DC" w:rsidP="004C58B9">
      <w:pPr>
        <w:rPr>
          <w:rFonts w:ascii="Times New Roman" w:hAnsi="Times New Roman" w:cs="Times New Roman"/>
          <w:bCs/>
        </w:rPr>
      </w:pPr>
      <w:r w:rsidRPr="00FC2702">
        <w:rPr>
          <w:rFonts w:ascii="Times New Roman" w:hAnsi="Times New Roman" w:cs="Times New Roman"/>
          <w:bCs/>
        </w:rPr>
        <w:t>This section provides that</w:t>
      </w:r>
      <w:r w:rsidR="00E81ED3" w:rsidRPr="00FC2702">
        <w:rPr>
          <w:rFonts w:ascii="Times New Roman" w:hAnsi="Times New Roman" w:cs="Times New Roman"/>
          <w:bCs/>
        </w:rPr>
        <w:t>,</w:t>
      </w:r>
      <w:r w:rsidRPr="00FC2702">
        <w:rPr>
          <w:rFonts w:ascii="Times New Roman" w:hAnsi="Times New Roman" w:cs="Times New Roman"/>
          <w:bCs/>
        </w:rPr>
        <w:t xml:space="preserve"> for the purposes of subsection </w:t>
      </w:r>
      <w:r w:rsidR="000421E0" w:rsidRPr="00FC2702">
        <w:rPr>
          <w:rFonts w:ascii="Times New Roman" w:hAnsi="Times New Roman" w:cs="Times New Roman"/>
          <w:bCs/>
        </w:rPr>
        <w:t>102G(1), 115(1), 131AC(1)</w:t>
      </w:r>
      <w:r w:rsidR="0067400C" w:rsidRPr="00FC2702">
        <w:rPr>
          <w:rFonts w:ascii="Times New Roman" w:hAnsi="Times New Roman" w:cs="Times New Roman"/>
          <w:bCs/>
        </w:rPr>
        <w:t xml:space="preserve"> of the Act,</w:t>
      </w:r>
      <w:r w:rsidR="0058335B" w:rsidRPr="00FC2702">
        <w:rPr>
          <w:rFonts w:ascii="Times New Roman" w:hAnsi="Times New Roman" w:cs="Times New Roman"/>
          <w:bCs/>
        </w:rPr>
        <w:t xml:space="preserve"> Schedule 1 has effect in the period </w:t>
      </w:r>
      <w:r w:rsidR="000A3005">
        <w:rPr>
          <w:rFonts w:ascii="Times New Roman" w:hAnsi="Times New Roman" w:cs="Times New Roman"/>
          <w:bCs/>
        </w:rPr>
        <w:t>starting</w:t>
      </w:r>
      <w:r w:rsidR="0058335B" w:rsidRPr="00FC2702">
        <w:rPr>
          <w:rFonts w:ascii="Times New Roman" w:hAnsi="Times New Roman" w:cs="Times New Roman"/>
          <w:bCs/>
        </w:rPr>
        <w:t xml:space="preserve"> when the instrument commences</w:t>
      </w:r>
      <w:r w:rsidR="000A3005">
        <w:rPr>
          <w:rFonts w:ascii="Times New Roman" w:hAnsi="Times New Roman" w:cs="Times New Roman"/>
          <w:bCs/>
        </w:rPr>
        <w:t xml:space="preserve"> and</w:t>
      </w:r>
      <w:r w:rsidR="0058335B" w:rsidRPr="00FC2702">
        <w:rPr>
          <w:rFonts w:ascii="Times New Roman" w:hAnsi="Times New Roman" w:cs="Times New Roman"/>
          <w:bCs/>
        </w:rPr>
        <w:t xml:space="preserve"> ending at the end of </w:t>
      </w:r>
      <w:r w:rsidR="00160620" w:rsidRPr="00FC2702">
        <w:rPr>
          <w:rFonts w:ascii="Times New Roman" w:hAnsi="Times New Roman" w:cs="Times New Roman"/>
          <w:bCs/>
        </w:rPr>
        <w:t xml:space="preserve">30 </w:t>
      </w:r>
      <w:r w:rsidR="0058335B" w:rsidRPr="00FC2702">
        <w:rPr>
          <w:rFonts w:ascii="Times New Roman" w:hAnsi="Times New Roman" w:cs="Times New Roman"/>
          <w:bCs/>
        </w:rPr>
        <w:t xml:space="preserve">September 2024. </w:t>
      </w:r>
    </w:p>
    <w:p w14:paraId="6430A0F2" w14:textId="0AD810C7" w:rsidR="00D44CFC" w:rsidRPr="00FC2702" w:rsidRDefault="00D44CFC" w:rsidP="004C58B9">
      <w:pPr>
        <w:rPr>
          <w:rFonts w:ascii="Times New Roman" w:hAnsi="Times New Roman" w:cs="Times New Roman"/>
          <w:b/>
        </w:rPr>
      </w:pPr>
      <w:r w:rsidRPr="00FC2702">
        <w:rPr>
          <w:rFonts w:ascii="Times New Roman" w:hAnsi="Times New Roman" w:cs="Times New Roman"/>
          <w:b/>
        </w:rPr>
        <w:t>Section 7</w:t>
      </w:r>
      <w:r w:rsidRPr="00FC2702">
        <w:rPr>
          <w:rFonts w:ascii="Times New Roman" w:hAnsi="Times New Roman" w:cs="Times New Roman"/>
          <w:b/>
        </w:rPr>
        <w:tab/>
        <w:t>Schedule 2–Subsequent li</w:t>
      </w:r>
      <w:r w:rsidR="00E73B88" w:rsidRPr="00FC2702">
        <w:rPr>
          <w:rFonts w:ascii="Times New Roman" w:hAnsi="Times New Roman" w:cs="Times New Roman"/>
          <w:b/>
        </w:rPr>
        <w:t>mits</w:t>
      </w:r>
    </w:p>
    <w:p w14:paraId="41BDCD81" w14:textId="5E7F74F4" w:rsidR="00E73B88" w:rsidRPr="00FC2702" w:rsidRDefault="00E73B88" w:rsidP="004C58B9">
      <w:pPr>
        <w:rPr>
          <w:rFonts w:ascii="Times New Roman" w:hAnsi="Times New Roman" w:cs="Times New Roman"/>
          <w:bCs/>
        </w:rPr>
      </w:pPr>
      <w:r w:rsidRPr="00FC2702">
        <w:rPr>
          <w:rFonts w:ascii="Times New Roman" w:hAnsi="Times New Roman" w:cs="Times New Roman"/>
          <w:bCs/>
        </w:rPr>
        <w:t>This section provides that</w:t>
      </w:r>
      <w:r w:rsidR="00E81ED3" w:rsidRPr="00FC2702">
        <w:rPr>
          <w:rFonts w:ascii="Times New Roman" w:hAnsi="Times New Roman" w:cs="Times New Roman"/>
          <w:bCs/>
        </w:rPr>
        <w:t>,</w:t>
      </w:r>
      <w:r w:rsidRPr="00FC2702">
        <w:rPr>
          <w:rFonts w:ascii="Times New Roman" w:hAnsi="Times New Roman" w:cs="Times New Roman"/>
          <w:bCs/>
        </w:rPr>
        <w:t xml:space="preserve"> for the purposes of subsection 102</w:t>
      </w:r>
      <w:r w:rsidR="00FA6D38">
        <w:rPr>
          <w:rFonts w:ascii="Times New Roman" w:hAnsi="Times New Roman" w:cs="Times New Roman"/>
          <w:bCs/>
        </w:rPr>
        <w:t>G</w:t>
      </w:r>
      <w:r w:rsidRPr="00FC2702">
        <w:rPr>
          <w:rFonts w:ascii="Times New Roman" w:hAnsi="Times New Roman" w:cs="Times New Roman"/>
          <w:bCs/>
        </w:rPr>
        <w:t xml:space="preserve">(1) of the Act, Schedule </w:t>
      </w:r>
      <w:r w:rsidR="000B3CDF" w:rsidRPr="00FC2702">
        <w:rPr>
          <w:rFonts w:ascii="Times New Roman" w:hAnsi="Times New Roman" w:cs="Times New Roman"/>
          <w:bCs/>
        </w:rPr>
        <w:t>2</w:t>
      </w:r>
      <w:r w:rsidR="0058335B" w:rsidRPr="00FC2702">
        <w:rPr>
          <w:rFonts w:ascii="Times New Roman" w:hAnsi="Times New Roman" w:cs="Times New Roman"/>
          <w:bCs/>
        </w:rPr>
        <w:t xml:space="preserve"> has effect </w:t>
      </w:r>
      <w:r w:rsidR="000A01A2" w:rsidRPr="00FC2702">
        <w:rPr>
          <w:rFonts w:ascii="Times New Roman" w:hAnsi="Times New Roman" w:cs="Times New Roman"/>
          <w:bCs/>
        </w:rPr>
        <w:t xml:space="preserve">in the period commencing at the start of </w:t>
      </w:r>
      <w:r w:rsidR="00160620" w:rsidRPr="00FC2702">
        <w:rPr>
          <w:rFonts w:ascii="Times New Roman" w:hAnsi="Times New Roman" w:cs="Times New Roman"/>
          <w:bCs/>
        </w:rPr>
        <w:t>1 October</w:t>
      </w:r>
      <w:r w:rsidR="000A01A2" w:rsidRPr="00FC2702">
        <w:rPr>
          <w:rFonts w:ascii="Times New Roman" w:hAnsi="Times New Roman" w:cs="Times New Roman"/>
          <w:bCs/>
        </w:rPr>
        <w:t xml:space="preserve"> 2024 and ending at the end of </w:t>
      </w:r>
      <w:r w:rsidR="00160620" w:rsidRPr="00FC2702">
        <w:rPr>
          <w:rFonts w:ascii="Times New Roman" w:hAnsi="Times New Roman" w:cs="Times New Roman"/>
          <w:bCs/>
        </w:rPr>
        <w:t>30</w:t>
      </w:r>
      <w:r w:rsidR="000A01A2" w:rsidRPr="00FC2702">
        <w:rPr>
          <w:rFonts w:ascii="Times New Roman" w:hAnsi="Times New Roman" w:cs="Times New Roman"/>
          <w:bCs/>
        </w:rPr>
        <w:t xml:space="preserve"> September 2025</w:t>
      </w:r>
      <w:r w:rsidR="00EC3DAD" w:rsidRPr="00FC2702">
        <w:rPr>
          <w:rFonts w:ascii="Times New Roman" w:hAnsi="Times New Roman" w:cs="Times New Roman"/>
          <w:bCs/>
        </w:rPr>
        <w:t xml:space="preserve">. </w:t>
      </w:r>
    </w:p>
    <w:p w14:paraId="151A90B7" w14:textId="4686A8FD" w:rsidR="00436E72" w:rsidRPr="00FC2702" w:rsidRDefault="00436E72" w:rsidP="004C58B9">
      <w:pPr>
        <w:rPr>
          <w:rFonts w:ascii="Times New Roman" w:hAnsi="Times New Roman" w:cs="Times New Roman"/>
          <w:b/>
        </w:rPr>
      </w:pPr>
      <w:r w:rsidRPr="00FC2702">
        <w:rPr>
          <w:rFonts w:ascii="Times New Roman" w:hAnsi="Times New Roman" w:cs="Times New Roman"/>
          <w:b/>
        </w:rPr>
        <w:t xml:space="preserve">Schedule </w:t>
      </w:r>
      <w:r w:rsidR="00EA6087" w:rsidRPr="00FC2702">
        <w:rPr>
          <w:rFonts w:ascii="Times New Roman" w:hAnsi="Times New Roman" w:cs="Times New Roman"/>
          <w:b/>
        </w:rPr>
        <w:t>1</w:t>
      </w:r>
      <w:r w:rsidRPr="00FC2702">
        <w:rPr>
          <w:rFonts w:ascii="Times New Roman" w:hAnsi="Times New Roman" w:cs="Times New Roman"/>
          <w:b/>
        </w:rPr>
        <w:t xml:space="preserve">–Initial Limits </w:t>
      </w:r>
    </w:p>
    <w:p w14:paraId="1834FBE4" w14:textId="75C58F20" w:rsidR="004C58B9" w:rsidRPr="00FC2702" w:rsidRDefault="00FE2993" w:rsidP="004C58B9">
      <w:pPr>
        <w:rPr>
          <w:rFonts w:ascii="Times New Roman" w:hAnsi="Times New Roman" w:cs="Times New Roman"/>
          <w:b/>
        </w:rPr>
      </w:pPr>
      <w:r w:rsidRPr="00FC2702">
        <w:rPr>
          <w:rFonts w:ascii="Times New Roman" w:hAnsi="Times New Roman" w:cs="Times New Roman"/>
          <w:b/>
        </w:rPr>
        <w:t>Clause</w:t>
      </w:r>
      <w:r w:rsidR="00FC3918" w:rsidRPr="00FC2702">
        <w:rPr>
          <w:rFonts w:ascii="Times New Roman" w:hAnsi="Times New Roman" w:cs="Times New Roman"/>
          <w:b/>
        </w:rPr>
        <w:t xml:space="preserve"> </w:t>
      </w:r>
      <w:r w:rsidR="00E81ED3" w:rsidRPr="00FC2702">
        <w:rPr>
          <w:rFonts w:ascii="Times New Roman" w:hAnsi="Times New Roman" w:cs="Times New Roman"/>
          <w:b/>
        </w:rPr>
        <w:t>1</w:t>
      </w:r>
      <w:r w:rsidR="00FC3918" w:rsidRPr="00FC2702">
        <w:rPr>
          <w:rFonts w:ascii="Times New Roman" w:hAnsi="Times New Roman" w:cs="Times New Roman"/>
          <w:b/>
        </w:rPr>
        <w:t xml:space="preserve"> </w:t>
      </w:r>
      <w:r w:rsidR="00FC3918" w:rsidRPr="00FC2702">
        <w:rPr>
          <w:rFonts w:ascii="Times New Roman" w:hAnsi="Times New Roman" w:cs="Times New Roman"/>
          <w:b/>
        </w:rPr>
        <w:tab/>
        <w:t xml:space="preserve">Allocation and issue of area-wide licence not to exceed limit </w:t>
      </w:r>
    </w:p>
    <w:p w14:paraId="3D2FD102" w14:textId="7376C099" w:rsidR="00662446" w:rsidRPr="00FC2702" w:rsidRDefault="00662446" w:rsidP="004C58B9">
      <w:pPr>
        <w:rPr>
          <w:rFonts w:ascii="Times New Roman" w:hAnsi="Times New Roman" w:cs="Times New Roman"/>
        </w:rPr>
      </w:pPr>
      <w:r w:rsidRPr="00FC2702">
        <w:rPr>
          <w:rFonts w:ascii="Times New Roman" w:hAnsi="Times New Roman" w:cs="Times New Roman"/>
        </w:rPr>
        <w:t xml:space="preserve">This clause </w:t>
      </w:r>
      <w:r w:rsidR="00E81ED3" w:rsidRPr="00FC2702">
        <w:rPr>
          <w:rFonts w:ascii="Times New Roman" w:hAnsi="Times New Roman" w:cs="Times New Roman"/>
        </w:rPr>
        <w:t>imposes</w:t>
      </w:r>
      <w:r w:rsidRPr="00FC2702">
        <w:rPr>
          <w:rFonts w:ascii="Times New Roman" w:hAnsi="Times New Roman" w:cs="Times New Roman"/>
        </w:rPr>
        <w:t xml:space="preserve"> limits under paragraph 102G(1)(a) of the Act.</w:t>
      </w:r>
    </w:p>
    <w:p w14:paraId="6BEB4F8E" w14:textId="1CE74322" w:rsidR="00954B0D" w:rsidRPr="00FC2702" w:rsidRDefault="0082770E" w:rsidP="004C58B9">
      <w:pPr>
        <w:rPr>
          <w:rFonts w:ascii="Times New Roman" w:hAnsi="Times New Roman" w:cs="Times New Roman"/>
        </w:rPr>
      </w:pPr>
      <w:r w:rsidRPr="00FC2702">
        <w:rPr>
          <w:rFonts w:ascii="Times New Roman" w:hAnsi="Times New Roman" w:cs="Times New Roman"/>
        </w:rPr>
        <w:t>Th</w:t>
      </w:r>
      <w:r w:rsidR="000020A6" w:rsidRPr="00FC2702">
        <w:rPr>
          <w:rFonts w:ascii="Times New Roman" w:hAnsi="Times New Roman" w:cs="Times New Roman"/>
        </w:rPr>
        <w:t>e</w:t>
      </w:r>
      <w:r w:rsidRPr="00FC2702">
        <w:rPr>
          <w:rFonts w:ascii="Times New Roman" w:hAnsi="Times New Roman" w:cs="Times New Roman"/>
        </w:rPr>
        <w:t xml:space="preserve"> effec</w:t>
      </w:r>
      <w:r w:rsidR="0007064F" w:rsidRPr="00FC2702">
        <w:rPr>
          <w:rFonts w:ascii="Times New Roman" w:hAnsi="Times New Roman" w:cs="Times New Roman"/>
        </w:rPr>
        <w:t xml:space="preserve">t of this </w:t>
      </w:r>
      <w:r w:rsidR="00CD7689" w:rsidRPr="00FC2702">
        <w:rPr>
          <w:rFonts w:ascii="Times New Roman" w:hAnsi="Times New Roman" w:cs="Times New Roman"/>
        </w:rPr>
        <w:t>clause</w:t>
      </w:r>
      <w:r w:rsidR="0007064F" w:rsidRPr="00FC2702">
        <w:rPr>
          <w:rFonts w:ascii="Times New Roman" w:hAnsi="Times New Roman" w:cs="Times New Roman"/>
        </w:rPr>
        <w:t xml:space="preserve"> is that no named person or associate of a named person may be allocated or issue</w:t>
      </w:r>
      <w:r w:rsidR="0089511D" w:rsidRPr="00FC2702">
        <w:rPr>
          <w:rFonts w:ascii="Times New Roman" w:hAnsi="Times New Roman" w:cs="Times New Roman"/>
        </w:rPr>
        <w:t>d</w:t>
      </w:r>
      <w:r w:rsidR="0007064F" w:rsidRPr="00FC2702">
        <w:rPr>
          <w:rFonts w:ascii="Times New Roman" w:hAnsi="Times New Roman" w:cs="Times New Roman"/>
        </w:rPr>
        <w:t xml:space="preserve"> a</w:t>
      </w:r>
      <w:r w:rsidR="00BA581C" w:rsidRPr="00FC2702">
        <w:rPr>
          <w:rFonts w:ascii="Times New Roman" w:hAnsi="Times New Roman" w:cs="Times New Roman"/>
        </w:rPr>
        <w:t xml:space="preserve"> relevant</w:t>
      </w:r>
      <w:r w:rsidR="0007064F" w:rsidRPr="00FC2702">
        <w:rPr>
          <w:rFonts w:ascii="Times New Roman" w:hAnsi="Times New Roman" w:cs="Times New Roman"/>
        </w:rPr>
        <w:t xml:space="preserve"> </w:t>
      </w:r>
      <w:r w:rsidR="00BA581C" w:rsidRPr="00FC2702">
        <w:rPr>
          <w:rFonts w:ascii="Times New Roman" w:hAnsi="Times New Roman" w:cs="Times New Roman"/>
        </w:rPr>
        <w:t>AWL</w:t>
      </w:r>
      <w:r w:rsidR="0007064F" w:rsidRPr="00FC2702">
        <w:rPr>
          <w:rFonts w:ascii="Times New Roman" w:hAnsi="Times New Roman" w:cs="Times New Roman"/>
        </w:rPr>
        <w:t xml:space="preserve"> while </w:t>
      </w:r>
      <w:r w:rsidR="00165A1F" w:rsidRPr="00FC2702">
        <w:rPr>
          <w:rFonts w:ascii="Times New Roman" w:hAnsi="Times New Roman" w:cs="Times New Roman"/>
        </w:rPr>
        <w:t xml:space="preserve">Schedule </w:t>
      </w:r>
      <w:r w:rsidR="00A43AE3" w:rsidRPr="00FC2702">
        <w:rPr>
          <w:rFonts w:ascii="Times New Roman" w:hAnsi="Times New Roman" w:cs="Times New Roman"/>
        </w:rPr>
        <w:t xml:space="preserve">1 </w:t>
      </w:r>
      <w:r w:rsidR="35D47C1A" w:rsidRPr="00FC2702">
        <w:rPr>
          <w:rFonts w:ascii="Times New Roman" w:hAnsi="Times New Roman" w:cs="Times New Roman"/>
        </w:rPr>
        <w:t>is</w:t>
      </w:r>
      <w:r w:rsidR="0007064F" w:rsidRPr="00FC2702">
        <w:rPr>
          <w:rFonts w:ascii="Times New Roman" w:hAnsi="Times New Roman" w:cs="Times New Roman"/>
        </w:rPr>
        <w:t xml:space="preserve"> in force.</w:t>
      </w:r>
    </w:p>
    <w:p w14:paraId="139EDE11" w14:textId="7E544992" w:rsidR="00BF2A9C" w:rsidRPr="00FC2702" w:rsidRDefault="00FE2993" w:rsidP="003A5C31">
      <w:pPr>
        <w:rPr>
          <w:rFonts w:ascii="Times New Roman" w:hAnsi="Times New Roman" w:cs="Times New Roman"/>
          <w:b/>
          <w:bCs/>
        </w:rPr>
      </w:pPr>
      <w:r w:rsidRPr="00FC2702">
        <w:rPr>
          <w:rFonts w:ascii="Times New Roman" w:hAnsi="Times New Roman" w:cs="Times New Roman"/>
          <w:b/>
          <w:bCs/>
        </w:rPr>
        <w:lastRenderedPageBreak/>
        <w:t>Clause</w:t>
      </w:r>
      <w:r w:rsidR="00BF2A9C" w:rsidRPr="00FC2702">
        <w:rPr>
          <w:rFonts w:ascii="Times New Roman" w:hAnsi="Times New Roman" w:cs="Times New Roman"/>
          <w:b/>
          <w:bCs/>
        </w:rPr>
        <w:t xml:space="preserve"> </w:t>
      </w:r>
      <w:r w:rsidR="00A43AE3" w:rsidRPr="00FC2702">
        <w:rPr>
          <w:rFonts w:ascii="Times New Roman" w:hAnsi="Times New Roman" w:cs="Times New Roman"/>
          <w:b/>
          <w:bCs/>
        </w:rPr>
        <w:t>2</w:t>
      </w:r>
      <w:r w:rsidR="00BF2A9C" w:rsidRPr="00FC2702">
        <w:rPr>
          <w:rFonts w:ascii="Times New Roman" w:hAnsi="Times New Roman" w:cs="Times New Roman"/>
          <w:b/>
          <w:bCs/>
        </w:rPr>
        <w:tab/>
      </w:r>
      <w:r w:rsidR="00B14D9B" w:rsidRPr="00FC2702">
        <w:rPr>
          <w:rFonts w:ascii="Times New Roman" w:hAnsi="Times New Roman" w:cs="Times New Roman"/>
          <w:b/>
          <w:bCs/>
        </w:rPr>
        <w:t>No</w:t>
      </w:r>
      <w:r w:rsidR="00BF2A9C" w:rsidRPr="00FC2702">
        <w:rPr>
          <w:rFonts w:ascii="Times New Roman" w:hAnsi="Times New Roman" w:cs="Times New Roman"/>
          <w:b/>
          <w:bCs/>
        </w:rPr>
        <w:t xml:space="preserve"> </w:t>
      </w:r>
      <w:r w:rsidR="00B14D9B" w:rsidRPr="00FC2702">
        <w:rPr>
          <w:rFonts w:ascii="Times New Roman" w:hAnsi="Times New Roman" w:cs="Times New Roman"/>
          <w:b/>
          <w:bCs/>
        </w:rPr>
        <w:t>a</w:t>
      </w:r>
      <w:r w:rsidR="00BF2A9C" w:rsidRPr="00FC2702">
        <w:rPr>
          <w:rFonts w:ascii="Times New Roman" w:hAnsi="Times New Roman" w:cs="Times New Roman"/>
          <w:b/>
          <w:bCs/>
        </w:rPr>
        <w:t>uthorisation of</w:t>
      </w:r>
      <w:r w:rsidR="00844D3F" w:rsidRPr="00FC2702">
        <w:rPr>
          <w:rFonts w:ascii="Times New Roman" w:hAnsi="Times New Roman" w:cs="Times New Roman"/>
          <w:b/>
          <w:bCs/>
        </w:rPr>
        <w:t xml:space="preserve"> certain</w:t>
      </w:r>
      <w:r w:rsidR="00BF2A9C" w:rsidRPr="00FC2702">
        <w:rPr>
          <w:rFonts w:ascii="Times New Roman" w:hAnsi="Times New Roman" w:cs="Times New Roman"/>
          <w:b/>
          <w:bCs/>
        </w:rPr>
        <w:t xml:space="preserve"> third party users under relevant area-wide licences </w:t>
      </w:r>
    </w:p>
    <w:p w14:paraId="35630F0D" w14:textId="2DFE3BF2" w:rsidR="00944DDF" w:rsidRPr="00FC2702" w:rsidRDefault="0096133C" w:rsidP="003A5C31">
      <w:pPr>
        <w:rPr>
          <w:rFonts w:ascii="Times New Roman" w:hAnsi="Times New Roman" w:cs="Times New Roman"/>
        </w:rPr>
      </w:pPr>
      <w:r w:rsidRPr="00FC2702">
        <w:rPr>
          <w:rFonts w:ascii="Times New Roman" w:hAnsi="Times New Roman" w:cs="Times New Roman"/>
        </w:rPr>
        <w:t xml:space="preserve">This clause </w:t>
      </w:r>
      <w:r w:rsidR="00181A23" w:rsidRPr="00FC2702">
        <w:rPr>
          <w:rFonts w:ascii="Times New Roman" w:hAnsi="Times New Roman" w:cs="Times New Roman"/>
        </w:rPr>
        <w:t>determines a class of persons who must not be authorised to operate radiocommunications transmitters under a relevant AWL,</w:t>
      </w:r>
      <w:r w:rsidRPr="00FC2702">
        <w:rPr>
          <w:rFonts w:ascii="Times New Roman" w:hAnsi="Times New Roman" w:cs="Times New Roman"/>
        </w:rPr>
        <w:t xml:space="preserve"> under paragraph 115(1)(b) of the Act.</w:t>
      </w:r>
    </w:p>
    <w:p w14:paraId="3C514ECB" w14:textId="6A55787B" w:rsidR="00DF34A7" w:rsidRPr="00FC2702" w:rsidRDefault="00BF2A9C" w:rsidP="003A5C31">
      <w:pPr>
        <w:rPr>
          <w:rFonts w:ascii="Times New Roman" w:hAnsi="Times New Roman" w:cs="Times New Roman"/>
        </w:rPr>
      </w:pPr>
      <w:r w:rsidRPr="00FC2702">
        <w:rPr>
          <w:rFonts w:ascii="Times New Roman" w:hAnsi="Times New Roman" w:cs="Times New Roman"/>
        </w:rPr>
        <w:t xml:space="preserve">This class of persons is determined to </w:t>
      </w:r>
      <w:r w:rsidR="00A43AE3" w:rsidRPr="00FC2702">
        <w:rPr>
          <w:rFonts w:ascii="Times New Roman" w:hAnsi="Times New Roman" w:cs="Times New Roman"/>
        </w:rPr>
        <w:t>consist of each</w:t>
      </w:r>
      <w:r w:rsidRPr="00FC2702">
        <w:rPr>
          <w:rFonts w:ascii="Times New Roman" w:hAnsi="Times New Roman" w:cs="Times New Roman"/>
        </w:rPr>
        <w:t xml:space="preserve"> named person </w:t>
      </w:r>
      <w:r w:rsidR="00A43AE3" w:rsidRPr="00FC2702">
        <w:rPr>
          <w:rFonts w:ascii="Times New Roman" w:hAnsi="Times New Roman" w:cs="Times New Roman"/>
        </w:rPr>
        <w:t>and each</w:t>
      </w:r>
      <w:r w:rsidRPr="00FC2702">
        <w:rPr>
          <w:rFonts w:ascii="Times New Roman" w:hAnsi="Times New Roman" w:cs="Times New Roman"/>
        </w:rPr>
        <w:t xml:space="preserve"> associate of such a named person. </w:t>
      </w:r>
    </w:p>
    <w:p w14:paraId="0F2D4AB3" w14:textId="13F89A1D" w:rsidR="00BF2A9C" w:rsidRPr="00FC2702" w:rsidRDefault="00DF34A7" w:rsidP="003A5C31">
      <w:pPr>
        <w:rPr>
          <w:rFonts w:ascii="Times New Roman" w:hAnsi="Times New Roman" w:cs="Times New Roman"/>
        </w:rPr>
      </w:pPr>
      <w:r w:rsidRPr="00FC2702">
        <w:rPr>
          <w:rFonts w:ascii="Times New Roman" w:hAnsi="Times New Roman" w:cs="Times New Roman"/>
        </w:rPr>
        <w:t>The effect of this provision is</w:t>
      </w:r>
      <w:r w:rsidR="00BF3EF1" w:rsidRPr="00FC2702">
        <w:rPr>
          <w:rFonts w:ascii="Times New Roman" w:hAnsi="Times New Roman" w:cs="Times New Roman"/>
        </w:rPr>
        <w:t xml:space="preserve"> </w:t>
      </w:r>
      <w:r w:rsidR="002A2637" w:rsidRPr="00FC2702">
        <w:rPr>
          <w:rFonts w:ascii="Times New Roman" w:hAnsi="Times New Roman" w:cs="Times New Roman"/>
        </w:rPr>
        <w:t xml:space="preserve">that </w:t>
      </w:r>
      <w:r w:rsidR="00BF3EF1" w:rsidRPr="00FC2702">
        <w:rPr>
          <w:rFonts w:ascii="Times New Roman" w:hAnsi="Times New Roman" w:cs="Times New Roman"/>
        </w:rPr>
        <w:t xml:space="preserve">named persons and associates of a named person are not permitted to be authorised by a </w:t>
      </w:r>
      <w:r w:rsidR="006808F1" w:rsidRPr="00FC2702">
        <w:rPr>
          <w:rFonts w:ascii="Times New Roman" w:hAnsi="Times New Roman" w:cs="Times New Roman"/>
        </w:rPr>
        <w:t>licensee to operate a radiocommunications transmitter under a</w:t>
      </w:r>
      <w:r w:rsidR="00A43AE3" w:rsidRPr="00FC2702">
        <w:rPr>
          <w:rFonts w:ascii="Times New Roman" w:hAnsi="Times New Roman" w:cs="Times New Roman"/>
        </w:rPr>
        <w:t xml:space="preserve"> relevant</w:t>
      </w:r>
      <w:r w:rsidR="006808F1" w:rsidRPr="00FC2702">
        <w:rPr>
          <w:rFonts w:ascii="Times New Roman" w:hAnsi="Times New Roman" w:cs="Times New Roman"/>
        </w:rPr>
        <w:t xml:space="preserve"> </w:t>
      </w:r>
      <w:r w:rsidR="00994B2D" w:rsidRPr="00FC2702">
        <w:rPr>
          <w:rFonts w:ascii="Times New Roman" w:hAnsi="Times New Roman" w:cs="Times New Roman"/>
        </w:rPr>
        <w:t>AWL</w:t>
      </w:r>
      <w:r w:rsidR="006808F1" w:rsidRPr="00FC2702">
        <w:rPr>
          <w:rFonts w:ascii="Times New Roman" w:hAnsi="Times New Roman" w:cs="Times New Roman"/>
        </w:rPr>
        <w:t xml:space="preserve"> </w:t>
      </w:r>
      <w:r w:rsidR="001C658D" w:rsidRPr="00FC2702">
        <w:rPr>
          <w:rFonts w:ascii="Times New Roman" w:hAnsi="Times New Roman" w:cs="Times New Roman"/>
        </w:rPr>
        <w:t xml:space="preserve">while Schedule </w:t>
      </w:r>
      <w:r w:rsidR="00A43AE3" w:rsidRPr="00FC2702">
        <w:rPr>
          <w:rFonts w:ascii="Times New Roman" w:hAnsi="Times New Roman" w:cs="Times New Roman"/>
        </w:rPr>
        <w:t xml:space="preserve">1 </w:t>
      </w:r>
      <w:r w:rsidR="001C658D" w:rsidRPr="00FC2702">
        <w:rPr>
          <w:rFonts w:ascii="Times New Roman" w:hAnsi="Times New Roman" w:cs="Times New Roman"/>
        </w:rPr>
        <w:t>is in force.</w:t>
      </w:r>
    </w:p>
    <w:p w14:paraId="089BCA20" w14:textId="07773C6F" w:rsidR="00BF2A9C" w:rsidRPr="00FC2702" w:rsidRDefault="006B130B" w:rsidP="003A5C31">
      <w:pPr>
        <w:rPr>
          <w:rFonts w:ascii="Times New Roman" w:hAnsi="Times New Roman" w:cs="Times New Roman"/>
          <w:b/>
          <w:bCs/>
        </w:rPr>
      </w:pPr>
      <w:r w:rsidRPr="00FC2702">
        <w:rPr>
          <w:rFonts w:ascii="Times New Roman" w:hAnsi="Times New Roman" w:cs="Times New Roman"/>
          <w:b/>
          <w:bCs/>
        </w:rPr>
        <w:t>Clause</w:t>
      </w:r>
      <w:r w:rsidR="00BF2A9C" w:rsidRPr="00FC2702">
        <w:rPr>
          <w:rFonts w:ascii="Times New Roman" w:hAnsi="Times New Roman" w:cs="Times New Roman"/>
          <w:b/>
          <w:bCs/>
        </w:rPr>
        <w:t xml:space="preserve"> </w:t>
      </w:r>
      <w:r w:rsidR="00A43AE3" w:rsidRPr="00FC2702">
        <w:rPr>
          <w:rFonts w:ascii="Times New Roman" w:hAnsi="Times New Roman" w:cs="Times New Roman"/>
          <w:b/>
          <w:bCs/>
        </w:rPr>
        <w:t>3</w:t>
      </w:r>
      <w:r w:rsidR="00BF2A9C" w:rsidRPr="00FC2702">
        <w:rPr>
          <w:rFonts w:ascii="Times New Roman" w:hAnsi="Times New Roman" w:cs="Times New Roman"/>
          <w:b/>
          <w:bCs/>
        </w:rPr>
        <w:tab/>
        <w:t xml:space="preserve">Relevant area-wide licence not transferrable </w:t>
      </w:r>
      <w:r w:rsidR="00B16E53" w:rsidRPr="00FC2702">
        <w:rPr>
          <w:rFonts w:ascii="Times New Roman" w:hAnsi="Times New Roman" w:cs="Times New Roman"/>
          <w:b/>
          <w:bCs/>
        </w:rPr>
        <w:t>to certain persons</w:t>
      </w:r>
    </w:p>
    <w:p w14:paraId="26DD8BF5" w14:textId="0D499E48" w:rsidR="00FC5C1B" w:rsidRPr="00FC2702" w:rsidRDefault="009D4480" w:rsidP="003A5C31">
      <w:pPr>
        <w:rPr>
          <w:rFonts w:ascii="Times New Roman" w:hAnsi="Times New Roman" w:cs="Times New Roman"/>
        </w:rPr>
      </w:pPr>
      <w:r w:rsidRPr="00FC2702">
        <w:rPr>
          <w:rFonts w:ascii="Times New Roman" w:hAnsi="Times New Roman" w:cs="Times New Roman"/>
        </w:rPr>
        <w:t xml:space="preserve">This clause </w:t>
      </w:r>
      <w:r w:rsidR="00CA3E03" w:rsidRPr="00FC2702">
        <w:rPr>
          <w:rFonts w:ascii="Times New Roman" w:hAnsi="Times New Roman" w:cs="Times New Roman"/>
        </w:rPr>
        <w:t>specifies the circumstances in which a relevant AWL is not transferrable</w:t>
      </w:r>
      <w:r w:rsidRPr="00FC2702">
        <w:rPr>
          <w:rFonts w:ascii="Times New Roman" w:hAnsi="Times New Roman" w:cs="Times New Roman"/>
        </w:rPr>
        <w:t>, under paragraph 131AC(1)(b) of the Act.</w:t>
      </w:r>
      <w:r w:rsidR="00FC5C1B" w:rsidRPr="00FC2702">
        <w:rPr>
          <w:rFonts w:ascii="Times New Roman" w:hAnsi="Times New Roman" w:cs="Times New Roman"/>
        </w:rPr>
        <w:t xml:space="preserve"> </w:t>
      </w:r>
    </w:p>
    <w:p w14:paraId="259A6D95" w14:textId="049F3C2D" w:rsidR="009D4480" w:rsidRPr="00FC2702" w:rsidRDefault="00CA3E03" w:rsidP="003A5C31">
      <w:pPr>
        <w:rPr>
          <w:rFonts w:ascii="Times New Roman" w:hAnsi="Times New Roman" w:cs="Times New Roman"/>
        </w:rPr>
      </w:pPr>
      <w:r w:rsidRPr="00FC2702">
        <w:rPr>
          <w:rFonts w:ascii="Times New Roman" w:hAnsi="Times New Roman" w:cs="Times New Roman"/>
        </w:rPr>
        <w:t>A relevant AWL</w:t>
      </w:r>
      <w:r w:rsidR="00FC5C1B" w:rsidRPr="00FC2702">
        <w:rPr>
          <w:rFonts w:ascii="Times New Roman" w:hAnsi="Times New Roman" w:cs="Times New Roman"/>
        </w:rPr>
        <w:t xml:space="preserve"> cannot be transferred </w:t>
      </w:r>
      <w:r w:rsidR="00226222" w:rsidRPr="00FC2702">
        <w:rPr>
          <w:rFonts w:ascii="Times New Roman" w:hAnsi="Times New Roman" w:cs="Times New Roman"/>
        </w:rPr>
        <w:t xml:space="preserve">where the transfer is </w:t>
      </w:r>
      <w:r w:rsidRPr="00FC2702">
        <w:rPr>
          <w:rFonts w:ascii="Times New Roman" w:hAnsi="Times New Roman" w:cs="Times New Roman"/>
        </w:rPr>
        <w:t xml:space="preserve">to </w:t>
      </w:r>
      <w:r w:rsidR="00226222" w:rsidRPr="00FC2702">
        <w:rPr>
          <w:rFonts w:ascii="Times New Roman" w:hAnsi="Times New Roman" w:cs="Times New Roman"/>
        </w:rPr>
        <w:t>a named person or an associate of a named person</w:t>
      </w:r>
      <w:r w:rsidR="001C658D" w:rsidRPr="00FC2702">
        <w:rPr>
          <w:rFonts w:ascii="Times New Roman" w:hAnsi="Times New Roman" w:cs="Times New Roman"/>
        </w:rPr>
        <w:t xml:space="preserve"> while Schedule</w:t>
      </w:r>
      <w:r w:rsidR="00111036" w:rsidRPr="00FC2702">
        <w:rPr>
          <w:rFonts w:ascii="Times New Roman" w:hAnsi="Times New Roman" w:cs="Times New Roman"/>
        </w:rPr>
        <w:t xml:space="preserve"> 1</w:t>
      </w:r>
      <w:r w:rsidR="001C658D" w:rsidRPr="00FC2702">
        <w:rPr>
          <w:rFonts w:ascii="Times New Roman" w:hAnsi="Times New Roman" w:cs="Times New Roman"/>
        </w:rPr>
        <w:t xml:space="preserve"> is in force.</w:t>
      </w:r>
    </w:p>
    <w:p w14:paraId="1D91EF48" w14:textId="77777777" w:rsidR="00EA6087" w:rsidRPr="00FC2702" w:rsidRDefault="00EA6087" w:rsidP="003A5C31">
      <w:pPr>
        <w:rPr>
          <w:rFonts w:ascii="Times New Roman" w:hAnsi="Times New Roman" w:cs="Times New Roman"/>
          <w:b/>
          <w:bCs/>
        </w:rPr>
      </w:pPr>
      <w:r w:rsidRPr="00FC2702">
        <w:rPr>
          <w:rFonts w:ascii="Times New Roman" w:hAnsi="Times New Roman" w:cs="Times New Roman"/>
          <w:b/>
          <w:bCs/>
        </w:rPr>
        <w:t xml:space="preserve">Schedule 2–Subsequent limits </w:t>
      </w:r>
    </w:p>
    <w:p w14:paraId="12CA671E" w14:textId="63A03573" w:rsidR="00EA6087" w:rsidRPr="00FC2702" w:rsidRDefault="006B130B" w:rsidP="003A5C31">
      <w:pPr>
        <w:rPr>
          <w:rFonts w:ascii="Times New Roman" w:hAnsi="Times New Roman" w:cs="Times New Roman"/>
          <w:b/>
          <w:bCs/>
        </w:rPr>
      </w:pPr>
      <w:r w:rsidRPr="00FC2702">
        <w:rPr>
          <w:rFonts w:ascii="Times New Roman" w:hAnsi="Times New Roman" w:cs="Times New Roman"/>
          <w:b/>
          <w:bCs/>
        </w:rPr>
        <w:t>Clause</w:t>
      </w:r>
      <w:r w:rsidR="00EA6087" w:rsidRPr="00FC2702">
        <w:rPr>
          <w:rFonts w:ascii="Times New Roman" w:hAnsi="Times New Roman" w:cs="Times New Roman"/>
          <w:b/>
          <w:bCs/>
        </w:rPr>
        <w:t xml:space="preserve"> 1</w:t>
      </w:r>
      <w:r w:rsidR="00EA6087" w:rsidRPr="00FC2702">
        <w:rPr>
          <w:rFonts w:ascii="Times New Roman" w:hAnsi="Times New Roman" w:cs="Times New Roman"/>
          <w:b/>
          <w:bCs/>
        </w:rPr>
        <w:tab/>
        <w:t xml:space="preserve">Definitions </w:t>
      </w:r>
    </w:p>
    <w:p w14:paraId="3D540786" w14:textId="54ECDE5F" w:rsidR="004A2693" w:rsidRPr="00FC2702" w:rsidRDefault="006D4529" w:rsidP="004A2693">
      <w:pPr>
        <w:jc w:val="both"/>
        <w:rPr>
          <w:rFonts w:ascii="Times New Roman" w:hAnsi="Times New Roman" w:cs="Times New Roman"/>
          <w:bCs/>
        </w:rPr>
      </w:pPr>
      <w:r w:rsidRPr="00FC2702">
        <w:rPr>
          <w:rFonts w:ascii="Times New Roman" w:hAnsi="Times New Roman" w:cs="Times New Roman"/>
        </w:rPr>
        <w:t xml:space="preserve">This </w:t>
      </w:r>
      <w:r w:rsidR="006B130B" w:rsidRPr="00FC2702">
        <w:rPr>
          <w:rFonts w:ascii="Times New Roman" w:hAnsi="Times New Roman" w:cs="Times New Roman"/>
        </w:rPr>
        <w:t>clause</w:t>
      </w:r>
      <w:r w:rsidRPr="00FC2702">
        <w:rPr>
          <w:rFonts w:ascii="Times New Roman" w:hAnsi="Times New Roman" w:cs="Times New Roman"/>
        </w:rPr>
        <w:t xml:space="preserve"> sets out </w:t>
      </w:r>
      <w:r w:rsidR="00E116D6" w:rsidRPr="00FC2702">
        <w:rPr>
          <w:rFonts w:ascii="Times New Roman" w:hAnsi="Times New Roman" w:cs="Times New Roman"/>
        </w:rPr>
        <w:t xml:space="preserve">the definition of </w:t>
      </w:r>
      <w:r w:rsidR="00111036" w:rsidRPr="00FC2702">
        <w:rPr>
          <w:rFonts w:ascii="Times New Roman" w:hAnsi="Times New Roman" w:cs="Times New Roman"/>
        </w:rPr>
        <w:t>‘</w:t>
      </w:r>
      <w:r w:rsidR="00E116D6" w:rsidRPr="00FC2702">
        <w:rPr>
          <w:rFonts w:ascii="Times New Roman" w:hAnsi="Times New Roman" w:cs="Times New Roman"/>
        </w:rPr>
        <w:t>relevant group of persons</w:t>
      </w:r>
      <w:r w:rsidR="00111036" w:rsidRPr="00FC2702">
        <w:rPr>
          <w:rFonts w:ascii="Times New Roman" w:hAnsi="Times New Roman" w:cs="Times New Roman"/>
        </w:rPr>
        <w:t>’</w:t>
      </w:r>
      <w:r w:rsidR="00E116D6" w:rsidRPr="00FC2702">
        <w:rPr>
          <w:rFonts w:ascii="Times New Roman" w:hAnsi="Times New Roman" w:cs="Times New Roman"/>
        </w:rPr>
        <w:t>.</w:t>
      </w:r>
      <w:r w:rsidR="004A2693" w:rsidRPr="00FC2702">
        <w:rPr>
          <w:rFonts w:ascii="Times New Roman" w:hAnsi="Times New Roman" w:cs="Times New Roman"/>
        </w:rPr>
        <w:t xml:space="preserve"> </w:t>
      </w:r>
      <w:r w:rsidR="004A2693" w:rsidRPr="00FC2702">
        <w:rPr>
          <w:rFonts w:ascii="Times New Roman" w:hAnsi="Times New Roman" w:cs="Times New Roman"/>
          <w:bCs/>
        </w:rPr>
        <w:t>A ‘</w:t>
      </w:r>
      <w:r w:rsidR="004A2693" w:rsidRPr="00FC2702">
        <w:rPr>
          <w:rFonts w:ascii="Times New Roman" w:hAnsi="Times New Roman" w:cs="Times New Roman"/>
          <w:bCs/>
          <w:iCs/>
        </w:rPr>
        <w:t>relevant group of persons’</w:t>
      </w:r>
      <w:r w:rsidR="004A2693" w:rsidRPr="00FC2702">
        <w:rPr>
          <w:rFonts w:ascii="Times New Roman" w:hAnsi="Times New Roman" w:cs="Times New Roman"/>
          <w:bCs/>
        </w:rPr>
        <w:t xml:space="preserve"> means a </w:t>
      </w:r>
      <w:r w:rsidR="001C4119" w:rsidRPr="00FC2702">
        <w:rPr>
          <w:rFonts w:ascii="Times New Roman" w:hAnsi="Times New Roman" w:cs="Times New Roman"/>
          <w:bCs/>
        </w:rPr>
        <w:t xml:space="preserve">named </w:t>
      </w:r>
      <w:r w:rsidR="004A2693" w:rsidRPr="00FC2702">
        <w:rPr>
          <w:rFonts w:ascii="Times New Roman" w:hAnsi="Times New Roman" w:cs="Times New Roman"/>
          <w:bCs/>
        </w:rPr>
        <w:t xml:space="preserve">person and all associates of that </w:t>
      </w:r>
      <w:r w:rsidR="001C4119" w:rsidRPr="00FC2702">
        <w:rPr>
          <w:rFonts w:ascii="Times New Roman" w:hAnsi="Times New Roman" w:cs="Times New Roman"/>
          <w:bCs/>
        </w:rPr>
        <w:t xml:space="preserve">named </w:t>
      </w:r>
      <w:r w:rsidR="004A2693" w:rsidRPr="00FC2702">
        <w:rPr>
          <w:rFonts w:ascii="Times New Roman" w:hAnsi="Times New Roman" w:cs="Times New Roman"/>
          <w:bCs/>
        </w:rPr>
        <w:t xml:space="preserve">person. A relevant group of persons can also be any two or more groups of that kind that have at least one member in common. </w:t>
      </w:r>
    </w:p>
    <w:p w14:paraId="5BB179D1" w14:textId="614F8F1D" w:rsidR="004A2693" w:rsidRPr="00FC2702" w:rsidRDefault="004A2693" w:rsidP="004A2693">
      <w:pPr>
        <w:jc w:val="both"/>
        <w:rPr>
          <w:rFonts w:ascii="Times New Roman" w:hAnsi="Times New Roman" w:cs="Times New Roman"/>
          <w:bCs/>
        </w:rPr>
      </w:pPr>
      <w:r w:rsidRPr="00FC2702">
        <w:rPr>
          <w:rFonts w:ascii="Times New Roman" w:hAnsi="Times New Roman" w:cs="Times New Roman"/>
          <w:bCs/>
        </w:rPr>
        <w:t>However, an individual is taken not to be a member in common between two or more groups that are comprised of a person (</w:t>
      </w:r>
      <w:r w:rsidR="00C403E1" w:rsidRPr="00FC2702">
        <w:rPr>
          <w:rFonts w:ascii="Times New Roman" w:hAnsi="Times New Roman" w:cs="Times New Roman"/>
          <w:bCs/>
        </w:rPr>
        <w:t xml:space="preserve">the </w:t>
      </w:r>
      <w:r w:rsidRPr="00FC2702">
        <w:rPr>
          <w:rFonts w:ascii="Times New Roman" w:hAnsi="Times New Roman" w:cs="Times New Roman"/>
          <w:b/>
        </w:rPr>
        <w:t>relevant person</w:t>
      </w:r>
      <w:r w:rsidRPr="00FC2702">
        <w:rPr>
          <w:rFonts w:ascii="Times New Roman" w:hAnsi="Times New Roman" w:cs="Times New Roman"/>
          <w:bCs/>
        </w:rPr>
        <w:t>) and the associates of that relevant person where all of the following apply:</w:t>
      </w:r>
    </w:p>
    <w:p w14:paraId="429B3479" w14:textId="70BD9DF9" w:rsidR="004A2693" w:rsidRPr="00FC2702" w:rsidRDefault="004A2693" w:rsidP="004A2693">
      <w:pPr>
        <w:pStyle w:val="ListParagraph"/>
        <w:numPr>
          <w:ilvl w:val="0"/>
          <w:numId w:val="35"/>
        </w:numPr>
        <w:jc w:val="both"/>
        <w:rPr>
          <w:rFonts w:ascii="Times New Roman" w:hAnsi="Times New Roman" w:cs="Times New Roman"/>
          <w:bCs/>
        </w:rPr>
      </w:pPr>
      <w:r w:rsidRPr="00FC2702">
        <w:rPr>
          <w:rFonts w:ascii="Times New Roman" w:hAnsi="Times New Roman" w:cs="Times New Roman"/>
          <w:bCs/>
        </w:rPr>
        <w:t>the individual is providing services as a company secretary (</w:t>
      </w:r>
      <w:r w:rsidR="00D3118E" w:rsidRPr="00FC2702">
        <w:rPr>
          <w:rFonts w:ascii="Times New Roman" w:hAnsi="Times New Roman" w:cs="Times New Roman"/>
          <w:bCs/>
        </w:rPr>
        <w:t xml:space="preserve">the </w:t>
      </w:r>
      <w:r w:rsidRPr="00FC2702">
        <w:rPr>
          <w:rFonts w:ascii="Times New Roman" w:hAnsi="Times New Roman" w:cs="Times New Roman"/>
          <w:b/>
        </w:rPr>
        <w:t>company secretarial services</w:t>
      </w:r>
      <w:r w:rsidRPr="00FC2702">
        <w:rPr>
          <w:rFonts w:ascii="Times New Roman" w:hAnsi="Times New Roman" w:cs="Times New Roman"/>
          <w:bCs/>
        </w:rPr>
        <w:t xml:space="preserve">) to one or more related bodies corporate of the relevant person in each group; </w:t>
      </w:r>
    </w:p>
    <w:p w14:paraId="5738CEDC" w14:textId="77777777" w:rsidR="004A2693" w:rsidRPr="00FC2702" w:rsidRDefault="004A2693" w:rsidP="004A2693">
      <w:pPr>
        <w:pStyle w:val="ListParagraph"/>
        <w:numPr>
          <w:ilvl w:val="0"/>
          <w:numId w:val="35"/>
        </w:numPr>
        <w:jc w:val="both"/>
        <w:rPr>
          <w:rFonts w:ascii="Times New Roman" w:hAnsi="Times New Roman" w:cs="Times New Roman"/>
          <w:bCs/>
        </w:rPr>
      </w:pPr>
      <w:r w:rsidRPr="00FC2702">
        <w:rPr>
          <w:rFonts w:ascii="Times New Roman" w:hAnsi="Times New Roman" w:cs="Times New Roman"/>
          <w:bCs/>
        </w:rPr>
        <w:t xml:space="preserve">the individual is providing the company secretarial services through a person or entity that is not a member of any of the groups, and carries on a business for the provision of professional services (including company secretarial services), and has, in the ordinary course of carrying on that business, been separately and independently engaged by an entity within each of the related groups, under a contract or other legally binding arrangement, to provide the company secretarial services; </w:t>
      </w:r>
    </w:p>
    <w:p w14:paraId="3964C402" w14:textId="77777777" w:rsidR="004A2693" w:rsidRPr="00FC2702" w:rsidRDefault="004A2693" w:rsidP="004A2693">
      <w:pPr>
        <w:pStyle w:val="ListParagraph"/>
        <w:numPr>
          <w:ilvl w:val="0"/>
          <w:numId w:val="35"/>
        </w:numPr>
        <w:jc w:val="both"/>
        <w:rPr>
          <w:rFonts w:ascii="Times New Roman" w:hAnsi="Times New Roman" w:cs="Times New Roman"/>
          <w:bCs/>
        </w:rPr>
      </w:pPr>
      <w:r w:rsidRPr="00FC2702">
        <w:rPr>
          <w:rFonts w:ascii="Times New Roman" w:hAnsi="Times New Roman" w:cs="Times New Roman"/>
          <w:bCs/>
        </w:rPr>
        <w:t xml:space="preserve">the individual is not, otherwise than by reason of providing the company secretarial services, an associate of any of the relevant persons; </w:t>
      </w:r>
    </w:p>
    <w:p w14:paraId="69C064C1" w14:textId="77777777" w:rsidR="004A2693" w:rsidRPr="00FC2702" w:rsidRDefault="004A2693" w:rsidP="004A2693">
      <w:pPr>
        <w:pStyle w:val="ListParagraph"/>
        <w:numPr>
          <w:ilvl w:val="0"/>
          <w:numId w:val="35"/>
        </w:numPr>
        <w:jc w:val="both"/>
        <w:rPr>
          <w:rFonts w:ascii="Times New Roman" w:hAnsi="Times New Roman" w:cs="Times New Roman"/>
          <w:bCs/>
        </w:rPr>
      </w:pPr>
      <w:r w:rsidRPr="00FC2702">
        <w:rPr>
          <w:rFonts w:ascii="Times New Roman" w:hAnsi="Times New Roman" w:cs="Times New Roman"/>
          <w:bCs/>
        </w:rPr>
        <w:t xml:space="preserve">each of the related bodies corporate to which the individual is providing the company secretarial services is incorporated outside Australia. </w:t>
      </w:r>
    </w:p>
    <w:p w14:paraId="49DDE757" w14:textId="4522E9AE" w:rsidR="00C53509" w:rsidRPr="00FC2702" w:rsidRDefault="001446AB" w:rsidP="003A5C31">
      <w:pPr>
        <w:rPr>
          <w:rFonts w:ascii="Times New Roman" w:hAnsi="Times New Roman" w:cs="Times New Roman"/>
          <w:b/>
          <w:bCs/>
        </w:rPr>
      </w:pPr>
      <w:r w:rsidRPr="00FC2702">
        <w:rPr>
          <w:rFonts w:ascii="Times New Roman" w:hAnsi="Times New Roman" w:cs="Times New Roman"/>
          <w:b/>
          <w:bCs/>
        </w:rPr>
        <w:t>Clause</w:t>
      </w:r>
      <w:r w:rsidR="00EA6087" w:rsidRPr="00FC2702">
        <w:rPr>
          <w:rFonts w:ascii="Times New Roman" w:hAnsi="Times New Roman" w:cs="Times New Roman"/>
          <w:b/>
          <w:bCs/>
        </w:rPr>
        <w:t xml:space="preserve"> 2</w:t>
      </w:r>
      <w:r w:rsidR="00EA6087" w:rsidRPr="00FC2702">
        <w:rPr>
          <w:rFonts w:ascii="Times New Roman" w:hAnsi="Times New Roman" w:cs="Times New Roman"/>
          <w:b/>
          <w:bCs/>
        </w:rPr>
        <w:tab/>
        <w:t xml:space="preserve">Allocation and issue of area-wide licence not to exceed limit </w:t>
      </w:r>
    </w:p>
    <w:p w14:paraId="32094C00" w14:textId="435CA4AC" w:rsidR="002B0128" w:rsidRPr="00FC2702" w:rsidRDefault="002B0128" w:rsidP="002B0128">
      <w:pPr>
        <w:rPr>
          <w:rFonts w:ascii="Times New Roman" w:hAnsi="Times New Roman" w:cs="Times New Roman"/>
        </w:rPr>
      </w:pPr>
      <w:r w:rsidRPr="00FC2702">
        <w:rPr>
          <w:rFonts w:ascii="Times New Roman" w:hAnsi="Times New Roman" w:cs="Times New Roman"/>
        </w:rPr>
        <w:t xml:space="preserve">This clause </w:t>
      </w:r>
      <w:r w:rsidR="00AE05EC" w:rsidRPr="00FC2702">
        <w:rPr>
          <w:rFonts w:ascii="Times New Roman" w:hAnsi="Times New Roman" w:cs="Times New Roman"/>
        </w:rPr>
        <w:t>imposes</w:t>
      </w:r>
      <w:r w:rsidRPr="00FC2702">
        <w:rPr>
          <w:rFonts w:ascii="Times New Roman" w:hAnsi="Times New Roman" w:cs="Times New Roman"/>
        </w:rPr>
        <w:t xml:space="preserve"> limits under paragraph 102G(1)(</w:t>
      </w:r>
      <w:r w:rsidR="00F8269A" w:rsidRPr="00FC2702">
        <w:rPr>
          <w:rFonts w:ascii="Times New Roman" w:hAnsi="Times New Roman" w:cs="Times New Roman"/>
        </w:rPr>
        <w:t>b</w:t>
      </w:r>
      <w:r w:rsidRPr="00FC2702">
        <w:rPr>
          <w:rFonts w:ascii="Times New Roman" w:hAnsi="Times New Roman" w:cs="Times New Roman"/>
        </w:rPr>
        <w:t>) of the Act.</w:t>
      </w:r>
    </w:p>
    <w:p w14:paraId="577AD92D" w14:textId="25D4A5F8" w:rsidR="004E0E78" w:rsidRPr="00FC2702" w:rsidRDefault="005C48CB" w:rsidP="003A5C31">
      <w:pPr>
        <w:rPr>
          <w:rFonts w:ascii="Times New Roman" w:hAnsi="Times New Roman" w:cs="Times New Roman"/>
        </w:rPr>
      </w:pPr>
      <w:r w:rsidRPr="00FC2702">
        <w:rPr>
          <w:rFonts w:ascii="Times New Roman" w:hAnsi="Times New Roman" w:cs="Times New Roman"/>
        </w:rPr>
        <w:t>T</w:t>
      </w:r>
      <w:r w:rsidR="00434A7F" w:rsidRPr="00FC2702">
        <w:rPr>
          <w:rFonts w:ascii="Times New Roman" w:hAnsi="Times New Roman" w:cs="Times New Roman"/>
        </w:rPr>
        <w:t xml:space="preserve">he allocation or issue of </w:t>
      </w:r>
      <w:r w:rsidR="00011081" w:rsidRPr="00FC2702">
        <w:rPr>
          <w:rFonts w:ascii="Times New Roman" w:hAnsi="Times New Roman" w:cs="Times New Roman"/>
        </w:rPr>
        <w:t>relevant AWLs</w:t>
      </w:r>
      <w:r w:rsidR="008F4291" w:rsidRPr="00FC2702">
        <w:rPr>
          <w:rFonts w:ascii="Times New Roman" w:hAnsi="Times New Roman" w:cs="Times New Roman"/>
        </w:rPr>
        <w:t xml:space="preserve"> </w:t>
      </w:r>
      <w:r w:rsidR="00434A7F" w:rsidRPr="00FC2702">
        <w:rPr>
          <w:rFonts w:ascii="Times New Roman" w:hAnsi="Times New Roman" w:cs="Times New Roman"/>
        </w:rPr>
        <w:t xml:space="preserve">must not result in a person exceeding the allocation limit </w:t>
      </w:r>
      <w:r w:rsidR="008F4291" w:rsidRPr="00FC2702">
        <w:rPr>
          <w:rFonts w:ascii="Times New Roman" w:hAnsi="Times New Roman" w:cs="Times New Roman"/>
        </w:rPr>
        <w:t xml:space="preserve">for the metropolitan </w:t>
      </w:r>
      <w:r w:rsidR="00011081" w:rsidRPr="00FC2702">
        <w:rPr>
          <w:rFonts w:ascii="Times New Roman" w:hAnsi="Times New Roman" w:cs="Times New Roman"/>
        </w:rPr>
        <w:t xml:space="preserve">area, </w:t>
      </w:r>
      <w:r w:rsidR="008F4291" w:rsidRPr="00FC2702">
        <w:rPr>
          <w:rFonts w:ascii="Times New Roman" w:hAnsi="Times New Roman" w:cs="Times New Roman"/>
        </w:rPr>
        <w:t>the regional area</w:t>
      </w:r>
      <w:r w:rsidR="00011081" w:rsidRPr="00FC2702">
        <w:rPr>
          <w:rFonts w:ascii="Times New Roman" w:hAnsi="Times New Roman" w:cs="Times New Roman"/>
        </w:rPr>
        <w:t xml:space="preserve"> or </w:t>
      </w:r>
      <w:r w:rsidR="003C2884">
        <w:rPr>
          <w:rFonts w:ascii="Times New Roman" w:hAnsi="Times New Roman" w:cs="Times New Roman"/>
        </w:rPr>
        <w:t xml:space="preserve">the </w:t>
      </w:r>
      <w:r w:rsidR="00011081" w:rsidRPr="00FC2702">
        <w:rPr>
          <w:rFonts w:ascii="Times New Roman" w:hAnsi="Times New Roman" w:cs="Times New Roman"/>
        </w:rPr>
        <w:t>rural area</w:t>
      </w:r>
      <w:r w:rsidR="004F7211">
        <w:rPr>
          <w:rFonts w:ascii="Times New Roman" w:hAnsi="Times New Roman" w:cs="Times New Roman"/>
        </w:rPr>
        <w:t>.</w:t>
      </w:r>
    </w:p>
    <w:p w14:paraId="6E55B72C" w14:textId="520C4BA0" w:rsidR="00BF4241" w:rsidRPr="00FC2702" w:rsidRDefault="00BF4241" w:rsidP="003A5C31">
      <w:pPr>
        <w:rPr>
          <w:rFonts w:ascii="Times New Roman" w:hAnsi="Times New Roman" w:cs="Times New Roman"/>
        </w:rPr>
      </w:pPr>
      <w:r w:rsidRPr="00FC2702">
        <w:rPr>
          <w:rFonts w:ascii="Times New Roman" w:hAnsi="Times New Roman" w:cs="Times New Roman"/>
        </w:rPr>
        <w:lastRenderedPageBreak/>
        <w:t>The allocation limit for the metropolitan area is 140 MHz of spectrum</w:t>
      </w:r>
      <w:r w:rsidR="00011081" w:rsidRPr="00FC2702">
        <w:rPr>
          <w:rFonts w:ascii="Times New Roman" w:hAnsi="Times New Roman" w:cs="Times New Roman"/>
        </w:rPr>
        <w:t xml:space="preserve"> in the 3.4 GHz band</w:t>
      </w:r>
      <w:r w:rsidRPr="00FC2702">
        <w:rPr>
          <w:rFonts w:ascii="Times New Roman" w:hAnsi="Times New Roman" w:cs="Times New Roman"/>
        </w:rPr>
        <w:t>. The allocation limit for the regional</w:t>
      </w:r>
      <w:r w:rsidR="004F7211">
        <w:rPr>
          <w:rFonts w:ascii="Times New Roman" w:hAnsi="Times New Roman" w:cs="Times New Roman"/>
        </w:rPr>
        <w:t xml:space="preserve"> area</w:t>
      </w:r>
      <w:r w:rsidRPr="00FC2702">
        <w:rPr>
          <w:rFonts w:ascii="Times New Roman" w:hAnsi="Times New Roman" w:cs="Times New Roman"/>
        </w:rPr>
        <w:t xml:space="preserve"> and </w:t>
      </w:r>
      <w:r w:rsidR="004F7211">
        <w:rPr>
          <w:rFonts w:ascii="Times New Roman" w:hAnsi="Times New Roman" w:cs="Times New Roman"/>
        </w:rPr>
        <w:t xml:space="preserve">the </w:t>
      </w:r>
      <w:r w:rsidRPr="00FC2702">
        <w:rPr>
          <w:rFonts w:ascii="Times New Roman" w:hAnsi="Times New Roman" w:cs="Times New Roman"/>
        </w:rPr>
        <w:t>rural area is 160 MHz of spectrum</w:t>
      </w:r>
      <w:r w:rsidR="00086484" w:rsidRPr="00FC2702">
        <w:rPr>
          <w:rFonts w:ascii="Times New Roman" w:hAnsi="Times New Roman" w:cs="Times New Roman"/>
        </w:rPr>
        <w:t xml:space="preserve"> in the 3.4 GHz band</w:t>
      </w:r>
      <w:r w:rsidRPr="00FC2702">
        <w:rPr>
          <w:rFonts w:ascii="Times New Roman" w:hAnsi="Times New Roman" w:cs="Times New Roman"/>
        </w:rPr>
        <w:t xml:space="preserve"> </w:t>
      </w:r>
    </w:p>
    <w:p w14:paraId="727E0E38" w14:textId="499EC4D9" w:rsidR="00640EBB" w:rsidRPr="00FC2702" w:rsidRDefault="00B22E76" w:rsidP="003A5C31">
      <w:pPr>
        <w:rPr>
          <w:rFonts w:ascii="Times New Roman" w:hAnsi="Times New Roman" w:cs="Times New Roman"/>
        </w:rPr>
      </w:pPr>
      <w:r w:rsidRPr="00FC2702">
        <w:rPr>
          <w:rFonts w:ascii="Times New Roman" w:hAnsi="Times New Roman" w:cs="Times New Roman"/>
        </w:rPr>
        <w:t>A person would exceed the</w:t>
      </w:r>
      <w:r w:rsidR="008F4291" w:rsidRPr="00FC2702">
        <w:rPr>
          <w:rFonts w:ascii="Times New Roman" w:hAnsi="Times New Roman" w:cs="Times New Roman"/>
        </w:rPr>
        <w:t xml:space="preserve"> allocation limit for an area</w:t>
      </w:r>
      <w:r w:rsidR="00640EBB" w:rsidRPr="00FC2702">
        <w:rPr>
          <w:rFonts w:ascii="Times New Roman" w:hAnsi="Times New Roman" w:cs="Times New Roman"/>
        </w:rPr>
        <w:t xml:space="preserve"> if they are </w:t>
      </w:r>
      <w:r w:rsidR="002D15C2" w:rsidRPr="00FC2702">
        <w:rPr>
          <w:rFonts w:ascii="Times New Roman" w:hAnsi="Times New Roman" w:cs="Times New Roman"/>
        </w:rPr>
        <w:t xml:space="preserve">allocated or </w:t>
      </w:r>
      <w:r w:rsidR="00640EBB" w:rsidRPr="00FC2702">
        <w:rPr>
          <w:rFonts w:ascii="Times New Roman" w:hAnsi="Times New Roman" w:cs="Times New Roman"/>
        </w:rPr>
        <w:t xml:space="preserve">issued </w:t>
      </w:r>
      <w:r w:rsidR="002D15C2" w:rsidRPr="00FC2702">
        <w:rPr>
          <w:rFonts w:ascii="Times New Roman" w:hAnsi="Times New Roman" w:cs="Times New Roman"/>
        </w:rPr>
        <w:t>a relevant AWL</w:t>
      </w:r>
      <w:r w:rsidR="00640EBB" w:rsidRPr="00FC2702">
        <w:rPr>
          <w:rFonts w:ascii="Times New Roman" w:hAnsi="Times New Roman" w:cs="Times New Roman"/>
        </w:rPr>
        <w:t xml:space="preserve"> that causes the</w:t>
      </w:r>
      <w:r w:rsidR="00E74014" w:rsidRPr="00FC2702">
        <w:rPr>
          <w:rFonts w:ascii="Times New Roman" w:hAnsi="Times New Roman" w:cs="Times New Roman"/>
        </w:rPr>
        <w:t>m,</w:t>
      </w:r>
      <w:r w:rsidR="00640EBB" w:rsidRPr="00FC2702">
        <w:rPr>
          <w:rFonts w:ascii="Times New Roman" w:hAnsi="Times New Roman" w:cs="Times New Roman"/>
        </w:rPr>
        <w:t xml:space="preserve"> </w:t>
      </w:r>
      <w:r w:rsidR="00E74014" w:rsidRPr="00FC2702">
        <w:rPr>
          <w:rFonts w:ascii="Times New Roman" w:hAnsi="Times New Roman" w:cs="Times New Roman"/>
        </w:rPr>
        <w:t>the</w:t>
      </w:r>
      <w:r w:rsidR="00640EBB" w:rsidRPr="00FC2702">
        <w:rPr>
          <w:rFonts w:ascii="Times New Roman" w:hAnsi="Times New Roman" w:cs="Times New Roman"/>
        </w:rPr>
        <w:t xml:space="preserve"> relevant group of persons that </w:t>
      </w:r>
      <w:r w:rsidR="0024533A" w:rsidRPr="00FC2702">
        <w:rPr>
          <w:rFonts w:ascii="Times New Roman" w:hAnsi="Times New Roman" w:cs="Times New Roman"/>
        </w:rPr>
        <w:t>includes the</w:t>
      </w:r>
      <w:r w:rsidR="00E74014" w:rsidRPr="00FC2702">
        <w:rPr>
          <w:rFonts w:ascii="Times New Roman" w:hAnsi="Times New Roman" w:cs="Times New Roman"/>
        </w:rPr>
        <w:t>m</w:t>
      </w:r>
      <w:r w:rsidR="0024533A" w:rsidRPr="00FC2702">
        <w:rPr>
          <w:rFonts w:ascii="Times New Roman" w:hAnsi="Times New Roman" w:cs="Times New Roman"/>
        </w:rPr>
        <w:t>, to be authorised to us</w:t>
      </w:r>
      <w:r w:rsidR="004E0E78" w:rsidRPr="00FC2702">
        <w:rPr>
          <w:rFonts w:ascii="Times New Roman" w:hAnsi="Times New Roman" w:cs="Times New Roman"/>
        </w:rPr>
        <w:t>e, in aggregate, more spectrum in the 3.4 GHz band in the area than the allocation limit allow</w:t>
      </w:r>
      <w:r w:rsidR="00BA3969" w:rsidRPr="00FC2702">
        <w:rPr>
          <w:rFonts w:ascii="Times New Roman" w:hAnsi="Times New Roman" w:cs="Times New Roman"/>
        </w:rPr>
        <w:t>s</w:t>
      </w:r>
      <w:r w:rsidR="004E0E78" w:rsidRPr="00FC2702">
        <w:rPr>
          <w:rFonts w:ascii="Times New Roman" w:hAnsi="Times New Roman" w:cs="Times New Roman"/>
        </w:rPr>
        <w:t>.</w:t>
      </w:r>
    </w:p>
    <w:p w14:paraId="25410AF2" w14:textId="26929E70" w:rsidR="003B227E" w:rsidRPr="00FC2702" w:rsidRDefault="003C6FEB" w:rsidP="003A5C31">
      <w:pPr>
        <w:rPr>
          <w:rFonts w:ascii="Times New Roman" w:hAnsi="Times New Roman" w:cs="Times New Roman"/>
        </w:rPr>
      </w:pPr>
      <w:r w:rsidRPr="00FC2702">
        <w:rPr>
          <w:rFonts w:ascii="Times New Roman" w:hAnsi="Times New Roman" w:cs="Times New Roman"/>
        </w:rPr>
        <w:t xml:space="preserve">This </w:t>
      </w:r>
      <w:r w:rsidR="00CA56AC" w:rsidRPr="00FC2702">
        <w:rPr>
          <w:rFonts w:ascii="Times New Roman" w:hAnsi="Times New Roman" w:cs="Times New Roman"/>
        </w:rPr>
        <w:t>clause</w:t>
      </w:r>
      <w:r w:rsidRPr="00FC2702">
        <w:rPr>
          <w:rFonts w:ascii="Times New Roman" w:hAnsi="Times New Roman" w:cs="Times New Roman"/>
        </w:rPr>
        <w:t xml:space="preserve"> sets out </w:t>
      </w:r>
      <w:r w:rsidR="00CA56AC" w:rsidRPr="00FC2702">
        <w:rPr>
          <w:rFonts w:ascii="Times New Roman" w:hAnsi="Times New Roman" w:cs="Times New Roman"/>
        </w:rPr>
        <w:t xml:space="preserve">the types of authorisations which will be counted towards the aggregate amount of spectrum that a person or </w:t>
      </w:r>
      <w:r w:rsidR="00BA3969" w:rsidRPr="00FC2702">
        <w:rPr>
          <w:rFonts w:ascii="Times New Roman" w:hAnsi="Times New Roman" w:cs="Times New Roman"/>
        </w:rPr>
        <w:t>the</w:t>
      </w:r>
      <w:r w:rsidR="00CA56AC" w:rsidRPr="00FC2702">
        <w:rPr>
          <w:rFonts w:ascii="Times New Roman" w:hAnsi="Times New Roman" w:cs="Times New Roman"/>
        </w:rPr>
        <w:t xml:space="preserve"> relevant group of persons that includes the person </w:t>
      </w:r>
      <w:r w:rsidR="00DD0C6E" w:rsidRPr="00FC2702">
        <w:rPr>
          <w:rFonts w:ascii="Times New Roman" w:hAnsi="Times New Roman" w:cs="Times New Roman"/>
        </w:rPr>
        <w:t xml:space="preserve">is authorised to use in the 3.4 GHz band in </w:t>
      </w:r>
      <w:r w:rsidR="00BA3969" w:rsidRPr="00FC2702">
        <w:rPr>
          <w:rFonts w:ascii="Times New Roman" w:hAnsi="Times New Roman" w:cs="Times New Roman"/>
        </w:rPr>
        <w:t xml:space="preserve">an </w:t>
      </w:r>
      <w:r w:rsidR="00DD0C6E" w:rsidRPr="00FC2702">
        <w:rPr>
          <w:rFonts w:ascii="Times New Roman" w:hAnsi="Times New Roman" w:cs="Times New Roman"/>
        </w:rPr>
        <w:t>area:</w:t>
      </w:r>
    </w:p>
    <w:p w14:paraId="3599B159" w14:textId="46750526" w:rsidR="006774B5" w:rsidRPr="00FC2702" w:rsidRDefault="00C80BF8" w:rsidP="006774B5">
      <w:pPr>
        <w:pStyle w:val="ListParagraph"/>
        <w:numPr>
          <w:ilvl w:val="0"/>
          <w:numId w:val="21"/>
        </w:numPr>
        <w:rPr>
          <w:rFonts w:ascii="Times New Roman" w:hAnsi="Times New Roman" w:cs="Times New Roman"/>
        </w:rPr>
      </w:pPr>
      <w:r w:rsidRPr="00FC2702">
        <w:rPr>
          <w:rFonts w:ascii="Times New Roman" w:hAnsi="Times New Roman" w:cs="Times New Roman"/>
        </w:rPr>
        <w:t>authorisations to operate radiocommunication</w:t>
      </w:r>
      <w:r w:rsidR="001D2A98" w:rsidRPr="00FC2702">
        <w:rPr>
          <w:rFonts w:ascii="Times New Roman" w:hAnsi="Times New Roman" w:cs="Times New Roman"/>
        </w:rPr>
        <w:t xml:space="preserve">s </w:t>
      </w:r>
      <w:r w:rsidRPr="00FC2702">
        <w:rPr>
          <w:rFonts w:ascii="Times New Roman" w:hAnsi="Times New Roman" w:cs="Times New Roman"/>
        </w:rPr>
        <w:t>devices in a specified part of the 3.4 GHz band in the area</w:t>
      </w:r>
      <w:r w:rsidR="006774B5" w:rsidRPr="00FC2702">
        <w:rPr>
          <w:rFonts w:ascii="Times New Roman" w:hAnsi="Times New Roman" w:cs="Times New Roman"/>
        </w:rPr>
        <w:t xml:space="preserve">, where those authorisations are in spectrum licences that exist at the time (whether or not the spectrum licence has come into force). </w:t>
      </w:r>
      <w:r w:rsidR="00EA313E" w:rsidRPr="00FC2702">
        <w:rPr>
          <w:rFonts w:ascii="Times New Roman" w:hAnsi="Times New Roman" w:cs="Times New Roman"/>
        </w:rPr>
        <w:t>This includes licences allocated as a result of the 3.4/3.7 GHz band auction.</w:t>
      </w:r>
    </w:p>
    <w:p w14:paraId="6B736836" w14:textId="05EF6C55" w:rsidR="006774B5" w:rsidRPr="00FC2702" w:rsidRDefault="002C7346" w:rsidP="006774B5">
      <w:pPr>
        <w:pStyle w:val="ListParagraph"/>
        <w:numPr>
          <w:ilvl w:val="0"/>
          <w:numId w:val="21"/>
        </w:numPr>
        <w:rPr>
          <w:rFonts w:ascii="Times New Roman" w:hAnsi="Times New Roman" w:cs="Times New Roman"/>
        </w:rPr>
      </w:pPr>
      <w:r w:rsidRPr="00FC2702">
        <w:rPr>
          <w:rFonts w:ascii="Times New Roman" w:hAnsi="Times New Roman" w:cs="Times New Roman"/>
        </w:rPr>
        <w:t>a</w:t>
      </w:r>
      <w:r w:rsidR="006774B5" w:rsidRPr="00FC2702">
        <w:rPr>
          <w:rFonts w:ascii="Times New Roman" w:hAnsi="Times New Roman" w:cs="Times New Roman"/>
        </w:rPr>
        <w:t>uthorisations to operate</w:t>
      </w:r>
      <w:r w:rsidR="001D2A98" w:rsidRPr="00FC2702">
        <w:rPr>
          <w:rFonts w:ascii="Times New Roman" w:hAnsi="Times New Roman" w:cs="Times New Roman"/>
        </w:rPr>
        <w:t xml:space="preserve"> radiocommunications device</w:t>
      </w:r>
      <w:r w:rsidR="00EA313E" w:rsidRPr="00FC2702">
        <w:rPr>
          <w:rFonts w:ascii="Times New Roman" w:hAnsi="Times New Roman" w:cs="Times New Roman"/>
        </w:rPr>
        <w:t>s</w:t>
      </w:r>
      <w:r w:rsidR="001D2A98" w:rsidRPr="00FC2702">
        <w:rPr>
          <w:rFonts w:ascii="Times New Roman" w:hAnsi="Times New Roman" w:cs="Times New Roman"/>
        </w:rPr>
        <w:t xml:space="preserve"> in a specified part of the 3.4 GHz band in the area, where those authorisations are in </w:t>
      </w:r>
      <w:r w:rsidR="00EA313E" w:rsidRPr="00FC2702">
        <w:rPr>
          <w:rFonts w:ascii="Times New Roman" w:hAnsi="Times New Roman" w:cs="Times New Roman"/>
        </w:rPr>
        <w:t>AWLs</w:t>
      </w:r>
      <w:r w:rsidR="001D2A98" w:rsidRPr="00FC2702">
        <w:rPr>
          <w:rFonts w:ascii="Times New Roman" w:hAnsi="Times New Roman" w:cs="Times New Roman"/>
        </w:rPr>
        <w:t xml:space="preserve"> that exist at the time (whether or not the </w:t>
      </w:r>
      <w:r w:rsidR="00EA313E" w:rsidRPr="00FC2702">
        <w:rPr>
          <w:rFonts w:ascii="Times New Roman" w:hAnsi="Times New Roman" w:cs="Times New Roman"/>
        </w:rPr>
        <w:t>AWL</w:t>
      </w:r>
      <w:r w:rsidR="001D2A98" w:rsidRPr="00FC2702">
        <w:rPr>
          <w:rFonts w:ascii="Times New Roman" w:hAnsi="Times New Roman" w:cs="Times New Roman"/>
        </w:rPr>
        <w:t xml:space="preserve"> has come into force). </w:t>
      </w:r>
    </w:p>
    <w:p w14:paraId="590B313F" w14:textId="6C6248C1" w:rsidR="001D2A98" w:rsidRPr="00FC2702" w:rsidRDefault="00CF2063" w:rsidP="00CF2063">
      <w:pPr>
        <w:rPr>
          <w:rFonts w:ascii="Times New Roman" w:hAnsi="Times New Roman" w:cs="Times New Roman"/>
        </w:rPr>
      </w:pPr>
      <w:r w:rsidRPr="00FC2702">
        <w:rPr>
          <w:rFonts w:ascii="Times New Roman" w:hAnsi="Times New Roman" w:cs="Times New Roman"/>
        </w:rPr>
        <w:t xml:space="preserve">This </w:t>
      </w:r>
      <w:r w:rsidR="00F41C2D" w:rsidRPr="00FC2702">
        <w:rPr>
          <w:rFonts w:ascii="Times New Roman" w:hAnsi="Times New Roman" w:cs="Times New Roman"/>
        </w:rPr>
        <w:t>clause</w:t>
      </w:r>
      <w:r w:rsidRPr="00FC2702">
        <w:rPr>
          <w:rFonts w:ascii="Times New Roman" w:hAnsi="Times New Roman" w:cs="Times New Roman"/>
        </w:rPr>
        <w:t xml:space="preserve"> also sets out that the </w:t>
      </w:r>
      <w:r w:rsidR="00F41C2D" w:rsidRPr="00FC2702">
        <w:rPr>
          <w:rFonts w:ascii="Times New Roman" w:hAnsi="Times New Roman" w:cs="Times New Roman"/>
        </w:rPr>
        <w:t>types</w:t>
      </w:r>
      <w:r w:rsidRPr="00FC2702">
        <w:rPr>
          <w:rFonts w:ascii="Times New Roman" w:hAnsi="Times New Roman" w:cs="Times New Roman"/>
        </w:rPr>
        <w:t xml:space="preserve"> </w:t>
      </w:r>
      <w:r w:rsidR="5A2766FF" w:rsidRPr="00FC2702">
        <w:rPr>
          <w:rFonts w:ascii="Times New Roman" w:hAnsi="Times New Roman" w:cs="Times New Roman"/>
        </w:rPr>
        <w:t xml:space="preserve">of </w:t>
      </w:r>
      <w:r w:rsidRPr="00FC2702">
        <w:rPr>
          <w:rFonts w:ascii="Times New Roman" w:hAnsi="Times New Roman" w:cs="Times New Roman"/>
        </w:rPr>
        <w:t xml:space="preserve">authorisations </w:t>
      </w:r>
      <w:r w:rsidR="00F41C2D" w:rsidRPr="00FC2702">
        <w:rPr>
          <w:rFonts w:ascii="Times New Roman" w:hAnsi="Times New Roman" w:cs="Times New Roman"/>
        </w:rPr>
        <w:t xml:space="preserve">which </w:t>
      </w:r>
      <w:r w:rsidR="00506D09" w:rsidRPr="00FC2702">
        <w:rPr>
          <w:rFonts w:ascii="Times New Roman" w:hAnsi="Times New Roman" w:cs="Times New Roman"/>
        </w:rPr>
        <w:t xml:space="preserve">will not be counted towards the aggregate amount of spectrum that a person or </w:t>
      </w:r>
      <w:r w:rsidR="00EA313E" w:rsidRPr="00FC2702">
        <w:rPr>
          <w:rFonts w:ascii="Times New Roman" w:hAnsi="Times New Roman" w:cs="Times New Roman"/>
        </w:rPr>
        <w:t xml:space="preserve">the </w:t>
      </w:r>
      <w:r w:rsidR="00506D09" w:rsidRPr="00FC2702">
        <w:rPr>
          <w:rFonts w:ascii="Times New Roman" w:hAnsi="Times New Roman" w:cs="Times New Roman"/>
        </w:rPr>
        <w:t xml:space="preserve">relevant group of persons that includes the person is authorised to use in the 3.4 GHz band in </w:t>
      </w:r>
      <w:r w:rsidR="00EA313E" w:rsidRPr="00FC2702">
        <w:rPr>
          <w:rFonts w:ascii="Times New Roman" w:hAnsi="Times New Roman" w:cs="Times New Roman"/>
        </w:rPr>
        <w:t>an</w:t>
      </w:r>
      <w:r w:rsidR="00506D09" w:rsidRPr="00FC2702">
        <w:rPr>
          <w:rFonts w:ascii="Times New Roman" w:hAnsi="Times New Roman" w:cs="Times New Roman"/>
        </w:rPr>
        <w:t xml:space="preserve"> area</w:t>
      </w:r>
      <w:r w:rsidR="00F1355D" w:rsidRPr="00FC2702">
        <w:rPr>
          <w:rFonts w:ascii="Times New Roman" w:hAnsi="Times New Roman" w:cs="Times New Roman"/>
        </w:rPr>
        <w:t xml:space="preserve">: </w:t>
      </w:r>
    </w:p>
    <w:p w14:paraId="1300BB19" w14:textId="1D6FD5B8" w:rsidR="00F1355D" w:rsidRPr="00FC2702" w:rsidRDefault="00F1355D" w:rsidP="00F1355D">
      <w:pPr>
        <w:pStyle w:val="ListParagraph"/>
        <w:numPr>
          <w:ilvl w:val="0"/>
          <w:numId w:val="22"/>
        </w:numPr>
        <w:rPr>
          <w:rFonts w:ascii="Times New Roman" w:hAnsi="Times New Roman" w:cs="Times New Roman"/>
        </w:rPr>
      </w:pPr>
      <w:r w:rsidRPr="00FC2702">
        <w:rPr>
          <w:rFonts w:ascii="Times New Roman" w:hAnsi="Times New Roman" w:cs="Times New Roman"/>
        </w:rPr>
        <w:t xml:space="preserve">authorisations </w:t>
      </w:r>
      <w:r w:rsidR="005A738A" w:rsidRPr="00FC2702">
        <w:rPr>
          <w:rFonts w:ascii="Times New Roman" w:hAnsi="Times New Roman" w:cs="Times New Roman"/>
        </w:rPr>
        <w:t>in transmitter licences that are not AWLs</w:t>
      </w:r>
      <w:r w:rsidR="00EA313E" w:rsidRPr="00FC2702">
        <w:rPr>
          <w:rFonts w:ascii="Times New Roman" w:hAnsi="Times New Roman" w:cs="Times New Roman"/>
        </w:rPr>
        <w:t>;</w:t>
      </w:r>
      <w:r w:rsidR="00853E8F" w:rsidRPr="00FC2702">
        <w:rPr>
          <w:rFonts w:ascii="Times New Roman" w:hAnsi="Times New Roman" w:cs="Times New Roman"/>
        </w:rPr>
        <w:t xml:space="preserve"> </w:t>
      </w:r>
    </w:p>
    <w:p w14:paraId="62E992EB" w14:textId="3892CC3A" w:rsidR="005A738A" w:rsidRPr="00FC2702" w:rsidRDefault="005A738A" w:rsidP="00F1355D">
      <w:pPr>
        <w:pStyle w:val="ListParagraph"/>
        <w:numPr>
          <w:ilvl w:val="0"/>
          <w:numId w:val="22"/>
        </w:numPr>
        <w:rPr>
          <w:rFonts w:ascii="Times New Roman" w:hAnsi="Times New Roman" w:cs="Times New Roman"/>
        </w:rPr>
      </w:pPr>
      <w:r w:rsidRPr="00FC2702">
        <w:rPr>
          <w:rFonts w:ascii="Times New Roman" w:hAnsi="Times New Roman" w:cs="Times New Roman"/>
        </w:rPr>
        <w:t>authorisations under subsection 68(1) of the Act (about third party use and spectrum licences)</w:t>
      </w:r>
      <w:r w:rsidR="00EA313E" w:rsidRPr="00FC2702">
        <w:rPr>
          <w:rFonts w:ascii="Times New Roman" w:hAnsi="Times New Roman" w:cs="Times New Roman"/>
        </w:rPr>
        <w:t>;</w:t>
      </w:r>
      <w:r w:rsidRPr="00FC2702">
        <w:rPr>
          <w:rFonts w:ascii="Times New Roman" w:hAnsi="Times New Roman" w:cs="Times New Roman"/>
        </w:rPr>
        <w:t xml:space="preserve"> </w:t>
      </w:r>
    </w:p>
    <w:p w14:paraId="23FC0F18" w14:textId="6A51D24D" w:rsidR="005A738A" w:rsidRPr="00FC2702" w:rsidRDefault="005A738A" w:rsidP="00F1355D">
      <w:pPr>
        <w:pStyle w:val="ListParagraph"/>
        <w:numPr>
          <w:ilvl w:val="0"/>
          <w:numId w:val="22"/>
        </w:numPr>
        <w:rPr>
          <w:rFonts w:ascii="Times New Roman" w:hAnsi="Times New Roman" w:cs="Times New Roman"/>
        </w:rPr>
      </w:pPr>
      <w:r w:rsidRPr="00FC2702">
        <w:rPr>
          <w:rFonts w:ascii="Times New Roman" w:hAnsi="Times New Roman" w:cs="Times New Roman"/>
        </w:rPr>
        <w:t xml:space="preserve">authorisations under subsection 114(1) of the Act (about third party use and apparatus licences). </w:t>
      </w:r>
    </w:p>
    <w:p w14:paraId="29A68732" w14:textId="437E2FA1" w:rsidR="00C87B1F" w:rsidRPr="00FC2702" w:rsidRDefault="00F44380" w:rsidP="004C58B9">
      <w:pPr>
        <w:rPr>
          <w:rFonts w:ascii="Times New Roman" w:hAnsi="Times New Roman" w:cs="Times New Roman"/>
          <w:b/>
        </w:rPr>
      </w:pPr>
      <w:r w:rsidRPr="00FC2702">
        <w:rPr>
          <w:rFonts w:ascii="Times New Roman" w:hAnsi="Times New Roman" w:cs="Times New Roman"/>
          <w:b/>
        </w:rPr>
        <w:t>Sc</w:t>
      </w:r>
      <w:r w:rsidR="006D1198" w:rsidRPr="00FC2702">
        <w:rPr>
          <w:rFonts w:ascii="Times New Roman" w:hAnsi="Times New Roman" w:cs="Times New Roman"/>
          <w:b/>
        </w:rPr>
        <w:t xml:space="preserve">hedule </w:t>
      </w:r>
      <w:r w:rsidR="00EA6087" w:rsidRPr="00FC2702">
        <w:rPr>
          <w:rFonts w:ascii="Times New Roman" w:hAnsi="Times New Roman" w:cs="Times New Roman"/>
          <w:b/>
        </w:rPr>
        <w:t>3</w:t>
      </w:r>
      <w:r w:rsidR="006D1198" w:rsidRPr="00FC2702">
        <w:rPr>
          <w:rFonts w:ascii="Times New Roman" w:hAnsi="Times New Roman" w:cs="Times New Roman"/>
          <w:b/>
        </w:rPr>
        <w:t>–Metropolitan area</w:t>
      </w:r>
      <w:r w:rsidR="00A22AE3" w:rsidRPr="00FC2702">
        <w:rPr>
          <w:rFonts w:ascii="Times New Roman" w:hAnsi="Times New Roman" w:cs="Times New Roman"/>
          <w:b/>
        </w:rPr>
        <w:t>, regional area and rural area</w:t>
      </w:r>
    </w:p>
    <w:p w14:paraId="0D9DF17E" w14:textId="31E96A71" w:rsidR="00260587" w:rsidRDefault="00B578C8" w:rsidP="004C58B9">
      <w:pPr>
        <w:rPr>
          <w:rFonts w:ascii="Times New Roman" w:hAnsi="Times New Roman" w:cs="Times New Roman"/>
        </w:rPr>
      </w:pPr>
      <w:r w:rsidRPr="00FC2702">
        <w:rPr>
          <w:rFonts w:ascii="Times New Roman" w:hAnsi="Times New Roman" w:cs="Times New Roman"/>
        </w:rPr>
        <w:t xml:space="preserve">This </w:t>
      </w:r>
      <w:r w:rsidR="00641AA1" w:rsidRPr="00FC2702">
        <w:rPr>
          <w:rFonts w:ascii="Times New Roman" w:hAnsi="Times New Roman" w:cs="Times New Roman"/>
        </w:rPr>
        <w:t>S</w:t>
      </w:r>
      <w:r w:rsidRPr="00FC2702">
        <w:rPr>
          <w:rFonts w:ascii="Times New Roman" w:hAnsi="Times New Roman" w:cs="Times New Roman"/>
        </w:rPr>
        <w:t xml:space="preserve">chedule </w:t>
      </w:r>
      <w:r w:rsidR="000A2027" w:rsidRPr="00FC2702">
        <w:rPr>
          <w:rFonts w:ascii="Times New Roman" w:hAnsi="Times New Roman" w:cs="Times New Roman"/>
        </w:rPr>
        <w:t>defines the</w:t>
      </w:r>
      <w:r w:rsidRPr="00FC2702">
        <w:rPr>
          <w:rFonts w:ascii="Times New Roman" w:hAnsi="Times New Roman" w:cs="Times New Roman"/>
        </w:rPr>
        <w:t xml:space="preserve"> metropolitan area</w:t>
      </w:r>
      <w:r w:rsidR="00D32706" w:rsidRPr="00FC2702">
        <w:rPr>
          <w:rFonts w:ascii="Times New Roman" w:hAnsi="Times New Roman" w:cs="Times New Roman"/>
        </w:rPr>
        <w:t>, regional area</w:t>
      </w:r>
      <w:r w:rsidRPr="00FC2702">
        <w:rPr>
          <w:rFonts w:ascii="Times New Roman" w:hAnsi="Times New Roman" w:cs="Times New Roman"/>
        </w:rPr>
        <w:t xml:space="preserve"> and </w:t>
      </w:r>
      <w:r w:rsidR="00D32706" w:rsidRPr="00FC2702">
        <w:rPr>
          <w:rFonts w:ascii="Times New Roman" w:hAnsi="Times New Roman" w:cs="Times New Roman"/>
        </w:rPr>
        <w:t xml:space="preserve">rural </w:t>
      </w:r>
      <w:r w:rsidRPr="00FC2702">
        <w:rPr>
          <w:rFonts w:ascii="Times New Roman" w:hAnsi="Times New Roman" w:cs="Times New Roman"/>
        </w:rPr>
        <w:t>area.</w:t>
      </w:r>
      <w:r w:rsidR="006E7E34" w:rsidRPr="00FC2702">
        <w:rPr>
          <w:rFonts w:ascii="Times New Roman" w:hAnsi="Times New Roman" w:cs="Times New Roman"/>
        </w:rPr>
        <w:t xml:space="preserve"> </w:t>
      </w:r>
      <w:r w:rsidR="008B56E3" w:rsidRPr="00FC2702">
        <w:rPr>
          <w:rFonts w:ascii="Times New Roman" w:hAnsi="Times New Roman" w:cs="Times New Roman"/>
        </w:rPr>
        <w:t>To define each area, this Schedule lists a set of HCIS identifiers that correspond to the region in the Australian Spectrum Map Grid</w:t>
      </w:r>
      <w:r w:rsidR="00FB29BD" w:rsidRPr="00FC2702">
        <w:rPr>
          <w:rFonts w:ascii="Times New Roman" w:hAnsi="Times New Roman" w:cs="Times New Roman"/>
        </w:rPr>
        <w:t xml:space="preserve"> 2012</w:t>
      </w:r>
      <w:r w:rsidR="008B56E3" w:rsidRPr="00FC2702">
        <w:rPr>
          <w:rFonts w:ascii="Times New Roman" w:hAnsi="Times New Roman" w:cs="Times New Roman"/>
        </w:rPr>
        <w:t>.</w:t>
      </w:r>
    </w:p>
    <w:p w14:paraId="25F222D8" w14:textId="4A96C4A1" w:rsidR="00163371" w:rsidRPr="00A55C32" w:rsidRDefault="00163371" w:rsidP="004C58B9">
      <w:pPr>
        <w:rPr>
          <w:rFonts w:ascii="Times New Roman" w:hAnsi="Times New Roman" w:cs="Times New Roman"/>
        </w:rPr>
      </w:pPr>
    </w:p>
    <w:sectPr w:rsidR="00163371" w:rsidRPr="00A55C32" w:rsidSect="0008235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1A47" w14:textId="77777777" w:rsidR="00807917" w:rsidRDefault="00807917" w:rsidP="00025ACE">
      <w:pPr>
        <w:spacing w:after="0" w:line="240" w:lineRule="auto"/>
      </w:pPr>
      <w:r>
        <w:separator/>
      </w:r>
    </w:p>
  </w:endnote>
  <w:endnote w:type="continuationSeparator" w:id="0">
    <w:p w14:paraId="3458F908" w14:textId="77777777" w:rsidR="00807917" w:rsidRDefault="00807917" w:rsidP="00025ACE">
      <w:pPr>
        <w:spacing w:after="0" w:line="240" w:lineRule="auto"/>
      </w:pPr>
      <w:r>
        <w:continuationSeparator/>
      </w:r>
    </w:p>
  </w:endnote>
  <w:endnote w:type="continuationNotice" w:id="1">
    <w:p w14:paraId="139A26A2" w14:textId="77777777" w:rsidR="00807917" w:rsidRDefault="008079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29F410C9" w:rsidR="00AD3414" w:rsidRDefault="00AD3414" w:rsidP="00AD3414">
        <w:pPr>
          <w:pStyle w:val="Footer"/>
          <w:pBdr>
            <w:top w:val="single" w:sz="4" w:space="1" w:color="auto"/>
          </w:pBdr>
          <w:jc w:val="center"/>
        </w:pPr>
      </w:p>
      <w:p w14:paraId="7A9CDA51" w14:textId="3CBE118A" w:rsidR="00AD3414" w:rsidRPr="00C122D3" w:rsidRDefault="00AD3414" w:rsidP="00C122D3">
        <w:pPr>
          <w:jc w:val="center"/>
          <w:rPr>
            <w:rFonts w:ascii="Times New Roman" w:hAnsi="Times New Roman" w:cs="Times New Roman"/>
            <w:b/>
            <w:i/>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003ABC">
          <w:rPr>
            <w:rFonts w:ascii="Times New Roman" w:hAnsi="Times New Roman" w:cs="Times New Roman"/>
            <w:bCs/>
            <w:i/>
          </w:rPr>
          <w:t>Radiocommunications (Area-</w:t>
        </w:r>
        <w:r w:rsidR="00381029">
          <w:rPr>
            <w:rFonts w:ascii="Times New Roman" w:hAnsi="Times New Roman" w:cs="Times New Roman"/>
            <w:bCs/>
            <w:i/>
          </w:rPr>
          <w:t>W</w:t>
        </w:r>
        <w:r w:rsidR="00003ABC">
          <w:rPr>
            <w:rFonts w:ascii="Times New Roman" w:hAnsi="Times New Roman" w:cs="Times New Roman"/>
            <w:bCs/>
            <w:i/>
          </w:rPr>
          <w:t>ide Licences – Limits, Authorisations and Transfers) Determination 2024</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1F5D" w14:textId="77777777" w:rsidR="00807917" w:rsidRDefault="00807917" w:rsidP="00025ACE">
      <w:pPr>
        <w:spacing w:after="0" w:line="240" w:lineRule="auto"/>
      </w:pPr>
      <w:r>
        <w:separator/>
      </w:r>
    </w:p>
  </w:footnote>
  <w:footnote w:type="continuationSeparator" w:id="0">
    <w:p w14:paraId="5C5BCA74" w14:textId="77777777" w:rsidR="00807917" w:rsidRDefault="00807917" w:rsidP="00025ACE">
      <w:pPr>
        <w:spacing w:after="0" w:line="240" w:lineRule="auto"/>
      </w:pPr>
      <w:r>
        <w:continuationSeparator/>
      </w:r>
    </w:p>
  </w:footnote>
  <w:footnote w:type="continuationNotice" w:id="1">
    <w:p w14:paraId="749B8461" w14:textId="77777777" w:rsidR="00807917" w:rsidRDefault="00807917">
      <w:pPr>
        <w:spacing w:after="0" w:line="240" w:lineRule="auto"/>
      </w:pPr>
    </w:p>
  </w:footnote>
  <w:footnote w:id="2">
    <w:p w14:paraId="0C2E8CD9" w14:textId="33CEA065" w:rsidR="00954DC9" w:rsidRDefault="00954DC9">
      <w:pPr>
        <w:pStyle w:val="FootnoteText"/>
      </w:pPr>
      <w:r>
        <w:rPr>
          <w:rStyle w:val="FootnoteReference"/>
        </w:rPr>
        <w:footnoteRef/>
      </w:r>
      <w:r>
        <w:t xml:space="preserve"> </w:t>
      </w:r>
      <w:r w:rsidRPr="00FC2702">
        <w:rPr>
          <w:rFonts w:ascii="Times New Roman" w:hAnsi="Times New Roman" w:cs="Times New Roman"/>
        </w:rPr>
        <w:t xml:space="preserve">To avoid confusion and to align the areas with those used in the 3.4/3.7 GHz band auction, the proposed metropolitan area has been divided into a ‘metropolitan area’ and a ‘regional area’, and the proposed regional area has been renamed as the ‘rural area’ in the instrument.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23F"/>
    <w:multiLevelType w:val="hybridMultilevel"/>
    <w:tmpl w:val="9FBA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C4280"/>
    <w:multiLevelType w:val="hybridMultilevel"/>
    <w:tmpl w:val="B1E07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60251"/>
    <w:multiLevelType w:val="hybridMultilevel"/>
    <w:tmpl w:val="04BC18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EE43EE1"/>
    <w:multiLevelType w:val="hybridMultilevel"/>
    <w:tmpl w:val="E2A6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8966DD"/>
    <w:multiLevelType w:val="hybridMultilevel"/>
    <w:tmpl w:val="6632E42C"/>
    <w:lvl w:ilvl="0" w:tplc="0C090001">
      <w:start w:val="1"/>
      <w:numFmt w:val="bullet"/>
      <w:lvlText w:val=""/>
      <w:lvlJc w:val="left"/>
      <w:pPr>
        <w:ind w:left="780" w:hanging="360"/>
      </w:pPr>
      <w:rPr>
        <w:rFonts w:ascii="Symbol" w:hAnsi="Symbol" w:hint="default"/>
      </w:rPr>
    </w:lvl>
    <w:lvl w:ilvl="1" w:tplc="F154CD7E">
      <w:numFmt w:val="bullet"/>
      <w:lvlText w:val=""/>
      <w:lvlJc w:val="left"/>
      <w:pPr>
        <w:ind w:left="1500" w:hanging="360"/>
      </w:pPr>
      <w:rPr>
        <w:rFonts w:ascii="Wingdings" w:eastAsiaTheme="minorHAnsi" w:hAnsi="Wingdings" w:cs="Times New Roman"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54A22C1"/>
    <w:multiLevelType w:val="hybridMultilevel"/>
    <w:tmpl w:val="EB662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B10905"/>
    <w:multiLevelType w:val="hybridMultilevel"/>
    <w:tmpl w:val="72408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AC5E25"/>
    <w:multiLevelType w:val="hybridMultilevel"/>
    <w:tmpl w:val="169A8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481BD7"/>
    <w:multiLevelType w:val="hybridMultilevel"/>
    <w:tmpl w:val="93C220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9520EAB"/>
    <w:multiLevelType w:val="hybridMultilevel"/>
    <w:tmpl w:val="C9902C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7509D2"/>
    <w:multiLevelType w:val="hybridMultilevel"/>
    <w:tmpl w:val="FC644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A97BB5"/>
    <w:multiLevelType w:val="hybridMultilevel"/>
    <w:tmpl w:val="5552BCEA"/>
    <w:lvl w:ilvl="0" w:tplc="DD5E03FE">
      <w:start w:val="1"/>
      <w:numFmt w:val="bullet"/>
      <w:lvlText w:val=""/>
      <w:lvlJc w:val="left"/>
      <w:pPr>
        <w:ind w:left="1440" w:hanging="360"/>
      </w:pPr>
      <w:rPr>
        <w:rFonts w:ascii="Symbol" w:hAnsi="Symbol"/>
      </w:rPr>
    </w:lvl>
    <w:lvl w:ilvl="1" w:tplc="69BCDBE4">
      <w:start w:val="1"/>
      <w:numFmt w:val="bullet"/>
      <w:lvlText w:val=""/>
      <w:lvlJc w:val="left"/>
      <w:pPr>
        <w:ind w:left="1440" w:hanging="360"/>
      </w:pPr>
      <w:rPr>
        <w:rFonts w:ascii="Symbol" w:hAnsi="Symbol"/>
      </w:rPr>
    </w:lvl>
    <w:lvl w:ilvl="2" w:tplc="5E3696D0">
      <w:start w:val="1"/>
      <w:numFmt w:val="bullet"/>
      <w:lvlText w:val=""/>
      <w:lvlJc w:val="left"/>
      <w:pPr>
        <w:ind w:left="1440" w:hanging="360"/>
      </w:pPr>
      <w:rPr>
        <w:rFonts w:ascii="Symbol" w:hAnsi="Symbol"/>
      </w:rPr>
    </w:lvl>
    <w:lvl w:ilvl="3" w:tplc="43520C98">
      <w:start w:val="1"/>
      <w:numFmt w:val="bullet"/>
      <w:lvlText w:val=""/>
      <w:lvlJc w:val="left"/>
      <w:pPr>
        <w:ind w:left="1440" w:hanging="360"/>
      </w:pPr>
      <w:rPr>
        <w:rFonts w:ascii="Symbol" w:hAnsi="Symbol"/>
      </w:rPr>
    </w:lvl>
    <w:lvl w:ilvl="4" w:tplc="9196B262">
      <w:start w:val="1"/>
      <w:numFmt w:val="bullet"/>
      <w:lvlText w:val=""/>
      <w:lvlJc w:val="left"/>
      <w:pPr>
        <w:ind w:left="1440" w:hanging="360"/>
      </w:pPr>
      <w:rPr>
        <w:rFonts w:ascii="Symbol" w:hAnsi="Symbol"/>
      </w:rPr>
    </w:lvl>
    <w:lvl w:ilvl="5" w:tplc="D9820AB0">
      <w:start w:val="1"/>
      <w:numFmt w:val="bullet"/>
      <w:lvlText w:val=""/>
      <w:lvlJc w:val="left"/>
      <w:pPr>
        <w:ind w:left="1440" w:hanging="360"/>
      </w:pPr>
      <w:rPr>
        <w:rFonts w:ascii="Symbol" w:hAnsi="Symbol"/>
      </w:rPr>
    </w:lvl>
    <w:lvl w:ilvl="6" w:tplc="741268B2">
      <w:start w:val="1"/>
      <w:numFmt w:val="bullet"/>
      <w:lvlText w:val=""/>
      <w:lvlJc w:val="left"/>
      <w:pPr>
        <w:ind w:left="1440" w:hanging="360"/>
      </w:pPr>
      <w:rPr>
        <w:rFonts w:ascii="Symbol" w:hAnsi="Symbol"/>
      </w:rPr>
    </w:lvl>
    <w:lvl w:ilvl="7" w:tplc="0A329E3E">
      <w:start w:val="1"/>
      <w:numFmt w:val="bullet"/>
      <w:lvlText w:val=""/>
      <w:lvlJc w:val="left"/>
      <w:pPr>
        <w:ind w:left="1440" w:hanging="360"/>
      </w:pPr>
      <w:rPr>
        <w:rFonts w:ascii="Symbol" w:hAnsi="Symbol"/>
      </w:rPr>
    </w:lvl>
    <w:lvl w:ilvl="8" w:tplc="3056D4E4">
      <w:start w:val="1"/>
      <w:numFmt w:val="bullet"/>
      <w:lvlText w:val=""/>
      <w:lvlJc w:val="left"/>
      <w:pPr>
        <w:ind w:left="1440" w:hanging="360"/>
      </w:pPr>
      <w:rPr>
        <w:rFonts w:ascii="Symbol" w:hAnsi="Symbol"/>
      </w:rPr>
    </w:lvl>
  </w:abstractNum>
  <w:abstractNum w:abstractNumId="18" w15:restartNumberingAfterBreak="0">
    <w:nsid w:val="579D7DAB"/>
    <w:multiLevelType w:val="hybridMultilevel"/>
    <w:tmpl w:val="CDA4A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5A5A9B"/>
    <w:multiLevelType w:val="hybridMultilevel"/>
    <w:tmpl w:val="61B0397C"/>
    <w:lvl w:ilvl="0" w:tplc="9BFEF604">
      <w:start w:val="1"/>
      <w:numFmt w:val="bullet"/>
      <w:lvlText w:val=""/>
      <w:lvlJc w:val="left"/>
      <w:pPr>
        <w:ind w:left="1500" w:hanging="360"/>
      </w:pPr>
      <w:rPr>
        <w:rFonts w:ascii="Symbol" w:hAnsi="Symbol"/>
      </w:rPr>
    </w:lvl>
    <w:lvl w:ilvl="1" w:tplc="BCBE3AC6">
      <w:start w:val="1"/>
      <w:numFmt w:val="bullet"/>
      <w:lvlText w:val=""/>
      <w:lvlJc w:val="left"/>
      <w:pPr>
        <w:ind w:left="1500" w:hanging="360"/>
      </w:pPr>
      <w:rPr>
        <w:rFonts w:ascii="Symbol" w:hAnsi="Symbol"/>
      </w:rPr>
    </w:lvl>
    <w:lvl w:ilvl="2" w:tplc="2EAC07BA">
      <w:start w:val="1"/>
      <w:numFmt w:val="bullet"/>
      <w:lvlText w:val=""/>
      <w:lvlJc w:val="left"/>
      <w:pPr>
        <w:ind w:left="1500" w:hanging="360"/>
      </w:pPr>
      <w:rPr>
        <w:rFonts w:ascii="Symbol" w:hAnsi="Symbol"/>
      </w:rPr>
    </w:lvl>
    <w:lvl w:ilvl="3" w:tplc="C728D406">
      <w:start w:val="1"/>
      <w:numFmt w:val="bullet"/>
      <w:lvlText w:val=""/>
      <w:lvlJc w:val="left"/>
      <w:pPr>
        <w:ind w:left="1500" w:hanging="360"/>
      </w:pPr>
      <w:rPr>
        <w:rFonts w:ascii="Symbol" w:hAnsi="Symbol"/>
      </w:rPr>
    </w:lvl>
    <w:lvl w:ilvl="4" w:tplc="86CE17B8">
      <w:start w:val="1"/>
      <w:numFmt w:val="bullet"/>
      <w:lvlText w:val=""/>
      <w:lvlJc w:val="left"/>
      <w:pPr>
        <w:ind w:left="1500" w:hanging="360"/>
      </w:pPr>
      <w:rPr>
        <w:rFonts w:ascii="Symbol" w:hAnsi="Symbol"/>
      </w:rPr>
    </w:lvl>
    <w:lvl w:ilvl="5" w:tplc="2B2A5600">
      <w:start w:val="1"/>
      <w:numFmt w:val="bullet"/>
      <w:lvlText w:val=""/>
      <w:lvlJc w:val="left"/>
      <w:pPr>
        <w:ind w:left="1500" w:hanging="360"/>
      </w:pPr>
      <w:rPr>
        <w:rFonts w:ascii="Symbol" w:hAnsi="Symbol"/>
      </w:rPr>
    </w:lvl>
    <w:lvl w:ilvl="6" w:tplc="BDDC1214">
      <w:start w:val="1"/>
      <w:numFmt w:val="bullet"/>
      <w:lvlText w:val=""/>
      <w:lvlJc w:val="left"/>
      <w:pPr>
        <w:ind w:left="1500" w:hanging="360"/>
      </w:pPr>
      <w:rPr>
        <w:rFonts w:ascii="Symbol" w:hAnsi="Symbol"/>
      </w:rPr>
    </w:lvl>
    <w:lvl w:ilvl="7" w:tplc="D56C3EA2">
      <w:start w:val="1"/>
      <w:numFmt w:val="bullet"/>
      <w:lvlText w:val=""/>
      <w:lvlJc w:val="left"/>
      <w:pPr>
        <w:ind w:left="1500" w:hanging="360"/>
      </w:pPr>
      <w:rPr>
        <w:rFonts w:ascii="Symbol" w:hAnsi="Symbol"/>
      </w:rPr>
    </w:lvl>
    <w:lvl w:ilvl="8" w:tplc="19BC889E">
      <w:start w:val="1"/>
      <w:numFmt w:val="bullet"/>
      <w:lvlText w:val=""/>
      <w:lvlJc w:val="left"/>
      <w:pPr>
        <w:ind w:left="1500" w:hanging="360"/>
      </w:pPr>
      <w:rPr>
        <w:rFonts w:ascii="Symbol" w:hAnsi="Symbol"/>
      </w:rPr>
    </w:lvl>
  </w:abstractNum>
  <w:abstractNum w:abstractNumId="21" w15:restartNumberingAfterBreak="0">
    <w:nsid w:val="661E6211"/>
    <w:multiLevelType w:val="hybridMultilevel"/>
    <w:tmpl w:val="FDA8BDE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2" w15:restartNumberingAfterBreak="0">
    <w:nsid w:val="6C7D447D"/>
    <w:multiLevelType w:val="hybridMultilevel"/>
    <w:tmpl w:val="9B6AC0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EF6A9D"/>
    <w:multiLevelType w:val="hybridMultilevel"/>
    <w:tmpl w:val="C6066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2D4CD2"/>
    <w:multiLevelType w:val="hybridMultilevel"/>
    <w:tmpl w:val="CC2414E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779E3A76"/>
    <w:multiLevelType w:val="hybridMultilevel"/>
    <w:tmpl w:val="09CC4C34"/>
    <w:lvl w:ilvl="0" w:tplc="46D27182">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5928982">
    <w:abstractNumId w:val="19"/>
  </w:num>
  <w:num w:numId="2" w16cid:durableId="1322466918">
    <w:abstractNumId w:val="12"/>
  </w:num>
  <w:num w:numId="3" w16cid:durableId="890461886">
    <w:abstractNumId w:val="2"/>
  </w:num>
  <w:num w:numId="4" w16cid:durableId="284316777">
    <w:abstractNumId w:val="8"/>
  </w:num>
  <w:num w:numId="5" w16cid:durableId="754742234">
    <w:abstractNumId w:val="7"/>
  </w:num>
  <w:num w:numId="6" w16cid:durableId="2063140273">
    <w:abstractNumId w:val="1"/>
  </w:num>
  <w:num w:numId="7" w16cid:durableId="1803301762">
    <w:abstractNumId w:val="6"/>
  </w:num>
  <w:num w:numId="8" w16cid:durableId="62216995">
    <w:abstractNumId w:val="19"/>
  </w:num>
  <w:num w:numId="9" w16cid:durableId="1622805216">
    <w:abstractNumId w:val="2"/>
  </w:num>
  <w:num w:numId="10" w16cid:durableId="279608327">
    <w:abstractNumId w:val="6"/>
  </w:num>
  <w:num w:numId="11" w16cid:durableId="1886067684">
    <w:abstractNumId w:val="8"/>
  </w:num>
  <w:num w:numId="12" w16cid:durableId="773017305">
    <w:abstractNumId w:val="7"/>
  </w:num>
  <w:num w:numId="13" w16cid:durableId="860321660">
    <w:abstractNumId w:val="19"/>
  </w:num>
  <w:num w:numId="14" w16cid:durableId="1287464306">
    <w:abstractNumId w:val="2"/>
  </w:num>
  <w:num w:numId="15" w16cid:durableId="381448252">
    <w:abstractNumId w:val="6"/>
  </w:num>
  <w:num w:numId="16" w16cid:durableId="883179414">
    <w:abstractNumId w:val="8"/>
  </w:num>
  <w:num w:numId="17" w16cid:durableId="1704549694">
    <w:abstractNumId w:val="7"/>
  </w:num>
  <w:num w:numId="18" w16cid:durableId="2111201310">
    <w:abstractNumId w:val="25"/>
  </w:num>
  <w:num w:numId="19" w16cid:durableId="1585528000">
    <w:abstractNumId w:val="22"/>
  </w:num>
  <w:num w:numId="20" w16cid:durableId="1424257715">
    <w:abstractNumId w:val="17"/>
  </w:num>
  <w:num w:numId="21" w16cid:durableId="1015576358">
    <w:abstractNumId w:val="10"/>
  </w:num>
  <w:num w:numId="22" w16cid:durableId="767774393">
    <w:abstractNumId w:val="16"/>
  </w:num>
  <w:num w:numId="23" w16cid:durableId="97023169">
    <w:abstractNumId w:val="0"/>
  </w:num>
  <w:num w:numId="24" w16cid:durableId="1316490453">
    <w:abstractNumId w:val="24"/>
  </w:num>
  <w:num w:numId="25" w16cid:durableId="1571381128">
    <w:abstractNumId w:val="9"/>
  </w:num>
  <w:num w:numId="26" w16cid:durableId="1899630474">
    <w:abstractNumId w:val="14"/>
  </w:num>
  <w:num w:numId="27" w16cid:durableId="1179152922">
    <w:abstractNumId w:val="20"/>
  </w:num>
  <w:num w:numId="28" w16cid:durableId="1587883506">
    <w:abstractNumId w:val="15"/>
  </w:num>
  <w:num w:numId="29" w16cid:durableId="307251707">
    <w:abstractNumId w:val="21"/>
  </w:num>
  <w:num w:numId="30" w16cid:durableId="1383401885">
    <w:abstractNumId w:val="23"/>
  </w:num>
  <w:num w:numId="31" w16cid:durableId="1124736368">
    <w:abstractNumId w:val="3"/>
  </w:num>
  <w:num w:numId="32" w16cid:durableId="1578517112">
    <w:abstractNumId w:val="11"/>
  </w:num>
  <w:num w:numId="33" w16cid:durableId="1982685140">
    <w:abstractNumId w:val="5"/>
  </w:num>
  <w:num w:numId="34" w16cid:durableId="705451975">
    <w:abstractNumId w:val="13"/>
  </w:num>
  <w:num w:numId="35" w16cid:durableId="647826529">
    <w:abstractNumId w:val="18"/>
  </w:num>
  <w:num w:numId="36" w16cid:durableId="882059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0A6"/>
    <w:rsid w:val="00002640"/>
    <w:rsid w:val="00003720"/>
    <w:rsid w:val="00003ABC"/>
    <w:rsid w:val="00007664"/>
    <w:rsid w:val="00011081"/>
    <w:rsid w:val="000124F9"/>
    <w:rsid w:val="0001252F"/>
    <w:rsid w:val="00013079"/>
    <w:rsid w:val="00014878"/>
    <w:rsid w:val="00014A93"/>
    <w:rsid w:val="00016678"/>
    <w:rsid w:val="00022805"/>
    <w:rsid w:val="00022C10"/>
    <w:rsid w:val="00023317"/>
    <w:rsid w:val="000247CD"/>
    <w:rsid w:val="00025ACE"/>
    <w:rsid w:val="00026649"/>
    <w:rsid w:val="000270DC"/>
    <w:rsid w:val="000329DA"/>
    <w:rsid w:val="000339F1"/>
    <w:rsid w:val="00033F53"/>
    <w:rsid w:val="000340A1"/>
    <w:rsid w:val="000352E9"/>
    <w:rsid w:val="0003790E"/>
    <w:rsid w:val="00037F0E"/>
    <w:rsid w:val="00040092"/>
    <w:rsid w:val="000421E0"/>
    <w:rsid w:val="000425E0"/>
    <w:rsid w:val="00043FF1"/>
    <w:rsid w:val="00045012"/>
    <w:rsid w:val="000453C3"/>
    <w:rsid w:val="00045402"/>
    <w:rsid w:val="00046143"/>
    <w:rsid w:val="00051EE8"/>
    <w:rsid w:val="00056C72"/>
    <w:rsid w:val="000573A5"/>
    <w:rsid w:val="0005769D"/>
    <w:rsid w:val="000578B5"/>
    <w:rsid w:val="00060214"/>
    <w:rsid w:val="00060324"/>
    <w:rsid w:val="00061991"/>
    <w:rsid w:val="0006222A"/>
    <w:rsid w:val="00064B25"/>
    <w:rsid w:val="00064E40"/>
    <w:rsid w:val="00066373"/>
    <w:rsid w:val="00066D2A"/>
    <w:rsid w:val="0007064F"/>
    <w:rsid w:val="00070D91"/>
    <w:rsid w:val="00071678"/>
    <w:rsid w:val="000726C7"/>
    <w:rsid w:val="00072E9E"/>
    <w:rsid w:val="00073654"/>
    <w:rsid w:val="0007407E"/>
    <w:rsid w:val="00074A8D"/>
    <w:rsid w:val="00074B4E"/>
    <w:rsid w:val="0007634C"/>
    <w:rsid w:val="00082354"/>
    <w:rsid w:val="0008245D"/>
    <w:rsid w:val="000836EF"/>
    <w:rsid w:val="00086484"/>
    <w:rsid w:val="00090479"/>
    <w:rsid w:val="00093021"/>
    <w:rsid w:val="00093728"/>
    <w:rsid w:val="00093F52"/>
    <w:rsid w:val="00095AB3"/>
    <w:rsid w:val="00096572"/>
    <w:rsid w:val="000979F5"/>
    <w:rsid w:val="000A01A2"/>
    <w:rsid w:val="000A03EA"/>
    <w:rsid w:val="000A2027"/>
    <w:rsid w:val="000A22BD"/>
    <w:rsid w:val="000A3005"/>
    <w:rsid w:val="000A3A94"/>
    <w:rsid w:val="000A445B"/>
    <w:rsid w:val="000A7938"/>
    <w:rsid w:val="000A7D0A"/>
    <w:rsid w:val="000B0BA7"/>
    <w:rsid w:val="000B33B6"/>
    <w:rsid w:val="000B3645"/>
    <w:rsid w:val="000B3CDF"/>
    <w:rsid w:val="000B4B6C"/>
    <w:rsid w:val="000B6CBC"/>
    <w:rsid w:val="000B6D14"/>
    <w:rsid w:val="000B7A79"/>
    <w:rsid w:val="000C13D0"/>
    <w:rsid w:val="000C45E7"/>
    <w:rsid w:val="000C6436"/>
    <w:rsid w:val="000C6F9E"/>
    <w:rsid w:val="000C734C"/>
    <w:rsid w:val="000D04EF"/>
    <w:rsid w:val="000D0802"/>
    <w:rsid w:val="000D09E3"/>
    <w:rsid w:val="000D0E69"/>
    <w:rsid w:val="000D124F"/>
    <w:rsid w:val="000D2D7B"/>
    <w:rsid w:val="000D3A81"/>
    <w:rsid w:val="000D4ECE"/>
    <w:rsid w:val="000D658E"/>
    <w:rsid w:val="000D74AF"/>
    <w:rsid w:val="000E1A3D"/>
    <w:rsid w:val="000E1BF4"/>
    <w:rsid w:val="000E371B"/>
    <w:rsid w:val="000E38C9"/>
    <w:rsid w:val="000E4942"/>
    <w:rsid w:val="000E6546"/>
    <w:rsid w:val="000E6F22"/>
    <w:rsid w:val="000E6F58"/>
    <w:rsid w:val="000E7013"/>
    <w:rsid w:val="000F223B"/>
    <w:rsid w:val="000F3638"/>
    <w:rsid w:val="000F5025"/>
    <w:rsid w:val="000F6255"/>
    <w:rsid w:val="000F6349"/>
    <w:rsid w:val="000F72C2"/>
    <w:rsid w:val="00102ACF"/>
    <w:rsid w:val="00103D7A"/>
    <w:rsid w:val="00104130"/>
    <w:rsid w:val="00104247"/>
    <w:rsid w:val="0010789C"/>
    <w:rsid w:val="00110C6C"/>
    <w:rsid w:val="00111036"/>
    <w:rsid w:val="00111971"/>
    <w:rsid w:val="00112987"/>
    <w:rsid w:val="00113078"/>
    <w:rsid w:val="001148E5"/>
    <w:rsid w:val="0011583F"/>
    <w:rsid w:val="00117351"/>
    <w:rsid w:val="00117ECA"/>
    <w:rsid w:val="00121B9E"/>
    <w:rsid w:val="00121CB5"/>
    <w:rsid w:val="00122072"/>
    <w:rsid w:val="0012334E"/>
    <w:rsid w:val="00126ED1"/>
    <w:rsid w:val="00127E23"/>
    <w:rsid w:val="001318B9"/>
    <w:rsid w:val="00131905"/>
    <w:rsid w:val="00134705"/>
    <w:rsid w:val="00135A0A"/>
    <w:rsid w:val="00137569"/>
    <w:rsid w:val="00137D61"/>
    <w:rsid w:val="00137FC5"/>
    <w:rsid w:val="00141CAE"/>
    <w:rsid w:val="00142BBD"/>
    <w:rsid w:val="001446AB"/>
    <w:rsid w:val="00146A0C"/>
    <w:rsid w:val="0015107F"/>
    <w:rsid w:val="00151E83"/>
    <w:rsid w:val="0015508B"/>
    <w:rsid w:val="0015536B"/>
    <w:rsid w:val="00156D44"/>
    <w:rsid w:val="00156F00"/>
    <w:rsid w:val="00160620"/>
    <w:rsid w:val="00161C73"/>
    <w:rsid w:val="00161C9B"/>
    <w:rsid w:val="00163371"/>
    <w:rsid w:val="00165A1F"/>
    <w:rsid w:val="001660E2"/>
    <w:rsid w:val="00167D4E"/>
    <w:rsid w:val="00170361"/>
    <w:rsid w:val="00172629"/>
    <w:rsid w:val="00173B79"/>
    <w:rsid w:val="001758D1"/>
    <w:rsid w:val="00176459"/>
    <w:rsid w:val="0017649F"/>
    <w:rsid w:val="001774D4"/>
    <w:rsid w:val="00177FFE"/>
    <w:rsid w:val="00181A23"/>
    <w:rsid w:val="00182FE6"/>
    <w:rsid w:val="0018348C"/>
    <w:rsid w:val="00184883"/>
    <w:rsid w:val="0018551E"/>
    <w:rsid w:val="00185BDC"/>
    <w:rsid w:val="00187611"/>
    <w:rsid w:val="00192003"/>
    <w:rsid w:val="001926B9"/>
    <w:rsid w:val="00192E5A"/>
    <w:rsid w:val="00193A65"/>
    <w:rsid w:val="00193B12"/>
    <w:rsid w:val="00194BC9"/>
    <w:rsid w:val="001952FC"/>
    <w:rsid w:val="00195427"/>
    <w:rsid w:val="0019593F"/>
    <w:rsid w:val="001A269B"/>
    <w:rsid w:val="001A27DD"/>
    <w:rsid w:val="001A6615"/>
    <w:rsid w:val="001B16E3"/>
    <w:rsid w:val="001B1D1A"/>
    <w:rsid w:val="001B1E3D"/>
    <w:rsid w:val="001B2371"/>
    <w:rsid w:val="001B4163"/>
    <w:rsid w:val="001B7DB2"/>
    <w:rsid w:val="001C0CA7"/>
    <w:rsid w:val="001C1AEC"/>
    <w:rsid w:val="001C4119"/>
    <w:rsid w:val="001C4901"/>
    <w:rsid w:val="001C4BF8"/>
    <w:rsid w:val="001C5421"/>
    <w:rsid w:val="001C64B4"/>
    <w:rsid w:val="001C658D"/>
    <w:rsid w:val="001D2A98"/>
    <w:rsid w:val="001D5C25"/>
    <w:rsid w:val="001D6AF5"/>
    <w:rsid w:val="001D77A6"/>
    <w:rsid w:val="001E25BC"/>
    <w:rsid w:val="001E288C"/>
    <w:rsid w:val="001E343E"/>
    <w:rsid w:val="001E657F"/>
    <w:rsid w:val="001E6BE1"/>
    <w:rsid w:val="001F0045"/>
    <w:rsid w:val="001F0EA1"/>
    <w:rsid w:val="001F1925"/>
    <w:rsid w:val="001F3019"/>
    <w:rsid w:val="001F409F"/>
    <w:rsid w:val="001F47FF"/>
    <w:rsid w:val="001F6908"/>
    <w:rsid w:val="001F71CA"/>
    <w:rsid w:val="001F7BEE"/>
    <w:rsid w:val="0020257B"/>
    <w:rsid w:val="00207C3A"/>
    <w:rsid w:val="002105D7"/>
    <w:rsid w:val="00212847"/>
    <w:rsid w:val="00213895"/>
    <w:rsid w:val="00213B72"/>
    <w:rsid w:val="002140C7"/>
    <w:rsid w:val="00216314"/>
    <w:rsid w:val="00216644"/>
    <w:rsid w:val="002209FB"/>
    <w:rsid w:val="00220D02"/>
    <w:rsid w:val="00220EAF"/>
    <w:rsid w:val="00222CDB"/>
    <w:rsid w:val="002233A4"/>
    <w:rsid w:val="00223EAF"/>
    <w:rsid w:val="00226222"/>
    <w:rsid w:val="0022655E"/>
    <w:rsid w:val="00226E9B"/>
    <w:rsid w:val="002271F8"/>
    <w:rsid w:val="0023069D"/>
    <w:rsid w:val="0023152E"/>
    <w:rsid w:val="00232C0F"/>
    <w:rsid w:val="0023355B"/>
    <w:rsid w:val="00235CB6"/>
    <w:rsid w:val="00235E96"/>
    <w:rsid w:val="00236878"/>
    <w:rsid w:val="00237E59"/>
    <w:rsid w:val="002409A5"/>
    <w:rsid w:val="00240A8A"/>
    <w:rsid w:val="0024185F"/>
    <w:rsid w:val="0024533A"/>
    <w:rsid w:val="00250286"/>
    <w:rsid w:val="002502BC"/>
    <w:rsid w:val="00250452"/>
    <w:rsid w:val="002508F7"/>
    <w:rsid w:val="002516BA"/>
    <w:rsid w:val="002518F9"/>
    <w:rsid w:val="00252286"/>
    <w:rsid w:val="002525F4"/>
    <w:rsid w:val="0025431D"/>
    <w:rsid w:val="00256BD4"/>
    <w:rsid w:val="00260587"/>
    <w:rsid w:val="00261C78"/>
    <w:rsid w:val="00261EB4"/>
    <w:rsid w:val="002625C3"/>
    <w:rsid w:val="0026395E"/>
    <w:rsid w:val="00263F84"/>
    <w:rsid w:val="0026479C"/>
    <w:rsid w:val="002674E7"/>
    <w:rsid w:val="00273587"/>
    <w:rsid w:val="0027640C"/>
    <w:rsid w:val="00276A03"/>
    <w:rsid w:val="00276B07"/>
    <w:rsid w:val="00276B70"/>
    <w:rsid w:val="00277256"/>
    <w:rsid w:val="0028037B"/>
    <w:rsid w:val="002837E2"/>
    <w:rsid w:val="00284857"/>
    <w:rsid w:val="00285D5A"/>
    <w:rsid w:val="00286E80"/>
    <w:rsid w:val="00287B80"/>
    <w:rsid w:val="00290ABC"/>
    <w:rsid w:val="0029254E"/>
    <w:rsid w:val="0029379C"/>
    <w:rsid w:val="002941E6"/>
    <w:rsid w:val="002950BC"/>
    <w:rsid w:val="00295427"/>
    <w:rsid w:val="00296F6D"/>
    <w:rsid w:val="002978DB"/>
    <w:rsid w:val="002A2637"/>
    <w:rsid w:val="002A469C"/>
    <w:rsid w:val="002A5B0A"/>
    <w:rsid w:val="002A5C81"/>
    <w:rsid w:val="002A675D"/>
    <w:rsid w:val="002B0128"/>
    <w:rsid w:val="002B0982"/>
    <w:rsid w:val="002B36AE"/>
    <w:rsid w:val="002B39EF"/>
    <w:rsid w:val="002B410F"/>
    <w:rsid w:val="002B6699"/>
    <w:rsid w:val="002C2256"/>
    <w:rsid w:val="002C44EF"/>
    <w:rsid w:val="002C4B56"/>
    <w:rsid w:val="002C71AB"/>
    <w:rsid w:val="002C7346"/>
    <w:rsid w:val="002C7EC4"/>
    <w:rsid w:val="002D0A24"/>
    <w:rsid w:val="002D15C2"/>
    <w:rsid w:val="002D24AA"/>
    <w:rsid w:val="002D24FC"/>
    <w:rsid w:val="002E0A9A"/>
    <w:rsid w:val="002E1577"/>
    <w:rsid w:val="002E2AD0"/>
    <w:rsid w:val="002E2E8C"/>
    <w:rsid w:val="002E2E9D"/>
    <w:rsid w:val="002E3B2A"/>
    <w:rsid w:val="002E516B"/>
    <w:rsid w:val="002E5784"/>
    <w:rsid w:val="002E66A8"/>
    <w:rsid w:val="002E71A5"/>
    <w:rsid w:val="002E7233"/>
    <w:rsid w:val="002E78D1"/>
    <w:rsid w:val="002F2F8B"/>
    <w:rsid w:val="002F36E0"/>
    <w:rsid w:val="002F36F1"/>
    <w:rsid w:val="002F5738"/>
    <w:rsid w:val="002F5BA7"/>
    <w:rsid w:val="002F7E52"/>
    <w:rsid w:val="00303E25"/>
    <w:rsid w:val="00304638"/>
    <w:rsid w:val="003104D2"/>
    <w:rsid w:val="003116F7"/>
    <w:rsid w:val="003153F9"/>
    <w:rsid w:val="00315BBD"/>
    <w:rsid w:val="00317B29"/>
    <w:rsid w:val="00320385"/>
    <w:rsid w:val="00320733"/>
    <w:rsid w:val="00320962"/>
    <w:rsid w:val="00320F7A"/>
    <w:rsid w:val="003233B4"/>
    <w:rsid w:val="003257EA"/>
    <w:rsid w:val="003306AA"/>
    <w:rsid w:val="00331547"/>
    <w:rsid w:val="00332CAB"/>
    <w:rsid w:val="0033436C"/>
    <w:rsid w:val="0033487A"/>
    <w:rsid w:val="00337819"/>
    <w:rsid w:val="00341FF4"/>
    <w:rsid w:val="0034252C"/>
    <w:rsid w:val="003434D4"/>
    <w:rsid w:val="00343FB7"/>
    <w:rsid w:val="0034500D"/>
    <w:rsid w:val="003456AF"/>
    <w:rsid w:val="003458AD"/>
    <w:rsid w:val="0034655C"/>
    <w:rsid w:val="00347386"/>
    <w:rsid w:val="00347CD5"/>
    <w:rsid w:val="003503F4"/>
    <w:rsid w:val="00352D64"/>
    <w:rsid w:val="00354F52"/>
    <w:rsid w:val="003557FE"/>
    <w:rsid w:val="003562DA"/>
    <w:rsid w:val="003609F0"/>
    <w:rsid w:val="00360EE4"/>
    <w:rsid w:val="003617F5"/>
    <w:rsid w:val="003625A9"/>
    <w:rsid w:val="00363086"/>
    <w:rsid w:val="00363CA4"/>
    <w:rsid w:val="003643AD"/>
    <w:rsid w:val="00364BB8"/>
    <w:rsid w:val="00365004"/>
    <w:rsid w:val="003653B0"/>
    <w:rsid w:val="0036639E"/>
    <w:rsid w:val="0036752E"/>
    <w:rsid w:val="00370070"/>
    <w:rsid w:val="00370620"/>
    <w:rsid w:val="00371D1D"/>
    <w:rsid w:val="00375031"/>
    <w:rsid w:val="00375255"/>
    <w:rsid w:val="00375FA7"/>
    <w:rsid w:val="00376755"/>
    <w:rsid w:val="00381029"/>
    <w:rsid w:val="0038139E"/>
    <w:rsid w:val="00382B9F"/>
    <w:rsid w:val="003833FD"/>
    <w:rsid w:val="00383B20"/>
    <w:rsid w:val="00384CCF"/>
    <w:rsid w:val="00385360"/>
    <w:rsid w:val="00385EF1"/>
    <w:rsid w:val="00387415"/>
    <w:rsid w:val="003879A1"/>
    <w:rsid w:val="00391233"/>
    <w:rsid w:val="003919B8"/>
    <w:rsid w:val="00391EAE"/>
    <w:rsid w:val="0039255B"/>
    <w:rsid w:val="003934B0"/>
    <w:rsid w:val="00393752"/>
    <w:rsid w:val="003939A1"/>
    <w:rsid w:val="00393E90"/>
    <w:rsid w:val="00397F1E"/>
    <w:rsid w:val="003A0E13"/>
    <w:rsid w:val="003A1B1F"/>
    <w:rsid w:val="003A3635"/>
    <w:rsid w:val="003A47A7"/>
    <w:rsid w:val="003A4AAA"/>
    <w:rsid w:val="003A5C31"/>
    <w:rsid w:val="003A7407"/>
    <w:rsid w:val="003A7467"/>
    <w:rsid w:val="003A7BBE"/>
    <w:rsid w:val="003B001A"/>
    <w:rsid w:val="003B0915"/>
    <w:rsid w:val="003B227E"/>
    <w:rsid w:val="003B3D92"/>
    <w:rsid w:val="003B3DBE"/>
    <w:rsid w:val="003B4EA9"/>
    <w:rsid w:val="003B5744"/>
    <w:rsid w:val="003C02C0"/>
    <w:rsid w:val="003C0A0A"/>
    <w:rsid w:val="003C2884"/>
    <w:rsid w:val="003C2CAB"/>
    <w:rsid w:val="003C2F82"/>
    <w:rsid w:val="003C34A0"/>
    <w:rsid w:val="003C44B4"/>
    <w:rsid w:val="003C496E"/>
    <w:rsid w:val="003C5FE9"/>
    <w:rsid w:val="003C6FEB"/>
    <w:rsid w:val="003C72CE"/>
    <w:rsid w:val="003D021A"/>
    <w:rsid w:val="003D19EF"/>
    <w:rsid w:val="003D1EB0"/>
    <w:rsid w:val="003D257F"/>
    <w:rsid w:val="003D2B00"/>
    <w:rsid w:val="003D3511"/>
    <w:rsid w:val="003D3A2C"/>
    <w:rsid w:val="003D4BE7"/>
    <w:rsid w:val="003D57C4"/>
    <w:rsid w:val="003D6FD2"/>
    <w:rsid w:val="003D74BE"/>
    <w:rsid w:val="003D7754"/>
    <w:rsid w:val="003E00DF"/>
    <w:rsid w:val="003E09B5"/>
    <w:rsid w:val="003E1496"/>
    <w:rsid w:val="003E5652"/>
    <w:rsid w:val="003E60B6"/>
    <w:rsid w:val="003E65E1"/>
    <w:rsid w:val="003E7729"/>
    <w:rsid w:val="003F013E"/>
    <w:rsid w:val="003F0D4D"/>
    <w:rsid w:val="003F4D15"/>
    <w:rsid w:val="003F5F93"/>
    <w:rsid w:val="003F78B8"/>
    <w:rsid w:val="00401BA5"/>
    <w:rsid w:val="00403024"/>
    <w:rsid w:val="00403F84"/>
    <w:rsid w:val="0041003E"/>
    <w:rsid w:val="00410D59"/>
    <w:rsid w:val="004121C5"/>
    <w:rsid w:val="004124FB"/>
    <w:rsid w:val="00412A11"/>
    <w:rsid w:val="00412AD6"/>
    <w:rsid w:val="00415562"/>
    <w:rsid w:val="00415E6A"/>
    <w:rsid w:val="00416FE6"/>
    <w:rsid w:val="004206BD"/>
    <w:rsid w:val="00422016"/>
    <w:rsid w:val="004231AC"/>
    <w:rsid w:val="00423706"/>
    <w:rsid w:val="004256CB"/>
    <w:rsid w:val="00425F91"/>
    <w:rsid w:val="00427D59"/>
    <w:rsid w:val="00433E5F"/>
    <w:rsid w:val="00433E7A"/>
    <w:rsid w:val="00434A7F"/>
    <w:rsid w:val="00435A75"/>
    <w:rsid w:val="004362E3"/>
    <w:rsid w:val="004368E4"/>
    <w:rsid w:val="00436E72"/>
    <w:rsid w:val="004412B3"/>
    <w:rsid w:val="00442CC1"/>
    <w:rsid w:val="00442D7A"/>
    <w:rsid w:val="0044359A"/>
    <w:rsid w:val="00443925"/>
    <w:rsid w:val="00446CB7"/>
    <w:rsid w:val="00446E29"/>
    <w:rsid w:val="00446F12"/>
    <w:rsid w:val="00447114"/>
    <w:rsid w:val="004508A2"/>
    <w:rsid w:val="00450F48"/>
    <w:rsid w:val="0045107E"/>
    <w:rsid w:val="00451B40"/>
    <w:rsid w:val="00454488"/>
    <w:rsid w:val="00454679"/>
    <w:rsid w:val="0045489F"/>
    <w:rsid w:val="004616E0"/>
    <w:rsid w:val="00461926"/>
    <w:rsid w:val="00461EDC"/>
    <w:rsid w:val="00462072"/>
    <w:rsid w:val="004717B0"/>
    <w:rsid w:val="00471FD1"/>
    <w:rsid w:val="00473EF4"/>
    <w:rsid w:val="00474889"/>
    <w:rsid w:val="00474AF3"/>
    <w:rsid w:val="00476676"/>
    <w:rsid w:val="004804A0"/>
    <w:rsid w:val="00480E68"/>
    <w:rsid w:val="004826DD"/>
    <w:rsid w:val="00483FBF"/>
    <w:rsid w:val="0048774B"/>
    <w:rsid w:val="004878A2"/>
    <w:rsid w:val="00487FAC"/>
    <w:rsid w:val="0049300C"/>
    <w:rsid w:val="00493160"/>
    <w:rsid w:val="004942CE"/>
    <w:rsid w:val="004971D6"/>
    <w:rsid w:val="00497A11"/>
    <w:rsid w:val="004A1064"/>
    <w:rsid w:val="004A2693"/>
    <w:rsid w:val="004A3AEB"/>
    <w:rsid w:val="004A3B23"/>
    <w:rsid w:val="004A4FAD"/>
    <w:rsid w:val="004A7687"/>
    <w:rsid w:val="004B267D"/>
    <w:rsid w:val="004B3F28"/>
    <w:rsid w:val="004B5F6C"/>
    <w:rsid w:val="004C3315"/>
    <w:rsid w:val="004C35FE"/>
    <w:rsid w:val="004C3FC2"/>
    <w:rsid w:val="004C47A8"/>
    <w:rsid w:val="004C52D6"/>
    <w:rsid w:val="004C58B9"/>
    <w:rsid w:val="004C5A3F"/>
    <w:rsid w:val="004C7E80"/>
    <w:rsid w:val="004D2843"/>
    <w:rsid w:val="004D2D48"/>
    <w:rsid w:val="004D3087"/>
    <w:rsid w:val="004D4ACB"/>
    <w:rsid w:val="004D6C4A"/>
    <w:rsid w:val="004D72A0"/>
    <w:rsid w:val="004D7CE7"/>
    <w:rsid w:val="004E0E78"/>
    <w:rsid w:val="004E2F4C"/>
    <w:rsid w:val="004E3E67"/>
    <w:rsid w:val="004E640D"/>
    <w:rsid w:val="004E67B5"/>
    <w:rsid w:val="004E790E"/>
    <w:rsid w:val="004F05A1"/>
    <w:rsid w:val="004F0DC0"/>
    <w:rsid w:val="004F0F63"/>
    <w:rsid w:val="004F2F64"/>
    <w:rsid w:val="004F4A4A"/>
    <w:rsid w:val="004F7211"/>
    <w:rsid w:val="004F7E31"/>
    <w:rsid w:val="00503379"/>
    <w:rsid w:val="0050389F"/>
    <w:rsid w:val="0050630C"/>
    <w:rsid w:val="00506D09"/>
    <w:rsid w:val="00506DC3"/>
    <w:rsid w:val="0051179F"/>
    <w:rsid w:val="00511C04"/>
    <w:rsid w:val="00514726"/>
    <w:rsid w:val="005149C6"/>
    <w:rsid w:val="005170DD"/>
    <w:rsid w:val="00517471"/>
    <w:rsid w:val="00517E88"/>
    <w:rsid w:val="00520A66"/>
    <w:rsid w:val="005234ED"/>
    <w:rsid w:val="00523D37"/>
    <w:rsid w:val="00523D53"/>
    <w:rsid w:val="005244B5"/>
    <w:rsid w:val="00524B80"/>
    <w:rsid w:val="00525209"/>
    <w:rsid w:val="00526585"/>
    <w:rsid w:val="0052687A"/>
    <w:rsid w:val="00530894"/>
    <w:rsid w:val="00532E94"/>
    <w:rsid w:val="005335B1"/>
    <w:rsid w:val="00535507"/>
    <w:rsid w:val="00535C60"/>
    <w:rsid w:val="005401D4"/>
    <w:rsid w:val="00540287"/>
    <w:rsid w:val="00540BF8"/>
    <w:rsid w:val="005434AD"/>
    <w:rsid w:val="00544A50"/>
    <w:rsid w:val="005477C0"/>
    <w:rsid w:val="005478B3"/>
    <w:rsid w:val="00550508"/>
    <w:rsid w:val="00550E29"/>
    <w:rsid w:val="00552B75"/>
    <w:rsid w:val="00552E58"/>
    <w:rsid w:val="005537AB"/>
    <w:rsid w:val="005545F4"/>
    <w:rsid w:val="00556A9E"/>
    <w:rsid w:val="00556FA8"/>
    <w:rsid w:val="00560ABF"/>
    <w:rsid w:val="00563759"/>
    <w:rsid w:val="00565045"/>
    <w:rsid w:val="005661D7"/>
    <w:rsid w:val="005704CF"/>
    <w:rsid w:val="00570974"/>
    <w:rsid w:val="00570B92"/>
    <w:rsid w:val="00571C78"/>
    <w:rsid w:val="00571D77"/>
    <w:rsid w:val="00571FC7"/>
    <w:rsid w:val="005725CE"/>
    <w:rsid w:val="00573DFC"/>
    <w:rsid w:val="00574675"/>
    <w:rsid w:val="0057477B"/>
    <w:rsid w:val="00575837"/>
    <w:rsid w:val="0057654E"/>
    <w:rsid w:val="00576B59"/>
    <w:rsid w:val="0057780E"/>
    <w:rsid w:val="0058335B"/>
    <w:rsid w:val="005839B1"/>
    <w:rsid w:val="00584000"/>
    <w:rsid w:val="00585A00"/>
    <w:rsid w:val="00587102"/>
    <w:rsid w:val="00587166"/>
    <w:rsid w:val="0058756C"/>
    <w:rsid w:val="0059018E"/>
    <w:rsid w:val="00590D1F"/>
    <w:rsid w:val="00592639"/>
    <w:rsid w:val="00592BEF"/>
    <w:rsid w:val="005958D6"/>
    <w:rsid w:val="005964CF"/>
    <w:rsid w:val="005A0044"/>
    <w:rsid w:val="005A5FE0"/>
    <w:rsid w:val="005A6199"/>
    <w:rsid w:val="005A640B"/>
    <w:rsid w:val="005A738A"/>
    <w:rsid w:val="005A785E"/>
    <w:rsid w:val="005B13E6"/>
    <w:rsid w:val="005B3DE7"/>
    <w:rsid w:val="005B43E8"/>
    <w:rsid w:val="005B4A2A"/>
    <w:rsid w:val="005B4E07"/>
    <w:rsid w:val="005B5DE5"/>
    <w:rsid w:val="005B6CAB"/>
    <w:rsid w:val="005C3D76"/>
    <w:rsid w:val="005C48CB"/>
    <w:rsid w:val="005C58A2"/>
    <w:rsid w:val="005C65EB"/>
    <w:rsid w:val="005C71A0"/>
    <w:rsid w:val="005D22CB"/>
    <w:rsid w:val="005D59C4"/>
    <w:rsid w:val="005D646A"/>
    <w:rsid w:val="005D6CA5"/>
    <w:rsid w:val="005E0DCF"/>
    <w:rsid w:val="005E22DF"/>
    <w:rsid w:val="005E5AC6"/>
    <w:rsid w:val="005E6E0E"/>
    <w:rsid w:val="005F11BA"/>
    <w:rsid w:val="005F36DD"/>
    <w:rsid w:val="005F49CD"/>
    <w:rsid w:val="005F5BE6"/>
    <w:rsid w:val="005F5F2F"/>
    <w:rsid w:val="00600ED6"/>
    <w:rsid w:val="006015CF"/>
    <w:rsid w:val="00601C28"/>
    <w:rsid w:val="00602609"/>
    <w:rsid w:val="00603B3F"/>
    <w:rsid w:val="00604936"/>
    <w:rsid w:val="00605131"/>
    <w:rsid w:val="006077FE"/>
    <w:rsid w:val="00610426"/>
    <w:rsid w:val="00610E16"/>
    <w:rsid w:val="00611C2C"/>
    <w:rsid w:val="006132F3"/>
    <w:rsid w:val="00613923"/>
    <w:rsid w:val="00614243"/>
    <w:rsid w:val="00614261"/>
    <w:rsid w:val="0062053D"/>
    <w:rsid w:val="00620FE4"/>
    <w:rsid w:val="006210C7"/>
    <w:rsid w:val="00621DDC"/>
    <w:rsid w:val="00621E5E"/>
    <w:rsid w:val="006229FF"/>
    <w:rsid w:val="00622CD6"/>
    <w:rsid w:val="00623E85"/>
    <w:rsid w:val="00625225"/>
    <w:rsid w:val="00625228"/>
    <w:rsid w:val="00626749"/>
    <w:rsid w:val="00627C48"/>
    <w:rsid w:val="00630788"/>
    <w:rsid w:val="00633672"/>
    <w:rsid w:val="00633E94"/>
    <w:rsid w:val="00634344"/>
    <w:rsid w:val="00634A0F"/>
    <w:rsid w:val="00635190"/>
    <w:rsid w:val="00635B5D"/>
    <w:rsid w:val="00640EAD"/>
    <w:rsid w:val="00640EBB"/>
    <w:rsid w:val="00641906"/>
    <w:rsid w:val="00641AA1"/>
    <w:rsid w:val="00643614"/>
    <w:rsid w:val="0064556F"/>
    <w:rsid w:val="00645D32"/>
    <w:rsid w:val="0065025B"/>
    <w:rsid w:val="00654E11"/>
    <w:rsid w:val="00654EF2"/>
    <w:rsid w:val="006575BC"/>
    <w:rsid w:val="00660B67"/>
    <w:rsid w:val="00661F99"/>
    <w:rsid w:val="00662446"/>
    <w:rsid w:val="00663AF2"/>
    <w:rsid w:val="00665AC4"/>
    <w:rsid w:val="00665FAD"/>
    <w:rsid w:val="00670196"/>
    <w:rsid w:val="00670716"/>
    <w:rsid w:val="00671216"/>
    <w:rsid w:val="00671B5A"/>
    <w:rsid w:val="00672188"/>
    <w:rsid w:val="00672BA2"/>
    <w:rsid w:val="0067400C"/>
    <w:rsid w:val="006761F1"/>
    <w:rsid w:val="00676259"/>
    <w:rsid w:val="0067697E"/>
    <w:rsid w:val="006774B5"/>
    <w:rsid w:val="006808F1"/>
    <w:rsid w:val="00680DEF"/>
    <w:rsid w:val="00681445"/>
    <w:rsid w:val="0068190E"/>
    <w:rsid w:val="00681986"/>
    <w:rsid w:val="00683471"/>
    <w:rsid w:val="00683B38"/>
    <w:rsid w:val="00683CA3"/>
    <w:rsid w:val="006851D4"/>
    <w:rsid w:val="0068558C"/>
    <w:rsid w:val="00686F06"/>
    <w:rsid w:val="00687290"/>
    <w:rsid w:val="00687808"/>
    <w:rsid w:val="00687AA2"/>
    <w:rsid w:val="00691551"/>
    <w:rsid w:val="006916C5"/>
    <w:rsid w:val="006940DB"/>
    <w:rsid w:val="00696659"/>
    <w:rsid w:val="00697ADB"/>
    <w:rsid w:val="006A0B24"/>
    <w:rsid w:val="006A0BDF"/>
    <w:rsid w:val="006A1231"/>
    <w:rsid w:val="006A1257"/>
    <w:rsid w:val="006A1613"/>
    <w:rsid w:val="006A1E7D"/>
    <w:rsid w:val="006A2150"/>
    <w:rsid w:val="006A4FE5"/>
    <w:rsid w:val="006A53BB"/>
    <w:rsid w:val="006A5DC5"/>
    <w:rsid w:val="006A5EBE"/>
    <w:rsid w:val="006B04E4"/>
    <w:rsid w:val="006B0BD4"/>
    <w:rsid w:val="006B130B"/>
    <w:rsid w:val="006B20F0"/>
    <w:rsid w:val="006B27E9"/>
    <w:rsid w:val="006B56B4"/>
    <w:rsid w:val="006B68FA"/>
    <w:rsid w:val="006C2EFB"/>
    <w:rsid w:val="006C4DF6"/>
    <w:rsid w:val="006C59D5"/>
    <w:rsid w:val="006C63BB"/>
    <w:rsid w:val="006D0796"/>
    <w:rsid w:val="006D1198"/>
    <w:rsid w:val="006D244B"/>
    <w:rsid w:val="006D4529"/>
    <w:rsid w:val="006D677D"/>
    <w:rsid w:val="006D7B3F"/>
    <w:rsid w:val="006E23A2"/>
    <w:rsid w:val="006E35DB"/>
    <w:rsid w:val="006E376D"/>
    <w:rsid w:val="006E42DE"/>
    <w:rsid w:val="006E4D6D"/>
    <w:rsid w:val="006E5657"/>
    <w:rsid w:val="006E757A"/>
    <w:rsid w:val="006E77A0"/>
    <w:rsid w:val="006E7E34"/>
    <w:rsid w:val="006F32BF"/>
    <w:rsid w:val="006F50DF"/>
    <w:rsid w:val="006F66E8"/>
    <w:rsid w:val="006F6908"/>
    <w:rsid w:val="006F6A74"/>
    <w:rsid w:val="006F6BB1"/>
    <w:rsid w:val="006F7658"/>
    <w:rsid w:val="006F7B19"/>
    <w:rsid w:val="00700AC4"/>
    <w:rsid w:val="00700E4A"/>
    <w:rsid w:val="00704318"/>
    <w:rsid w:val="00704770"/>
    <w:rsid w:val="00704790"/>
    <w:rsid w:val="00705072"/>
    <w:rsid w:val="007061DA"/>
    <w:rsid w:val="00706CF1"/>
    <w:rsid w:val="00706F43"/>
    <w:rsid w:val="0071051A"/>
    <w:rsid w:val="007111B8"/>
    <w:rsid w:val="00711862"/>
    <w:rsid w:val="00712AEE"/>
    <w:rsid w:val="007163C7"/>
    <w:rsid w:val="00717632"/>
    <w:rsid w:val="0072173B"/>
    <w:rsid w:val="00723819"/>
    <w:rsid w:val="00732462"/>
    <w:rsid w:val="00734D05"/>
    <w:rsid w:val="007417B2"/>
    <w:rsid w:val="00742CB0"/>
    <w:rsid w:val="007433FC"/>
    <w:rsid w:val="00743CBE"/>
    <w:rsid w:val="0074661C"/>
    <w:rsid w:val="00746B6A"/>
    <w:rsid w:val="00746E36"/>
    <w:rsid w:val="007474C1"/>
    <w:rsid w:val="00750397"/>
    <w:rsid w:val="00751D45"/>
    <w:rsid w:val="00753103"/>
    <w:rsid w:val="007545C6"/>
    <w:rsid w:val="00757AC0"/>
    <w:rsid w:val="00757EBD"/>
    <w:rsid w:val="00757EC2"/>
    <w:rsid w:val="00760F20"/>
    <w:rsid w:val="00762DB3"/>
    <w:rsid w:val="0076321E"/>
    <w:rsid w:val="00763319"/>
    <w:rsid w:val="00763A55"/>
    <w:rsid w:val="00766475"/>
    <w:rsid w:val="007667BB"/>
    <w:rsid w:val="007672C9"/>
    <w:rsid w:val="007672CA"/>
    <w:rsid w:val="007700F8"/>
    <w:rsid w:val="007701AA"/>
    <w:rsid w:val="0077044A"/>
    <w:rsid w:val="00771649"/>
    <w:rsid w:val="007720F4"/>
    <w:rsid w:val="0077364D"/>
    <w:rsid w:val="00774091"/>
    <w:rsid w:val="00784363"/>
    <w:rsid w:val="00785B24"/>
    <w:rsid w:val="00786D49"/>
    <w:rsid w:val="007876F0"/>
    <w:rsid w:val="00793F62"/>
    <w:rsid w:val="00794893"/>
    <w:rsid w:val="00794C5F"/>
    <w:rsid w:val="007A0103"/>
    <w:rsid w:val="007A2277"/>
    <w:rsid w:val="007A235F"/>
    <w:rsid w:val="007A280C"/>
    <w:rsid w:val="007A4692"/>
    <w:rsid w:val="007A5521"/>
    <w:rsid w:val="007A59C9"/>
    <w:rsid w:val="007A68D9"/>
    <w:rsid w:val="007A6F1F"/>
    <w:rsid w:val="007B24AC"/>
    <w:rsid w:val="007B4A6D"/>
    <w:rsid w:val="007B7AC0"/>
    <w:rsid w:val="007C0346"/>
    <w:rsid w:val="007C0A80"/>
    <w:rsid w:val="007C2C27"/>
    <w:rsid w:val="007C32E9"/>
    <w:rsid w:val="007C4039"/>
    <w:rsid w:val="007C5F11"/>
    <w:rsid w:val="007C5FF7"/>
    <w:rsid w:val="007C65E2"/>
    <w:rsid w:val="007D3C5E"/>
    <w:rsid w:val="007D4F38"/>
    <w:rsid w:val="007D58D3"/>
    <w:rsid w:val="007D636B"/>
    <w:rsid w:val="007D797B"/>
    <w:rsid w:val="007E090A"/>
    <w:rsid w:val="007E10DD"/>
    <w:rsid w:val="007E1835"/>
    <w:rsid w:val="007E2817"/>
    <w:rsid w:val="007E7389"/>
    <w:rsid w:val="007F33FA"/>
    <w:rsid w:val="007F508C"/>
    <w:rsid w:val="007F5A3E"/>
    <w:rsid w:val="007F65C6"/>
    <w:rsid w:val="008006CC"/>
    <w:rsid w:val="00805358"/>
    <w:rsid w:val="008063E9"/>
    <w:rsid w:val="008070A8"/>
    <w:rsid w:val="008073D4"/>
    <w:rsid w:val="00807759"/>
    <w:rsid w:val="00807917"/>
    <w:rsid w:val="0081010E"/>
    <w:rsid w:val="00810499"/>
    <w:rsid w:val="0081166D"/>
    <w:rsid w:val="00811D69"/>
    <w:rsid w:val="0081203C"/>
    <w:rsid w:val="00814ECB"/>
    <w:rsid w:val="008151DE"/>
    <w:rsid w:val="00815D71"/>
    <w:rsid w:val="00821F3F"/>
    <w:rsid w:val="0082770E"/>
    <w:rsid w:val="00831207"/>
    <w:rsid w:val="00832D9E"/>
    <w:rsid w:val="008353B7"/>
    <w:rsid w:val="008413B8"/>
    <w:rsid w:val="00843475"/>
    <w:rsid w:val="008441CF"/>
    <w:rsid w:val="0084470A"/>
    <w:rsid w:val="00844D3F"/>
    <w:rsid w:val="0084784B"/>
    <w:rsid w:val="008501D0"/>
    <w:rsid w:val="00850B9B"/>
    <w:rsid w:val="00851137"/>
    <w:rsid w:val="00852448"/>
    <w:rsid w:val="00852508"/>
    <w:rsid w:val="00852E2F"/>
    <w:rsid w:val="00853E8F"/>
    <w:rsid w:val="00854BE0"/>
    <w:rsid w:val="00854F4B"/>
    <w:rsid w:val="008550D2"/>
    <w:rsid w:val="00855ABE"/>
    <w:rsid w:val="00856179"/>
    <w:rsid w:val="00856B22"/>
    <w:rsid w:val="00856D4A"/>
    <w:rsid w:val="00862B64"/>
    <w:rsid w:val="008645F6"/>
    <w:rsid w:val="00865328"/>
    <w:rsid w:val="008654A4"/>
    <w:rsid w:val="00865D7E"/>
    <w:rsid w:val="00866BDF"/>
    <w:rsid w:val="00867EED"/>
    <w:rsid w:val="00871D73"/>
    <w:rsid w:val="008721C4"/>
    <w:rsid w:val="008741A0"/>
    <w:rsid w:val="008742E9"/>
    <w:rsid w:val="008761A5"/>
    <w:rsid w:val="008762CB"/>
    <w:rsid w:val="00876912"/>
    <w:rsid w:val="0087707C"/>
    <w:rsid w:val="0088113D"/>
    <w:rsid w:val="00881F48"/>
    <w:rsid w:val="008824A9"/>
    <w:rsid w:val="00882DF7"/>
    <w:rsid w:val="008855BF"/>
    <w:rsid w:val="00886842"/>
    <w:rsid w:val="00890AA7"/>
    <w:rsid w:val="00893341"/>
    <w:rsid w:val="0089511D"/>
    <w:rsid w:val="00895491"/>
    <w:rsid w:val="00896A07"/>
    <w:rsid w:val="00897B92"/>
    <w:rsid w:val="00897FA2"/>
    <w:rsid w:val="008A087B"/>
    <w:rsid w:val="008A14B8"/>
    <w:rsid w:val="008A1FDF"/>
    <w:rsid w:val="008A2201"/>
    <w:rsid w:val="008A2720"/>
    <w:rsid w:val="008A3138"/>
    <w:rsid w:val="008A3395"/>
    <w:rsid w:val="008A3DB3"/>
    <w:rsid w:val="008A3DF0"/>
    <w:rsid w:val="008A42EA"/>
    <w:rsid w:val="008A5C81"/>
    <w:rsid w:val="008A6FA4"/>
    <w:rsid w:val="008A7313"/>
    <w:rsid w:val="008B09EE"/>
    <w:rsid w:val="008B0DBA"/>
    <w:rsid w:val="008B30BA"/>
    <w:rsid w:val="008B3634"/>
    <w:rsid w:val="008B4229"/>
    <w:rsid w:val="008B5038"/>
    <w:rsid w:val="008B56E3"/>
    <w:rsid w:val="008B65B4"/>
    <w:rsid w:val="008B7943"/>
    <w:rsid w:val="008C4CF8"/>
    <w:rsid w:val="008C584E"/>
    <w:rsid w:val="008C600D"/>
    <w:rsid w:val="008C6F16"/>
    <w:rsid w:val="008C772F"/>
    <w:rsid w:val="008C7DB0"/>
    <w:rsid w:val="008C7FC9"/>
    <w:rsid w:val="008D0ADB"/>
    <w:rsid w:val="008D23EC"/>
    <w:rsid w:val="008D67C2"/>
    <w:rsid w:val="008D695E"/>
    <w:rsid w:val="008D70C4"/>
    <w:rsid w:val="008E04CD"/>
    <w:rsid w:val="008E0667"/>
    <w:rsid w:val="008E0721"/>
    <w:rsid w:val="008E101A"/>
    <w:rsid w:val="008E1697"/>
    <w:rsid w:val="008E19C0"/>
    <w:rsid w:val="008E3483"/>
    <w:rsid w:val="008E417B"/>
    <w:rsid w:val="008E7DC5"/>
    <w:rsid w:val="008F3083"/>
    <w:rsid w:val="008F4291"/>
    <w:rsid w:val="008F4C58"/>
    <w:rsid w:val="008F4DCE"/>
    <w:rsid w:val="008F4FFC"/>
    <w:rsid w:val="00905623"/>
    <w:rsid w:val="0090572C"/>
    <w:rsid w:val="00907173"/>
    <w:rsid w:val="0091080B"/>
    <w:rsid w:val="009111CA"/>
    <w:rsid w:val="009119CD"/>
    <w:rsid w:val="009125CA"/>
    <w:rsid w:val="00913482"/>
    <w:rsid w:val="00913A10"/>
    <w:rsid w:val="00915BF7"/>
    <w:rsid w:val="009201C5"/>
    <w:rsid w:val="0092020F"/>
    <w:rsid w:val="00923C0D"/>
    <w:rsid w:val="0092505C"/>
    <w:rsid w:val="00926833"/>
    <w:rsid w:val="009279E8"/>
    <w:rsid w:val="00931E8A"/>
    <w:rsid w:val="00931F6A"/>
    <w:rsid w:val="00931F8A"/>
    <w:rsid w:val="00935C4D"/>
    <w:rsid w:val="00941DAB"/>
    <w:rsid w:val="00941DF0"/>
    <w:rsid w:val="00942ABF"/>
    <w:rsid w:val="00943A51"/>
    <w:rsid w:val="0094465C"/>
    <w:rsid w:val="00944DDF"/>
    <w:rsid w:val="009456F9"/>
    <w:rsid w:val="0095199D"/>
    <w:rsid w:val="00952DAE"/>
    <w:rsid w:val="00953936"/>
    <w:rsid w:val="00953F95"/>
    <w:rsid w:val="00954B0D"/>
    <w:rsid w:val="00954DC9"/>
    <w:rsid w:val="00956804"/>
    <w:rsid w:val="0095797E"/>
    <w:rsid w:val="00960487"/>
    <w:rsid w:val="0096133C"/>
    <w:rsid w:val="00963683"/>
    <w:rsid w:val="00965E72"/>
    <w:rsid w:val="0096675E"/>
    <w:rsid w:val="00966F07"/>
    <w:rsid w:val="009670B7"/>
    <w:rsid w:val="00967E72"/>
    <w:rsid w:val="0097059A"/>
    <w:rsid w:val="00970A4F"/>
    <w:rsid w:val="00971D89"/>
    <w:rsid w:val="009723D1"/>
    <w:rsid w:val="009732C1"/>
    <w:rsid w:val="0097346E"/>
    <w:rsid w:val="00973517"/>
    <w:rsid w:val="009748A6"/>
    <w:rsid w:val="00975526"/>
    <w:rsid w:val="009757D3"/>
    <w:rsid w:val="00977705"/>
    <w:rsid w:val="0098126C"/>
    <w:rsid w:val="0098255B"/>
    <w:rsid w:val="009836C6"/>
    <w:rsid w:val="0098443A"/>
    <w:rsid w:val="00985653"/>
    <w:rsid w:val="00986C61"/>
    <w:rsid w:val="00987909"/>
    <w:rsid w:val="00987C20"/>
    <w:rsid w:val="009911AB"/>
    <w:rsid w:val="009928E2"/>
    <w:rsid w:val="00993ECD"/>
    <w:rsid w:val="009943D4"/>
    <w:rsid w:val="009947E6"/>
    <w:rsid w:val="00994B2D"/>
    <w:rsid w:val="009950A7"/>
    <w:rsid w:val="009A0B62"/>
    <w:rsid w:val="009A0E13"/>
    <w:rsid w:val="009A2689"/>
    <w:rsid w:val="009A2AA7"/>
    <w:rsid w:val="009A3054"/>
    <w:rsid w:val="009A5C59"/>
    <w:rsid w:val="009A6A5A"/>
    <w:rsid w:val="009A75B7"/>
    <w:rsid w:val="009A76CB"/>
    <w:rsid w:val="009B04D1"/>
    <w:rsid w:val="009B1A25"/>
    <w:rsid w:val="009B1AAE"/>
    <w:rsid w:val="009B1E73"/>
    <w:rsid w:val="009B25AE"/>
    <w:rsid w:val="009B3538"/>
    <w:rsid w:val="009B44DB"/>
    <w:rsid w:val="009B4933"/>
    <w:rsid w:val="009B66C3"/>
    <w:rsid w:val="009B69F7"/>
    <w:rsid w:val="009B7344"/>
    <w:rsid w:val="009C3221"/>
    <w:rsid w:val="009C33CF"/>
    <w:rsid w:val="009C450B"/>
    <w:rsid w:val="009C6C20"/>
    <w:rsid w:val="009D1C95"/>
    <w:rsid w:val="009D388F"/>
    <w:rsid w:val="009D4480"/>
    <w:rsid w:val="009D45BE"/>
    <w:rsid w:val="009D5783"/>
    <w:rsid w:val="009D6687"/>
    <w:rsid w:val="009D67A8"/>
    <w:rsid w:val="009D785C"/>
    <w:rsid w:val="009E011B"/>
    <w:rsid w:val="009E019F"/>
    <w:rsid w:val="009E1A91"/>
    <w:rsid w:val="009E3356"/>
    <w:rsid w:val="009E43F8"/>
    <w:rsid w:val="009E5CC3"/>
    <w:rsid w:val="009E726C"/>
    <w:rsid w:val="009E7A9F"/>
    <w:rsid w:val="009F1F9D"/>
    <w:rsid w:val="009F2061"/>
    <w:rsid w:val="009F46A7"/>
    <w:rsid w:val="009F7219"/>
    <w:rsid w:val="00A003B3"/>
    <w:rsid w:val="00A018F7"/>
    <w:rsid w:val="00A0240F"/>
    <w:rsid w:val="00A029EC"/>
    <w:rsid w:val="00A051ED"/>
    <w:rsid w:val="00A05B20"/>
    <w:rsid w:val="00A05BC5"/>
    <w:rsid w:val="00A0677B"/>
    <w:rsid w:val="00A06F18"/>
    <w:rsid w:val="00A078C8"/>
    <w:rsid w:val="00A07A2F"/>
    <w:rsid w:val="00A1385F"/>
    <w:rsid w:val="00A13BC4"/>
    <w:rsid w:val="00A13ECE"/>
    <w:rsid w:val="00A145EC"/>
    <w:rsid w:val="00A1460F"/>
    <w:rsid w:val="00A14AF6"/>
    <w:rsid w:val="00A15366"/>
    <w:rsid w:val="00A15597"/>
    <w:rsid w:val="00A15EF4"/>
    <w:rsid w:val="00A17476"/>
    <w:rsid w:val="00A213A8"/>
    <w:rsid w:val="00A21BDE"/>
    <w:rsid w:val="00A21F3E"/>
    <w:rsid w:val="00A22217"/>
    <w:rsid w:val="00A22A33"/>
    <w:rsid w:val="00A22AE3"/>
    <w:rsid w:val="00A230AB"/>
    <w:rsid w:val="00A255D8"/>
    <w:rsid w:val="00A25CF2"/>
    <w:rsid w:val="00A268C5"/>
    <w:rsid w:val="00A26E14"/>
    <w:rsid w:val="00A277F7"/>
    <w:rsid w:val="00A27CFB"/>
    <w:rsid w:val="00A30C52"/>
    <w:rsid w:val="00A30DFB"/>
    <w:rsid w:val="00A3143D"/>
    <w:rsid w:val="00A31B6E"/>
    <w:rsid w:val="00A31E40"/>
    <w:rsid w:val="00A342EE"/>
    <w:rsid w:val="00A346BA"/>
    <w:rsid w:val="00A34E19"/>
    <w:rsid w:val="00A35420"/>
    <w:rsid w:val="00A418D7"/>
    <w:rsid w:val="00A431C9"/>
    <w:rsid w:val="00A43A5B"/>
    <w:rsid w:val="00A43AE3"/>
    <w:rsid w:val="00A43BAF"/>
    <w:rsid w:val="00A46344"/>
    <w:rsid w:val="00A5129E"/>
    <w:rsid w:val="00A51ECF"/>
    <w:rsid w:val="00A53C1E"/>
    <w:rsid w:val="00A55575"/>
    <w:rsid w:val="00A558CD"/>
    <w:rsid w:val="00A55C32"/>
    <w:rsid w:val="00A55D87"/>
    <w:rsid w:val="00A600E9"/>
    <w:rsid w:val="00A6078E"/>
    <w:rsid w:val="00A61534"/>
    <w:rsid w:val="00A64EC4"/>
    <w:rsid w:val="00A6533B"/>
    <w:rsid w:val="00A65811"/>
    <w:rsid w:val="00A7023B"/>
    <w:rsid w:val="00A70370"/>
    <w:rsid w:val="00A71923"/>
    <w:rsid w:val="00A730B2"/>
    <w:rsid w:val="00A7346B"/>
    <w:rsid w:val="00A74445"/>
    <w:rsid w:val="00A75329"/>
    <w:rsid w:val="00A75A6C"/>
    <w:rsid w:val="00A75C4E"/>
    <w:rsid w:val="00A75CE1"/>
    <w:rsid w:val="00A81AB4"/>
    <w:rsid w:val="00A83EB5"/>
    <w:rsid w:val="00A85DC1"/>
    <w:rsid w:val="00A86F09"/>
    <w:rsid w:val="00A87E94"/>
    <w:rsid w:val="00A904FA"/>
    <w:rsid w:val="00A91536"/>
    <w:rsid w:val="00A93085"/>
    <w:rsid w:val="00A93E50"/>
    <w:rsid w:val="00A94844"/>
    <w:rsid w:val="00A9521E"/>
    <w:rsid w:val="00A96AF2"/>
    <w:rsid w:val="00AA06E5"/>
    <w:rsid w:val="00AA1DF7"/>
    <w:rsid w:val="00AA2CB3"/>
    <w:rsid w:val="00AA330A"/>
    <w:rsid w:val="00AA355C"/>
    <w:rsid w:val="00AA3AB9"/>
    <w:rsid w:val="00AA4C19"/>
    <w:rsid w:val="00AA50D6"/>
    <w:rsid w:val="00AA54DF"/>
    <w:rsid w:val="00AA5A84"/>
    <w:rsid w:val="00AA6088"/>
    <w:rsid w:val="00AA65D2"/>
    <w:rsid w:val="00AA6A54"/>
    <w:rsid w:val="00AB1564"/>
    <w:rsid w:val="00AB1A97"/>
    <w:rsid w:val="00AB337C"/>
    <w:rsid w:val="00AB342D"/>
    <w:rsid w:val="00AB3479"/>
    <w:rsid w:val="00AB65E7"/>
    <w:rsid w:val="00AC1FF7"/>
    <w:rsid w:val="00AC3A69"/>
    <w:rsid w:val="00AC551A"/>
    <w:rsid w:val="00AC5E6C"/>
    <w:rsid w:val="00AC6310"/>
    <w:rsid w:val="00AC6E62"/>
    <w:rsid w:val="00AD0528"/>
    <w:rsid w:val="00AD0C71"/>
    <w:rsid w:val="00AD2AD2"/>
    <w:rsid w:val="00AD306E"/>
    <w:rsid w:val="00AD3414"/>
    <w:rsid w:val="00AD40D0"/>
    <w:rsid w:val="00AD500F"/>
    <w:rsid w:val="00AD77C9"/>
    <w:rsid w:val="00AE05EC"/>
    <w:rsid w:val="00AE1EFA"/>
    <w:rsid w:val="00AE2CB4"/>
    <w:rsid w:val="00AE2F9E"/>
    <w:rsid w:val="00AE4D26"/>
    <w:rsid w:val="00AE6898"/>
    <w:rsid w:val="00AE6E54"/>
    <w:rsid w:val="00AF080D"/>
    <w:rsid w:val="00AF2726"/>
    <w:rsid w:val="00AF45E9"/>
    <w:rsid w:val="00AF6545"/>
    <w:rsid w:val="00AF66D9"/>
    <w:rsid w:val="00B00698"/>
    <w:rsid w:val="00B00FC3"/>
    <w:rsid w:val="00B01194"/>
    <w:rsid w:val="00B01E7B"/>
    <w:rsid w:val="00B02250"/>
    <w:rsid w:val="00B05E37"/>
    <w:rsid w:val="00B078C8"/>
    <w:rsid w:val="00B11895"/>
    <w:rsid w:val="00B12BDD"/>
    <w:rsid w:val="00B1303B"/>
    <w:rsid w:val="00B13369"/>
    <w:rsid w:val="00B13B9B"/>
    <w:rsid w:val="00B14D9B"/>
    <w:rsid w:val="00B15879"/>
    <w:rsid w:val="00B16E53"/>
    <w:rsid w:val="00B177AB"/>
    <w:rsid w:val="00B22E76"/>
    <w:rsid w:val="00B23488"/>
    <w:rsid w:val="00B25DA7"/>
    <w:rsid w:val="00B26A11"/>
    <w:rsid w:val="00B31810"/>
    <w:rsid w:val="00B41467"/>
    <w:rsid w:val="00B4240F"/>
    <w:rsid w:val="00B43264"/>
    <w:rsid w:val="00B442E2"/>
    <w:rsid w:val="00B44394"/>
    <w:rsid w:val="00B44D7A"/>
    <w:rsid w:val="00B45AC9"/>
    <w:rsid w:val="00B4731F"/>
    <w:rsid w:val="00B4754E"/>
    <w:rsid w:val="00B475F4"/>
    <w:rsid w:val="00B52584"/>
    <w:rsid w:val="00B52F5E"/>
    <w:rsid w:val="00B53C91"/>
    <w:rsid w:val="00B54805"/>
    <w:rsid w:val="00B558FA"/>
    <w:rsid w:val="00B55E2E"/>
    <w:rsid w:val="00B56EA2"/>
    <w:rsid w:val="00B57113"/>
    <w:rsid w:val="00B578C8"/>
    <w:rsid w:val="00B57E15"/>
    <w:rsid w:val="00B602BE"/>
    <w:rsid w:val="00B6149B"/>
    <w:rsid w:val="00B636A4"/>
    <w:rsid w:val="00B6450A"/>
    <w:rsid w:val="00B65857"/>
    <w:rsid w:val="00B665E6"/>
    <w:rsid w:val="00B70A9A"/>
    <w:rsid w:val="00B70F26"/>
    <w:rsid w:val="00B72484"/>
    <w:rsid w:val="00B727F3"/>
    <w:rsid w:val="00B739DA"/>
    <w:rsid w:val="00B743FD"/>
    <w:rsid w:val="00B7598D"/>
    <w:rsid w:val="00B77EEC"/>
    <w:rsid w:val="00B80776"/>
    <w:rsid w:val="00B85490"/>
    <w:rsid w:val="00B86E89"/>
    <w:rsid w:val="00B86FA7"/>
    <w:rsid w:val="00B87F17"/>
    <w:rsid w:val="00B9065C"/>
    <w:rsid w:val="00B90F17"/>
    <w:rsid w:val="00B910A4"/>
    <w:rsid w:val="00B91F9A"/>
    <w:rsid w:val="00B9260A"/>
    <w:rsid w:val="00B93FDE"/>
    <w:rsid w:val="00B94B30"/>
    <w:rsid w:val="00B94F55"/>
    <w:rsid w:val="00B96243"/>
    <w:rsid w:val="00BA26CE"/>
    <w:rsid w:val="00BA28D7"/>
    <w:rsid w:val="00BA3969"/>
    <w:rsid w:val="00BA581C"/>
    <w:rsid w:val="00BA5D28"/>
    <w:rsid w:val="00BA6DED"/>
    <w:rsid w:val="00BA7D17"/>
    <w:rsid w:val="00BB076E"/>
    <w:rsid w:val="00BB1CF2"/>
    <w:rsid w:val="00BB5171"/>
    <w:rsid w:val="00BB5C1D"/>
    <w:rsid w:val="00BB6A1B"/>
    <w:rsid w:val="00BB6C2E"/>
    <w:rsid w:val="00BB7A25"/>
    <w:rsid w:val="00BC0A3C"/>
    <w:rsid w:val="00BC1948"/>
    <w:rsid w:val="00BC2B49"/>
    <w:rsid w:val="00BC4B37"/>
    <w:rsid w:val="00BC4F73"/>
    <w:rsid w:val="00BC5916"/>
    <w:rsid w:val="00BC621F"/>
    <w:rsid w:val="00BD286F"/>
    <w:rsid w:val="00BD3EFE"/>
    <w:rsid w:val="00BD62DF"/>
    <w:rsid w:val="00BE157C"/>
    <w:rsid w:val="00BE2159"/>
    <w:rsid w:val="00BE2BF2"/>
    <w:rsid w:val="00BE3326"/>
    <w:rsid w:val="00BE35A6"/>
    <w:rsid w:val="00BE652E"/>
    <w:rsid w:val="00BE65F5"/>
    <w:rsid w:val="00BE7919"/>
    <w:rsid w:val="00BF0F94"/>
    <w:rsid w:val="00BF13BC"/>
    <w:rsid w:val="00BF2A9C"/>
    <w:rsid w:val="00BF2BC8"/>
    <w:rsid w:val="00BF36F1"/>
    <w:rsid w:val="00BF3EF1"/>
    <w:rsid w:val="00BF4241"/>
    <w:rsid w:val="00BF4E8F"/>
    <w:rsid w:val="00BF6A62"/>
    <w:rsid w:val="00BF6FFA"/>
    <w:rsid w:val="00C0245B"/>
    <w:rsid w:val="00C02A63"/>
    <w:rsid w:val="00C032F0"/>
    <w:rsid w:val="00C03503"/>
    <w:rsid w:val="00C044EE"/>
    <w:rsid w:val="00C04A60"/>
    <w:rsid w:val="00C06B47"/>
    <w:rsid w:val="00C07735"/>
    <w:rsid w:val="00C10E3A"/>
    <w:rsid w:val="00C122D3"/>
    <w:rsid w:val="00C1288B"/>
    <w:rsid w:val="00C1302C"/>
    <w:rsid w:val="00C14388"/>
    <w:rsid w:val="00C15638"/>
    <w:rsid w:val="00C15C74"/>
    <w:rsid w:val="00C16721"/>
    <w:rsid w:val="00C20621"/>
    <w:rsid w:val="00C21933"/>
    <w:rsid w:val="00C22BDA"/>
    <w:rsid w:val="00C23878"/>
    <w:rsid w:val="00C23F35"/>
    <w:rsid w:val="00C24034"/>
    <w:rsid w:val="00C24CBD"/>
    <w:rsid w:val="00C2793F"/>
    <w:rsid w:val="00C3202F"/>
    <w:rsid w:val="00C3302E"/>
    <w:rsid w:val="00C34F3D"/>
    <w:rsid w:val="00C3563E"/>
    <w:rsid w:val="00C358D4"/>
    <w:rsid w:val="00C403E1"/>
    <w:rsid w:val="00C40BB0"/>
    <w:rsid w:val="00C41B5F"/>
    <w:rsid w:val="00C424B2"/>
    <w:rsid w:val="00C42788"/>
    <w:rsid w:val="00C42A96"/>
    <w:rsid w:val="00C439F4"/>
    <w:rsid w:val="00C46D9C"/>
    <w:rsid w:val="00C4776B"/>
    <w:rsid w:val="00C50F15"/>
    <w:rsid w:val="00C51B36"/>
    <w:rsid w:val="00C52681"/>
    <w:rsid w:val="00C53509"/>
    <w:rsid w:val="00C5371F"/>
    <w:rsid w:val="00C538FD"/>
    <w:rsid w:val="00C54309"/>
    <w:rsid w:val="00C54CA0"/>
    <w:rsid w:val="00C5595B"/>
    <w:rsid w:val="00C55C89"/>
    <w:rsid w:val="00C57253"/>
    <w:rsid w:val="00C57E29"/>
    <w:rsid w:val="00C61A48"/>
    <w:rsid w:val="00C61F09"/>
    <w:rsid w:val="00C63E8C"/>
    <w:rsid w:val="00C659A7"/>
    <w:rsid w:val="00C65CD1"/>
    <w:rsid w:val="00C714D6"/>
    <w:rsid w:val="00C7275E"/>
    <w:rsid w:val="00C73C12"/>
    <w:rsid w:val="00C75123"/>
    <w:rsid w:val="00C75B85"/>
    <w:rsid w:val="00C76982"/>
    <w:rsid w:val="00C76FFC"/>
    <w:rsid w:val="00C802CA"/>
    <w:rsid w:val="00C80B30"/>
    <w:rsid w:val="00C80BF8"/>
    <w:rsid w:val="00C82746"/>
    <w:rsid w:val="00C87B1F"/>
    <w:rsid w:val="00C909D6"/>
    <w:rsid w:val="00C90B40"/>
    <w:rsid w:val="00C91B06"/>
    <w:rsid w:val="00C9259F"/>
    <w:rsid w:val="00C9300B"/>
    <w:rsid w:val="00C946CA"/>
    <w:rsid w:val="00C95686"/>
    <w:rsid w:val="00C96535"/>
    <w:rsid w:val="00C97946"/>
    <w:rsid w:val="00CA0128"/>
    <w:rsid w:val="00CA10B8"/>
    <w:rsid w:val="00CA1162"/>
    <w:rsid w:val="00CA1FA3"/>
    <w:rsid w:val="00CA3398"/>
    <w:rsid w:val="00CA3E03"/>
    <w:rsid w:val="00CA40FA"/>
    <w:rsid w:val="00CA51D8"/>
    <w:rsid w:val="00CA56AC"/>
    <w:rsid w:val="00CA6926"/>
    <w:rsid w:val="00CA70DF"/>
    <w:rsid w:val="00CA735C"/>
    <w:rsid w:val="00CB019E"/>
    <w:rsid w:val="00CB0335"/>
    <w:rsid w:val="00CB174E"/>
    <w:rsid w:val="00CB1A91"/>
    <w:rsid w:val="00CB1B80"/>
    <w:rsid w:val="00CB26C6"/>
    <w:rsid w:val="00CB2FF2"/>
    <w:rsid w:val="00CB37FC"/>
    <w:rsid w:val="00CB3AD5"/>
    <w:rsid w:val="00CB4623"/>
    <w:rsid w:val="00CB4CD0"/>
    <w:rsid w:val="00CB58E9"/>
    <w:rsid w:val="00CB6D09"/>
    <w:rsid w:val="00CB78B3"/>
    <w:rsid w:val="00CB797E"/>
    <w:rsid w:val="00CC136E"/>
    <w:rsid w:val="00CC1920"/>
    <w:rsid w:val="00CC4957"/>
    <w:rsid w:val="00CC4FEB"/>
    <w:rsid w:val="00CC728B"/>
    <w:rsid w:val="00CD0D86"/>
    <w:rsid w:val="00CD176D"/>
    <w:rsid w:val="00CD311E"/>
    <w:rsid w:val="00CD4BAF"/>
    <w:rsid w:val="00CD71EB"/>
    <w:rsid w:val="00CD7689"/>
    <w:rsid w:val="00CE39F3"/>
    <w:rsid w:val="00CE3CC8"/>
    <w:rsid w:val="00CE4C99"/>
    <w:rsid w:val="00CE5861"/>
    <w:rsid w:val="00CE6379"/>
    <w:rsid w:val="00CE64EC"/>
    <w:rsid w:val="00CF2063"/>
    <w:rsid w:val="00CF3A6C"/>
    <w:rsid w:val="00CF3B41"/>
    <w:rsid w:val="00CF3D89"/>
    <w:rsid w:val="00CF515E"/>
    <w:rsid w:val="00CF5537"/>
    <w:rsid w:val="00CF5E25"/>
    <w:rsid w:val="00CF73C2"/>
    <w:rsid w:val="00D00BED"/>
    <w:rsid w:val="00D010F9"/>
    <w:rsid w:val="00D01B46"/>
    <w:rsid w:val="00D02BEE"/>
    <w:rsid w:val="00D031F9"/>
    <w:rsid w:val="00D03924"/>
    <w:rsid w:val="00D0472C"/>
    <w:rsid w:val="00D05BC6"/>
    <w:rsid w:val="00D06550"/>
    <w:rsid w:val="00D0789C"/>
    <w:rsid w:val="00D10F1B"/>
    <w:rsid w:val="00D1241B"/>
    <w:rsid w:val="00D13D39"/>
    <w:rsid w:val="00D1638C"/>
    <w:rsid w:val="00D17600"/>
    <w:rsid w:val="00D17A4A"/>
    <w:rsid w:val="00D20DB6"/>
    <w:rsid w:val="00D216D2"/>
    <w:rsid w:val="00D22EF6"/>
    <w:rsid w:val="00D22FD2"/>
    <w:rsid w:val="00D23BD5"/>
    <w:rsid w:val="00D24F67"/>
    <w:rsid w:val="00D2518B"/>
    <w:rsid w:val="00D25940"/>
    <w:rsid w:val="00D260DB"/>
    <w:rsid w:val="00D27DA3"/>
    <w:rsid w:val="00D3003F"/>
    <w:rsid w:val="00D3118E"/>
    <w:rsid w:val="00D32706"/>
    <w:rsid w:val="00D32E4E"/>
    <w:rsid w:val="00D33813"/>
    <w:rsid w:val="00D3421E"/>
    <w:rsid w:val="00D34FBB"/>
    <w:rsid w:val="00D353DA"/>
    <w:rsid w:val="00D35790"/>
    <w:rsid w:val="00D37096"/>
    <w:rsid w:val="00D37B69"/>
    <w:rsid w:val="00D37D17"/>
    <w:rsid w:val="00D426A5"/>
    <w:rsid w:val="00D43561"/>
    <w:rsid w:val="00D44B67"/>
    <w:rsid w:val="00D44CFC"/>
    <w:rsid w:val="00D46C98"/>
    <w:rsid w:val="00D5385A"/>
    <w:rsid w:val="00D55081"/>
    <w:rsid w:val="00D56638"/>
    <w:rsid w:val="00D571C0"/>
    <w:rsid w:val="00D57387"/>
    <w:rsid w:val="00D602D3"/>
    <w:rsid w:val="00D623AE"/>
    <w:rsid w:val="00D626FF"/>
    <w:rsid w:val="00D63310"/>
    <w:rsid w:val="00D645F9"/>
    <w:rsid w:val="00D735BC"/>
    <w:rsid w:val="00D73BE6"/>
    <w:rsid w:val="00D74B72"/>
    <w:rsid w:val="00D75293"/>
    <w:rsid w:val="00D76037"/>
    <w:rsid w:val="00D76FE3"/>
    <w:rsid w:val="00D81CAF"/>
    <w:rsid w:val="00D82BC9"/>
    <w:rsid w:val="00D8621C"/>
    <w:rsid w:val="00D86734"/>
    <w:rsid w:val="00D86A36"/>
    <w:rsid w:val="00D870B7"/>
    <w:rsid w:val="00D87C9F"/>
    <w:rsid w:val="00D901DA"/>
    <w:rsid w:val="00D91891"/>
    <w:rsid w:val="00D943C4"/>
    <w:rsid w:val="00D97640"/>
    <w:rsid w:val="00DA047A"/>
    <w:rsid w:val="00DA048C"/>
    <w:rsid w:val="00DA0D39"/>
    <w:rsid w:val="00DA236A"/>
    <w:rsid w:val="00DA2AFB"/>
    <w:rsid w:val="00DA4133"/>
    <w:rsid w:val="00DA6871"/>
    <w:rsid w:val="00DA74CD"/>
    <w:rsid w:val="00DB0DD8"/>
    <w:rsid w:val="00DB0F1A"/>
    <w:rsid w:val="00DB19AA"/>
    <w:rsid w:val="00DB1C15"/>
    <w:rsid w:val="00DB4391"/>
    <w:rsid w:val="00DB4A50"/>
    <w:rsid w:val="00DB4E42"/>
    <w:rsid w:val="00DB7AA6"/>
    <w:rsid w:val="00DC0E7C"/>
    <w:rsid w:val="00DC43E8"/>
    <w:rsid w:val="00DC53E9"/>
    <w:rsid w:val="00DC5B45"/>
    <w:rsid w:val="00DC63B7"/>
    <w:rsid w:val="00DC6EAC"/>
    <w:rsid w:val="00DD0C6E"/>
    <w:rsid w:val="00DD0FDA"/>
    <w:rsid w:val="00DD1BA5"/>
    <w:rsid w:val="00DD2303"/>
    <w:rsid w:val="00DD2572"/>
    <w:rsid w:val="00DD2BBA"/>
    <w:rsid w:val="00DD4EBE"/>
    <w:rsid w:val="00DD61F2"/>
    <w:rsid w:val="00DE0F07"/>
    <w:rsid w:val="00DE1D81"/>
    <w:rsid w:val="00DE200F"/>
    <w:rsid w:val="00DE275E"/>
    <w:rsid w:val="00DE4069"/>
    <w:rsid w:val="00DE4AB0"/>
    <w:rsid w:val="00DE5E30"/>
    <w:rsid w:val="00DF0457"/>
    <w:rsid w:val="00DF09A8"/>
    <w:rsid w:val="00DF2758"/>
    <w:rsid w:val="00DF34A7"/>
    <w:rsid w:val="00DF36C3"/>
    <w:rsid w:val="00DF3FB9"/>
    <w:rsid w:val="00DF4A37"/>
    <w:rsid w:val="00DF4FDA"/>
    <w:rsid w:val="00DF524E"/>
    <w:rsid w:val="00DF58A5"/>
    <w:rsid w:val="00DF58E3"/>
    <w:rsid w:val="00DF5C7B"/>
    <w:rsid w:val="00DF630C"/>
    <w:rsid w:val="00DF6D38"/>
    <w:rsid w:val="00E000D2"/>
    <w:rsid w:val="00E02DA0"/>
    <w:rsid w:val="00E03C6F"/>
    <w:rsid w:val="00E111AA"/>
    <w:rsid w:val="00E114E9"/>
    <w:rsid w:val="00E116D6"/>
    <w:rsid w:val="00E12DF1"/>
    <w:rsid w:val="00E159B2"/>
    <w:rsid w:val="00E25D7B"/>
    <w:rsid w:val="00E276AC"/>
    <w:rsid w:val="00E31090"/>
    <w:rsid w:val="00E35643"/>
    <w:rsid w:val="00E3593D"/>
    <w:rsid w:val="00E36B39"/>
    <w:rsid w:val="00E379B5"/>
    <w:rsid w:val="00E40387"/>
    <w:rsid w:val="00E40917"/>
    <w:rsid w:val="00E4130D"/>
    <w:rsid w:val="00E4180C"/>
    <w:rsid w:val="00E43C91"/>
    <w:rsid w:val="00E43CC9"/>
    <w:rsid w:val="00E441C9"/>
    <w:rsid w:val="00E443D3"/>
    <w:rsid w:val="00E448CD"/>
    <w:rsid w:val="00E4757A"/>
    <w:rsid w:val="00E520E8"/>
    <w:rsid w:val="00E54F9E"/>
    <w:rsid w:val="00E5563A"/>
    <w:rsid w:val="00E56376"/>
    <w:rsid w:val="00E5739A"/>
    <w:rsid w:val="00E60E73"/>
    <w:rsid w:val="00E61194"/>
    <w:rsid w:val="00E613FF"/>
    <w:rsid w:val="00E64BE6"/>
    <w:rsid w:val="00E6793C"/>
    <w:rsid w:val="00E710DC"/>
    <w:rsid w:val="00E711D6"/>
    <w:rsid w:val="00E729AE"/>
    <w:rsid w:val="00E72E3F"/>
    <w:rsid w:val="00E73B88"/>
    <w:rsid w:val="00E74014"/>
    <w:rsid w:val="00E74B78"/>
    <w:rsid w:val="00E7610E"/>
    <w:rsid w:val="00E8026E"/>
    <w:rsid w:val="00E80A78"/>
    <w:rsid w:val="00E81A04"/>
    <w:rsid w:val="00E81B0E"/>
    <w:rsid w:val="00E81ED3"/>
    <w:rsid w:val="00E82A89"/>
    <w:rsid w:val="00E8334A"/>
    <w:rsid w:val="00E833DA"/>
    <w:rsid w:val="00E84313"/>
    <w:rsid w:val="00E85755"/>
    <w:rsid w:val="00E862A5"/>
    <w:rsid w:val="00E868B9"/>
    <w:rsid w:val="00E87215"/>
    <w:rsid w:val="00E91F39"/>
    <w:rsid w:val="00E92E2E"/>
    <w:rsid w:val="00E92ED1"/>
    <w:rsid w:val="00E95365"/>
    <w:rsid w:val="00E95C21"/>
    <w:rsid w:val="00EA0781"/>
    <w:rsid w:val="00EA313E"/>
    <w:rsid w:val="00EA3EAF"/>
    <w:rsid w:val="00EA49ED"/>
    <w:rsid w:val="00EA6087"/>
    <w:rsid w:val="00EA6535"/>
    <w:rsid w:val="00EA7007"/>
    <w:rsid w:val="00EB0C79"/>
    <w:rsid w:val="00EB2C94"/>
    <w:rsid w:val="00EB382E"/>
    <w:rsid w:val="00EB3872"/>
    <w:rsid w:val="00EB582D"/>
    <w:rsid w:val="00EB59C3"/>
    <w:rsid w:val="00EB5CB6"/>
    <w:rsid w:val="00EC00D0"/>
    <w:rsid w:val="00EC27EC"/>
    <w:rsid w:val="00EC2C66"/>
    <w:rsid w:val="00EC30E2"/>
    <w:rsid w:val="00EC33C7"/>
    <w:rsid w:val="00EC3DAD"/>
    <w:rsid w:val="00EC54C3"/>
    <w:rsid w:val="00EC6A41"/>
    <w:rsid w:val="00EC6B46"/>
    <w:rsid w:val="00EC76A0"/>
    <w:rsid w:val="00ED00E9"/>
    <w:rsid w:val="00ED2F10"/>
    <w:rsid w:val="00ED3911"/>
    <w:rsid w:val="00ED4F6A"/>
    <w:rsid w:val="00ED7813"/>
    <w:rsid w:val="00EE0A63"/>
    <w:rsid w:val="00EE2F20"/>
    <w:rsid w:val="00EE3A55"/>
    <w:rsid w:val="00EE4723"/>
    <w:rsid w:val="00EE55B0"/>
    <w:rsid w:val="00EE5E7F"/>
    <w:rsid w:val="00EF000F"/>
    <w:rsid w:val="00EF1642"/>
    <w:rsid w:val="00EF21C5"/>
    <w:rsid w:val="00EF5352"/>
    <w:rsid w:val="00EF59F9"/>
    <w:rsid w:val="00EF6D33"/>
    <w:rsid w:val="00EF701F"/>
    <w:rsid w:val="00F004D8"/>
    <w:rsid w:val="00F00635"/>
    <w:rsid w:val="00F03299"/>
    <w:rsid w:val="00F05CD9"/>
    <w:rsid w:val="00F0615E"/>
    <w:rsid w:val="00F11AD6"/>
    <w:rsid w:val="00F123D0"/>
    <w:rsid w:val="00F12C89"/>
    <w:rsid w:val="00F1355D"/>
    <w:rsid w:val="00F13AFF"/>
    <w:rsid w:val="00F14D75"/>
    <w:rsid w:val="00F160C4"/>
    <w:rsid w:val="00F16106"/>
    <w:rsid w:val="00F20B2F"/>
    <w:rsid w:val="00F21261"/>
    <w:rsid w:val="00F22151"/>
    <w:rsid w:val="00F25C06"/>
    <w:rsid w:val="00F307E1"/>
    <w:rsid w:val="00F3091C"/>
    <w:rsid w:val="00F33BD8"/>
    <w:rsid w:val="00F34E0E"/>
    <w:rsid w:val="00F358EA"/>
    <w:rsid w:val="00F362DC"/>
    <w:rsid w:val="00F370DA"/>
    <w:rsid w:val="00F37C6D"/>
    <w:rsid w:val="00F400C2"/>
    <w:rsid w:val="00F406BB"/>
    <w:rsid w:val="00F41C2D"/>
    <w:rsid w:val="00F43AAE"/>
    <w:rsid w:val="00F4414D"/>
    <w:rsid w:val="00F44380"/>
    <w:rsid w:val="00F44433"/>
    <w:rsid w:val="00F44663"/>
    <w:rsid w:val="00F44842"/>
    <w:rsid w:val="00F468CC"/>
    <w:rsid w:val="00F50615"/>
    <w:rsid w:val="00F54C6E"/>
    <w:rsid w:val="00F55EA9"/>
    <w:rsid w:val="00F5700F"/>
    <w:rsid w:val="00F57858"/>
    <w:rsid w:val="00F62105"/>
    <w:rsid w:val="00F62C4D"/>
    <w:rsid w:val="00F62D35"/>
    <w:rsid w:val="00F63578"/>
    <w:rsid w:val="00F63A96"/>
    <w:rsid w:val="00F63D4D"/>
    <w:rsid w:val="00F66433"/>
    <w:rsid w:val="00F675AA"/>
    <w:rsid w:val="00F70325"/>
    <w:rsid w:val="00F74988"/>
    <w:rsid w:val="00F74A99"/>
    <w:rsid w:val="00F756BB"/>
    <w:rsid w:val="00F75C54"/>
    <w:rsid w:val="00F76815"/>
    <w:rsid w:val="00F770A5"/>
    <w:rsid w:val="00F8269A"/>
    <w:rsid w:val="00F842B8"/>
    <w:rsid w:val="00F84682"/>
    <w:rsid w:val="00F84B3B"/>
    <w:rsid w:val="00F86659"/>
    <w:rsid w:val="00F9208D"/>
    <w:rsid w:val="00F9480D"/>
    <w:rsid w:val="00F95A9F"/>
    <w:rsid w:val="00F95DC7"/>
    <w:rsid w:val="00F9782B"/>
    <w:rsid w:val="00F9798A"/>
    <w:rsid w:val="00FA0BC1"/>
    <w:rsid w:val="00FA2EF0"/>
    <w:rsid w:val="00FA414C"/>
    <w:rsid w:val="00FA6258"/>
    <w:rsid w:val="00FA6307"/>
    <w:rsid w:val="00FA6D38"/>
    <w:rsid w:val="00FA7311"/>
    <w:rsid w:val="00FA7A6E"/>
    <w:rsid w:val="00FB18EA"/>
    <w:rsid w:val="00FB2254"/>
    <w:rsid w:val="00FB29BD"/>
    <w:rsid w:val="00FB2D58"/>
    <w:rsid w:val="00FB3451"/>
    <w:rsid w:val="00FB4437"/>
    <w:rsid w:val="00FB44F6"/>
    <w:rsid w:val="00FB4962"/>
    <w:rsid w:val="00FB60A5"/>
    <w:rsid w:val="00FC0381"/>
    <w:rsid w:val="00FC0BF3"/>
    <w:rsid w:val="00FC0F29"/>
    <w:rsid w:val="00FC1101"/>
    <w:rsid w:val="00FC171B"/>
    <w:rsid w:val="00FC1E6B"/>
    <w:rsid w:val="00FC2702"/>
    <w:rsid w:val="00FC3918"/>
    <w:rsid w:val="00FC3BF2"/>
    <w:rsid w:val="00FC5C1B"/>
    <w:rsid w:val="00FC67DA"/>
    <w:rsid w:val="00FD0D7E"/>
    <w:rsid w:val="00FD1453"/>
    <w:rsid w:val="00FD146C"/>
    <w:rsid w:val="00FD152B"/>
    <w:rsid w:val="00FD1E3F"/>
    <w:rsid w:val="00FD342E"/>
    <w:rsid w:val="00FD4A0B"/>
    <w:rsid w:val="00FD6A58"/>
    <w:rsid w:val="00FD7077"/>
    <w:rsid w:val="00FD7373"/>
    <w:rsid w:val="00FE1565"/>
    <w:rsid w:val="00FE2993"/>
    <w:rsid w:val="00FE2A87"/>
    <w:rsid w:val="00FE6F90"/>
    <w:rsid w:val="00FE7213"/>
    <w:rsid w:val="00FF064C"/>
    <w:rsid w:val="00FF0ECA"/>
    <w:rsid w:val="00FF1275"/>
    <w:rsid w:val="00FF1970"/>
    <w:rsid w:val="00FF1BAF"/>
    <w:rsid w:val="00FF5D04"/>
    <w:rsid w:val="00FF722B"/>
    <w:rsid w:val="00FF7C27"/>
    <w:rsid w:val="2E607B6D"/>
    <w:rsid w:val="331E60E6"/>
    <w:rsid w:val="3488FF6E"/>
    <w:rsid w:val="35D47C1A"/>
    <w:rsid w:val="4310039B"/>
    <w:rsid w:val="5A2766FF"/>
    <w:rsid w:val="5DC12657"/>
    <w:rsid w:val="66B463D9"/>
    <w:rsid w:val="701A48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9528193B-084E-4C8B-9079-2F227720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unhideWhenUsed/>
    <w:rsid w:val="007D636B"/>
    <w:rPr>
      <w:color w:val="605E5C"/>
      <w:shd w:val="clear" w:color="auto" w:fill="E1DFDD"/>
    </w:rPr>
  </w:style>
  <w:style w:type="paragraph" w:styleId="Revision">
    <w:name w:val="Revision"/>
    <w:hidden/>
    <w:uiPriority w:val="99"/>
    <w:semiHidden/>
    <w:rsid w:val="005D6CA5"/>
    <w:pPr>
      <w:spacing w:after="0" w:line="240" w:lineRule="auto"/>
    </w:pPr>
  </w:style>
  <w:style w:type="character" w:styleId="Mention">
    <w:name w:val="Mention"/>
    <w:basedOn w:val="DefaultParagraphFont"/>
    <w:uiPriority w:val="99"/>
    <w:unhideWhenUsed/>
    <w:rsid w:val="00AB3479"/>
    <w:rPr>
      <w:color w:val="2B579A"/>
      <w:shd w:val="clear" w:color="auto" w:fill="E1DFDD"/>
    </w:rPr>
  </w:style>
  <w:style w:type="paragraph" w:styleId="FootnoteText">
    <w:name w:val="footnote text"/>
    <w:basedOn w:val="Normal"/>
    <w:link w:val="FootnoteTextChar"/>
    <w:uiPriority w:val="99"/>
    <w:semiHidden/>
    <w:unhideWhenUsed/>
    <w:rsid w:val="00954D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DC9"/>
    <w:rPr>
      <w:sz w:val="20"/>
      <w:szCs w:val="20"/>
    </w:rPr>
  </w:style>
  <w:style w:type="character" w:styleId="FootnoteReference">
    <w:name w:val="footnote reference"/>
    <w:basedOn w:val="DefaultParagraphFont"/>
    <w:uiPriority w:val="99"/>
    <w:semiHidden/>
    <w:unhideWhenUsed/>
    <w:rsid w:val="00954D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m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669930-be83-424b-82dd-d4ca0dd5b13a" xsi:nil="true"/>
    <lcf76f155ced4ddcb4097134ff3c332f xmlns="e8006e8a-ac44-443e-a0f7-d85f36394d2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844E7389568640B7206354CA84F425" ma:contentTypeVersion="14" ma:contentTypeDescription="Create a new document." ma:contentTypeScope="" ma:versionID="a5b2c001e32bc6ddf42146adec93d3b8">
  <xsd:schema xmlns:xsd="http://www.w3.org/2001/XMLSchema" xmlns:xs="http://www.w3.org/2001/XMLSchema" xmlns:p="http://schemas.microsoft.com/office/2006/metadata/properties" xmlns:ns2="e8006e8a-ac44-443e-a0f7-d85f36394d2d" xmlns:ns3="8e669930-be83-424b-82dd-d4ca0dd5b13a" targetNamespace="http://schemas.microsoft.com/office/2006/metadata/properties" ma:root="true" ma:fieldsID="de9e743ddd94fce70c22ed062fff9cb6" ns2:_="" ns3:_="">
    <xsd:import namespace="e8006e8a-ac44-443e-a0f7-d85f36394d2d"/>
    <xsd:import namespace="8e669930-be83-424b-82dd-d4ca0dd5b1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06e8a-ac44-443e-a0f7-d85f3639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69930-be83-424b-82dd-d4ca0dd5b1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8940240-606c-4236-b4c1-162658ecd5af}" ma:internalName="TaxCatchAll" ma:showField="CatchAllData" ma:web="8e669930-be83-424b-82dd-d4ca0dd5b1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8e669930-be83-424b-82dd-d4ca0dd5b13a"/>
    <ds:schemaRef ds:uri="e8006e8a-ac44-443e-a0f7-d85f36394d2d"/>
  </ds:schemaRefs>
</ds:datastoreItem>
</file>

<file path=customXml/itemProps3.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4.xml><?xml version="1.0" encoding="utf-8"?>
<ds:datastoreItem xmlns:ds="http://schemas.openxmlformats.org/officeDocument/2006/customXml" ds:itemID="{9F6BCE48-B63B-440A-BAFC-150A520A7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06e8a-ac44-443e-a0f7-d85f36394d2d"/>
    <ds:schemaRef ds:uri="8e669930-be83-424b-82dd-d4ca0dd5b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5138</Words>
  <Characters>29290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34360</CharactersWithSpaces>
  <SharedDoc>false</SharedDoc>
  <HLinks>
    <vt:vector size="18" baseType="variant">
      <vt:variant>
        <vt:i4>6946865</vt:i4>
      </vt:variant>
      <vt:variant>
        <vt:i4>6</vt:i4>
      </vt:variant>
      <vt:variant>
        <vt:i4>0</vt:i4>
      </vt:variant>
      <vt:variant>
        <vt:i4>5</vt:i4>
      </vt:variant>
      <vt:variant>
        <vt:lpwstr>http://www.legislation.gov.au/</vt:lpwstr>
      </vt:variant>
      <vt:variant>
        <vt:lpwstr/>
      </vt:variant>
      <vt:variant>
        <vt:i4>3997730</vt:i4>
      </vt:variant>
      <vt:variant>
        <vt:i4>3</vt:i4>
      </vt:variant>
      <vt:variant>
        <vt:i4>0</vt:i4>
      </vt:variant>
      <vt:variant>
        <vt:i4>5</vt:i4>
      </vt:variant>
      <vt:variant>
        <vt:lpwstr>http://www.acma.gov.au/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Dieter Dambiec</cp:lastModifiedBy>
  <cp:revision>3</cp:revision>
  <cp:lastPrinted>2023-12-16T12:03:00Z</cp:lastPrinted>
  <dcterms:created xsi:type="dcterms:W3CDTF">2024-02-08T00:15:00Z</dcterms:created>
  <dcterms:modified xsi:type="dcterms:W3CDTF">2024-02-08T00:15:00Z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0x01010077844E7389568640B7206354CA84F425</vt:lpwstr>
  </property>
  <property fmtid="{D5CDD505-2E9C-101B-9397-08002B2CF9AE}" pid="3" name="_dlc_DocIdItemGuid">
    <vt:lpwstr>f16ee754-90b0-4beb-947f-379ec3d94164</vt:lpwstr>
  </property>
  <property fmtid="{D5CDD505-2E9C-101B-9397-08002B2CF9AE}" pid="4" name="MediaServiceImageTags">
    <vt:lpwstr/>
  </property>
</Properties>
</file>