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1F64" w14:textId="1CBC458F" w:rsidR="002436BD" w:rsidRPr="00564008" w:rsidRDefault="007B5912" w:rsidP="75515248">
      <w:pPr>
        <w:pStyle w:val="Heading"/>
        <w:spacing w:after="240"/>
        <w:jc w:val="center"/>
        <w:rPr>
          <w:rFonts w:ascii="Times New Roman" w:hAnsi="Times New Roman"/>
          <w:sz w:val="24"/>
          <w:szCs w:val="24"/>
        </w:rPr>
      </w:pPr>
      <w:r w:rsidRPr="75515248">
        <w:rPr>
          <w:rFonts w:ascii="Times New Roman" w:hAnsi="Times New Roman"/>
          <w:sz w:val="24"/>
          <w:szCs w:val="24"/>
        </w:rPr>
        <w:t>Superannuation (</w:t>
      </w:r>
      <w:r w:rsidR="00EA09EA" w:rsidRPr="75515248">
        <w:rPr>
          <w:rFonts w:ascii="Times New Roman" w:hAnsi="Times New Roman"/>
          <w:sz w:val="24"/>
          <w:szCs w:val="24"/>
        </w:rPr>
        <w:t xml:space="preserve">prudential standard) </w:t>
      </w:r>
      <w:r w:rsidR="002436BD" w:rsidRPr="00564008">
        <w:rPr>
          <w:rFonts w:ascii="Times New Roman" w:hAnsi="Times New Roman"/>
          <w:sz w:val="24"/>
          <w:szCs w:val="24"/>
        </w:rPr>
        <w:t xml:space="preserve">determination No. </w:t>
      </w:r>
      <w:r w:rsidR="003E365C" w:rsidRPr="00564008">
        <w:rPr>
          <w:rFonts w:ascii="Times New Roman" w:hAnsi="Times New Roman"/>
          <w:sz w:val="24"/>
          <w:szCs w:val="24"/>
        </w:rPr>
        <w:t>1</w:t>
      </w:r>
      <w:r w:rsidR="002436BD" w:rsidRPr="00564008">
        <w:rPr>
          <w:rFonts w:ascii="Times New Roman" w:hAnsi="Times New Roman"/>
          <w:sz w:val="24"/>
          <w:szCs w:val="24"/>
        </w:rPr>
        <w:t xml:space="preserve"> of 20</w:t>
      </w:r>
      <w:r w:rsidR="001D0A56" w:rsidRPr="00564008">
        <w:rPr>
          <w:rFonts w:ascii="Times New Roman" w:hAnsi="Times New Roman"/>
          <w:sz w:val="24"/>
          <w:szCs w:val="24"/>
        </w:rPr>
        <w:t>2</w:t>
      </w:r>
      <w:r w:rsidR="2E405026" w:rsidRPr="00564008">
        <w:rPr>
          <w:rFonts w:ascii="Times New Roman" w:hAnsi="Times New Roman"/>
          <w:sz w:val="24"/>
          <w:szCs w:val="24"/>
        </w:rPr>
        <w:t>4</w:t>
      </w:r>
    </w:p>
    <w:p w14:paraId="31A3EA7D" w14:textId="77777777" w:rsidR="002436BD" w:rsidRPr="00564008" w:rsidRDefault="002436BD" w:rsidP="008E5D4C">
      <w:pPr>
        <w:pStyle w:val="Heading"/>
        <w:tabs>
          <w:tab w:val="left" w:pos="360"/>
        </w:tabs>
        <w:spacing w:after="240"/>
        <w:jc w:val="center"/>
        <w:rPr>
          <w:rFonts w:ascii="Times New Roman" w:hAnsi="Times New Roman"/>
          <w:sz w:val="24"/>
          <w:szCs w:val="24"/>
          <w:u w:val="single"/>
        </w:rPr>
      </w:pPr>
      <w:bookmarkStart w:id="0" w:name="bkInstrumentSubTitle"/>
      <w:bookmarkEnd w:id="0"/>
      <w:r w:rsidRPr="00564008">
        <w:rPr>
          <w:rFonts w:ascii="Times New Roman" w:hAnsi="Times New Roman"/>
          <w:sz w:val="24"/>
          <w:szCs w:val="24"/>
          <w:u w:val="single"/>
        </w:rPr>
        <w:t>EXPLANATORY STATEMENT</w:t>
      </w:r>
    </w:p>
    <w:p w14:paraId="786788DC" w14:textId="77777777" w:rsidR="002436BD" w:rsidRPr="00564008" w:rsidRDefault="002436BD" w:rsidP="008E5D4C">
      <w:pPr>
        <w:pStyle w:val="Heading"/>
        <w:spacing w:after="240"/>
        <w:jc w:val="center"/>
        <w:rPr>
          <w:rFonts w:ascii="Times New Roman" w:hAnsi="Times New Roman"/>
          <w:sz w:val="24"/>
          <w:szCs w:val="24"/>
        </w:rPr>
      </w:pPr>
      <w:r w:rsidRPr="00564008">
        <w:rPr>
          <w:rFonts w:ascii="Times New Roman" w:hAnsi="Times New Roman"/>
          <w:sz w:val="24"/>
          <w:szCs w:val="24"/>
        </w:rPr>
        <w:t>Prepared by the Australian Prudential Regulation Authority (APRA)</w:t>
      </w:r>
    </w:p>
    <w:p w14:paraId="36FA5CC1" w14:textId="15FD61C2" w:rsidR="002436BD" w:rsidRPr="00564008" w:rsidRDefault="005B66C7" w:rsidP="008E5D4C">
      <w:pPr>
        <w:pStyle w:val="Heading"/>
        <w:tabs>
          <w:tab w:val="left" w:pos="360"/>
        </w:tabs>
        <w:spacing w:after="240"/>
        <w:jc w:val="center"/>
        <w:rPr>
          <w:rFonts w:ascii="Times New Roman" w:hAnsi="Times New Roman"/>
          <w:b w:val="0"/>
          <w:color w:val="000000"/>
          <w:sz w:val="24"/>
          <w:szCs w:val="24"/>
        </w:rPr>
      </w:pPr>
      <w:r w:rsidRPr="00564008">
        <w:rPr>
          <w:rFonts w:ascii="Times New Roman" w:hAnsi="Times New Roman"/>
          <w:b w:val="0"/>
          <w:i/>
          <w:sz w:val="24"/>
          <w:szCs w:val="24"/>
        </w:rPr>
        <w:t>Superannuation Industry (Supervision) Act 1993</w:t>
      </w:r>
      <w:r w:rsidRPr="00564008">
        <w:rPr>
          <w:rFonts w:ascii="Times New Roman" w:hAnsi="Times New Roman"/>
          <w:b w:val="0"/>
          <w:sz w:val="24"/>
          <w:szCs w:val="24"/>
        </w:rPr>
        <w:t xml:space="preserve"> </w:t>
      </w:r>
      <w:r w:rsidR="002436BD" w:rsidRPr="00564008">
        <w:rPr>
          <w:rFonts w:ascii="Times New Roman" w:hAnsi="Times New Roman"/>
          <w:b w:val="0"/>
          <w:color w:val="000000"/>
          <w:sz w:val="24"/>
          <w:szCs w:val="24"/>
        </w:rPr>
        <w:t xml:space="preserve">section </w:t>
      </w:r>
      <w:r w:rsidRPr="00564008">
        <w:rPr>
          <w:rFonts w:ascii="Times New Roman" w:hAnsi="Times New Roman"/>
          <w:b w:val="0"/>
          <w:color w:val="000000"/>
          <w:sz w:val="24"/>
          <w:szCs w:val="24"/>
        </w:rPr>
        <w:t>34</w:t>
      </w:r>
      <w:proofErr w:type="gramStart"/>
      <w:r w:rsidRPr="00564008">
        <w:rPr>
          <w:rFonts w:ascii="Times New Roman" w:hAnsi="Times New Roman"/>
          <w:b w:val="0"/>
          <w:color w:val="000000"/>
          <w:sz w:val="24"/>
          <w:szCs w:val="24"/>
        </w:rPr>
        <w:t>C(</w:t>
      </w:r>
      <w:proofErr w:type="gramEnd"/>
      <w:r w:rsidRPr="00564008">
        <w:rPr>
          <w:rFonts w:ascii="Times New Roman" w:hAnsi="Times New Roman"/>
          <w:b w:val="0"/>
          <w:color w:val="000000"/>
          <w:sz w:val="24"/>
          <w:szCs w:val="24"/>
        </w:rPr>
        <w:t>6)</w:t>
      </w:r>
    </w:p>
    <w:p w14:paraId="57272A3B" w14:textId="51D7B08B" w:rsidR="005B0CCE" w:rsidRPr="00564008" w:rsidRDefault="0091715F" w:rsidP="005B66C7">
      <w:pPr>
        <w:widowControl w:val="0"/>
        <w:spacing w:after="240"/>
        <w:jc w:val="both"/>
        <w:rPr>
          <w:rFonts w:ascii="Times New Roman" w:hAnsi="Times New Roman"/>
          <w:sz w:val="24"/>
          <w:szCs w:val="24"/>
        </w:rPr>
      </w:pPr>
      <w:bookmarkStart w:id="1" w:name="bkAct"/>
      <w:bookmarkStart w:id="2" w:name="bkExplanatory"/>
      <w:bookmarkEnd w:id="1"/>
      <w:bookmarkEnd w:id="2"/>
      <w:r w:rsidRPr="00564008">
        <w:rPr>
          <w:rFonts w:ascii="Times New Roman" w:hAnsi="Times New Roman"/>
          <w:sz w:val="24"/>
          <w:szCs w:val="24"/>
        </w:rPr>
        <w:t>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1) of the </w:t>
      </w:r>
      <w:r w:rsidRPr="00564008">
        <w:rPr>
          <w:rFonts w:ascii="Times New Roman" w:hAnsi="Times New Roman"/>
          <w:i/>
          <w:sz w:val="24"/>
          <w:szCs w:val="24"/>
        </w:rPr>
        <w:t>Superannuation Industry (Supervision) Act 1993</w:t>
      </w:r>
      <w:r w:rsidRPr="00564008">
        <w:rPr>
          <w:rFonts w:ascii="Times New Roman" w:hAnsi="Times New Roman"/>
          <w:sz w:val="24"/>
          <w:szCs w:val="24"/>
        </w:rPr>
        <w:t xml:space="preserve"> (the Act), APRA has the power to determine standards (prudential standards), in writing, in relation to prudential matters to be complied with by all RSE licensees of registrable superannuation entities (RSEs). 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6) of the Act, APRA may, in writing, vary or revoke a prudential standard. </w:t>
      </w:r>
    </w:p>
    <w:p w14:paraId="5B8CED3C" w14:textId="416652FA" w:rsidR="002436BD" w:rsidRPr="00564008" w:rsidRDefault="002436BD" w:rsidP="00796A67">
      <w:pPr>
        <w:widowControl w:val="0"/>
        <w:spacing w:after="240"/>
        <w:jc w:val="both"/>
        <w:rPr>
          <w:rFonts w:ascii="Times New Roman" w:hAnsi="Times New Roman"/>
          <w:sz w:val="24"/>
          <w:szCs w:val="24"/>
        </w:rPr>
      </w:pPr>
      <w:r w:rsidRPr="00564008">
        <w:rPr>
          <w:rFonts w:ascii="Times New Roman" w:hAnsi="Times New Roman"/>
          <w:sz w:val="24"/>
          <w:szCs w:val="24"/>
        </w:rPr>
        <w:t>On</w:t>
      </w:r>
      <w:r w:rsidR="005B66C7" w:rsidRPr="00564008">
        <w:rPr>
          <w:rFonts w:ascii="Times New Roman" w:hAnsi="Times New Roman"/>
          <w:sz w:val="24"/>
          <w:szCs w:val="24"/>
        </w:rPr>
        <w:t xml:space="preserve"> </w:t>
      </w:r>
      <w:r w:rsidR="00FE36AE" w:rsidRPr="00564008">
        <w:rPr>
          <w:rFonts w:ascii="Times New Roman" w:hAnsi="Times New Roman"/>
          <w:sz w:val="24"/>
          <w:szCs w:val="24"/>
        </w:rPr>
        <w:t>22 December 2023,</w:t>
      </w:r>
      <w:r w:rsidR="005B66C7" w:rsidRPr="00564008">
        <w:rPr>
          <w:rFonts w:ascii="Times New Roman" w:hAnsi="Times New Roman"/>
          <w:sz w:val="24"/>
          <w:szCs w:val="24"/>
        </w:rPr>
        <w:t xml:space="preserve"> </w:t>
      </w:r>
      <w:r w:rsidRPr="00564008">
        <w:rPr>
          <w:rFonts w:ascii="Times New Roman" w:hAnsi="Times New Roman"/>
          <w:sz w:val="24"/>
          <w:szCs w:val="24"/>
        </w:rPr>
        <w:t xml:space="preserve">APRA made </w:t>
      </w:r>
      <w:r w:rsidR="005B66C7" w:rsidRPr="00564008">
        <w:rPr>
          <w:rFonts w:ascii="Times New Roman" w:hAnsi="Times New Roman"/>
          <w:sz w:val="24"/>
          <w:szCs w:val="24"/>
        </w:rPr>
        <w:t>Superannuation (prudential standard) determination No</w:t>
      </w:r>
      <w:r w:rsidR="005B66C7" w:rsidRPr="00564008">
        <w:rPr>
          <w:rFonts w:ascii="Times New Roman" w:hAnsi="Times New Roman"/>
          <w:i/>
          <w:iCs/>
          <w:sz w:val="24"/>
          <w:szCs w:val="24"/>
        </w:rPr>
        <w:t xml:space="preserve"> </w:t>
      </w:r>
      <w:r w:rsidR="00FE36AE" w:rsidRPr="00564008">
        <w:rPr>
          <w:rFonts w:ascii="Times New Roman" w:hAnsi="Times New Roman"/>
          <w:sz w:val="24"/>
          <w:szCs w:val="24"/>
        </w:rPr>
        <w:t>1</w:t>
      </w:r>
      <w:r w:rsidR="007212DB" w:rsidRPr="00564008">
        <w:rPr>
          <w:rFonts w:ascii="Times New Roman" w:hAnsi="Times New Roman"/>
          <w:sz w:val="24"/>
          <w:szCs w:val="24"/>
        </w:rPr>
        <w:t xml:space="preserve"> o</w:t>
      </w:r>
      <w:r w:rsidR="005B66C7" w:rsidRPr="00564008">
        <w:rPr>
          <w:rFonts w:ascii="Times New Roman" w:hAnsi="Times New Roman"/>
          <w:sz w:val="24"/>
          <w:szCs w:val="24"/>
        </w:rPr>
        <w:t>f 20</w:t>
      </w:r>
      <w:r w:rsidR="004A3208" w:rsidRPr="00564008">
        <w:rPr>
          <w:rFonts w:ascii="Times New Roman" w:hAnsi="Times New Roman"/>
          <w:sz w:val="24"/>
          <w:szCs w:val="24"/>
        </w:rPr>
        <w:t>2</w:t>
      </w:r>
      <w:r w:rsidR="00FE36AE" w:rsidRPr="00564008">
        <w:rPr>
          <w:rFonts w:ascii="Times New Roman" w:hAnsi="Times New Roman"/>
          <w:sz w:val="24"/>
          <w:szCs w:val="24"/>
        </w:rPr>
        <w:t>4</w:t>
      </w:r>
      <w:r w:rsidR="004A3208" w:rsidRPr="00564008">
        <w:rPr>
          <w:rFonts w:ascii="Times New Roman" w:hAnsi="Times New Roman"/>
          <w:sz w:val="24"/>
          <w:szCs w:val="24"/>
        </w:rPr>
        <w:t xml:space="preserve"> (the Instrument)</w:t>
      </w:r>
      <w:r w:rsidR="005B66C7" w:rsidRPr="00564008">
        <w:rPr>
          <w:rFonts w:ascii="Times New Roman" w:hAnsi="Times New Roman"/>
          <w:sz w:val="24"/>
          <w:szCs w:val="24"/>
        </w:rPr>
        <w:t xml:space="preserve"> </w:t>
      </w:r>
      <w:r w:rsidRPr="00564008">
        <w:rPr>
          <w:rFonts w:ascii="Times New Roman" w:hAnsi="Times New Roman"/>
          <w:sz w:val="24"/>
          <w:szCs w:val="24"/>
        </w:rPr>
        <w:t xml:space="preserve">which </w:t>
      </w:r>
      <w:r w:rsidR="005B66C7" w:rsidRPr="00564008">
        <w:rPr>
          <w:rFonts w:ascii="Times New Roman" w:hAnsi="Times New Roman"/>
          <w:sz w:val="24"/>
          <w:szCs w:val="24"/>
        </w:rPr>
        <w:t>revoke</w:t>
      </w:r>
      <w:r w:rsidR="000231FC" w:rsidRPr="00564008">
        <w:rPr>
          <w:rFonts w:ascii="Times New Roman" w:hAnsi="Times New Roman"/>
          <w:sz w:val="24"/>
          <w:szCs w:val="24"/>
        </w:rPr>
        <w:t>s</w:t>
      </w:r>
      <w:r w:rsidR="005B66C7" w:rsidRPr="00564008">
        <w:rPr>
          <w:rFonts w:ascii="Times New Roman" w:hAnsi="Times New Roman"/>
          <w:sz w:val="24"/>
          <w:szCs w:val="24"/>
        </w:rPr>
        <w:t xml:space="preserve"> </w:t>
      </w:r>
      <w:r w:rsidR="005B66C7" w:rsidRPr="00564008">
        <w:rPr>
          <w:rFonts w:ascii="Times New Roman" w:hAnsi="Times New Roman"/>
          <w:i/>
          <w:iCs/>
          <w:sz w:val="24"/>
          <w:szCs w:val="24"/>
        </w:rPr>
        <w:t>Superannuation</w:t>
      </w:r>
      <w:r w:rsidR="005B66C7" w:rsidRPr="00564008">
        <w:rPr>
          <w:rFonts w:ascii="Times New Roman" w:hAnsi="Times New Roman"/>
          <w:sz w:val="24"/>
          <w:szCs w:val="24"/>
        </w:rPr>
        <w:t xml:space="preserve"> </w:t>
      </w:r>
      <w:r w:rsidRPr="00564008">
        <w:rPr>
          <w:rFonts w:ascii="Times New Roman" w:hAnsi="Times New Roman"/>
          <w:i/>
          <w:iCs/>
          <w:sz w:val="24"/>
          <w:szCs w:val="24"/>
        </w:rPr>
        <w:t>Prudential Standard</w:t>
      </w:r>
      <w:r w:rsidRPr="00564008">
        <w:rPr>
          <w:rFonts w:ascii="Times New Roman" w:hAnsi="Times New Roman"/>
          <w:sz w:val="24"/>
          <w:szCs w:val="24"/>
        </w:rPr>
        <w:t xml:space="preserve"> </w:t>
      </w:r>
      <w:r w:rsidR="005B66C7" w:rsidRPr="00564008">
        <w:rPr>
          <w:rFonts w:ascii="Times New Roman" w:hAnsi="Times New Roman"/>
          <w:i/>
          <w:iCs/>
          <w:sz w:val="24"/>
          <w:szCs w:val="24"/>
        </w:rPr>
        <w:t>S</w:t>
      </w:r>
      <w:r w:rsidR="00D73D07" w:rsidRPr="00564008">
        <w:rPr>
          <w:rFonts w:ascii="Times New Roman" w:hAnsi="Times New Roman"/>
          <w:i/>
          <w:iCs/>
          <w:sz w:val="24"/>
          <w:szCs w:val="24"/>
          <w:lang w:val="en-US"/>
        </w:rPr>
        <w:t xml:space="preserve">PS </w:t>
      </w:r>
      <w:r w:rsidR="005B66C7" w:rsidRPr="00564008">
        <w:rPr>
          <w:rFonts w:ascii="Times New Roman" w:hAnsi="Times New Roman"/>
          <w:i/>
          <w:iCs/>
          <w:sz w:val="24"/>
          <w:szCs w:val="24"/>
          <w:lang w:val="en-US"/>
        </w:rPr>
        <w:t>4</w:t>
      </w:r>
      <w:r w:rsidR="004A3208" w:rsidRPr="00564008">
        <w:rPr>
          <w:rFonts w:ascii="Times New Roman" w:hAnsi="Times New Roman"/>
          <w:i/>
          <w:iCs/>
          <w:sz w:val="24"/>
          <w:szCs w:val="24"/>
          <w:lang w:val="en-US"/>
        </w:rPr>
        <w:t>50</w:t>
      </w:r>
      <w:r w:rsidR="005B66C7" w:rsidRPr="00564008">
        <w:rPr>
          <w:rFonts w:ascii="Times New Roman" w:hAnsi="Times New Roman"/>
          <w:i/>
          <w:iCs/>
          <w:sz w:val="24"/>
          <w:szCs w:val="24"/>
          <w:lang w:val="en-US"/>
        </w:rPr>
        <w:t xml:space="preserve"> </w:t>
      </w:r>
      <w:r w:rsidR="004A3208" w:rsidRPr="00564008">
        <w:rPr>
          <w:rFonts w:ascii="Times New Roman" w:hAnsi="Times New Roman"/>
          <w:i/>
          <w:iCs/>
          <w:sz w:val="24"/>
          <w:szCs w:val="24"/>
          <w:lang w:val="en-US"/>
        </w:rPr>
        <w:t>Eligible Rollover Fund Transition</w:t>
      </w:r>
      <w:r w:rsidR="00564008" w:rsidRPr="00564008">
        <w:rPr>
          <w:rFonts w:ascii="Times New Roman" w:hAnsi="Times New Roman"/>
          <w:sz w:val="24"/>
          <w:szCs w:val="24"/>
          <w:lang w:val="en-US"/>
        </w:rPr>
        <w:t>, which</w:t>
      </w:r>
      <w:r w:rsidR="00FE36AE" w:rsidRPr="00564008">
        <w:rPr>
          <w:rFonts w:ascii="Times New Roman" w:hAnsi="Times New Roman"/>
          <w:sz w:val="24"/>
          <w:szCs w:val="24"/>
          <w:lang w:val="en-US"/>
        </w:rPr>
        <w:t xml:space="preserve"> </w:t>
      </w:r>
      <w:r w:rsidR="00246723" w:rsidRPr="00564008">
        <w:rPr>
          <w:rFonts w:ascii="Times New Roman" w:hAnsi="Times New Roman"/>
          <w:sz w:val="24"/>
          <w:szCs w:val="24"/>
        </w:rPr>
        <w:t>commences on</w:t>
      </w:r>
      <w:r w:rsidR="00DA3194" w:rsidRPr="00564008">
        <w:rPr>
          <w:rFonts w:ascii="Times New Roman" w:hAnsi="Times New Roman"/>
          <w:sz w:val="24"/>
          <w:szCs w:val="24"/>
        </w:rPr>
        <w:t xml:space="preserve"> </w:t>
      </w:r>
      <w:r w:rsidR="003E365C" w:rsidRPr="00564008">
        <w:rPr>
          <w:rFonts w:ascii="Times New Roman" w:hAnsi="Times New Roman"/>
          <w:sz w:val="24"/>
          <w:szCs w:val="24"/>
        </w:rPr>
        <w:t>the day after registration</w:t>
      </w:r>
      <w:r w:rsidR="00564008" w:rsidRPr="00564008">
        <w:rPr>
          <w:rFonts w:ascii="Times New Roman" w:hAnsi="Times New Roman"/>
          <w:sz w:val="24"/>
          <w:szCs w:val="24"/>
        </w:rPr>
        <w:t xml:space="preserve"> on the Federal Register of Legislation</w:t>
      </w:r>
      <w:r w:rsidR="003E365C" w:rsidRPr="00564008">
        <w:rPr>
          <w:rFonts w:ascii="Times New Roman" w:hAnsi="Times New Roman"/>
          <w:sz w:val="24"/>
          <w:szCs w:val="24"/>
        </w:rPr>
        <w:t>.</w:t>
      </w:r>
      <w:r w:rsidRPr="00564008">
        <w:rPr>
          <w:rFonts w:ascii="Times New Roman" w:hAnsi="Times New Roman"/>
          <w:sz w:val="24"/>
          <w:szCs w:val="24"/>
        </w:rPr>
        <w:t xml:space="preserve"> </w:t>
      </w:r>
    </w:p>
    <w:p w14:paraId="2820799D" w14:textId="77777777" w:rsidR="002436BD" w:rsidRPr="00564008" w:rsidRDefault="002436BD" w:rsidP="00796A67">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Background</w:t>
      </w:r>
    </w:p>
    <w:p w14:paraId="345025C4" w14:textId="1D123C0D" w:rsidR="005B66C7" w:rsidRPr="00564008" w:rsidRDefault="00AC0C89" w:rsidP="004650F6">
      <w:pPr>
        <w:widowControl w:val="0"/>
        <w:spacing w:after="240"/>
        <w:jc w:val="both"/>
        <w:rPr>
          <w:rFonts w:ascii="Times New Roman" w:hAnsi="Times New Roman"/>
          <w:sz w:val="24"/>
          <w:szCs w:val="24"/>
        </w:rPr>
      </w:pPr>
      <w:bookmarkStart w:id="3" w:name="bkBackground"/>
      <w:bookmarkEnd w:id="3"/>
      <w:r w:rsidRPr="00564008">
        <w:rPr>
          <w:rFonts w:ascii="Times New Roman" w:hAnsi="Times New Roman"/>
          <w:sz w:val="24"/>
          <w:szCs w:val="24"/>
        </w:rPr>
        <w:t xml:space="preserve">Under </w:t>
      </w:r>
      <w:r w:rsidR="005B66C7" w:rsidRPr="00564008">
        <w:rPr>
          <w:rFonts w:ascii="Times New Roman" w:hAnsi="Times New Roman"/>
          <w:sz w:val="24"/>
          <w:szCs w:val="24"/>
        </w:rPr>
        <w:t>Superannuation (prudential standard) determination No</w:t>
      </w:r>
      <w:r w:rsidR="00E006E2" w:rsidRPr="00564008">
        <w:rPr>
          <w:rFonts w:ascii="Times New Roman" w:hAnsi="Times New Roman"/>
          <w:sz w:val="24"/>
          <w:szCs w:val="24"/>
        </w:rPr>
        <w:t>.</w:t>
      </w:r>
      <w:r w:rsidR="005B66C7" w:rsidRPr="00564008">
        <w:rPr>
          <w:rFonts w:ascii="Times New Roman" w:hAnsi="Times New Roman"/>
          <w:sz w:val="24"/>
          <w:szCs w:val="24"/>
        </w:rPr>
        <w:t xml:space="preserve"> </w:t>
      </w:r>
      <w:r w:rsidR="00AE5A6D" w:rsidRPr="00564008">
        <w:rPr>
          <w:rFonts w:ascii="Times New Roman" w:hAnsi="Times New Roman"/>
          <w:sz w:val="24"/>
          <w:szCs w:val="24"/>
        </w:rPr>
        <w:t>1</w:t>
      </w:r>
      <w:r w:rsidR="005B66C7" w:rsidRPr="00564008">
        <w:rPr>
          <w:rFonts w:ascii="Times New Roman" w:hAnsi="Times New Roman"/>
          <w:sz w:val="24"/>
          <w:szCs w:val="24"/>
        </w:rPr>
        <w:t xml:space="preserve"> of 201</w:t>
      </w:r>
      <w:r w:rsidR="00AE5A6D" w:rsidRPr="00564008">
        <w:rPr>
          <w:rFonts w:ascii="Times New Roman" w:hAnsi="Times New Roman"/>
          <w:sz w:val="24"/>
          <w:szCs w:val="24"/>
        </w:rPr>
        <w:t>3</w:t>
      </w:r>
      <w:r w:rsidR="005B66C7" w:rsidRPr="00564008">
        <w:rPr>
          <w:rFonts w:ascii="Times New Roman" w:hAnsi="Times New Roman"/>
          <w:sz w:val="24"/>
          <w:szCs w:val="24"/>
        </w:rPr>
        <w:t xml:space="preserve"> dated </w:t>
      </w:r>
      <w:r w:rsidR="006D7256" w:rsidRPr="00564008">
        <w:rPr>
          <w:rFonts w:ascii="Times New Roman" w:hAnsi="Times New Roman"/>
          <w:sz w:val="24"/>
          <w:szCs w:val="24"/>
        </w:rPr>
        <w:t>29 May 2013</w:t>
      </w:r>
      <w:r w:rsidR="005B66C7" w:rsidRPr="00564008">
        <w:rPr>
          <w:rFonts w:ascii="Times New Roman" w:hAnsi="Times New Roman"/>
          <w:sz w:val="24"/>
          <w:szCs w:val="24"/>
        </w:rPr>
        <w:t xml:space="preserve">, APRA determined </w:t>
      </w:r>
      <w:r w:rsidR="005B66C7" w:rsidRPr="00564008">
        <w:rPr>
          <w:rFonts w:ascii="Times New Roman" w:hAnsi="Times New Roman"/>
          <w:i/>
          <w:sz w:val="24"/>
          <w:szCs w:val="24"/>
        </w:rPr>
        <w:t>Prudential Standard SPS 4</w:t>
      </w:r>
      <w:r w:rsidR="006D7256" w:rsidRPr="00564008">
        <w:rPr>
          <w:rFonts w:ascii="Times New Roman" w:hAnsi="Times New Roman"/>
          <w:i/>
          <w:sz w:val="24"/>
          <w:szCs w:val="24"/>
        </w:rPr>
        <w:t>50</w:t>
      </w:r>
      <w:r w:rsidR="004C605D" w:rsidRPr="00564008">
        <w:rPr>
          <w:rFonts w:ascii="Times New Roman" w:hAnsi="Times New Roman"/>
          <w:i/>
          <w:sz w:val="24"/>
          <w:szCs w:val="24"/>
        </w:rPr>
        <w:t xml:space="preserve"> </w:t>
      </w:r>
      <w:r w:rsidR="006D7256" w:rsidRPr="00564008">
        <w:rPr>
          <w:rFonts w:ascii="Times New Roman" w:hAnsi="Times New Roman"/>
          <w:i/>
          <w:iCs/>
          <w:sz w:val="24"/>
          <w:szCs w:val="24"/>
          <w:lang w:val="en-US"/>
        </w:rPr>
        <w:t>Eligible Rollover Fund Transition</w:t>
      </w:r>
      <w:r w:rsidR="006D7256" w:rsidRPr="00564008">
        <w:rPr>
          <w:rFonts w:ascii="Times New Roman" w:hAnsi="Times New Roman"/>
          <w:sz w:val="24"/>
          <w:szCs w:val="24"/>
        </w:rPr>
        <w:t xml:space="preserve"> </w:t>
      </w:r>
      <w:r w:rsidR="005B66C7" w:rsidRPr="00564008">
        <w:rPr>
          <w:rFonts w:ascii="Times New Roman" w:hAnsi="Times New Roman"/>
          <w:sz w:val="24"/>
          <w:szCs w:val="24"/>
        </w:rPr>
        <w:t>(SPS</w:t>
      </w:r>
      <w:r w:rsidR="004C605D" w:rsidRPr="00564008">
        <w:rPr>
          <w:rFonts w:ascii="Times New Roman" w:hAnsi="Times New Roman"/>
          <w:sz w:val="24"/>
          <w:szCs w:val="24"/>
        </w:rPr>
        <w:t xml:space="preserve"> </w:t>
      </w:r>
      <w:r w:rsidR="005B66C7" w:rsidRPr="00564008">
        <w:rPr>
          <w:rFonts w:ascii="Times New Roman" w:hAnsi="Times New Roman"/>
          <w:sz w:val="24"/>
          <w:szCs w:val="24"/>
        </w:rPr>
        <w:t>4</w:t>
      </w:r>
      <w:r w:rsidR="00562030" w:rsidRPr="00564008">
        <w:rPr>
          <w:rFonts w:ascii="Times New Roman" w:hAnsi="Times New Roman"/>
          <w:sz w:val="24"/>
          <w:szCs w:val="24"/>
        </w:rPr>
        <w:t>50</w:t>
      </w:r>
      <w:r w:rsidR="005B66C7" w:rsidRPr="00564008">
        <w:rPr>
          <w:rFonts w:ascii="Times New Roman" w:hAnsi="Times New Roman"/>
          <w:sz w:val="24"/>
          <w:szCs w:val="24"/>
        </w:rPr>
        <w:t>). The determination was made pursuant to subsection 34</w:t>
      </w:r>
      <w:proofErr w:type="gramStart"/>
      <w:r w:rsidR="005B66C7" w:rsidRPr="00564008">
        <w:rPr>
          <w:rFonts w:ascii="Times New Roman" w:hAnsi="Times New Roman"/>
          <w:sz w:val="24"/>
          <w:szCs w:val="24"/>
        </w:rPr>
        <w:t>C(</w:t>
      </w:r>
      <w:proofErr w:type="gramEnd"/>
      <w:r w:rsidR="005B66C7" w:rsidRPr="00564008">
        <w:rPr>
          <w:rFonts w:ascii="Times New Roman" w:hAnsi="Times New Roman"/>
          <w:sz w:val="24"/>
          <w:szCs w:val="24"/>
        </w:rPr>
        <w:t>1) of the</w:t>
      </w:r>
      <w:r w:rsidR="000231FC" w:rsidRPr="00564008">
        <w:rPr>
          <w:rFonts w:ascii="Times New Roman" w:hAnsi="Times New Roman"/>
          <w:sz w:val="24"/>
          <w:szCs w:val="24"/>
        </w:rPr>
        <w:t xml:space="preserve"> Act</w:t>
      </w:r>
      <w:r w:rsidR="005B66C7" w:rsidRPr="00564008">
        <w:rPr>
          <w:rFonts w:ascii="Times New Roman" w:hAnsi="Times New Roman"/>
          <w:sz w:val="24"/>
          <w:szCs w:val="24"/>
        </w:rPr>
        <w:t>.</w:t>
      </w:r>
    </w:p>
    <w:p w14:paraId="11BEBC32" w14:textId="5A8C60EF" w:rsidR="00A63F91" w:rsidRPr="00564008" w:rsidRDefault="007C0641" w:rsidP="00BC3430">
      <w:pPr>
        <w:pStyle w:val="base-text-paragraph"/>
        <w:tabs>
          <w:tab w:val="clear" w:pos="1985"/>
        </w:tabs>
        <w:spacing w:before="0" w:after="240"/>
        <w:ind w:left="0"/>
        <w:jc w:val="both"/>
        <w:rPr>
          <w:sz w:val="24"/>
          <w:szCs w:val="24"/>
        </w:rPr>
      </w:pPr>
      <w:r w:rsidRPr="00564008">
        <w:rPr>
          <w:sz w:val="24"/>
          <w:szCs w:val="24"/>
        </w:rPr>
        <w:t xml:space="preserve">SPS 450 sets out the </w:t>
      </w:r>
      <w:r w:rsidR="1C930AC5" w:rsidRPr="00564008">
        <w:rPr>
          <w:sz w:val="24"/>
          <w:szCs w:val="24"/>
        </w:rPr>
        <w:t xml:space="preserve">required </w:t>
      </w:r>
      <w:r w:rsidRPr="00564008">
        <w:rPr>
          <w:sz w:val="24"/>
          <w:szCs w:val="24"/>
        </w:rPr>
        <w:t>minimum</w:t>
      </w:r>
      <w:r w:rsidR="3D4159AD" w:rsidRPr="00564008">
        <w:rPr>
          <w:sz w:val="24"/>
          <w:szCs w:val="24"/>
        </w:rPr>
        <w:t xml:space="preserve"> </w:t>
      </w:r>
      <w:r w:rsidRPr="00564008">
        <w:rPr>
          <w:sz w:val="24"/>
          <w:szCs w:val="24"/>
        </w:rPr>
        <w:t xml:space="preserve">processes for RSE licensees of an </w:t>
      </w:r>
      <w:r w:rsidR="001A0E44" w:rsidRPr="00564008">
        <w:rPr>
          <w:sz w:val="24"/>
          <w:szCs w:val="24"/>
        </w:rPr>
        <w:t>eligible rollover fund (ERF)</w:t>
      </w:r>
      <w:r w:rsidRPr="00564008">
        <w:rPr>
          <w:sz w:val="24"/>
          <w:szCs w:val="24"/>
        </w:rPr>
        <w:t xml:space="preserve"> to transfer members’ money to another fund </w:t>
      </w:r>
      <w:proofErr w:type="gramStart"/>
      <w:r w:rsidRPr="00564008">
        <w:rPr>
          <w:sz w:val="24"/>
          <w:szCs w:val="24"/>
        </w:rPr>
        <w:t>in the event that</w:t>
      </w:r>
      <w:proofErr w:type="gramEnd"/>
      <w:r w:rsidRPr="00564008">
        <w:rPr>
          <w:sz w:val="24"/>
          <w:szCs w:val="24"/>
        </w:rPr>
        <w:t xml:space="preserve"> their authorisation to operate as an ERF is cancelled. The requirements include identifying an appropriate</w:t>
      </w:r>
      <w:r w:rsidR="3E13E070" w:rsidRPr="00564008">
        <w:rPr>
          <w:sz w:val="24"/>
          <w:szCs w:val="24"/>
        </w:rPr>
        <w:t xml:space="preserve"> transferee</w:t>
      </w:r>
      <w:r w:rsidRPr="00564008">
        <w:rPr>
          <w:sz w:val="24"/>
          <w:szCs w:val="24"/>
        </w:rPr>
        <w:t xml:space="preserve"> fund, having a transition </w:t>
      </w:r>
      <w:proofErr w:type="gramStart"/>
      <w:r w:rsidRPr="00564008">
        <w:rPr>
          <w:sz w:val="24"/>
          <w:szCs w:val="24"/>
        </w:rPr>
        <w:t>plan</w:t>
      </w:r>
      <w:proofErr w:type="gramEnd"/>
      <w:r w:rsidRPr="00564008">
        <w:rPr>
          <w:sz w:val="24"/>
          <w:szCs w:val="24"/>
        </w:rPr>
        <w:t xml:space="preserve"> and reporting</w:t>
      </w:r>
      <w:r w:rsidR="611A5438" w:rsidRPr="00564008">
        <w:rPr>
          <w:sz w:val="24"/>
          <w:szCs w:val="24"/>
        </w:rPr>
        <w:t xml:space="preserve"> progress on the transfer</w:t>
      </w:r>
      <w:r w:rsidRPr="00564008">
        <w:rPr>
          <w:sz w:val="24"/>
          <w:szCs w:val="24"/>
        </w:rPr>
        <w:t xml:space="preserve"> to APRA.</w:t>
      </w:r>
    </w:p>
    <w:p w14:paraId="4825B704" w14:textId="57347022" w:rsidR="00E720C8" w:rsidRPr="00564008" w:rsidRDefault="00443B39" w:rsidP="00BC3430">
      <w:pPr>
        <w:pStyle w:val="base-text-paragraph"/>
        <w:tabs>
          <w:tab w:val="clear" w:pos="1985"/>
        </w:tabs>
        <w:spacing w:before="0" w:after="240"/>
        <w:ind w:left="0"/>
        <w:jc w:val="both"/>
        <w:rPr>
          <w:sz w:val="24"/>
          <w:szCs w:val="24"/>
        </w:rPr>
      </w:pPr>
      <w:r w:rsidRPr="00564008">
        <w:rPr>
          <w:sz w:val="24"/>
          <w:szCs w:val="24"/>
        </w:rPr>
        <w:t>A</w:t>
      </w:r>
      <w:r w:rsidR="00E720C8" w:rsidRPr="00564008">
        <w:rPr>
          <w:sz w:val="24"/>
          <w:szCs w:val="24"/>
        </w:rPr>
        <w:t xml:space="preserve">n </w:t>
      </w:r>
      <w:r w:rsidR="001A0E44" w:rsidRPr="00564008">
        <w:rPr>
          <w:sz w:val="24"/>
          <w:szCs w:val="24"/>
        </w:rPr>
        <w:t>ERF</w:t>
      </w:r>
      <w:r w:rsidR="00E720C8" w:rsidRPr="00564008">
        <w:rPr>
          <w:sz w:val="24"/>
          <w:szCs w:val="24"/>
        </w:rPr>
        <w:t xml:space="preserve"> is a type of superannuation fund</w:t>
      </w:r>
      <w:r w:rsidR="00A4638A" w:rsidRPr="00564008">
        <w:rPr>
          <w:sz w:val="24"/>
          <w:szCs w:val="24"/>
        </w:rPr>
        <w:t xml:space="preserve"> that </w:t>
      </w:r>
      <w:r w:rsidR="00EF73A1" w:rsidRPr="00564008">
        <w:rPr>
          <w:sz w:val="24"/>
          <w:szCs w:val="24"/>
        </w:rPr>
        <w:t>wa</w:t>
      </w:r>
      <w:r w:rsidR="00A4638A" w:rsidRPr="00564008">
        <w:rPr>
          <w:sz w:val="24"/>
          <w:szCs w:val="24"/>
        </w:rPr>
        <w:t>s eligible to receive benefits rolled over from another fund without member consent</w:t>
      </w:r>
      <w:r w:rsidR="00DB3182" w:rsidRPr="00564008">
        <w:rPr>
          <w:sz w:val="24"/>
          <w:szCs w:val="24"/>
        </w:rPr>
        <w:t xml:space="preserve">: </w:t>
      </w:r>
      <w:r w:rsidR="00A4638A" w:rsidRPr="00564008">
        <w:rPr>
          <w:sz w:val="24"/>
          <w:szCs w:val="24"/>
        </w:rPr>
        <w:t xml:space="preserve">see section 243 of the Act. </w:t>
      </w:r>
      <w:r w:rsidR="00DB3182" w:rsidRPr="00564008">
        <w:rPr>
          <w:sz w:val="24"/>
          <w:szCs w:val="24"/>
        </w:rPr>
        <w:t>ERFs</w:t>
      </w:r>
      <w:r w:rsidR="00EF73A1" w:rsidRPr="00564008">
        <w:rPr>
          <w:sz w:val="24"/>
          <w:szCs w:val="24"/>
        </w:rPr>
        <w:t xml:space="preserve"> were intended to be a temporary repository for small account balances or for accounts belonging to persons that cannot continue to be a member of a fund.</w:t>
      </w:r>
      <w:r w:rsidR="00DB3182" w:rsidRPr="00564008">
        <w:rPr>
          <w:sz w:val="24"/>
          <w:szCs w:val="24"/>
        </w:rPr>
        <w:t xml:space="preserve"> </w:t>
      </w:r>
      <w:r w:rsidR="00AF6C07" w:rsidRPr="00564008">
        <w:rPr>
          <w:sz w:val="24"/>
          <w:szCs w:val="24"/>
        </w:rPr>
        <w:t>However, i</w:t>
      </w:r>
      <w:r w:rsidRPr="00564008">
        <w:rPr>
          <w:sz w:val="24"/>
          <w:szCs w:val="24"/>
        </w:rPr>
        <w:t xml:space="preserve">n its report, </w:t>
      </w:r>
      <w:r w:rsidRPr="00564008">
        <w:rPr>
          <w:i/>
          <w:sz w:val="24"/>
          <w:szCs w:val="24"/>
        </w:rPr>
        <w:t>Superannuation: Assessing Efficiency and Competitiveness</w:t>
      </w:r>
      <w:r w:rsidRPr="00564008">
        <w:rPr>
          <w:sz w:val="24"/>
          <w:szCs w:val="24"/>
        </w:rPr>
        <w:t xml:space="preserve"> the Productivity Commission found that ERFs have not been successful in reuniting members with lost superannuation</w:t>
      </w:r>
      <w:r w:rsidR="00AF6C07" w:rsidRPr="00564008">
        <w:rPr>
          <w:sz w:val="24"/>
          <w:szCs w:val="24"/>
        </w:rPr>
        <w:t xml:space="preserve">. </w:t>
      </w:r>
      <w:r w:rsidR="00A13C32" w:rsidRPr="00564008">
        <w:rPr>
          <w:sz w:val="24"/>
          <w:szCs w:val="24"/>
        </w:rPr>
        <w:t>T</w:t>
      </w:r>
      <w:r w:rsidRPr="00564008">
        <w:rPr>
          <w:sz w:val="24"/>
          <w:szCs w:val="24"/>
        </w:rPr>
        <w:t>he</w:t>
      </w:r>
      <w:r w:rsidR="00AF6C07" w:rsidRPr="00564008">
        <w:rPr>
          <w:sz w:val="24"/>
          <w:szCs w:val="24"/>
        </w:rPr>
        <w:t xml:space="preserve"> Productivity</w:t>
      </w:r>
      <w:r w:rsidRPr="00564008">
        <w:rPr>
          <w:sz w:val="24"/>
          <w:szCs w:val="24"/>
        </w:rPr>
        <w:t xml:space="preserve"> Commission </w:t>
      </w:r>
      <w:r w:rsidR="00055E65" w:rsidRPr="00564008">
        <w:rPr>
          <w:sz w:val="24"/>
          <w:szCs w:val="24"/>
        </w:rPr>
        <w:t xml:space="preserve">therefore </w:t>
      </w:r>
      <w:r w:rsidRPr="00564008">
        <w:rPr>
          <w:sz w:val="24"/>
          <w:szCs w:val="24"/>
        </w:rPr>
        <w:t>recommended the ATO be responsible for holding lost accounts and that APRA oversee the wind</w:t>
      </w:r>
      <w:r w:rsidRPr="00564008">
        <w:rPr>
          <w:sz w:val="24"/>
          <w:szCs w:val="24"/>
        </w:rPr>
        <w:noBreakHyphen/>
        <w:t xml:space="preserve">up of ERFs. </w:t>
      </w:r>
      <w:r w:rsidR="00E720C8" w:rsidRPr="00564008">
        <w:rPr>
          <w:sz w:val="24"/>
          <w:szCs w:val="24"/>
        </w:rPr>
        <w:t xml:space="preserve">In </w:t>
      </w:r>
      <w:r w:rsidR="00E019B6" w:rsidRPr="00564008">
        <w:rPr>
          <w:sz w:val="24"/>
          <w:szCs w:val="24"/>
        </w:rPr>
        <w:t xml:space="preserve">March </w:t>
      </w:r>
      <w:r w:rsidR="00E720C8" w:rsidRPr="00564008">
        <w:rPr>
          <w:sz w:val="24"/>
          <w:szCs w:val="24"/>
        </w:rPr>
        <w:t>202</w:t>
      </w:r>
      <w:r w:rsidR="007162C6" w:rsidRPr="00564008">
        <w:rPr>
          <w:sz w:val="24"/>
          <w:szCs w:val="24"/>
        </w:rPr>
        <w:t>1</w:t>
      </w:r>
      <w:r w:rsidR="00E720C8" w:rsidRPr="00564008">
        <w:rPr>
          <w:sz w:val="24"/>
          <w:szCs w:val="24"/>
        </w:rPr>
        <w:t xml:space="preserve">, Parliament passed the </w:t>
      </w:r>
      <w:r w:rsidR="00E720C8" w:rsidRPr="00564008">
        <w:rPr>
          <w:i/>
          <w:sz w:val="24"/>
          <w:szCs w:val="24"/>
        </w:rPr>
        <w:t>Treasury Laws Amendment (Reuniting More Superannuation) Act 2021</w:t>
      </w:r>
      <w:r w:rsidR="00E720C8" w:rsidRPr="00564008">
        <w:rPr>
          <w:sz w:val="24"/>
          <w:szCs w:val="24"/>
        </w:rPr>
        <w:t xml:space="preserve">, which required </w:t>
      </w:r>
      <w:r w:rsidR="000F4319" w:rsidRPr="00564008">
        <w:rPr>
          <w:sz w:val="24"/>
          <w:szCs w:val="24"/>
        </w:rPr>
        <w:t xml:space="preserve">a </w:t>
      </w:r>
      <w:r w:rsidR="006A652C" w:rsidRPr="00564008">
        <w:rPr>
          <w:sz w:val="24"/>
          <w:szCs w:val="24"/>
        </w:rPr>
        <w:t>trustee</w:t>
      </w:r>
      <w:r w:rsidR="000F4319" w:rsidRPr="00564008">
        <w:rPr>
          <w:sz w:val="24"/>
          <w:szCs w:val="24"/>
        </w:rPr>
        <w:t xml:space="preserve"> of an ERF</w:t>
      </w:r>
      <w:r w:rsidR="006A652C" w:rsidRPr="00564008">
        <w:rPr>
          <w:sz w:val="24"/>
          <w:szCs w:val="24"/>
        </w:rPr>
        <w:t xml:space="preserve"> to pay the balance of all accounts held for members</w:t>
      </w:r>
      <w:r w:rsidR="006A652C" w:rsidRPr="00564008">
        <w:t xml:space="preserve"> </w:t>
      </w:r>
      <w:r w:rsidR="00E720C8" w:rsidRPr="00564008">
        <w:rPr>
          <w:sz w:val="24"/>
          <w:szCs w:val="24"/>
        </w:rPr>
        <w:t xml:space="preserve">to the Australian Tax Office (ATO) by 31 January 2022. The ATO is now responsible for </w:t>
      </w:r>
      <w:r w:rsidR="007F3F4A" w:rsidRPr="00564008">
        <w:rPr>
          <w:sz w:val="24"/>
          <w:szCs w:val="24"/>
        </w:rPr>
        <w:t>reunit</w:t>
      </w:r>
      <w:r w:rsidR="00E00D94" w:rsidRPr="00564008">
        <w:rPr>
          <w:sz w:val="24"/>
          <w:szCs w:val="24"/>
        </w:rPr>
        <w:t>ing</w:t>
      </w:r>
      <w:r w:rsidR="007F3F4A" w:rsidRPr="00564008">
        <w:rPr>
          <w:sz w:val="24"/>
          <w:szCs w:val="24"/>
        </w:rPr>
        <w:t xml:space="preserve"> the</w:t>
      </w:r>
      <w:r w:rsidR="00E00D94" w:rsidRPr="00564008">
        <w:rPr>
          <w:sz w:val="24"/>
          <w:szCs w:val="24"/>
        </w:rPr>
        <w:t>se transferred</w:t>
      </w:r>
      <w:r w:rsidR="007F3F4A" w:rsidRPr="00564008">
        <w:rPr>
          <w:sz w:val="24"/>
          <w:szCs w:val="24"/>
        </w:rPr>
        <w:t xml:space="preserve"> amount</w:t>
      </w:r>
      <w:r w:rsidR="00E00D94" w:rsidRPr="00564008">
        <w:rPr>
          <w:sz w:val="24"/>
          <w:szCs w:val="24"/>
        </w:rPr>
        <w:t>s</w:t>
      </w:r>
      <w:r w:rsidR="00E720C8" w:rsidRPr="00564008">
        <w:rPr>
          <w:sz w:val="24"/>
          <w:szCs w:val="24"/>
        </w:rPr>
        <w:t xml:space="preserve">. </w:t>
      </w:r>
    </w:p>
    <w:p w14:paraId="34A93EA8" w14:textId="3D0FA5AA" w:rsidR="005B66C7" w:rsidRPr="00564008" w:rsidRDefault="00D42FD4" w:rsidP="00BC3430">
      <w:pPr>
        <w:spacing w:after="240"/>
        <w:rPr>
          <w:rFonts w:ascii="Times New Roman" w:hAnsi="Times New Roman"/>
          <w:sz w:val="24"/>
          <w:szCs w:val="24"/>
        </w:rPr>
      </w:pPr>
      <w:r w:rsidRPr="00564008">
        <w:rPr>
          <w:rFonts w:ascii="Times New Roman" w:hAnsi="Times New Roman"/>
          <w:sz w:val="24"/>
          <w:szCs w:val="24"/>
        </w:rPr>
        <w:t>A</w:t>
      </w:r>
      <w:r w:rsidR="001463DE" w:rsidRPr="00564008">
        <w:rPr>
          <w:rFonts w:ascii="Times New Roman" w:hAnsi="Times New Roman"/>
          <w:sz w:val="24"/>
          <w:szCs w:val="24"/>
        </w:rPr>
        <w:t xml:space="preserve">s all monies held in ERFs </w:t>
      </w:r>
      <w:r w:rsidR="009D0EC9" w:rsidRPr="00564008">
        <w:rPr>
          <w:rFonts w:ascii="Times New Roman" w:hAnsi="Times New Roman"/>
          <w:sz w:val="24"/>
          <w:szCs w:val="24"/>
        </w:rPr>
        <w:t xml:space="preserve">were </w:t>
      </w:r>
      <w:r w:rsidR="001463DE" w:rsidRPr="00564008">
        <w:rPr>
          <w:rFonts w:ascii="Times New Roman" w:hAnsi="Times New Roman"/>
          <w:sz w:val="24"/>
          <w:szCs w:val="24"/>
        </w:rPr>
        <w:t>transferred to the ATO</w:t>
      </w:r>
      <w:r w:rsidR="009D0EC9" w:rsidRPr="00564008">
        <w:rPr>
          <w:rFonts w:ascii="Times New Roman" w:hAnsi="Times New Roman"/>
          <w:sz w:val="24"/>
          <w:szCs w:val="24"/>
        </w:rPr>
        <w:t xml:space="preserve"> by 31 January 2022</w:t>
      </w:r>
      <w:r w:rsidR="001463DE" w:rsidRPr="00564008">
        <w:rPr>
          <w:rFonts w:ascii="Times New Roman" w:hAnsi="Times New Roman"/>
          <w:sz w:val="24"/>
          <w:szCs w:val="24"/>
        </w:rPr>
        <w:t xml:space="preserve">, </w:t>
      </w:r>
      <w:r w:rsidR="005B66C7" w:rsidRPr="00564008">
        <w:rPr>
          <w:rFonts w:ascii="Times New Roman" w:hAnsi="Times New Roman"/>
          <w:sz w:val="24"/>
          <w:szCs w:val="24"/>
        </w:rPr>
        <w:t>SPS 4</w:t>
      </w:r>
      <w:r w:rsidR="0048137E" w:rsidRPr="00564008">
        <w:rPr>
          <w:rFonts w:ascii="Times New Roman" w:hAnsi="Times New Roman"/>
          <w:sz w:val="24"/>
          <w:szCs w:val="24"/>
        </w:rPr>
        <w:t>50</w:t>
      </w:r>
      <w:r w:rsidR="005B66C7" w:rsidRPr="00564008">
        <w:rPr>
          <w:rFonts w:ascii="Times New Roman" w:hAnsi="Times New Roman"/>
          <w:sz w:val="24"/>
          <w:szCs w:val="24"/>
        </w:rPr>
        <w:t xml:space="preserve"> is now redundant</w:t>
      </w:r>
      <w:r w:rsidR="00CB13F8" w:rsidRPr="00564008">
        <w:rPr>
          <w:rFonts w:ascii="Times New Roman" w:hAnsi="Times New Roman"/>
          <w:sz w:val="24"/>
          <w:szCs w:val="24"/>
        </w:rPr>
        <w:t>.</w:t>
      </w:r>
    </w:p>
    <w:p w14:paraId="2DB5EAF5" w14:textId="4D0413F1" w:rsidR="00373992" w:rsidRPr="00564008" w:rsidRDefault="002436BD" w:rsidP="00373992">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 xml:space="preserve">Purpose </w:t>
      </w:r>
      <w:r w:rsidR="00DF524E" w:rsidRPr="00564008">
        <w:rPr>
          <w:rFonts w:ascii="Times New Roman" w:hAnsi="Times New Roman"/>
          <w:sz w:val="24"/>
          <w:szCs w:val="24"/>
        </w:rPr>
        <w:t xml:space="preserve">and operation </w:t>
      </w:r>
      <w:r w:rsidRPr="00564008">
        <w:rPr>
          <w:rFonts w:ascii="Times New Roman" w:hAnsi="Times New Roman"/>
          <w:sz w:val="24"/>
          <w:szCs w:val="24"/>
        </w:rPr>
        <w:t>of the instrument</w:t>
      </w:r>
      <w:bookmarkStart w:id="4" w:name="bkPurpose"/>
      <w:bookmarkEnd w:id="4"/>
    </w:p>
    <w:p w14:paraId="185BA730" w14:textId="009D0262" w:rsidR="00373992" w:rsidRPr="00564008" w:rsidRDefault="00450984" w:rsidP="00373992">
      <w:pPr>
        <w:widowControl w:val="0"/>
        <w:spacing w:after="240"/>
        <w:jc w:val="both"/>
        <w:rPr>
          <w:rFonts w:ascii="Times New Roman" w:hAnsi="Times New Roman"/>
          <w:sz w:val="24"/>
          <w:szCs w:val="24"/>
        </w:rPr>
      </w:pPr>
      <w:r w:rsidRPr="00564008">
        <w:rPr>
          <w:rFonts w:ascii="Times New Roman" w:hAnsi="Times New Roman"/>
          <w:sz w:val="24"/>
          <w:szCs w:val="24"/>
        </w:rPr>
        <w:t>T</w:t>
      </w:r>
      <w:r w:rsidR="00373992" w:rsidRPr="00564008">
        <w:rPr>
          <w:rFonts w:ascii="Times New Roman" w:hAnsi="Times New Roman"/>
          <w:sz w:val="24"/>
          <w:szCs w:val="24"/>
        </w:rPr>
        <w:t xml:space="preserve">he purpose of the </w:t>
      </w:r>
      <w:r w:rsidR="00373992" w:rsidRPr="00564008">
        <w:rPr>
          <w:rFonts w:ascii="Times New Roman" w:hAnsi="Times New Roman"/>
          <w:i/>
          <w:iCs/>
          <w:sz w:val="24"/>
          <w:szCs w:val="24"/>
        </w:rPr>
        <w:t>Superannuation (prudential standard</w:t>
      </w:r>
      <w:r w:rsidR="00651F04" w:rsidRPr="00564008">
        <w:rPr>
          <w:rFonts w:ascii="Times New Roman" w:hAnsi="Times New Roman"/>
          <w:i/>
          <w:iCs/>
          <w:sz w:val="24"/>
          <w:szCs w:val="24"/>
        </w:rPr>
        <w:t>)</w:t>
      </w:r>
      <w:r w:rsidR="00373992" w:rsidRPr="00564008">
        <w:rPr>
          <w:rFonts w:ascii="Times New Roman" w:hAnsi="Times New Roman"/>
          <w:i/>
          <w:iCs/>
          <w:sz w:val="24"/>
          <w:szCs w:val="24"/>
        </w:rPr>
        <w:t xml:space="preserve"> determination No</w:t>
      </w:r>
      <w:r w:rsidR="00651F04" w:rsidRPr="00564008">
        <w:rPr>
          <w:rFonts w:ascii="Times New Roman" w:hAnsi="Times New Roman"/>
          <w:i/>
          <w:iCs/>
          <w:sz w:val="24"/>
          <w:szCs w:val="24"/>
        </w:rPr>
        <w:t>. 1</w:t>
      </w:r>
      <w:r w:rsidR="00830AE0" w:rsidRPr="00564008">
        <w:rPr>
          <w:rFonts w:ascii="Times New Roman" w:hAnsi="Times New Roman"/>
          <w:i/>
          <w:iCs/>
          <w:sz w:val="24"/>
          <w:szCs w:val="24"/>
        </w:rPr>
        <w:t xml:space="preserve"> </w:t>
      </w:r>
      <w:r w:rsidR="00373992" w:rsidRPr="00564008">
        <w:rPr>
          <w:rFonts w:ascii="Times New Roman" w:hAnsi="Times New Roman"/>
          <w:i/>
          <w:iCs/>
          <w:sz w:val="24"/>
          <w:szCs w:val="24"/>
        </w:rPr>
        <w:t>of 20</w:t>
      </w:r>
      <w:r w:rsidR="00830AE0" w:rsidRPr="00564008">
        <w:rPr>
          <w:rFonts w:ascii="Times New Roman" w:hAnsi="Times New Roman"/>
          <w:i/>
          <w:iCs/>
          <w:sz w:val="24"/>
          <w:szCs w:val="24"/>
        </w:rPr>
        <w:t>2</w:t>
      </w:r>
      <w:r w:rsidR="6ADF639D" w:rsidRPr="00564008">
        <w:rPr>
          <w:rFonts w:ascii="Times New Roman" w:hAnsi="Times New Roman"/>
          <w:i/>
          <w:iCs/>
          <w:sz w:val="24"/>
          <w:szCs w:val="24"/>
        </w:rPr>
        <w:t>4</w:t>
      </w:r>
      <w:r w:rsidR="00373992" w:rsidRPr="00564008">
        <w:rPr>
          <w:rFonts w:ascii="Times New Roman" w:hAnsi="Times New Roman"/>
          <w:sz w:val="24"/>
          <w:szCs w:val="24"/>
        </w:rPr>
        <w:t xml:space="preserve"> is to revoke SPS 4</w:t>
      </w:r>
      <w:r w:rsidR="00830AE0" w:rsidRPr="00564008">
        <w:rPr>
          <w:rFonts w:ascii="Times New Roman" w:hAnsi="Times New Roman"/>
          <w:sz w:val="24"/>
          <w:szCs w:val="24"/>
        </w:rPr>
        <w:t>50</w:t>
      </w:r>
      <w:r w:rsidR="00364E2C" w:rsidRPr="00564008">
        <w:rPr>
          <w:rFonts w:ascii="Times New Roman" w:hAnsi="Times New Roman"/>
          <w:sz w:val="24"/>
          <w:szCs w:val="24"/>
        </w:rPr>
        <w:t xml:space="preserve"> as it is no longer </w:t>
      </w:r>
      <w:r w:rsidR="007E5117" w:rsidRPr="00564008">
        <w:rPr>
          <w:rFonts w:ascii="Times New Roman" w:hAnsi="Times New Roman"/>
          <w:sz w:val="24"/>
          <w:szCs w:val="24"/>
        </w:rPr>
        <w:t xml:space="preserve">applicable to RSE licensees due to the </w:t>
      </w:r>
      <w:proofErr w:type="gramStart"/>
      <w:r w:rsidR="007E5117" w:rsidRPr="00564008">
        <w:rPr>
          <w:rFonts w:ascii="Times New Roman" w:hAnsi="Times New Roman"/>
          <w:sz w:val="24"/>
          <w:szCs w:val="24"/>
        </w:rPr>
        <w:lastRenderedPageBreak/>
        <w:t>aforementioned changes</w:t>
      </w:r>
      <w:proofErr w:type="gramEnd"/>
      <w:r w:rsidR="007E5117" w:rsidRPr="00564008">
        <w:rPr>
          <w:rFonts w:ascii="Times New Roman" w:hAnsi="Times New Roman"/>
          <w:sz w:val="24"/>
          <w:szCs w:val="24"/>
        </w:rPr>
        <w:t xml:space="preserve"> to legislation.</w:t>
      </w:r>
    </w:p>
    <w:p w14:paraId="6AD0B9B9" w14:textId="77777777" w:rsidR="002436BD" w:rsidRPr="00564008" w:rsidRDefault="002436BD" w:rsidP="00796A67">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564008">
        <w:rPr>
          <w:rFonts w:ascii="Times New Roman" w:hAnsi="Times New Roman"/>
          <w:sz w:val="24"/>
          <w:szCs w:val="24"/>
        </w:rPr>
        <w:t>Consultation</w:t>
      </w:r>
    </w:p>
    <w:p w14:paraId="6471E963" w14:textId="7CB13AD6" w:rsidR="002436BD" w:rsidRPr="00564008" w:rsidRDefault="002436BD" w:rsidP="00796A67">
      <w:pPr>
        <w:pStyle w:val="Heading"/>
        <w:tabs>
          <w:tab w:val="left" w:pos="360"/>
        </w:tabs>
        <w:spacing w:after="240"/>
        <w:rPr>
          <w:rFonts w:ascii="Times New Roman" w:hAnsi="Times New Roman"/>
          <w:b w:val="0"/>
          <w:sz w:val="24"/>
          <w:szCs w:val="24"/>
        </w:rPr>
      </w:pPr>
      <w:r w:rsidRPr="00564008">
        <w:rPr>
          <w:rFonts w:ascii="Times New Roman" w:hAnsi="Times New Roman"/>
          <w:b w:val="0"/>
          <w:sz w:val="24"/>
          <w:szCs w:val="24"/>
        </w:rPr>
        <w:t>A</w:t>
      </w:r>
      <w:r w:rsidR="00373992" w:rsidRPr="00564008">
        <w:rPr>
          <w:rFonts w:ascii="Times New Roman" w:hAnsi="Times New Roman"/>
          <w:b w:val="0"/>
          <w:sz w:val="24"/>
          <w:szCs w:val="24"/>
        </w:rPr>
        <w:t>s the revocation of SPS 4</w:t>
      </w:r>
      <w:r w:rsidR="00830AE0" w:rsidRPr="00564008">
        <w:rPr>
          <w:rFonts w:ascii="Times New Roman" w:hAnsi="Times New Roman"/>
          <w:b w:val="0"/>
          <w:sz w:val="24"/>
          <w:szCs w:val="24"/>
        </w:rPr>
        <w:t>50</w:t>
      </w:r>
      <w:r w:rsidR="00373992" w:rsidRPr="00564008">
        <w:rPr>
          <w:rFonts w:ascii="Times New Roman" w:hAnsi="Times New Roman"/>
          <w:b w:val="0"/>
          <w:sz w:val="24"/>
          <w:szCs w:val="24"/>
        </w:rPr>
        <w:t xml:space="preserve"> will not have any impact on business</w:t>
      </w:r>
      <w:r w:rsidR="00B04B1A" w:rsidRPr="00564008">
        <w:rPr>
          <w:rFonts w:ascii="Times New Roman" w:hAnsi="Times New Roman"/>
          <w:b w:val="0"/>
          <w:sz w:val="24"/>
          <w:szCs w:val="24"/>
        </w:rPr>
        <w:t xml:space="preserve">, </w:t>
      </w:r>
      <w:r w:rsidR="00373992" w:rsidRPr="00564008">
        <w:rPr>
          <w:rFonts w:ascii="Times New Roman" w:hAnsi="Times New Roman"/>
          <w:b w:val="0"/>
          <w:sz w:val="24"/>
          <w:szCs w:val="24"/>
        </w:rPr>
        <w:t xml:space="preserve">community organisations </w:t>
      </w:r>
      <w:r w:rsidR="00B04B1A" w:rsidRPr="00564008">
        <w:rPr>
          <w:rFonts w:ascii="Times New Roman" w:hAnsi="Times New Roman"/>
          <w:b w:val="0"/>
          <w:sz w:val="24"/>
          <w:szCs w:val="24"/>
        </w:rPr>
        <w:t xml:space="preserve">or individuals, </w:t>
      </w:r>
      <w:r w:rsidR="00373992" w:rsidRPr="00564008">
        <w:rPr>
          <w:rFonts w:ascii="Times New Roman" w:hAnsi="Times New Roman"/>
          <w:b w:val="0"/>
          <w:sz w:val="24"/>
          <w:szCs w:val="24"/>
        </w:rPr>
        <w:t>cons</w:t>
      </w:r>
      <w:r w:rsidR="00B04B1A" w:rsidRPr="00564008">
        <w:rPr>
          <w:rFonts w:ascii="Times New Roman" w:hAnsi="Times New Roman"/>
          <w:b w:val="0"/>
          <w:sz w:val="24"/>
          <w:szCs w:val="24"/>
        </w:rPr>
        <w:t>u</w:t>
      </w:r>
      <w:r w:rsidR="00373992" w:rsidRPr="00564008">
        <w:rPr>
          <w:rFonts w:ascii="Times New Roman" w:hAnsi="Times New Roman"/>
          <w:b w:val="0"/>
          <w:sz w:val="24"/>
          <w:szCs w:val="24"/>
        </w:rPr>
        <w:t>l</w:t>
      </w:r>
      <w:r w:rsidR="00B04B1A" w:rsidRPr="00564008">
        <w:rPr>
          <w:rFonts w:ascii="Times New Roman" w:hAnsi="Times New Roman"/>
          <w:b w:val="0"/>
          <w:sz w:val="24"/>
          <w:szCs w:val="24"/>
        </w:rPr>
        <w:t>t</w:t>
      </w:r>
      <w:r w:rsidR="00373992" w:rsidRPr="00564008">
        <w:rPr>
          <w:rFonts w:ascii="Times New Roman" w:hAnsi="Times New Roman"/>
          <w:b w:val="0"/>
          <w:sz w:val="24"/>
          <w:szCs w:val="24"/>
        </w:rPr>
        <w:t>ation was not undertaken.</w:t>
      </w:r>
      <w:r w:rsidRPr="00564008">
        <w:rPr>
          <w:rFonts w:ascii="Times New Roman" w:hAnsi="Times New Roman"/>
          <w:b w:val="0"/>
          <w:sz w:val="24"/>
          <w:szCs w:val="24"/>
        </w:rPr>
        <w:t xml:space="preserve"> </w:t>
      </w:r>
    </w:p>
    <w:p w14:paraId="0320D482" w14:textId="77777777" w:rsidR="002436BD" w:rsidRPr="00564008" w:rsidRDefault="00DF524E" w:rsidP="008E5D4C">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sidRPr="00564008">
        <w:rPr>
          <w:rFonts w:ascii="Times New Roman" w:hAnsi="Times New Roman"/>
          <w:sz w:val="24"/>
          <w:szCs w:val="24"/>
        </w:rPr>
        <w:t>4</w:t>
      </w:r>
      <w:r w:rsidR="002436BD" w:rsidRPr="00564008">
        <w:rPr>
          <w:rFonts w:ascii="Times New Roman" w:hAnsi="Times New Roman"/>
          <w:sz w:val="24"/>
          <w:szCs w:val="24"/>
        </w:rPr>
        <w:t xml:space="preserve">. </w:t>
      </w:r>
      <w:r w:rsidR="002436BD" w:rsidRPr="00564008">
        <w:rPr>
          <w:rFonts w:ascii="Times New Roman" w:hAnsi="Times New Roman"/>
          <w:sz w:val="24"/>
          <w:szCs w:val="24"/>
        </w:rPr>
        <w:tab/>
        <w:t>Regulation Impact Statement</w:t>
      </w:r>
    </w:p>
    <w:bookmarkEnd w:id="9"/>
    <w:p w14:paraId="3BE505BD" w14:textId="66FDB19E" w:rsidR="00D3484E" w:rsidRPr="00564008" w:rsidRDefault="00D3484E" w:rsidP="008E5D4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The Office of </w:t>
      </w:r>
      <w:r w:rsidR="00C37037" w:rsidRPr="00564008">
        <w:rPr>
          <w:rFonts w:ascii="Times New Roman" w:hAnsi="Times New Roman"/>
          <w:b w:val="0"/>
          <w:sz w:val="24"/>
          <w:szCs w:val="24"/>
        </w:rPr>
        <w:t>Impact Analysis</w:t>
      </w:r>
      <w:r w:rsidRPr="00564008">
        <w:rPr>
          <w:rFonts w:ascii="Times New Roman" w:hAnsi="Times New Roman"/>
          <w:b w:val="0"/>
          <w:sz w:val="24"/>
          <w:szCs w:val="24"/>
        </w:rPr>
        <w:t xml:space="preserve"> has advised that a Regulation Impact Statement is not required for this legislative instrument.</w:t>
      </w:r>
    </w:p>
    <w:p w14:paraId="5C19FB8D" w14:textId="77777777" w:rsidR="002436BD" w:rsidRPr="00564008" w:rsidRDefault="00DF524E" w:rsidP="008E5D4C">
      <w:pPr>
        <w:pStyle w:val="Heading"/>
        <w:tabs>
          <w:tab w:val="left" w:pos="360"/>
        </w:tabs>
        <w:spacing w:after="240"/>
        <w:rPr>
          <w:rFonts w:ascii="Times New Roman" w:hAnsi="Times New Roman"/>
          <w:sz w:val="24"/>
          <w:szCs w:val="24"/>
        </w:rPr>
      </w:pPr>
      <w:r w:rsidRPr="00564008">
        <w:rPr>
          <w:rFonts w:ascii="Times New Roman" w:hAnsi="Times New Roman"/>
          <w:sz w:val="24"/>
          <w:szCs w:val="24"/>
        </w:rPr>
        <w:t>5</w:t>
      </w:r>
      <w:r w:rsidR="002436BD" w:rsidRPr="00564008">
        <w:rPr>
          <w:rFonts w:ascii="Times New Roman" w:hAnsi="Times New Roman"/>
          <w:sz w:val="24"/>
          <w:szCs w:val="24"/>
        </w:rPr>
        <w:t>.</w:t>
      </w:r>
      <w:r w:rsidR="002436BD" w:rsidRPr="00564008">
        <w:rPr>
          <w:rFonts w:ascii="Times New Roman" w:hAnsi="Times New Roman"/>
          <w:sz w:val="24"/>
          <w:szCs w:val="24"/>
        </w:rPr>
        <w:tab/>
        <w:t>Statement of compatibility prepared in accordance with Part 3 of the Human Rights (Parliamentary Scrutiny) Act 2011</w:t>
      </w:r>
    </w:p>
    <w:p w14:paraId="048E14C9" w14:textId="641CDE15" w:rsidR="000231FC" w:rsidRPr="00564008" w:rsidRDefault="000231FC" w:rsidP="000231F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A Statement of compatibility prepared in accordance with Part 3 of the </w:t>
      </w:r>
      <w:r w:rsidRPr="00564008">
        <w:rPr>
          <w:rFonts w:ascii="Times New Roman" w:hAnsi="Times New Roman"/>
          <w:b w:val="0"/>
          <w:i/>
          <w:sz w:val="24"/>
          <w:szCs w:val="24"/>
        </w:rPr>
        <w:t>Human Rights (Parliamentary Scrutiny) Act 2011</w:t>
      </w:r>
      <w:r w:rsidRPr="00564008">
        <w:rPr>
          <w:rFonts w:ascii="Times New Roman" w:hAnsi="Times New Roman"/>
          <w:b w:val="0"/>
          <w:sz w:val="24"/>
          <w:szCs w:val="24"/>
        </w:rPr>
        <w:t xml:space="preserve"> is provided at Attachment A to this Explanatory Statement</w:t>
      </w:r>
      <w:r w:rsidR="005E10E8" w:rsidRPr="00564008">
        <w:rPr>
          <w:rFonts w:ascii="Times New Roman" w:hAnsi="Times New Roman"/>
          <w:b w:val="0"/>
          <w:sz w:val="24"/>
          <w:szCs w:val="24"/>
        </w:rPr>
        <w:t>.</w:t>
      </w:r>
    </w:p>
    <w:p w14:paraId="59C01D3D" w14:textId="77777777" w:rsidR="000231FC" w:rsidRPr="00564008" w:rsidRDefault="000231FC" w:rsidP="000231FC">
      <w:pPr>
        <w:pStyle w:val="Heading"/>
        <w:spacing w:after="240"/>
        <w:rPr>
          <w:rFonts w:ascii="Times New Roman" w:hAnsi="Times New Roman"/>
          <w:b w:val="0"/>
          <w:sz w:val="24"/>
          <w:szCs w:val="24"/>
        </w:rPr>
      </w:pPr>
    </w:p>
    <w:p w14:paraId="3A2E8C2B" w14:textId="77777777" w:rsidR="000231FC" w:rsidRPr="00564008" w:rsidRDefault="000231FC" w:rsidP="000231FC">
      <w:pPr>
        <w:rPr>
          <w:rFonts w:ascii="Times New Roman" w:eastAsia="Calibri" w:hAnsi="Times New Roman"/>
          <w:b/>
          <w:bCs/>
          <w:sz w:val="24"/>
          <w:szCs w:val="24"/>
          <w:u w:val="single"/>
        </w:rPr>
      </w:pPr>
      <w:r w:rsidRPr="00564008">
        <w:rPr>
          <w:rFonts w:ascii="Times New Roman" w:eastAsia="Calibri" w:hAnsi="Times New Roman"/>
          <w:b/>
          <w:bCs/>
          <w:sz w:val="24"/>
          <w:szCs w:val="24"/>
          <w:u w:val="single"/>
        </w:rPr>
        <w:br w:type="page"/>
      </w:r>
    </w:p>
    <w:p w14:paraId="26C433C0" w14:textId="77777777" w:rsidR="000231FC" w:rsidRPr="00564008" w:rsidRDefault="000231FC" w:rsidP="000231FC">
      <w:pPr>
        <w:autoSpaceDE w:val="0"/>
        <w:autoSpaceDN w:val="0"/>
        <w:adjustRightInd w:val="0"/>
        <w:rPr>
          <w:rFonts w:ascii="Times New Roman" w:eastAsia="Calibri" w:hAnsi="Times New Roman"/>
          <w:b/>
          <w:bCs/>
          <w:sz w:val="24"/>
          <w:szCs w:val="24"/>
          <w:u w:val="single"/>
        </w:rPr>
      </w:pPr>
      <w:r w:rsidRPr="00564008">
        <w:rPr>
          <w:rFonts w:ascii="Times New Roman" w:eastAsia="Calibri" w:hAnsi="Times New Roman"/>
          <w:b/>
          <w:bCs/>
          <w:sz w:val="24"/>
          <w:szCs w:val="24"/>
          <w:u w:val="single"/>
        </w:rPr>
        <w:lastRenderedPageBreak/>
        <w:t>ATTACHMENT A</w:t>
      </w:r>
    </w:p>
    <w:p w14:paraId="50021654"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7B1F7C96" w14:textId="77777777" w:rsidR="000231FC" w:rsidRPr="00564008" w:rsidRDefault="000231FC" w:rsidP="000231FC">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Statement of Compatibility with Human Rights</w:t>
      </w:r>
    </w:p>
    <w:p w14:paraId="01FB922A" w14:textId="77777777" w:rsidR="000231FC" w:rsidRPr="00564008" w:rsidRDefault="000231FC" w:rsidP="000231FC">
      <w:pPr>
        <w:autoSpaceDE w:val="0"/>
        <w:autoSpaceDN w:val="0"/>
        <w:adjustRightInd w:val="0"/>
        <w:rPr>
          <w:rFonts w:ascii="Times New Roman" w:eastAsia="Calibri" w:hAnsi="Times New Roman"/>
          <w:bCs/>
          <w:sz w:val="24"/>
          <w:szCs w:val="24"/>
        </w:rPr>
      </w:pPr>
    </w:p>
    <w:p w14:paraId="2B22F88D"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sz w:val="24"/>
          <w:szCs w:val="24"/>
        </w:rPr>
        <w:t xml:space="preserve">Prepared in accordance with Part 3 of the </w:t>
      </w:r>
      <w:r w:rsidRPr="00564008">
        <w:rPr>
          <w:rFonts w:ascii="Times New Roman" w:eastAsia="Calibri" w:hAnsi="Times New Roman"/>
          <w:i/>
          <w:sz w:val="24"/>
          <w:szCs w:val="24"/>
        </w:rPr>
        <w:t>Human Rights (Parliamentary Scrutiny) Act</w:t>
      </w:r>
    </w:p>
    <w:p w14:paraId="77A601E7"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i/>
          <w:sz w:val="24"/>
          <w:szCs w:val="24"/>
        </w:rPr>
        <w:t>2011</w:t>
      </w:r>
    </w:p>
    <w:p w14:paraId="36A3F31B" w14:textId="77777777" w:rsidR="000231FC" w:rsidRPr="00564008" w:rsidRDefault="000231FC" w:rsidP="000231FC">
      <w:pPr>
        <w:autoSpaceDE w:val="0"/>
        <w:autoSpaceDN w:val="0"/>
        <w:adjustRightInd w:val="0"/>
        <w:jc w:val="center"/>
        <w:rPr>
          <w:rFonts w:ascii="Times New Roman" w:eastAsia="Calibri" w:hAnsi="Times New Roman"/>
          <w:sz w:val="24"/>
          <w:szCs w:val="24"/>
        </w:rPr>
      </w:pPr>
    </w:p>
    <w:p w14:paraId="4AB213C5" w14:textId="4BD1D509" w:rsidR="000231FC" w:rsidRPr="00564008" w:rsidRDefault="000231FC" w:rsidP="75515248">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 xml:space="preserve">Superannuation (prudential standard) determination No. </w:t>
      </w:r>
      <w:r w:rsidR="00564008" w:rsidRPr="00564008">
        <w:rPr>
          <w:rFonts w:ascii="Times New Roman" w:eastAsia="Calibri" w:hAnsi="Times New Roman"/>
          <w:b/>
          <w:bCs/>
          <w:sz w:val="24"/>
          <w:szCs w:val="24"/>
        </w:rPr>
        <w:t>1</w:t>
      </w:r>
      <w:r w:rsidRPr="00564008">
        <w:rPr>
          <w:rFonts w:ascii="Times New Roman" w:eastAsia="Calibri" w:hAnsi="Times New Roman"/>
          <w:b/>
          <w:bCs/>
          <w:sz w:val="24"/>
          <w:szCs w:val="24"/>
        </w:rPr>
        <w:t xml:space="preserve"> of 20</w:t>
      </w:r>
      <w:r w:rsidR="00664C90" w:rsidRPr="00564008">
        <w:rPr>
          <w:rFonts w:ascii="Times New Roman" w:eastAsia="Calibri" w:hAnsi="Times New Roman"/>
          <w:b/>
          <w:bCs/>
          <w:sz w:val="24"/>
          <w:szCs w:val="24"/>
        </w:rPr>
        <w:t>2</w:t>
      </w:r>
      <w:r w:rsidR="7D985E8B" w:rsidRPr="00564008">
        <w:rPr>
          <w:rFonts w:ascii="Times New Roman" w:eastAsia="Calibri" w:hAnsi="Times New Roman"/>
          <w:b/>
          <w:bCs/>
          <w:sz w:val="24"/>
          <w:szCs w:val="24"/>
        </w:rPr>
        <w:t>4</w:t>
      </w:r>
    </w:p>
    <w:p w14:paraId="2CAD58EA"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1138D583" w14:textId="77777777" w:rsidR="000231FC" w:rsidRPr="00564008" w:rsidRDefault="000231FC" w:rsidP="000231FC">
      <w:pPr>
        <w:autoSpaceDE w:val="0"/>
        <w:autoSpaceDN w:val="0"/>
        <w:adjustRightInd w:val="0"/>
        <w:jc w:val="both"/>
        <w:rPr>
          <w:rFonts w:ascii="Times New Roman" w:eastAsia="Calibri" w:hAnsi="Times New Roman"/>
          <w:i/>
          <w:iCs/>
          <w:sz w:val="24"/>
          <w:szCs w:val="24"/>
        </w:rPr>
      </w:pPr>
      <w:r w:rsidRPr="00564008">
        <w:rPr>
          <w:rFonts w:ascii="Times New Roman" w:eastAsia="Calibri" w:hAnsi="Times New Roman"/>
          <w:sz w:val="24"/>
          <w:szCs w:val="24"/>
        </w:rPr>
        <w:t xml:space="preserve">This Legislative Instrument is compatible with the human rights and freedoms recognised or declared in the international instrument listed in section 3 of the </w:t>
      </w:r>
      <w:proofErr w:type="gramStart"/>
      <w:r w:rsidRPr="00564008">
        <w:rPr>
          <w:rFonts w:ascii="Times New Roman" w:eastAsia="Calibri" w:hAnsi="Times New Roman"/>
          <w:i/>
          <w:iCs/>
          <w:sz w:val="24"/>
          <w:szCs w:val="24"/>
        </w:rPr>
        <w:t>Human</w:t>
      </w:r>
      <w:proofErr w:type="gramEnd"/>
    </w:p>
    <w:p w14:paraId="4C63C786" w14:textId="77777777" w:rsidR="000231FC" w:rsidRPr="00564008" w:rsidRDefault="000231FC" w:rsidP="000231FC">
      <w:pPr>
        <w:autoSpaceDE w:val="0"/>
        <w:autoSpaceDN w:val="0"/>
        <w:adjustRightInd w:val="0"/>
        <w:jc w:val="both"/>
        <w:rPr>
          <w:rFonts w:ascii="Times New Roman" w:eastAsia="Calibri" w:hAnsi="Times New Roman"/>
          <w:sz w:val="24"/>
          <w:szCs w:val="24"/>
        </w:rPr>
      </w:pPr>
      <w:r w:rsidRPr="00564008">
        <w:rPr>
          <w:rFonts w:ascii="Times New Roman" w:eastAsia="Calibri" w:hAnsi="Times New Roman"/>
          <w:i/>
          <w:iCs/>
          <w:sz w:val="24"/>
          <w:szCs w:val="24"/>
        </w:rPr>
        <w:t xml:space="preserve">Rights (Parliamentary Scrutiny) Act 2011 </w:t>
      </w:r>
      <w:r w:rsidRPr="00564008">
        <w:rPr>
          <w:rFonts w:ascii="Times New Roman" w:eastAsia="Calibri" w:hAnsi="Times New Roman"/>
          <w:sz w:val="24"/>
          <w:szCs w:val="24"/>
        </w:rPr>
        <w:t>(HRPS Act).</w:t>
      </w:r>
    </w:p>
    <w:p w14:paraId="2AEA3DB7" w14:textId="77777777" w:rsidR="000231FC" w:rsidRPr="00564008" w:rsidRDefault="000231FC" w:rsidP="000231FC">
      <w:pPr>
        <w:autoSpaceDE w:val="0"/>
        <w:autoSpaceDN w:val="0"/>
        <w:adjustRightInd w:val="0"/>
        <w:jc w:val="both"/>
        <w:rPr>
          <w:rFonts w:ascii="Times New Roman" w:eastAsia="Calibri" w:hAnsi="Times New Roman"/>
          <w:sz w:val="24"/>
          <w:szCs w:val="24"/>
        </w:rPr>
      </w:pPr>
    </w:p>
    <w:p w14:paraId="774E6DBE" w14:textId="77777777" w:rsidR="000231FC" w:rsidRPr="00564008" w:rsidRDefault="000231FC" w:rsidP="000231FC">
      <w:pPr>
        <w:autoSpaceDE w:val="0"/>
        <w:autoSpaceDN w:val="0"/>
        <w:adjustRightInd w:val="0"/>
        <w:jc w:val="both"/>
        <w:rPr>
          <w:rFonts w:ascii="Times New Roman" w:eastAsia="Calibri" w:hAnsi="Times New Roman"/>
          <w:b/>
          <w:bCs/>
          <w:sz w:val="24"/>
          <w:szCs w:val="24"/>
        </w:rPr>
      </w:pPr>
      <w:r w:rsidRPr="00564008">
        <w:rPr>
          <w:rFonts w:ascii="Times New Roman" w:eastAsia="Calibri" w:hAnsi="Times New Roman"/>
          <w:b/>
          <w:bCs/>
          <w:sz w:val="24"/>
          <w:szCs w:val="24"/>
        </w:rPr>
        <w:t>Overview of the Legislative Instrument</w:t>
      </w:r>
    </w:p>
    <w:p w14:paraId="16D5112E" w14:textId="77777777" w:rsidR="000231FC" w:rsidRPr="00564008" w:rsidRDefault="000231FC" w:rsidP="000231FC">
      <w:pPr>
        <w:autoSpaceDE w:val="0"/>
        <w:autoSpaceDN w:val="0"/>
        <w:adjustRightInd w:val="0"/>
        <w:jc w:val="both"/>
        <w:rPr>
          <w:rFonts w:ascii="Times New Roman" w:eastAsia="Calibri" w:hAnsi="Times New Roman"/>
          <w:b/>
          <w:bCs/>
          <w:sz w:val="24"/>
          <w:szCs w:val="24"/>
        </w:rPr>
      </w:pPr>
    </w:p>
    <w:p w14:paraId="3905A63F" w14:textId="07A1EB5C" w:rsidR="0063634B" w:rsidRPr="00564008" w:rsidRDefault="000231FC" w:rsidP="000231FC">
      <w:pPr>
        <w:widowControl w:val="0"/>
        <w:spacing w:after="240"/>
        <w:jc w:val="both"/>
        <w:rPr>
          <w:rFonts w:ascii="Times New Roman" w:hAnsi="Times New Roman"/>
          <w:sz w:val="24"/>
          <w:szCs w:val="24"/>
        </w:rPr>
      </w:pPr>
      <w:r w:rsidRPr="00564008">
        <w:rPr>
          <w:rFonts w:ascii="Times New Roman" w:eastAsia="Calibri" w:hAnsi="Times New Roman"/>
          <w:sz w:val="24"/>
          <w:szCs w:val="24"/>
        </w:rPr>
        <w:t xml:space="preserve">The purpose of making this legislative instrument is to revoke </w:t>
      </w:r>
      <w:r w:rsidR="004C605D" w:rsidRPr="00564008">
        <w:rPr>
          <w:rFonts w:ascii="Times New Roman" w:hAnsi="Times New Roman"/>
          <w:i/>
          <w:sz w:val="24"/>
          <w:szCs w:val="24"/>
        </w:rPr>
        <w:t>Prudential Standard SPS 4</w:t>
      </w:r>
      <w:r w:rsidR="001F6812" w:rsidRPr="00564008">
        <w:rPr>
          <w:rFonts w:ascii="Times New Roman" w:hAnsi="Times New Roman"/>
          <w:i/>
          <w:sz w:val="24"/>
          <w:szCs w:val="24"/>
        </w:rPr>
        <w:t>50</w:t>
      </w:r>
      <w:r w:rsidR="004C605D" w:rsidRPr="00564008">
        <w:rPr>
          <w:rFonts w:ascii="Times New Roman" w:hAnsi="Times New Roman"/>
          <w:i/>
          <w:sz w:val="24"/>
          <w:szCs w:val="24"/>
        </w:rPr>
        <w:t xml:space="preserve"> </w:t>
      </w:r>
      <w:r w:rsidR="001F6812" w:rsidRPr="00564008">
        <w:rPr>
          <w:rFonts w:ascii="Times New Roman" w:hAnsi="Times New Roman"/>
          <w:i/>
          <w:iCs/>
          <w:sz w:val="24"/>
          <w:szCs w:val="24"/>
          <w:lang w:val="en-US"/>
        </w:rPr>
        <w:t>Eligible Rollover Fund Transition</w:t>
      </w:r>
      <w:r w:rsidR="001F6812" w:rsidRPr="00564008">
        <w:rPr>
          <w:rFonts w:ascii="Times New Roman" w:hAnsi="Times New Roman"/>
          <w:sz w:val="24"/>
          <w:szCs w:val="24"/>
        </w:rPr>
        <w:t xml:space="preserve"> (SPS 450</w:t>
      </w:r>
      <w:r w:rsidR="004C605D" w:rsidRPr="00564008">
        <w:rPr>
          <w:rFonts w:ascii="Times New Roman" w:hAnsi="Times New Roman"/>
          <w:sz w:val="24"/>
          <w:szCs w:val="24"/>
        </w:rPr>
        <w:t>)</w:t>
      </w:r>
      <w:r w:rsidRPr="00564008">
        <w:rPr>
          <w:rFonts w:ascii="Times New Roman" w:eastAsia="Calibri" w:hAnsi="Times New Roman"/>
          <w:sz w:val="24"/>
          <w:szCs w:val="24"/>
        </w:rPr>
        <w:t xml:space="preserve">, </w:t>
      </w:r>
      <w:r w:rsidR="001F6812" w:rsidRPr="00564008">
        <w:rPr>
          <w:rFonts w:ascii="Times New Roman" w:eastAsia="Calibri" w:hAnsi="Times New Roman"/>
          <w:sz w:val="24"/>
          <w:szCs w:val="24"/>
        </w:rPr>
        <w:t xml:space="preserve">which </w:t>
      </w:r>
      <w:r w:rsidR="001F6812" w:rsidRPr="00564008">
        <w:rPr>
          <w:rFonts w:ascii="Times New Roman" w:hAnsi="Times New Roman"/>
          <w:sz w:val="24"/>
          <w:szCs w:val="24"/>
        </w:rPr>
        <w:t xml:space="preserve">sets out the minimum processes for RSE licensees of an </w:t>
      </w:r>
      <w:r w:rsidR="002B7ADE" w:rsidRPr="00564008">
        <w:rPr>
          <w:rFonts w:ascii="Times New Roman" w:hAnsi="Times New Roman"/>
          <w:sz w:val="24"/>
          <w:szCs w:val="24"/>
        </w:rPr>
        <w:t>eligible rollover fund (</w:t>
      </w:r>
      <w:r w:rsidR="001F6812" w:rsidRPr="00564008">
        <w:rPr>
          <w:rFonts w:ascii="Times New Roman" w:hAnsi="Times New Roman"/>
          <w:sz w:val="24"/>
          <w:szCs w:val="24"/>
        </w:rPr>
        <w:t>ERF</w:t>
      </w:r>
      <w:r w:rsidR="002B7ADE" w:rsidRPr="00564008">
        <w:rPr>
          <w:rFonts w:ascii="Times New Roman" w:hAnsi="Times New Roman"/>
          <w:sz w:val="24"/>
          <w:szCs w:val="24"/>
        </w:rPr>
        <w:t>)</w:t>
      </w:r>
      <w:r w:rsidR="001F6812" w:rsidRPr="00564008">
        <w:rPr>
          <w:rFonts w:ascii="Times New Roman" w:hAnsi="Times New Roman"/>
          <w:sz w:val="24"/>
          <w:szCs w:val="24"/>
        </w:rPr>
        <w:t xml:space="preserve"> to transfer members’ money to another fund </w:t>
      </w:r>
      <w:proofErr w:type="gramStart"/>
      <w:r w:rsidR="001F6812" w:rsidRPr="00564008">
        <w:rPr>
          <w:rFonts w:ascii="Times New Roman" w:hAnsi="Times New Roman"/>
          <w:sz w:val="24"/>
          <w:szCs w:val="24"/>
        </w:rPr>
        <w:t>in the event that</w:t>
      </w:r>
      <w:proofErr w:type="gramEnd"/>
      <w:r w:rsidR="001F6812" w:rsidRPr="00564008">
        <w:rPr>
          <w:rFonts w:ascii="Times New Roman" w:hAnsi="Times New Roman"/>
          <w:sz w:val="24"/>
          <w:szCs w:val="24"/>
        </w:rPr>
        <w:t xml:space="preserve"> their authorisation to operate as an ERF is cancelled.</w:t>
      </w:r>
    </w:p>
    <w:p w14:paraId="59CA4206" w14:textId="69CED3A7" w:rsidR="00A47273" w:rsidRPr="00564008" w:rsidRDefault="00A47273" w:rsidP="000231FC">
      <w:pPr>
        <w:widowControl w:val="0"/>
        <w:spacing w:after="240"/>
        <w:jc w:val="both"/>
        <w:rPr>
          <w:rFonts w:ascii="Times New Roman" w:hAnsi="Times New Roman"/>
          <w:sz w:val="24"/>
          <w:szCs w:val="24"/>
        </w:rPr>
      </w:pPr>
      <w:r w:rsidRPr="00564008">
        <w:rPr>
          <w:rFonts w:ascii="Times New Roman" w:hAnsi="Times New Roman"/>
          <w:sz w:val="24"/>
          <w:szCs w:val="24"/>
        </w:rPr>
        <w:t xml:space="preserve">In </w:t>
      </w:r>
      <w:r w:rsidR="008E50A2" w:rsidRPr="00564008">
        <w:rPr>
          <w:rFonts w:ascii="Times New Roman" w:hAnsi="Times New Roman"/>
          <w:sz w:val="24"/>
          <w:szCs w:val="24"/>
        </w:rPr>
        <w:t xml:space="preserve">March </w:t>
      </w:r>
      <w:r w:rsidRPr="00564008">
        <w:rPr>
          <w:rFonts w:ascii="Times New Roman" w:hAnsi="Times New Roman"/>
          <w:sz w:val="24"/>
          <w:szCs w:val="24"/>
        </w:rPr>
        <w:t>202</w:t>
      </w:r>
      <w:r w:rsidR="008E50A2" w:rsidRPr="00564008">
        <w:rPr>
          <w:rFonts w:ascii="Times New Roman" w:hAnsi="Times New Roman"/>
          <w:sz w:val="24"/>
          <w:szCs w:val="24"/>
        </w:rPr>
        <w:t>1</w:t>
      </w:r>
      <w:r w:rsidRPr="00564008">
        <w:rPr>
          <w:rFonts w:ascii="Times New Roman" w:hAnsi="Times New Roman"/>
          <w:sz w:val="24"/>
          <w:szCs w:val="24"/>
        </w:rPr>
        <w:t xml:space="preserve">, Parliament passed the </w:t>
      </w:r>
      <w:r w:rsidRPr="00564008">
        <w:rPr>
          <w:rFonts w:ascii="Times New Roman" w:hAnsi="Times New Roman"/>
          <w:i/>
          <w:sz w:val="24"/>
          <w:szCs w:val="24"/>
        </w:rPr>
        <w:t>Treasury Laws Amendment (Reuniting More Superannuation) Act 2021</w:t>
      </w:r>
      <w:r w:rsidRPr="00564008">
        <w:rPr>
          <w:rFonts w:ascii="Times New Roman" w:hAnsi="Times New Roman"/>
          <w:sz w:val="24"/>
          <w:szCs w:val="24"/>
        </w:rPr>
        <w:t>, which required all members’ money in ERFs to be transferred to the Australian Tax Office (ATO) by 31 January 2022. The ATO is now responsible for returning</w:t>
      </w:r>
      <w:r w:rsidR="00A42D92" w:rsidRPr="00564008">
        <w:rPr>
          <w:rFonts w:ascii="Times New Roman" w:hAnsi="Times New Roman"/>
          <w:sz w:val="24"/>
          <w:szCs w:val="24"/>
        </w:rPr>
        <w:t xml:space="preserve"> those </w:t>
      </w:r>
      <w:r w:rsidRPr="00564008">
        <w:rPr>
          <w:rFonts w:ascii="Times New Roman" w:hAnsi="Times New Roman"/>
          <w:sz w:val="24"/>
          <w:szCs w:val="24"/>
        </w:rPr>
        <w:t>funds to members.</w:t>
      </w:r>
    </w:p>
    <w:p w14:paraId="7719D20A" w14:textId="76D2D81D" w:rsidR="006A0032" w:rsidRPr="00564008" w:rsidRDefault="004530C4" w:rsidP="006A0032">
      <w:pPr>
        <w:rPr>
          <w:rFonts w:ascii="Times New Roman" w:hAnsi="Times New Roman"/>
          <w:sz w:val="24"/>
          <w:szCs w:val="24"/>
        </w:rPr>
      </w:pPr>
      <w:r w:rsidRPr="00564008">
        <w:rPr>
          <w:rFonts w:ascii="Times New Roman" w:hAnsi="Times New Roman"/>
          <w:sz w:val="24"/>
          <w:szCs w:val="24"/>
        </w:rPr>
        <w:t xml:space="preserve">As all monies held in ERFs were transferred to the ATO by 31 January 2022, SPS 450 is now redundant </w:t>
      </w:r>
      <w:r w:rsidR="006A0032" w:rsidRPr="00564008">
        <w:rPr>
          <w:rFonts w:ascii="Times New Roman" w:hAnsi="Times New Roman"/>
          <w:sz w:val="24"/>
          <w:szCs w:val="24"/>
        </w:rPr>
        <w:t>and has been revoked.</w:t>
      </w:r>
    </w:p>
    <w:p w14:paraId="5D784434" w14:textId="77777777" w:rsidR="00026B0B" w:rsidRPr="00564008" w:rsidRDefault="00026B0B" w:rsidP="006A0032">
      <w:pPr>
        <w:rPr>
          <w:rFonts w:ascii="Times New Roman" w:hAnsi="Times New Roman"/>
          <w:sz w:val="24"/>
          <w:szCs w:val="24"/>
        </w:rPr>
      </w:pPr>
    </w:p>
    <w:p w14:paraId="4503C3D0" w14:textId="77777777" w:rsidR="000231FC" w:rsidRPr="00564008" w:rsidRDefault="000231FC" w:rsidP="000231FC">
      <w:pPr>
        <w:spacing w:after="240"/>
        <w:jc w:val="both"/>
        <w:rPr>
          <w:rFonts w:ascii="Times New Roman" w:eastAsia="Calibri" w:hAnsi="Times New Roman"/>
          <w:b/>
          <w:sz w:val="24"/>
          <w:szCs w:val="24"/>
        </w:rPr>
      </w:pPr>
      <w:r w:rsidRPr="00564008">
        <w:rPr>
          <w:rFonts w:ascii="Times New Roman" w:eastAsia="Calibri" w:hAnsi="Times New Roman"/>
          <w:b/>
          <w:sz w:val="24"/>
          <w:szCs w:val="24"/>
        </w:rPr>
        <w:t>Human rights implications</w:t>
      </w:r>
    </w:p>
    <w:p w14:paraId="3C7BEDC9" w14:textId="77777777" w:rsidR="000231FC" w:rsidRDefault="000231FC" w:rsidP="000231FC">
      <w:pPr>
        <w:spacing w:after="240"/>
        <w:jc w:val="both"/>
        <w:rPr>
          <w:rFonts w:ascii="Times New Roman" w:eastAsia="Calibri" w:hAnsi="Times New Roman"/>
          <w:sz w:val="24"/>
          <w:szCs w:val="24"/>
        </w:rPr>
      </w:pPr>
      <w:r w:rsidRPr="00564008">
        <w:rPr>
          <w:rFonts w:ascii="Times New Roman" w:eastAsia="Calibri" w:hAnsi="Times New Roman"/>
          <w:sz w:val="24"/>
          <w:szCs w:val="24"/>
        </w:rPr>
        <w:t>APRA has assessed the instrument against the international instruments listed in section 3 of the HRPS Act and determined tha</w:t>
      </w:r>
      <w:r>
        <w:rPr>
          <w:rFonts w:ascii="Times New Roman" w:eastAsia="Calibri" w:hAnsi="Times New Roman"/>
          <w:sz w:val="24"/>
          <w:szCs w:val="24"/>
        </w:rPr>
        <w:t xml:space="preserve">t it does not engage any of the applicable rights or freedoms. </w:t>
      </w:r>
    </w:p>
    <w:p w14:paraId="795E0F15" w14:textId="77777777" w:rsidR="000231FC" w:rsidRDefault="000231FC" w:rsidP="000231FC">
      <w:pPr>
        <w:spacing w:after="240"/>
        <w:jc w:val="both"/>
        <w:rPr>
          <w:rFonts w:ascii="Times New Roman" w:eastAsia="Calibri" w:hAnsi="Times New Roman"/>
          <w:b/>
          <w:sz w:val="24"/>
          <w:szCs w:val="24"/>
        </w:rPr>
      </w:pPr>
      <w:r>
        <w:rPr>
          <w:rFonts w:ascii="Times New Roman" w:eastAsia="Calibri" w:hAnsi="Times New Roman"/>
          <w:b/>
          <w:sz w:val="24"/>
          <w:szCs w:val="24"/>
        </w:rPr>
        <w:t xml:space="preserve">Conclusion </w:t>
      </w:r>
    </w:p>
    <w:p w14:paraId="28759B61" w14:textId="77777777" w:rsidR="000231FC" w:rsidRDefault="000231FC" w:rsidP="000231FC">
      <w:pPr>
        <w:spacing w:after="240"/>
        <w:jc w:val="both"/>
        <w:rPr>
          <w:rFonts w:ascii="Times New Roman" w:eastAsia="Calibri" w:hAnsi="Times New Roman"/>
          <w:sz w:val="24"/>
          <w:szCs w:val="24"/>
        </w:rPr>
      </w:pPr>
      <w:r>
        <w:rPr>
          <w:rFonts w:ascii="Times New Roman" w:eastAsia="Calibri" w:hAnsi="Times New Roman"/>
          <w:sz w:val="24"/>
          <w:szCs w:val="24"/>
        </w:rPr>
        <w:t>This Legislative Instrument is compatible with human rights as it does not raise any human rights issues.</w:t>
      </w:r>
    </w:p>
    <w:p w14:paraId="45BD5537" w14:textId="77777777" w:rsidR="00B04B20" w:rsidRPr="00FA5345" w:rsidRDefault="00B04B20" w:rsidP="008E5D4C">
      <w:pPr>
        <w:spacing w:after="240"/>
      </w:pPr>
    </w:p>
    <w:sectPr w:rsidR="00B04B20" w:rsidRPr="00FA5345"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8AFD" w14:textId="77777777" w:rsidR="00D53F4F" w:rsidRDefault="00D53F4F" w:rsidP="00226412">
      <w:r>
        <w:separator/>
      </w:r>
    </w:p>
  </w:endnote>
  <w:endnote w:type="continuationSeparator" w:id="0">
    <w:p w14:paraId="4352597E" w14:textId="77777777" w:rsidR="00D53F4F" w:rsidRDefault="00D53F4F" w:rsidP="00226412">
      <w:r>
        <w:continuationSeparator/>
      </w:r>
    </w:p>
  </w:endnote>
  <w:endnote w:type="continuationNotice" w:id="1">
    <w:p w14:paraId="3AC15D96" w14:textId="77777777" w:rsidR="00D53F4F" w:rsidRDefault="00D53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98712"/>
      <w:docPartObj>
        <w:docPartGallery w:val="Page Numbers (Bottom of Page)"/>
        <w:docPartUnique/>
      </w:docPartObj>
    </w:sdtPr>
    <w:sdtEndPr>
      <w:rPr>
        <w:szCs w:val="22"/>
      </w:rPr>
    </w:sdtEndPr>
    <w:sdtContent>
      <w:sdt>
        <w:sdtPr>
          <w:id w:val="860082579"/>
          <w:docPartObj>
            <w:docPartGallery w:val="Page Numbers (Top of Page)"/>
            <w:docPartUnique/>
          </w:docPartObj>
        </w:sdtPr>
        <w:sdtEndPr>
          <w:rPr>
            <w:szCs w:val="22"/>
          </w:rPr>
        </w:sdtEndPr>
        <w:sdtContent>
          <w:p w14:paraId="15FCE807" w14:textId="77777777" w:rsidR="0091715F" w:rsidRPr="00226412" w:rsidRDefault="0091715F" w:rsidP="00226412">
            <w:pPr>
              <w:pStyle w:val="Footer"/>
              <w:jc w:val="center"/>
              <w:rPr>
                <w:szCs w:val="22"/>
              </w:rPr>
            </w:pPr>
            <w:r w:rsidRPr="00073573">
              <w:rPr>
                <w:rFonts w:ascii="Times New Roman" w:hAnsi="Times New Roman"/>
                <w:bCs/>
                <w:sz w:val="24"/>
                <w:szCs w:val="24"/>
              </w:rPr>
              <w:fldChar w:fldCharType="begin"/>
            </w:r>
            <w:r w:rsidRPr="00073573">
              <w:rPr>
                <w:rFonts w:ascii="Times New Roman" w:hAnsi="Times New Roman"/>
                <w:bCs/>
                <w:sz w:val="24"/>
                <w:szCs w:val="24"/>
              </w:rPr>
              <w:instrText xml:space="preserve"> PAGE </w:instrText>
            </w:r>
            <w:r w:rsidRPr="00073573">
              <w:rPr>
                <w:rFonts w:ascii="Times New Roman" w:hAnsi="Times New Roman"/>
                <w:bCs/>
                <w:sz w:val="24"/>
                <w:szCs w:val="24"/>
              </w:rPr>
              <w:fldChar w:fldCharType="separate"/>
            </w:r>
            <w:r w:rsidR="00F178D6">
              <w:rPr>
                <w:rFonts w:ascii="Times New Roman" w:hAnsi="Times New Roman"/>
                <w:bCs/>
                <w:noProof/>
                <w:sz w:val="24"/>
                <w:szCs w:val="24"/>
              </w:rPr>
              <w:t>1</w:t>
            </w:r>
            <w:r w:rsidRPr="00073573">
              <w:rPr>
                <w:rFonts w:ascii="Times New Roman" w:hAnsi="Times New Roman"/>
                <w:bCs/>
                <w:sz w:val="24"/>
                <w:szCs w:val="24"/>
              </w:rPr>
              <w:fldChar w:fldCharType="end"/>
            </w:r>
          </w:p>
        </w:sdtContent>
      </w:sdt>
    </w:sdtContent>
  </w:sdt>
  <w:p w14:paraId="225E0D1E" w14:textId="77777777" w:rsidR="0091715F" w:rsidRDefault="0091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8A93" w14:textId="77777777" w:rsidR="00D53F4F" w:rsidRDefault="00D53F4F" w:rsidP="00226412">
      <w:r>
        <w:separator/>
      </w:r>
    </w:p>
  </w:footnote>
  <w:footnote w:type="continuationSeparator" w:id="0">
    <w:p w14:paraId="71C45979" w14:textId="77777777" w:rsidR="00D53F4F" w:rsidRDefault="00D53F4F" w:rsidP="00226412">
      <w:r>
        <w:continuationSeparator/>
      </w:r>
    </w:p>
  </w:footnote>
  <w:footnote w:type="continuationNotice" w:id="1">
    <w:p w14:paraId="4310FFDE" w14:textId="77777777" w:rsidR="00D53F4F" w:rsidRDefault="00D53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B36BA0"/>
    <w:multiLevelType w:val="hybridMultilevel"/>
    <w:tmpl w:val="3558F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DA3D61"/>
    <w:multiLevelType w:val="hybridMultilevel"/>
    <w:tmpl w:val="DD7685AA"/>
    <w:lvl w:ilvl="0" w:tplc="5FF0F4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F6494"/>
    <w:multiLevelType w:val="multilevel"/>
    <w:tmpl w:val="A316FE50"/>
    <w:numStyleLink w:val="ChapterList"/>
  </w:abstractNum>
  <w:abstractNum w:abstractNumId="9"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6944367">
    <w:abstractNumId w:val="5"/>
  </w:num>
  <w:num w:numId="2" w16cid:durableId="1816683611">
    <w:abstractNumId w:val="0"/>
  </w:num>
  <w:num w:numId="3" w16cid:durableId="1302270365">
    <w:abstractNumId w:val="7"/>
  </w:num>
  <w:num w:numId="4" w16cid:durableId="266273101">
    <w:abstractNumId w:val="3"/>
  </w:num>
  <w:num w:numId="5" w16cid:durableId="1976370700">
    <w:abstractNumId w:val="2"/>
  </w:num>
  <w:num w:numId="6" w16cid:durableId="491726947">
    <w:abstractNumId w:val="9"/>
  </w:num>
  <w:num w:numId="7" w16cid:durableId="1369447352">
    <w:abstractNumId w:val="1"/>
  </w:num>
  <w:num w:numId="8" w16cid:durableId="1189638883">
    <w:abstractNumId w:val="6"/>
  </w:num>
  <w:num w:numId="9" w16cid:durableId="1426538941">
    <w:abstractNumId w:val="4"/>
  </w:num>
  <w:num w:numId="10" w16cid:durableId="1865286768">
    <w:abstractNumId w:val="8"/>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DA"/>
    <w:rsid w:val="00003730"/>
    <w:rsid w:val="00006E6F"/>
    <w:rsid w:val="000231FC"/>
    <w:rsid w:val="00026B0B"/>
    <w:rsid w:val="000401FC"/>
    <w:rsid w:val="00041C06"/>
    <w:rsid w:val="00044746"/>
    <w:rsid w:val="00055E65"/>
    <w:rsid w:val="00056483"/>
    <w:rsid w:val="00073573"/>
    <w:rsid w:val="00083221"/>
    <w:rsid w:val="000B0A35"/>
    <w:rsid w:val="000B621C"/>
    <w:rsid w:val="000E26C1"/>
    <w:rsid w:val="000E369C"/>
    <w:rsid w:val="000F4319"/>
    <w:rsid w:val="0010085B"/>
    <w:rsid w:val="00114AA7"/>
    <w:rsid w:val="00135B49"/>
    <w:rsid w:val="001463DE"/>
    <w:rsid w:val="00182FA1"/>
    <w:rsid w:val="00196477"/>
    <w:rsid w:val="001A01D0"/>
    <w:rsid w:val="001A0E44"/>
    <w:rsid w:val="001A57FA"/>
    <w:rsid w:val="001B49EB"/>
    <w:rsid w:val="001C36F6"/>
    <w:rsid w:val="001C3B02"/>
    <w:rsid w:val="001C4D78"/>
    <w:rsid w:val="001C561D"/>
    <w:rsid w:val="001D0A56"/>
    <w:rsid w:val="001E0DC7"/>
    <w:rsid w:val="001F6812"/>
    <w:rsid w:val="00214BC2"/>
    <w:rsid w:val="00215693"/>
    <w:rsid w:val="00226412"/>
    <w:rsid w:val="002273F3"/>
    <w:rsid w:val="002436BD"/>
    <w:rsid w:val="00246723"/>
    <w:rsid w:val="00260CC6"/>
    <w:rsid w:val="002673C1"/>
    <w:rsid w:val="002A73BD"/>
    <w:rsid w:val="002B6E0E"/>
    <w:rsid w:val="002B7ADE"/>
    <w:rsid w:val="002C2CC7"/>
    <w:rsid w:val="002C4976"/>
    <w:rsid w:val="002D155D"/>
    <w:rsid w:val="002E1D5A"/>
    <w:rsid w:val="0030506B"/>
    <w:rsid w:val="00310CF8"/>
    <w:rsid w:val="00315796"/>
    <w:rsid w:val="00343B27"/>
    <w:rsid w:val="003446C9"/>
    <w:rsid w:val="00354CB8"/>
    <w:rsid w:val="00364E2C"/>
    <w:rsid w:val="00373992"/>
    <w:rsid w:val="003866AD"/>
    <w:rsid w:val="003A52A5"/>
    <w:rsid w:val="003B7862"/>
    <w:rsid w:val="003C4253"/>
    <w:rsid w:val="003D5032"/>
    <w:rsid w:val="003E365C"/>
    <w:rsid w:val="003E5334"/>
    <w:rsid w:val="003F6283"/>
    <w:rsid w:val="0040175E"/>
    <w:rsid w:val="00404F16"/>
    <w:rsid w:val="00422164"/>
    <w:rsid w:val="00425230"/>
    <w:rsid w:val="00443A02"/>
    <w:rsid w:val="00443B39"/>
    <w:rsid w:val="00450984"/>
    <w:rsid w:val="004530C4"/>
    <w:rsid w:val="004650F6"/>
    <w:rsid w:val="0048137E"/>
    <w:rsid w:val="0049617A"/>
    <w:rsid w:val="00496465"/>
    <w:rsid w:val="004A3208"/>
    <w:rsid w:val="004A755E"/>
    <w:rsid w:val="004B76B9"/>
    <w:rsid w:val="004C3D07"/>
    <w:rsid w:val="004C605D"/>
    <w:rsid w:val="004D1A37"/>
    <w:rsid w:val="004D20A1"/>
    <w:rsid w:val="004E2008"/>
    <w:rsid w:val="004F5F3E"/>
    <w:rsid w:val="0054331B"/>
    <w:rsid w:val="00547AA2"/>
    <w:rsid w:val="0056141D"/>
    <w:rsid w:val="00562030"/>
    <w:rsid w:val="00564008"/>
    <w:rsid w:val="005A40D6"/>
    <w:rsid w:val="005B0CCE"/>
    <w:rsid w:val="005B66C7"/>
    <w:rsid w:val="005E10E8"/>
    <w:rsid w:val="005E1F9C"/>
    <w:rsid w:val="005E40F9"/>
    <w:rsid w:val="005E55C7"/>
    <w:rsid w:val="005E5910"/>
    <w:rsid w:val="0060749F"/>
    <w:rsid w:val="00622480"/>
    <w:rsid w:val="006325B5"/>
    <w:rsid w:val="0063634B"/>
    <w:rsid w:val="00644040"/>
    <w:rsid w:val="00646F1B"/>
    <w:rsid w:val="00647D58"/>
    <w:rsid w:val="00651F04"/>
    <w:rsid w:val="006525A9"/>
    <w:rsid w:val="00657678"/>
    <w:rsid w:val="00664C90"/>
    <w:rsid w:val="00671D7D"/>
    <w:rsid w:val="00681F4E"/>
    <w:rsid w:val="00682865"/>
    <w:rsid w:val="00684F73"/>
    <w:rsid w:val="006A0032"/>
    <w:rsid w:val="006A652C"/>
    <w:rsid w:val="006B093F"/>
    <w:rsid w:val="006D7256"/>
    <w:rsid w:val="006F1ED2"/>
    <w:rsid w:val="006F312D"/>
    <w:rsid w:val="007031F4"/>
    <w:rsid w:val="007049CF"/>
    <w:rsid w:val="00712E1A"/>
    <w:rsid w:val="007162C6"/>
    <w:rsid w:val="007212DB"/>
    <w:rsid w:val="007368AD"/>
    <w:rsid w:val="007428D4"/>
    <w:rsid w:val="007471D1"/>
    <w:rsid w:val="007475A7"/>
    <w:rsid w:val="00747AFF"/>
    <w:rsid w:val="007515B2"/>
    <w:rsid w:val="00761B22"/>
    <w:rsid w:val="0076674A"/>
    <w:rsid w:val="007722A9"/>
    <w:rsid w:val="00785CDC"/>
    <w:rsid w:val="00796A67"/>
    <w:rsid w:val="007B2E2C"/>
    <w:rsid w:val="007B5912"/>
    <w:rsid w:val="007B60CE"/>
    <w:rsid w:val="007C0641"/>
    <w:rsid w:val="007C2298"/>
    <w:rsid w:val="007E4B2A"/>
    <w:rsid w:val="007E5117"/>
    <w:rsid w:val="007F3F4A"/>
    <w:rsid w:val="007F68E8"/>
    <w:rsid w:val="00806FAA"/>
    <w:rsid w:val="00830AE0"/>
    <w:rsid w:val="00830F66"/>
    <w:rsid w:val="00841CAA"/>
    <w:rsid w:val="00870B6D"/>
    <w:rsid w:val="00893531"/>
    <w:rsid w:val="008A317B"/>
    <w:rsid w:val="008D61FC"/>
    <w:rsid w:val="008E341A"/>
    <w:rsid w:val="008E50A2"/>
    <w:rsid w:val="008E5D4C"/>
    <w:rsid w:val="008F79E1"/>
    <w:rsid w:val="00903A5D"/>
    <w:rsid w:val="009167E8"/>
    <w:rsid w:val="0091715F"/>
    <w:rsid w:val="009213D9"/>
    <w:rsid w:val="0092488D"/>
    <w:rsid w:val="0093047E"/>
    <w:rsid w:val="00932EFA"/>
    <w:rsid w:val="009363DA"/>
    <w:rsid w:val="00967D16"/>
    <w:rsid w:val="00975168"/>
    <w:rsid w:val="00981A00"/>
    <w:rsid w:val="009A5D43"/>
    <w:rsid w:val="009C5368"/>
    <w:rsid w:val="009D0EC9"/>
    <w:rsid w:val="009E316E"/>
    <w:rsid w:val="009F7ED8"/>
    <w:rsid w:val="00A03997"/>
    <w:rsid w:val="00A13C32"/>
    <w:rsid w:val="00A279AF"/>
    <w:rsid w:val="00A4133B"/>
    <w:rsid w:val="00A42D92"/>
    <w:rsid w:val="00A4638A"/>
    <w:rsid w:val="00A47273"/>
    <w:rsid w:val="00A51A4C"/>
    <w:rsid w:val="00A63A2B"/>
    <w:rsid w:val="00A63F91"/>
    <w:rsid w:val="00A9161A"/>
    <w:rsid w:val="00A936B7"/>
    <w:rsid w:val="00A97254"/>
    <w:rsid w:val="00AC0C89"/>
    <w:rsid w:val="00AC2517"/>
    <w:rsid w:val="00AC7A56"/>
    <w:rsid w:val="00AD2CB9"/>
    <w:rsid w:val="00AD418F"/>
    <w:rsid w:val="00AE5A6D"/>
    <w:rsid w:val="00AE6942"/>
    <w:rsid w:val="00AF6C07"/>
    <w:rsid w:val="00B04B1A"/>
    <w:rsid w:val="00B04B20"/>
    <w:rsid w:val="00B10FDD"/>
    <w:rsid w:val="00B20C41"/>
    <w:rsid w:val="00B43486"/>
    <w:rsid w:val="00B5052B"/>
    <w:rsid w:val="00B50E31"/>
    <w:rsid w:val="00B525D4"/>
    <w:rsid w:val="00B61FCE"/>
    <w:rsid w:val="00B635F6"/>
    <w:rsid w:val="00B64B2E"/>
    <w:rsid w:val="00B85B6E"/>
    <w:rsid w:val="00BB1678"/>
    <w:rsid w:val="00BC3430"/>
    <w:rsid w:val="00BE36B6"/>
    <w:rsid w:val="00BE3D52"/>
    <w:rsid w:val="00BE4A27"/>
    <w:rsid w:val="00BF2953"/>
    <w:rsid w:val="00BF47DE"/>
    <w:rsid w:val="00C02A86"/>
    <w:rsid w:val="00C26C48"/>
    <w:rsid w:val="00C302FA"/>
    <w:rsid w:val="00C337E2"/>
    <w:rsid w:val="00C37037"/>
    <w:rsid w:val="00C4275C"/>
    <w:rsid w:val="00C948AA"/>
    <w:rsid w:val="00C9775D"/>
    <w:rsid w:val="00CA6CB3"/>
    <w:rsid w:val="00CB13F8"/>
    <w:rsid w:val="00CB384A"/>
    <w:rsid w:val="00CC045B"/>
    <w:rsid w:val="00CD1947"/>
    <w:rsid w:val="00CD393D"/>
    <w:rsid w:val="00CE301F"/>
    <w:rsid w:val="00CE3EF2"/>
    <w:rsid w:val="00CF79C8"/>
    <w:rsid w:val="00D119F5"/>
    <w:rsid w:val="00D214A1"/>
    <w:rsid w:val="00D2408A"/>
    <w:rsid w:val="00D268BF"/>
    <w:rsid w:val="00D34442"/>
    <w:rsid w:val="00D3484E"/>
    <w:rsid w:val="00D3776F"/>
    <w:rsid w:val="00D42734"/>
    <w:rsid w:val="00D42FD4"/>
    <w:rsid w:val="00D53B59"/>
    <w:rsid w:val="00D53F4F"/>
    <w:rsid w:val="00D64906"/>
    <w:rsid w:val="00D659B2"/>
    <w:rsid w:val="00D66C0C"/>
    <w:rsid w:val="00D70498"/>
    <w:rsid w:val="00D73D07"/>
    <w:rsid w:val="00D74372"/>
    <w:rsid w:val="00D817DA"/>
    <w:rsid w:val="00D83531"/>
    <w:rsid w:val="00D87E36"/>
    <w:rsid w:val="00D93F85"/>
    <w:rsid w:val="00DA3194"/>
    <w:rsid w:val="00DA6E7A"/>
    <w:rsid w:val="00DB1AB6"/>
    <w:rsid w:val="00DB3182"/>
    <w:rsid w:val="00DE6310"/>
    <w:rsid w:val="00DE64C2"/>
    <w:rsid w:val="00DF524E"/>
    <w:rsid w:val="00E006E2"/>
    <w:rsid w:val="00E00D94"/>
    <w:rsid w:val="00E019B6"/>
    <w:rsid w:val="00E14FE4"/>
    <w:rsid w:val="00E15497"/>
    <w:rsid w:val="00E154A3"/>
    <w:rsid w:val="00E16789"/>
    <w:rsid w:val="00E201A8"/>
    <w:rsid w:val="00E2127E"/>
    <w:rsid w:val="00E22F1D"/>
    <w:rsid w:val="00E45AC0"/>
    <w:rsid w:val="00E52DFE"/>
    <w:rsid w:val="00E61B19"/>
    <w:rsid w:val="00E70280"/>
    <w:rsid w:val="00E720C8"/>
    <w:rsid w:val="00E90C89"/>
    <w:rsid w:val="00EA09EA"/>
    <w:rsid w:val="00EA1B6C"/>
    <w:rsid w:val="00EA36A5"/>
    <w:rsid w:val="00EB22CC"/>
    <w:rsid w:val="00EC5653"/>
    <w:rsid w:val="00EC77F0"/>
    <w:rsid w:val="00ED14A7"/>
    <w:rsid w:val="00EF2A8B"/>
    <w:rsid w:val="00EF73A1"/>
    <w:rsid w:val="00F03F6C"/>
    <w:rsid w:val="00F178D6"/>
    <w:rsid w:val="00F31C42"/>
    <w:rsid w:val="00F35C3E"/>
    <w:rsid w:val="00F436BC"/>
    <w:rsid w:val="00F7706D"/>
    <w:rsid w:val="00F86ECA"/>
    <w:rsid w:val="00FA4A6E"/>
    <w:rsid w:val="00FA5345"/>
    <w:rsid w:val="00FC556C"/>
    <w:rsid w:val="00FE36AE"/>
    <w:rsid w:val="00FE5773"/>
    <w:rsid w:val="0FDA3808"/>
    <w:rsid w:val="1B15BB05"/>
    <w:rsid w:val="1BCF6DE5"/>
    <w:rsid w:val="1C930AC5"/>
    <w:rsid w:val="21EC2B4A"/>
    <w:rsid w:val="2E405026"/>
    <w:rsid w:val="35E4E79A"/>
    <w:rsid w:val="38B0DB6D"/>
    <w:rsid w:val="3D4159AD"/>
    <w:rsid w:val="3E13E070"/>
    <w:rsid w:val="3EB1393D"/>
    <w:rsid w:val="47149C11"/>
    <w:rsid w:val="4D8D0F8E"/>
    <w:rsid w:val="4E723307"/>
    <w:rsid w:val="596737EB"/>
    <w:rsid w:val="5A4F3873"/>
    <w:rsid w:val="611A5438"/>
    <w:rsid w:val="6ADF639D"/>
    <w:rsid w:val="75515248"/>
    <w:rsid w:val="7D985E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A4F96"/>
  <w15:docId w15:val="{5267D543-203A-4561-A051-6F4B4429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0"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paragraph" w:styleId="FootnoteText">
    <w:name w:val="footnote text"/>
    <w:basedOn w:val="Normal"/>
    <w:link w:val="FootnoteTextChar"/>
    <w:uiPriority w:val="99"/>
    <w:semiHidden/>
    <w:unhideWhenUsed/>
    <w:rsid w:val="00681F4E"/>
    <w:rPr>
      <w:sz w:val="20"/>
    </w:rPr>
  </w:style>
  <w:style w:type="character" w:customStyle="1" w:styleId="FootnoteTextChar">
    <w:name w:val="Footnote Text Char"/>
    <w:basedOn w:val="DefaultParagraphFont"/>
    <w:link w:val="FootnoteText"/>
    <w:uiPriority w:val="99"/>
    <w:semiHidden/>
    <w:rsid w:val="00681F4E"/>
    <w:rPr>
      <w:rFonts w:ascii="Trebuchet MS" w:eastAsia="Times New Roman" w:hAnsi="Trebuchet MS"/>
    </w:rPr>
  </w:style>
  <w:style w:type="character" w:styleId="FootnoteReference">
    <w:name w:val="footnote reference"/>
    <w:basedOn w:val="DefaultParagraphFont"/>
    <w:uiPriority w:val="99"/>
    <w:semiHidden/>
    <w:unhideWhenUsed/>
    <w:rsid w:val="00681F4E"/>
    <w:rPr>
      <w:vertAlign w:val="superscript"/>
    </w:rPr>
  </w:style>
  <w:style w:type="paragraph" w:styleId="Revision">
    <w:name w:val="Revision"/>
    <w:hidden/>
    <w:uiPriority w:val="99"/>
    <w:semiHidden/>
    <w:rsid w:val="00AC0C89"/>
    <w:rPr>
      <w:rFonts w:ascii="Trebuchet MS" w:eastAsia="Times New Roman" w:hAnsi="Trebuchet MS"/>
      <w:sz w:val="22"/>
    </w:rPr>
  </w:style>
  <w:style w:type="paragraph" w:customStyle="1" w:styleId="base-text-paragraph">
    <w:name w:val="base-text-paragraph"/>
    <w:basedOn w:val="Normal"/>
    <w:link w:val="base-text-paragraphChar"/>
    <w:qFormat/>
    <w:rsid w:val="00A4638A"/>
    <w:pPr>
      <w:tabs>
        <w:tab w:val="num" w:pos="1985"/>
      </w:tabs>
      <w:spacing w:before="120" w:after="120"/>
      <w:ind w:left="1134"/>
    </w:pPr>
    <w:rPr>
      <w:rFonts w:ascii="Times New Roman" w:hAnsi="Times New Roman"/>
    </w:rPr>
  </w:style>
  <w:style w:type="character" w:customStyle="1" w:styleId="base-text-paragraphChar">
    <w:name w:val="base-text-paragraph Char"/>
    <w:basedOn w:val="DefaultParagraphFont"/>
    <w:link w:val="base-text-paragraph"/>
    <w:rsid w:val="00A4638A"/>
    <w:rPr>
      <w:rFonts w:ascii="Times New Roman" w:eastAsia="Times New Roman" w:hAnsi="Times New Roman"/>
      <w:sz w:val="22"/>
    </w:rPr>
  </w:style>
  <w:style w:type="numbering" w:customStyle="1" w:styleId="ChapterList">
    <w:name w:val="ChapterList"/>
    <w:uiPriority w:val="99"/>
    <w:rsid w:val="00A4638A"/>
    <w:pPr>
      <w:numPr>
        <w:numId w:val="9"/>
      </w:numPr>
    </w:pPr>
  </w:style>
  <w:style w:type="paragraph" w:customStyle="1" w:styleId="Diagram">
    <w:name w:val="Diagram"/>
    <w:basedOn w:val="Normal"/>
    <w:next w:val="Normal"/>
    <w:rsid w:val="00A4638A"/>
    <w:pPr>
      <w:keepNext/>
      <w:ind w:left="1134"/>
    </w:pPr>
    <w:rPr>
      <w:rFonts w:ascii="Times New Roman" w:hAnsi="Times New Roman"/>
      <w:b/>
    </w:rPr>
  </w:style>
  <w:style w:type="paragraph" w:customStyle="1" w:styleId="ExampleHeading">
    <w:name w:val="Example Heading"/>
    <w:basedOn w:val="Normal"/>
    <w:next w:val="Normal"/>
    <w:rsid w:val="00A4638A"/>
    <w:pPr>
      <w:keepNext/>
      <w:spacing w:before="120" w:after="120"/>
      <w:ind w:left="1134"/>
    </w:pPr>
    <w:rPr>
      <w:rFonts w:ascii="Times New Roman" w:hAnsi="Times New Roman"/>
      <w:b/>
    </w:rPr>
  </w:style>
  <w:style w:type="paragraph" w:customStyle="1" w:styleId="TableHeadingoutsidetable">
    <w:name w:val="Table Heading (outside table)"/>
    <w:basedOn w:val="Heading4"/>
    <w:rsid w:val="00A4638A"/>
    <w:pPr>
      <w:keepNext/>
      <w:tabs>
        <w:tab w:val="num" w:pos="360"/>
      </w:tabs>
      <w:spacing w:before="120" w:after="200"/>
      <w:ind w:left="1134"/>
    </w:pPr>
    <w:rPr>
      <w:rFonts w:ascii="Times New Roman" w:hAnsi="Times New Roman"/>
      <w:b/>
      <w:color w:val="auto"/>
      <w:sz w:val="22"/>
    </w:rPr>
  </w:style>
  <w:style w:type="character" w:styleId="Mention">
    <w:name w:val="Mention"/>
    <w:basedOn w:val="DefaultParagraphFont"/>
    <w:uiPriority w:val="99"/>
    <w:unhideWhenUsed/>
    <w:rsid w:val="00260C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74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104</Value>
      <Value>19</Value>
      <Value>109</Value>
      <Value>185</Value>
      <Value>2</Value>
    </TaxCatchAll>
    <SharedWithUsers xmlns="92a8a7e8-49a1-4017-acf0-0edc7cce208b">
      <UserInfo>
        <DisplayName>Katherine Eyre</DisplayName>
        <AccountId>73</AccountId>
        <AccountType/>
      </UserInfo>
      <UserInfo>
        <DisplayName>Toni Michalis</DisplayName>
        <AccountId>32</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3C5829EE-2ACF-450B-BED0-FD186E501026}">
  <ds:schemaRefs>
    <ds:schemaRef ds:uri="http://schemas.openxmlformats.org/officeDocument/2006/bibliography"/>
  </ds:schemaRefs>
</ds:datastoreItem>
</file>

<file path=customXml/itemProps2.xml><?xml version="1.0" encoding="utf-8"?>
<ds:datastoreItem xmlns:ds="http://schemas.openxmlformats.org/officeDocument/2006/customXml" ds:itemID="{02057292-5FC8-49B8-994C-003D90F2DAE6}"/>
</file>

<file path=customXml/itemProps3.xml><?xml version="1.0" encoding="utf-8"?>
<ds:datastoreItem xmlns:ds="http://schemas.openxmlformats.org/officeDocument/2006/customXml" ds:itemID="{0DA33E37-3A15-4238-914A-B93CE3B76690}">
  <ds:schemaRefs>
    <ds:schemaRef ds:uri="http://schemas.microsoft.com/sharepoint/v3/contenttype/forms"/>
  </ds:schemaRefs>
</ds:datastoreItem>
</file>

<file path=customXml/itemProps4.xml><?xml version="1.0" encoding="utf-8"?>
<ds:datastoreItem xmlns:ds="http://schemas.openxmlformats.org/officeDocument/2006/customXml" ds:itemID="{A41451B0-2E89-4641-B70F-9CD07A414E84}">
  <ds:schemaRefs>
    <ds:schemaRef ds:uri="79530295-9eea-494d-b82a-9ff74409eafc"/>
    <ds:schemaRef ds:uri="http://purl.org/dc/terms/"/>
    <ds:schemaRef ds:uri="http://purl.org/dc/dcmitype/"/>
    <ds:schemaRef ds:uri="http://www.w3.org/XML/1998/namespace"/>
    <ds:schemaRef ds:uri="http://schemas.openxmlformats.org/package/2006/metadata/core-properties"/>
    <ds:schemaRef ds:uri="5664482d-1961-4d38-bfc2-b109b3418834"/>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4220</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Explanatory Statement new consolidated prudential standard</vt:lpstr>
    </vt:vector>
  </TitlesOfParts>
  <Company>APRA</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consolidated prudential standard</dc:title>
  <dc:subject/>
  <dc:creator>Sullivan, David</dc:creator>
  <cp:keywords>[SEC=OFFICIAL]</cp:keywords>
  <cp:lastModifiedBy>Toni Michalis</cp:lastModifiedBy>
  <cp:revision>3</cp:revision>
  <cp:lastPrinted>2018-11-01T03:09:00Z</cp:lastPrinted>
  <dcterms:created xsi:type="dcterms:W3CDTF">2024-02-14T06:09:00Z</dcterms:created>
  <dcterms:modified xsi:type="dcterms:W3CDTF">2024-02-14T06:13:00Z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F9976DBDA9B96CF38985AE238EBFFA997593E02D</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3B3BFAAD444A4BB9975EB3FD5CCF2729</vt:lpwstr>
  </property>
  <property fmtid="{D5CDD505-2E9C-101B-9397-08002B2CF9AE}" pid="16" name="PM_OriginationTimeStamp">
    <vt:lpwstr>2023-07-04T03:34:46Z</vt:lpwstr>
  </property>
  <property fmtid="{D5CDD505-2E9C-101B-9397-08002B2CF9AE}" pid="17" name="PM_Hash_Version">
    <vt:lpwstr>2022.1</vt:lpwstr>
  </property>
  <property fmtid="{D5CDD505-2E9C-101B-9397-08002B2CF9AE}" pid="18" name="PM_Hash_Salt_Prev">
    <vt:lpwstr>C356B84E6DFF34BB1164993A31A4D8AC</vt:lpwstr>
  </property>
  <property fmtid="{D5CDD505-2E9C-101B-9397-08002B2CF9AE}" pid="19" name="PM_Hash_Salt">
    <vt:lpwstr>644FBA98A74656D9EAE45F8D5BD2A5ED</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CostCentre">
    <vt:lpwstr>158;#PAD300|98bbdbe4-d019-48eb-87c4-aa31a7f2f98f</vt:lpwstr>
  </property>
  <property fmtid="{D5CDD505-2E9C-101B-9397-08002B2CF9AE}" pid="23" name="APRAYear">
    <vt:lpwstr/>
  </property>
  <property fmtid="{D5CDD505-2E9C-101B-9397-08002B2CF9AE}" pid="24" name="APRAIndustry">
    <vt:lpwstr/>
  </property>
  <property fmtid="{D5CDD505-2E9C-101B-9397-08002B2CF9AE}" pid="25" name="APRAPRSG">
    <vt:lpwstr/>
  </property>
  <property fmtid="{D5CDD505-2E9C-101B-9397-08002B2CF9AE}" pid="26" name="_dlc_DocIdItemGuid">
    <vt:lpwstr>4e5e34eb-7f5c-4b8b-b93b-68638eee6636</vt:lpwstr>
  </property>
  <property fmtid="{D5CDD505-2E9C-101B-9397-08002B2CF9AE}" pid="27" name="IsLocked">
    <vt:lpwstr>Yes</vt:lpwstr>
  </property>
  <property fmtid="{D5CDD505-2E9C-101B-9397-08002B2CF9AE}" pid="28" name="IT system type">
    <vt:lpwstr/>
  </property>
  <property fmtid="{D5CDD505-2E9C-101B-9397-08002B2CF9AE}" pid="29" name="APRACategory">
    <vt:lpwstr/>
  </property>
  <property fmtid="{D5CDD505-2E9C-101B-9397-08002B2CF9AE}" pid="30" name="APRADocumentType">
    <vt:lpwstr>185;#Precedent|197f51c4-dc37-4f46-99ec-cabda449ee10;#104;#Legal advice - internal|1797320c-67a9-4876-a680-15db0859683b</vt:lpwstr>
  </property>
  <property fmtid="{D5CDD505-2E9C-101B-9397-08002B2CF9AE}" pid="31" name="APRAStatus">
    <vt:lpwstr>19;#Final|84d6b2d0-8498-4d62-bf46-bab38babbe9e</vt:lpwstr>
  </property>
  <property fmtid="{D5CDD505-2E9C-101B-9397-08002B2CF9AE}" pid="32" name="APRAActivity">
    <vt:lpwstr>109;#Statutory instrument|fe68928c-5a9c-4caf-bc8c-6c18cedcb17f;#2;#Legal advice|47dcad67-54ec-4c15-a2f1-eec9cf2f5637</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{8f988914-4376-4d4a-9e02-85c79f5d5824}</vt:lpwstr>
  </property>
  <property fmtid="{D5CDD505-2E9C-101B-9397-08002B2CF9AE}" pid="41" name="RecordPoint_ActiveItemUniqueId">
    <vt:lpwstr>{4e5e34eb-7f5c-4b8b-b93b-68638eee6636}</vt:lpwstr>
  </property>
  <property fmtid="{D5CDD505-2E9C-101B-9397-08002B2CF9AE}" pid="42" name="RecordPoint_RecordNumberSubmitted">
    <vt:lpwstr>R0000511881</vt:lpwstr>
  </property>
  <property fmtid="{D5CDD505-2E9C-101B-9397-08002B2CF9AE}" pid="43" name="RecordPoint_SubmissionCompleted">
    <vt:lpwstr>2018-11-07T12:35:27.4508800+11:00</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HMAC">
    <vt:lpwstr>v=2022.1;a=SHA256;h=B44A04CEB93FD994147433CEAA292D5AE5CF350DB6ACFF0168FEDEDF8895DAC7</vt:lpwstr>
  </property>
  <property fmtid="{D5CDD505-2E9C-101B-9397-08002B2CF9AE}" pid="48" name="MSIP_Label_c0129afb-6481-4f92-bc9f-5a4a6346364d_Method">
    <vt:lpwstr>Privileged</vt:lpwstr>
  </property>
  <property fmtid="{D5CDD505-2E9C-101B-9397-08002B2CF9AE}" pid="49" name="MSIP_Label_c0129afb-6481-4f92-bc9f-5a4a6346364d_SetDate">
    <vt:lpwstr>2023-07-04T03:34:46Z</vt:lpwstr>
  </property>
  <property fmtid="{D5CDD505-2E9C-101B-9397-08002B2CF9AE}" pid="50" name="PM_Note">
    <vt:lpwstr/>
  </property>
  <property fmtid="{D5CDD505-2E9C-101B-9397-08002B2CF9AE}" pid="51" name="PM_Markers">
    <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ContentBits">
    <vt:lpwstr>0</vt:lpwstr>
  </property>
  <property fmtid="{D5CDD505-2E9C-101B-9397-08002B2CF9AE}" pid="55" name="MSIP_Label_c0129afb-6481-4f92-bc9f-5a4a6346364d_Enabled">
    <vt:lpwstr>true</vt:lpwstr>
  </property>
  <property fmtid="{D5CDD505-2E9C-101B-9397-08002B2CF9AE}" pid="56" name="MSIP_Label_c0129afb-6481-4f92-bc9f-5a4a6346364d_ActionId">
    <vt:lpwstr>c1fa8c3bd39a453a93aece474cd38424</vt:lpwstr>
  </property>
  <property fmtid="{D5CDD505-2E9C-101B-9397-08002B2CF9AE}" pid="57" name="PM_SecurityClassification_Prev">
    <vt:lpwstr>OFFICIAL</vt:lpwstr>
  </property>
  <property fmtid="{D5CDD505-2E9C-101B-9397-08002B2CF9AE}" pid="58" name="PM_Qualifier_Prev">
    <vt:lpwstr/>
  </property>
  <property fmtid="{D5CDD505-2E9C-101B-9397-08002B2CF9AE}" pid="59" name="PM_Display">
    <vt:lpwstr>OFFICIAL</vt:lpwstr>
  </property>
  <property fmtid="{D5CDD505-2E9C-101B-9397-08002B2CF9AE}" pid="60" name="PM_OriginatorUserAccountName_SHA256">
    <vt:lpwstr>6E3018F28A186D2E5FF5207C041E7A82E907C3008E071057026A53705873B72E</vt:lpwstr>
  </property>
  <property fmtid="{D5CDD505-2E9C-101B-9397-08002B2CF9AE}" pid="61" name="PM_OriginatorDomainName_SHA256">
    <vt:lpwstr>ECBDE2B44A971754412B3FB70606937A119CC0D4B6C1B658A40FBD41C30BE3EC</vt:lpwstr>
  </property>
  <property fmtid="{D5CDD505-2E9C-101B-9397-08002B2CF9AE}" pid="62" name="PMUuid">
    <vt:lpwstr>v=2022.2;d=gov.au;g=46DD6D7C-8107-577B-BC6E-F348953B2E44</vt:lpwstr>
  </property>
  <property fmtid="{D5CDD505-2E9C-101B-9397-08002B2CF9AE}" pid="63" name="MediaServiceImageTags">
    <vt:lpwstr/>
  </property>
</Properties>
</file>