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D9E1A" w14:textId="77777777" w:rsidR="00FB640B" w:rsidRPr="00F676AA" w:rsidRDefault="0057002B" w:rsidP="00BB0CF2">
      <w:pPr>
        <w:pStyle w:val="ESTitleHeader"/>
        <w:rPr>
          <w:b/>
          <w:sz w:val="24"/>
          <w:szCs w:val="24"/>
        </w:rPr>
      </w:pPr>
      <w:bookmarkStart w:id="0" w:name="_GoBack"/>
      <w:bookmarkEnd w:id="0"/>
      <w:r w:rsidRPr="00F676AA">
        <w:rPr>
          <w:b/>
          <w:sz w:val="24"/>
          <w:szCs w:val="24"/>
        </w:rPr>
        <w:t>EXPLANATORY STATEMENT</w:t>
      </w:r>
    </w:p>
    <w:p w14:paraId="57F73697" w14:textId="77777777" w:rsidR="0057002B" w:rsidRPr="00F2382A" w:rsidRDefault="0057002B" w:rsidP="00BB0CF2">
      <w:pPr>
        <w:pStyle w:val="ESTitleDecisionMaker"/>
        <w:rPr>
          <w:sz w:val="24"/>
          <w:szCs w:val="24"/>
        </w:rPr>
      </w:pPr>
      <w:r w:rsidRPr="00F2382A">
        <w:rPr>
          <w:sz w:val="24"/>
          <w:szCs w:val="24"/>
        </w:rPr>
        <w:t xml:space="preserve">Issued by authority of the </w:t>
      </w:r>
      <w:r w:rsidR="00287846" w:rsidRPr="00F2382A">
        <w:rPr>
          <w:sz w:val="24"/>
          <w:szCs w:val="24"/>
        </w:rPr>
        <w:t>Minister for Home Affairs</w:t>
      </w:r>
    </w:p>
    <w:p w14:paraId="41F63551" w14:textId="77777777" w:rsidR="0057002B" w:rsidRPr="00F2382A" w:rsidRDefault="00287846" w:rsidP="00BB0CF2">
      <w:pPr>
        <w:pStyle w:val="ESTitleEnablingLegislation"/>
        <w:rPr>
          <w:sz w:val="24"/>
          <w:szCs w:val="24"/>
        </w:rPr>
      </w:pPr>
      <w:r w:rsidRPr="00F2382A">
        <w:rPr>
          <w:sz w:val="24"/>
          <w:szCs w:val="24"/>
        </w:rPr>
        <w:t>Migration Act 1958</w:t>
      </w:r>
    </w:p>
    <w:p w14:paraId="1D6844F0" w14:textId="55A44C1C" w:rsidR="0057002B" w:rsidRPr="00F2382A" w:rsidRDefault="001B3B65" w:rsidP="00BB0CF2">
      <w:pPr>
        <w:pStyle w:val="ESTitleInstrumentName"/>
        <w:rPr>
          <w:sz w:val="24"/>
          <w:szCs w:val="24"/>
        </w:rPr>
      </w:pPr>
      <w:bookmarkStart w:id="1" w:name="Title"/>
      <w:r w:rsidRPr="00A75D13">
        <w:t>Migration (Designated Migration Law—Visa Condition </w:t>
      </w:r>
      <w:r>
        <w:t>8208) Determination (LIN 24/</w:t>
      </w:r>
      <w:r w:rsidR="00DC78CB">
        <w:t>009</w:t>
      </w:r>
      <w:r>
        <w:t>) </w:t>
      </w:r>
      <w:r w:rsidRPr="00A75D13">
        <w:t>20</w:t>
      </w:r>
      <w:r w:rsidRPr="00E82E3A">
        <w:t>24</w:t>
      </w:r>
      <w:bookmarkEnd w:id="1"/>
    </w:p>
    <w:p w14:paraId="44295CDD" w14:textId="31A14F2E" w:rsidR="00EA12C9" w:rsidRPr="00F2382A" w:rsidRDefault="001411A0" w:rsidP="001411A0">
      <w:pPr>
        <w:pStyle w:val="ESPara"/>
        <w:numPr>
          <w:ilvl w:val="0"/>
          <w:numId w:val="0"/>
        </w:numPr>
        <w:rPr>
          <w:sz w:val="24"/>
          <w:szCs w:val="24"/>
        </w:rPr>
      </w:pPr>
      <w:r w:rsidRPr="00F2382A">
        <w:rPr>
          <w:sz w:val="24"/>
          <w:szCs w:val="24"/>
        </w:rPr>
        <w:t>This I</w:t>
      </w:r>
      <w:r w:rsidR="0057002B" w:rsidRPr="00F2382A">
        <w:rPr>
          <w:sz w:val="24"/>
          <w:szCs w:val="24"/>
        </w:rPr>
        <w:t>nstrume</w:t>
      </w:r>
      <w:r w:rsidRPr="00F2382A">
        <w:rPr>
          <w:sz w:val="24"/>
          <w:szCs w:val="24"/>
        </w:rPr>
        <w:t>nt, which may also be cited by d</w:t>
      </w:r>
      <w:r w:rsidR="00287846" w:rsidRPr="00F2382A">
        <w:rPr>
          <w:sz w:val="24"/>
          <w:szCs w:val="24"/>
        </w:rPr>
        <w:t xml:space="preserve">epartmental reference LIN </w:t>
      </w:r>
      <w:r w:rsidR="008A66EB" w:rsidRPr="00F2382A">
        <w:rPr>
          <w:sz w:val="24"/>
          <w:szCs w:val="24"/>
        </w:rPr>
        <w:t>2</w:t>
      </w:r>
      <w:r w:rsidR="008A66EB">
        <w:rPr>
          <w:sz w:val="24"/>
          <w:szCs w:val="24"/>
        </w:rPr>
        <w:t>4</w:t>
      </w:r>
      <w:r w:rsidR="00287846" w:rsidRPr="00F2382A">
        <w:rPr>
          <w:sz w:val="24"/>
          <w:szCs w:val="24"/>
        </w:rPr>
        <w:t>/</w:t>
      </w:r>
      <w:r w:rsidR="00DC78CB">
        <w:rPr>
          <w:sz w:val="24"/>
          <w:szCs w:val="24"/>
        </w:rPr>
        <w:t>009</w:t>
      </w:r>
      <w:r w:rsidR="0057002B" w:rsidRPr="00F2382A">
        <w:rPr>
          <w:sz w:val="24"/>
          <w:szCs w:val="24"/>
        </w:rPr>
        <w:t xml:space="preserve">, is made under </w:t>
      </w:r>
      <w:r w:rsidR="00287846" w:rsidRPr="00F2382A">
        <w:rPr>
          <w:sz w:val="24"/>
          <w:szCs w:val="24"/>
        </w:rPr>
        <w:t xml:space="preserve">paragraph 495A(3)(b) of the </w:t>
      </w:r>
      <w:r w:rsidR="00287846" w:rsidRPr="00F2382A">
        <w:rPr>
          <w:i/>
          <w:sz w:val="24"/>
          <w:szCs w:val="24"/>
        </w:rPr>
        <w:t>Migration Act 1958</w:t>
      </w:r>
      <w:r w:rsidR="00287846" w:rsidRPr="00F2382A">
        <w:rPr>
          <w:sz w:val="24"/>
          <w:szCs w:val="24"/>
        </w:rPr>
        <w:t xml:space="preserve"> (the Act)</w:t>
      </w:r>
      <w:r w:rsidR="00365E84">
        <w:rPr>
          <w:sz w:val="24"/>
          <w:szCs w:val="24"/>
        </w:rPr>
        <w:t>.</w:t>
      </w:r>
    </w:p>
    <w:p w14:paraId="09DA7F6B" w14:textId="0A4ED67E" w:rsidR="001411A0" w:rsidRPr="00F2382A" w:rsidRDefault="001411A0" w:rsidP="00365E84">
      <w:pPr>
        <w:pStyle w:val="ESPara"/>
        <w:numPr>
          <w:ilvl w:val="0"/>
          <w:numId w:val="0"/>
        </w:numPr>
        <w:spacing w:after="120"/>
        <w:rPr>
          <w:sz w:val="24"/>
          <w:szCs w:val="24"/>
        </w:rPr>
      </w:pPr>
      <w:r w:rsidRPr="00F2382A">
        <w:rPr>
          <w:sz w:val="24"/>
          <w:szCs w:val="24"/>
        </w:rPr>
        <w:t xml:space="preserve">This </w:t>
      </w:r>
      <w:r w:rsidR="000B5C7A">
        <w:rPr>
          <w:sz w:val="24"/>
          <w:szCs w:val="24"/>
        </w:rPr>
        <w:t>I</w:t>
      </w:r>
      <w:r w:rsidRPr="00F2382A">
        <w:rPr>
          <w:sz w:val="24"/>
          <w:szCs w:val="24"/>
        </w:rPr>
        <w:t>nstrument commences on the later of:</w:t>
      </w:r>
    </w:p>
    <w:p w14:paraId="1E56EC63" w14:textId="4B44A3E0" w:rsidR="001411A0" w:rsidRPr="00F2382A" w:rsidRDefault="004B473F" w:rsidP="00365E84">
      <w:pPr>
        <w:pStyle w:val="ESPara"/>
        <w:numPr>
          <w:ilvl w:val="0"/>
          <w:numId w:val="10"/>
        </w:numPr>
        <w:spacing w:before="0" w:after="120"/>
        <w:ind w:left="714" w:hanging="357"/>
        <w:rPr>
          <w:sz w:val="24"/>
          <w:szCs w:val="24"/>
        </w:rPr>
      </w:pPr>
      <w:r w:rsidRPr="00D61307">
        <w:rPr>
          <w:sz w:val="24"/>
          <w:szCs w:val="24"/>
        </w:rPr>
        <w:t>1 April</w:t>
      </w:r>
      <w:r w:rsidR="008A66EB" w:rsidRPr="00F2382A" w:rsidDel="008A66EB">
        <w:rPr>
          <w:sz w:val="24"/>
          <w:szCs w:val="24"/>
        </w:rPr>
        <w:t xml:space="preserve"> </w:t>
      </w:r>
      <w:r w:rsidR="001411A0" w:rsidRPr="00F2382A">
        <w:rPr>
          <w:sz w:val="24"/>
          <w:szCs w:val="24"/>
        </w:rPr>
        <w:t>202</w:t>
      </w:r>
      <w:r w:rsidR="008A66EB">
        <w:rPr>
          <w:sz w:val="24"/>
          <w:szCs w:val="24"/>
        </w:rPr>
        <w:t>4</w:t>
      </w:r>
      <w:r w:rsidR="001411A0" w:rsidRPr="00F2382A">
        <w:rPr>
          <w:sz w:val="24"/>
          <w:szCs w:val="24"/>
        </w:rPr>
        <w:t xml:space="preserve">; </w:t>
      </w:r>
      <w:r w:rsidR="00D5605E" w:rsidRPr="00967829">
        <w:rPr>
          <w:sz w:val="24"/>
          <w:szCs w:val="24"/>
        </w:rPr>
        <w:t>and</w:t>
      </w:r>
    </w:p>
    <w:p w14:paraId="3197DE26" w14:textId="55678878" w:rsidR="00673800" w:rsidRPr="00F2382A" w:rsidRDefault="000B5C7A" w:rsidP="00365E84">
      <w:pPr>
        <w:pStyle w:val="ESPara"/>
        <w:numPr>
          <w:ilvl w:val="0"/>
          <w:numId w:val="10"/>
        </w:numPr>
        <w:spacing w:before="0" w:after="120"/>
        <w:ind w:left="714" w:hanging="357"/>
        <w:rPr>
          <w:sz w:val="24"/>
          <w:szCs w:val="24"/>
        </w:rPr>
      </w:pPr>
      <w:r>
        <w:rPr>
          <w:sz w:val="24"/>
          <w:szCs w:val="24"/>
        </w:rPr>
        <w:t>the day after this I</w:t>
      </w:r>
      <w:r w:rsidR="001411A0" w:rsidRPr="00F2382A">
        <w:rPr>
          <w:sz w:val="24"/>
          <w:szCs w:val="24"/>
        </w:rPr>
        <w:t>nstrument is registered</w:t>
      </w:r>
      <w:r w:rsidR="008A66EB">
        <w:rPr>
          <w:sz w:val="24"/>
          <w:szCs w:val="24"/>
        </w:rPr>
        <w:t xml:space="preserve"> </w:t>
      </w:r>
      <w:r w:rsidR="008A66EB" w:rsidRPr="008A66EB">
        <w:rPr>
          <w:sz w:val="24"/>
          <w:szCs w:val="24"/>
        </w:rPr>
        <w:t>on the Federal Register of Legislation</w:t>
      </w:r>
      <w:r w:rsidR="001411A0" w:rsidRPr="00F2382A">
        <w:rPr>
          <w:sz w:val="24"/>
          <w:szCs w:val="24"/>
        </w:rPr>
        <w:t>.</w:t>
      </w:r>
    </w:p>
    <w:p w14:paraId="01DC748A" w14:textId="5E077F6D" w:rsidR="00BD598E" w:rsidRPr="00F2382A" w:rsidRDefault="001411A0" w:rsidP="001411A0">
      <w:pPr>
        <w:pStyle w:val="ESPara"/>
        <w:numPr>
          <w:ilvl w:val="0"/>
          <w:numId w:val="0"/>
        </w:numPr>
        <w:rPr>
          <w:sz w:val="24"/>
          <w:szCs w:val="24"/>
        </w:rPr>
      </w:pPr>
      <w:r w:rsidRPr="00F2382A">
        <w:rPr>
          <w:sz w:val="24"/>
          <w:szCs w:val="24"/>
        </w:rPr>
        <w:t>The I</w:t>
      </w:r>
      <w:r w:rsidR="00673800" w:rsidRPr="00F2382A">
        <w:rPr>
          <w:sz w:val="24"/>
          <w:szCs w:val="24"/>
        </w:rPr>
        <w:t>nstrument</w:t>
      </w:r>
      <w:r w:rsidR="00AA4557" w:rsidRPr="00F2382A">
        <w:rPr>
          <w:sz w:val="24"/>
          <w:szCs w:val="24"/>
        </w:rPr>
        <w:t xml:space="preserve"> i</w:t>
      </w:r>
      <w:r w:rsidR="00BD598E" w:rsidRPr="00F2382A">
        <w:rPr>
          <w:sz w:val="24"/>
          <w:szCs w:val="24"/>
        </w:rPr>
        <w:t xml:space="preserve">s a </w:t>
      </w:r>
      <w:r w:rsidR="00AA4557" w:rsidRPr="00F2382A">
        <w:rPr>
          <w:sz w:val="24"/>
          <w:szCs w:val="24"/>
        </w:rPr>
        <w:t>legislative</w:t>
      </w:r>
      <w:r w:rsidR="00BD598E" w:rsidRPr="00F2382A">
        <w:rPr>
          <w:sz w:val="24"/>
          <w:szCs w:val="24"/>
        </w:rPr>
        <w:t xml:space="preserve"> instrument for </w:t>
      </w:r>
      <w:r w:rsidR="00B75478" w:rsidRPr="00F2382A">
        <w:rPr>
          <w:sz w:val="24"/>
          <w:szCs w:val="24"/>
        </w:rPr>
        <w:t xml:space="preserve">the </w:t>
      </w:r>
      <w:r w:rsidR="00100DFC" w:rsidRPr="00F2382A">
        <w:rPr>
          <w:i/>
          <w:sz w:val="24"/>
          <w:szCs w:val="24"/>
        </w:rPr>
        <w:t>Legislation Act 2003</w:t>
      </w:r>
      <w:r w:rsidR="00100DFC" w:rsidRPr="00F2382A">
        <w:rPr>
          <w:sz w:val="24"/>
          <w:szCs w:val="24"/>
        </w:rPr>
        <w:t xml:space="preserve"> (the Legislation Act)</w:t>
      </w:r>
      <w:r w:rsidR="00BD598E" w:rsidRPr="00F2382A">
        <w:rPr>
          <w:sz w:val="24"/>
          <w:szCs w:val="24"/>
        </w:rPr>
        <w:t xml:space="preserve">. </w:t>
      </w:r>
    </w:p>
    <w:p w14:paraId="016F74FB" w14:textId="77777777" w:rsidR="00EA12C9" w:rsidRPr="00F2382A" w:rsidRDefault="00BD598E" w:rsidP="00100DFC">
      <w:pPr>
        <w:pStyle w:val="ESHeading"/>
        <w:rPr>
          <w:sz w:val="24"/>
          <w:szCs w:val="24"/>
        </w:rPr>
      </w:pPr>
      <w:r w:rsidRPr="00F2382A">
        <w:rPr>
          <w:sz w:val="24"/>
          <w:szCs w:val="24"/>
        </w:rPr>
        <w:t>Purpose</w:t>
      </w:r>
    </w:p>
    <w:p w14:paraId="5077B75F" w14:textId="13D818D8" w:rsidR="00147E2F" w:rsidRPr="00F2382A" w:rsidRDefault="00147E2F" w:rsidP="001411A0">
      <w:pPr>
        <w:pStyle w:val="ESPara"/>
        <w:numPr>
          <w:ilvl w:val="0"/>
          <w:numId w:val="0"/>
        </w:numPr>
        <w:rPr>
          <w:sz w:val="24"/>
          <w:szCs w:val="24"/>
        </w:rPr>
      </w:pPr>
      <w:r w:rsidRPr="00F2382A">
        <w:rPr>
          <w:sz w:val="24"/>
          <w:szCs w:val="24"/>
          <w:shd w:val="clear" w:color="auto" w:fill="FFFFFF"/>
        </w:rPr>
        <w:t>Subsection 495A(1) of the Act provides that the Minister may arrange for the use, under the Minister’s control, of computer pro</w:t>
      </w:r>
      <w:r w:rsidR="00C948A9" w:rsidRPr="00F2382A">
        <w:rPr>
          <w:sz w:val="24"/>
          <w:szCs w:val="24"/>
          <w:shd w:val="clear" w:color="auto" w:fill="FFFFFF"/>
        </w:rPr>
        <w:t xml:space="preserve">grams for any purpose for which, </w:t>
      </w:r>
      <w:r w:rsidRPr="00F2382A">
        <w:rPr>
          <w:sz w:val="24"/>
          <w:szCs w:val="24"/>
          <w:shd w:val="clear" w:color="auto" w:fill="FFFFFF"/>
        </w:rPr>
        <w:t>under the ‘designated migration law’, the Minister may or must make a decision; or exercise any power, or comply with any obligation; or do anything else related to making a decision, exercising a power, or complying with an obligation</w:t>
      </w:r>
      <w:r w:rsidR="00200F9E">
        <w:rPr>
          <w:sz w:val="24"/>
          <w:szCs w:val="24"/>
        </w:rPr>
        <w:t xml:space="preserve">. </w:t>
      </w:r>
      <w:r w:rsidRPr="00F2382A">
        <w:rPr>
          <w:sz w:val="24"/>
          <w:szCs w:val="24"/>
        </w:rPr>
        <w:t xml:space="preserve">The term ‘designated migration law’ is defined in subsection 495A(3) </w:t>
      </w:r>
      <w:r w:rsidRPr="00F2382A">
        <w:rPr>
          <w:sz w:val="24"/>
          <w:szCs w:val="24"/>
          <w:shd w:val="clear" w:color="auto" w:fill="FFFFFF"/>
        </w:rPr>
        <w:t>of the Act</w:t>
      </w:r>
      <w:r w:rsidR="00200F9E">
        <w:rPr>
          <w:sz w:val="24"/>
          <w:szCs w:val="24"/>
        </w:rPr>
        <w:t xml:space="preserve">. </w:t>
      </w:r>
      <w:r w:rsidRPr="00F2382A">
        <w:rPr>
          <w:sz w:val="24"/>
          <w:szCs w:val="24"/>
        </w:rPr>
        <w:t>In particular, paragraph 495A(3)(b) of the Act</w:t>
      </w:r>
      <w:r w:rsidRPr="00F2382A">
        <w:rPr>
          <w:color w:val="000000"/>
          <w:sz w:val="24"/>
          <w:szCs w:val="24"/>
          <w:shd w:val="clear" w:color="auto" w:fill="FFFFFF"/>
        </w:rPr>
        <w:t xml:space="preserve"> provides that the Minister may determine, by legislative instrument, any provision of the </w:t>
      </w:r>
      <w:r w:rsidR="00F2382A" w:rsidRPr="00F2382A">
        <w:rPr>
          <w:color w:val="000000"/>
          <w:sz w:val="24"/>
          <w:szCs w:val="24"/>
          <w:shd w:val="clear" w:color="auto" w:fill="FFFFFF"/>
        </w:rPr>
        <w:t xml:space="preserve">Act or the </w:t>
      </w:r>
      <w:r w:rsidR="00F2382A" w:rsidRPr="00F2382A">
        <w:rPr>
          <w:i/>
          <w:color w:val="000000"/>
          <w:sz w:val="24"/>
          <w:szCs w:val="24"/>
          <w:shd w:val="clear" w:color="auto" w:fill="FFFFFF"/>
        </w:rPr>
        <w:t xml:space="preserve">Migration </w:t>
      </w:r>
      <w:r w:rsidRPr="00F2382A">
        <w:rPr>
          <w:i/>
          <w:color w:val="000000"/>
          <w:sz w:val="24"/>
          <w:szCs w:val="24"/>
          <w:shd w:val="clear" w:color="auto" w:fill="FFFFFF"/>
        </w:rPr>
        <w:t xml:space="preserve">Regulations </w:t>
      </w:r>
      <w:r w:rsidR="00F2382A" w:rsidRPr="00F2382A">
        <w:rPr>
          <w:i/>
          <w:color w:val="000000"/>
          <w:sz w:val="24"/>
          <w:szCs w:val="24"/>
          <w:shd w:val="clear" w:color="auto" w:fill="FFFFFF"/>
        </w:rPr>
        <w:t>1994</w:t>
      </w:r>
      <w:r w:rsidR="00F2382A" w:rsidRPr="00F2382A">
        <w:rPr>
          <w:color w:val="000000"/>
          <w:sz w:val="24"/>
          <w:szCs w:val="24"/>
          <w:shd w:val="clear" w:color="auto" w:fill="FFFFFF"/>
        </w:rPr>
        <w:t xml:space="preserve"> (the </w:t>
      </w:r>
      <w:r w:rsidR="003300E8">
        <w:rPr>
          <w:color w:val="000000"/>
          <w:sz w:val="24"/>
          <w:szCs w:val="24"/>
          <w:shd w:val="clear" w:color="auto" w:fill="FFFFFF"/>
        </w:rPr>
        <w:t xml:space="preserve">Migration </w:t>
      </w:r>
      <w:r w:rsidR="00F2382A" w:rsidRPr="00F2382A">
        <w:rPr>
          <w:color w:val="000000"/>
          <w:sz w:val="24"/>
          <w:szCs w:val="24"/>
          <w:shd w:val="clear" w:color="auto" w:fill="FFFFFF"/>
        </w:rPr>
        <w:t xml:space="preserve">Regulations) </w:t>
      </w:r>
      <w:r w:rsidRPr="00F2382A">
        <w:rPr>
          <w:color w:val="000000"/>
          <w:sz w:val="24"/>
          <w:szCs w:val="24"/>
          <w:shd w:val="clear" w:color="auto" w:fill="FFFFFF"/>
        </w:rPr>
        <w:t>to be part of the ‘designated migration law’.</w:t>
      </w:r>
    </w:p>
    <w:p w14:paraId="33D9E561" w14:textId="31E6B1A4" w:rsidR="00ED362A" w:rsidRPr="00F2382A" w:rsidRDefault="00820A8D" w:rsidP="001411A0">
      <w:pPr>
        <w:pStyle w:val="ESPara"/>
        <w:numPr>
          <w:ilvl w:val="0"/>
          <w:numId w:val="0"/>
        </w:numPr>
        <w:rPr>
          <w:sz w:val="24"/>
          <w:szCs w:val="24"/>
        </w:rPr>
      </w:pPr>
      <w:r w:rsidRPr="00F2382A">
        <w:rPr>
          <w:sz w:val="24"/>
          <w:szCs w:val="24"/>
        </w:rPr>
        <w:t>The</w:t>
      </w:r>
      <w:r w:rsidR="00F2382A" w:rsidRPr="00F2382A">
        <w:rPr>
          <w:sz w:val="24"/>
          <w:szCs w:val="24"/>
        </w:rPr>
        <w:t xml:space="preserve"> I</w:t>
      </w:r>
      <w:r w:rsidR="00ED362A" w:rsidRPr="00F2382A">
        <w:rPr>
          <w:sz w:val="24"/>
          <w:szCs w:val="24"/>
        </w:rPr>
        <w:t xml:space="preserve">nstrument </w:t>
      </w:r>
      <w:r w:rsidRPr="00F2382A">
        <w:rPr>
          <w:sz w:val="24"/>
          <w:szCs w:val="24"/>
        </w:rPr>
        <w:t>operates</w:t>
      </w:r>
      <w:r w:rsidR="001B1793" w:rsidRPr="00F2382A">
        <w:rPr>
          <w:sz w:val="24"/>
          <w:szCs w:val="24"/>
        </w:rPr>
        <w:t xml:space="preserve"> to determine </w:t>
      </w:r>
      <w:r w:rsidR="00ED362A" w:rsidRPr="00F2382A">
        <w:rPr>
          <w:sz w:val="24"/>
          <w:szCs w:val="24"/>
        </w:rPr>
        <w:t xml:space="preserve">visa condition 8208 </w:t>
      </w:r>
      <w:r w:rsidR="001B1793" w:rsidRPr="00F2382A">
        <w:rPr>
          <w:sz w:val="24"/>
          <w:szCs w:val="24"/>
        </w:rPr>
        <w:t xml:space="preserve">(condition 8208) </w:t>
      </w:r>
      <w:r w:rsidR="00ED362A" w:rsidRPr="00F2382A">
        <w:rPr>
          <w:sz w:val="24"/>
          <w:szCs w:val="24"/>
        </w:rPr>
        <w:t>in Schedule 8 to the</w:t>
      </w:r>
      <w:r w:rsidR="00F2382A" w:rsidRPr="00F2382A">
        <w:rPr>
          <w:sz w:val="24"/>
          <w:szCs w:val="24"/>
        </w:rPr>
        <w:t xml:space="preserve"> </w:t>
      </w:r>
      <w:r w:rsidR="003300E8">
        <w:rPr>
          <w:sz w:val="24"/>
          <w:szCs w:val="24"/>
        </w:rPr>
        <w:t xml:space="preserve">Migration </w:t>
      </w:r>
      <w:r w:rsidR="00F2382A" w:rsidRPr="00F2382A">
        <w:rPr>
          <w:sz w:val="24"/>
          <w:szCs w:val="24"/>
        </w:rPr>
        <w:t>Regulations</w:t>
      </w:r>
      <w:r w:rsidR="00ED362A" w:rsidRPr="00F2382A">
        <w:rPr>
          <w:sz w:val="24"/>
          <w:szCs w:val="24"/>
        </w:rPr>
        <w:t xml:space="preserve"> to be part of the designated migration law</w:t>
      </w:r>
      <w:r w:rsidR="001B1793" w:rsidRPr="00F2382A">
        <w:rPr>
          <w:sz w:val="24"/>
          <w:szCs w:val="24"/>
        </w:rPr>
        <w:t xml:space="preserve"> for the purposes of </w:t>
      </w:r>
      <w:r w:rsidR="00F2382A" w:rsidRPr="00F2382A">
        <w:rPr>
          <w:sz w:val="24"/>
          <w:szCs w:val="24"/>
        </w:rPr>
        <w:t>section 495A</w:t>
      </w:r>
      <w:r w:rsidR="001B1793" w:rsidRPr="00F2382A">
        <w:rPr>
          <w:sz w:val="24"/>
          <w:szCs w:val="24"/>
        </w:rPr>
        <w:t xml:space="preserve"> of the Act</w:t>
      </w:r>
      <w:r w:rsidR="00ED362A" w:rsidRPr="00F2382A">
        <w:rPr>
          <w:sz w:val="24"/>
          <w:szCs w:val="24"/>
        </w:rPr>
        <w:t>.</w:t>
      </w:r>
    </w:p>
    <w:p w14:paraId="2955E5E0" w14:textId="46E6534A" w:rsidR="00820A8D" w:rsidRPr="00F2382A" w:rsidRDefault="00820A8D" w:rsidP="001411A0">
      <w:pPr>
        <w:pStyle w:val="ESPara"/>
        <w:numPr>
          <w:ilvl w:val="0"/>
          <w:numId w:val="0"/>
        </w:numPr>
        <w:rPr>
          <w:sz w:val="24"/>
          <w:szCs w:val="24"/>
        </w:rPr>
      </w:pPr>
      <w:r w:rsidRPr="00F2382A">
        <w:rPr>
          <w:sz w:val="24"/>
          <w:szCs w:val="24"/>
        </w:rPr>
        <w:t xml:space="preserve">The </w:t>
      </w:r>
      <w:r w:rsidRPr="00F2382A">
        <w:rPr>
          <w:i/>
          <w:sz w:val="24"/>
          <w:szCs w:val="24"/>
        </w:rPr>
        <w:t>Migration Amendment (Postgraduate Research in Critical Technology—Student Visa Conditions) Regulations 2022</w:t>
      </w:r>
      <w:r w:rsidR="008B63DC">
        <w:rPr>
          <w:sz w:val="24"/>
          <w:szCs w:val="24"/>
        </w:rPr>
        <w:t xml:space="preserve"> </w:t>
      </w:r>
      <w:r w:rsidR="006D6907">
        <w:rPr>
          <w:sz w:val="24"/>
          <w:szCs w:val="24"/>
        </w:rPr>
        <w:t xml:space="preserve">(the PACT Student Visa Condition Regulations) </w:t>
      </w:r>
      <w:r w:rsidRPr="00F2382A">
        <w:rPr>
          <w:sz w:val="24"/>
          <w:szCs w:val="24"/>
        </w:rPr>
        <w:t>amend</w:t>
      </w:r>
      <w:r w:rsidR="00F2382A" w:rsidRPr="00F2382A">
        <w:rPr>
          <w:sz w:val="24"/>
          <w:szCs w:val="24"/>
        </w:rPr>
        <w:t>ed</w:t>
      </w:r>
      <w:r w:rsidRPr="00F2382A">
        <w:rPr>
          <w:sz w:val="24"/>
          <w:szCs w:val="24"/>
        </w:rPr>
        <w:t xml:space="preserve"> the </w:t>
      </w:r>
      <w:r w:rsidR="003300E8">
        <w:rPr>
          <w:sz w:val="24"/>
          <w:szCs w:val="24"/>
        </w:rPr>
        <w:t xml:space="preserve">Migration </w:t>
      </w:r>
      <w:r w:rsidRPr="00F2382A">
        <w:rPr>
          <w:sz w:val="24"/>
          <w:szCs w:val="24"/>
        </w:rPr>
        <w:t xml:space="preserve">Regulations </w:t>
      </w:r>
      <w:r w:rsidRPr="00F2382A">
        <w:rPr>
          <w:color w:val="000000"/>
          <w:sz w:val="24"/>
          <w:szCs w:val="24"/>
          <w:shd w:val="clear" w:color="auto" w:fill="FFFFFF"/>
        </w:rPr>
        <w:t xml:space="preserve">on 1 July 2022, </w:t>
      </w:r>
      <w:r w:rsidRPr="00F2382A">
        <w:rPr>
          <w:sz w:val="24"/>
          <w:szCs w:val="24"/>
        </w:rPr>
        <w:t xml:space="preserve">to insert condition 8208 </w:t>
      </w:r>
      <w:r w:rsidR="00AB7711" w:rsidRPr="00F2382A">
        <w:rPr>
          <w:sz w:val="24"/>
          <w:szCs w:val="24"/>
        </w:rPr>
        <w:t>which applies</w:t>
      </w:r>
      <w:r w:rsidRPr="00F2382A">
        <w:rPr>
          <w:sz w:val="24"/>
          <w:szCs w:val="24"/>
        </w:rPr>
        <w:t xml:space="preserve"> to Subclass 500 (Student) visas (student visas) as part of a legislative framework to safeguard against the risk of unwanted transfer of Australia’s critical technology in certain temporary and permanent visa programs. </w:t>
      </w:r>
      <w:r w:rsidR="00675463" w:rsidRPr="00F2382A">
        <w:rPr>
          <w:color w:val="000000"/>
          <w:sz w:val="24"/>
          <w:szCs w:val="24"/>
          <w:shd w:val="clear" w:color="auto" w:fill="FFFFFF"/>
        </w:rPr>
        <w:t>C</w:t>
      </w:r>
      <w:r w:rsidRPr="00F2382A">
        <w:rPr>
          <w:color w:val="000000"/>
          <w:sz w:val="24"/>
          <w:szCs w:val="24"/>
          <w:shd w:val="clear" w:color="auto" w:fill="FFFFFF"/>
        </w:rPr>
        <w:t xml:space="preserve">ondition 8208 is an integral part of the new legislative </w:t>
      </w:r>
      <w:r w:rsidR="00200F9E">
        <w:rPr>
          <w:color w:val="000000"/>
          <w:sz w:val="24"/>
          <w:szCs w:val="24"/>
          <w:shd w:val="clear" w:color="auto" w:fill="FFFFFF"/>
        </w:rPr>
        <w:t>framework established on 1 July </w:t>
      </w:r>
      <w:r w:rsidRPr="00F2382A">
        <w:rPr>
          <w:color w:val="000000"/>
          <w:sz w:val="24"/>
          <w:szCs w:val="24"/>
          <w:shd w:val="clear" w:color="auto" w:fill="FFFFFF"/>
        </w:rPr>
        <w:t>2022 by the </w:t>
      </w:r>
      <w:r w:rsidRPr="00F2382A">
        <w:rPr>
          <w:i/>
          <w:iCs/>
          <w:color w:val="000000"/>
          <w:sz w:val="24"/>
          <w:szCs w:val="24"/>
          <w:shd w:val="clear" w:color="auto" w:fill="FFFFFF"/>
        </w:rPr>
        <w:t>Migration Amendment (Protecting Australia’s C</w:t>
      </w:r>
      <w:r w:rsidR="00200F9E">
        <w:rPr>
          <w:i/>
          <w:iCs/>
          <w:color w:val="000000"/>
          <w:sz w:val="24"/>
          <w:szCs w:val="24"/>
          <w:shd w:val="clear" w:color="auto" w:fill="FFFFFF"/>
        </w:rPr>
        <w:t>ritical Technology) Regulations </w:t>
      </w:r>
      <w:r w:rsidRPr="00F2382A">
        <w:rPr>
          <w:i/>
          <w:iCs/>
          <w:color w:val="000000"/>
          <w:sz w:val="24"/>
          <w:szCs w:val="24"/>
          <w:shd w:val="clear" w:color="auto" w:fill="FFFFFF"/>
        </w:rPr>
        <w:t>2022</w:t>
      </w:r>
      <w:r w:rsidRPr="00F2382A">
        <w:rPr>
          <w:color w:val="000000"/>
          <w:sz w:val="24"/>
          <w:szCs w:val="24"/>
          <w:shd w:val="clear" w:color="auto" w:fill="FFFFFF"/>
        </w:rPr>
        <w:t> (the PACT Regulations).</w:t>
      </w:r>
    </w:p>
    <w:p w14:paraId="5D926D55" w14:textId="21478D3A" w:rsidR="00820A8D" w:rsidRPr="00F2382A" w:rsidRDefault="00820A8D" w:rsidP="001411A0">
      <w:pPr>
        <w:pStyle w:val="ESPara"/>
        <w:numPr>
          <w:ilvl w:val="0"/>
          <w:numId w:val="0"/>
        </w:numPr>
        <w:rPr>
          <w:sz w:val="24"/>
          <w:szCs w:val="24"/>
        </w:rPr>
      </w:pPr>
      <w:r w:rsidRPr="00F2382A">
        <w:rPr>
          <w:color w:val="000000"/>
          <w:sz w:val="24"/>
          <w:szCs w:val="24"/>
          <w:shd w:val="clear" w:color="auto" w:fill="FFFFFF"/>
        </w:rPr>
        <w:t xml:space="preserve">Condition 8208 requires student visa holders who intend to undertake critical technology related study in a postgraduate research course to obtain </w:t>
      </w:r>
      <w:r w:rsidR="00F2382A" w:rsidRPr="00F2382A">
        <w:rPr>
          <w:color w:val="000000"/>
          <w:sz w:val="24"/>
          <w:szCs w:val="24"/>
          <w:shd w:val="clear" w:color="auto" w:fill="FFFFFF"/>
        </w:rPr>
        <w:t>the approval of</w:t>
      </w:r>
      <w:r w:rsidRPr="00F2382A">
        <w:rPr>
          <w:color w:val="000000"/>
          <w:sz w:val="24"/>
          <w:szCs w:val="24"/>
          <w:shd w:val="clear" w:color="auto" w:fill="FFFFFF"/>
        </w:rPr>
        <w:t xml:space="preserve"> the Minister (or </w:t>
      </w:r>
      <w:r w:rsidR="00F2382A" w:rsidRPr="00F2382A">
        <w:rPr>
          <w:color w:val="000000"/>
          <w:sz w:val="24"/>
          <w:szCs w:val="24"/>
          <w:shd w:val="clear" w:color="auto" w:fill="FFFFFF"/>
        </w:rPr>
        <w:t xml:space="preserve">the Minister’s </w:t>
      </w:r>
      <w:r w:rsidR="00200F9E">
        <w:rPr>
          <w:color w:val="000000"/>
          <w:sz w:val="24"/>
          <w:szCs w:val="24"/>
          <w:shd w:val="clear" w:color="auto" w:fill="FFFFFF"/>
        </w:rPr>
        <w:t xml:space="preserve">delegate) to do so. </w:t>
      </w:r>
      <w:r w:rsidRPr="00F2382A">
        <w:rPr>
          <w:color w:val="000000"/>
          <w:sz w:val="24"/>
          <w:szCs w:val="24"/>
          <w:shd w:val="clear" w:color="auto" w:fill="FFFFFF"/>
        </w:rPr>
        <w:t xml:space="preserve">Where an affected student visa holder seeks the Minister’s approval to undertake </w:t>
      </w:r>
      <w:r w:rsidRPr="00F2382A">
        <w:rPr>
          <w:color w:val="000000"/>
          <w:sz w:val="24"/>
          <w:szCs w:val="24"/>
          <w:shd w:val="clear" w:color="auto" w:fill="FFFFFF"/>
        </w:rPr>
        <w:lastRenderedPageBreak/>
        <w:t>critical technology related study, the Minister’s decision</w:t>
      </w:r>
      <w:r w:rsidR="00F2382A" w:rsidRPr="00F2382A">
        <w:rPr>
          <w:color w:val="000000"/>
          <w:sz w:val="24"/>
          <w:szCs w:val="24"/>
          <w:shd w:val="clear" w:color="auto" w:fill="FFFFFF"/>
        </w:rPr>
        <w:t xml:space="preserve"> under paragraph 8208(1)(b)</w:t>
      </w:r>
      <w:r w:rsidRPr="00F2382A">
        <w:rPr>
          <w:color w:val="000000"/>
          <w:sz w:val="24"/>
          <w:szCs w:val="24"/>
          <w:shd w:val="clear" w:color="auto" w:fill="FFFFFF"/>
        </w:rPr>
        <w:t xml:space="preserve"> would follow an assessment of the risk of an unwanted transfer of critical technology by the visa holder.</w:t>
      </w:r>
    </w:p>
    <w:p w14:paraId="5F8D2319" w14:textId="4AE22831" w:rsidR="00030AA6" w:rsidRPr="00F2382A" w:rsidRDefault="00AB7711" w:rsidP="00F2382A">
      <w:pPr>
        <w:pStyle w:val="ESPara"/>
        <w:keepLines/>
        <w:numPr>
          <w:ilvl w:val="0"/>
          <w:numId w:val="0"/>
        </w:numPr>
        <w:rPr>
          <w:sz w:val="24"/>
          <w:szCs w:val="24"/>
        </w:rPr>
      </w:pPr>
      <w:r w:rsidRPr="00F2382A">
        <w:rPr>
          <w:sz w:val="24"/>
          <w:szCs w:val="24"/>
        </w:rPr>
        <w:t xml:space="preserve">The purpose of </w:t>
      </w:r>
      <w:r w:rsidR="000B5C7A">
        <w:rPr>
          <w:sz w:val="24"/>
          <w:szCs w:val="24"/>
        </w:rPr>
        <w:t>this I</w:t>
      </w:r>
      <w:r w:rsidRPr="00F2382A">
        <w:rPr>
          <w:sz w:val="24"/>
          <w:szCs w:val="24"/>
        </w:rPr>
        <w:t>nstrument is to allow</w:t>
      </w:r>
      <w:r w:rsidR="00E44C7D" w:rsidRPr="00F2382A">
        <w:rPr>
          <w:sz w:val="24"/>
          <w:szCs w:val="24"/>
        </w:rPr>
        <w:t xml:space="preserve"> for t</w:t>
      </w:r>
      <w:r w:rsidR="001E5DB4">
        <w:rPr>
          <w:sz w:val="24"/>
          <w:szCs w:val="24"/>
        </w:rPr>
        <w:t>he use of computerised decision-</w:t>
      </w:r>
      <w:r w:rsidR="00E44C7D" w:rsidRPr="00F2382A">
        <w:rPr>
          <w:sz w:val="24"/>
          <w:szCs w:val="24"/>
        </w:rPr>
        <w:t>making</w:t>
      </w:r>
      <w:r w:rsidR="00365E84">
        <w:rPr>
          <w:sz w:val="24"/>
          <w:szCs w:val="24"/>
        </w:rPr>
        <w:t xml:space="preserve"> in certain circumstances. </w:t>
      </w:r>
      <w:r w:rsidR="00E44C7D" w:rsidRPr="00F2382A">
        <w:rPr>
          <w:sz w:val="24"/>
          <w:szCs w:val="24"/>
        </w:rPr>
        <w:t>Specifically,</w:t>
      </w:r>
      <w:r w:rsidRPr="00F2382A">
        <w:rPr>
          <w:sz w:val="24"/>
          <w:szCs w:val="24"/>
        </w:rPr>
        <w:t xml:space="preserve"> </w:t>
      </w:r>
      <w:r w:rsidR="00365E84">
        <w:rPr>
          <w:sz w:val="24"/>
          <w:szCs w:val="24"/>
        </w:rPr>
        <w:t>by determining that condition 8208 is part of the designated migration law, this</w:t>
      </w:r>
      <w:r w:rsidR="00E44C7D" w:rsidRPr="00F2382A">
        <w:rPr>
          <w:sz w:val="24"/>
          <w:szCs w:val="24"/>
        </w:rPr>
        <w:t xml:space="preserve"> allows </w:t>
      </w:r>
      <w:r w:rsidR="00147E2F" w:rsidRPr="00F2382A">
        <w:rPr>
          <w:color w:val="000000"/>
          <w:sz w:val="24"/>
          <w:szCs w:val="24"/>
          <w:shd w:val="clear" w:color="auto" w:fill="FFFFFF"/>
        </w:rPr>
        <w:t xml:space="preserve">the Minister to arrange for the use of computer programs </w:t>
      </w:r>
      <w:r w:rsidR="00147E2F" w:rsidRPr="00F2382A">
        <w:rPr>
          <w:sz w:val="24"/>
          <w:szCs w:val="24"/>
        </w:rPr>
        <w:t xml:space="preserve">to make a decision, exercise a power or comply with an obligation, or do anything else relating to a decision, power or obligation, </w:t>
      </w:r>
      <w:r w:rsidR="00F423EB" w:rsidRPr="00F2382A">
        <w:rPr>
          <w:sz w:val="24"/>
          <w:szCs w:val="24"/>
        </w:rPr>
        <w:t xml:space="preserve">in relation to </w:t>
      </w:r>
      <w:r w:rsidR="00F423EB" w:rsidRPr="00F2382A">
        <w:rPr>
          <w:color w:val="000000"/>
          <w:sz w:val="24"/>
          <w:szCs w:val="24"/>
          <w:shd w:val="clear" w:color="auto" w:fill="FFFFFF"/>
        </w:rPr>
        <w:t>critical technology related study</w:t>
      </w:r>
      <w:r w:rsidR="00F423EB" w:rsidRPr="00F2382A">
        <w:rPr>
          <w:sz w:val="24"/>
          <w:szCs w:val="24"/>
        </w:rPr>
        <w:t xml:space="preserve"> </w:t>
      </w:r>
      <w:r w:rsidR="00147E2F" w:rsidRPr="00F2382A">
        <w:rPr>
          <w:sz w:val="24"/>
          <w:szCs w:val="24"/>
        </w:rPr>
        <w:t>under condit</w:t>
      </w:r>
      <w:r w:rsidR="00365E84">
        <w:rPr>
          <w:sz w:val="24"/>
          <w:szCs w:val="24"/>
        </w:rPr>
        <w:t>ion 8208.</w:t>
      </w:r>
    </w:p>
    <w:p w14:paraId="467FB6BF" w14:textId="77777777" w:rsidR="008B24C8" w:rsidRPr="00F2382A" w:rsidRDefault="008B24C8" w:rsidP="001411A0">
      <w:pPr>
        <w:pStyle w:val="ESHeading"/>
        <w:rPr>
          <w:sz w:val="24"/>
          <w:szCs w:val="24"/>
        </w:rPr>
      </w:pPr>
      <w:r w:rsidRPr="00F2382A">
        <w:rPr>
          <w:sz w:val="24"/>
          <w:szCs w:val="24"/>
        </w:rPr>
        <w:t>Consultation</w:t>
      </w:r>
    </w:p>
    <w:p w14:paraId="7942CE1B" w14:textId="14366BBE" w:rsidR="003E05A9" w:rsidRDefault="003E05A9" w:rsidP="001411A0">
      <w:pPr>
        <w:pStyle w:val="ESPara"/>
        <w:numPr>
          <w:ilvl w:val="0"/>
          <w:numId w:val="0"/>
        </w:numPr>
        <w:rPr>
          <w:sz w:val="24"/>
          <w:szCs w:val="24"/>
        </w:rPr>
      </w:pPr>
      <w:r w:rsidRPr="003E05A9">
        <w:rPr>
          <w:sz w:val="24"/>
          <w:szCs w:val="24"/>
        </w:rPr>
        <w:t>Subsection 17</w:t>
      </w:r>
      <w:r>
        <w:rPr>
          <w:sz w:val="24"/>
          <w:szCs w:val="24"/>
        </w:rPr>
        <w:t>(1) of the Legislation Act</w:t>
      </w:r>
      <w:r w:rsidRPr="003E05A9">
        <w:rPr>
          <w:sz w:val="24"/>
          <w:szCs w:val="24"/>
        </w:rPr>
        <w:t xml:space="preserve"> requires that the rule-maker must be satisfied that </w:t>
      </w:r>
      <w:r w:rsidR="00D520D7">
        <w:rPr>
          <w:sz w:val="24"/>
          <w:szCs w:val="24"/>
        </w:rPr>
        <w:t>consultation</w:t>
      </w:r>
      <w:r w:rsidR="00D520D7" w:rsidRPr="003E05A9">
        <w:rPr>
          <w:sz w:val="24"/>
          <w:szCs w:val="24"/>
        </w:rPr>
        <w:t xml:space="preserve"> </w:t>
      </w:r>
      <w:r w:rsidRPr="003E05A9">
        <w:rPr>
          <w:sz w:val="24"/>
          <w:szCs w:val="24"/>
        </w:rPr>
        <w:t>has been undertaken that is considered by the rule-maker to be appropriate and reasonably practicable to undertake.</w:t>
      </w:r>
    </w:p>
    <w:p w14:paraId="00EFD64F" w14:textId="63B25D66" w:rsidR="00205A1B" w:rsidRPr="002A5B5A" w:rsidRDefault="008D03DA" w:rsidP="001411A0">
      <w:pPr>
        <w:pStyle w:val="ESPara"/>
        <w:numPr>
          <w:ilvl w:val="0"/>
          <w:numId w:val="0"/>
        </w:numPr>
        <w:rPr>
          <w:sz w:val="24"/>
          <w:szCs w:val="24"/>
        </w:rPr>
      </w:pPr>
      <w:r>
        <w:rPr>
          <w:sz w:val="24"/>
          <w:szCs w:val="24"/>
        </w:rPr>
        <w:t xml:space="preserve">The PACT Regulations, the related legislative instrument </w:t>
      </w:r>
      <w:r w:rsidRPr="008D03DA">
        <w:rPr>
          <w:i/>
          <w:sz w:val="24"/>
          <w:szCs w:val="24"/>
        </w:rPr>
        <w:t xml:space="preserve">Migration (Critical Technology⸺Kinds of Technology) Specification </w:t>
      </w:r>
      <w:r w:rsidR="00DC78CB">
        <w:rPr>
          <w:i/>
          <w:sz w:val="24"/>
          <w:szCs w:val="24"/>
        </w:rPr>
        <w:t>(LIN 24/010</w:t>
      </w:r>
      <w:r w:rsidR="00DC78CB" w:rsidRPr="00DC78CB">
        <w:rPr>
          <w:i/>
          <w:sz w:val="24"/>
          <w:szCs w:val="24"/>
        </w:rPr>
        <w:t xml:space="preserve">) </w:t>
      </w:r>
      <w:r w:rsidR="007B33D9" w:rsidRPr="00DC78CB">
        <w:rPr>
          <w:i/>
          <w:sz w:val="24"/>
          <w:szCs w:val="24"/>
        </w:rPr>
        <w:t>2024</w:t>
      </w:r>
      <w:r w:rsidRPr="00DC78CB">
        <w:rPr>
          <w:sz w:val="24"/>
          <w:szCs w:val="24"/>
        </w:rPr>
        <w:t>, and</w:t>
      </w:r>
      <w:r w:rsidRPr="008D03DA">
        <w:rPr>
          <w:sz w:val="24"/>
          <w:szCs w:val="24"/>
        </w:rPr>
        <w:t xml:space="preserve"> the</w:t>
      </w:r>
      <w:r>
        <w:rPr>
          <w:sz w:val="24"/>
          <w:szCs w:val="24"/>
        </w:rPr>
        <w:t xml:space="preserve"> visa screening framework that these legislative instruments establish</w:t>
      </w:r>
      <w:r w:rsidRPr="008D03DA">
        <w:rPr>
          <w:i/>
          <w:sz w:val="24"/>
          <w:szCs w:val="24"/>
        </w:rPr>
        <w:t xml:space="preserve"> </w:t>
      </w:r>
      <w:r>
        <w:rPr>
          <w:sz w:val="24"/>
          <w:szCs w:val="24"/>
        </w:rPr>
        <w:t>have been the subject of extensive consultation</w:t>
      </w:r>
      <w:r w:rsidRPr="008D03DA">
        <w:rPr>
          <w:sz w:val="24"/>
          <w:szCs w:val="24"/>
        </w:rPr>
        <w:t>.</w:t>
      </w:r>
      <w:r>
        <w:rPr>
          <w:sz w:val="24"/>
          <w:szCs w:val="24"/>
        </w:rPr>
        <w:t xml:space="preserve"> </w:t>
      </w:r>
      <w:r w:rsidR="00205A1B" w:rsidRPr="003E05A9">
        <w:rPr>
          <w:sz w:val="24"/>
          <w:szCs w:val="24"/>
        </w:rPr>
        <w:t>Within government, this included the Department of the Prime Minister and Cabinet, the Department of Industry, Science and Resources (including the Critical Technologies Hub), the Department of Education, Skills and Employment, the Commonwealth Scientific and Industrial Research Organisation (CSIRO), the Department of Foreign Affairs and Trade, and other relevant agencies. The Department of Home Affairs also consulted representatives of the higher education sector, including through the Universities Foreign Interference Taskforce (UFIT) Critical Technology Working Group, and industry peak bodies through a series of roundtables and bilateral engagements.</w:t>
      </w:r>
      <w:r w:rsidR="00A24FB8">
        <w:rPr>
          <w:sz w:val="24"/>
          <w:szCs w:val="24"/>
        </w:rPr>
        <w:t xml:space="preserve"> </w:t>
      </w:r>
      <w:r w:rsidR="002A5B5A" w:rsidRPr="002A5B5A">
        <w:rPr>
          <w:sz w:val="24"/>
          <w:szCs w:val="24"/>
        </w:rPr>
        <w:t>T</w:t>
      </w:r>
      <w:r w:rsidR="00A24FB8" w:rsidRPr="002A5B5A">
        <w:rPr>
          <w:sz w:val="24"/>
          <w:szCs w:val="24"/>
        </w:rPr>
        <w:t xml:space="preserve">he outcomes of this consultation process </w:t>
      </w:r>
      <w:r w:rsidR="002A5B5A" w:rsidRPr="002A5B5A">
        <w:rPr>
          <w:sz w:val="24"/>
          <w:szCs w:val="24"/>
        </w:rPr>
        <w:t xml:space="preserve">informed the approach to finalising </w:t>
      </w:r>
      <w:r w:rsidR="00A24FB8" w:rsidRPr="002A5B5A">
        <w:rPr>
          <w:sz w:val="24"/>
          <w:szCs w:val="24"/>
        </w:rPr>
        <w:t xml:space="preserve">the list of technologies specified in </w:t>
      </w:r>
      <w:r w:rsidR="002A5B5A" w:rsidRPr="002A5B5A">
        <w:rPr>
          <w:sz w:val="24"/>
          <w:szCs w:val="24"/>
        </w:rPr>
        <w:t>LIN</w:t>
      </w:r>
      <w:r w:rsidR="002A5B5A">
        <w:rPr>
          <w:sz w:val="24"/>
          <w:szCs w:val="24"/>
        </w:rPr>
        <w:t> </w:t>
      </w:r>
      <w:r w:rsidR="002A5B5A" w:rsidRPr="002A5B5A">
        <w:rPr>
          <w:sz w:val="24"/>
          <w:szCs w:val="24"/>
        </w:rPr>
        <w:t>24/010</w:t>
      </w:r>
      <w:r w:rsidR="00A24FB8" w:rsidRPr="002A5B5A">
        <w:rPr>
          <w:sz w:val="24"/>
          <w:szCs w:val="24"/>
        </w:rPr>
        <w:t>.</w:t>
      </w:r>
    </w:p>
    <w:p w14:paraId="3B2B893A" w14:textId="20DAB21D" w:rsidR="00735988" w:rsidRPr="00F2382A" w:rsidRDefault="008D03DA" w:rsidP="001411A0">
      <w:pPr>
        <w:pStyle w:val="ESPara"/>
        <w:numPr>
          <w:ilvl w:val="0"/>
          <w:numId w:val="0"/>
        </w:numPr>
        <w:rPr>
          <w:sz w:val="24"/>
          <w:szCs w:val="24"/>
        </w:rPr>
      </w:pPr>
      <w:r>
        <w:rPr>
          <w:sz w:val="24"/>
          <w:szCs w:val="24"/>
        </w:rPr>
        <w:t xml:space="preserve">While this Instrument has not been the subject of separate consultation, the matters dealt with by this Instrument are machinery in nature and necessary and appropriate to support the implementation of the framework. </w:t>
      </w:r>
      <w:r w:rsidR="00735988" w:rsidRPr="00F2382A">
        <w:rPr>
          <w:sz w:val="24"/>
          <w:szCs w:val="24"/>
        </w:rPr>
        <w:t xml:space="preserve">Consultation undertaken in relation to the implementation of condition 8208 generally is set out in the Explanatory Statement for </w:t>
      </w:r>
      <w:r w:rsidR="006D6907" w:rsidRPr="006D6907">
        <w:rPr>
          <w:sz w:val="24"/>
          <w:szCs w:val="24"/>
        </w:rPr>
        <w:t>PACT Student Visa Condition Regulations</w:t>
      </w:r>
      <w:r w:rsidR="00735988" w:rsidRPr="00F2382A">
        <w:rPr>
          <w:sz w:val="24"/>
          <w:szCs w:val="24"/>
        </w:rPr>
        <w:t>.</w:t>
      </w:r>
    </w:p>
    <w:p w14:paraId="5D1DBA21" w14:textId="4FBFFB95" w:rsidR="008B24C8" w:rsidRPr="00F2382A" w:rsidRDefault="008B24C8" w:rsidP="001411A0">
      <w:pPr>
        <w:pStyle w:val="ESPara"/>
        <w:numPr>
          <w:ilvl w:val="0"/>
          <w:numId w:val="0"/>
        </w:numPr>
        <w:rPr>
          <w:sz w:val="24"/>
          <w:szCs w:val="24"/>
        </w:rPr>
      </w:pPr>
      <w:r w:rsidRPr="00F2382A">
        <w:rPr>
          <w:sz w:val="24"/>
          <w:szCs w:val="24"/>
        </w:rPr>
        <w:t xml:space="preserve">The Office of </w:t>
      </w:r>
      <w:r w:rsidR="00343679">
        <w:rPr>
          <w:sz w:val="24"/>
          <w:szCs w:val="24"/>
        </w:rPr>
        <w:t>Impact Analysis</w:t>
      </w:r>
      <w:r w:rsidR="00AB0371" w:rsidRPr="00F2382A">
        <w:rPr>
          <w:sz w:val="24"/>
          <w:szCs w:val="24"/>
        </w:rPr>
        <w:t xml:space="preserve"> (O</w:t>
      </w:r>
      <w:r w:rsidR="00343679">
        <w:rPr>
          <w:sz w:val="24"/>
          <w:szCs w:val="24"/>
        </w:rPr>
        <w:t>IA</w:t>
      </w:r>
      <w:r w:rsidR="00AB0371" w:rsidRPr="00F2382A">
        <w:rPr>
          <w:sz w:val="24"/>
          <w:szCs w:val="24"/>
        </w:rPr>
        <w:t>) was</w:t>
      </w:r>
      <w:r w:rsidRPr="00F2382A">
        <w:rPr>
          <w:sz w:val="24"/>
          <w:szCs w:val="24"/>
        </w:rPr>
        <w:t xml:space="preserve"> con</w:t>
      </w:r>
      <w:r w:rsidR="000B5C7A">
        <w:rPr>
          <w:sz w:val="24"/>
          <w:szCs w:val="24"/>
        </w:rPr>
        <w:t>sulted and considered that the I</w:t>
      </w:r>
      <w:r w:rsidRPr="00F2382A">
        <w:rPr>
          <w:sz w:val="24"/>
          <w:szCs w:val="24"/>
        </w:rPr>
        <w:t>nstrument dealt with m</w:t>
      </w:r>
      <w:r w:rsidR="00AB0371" w:rsidRPr="00F2382A">
        <w:rPr>
          <w:sz w:val="24"/>
          <w:szCs w:val="24"/>
        </w:rPr>
        <w:t>atters of a minor or machinery</w:t>
      </w:r>
      <w:r w:rsidRPr="00F2382A">
        <w:rPr>
          <w:sz w:val="24"/>
          <w:szCs w:val="24"/>
        </w:rPr>
        <w:t xml:space="preserve"> nature and no regulatory impact statement was required.  </w:t>
      </w:r>
      <w:r w:rsidR="00AB0371" w:rsidRPr="00F2382A">
        <w:rPr>
          <w:sz w:val="24"/>
          <w:szCs w:val="24"/>
        </w:rPr>
        <w:t xml:space="preserve">The </w:t>
      </w:r>
      <w:r w:rsidR="00343679">
        <w:rPr>
          <w:sz w:val="24"/>
          <w:szCs w:val="24"/>
        </w:rPr>
        <w:t>OIA</w:t>
      </w:r>
      <w:r w:rsidR="00AB0371" w:rsidRPr="00F2382A">
        <w:rPr>
          <w:sz w:val="24"/>
          <w:szCs w:val="24"/>
        </w:rPr>
        <w:t xml:space="preserve"> reference number is </w:t>
      </w:r>
      <w:r w:rsidR="00416320">
        <w:rPr>
          <w:sz w:val="24"/>
          <w:szCs w:val="24"/>
        </w:rPr>
        <w:t>OBPR22-02396</w:t>
      </w:r>
      <w:r w:rsidRPr="00F2382A">
        <w:rPr>
          <w:sz w:val="24"/>
          <w:szCs w:val="24"/>
        </w:rPr>
        <w:t>.</w:t>
      </w:r>
    </w:p>
    <w:p w14:paraId="587A5C8D" w14:textId="77777777" w:rsidR="00AA4557" w:rsidRPr="00F2382A" w:rsidRDefault="00464080" w:rsidP="001411A0">
      <w:pPr>
        <w:pStyle w:val="ESHeading"/>
        <w:rPr>
          <w:sz w:val="24"/>
          <w:szCs w:val="24"/>
        </w:rPr>
      </w:pPr>
      <w:r w:rsidRPr="00F2382A">
        <w:rPr>
          <w:sz w:val="24"/>
          <w:szCs w:val="24"/>
        </w:rPr>
        <w:t>Details</w:t>
      </w:r>
      <w:r w:rsidR="00AA4557" w:rsidRPr="00F2382A">
        <w:rPr>
          <w:sz w:val="24"/>
          <w:szCs w:val="24"/>
        </w:rPr>
        <w:t xml:space="preserve"> of the instrument</w:t>
      </w:r>
    </w:p>
    <w:p w14:paraId="693D81E2" w14:textId="2CFECF6C" w:rsidR="00AA4557" w:rsidRPr="00F2382A" w:rsidRDefault="00AA4557" w:rsidP="001411A0">
      <w:pPr>
        <w:pStyle w:val="ESPara"/>
        <w:numPr>
          <w:ilvl w:val="0"/>
          <w:numId w:val="0"/>
        </w:numPr>
        <w:rPr>
          <w:sz w:val="24"/>
          <w:szCs w:val="24"/>
        </w:rPr>
      </w:pPr>
      <w:r w:rsidRPr="00F2382A">
        <w:rPr>
          <w:sz w:val="24"/>
          <w:szCs w:val="24"/>
        </w:rPr>
        <w:t>Section 1 sets out</w:t>
      </w:r>
      <w:r w:rsidR="00E03DCC" w:rsidRPr="00F2382A">
        <w:rPr>
          <w:sz w:val="24"/>
          <w:szCs w:val="24"/>
        </w:rPr>
        <w:t xml:space="preserve"> the name of </w:t>
      </w:r>
      <w:r w:rsidR="000B5C7A">
        <w:rPr>
          <w:sz w:val="24"/>
          <w:szCs w:val="24"/>
        </w:rPr>
        <w:t>the I</w:t>
      </w:r>
      <w:r w:rsidR="00E03DCC" w:rsidRPr="00F2382A">
        <w:rPr>
          <w:sz w:val="24"/>
          <w:szCs w:val="24"/>
        </w:rPr>
        <w:t xml:space="preserve">nstrument. </w:t>
      </w:r>
    </w:p>
    <w:p w14:paraId="77ACB42F" w14:textId="55513E69" w:rsidR="00AA4557" w:rsidRPr="00F2382A" w:rsidRDefault="00AA4557" w:rsidP="001411A0">
      <w:pPr>
        <w:pStyle w:val="ESPara"/>
        <w:numPr>
          <w:ilvl w:val="0"/>
          <w:numId w:val="0"/>
        </w:numPr>
        <w:rPr>
          <w:sz w:val="24"/>
          <w:szCs w:val="24"/>
        </w:rPr>
      </w:pPr>
      <w:r w:rsidRPr="00F2382A">
        <w:rPr>
          <w:sz w:val="24"/>
          <w:szCs w:val="24"/>
        </w:rPr>
        <w:t>Section 2 provid</w:t>
      </w:r>
      <w:r w:rsidR="000B5C7A">
        <w:rPr>
          <w:sz w:val="24"/>
          <w:szCs w:val="24"/>
        </w:rPr>
        <w:t>es for the commencement of the I</w:t>
      </w:r>
      <w:r w:rsidRPr="00F2382A">
        <w:rPr>
          <w:sz w:val="24"/>
          <w:szCs w:val="24"/>
        </w:rPr>
        <w:t xml:space="preserve">nstrument </w:t>
      </w:r>
      <w:r w:rsidR="00AD33E6" w:rsidRPr="00F2382A">
        <w:rPr>
          <w:sz w:val="24"/>
          <w:szCs w:val="24"/>
        </w:rPr>
        <w:t xml:space="preserve">on </w:t>
      </w:r>
      <w:r w:rsidR="004B473F">
        <w:rPr>
          <w:sz w:val="24"/>
          <w:szCs w:val="24"/>
        </w:rPr>
        <w:t>1 April</w:t>
      </w:r>
      <w:r w:rsidR="00277C06" w:rsidRPr="00F2382A">
        <w:rPr>
          <w:sz w:val="24"/>
          <w:szCs w:val="24"/>
        </w:rPr>
        <w:t xml:space="preserve"> 202</w:t>
      </w:r>
      <w:r w:rsidR="008A66EB">
        <w:rPr>
          <w:sz w:val="24"/>
          <w:szCs w:val="24"/>
        </w:rPr>
        <w:t>4</w:t>
      </w:r>
      <w:r w:rsidR="000B5C7A">
        <w:rPr>
          <w:sz w:val="24"/>
          <w:szCs w:val="24"/>
        </w:rPr>
        <w:t xml:space="preserve"> or the day after th</w:t>
      </w:r>
      <w:r w:rsidR="0069515B">
        <w:rPr>
          <w:sz w:val="24"/>
          <w:szCs w:val="24"/>
        </w:rPr>
        <w:t>e</w:t>
      </w:r>
      <w:r w:rsidR="000B5C7A">
        <w:rPr>
          <w:sz w:val="24"/>
          <w:szCs w:val="24"/>
        </w:rPr>
        <w:t xml:space="preserve"> I</w:t>
      </w:r>
      <w:r w:rsidR="000B5C7A" w:rsidRPr="00F2382A">
        <w:rPr>
          <w:sz w:val="24"/>
          <w:szCs w:val="24"/>
        </w:rPr>
        <w:t>nstrument is registered</w:t>
      </w:r>
      <w:r w:rsidR="008A66EB">
        <w:rPr>
          <w:sz w:val="24"/>
          <w:szCs w:val="24"/>
        </w:rPr>
        <w:t xml:space="preserve"> </w:t>
      </w:r>
      <w:r w:rsidR="008A66EB" w:rsidRPr="008A66EB">
        <w:rPr>
          <w:sz w:val="24"/>
          <w:szCs w:val="24"/>
        </w:rPr>
        <w:t>on the Federal Register of Legislation</w:t>
      </w:r>
      <w:r w:rsidR="000B5C7A">
        <w:rPr>
          <w:sz w:val="24"/>
          <w:szCs w:val="24"/>
        </w:rPr>
        <w:t>, whichever is the later</w:t>
      </w:r>
      <w:r w:rsidRPr="00F2382A">
        <w:rPr>
          <w:sz w:val="24"/>
          <w:szCs w:val="24"/>
        </w:rPr>
        <w:t>.</w:t>
      </w:r>
    </w:p>
    <w:p w14:paraId="1006CEA7" w14:textId="3208D0AE" w:rsidR="00ED362A" w:rsidRPr="00F2382A" w:rsidRDefault="000B5C7A" w:rsidP="001411A0">
      <w:pPr>
        <w:pStyle w:val="ESPara"/>
        <w:numPr>
          <w:ilvl w:val="0"/>
          <w:numId w:val="0"/>
        </w:numPr>
        <w:rPr>
          <w:sz w:val="24"/>
          <w:szCs w:val="24"/>
        </w:rPr>
      </w:pPr>
      <w:r>
        <w:rPr>
          <w:sz w:val="24"/>
          <w:szCs w:val="24"/>
        </w:rPr>
        <w:t>Section 3 provides that the I</w:t>
      </w:r>
      <w:r w:rsidR="00ED362A" w:rsidRPr="00F2382A">
        <w:rPr>
          <w:sz w:val="24"/>
          <w:szCs w:val="24"/>
        </w:rPr>
        <w:t>nstrument is made under paragraph 495A(3)(b) of the Act.</w:t>
      </w:r>
    </w:p>
    <w:p w14:paraId="37895D4B" w14:textId="0587F290" w:rsidR="00AA4F77" w:rsidRPr="00F2382A" w:rsidRDefault="00ED362A" w:rsidP="001411A0">
      <w:pPr>
        <w:pStyle w:val="ESPara"/>
        <w:numPr>
          <w:ilvl w:val="0"/>
          <w:numId w:val="0"/>
        </w:numPr>
        <w:rPr>
          <w:sz w:val="24"/>
          <w:szCs w:val="24"/>
        </w:rPr>
      </w:pPr>
      <w:r w:rsidRPr="00F2382A">
        <w:rPr>
          <w:sz w:val="24"/>
          <w:szCs w:val="24"/>
        </w:rPr>
        <w:t>Section 4</w:t>
      </w:r>
      <w:r w:rsidR="00AA4F77" w:rsidRPr="00F2382A">
        <w:rPr>
          <w:sz w:val="24"/>
          <w:szCs w:val="24"/>
        </w:rPr>
        <w:t xml:space="preserve"> sets out d</w:t>
      </w:r>
      <w:r w:rsidRPr="00F2382A">
        <w:rPr>
          <w:sz w:val="24"/>
          <w:szCs w:val="24"/>
        </w:rPr>
        <w:t>efinitions of terms used in the</w:t>
      </w:r>
      <w:r w:rsidR="000B5C7A">
        <w:rPr>
          <w:sz w:val="24"/>
          <w:szCs w:val="24"/>
        </w:rPr>
        <w:t xml:space="preserve"> I</w:t>
      </w:r>
      <w:r w:rsidR="00AA4F77" w:rsidRPr="00F2382A">
        <w:rPr>
          <w:sz w:val="24"/>
          <w:szCs w:val="24"/>
        </w:rPr>
        <w:t xml:space="preserve">nstrument. </w:t>
      </w:r>
    </w:p>
    <w:p w14:paraId="2BCCE794" w14:textId="451FC39B" w:rsidR="00AA4F77" w:rsidRPr="00F2382A" w:rsidRDefault="00ED362A" w:rsidP="001411A0">
      <w:pPr>
        <w:pStyle w:val="ESPara"/>
        <w:numPr>
          <w:ilvl w:val="0"/>
          <w:numId w:val="0"/>
        </w:numPr>
        <w:rPr>
          <w:sz w:val="24"/>
          <w:szCs w:val="24"/>
        </w:rPr>
      </w:pPr>
      <w:r w:rsidRPr="00F2382A">
        <w:rPr>
          <w:sz w:val="24"/>
          <w:szCs w:val="24"/>
        </w:rPr>
        <w:lastRenderedPageBreak/>
        <w:t>Section 5</w:t>
      </w:r>
      <w:r w:rsidR="00364730" w:rsidRPr="00F2382A">
        <w:rPr>
          <w:sz w:val="24"/>
          <w:szCs w:val="24"/>
        </w:rPr>
        <w:t xml:space="preserve"> provides</w:t>
      </w:r>
      <w:r w:rsidRPr="00F2382A">
        <w:rPr>
          <w:sz w:val="24"/>
          <w:szCs w:val="24"/>
        </w:rPr>
        <w:t xml:space="preserve"> that</w:t>
      </w:r>
      <w:r w:rsidR="00503EA4" w:rsidRPr="00F2382A">
        <w:rPr>
          <w:sz w:val="24"/>
          <w:szCs w:val="24"/>
        </w:rPr>
        <w:t xml:space="preserve"> </w:t>
      </w:r>
      <w:r w:rsidR="000B5C7A">
        <w:rPr>
          <w:sz w:val="24"/>
          <w:szCs w:val="24"/>
        </w:rPr>
        <w:t>the I</w:t>
      </w:r>
      <w:r w:rsidRPr="00F2382A">
        <w:rPr>
          <w:sz w:val="24"/>
          <w:szCs w:val="24"/>
        </w:rPr>
        <w:t xml:space="preserve">nstrument determines </w:t>
      </w:r>
      <w:r w:rsidR="00364730" w:rsidRPr="00F2382A">
        <w:rPr>
          <w:sz w:val="24"/>
          <w:szCs w:val="24"/>
        </w:rPr>
        <w:t>visa condition 8208 of</w:t>
      </w:r>
      <w:r w:rsidRPr="00F2382A">
        <w:rPr>
          <w:sz w:val="24"/>
          <w:szCs w:val="24"/>
        </w:rPr>
        <w:t xml:space="preserve"> Schedule 8 to the </w:t>
      </w:r>
      <w:r w:rsidR="003300E8">
        <w:rPr>
          <w:sz w:val="24"/>
          <w:szCs w:val="24"/>
        </w:rPr>
        <w:t xml:space="preserve">Migration </w:t>
      </w:r>
      <w:r w:rsidRPr="00F2382A">
        <w:rPr>
          <w:sz w:val="24"/>
          <w:szCs w:val="24"/>
        </w:rPr>
        <w:t>Regulations</w:t>
      </w:r>
      <w:r w:rsidR="00364730" w:rsidRPr="00F2382A">
        <w:rPr>
          <w:sz w:val="24"/>
          <w:szCs w:val="24"/>
        </w:rPr>
        <w:t xml:space="preserve"> to be part of the designated migration law</w:t>
      </w:r>
      <w:r w:rsidRPr="00F2382A">
        <w:rPr>
          <w:sz w:val="24"/>
          <w:szCs w:val="24"/>
        </w:rPr>
        <w:t xml:space="preserve"> for the purposes of </w:t>
      </w:r>
      <w:r w:rsidR="00A20CCB">
        <w:rPr>
          <w:sz w:val="24"/>
          <w:szCs w:val="24"/>
        </w:rPr>
        <w:t>section 495A of the Act</w:t>
      </w:r>
      <w:r w:rsidR="00364730" w:rsidRPr="00F2382A">
        <w:rPr>
          <w:sz w:val="24"/>
          <w:szCs w:val="24"/>
        </w:rPr>
        <w:t>.</w:t>
      </w:r>
    </w:p>
    <w:p w14:paraId="6EDCF0BB" w14:textId="34A1CC0F" w:rsidR="00AA4557" w:rsidRPr="00F2382A" w:rsidRDefault="00AA4557" w:rsidP="001411A0">
      <w:pPr>
        <w:pStyle w:val="ESHeading"/>
        <w:rPr>
          <w:sz w:val="24"/>
          <w:szCs w:val="24"/>
        </w:rPr>
      </w:pPr>
      <w:r w:rsidRPr="00F2382A">
        <w:rPr>
          <w:sz w:val="24"/>
          <w:szCs w:val="24"/>
        </w:rPr>
        <w:t xml:space="preserve">Parliamentary scrutiny </w:t>
      </w:r>
      <w:r w:rsidR="00733ECA">
        <w:rPr>
          <w:sz w:val="24"/>
          <w:szCs w:val="24"/>
        </w:rPr>
        <w:t>and other considerations</w:t>
      </w:r>
      <w:r w:rsidRPr="00F2382A">
        <w:rPr>
          <w:sz w:val="24"/>
          <w:szCs w:val="24"/>
        </w:rPr>
        <w:t xml:space="preserve"> </w:t>
      </w:r>
    </w:p>
    <w:p w14:paraId="59CEECED" w14:textId="350885BB" w:rsidR="00733ECA" w:rsidRPr="00733ECA" w:rsidRDefault="000B5C7A" w:rsidP="00733ECA">
      <w:pPr>
        <w:pStyle w:val="ESPara"/>
        <w:numPr>
          <w:ilvl w:val="0"/>
          <w:numId w:val="0"/>
        </w:numPr>
        <w:rPr>
          <w:iCs/>
          <w:sz w:val="24"/>
          <w:szCs w:val="24"/>
        </w:rPr>
      </w:pPr>
      <w:r>
        <w:rPr>
          <w:iCs/>
          <w:sz w:val="24"/>
          <w:szCs w:val="24"/>
        </w:rPr>
        <w:t>The I</w:t>
      </w:r>
      <w:r w:rsidR="00103ACA" w:rsidRPr="00733ECA">
        <w:rPr>
          <w:iCs/>
          <w:sz w:val="24"/>
          <w:szCs w:val="24"/>
        </w:rPr>
        <w:t>nstrument is exempt from disallowance under sect</w:t>
      </w:r>
      <w:r w:rsidR="00733ECA">
        <w:rPr>
          <w:iCs/>
          <w:sz w:val="24"/>
          <w:szCs w:val="24"/>
        </w:rPr>
        <w:t xml:space="preserve">ion 42 of the Legislation Act. </w:t>
      </w:r>
      <w:r w:rsidR="00103ACA" w:rsidRPr="00733ECA">
        <w:rPr>
          <w:iCs/>
          <w:sz w:val="24"/>
          <w:szCs w:val="24"/>
        </w:rPr>
        <w:t xml:space="preserve">This is because </w:t>
      </w:r>
      <w:r>
        <w:rPr>
          <w:iCs/>
          <w:sz w:val="24"/>
          <w:szCs w:val="24"/>
        </w:rPr>
        <w:t>the I</w:t>
      </w:r>
      <w:r w:rsidR="00277C06" w:rsidRPr="00733ECA">
        <w:rPr>
          <w:iCs/>
          <w:sz w:val="24"/>
          <w:szCs w:val="24"/>
        </w:rPr>
        <w:t xml:space="preserve">nstrument is </w:t>
      </w:r>
      <w:r w:rsidR="00103ACA" w:rsidRPr="00733ECA">
        <w:rPr>
          <w:iCs/>
          <w:sz w:val="24"/>
          <w:szCs w:val="24"/>
        </w:rPr>
        <w:t xml:space="preserve">made under paragraph 495A(3)(b) of the Act, which is exempt from disallowance under paragraph (a) of item 20 </w:t>
      </w:r>
      <w:r w:rsidR="00733ECA" w:rsidRPr="00733ECA">
        <w:rPr>
          <w:iCs/>
          <w:sz w:val="24"/>
          <w:szCs w:val="24"/>
        </w:rPr>
        <w:t xml:space="preserve">of the table covered by section 10 of the </w:t>
      </w:r>
      <w:r w:rsidR="00733ECA" w:rsidRPr="00733ECA">
        <w:rPr>
          <w:i/>
          <w:iCs/>
          <w:sz w:val="24"/>
          <w:szCs w:val="24"/>
        </w:rPr>
        <w:t>Legislation (Exemptions and Other Matters) Regulation 2015</w:t>
      </w:r>
      <w:r w:rsidR="00733ECA" w:rsidRPr="00733ECA">
        <w:rPr>
          <w:iCs/>
          <w:sz w:val="24"/>
          <w:szCs w:val="24"/>
        </w:rPr>
        <w:t xml:space="preserve">. Section 10 provides that for the purposes of paragraph 44(2)(b) of the Legislation Act, the disallowance requirements of that Act do not apply to legislative instruments listed in the table covered by section 10. </w:t>
      </w:r>
    </w:p>
    <w:p w14:paraId="2D0C1937" w14:textId="2473CEAF" w:rsidR="00E03DCC" w:rsidRPr="00F2382A" w:rsidRDefault="00733ECA" w:rsidP="008B63DC">
      <w:pPr>
        <w:pStyle w:val="ESPara"/>
        <w:keepLines/>
        <w:numPr>
          <w:ilvl w:val="0"/>
          <w:numId w:val="0"/>
        </w:numPr>
        <w:rPr>
          <w:sz w:val="24"/>
          <w:szCs w:val="24"/>
        </w:rPr>
      </w:pPr>
      <w:r w:rsidRPr="00733ECA">
        <w:rPr>
          <w:iCs/>
          <w:sz w:val="24"/>
          <w:szCs w:val="24"/>
        </w:rPr>
        <w:t xml:space="preserve">Relevantly, the Explanatory Statement to the </w:t>
      </w:r>
      <w:r w:rsidRPr="00733ECA">
        <w:rPr>
          <w:i/>
          <w:iCs/>
          <w:sz w:val="24"/>
          <w:szCs w:val="24"/>
        </w:rPr>
        <w:t>Legislation (Exemption</w:t>
      </w:r>
      <w:r w:rsidR="00DD32A3">
        <w:rPr>
          <w:i/>
          <w:iCs/>
          <w:sz w:val="24"/>
          <w:szCs w:val="24"/>
        </w:rPr>
        <w:t>s and Other Matters) Regulation </w:t>
      </w:r>
      <w:r w:rsidRPr="00733ECA">
        <w:rPr>
          <w:i/>
          <w:iCs/>
          <w:sz w:val="24"/>
          <w:szCs w:val="24"/>
        </w:rPr>
        <w:t>2015</w:t>
      </w:r>
      <w:r w:rsidRPr="00733ECA">
        <w:rPr>
          <w:iCs/>
          <w:sz w:val="24"/>
          <w:szCs w:val="24"/>
        </w:rPr>
        <w:t xml:space="preserve"> provides on page 31 of that Statement, that item 20 of the table “preserves the exemption that previously existed in item 26 of the table in subsection 44(2) of the </w:t>
      </w:r>
      <w:r w:rsidRPr="00C85C4F">
        <w:rPr>
          <w:i/>
          <w:iCs/>
          <w:sz w:val="24"/>
          <w:szCs w:val="24"/>
        </w:rPr>
        <w:t>Legislative Instruments Act 2003</w:t>
      </w:r>
      <w:r w:rsidRPr="00733ECA">
        <w:rPr>
          <w:iCs/>
          <w:sz w:val="24"/>
          <w:szCs w:val="24"/>
        </w:rPr>
        <w:t>. These instruments made under the Migration Act and Migration Regulations are appropriate for executive control.”</w:t>
      </w:r>
    </w:p>
    <w:p w14:paraId="0F6D0201" w14:textId="157CEF1C" w:rsidR="00733ECA" w:rsidRDefault="00733ECA" w:rsidP="001411A0">
      <w:pPr>
        <w:pStyle w:val="ESPara"/>
        <w:numPr>
          <w:ilvl w:val="0"/>
          <w:numId w:val="0"/>
        </w:numPr>
        <w:rPr>
          <w:iCs/>
          <w:sz w:val="24"/>
          <w:szCs w:val="24"/>
        </w:rPr>
      </w:pPr>
      <w:r w:rsidRPr="00F2382A">
        <w:rPr>
          <w:iCs/>
          <w:sz w:val="24"/>
          <w:szCs w:val="24"/>
        </w:rPr>
        <w:t>A</w:t>
      </w:r>
      <w:r>
        <w:rPr>
          <w:iCs/>
          <w:sz w:val="24"/>
          <w:szCs w:val="24"/>
        </w:rPr>
        <w:t>s the Instrument is not disallowable, a</w:t>
      </w:r>
      <w:r w:rsidRPr="00F2382A">
        <w:rPr>
          <w:iCs/>
          <w:sz w:val="24"/>
          <w:szCs w:val="24"/>
        </w:rPr>
        <w:t xml:space="preserve"> Statement of Compatibility with Human Rights is not required under section 15J of the Legislation Act</w:t>
      </w:r>
      <w:r w:rsidRPr="00733ECA">
        <w:rPr>
          <w:iCs/>
          <w:sz w:val="24"/>
          <w:szCs w:val="24"/>
        </w:rPr>
        <w:t>.</w:t>
      </w:r>
    </w:p>
    <w:p w14:paraId="44302062" w14:textId="181E0205" w:rsidR="00B75478" w:rsidRPr="00F2382A" w:rsidRDefault="000B5C7A" w:rsidP="001411A0">
      <w:pPr>
        <w:pStyle w:val="ESPara"/>
        <w:numPr>
          <w:ilvl w:val="0"/>
          <w:numId w:val="0"/>
        </w:numPr>
        <w:rPr>
          <w:sz w:val="24"/>
          <w:szCs w:val="24"/>
        </w:rPr>
      </w:pPr>
      <w:r>
        <w:rPr>
          <w:sz w:val="24"/>
          <w:szCs w:val="24"/>
        </w:rPr>
        <w:t>The I</w:t>
      </w:r>
      <w:r w:rsidR="00103ACA" w:rsidRPr="00F2382A">
        <w:rPr>
          <w:sz w:val="24"/>
          <w:szCs w:val="24"/>
        </w:rPr>
        <w:t>nstrument is made by the Minister</w:t>
      </w:r>
      <w:r w:rsidR="00733ECA">
        <w:rPr>
          <w:sz w:val="24"/>
          <w:szCs w:val="24"/>
        </w:rPr>
        <w:t xml:space="preserve"> </w:t>
      </w:r>
      <w:r w:rsidR="00232B46">
        <w:rPr>
          <w:sz w:val="24"/>
          <w:szCs w:val="24"/>
        </w:rPr>
        <w:t xml:space="preserve">for Home Affairs </w:t>
      </w:r>
      <w:r w:rsidR="00733ECA">
        <w:rPr>
          <w:sz w:val="24"/>
          <w:szCs w:val="24"/>
        </w:rPr>
        <w:t>under</w:t>
      </w:r>
      <w:r w:rsidR="00103ACA" w:rsidRPr="00F2382A">
        <w:rPr>
          <w:sz w:val="24"/>
          <w:szCs w:val="24"/>
        </w:rPr>
        <w:t xml:space="preserve"> paragraph 495A(3)(b) of the Act</w:t>
      </w:r>
      <w:r w:rsidR="00733ECA">
        <w:rPr>
          <w:sz w:val="24"/>
          <w:szCs w:val="24"/>
        </w:rPr>
        <w:t>, for the purposes of section 495A of the Act</w:t>
      </w:r>
      <w:r w:rsidR="00103ACA" w:rsidRPr="00F2382A">
        <w:rPr>
          <w:sz w:val="24"/>
          <w:szCs w:val="24"/>
        </w:rPr>
        <w:t>.</w:t>
      </w:r>
    </w:p>
    <w:sectPr w:rsidR="00B75478" w:rsidRPr="00F2382A" w:rsidSect="004F5CE4">
      <w:headerReference w:type="even" r:id="rId7"/>
      <w:headerReference w:type="default" r:id="rId8"/>
      <w:footerReference w:type="even" r:id="rId9"/>
      <w:footerReference w:type="default" r:id="rId10"/>
      <w:headerReference w:type="first" r:id="rId11"/>
      <w:footerReference w:type="first" r:id="rId12"/>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379B2" w14:textId="77777777" w:rsidR="00103ACA" w:rsidRDefault="00103ACA" w:rsidP="00103ACA">
      <w:pPr>
        <w:spacing w:after="0" w:line="240" w:lineRule="auto"/>
      </w:pPr>
      <w:r>
        <w:separator/>
      </w:r>
    </w:p>
  </w:endnote>
  <w:endnote w:type="continuationSeparator" w:id="0">
    <w:p w14:paraId="1132487E" w14:textId="77777777" w:rsidR="00103ACA" w:rsidRDefault="00103ACA" w:rsidP="00103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7310" w14:textId="77777777" w:rsidR="00BA0F6C" w:rsidRDefault="00BA0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E92A1" w14:textId="20D1E992" w:rsidR="00103ACA" w:rsidRDefault="00103ACA" w:rsidP="00F676AA">
    <w:pPr>
      <w:pStyle w:val="LDFooter"/>
    </w:pPr>
    <w:r w:rsidRPr="007B33D9">
      <w:rPr>
        <w:i/>
      </w:rPr>
      <w:fldChar w:fldCharType="begin"/>
    </w:r>
    <w:r w:rsidRPr="001B3B65">
      <w:rPr>
        <w:i/>
      </w:rPr>
      <w:instrText xml:space="preserve"> REF Title \h  \* MERGEFORMAT </w:instrText>
    </w:r>
    <w:r w:rsidRPr="007B33D9">
      <w:rPr>
        <w:i/>
      </w:rPr>
    </w:r>
    <w:r w:rsidRPr="007B33D9">
      <w:rPr>
        <w:i/>
      </w:rPr>
      <w:fldChar w:fldCharType="separate"/>
    </w:r>
    <w:r w:rsidR="00343679" w:rsidRPr="00343679">
      <w:rPr>
        <w:i/>
      </w:rPr>
      <w:t>Migration (Designated Migration Law—Visa Condition 8208) Determination (LIN 24/009) 2024</w:t>
    </w:r>
    <w:r w:rsidRPr="007B33D9">
      <w:rPr>
        <w:i/>
      </w:rPr>
      <w:fldChar w:fldCharType="end"/>
    </w:r>
    <w:r w:rsidRPr="00F676AA">
      <w:rPr>
        <w:i/>
      </w:rPr>
      <w:tab/>
    </w:r>
    <w:r w:rsidR="001B3B65">
      <w:tab/>
    </w:r>
    <w:r w:rsidR="001B3B65">
      <w:tab/>
    </w:r>
    <w:r w:rsidR="001B3B65">
      <w:tab/>
    </w:r>
    <w:r w:rsidRPr="00904E36">
      <w:fldChar w:fldCharType="begin"/>
    </w:r>
    <w:r w:rsidRPr="00904E36">
      <w:instrText xml:space="preserve"> PAGE  \* Arabic  \* MERGEFORMAT </w:instrText>
    </w:r>
    <w:r w:rsidRPr="00904E36">
      <w:fldChar w:fldCharType="separate"/>
    </w:r>
    <w:r w:rsidR="00BA0F6C">
      <w:rPr>
        <w:noProof/>
      </w:rPr>
      <w:t>2</w:t>
    </w:r>
    <w:r w:rsidRPr="00904E3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B822C" w14:textId="77777777" w:rsidR="00BA0F6C" w:rsidRDefault="00BA0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50F2B" w14:textId="77777777" w:rsidR="00103ACA" w:rsidRDefault="00103ACA" w:rsidP="00103ACA">
      <w:pPr>
        <w:spacing w:after="0" w:line="240" w:lineRule="auto"/>
      </w:pPr>
      <w:r>
        <w:separator/>
      </w:r>
    </w:p>
  </w:footnote>
  <w:footnote w:type="continuationSeparator" w:id="0">
    <w:p w14:paraId="471275DF" w14:textId="77777777" w:rsidR="00103ACA" w:rsidRDefault="00103ACA" w:rsidP="00103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2F898" w14:textId="77777777" w:rsidR="00BA0F6C" w:rsidRDefault="00BA0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88DD0" w14:textId="77777777" w:rsidR="00BA0F6C" w:rsidRDefault="00BA0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266AB" w14:textId="77777777" w:rsidR="00BA0F6C" w:rsidRDefault="00BA0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0317"/>
    <w:multiLevelType w:val="hybridMultilevel"/>
    <w:tmpl w:val="7444D1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2D7956"/>
    <w:multiLevelType w:val="hybridMultilevel"/>
    <w:tmpl w:val="6688F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2E05C4"/>
    <w:multiLevelType w:val="hybridMultilevel"/>
    <w:tmpl w:val="C3FC0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E532A9"/>
    <w:multiLevelType w:val="hybridMultilevel"/>
    <w:tmpl w:val="181429E8"/>
    <w:lvl w:ilvl="0" w:tplc="C80632DA">
      <w:start w:val="1"/>
      <w:numFmt w:val="decimal"/>
      <w:pStyle w:val="ESSubparaHeader"/>
      <w:lvlText w:val="%1"/>
      <w:lvlJc w:val="left"/>
      <w:pPr>
        <w:ind w:left="720" w:hanging="360"/>
      </w:pPr>
      <w:rPr>
        <w:rFonts w:hint="default"/>
        <w:b w:val="0"/>
        <w:i w:val="0"/>
      </w:rPr>
    </w:lvl>
    <w:lvl w:ilvl="1" w:tplc="ABC2DF26">
      <w:start w:val="1"/>
      <w:numFmt w:val="bullet"/>
      <w:pStyle w:val="ESSubparaLis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F832613C">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933B8E"/>
    <w:multiLevelType w:val="hybridMultilevel"/>
    <w:tmpl w:val="0AB4F7E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4C8B22CF"/>
    <w:multiLevelType w:val="hybridMultilevel"/>
    <w:tmpl w:val="2DCEB73C"/>
    <w:lvl w:ilvl="0" w:tplc="2A36B062">
      <w:start w:val="2"/>
      <w:numFmt w:val="bullet"/>
      <w:pStyle w:val="ESAttLis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5"/>
  </w:num>
  <w:num w:numId="4">
    <w:abstractNumId w:val="5"/>
  </w:num>
  <w:num w:numId="5">
    <w:abstractNumId w:val="4"/>
  </w:num>
  <w:num w:numId="6">
    <w:abstractNumId w:val="2"/>
  </w:num>
  <w:num w:numId="7">
    <w:abstractNumId w:val="3"/>
  </w:num>
  <w:num w:numId="8">
    <w:abstractNumId w:val="3"/>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BB"/>
    <w:rsid w:val="000041ED"/>
    <w:rsid w:val="0000441A"/>
    <w:rsid w:val="00022222"/>
    <w:rsid w:val="00030AA6"/>
    <w:rsid w:val="00072BD9"/>
    <w:rsid w:val="000A70E1"/>
    <w:rsid w:val="000B5C7A"/>
    <w:rsid w:val="000D014F"/>
    <w:rsid w:val="00100DFC"/>
    <w:rsid w:val="00103972"/>
    <w:rsid w:val="00103ACA"/>
    <w:rsid w:val="0012491B"/>
    <w:rsid w:val="0014020E"/>
    <w:rsid w:val="001411A0"/>
    <w:rsid w:val="00147E2F"/>
    <w:rsid w:val="0019164E"/>
    <w:rsid w:val="001A1A3E"/>
    <w:rsid w:val="001B1793"/>
    <w:rsid w:val="001B3B65"/>
    <w:rsid w:val="001D0CD6"/>
    <w:rsid w:val="001E5DB4"/>
    <w:rsid w:val="001F0DC9"/>
    <w:rsid w:val="00200F9E"/>
    <w:rsid w:val="00205A1B"/>
    <w:rsid w:val="00227DC6"/>
    <w:rsid w:val="00232B46"/>
    <w:rsid w:val="00237B2C"/>
    <w:rsid w:val="002402E0"/>
    <w:rsid w:val="00277C06"/>
    <w:rsid w:val="00287846"/>
    <w:rsid w:val="002A26AD"/>
    <w:rsid w:val="002A5B5A"/>
    <w:rsid w:val="002B70BE"/>
    <w:rsid w:val="002D167E"/>
    <w:rsid w:val="002D24CE"/>
    <w:rsid w:val="003300E8"/>
    <w:rsid w:val="00343679"/>
    <w:rsid w:val="0036082B"/>
    <w:rsid w:val="00364730"/>
    <w:rsid w:val="00365E84"/>
    <w:rsid w:val="00390AF0"/>
    <w:rsid w:val="003C1BF3"/>
    <w:rsid w:val="003E05A9"/>
    <w:rsid w:val="003F049F"/>
    <w:rsid w:val="00416320"/>
    <w:rsid w:val="00432067"/>
    <w:rsid w:val="00457D4A"/>
    <w:rsid w:val="00464080"/>
    <w:rsid w:val="00492609"/>
    <w:rsid w:val="004B473F"/>
    <w:rsid w:val="004F5CE4"/>
    <w:rsid w:val="00503EA4"/>
    <w:rsid w:val="00544A61"/>
    <w:rsid w:val="00560B24"/>
    <w:rsid w:val="0057002B"/>
    <w:rsid w:val="005A3733"/>
    <w:rsid w:val="005E28B3"/>
    <w:rsid w:val="00604E06"/>
    <w:rsid w:val="00673800"/>
    <w:rsid w:val="00675463"/>
    <w:rsid w:val="006918BB"/>
    <w:rsid w:val="006942EC"/>
    <w:rsid w:val="0069515B"/>
    <w:rsid w:val="006D6907"/>
    <w:rsid w:val="006E1061"/>
    <w:rsid w:val="00733ECA"/>
    <w:rsid w:val="00733F30"/>
    <w:rsid w:val="00734C88"/>
    <w:rsid w:val="00735988"/>
    <w:rsid w:val="007B050D"/>
    <w:rsid w:val="007B33D9"/>
    <w:rsid w:val="007E4691"/>
    <w:rsid w:val="00810634"/>
    <w:rsid w:val="00820A8D"/>
    <w:rsid w:val="008326FA"/>
    <w:rsid w:val="008831E2"/>
    <w:rsid w:val="0088407D"/>
    <w:rsid w:val="008A66EB"/>
    <w:rsid w:val="008B24C8"/>
    <w:rsid w:val="008B2FBF"/>
    <w:rsid w:val="008B63DC"/>
    <w:rsid w:val="008D03DA"/>
    <w:rsid w:val="00915032"/>
    <w:rsid w:val="0093326A"/>
    <w:rsid w:val="00950EEB"/>
    <w:rsid w:val="00967829"/>
    <w:rsid w:val="009C6DCA"/>
    <w:rsid w:val="00A20CCB"/>
    <w:rsid w:val="00A24FB8"/>
    <w:rsid w:val="00A333E8"/>
    <w:rsid w:val="00A64EA7"/>
    <w:rsid w:val="00AA4557"/>
    <w:rsid w:val="00AA4F77"/>
    <w:rsid w:val="00AB0371"/>
    <w:rsid w:val="00AB7711"/>
    <w:rsid w:val="00AD33E6"/>
    <w:rsid w:val="00B445D9"/>
    <w:rsid w:val="00B65A06"/>
    <w:rsid w:val="00B75478"/>
    <w:rsid w:val="00B90E64"/>
    <w:rsid w:val="00BA0F6C"/>
    <w:rsid w:val="00BA2556"/>
    <w:rsid w:val="00BB0CF2"/>
    <w:rsid w:val="00BD598E"/>
    <w:rsid w:val="00BE3E7F"/>
    <w:rsid w:val="00C543B2"/>
    <w:rsid w:val="00C81A5E"/>
    <w:rsid w:val="00C85C4F"/>
    <w:rsid w:val="00C930F2"/>
    <w:rsid w:val="00C948A9"/>
    <w:rsid w:val="00CA6E07"/>
    <w:rsid w:val="00D35E93"/>
    <w:rsid w:val="00D40E1E"/>
    <w:rsid w:val="00D520D7"/>
    <w:rsid w:val="00D5605E"/>
    <w:rsid w:val="00D61307"/>
    <w:rsid w:val="00DA0B0C"/>
    <w:rsid w:val="00DC78CB"/>
    <w:rsid w:val="00DD32A3"/>
    <w:rsid w:val="00E03DCC"/>
    <w:rsid w:val="00E22AA0"/>
    <w:rsid w:val="00E44C7D"/>
    <w:rsid w:val="00E45FE2"/>
    <w:rsid w:val="00EA12C9"/>
    <w:rsid w:val="00ED362A"/>
    <w:rsid w:val="00F2382A"/>
    <w:rsid w:val="00F423EB"/>
    <w:rsid w:val="00F676AA"/>
    <w:rsid w:val="00F85EA6"/>
    <w:rsid w:val="00F8786D"/>
    <w:rsid w:val="00FE0167"/>
    <w:rsid w:val="00FE0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14F56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002B"/>
    <w:pPr>
      <w:ind w:left="720"/>
      <w:contextualSpacing/>
    </w:pPr>
  </w:style>
  <w:style w:type="paragraph" w:customStyle="1" w:styleId="ESParagraph">
    <w:name w:val="ES_Paragraph"/>
    <w:basedOn w:val="ListParagraph"/>
    <w:link w:val="ESParagraphChar"/>
    <w:rsid w:val="00100DFC"/>
    <w:pPr>
      <w:spacing w:before="240" w:after="240" w:line="276" w:lineRule="auto"/>
      <w:ind w:left="567" w:hanging="567"/>
      <w:contextualSpacing w:val="0"/>
    </w:pPr>
    <w:rPr>
      <w:rFonts w:ascii="Times New Roman" w:hAnsi="Times New Roman" w:cs="Times New Roman"/>
    </w:rPr>
  </w:style>
  <w:style w:type="paragraph" w:customStyle="1" w:styleId="ESHeading">
    <w:name w:val="ES_Heading"/>
    <w:basedOn w:val="ListParagraph"/>
    <w:link w:val="ESHeadingChar"/>
    <w:qFormat/>
    <w:rsid w:val="00100DFC"/>
    <w:pPr>
      <w:keepNext/>
      <w:spacing w:before="240" w:after="240" w:line="276" w:lineRule="auto"/>
      <w:ind w:left="0"/>
      <w:contextualSpacing w:val="0"/>
    </w:pPr>
    <w:rPr>
      <w:rFonts w:ascii="Times New Roman" w:hAnsi="Times New Roman" w:cs="Times New Roman"/>
      <w:b/>
      <w:i/>
    </w:rPr>
  </w:style>
  <w:style w:type="character" w:customStyle="1" w:styleId="ListParagraphChar">
    <w:name w:val="List Paragraph Char"/>
    <w:basedOn w:val="DefaultParagraphFont"/>
    <w:link w:val="ListParagraph"/>
    <w:uiPriority w:val="34"/>
    <w:rsid w:val="00100DFC"/>
  </w:style>
  <w:style w:type="character" w:customStyle="1" w:styleId="ESParagraphChar">
    <w:name w:val="ES_Paragraph Char"/>
    <w:basedOn w:val="ListParagraphChar"/>
    <w:link w:val="ESParagraph"/>
    <w:rsid w:val="00100DFC"/>
    <w:rPr>
      <w:rFonts w:ascii="Times New Roman" w:hAnsi="Times New Roman" w:cs="Times New Roman"/>
    </w:rPr>
  </w:style>
  <w:style w:type="paragraph" w:customStyle="1" w:styleId="ESAttAttName">
    <w:name w:val="ESAtt_AttName"/>
    <w:basedOn w:val="Normal"/>
    <w:link w:val="ESAttAttNameChar"/>
    <w:qFormat/>
    <w:rsid w:val="00100DFC"/>
    <w:pPr>
      <w:spacing w:before="240" w:after="240" w:line="276" w:lineRule="auto"/>
      <w:jc w:val="right"/>
    </w:pPr>
    <w:rPr>
      <w:rFonts w:ascii="Times New Roman" w:hAnsi="Times New Roman" w:cs="Times New Roman"/>
      <w:b/>
      <w:u w:val="single"/>
    </w:rPr>
  </w:style>
  <w:style w:type="character" w:customStyle="1" w:styleId="ESHeadingChar">
    <w:name w:val="ES_Heading Char"/>
    <w:basedOn w:val="ListParagraphChar"/>
    <w:link w:val="ESHeading"/>
    <w:rsid w:val="00100DFC"/>
    <w:rPr>
      <w:rFonts w:ascii="Times New Roman" w:hAnsi="Times New Roman" w:cs="Times New Roman"/>
      <w:b/>
      <w:i/>
    </w:rPr>
  </w:style>
  <w:style w:type="paragraph" w:customStyle="1" w:styleId="ESAttHeading">
    <w:name w:val="ESAtt_Heading"/>
    <w:basedOn w:val="Normal"/>
    <w:link w:val="ESAttHeadingChar"/>
    <w:qFormat/>
    <w:rsid w:val="00100DFC"/>
    <w:pPr>
      <w:keepNext/>
      <w:spacing w:before="240" w:after="240" w:line="276" w:lineRule="auto"/>
    </w:pPr>
    <w:rPr>
      <w:rFonts w:ascii="Times New Roman" w:hAnsi="Times New Roman" w:cs="Times New Roman"/>
      <w:b/>
    </w:rPr>
  </w:style>
  <w:style w:type="character" w:customStyle="1" w:styleId="ESAttAttNameChar">
    <w:name w:val="ESAtt_AttName Char"/>
    <w:basedOn w:val="DefaultParagraphFont"/>
    <w:link w:val="ESAttAttName"/>
    <w:rsid w:val="00100DFC"/>
    <w:rPr>
      <w:rFonts w:ascii="Times New Roman" w:hAnsi="Times New Roman" w:cs="Times New Roman"/>
      <w:b/>
      <w:u w:val="single"/>
    </w:rPr>
  </w:style>
  <w:style w:type="paragraph" w:customStyle="1" w:styleId="ESAttNormal">
    <w:name w:val="ESAtt_Normal"/>
    <w:basedOn w:val="Normal"/>
    <w:link w:val="ESAttNormalChar"/>
    <w:qFormat/>
    <w:rsid w:val="00100DFC"/>
    <w:pPr>
      <w:spacing w:before="240" w:after="240" w:line="276" w:lineRule="auto"/>
    </w:pPr>
    <w:rPr>
      <w:rFonts w:ascii="Times New Roman" w:hAnsi="Times New Roman" w:cs="Times New Roman"/>
    </w:rPr>
  </w:style>
  <w:style w:type="character" w:customStyle="1" w:styleId="ESAttHeadingChar">
    <w:name w:val="ESAtt_Heading Char"/>
    <w:basedOn w:val="DefaultParagraphFont"/>
    <w:link w:val="ESAttHeading"/>
    <w:rsid w:val="00100DFC"/>
    <w:rPr>
      <w:rFonts w:ascii="Times New Roman" w:hAnsi="Times New Roman" w:cs="Times New Roman"/>
      <w:b/>
    </w:rPr>
  </w:style>
  <w:style w:type="paragraph" w:customStyle="1" w:styleId="ESAttListHeader">
    <w:name w:val="ESAtt_ListHeader"/>
    <w:basedOn w:val="Normal"/>
    <w:link w:val="ESAttListHeaderChar"/>
    <w:qFormat/>
    <w:rsid w:val="00100DFC"/>
    <w:pPr>
      <w:keepNext/>
      <w:spacing w:before="240" w:after="240" w:line="276" w:lineRule="auto"/>
    </w:pPr>
    <w:rPr>
      <w:rFonts w:ascii="Times New Roman" w:hAnsi="Times New Roman" w:cs="Times New Roman"/>
    </w:rPr>
  </w:style>
  <w:style w:type="character" w:customStyle="1" w:styleId="ESAttNormalChar">
    <w:name w:val="ESAtt_Normal Char"/>
    <w:basedOn w:val="DefaultParagraphFont"/>
    <w:link w:val="ESAttNormal"/>
    <w:rsid w:val="00100DFC"/>
    <w:rPr>
      <w:rFonts w:ascii="Times New Roman" w:hAnsi="Times New Roman" w:cs="Times New Roman"/>
    </w:rPr>
  </w:style>
  <w:style w:type="paragraph" w:customStyle="1" w:styleId="ESAttList">
    <w:name w:val="ESAtt_List"/>
    <w:basedOn w:val="ListParagraph"/>
    <w:link w:val="ESAttListChar"/>
    <w:qFormat/>
    <w:rsid w:val="00100DFC"/>
    <w:pPr>
      <w:numPr>
        <w:numId w:val="2"/>
      </w:numPr>
      <w:spacing w:before="240" w:after="240" w:line="276" w:lineRule="auto"/>
      <w:contextualSpacing w:val="0"/>
    </w:pPr>
    <w:rPr>
      <w:rFonts w:ascii="Times New Roman" w:hAnsi="Times New Roman" w:cs="Times New Roman"/>
    </w:rPr>
  </w:style>
  <w:style w:type="character" w:customStyle="1" w:styleId="ESAttListHeaderChar">
    <w:name w:val="ESAtt_ListHeader Char"/>
    <w:basedOn w:val="DefaultParagraphFont"/>
    <w:link w:val="ESAttListHeader"/>
    <w:rsid w:val="00100DFC"/>
    <w:rPr>
      <w:rFonts w:ascii="Times New Roman" w:hAnsi="Times New Roman" w:cs="Times New Roman"/>
    </w:rPr>
  </w:style>
  <w:style w:type="paragraph" w:customStyle="1" w:styleId="ESSubHeading">
    <w:name w:val="ES_SubHeading"/>
    <w:basedOn w:val="ESHeading"/>
    <w:link w:val="ESSubHeadingChar"/>
    <w:qFormat/>
    <w:rsid w:val="00BB0CF2"/>
    <w:rPr>
      <w:b w:val="0"/>
    </w:rPr>
  </w:style>
  <w:style w:type="character" w:customStyle="1" w:styleId="ESAttListChar">
    <w:name w:val="ESAtt_List Char"/>
    <w:basedOn w:val="ListParagraphChar"/>
    <w:link w:val="ESAttList"/>
    <w:rsid w:val="00100DFC"/>
    <w:rPr>
      <w:rFonts w:ascii="Times New Roman" w:hAnsi="Times New Roman" w:cs="Times New Roman"/>
    </w:rPr>
  </w:style>
  <w:style w:type="paragraph" w:customStyle="1" w:styleId="ESTitleInstrumentName">
    <w:name w:val="ESTitle_InstrumentName"/>
    <w:basedOn w:val="Normal"/>
    <w:link w:val="ESTitleInstrumentNameChar"/>
    <w:qFormat/>
    <w:rsid w:val="00BB0CF2"/>
    <w:pPr>
      <w:spacing w:before="360" w:after="600" w:line="276" w:lineRule="auto"/>
      <w:jc w:val="center"/>
    </w:pPr>
    <w:rPr>
      <w:rFonts w:ascii="Times New Roman" w:hAnsi="Times New Roman" w:cs="Times New Roman"/>
      <w:b/>
      <w:i/>
    </w:rPr>
  </w:style>
  <w:style w:type="character" w:customStyle="1" w:styleId="ESSubHeadingChar">
    <w:name w:val="ES_SubHeading Char"/>
    <w:basedOn w:val="ESHeadingChar"/>
    <w:link w:val="ESSubHeading"/>
    <w:rsid w:val="00BB0CF2"/>
    <w:rPr>
      <w:rFonts w:ascii="Times New Roman" w:hAnsi="Times New Roman" w:cs="Times New Roman"/>
      <w:b w:val="0"/>
      <w:i/>
    </w:rPr>
  </w:style>
  <w:style w:type="paragraph" w:customStyle="1" w:styleId="ESTitleEnablingLegislation">
    <w:name w:val="ESTitle_EnablingLegislation"/>
    <w:basedOn w:val="Normal"/>
    <w:link w:val="ESTitleEnablingLegislationChar"/>
    <w:qFormat/>
    <w:rsid w:val="00BB0CF2"/>
    <w:pPr>
      <w:spacing w:line="276" w:lineRule="auto"/>
      <w:jc w:val="center"/>
    </w:pPr>
    <w:rPr>
      <w:rFonts w:ascii="Times New Roman" w:hAnsi="Times New Roman" w:cs="Times New Roman"/>
      <w:i/>
    </w:rPr>
  </w:style>
  <w:style w:type="character" w:customStyle="1" w:styleId="ESTitleInstrumentNameChar">
    <w:name w:val="ESTitle_InstrumentName Char"/>
    <w:basedOn w:val="DefaultParagraphFont"/>
    <w:link w:val="ESTitleInstrumentName"/>
    <w:rsid w:val="00BB0CF2"/>
    <w:rPr>
      <w:rFonts w:ascii="Times New Roman" w:hAnsi="Times New Roman" w:cs="Times New Roman"/>
      <w:b/>
      <w:i/>
    </w:rPr>
  </w:style>
  <w:style w:type="paragraph" w:customStyle="1" w:styleId="ESTitleDecisionMaker">
    <w:name w:val="ESTitle_DecisionMaker"/>
    <w:basedOn w:val="Normal"/>
    <w:link w:val="ESTitleDecisionMakerChar"/>
    <w:qFormat/>
    <w:rsid w:val="00BB0CF2"/>
    <w:pPr>
      <w:spacing w:line="276" w:lineRule="auto"/>
      <w:jc w:val="center"/>
    </w:pPr>
    <w:rPr>
      <w:rFonts w:ascii="Times New Roman" w:hAnsi="Times New Roman" w:cs="Times New Roman"/>
    </w:rPr>
  </w:style>
  <w:style w:type="character" w:customStyle="1" w:styleId="ESTitleEnablingLegislationChar">
    <w:name w:val="ESTitle_EnablingLegislation Char"/>
    <w:basedOn w:val="DefaultParagraphFont"/>
    <w:link w:val="ESTitleEnablingLegislation"/>
    <w:rsid w:val="00BB0CF2"/>
    <w:rPr>
      <w:rFonts w:ascii="Times New Roman" w:hAnsi="Times New Roman" w:cs="Times New Roman"/>
      <w:i/>
    </w:rPr>
  </w:style>
  <w:style w:type="paragraph" w:customStyle="1" w:styleId="ESTitleHeader">
    <w:name w:val="ESTitle_Header"/>
    <w:basedOn w:val="Normal"/>
    <w:link w:val="ESTitleHeaderChar"/>
    <w:qFormat/>
    <w:rsid w:val="00BB0CF2"/>
    <w:pPr>
      <w:spacing w:line="276" w:lineRule="auto"/>
      <w:jc w:val="center"/>
    </w:pPr>
    <w:rPr>
      <w:rFonts w:ascii="Times New Roman" w:hAnsi="Times New Roman" w:cs="Times New Roman"/>
      <w:u w:val="single"/>
    </w:rPr>
  </w:style>
  <w:style w:type="character" w:customStyle="1" w:styleId="ESTitleDecisionMakerChar">
    <w:name w:val="ESTitle_DecisionMaker Char"/>
    <w:basedOn w:val="DefaultParagraphFont"/>
    <w:link w:val="ESTitleDecisionMaker"/>
    <w:rsid w:val="00BB0CF2"/>
    <w:rPr>
      <w:rFonts w:ascii="Times New Roman" w:hAnsi="Times New Roman" w:cs="Times New Roman"/>
    </w:rPr>
  </w:style>
  <w:style w:type="paragraph" w:customStyle="1" w:styleId="ESSubparaHeader">
    <w:name w:val="ES_SubparaHeader"/>
    <w:basedOn w:val="ListParagraph"/>
    <w:next w:val="ESSubparaList"/>
    <w:link w:val="ESSubparaHeaderChar"/>
    <w:qFormat/>
    <w:rsid w:val="00BB0CF2"/>
    <w:pPr>
      <w:keepNext/>
      <w:numPr>
        <w:numId w:val="1"/>
      </w:numPr>
      <w:spacing w:before="240" w:after="240" w:line="276" w:lineRule="auto"/>
      <w:contextualSpacing w:val="0"/>
    </w:pPr>
    <w:rPr>
      <w:rFonts w:ascii="Times New Roman" w:hAnsi="Times New Roman" w:cs="Times New Roman"/>
    </w:rPr>
  </w:style>
  <w:style w:type="character" w:customStyle="1" w:styleId="ESTitleHeaderChar">
    <w:name w:val="ESTitle_Header Char"/>
    <w:basedOn w:val="DefaultParagraphFont"/>
    <w:link w:val="ESTitleHeader"/>
    <w:rsid w:val="00BB0CF2"/>
    <w:rPr>
      <w:rFonts w:ascii="Times New Roman" w:hAnsi="Times New Roman" w:cs="Times New Roman"/>
      <w:u w:val="single"/>
    </w:rPr>
  </w:style>
  <w:style w:type="paragraph" w:customStyle="1" w:styleId="ESSubparaList">
    <w:name w:val="ES_SubparaList"/>
    <w:basedOn w:val="ListParagraph"/>
    <w:link w:val="ESSubparaListChar"/>
    <w:qFormat/>
    <w:rsid w:val="00BB0CF2"/>
    <w:pPr>
      <w:numPr>
        <w:ilvl w:val="1"/>
        <w:numId w:val="1"/>
      </w:numPr>
      <w:spacing w:before="240" w:after="240" w:line="276" w:lineRule="auto"/>
      <w:ind w:left="1276" w:hanging="425"/>
      <w:contextualSpacing w:val="0"/>
    </w:pPr>
    <w:rPr>
      <w:rFonts w:ascii="Times New Roman" w:hAnsi="Times New Roman" w:cs="Times New Roman"/>
    </w:rPr>
  </w:style>
  <w:style w:type="character" w:customStyle="1" w:styleId="ESSubparaHeaderChar">
    <w:name w:val="ES_SubparaHeader Char"/>
    <w:basedOn w:val="ListParagraphChar"/>
    <w:link w:val="ESSubparaHeader"/>
    <w:rsid w:val="00BB0CF2"/>
    <w:rPr>
      <w:rFonts w:ascii="Times New Roman" w:hAnsi="Times New Roman" w:cs="Times New Roman"/>
    </w:rPr>
  </w:style>
  <w:style w:type="character" w:customStyle="1" w:styleId="ESSubparaListChar">
    <w:name w:val="ES_SubparaList Char"/>
    <w:basedOn w:val="ListParagraphChar"/>
    <w:link w:val="ESSubparaList"/>
    <w:rsid w:val="00BB0CF2"/>
    <w:rPr>
      <w:rFonts w:ascii="Times New Roman" w:hAnsi="Times New Roman" w:cs="Times New Roman"/>
    </w:rPr>
  </w:style>
  <w:style w:type="paragraph" w:customStyle="1" w:styleId="ESPara">
    <w:name w:val="ES_Para"/>
    <w:basedOn w:val="ESSubparaHeader"/>
    <w:link w:val="ESParaChar"/>
    <w:qFormat/>
    <w:rsid w:val="002D167E"/>
    <w:pPr>
      <w:keepNext w:val="0"/>
    </w:pPr>
  </w:style>
  <w:style w:type="character" w:customStyle="1" w:styleId="ESParaChar">
    <w:name w:val="ES_Para Char"/>
    <w:basedOn w:val="ESSubparaHeaderChar"/>
    <w:link w:val="ESPara"/>
    <w:rsid w:val="002D167E"/>
    <w:rPr>
      <w:rFonts w:ascii="Times New Roman" w:hAnsi="Times New Roman" w:cs="Times New Roman"/>
    </w:rPr>
  </w:style>
  <w:style w:type="paragraph" w:styleId="Header">
    <w:name w:val="header"/>
    <w:basedOn w:val="Normal"/>
    <w:link w:val="HeaderChar"/>
    <w:uiPriority w:val="99"/>
    <w:unhideWhenUsed/>
    <w:rsid w:val="00103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ACA"/>
  </w:style>
  <w:style w:type="paragraph" w:styleId="Footer">
    <w:name w:val="footer"/>
    <w:basedOn w:val="Normal"/>
    <w:link w:val="FooterChar"/>
    <w:uiPriority w:val="99"/>
    <w:unhideWhenUsed/>
    <w:rsid w:val="00103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ACA"/>
  </w:style>
  <w:style w:type="paragraph" w:customStyle="1" w:styleId="LDFooter">
    <w:name w:val="LDFooter"/>
    <w:rsid w:val="00103ACA"/>
    <w:pPr>
      <w:pBdr>
        <w:top w:val="single" w:sz="4" w:space="1" w:color="auto"/>
      </w:pBdr>
      <w:spacing w:after="0" w:line="240" w:lineRule="auto"/>
    </w:pPr>
    <w:rPr>
      <w:rFonts w:ascii="Times New Roman" w:hAnsi="Times New Roman"/>
      <w:sz w:val="18"/>
      <w:szCs w:val="16"/>
    </w:rPr>
  </w:style>
  <w:style w:type="character" w:styleId="CommentReference">
    <w:name w:val="annotation reference"/>
    <w:basedOn w:val="DefaultParagraphFont"/>
    <w:uiPriority w:val="99"/>
    <w:semiHidden/>
    <w:unhideWhenUsed/>
    <w:rsid w:val="00734C88"/>
    <w:rPr>
      <w:sz w:val="16"/>
      <w:szCs w:val="16"/>
    </w:rPr>
  </w:style>
  <w:style w:type="paragraph" w:styleId="CommentText">
    <w:name w:val="annotation text"/>
    <w:basedOn w:val="Normal"/>
    <w:link w:val="CommentTextChar"/>
    <w:uiPriority w:val="99"/>
    <w:unhideWhenUsed/>
    <w:rsid w:val="00734C88"/>
    <w:pPr>
      <w:spacing w:line="240" w:lineRule="auto"/>
    </w:pPr>
    <w:rPr>
      <w:sz w:val="20"/>
      <w:szCs w:val="20"/>
    </w:rPr>
  </w:style>
  <w:style w:type="character" w:customStyle="1" w:styleId="CommentTextChar">
    <w:name w:val="Comment Text Char"/>
    <w:basedOn w:val="DefaultParagraphFont"/>
    <w:link w:val="CommentText"/>
    <w:uiPriority w:val="99"/>
    <w:rsid w:val="00734C88"/>
    <w:rPr>
      <w:sz w:val="20"/>
      <w:szCs w:val="20"/>
    </w:rPr>
  </w:style>
  <w:style w:type="paragraph" w:styleId="CommentSubject">
    <w:name w:val="annotation subject"/>
    <w:basedOn w:val="CommentText"/>
    <w:next w:val="CommentText"/>
    <w:link w:val="CommentSubjectChar"/>
    <w:uiPriority w:val="99"/>
    <w:semiHidden/>
    <w:unhideWhenUsed/>
    <w:rsid w:val="00734C88"/>
    <w:rPr>
      <w:b/>
      <w:bCs/>
    </w:rPr>
  </w:style>
  <w:style w:type="character" w:customStyle="1" w:styleId="CommentSubjectChar">
    <w:name w:val="Comment Subject Char"/>
    <w:basedOn w:val="CommentTextChar"/>
    <w:link w:val="CommentSubject"/>
    <w:uiPriority w:val="99"/>
    <w:semiHidden/>
    <w:rsid w:val="00734C88"/>
    <w:rPr>
      <w:b/>
      <w:bCs/>
      <w:sz w:val="20"/>
      <w:szCs w:val="20"/>
    </w:rPr>
  </w:style>
  <w:style w:type="paragraph" w:styleId="BalloonText">
    <w:name w:val="Balloon Text"/>
    <w:basedOn w:val="Normal"/>
    <w:link w:val="BalloonTextChar"/>
    <w:uiPriority w:val="99"/>
    <w:semiHidden/>
    <w:unhideWhenUsed/>
    <w:rsid w:val="00734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9840">
      <w:bodyDiv w:val="1"/>
      <w:marLeft w:val="0"/>
      <w:marRight w:val="0"/>
      <w:marTop w:val="0"/>
      <w:marBottom w:val="0"/>
      <w:divBdr>
        <w:top w:val="none" w:sz="0" w:space="0" w:color="auto"/>
        <w:left w:val="none" w:sz="0" w:space="0" w:color="auto"/>
        <w:bottom w:val="none" w:sz="0" w:space="0" w:color="auto"/>
        <w:right w:val="none" w:sz="0" w:space="0" w:color="auto"/>
      </w:divBdr>
    </w:div>
    <w:div w:id="367223262">
      <w:bodyDiv w:val="1"/>
      <w:marLeft w:val="0"/>
      <w:marRight w:val="0"/>
      <w:marTop w:val="0"/>
      <w:marBottom w:val="0"/>
      <w:divBdr>
        <w:top w:val="none" w:sz="0" w:space="0" w:color="auto"/>
        <w:left w:val="none" w:sz="0" w:space="0" w:color="auto"/>
        <w:bottom w:val="none" w:sz="0" w:space="0" w:color="auto"/>
        <w:right w:val="none" w:sz="0" w:space="0" w:color="auto"/>
      </w:divBdr>
    </w:div>
    <w:div w:id="851452678">
      <w:bodyDiv w:val="1"/>
      <w:marLeft w:val="0"/>
      <w:marRight w:val="0"/>
      <w:marTop w:val="0"/>
      <w:marBottom w:val="0"/>
      <w:divBdr>
        <w:top w:val="none" w:sz="0" w:space="0" w:color="auto"/>
        <w:left w:val="none" w:sz="0" w:space="0" w:color="auto"/>
        <w:bottom w:val="none" w:sz="0" w:space="0" w:color="auto"/>
        <w:right w:val="none" w:sz="0" w:space="0" w:color="auto"/>
      </w:divBdr>
    </w:div>
    <w:div w:id="876236995">
      <w:bodyDiv w:val="1"/>
      <w:marLeft w:val="0"/>
      <w:marRight w:val="0"/>
      <w:marTop w:val="0"/>
      <w:marBottom w:val="0"/>
      <w:divBdr>
        <w:top w:val="none" w:sz="0" w:space="0" w:color="auto"/>
        <w:left w:val="none" w:sz="0" w:space="0" w:color="auto"/>
        <w:bottom w:val="none" w:sz="0" w:space="0" w:color="auto"/>
        <w:right w:val="none" w:sz="0" w:space="0" w:color="auto"/>
      </w:divBdr>
    </w:div>
    <w:div w:id="1472405922">
      <w:bodyDiv w:val="1"/>
      <w:marLeft w:val="0"/>
      <w:marRight w:val="0"/>
      <w:marTop w:val="0"/>
      <w:marBottom w:val="0"/>
      <w:divBdr>
        <w:top w:val="none" w:sz="0" w:space="0" w:color="auto"/>
        <w:left w:val="none" w:sz="0" w:space="0" w:color="auto"/>
        <w:bottom w:val="none" w:sz="0" w:space="0" w:color="auto"/>
        <w:right w:val="none" w:sz="0" w:space="0" w:color="auto"/>
      </w:divBdr>
    </w:div>
    <w:div w:id="1749955385">
      <w:bodyDiv w:val="1"/>
      <w:marLeft w:val="0"/>
      <w:marRight w:val="0"/>
      <w:marTop w:val="0"/>
      <w:marBottom w:val="0"/>
      <w:divBdr>
        <w:top w:val="none" w:sz="0" w:space="0" w:color="auto"/>
        <w:left w:val="none" w:sz="0" w:space="0" w:color="auto"/>
        <w:bottom w:val="none" w:sz="0" w:space="0" w:color="auto"/>
        <w:right w:val="none" w:sz="0" w:space="0" w:color="auto"/>
      </w:divBdr>
    </w:div>
    <w:div w:id="204998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2024-02-16T06:10:00Z</dcterms:created>
  <dcterms:modified xsi:type="dcterms:W3CDTF">2024-02-16T06:10:00Z</dcterms:modified>
</cp:coreProperties>
</file>