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EDCA" w14:textId="77777777" w:rsidR="00BF3C2B" w:rsidRPr="003C5719" w:rsidRDefault="00BF3C2B" w:rsidP="00BF3C2B">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C802112" w14:textId="77777777" w:rsidR="00BF3C2B" w:rsidRPr="003C5719" w:rsidRDefault="00BF3C2B" w:rsidP="00BF3C2B">
      <w:pPr>
        <w:pStyle w:val="Heading2"/>
        <w:jc w:val="center"/>
        <w:rPr>
          <w:sz w:val="24"/>
          <w:szCs w:val="24"/>
        </w:rPr>
      </w:pPr>
      <w:r w:rsidRPr="003C5719">
        <w:rPr>
          <w:sz w:val="24"/>
          <w:szCs w:val="24"/>
        </w:rPr>
        <w:t xml:space="preserve">Issued by authority of </w:t>
      </w:r>
      <w:sdt>
        <w:sdtPr>
          <w:rPr>
            <w:rStyle w:val="DefaultChar"/>
          </w:rPr>
          <w:id w:val="-1025254589"/>
          <w:placeholder>
            <w:docPart w:val="33D338E16722407E9238FAE3676DDF8E"/>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Assistant Treasurer and Minister for Financial Services</w:t>
          </w:r>
        </w:sdtContent>
      </w:sdt>
      <w:r w:rsidRPr="003C5719">
        <w:rPr>
          <w:sz w:val="24"/>
          <w:szCs w:val="24"/>
        </w:rPr>
        <w:t xml:space="preserve"> </w:t>
      </w:r>
    </w:p>
    <w:p w14:paraId="4A817C57" w14:textId="77777777" w:rsidR="00BF3C2B" w:rsidRPr="003C5719" w:rsidRDefault="00BF3C2B" w:rsidP="00BF3C2B">
      <w:pPr>
        <w:spacing w:before="240" w:after="240"/>
        <w:jc w:val="center"/>
        <w:rPr>
          <w:i/>
        </w:rPr>
      </w:pPr>
      <w:r>
        <w:rPr>
          <w:i/>
        </w:rPr>
        <w:t>Income Tax Assessment Act 1997</w:t>
      </w:r>
    </w:p>
    <w:p w14:paraId="648BF669" w14:textId="77777777" w:rsidR="00BF3C2B" w:rsidRPr="003C5719" w:rsidRDefault="00BF3C2B" w:rsidP="00BF3C2B">
      <w:pPr>
        <w:tabs>
          <w:tab w:val="left" w:pos="1418"/>
        </w:tabs>
        <w:spacing w:before="0" w:after="240"/>
        <w:jc w:val="center"/>
        <w:rPr>
          <w:i/>
        </w:rPr>
      </w:pPr>
      <w:r>
        <w:rPr>
          <w:i/>
        </w:rPr>
        <w:t>Income Tax Assessment Amendment (Junior Minerals Exploration Incentive) Regulations 202</w:t>
      </w:r>
      <w:r w:rsidRPr="00BF3C2B">
        <w:rPr>
          <w:i/>
        </w:rPr>
        <w:t>4</w:t>
      </w:r>
    </w:p>
    <w:p w14:paraId="68790E0E" w14:textId="77777777" w:rsidR="00BF3C2B" w:rsidRDefault="00BF3C2B" w:rsidP="00BF3C2B">
      <w:pPr>
        <w:spacing w:before="240"/>
      </w:pPr>
      <w:r>
        <w:t xml:space="preserve">Subsection 909-1(1) </w:t>
      </w:r>
      <w:r w:rsidRPr="00503E44">
        <w:t xml:space="preserve">of the </w:t>
      </w:r>
      <w:r w:rsidRPr="00137D46">
        <w:rPr>
          <w:i/>
        </w:rPr>
        <w:t>Income Tax Assessment Act 1997</w:t>
      </w:r>
      <w:r>
        <w:rPr>
          <w:i/>
        </w:rPr>
        <w:t xml:space="preserve"> </w:t>
      </w:r>
      <w:r>
        <w:t>(the Act)</w:t>
      </w:r>
      <w:r w:rsidRPr="00503E44">
        <w:t xml:space="preserve"> provides that the Governor-General may make regulations </w:t>
      </w:r>
      <w:r>
        <w:t xml:space="preserve">for the purposes </w:t>
      </w:r>
      <w:r w:rsidRPr="008558C0">
        <w:t>necessary or convenient to prescribe for carrying out or giving effect to </w:t>
      </w:r>
      <w:r>
        <w:t>the Act</w:t>
      </w:r>
      <w:r>
        <w:rPr>
          <w:i/>
          <w:iCs/>
        </w:rPr>
        <w:t>.</w:t>
      </w:r>
      <w:r>
        <w:t xml:space="preserve"> </w:t>
      </w:r>
    </w:p>
    <w:p w14:paraId="071D2F38" w14:textId="77777777" w:rsidR="00BF3C2B" w:rsidRPr="002F4983" w:rsidRDefault="00BF3C2B" w:rsidP="00BF3C2B">
      <w:pPr>
        <w:spacing w:before="240"/>
      </w:pPr>
      <w:r>
        <w:t xml:space="preserve">Subsection 418-103(1) </w:t>
      </w:r>
      <w:r w:rsidRPr="00503E44">
        <w:t xml:space="preserve">of the </w:t>
      </w:r>
      <w:r>
        <w:t xml:space="preserve">Act provides for a cap on the amount of exploration credits to be allocated to small minerals exploration companies (junior explorers) each income year, and for the </w:t>
      </w:r>
      <w:proofErr w:type="gramStart"/>
      <w:r>
        <w:t>amount</w:t>
      </w:r>
      <w:proofErr w:type="gramEnd"/>
      <w:r>
        <w:t xml:space="preserve"> of credits unused in previous income years to be available for allocation in subsequent income years. </w:t>
      </w:r>
    </w:p>
    <w:p w14:paraId="05A91BB0" w14:textId="6B321106" w:rsidR="00BF3C2B" w:rsidRDefault="00BF3C2B" w:rsidP="00BF3C2B">
      <w:pPr>
        <w:pStyle w:val="NormalWeb"/>
        <w:keepNext/>
        <w:keepLines/>
      </w:pPr>
      <w:r>
        <w:t xml:space="preserve">The purpose of these regulations is to prescribe the amount of exploration credits that were allocated to junior explorers in the </w:t>
      </w:r>
      <w:proofErr w:type="gramStart"/>
      <w:r>
        <w:t xml:space="preserve">2021-22 and </w:t>
      </w:r>
      <w:r w:rsidRPr="00BF3C2B">
        <w:t>2022-23</w:t>
      </w:r>
      <w:r>
        <w:t xml:space="preserve"> income</w:t>
      </w:r>
      <w:proofErr w:type="gramEnd"/>
      <w:r>
        <w:t xml:space="preserve"> years but are unused and can be made available for allocation in the </w:t>
      </w:r>
      <w:r w:rsidRPr="00BF3C2B">
        <w:t>2024-25</w:t>
      </w:r>
      <w:r>
        <w:t xml:space="preserve"> income year. This aims to maximise the utilisation of exploration credits under the Junior Minerals Exploration Incentive. </w:t>
      </w:r>
    </w:p>
    <w:p w14:paraId="4397E616" w14:textId="368658A4" w:rsidR="00BF3C2B" w:rsidRDefault="00BF3C2B" w:rsidP="00BF3C2B">
      <w:pPr>
        <w:spacing w:before="240"/>
      </w:pPr>
      <w:r>
        <w:t xml:space="preserve">The </w:t>
      </w:r>
      <w:r>
        <w:rPr>
          <w:iCs/>
        </w:rPr>
        <w:t>Junior Minerals Exploration Incentive</w:t>
      </w:r>
      <w:r>
        <w:rPr>
          <w:i/>
        </w:rPr>
        <w:t xml:space="preserve"> </w:t>
      </w:r>
      <w:r>
        <w:t xml:space="preserve">provides an incentive for investment in junior explorers undertaking greenfield minerals exploration in Australia. The amount of exploration credits available under the Junior Minerals Exploration Incentive each income year is capped. </w:t>
      </w:r>
    </w:p>
    <w:p w14:paraId="3562A7D8" w14:textId="77777777" w:rsidR="00BF3C2B" w:rsidRDefault="00BF3C2B" w:rsidP="00BF3C2B">
      <w:pPr>
        <w:spacing w:before="240"/>
      </w:pPr>
      <w:r>
        <w:t xml:space="preserve">To be allocated exploration credits, junior explorers apply to the Commissioner of Taxation (Commissioner). Exploration credits are allocated on a first-come, first-served basis. The application period opens in June each year ahead of the subsequent income year. In allocating exploration credits in an income year, the Commissioner cannot exceed the annual exploration cap specified in the Act for that year. </w:t>
      </w:r>
    </w:p>
    <w:p w14:paraId="24CDD8BF" w14:textId="0661DE6E" w:rsidR="00BF3C2B" w:rsidRDefault="00BF3C2B" w:rsidP="00BF3C2B">
      <w:pPr>
        <w:spacing w:before="240"/>
      </w:pPr>
      <w:r>
        <w:t>Once the junior explorers have been notified by the Commissioner that they have received an allocation of exploration credits, they will then</w:t>
      </w:r>
      <w:r w:rsidRPr="001F745F">
        <w:t xml:space="preserve"> seek to raise </w:t>
      </w:r>
      <w:r>
        <w:t>capital</w:t>
      </w:r>
      <w:r w:rsidRPr="001F745F">
        <w:t xml:space="preserve"> </w:t>
      </w:r>
      <w:r w:rsidR="002C5ECA">
        <w:t>from investors</w:t>
      </w:r>
      <w:r w:rsidRPr="001F745F">
        <w:t xml:space="preserve"> </w:t>
      </w:r>
      <w:r>
        <w:t>to fund</w:t>
      </w:r>
      <w:r w:rsidRPr="001F745F">
        <w:t xml:space="preserve"> exploration activit</w:t>
      </w:r>
      <w:r>
        <w:t>ies</w:t>
      </w:r>
      <w:r w:rsidRPr="001F745F">
        <w:t xml:space="preserve">. </w:t>
      </w:r>
    </w:p>
    <w:p w14:paraId="0800D19C" w14:textId="77777777" w:rsidR="00BF3C2B" w:rsidRDefault="00BF3C2B" w:rsidP="00BF3C2B">
      <w:pPr>
        <w:spacing w:before="240"/>
      </w:pPr>
      <w:r w:rsidRPr="001F745F">
        <w:t xml:space="preserve">Where the junior explorers are not able to raise capital from investors or spend the capital they raised on eligible exploration expenditure, they </w:t>
      </w:r>
      <w:r>
        <w:t xml:space="preserve">are not able to utilise their allocation of exploration credits. </w:t>
      </w:r>
    </w:p>
    <w:p w14:paraId="24DD378E" w14:textId="1B2C31D3" w:rsidR="00BF3C2B" w:rsidRDefault="00BF3C2B" w:rsidP="00E81ED8">
      <w:pPr>
        <w:spacing w:before="240"/>
      </w:pPr>
      <w:r>
        <w:t xml:space="preserve">The Regulations provide that an additional </w:t>
      </w:r>
      <w:r w:rsidRPr="00F33E7A">
        <w:t>$4</w:t>
      </w:r>
      <w:r w:rsidR="0005730D">
        <w:t>.77 million</w:t>
      </w:r>
      <w:r w:rsidRPr="00F33E7A">
        <w:t xml:space="preserve"> </w:t>
      </w:r>
      <w:r>
        <w:t xml:space="preserve">is added to form part of the annual exploration cap for the </w:t>
      </w:r>
      <w:r w:rsidRPr="00944564">
        <w:t>2024-25</w:t>
      </w:r>
      <w:r>
        <w:t xml:space="preserve"> income year. This amount </w:t>
      </w:r>
      <w:r w:rsidR="005342D0">
        <w:t xml:space="preserve">reflects the </w:t>
      </w:r>
      <w:r w:rsidR="00E71948">
        <w:t>exploration credits</w:t>
      </w:r>
      <w:r w:rsidR="00DE0C61">
        <w:t xml:space="preserve"> allocated in the 2021-22 income year to </w:t>
      </w:r>
      <w:r w:rsidR="00D30BB5">
        <w:t>junior explorers</w:t>
      </w:r>
      <w:r w:rsidR="00DE0C61">
        <w:t xml:space="preserve"> that have not</w:t>
      </w:r>
      <w:r w:rsidR="00762889">
        <w:t xml:space="preserve"> utilised the credits </w:t>
      </w:r>
      <w:r w:rsidR="00733BF7">
        <w:t>with</w:t>
      </w:r>
      <w:r w:rsidR="00DE0C61">
        <w:t xml:space="preserve">in the </w:t>
      </w:r>
      <w:r w:rsidR="002C335F">
        <w:t xml:space="preserve">required </w:t>
      </w:r>
      <w:r w:rsidR="00DE0C61">
        <w:t>two</w:t>
      </w:r>
      <w:r w:rsidR="007B1E72">
        <w:t>-</w:t>
      </w:r>
      <w:r w:rsidR="00DE0C61">
        <w:t xml:space="preserve">year period, and </w:t>
      </w:r>
      <w:r w:rsidR="00304F2E">
        <w:t xml:space="preserve">the exploration credits </w:t>
      </w:r>
      <w:r w:rsidR="00DE0C61">
        <w:t xml:space="preserve">allocated in the 2022-23 income year to </w:t>
      </w:r>
      <w:r w:rsidR="00304F2E">
        <w:t xml:space="preserve">junior explorers that </w:t>
      </w:r>
      <w:r w:rsidR="0080641E">
        <w:t>did not raise capital</w:t>
      </w:r>
      <w:r w:rsidR="00DE0C61">
        <w:t xml:space="preserve"> and will be unable to utilise their allocation. </w:t>
      </w:r>
    </w:p>
    <w:p w14:paraId="55A90C2A" w14:textId="77777777" w:rsidR="00BF3C2B" w:rsidRDefault="00BF3C2B" w:rsidP="00BF3C2B">
      <w:pPr>
        <w:spacing w:before="240"/>
      </w:pPr>
      <w:r>
        <w:lastRenderedPageBreak/>
        <w:t xml:space="preserve">The amendment represents a small administrative change and as such no public consultation was undertaken. </w:t>
      </w:r>
    </w:p>
    <w:p w14:paraId="51448F55" w14:textId="77777777" w:rsidR="00BF3C2B" w:rsidRDefault="00BF3C2B" w:rsidP="00BF3C2B">
      <w:pPr>
        <w:spacing w:before="240"/>
      </w:pPr>
      <w:r>
        <w:t xml:space="preserve">Details of the Regulations are set out in </w:t>
      </w:r>
      <w:r w:rsidRPr="00317816">
        <w:rPr>
          <w:u w:val="single"/>
        </w:rPr>
        <w:t>Attachment</w:t>
      </w:r>
      <w:r>
        <w:rPr>
          <w:u w:val="single"/>
        </w:rPr>
        <w:t xml:space="preserve"> A. </w:t>
      </w:r>
    </w:p>
    <w:p w14:paraId="4E3B952E" w14:textId="77777777" w:rsidR="00BF3C2B" w:rsidRDefault="00BF3C2B" w:rsidP="00BF3C2B">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5ED6F5BA" w14:textId="77777777" w:rsidR="00BF3C2B" w:rsidRDefault="00BF3C2B" w:rsidP="00BF3C2B">
      <w:pPr>
        <w:pStyle w:val="Heading2"/>
        <w:spacing w:before="360" w:after="120"/>
        <w:rPr>
          <w:b w:val="0"/>
          <w:i/>
          <w:color w:val="FF0000"/>
          <w:sz w:val="24"/>
          <w:szCs w:val="24"/>
          <w:u w:val="none"/>
        </w:rPr>
      </w:pPr>
      <w:r>
        <w:rPr>
          <w:sz w:val="24"/>
          <w:szCs w:val="24"/>
        </w:rPr>
        <w:t>Impact Analysis</w:t>
      </w:r>
    </w:p>
    <w:p w14:paraId="779DCF9C" w14:textId="2C845033" w:rsidR="00BF3C2B" w:rsidRPr="000D6A82" w:rsidRDefault="00BF3C2B" w:rsidP="00BF3C2B">
      <w:pPr>
        <w:pStyle w:val="Heading3"/>
        <w:rPr>
          <w:b w:val="0"/>
          <w:kern w:val="0"/>
        </w:rPr>
      </w:pPr>
      <w:r w:rsidRPr="00B06D10">
        <w:rPr>
          <w:b w:val="0"/>
          <w:kern w:val="0"/>
        </w:rPr>
        <w:t xml:space="preserve">The Office of Impact Analysis assessed </w:t>
      </w:r>
      <w:r w:rsidR="00207DDF">
        <w:rPr>
          <w:b w:val="0"/>
          <w:kern w:val="0"/>
        </w:rPr>
        <w:t xml:space="preserve">that </w:t>
      </w:r>
      <w:r w:rsidRPr="00B06D10">
        <w:rPr>
          <w:b w:val="0"/>
          <w:kern w:val="0"/>
        </w:rPr>
        <w:t>a</w:t>
      </w:r>
      <w:r>
        <w:rPr>
          <w:b w:val="0"/>
          <w:kern w:val="0"/>
        </w:rPr>
        <w:t>n Impact Analysis</w:t>
      </w:r>
      <w:r w:rsidRPr="00B06D10">
        <w:rPr>
          <w:b w:val="0"/>
          <w:kern w:val="0"/>
        </w:rPr>
        <w:t xml:space="preserve"> </w:t>
      </w:r>
      <w:r w:rsidR="00207DDF">
        <w:rPr>
          <w:b w:val="0"/>
          <w:kern w:val="0"/>
        </w:rPr>
        <w:t>w</w:t>
      </w:r>
      <w:r w:rsidRPr="00B06D10">
        <w:rPr>
          <w:b w:val="0"/>
          <w:kern w:val="0"/>
        </w:rPr>
        <w:t xml:space="preserve">as unnecessary as the Regulations are machinery in nature. </w:t>
      </w:r>
      <w:r w:rsidRPr="00323B7D">
        <w:rPr>
          <w:b w:val="0"/>
          <w:kern w:val="0"/>
        </w:rPr>
        <w:t>(OIA23-05032).</w:t>
      </w:r>
      <w:r w:rsidRPr="6B336BA0">
        <w:rPr>
          <w:b w:val="0"/>
          <w:i/>
          <w:iCs/>
          <w:kern w:val="0"/>
        </w:rPr>
        <w:t> </w:t>
      </w:r>
      <w:r>
        <w:rPr>
          <w:b w:val="0"/>
          <w:kern w:val="0"/>
        </w:rPr>
        <w:t>This means</w:t>
      </w:r>
      <w:r w:rsidRPr="000D6A82">
        <w:rPr>
          <w:b w:val="0"/>
          <w:kern w:val="0"/>
        </w:rPr>
        <w:t xml:space="preserve"> a</w:t>
      </w:r>
      <w:r>
        <w:rPr>
          <w:b w:val="0"/>
          <w:kern w:val="0"/>
        </w:rPr>
        <w:t xml:space="preserve">n Impact Analysis is </w:t>
      </w:r>
      <w:r w:rsidRPr="000D6A82">
        <w:rPr>
          <w:b w:val="0"/>
          <w:kern w:val="0"/>
        </w:rPr>
        <w:t>not required.</w:t>
      </w:r>
    </w:p>
    <w:p w14:paraId="7C329B37" w14:textId="77777777" w:rsidR="00BF3C2B" w:rsidRPr="00013390" w:rsidRDefault="00BF3C2B" w:rsidP="00BF3C2B">
      <w:pPr>
        <w:spacing w:before="240"/>
      </w:pPr>
      <w:r>
        <w:t xml:space="preserve">A </w:t>
      </w:r>
      <w:r w:rsidRPr="00323B7D">
        <w:t>S</w:t>
      </w:r>
      <w:r>
        <w:t xml:space="preserve">tatement of Compatibility with Human Rights is at </w:t>
      </w:r>
      <w:r w:rsidRPr="000B39A1">
        <w:rPr>
          <w:u w:val="single"/>
        </w:rPr>
        <w:t xml:space="preserve">Attachment </w:t>
      </w:r>
      <w:r>
        <w:rPr>
          <w:u w:val="single"/>
        </w:rPr>
        <w:t>B</w:t>
      </w:r>
      <w:r>
        <w:t>.</w:t>
      </w:r>
    </w:p>
    <w:p w14:paraId="3C797D73" w14:textId="77777777" w:rsidR="00BF3C2B" w:rsidRDefault="00BF3C2B" w:rsidP="00BF3C2B">
      <w:pPr>
        <w:spacing w:before="0" w:after="0"/>
      </w:pPr>
      <w:r>
        <w:br w:type="page"/>
      </w:r>
    </w:p>
    <w:p w14:paraId="1BCE70FB" w14:textId="77777777" w:rsidR="00BF3C2B" w:rsidRDefault="00BF3C2B" w:rsidP="00BF3C2B">
      <w:pPr>
        <w:pageBreakBefore/>
        <w:spacing w:before="240"/>
        <w:jc w:val="right"/>
        <w:rPr>
          <w:b/>
          <w:u w:val="single"/>
        </w:rPr>
      </w:pPr>
      <w:r w:rsidRPr="007B335E">
        <w:rPr>
          <w:b/>
          <w:u w:val="single"/>
        </w:rPr>
        <w:lastRenderedPageBreak/>
        <w:t>ATTACHMENT</w:t>
      </w:r>
      <w:r>
        <w:rPr>
          <w:b/>
          <w:u w:val="single"/>
        </w:rPr>
        <w:t xml:space="preserve"> A</w:t>
      </w:r>
    </w:p>
    <w:p w14:paraId="59D11C9B" w14:textId="77777777" w:rsidR="00BF3C2B" w:rsidRDefault="00BF3C2B" w:rsidP="00BF3C2B">
      <w:pPr>
        <w:spacing w:before="240"/>
        <w:ind w:right="91"/>
        <w:rPr>
          <w:b/>
          <w:bCs/>
          <w:szCs w:val="24"/>
          <w:u w:val="single"/>
        </w:rPr>
      </w:pPr>
      <w:r>
        <w:rPr>
          <w:b/>
          <w:bCs/>
          <w:u w:val="single"/>
        </w:rPr>
        <w:t xml:space="preserve">Details of the </w:t>
      </w:r>
      <w:r w:rsidRPr="00BF3E9E">
        <w:rPr>
          <w:b/>
          <w:i/>
          <w:u w:val="single"/>
        </w:rPr>
        <w:t>Income Tax Assessment Amendment (Junior Minerals Exploration Incentive) Regulations 202</w:t>
      </w:r>
      <w:r w:rsidRPr="00323B7D">
        <w:rPr>
          <w:b/>
          <w:i/>
          <w:u w:val="single"/>
        </w:rPr>
        <w:t>4</w:t>
      </w:r>
    </w:p>
    <w:p w14:paraId="464354D4" w14:textId="77777777" w:rsidR="00BF3C2B" w:rsidRDefault="00BF3C2B" w:rsidP="00BF3C2B">
      <w:pPr>
        <w:spacing w:before="240"/>
        <w:rPr>
          <w:rFonts w:ascii="Calibri" w:hAnsi="Calibri"/>
          <w:sz w:val="22"/>
          <w:szCs w:val="22"/>
          <w:u w:val="single"/>
          <w:lang w:eastAsia="en-US"/>
        </w:rPr>
      </w:pPr>
      <w:r>
        <w:rPr>
          <w:u w:val="single"/>
        </w:rPr>
        <w:t>Section 1 – Name of the Regulations</w:t>
      </w:r>
    </w:p>
    <w:p w14:paraId="201A1FC9" w14:textId="77777777" w:rsidR="00BF3C2B" w:rsidRDefault="00BF3C2B" w:rsidP="00BF3C2B">
      <w:pPr>
        <w:spacing w:before="240"/>
      </w:pPr>
      <w:r>
        <w:t xml:space="preserve">This section provides that the name of the Regulations is the </w:t>
      </w:r>
      <w:r w:rsidRPr="00BF3E9E">
        <w:rPr>
          <w:i/>
        </w:rPr>
        <w:t>Income Tax Assessment Amendment (Junior Minerals Exploration Incentive) Regulations 202</w:t>
      </w:r>
      <w:r w:rsidRPr="00323B7D">
        <w:rPr>
          <w:i/>
        </w:rPr>
        <w:t>4</w:t>
      </w:r>
      <w:r>
        <w:t xml:space="preserve"> (the Regulations).</w:t>
      </w:r>
    </w:p>
    <w:p w14:paraId="25422289" w14:textId="77777777" w:rsidR="00BF3C2B" w:rsidRDefault="00BF3C2B" w:rsidP="00BF3C2B">
      <w:pPr>
        <w:spacing w:before="240"/>
        <w:ind w:right="91"/>
        <w:rPr>
          <w:u w:val="single"/>
        </w:rPr>
      </w:pPr>
      <w:r>
        <w:rPr>
          <w:u w:val="single"/>
        </w:rPr>
        <w:t>Section 2 – Commencement</w:t>
      </w:r>
    </w:p>
    <w:p w14:paraId="7533A44E" w14:textId="77777777" w:rsidR="00BF3C2B" w:rsidRDefault="00BF3C2B" w:rsidP="00BF3C2B">
      <w:pPr>
        <w:spacing w:before="240"/>
        <w:ind w:right="91"/>
      </w:pPr>
      <w:r>
        <w:t xml:space="preserve">Schedule 1 to the Regulations </w:t>
      </w:r>
      <w:r w:rsidRPr="00746D02">
        <w:t>commence</w:t>
      </w:r>
      <w:r>
        <w:t>s</w:t>
      </w:r>
      <w:r w:rsidRPr="00746D02">
        <w:t xml:space="preserve"> the day after the instrument is registered on the Federal Register of Legislation.</w:t>
      </w:r>
    </w:p>
    <w:p w14:paraId="59332990" w14:textId="77777777" w:rsidR="00BF3C2B" w:rsidRDefault="00BF3C2B" w:rsidP="00BF3C2B">
      <w:pPr>
        <w:spacing w:before="240"/>
        <w:ind w:right="91"/>
        <w:rPr>
          <w:u w:val="single"/>
        </w:rPr>
      </w:pPr>
      <w:r>
        <w:rPr>
          <w:u w:val="single"/>
        </w:rPr>
        <w:t>Section 3 – Authority</w:t>
      </w:r>
    </w:p>
    <w:p w14:paraId="1ACE6271" w14:textId="77777777" w:rsidR="00BF3C2B" w:rsidRDefault="00BF3C2B" w:rsidP="00BF3C2B">
      <w:pPr>
        <w:spacing w:before="240"/>
        <w:ind w:right="91"/>
      </w:pPr>
      <w:r>
        <w:t xml:space="preserve">The Regulations are made under the </w:t>
      </w:r>
      <w:r w:rsidRPr="00BF3E9E">
        <w:rPr>
          <w:i/>
          <w:iCs/>
        </w:rPr>
        <w:t xml:space="preserve">Income Tax Assessment Act 1997 </w:t>
      </w:r>
      <w:r>
        <w:t>(the Act).</w:t>
      </w:r>
    </w:p>
    <w:p w14:paraId="7AA33674" w14:textId="77777777" w:rsidR="00BF3C2B" w:rsidRDefault="00BF3C2B" w:rsidP="00BF3C2B">
      <w:pPr>
        <w:spacing w:before="240"/>
        <w:ind w:right="91"/>
        <w:rPr>
          <w:u w:val="single"/>
        </w:rPr>
      </w:pPr>
      <w:r>
        <w:rPr>
          <w:u w:val="single"/>
        </w:rPr>
        <w:t>Section 4 – Schedule</w:t>
      </w:r>
    </w:p>
    <w:p w14:paraId="626D0330" w14:textId="77777777" w:rsidR="00BF3C2B" w:rsidRDefault="00BF3C2B" w:rsidP="00BF3C2B">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0B203CCE" w14:textId="77777777" w:rsidR="00BF3C2B" w:rsidRDefault="00BF3C2B" w:rsidP="00BF3C2B">
      <w:pPr>
        <w:spacing w:after="0"/>
        <w:ind w:right="91"/>
        <w:rPr>
          <w:color w:val="FF0000"/>
          <w:u w:val="single"/>
        </w:rPr>
      </w:pPr>
      <w:r>
        <w:rPr>
          <w:u w:val="single"/>
        </w:rPr>
        <w:t xml:space="preserve">Schedule 1 – Amendments </w:t>
      </w:r>
    </w:p>
    <w:p w14:paraId="6EC961AE" w14:textId="77777777" w:rsidR="00BF3C2B" w:rsidRPr="004E3A85" w:rsidRDefault="00BF3C2B" w:rsidP="004E1D2D">
      <w:pPr>
        <w:spacing w:before="240" w:after="0"/>
        <w:ind w:right="91"/>
        <w:rPr>
          <w:i/>
          <w:iCs/>
        </w:rPr>
      </w:pPr>
      <w:r w:rsidRPr="5733D36C">
        <w:rPr>
          <w:i/>
          <w:iCs/>
        </w:rPr>
        <w:t>Income Tax Assessment (1997 Act) Regulations 2021</w:t>
      </w:r>
    </w:p>
    <w:p w14:paraId="3EB54EEA" w14:textId="77777777" w:rsidR="00BF3C2B" w:rsidRPr="001416BD" w:rsidRDefault="00BF3C2B" w:rsidP="004E1D2D">
      <w:pPr>
        <w:spacing w:before="240"/>
        <w:ind w:right="91"/>
        <w:rPr>
          <w:b/>
          <w:bCs/>
        </w:rPr>
      </w:pPr>
      <w:r w:rsidRPr="004E3A85">
        <w:rPr>
          <w:b/>
          <w:bCs/>
        </w:rPr>
        <w:t>Clause 1 of Schedule 1</w:t>
      </w:r>
    </w:p>
    <w:p w14:paraId="4CA146D7" w14:textId="5BF04573" w:rsidR="00BF3C2B" w:rsidRDefault="00BF3C2B" w:rsidP="00BF3C2B">
      <w:pPr>
        <w:spacing w:before="240"/>
      </w:pPr>
      <w:r>
        <w:t xml:space="preserve">An additional </w:t>
      </w:r>
      <w:r w:rsidRPr="00323B7D">
        <w:t>$4.77 million</w:t>
      </w:r>
      <w:r>
        <w:t xml:space="preserve"> is added to form part of the annual exploration cap for the </w:t>
      </w:r>
      <w:r w:rsidRPr="00323B7D">
        <w:t>2024-25</w:t>
      </w:r>
      <w:r>
        <w:t xml:space="preserve"> income year, pursuant to </w:t>
      </w:r>
      <w:r>
        <w:rPr>
          <w:color w:val="000000"/>
          <w:szCs w:val="22"/>
        </w:rPr>
        <w:t>paragraph 418</w:t>
      </w:r>
      <w:r>
        <w:rPr>
          <w:color w:val="000000"/>
          <w:szCs w:val="22"/>
        </w:rPr>
        <w:noBreakHyphen/>
        <w:t>103(1)(</w:t>
      </w:r>
      <w:r w:rsidRPr="00883B41">
        <w:rPr>
          <w:color w:val="000000"/>
          <w:szCs w:val="22"/>
        </w:rPr>
        <w:t>h</w:t>
      </w:r>
      <w:r>
        <w:rPr>
          <w:color w:val="000000"/>
          <w:szCs w:val="22"/>
        </w:rPr>
        <w:t>) of the Act.</w:t>
      </w:r>
    </w:p>
    <w:p w14:paraId="62278C28" w14:textId="77777777" w:rsidR="00BF3C2B" w:rsidRDefault="00BF3C2B" w:rsidP="00BF3C2B">
      <w:pPr>
        <w:spacing w:before="0" w:after="0"/>
        <w:rPr>
          <w:b/>
          <w:kern w:val="28"/>
        </w:rPr>
      </w:pPr>
      <w:r>
        <w:br w:type="page"/>
      </w:r>
    </w:p>
    <w:p w14:paraId="2238C382" w14:textId="77777777" w:rsidR="00BF3C2B" w:rsidRDefault="00BF3C2B" w:rsidP="00BF3C2B">
      <w:pPr>
        <w:pageBreakBefore/>
        <w:spacing w:before="240"/>
        <w:jc w:val="right"/>
        <w:rPr>
          <w:b/>
          <w:u w:val="single"/>
        </w:rPr>
      </w:pPr>
      <w:r w:rsidRPr="007B335E">
        <w:rPr>
          <w:b/>
          <w:u w:val="single"/>
        </w:rPr>
        <w:lastRenderedPageBreak/>
        <w:t xml:space="preserve">ATTACHMENT </w:t>
      </w:r>
      <w:r>
        <w:rPr>
          <w:b/>
          <w:u w:val="single"/>
        </w:rPr>
        <w:t>B</w:t>
      </w:r>
    </w:p>
    <w:p w14:paraId="76B1180F" w14:textId="77777777" w:rsidR="00BF3C2B" w:rsidRPr="00462095" w:rsidRDefault="00BF3C2B" w:rsidP="00BF3C2B">
      <w:pPr>
        <w:pStyle w:val="Heading3"/>
      </w:pPr>
      <w:r w:rsidRPr="00462095">
        <w:t>Statement of Compatibility with Human Rights</w:t>
      </w:r>
    </w:p>
    <w:p w14:paraId="02F4DC62" w14:textId="77777777" w:rsidR="00BF3C2B" w:rsidRPr="00647BB7" w:rsidRDefault="00BF3C2B" w:rsidP="00BF3C2B">
      <w:pPr>
        <w:spacing w:before="240"/>
        <w:jc w:val="center"/>
        <w:rPr>
          <w:i/>
        </w:rPr>
      </w:pPr>
      <w:r w:rsidRPr="00647BB7">
        <w:rPr>
          <w:i/>
        </w:rPr>
        <w:t>Prepared in accordance with Part 3 of the Human Rights (Parliamentary Scrutiny) Act 2011</w:t>
      </w:r>
    </w:p>
    <w:p w14:paraId="06B7427E" w14:textId="77777777" w:rsidR="00BF3C2B" w:rsidRPr="006316CE" w:rsidRDefault="00BF3C2B" w:rsidP="00BF3C2B">
      <w:pPr>
        <w:pStyle w:val="Heading3"/>
        <w:jc w:val="center"/>
      </w:pPr>
      <w:r w:rsidRPr="006316CE">
        <w:t>Income Tax Assessment Amendment (Junior Minerals Exploration Incentive) Regulations 202</w:t>
      </w:r>
      <w:r w:rsidRPr="00883B41">
        <w:t>4</w:t>
      </w:r>
    </w:p>
    <w:p w14:paraId="3F7E99AB" w14:textId="77777777" w:rsidR="00BF3C2B" w:rsidRPr="00647BB7" w:rsidRDefault="00BF3C2B" w:rsidP="00BF3C2B">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6DA00F0" w14:textId="77777777" w:rsidR="00BF3C2B" w:rsidRPr="00647BB7" w:rsidRDefault="00BF3C2B" w:rsidP="00BF3C2B">
      <w:pPr>
        <w:pStyle w:val="Heading3"/>
      </w:pPr>
      <w:r w:rsidRPr="00647BB7">
        <w:t>Overview of the Legislative Instrument</w:t>
      </w:r>
    </w:p>
    <w:p w14:paraId="62DEE2EE" w14:textId="6BE77ACC" w:rsidR="00EB3C57" w:rsidRDefault="00EB3C57" w:rsidP="00A742C2">
      <w:pPr>
        <w:spacing w:before="240"/>
      </w:pPr>
      <w:r>
        <w:t xml:space="preserve">The Regulations provide that an additional </w:t>
      </w:r>
      <w:r w:rsidRPr="00F33E7A">
        <w:t>$</w:t>
      </w:r>
      <w:r w:rsidR="0005730D">
        <w:t>4.77 million</w:t>
      </w:r>
      <w:r w:rsidRPr="00F33E7A">
        <w:t xml:space="preserve"> </w:t>
      </w:r>
      <w:r>
        <w:t xml:space="preserve">is added to form part of the annual exploration cap for the </w:t>
      </w:r>
      <w:r w:rsidRPr="00944564">
        <w:t>2024-25</w:t>
      </w:r>
      <w:r>
        <w:t xml:space="preserve"> income year. This amount reflects the exploration credits allocated in the 2021-22 income year to junior explorers that have not utilised the credits within the required </w:t>
      </w:r>
      <w:r w:rsidR="00053FCC">
        <w:t>two-year</w:t>
      </w:r>
      <w:r>
        <w:t xml:space="preserve"> period, and the exploration credits allocated in the 2022-23 income year to junior explorers that did not raise capital and will be unable to utilise their allocation. </w:t>
      </w:r>
    </w:p>
    <w:p w14:paraId="0066AF5C" w14:textId="77777777" w:rsidR="00BF3C2B" w:rsidRPr="00647BB7" w:rsidRDefault="00BF3C2B" w:rsidP="00BF3C2B">
      <w:pPr>
        <w:pStyle w:val="Heading3"/>
      </w:pPr>
      <w:r w:rsidRPr="00647BB7">
        <w:t>Human rights implications</w:t>
      </w:r>
    </w:p>
    <w:p w14:paraId="7E620E9F" w14:textId="77777777" w:rsidR="00BF3C2B" w:rsidRPr="00647BB7" w:rsidRDefault="00BF3C2B" w:rsidP="00BF3C2B">
      <w:pPr>
        <w:spacing w:before="240"/>
      </w:pPr>
      <w:r w:rsidRPr="00647BB7">
        <w:t>This Legislative Instrument does not engage any of the applicable rights or freedoms.</w:t>
      </w:r>
    </w:p>
    <w:p w14:paraId="12D7DE6E" w14:textId="77777777" w:rsidR="00BF3C2B" w:rsidRPr="00647BB7" w:rsidRDefault="00BF3C2B" w:rsidP="00BF3C2B">
      <w:pPr>
        <w:pStyle w:val="Heading3"/>
      </w:pPr>
      <w:r w:rsidRPr="00647BB7">
        <w:t>Conclusion</w:t>
      </w:r>
    </w:p>
    <w:p w14:paraId="7E7CDCC7" w14:textId="77777777" w:rsidR="00BF3C2B" w:rsidRPr="00C84FA0" w:rsidRDefault="00BF3C2B" w:rsidP="00BF3C2B">
      <w:pPr>
        <w:spacing w:before="240"/>
      </w:pPr>
      <w:r w:rsidRPr="00647BB7">
        <w:t>This Legislative Instrument is compatible with human rights as it does not raise any human rights issues.</w:t>
      </w:r>
    </w:p>
    <w:p w14:paraId="1B7E318C" w14:textId="3F67A3DB" w:rsidR="00E37FF7" w:rsidRPr="00BF3C2B" w:rsidRDefault="00E37FF7" w:rsidP="00BF3C2B"/>
    <w:sectPr w:rsidR="00E37FF7" w:rsidRPr="00BF3C2B"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DD34" w14:textId="77777777" w:rsidR="00BC26CC" w:rsidRDefault="00BC26CC" w:rsidP="00954679">
      <w:pPr>
        <w:spacing w:before="0" w:after="0"/>
      </w:pPr>
      <w:r>
        <w:separator/>
      </w:r>
    </w:p>
  </w:endnote>
  <w:endnote w:type="continuationSeparator" w:id="0">
    <w:p w14:paraId="7BE9D79A" w14:textId="77777777" w:rsidR="00BC26CC" w:rsidRDefault="00BC26CC" w:rsidP="00954679">
      <w:pPr>
        <w:spacing w:before="0" w:after="0"/>
      </w:pPr>
      <w:r>
        <w:continuationSeparator/>
      </w:r>
    </w:p>
  </w:endnote>
  <w:endnote w:type="continuationNotice" w:id="1">
    <w:p w14:paraId="2946D8E2" w14:textId="77777777" w:rsidR="00BC26CC" w:rsidRDefault="00BC26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426F65F"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E363" w14:textId="77777777" w:rsidR="00BC26CC" w:rsidRDefault="00BC26CC" w:rsidP="00954679">
      <w:pPr>
        <w:spacing w:before="0" w:after="0"/>
      </w:pPr>
      <w:r>
        <w:separator/>
      </w:r>
    </w:p>
  </w:footnote>
  <w:footnote w:type="continuationSeparator" w:id="0">
    <w:p w14:paraId="19D17A34" w14:textId="77777777" w:rsidR="00BC26CC" w:rsidRDefault="00BC26CC" w:rsidP="00954679">
      <w:pPr>
        <w:spacing w:before="0" w:after="0"/>
      </w:pPr>
      <w:r>
        <w:continuationSeparator/>
      </w:r>
    </w:p>
  </w:footnote>
  <w:footnote w:type="continuationNotice" w:id="1">
    <w:p w14:paraId="6FA8CDDC" w14:textId="77777777" w:rsidR="00BC26CC" w:rsidRDefault="00BC26C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CE"/>
    <w:rsid w:val="00000FF9"/>
    <w:rsid w:val="000026BE"/>
    <w:rsid w:val="00003189"/>
    <w:rsid w:val="00005B51"/>
    <w:rsid w:val="0000628C"/>
    <w:rsid w:val="00013390"/>
    <w:rsid w:val="00016EA2"/>
    <w:rsid w:val="0002546A"/>
    <w:rsid w:val="00031AE1"/>
    <w:rsid w:val="00041C87"/>
    <w:rsid w:val="000455BA"/>
    <w:rsid w:val="00051648"/>
    <w:rsid w:val="000524A9"/>
    <w:rsid w:val="0005316A"/>
    <w:rsid w:val="00053FCC"/>
    <w:rsid w:val="000547DB"/>
    <w:rsid w:val="0005730D"/>
    <w:rsid w:val="00072C06"/>
    <w:rsid w:val="00075A77"/>
    <w:rsid w:val="00076020"/>
    <w:rsid w:val="00076178"/>
    <w:rsid w:val="00076E15"/>
    <w:rsid w:val="00076FF9"/>
    <w:rsid w:val="00080673"/>
    <w:rsid w:val="00082761"/>
    <w:rsid w:val="000851AE"/>
    <w:rsid w:val="000854E0"/>
    <w:rsid w:val="0008741E"/>
    <w:rsid w:val="00087556"/>
    <w:rsid w:val="00095211"/>
    <w:rsid w:val="000A69C5"/>
    <w:rsid w:val="000B39A1"/>
    <w:rsid w:val="000C10DF"/>
    <w:rsid w:val="000C2E12"/>
    <w:rsid w:val="000C3ECC"/>
    <w:rsid w:val="000C4B61"/>
    <w:rsid w:val="000C5C40"/>
    <w:rsid w:val="000C6935"/>
    <w:rsid w:val="000D11E5"/>
    <w:rsid w:val="000D2234"/>
    <w:rsid w:val="000D5827"/>
    <w:rsid w:val="000D59B4"/>
    <w:rsid w:val="000E32E3"/>
    <w:rsid w:val="000F1F12"/>
    <w:rsid w:val="000F3A05"/>
    <w:rsid w:val="000F53D9"/>
    <w:rsid w:val="001012C2"/>
    <w:rsid w:val="00106E10"/>
    <w:rsid w:val="00113B45"/>
    <w:rsid w:val="00114003"/>
    <w:rsid w:val="0011527C"/>
    <w:rsid w:val="00117C02"/>
    <w:rsid w:val="001276B4"/>
    <w:rsid w:val="001319C8"/>
    <w:rsid w:val="001331B7"/>
    <w:rsid w:val="00133D7A"/>
    <w:rsid w:val="00142BCF"/>
    <w:rsid w:val="0014608E"/>
    <w:rsid w:val="00172B5A"/>
    <w:rsid w:val="00174087"/>
    <w:rsid w:val="00182376"/>
    <w:rsid w:val="00187857"/>
    <w:rsid w:val="001933F4"/>
    <w:rsid w:val="00195A29"/>
    <w:rsid w:val="0019679A"/>
    <w:rsid w:val="001B4919"/>
    <w:rsid w:val="001B7535"/>
    <w:rsid w:val="001B7EC2"/>
    <w:rsid w:val="001C0477"/>
    <w:rsid w:val="001E0A66"/>
    <w:rsid w:val="001E6A74"/>
    <w:rsid w:val="001F24B7"/>
    <w:rsid w:val="001F41D0"/>
    <w:rsid w:val="001F462C"/>
    <w:rsid w:val="00207DDF"/>
    <w:rsid w:val="00220F16"/>
    <w:rsid w:val="00221082"/>
    <w:rsid w:val="00224931"/>
    <w:rsid w:val="0022683C"/>
    <w:rsid w:val="00231837"/>
    <w:rsid w:val="002341ED"/>
    <w:rsid w:val="002349A0"/>
    <w:rsid w:val="00240D31"/>
    <w:rsid w:val="0024245F"/>
    <w:rsid w:val="00242674"/>
    <w:rsid w:val="00247EE8"/>
    <w:rsid w:val="00254C5B"/>
    <w:rsid w:val="0027118E"/>
    <w:rsid w:val="002720F3"/>
    <w:rsid w:val="002725F4"/>
    <w:rsid w:val="002771E5"/>
    <w:rsid w:val="00277840"/>
    <w:rsid w:val="00287C5A"/>
    <w:rsid w:val="00293839"/>
    <w:rsid w:val="002A1236"/>
    <w:rsid w:val="002A3C80"/>
    <w:rsid w:val="002A6DA4"/>
    <w:rsid w:val="002A7B74"/>
    <w:rsid w:val="002A7E1F"/>
    <w:rsid w:val="002B0A16"/>
    <w:rsid w:val="002C0792"/>
    <w:rsid w:val="002C0A5A"/>
    <w:rsid w:val="002C226C"/>
    <w:rsid w:val="002C335F"/>
    <w:rsid w:val="002C3EE2"/>
    <w:rsid w:val="002C5ECA"/>
    <w:rsid w:val="002C7A8B"/>
    <w:rsid w:val="002D4B55"/>
    <w:rsid w:val="002E73BB"/>
    <w:rsid w:val="002F022D"/>
    <w:rsid w:val="002F6BB1"/>
    <w:rsid w:val="003037F8"/>
    <w:rsid w:val="003041FA"/>
    <w:rsid w:val="00304F2E"/>
    <w:rsid w:val="00312A68"/>
    <w:rsid w:val="00323B7D"/>
    <w:rsid w:val="003342CD"/>
    <w:rsid w:val="0033477F"/>
    <w:rsid w:val="00335042"/>
    <w:rsid w:val="00341642"/>
    <w:rsid w:val="00343DD0"/>
    <w:rsid w:val="0035574A"/>
    <w:rsid w:val="00355872"/>
    <w:rsid w:val="00357733"/>
    <w:rsid w:val="00360C0A"/>
    <w:rsid w:val="00362B70"/>
    <w:rsid w:val="00364DEE"/>
    <w:rsid w:val="00365582"/>
    <w:rsid w:val="00370395"/>
    <w:rsid w:val="0037180D"/>
    <w:rsid w:val="003723A5"/>
    <w:rsid w:val="003734CE"/>
    <w:rsid w:val="00373853"/>
    <w:rsid w:val="00392BBA"/>
    <w:rsid w:val="00392C0C"/>
    <w:rsid w:val="003954FD"/>
    <w:rsid w:val="003B19DD"/>
    <w:rsid w:val="003B31F4"/>
    <w:rsid w:val="003B4356"/>
    <w:rsid w:val="003C445C"/>
    <w:rsid w:val="003C5719"/>
    <w:rsid w:val="003C7907"/>
    <w:rsid w:val="003C7B82"/>
    <w:rsid w:val="003D0B99"/>
    <w:rsid w:val="003D392B"/>
    <w:rsid w:val="003D60D7"/>
    <w:rsid w:val="003E0411"/>
    <w:rsid w:val="003E1227"/>
    <w:rsid w:val="003E1C8F"/>
    <w:rsid w:val="003E1CE3"/>
    <w:rsid w:val="003E7398"/>
    <w:rsid w:val="003E77BC"/>
    <w:rsid w:val="003F17A4"/>
    <w:rsid w:val="003F3B86"/>
    <w:rsid w:val="004000AE"/>
    <w:rsid w:val="00402026"/>
    <w:rsid w:val="004049A9"/>
    <w:rsid w:val="00412BB6"/>
    <w:rsid w:val="00436952"/>
    <w:rsid w:val="00442AFD"/>
    <w:rsid w:val="004441D4"/>
    <w:rsid w:val="00444845"/>
    <w:rsid w:val="00454E2D"/>
    <w:rsid w:val="004577E7"/>
    <w:rsid w:val="004605A2"/>
    <w:rsid w:val="00462095"/>
    <w:rsid w:val="00464356"/>
    <w:rsid w:val="00466731"/>
    <w:rsid w:val="00466DD5"/>
    <w:rsid w:val="00467E83"/>
    <w:rsid w:val="0047265F"/>
    <w:rsid w:val="00473B71"/>
    <w:rsid w:val="004755FE"/>
    <w:rsid w:val="00482B81"/>
    <w:rsid w:val="00482D4C"/>
    <w:rsid w:val="00483475"/>
    <w:rsid w:val="004838E4"/>
    <w:rsid w:val="00483C37"/>
    <w:rsid w:val="0048463A"/>
    <w:rsid w:val="00492BF6"/>
    <w:rsid w:val="004A10CE"/>
    <w:rsid w:val="004A1638"/>
    <w:rsid w:val="004A27A8"/>
    <w:rsid w:val="004A3018"/>
    <w:rsid w:val="004A445A"/>
    <w:rsid w:val="004A4499"/>
    <w:rsid w:val="004B0FF3"/>
    <w:rsid w:val="004B3C0F"/>
    <w:rsid w:val="004B4A3C"/>
    <w:rsid w:val="004C05E4"/>
    <w:rsid w:val="004C28DF"/>
    <w:rsid w:val="004D4AE5"/>
    <w:rsid w:val="004E1D2D"/>
    <w:rsid w:val="004E2EE7"/>
    <w:rsid w:val="004E3035"/>
    <w:rsid w:val="004E3590"/>
    <w:rsid w:val="004E39E1"/>
    <w:rsid w:val="004F00BA"/>
    <w:rsid w:val="004F011F"/>
    <w:rsid w:val="004F03F4"/>
    <w:rsid w:val="004F4C00"/>
    <w:rsid w:val="004F56D0"/>
    <w:rsid w:val="005018D9"/>
    <w:rsid w:val="0050235E"/>
    <w:rsid w:val="00503A99"/>
    <w:rsid w:val="00503E44"/>
    <w:rsid w:val="00506373"/>
    <w:rsid w:val="0050777E"/>
    <w:rsid w:val="00513504"/>
    <w:rsid w:val="00513FE8"/>
    <w:rsid w:val="0051429B"/>
    <w:rsid w:val="00515283"/>
    <w:rsid w:val="005176BC"/>
    <w:rsid w:val="00517A62"/>
    <w:rsid w:val="005227CE"/>
    <w:rsid w:val="005231C5"/>
    <w:rsid w:val="00533926"/>
    <w:rsid w:val="005342D0"/>
    <w:rsid w:val="00537FB7"/>
    <w:rsid w:val="005411D1"/>
    <w:rsid w:val="00542873"/>
    <w:rsid w:val="005522E0"/>
    <w:rsid w:val="005524D0"/>
    <w:rsid w:val="00554421"/>
    <w:rsid w:val="0055675D"/>
    <w:rsid w:val="005573C4"/>
    <w:rsid w:val="00566E8F"/>
    <w:rsid w:val="005709DE"/>
    <w:rsid w:val="005726BA"/>
    <w:rsid w:val="00573FFC"/>
    <w:rsid w:val="0057422E"/>
    <w:rsid w:val="005833BE"/>
    <w:rsid w:val="005858FB"/>
    <w:rsid w:val="00586ED1"/>
    <w:rsid w:val="0059302A"/>
    <w:rsid w:val="005A2572"/>
    <w:rsid w:val="005A7731"/>
    <w:rsid w:val="005B3AF1"/>
    <w:rsid w:val="005C032C"/>
    <w:rsid w:val="005C4145"/>
    <w:rsid w:val="005C73D6"/>
    <w:rsid w:val="005C77D4"/>
    <w:rsid w:val="005D2168"/>
    <w:rsid w:val="005D7D5A"/>
    <w:rsid w:val="005D7E35"/>
    <w:rsid w:val="005E01AE"/>
    <w:rsid w:val="005E4792"/>
    <w:rsid w:val="005E4BAC"/>
    <w:rsid w:val="005E580A"/>
    <w:rsid w:val="005F0ABE"/>
    <w:rsid w:val="005F1BC2"/>
    <w:rsid w:val="0060130D"/>
    <w:rsid w:val="00606671"/>
    <w:rsid w:val="006100E5"/>
    <w:rsid w:val="00611F50"/>
    <w:rsid w:val="00612329"/>
    <w:rsid w:val="006137A6"/>
    <w:rsid w:val="00613B16"/>
    <w:rsid w:val="00615574"/>
    <w:rsid w:val="00623F9C"/>
    <w:rsid w:val="006243C6"/>
    <w:rsid w:val="00630893"/>
    <w:rsid w:val="00640403"/>
    <w:rsid w:val="0064129F"/>
    <w:rsid w:val="0064309D"/>
    <w:rsid w:val="00643191"/>
    <w:rsid w:val="00647BB7"/>
    <w:rsid w:val="00660F56"/>
    <w:rsid w:val="006711DF"/>
    <w:rsid w:val="00680297"/>
    <w:rsid w:val="0068046D"/>
    <w:rsid w:val="00680871"/>
    <w:rsid w:val="00680AE9"/>
    <w:rsid w:val="00683956"/>
    <w:rsid w:val="006873CE"/>
    <w:rsid w:val="0069205F"/>
    <w:rsid w:val="006A0786"/>
    <w:rsid w:val="006A11D6"/>
    <w:rsid w:val="006B520A"/>
    <w:rsid w:val="006B523A"/>
    <w:rsid w:val="006C170A"/>
    <w:rsid w:val="006D10EC"/>
    <w:rsid w:val="006D478B"/>
    <w:rsid w:val="006D4DAA"/>
    <w:rsid w:val="006D60D0"/>
    <w:rsid w:val="006D672B"/>
    <w:rsid w:val="006E04DB"/>
    <w:rsid w:val="006E0852"/>
    <w:rsid w:val="006E0CBA"/>
    <w:rsid w:val="006E3AB4"/>
    <w:rsid w:val="006E6143"/>
    <w:rsid w:val="006E6321"/>
    <w:rsid w:val="006F06C1"/>
    <w:rsid w:val="006F683C"/>
    <w:rsid w:val="006F6C2A"/>
    <w:rsid w:val="006F74AB"/>
    <w:rsid w:val="0070169C"/>
    <w:rsid w:val="00701F57"/>
    <w:rsid w:val="00702892"/>
    <w:rsid w:val="00704CCA"/>
    <w:rsid w:val="00705171"/>
    <w:rsid w:val="007053B0"/>
    <w:rsid w:val="00710E94"/>
    <w:rsid w:val="0072201D"/>
    <w:rsid w:val="00727D3E"/>
    <w:rsid w:val="00727D8A"/>
    <w:rsid w:val="00730D7C"/>
    <w:rsid w:val="00730DA8"/>
    <w:rsid w:val="00731FEA"/>
    <w:rsid w:val="007323F4"/>
    <w:rsid w:val="00733BF7"/>
    <w:rsid w:val="00735258"/>
    <w:rsid w:val="00735921"/>
    <w:rsid w:val="0073599B"/>
    <w:rsid w:val="00736F61"/>
    <w:rsid w:val="0074185E"/>
    <w:rsid w:val="00742253"/>
    <w:rsid w:val="007436F0"/>
    <w:rsid w:val="0074422A"/>
    <w:rsid w:val="0074728E"/>
    <w:rsid w:val="00757B95"/>
    <w:rsid w:val="00761075"/>
    <w:rsid w:val="00762889"/>
    <w:rsid w:val="007662C7"/>
    <w:rsid w:val="00772FAF"/>
    <w:rsid w:val="00776306"/>
    <w:rsid w:val="007816E2"/>
    <w:rsid w:val="0078284D"/>
    <w:rsid w:val="007A1887"/>
    <w:rsid w:val="007A33F8"/>
    <w:rsid w:val="007A55A7"/>
    <w:rsid w:val="007A57BC"/>
    <w:rsid w:val="007B1E72"/>
    <w:rsid w:val="007B1F10"/>
    <w:rsid w:val="007B2143"/>
    <w:rsid w:val="007B335E"/>
    <w:rsid w:val="007B4A9D"/>
    <w:rsid w:val="007B7751"/>
    <w:rsid w:val="007C137D"/>
    <w:rsid w:val="007C7D64"/>
    <w:rsid w:val="007D6771"/>
    <w:rsid w:val="007D7FD8"/>
    <w:rsid w:val="007E018D"/>
    <w:rsid w:val="007E245A"/>
    <w:rsid w:val="007E6A45"/>
    <w:rsid w:val="007F1B71"/>
    <w:rsid w:val="0080320B"/>
    <w:rsid w:val="0080641E"/>
    <w:rsid w:val="008072CE"/>
    <w:rsid w:val="00807E7D"/>
    <w:rsid w:val="008145BA"/>
    <w:rsid w:val="008249BE"/>
    <w:rsid w:val="00831675"/>
    <w:rsid w:val="00831E02"/>
    <w:rsid w:val="00833654"/>
    <w:rsid w:val="008404AD"/>
    <w:rsid w:val="00844849"/>
    <w:rsid w:val="00845A80"/>
    <w:rsid w:val="008552D6"/>
    <w:rsid w:val="00855DA3"/>
    <w:rsid w:val="00860BB5"/>
    <w:rsid w:val="00862443"/>
    <w:rsid w:val="00874AD0"/>
    <w:rsid w:val="00877071"/>
    <w:rsid w:val="00877151"/>
    <w:rsid w:val="008779B4"/>
    <w:rsid w:val="00877A2F"/>
    <w:rsid w:val="0088138D"/>
    <w:rsid w:val="00883863"/>
    <w:rsid w:val="00883B41"/>
    <w:rsid w:val="0088467C"/>
    <w:rsid w:val="008853B9"/>
    <w:rsid w:val="00885AA3"/>
    <w:rsid w:val="00891F21"/>
    <w:rsid w:val="00892D3B"/>
    <w:rsid w:val="00894579"/>
    <w:rsid w:val="008A2175"/>
    <w:rsid w:val="008A2BDB"/>
    <w:rsid w:val="008A5B67"/>
    <w:rsid w:val="008A5CCD"/>
    <w:rsid w:val="008A6A6D"/>
    <w:rsid w:val="008B29E7"/>
    <w:rsid w:val="008B2C4E"/>
    <w:rsid w:val="008B33DF"/>
    <w:rsid w:val="008B5C0B"/>
    <w:rsid w:val="008B7C9A"/>
    <w:rsid w:val="008C2216"/>
    <w:rsid w:val="008D07E2"/>
    <w:rsid w:val="008D16F7"/>
    <w:rsid w:val="008D40FA"/>
    <w:rsid w:val="008D4835"/>
    <w:rsid w:val="008E1427"/>
    <w:rsid w:val="008E52C7"/>
    <w:rsid w:val="008E5A1D"/>
    <w:rsid w:val="008F0C50"/>
    <w:rsid w:val="008F1103"/>
    <w:rsid w:val="008F2529"/>
    <w:rsid w:val="008F778A"/>
    <w:rsid w:val="00902ED6"/>
    <w:rsid w:val="0090320B"/>
    <w:rsid w:val="00906037"/>
    <w:rsid w:val="0091280A"/>
    <w:rsid w:val="009143A0"/>
    <w:rsid w:val="00921B5A"/>
    <w:rsid w:val="00925124"/>
    <w:rsid w:val="00925635"/>
    <w:rsid w:val="00927C59"/>
    <w:rsid w:val="00931881"/>
    <w:rsid w:val="00933707"/>
    <w:rsid w:val="0093421F"/>
    <w:rsid w:val="00936902"/>
    <w:rsid w:val="00940861"/>
    <w:rsid w:val="00942170"/>
    <w:rsid w:val="00944564"/>
    <w:rsid w:val="0094486D"/>
    <w:rsid w:val="00950E58"/>
    <w:rsid w:val="00952DF0"/>
    <w:rsid w:val="00954679"/>
    <w:rsid w:val="009552FE"/>
    <w:rsid w:val="0095565A"/>
    <w:rsid w:val="00955673"/>
    <w:rsid w:val="009562E9"/>
    <w:rsid w:val="009655DA"/>
    <w:rsid w:val="00965BBC"/>
    <w:rsid w:val="009673D0"/>
    <w:rsid w:val="00972823"/>
    <w:rsid w:val="00974953"/>
    <w:rsid w:val="00974996"/>
    <w:rsid w:val="0098737D"/>
    <w:rsid w:val="00990BE6"/>
    <w:rsid w:val="009A2167"/>
    <w:rsid w:val="009A49F0"/>
    <w:rsid w:val="009A5307"/>
    <w:rsid w:val="009B7A38"/>
    <w:rsid w:val="009C0051"/>
    <w:rsid w:val="009C6A1E"/>
    <w:rsid w:val="009D2F0C"/>
    <w:rsid w:val="009D477C"/>
    <w:rsid w:val="009E27A5"/>
    <w:rsid w:val="009E2F86"/>
    <w:rsid w:val="00A12209"/>
    <w:rsid w:val="00A169E4"/>
    <w:rsid w:val="00A20275"/>
    <w:rsid w:val="00A31484"/>
    <w:rsid w:val="00A31681"/>
    <w:rsid w:val="00A34CA4"/>
    <w:rsid w:val="00A36DF3"/>
    <w:rsid w:val="00A4371E"/>
    <w:rsid w:val="00A4441D"/>
    <w:rsid w:val="00A4451D"/>
    <w:rsid w:val="00A532DD"/>
    <w:rsid w:val="00A5522E"/>
    <w:rsid w:val="00A649B6"/>
    <w:rsid w:val="00A742C2"/>
    <w:rsid w:val="00A74B90"/>
    <w:rsid w:val="00A760F0"/>
    <w:rsid w:val="00A80BCF"/>
    <w:rsid w:val="00A825D1"/>
    <w:rsid w:val="00A8369C"/>
    <w:rsid w:val="00A86579"/>
    <w:rsid w:val="00A90212"/>
    <w:rsid w:val="00A90CC4"/>
    <w:rsid w:val="00A9401D"/>
    <w:rsid w:val="00AA1689"/>
    <w:rsid w:val="00AA496F"/>
    <w:rsid w:val="00AA5770"/>
    <w:rsid w:val="00AA60AF"/>
    <w:rsid w:val="00AA70DB"/>
    <w:rsid w:val="00AB2E70"/>
    <w:rsid w:val="00AB33C1"/>
    <w:rsid w:val="00AB3E03"/>
    <w:rsid w:val="00AB44A2"/>
    <w:rsid w:val="00AC1D15"/>
    <w:rsid w:val="00AD44C6"/>
    <w:rsid w:val="00AE460D"/>
    <w:rsid w:val="00AE7F82"/>
    <w:rsid w:val="00AF7257"/>
    <w:rsid w:val="00AF7AEF"/>
    <w:rsid w:val="00B06D10"/>
    <w:rsid w:val="00B07B0C"/>
    <w:rsid w:val="00B120F9"/>
    <w:rsid w:val="00B23CDB"/>
    <w:rsid w:val="00B25563"/>
    <w:rsid w:val="00B26D48"/>
    <w:rsid w:val="00B2789F"/>
    <w:rsid w:val="00B407F6"/>
    <w:rsid w:val="00B40949"/>
    <w:rsid w:val="00B40D80"/>
    <w:rsid w:val="00B41F7B"/>
    <w:rsid w:val="00B42EE1"/>
    <w:rsid w:val="00B44264"/>
    <w:rsid w:val="00B47A59"/>
    <w:rsid w:val="00B5349B"/>
    <w:rsid w:val="00B562D8"/>
    <w:rsid w:val="00B5649C"/>
    <w:rsid w:val="00B7138A"/>
    <w:rsid w:val="00B73320"/>
    <w:rsid w:val="00B80A82"/>
    <w:rsid w:val="00B8293D"/>
    <w:rsid w:val="00B87A49"/>
    <w:rsid w:val="00B91ECE"/>
    <w:rsid w:val="00B92478"/>
    <w:rsid w:val="00B943FB"/>
    <w:rsid w:val="00B9724C"/>
    <w:rsid w:val="00B973E1"/>
    <w:rsid w:val="00B97463"/>
    <w:rsid w:val="00BA13A1"/>
    <w:rsid w:val="00BA25B4"/>
    <w:rsid w:val="00BA6188"/>
    <w:rsid w:val="00BB0426"/>
    <w:rsid w:val="00BB2D73"/>
    <w:rsid w:val="00BB608E"/>
    <w:rsid w:val="00BB7567"/>
    <w:rsid w:val="00BC26CC"/>
    <w:rsid w:val="00BC361A"/>
    <w:rsid w:val="00BC68C2"/>
    <w:rsid w:val="00BD2045"/>
    <w:rsid w:val="00BD3450"/>
    <w:rsid w:val="00BD3D7D"/>
    <w:rsid w:val="00BD49F7"/>
    <w:rsid w:val="00BD61A2"/>
    <w:rsid w:val="00BE484D"/>
    <w:rsid w:val="00BE62A6"/>
    <w:rsid w:val="00BF2596"/>
    <w:rsid w:val="00BF3C2B"/>
    <w:rsid w:val="00C00B11"/>
    <w:rsid w:val="00C24EDE"/>
    <w:rsid w:val="00C37E05"/>
    <w:rsid w:val="00C4270A"/>
    <w:rsid w:val="00C47789"/>
    <w:rsid w:val="00C52172"/>
    <w:rsid w:val="00C55D29"/>
    <w:rsid w:val="00C56F2E"/>
    <w:rsid w:val="00C62B3A"/>
    <w:rsid w:val="00C661CD"/>
    <w:rsid w:val="00C8153B"/>
    <w:rsid w:val="00C83DB6"/>
    <w:rsid w:val="00C84FA0"/>
    <w:rsid w:val="00C86F6D"/>
    <w:rsid w:val="00C8759B"/>
    <w:rsid w:val="00C9074F"/>
    <w:rsid w:val="00C948D8"/>
    <w:rsid w:val="00C977DE"/>
    <w:rsid w:val="00CA0BE9"/>
    <w:rsid w:val="00CA138D"/>
    <w:rsid w:val="00CA57D9"/>
    <w:rsid w:val="00CA5D67"/>
    <w:rsid w:val="00CB684F"/>
    <w:rsid w:val="00CC03E9"/>
    <w:rsid w:val="00CC1B30"/>
    <w:rsid w:val="00CC220F"/>
    <w:rsid w:val="00CC2AFE"/>
    <w:rsid w:val="00CC7641"/>
    <w:rsid w:val="00CD3EFB"/>
    <w:rsid w:val="00CE0B46"/>
    <w:rsid w:val="00CE4EFB"/>
    <w:rsid w:val="00CE7D19"/>
    <w:rsid w:val="00CF0681"/>
    <w:rsid w:val="00CF2515"/>
    <w:rsid w:val="00CF3E79"/>
    <w:rsid w:val="00D06957"/>
    <w:rsid w:val="00D074A2"/>
    <w:rsid w:val="00D13794"/>
    <w:rsid w:val="00D1750F"/>
    <w:rsid w:val="00D218E7"/>
    <w:rsid w:val="00D24052"/>
    <w:rsid w:val="00D24386"/>
    <w:rsid w:val="00D30BB5"/>
    <w:rsid w:val="00D31575"/>
    <w:rsid w:val="00D31A89"/>
    <w:rsid w:val="00D34626"/>
    <w:rsid w:val="00D34FB4"/>
    <w:rsid w:val="00D359BA"/>
    <w:rsid w:val="00D4257A"/>
    <w:rsid w:val="00D456A9"/>
    <w:rsid w:val="00D52798"/>
    <w:rsid w:val="00D5468A"/>
    <w:rsid w:val="00D61745"/>
    <w:rsid w:val="00D62665"/>
    <w:rsid w:val="00D645AC"/>
    <w:rsid w:val="00D66C71"/>
    <w:rsid w:val="00D66D7C"/>
    <w:rsid w:val="00D70205"/>
    <w:rsid w:val="00D735EF"/>
    <w:rsid w:val="00D7609F"/>
    <w:rsid w:val="00D814B5"/>
    <w:rsid w:val="00D81AA7"/>
    <w:rsid w:val="00D82E47"/>
    <w:rsid w:val="00D84A01"/>
    <w:rsid w:val="00D87FA0"/>
    <w:rsid w:val="00D977EA"/>
    <w:rsid w:val="00DA671F"/>
    <w:rsid w:val="00DB148C"/>
    <w:rsid w:val="00DB1A31"/>
    <w:rsid w:val="00DB202E"/>
    <w:rsid w:val="00DB4F78"/>
    <w:rsid w:val="00DB6937"/>
    <w:rsid w:val="00DC027B"/>
    <w:rsid w:val="00DC0CDE"/>
    <w:rsid w:val="00DC1A85"/>
    <w:rsid w:val="00DC498E"/>
    <w:rsid w:val="00DC4D72"/>
    <w:rsid w:val="00DC6525"/>
    <w:rsid w:val="00DC7018"/>
    <w:rsid w:val="00DD12B0"/>
    <w:rsid w:val="00DD5610"/>
    <w:rsid w:val="00DE0C61"/>
    <w:rsid w:val="00DE2E45"/>
    <w:rsid w:val="00DF0CB3"/>
    <w:rsid w:val="00DF494C"/>
    <w:rsid w:val="00DF6D0B"/>
    <w:rsid w:val="00DF7E0D"/>
    <w:rsid w:val="00E0624D"/>
    <w:rsid w:val="00E179D4"/>
    <w:rsid w:val="00E20023"/>
    <w:rsid w:val="00E353A3"/>
    <w:rsid w:val="00E35C9D"/>
    <w:rsid w:val="00E37FF7"/>
    <w:rsid w:val="00E40CEE"/>
    <w:rsid w:val="00E4438C"/>
    <w:rsid w:val="00E457F3"/>
    <w:rsid w:val="00E50663"/>
    <w:rsid w:val="00E55F9B"/>
    <w:rsid w:val="00E576F5"/>
    <w:rsid w:val="00E57A6A"/>
    <w:rsid w:val="00E71948"/>
    <w:rsid w:val="00E73CC1"/>
    <w:rsid w:val="00E81ED8"/>
    <w:rsid w:val="00E86357"/>
    <w:rsid w:val="00E87284"/>
    <w:rsid w:val="00E97664"/>
    <w:rsid w:val="00EA4DD8"/>
    <w:rsid w:val="00EA7959"/>
    <w:rsid w:val="00EB2AEF"/>
    <w:rsid w:val="00EB2BED"/>
    <w:rsid w:val="00EB3C57"/>
    <w:rsid w:val="00EB7E71"/>
    <w:rsid w:val="00EC642C"/>
    <w:rsid w:val="00ED123E"/>
    <w:rsid w:val="00ED1F15"/>
    <w:rsid w:val="00ED216B"/>
    <w:rsid w:val="00ED4CD8"/>
    <w:rsid w:val="00EE48BA"/>
    <w:rsid w:val="00EF01EA"/>
    <w:rsid w:val="00EF2788"/>
    <w:rsid w:val="00EF3103"/>
    <w:rsid w:val="00EF4CD6"/>
    <w:rsid w:val="00EF6E9B"/>
    <w:rsid w:val="00EF7714"/>
    <w:rsid w:val="00F02123"/>
    <w:rsid w:val="00F023DB"/>
    <w:rsid w:val="00F109D4"/>
    <w:rsid w:val="00F10A6F"/>
    <w:rsid w:val="00F12547"/>
    <w:rsid w:val="00F135FD"/>
    <w:rsid w:val="00F15EE9"/>
    <w:rsid w:val="00F24736"/>
    <w:rsid w:val="00F25169"/>
    <w:rsid w:val="00F27344"/>
    <w:rsid w:val="00F33E7A"/>
    <w:rsid w:val="00F343AA"/>
    <w:rsid w:val="00F4241B"/>
    <w:rsid w:val="00F46704"/>
    <w:rsid w:val="00F46C17"/>
    <w:rsid w:val="00F47585"/>
    <w:rsid w:val="00F6249C"/>
    <w:rsid w:val="00F678B8"/>
    <w:rsid w:val="00F7078E"/>
    <w:rsid w:val="00F75BDB"/>
    <w:rsid w:val="00F81232"/>
    <w:rsid w:val="00F8291C"/>
    <w:rsid w:val="00F832C4"/>
    <w:rsid w:val="00F85E6F"/>
    <w:rsid w:val="00F95449"/>
    <w:rsid w:val="00FA1942"/>
    <w:rsid w:val="00FA380A"/>
    <w:rsid w:val="00FC2CB5"/>
    <w:rsid w:val="00FC38D9"/>
    <w:rsid w:val="00FC3A8F"/>
    <w:rsid w:val="00FC595E"/>
    <w:rsid w:val="00FD19F7"/>
    <w:rsid w:val="00FD7402"/>
    <w:rsid w:val="00FE04E4"/>
    <w:rsid w:val="00FE2DD7"/>
    <w:rsid w:val="00FE73F9"/>
    <w:rsid w:val="00FF1057"/>
    <w:rsid w:val="00FF3E25"/>
    <w:rsid w:val="00FF5FD8"/>
    <w:rsid w:val="303759CC"/>
    <w:rsid w:val="5733D36C"/>
    <w:rsid w:val="7B745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F62C1"/>
  <w15:docId w15:val="{5D85BA72-4A64-443F-B28B-78FF2D7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2B"/>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5970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D338E16722407E9238FAE3676DDF8E"/>
        <w:category>
          <w:name w:val="General"/>
          <w:gallery w:val="placeholder"/>
        </w:category>
        <w:types>
          <w:type w:val="bbPlcHdr"/>
        </w:types>
        <w:behaviors>
          <w:behavior w:val="content"/>
        </w:behaviors>
        <w:guid w:val="{550F025F-B820-4336-B721-DB1516E53444}"/>
      </w:docPartPr>
      <w:docPartBody>
        <w:p w:rsidR="000E6727" w:rsidRDefault="0046119C" w:rsidP="0046119C">
          <w:pPr>
            <w:pStyle w:val="33D338E16722407E9238FAE3676DDF8E"/>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7A"/>
    <w:rsid w:val="000E6727"/>
    <w:rsid w:val="0046119C"/>
    <w:rsid w:val="005B08D9"/>
    <w:rsid w:val="0073494C"/>
    <w:rsid w:val="008B2C7A"/>
    <w:rsid w:val="00BC256E"/>
    <w:rsid w:val="00FA4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19C"/>
    <w:rPr>
      <w:color w:val="808080"/>
    </w:rPr>
  </w:style>
  <w:style w:type="paragraph" w:customStyle="1" w:styleId="33D338E16722407E9238FAE3676DDF8E">
    <w:name w:val="33D338E16722407E9238FAE3676DDF8E"/>
    <w:rsid w:val="00461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S574FYTY5PW6-349572302-711</_dlc_DocId>
    <_dlc_DocIdUrl xmlns="fe39d773-a83d-4623-ae74-f25711a76616">
      <Url>https://austreasury.sharepoint.com/sites/leg-cord-function/_layouts/15/DocIdRedir.aspx?ID=S574FYTY5PW6-349572302-711</Url>
      <Description>S574FYTY5PW6-349572302-711</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Payments</TermName>
          <TermId xmlns="http://schemas.microsoft.com/office/infopath/2007/PartnerControls">f54b5402-a0cf-4d5f-879c-62fa87e663aa</TermId>
        </TermInfo>
      </Terms>
    </gfba5f33532c49208d2320ce38cc3c2b>
    <TaxCatchAll xmlns="ff38c824-6e29-4496-8487-69f397e7ed29">
      <Value>81</Value>
      <Value>72</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78533-3486-40E5-9013-DD26FD164D39}">
  <ds:schemaRefs>
    <ds:schemaRef ds:uri="fe39d773-a83d-4623-ae74-f25711a76616"/>
    <ds:schemaRef ds:uri="42f4cb5a-261c-4c59-b165-7132460581a3"/>
    <ds:schemaRef ds:uri="http://purl.org/dc/elements/1.1/"/>
    <ds:schemaRef ds:uri="http://purl.org/dc/terms/"/>
    <ds:schemaRef ds:uri="ff38c824-6e29-4496-8487-69f397e7ed2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a91be02-49fe-4568-a0ce-30550d2c054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0080D2-DCB4-4C2F-8C51-C44784FB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2AEC2BA-AE17-4950-B3EF-899968B63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4</Pages>
  <Words>824</Words>
  <Characters>4702</Characters>
  <Application>Microsoft Office Word</Application>
  <DocSecurity>0</DocSecurity>
  <Lines>39</Lines>
  <Paragraphs>11</Paragraphs>
  <ScaleCrop>false</ScaleCrop>
  <Company>Treasury</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Nakkan, Kurt</dc:creator>
  <cp:lastModifiedBy>Jaramillo, Justin</cp:lastModifiedBy>
  <cp:revision>2</cp:revision>
  <cp:lastPrinted>2019-02-17T23:23:00Z</cp:lastPrinted>
  <dcterms:created xsi:type="dcterms:W3CDTF">2024-02-19T06:00:00Z</dcterms:created>
  <dcterms:modified xsi:type="dcterms:W3CDTF">2024-02-19T06:00:00Z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eb12a02f-511f-480c-8b19-ce432e540853</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72;#Payments|f54b5402-a0cf-4d5f-879c-62fa87e663aa</vt:lpwstr>
  </property>
  <property fmtid="{D5CDD505-2E9C-101B-9397-08002B2CF9AE}" pid="13" name="eActivity">
    <vt:lpwstr>35;#Legislation management|cb630f2f-9155-496b-ad0f-d960eb1bf90c</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_docset_NoMedatataSyncRequired">
    <vt:lpwstr>False</vt:lpwstr>
  </property>
  <property fmtid="{D5CDD505-2E9C-101B-9397-08002B2CF9AE}" pid="17" name="Theme">
    <vt:lpwstr>1;#Law Design|318dd2d2-18da-4b8e-a458-14db2c1af95f</vt:lpwstr>
  </property>
</Properties>
</file>