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980C6" w14:textId="344560E0" w:rsidR="00901A53" w:rsidRPr="00B11713" w:rsidRDefault="00901A53" w:rsidP="00901A53">
      <w:pPr>
        <w:pStyle w:val="Heading1"/>
        <w:spacing w:before="0" w:after="240" w:line="360" w:lineRule="auto"/>
        <w:contextualSpacing/>
        <w:rPr>
          <w:bCs/>
          <w:i/>
          <w:spacing w:val="-2"/>
          <w:szCs w:val="28"/>
          <w:lang w:eastAsia="en-AU"/>
        </w:rPr>
      </w:pPr>
      <w:r w:rsidRPr="00B11713">
        <w:rPr>
          <w:bCs/>
          <w:i/>
          <w:spacing w:val="-2"/>
          <w:szCs w:val="28"/>
          <w:lang w:eastAsia="en-AU"/>
        </w:rPr>
        <w:t>Legislation (</w:t>
      </w:r>
      <w:r w:rsidR="00B11713" w:rsidRPr="00B11713">
        <w:rPr>
          <w:bCs/>
          <w:i/>
          <w:iCs/>
          <w:color w:val="000000"/>
          <w:spacing w:val="-2"/>
          <w:kern w:val="36"/>
          <w:szCs w:val="28"/>
          <w:lang w:eastAsia="en-AU"/>
        </w:rPr>
        <w:t>Treatment-Related Instruments</w:t>
      </w:r>
      <w:r w:rsidRPr="00B11713">
        <w:rPr>
          <w:bCs/>
          <w:i/>
          <w:spacing w:val="-2"/>
          <w:szCs w:val="28"/>
          <w:lang w:eastAsia="en-AU"/>
        </w:rPr>
        <w:t>) Sunset-altering Declaration 202</w:t>
      </w:r>
      <w:r w:rsidR="00DA3C61">
        <w:rPr>
          <w:bCs/>
          <w:i/>
          <w:spacing w:val="-2"/>
          <w:szCs w:val="28"/>
          <w:lang w:eastAsia="en-AU"/>
        </w:rPr>
        <w:t>4</w:t>
      </w:r>
    </w:p>
    <w:p w14:paraId="32ADCF5F" w14:textId="77777777" w:rsidR="00901A53" w:rsidRPr="00604D22" w:rsidRDefault="00901A53" w:rsidP="00901A53">
      <w:pPr>
        <w:pStyle w:val="Heading1"/>
        <w:spacing w:before="0" w:after="240" w:line="360" w:lineRule="auto"/>
        <w:contextualSpacing/>
      </w:pPr>
      <w:r w:rsidRPr="00604D22">
        <w:t>EXPLANATORY STATEMENT</w:t>
      </w:r>
    </w:p>
    <w:p w14:paraId="50F94621" w14:textId="77777777" w:rsidR="00901A53" w:rsidRDefault="00901A53" w:rsidP="00901A53">
      <w:pPr>
        <w:pBdr>
          <w:bottom w:val="single" w:sz="12" w:space="1" w:color="auto"/>
        </w:pBdr>
        <w:spacing w:after="240" w:line="360" w:lineRule="auto"/>
        <w:contextualSpacing/>
        <w:jc w:val="center"/>
        <w:rPr>
          <w:i/>
          <w:lang w:val="en-AU"/>
        </w:rPr>
      </w:pPr>
      <w:r w:rsidRPr="00604D22">
        <w:rPr>
          <w:lang w:val="en-AU"/>
        </w:rPr>
        <w:t xml:space="preserve">Issued by the Attorney-General in compliance with </w:t>
      </w:r>
      <w:r w:rsidRPr="00604D22">
        <w:rPr>
          <w:lang w:val="en-AU"/>
        </w:rPr>
        <w:br/>
        <w:t xml:space="preserve">section 15G of the </w:t>
      </w:r>
      <w:r w:rsidRPr="00604D22">
        <w:rPr>
          <w:i/>
          <w:lang w:val="en-AU"/>
        </w:rPr>
        <w:t>Legislation Act 2003</w:t>
      </w:r>
    </w:p>
    <w:p w14:paraId="060438EF" w14:textId="77777777" w:rsidR="00901A53" w:rsidRPr="00604D22" w:rsidRDefault="00901A53" w:rsidP="00901A53">
      <w:pPr>
        <w:pBdr>
          <w:bottom w:val="single" w:sz="12" w:space="1" w:color="auto"/>
        </w:pBdr>
        <w:spacing w:after="240" w:line="360" w:lineRule="auto"/>
        <w:contextualSpacing/>
        <w:jc w:val="center"/>
        <w:rPr>
          <w:i/>
          <w:lang w:val="en-AU"/>
        </w:rPr>
      </w:pPr>
    </w:p>
    <w:p w14:paraId="6B08CD3D" w14:textId="77777777" w:rsidR="00901A53" w:rsidRDefault="00901A53" w:rsidP="00901A53">
      <w:pPr>
        <w:spacing w:after="240" w:line="360" w:lineRule="auto"/>
        <w:contextualSpacing/>
      </w:pPr>
    </w:p>
    <w:p w14:paraId="4BB681A3" w14:textId="77777777" w:rsidR="00901A53" w:rsidRPr="00604D22" w:rsidRDefault="00901A53" w:rsidP="00901A53">
      <w:pPr>
        <w:spacing w:after="240" w:line="360" w:lineRule="auto"/>
        <w:contextualSpacing/>
        <w:rPr>
          <w:b/>
          <w:sz w:val="22"/>
          <w:szCs w:val="22"/>
        </w:rPr>
      </w:pPr>
      <w:r w:rsidRPr="00604D22">
        <w:rPr>
          <w:b/>
          <w:sz w:val="22"/>
          <w:szCs w:val="22"/>
        </w:rPr>
        <w:t xml:space="preserve">INTRODUCTION </w:t>
      </w:r>
    </w:p>
    <w:p w14:paraId="33983A62" w14:textId="77777777" w:rsidR="00901A53" w:rsidRPr="00604D22" w:rsidRDefault="00901A53" w:rsidP="00901A53">
      <w:pPr>
        <w:spacing w:after="240" w:line="360" w:lineRule="auto"/>
        <w:contextualSpacing/>
        <w:rPr>
          <w:sz w:val="22"/>
          <w:szCs w:val="22"/>
        </w:rPr>
      </w:pPr>
    </w:p>
    <w:p w14:paraId="72049837" w14:textId="41B64872" w:rsidR="00901A53" w:rsidRPr="00EC6124" w:rsidRDefault="00901A53" w:rsidP="00901A53">
      <w:pPr>
        <w:spacing w:after="240" w:line="360" w:lineRule="auto"/>
        <w:contextualSpacing/>
        <w:rPr>
          <w:snapToGrid/>
          <w:color w:val="000000"/>
          <w:sz w:val="22"/>
          <w:szCs w:val="22"/>
          <w:lang w:eastAsia="en-AU"/>
        </w:rPr>
      </w:pPr>
      <w:r w:rsidRPr="00604D22">
        <w:rPr>
          <w:sz w:val="22"/>
          <w:szCs w:val="22"/>
        </w:rPr>
        <w:t xml:space="preserve">The </w:t>
      </w:r>
      <w:r w:rsidRPr="00604D22">
        <w:rPr>
          <w:bCs/>
          <w:i/>
          <w:sz w:val="22"/>
          <w:szCs w:val="22"/>
        </w:rPr>
        <w:t>Legislation (</w:t>
      </w:r>
      <w:bookmarkStart w:id="0" w:name="_Hlk142053726"/>
      <w:r w:rsidR="00B11713">
        <w:rPr>
          <w:i/>
          <w:sz w:val="22"/>
          <w:szCs w:val="22"/>
        </w:rPr>
        <w:t>Treatment-Relate</w:t>
      </w:r>
      <w:bookmarkStart w:id="1" w:name="_GoBack"/>
      <w:bookmarkEnd w:id="1"/>
      <w:r w:rsidR="00B11713">
        <w:rPr>
          <w:i/>
          <w:sz w:val="22"/>
          <w:szCs w:val="22"/>
        </w:rPr>
        <w:t>d Instruments</w:t>
      </w:r>
      <w:bookmarkEnd w:id="0"/>
      <w:r w:rsidRPr="00604D22">
        <w:rPr>
          <w:bCs/>
          <w:i/>
          <w:sz w:val="22"/>
          <w:szCs w:val="22"/>
        </w:rPr>
        <w:t>) Sunset-altering Declaration 202</w:t>
      </w:r>
      <w:r w:rsidR="00DA3C61">
        <w:rPr>
          <w:i/>
          <w:sz w:val="22"/>
          <w:szCs w:val="22"/>
        </w:rPr>
        <w:t>4</w:t>
      </w:r>
      <w:r w:rsidRPr="00604D22">
        <w:rPr>
          <w:sz w:val="22"/>
          <w:szCs w:val="22"/>
        </w:rPr>
        <w:t xml:space="preserve"> (the Declaration) is made under subsection 51</w:t>
      </w:r>
      <w:proofErr w:type="gramStart"/>
      <w:r w:rsidRPr="00604D22">
        <w:rPr>
          <w:sz w:val="22"/>
          <w:szCs w:val="22"/>
        </w:rPr>
        <w:t>A(</w:t>
      </w:r>
      <w:proofErr w:type="gramEnd"/>
      <w:r w:rsidRPr="00604D22">
        <w:rPr>
          <w:sz w:val="22"/>
          <w:szCs w:val="22"/>
        </w:rPr>
        <w:t xml:space="preserve">1) of the </w:t>
      </w:r>
      <w:r w:rsidRPr="00604D22">
        <w:rPr>
          <w:i/>
          <w:sz w:val="22"/>
          <w:szCs w:val="22"/>
        </w:rPr>
        <w:t xml:space="preserve">Legislation Act 2003 </w:t>
      </w:r>
      <w:r w:rsidRPr="00604D22">
        <w:rPr>
          <w:sz w:val="22"/>
          <w:szCs w:val="22"/>
        </w:rPr>
        <w:t>(Cth) (the Legislation </w:t>
      </w:r>
      <w:r w:rsidRPr="00604D22">
        <w:rPr>
          <w:snapToGrid/>
          <w:color w:val="000000"/>
          <w:sz w:val="22"/>
          <w:szCs w:val="22"/>
          <w:lang w:eastAsia="en-AU"/>
        </w:rPr>
        <w:t xml:space="preserve">Act). It is a </w:t>
      </w:r>
      <w:r w:rsidRPr="00EC6124">
        <w:rPr>
          <w:snapToGrid/>
          <w:color w:val="000000"/>
          <w:sz w:val="22"/>
          <w:szCs w:val="22"/>
          <w:lang w:eastAsia="en-AU"/>
        </w:rPr>
        <w:t>legislative instrument for the purposes of the Legislation Act and must be registered on the Federal Register of Legislation. The Declaration is subject to the disallowance provisions of the Legislation</w:t>
      </w:r>
      <w:r w:rsidR="00E70978">
        <w:rPr>
          <w:snapToGrid/>
          <w:color w:val="000000"/>
          <w:sz w:val="22"/>
          <w:szCs w:val="22"/>
          <w:lang w:eastAsia="en-AU"/>
        </w:rPr>
        <w:t> </w:t>
      </w:r>
      <w:r w:rsidRPr="00EC6124">
        <w:rPr>
          <w:snapToGrid/>
          <w:color w:val="000000"/>
          <w:sz w:val="22"/>
          <w:szCs w:val="22"/>
          <w:lang w:eastAsia="en-AU"/>
        </w:rPr>
        <w:t>Act.</w:t>
      </w:r>
    </w:p>
    <w:p w14:paraId="35507549" w14:textId="77777777" w:rsidR="00901A53" w:rsidRPr="00EC6124" w:rsidRDefault="00901A53" w:rsidP="00901A53">
      <w:pPr>
        <w:spacing w:after="240" w:line="360" w:lineRule="auto"/>
        <w:contextualSpacing/>
        <w:rPr>
          <w:b/>
          <w:sz w:val="22"/>
          <w:szCs w:val="22"/>
        </w:rPr>
      </w:pPr>
    </w:p>
    <w:p w14:paraId="6AB03C5F" w14:textId="77777777" w:rsidR="00901A53" w:rsidRPr="00EC6124" w:rsidRDefault="00901A53" w:rsidP="00901A53">
      <w:pPr>
        <w:spacing w:after="240" w:line="360" w:lineRule="auto"/>
        <w:contextualSpacing/>
        <w:rPr>
          <w:b/>
          <w:sz w:val="22"/>
          <w:szCs w:val="22"/>
        </w:rPr>
      </w:pPr>
      <w:r w:rsidRPr="00EC6124">
        <w:rPr>
          <w:b/>
          <w:sz w:val="22"/>
          <w:szCs w:val="22"/>
        </w:rPr>
        <w:t>OUTLINE</w:t>
      </w:r>
    </w:p>
    <w:p w14:paraId="0608F3F6" w14:textId="77777777" w:rsidR="00901A53" w:rsidRPr="00EC6124" w:rsidRDefault="00901A53" w:rsidP="00901A53">
      <w:pPr>
        <w:spacing w:after="240" w:line="360" w:lineRule="auto"/>
        <w:contextualSpacing/>
        <w:rPr>
          <w:sz w:val="22"/>
          <w:szCs w:val="22"/>
        </w:rPr>
      </w:pPr>
    </w:p>
    <w:p w14:paraId="2083E9FA" w14:textId="77777777" w:rsidR="00901A53" w:rsidRPr="00EC6124" w:rsidRDefault="00901A53" w:rsidP="00901A53">
      <w:pPr>
        <w:spacing w:after="240" w:line="360" w:lineRule="auto"/>
        <w:contextualSpacing/>
        <w:rPr>
          <w:sz w:val="22"/>
          <w:szCs w:val="22"/>
        </w:rPr>
      </w:pPr>
      <w:r w:rsidRPr="00EC6124">
        <w:rPr>
          <w:sz w:val="22"/>
          <w:szCs w:val="22"/>
        </w:rPr>
        <w:t>Sunsetting is the automatic repeal of legislative instruments after a fixed period. The Australian Government’s sunsetting framework is established under Part 4 of Chapter 3 of the Legislation Act. The purpose of the sunsetting framework is to ensure that legislative instruments are kept up to date and only remain in force for so long as they are needed.</w:t>
      </w:r>
    </w:p>
    <w:p w14:paraId="7FB3EBD7" w14:textId="77777777" w:rsidR="00901A53" w:rsidRPr="00EC6124" w:rsidRDefault="00901A53" w:rsidP="00901A53">
      <w:pPr>
        <w:spacing w:after="240" w:line="360" w:lineRule="auto"/>
        <w:contextualSpacing/>
        <w:rPr>
          <w:sz w:val="22"/>
          <w:szCs w:val="22"/>
        </w:rPr>
      </w:pPr>
    </w:p>
    <w:p w14:paraId="346B9702" w14:textId="77777777" w:rsidR="00901A53" w:rsidRPr="00EC6124" w:rsidRDefault="00901A53" w:rsidP="00901A53">
      <w:pPr>
        <w:spacing w:after="240" w:line="360" w:lineRule="auto"/>
        <w:contextualSpacing/>
        <w:rPr>
          <w:sz w:val="22"/>
          <w:szCs w:val="22"/>
        </w:rPr>
      </w:pPr>
      <w:r w:rsidRPr="00EC6124">
        <w:rPr>
          <w:sz w:val="22"/>
          <w:szCs w:val="22"/>
        </w:rPr>
        <w:t xml:space="preserve">Subsection 50(1) of the Legislation Act provides that a legislative instrument is automatically repealed on the 1 April or 1 October immediately on or following the tenth anniversary of its registration. </w:t>
      </w:r>
    </w:p>
    <w:p w14:paraId="1E8D03F7" w14:textId="77777777" w:rsidR="00901A53" w:rsidRPr="00EC6124" w:rsidRDefault="00901A53" w:rsidP="00901A53">
      <w:pPr>
        <w:spacing w:after="240" w:line="360" w:lineRule="auto"/>
        <w:contextualSpacing/>
        <w:rPr>
          <w:color w:val="000000"/>
          <w:sz w:val="22"/>
          <w:szCs w:val="22"/>
          <w:lang w:eastAsia="en-AU"/>
        </w:rPr>
      </w:pPr>
    </w:p>
    <w:p w14:paraId="22DDE536" w14:textId="77777777" w:rsidR="00901A53" w:rsidRPr="008337DA" w:rsidRDefault="00901A53" w:rsidP="00901A53">
      <w:pPr>
        <w:spacing w:after="240" w:line="360" w:lineRule="auto"/>
        <w:contextualSpacing/>
        <w:rPr>
          <w:color w:val="000000"/>
          <w:sz w:val="22"/>
          <w:szCs w:val="22"/>
          <w:lang w:eastAsia="en-AU"/>
        </w:rPr>
      </w:pPr>
      <w:r w:rsidRPr="00EC6124">
        <w:rPr>
          <w:color w:val="000000"/>
          <w:sz w:val="22"/>
          <w:szCs w:val="22"/>
          <w:lang w:eastAsia="en-AU"/>
        </w:rPr>
        <w:t>Under subsection 51</w:t>
      </w:r>
      <w:proofErr w:type="gramStart"/>
      <w:r w:rsidRPr="00EC6124">
        <w:rPr>
          <w:color w:val="000000"/>
          <w:sz w:val="22"/>
          <w:szCs w:val="22"/>
          <w:lang w:eastAsia="en-AU"/>
        </w:rPr>
        <w:t>A(</w:t>
      </w:r>
      <w:proofErr w:type="gramEnd"/>
      <w:r w:rsidRPr="00EC6124">
        <w:rPr>
          <w:color w:val="000000"/>
          <w:sz w:val="22"/>
          <w:szCs w:val="22"/>
          <w:lang w:eastAsia="en-AU"/>
        </w:rPr>
        <w:t xml:space="preserve">1) of the Legislation Act, the Attorney-General may issue a declaration aligning the sunsetting days of two or more instruments, if satisfied on application by the rule-maker/s </w:t>
      </w:r>
      <w:r w:rsidRPr="008337DA">
        <w:rPr>
          <w:color w:val="000000"/>
          <w:sz w:val="22"/>
          <w:szCs w:val="22"/>
          <w:lang w:eastAsia="en-AU"/>
        </w:rPr>
        <w:t>of the relevant instruments that:</w:t>
      </w:r>
    </w:p>
    <w:p w14:paraId="35AF1139" w14:textId="77777777" w:rsidR="00901A53" w:rsidRPr="008337DA" w:rsidRDefault="00901A53" w:rsidP="00901A53">
      <w:pPr>
        <w:pStyle w:val="ListParagraph"/>
        <w:numPr>
          <w:ilvl w:val="0"/>
          <w:numId w:val="11"/>
        </w:numPr>
        <w:spacing w:after="240" w:line="360" w:lineRule="auto"/>
        <w:rPr>
          <w:sz w:val="22"/>
          <w:szCs w:val="22"/>
        </w:rPr>
      </w:pPr>
      <w:r w:rsidRPr="008337DA">
        <w:rPr>
          <w:color w:val="000000"/>
          <w:sz w:val="22"/>
          <w:szCs w:val="22"/>
          <w:lang w:eastAsia="en-AU"/>
        </w:rPr>
        <w:t>all the instruments to be reviewed:</w:t>
      </w:r>
    </w:p>
    <w:p w14:paraId="183491EC" w14:textId="77777777" w:rsidR="00901A53" w:rsidRPr="008337DA" w:rsidRDefault="00901A53" w:rsidP="00901A53">
      <w:pPr>
        <w:pStyle w:val="ListParagraph"/>
        <w:numPr>
          <w:ilvl w:val="1"/>
          <w:numId w:val="11"/>
        </w:numPr>
        <w:spacing w:after="240" w:line="360" w:lineRule="auto"/>
        <w:rPr>
          <w:sz w:val="22"/>
          <w:szCs w:val="22"/>
        </w:rPr>
      </w:pPr>
      <w:r w:rsidRPr="008337DA">
        <w:rPr>
          <w:color w:val="000000"/>
          <w:sz w:val="22"/>
          <w:szCs w:val="22"/>
          <w:lang w:eastAsia="en-AU"/>
        </w:rPr>
        <w:t xml:space="preserve">would (in the absence of a declaration made under section 51A of the Legislation Act) be repealed by section 50 or 51 of the Legislation Act; and </w:t>
      </w:r>
    </w:p>
    <w:p w14:paraId="33CED8E3" w14:textId="77777777" w:rsidR="00901A53" w:rsidRPr="008337DA" w:rsidRDefault="00901A53" w:rsidP="00901A53">
      <w:pPr>
        <w:pStyle w:val="ListParagraph"/>
        <w:numPr>
          <w:ilvl w:val="1"/>
          <w:numId w:val="11"/>
        </w:numPr>
        <w:spacing w:after="240" w:line="360" w:lineRule="auto"/>
        <w:rPr>
          <w:b/>
          <w:sz w:val="22"/>
          <w:szCs w:val="22"/>
        </w:rPr>
      </w:pPr>
      <w:r w:rsidRPr="008337DA">
        <w:rPr>
          <w:color w:val="000000"/>
          <w:sz w:val="22"/>
          <w:szCs w:val="22"/>
          <w:lang w:eastAsia="en-AU"/>
        </w:rPr>
        <w:t>are or will be the subject of a single review; and</w:t>
      </w:r>
    </w:p>
    <w:p w14:paraId="21634140" w14:textId="77777777" w:rsidR="00901A53" w:rsidRPr="008337DA" w:rsidRDefault="00901A53" w:rsidP="00901A53">
      <w:pPr>
        <w:pStyle w:val="ListParagraph"/>
        <w:numPr>
          <w:ilvl w:val="0"/>
          <w:numId w:val="11"/>
        </w:numPr>
        <w:spacing w:after="240" w:line="360" w:lineRule="auto"/>
        <w:rPr>
          <w:b/>
          <w:sz w:val="22"/>
          <w:szCs w:val="22"/>
        </w:rPr>
      </w:pPr>
      <w:r w:rsidRPr="008337DA">
        <w:rPr>
          <w:color w:val="000000"/>
          <w:sz w:val="22"/>
          <w:szCs w:val="22"/>
          <w:lang w:eastAsia="en-AU"/>
        </w:rPr>
        <w:t>the making of the declaration will facilitate the undertaking of the review or the implementation of its findings. </w:t>
      </w:r>
    </w:p>
    <w:p w14:paraId="77CB0458" w14:textId="77777777" w:rsidR="00901A53" w:rsidRPr="00604D22" w:rsidRDefault="00901A53" w:rsidP="00901A53">
      <w:pPr>
        <w:pStyle w:val="Basetext"/>
        <w:spacing w:before="0" w:after="240" w:line="360" w:lineRule="auto"/>
        <w:contextualSpacing/>
      </w:pPr>
    </w:p>
    <w:p w14:paraId="4272AAD7" w14:textId="77777777" w:rsidR="00901A53" w:rsidRPr="00604D22" w:rsidRDefault="00901A53" w:rsidP="00901A53">
      <w:pPr>
        <w:pStyle w:val="Basetext"/>
        <w:spacing w:before="0" w:after="240" w:line="360" w:lineRule="auto"/>
        <w:contextualSpacing/>
      </w:pPr>
      <w:r w:rsidRPr="00604D22">
        <w:t xml:space="preserve">The objective of issuing a sunset-altering declaration is to facilitate either: </w:t>
      </w:r>
    </w:p>
    <w:p w14:paraId="4410D225" w14:textId="77777777" w:rsidR="00901A53" w:rsidRPr="00604D22" w:rsidRDefault="00901A53" w:rsidP="00901A53">
      <w:pPr>
        <w:pStyle w:val="Basetext"/>
        <w:numPr>
          <w:ilvl w:val="0"/>
          <w:numId w:val="2"/>
        </w:numPr>
        <w:spacing w:before="0" w:after="240" w:line="360" w:lineRule="auto"/>
        <w:contextualSpacing/>
      </w:pPr>
      <w:r w:rsidRPr="00604D22">
        <w:t xml:space="preserve">the undertaking of a single review into the fitness-for-purpose of two or more thematically related legislative instruments, or </w:t>
      </w:r>
    </w:p>
    <w:p w14:paraId="545ABFB0" w14:textId="77777777" w:rsidR="00901A53" w:rsidRPr="00604D22" w:rsidRDefault="00901A53" w:rsidP="00901A53">
      <w:pPr>
        <w:pStyle w:val="Basetext"/>
        <w:numPr>
          <w:ilvl w:val="0"/>
          <w:numId w:val="2"/>
        </w:numPr>
        <w:spacing w:before="0" w:after="240" w:line="360" w:lineRule="auto"/>
        <w:contextualSpacing/>
      </w:pPr>
      <w:r w:rsidRPr="00604D22">
        <w:t>the implementation of such a review’s findings.</w:t>
      </w:r>
    </w:p>
    <w:p w14:paraId="3878B282" w14:textId="77777777" w:rsidR="00901A53" w:rsidRPr="00604D22" w:rsidRDefault="00901A53" w:rsidP="00901A53">
      <w:pPr>
        <w:pStyle w:val="Basetext"/>
        <w:spacing w:before="0" w:after="240" w:line="360" w:lineRule="auto"/>
        <w:contextualSpacing/>
      </w:pPr>
    </w:p>
    <w:p w14:paraId="0964EA77" w14:textId="77777777" w:rsidR="00901A53" w:rsidRPr="00604D22" w:rsidRDefault="00901A53" w:rsidP="00901A53">
      <w:pPr>
        <w:pStyle w:val="Basetext"/>
        <w:spacing w:before="0" w:after="240" w:line="360" w:lineRule="auto"/>
        <w:contextualSpacing/>
      </w:pPr>
      <w:r w:rsidRPr="00604D22">
        <w:t xml:space="preserve">The instruments will then be repealed on the day specified in the Declaration instead of the previously scheduled sunsetting days. This allows instruments to continue to be in force for a further but limited period of time when they would otherwise sunset. This reduces administrative burden as well as the possibility of legislative inconsistencies arising from reviewing and replacing related legislation at different times. </w:t>
      </w:r>
    </w:p>
    <w:p w14:paraId="7F838469" w14:textId="77777777" w:rsidR="00901A53" w:rsidRPr="00604D22" w:rsidRDefault="00901A53" w:rsidP="00901A53">
      <w:pPr>
        <w:pStyle w:val="Basetext"/>
        <w:spacing w:before="0" w:after="240" w:line="360" w:lineRule="auto"/>
        <w:contextualSpacing/>
      </w:pPr>
    </w:p>
    <w:p w14:paraId="68745752" w14:textId="70B8ABDE" w:rsidR="00901A53" w:rsidRDefault="00901A53" w:rsidP="00901A53">
      <w:pPr>
        <w:pStyle w:val="Basetext"/>
        <w:spacing w:before="0" w:after="240" w:line="360" w:lineRule="auto"/>
        <w:contextualSpacing/>
      </w:pPr>
      <w:r w:rsidRPr="00604D22">
        <w:t>The Declaration aligns the sunsetting dates of the following</w:t>
      </w:r>
      <w:r>
        <w:t xml:space="preserve"> </w:t>
      </w:r>
      <w:r w:rsidR="00225CC3">
        <w:t>13</w:t>
      </w:r>
      <w:r w:rsidRPr="00604D22">
        <w:t xml:space="preserve"> instruments to 1 </w:t>
      </w:r>
      <w:r>
        <w:t>October</w:t>
      </w:r>
      <w:r w:rsidRPr="00604D22">
        <w:t xml:space="preserve"> </w:t>
      </w:r>
      <w:r>
        <w:t>2026</w:t>
      </w:r>
      <w:r w:rsidRPr="00604D22">
        <w:t xml:space="preserve"> (together, ‘the </w:t>
      </w:r>
      <w:r>
        <w:t xml:space="preserve">DVA Treatment </w:t>
      </w:r>
      <w:r w:rsidR="002B7FE5">
        <w:t>Instruments’</w:t>
      </w:r>
      <w:r w:rsidRPr="00604D22">
        <w:t xml:space="preserve">): </w:t>
      </w:r>
    </w:p>
    <w:p w14:paraId="4930E5A6" w14:textId="77777777" w:rsidR="00024048" w:rsidRPr="00604D22" w:rsidRDefault="00024048" w:rsidP="00901A53">
      <w:pPr>
        <w:pStyle w:val="Basetext"/>
        <w:spacing w:before="0" w:after="240" w:line="360" w:lineRule="auto"/>
        <w:contextualSpacing/>
      </w:pPr>
    </w:p>
    <w:p w14:paraId="62B67242" w14:textId="6C518C22" w:rsidR="00B11713" w:rsidRPr="00D957FB" w:rsidRDefault="00B11713" w:rsidP="00B11713">
      <w:pPr>
        <w:pStyle w:val="Basetext"/>
        <w:numPr>
          <w:ilvl w:val="0"/>
          <w:numId w:val="24"/>
        </w:numPr>
        <w:spacing w:after="240" w:line="360" w:lineRule="auto"/>
        <w:contextualSpacing/>
        <w:rPr>
          <w:i/>
        </w:rPr>
      </w:pPr>
      <w:r w:rsidRPr="00D957FB">
        <w:rPr>
          <w:i/>
        </w:rPr>
        <w:t>MRCA Pharmaceutical Benefits Scheme (No. MRCC 44/2013)</w:t>
      </w:r>
    </w:p>
    <w:p w14:paraId="0C4A4172" w14:textId="526D26AF" w:rsidR="00B11713" w:rsidRPr="00D957FB" w:rsidRDefault="00B11713" w:rsidP="00B11713">
      <w:pPr>
        <w:pStyle w:val="Basetext"/>
        <w:numPr>
          <w:ilvl w:val="0"/>
          <w:numId w:val="24"/>
        </w:numPr>
        <w:spacing w:after="240" w:line="360" w:lineRule="auto"/>
        <w:contextualSpacing/>
        <w:rPr>
          <w:i/>
        </w:rPr>
      </w:pPr>
      <w:r w:rsidRPr="00D957FB">
        <w:rPr>
          <w:i/>
        </w:rPr>
        <w:t>MRCA Private Patient Principles 2004</w:t>
      </w:r>
    </w:p>
    <w:p w14:paraId="17BD625F" w14:textId="4071E456" w:rsidR="00B11713" w:rsidRPr="00D957FB" w:rsidRDefault="00B11713" w:rsidP="00B11713">
      <w:pPr>
        <w:pStyle w:val="Basetext"/>
        <w:numPr>
          <w:ilvl w:val="0"/>
          <w:numId w:val="24"/>
        </w:numPr>
        <w:spacing w:after="240" w:line="360" w:lineRule="auto"/>
        <w:contextualSpacing/>
        <w:rPr>
          <w:i/>
        </w:rPr>
      </w:pPr>
      <w:r w:rsidRPr="00D957FB">
        <w:rPr>
          <w:i/>
        </w:rPr>
        <w:t>MRCA Treatment Principles (No. MRCC 53/2013)</w:t>
      </w:r>
    </w:p>
    <w:p w14:paraId="57739394" w14:textId="0F79ECD7" w:rsidR="00B11713" w:rsidRPr="00D957FB" w:rsidRDefault="00B11713" w:rsidP="00B11713">
      <w:pPr>
        <w:pStyle w:val="Basetext"/>
        <w:numPr>
          <w:ilvl w:val="0"/>
          <w:numId w:val="24"/>
        </w:numPr>
        <w:spacing w:after="240" w:line="360" w:lineRule="auto"/>
        <w:contextualSpacing/>
        <w:rPr>
          <w:i/>
        </w:rPr>
      </w:pPr>
      <w:r w:rsidRPr="00D957FB">
        <w:rPr>
          <w:i/>
        </w:rPr>
        <w:t>Repatriation Pharmaceutical Benefits Scheme</w:t>
      </w:r>
    </w:p>
    <w:p w14:paraId="07F17008" w14:textId="537FAA94" w:rsidR="00B11713" w:rsidRPr="00D957FB" w:rsidRDefault="00B11713" w:rsidP="00B11713">
      <w:pPr>
        <w:pStyle w:val="Basetext"/>
        <w:numPr>
          <w:ilvl w:val="0"/>
          <w:numId w:val="24"/>
        </w:numPr>
        <w:spacing w:after="240" w:line="360" w:lineRule="auto"/>
        <w:contextualSpacing/>
        <w:rPr>
          <w:i/>
        </w:rPr>
      </w:pPr>
      <w:r w:rsidRPr="00D957FB">
        <w:rPr>
          <w:i/>
        </w:rPr>
        <w:t>Repatriation Private Patient Principles</w:t>
      </w:r>
    </w:p>
    <w:p w14:paraId="54639F86" w14:textId="63BFCBA0" w:rsidR="00B11713" w:rsidRPr="00D957FB" w:rsidRDefault="00B11713" w:rsidP="00B11713">
      <w:pPr>
        <w:pStyle w:val="Basetext"/>
        <w:numPr>
          <w:ilvl w:val="0"/>
          <w:numId w:val="24"/>
        </w:numPr>
        <w:spacing w:after="240" w:line="360" w:lineRule="auto"/>
        <w:contextualSpacing/>
        <w:rPr>
          <w:i/>
        </w:rPr>
      </w:pPr>
      <w:r w:rsidRPr="00D957FB">
        <w:rPr>
          <w:i/>
        </w:rPr>
        <w:t>Treatment Benefits (Special Access) (Modifications of the Repatriation Private Patient Principles) Instrument 2019</w:t>
      </w:r>
    </w:p>
    <w:p w14:paraId="0CEBAF80" w14:textId="4FF3AD7D" w:rsidR="00B11713" w:rsidRPr="00D957FB" w:rsidRDefault="00B11713" w:rsidP="00B11713">
      <w:pPr>
        <w:pStyle w:val="Basetext"/>
        <w:numPr>
          <w:ilvl w:val="0"/>
          <w:numId w:val="24"/>
        </w:numPr>
        <w:spacing w:after="240" w:line="360" w:lineRule="auto"/>
        <w:contextualSpacing/>
        <w:rPr>
          <w:i/>
        </w:rPr>
      </w:pPr>
      <w:r w:rsidRPr="00D957FB">
        <w:rPr>
          <w:i/>
        </w:rPr>
        <w:t>Treatment Benefits (Special Access) (Modifications of the Repatriation Pharmaceutical Benefits Scheme) Instrument 2019</w:t>
      </w:r>
    </w:p>
    <w:p w14:paraId="48B8707B" w14:textId="10A2E82C" w:rsidR="00B11713" w:rsidRPr="00D957FB" w:rsidRDefault="00B11713" w:rsidP="00B11713">
      <w:pPr>
        <w:pStyle w:val="Basetext"/>
        <w:numPr>
          <w:ilvl w:val="0"/>
          <w:numId w:val="24"/>
        </w:numPr>
        <w:spacing w:after="240" w:line="360" w:lineRule="auto"/>
        <w:contextualSpacing/>
        <w:rPr>
          <w:i/>
        </w:rPr>
      </w:pPr>
      <w:r w:rsidRPr="00D957FB">
        <w:rPr>
          <w:i/>
        </w:rPr>
        <w:t>Treatment Benefits (Special Access) (Modifications of the Treatment Principles) Instrument 2019</w:t>
      </w:r>
      <w:r>
        <w:rPr>
          <w:i/>
        </w:rPr>
        <w:t>;</w:t>
      </w:r>
    </w:p>
    <w:p w14:paraId="66BFF440" w14:textId="5253719F" w:rsidR="00B11713" w:rsidRPr="00D957FB" w:rsidRDefault="00B11713" w:rsidP="00B11713">
      <w:pPr>
        <w:pStyle w:val="Basetext"/>
        <w:numPr>
          <w:ilvl w:val="0"/>
          <w:numId w:val="24"/>
        </w:numPr>
        <w:spacing w:after="240" w:line="360" w:lineRule="auto"/>
        <w:contextualSpacing/>
        <w:rPr>
          <w:i/>
        </w:rPr>
      </w:pPr>
      <w:r w:rsidRPr="00D957FB">
        <w:rPr>
          <w:i/>
        </w:rPr>
        <w:t>Treatment Principles (No. R52/2013)</w:t>
      </w:r>
    </w:p>
    <w:p w14:paraId="39560851" w14:textId="663AB91A" w:rsidR="00B11713" w:rsidRPr="00D957FB" w:rsidRDefault="00B11713" w:rsidP="00B11713">
      <w:pPr>
        <w:pStyle w:val="Basetext"/>
        <w:numPr>
          <w:ilvl w:val="0"/>
          <w:numId w:val="24"/>
        </w:numPr>
        <w:spacing w:after="240" w:line="360" w:lineRule="auto"/>
        <w:contextualSpacing/>
        <w:rPr>
          <w:i/>
        </w:rPr>
      </w:pPr>
      <w:r w:rsidRPr="00D957FB">
        <w:rPr>
          <w:i/>
        </w:rPr>
        <w:t>Veterans' Entitlements (Psychiatric Assessment - Dependants of Vietnam Veterans) Determination 2000</w:t>
      </w:r>
    </w:p>
    <w:p w14:paraId="3489EAA9" w14:textId="75DBFA33" w:rsidR="00B11713" w:rsidRPr="00D957FB" w:rsidRDefault="00B11713" w:rsidP="00B11713">
      <w:pPr>
        <w:pStyle w:val="Basetext"/>
        <w:numPr>
          <w:ilvl w:val="0"/>
          <w:numId w:val="24"/>
        </w:numPr>
        <w:spacing w:after="240" w:line="360" w:lineRule="auto"/>
        <w:contextualSpacing/>
        <w:rPr>
          <w:i/>
        </w:rPr>
      </w:pPr>
      <w:r w:rsidRPr="00D957FB">
        <w:rPr>
          <w:i/>
        </w:rPr>
        <w:t>Veterans’ Affairs (Extended Eligibility for Treatment) Instrument 2015</w:t>
      </w:r>
    </w:p>
    <w:p w14:paraId="29FC2A11" w14:textId="7A12ECA0" w:rsidR="00B11713" w:rsidRPr="00D957FB" w:rsidRDefault="00B11713" w:rsidP="00B11713">
      <w:pPr>
        <w:pStyle w:val="Basetext"/>
        <w:numPr>
          <w:ilvl w:val="0"/>
          <w:numId w:val="24"/>
        </w:numPr>
        <w:spacing w:after="240" w:line="360" w:lineRule="auto"/>
        <w:contextualSpacing/>
        <w:rPr>
          <w:i/>
        </w:rPr>
      </w:pPr>
      <w:r w:rsidRPr="00D957FB">
        <w:rPr>
          <w:i/>
        </w:rPr>
        <w:t>Veterans’ Affairs (Extending Medication Chart Prescribing to Hospitals and Other Measures) Instrument 2015</w:t>
      </w:r>
    </w:p>
    <w:p w14:paraId="49E68B64" w14:textId="0E8D6F51" w:rsidR="00B11713" w:rsidRDefault="00B11713" w:rsidP="00B11713">
      <w:pPr>
        <w:pStyle w:val="Basetext"/>
        <w:numPr>
          <w:ilvl w:val="0"/>
          <w:numId w:val="24"/>
        </w:numPr>
        <w:spacing w:after="240" w:line="360" w:lineRule="auto"/>
        <w:contextualSpacing/>
        <w:rPr>
          <w:i/>
        </w:rPr>
      </w:pPr>
      <w:r w:rsidRPr="00D957FB">
        <w:rPr>
          <w:i/>
        </w:rPr>
        <w:t>Veterans’ Affairs (TRCP Treatment – Eligibility) Determination 2015</w:t>
      </w:r>
      <w:r>
        <w:rPr>
          <w:i/>
        </w:rPr>
        <w:t>.</w:t>
      </w:r>
    </w:p>
    <w:p w14:paraId="61D43353" w14:textId="77777777" w:rsidR="00901A53" w:rsidRPr="00604D22" w:rsidRDefault="00901A53" w:rsidP="00901A53">
      <w:pPr>
        <w:pStyle w:val="Basetext"/>
        <w:tabs>
          <w:tab w:val="left" w:pos="2640"/>
        </w:tabs>
        <w:spacing w:before="0" w:after="240" w:line="360" w:lineRule="auto"/>
        <w:contextualSpacing/>
      </w:pPr>
      <w:r>
        <w:tab/>
      </w:r>
    </w:p>
    <w:p w14:paraId="24C1D963" w14:textId="06E62193" w:rsidR="00901A53" w:rsidRDefault="00901A53" w:rsidP="00901A53">
      <w:pPr>
        <w:pStyle w:val="Basetext"/>
        <w:spacing w:before="0" w:after="240" w:line="360" w:lineRule="auto"/>
        <w:contextualSpacing/>
      </w:pPr>
      <w:r w:rsidRPr="00604D22">
        <w:t xml:space="preserve">Without the Declaration, the </w:t>
      </w:r>
      <w:r>
        <w:t xml:space="preserve">DVA Treatment </w:t>
      </w:r>
      <w:r w:rsidR="002B7FE5">
        <w:t>Instruments</w:t>
      </w:r>
      <w:r>
        <w:t xml:space="preserve"> </w:t>
      </w:r>
      <w:r w:rsidRPr="00604D22">
        <w:t xml:space="preserve">would sunset </w:t>
      </w:r>
      <w:r w:rsidR="00327114">
        <w:t>on various days between 1</w:t>
      </w:r>
      <w:r w:rsidR="00A7661F">
        <w:t> </w:t>
      </w:r>
      <w:r w:rsidR="00327114">
        <w:t>April 2024 and 1 October 2029:</w:t>
      </w:r>
    </w:p>
    <w:p w14:paraId="3BBD6376" w14:textId="63049099" w:rsidR="00901A53" w:rsidRDefault="00901A53" w:rsidP="00901A53">
      <w:pPr>
        <w:pStyle w:val="Basetext"/>
        <w:numPr>
          <w:ilvl w:val="0"/>
          <w:numId w:val="6"/>
        </w:numPr>
        <w:spacing w:before="0" w:after="240" w:line="360" w:lineRule="auto"/>
        <w:contextualSpacing/>
      </w:pPr>
      <w:r>
        <w:t>On 1 April 2024</w:t>
      </w:r>
      <w:r w:rsidR="00EC0F04">
        <w:t>:</w:t>
      </w:r>
    </w:p>
    <w:p w14:paraId="6B9D7E0E" w14:textId="67A08876" w:rsidR="00901A53" w:rsidRPr="00D957FB" w:rsidRDefault="00901A53" w:rsidP="00901A53">
      <w:pPr>
        <w:pStyle w:val="Basetext"/>
        <w:numPr>
          <w:ilvl w:val="1"/>
          <w:numId w:val="6"/>
        </w:numPr>
        <w:spacing w:after="240" w:line="360" w:lineRule="auto"/>
        <w:contextualSpacing/>
        <w:rPr>
          <w:i/>
        </w:rPr>
      </w:pPr>
      <w:r>
        <w:lastRenderedPageBreak/>
        <w:t>the</w:t>
      </w:r>
      <w:r w:rsidRPr="00D957FB">
        <w:rPr>
          <w:i/>
        </w:rPr>
        <w:t xml:space="preserve"> Repatriation Pharmaceutical Benefits Scheme</w:t>
      </w:r>
    </w:p>
    <w:p w14:paraId="13F9D746" w14:textId="14A00491" w:rsidR="00901A53" w:rsidRPr="00D957FB" w:rsidRDefault="00901A53" w:rsidP="00901A53">
      <w:pPr>
        <w:pStyle w:val="Basetext"/>
        <w:numPr>
          <w:ilvl w:val="1"/>
          <w:numId w:val="6"/>
        </w:numPr>
        <w:spacing w:after="240" w:line="360" w:lineRule="auto"/>
        <w:contextualSpacing/>
        <w:rPr>
          <w:i/>
        </w:rPr>
      </w:pPr>
      <w:r>
        <w:t>the</w:t>
      </w:r>
      <w:r w:rsidRPr="00D957FB">
        <w:rPr>
          <w:i/>
        </w:rPr>
        <w:t xml:space="preserve"> Treatment Principles (No. R52/2013)</w:t>
      </w:r>
    </w:p>
    <w:p w14:paraId="72C45964" w14:textId="59DBDF27" w:rsidR="00901A53" w:rsidRPr="00D957FB" w:rsidRDefault="00901A53" w:rsidP="00901A53">
      <w:pPr>
        <w:pStyle w:val="Basetext"/>
        <w:numPr>
          <w:ilvl w:val="1"/>
          <w:numId w:val="6"/>
        </w:numPr>
        <w:spacing w:after="240" w:line="360" w:lineRule="auto"/>
        <w:contextualSpacing/>
        <w:rPr>
          <w:i/>
        </w:rPr>
      </w:pPr>
      <w:r>
        <w:t>the</w:t>
      </w:r>
      <w:r w:rsidRPr="00D957FB">
        <w:rPr>
          <w:i/>
        </w:rPr>
        <w:t xml:space="preserve"> MRCA Pharmaceutical Benefits Scheme (No. MRCC 44/2013)</w:t>
      </w:r>
      <w:r w:rsidRPr="00853EBA">
        <w:t xml:space="preserve"> </w:t>
      </w:r>
      <w:r>
        <w:t xml:space="preserve">and </w:t>
      </w:r>
    </w:p>
    <w:p w14:paraId="71A63DAC" w14:textId="616EAC1B" w:rsidR="00901A53" w:rsidRPr="00D957FB" w:rsidRDefault="00901A53" w:rsidP="00901A53">
      <w:pPr>
        <w:pStyle w:val="Basetext"/>
        <w:numPr>
          <w:ilvl w:val="1"/>
          <w:numId w:val="6"/>
        </w:numPr>
        <w:spacing w:after="240" w:line="360" w:lineRule="auto"/>
        <w:contextualSpacing/>
        <w:rPr>
          <w:i/>
        </w:rPr>
      </w:pPr>
      <w:r>
        <w:t>the</w:t>
      </w:r>
      <w:r w:rsidRPr="00D957FB">
        <w:rPr>
          <w:i/>
        </w:rPr>
        <w:t xml:space="preserve"> MRCA Treatment Principles (No. MRCC 53/2013)</w:t>
      </w:r>
      <w:r w:rsidR="00DA7CBD">
        <w:rPr>
          <w:i/>
        </w:rPr>
        <w:t>.</w:t>
      </w:r>
    </w:p>
    <w:p w14:paraId="1198E281" w14:textId="6DCD6983" w:rsidR="00901A53" w:rsidRPr="00853EBA" w:rsidRDefault="00901A53" w:rsidP="00901A53">
      <w:pPr>
        <w:pStyle w:val="Basetext"/>
        <w:numPr>
          <w:ilvl w:val="0"/>
          <w:numId w:val="6"/>
        </w:numPr>
        <w:spacing w:before="0" w:after="240" w:line="360" w:lineRule="auto"/>
        <w:contextualSpacing/>
      </w:pPr>
      <w:r>
        <w:t xml:space="preserve">On 1 April 2025, the </w:t>
      </w:r>
      <w:r w:rsidRPr="00853EBA">
        <w:rPr>
          <w:i/>
        </w:rPr>
        <w:t>Veterans’ Affairs (Extending Medication Chart Prescribing to Hospitals and Other Measures) Instrument 2015</w:t>
      </w:r>
      <w:r w:rsidR="00DA7CBD">
        <w:rPr>
          <w:i/>
        </w:rPr>
        <w:t>.</w:t>
      </w:r>
    </w:p>
    <w:p w14:paraId="31361B72" w14:textId="37185B19" w:rsidR="00901A53" w:rsidRDefault="00901A53" w:rsidP="00901A53">
      <w:pPr>
        <w:pStyle w:val="Basetext"/>
        <w:numPr>
          <w:ilvl w:val="0"/>
          <w:numId w:val="6"/>
        </w:numPr>
        <w:spacing w:before="0" w:after="240" w:line="360" w:lineRule="auto"/>
        <w:contextualSpacing/>
      </w:pPr>
      <w:r>
        <w:t>On 1 October 2025</w:t>
      </w:r>
      <w:r w:rsidR="00EC0F04">
        <w:t>:</w:t>
      </w:r>
    </w:p>
    <w:p w14:paraId="03C7C12E" w14:textId="558882DA" w:rsidR="00901A53" w:rsidRPr="00D957FB" w:rsidRDefault="00901A53" w:rsidP="00901A53">
      <w:pPr>
        <w:pStyle w:val="Basetext"/>
        <w:numPr>
          <w:ilvl w:val="1"/>
          <w:numId w:val="6"/>
        </w:numPr>
        <w:spacing w:after="240" w:line="360" w:lineRule="auto"/>
        <w:contextualSpacing/>
        <w:rPr>
          <w:i/>
        </w:rPr>
      </w:pPr>
      <w:r>
        <w:t>the</w:t>
      </w:r>
      <w:r w:rsidRPr="00D957FB">
        <w:rPr>
          <w:i/>
        </w:rPr>
        <w:t xml:space="preserve"> Repatriation Private Patient Principles</w:t>
      </w:r>
    </w:p>
    <w:p w14:paraId="214AB03E" w14:textId="7110C806" w:rsidR="00901A53" w:rsidRPr="00D957FB" w:rsidRDefault="00901A53" w:rsidP="00901A53">
      <w:pPr>
        <w:pStyle w:val="Basetext"/>
        <w:numPr>
          <w:ilvl w:val="1"/>
          <w:numId w:val="6"/>
        </w:numPr>
        <w:spacing w:after="240" w:line="360" w:lineRule="auto"/>
        <w:contextualSpacing/>
        <w:rPr>
          <w:i/>
        </w:rPr>
      </w:pPr>
      <w:r>
        <w:t>the</w:t>
      </w:r>
      <w:r w:rsidRPr="00D957FB">
        <w:rPr>
          <w:i/>
        </w:rPr>
        <w:t xml:space="preserve"> MRCA Private Patient Principles 2004</w:t>
      </w:r>
    </w:p>
    <w:p w14:paraId="49580CA5" w14:textId="2BD67E6D" w:rsidR="00901A53" w:rsidRPr="00D957FB" w:rsidRDefault="00901A53" w:rsidP="00901A53">
      <w:pPr>
        <w:pStyle w:val="Basetext"/>
        <w:numPr>
          <w:ilvl w:val="1"/>
          <w:numId w:val="6"/>
        </w:numPr>
        <w:spacing w:after="240" w:line="360" w:lineRule="auto"/>
        <w:contextualSpacing/>
        <w:rPr>
          <w:i/>
        </w:rPr>
      </w:pPr>
      <w:r>
        <w:t>the</w:t>
      </w:r>
      <w:r w:rsidRPr="00D957FB">
        <w:rPr>
          <w:i/>
        </w:rPr>
        <w:t xml:space="preserve"> Veterans' Entitlements (Psychiatric Assessment - Dependants of Vietnam Veterans) Determination 2000</w:t>
      </w:r>
    </w:p>
    <w:p w14:paraId="51E9F2C7" w14:textId="5EBCD2F8" w:rsidR="00901A53" w:rsidRPr="00D957FB" w:rsidRDefault="00901A53" w:rsidP="00901A53">
      <w:pPr>
        <w:pStyle w:val="Basetext"/>
        <w:numPr>
          <w:ilvl w:val="1"/>
          <w:numId w:val="6"/>
        </w:numPr>
        <w:spacing w:after="240" w:line="360" w:lineRule="auto"/>
        <w:contextualSpacing/>
        <w:rPr>
          <w:i/>
        </w:rPr>
      </w:pPr>
      <w:r>
        <w:t>the</w:t>
      </w:r>
      <w:r w:rsidRPr="00D957FB">
        <w:rPr>
          <w:i/>
        </w:rPr>
        <w:t xml:space="preserve"> Veterans’ Affairs (Extended Eligibility for Treatment) Instrument 2015</w:t>
      </w:r>
      <w:r>
        <w:rPr>
          <w:i/>
        </w:rPr>
        <w:t xml:space="preserve"> </w:t>
      </w:r>
      <w:r w:rsidRPr="00853EBA">
        <w:t xml:space="preserve">and </w:t>
      </w:r>
    </w:p>
    <w:p w14:paraId="17139828" w14:textId="7C55C165" w:rsidR="00901A53" w:rsidRDefault="00901A53" w:rsidP="00901A53">
      <w:pPr>
        <w:pStyle w:val="Basetext"/>
        <w:numPr>
          <w:ilvl w:val="1"/>
          <w:numId w:val="6"/>
        </w:numPr>
        <w:spacing w:after="240" w:line="360" w:lineRule="auto"/>
        <w:contextualSpacing/>
        <w:rPr>
          <w:i/>
        </w:rPr>
      </w:pPr>
      <w:r w:rsidRPr="00853EBA">
        <w:t>the</w:t>
      </w:r>
      <w:r w:rsidRPr="00D957FB">
        <w:rPr>
          <w:i/>
        </w:rPr>
        <w:t xml:space="preserve"> Veterans’ Affairs (TRCP Treatment – Eligibility) Determination 2015</w:t>
      </w:r>
      <w:r w:rsidR="00DA7CBD">
        <w:rPr>
          <w:i/>
        </w:rPr>
        <w:t>.</w:t>
      </w:r>
    </w:p>
    <w:p w14:paraId="38D7B29E" w14:textId="061C1CAE" w:rsidR="00901A53" w:rsidRDefault="00901A53" w:rsidP="00901A53">
      <w:pPr>
        <w:pStyle w:val="Basetext"/>
        <w:numPr>
          <w:ilvl w:val="0"/>
          <w:numId w:val="6"/>
        </w:numPr>
        <w:spacing w:before="0" w:after="240" w:line="360" w:lineRule="auto"/>
        <w:contextualSpacing/>
      </w:pPr>
      <w:r>
        <w:t>On 1 October 2029</w:t>
      </w:r>
      <w:r w:rsidR="00EC0F04">
        <w:t>:</w:t>
      </w:r>
    </w:p>
    <w:p w14:paraId="45EC2FBD" w14:textId="7F850424" w:rsidR="00901A53" w:rsidRPr="00D957FB" w:rsidRDefault="00901A53" w:rsidP="00901A53">
      <w:pPr>
        <w:pStyle w:val="Basetext"/>
        <w:numPr>
          <w:ilvl w:val="1"/>
          <w:numId w:val="6"/>
        </w:numPr>
        <w:spacing w:after="240" w:line="360" w:lineRule="auto"/>
        <w:contextualSpacing/>
        <w:rPr>
          <w:i/>
        </w:rPr>
      </w:pPr>
      <w:r>
        <w:t>the</w:t>
      </w:r>
      <w:r w:rsidRPr="00D957FB">
        <w:rPr>
          <w:i/>
        </w:rPr>
        <w:t xml:space="preserve"> Treatment Benefits (Special Access) (Modifications of the Repatriation Pharmaceutical Benefits Scheme) Instrument 2019</w:t>
      </w:r>
    </w:p>
    <w:p w14:paraId="10F0456C" w14:textId="008D7A76" w:rsidR="00901A53" w:rsidRPr="00D957FB" w:rsidRDefault="00901A53" w:rsidP="00901A53">
      <w:pPr>
        <w:pStyle w:val="Basetext"/>
        <w:numPr>
          <w:ilvl w:val="1"/>
          <w:numId w:val="6"/>
        </w:numPr>
        <w:spacing w:after="240" w:line="360" w:lineRule="auto"/>
        <w:contextualSpacing/>
        <w:rPr>
          <w:i/>
        </w:rPr>
      </w:pPr>
      <w:r>
        <w:t>the</w:t>
      </w:r>
      <w:r w:rsidRPr="00D957FB">
        <w:rPr>
          <w:i/>
        </w:rPr>
        <w:t xml:space="preserve"> Treatment Benefits (Special Access) (Modifications of the Repatriation Private Patient Principles) Instrument 2019</w:t>
      </w:r>
      <w:r w:rsidR="00DA7CBD">
        <w:rPr>
          <w:i/>
        </w:rPr>
        <w:t xml:space="preserve"> </w:t>
      </w:r>
      <w:r w:rsidRPr="00853EBA">
        <w:t>and</w:t>
      </w:r>
    </w:p>
    <w:p w14:paraId="6CA3F8F4" w14:textId="77777777" w:rsidR="00901A53" w:rsidRPr="00D957FB" w:rsidRDefault="00901A53" w:rsidP="00901A53">
      <w:pPr>
        <w:pStyle w:val="Basetext"/>
        <w:numPr>
          <w:ilvl w:val="1"/>
          <w:numId w:val="6"/>
        </w:numPr>
        <w:spacing w:after="240" w:line="360" w:lineRule="auto"/>
        <w:contextualSpacing/>
        <w:rPr>
          <w:i/>
        </w:rPr>
      </w:pPr>
      <w:r>
        <w:t>the</w:t>
      </w:r>
      <w:r w:rsidRPr="00D957FB">
        <w:rPr>
          <w:i/>
        </w:rPr>
        <w:t xml:space="preserve"> Treatment Benefits (Special Access) (Modifications of the Treatment Principles) Instrument 2019</w:t>
      </w:r>
      <w:r>
        <w:rPr>
          <w:i/>
        </w:rPr>
        <w:t>.</w:t>
      </w:r>
    </w:p>
    <w:p w14:paraId="699295BC" w14:textId="77777777" w:rsidR="00901A53" w:rsidRDefault="00901A53" w:rsidP="00901A53">
      <w:pPr>
        <w:pStyle w:val="Basetext"/>
        <w:spacing w:before="0" w:after="240" w:line="360" w:lineRule="auto"/>
        <w:contextualSpacing/>
      </w:pPr>
    </w:p>
    <w:p w14:paraId="0F86CB7F" w14:textId="388B46C7" w:rsidR="00634C12" w:rsidRDefault="00901A53" w:rsidP="00901A53">
      <w:pPr>
        <w:pStyle w:val="Basetext"/>
        <w:spacing w:before="0" w:after="240" w:line="360" w:lineRule="auto"/>
        <w:contextualSpacing/>
      </w:pPr>
      <w:r w:rsidRPr="00604D22">
        <w:t xml:space="preserve">The ability to align sunsetting dates is an integral part of the sunsetting framework. It provides the necessary flexibility to ensure the standard 10-year sunsetting period does not result in unintended consequences or impose an unreasonable administrative burden on Commonwealth agencies or the Parliament. Aligning the sunsetting dates of the </w:t>
      </w:r>
      <w:r>
        <w:t xml:space="preserve">DVA Treatment </w:t>
      </w:r>
      <w:r w:rsidR="002B7FE5">
        <w:t>Instruments</w:t>
      </w:r>
      <w:r w:rsidRPr="00604D22">
        <w:t xml:space="preserve"> will enable the </w:t>
      </w:r>
      <w:r>
        <w:t>Department</w:t>
      </w:r>
      <w:r w:rsidR="00327114">
        <w:t> </w:t>
      </w:r>
      <w:r>
        <w:t>of</w:t>
      </w:r>
      <w:r w:rsidR="00327114">
        <w:t> </w:t>
      </w:r>
      <w:r>
        <w:t>Veterans’</w:t>
      </w:r>
      <w:r w:rsidR="00327114">
        <w:t> </w:t>
      </w:r>
      <w:r>
        <w:t>Affairs</w:t>
      </w:r>
      <w:r w:rsidRPr="00604D22">
        <w:t xml:space="preserve"> </w:t>
      </w:r>
      <w:r w:rsidR="0015366F">
        <w:t xml:space="preserve">(DVA) </w:t>
      </w:r>
      <w:r w:rsidRPr="00604D22">
        <w:t xml:space="preserve">to </w:t>
      </w:r>
      <w:r>
        <w:t>conduct a thematic review of the instruments</w:t>
      </w:r>
      <w:r w:rsidRPr="00604D22">
        <w:t xml:space="preserve">. The alignment of these sunsetting dates </w:t>
      </w:r>
      <w:r w:rsidR="00261879">
        <w:t>will</w:t>
      </w:r>
      <w:r w:rsidRPr="00604D22">
        <w:t xml:space="preserve"> provide an opportunity to</w:t>
      </w:r>
      <w:r>
        <w:t xml:space="preserve">, for the first time, comprehensively review veteran treatment legislative instruments, as part of a number of significant reform activities being undertaken that are likely to have impacts on the </w:t>
      </w:r>
      <w:r w:rsidR="0015366F">
        <w:t xml:space="preserve">DVA’s </w:t>
      </w:r>
      <w:r>
        <w:t xml:space="preserve">treatment arrangements. </w:t>
      </w:r>
    </w:p>
    <w:p w14:paraId="59A71C59" w14:textId="093B797E" w:rsidR="00901A53" w:rsidRDefault="00901A53" w:rsidP="00B11713">
      <w:pPr>
        <w:pStyle w:val="Basetext"/>
        <w:keepNext/>
        <w:keepLines/>
        <w:spacing w:before="0" w:after="240" w:line="360" w:lineRule="auto"/>
        <w:contextualSpacing/>
      </w:pPr>
      <w:r>
        <w:lastRenderedPageBreak/>
        <w:t xml:space="preserve">The thematic review will concern the aforementioned </w:t>
      </w:r>
      <w:r w:rsidR="00225CC3">
        <w:t>13</w:t>
      </w:r>
      <w:r>
        <w:t xml:space="preserve"> instruments in addition to </w:t>
      </w:r>
      <w:r w:rsidR="00D30238">
        <w:t xml:space="preserve">the </w:t>
      </w:r>
      <w:r w:rsidR="00D30238" w:rsidRPr="00D30238">
        <w:rPr>
          <w:i/>
        </w:rPr>
        <w:t>Veterans' Entitlements (Counselling and Psychiatric Assessment – Former Dependants of Vietnam Veterans) Determination 2016</w:t>
      </w:r>
      <w:r w:rsidR="00D30238">
        <w:t xml:space="preserve">, which is already due to sunset on 1 October 2026, and </w:t>
      </w:r>
      <w:r>
        <w:t xml:space="preserve">the following instruments </w:t>
      </w:r>
      <w:r w:rsidR="00BB7185">
        <w:t xml:space="preserve">that </w:t>
      </w:r>
      <w:r w:rsidR="002C19AE">
        <w:t xml:space="preserve">are </w:t>
      </w:r>
      <w:r>
        <w:t xml:space="preserve">already exempt from sunsetting under item 9A of section 12 of the </w:t>
      </w:r>
      <w:r>
        <w:rPr>
          <w:i/>
        </w:rPr>
        <w:t>Legislation</w:t>
      </w:r>
      <w:r w:rsidR="00327114">
        <w:rPr>
          <w:i/>
        </w:rPr>
        <w:t> </w:t>
      </w:r>
      <w:r>
        <w:rPr>
          <w:i/>
        </w:rPr>
        <w:t>(Exemptions and Other Matters)</w:t>
      </w:r>
      <w:r w:rsidR="00327114">
        <w:rPr>
          <w:i/>
        </w:rPr>
        <w:t> </w:t>
      </w:r>
      <w:r>
        <w:rPr>
          <w:i/>
        </w:rPr>
        <w:t>Regulation</w:t>
      </w:r>
      <w:r w:rsidR="00327114">
        <w:rPr>
          <w:i/>
        </w:rPr>
        <w:t> </w:t>
      </w:r>
      <w:r>
        <w:rPr>
          <w:i/>
        </w:rPr>
        <w:t>2015</w:t>
      </w:r>
      <w:r w:rsidR="00D33B72">
        <w:rPr>
          <w:i/>
        </w:rPr>
        <w:t xml:space="preserve"> </w:t>
      </w:r>
      <w:r w:rsidR="00D33B72" w:rsidRPr="00D33B72">
        <w:t>(LEOMR</w:t>
      </w:r>
      <w:r w:rsidR="00D33B72" w:rsidRPr="00C81F5A">
        <w:t>)</w:t>
      </w:r>
      <w:r>
        <w:t>:</w:t>
      </w:r>
    </w:p>
    <w:p w14:paraId="2A7BFFF6" w14:textId="77777777" w:rsidR="00024048" w:rsidRDefault="00024048" w:rsidP="00B11713">
      <w:pPr>
        <w:pStyle w:val="Basetext"/>
        <w:keepNext/>
        <w:keepLines/>
        <w:spacing w:before="0" w:after="240" w:line="360" w:lineRule="auto"/>
        <w:contextualSpacing/>
      </w:pPr>
    </w:p>
    <w:p w14:paraId="7AF7641C" w14:textId="33AD838F" w:rsidR="00901A53" w:rsidRPr="00686646" w:rsidRDefault="00901A53" w:rsidP="00B11713">
      <w:pPr>
        <w:pStyle w:val="Basetext"/>
        <w:keepNext/>
        <w:keepLines/>
        <w:numPr>
          <w:ilvl w:val="0"/>
          <w:numId w:val="7"/>
        </w:numPr>
        <w:spacing w:before="0" w:after="240" w:line="360" w:lineRule="auto"/>
        <w:contextualSpacing/>
      </w:pPr>
      <w:r w:rsidRPr="00686646">
        <w:rPr>
          <w:i/>
        </w:rPr>
        <w:t>Australian Participants in British Nuclear Tests and British Commonwealth Occupation Force (Treatment) (Modifications of the Treatment Principles) Instrument 2013</w:t>
      </w:r>
    </w:p>
    <w:p w14:paraId="7FC887F2" w14:textId="229CDB58" w:rsidR="00901A53" w:rsidRPr="00686646" w:rsidRDefault="00901A53" w:rsidP="00B11713">
      <w:pPr>
        <w:pStyle w:val="Basetext"/>
        <w:keepNext/>
        <w:keepLines/>
        <w:numPr>
          <w:ilvl w:val="0"/>
          <w:numId w:val="7"/>
        </w:numPr>
        <w:spacing w:before="0" w:after="240" w:line="360" w:lineRule="auto"/>
        <w:contextualSpacing/>
      </w:pPr>
      <w:r w:rsidRPr="00686646">
        <w:rPr>
          <w:i/>
        </w:rPr>
        <w:t>Australian Participants in British Nuclear Tests and British Commonwealth Occupation Force (Treatment) (Modifications of the Repatriation Pharmaceutical Benefits Scheme) Instrument 2017</w:t>
      </w:r>
    </w:p>
    <w:p w14:paraId="4B143FD5" w14:textId="72174A8B" w:rsidR="00901A53" w:rsidRPr="00024048" w:rsidRDefault="00901A53" w:rsidP="00901A53">
      <w:pPr>
        <w:pStyle w:val="Basetext"/>
        <w:numPr>
          <w:ilvl w:val="0"/>
          <w:numId w:val="7"/>
        </w:numPr>
        <w:spacing w:before="0" w:after="240" w:line="360" w:lineRule="auto"/>
        <w:contextualSpacing/>
      </w:pPr>
      <w:r w:rsidRPr="00686646">
        <w:rPr>
          <w:i/>
        </w:rPr>
        <w:t>Australian Participants in British Nuclear Tests and British Commonwealth Occupation Force (</w:t>
      </w:r>
      <w:r w:rsidRPr="00024048">
        <w:rPr>
          <w:i/>
        </w:rPr>
        <w:t>Treatment) (Modifications of the Repatriation Private Patient Principles) Instrument 2017.</w:t>
      </w:r>
    </w:p>
    <w:p w14:paraId="192C0244" w14:textId="77777777" w:rsidR="00024048" w:rsidRPr="00024048" w:rsidRDefault="00024048" w:rsidP="00024048">
      <w:pPr>
        <w:spacing w:after="240" w:line="360" w:lineRule="auto"/>
        <w:contextualSpacing/>
        <w:rPr>
          <w:color w:val="000000"/>
          <w:sz w:val="22"/>
          <w:szCs w:val="22"/>
        </w:rPr>
      </w:pPr>
      <w:r w:rsidRPr="00024048">
        <w:rPr>
          <w:color w:val="000000"/>
          <w:sz w:val="22"/>
          <w:szCs w:val="22"/>
        </w:rPr>
        <w:t xml:space="preserve">These instruments are made under the </w:t>
      </w:r>
      <w:r w:rsidRPr="00024048">
        <w:rPr>
          <w:i/>
          <w:color w:val="000000"/>
          <w:sz w:val="22"/>
          <w:szCs w:val="22"/>
        </w:rPr>
        <w:t>Australian Participants in British Nuclear Tests and British Commonwealth Occupation Force (Treatment) Act 2006</w:t>
      </w:r>
      <w:r w:rsidRPr="00024048">
        <w:rPr>
          <w:color w:val="000000"/>
          <w:sz w:val="22"/>
          <w:szCs w:val="22"/>
        </w:rPr>
        <w:t xml:space="preserve"> (the Australian Participants in British Nuclear Tests Act).</w:t>
      </w:r>
    </w:p>
    <w:p w14:paraId="17D995A9" w14:textId="77777777" w:rsidR="00024048" w:rsidRPr="00024048" w:rsidRDefault="00024048" w:rsidP="00024048">
      <w:pPr>
        <w:spacing w:after="240" w:line="360" w:lineRule="auto"/>
        <w:contextualSpacing/>
        <w:rPr>
          <w:b/>
          <w:sz w:val="22"/>
          <w:szCs w:val="22"/>
        </w:rPr>
      </w:pPr>
    </w:p>
    <w:p w14:paraId="3474B371" w14:textId="77777777" w:rsidR="00024048" w:rsidRPr="00024048" w:rsidRDefault="00901A53" w:rsidP="00024048">
      <w:pPr>
        <w:spacing w:after="240" w:line="360" w:lineRule="auto"/>
        <w:contextualSpacing/>
        <w:rPr>
          <w:sz w:val="22"/>
          <w:szCs w:val="22"/>
        </w:rPr>
      </w:pPr>
      <w:r w:rsidRPr="00024048">
        <w:rPr>
          <w:b/>
          <w:sz w:val="22"/>
          <w:szCs w:val="22"/>
        </w:rPr>
        <w:t>PROCESS BEFORE DECLARATION WAS MADE</w:t>
      </w:r>
      <w:r w:rsidRPr="00024048">
        <w:rPr>
          <w:sz w:val="22"/>
          <w:szCs w:val="22"/>
        </w:rPr>
        <w:t xml:space="preserve"> </w:t>
      </w:r>
    </w:p>
    <w:p w14:paraId="43CBE2C5" w14:textId="77777777" w:rsidR="00024048" w:rsidRPr="00024048" w:rsidRDefault="00024048" w:rsidP="00024048">
      <w:pPr>
        <w:spacing w:after="240" w:line="360" w:lineRule="auto"/>
        <w:contextualSpacing/>
        <w:rPr>
          <w:b/>
          <w:sz w:val="22"/>
          <w:szCs w:val="22"/>
        </w:rPr>
      </w:pPr>
    </w:p>
    <w:p w14:paraId="35D0E318" w14:textId="77777777" w:rsidR="00024048" w:rsidRPr="00024048" w:rsidRDefault="00901A53" w:rsidP="00024048">
      <w:pPr>
        <w:spacing w:after="240" w:line="360" w:lineRule="auto"/>
        <w:contextualSpacing/>
        <w:rPr>
          <w:b/>
          <w:sz w:val="22"/>
          <w:szCs w:val="22"/>
        </w:rPr>
      </w:pPr>
      <w:r w:rsidRPr="00024048">
        <w:rPr>
          <w:b/>
          <w:sz w:val="22"/>
          <w:szCs w:val="22"/>
        </w:rPr>
        <w:t>Regulatory impact analysis</w:t>
      </w:r>
    </w:p>
    <w:p w14:paraId="2BCD3BCE" w14:textId="77777777" w:rsidR="00024048" w:rsidRPr="00024048" w:rsidRDefault="00901A53" w:rsidP="00024048">
      <w:pPr>
        <w:spacing w:after="240" w:line="360" w:lineRule="auto"/>
        <w:contextualSpacing/>
        <w:rPr>
          <w:sz w:val="22"/>
          <w:szCs w:val="22"/>
        </w:rPr>
      </w:pPr>
      <w:r w:rsidRPr="00024048">
        <w:rPr>
          <w:sz w:val="22"/>
          <w:szCs w:val="22"/>
        </w:rPr>
        <w:t>Sunset-altering declarations are machinery of government instruments, and are therefore not subject to the regulatory impact assessment requirements set out by the Office of Impact Analysis (OIA). The OIA reference for this standing exemption is ID19633.</w:t>
      </w:r>
    </w:p>
    <w:p w14:paraId="62D4A2FF" w14:textId="77777777" w:rsidR="00024048" w:rsidRPr="00024048" w:rsidRDefault="00024048" w:rsidP="00024048">
      <w:pPr>
        <w:spacing w:after="240" w:line="360" w:lineRule="auto"/>
        <w:contextualSpacing/>
        <w:rPr>
          <w:b/>
          <w:sz w:val="22"/>
          <w:szCs w:val="22"/>
        </w:rPr>
      </w:pPr>
    </w:p>
    <w:p w14:paraId="3D47FC23" w14:textId="77777777" w:rsidR="00024048" w:rsidRPr="00024048" w:rsidRDefault="00901A53" w:rsidP="00024048">
      <w:pPr>
        <w:spacing w:after="240" w:line="360" w:lineRule="auto"/>
        <w:contextualSpacing/>
        <w:rPr>
          <w:b/>
          <w:sz w:val="22"/>
          <w:szCs w:val="22"/>
        </w:rPr>
      </w:pPr>
      <w:r w:rsidRPr="00024048">
        <w:rPr>
          <w:b/>
          <w:sz w:val="22"/>
          <w:szCs w:val="22"/>
        </w:rPr>
        <w:t xml:space="preserve">Consultation before making </w:t>
      </w:r>
    </w:p>
    <w:p w14:paraId="5C3402A7" w14:textId="3AB457F1" w:rsidR="00024048" w:rsidRPr="00024048" w:rsidRDefault="00901A53" w:rsidP="00024048">
      <w:pPr>
        <w:spacing w:after="240" w:line="360" w:lineRule="auto"/>
        <w:contextualSpacing/>
        <w:rPr>
          <w:sz w:val="22"/>
          <w:szCs w:val="22"/>
        </w:rPr>
      </w:pPr>
      <w:r w:rsidRPr="00024048">
        <w:rPr>
          <w:sz w:val="22"/>
          <w:szCs w:val="22"/>
        </w:rPr>
        <w:t>Before the Declaration was issued, the Attorney</w:t>
      </w:r>
      <w:r w:rsidR="00327114">
        <w:rPr>
          <w:sz w:val="22"/>
          <w:szCs w:val="22"/>
        </w:rPr>
        <w:noBreakHyphen/>
      </w:r>
      <w:r w:rsidRPr="00024048">
        <w:rPr>
          <w:sz w:val="22"/>
          <w:szCs w:val="22"/>
        </w:rPr>
        <w:t>General considered the general obligation to consult imposed by section 17 of the Legislation Act.</w:t>
      </w:r>
    </w:p>
    <w:p w14:paraId="5F66BF6A" w14:textId="77777777" w:rsidR="00024048" w:rsidRPr="00024048" w:rsidRDefault="00024048" w:rsidP="00024048">
      <w:pPr>
        <w:spacing w:after="240" w:line="360" w:lineRule="auto"/>
        <w:contextualSpacing/>
        <w:rPr>
          <w:sz w:val="22"/>
          <w:szCs w:val="22"/>
        </w:rPr>
      </w:pPr>
    </w:p>
    <w:p w14:paraId="5FEA5931" w14:textId="77777777" w:rsidR="00024048" w:rsidRPr="00024048" w:rsidRDefault="00901A53" w:rsidP="00024048">
      <w:pPr>
        <w:spacing w:after="240" w:line="360" w:lineRule="auto"/>
        <w:contextualSpacing/>
        <w:rPr>
          <w:sz w:val="22"/>
          <w:szCs w:val="22"/>
        </w:rPr>
      </w:pPr>
      <w:r w:rsidRPr="00024048">
        <w:rPr>
          <w:sz w:val="22"/>
          <w:szCs w:val="22"/>
        </w:rPr>
        <w:t xml:space="preserve">The instruments made under the </w:t>
      </w:r>
      <w:r w:rsidRPr="00024048">
        <w:rPr>
          <w:i/>
          <w:sz w:val="22"/>
          <w:szCs w:val="22"/>
        </w:rPr>
        <w:t xml:space="preserve">Veterans’ Entitlements Act 1986 </w:t>
      </w:r>
      <w:r w:rsidR="00B20D42" w:rsidRPr="00024048">
        <w:rPr>
          <w:sz w:val="22"/>
          <w:szCs w:val="22"/>
        </w:rPr>
        <w:t xml:space="preserve">(the VEA) </w:t>
      </w:r>
      <w:r w:rsidRPr="00024048">
        <w:rPr>
          <w:sz w:val="22"/>
          <w:szCs w:val="22"/>
        </w:rPr>
        <w:t>are:</w:t>
      </w:r>
    </w:p>
    <w:p w14:paraId="01B79983" w14:textId="76978300" w:rsidR="00024048" w:rsidRPr="00024048" w:rsidRDefault="00901A53" w:rsidP="00024048">
      <w:pPr>
        <w:pStyle w:val="ListParagraph"/>
        <w:numPr>
          <w:ilvl w:val="0"/>
          <w:numId w:val="21"/>
        </w:numPr>
        <w:spacing w:after="240" w:line="360" w:lineRule="auto"/>
        <w:rPr>
          <w:i/>
          <w:sz w:val="22"/>
          <w:szCs w:val="22"/>
        </w:rPr>
      </w:pPr>
      <w:r w:rsidRPr="00024048">
        <w:rPr>
          <w:sz w:val="22"/>
          <w:szCs w:val="22"/>
        </w:rPr>
        <w:t>the</w:t>
      </w:r>
      <w:r w:rsidRPr="00024048">
        <w:rPr>
          <w:i/>
          <w:sz w:val="22"/>
          <w:szCs w:val="22"/>
        </w:rPr>
        <w:t xml:space="preserve"> Repatriation Pharmaceutical Benefits Scheme</w:t>
      </w:r>
    </w:p>
    <w:p w14:paraId="317C7530" w14:textId="2D899482" w:rsidR="00024048" w:rsidRPr="00024048" w:rsidRDefault="00901A53" w:rsidP="00024048">
      <w:pPr>
        <w:pStyle w:val="ListParagraph"/>
        <w:numPr>
          <w:ilvl w:val="0"/>
          <w:numId w:val="21"/>
        </w:numPr>
        <w:spacing w:after="240" w:line="360" w:lineRule="auto"/>
        <w:rPr>
          <w:color w:val="000000"/>
          <w:sz w:val="22"/>
          <w:szCs w:val="22"/>
        </w:rPr>
      </w:pPr>
      <w:r w:rsidRPr="00024048">
        <w:rPr>
          <w:sz w:val="22"/>
          <w:szCs w:val="22"/>
        </w:rPr>
        <w:t>the</w:t>
      </w:r>
      <w:r w:rsidRPr="00024048">
        <w:rPr>
          <w:i/>
          <w:sz w:val="22"/>
          <w:szCs w:val="22"/>
        </w:rPr>
        <w:t xml:space="preserve"> Treatment Principles (No. R52/2013)</w:t>
      </w:r>
    </w:p>
    <w:p w14:paraId="4023DAAD" w14:textId="1212FC4C" w:rsidR="00024048" w:rsidRPr="00024048" w:rsidRDefault="00901A53" w:rsidP="00024048">
      <w:pPr>
        <w:pStyle w:val="ListParagraph"/>
        <w:numPr>
          <w:ilvl w:val="0"/>
          <w:numId w:val="21"/>
        </w:numPr>
        <w:spacing w:after="240" w:line="360" w:lineRule="auto"/>
        <w:rPr>
          <w:color w:val="000000"/>
          <w:sz w:val="22"/>
          <w:szCs w:val="22"/>
        </w:rPr>
      </w:pPr>
      <w:r w:rsidRPr="00024048">
        <w:rPr>
          <w:sz w:val="22"/>
          <w:szCs w:val="22"/>
        </w:rPr>
        <w:t>the</w:t>
      </w:r>
      <w:r w:rsidRPr="00024048">
        <w:rPr>
          <w:i/>
          <w:sz w:val="22"/>
          <w:szCs w:val="22"/>
        </w:rPr>
        <w:t xml:space="preserve"> Veterans’ Affairs (Extending Medication Chart Prescribing to Hospitals and Other Measures) Instrument 2015</w:t>
      </w:r>
    </w:p>
    <w:p w14:paraId="585D6A9B" w14:textId="7D65A481" w:rsidR="00024048" w:rsidRPr="00024048" w:rsidRDefault="00901A53" w:rsidP="00024048">
      <w:pPr>
        <w:pStyle w:val="ListParagraph"/>
        <w:numPr>
          <w:ilvl w:val="0"/>
          <w:numId w:val="21"/>
        </w:numPr>
        <w:spacing w:after="240" w:line="360" w:lineRule="auto"/>
        <w:rPr>
          <w:color w:val="000000"/>
          <w:sz w:val="22"/>
          <w:szCs w:val="22"/>
        </w:rPr>
      </w:pPr>
      <w:r w:rsidRPr="00024048">
        <w:rPr>
          <w:sz w:val="22"/>
          <w:szCs w:val="22"/>
        </w:rPr>
        <w:t>the</w:t>
      </w:r>
      <w:r w:rsidRPr="00024048">
        <w:rPr>
          <w:i/>
          <w:sz w:val="22"/>
          <w:szCs w:val="22"/>
        </w:rPr>
        <w:t xml:space="preserve"> Repatriation Private Patient Principles</w:t>
      </w:r>
    </w:p>
    <w:p w14:paraId="570276E2" w14:textId="3F64F235" w:rsidR="00024048" w:rsidRPr="00024048" w:rsidRDefault="00901A53" w:rsidP="00024048">
      <w:pPr>
        <w:pStyle w:val="ListParagraph"/>
        <w:numPr>
          <w:ilvl w:val="0"/>
          <w:numId w:val="21"/>
        </w:numPr>
        <w:spacing w:after="240" w:line="360" w:lineRule="auto"/>
        <w:rPr>
          <w:color w:val="000000"/>
          <w:sz w:val="22"/>
          <w:szCs w:val="22"/>
        </w:rPr>
      </w:pPr>
      <w:r w:rsidRPr="00024048">
        <w:rPr>
          <w:sz w:val="22"/>
          <w:szCs w:val="22"/>
        </w:rPr>
        <w:lastRenderedPageBreak/>
        <w:t>the</w:t>
      </w:r>
      <w:r w:rsidRPr="00024048">
        <w:rPr>
          <w:i/>
          <w:sz w:val="22"/>
          <w:szCs w:val="22"/>
        </w:rPr>
        <w:t xml:space="preserve"> Veterans' Entitlements (Psychiatric Assessment - Dependants of Vietnam Veterans) Determination 2000</w:t>
      </w:r>
    </w:p>
    <w:p w14:paraId="023CECED" w14:textId="62616EC0" w:rsidR="00024048" w:rsidRPr="00024048" w:rsidRDefault="00901A53" w:rsidP="00024048">
      <w:pPr>
        <w:pStyle w:val="ListParagraph"/>
        <w:numPr>
          <w:ilvl w:val="0"/>
          <w:numId w:val="21"/>
        </w:numPr>
        <w:spacing w:after="240" w:line="360" w:lineRule="auto"/>
        <w:rPr>
          <w:color w:val="000000"/>
          <w:sz w:val="22"/>
          <w:szCs w:val="22"/>
        </w:rPr>
      </w:pPr>
      <w:r w:rsidRPr="00024048">
        <w:rPr>
          <w:sz w:val="22"/>
          <w:szCs w:val="22"/>
        </w:rPr>
        <w:t>the</w:t>
      </w:r>
      <w:r w:rsidRPr="00024048">
        <w:rPr>
          <w:i/>
          <w:sz w:val="22"/>
          <w:szCs w:val="22"/>
        </w:rPr>
        <w:t xml:space="preserve"> Veterans’ Affairs (Extended Eligibility for Treatment) Instrument 2015</w:t>
      </w:r>
      <w:r w:rsidR="00225CC3">
        <w:rPr>
          <w:i/>
          <w:sz w:val="22"/>
          <w:szCs w:val="22"/>
        </w:rPr>
        <w:t xml:space="preserve"> </w:t>
      </w:r>
    </w:p>
    <w:p w14:paraId="70A00FB6" w14:textId="285397DF" w:rsidR="00024048" w:rsidRPr="00024048" w:rsidRDefault="00901A53" w:rsidP="00024048">
      <w:pPr>
        <w:pStyle w:val="ListParagraph"/>
        <w:numPr>
          <w:ilvl w:val="0"/>
          <w:numId w:val="21"/>
        </w:numPr>
        <w:spacing w:after="240" w:line="360" w:lineRule="auto"/>
        <w:rPr>
          <w:color w:val="000000"/>
          <w:sz w:val="22"/>
          <w:szCs w:val="22"/>
        </w:rPr>
      </w:pPr>
      <w:r w:rsidRPr="00024048">
        <w:rPr>
          <w:sz w:val="22"/>
          <w:szCs w:val="22"/>
        </w:rPr>
        <w:t>the</w:t>
      </w:r>
      <w:r w:rsidRPr="00024048">
        <w:rPr>
          <w:i/>
          <w:sz w:val="22"/>
          <w:szCs w:val="22"/>
        </w:rPr>
        <w:t xml:space="preserve"> Veterans’ Affairs (TRCP Treatment – Eligibility) Determination 2015</w:t>
      </w:r>
      <w:r w:rsidR="00225CC3">
        <w:rPr>
          <w:i/>
          <w:sz w:val="22"/>
          <w:szCs w:val="22"/>
        </w:rPr>
        <w:t>.</w:t>
      </w:r>
    </w:p>
    <w:p w14:paraId="4E61FC02" w14:textId="77777777" w:rsidR="00024048" w:rsidRDefault="00901A53" w:rsidP="00B11713">
      <w:pPr>
        <w:keepNext/>
        <w:keepLines/>
        <w:spacing w:after="240" w:line="360" w:lineRule="auto"/>
        <w:rPr>
          <w:sz w:val="22"/>
          <w:szCs w:val="22"/>
        </w:rPr>
      </w:pPr>
      <w:r w:rsidRPr="00024048">
        <w:rPr>
          <w:sz w:val="22"/>
          <w:szCs w:val="22"/>
        </w:rPr>
        <w:t xml:space="preserve">The instruments made under the </w:t>
      </w:r>
      <w:r w:rsidRPr="00024048">
        <w:rPr>
          <w:i/>
          <w:sz w:val="22"/>
          <w:szCs w:val="22"/>
        </w:rPr>
        <w:t xml:space="preserve">Military Rehabilitation and Compensation Act 2004 </w:t>
      </w:r>
      <w:r w:rsidR="00B20D42" w:rsidRPr="00024048">
        <w:rPr>
          <w:sz w:val="22"/>
          <w:szCs w:val="22"/>
        </w:rPr>
        <w:t xml:space="preserve">(the MRCA) </w:t>
      </w:r>
      <w:r w:rsidRPr="00024048">
        <w:rPr>
          <w:sz w:val="22"/>
          <w:szCs w:val="22"/>
        </w:rPr>
        <w:t>are:</w:t>
      </w:r>
    </w:p>
    <w:p w14:paraId="2A1EA788" w14:textId="6C2A70A7" w:rsidR="00024048" w:rsidRPr="00024048" w:rsidRDefault="00901A53" w:rsidP="00B11713">
      <w:pPr>
        <w:pStyle w:val="ListParagraph"/>
        <w:keepNext/>
        <w:keepLines/>
        <w:numPr>
          <w:ilvl w:val="0"/>
          <w:numId w:val="22"/>
        </w:numPr>
        <w:spacing w:after="240" w:line="360" w:lineRule="auto"/>
        <w:rPr>
          <w:color w:val="000000"/>
          <w:sz w:val="22"/>
          <w:szCs w:val="22"/>
        </w:rPr>
      </w:pPr>
      <w:r w:rsidRPr="00024048">
        <w:rPr>
          <w:sz w:val="22"/>
          <w:szCs w:val="22"/>
        </w:rPr>
        <w:t xml:space="preserve">the </w:t>
      </w:r>
      <w:r w:rsidRPr="00024048">
        <w:rPr>
          <w:i/>
          <w:sz w:val="22"/>
          <w:szCs w:val="22"/>
        </w:rPr>
        <w:t>MRCA Pharmaceutical Benefits Scheme (No. MRCC 44/2013)</w:t>
      </w:r>
    </w:p>
    <w:p w14:paraId="70940EEE" w14:textId="6ADAEFB2" w:rsidR="00024048" w:rsidRPr="00024048" w:rsidRDefault="00901A53" w:rsidP="00B11713">
      <w:pPr>
        <w:pStyle w:val="ListParagraph"/>
        <w:keepNext/>
        <w:keepLines/>
        <w:numPr>
          <w:ilvl w:val="0"/>
          <w:numId w:val="22"/>
        </w:numPr>
        <w:spacing w:after="240" w:line="360" w:lineRule="auto"/>
        <w:rPr>
          <w:color w:val="000000"/>
          <w:sz w:val="22"/>
          <w:szCs w:val="22"/>
        </w:rPr>
      </w:pPr>
      <w:r w:rsidRPr="00024048">
        <w:rPr>
          <w:sz w:val="22"/>
          <w:szCs w:val="22"/>
        </w:rPr>
        <w:t xml:space="preserve">the </w:t>
      </w:r>
      <w:r w:rsidRPr="00024048">
        <w:rPr>
          <w:i/>
          <w:sz w:val="22"/>
          <w:szCs w:val="22"/>
        </w:rPr>
        <w:t>MRCA Treatment Principles (No. MRCC 53/2013)</w:t>
      </w:r>
    </w:p>
    <w:p w14:paraId="08595EC8" w14:textId="6E65E072" w:rsidR="00901A53" w:rsidRPr="00024048" w:rsidRDefault="00901A53" w:rsidP="00B11713">
      <w:pPr>
        <w:pStyle w:val="ListParagraph"/>
        <w:keepNext/>
        <w:keepLines/>
        <w:numPr>
          <w:ilvl w:val="0"/>
          <w:numId w:val="22"/>
        </w:numPr>
        <w:spacing w:after="240" w:line="360" w:lineRule="auto"/>
        <w:rPr>
          <w:color w:val="000000"/>
          <w:sz w:val="22"/>
          <w:szCs w:val="22"/>
        </w:rPr>
      </w:pPr>
      <w:r w:rsidRPr="00024048">
        <w:rPr>
          <w:sz w:val="22"/>
          <w:szCs w:val="22"/>
        </w:rPr>
        <w:t xml:space="preserve">the </w:t>
      </w:r>
      <w:r w:rsidRPr="00024048">
        <w:rPr>
          <w:i/>
          <w:sz w:val="22"/>
          <w:szCs w:val="22"/>
        </w:rPr>
        <w:t>MRCA Private Patient Principles 2004</w:t>
      </w:r>
      <w:r w:rsidR="001E3E50">
        <w:rPr>
          <w:i/>
          <w:sz w:val="22"/>
          <w:szCs w:val="22"/>
        </w:rPr>
        <w:t>.</w:t>
      </w:r>
    </w:p>
    <w:p w14:paraId="772750FD" w14:textId="460644DB" w:rsidR="00901A53" w:rsidRPr="00F07F3B" w:rsidRDefault="00901A53" w:rsidP="00901A53">
      <w:pPr>
        <w:pStyle w:val="NoSpacing"/>
        <w:spacing w:line="360" w:lineRule="auto"/>
        <w:rPr>
          <w:sz w:val="22"/>
          <w:szCs w:val="22"/>
        </w:rPr>
      </w:pPr>
      <w:r w:rsidRPr="00F07F3B">
        <w:rPr>
          <w:sz w:val="22"/>
          <w:szCs w:val="22"/>
        </w:rPr>
        <w:t xml:space="preserve">The instruments made under the </w:t>
      </w:r>
      <w:r w:rsidRPr="00F07F3B">
        <w:rPr>
          <w:i/>
          <w:sz w:val="22"/>
          <w:szCs w:val="22"/>
        </w:rPr>
        <w:t xml:space="preserve">Treatment Benefits (Special Access) Act 2019 </w:t>
      </w:r>
      <w:r w:rsidR="00B20D42">
        <w:rPr>
          <w:sz w:val="22"/>
          <w:szCs w:val="22"/>
        </w:rPr>
        <w:t xml:space="preserve">(the Special Access Act) </w:t>
      </w:r>
      <w:r w:rsidRPr="00F07F3B">
        <w:rPr>
          <w:sz w:val="22"/>
          <w:szCs w:val="22"/>
        </w:rPr>
        <w:t>are:</w:t>
      </w:r>
    </w:p>
    <w:p w14:paraId="3A5AFC10" w14:textId="49B09078" w:rsidR="00901A53" w:rsidRPr="00F07F3B" w:rsidRDefault="00901A53" w:rsidP="00901A53">
      <w:pPr>
        <w:pStyle w:val="NoSpacing"/>
        <w:numPr>
          <w:ilvl w:val="0"/>
          <w:numId w:val="8"/>
        </w:numPr>
        <w:spacing w:line="360" w:lineRule="auto"/>
        <w:rPr>
          <w:sz w:val="22"/>
          <w:szCs w:val="22"/>
        </w:rPr>
      </w:pPr>
      <w:r w:rsidRPr="00F07F3B">
        <w:rPr>
          <w:sz w:val="22"/>
          <w:szCs w:val="22"/>
        </w:rPr>
        <w:t>the</w:t>
      </w:r>
      <w:r w:rsidRPr="00F07F3B">
        <w:rPr>
          <w:i/>
          <w:sz w:val="22"/>
          <w:szCs w:val="22"/>
        </w:rPr>
        <w:t xml:space="preserve"> Treatment Benefits (Special Access) (Modifications of the Repatriation Pharmaceutical Benefits Scheme) Instrument 2019</w:t>
      </w:r>
    </w:p>
    <w:p w14:paraId="4F84B8EB" w14:textId="3A0F88C2" w:rsidR="00901A53" w:rsidRPr="00F07F3B" w:rsidRDefault="00901A53" w:rsidP="00901A53">
      <w:pPr>
        <w:pStyle w:val="NoSpacing"/>
        <w:numPr>
          <w:ilvl w:val="0"/>
          <w:numId w:val="8"/>
        </w:numPr>
        <w:spacing w:line="360" w:lineRule="auto"/>
        <w:rPr>
          <w:sz w:val="22"/>
          <w:szCs w:val="22"/>
        </w:rPr>
      </w:pPr>
      <w:r w:rsidRPr="00F07F3B">
        <w:rPr>
          <w:sz w:val="22"/>
          <w:szCs w:val="22"/>
        </w:rPr>
        <w:t>the</w:t>
      </w:r>
      <w:r w:rsidRPr="00F07F3B">
        <w:rPr>
          <w:i/>
          <w:sz w:val="22"/>
          <w:szCs w:val="22"/>
        </w:rPr>
        <w:t xml:space="preserve"> Treatment Benefits (Special Access) (Modifications of the Repatriation Private Patient Principles) Instrument 2019</w:t>
      </w:r>
    </w:p>
    <w:p w14:paraId="31B6F7AC" w14:textId="77777777" w:rsidR="00901A53" w:rsidRPr="00F07F3B" w:rsidRDefault="00901A53" w:rsidP="00901A53">
      <w:pPr>
        <w:pStyle w:val="NoSpacing"/>
        <w:numPr>
          <w:ilvl w:val="0"/>
          <w:numId w:val="8"/>
        </w:numPr>
        <w:spacing w:line="360" w:lineRule="auto"/>
        <w:rPr>
          <w:sz w:val="22"/>
          <w:szCs w:val="22"/>
        </w:rPr>
      </w:pPr>
      <w:r w:rsidRPr="00F07F3B">
        <w:rPr>
          <w:sz w:val="22"/>
          <w:szCs w:val="22"/>
        </w:rPr>
        <w:t>the</w:t>
      </w:r>
      <w:r w:rsidRPr="00F07F3B">
        <w:rPr>
          <w:i/>
          <w:sz w:val="22"/>
          <w:szCs w:val="22"/>
        </w:rPr>
        <w:t xml:space="preserve"> Treatment Benefits (Special Access) (Modifications of the Treatment Principles) Instrument 2019.</w:t>
      </w:r>
    </w:p>
    <w:p w14:paraId="53485554" w14:textId="77777777" w:rsidR="00901A53" w:rsidRPr="00F07F3B" w:rsidRDefault="00901A53" w:rsidP="00901A53">
      <w:pPr>
        <w:pStyle w:val="NoSpacing"/>
        <w:rPr>
          <w:sz w:val="22"/>
          <w:szCs w:val="22"/>
        </w:rPr>
      </w:pPr>
    </w:p>
    <w:p w14:paraId="18FE5B2C" w14:textId="2E16AE0D" w:rsidR="00901A53" w:rsidRDefault="00901A53" w:rsidP="00901A53">
      <w:pPr>
        <w:spacing w:afterLines="200" w:after="480" w:line="360" w:lineRule="auto"/>
        <w:contextualSpacing/>
        <w:rPr>
          <w:sz w:val="22"/>
          <w:szCs w:val="22"/>
        </w:rPr>
      </w:pPr>
      <w:r w:rsidRPr="00F30297">
        <w:rPr>
          <w:sz w:val="22"/>
          <w:szCs w:val="22"/>
        </w:rPr>
        <w:t>DVA consulted the Attorney</w:t>
      </w:r>
      <w:r w:rsidR="00327114">
        <w:rPr>
          <w:sz w:val="22"/>
          <w:szCs w:val="22"/>
        </w:rPr>
        <w:noBreakHyphen/>
      </w:r>
      <w:r w:rsidRPr="00F30297">
        <w:rPr>
          <w:sz w:val="22"/>
          <w:szCs w:val="22"/>
        </w:rPr>
        <w:t>General’s</w:t>
      </w:r>
      <w:r w:rsidR="00327114">
        <w:rPr>
          <w:sz w:val="22"/>
          <w:szCs w:val="22"/>
        </w:rPr>
        <w:t> </w:t>
      </w:r>
      <w:r w:rsidRPr="00F30297">
        <w:rPr>
          <w:sz w:val="22"/>
          <w:szCs w:val="22"/>
        </w:rPr>
        <w:t xml:space="preserve">Department in relation to seeking this alignment of sunsetting dates. DVA has also recently concluded a public consultation process to seek views on the proposed approach on bringing the veterans compensation system under a single </w:t>
      </w:r>
      <w:r w:rsidR="00D86EE8">
        <w:rPr>
          <w:sz w:val="22"/>
          <w:szCs w:val="22"/>
        </w:rPr>
        <w:t>A</w:t>
      </w:r>
      <w:r w:rsidRPr="00F30297">
        <w:rPr>
          <w:sz w:val="22"/>
          <w:szCs w:val="22"/>
        </w:rPr>
        <w:t xml:space="preserve">ct. The DVA Treatment </w:t>
      </w:r>
      <w:r w:rsidR="002B7FE5">
        <w:rPr>
          <w:sz w:val="22"/>
          <w:szCs w:val="22"/>
        </w:rPr>
        <w:t>Instruments</w:t>
      </w:r>
      <w:r w:rsidRPr="00F30297">
        <w:rPr>
          <w:sz w:val="22"/>
          <w:szCs w:val="22"/>
        </w:rPr>
        <w:t xml:space="preserve"> will be remade to align with strategic policy outcomes that will arise from this public </w:t>
      </w:r>
      <w:r w:rsidR="001E3E50">
        <w:rPr>
          <w:sz w:val="22"/>
          <w:szCs w:val="22"/>
        </w:rPr>
        <w:t xml:space="preserve">consultation </w:t>
      </w:r>
      <w:r w:rsidRPr="00F30297">
        <w:rPr>
          <w:sz w:val="22"/>
          <w:szCs w:val="22"/>
        </w:rPr>
        <w:t xml:space="preserve">process. The thematic review of the DVA Treatment </w:t>
      </w:r>
      <w:r w:rsidR="002B7FE5">
        <w:rPr>
          <w:sz w:val="22"/>
          <w:szCs w:val="22"/>
        </w:rPr>
        <w:t>Instruments</w:t>
      </w:r>
      <w:r w:rsidR="002B7FE5" w:rsidRPr="00F30297">
        <w:rPr>
          <w:sz w:val="22"/>
          <w:szCs w:val="22"/>
        </w:rPr>
        <w:t xml:space="preserve"> </w:t>
      </w:r>
      <w:r w:rsidRPr="00F30297">
        <w:rPr>
          <w:sz w:val="22"/>
          <w:szCs w:val="22"/>
        </w:rPr>
        <w:t>will incorporate stakeholder cons</w:t>
      </w:r>
      <w:r>
        <w:rPr>
          <w:sz w:val="22"/>
          <w:szCs w:val="22"/>
        </w:rPr>
        <w:t xml:space="preserve">ultation, including extensive internal consultation with program and service delivery teams. The two key external stakeholder groups that the </w:t>
      </w:r>
      <w:r w:rsidR="0015366F">
        <w:rPr>
          <w:sz w:val="22"/>
          <w:szCs w:val="22"/>
        </w:rPr>
        <w:t>DVA h</w:t>
      </w:r>
      <w:r>
        <w:rPr>
          <w:sz w:val="22"/>
          <w:szCs w:val="22"/>
        </w:rPr>
        <w:t>ave identified are veterans and Ex</w:t>
      </w:r>
      <w:r w:rsidR="001E3E50">
        <w:rPr>
          <w:sz w:val="22"/>
          <w:szCs w:val="22"/>
        </w:rPr>
        <w:noBreakHyphen/>
      </w:r>
      <w:r>
        <w:rPr>
          <w:sz w:val="22"/>
          <w:szCs w:val="22"/>
        </w:rPr>
        <w:t xml:space="preserve">Service </w:t>
      </w:r>
      <w:r w:rsidR="00497901">
        <w:rPr>
          <w:sz w:val="22"/>
          <w:szCs w:val="22"/>
        </w:rPr>
        <w:t>O</w:t>
      </w:r>
      <w:r>
        <w:rPr>
          <w:sz w:val="22"/>
          <w:szCs w:val="22"/>
        </w:rPr>
        <w:t xml:space="preserve">rganisations (ESOs), and health, aged and community care providers. The Department of Health </w:t>
      </w:r>
      <w:r w:rsidR="00335927">
        <w:rPr>
          <w:sz w:val="22"/>
          <w:szCs w:val="22"/>
        </w:rPr>
        <w:t xml:space="preserve">and Aged Care </w:t>
      </w:r>
      <w:r>
        <w:rPr>
          <w:sz w:val="22"/>
          <w:szCs w:val="22"/>
        </w:rPr>
        <w:t>and Services Australia will also be consulted as part of the review.</w:t>
      </w:r>
    </w:p>
    <w:p w14:paraId="72BB7655" w14:textId="77777777" w:rsidR="008739E8" w:rsidRPr="00604D22" w:rsidRDefault="008739E8" w:rsidP="00901A53">
      <w:pPr>
        <w:spacing w:afterLines="200" w:after="480" w:line="360" w:lineRule="auto"/>
        <w:contextualSpacing/>
        <w:rPr>
          <w:sz w:val="22"/>
          <w:szCs w:val="22"/>
        </w:rPr>
      </w:pPr>
    </w:p>
    <w:p w14:paraId="1F7FCC01" w14:textId="7A44DD44" w:rsidR="00901A53" w:rsidRDefault="00901A53" w:rsidP="00901A53">
      <w:pPr>
        <w:spacing w:afterLines="200" w:after="480" w:line="360" w:lineRule="auto"/>
        <w:contextualSpacing/>
        <w:rPr>
          <w:sz w:val="22"/>
          <w:szCs w:val="22"/>
        </w:rPr>
      </w:pPr>
      <w:r w:rsidRPr="00604D22">
        <w:rPr>
          <w:sz w:val="22"/>
          <w:szCs w:val="22"/>
        </w:rPr>
        <w:t xml:space="preserve">Alignment declarations are machinery in nature, and enable legislative instruments that would otherwise sunset to remain in force for a further, but strictly limited, period of time. This will minimise the administrative burden on stakeholders associated with consultation on an alignment that will only have effect for a limited amount of time. Any replacement instruments will be subject to further consultation and parliamentary oversight, including oversight of whether adequate consultation occurred with persons likely to be </w:t>
      </w:r>
      <w:r w:rsidRPr="00F30297">
        <w:rPr>
          <w:sz w:val="22"/>
          <w:szCs w:val="22"/>
        </w:rPr>
        <w:t xml:space="preserve">affected by the replacement instruments. As such, given that </w:t>
      </w:r>
      <w:r w:rsidR="00327114">
        <w:rPr>
          <w:sz w:val="22"/>
          <w:szCs w:val="22"/>
        </w:rPr>
        <w:t>aligning</w:t>
      </w:r>
      <w:r w:rsidRPr="00F30297">
        <w:rPr>
          <w:sz w:val="22"/>
          <w:szCs w:val="22"/>
        </w:rPr>
        <w:t xml:space="preserve"> </w:t>
      </w:r>
      <w:r w:rsidR="00327114">
        <w:rPr>
          <w:sz w:val="22"/>
          <w:szCs w:val="22"/>
        </w:rPr>
        <w:t xml:space="preserve">the </w:t>
      </w:r>
      <w:r w:rsidRPr="00F30297">
        <w:rPr>
          <w:sz w:val="22"/>
          <w:szCs w:val="22"/>
        </w:rPr>
        <w:t>sunsetting date</w:t>
      </w:r>
      <w:r w:rsidR="00327114">
        <w:rPr>
          <w:sz w:val="22"/>
          <w:szCs w:val="22"/>
        </w:rPr>
        <w:t>s</w:t>
      </w:r>
      <w:r w:rsidRPr="00F30297">
        <w:rPr>
          <w:sz w:val="22"/>
          <w:szCs w:val="22"/>
        </w:rPr>
        <w:t xml:space="preserve"> of the DVA Treatment </w:t>
      </w:r>
      <w:r w:rsidR="002B7FE5">
        <w:rPr>
          <w:sz w:val="22"/>
          <w:szCs w:val="22"/>
        </w:rPr>
        <w:t>Instruments</w:t>
      </w:r>
      <w:r w:rsidR="002B7FE5" w:rsidRPr="00F30297">
        <w:rPr>
          <w:sz w:val="22"/>
          <w:szCs w:val="22"/>
        </w:rPr>
        <w:t xml:space="preserve"> </w:t>
      </w:r>
      <w:r w:rsidRPr="00F30297">
        <w:rPr>
          <w:sz w:val="22"/>
          <w:szCs w:val="22"/>
        </w:rPr>
        <w:t xml:space="preserve">is consistent with the </w:t>
      </w:r>
      <w:r w:rsidRPr="00F30297">
        <w:rPr>
          <w:sz w:val="22"/>
          <w:szCs w:val="22"/>
        </w:rPr>
        <w:lastRenderedPageBreak/>
        <w:t>policy intent of the sunsetting regime and does not significantly</w:t>
      </w:r>
      <w:r w:rsidRPr="00604D22">
        <w:rPr>
          <w:sz w:val="22"/>
          <w:szCs w:val="22"/>
        </w:rPr>
        <w:t xml:space="preserve"> alter existing arrangements, appropriate consultation has occurred for the purposes of section 17 of the Legislation Act.</w:t>
      </w:r>
    </w:p>
    <w:p w14:paraId="04C1F4F2" w14:textId="77777777" w:rsidR="00901A53" w:rsidRDefault="00901A53" w:rsidP="00901A53">
      <w:pPr>
        <w:spacing w:afterLines="200" w:after="480" w:line="360" w:lineRule="auto"/>
        <w:contextualSpacing/>
        <w:rPr>
          <w:b/>
          <w:sz w:val="22"/>
          <w:szCs w:val="22"/>
        </w:rPr>
      </w:pPr>
    </w:p>
    <w:p w14:paraId="1FDE8C55" w14:textId="77777777" w:rsidR="00901A53" w:rsidRPr="00667A0D" w:rsidRDefault="00901A53" w:rsidP="00901A53">
      <w:pPr>
        <w:spacing w:afterLines="200" w:after="480" w:line="360" w:lineRule="auto"/>
        <w:contextualSpacing/>
        <w:rPr>
          <w:sz w:val="22"/>
          <w:szCs w:val="22"/>
        </w:rPr>
      </w:pPr>
      <w:r w:rsidRPr="00604D22">
        <w:rPr>
          <w:b/>
          <w:sz w:val="22"/>
          <w:szCs w:val="22"/>
        </w:rPr>
        <w:t>Statutory preconditions relevant to the certificate</w:t>
      </w:r>
    </w:p>
    <w:p w14:paraId="37BA56FF" w14:textId="4FD23B01" w:rsidR="00901A53" w:rsidRPr="00604D22" w:rsidRDefault="00901A53" w:rsidP="00901A53">
      <w:pPr>
        <w:spacing w:after="240" w:line="360" w:lineRule="auto"/>
        <w:contextualSpacing/>
        <w:rPr>
          <w:b/>
          <w:sz w:val="22"/>
          <w:szCs w:val="22"/>
        </w:rPr>
      </w:pPr>
      <w:r w:rsidRPr="00604D22">
        <w:rPr>
          <w:sz w:val="22"/>
          <w:szCs w:val="22"/>
        </w:rPr>
        <w:t>In order to align the sunsetting day of two or more instruments, the Attorney</w:t>
      </w:r>
      <w:r w:rsidR="00327114">
        <w:rPr>
          <w:sz w:val="22"/>
          <w:szCs w:val="22"/>
        </w:rPr>
        <w:noBreakHyphen/>
      </w:r>
      <w:r w:rsidRPr="00604D22">
        <w:rPr>
          <w:sz w:val="22"/>
          <w:szCs w:val="22"/>
        </w:rPr>
        <w:t xml:space="preserve">General must be satisfied on written application from the relevant rule-maker/s that the statutory conditions in paragraphs 51A(1)(a) and (b) of the Legislation Act are met. The statutory conditions are that: </w:t>
      </w:r>
    </w:p>
    <w:p w14:paraId="02A83E5F" w14:textId="77777777" w:rsidR="00901A53" w:rsidRPr="00604D22" w:rsidRDefault="00901A53" w:rsidP="00901A53">
      <w:pPr>
        <w:pStyle w:val="ListParagraph"/>
        <w:numPr>
          <w:ilvl w:val="0"/>
          <w:numId w:val="1"/>
        </w:numPr>
        <w:spacing w:after="240" w:line="360" w:lineRule="auto"/>
        <w:rPr>
          <w:b/>
          <w:bCs/>
          <w:color w:val="000000"/>
          <w:sz w:val="22"/>
          <w:szCs w:val="22"/>
          <w:lang w:eastAsia="en-AU"/>
        </w:rPr>
      </w:pPr>
      <w:r w:rsidRPr="00604D22">
        <w:rPr>
          <w:color w:val="000000"/>
          <w:sz w:val="22"/>
          <w:szCs w:val="22"/>
          <w:lang w:eastAsia="en-AU"/>
        </w:rPr>
        <w:t>all the instruments to be reviewed:</w:t>
      </w:r>
    </w:p>
    <w:p w14:paraId="0B6D6BCD" w14:textId="77777777" w:rsidR="00901A53" w:rsidRPr="00604D22" w:rsidRDefault="00901A53" w:rsidP="00901A53">
      <w:pPr>
        <w:pStyle w:val="ListParagraph"/>
        <w:numPr>
          <w:ilvl w:val="1"/>
          <w:numId w:val="1"/>
        </w:numPr>
        <w:spacing w:after="240" w:line="360" w:lineRule="auto"/>
        <w:rPr>
          <w:b/>
          <w:bCs/>
          <w:color w:val="000000"/>
          <w:sz w:val="22"/>
          <w:szCs w:val="22"/>
          <w:lang w:eastAsia="en-AU"/>
        </w:rPr>
      </w:pPr>
      <w:r w:rsidRPr="00604D22">
        <w:rPr>
          <w:color w:val="000000"/>
          <w:sz w:val="22"/>
          <w:szCs w:val="22"/>
          <w:lang w:eastAsia="en-AU"/>
        </w:rPr>
        <w:t>would (in the absence of a declaration made under section 51A of the Legislation Act) be repealed by section 50 or 51 of the Legislation Act; and </w:t>
      </w:r>
    </w:p>
    <w:p w14:paraId="7FCD4E2B" w14:textId="77777777" w:rsidR="00901A53" w:rsidRPr="00604D22" w:rsidRDefault="00901A53" w:rsidP="00901A53">
      <w:pPr>
        <w:pStyle w:val="ListParagraph"/>
        <w:numPr>
          <w:ilvl w:val="1"/>
          <w:numId w:val="1"/>
        </w:numPr>
        <w:spacing w:after="240" w:line="360" w:lineRule="auto"/>
        <w:rPr>
          <w:b/>
          <w:bCs/>
          <w:color w:val="000000"/>
          <w:sz w:val="22"/>
          <w:szCs w:val="22"/>
          <w:lang w:eastAsia="en-AU"/>
        </w:rPr>
      </w:pPr>
      <w:r w:rsidRPr="00604D22">
        <w:rPr>
          <w:color w:val="000000"/>
          <w:sz w:val="22"/>
          <w:szCs w:val="22"/>
          <w:lang w:eastAsia="en-AU"/>
        </w:rPr>
        <w:t>are or will be the subject of a single review; and</w:t>
      </w:r>
    </w:p>
    <w:p w14:paraId="023CCF63" w14:textId="77777777" w:rsidR="00901A53" w:rsidRDefault="00901A53" w:rsidP="00901A53">
      <w:pPr>
        <w:pStyle w:val="ListParagraph"/>
        <w:numPr>
          <w:ilvl w:val="0"/>
          <w:numId w:val="1"/>
        </w:numPr>
        <w:spacing w:after="240" w:line="360" w:lineRule="auto"/>
        <w:rPr>
          <w:color w:val="000000"/>
          <w:sz w:val="22"/>
          <w:szCs w:val="22"/>
          <w:lang w:eastAsia="en-AU"/>
        </w:rPr>
      </w:pPr>
      <w:r w:rsidRPr="00604D22">
        <w:rPr>
          <w:color w:val="000000"/>
          <w:sz w:val="22"/>
          <w:szCs w:val="22"/>
          <w:lang w:eastAsia="en-AU"/>
        </w:rPr>
        <w:t>the making of the declaration will facilitate the undertaking of the review or the implementation of its findings. </w:t>
      </w:r>
    </w:p>
    <w:p w14:paraId="71ECB266" w14:textId="77777777" w:rsidR="00901A53" w:rsidRDefault="00901A53" w:rsidP="00901A53">
      <w:pPr>
        <w:spacing w:after="240" w:line="360" w:lineRule="auto"/>
        <w:contextualSpacing/>
        <w:rPr>
          <w:color w:val="000000"/>
          <w:sz w:val="22"/>
          <w:szCs w:val="22"/>
          <w:lang w:eastAsia="en-AU"/>
        </w:rPr>
      </w:pPr>
      <w:r w:rsidRPr="00667A0D">
        <w:rPr>
          <w:sz w:val="22"/>
          <w:szCs w:val="22"/>
        </w:rPr>
        <w:t xml:space="preserve">In terms of process, the Legislation Act requires: </w:t>
      </w:r>
    </w:p>
    <w:p w14:paraId="2084DE0F" w14:textId="77777777" w:rsidR="00901A53" w:rsidRPr="00F30297" w:rsidRDefault="00901A53" w:rsidP="00901A53">
      <w:pPr>
        <w:pStyle w:val="ListParagraph"/>
        <w:numPr>
          <w:ilvl w:val="0"/>
          <w:numId w:val="12"/>
        </w:numPr>
        <w:spacing w:after="240" w:line="360" w:lineRule="auto"/>
        <w:rPr>
          <w:color w:val="000000"/>
          <w:sz w:val="22"/>
          <w:szCs w:val="22"/>
          <w:lang w:eastAsia="en-AU"/>
        </w:rPr>
      </w:pPr>
      <w:r w:rsidRPr="00F30297">
        <w:rPr>
          <w:sz w:val="22"/>
          <w:szCs w:val="22"/>
        </w:rPr>
        <w:t xml:space="preserve">the </w:t>
      </w:r>
      <w:r w:rsidRPr="00F30297">
        <w:rPr>
          <w:color w:val="000000"/>
          <w:sz w:val="22"/>
          <w:szCs w:val="22"/>
          <w:lang w:eastAsia="en-AU"/>
        </w:rPr>
        <w:t>responsible</w:t>
      </w:r>
      <w:r w:rsidRPr="00F30297">
        <w:rPr>
          <w:sz w:val="22"/>
          <w:szCs w:val="22"/>
        </w:rPr>
        <w:t xml:space="preserve"> rule-maker/s to apply to the Attorney-General</w:t>
      </w:r>
    </w:p>
    <w:p w14:paraId="24479854" w14:textId="77777777" w:rsidR="00901A53" w:rsidRPr="00F30297" w:rsidRDefault="00901A53" w:rsidP="00901A53">
      <w:pPr>
        <w:pStyle w:val="ListParagraph"/>
        <w:numPr>
          <w:ilvl w:val="0"/>
          <w:numId w:val="12"/>
        </w:numPr>
        <w:spacing w:after="240" w:line="360" w:lineRule="auto"/>
        <w:rPr>
          <w:color w:val="000000"/>
          <w:sz w:val="22"/>
          <w:szCs w:val="22"/>
          <w:lang w:eastAsia="en-AU"/>
        </w:rPr>
      </w:pPr>
      <w:r w:rsidRPr="00F30297">
        <w:rPr>
          <w:sz w:val="22"/>
          <w:szCs w:val="22"/>
        </w:rPr>
        <w:t xml:space="preserve">the Attorney-General to be satisfied of the statutory conditions, and </w:t>
      </w:r>
    </w:p>
    <w:p w14:paraId="21902E67" w14:textId="77777777" w:rsidR="00327114" w:rsidRPr="00327114" w:rsidRDefault="00901A53" w:rsidP="00901A53">
      <w:pPr>
        <w:pStyle w:val="ListParagraph"/>
        <w:numPr>
          <w:ilvl w:val="0"/>
          <w:numId w:val="12"/>
        </w:numPr>
        <w:spacing w:after="240" w:line="360" w:lineRule="auto"/>
        <w:rPr>
          <w:color w:val="000000"/>
          <w:sz w:val="22"/>
          <w:szCs w:val="22"/>
          <w:lang w:eastAsia="en-AU"/>
        </w:rPr>
      </w:pPr>
      <w:r w:rsidRPr="00F30297">
        <w:rPr>
          <w:sz w:val="22"/>
          <w:szCs w:val="22"/>
        </w:rPr>
        <w:t xml:space="preserve">the Attorney-General to make a declaration, which is a legislative instrument and subject to disallowance. </w:t>
      </w:r>
    </w:p>
    <w:p w14:paraId="5AA16037" w14:textId="1CF99669" w:rsidR="00327114" w:rsidRDefault="00901A53" w:rsidP="00327114">
      <w:pPr>
        <w:spacing w:after="240" w:line="360" w:lineRule="auto"/>
        <w:contextualSpacing/>
        <w:rPr>
          <w:color w:val="000000"/>
          <w:sz w:val="22"/>
          <w:szCs w:val="22"/>
          <w:lang w:eastAsia="en-AU"/>
        </w:rPr>
      </w:pPr>
      <w:r w:rsidRPr="00327114">
        <w:rPr>
          <w:sz w:val="22"/>
        </w:rPr>
        <w:t xml:space="preserve">The rule-makers for the DVA Treatment </w:t>
      </w:r>
      <w:r w:rsidR="002B7FE5">
        <w:rPr>
          <w:sz w:val="22"/>
          <w:szCs w:val="22"/>
        </w:rPr>
        <w:t>Instruments</w:t>
      </w:r>
      <w:r w:rsidRPr="00327114">
        <w:rPr>
          <w:sz w:val="22"/>
        </w:rPr>
        <w:t xml:space="preserve">, </w:t>
      </w:r>
      <w:r w:rsidR="00340E4D" w:rsidRPr="00327114">
        <w:rPr>
          <w:sz w:val="22"/>
        </w:rPr>
        <w:t>the Minister for Veterans’ Affairs</w:t>
      </w:r>
      <w:r w:rsidR="00497901">
        <w:rPr>
          <w:sz w:val="22"/>
        </w:rPr>
        <w:t>,</w:t>
      </w:r>
      <w:r w:rsidR="00966C5F" w:rsidRPr="00327114">
        <w:rPr>
          <w:sz w:val="22"/>
        </w:rPr>
        <w:t xml:space="preserve"> </w:t>
      </w:r>
      <w:r w:rsidRPr="00327114">
        <w:rPr>
          <w:sz w:val="22"/>
        </w:rPr>
        <w:t>and the Repatriation</w:t>
      </w:r>
      <w:r w:rsidR="00327114">
        <w:rPr>
          <w:sz w:val="22"/>
        </w:rPr>
        <w:t> </w:t>
      </w:r>
      <w:r w:rsidRPr="00327114">
        <w:rPr>
          <w:sz w:val="22"/>
        </w:rPr>
        <w:t>Commission, provided written applications to the Attorney</w:t>
      </w:r>
      <w:r w:rsidR="00327114">
        <w:rPr>
          <w:sz w:val="22"/>
        </w:rPr>
        <w:noBreakHyphen/>
      </w:r>
      <w:r w:rsidRPr="00327114">
        <w:rPr>
          <w:sz w:val="22"/>
        </w:rPr>
        <w:t>General seeking a declaration of alignment of the sunsetting days for the Instruments.</w:t>
      </w:r>
      <w:r w:rsidRPr="00327114">
        <w:rPr>
          <w:i/>
          <w:sz w:val="22"/>
        </w:rPr>
        <w:t xml:space="preserve"> </w:t>
      </w:r>
      <w:r w:rsidRPr="00327114">
        <w:rPr>
          <w:sz w:val="22"/>
        </w:rPr>
        <w:t>On the basis of the information contained in the statement of reasons below, the Attorney</w:t>
      </w:r>
      <w:r w:rsidRPr="00327114">
        <w:rPr>
          <w:sz w:val="22"/>
        </w:rPr>
        <w:noBreakHyphen/>
        <w:t>General is satisfied that the criteria in paragraphs 51A(1)(a) and (b) of the Legislation Act are met.</w:t>
      </w:r>
    </w:p>
    <w:p w14:paraId="1CC2ABF8" w14:textId="77777777" w:rsidR="00327114" w:rsidRDefault="00327114" w:rsidP="00327114">
      <w:pPr>
        <w:spacing w:after="240" w:line="360" w:lineRule="auto"/>
        <w:contextualSpacing/>
        <w:rPr>
          <w:sz w:val="22"/>
        </w:rPr>
      </w:pPr>
    </w:p>
    <w:p w14:paraId="71A0992C" w14:textId="5E87AA07" w:rsidR="00041EBE" w:rsidRPr="00327114" w:rsidRDefault="00041EBE" w:rsidP="00327114">
      <w:pPr>
        <w:spacing w:after="240" w:line="360" w:lineRule="auto"/>
        <w:contextualSpacing/>
        <w:rPr>
          <w:color w:val="000000"/>
          <w:sz w:val="22"/>
          <w:szCs w:val="22"/>
          <w:lang w:eastAsia="en-AU"/>
        </w:rPr>
      </w:pPr>
      <w:r>
        <w:rPr>
          <w:sz w:val="22"/>
        </w:rPr>
        <w:t>The</w:t>
      </w:r>
      <w:r w:rsidR="00327114">
        <w:rPr>
          <w:sz w:val="22"/>
        </w:rPr>
        <w:t xml:space="preserve"> </w:t>
      </w:r>
      <w:r>
        <w:rPr>
          <w:sz w:val="22"/>
        </w:rPr>
        <w:t>Repatriation</w:t>
      </w:r>
      <w:r w:rsidR="00327114">
        <w:rPr>
          <w:sz w:val="22"/>
        </w:rPr>
        <w:t> </w:t>
      </w:r>
      <w:r>
        <w:rPr>
          <w:sz w:val="22"/>
        </w:rPr>
        <w:t>Commission is the rule-maker for</w:t>
      </w:r>
      <w:r w:rsidR="00B20D42">
        <w:rPr>
          <w:sz w:val="22"/>
        </w:rPr>
        <w:t xml:space="preserve"> the following </w:t>
      </w:r>
      <w:r w:rsidR="00225CC3">
        <w:rPr>
          <w:sz w:val="22"/>
        </w:rPr>
        <w:t>3</w:t>
      </w:r>
      <w:r w:rsidR="00B20D42">
        <w:rPr>
          <w:sz w:val="22"/>
        </w:rPr>
        <w:t xml:space="preserve"> instruments</w:t>
      </w:r>
      <w:r>
        <w:rPr>
          <w:sz w:val="22"/>
        </w:rPr>
        <w:t>:</w:t>
      </w:r>
    </w:p>
    <w:p w14:paraId="7020DAAE" w14:textId="1B955985" w:rsidR="00041EBE" w:rsidRPr="00041EBE" w:rsidRDefault="00041EBE" w:rsidP="00041EBE">
      <w:pPr>
        <w:pStyle w:val="ListParagraph"/>
        <w:numPr>
          <w:ilvl w:val="0"/>
          <w:numId w:val="14"/>
        </w:numPr>
        <w:spacing w:after="240" w:line="360" w:lineRule="auto"/>
        <w:rPr>
          <w:sz w:val="22"/>
        </w:rPr>
      </w:pPr>
      <w:r w:rsidRPr="00041EBE">
        <w:rPr>
          <w:sz w:val="22"/>
          <w:szCs w:val="22"/>
        </w:rPr>
        <w:t>the</w:t>
      </w:r>
      <w:r w:rsidRPr="00041EBE">
        <w:rPr>
          <w:i/>
          <w:sz w:val="22"/>
          <w:szCs w:val="22"/>
        </w:rPr>
        <w:t xml:space="preserve"> Veterans' Entitlements (Psychiatric Assessment - Dependants of Vietnam Veterans) Determination 2000</w:t>
      </w:r>
    </w:p>
    <w:p w14:paraId="59AB50C9" w14:textId="3A27953F" w:rsidR="00041EBE" w:rsidRPr="00041EBE" w:rsidRDefault="00041EBE" w:rsidP="00041EBE">
      <w:pPr>
        <w:pStyle w:val="ListParagraph"/>
        <w:numPr>
          <w:ilvl w:val="0"/>
          <w:numId w:val="14"/>
        </w:numPr>
        <w:spacing w:after="240" w:line="360" w:lineRule="auto"/>
        <w:rPr>
          <w:sz w:val="22"/>
        </w:rPr>
      </w:pPr>
      <w:r w:rsidRPr="00041EBE">
        <w:rPr>
          <w:sz w:val="22"/>
          <w:szCs w:val="22"/>
        </w:rPr>
        <w:t>the</w:t>
      </w:r>
      <w:r w:rsidRPr="00041EBE">
        <w:rPr>
          <w:i/>
          <w:sz w:val="22"/>
          <w:szCs w:val="22"/>
        </w:rPr>
        <w:t xml:space="preserve"> Veterans’ Affairs (Extended Eligibility for Treatment) Instrument 2015</w:t>
      </w:r>
    </w:p>
    <w:p w14:paraId="7FFEDB5A" w14:textId="77777777" w:rsidR="00225CC3" w:rsidRPr="00225CC3" w:rsidRDefault="00041EBE" w:rsidP="00225CC3">
      <w:pPr>
        <w:pStyle w:val="ListParagraph"/>
        <w:numPr>
          <w:ilvl w:val="0"/>
          <w:numId w:val="14"/>
        </w:numPr>
        <w:spacing w:after="240" w:line="360" w:lineRule="auto"/>
        <w:rPr>
          <w:sz w:val="22"/>
        </w:rPr>
      </w:pPr>
      <w:r w:rsidRPr="00041EBE">
        <w:rPr>
          <w:sz w:val="22"/>
          <w:szCs w:val="22"/>
        </w:rPr>
        <w:t>the</w:t>
      </w:r>
      <w:r w:rsidRPr="00041EBE">
        <w:rPr>
          <w:i/>
          <w:sz w:val="22"/>
          <w:szCs w:val="22"/>
        </w:rPr>
        <w:t xml:space="preserve"> Veterans’ Affairs (TRCP Treatment – Eligibility) Determination 2015</w:t>
      </w:r>
      <w:r w:rsidR="00225CC3">
        <w:rPr>
          <w:i/>
          <w:sz w:val="22"/>
          <w:szCs w:val="22"/>
        </w:rPr>
        <w:t>.</w:t>
      </w:r>
    </w:p>
    <w:p w14:paraId="3BB60D4D" w14:textId="6174263F" w:rsidR="00777B8E" w:rsidRPr="00225CC3" w:rsidRDefault="00777B8E" w:rsidP="00225CC3">
      <w:pPr>
        <w:spacing w:after="240" w:line="360" w:lineRule="auto"/>
        <w:rPr>
          <w:sz w:val="22"/>
        </w:rPr>
      </w:pPr>
      <w:r w:rsidRPr="00225CC3">
        <w:rPr>
          <w:sz w:val="22"/>
        </w:rPr>
        <w:t xml:space="preserve">The Minister for Veterans’ Affairs is the rule-maker for the remaining 10 instruments </w:t>
      </w:r>
      <w:r w:rsidR="001F3736" w:rsidRPr="00225CC3">
        <w:rPr>
          <w:sz w:val="22"/>
        </w:rPr>
        <w:t>that make up</w:t>
      </w:r>
      <w:r w:rsidRPr="00225CC3">
        <w:rPr>
          <w:sz w:val="22"/>
        </w:rPr>
        <w:t xml:space="preserve"> the DVA</w:t>
      </w:r>
      <w:r w:rsidR="00BC6511" w:rsidRPr="00225CC3">
        <w:rPr>
          <w:sz w:val="22"/>
        </w:rPr>
        <w:t> </w:t>
      </w:r>
      <w:r w:rsidRPr="00225CC3">
        <w:rPr>
          <w:sz w:val="22"/>
        </w:rPr>
        <w:t xml:space="preserve">Treatment </w:t>
      </w:r>
      <w:r w:rsidR="002B7FE5" w:rsidRPr="00225CC3">
        <w:rPr>
          <w:sz w:val="22"/>
          <w:szCs w:val="22"/>
        </w:rPr>
        <w:t>Instruments</w:t>
      </w:r>
      <w:r w:rsidRPr="00225CC3">
        <w:rPr>
          <w:sz w:val="22"/>
        </w:rPr>
        <w:t>.</w:t>
      </w:r>
    </w:p>
    <w:p w14:paraId="666651A7" w14:textId="77777777" w:rsidR="00327114" w:rsidRDefault="00901A53" w:rsidP="001E3E50">
      <w:pPr>
        <w:keepNext/>
        <w:spacing w:after="240" w:line="360" w:lineRule="auto"/>
        <w:contextualSpacing/>
        <w:rPr>
          <w:sz w:val="22"/>
        </w:rPr>
      </w:pPr>
      <w:r w:rsidRPr="00EB4A1C">
        <w:rPr>
          <w:b/>
          <w:sz w:val="22"/>
          <w:szCs w:val="22"/>
        </w:rPr>
        <w:lastRenderedPageBreak/>
        <w:t xml:space="preserve">Statement of Reasons for issuing of the Certificate </w:t>
      </w:r>
    </w:p>
    <w:p w14:paraId="027A9DDE" w14:textId="239DF07C" w:rsidR="00327114" w:rsidRDefault="00901A53" w:rsidP="001E3E50">
      <w:pPr>
        <w:keepNext/>
        <w:spacing w:after="240" w:line="360" w:lineRule="auto"/>
        <w:contextualSpacing/>
        <w:rPr>
          <w:sz w:val="22"/>
        </w:rPr>
      </w:pPr>
      <w:r w:rsidRPr="00604D22">
        <w:rPr>
          <w:color w:val="000000"/>
          <w:sz w:val="22"/>
          <w:szCs w:val="22"/>
        </w:rPr>
        <w:t>For the purposes of subsection 51</w:t>
      </w:r>
      <w:proofErr w:type="gramStart"/>
      <w:r w:rsidRPr="00604D22">
        <w:rPr>
          <w:color w:val="000000"/>
          <w:sz w:val="22"/>
          <w:szCs w:val="22"/>
        </w:rPr>
        <w:t>A(</w:t>
      </w:r>
      <w:proofErr w:type="gramEnd"/>
      <w:r w:rsidRPr="00604D22">
        <w:rPr>
          <w:color w:val="000000"/>
          <w:sz w:val="22"/>
          <w:szCs w:val="22"/>
        </w:rPr>
        <w:t xml:space="preserve">4) of the Legislation Act, this section sets out the statement of reasons for the issue of the </w:t>
      </w:r>
      <w:r w:rsidR="001E3E50">
        <w:rPr>
          <w:color w:val="000000"/>
          <w:sz w:val="22"/>
          <w:szCs w:val="22"/>
        </w:rPr>
        <w:t>C</w:t>
      </w:r>
      <w:r w:rsidRPr="00604D22">
        <w:rPr>
          <w:color w:val="000000"/>
          <w:sz w:val="22"/>
          <w:szCs w:val="22"/>
        </w:rPr>
        <w:t>ertificate.</w:t>
      </w:r>
    </w:p>
    <w:p w14:paraId="67056E58" w14:textId="77777777" w:rsidR="00327114" w:rsidRDefault="00327114" w:rsidP="00327114">
      <w:pPr>
        <w:spacing w:after="240" w:line="360" w:lineRule="auto"/>
        <w:contextualSpacing/>
        <w:rPr>
          <w:sz w:val="22"/>
        </w:rPr>
      </w:pPr>
    </w:p>
    <w:p w14:paraId="2B8EB010" w14:textId="78320863" w:rsidR="00327114" w:rsidRDefault="00901A53" w:rsidP="00B516D2">
      <w:pPr>
        <w:spacing w:after="240" w:line="360" w:lineRule="auto"/>
        <w:contextualSpacing/>
        <w:rPr>
          <w:sz w:val="22"/>
        </w:rPr>
      </w:pPr>
      <w:r w:rsidRPr="00667A0D">
        <w:rPr>
          <w:sz w:val="22"/>
        </w:rPr>
        <w:t xml:space="preserve">The Declaration aligns the sunsetting dates </w:t>
      </w:r>
      <w:r w:rsidR="00FD0E41">
        <w:rPr>
          <w:sz w:val="22"/>
        </w:rPr>
        <w:t>of</w:t>
      </w:r>
      <w:r w:rsidRPr="00667A0D">
        <w:rPr>
          <w:sz w:val="22"/>
        </w:rPr>
        <w:t xml:space="preserve"> the </w:t>
      </w:r>
      <w:r>
        <w:rPr>
          <w:sz w:val="22"/>
        </w:rPr>
        <w:t xml:space="preserve">DVA Treatment </w:t>
      </w:r>
      <w:r w:rsidR="002B7FE5">
        <w:rPr>
          <w:sz w:val="22"/>
          <w:szCs w:val="22"/>
        </w:rPr>
        <w:t>Instruments</w:t>
      </w:r>
      <w:r w:rsidR="002B7FE5" w:rsidRPr="00F30297">
        <w:rPr>
          <w:sz w:val="22"/>
          <w:szCs w:val="22"/>
        </w:rPr>
        <w:t xml:space="preserve"> </w:t>
      </w:r>
      <w:r w:rsidRPr="00667A0D">
        <w:rPr>
          <w:sz w:val="22"/>
        </w:rPr>
        <w:t xml:space="preserve">to </w:t>
      </w:r>
      <w:r>
        <w:rPr>
          <w:sz w:val="22"/>
        </w:rPr>
        <w:t xml:space="preserve">enable the </w:t>
      </w:r>
      <w:r w:rsidR="0015366F">
        <w:rPr>
          <w:sz w:val="22"/>
        </w:rPr>
        <w:t>DVA</w:t>
      </w:r>
      <w:r>
        <w:rPr>
          <w:sz w:val="22"/>
        </w:rPr>
        <w:t xml:space="preserve"> to conduct a thematic review of veteran treatment arrangements</w:t>
      </w:r>
      <w:r w:rsidRPr="00667A0D">
        <w:rPr>
          <w:sz w:val="22"/>
        </w:rPr>
        <w:t xml:space="preserve">. </w:t>
      </w:r>
      <w:bookmarkStart w:id="2" w:name="_Hlk142057351"/>
    </w:p>
    <w:p w14:paraId="0D5E12B7" w14:textId="77777777" w:rsidR="00327114" w:rsidRDefault="00327114" w:rsidP="00B516D2">
      <w:pPr>
        <w:spacing w:after="240" w:line="360" w:lineRule="auto"/>
        <w:contextualSpacing/>
        <w:rPr>
          <w:sz w:val="22"/>
        </w:rPr>
      </w:pPr>
    </w:p>
    <w:p w14:paraId="7F73887D" w14:textId="3DC7CE32" w:rsidR="00B516D2" w:rsidRDefault="00B516D2" w:rsidP="00B516D2">
      <w:pPr>
        <w:spacing w:after="240" w:line="360" w:lineRule="auto"/>
        <w:contextualSpacing/>
        <w:rPr>
          <w:sz w:val="22"/>
        </w:rPr>
      </w:pPr>
      <w:r w:rsidRPr="00B516D2">
        <w:rPr>
          <w:sz w:val="22"/>
        </w:rPr>
        <w:t>This review will cover 17 legislative instruments made under the VEA, MRCA,</w:t>
      </w:r>
      <w:r w:rsidR="00335927">
        <w:rPr>
          <w:sz w:val="22"/>
        </w:rPr>
        <w:t xml:space="preserve"> </w:t>
      </w:r>
      <w:r>
        <w:rPr>
          <w:color w:val="000000"/>
          <w:sz w:val="22"/>
          <w:szCs w:val="22"/>
        </w:rPr>
        <w:t>Australian</w:t>
      </w:r>
      <w:r w:rsidR="0016685C">
        <w:rPr>
          <w:color w:val="000000"/>
          <w:sz w:val="22"/>
          <w:szCs w:val="22"/>
        </w:rPr>
        <w:t> </w:t>
      </w:r>
      <w:r>
        <w:rPr>
          <w:color w:val="000000"/>
          <w:sz w:val="22"/>
          <w:szCs w:val="22"/>
        </w:rPr>
        <w:t>Participants in British Nuclear Tests</w:t>
      </w:r>
      <w:r w:rsidRPr="00B20D42">
        <w:rPr>
          <w:color w:val="000000"/>
          <w:sz w:val="22"/>
          <w:szCs w:val="22"/>
        </w:rPr>
        <w:t xml:space="preserve"> Act</w:t>
      </w:r>
      <w:r w:rsidRPr="00B516D2">
        <w:rPr>
          <w:sz w:val="22"/>
        </w:rPr>
        <w:t xml:space="preserve"> and Special Access Act. Of those 17 legislative instruments to be reviewed, </w:t>
      </w:r>
      <w:r w:rsidR="00225CC3">
        <w:rPr>
          <w:sz w:val="22"/>
        </w:rPr>
        <w:t>14</w:t>
      </w:r>
      <w:r w:rsidRPr="00B516D2">
        <w:rPr>
          <w:sz w:val="22"/>
        </w:rPr>
        <w:t xml:space="preserve"> legislative instruments are subject to sunsetting and </w:t>
      </w:r>
      <w:r w:rsidR="00225CC3">
        <w:rPr>
          <w:sz w:val="22"/>
        </w:rPr>
        <w:t xml:space="preserve">13 </w:t>
      </w:r>
      <w:r w:rsidRPr="00B516D2">
        <w:rPr>
          <w:sz w:val="22"/>
        </w:rPr>
        <w:t>are proposed to have their sunsetting day altered.</w:t>
      </w:r>
      <w:r w:rsidR="00225CC3">
        <w:rPr>
          <w:sz w:val="22"/>
        </w:rPr>
        <w:t xml:space="preserve"> </w:t>
      </w:r>
    </w:p>
    <w:p w14:paraId="07062182" w14:textId="77777777" w:rsidR="00B516D2" w:rsidRDefault="00B516D2" w:rsidP="00B516D2">
      <w:pPr>
        <w:spacing w:after="240" w:line="360" w:lineRule="auto"/>
        <w:contextualSpacing/>
        <w:rPr>
          <w:sz w:val="22"/>
        </w:rPr>
      </w:pPr>
    </w:p>
    <w:p w14:paraId="58FA30DD" w14:textId="59671482" w:rsidR="0015366F" w:rsidRDefault="00B516D2" w:rsidP="00B516D2">
      <w:pPr>
        <w:spacing w:after="240" w:line="360" w:lineRule="auto"/>
        <w:contextualSpacing/>
        <w:rPr>
          <w:sz w:val="22"/>
          <w:szCs w:val="22"/>
        </w:rPr>
      </w:pPr>
      <w:r w:rsidRPr="00B516D2">
        <w:rPr>
          <w:sz w:val="22"/>
        </w:rPr>
        <w:t>Four of the</w:t>
      </w:r>
      <w:r>
        <w:rPr>
          <w:sz w:val="22"/>
        </w:rPr>
        <w:t xml:space="preserve"> DVA Treatment </w:t>
      </w:r>
      <w:r w:rsidR="002B7FE5">
        <w:rPr>
          <w:sz w:val="22"/>
          <w:szCs w:val="22"/>
        </w:rPr>
        <w:t>Instruments</w:t>
      </w:r>
      <w:r w:rsidR="002B7FE5" w:rsidRPr="00F30297">
        <w:rPr>
          <w:sz w:val="22"/>
          <w:szCs w:val="22"/>
        </w:rPr>
        <w:t xml:space="preserve"> </w:t>
      </w:r>
      <w:r w:rsidRPr="00B516D2">
        <w:rPr>
          <w:sz w:val="22"/>
        </w:rPr>
        <w:t xml:space="preserve">are due to sunset on 1 April </w:t>
      </w:r>
      <w:r w:rsidRPr="00B516D2">
        <w:rPr>
          <w:sz w:val="22"/>
          <w:szCs w:val="22"/>
        </w:rPr>
        <w:t xml:space="preserve">2024: </w:t>
      </w:r>
    </w:p>
    <w:p w14:paraId="2B871F44" w14:textId="1959A324" w:rsidR="0015366F" w:rsidRPr="0015366F" w:rsidRDefault="00B516D2" w:rsidP="00BA12C2">
      <w:pPr>
        <w:pStyle w:val="ListParagraph"/>
        <w:numPr>
          <w:ilvl w:val="0"/>
          <w:numId w:val="25"/>
        </w:numPr>
        <w:spacing w:after="240" w:line="360" w:lineRule="auto"/>
        <w:rPr>
          <w:sz w:val="22"/>
        </w:rPr>
      </w:pPr>
      <w:r w:rsidRPr="0015366F">
        <w:rPr>
          <w:sz w:val="22"/>
          <w:szCs w:val="22"/>
        </w:rPr>
        <w:t>the</w:t>
      </w:r>
      <w:r w:rsidRPr="0015366F">
        <w:rPr>
          <w:i/>
          <w:sz w:val="22"/>
          <w:szCs w:val="22"/>
        </w:rPr>
        <w:t xml:space="preserve"> </w:t>
      </w:r>
      <w:hyperlink r:id="rId10" w:history="1">
        <w:r w:rsidRPr="0015366F">
          <w:rPr>
            <w:rStyle w:val="Hyperlink"/>
            <w:i/>
            <w:color w:val="000000"/>
            <w:sz w:val="22"/>
            <w:szCs w:val="22"/>
            <w:u w:val="none"/>
            <w:shd w:val="clear" w:color="auto" w:fill="FFFFFF"/>
          </w:rPr>
          <w:t>Treatment Principles (No. R52/2013)</w:t>
        </w:r>
      </w:hyperlink>
      <w:r w:rsidR="00331654">
        <w:rPr>
          <w:color w:val="000000"/>
          <w:sz w:val="22"/>
          <w:szCs w:val="22"/>
          <w:shd w:val="clear" w:color="auto" w:fill="FFFFFF"/>
        </w:rPr>
        <w:t xml:space="preserve"> and the </w:t>
      </w:r>
      <w:hyperlink r:id="rId11" w:history="1">
        <w:r w:rsidRPr="0015366F">
          <w:rPr>
            <w:rStyle w:val="Hyperlink"/>
            <w:i/>
            <w:color w:val="000000"/>
            <w:sz w:val="22"/>
            <w:szCs w:val="22"/>
            <w:u w:val="none"/>
            <w:shd w:val="clear" w:color="auto" w:fill="FFFFFF"/>
          </w:rPr>
          <w:t>MRCA Treatment Principles (No. MRCC 53/2013)</w:t>
        </w:r>
      </w:hyperlink>
      <w:r w:rsidRPr="0015366F">
        <w:rPr>
          <w:color w:val="000000"/>
          <w:sz w:val="22"/>
          <w:szCs w:val="22"/>
          <w:shd w:val="clear" w:color="auto" w:fill="FFFFFF"/>
        </w:rPr>
        <w:t xml:space="preserve"> </w:t>
      </w:r>
      <w:r w:rsidRPr="0015366F">
        <w:rPr>
          <w:sz w:val="22"/>
          <w:szCs w:val="22"/>
        </w:rPr>
        <w:t>(</w:t>
      </w:r>
      <w:r w:rsidR="00331654">
        <w:rPr>
          <w:sz w:val="22"/>
          <w:szCs w:val="22"/>
        </w:rPr>
        <w:t>together,</w:t>
      </w:r>
      <w:r w:rsidR="00331654" w:rsidRPr="0015366F">
        <w:rPr>
          <w:sz w:val="22"/>
          <w:szCs w:val="22"/>
        </w:rPr>
        <w:t xml:space="preserve"> </w:t>
      </w:r>
      <w:r w:rsidRPr="0015366F">
        <w:rPr>
          <w:sz w:val="22"/>
          <w:szCs w:val="22"/>
        </w:rPr>
        <w:t>known as the Treatment Principles)</w:t>
      </w:r>
    </w:p>
    <w:p w14:paraId="10FFE25C" w14:textId="5C490B62" w:rsidR="0015366F" w:rsidRPr="0015366F" w:rsidRDefault="0015366F" w:rsidP="00BA12C2">
      <w:pPr>
        <w:pStyle w:val="ListParagraph"/>
        <w:numPr>
          <w:ilvl w:val="0"/>
          <w:numId w:val="25"/>
        </w:numPr>
        <w:spacing w:after="240" w:line="360" w:lineRule="auto"/>
        <w:rPr>
          <w:sz w:val="22"/>
        </w:rPr>
      </w:pPr>
      <w:r>
        <w:rPr>
          <w:sz w:val="22"/>
          <w:szCs w:val="22"/>
        </w:rPr>
        <w:t xml:space="preserve">the </w:t>
      </w:r>
      <w:r w:rsidR="00B516D2" w:rsidRPr="0015366F">
        <w:rPr>
          <w:i/>
          <w:sz w:val="22"/>
          <w:szCs w:val="22"/>
        </w:rPr>
        <w:t>Repatriation Pharmaceutical Benefits Schem</w:t>
      </w:r>
      <w:r w:rsidR="00E438E0">
        <w:rPr>
          <w:i/>
          <w:sz w:val="22"/>
          <w:szCs w:val="22"/>
        </w:rPr>
        <w:t>e</w:t>
      </w:r>
      <w:r w:rsidR="00B516D2" w:rsidRPr="0015366F">
        <w:rPr>
          <w:sz w:val="22"/>
          <w:szCs w:val="22"/>
        </w:rPr>
        <w:t xml:space="preserve"> and</w:t>
      </w:r>
    </w:p>
    <w:p w14:paraId="0A84B853" w14:textId="77777777" w:rsidR="00BA12C2" w:rsidRPr="00BA12C2" w:rsidRDefault="0015366F" w:rsidP="00BA12C2">
      <w:pPr>
        <w:pStyle w:val="ListParagraph"/>
        <w:numPr>
          <w:ilvl w:val="0"/>
          <w:numId w:val="25"/>
        </w:numPr>
        <w:spacing w:after="240" w:line="360" w:lineRule="auto"/>
        <w:rPr>
          <w:sz w:val="22"/>
        </w:rPr>
      </w:pPr>
      <w:r>
        <w:rPr>
          <w:sz w:val="22"/>
          <w:szCs w:val="22"/>
        </w:rPr>
        <w:t xml:space="preserve">the </w:t>
      </w:r>
      <w:hyperlink r:id="rId12" w:history="1">
        <w:r w:rsidR="00B516D2" w:rsidRPr="0015366F">
          <w:rPr>
            <w:rStyle w:val="Hyperlink"/>
            <w:i/>
            <w:color w:val="000000"/>
            <w:sz w:val="22"/>
            <w:szCs w:val="22"/>
            <w:u w:val="none"/>
            <w:shd w:val="clear" w:color="auto" w:fill="FFFFFF"/>
          </w:rPr>
          <w:t>MRCA Pharmaceutical Benefits Scheme (No. MRCC 44/2013)</w:t>
        </w:r>
      </w:hyperlink>
      <w:r w:rsidR="00B516D2" w:rsidRPr="0015366F">
        <w:rPr>
          <w:i/>
          <w:sz w:val="22"/>
          <w:szCs w:val="22"/>
        </w:rPr>
        <w:t xml:space="preserve"> </w:t>
      </w:r>
      <w:r w:rsidR="00B516D2" w:rsidRPr="0015366F">
        <w:rPr>
          <w:sz w:val="22"/>
          <w:szCs w:val="22"/>
        </w:rPr>
        <w:t>(collectively known as the RPBS Instruments).</w:t>
      </w:r>
      <w:bookmarkEnd w:id="2"/>
    </w:p>
    <w:p w14:paraId="5A055F28" w14:textId="2625F791" w:rsidR="00BA12C2" w:rsidRDefault="0015366F" w:rsidP="00BA12C2">
      <w:pPr>
        <w:spacing w:after="240" w:line="360" w:lineRule="auto"/>
        <w:contextualSpacing/>
        <w:rPr>
          <w:sz w:val="22"/>
        </w:rPr>
      </w:pPr>
      <w:r w:rsidRPr="00BA12C2">
        <w:rPr>
          <w:color w:val="000000"/>
          <w:sz w:val="22"/>
          <w:szCs w:val="22"/>
        </w:rPr>
        <w:t>The DVA</w:t>
      </w:r>
      <w:r w:rsidR="00B20D42" w:rsidRPr="00BA12C2">
        <w:rPr>
          <w:color w:val="000000"/>
          <w:sz w:val="22"/>
          <w:szCs w:val="22"/>
        </w:rPr>
        <w:t xml:space="preserve"> treatment arrangements are managed through a number of legislative instruments and </w:t>
      </w:r>
      <w:r w:rsidRPr="00BA12C2">
        <w:rPr>
          <w:color w:val="000000"/>
          <w:sz w:val="22"/>
          <w:szCs w:val="22"/>
        </w:rPr>
        <w:t xml:space="preserve">the </w:t>
      </w:r>
      <w:r w:rsidR="001910C2">
        <w:rPr>
          <w:color w:val="000000"/>
          <w:sz w:val="22"/>
          <w:szCs w:val="22"/>
        </w:rPr>
        <w:t>d</w:t>
      </w:r>
      <w:r w:rsidRPr="00BA12C2">
        <w:rPr>
          <w:color w:val="000000"/>
          <w:sz w:val="22"/>
          <w:szCs w:val="22"/>
        </w:rPr>
        <w:t>epartment</w:t>
      </w:r>
      <w:r w:rsidR="00B20D42" w:rsidRPr="00BA12C2">
        <w:rPr>
          <w:color w:val="000000"/>
          <w:sz w:val="22"/>
          <w:szCs w:val="22"/>
        </w:rPr>
        <w:t xml:space="preserve"> considers it beneficial to consider all instruments together </w:t>
      </w:r>
      <w:r w:rsidR="00EF1CA2">
        <w:rPr>
          <w:color w:val="000000"/>
          <w:sz w:val="22"/>
          <w:szCs w:val="22"/>
        </w:rPr>
        <w:t>through</w:t>
      </w:r>
      <w:r w:rsidR="00B20D42" w:rsidRPr="00BA12C2">
        <w:rPr>
          <w:color w:val="000000"/>
          <w:sz w:val="22"/>
          <w:szCs w:val="22"/>
        </w:rPr>
        <w:t xml:space="preserve"> a thematic review, particularly in the context of the significant reforms expected in coming years to both DVA’s legislative framework and to the broader Australian health and aged care system.</w:t>
      </w:r>
    </w:p>
    <w:p w14:paraId="64AEFDF6" w14:textId="77777777" w:rsidR="00BA12C2" w:rsidRDefault="00BA12C2" w:rsidP="00BA12C2">
      <w:pPr>
        <w:spacing w:after="240" w:line="360" w:lineRule="auto"/>
        <w:contextualSpacing/>
        <w:rPr>
          <w:color w:val="000000"/>
          <w:sz w:val="22"/>
          <w:szCs w:val="22"/>
        </w:rPr>
      </w:pPr>
    </w:p>
    <w:p w14:paraId="68902840" w14:textId="5B0C2C8F" w:rsidR="00BA12C2" w:rsidRDefault="00B20D42" w:rsidP="00A00601">
      <w:pPr>
        <w:spacing w:after="240" w:line="360" w:lineRule="auto"/>
        <w:contextualSpacing/>
        <w:rPr>
          <w:sz w:val="22"/>
        </w:rPr>
      </w:pPr>
      <w:r w:rsidRPr="00B20D42">
        <w:rPr>
          <w:color w:val="000000"/>
          <w:sz w:val="22"/>
          <w:szCs w:val="22"/>
        </w:rPr>
        <w:t xml:space="preserve">As well as the treatment provisions under the VEA and MRCA, treatment is also provided for certain civilians under the </w:t>
      </w:r>
      <w:r>
        <w:rPr>
          <w:color w:val="000000"/>
          <w:sz w:val="22"/>
          <w:szCs w:val="22"/>
        </w:rPr>
        <w:t>Australian Participants in British Nuclear Tests</w:t>
      </w:r>
      <w:r w:rsidRPr="00B20D42">
        <w:rPr>
          <w:color w:val="000000"/>
          <w:sz w:val="22"/>
          <w:szCs w:val="22"/>
        </w:rPr>
        <w:t xml:space="preserve"> Act and Special Access Act. These </w:t>
      </w:r>
      <w:r w:rsidR="00716C10">
        <w:rPr>
          <w:color w:val="000000"/>
          <w:sz w:val="22"/>
          <w:szCs w:val="22"/>
        </w:rPr>
        <w:t>A</w:t>
      </w:r>
      <w:r w:rsidRPr="00B20D42">
        <w:rPr>
          <w:color w:val="000000"/>
          <w:sz w:val="22"/>
          <w:szCs w:val="22"/>
        </w:rPr>
        <w:t xml:space="preserve">cts enable </w:t>
      </w:r>
      <w:r w:rsidR="00BA12C2">
        <w:rPr>
          <w:color w:val="000000"/>
          <w:sz w:val="22"/>
          <w:szCs w:val="22"/>
        </w:rPr>
        <w:t>m</w:t>
      </w:r>
      <w:r w:rsidRPr="00B20D42">
        <w:rPr>
          <w:color w:val="000000"/>
          <w:sz w:val="22"/>
          <w:szCs w:val="22"/>
        </w:rPr>
        <w:t xml:space="preserve">odified Treatment Principles and </w:t>
      </w:r>
      <w:r w:rsidR="00BA12C2">
        <w:rPr>
          <w:color w:val="000000"/>
          <w:sz w:val="22"/>
          <w:szCs w:val="22"/>
        </w:rPr>
        <w:t>m</w:t>
      </w:r>
      <w:r w:rsidRPr="00B20D42">
        <w:rPr>
          <w:color w:val="000000"/>
          <w:sz w:val="22"/>
          <w:szCs w:val="22"/>
        </w:rPr>
        <w:t>odified RPBS Instruments</w:t>
      </w:r>
      <w:r w:rsidR="00BD5DE3">
        <w:rPr>
          <w:color w:val="000000"/>
          <w:sz w:val="22"/>
          <w:szCs w:val="22"/>
        </w:rPr>
        <w:t>,</w:t>
      </w:r>
      <w:r w:rsidRPr="00B20D42">
        <w:rPr>
          <w:color w:val="000000"/>
          <w:sz w:val="22"/>
          <w:szCs w:val="22"/>
        </w:rPr>
        <w:t xml:space="preserve"> which will need to be amended </w:t>
      </w:r>
      <w:r w:rsidR="00BD5DE3">
        <w:rPr>
          <w:color w:val="000000"/>
          <w:sz w:val="22"/>
          <w:szCs w:val="22"/>
        </w:rPr>
        <w:t>and</w:t>
      </w:r>
      <w:r w:rsidRPr="00B20D42">
        <w:rPr>
          <w:color w:val="000000"/>
          <w:sz w:val="22"/>
          <w:szCs w:val="22"/>
        </w:rPr>
        <w:t xml:space="preserve"> remade in line with </w:t>
      </w:r>
      <w:r w:rsidR="006B56AA">
        <w:rPr>
          <w:color w:val="000000"/>
          <w:sz w:val="22"/>
          <w:szCs w:val="22"/>
        </w:rPr>
        <w:t xml:space="preserve">the </w:t>
      </w:r>
      <w:r w:rsidRPr="00B20D42">
        <w:rPr>
          <w:color w:val="000000"/>
          <w:sz w:val="22"/>
          <w:szCs w:val="22"/>
        </w:rPr>
        <w:t>remaking</w:t>
      </w:r>
      <w:r w:rsidR="006B56AA">
        <w:rPr>
          <w:color w:val="000000"/>
          <w:sz w:val="22"/>
          <w:szCs w:val="22"/>
        </w:rPr>
        <w:t xml:space="preserve"> of</w:t>
      </w:r>
      <w:r w:rsidRPr="00B20D42">
        <w:rPr>
          <w:color w:val="000000"/>
          <w:sz w:val="22"/>
          <w:szCs w:val="22"/>
        </w:rPr>
        <w:t xml:space="preserve"> the primary Treatment Principles and RPBS Instruments and, as such, it would be appropriate to consider all these instruments through a single thematic review.</w:t>
      </w:r>
    </w:p>
    <w:p w14:paraId="2AF8DC60" w14:textId="77777777" w:rsidR="00BA12C2" w:rsidRDefault="00BA12C2" w:rsidP="00A00601">
      <w:pPr>
        <w:spacing w:after="240" w:line="360" w:lineRule="auto"/>
        <w:contextualSpacing/>
        <w:rPr>
          <w:color w:val="000000"/>
          <w:sz w:val="22"/>
          <w:szCs w:val="22"/>
        </w:rPr>
      </w:pPr>
    </w:p>
    <w:p w14:paraId="094CE56E" w14:textId="5C2BE765" w:rsidR="00BA12C2" w:rsidRDefault="00B20D42" w:rsidP="00A00601">
      <w:pPr>
        <w:spacing w:after="240" w:line="360" w:lineRule="auto"/>
        <w:contextualSpacing/>
        <w:rPr>
          <w:sz w:val="22"/>
        </w:rPr>
      </w:pPr>
      <w:r w:rsidRPr="00B20D42">
        <w:rPr>
          <w:color w:val="000000"/>
          <w:sz w:val="22"/>
          <w:szCs w:val="22"/>
        </w:rPr>
        <w:t xml:space="preserve">Many of </w:t>
      </w:r>
      <w:r w:rsidR="00BA12C2">
        <w:rPr>
          <w:color w:val="000000"/>
          <w:sz w:val="22"/>
          <w:szCs w:val="22"/>
        </w:rPr>
        <w:t xml:space="preserve">the </w:t>
      </w:r>
      <w:r w:rsidRPr="00B20D42">
        <w:rPr>
          <w:color w:val="000000"/>
          <w:sz w:val="22"/>
          <w:szCs w:val="22"/>
        </w:rPr>
        <w:t>DVA</w:t>
      </w:r>
      <w:r w:rsidR="00BA12C2">
        <w:rPr>
          <w:color w:val="000000"/>
          <w:sz w:val="22"/>
          <w:szCs w:val="22"/>
        </w:rPr>
        <w:t>’s</w:t>
      </w:r>
      <w:r w:rsidRPr="00B20D42">
        <w:rPr>
          <w:color w:val="000000"/>
          <w:sz w:val="22"/>
          <w:szCs w:val="22"/>
        </w:rPr>
        <w:t xml:space="preserve"> health arrangements are administered under both the Treatment Principles and another legislative instrument</w:t>
      </w:r>
      <w:r w:rsidR="00024048">
        <w:rPr>
          <w:color w:val="000000"/>
          <w:sz w:val="22"/>
          <w:szCs w:val="22"/>
        </w:rPr>
        <w:t xml:space="preserve">. </w:t>
      </w:r>
      <w:r w:rsidR="00A00601" w:rsidRPr="00A00601">
        <w:rPr>
          <w:color w:val="000000"/>
          <w:sz w:val="22"/>
          <w:szCs w:val="22"/>
        </w:rPr>
        <w:t xml:space="preserve">There are a number of significant reform activities being undertaken by the </w:t>
      </w:r>
      <w:r w:rsidR="00F73932">
        <w:rPr>
          <w:color w:val="000000"/>
          <w:sz w:val="22"/>
          <w:szCs w:val="22"/>
        </w:rPr>
        <w:t>G</w:t>
      </w:r>
      <w:r w:rsidR="00A00601" w:rsidRPr="00A00601">
        <w:rPr>
          <w:color w:val="000000"/>
          <w:sz w:val="22"/>
          <w:szCs w:val="22"/>
        </w:rPr>
        <w:t>overnment which are likely to have impacts on DVA’s treatment arrangements, in particular the Treatment Principles, which may require significant amendments shortly after the current sunsetting date of 1 April 2024</w:t>
      </w:r>
      <w:r w:rsidR="00BA12C2">
        <w:rPr>
          <w:color w:val="000000"/>
          <w:sz w:val="22"/>
          <w:szCs w:val="22"/>
        </w:rPr>
        <w:t>.</w:t>
      </w:r>
    </w:p>
    <w:p w14:paraId="35A9EB4D" w14:textId="77777777" w:rsidR="00BA12C2" w:rsidRDefault="00BA12C2" w:rsidP="00A00601">
      <w:pPr>
        <w:spacing w:after="240" w:line="360" w:lineRule="auto"/>
        <w:contextualSpacing/>
        <w:rPr>
          <w:color w:val="000000"/>
          <w:sz w:val="22"/>
          <w:szCs w:val="22"/>
          <w:lang w:val="en-GB"/>
        </w:rPr>
      </w:pPr>
    </w:p>
    <w:p w14:paraId="1C71250B" w14:textId="660A569E" w:rsidR="00A00601" w:rsidRPr="00BA12C2" w:rsidRDefault="00A00601" w:rsidP="00A00601">
      <w:pPr>
        <w:spacing w:after="240" w:line="360" w:lineRule="auto"/>
        <w:contextualSpacing/>
        <w:rPr>
          <w:sz w:val="22"/>
        </w:rPr>
      </w:pPr>
      <w:r w:rsidRPr="00A00601">
        <w:rPr>
          <w:color w:val="000000"/>
          <w:sz w:val="22"/>
          <w:szCs w:val="22"/>
          <w:lang w:val="en-GB"/>
        </w:rPr>
        <w:lastRenderedPageBreak/>
        <w:t xml:space="preserve">The proposed thematic review of veteran treatment legislative instruments will: </w:t>
      </w:r>
    </w:p>
    <w:p w14:paraId="3BA6D5B6" w14:textId="1B58F03A" w:rsidR="00A00601" w:rsidRPr="00A00601" w:rsidRDefault="00A00601" w:rsidP="00A00601">
      <w:pPr>
        <w:numPr>
          <w:ilvl w:val="0"/>
          <w:numId w:val="18"/>
        </w:numPr>
        <w:spacing w:after="240" w:line="360" w:lineRule="auto"/>
        <w:contextualSpacing/>
        <w:rPr>
          <w:color w:val="000000"/>
          <w:sz w:val="22"/>
          <w:szCs w:val="22"/>
          <w:lang w:val="en-GB"/>
        </w:rPr>
      </w:pPr>
      <w:r w:rsidRPr="00A00601">
        <w:rPr>
          <w:color w:val="000000"/>
          <w:sz w:val="22"/>
          <w:szCs w:val="22"/>
          <w:lang w:val="en-GB"/>
        </w:rPr>
        <w:t>enable a thorough review to be undertaken, resulting in a more efficient review process and more streamlined legislative arrangements, including consistent alignment of language, drafting and policy across instruments</w:t>
      </w:r>
    </w:p>
    <w:p w14:paraId="0A61823C" w14:textId="318DB3D4" w:rsidR="00A00601" w:rsidRPr="00A00601" w:rsidRDefault="00A00601" w:rsidP="00A00601">
      <w:pPr>
        <w:numPr>
          <w:ilvl w:val="0"/>
          <w:numId w:val="18"/>
        </w:numPr>
        <w:spacing w:after="240" w:line="360" w:lineRule="auto"/>
        <w:contextualSpacing/>
        <w:rPr>
          <w:color w:val="000000"/>
          <w:sz w:val="22"/>
          <w:szCs w:val="22"/>
          <w:lang w:val="en-GB"/>
        </w:rPr>
      </w:pPr>
      <w:r w:rsidRPr="00A00601">
        <w:rPr>
          <w:color w:val="000000"/>
          <w:sz w:val="22"/>
          <w:szCs w:val="22"/>
          <w:lang w:val="en-GB"/>
        </w:rPr>
        <w:t xml:space="preserve">enable a complete review of specific health arrangements which are governed under multiple legislative instruments, and create efficiencies by reviewing </w:t>
      </w:r>
      <w:r w:rsidR="002C19AE">
        <w:rPr>
          <w:color w:val="000000"/>
          <w:sz w:val="22"/>
          <w:szCs w:val="22"/>
          <w:lang w:val="en-GB"/>
        </w:rPr>
        <w:t xml:space="preserve">the instruments </w:t>
      </w:r>
      <w:r w:rsidRPr="00A00601">
        <w:rPr>
          <w:color w:val="000000"/>
          <w:sz w:val="22"/>
          <w:szCs w:val="22"/>
          <w:lang w:val="en-GB"/>
        </w:rPr>
        <w:t>together</w:t>
      </w:r>
    </w:p>
    <w:p w14:paraId="59CDE67A" w14:textId="4FF1B9F9" w:rsidR="00A00601" w:rsidRPr="00A00601" w:rsidRDefault="00A00601" w:rsidP="00A00601">
      <w:pPr>
        <w:numPr>
          <w:ilvl w:val="0"/>
          <w:numId w:val="18"/>
        </w:numPr>
        <w:spacing w:after="240" w:line="360" w:lineRule="auto"/>
        <w:contextualSpacing/>
        <w:rPr>
          <w:color w:val="000000"/>
          <w:sz w:val="22"/>
          <w:szCs w:val="22"/>
          <w:lang w:val="en-GB"/>
        </w:rPr>
      </w:pPr>
      <w:r w:rsidRPr="00A00601">
        <w:rPr>
          <w:color w:val="000000"/>
          <w:sz w:val="22"/>
          <w:szCs w:val="22"/>
          <w:lang w:val="en-GB"/>
        </w:rPr>
        <w:t>create opportunities to align these instruments and/or reduce the number of instruments to provide a clearer legislative framework and reduce regulatory burden for veterans, eligible dependents and treating providers</w:t>
      </w:r>
    </w:p>
    <w:p w14:paraId="34D47BD5" w14:textId="1B3D543C" w:rsidR="00A00601" w:rsidRPr="00A00601" w:rsidRDefault="00A00601" w:rsidP="00A00601">
      <w:pPr>
        <w:numPr>
          <w:ilvl w:val="0"/>
          <w:numId w:val="18"/>
        </w:numPr>
        <w:spacing w:after="240" w:line="360" w:lineRule="auto"/>
        <w:contextualSpacing/>
        <w:rPr>
          <w:color w:val="000000"/>
          <w:sz w:val="22"/>
          <w:szCs w:val="22"/>
          <w:lang w:val="en-GB"/>
        </w:rPr>
      </w:pPr>
      <w:r w:rsidRPr="00A00601">
        <w:rPr>
          <w:color w:val="000000"/>
          <w:sz w:val="22"/>
          <w:szCs w:val="22"/>
          <w:lang w:val="en-GB"/>
        </w:rPr>
        <w:t xml:space="preserve">allow DVA’s </w:t>
      </w:r>
      <w:r w:rsidR="00BA12C2">
        <w:rPr>
          <w:color w:val="000000"/>
          <w:sz w:val="22"/>
          <w:szCs w:val="22"/>
          <w:lang w:val="en-GB"/>
        </w:rPr>
        <w:t>Treatment Principles</w:t>
      </w:r>
      <w:r w:rsidRPr="00A00601">
        <w:rPr>
          <w:color w:val="000000"/>
          <w:sz w:val="22"/>
          <w:szCs w:val="22"/>
          <w:lang w:val="en-GB"/>
        </w:rPr>
        <w:t xml:space="preserve"> to be remade to align with the Government’s strategic policy outcomes arising from the public process currently underway as outlined above. This will reduce the need for multiple amendments, enable better alignment with future reforms and deliver meaningful improvements to the veteran health care system</w:t>
      </w:r>
      <w:r w:rsidR="000078A3">
        <w:rPr>
          <w:color w:val="000000"/>
          <w:sz w:val="22"/>
          <w:szCs w:val="22"/>
          <w:lang w:val="en-GB"/>
        </w:rPr>
        <w:t>,</w:t>
      </w:r>
      <w:r w:rsidRPr="00A00601">
        <w:rPr>
          <w:color w:val="000000"/>
          <w:sz w:val="22"/>
          <w:szCs w:val="22"/>
          <w:lang w:val="en-GB"/>
        </w:rPr>
        <w:t xml:space="preserve"> and</w:t>
      </w:r>
    </w:p>
    <w:p w14:paraId="569F76FD" w14:textId="21D39E2A" w:rsidR="00A00601" w:rsidRPr="00A00601" w:rsidRDefault="00A00601" w:rsidP="00A00601">
      <w:pPr>
        <w:numPr>
          <w:ilvl w:val="0"/>
          <w:numId w:val="18"/>
        </w:numPr>
        <w:spacing w:after="240" w:line="360" w:lineRule="auto"/>
        <w:contextualSpacing/>
        <w:rPr>
          <w:color w:val="000000"/>
          <w:sz w:val="22"/>
          <w:szCs w:val="22"/>
          <w:lang w:val="en-GB"/>
        </w:rPr>
      </w:pPr>
      <w:r w:rsidRPr="00A00601">
        <w:rPr>
          <w:color w:val="000000"/>
          <w:sz w:val="22"/>
          <w:szCs w:val="22"/>
          <w:lang w:val="en-GB"/>
        </w:rPr>
        <w:t>provide enough time, and coverage of legislation governing all health arrangements, to undertake a meaningful review</w:t>
      </w:r>
      <w:r w:rsidR="0067062F">
        <w:rPr>
          <w:color w:val="000000"/>
          <w:sz w:val="22"/>
          <w:szCs w:val="22"/>
          <w:lang w:val="en-GB"/>
        </w:rPr>
        <w:t xml:space="preserve"> </w:t>
      </w:r>
      <w:r w:rsidRPr="00A00601">
        <w:rPr>
          <w:color w:val="000000"/>
          <w:sz w:val="22"/>
          <w:szCs w:val="22"/>
          <w:lang w:val="en-GB"/>
        </w:rPr>
        <w:t>incorporat</w:t>
      </w:r>
      <w:r w:rsidR="0067062F">
        <w:rPr>
          <w:color w:val="000000"/>
          <w:sz w:val="22"/>
          <w:szCs w:val="22"/>
          <w:lang w:val="en-GB"/>
        </w:rPr>
        <w:t>ing</w:t>
      </w:r>
      <w:r w:rsidRPr="00A00601">
        <w:rPr>
          <w:color w:val="000000"/>
          <w:sz w:val="22"/>
          <w:szCs w:val="22"/>
          <w:lang w:val="en-GB"/>
        </w:rPr>
        <w:t xml:space="preserve"> stakeholder consultation. </w:t>
      </w:r>
    </w:p>
    <w:p w14:paraId="7B8B4ABA" w14:textId="4CF8FF73" w:rsidR="00A00601" w:rsidRDefault="00A00601" w:rsidP="00A00601">
      <w:pPr>
        <w:spacing w:after="240" w:line="360" w:lineRule="auto"/>
        <w:contextualSpacing/>
        <w:rPr>
          <w:color w:val="000000"/>
          <w:sz w:val="22"/>
          <w:szCs w:val="22"/>
        </w:rPr>
      </w:pPr>
    </w:p>
    <w:p w14:paraId="076CB194" w14:textId="7946982C" w:rsidR="00246821" w:rsidRDefault="00246821" w:rsidP="00246821">
      <w:pPr>
        <w:spacing w:after="240" w:line="360" w:lineRule="auto"/>
        <w:contextualSpacing/>
        <w:rPr>
          <w:color w:val="000000"/>
          <w:sz w:val="22"/>
          <w:szCs w:val="22"/>
        </w:rPr>
      </w:pPr>
      <w:r w:rsidRPr="00246821">
        <w:rPr>
          <w:color w:val="000000"/>
          <w:sz w:val="22"/>
          <w:szCs w:val="22"/>
        </w:rPr>
        <w:t>Due to the size and complexity of the review,</w:t>
      </w:r>
      <w:r>
        <w:rPr>
          <w:color w:val="000000"/>
          <w:sz w:val="22"/>
          <w:szCs w:val="22"/>
        </w:rPr>
        <w:t xml:space="preserve"> </w:t>
      </w:r>
      <w:r w:rsidRPr="00246821">
        <w:rPr>
          <w:color w:val="000000"/>
          <w:sz w:val="22"/>
          <w:szCs w:val="22"/>
        </w:rPr>
        <w:t xml:space="preserve">DVA </w:t>
      </w:r>
      <w:r w:rsidR="00BA12C2">
        <w:rPr>
          <w:color w:val="000000"/>
          <w:sz w:val="22"/>
          <w:szCs w:val="22"/>
        </w:rPr>
        <w:t>sought</w:t>
      </w:r>
      <w:r w:rsidRPr="00246821">
        <w:rPr>
          <w:color w:val="000000"/>
          <w:sz w:val="22"/>
          <w:szCs w:val="22"/>
        </w:rPr>
        <w:t xml:space="preserve"> a new sunsetting date of 1</w:t>
      </w:r>
      <w:r w:rsidR="0025659D">
        <w:rPr>
          <w:color w:val="000000"/>
          <w:sz w:val="22"/>
          <w:szCs w:val="22"/>
        </w:rPr>
        <w:t> </w:t>
      </w:r>
      <w:r w:rsidRPr="00246821">
        <w:rPr>
          <w:color w:val="000000"/>
          <w:sz w:val="22"/>
          <w:szCs w:val="22"/>
        </w:rPr>
        <w:t xml:space="preserve">October 2026, an additional two and a half years on top of the current sunsetting date for the Treatment Principles and RPBS Instruments, to facilitate the thematic review. This recognises the substantial work involved in reviewing the large number of legislative instruments that administer DVA’s treatment arrangements, as well as providing an opportunity to implement new policies arising from the substantial reform activities being undertaken within DVA and the broader Australian health system over the </w:t>
      </w:r>
      <w:r w:rsidR="002F587A">
        <w:rPr>
          <w:color w:val="000000"/>
          <w:sz w:val="22"/>
          <w:szCs w:val="22"/>
        </w:rPr>
        <w:t>coming</w:t>
      </w:r>
      <w:r w:rsidRPr="00246821">
        <w:rPr>
          <w:color w:val="000000"/>
          <w:sz w:val="22"/>
          <w:szCs w:val="22"/>
        </w:rPr>
        <w:t xml:space="preserve"> years</w:t>
      </w:r>
      <w:r>
        <w:rPr>
          <w:color w:val="000000"/>
          <w:sz w:val="22"/>
          <w:szCs w:val="22"/>
        </w:rPr>
        <w:t>.</w:t>
      </w:r>
    </w:p>
    <w:p w14:paraId="2E37ED5B" w14:textId="77777777" w:rsidR="00246821" w:rsidRDefault="00246821" w:rsidP="00246821">
      <w:pPr>
        <w:spacing w:after="240" w:line="360" w:lineRule="auto"/>
        <w:contextualSpacing/>
        <w:rPr>
          <w:color w:val="000000"/>
          <w:sz w:val="22"/>
          <w:szCs w:val="22"/>
        </w:rPr>
      </w:pPr>
    </w:p>
    <w:p w14:paraId="11F4C9FB" w14:textId="7D02E51A" w:rsidR="00901A53" w:rsidRDefault="00901A53" w:rsidP="00A00601">
      <w:pPr>
        <w:spacing w:after="240" w:line="360" w:lineRule="auto"/>
        <w:contextualSpacing/>
        <w:rPr>
          <w:color w:val="000000"/>
          <w:sz w:val="22"/>
          <w:szCs w:val="22"/>
        </w:rPr>
      </w:pPr>
      <w:r>
        <w:rPr>
          <w:color w:val="000000"/>
          <w:sz w:val="22"/>
          <w:szCs w:val="22"/>
        </w:rPr>
        <w:t xml:space="preserve">A thematic review will facilitate an efficient and effective review process and enable consistent implementation of review findings. </w:t>
      </w:r>
      <w:r w:rsidRPr="00604D22">
        <w:rPr>
          <w:color w:val="000000"/>
          <w:sz w:val="22"/>
          <w:szCs w:val="22"/>
        </w:rPr>
        <w:t xml:space="preserve">As such, the Declaration is consistent with the policy intent of the sunsetting regime that legislative instruments should be kept up to date and only remain in force so long as they are needed. </w:t>
      </w:r>
    </w:p>
    <w:p w14:paraId="76F5567B" w14:textId="77777777" w:rsidR="00901A53" w:rsidRDefault="00901A53" w:rsidP="00901A53">
      <w:pPr>
        <w:spacing w:after="240" w:line="360" w:lineRule="auto"/>
        <w:contextualSpacing/>
        <w:rPr>
          <w:b/>
          <w:sz w:val="22"/>
          <w:szCs w:val="22"/>
        </w:rPr>
      </w:pPr>
    </w:p>
    <w:p w14:paraId="3D03A4A5" w14:textId="77777777" w:rsidR="00901A53" w:rsidRDefault="00901A53" w:rsidP="00901A53">
      <w:pPr>
        <w:spacing w:after="240" w:line="360" w:lineRule="auto"/>
        <w:contextualSpacing/>
        <w:rPr>
          <w:b/>
          <w:sz w:val="22"/>
          <w:szCs w:val="22"/>
        </w:rPr>
      </w:pPr>
      <w:r w:rsidRPr="00604D22">
        <w:rPr>
          <w:b/>
          <w:sz w:val="22"/>
          <w:szCs w:val="22"/>
        </w:rPr>
        <w:t>More information</w:t>
      </w:r>
    </w:p>
    <w:p w14:paraId="4FD02070" w14:textId="77777777" w:rsidR="00901A53" w:rsidRDefault="00901A53" w:rsidP="00901A53">
      <w:pPr>
        <w:spacing w:after="240" w:line="360" w:lineRule="auto"/>
        <w:contextualSpacing/>
        <w:rPr>
          <w:color w:val="000000"/>
          <w:sz w:val="22"/>
          <w:szCs w:val="22"/>
          <w:u w:val="single"/>
        </w:rPr>
      </w:pPr>
      <w:r w:rsidRPr="00604D22">
        <w:rPr>
          <w:color w:val="000000"/>
          <w:sz w:val="22"/>
          <w:szCs w:val="22"/>
        </w:rPr>
        <w:t xml:space="preserve">Further details on the provisions of the Declaration are provided in </w:t>
      </w:r>
      <w:r w:rsidRPr="00604D22">
        <w:rPr>
          <w:color w:val="000000"/>
          <w:sz w:val="22"/>
          <w:szCs w:val="22"/>
          <w:u w:val="single"/>
        </w:rPr>
        <w:t>Attachment A.</w:t>
      </w:r>
    </w:p>
    <w:p w14:paraId="7E794200" w14:textId="77777777" w:rsidR="00901A53" w:rsidRDefault="00901A53" w:rsidP="00901A53">
      <w:pPr>
        <w:spacing w:after="240" w:line="360" w:lineRule="auto"/>
        <w:contextualSpacing/>
        <w:rPr>
          <w:color w:val="000000"/>
          <w:sz w:val="22"/>
          <w:szCs w:val="22"/>
        </w:rPr>
      </w:pPr>
    </w:p>
    <w:p w14:paraId="0CE5E7A0" w14:textId="7AD40AB2" w:rsidR="00901A53" w:rsidRDefault="00901A53" w:rsidP="00901A53">
      <w:pPr>
        <w:spacing w:after="240" w:line="360" w:lineRule="auto"/>
        <w:contextualSpacing/>
        <w:rPr>
          <w:color w:val="000000"/>
          <w:sz w:val="22"/>
          <w:szCs w:val="22"/>
        </w:rPr>
      </w:pPr>
      <w:r w:rsidRPr="00604D22">
        <w:rPr>
          <w:color w:val="000000"/>
          <w:sz w:val="22"/>
          <w:szCs w:val="22"/>
        </w:rPr>
        <w:t>The</w:t>
      </w:r>
      <w:r w:rsidRPr="00604D22">
        <w:rPr>
          <w:sz w:val="22"/>
          <w:szCs w:val="22"/>
        </w:rPr>
        <w:t xml:space="preserve"> </w:t>
      </w:r>
      <w:r w:rsidR="00C266C0">
        <w:rPr>
          <w:sz w:val="22"/>
          <w:szCs w:val="22"/>
        </w:rPr>
        <w:t xml:space="preserve">DVA Treatment </w:t>
      </w:r>
      <w:r w:rsidR="002B7FE5">
        <w:rPr>
          <w:sz w:val="22"/>
          <w:szCs w:val="22"/>
        </w:rPr>
        <w:t>Instruments</w:t>
      </w:r>
      <w:r w:rsidRPr="00604D22">
        <w:rPr>
          <w:sz w:val="22"/>
          <w:szCs w:val="22"/>
        </w:rPr>
        <w:t xml:space="preserve">, </w:t>
      </w:r>
      <w:r w:rsidRPr="00604D22">
        <w:rPr>
          <w:color w:val="000000"/>
          <w:sz w:val="22"/>
          <w:szCs w:val="22"/>
        </w:rPr>
        <w:t xml:space="preserve">which will now sunset on 1 </w:t>
      </w:r>
      <w:r w:rsidR="00C266C0">
        <w:rPr>
          <w:sz w:val="22"/>
          <w:szCs w:val="22"/>
        </w:rPr>
        <w:t>October</w:t>
      </w:r>
      <w:r w:rsidRPr="00604D22">
        <w:rPr>
          <w:color w:val="000000"/>
          <w:sz w:val="22"/>
          <w:szCs w:val="22"/>
        </w:rPr>
        <w:t xml:space="preserve"> </w:t>
      </w:r>
      <w:r w:rsidR="00C266C0">
        <w:rPr>
          <w:sz w:val="22"/>
          <w:szCs w:val="22"/>
        </w:rPr>
        <w:t>2026</w:t>
      </w:r>
      <w:r w:rsidRPr="00604D22">
        <w:rPr>
          <w:color w:val="000000"/>
          <w:sz w:val="22"/>
          <w:szCs w:val="22"/>
        </w:rPr>
        <w:t xml:space="preserve"> as specified in the Declaration, are available on the Federal Register of Legislation</w:t>
      </w:r>
      <w:r w:rsidRPr="00604D22">
        <w:rPr>
          <w:color w:val="000000"/>
          <w:sz w:val="22"/>
          <w:szCs w:val="22"/>
        </w:rPr>
        <w:fldChar w:fldCharType="begin"/>
      </w:r>
      <w:r w:rsidRPr="00604D22">
        <w:rPr>
          <w:color w:val="000000"/>
          <w:sz w:val="22"/>
          <w:szCs w:val="22"/>
        </w:rPr>
        <w:instrText>http://www.comlaw.gov.au/</w:instrText>
      </w:r>
      <w:r w:rsidRPr="00604D22">
        <w:rPr>
          <w:color w:val="000000"/>
          <w:sz w:val="22"/>
          <w:szCs w:val="22"/>
        </w:rPr>
        <w:fldChar w:fldCharType="separate"/>
      </w:r>
      <w:r w:rsidRPr="00604D22">
        <w:rPr>
          <w:color w:val="000000"/>
          <w:sz w:val="22"/>
          <w:szCs w:val="22"/>
        </w:rPr>
        <w:t>http://www.comlaw.gov.au</w:t>
      </w:r>
      <w:r w:rsidRPr="00604D22">
        <w:rPr>
          <w:color w:val="000000"/>
          <w:sz w:val="22"/>
          <w:szCs w:val="22"/>
        </w:rPr>
        <w:fldChar w:fldCharType="end"/>
      </w:r>
      <w:r w:rsidRPr="00604D22">
        <w:rPr>
          <w:color w:val="000000"/>
          <w:sz w:val="22"/>
          <w:szCs w:val="22"/>
        </w:rPr>
        <w:t>.</w:t>
      </w:r>
    </w:p>
    <w:p w14:paraId="6AF38EB5" w14:textId="77777777" w:rsidR="00901A53" w:rsidRDefault="00901A53" w:rsidP="00901A53">
      <w:pPr>
        <w:spacing w:after="240" w:line="360" w:lineRule="auto"/>
        <w:contextualSpacing/>
        <w:rPr>
          <w:color w:val="000000"/>
          <w:sz w:val="22"/>
          <w:szCs w:val="22"/>
        </w:rPr>
      </w:pPr>
    </w:p>
    <w:p w14:paraId="1CB6AEB1" w14:textId="6B91CDC9" w:rsidR="00901A53" w:rsidRPr="00604D22" w:rsidRDefault="00901A53" w:rsidP="00901A53">
      <w:pPr>
        <w:spacing w:after="240" w:line="360" w:lineRule="auto"/>
        <w:contextualSpacing/>
        <w:rPr>
          <w:color w:val="000000"/>
          <w:sz w:val="22"/>
          <w:szCs w:val="22"/>
        </w:rPr>
      </w:pPr>
      <w:r w:rsidRPr="00604D22">
        <w:rPr>
          <w:color w:val="000000"/>
          <w:sz w:val="22"/>
          <w:szCs w:val="22"/>
        </w:rPr>
        <w:t>Further information may be requested from the Attorney</w:t>
      </w:r>
      <w:r w:rsidR="00C266C0">
        <w:rPr>
          <w:color w:val="000000"/>
          <w:sz w:val="22"/>
          <w:szCs w:val="22"/>
        </w:rPr>
        <w:noBreakHyphen/>
      </w:r>
      <w:r w:rsidRPr="00604D22">
        <w:rPr>
          <w:color w:val="000000"/>
          <w:sz w:val="22"/>
          <w:szCs w:val="22"/>
        </w:rPr>
        <w:t>General’</w:t>
      </w:r>
      <w:r w:rsidR="00C266C0">
        <w:rPr>
          <w:color w:val="000000"/>
          <w:sz w:val="22"/>
          <w:szCs w:val="22"/>
        </w:rPr>
        <w:t>s </w:t>
      </w:r>
      <w:r w:rsidRPr="00604D22">
        <w:rPr>
          <w:color w:val="000000"/>
          <w:sz w:val="22"/>
          <w:szCs w:val="22"/>
        </w:rPr>
        <w:t xml:space="preserve">Department about the operation of the Declaration, and from the </w:t>
      </w:r>
      <w:r w:rsidR="00C266C0">
        <w:rPr>
          <w:sz w:val="22"/>
          <w:szCs w:val="22"/>
        </w:rPr>
        <w:t>Department of Veteran’s Affairs</w:t>
      </w:r>
      <w:r w:rsidRPr="00604D22">
        <w:rPr>
          <w:color w:val="000000"/>
          <w:sz w:val="22"/>
          <w:szCs w:val="22"/>
        </w:rPr>
        <w:t xml:space="preserve"> about the </w:t>
      </w:r>
      <w:r w:rsidRPr="00604D22">
        <w:rPr>
          <w:sz w:val="22"/>
          <w:szCs w:val="22"/>
        </w:rPr>
        <w:t xml:space="preserve">instruments </w:t>
      </w:r>
      <w:r w:rsidRPr="00604D22">
        <w:rPr>
          <w:color w:val="000000"/>
          <w:sz w:val="22"/>
          <w:szCs w:val="22"/>
        </w:rPr>
        <w:t xml:space="preserve">to which the </w:t>
      </w:r>
      <w:r w:rsidRPr="00604D22">
        <w:rPr>
          <w:color w:val="000000"/>
          <w:sz w:val="22"/>
          <w:szCs w:val="22"/>
        </w:rPr>
        <w:lastRenderedPageBreak/>
        <w:t>Declaration applies.</w:t>
      </w:r>
    </w:p>
    <w:p w14:paraId="2758765F" w14:textId="77777777" w:rsidR="00901A53" w:rsidRDefault="00901A53" w:rsidP="00901A53">
      <w:pPr>
        <w:spacing w:line="360" w:lineRule="auto"/>
        <w:contextualSpacing/>
        <w:rPr>
          <w:rFonts w:eastAsiaTheme="majorEastAsia"/>
          <w:b/>
          <w:color w:val="1F3763" w:themeColor="accent1" w:themeShade="7F"/>
          <w:sz w:val="22"/>
          <w:szCs w:val="22"/>
        </w:rPr>
      </w:pPr>
    </w:p>
    <w:p w14:paraId="07C1EB96" w14:textId="77777777" w:rsidR="00901A53" w:rsidRPr="00604D22" w:rsidRDefault="00901A53" w:rsidP="00901A53">
      <w:pPr>
        <w:spacing w:line="360" w:lineRule="auto"/>
        <w:contextualSpacing/>
        <w:rPr>
          <w:b/>
          <w:sz w:val="22"/>
          <w:szCs w:val="22"/>
        </w:rPr>
      </w:pPr>
      <w:r w:rsidRPr="00604D22">
        <w:rPr>
          <w:b/>
          <w:sz w:val="22"/>
          <w:szCs w:val="22"/>
        </w:rPr>
        <w:t>STATEMENT OF COMPATIBILITY WITH HUMAN RIGHTS</w:t>
      </w:r>
    </w:p>
    <w:p w14:paraId="3577A180" w14:textId="77777777" w:rsidR="00901A53" w:rsidRPr="00604D22" w:rsidRDefault="00901A53" w:rsidP="00901A53">
      <w:pPr>
        <w:pStyle w:val="Basetext"/>
        <w:spacing w:before="0" w:after="240" w:line="360" w:lineRule="auto"/>
        <w:contextualSpacing/>
      </w:pPr>
    </w:p>
    <w:p w14:paraId="497B7454" w14:textId="6066866E" w:rsidR="00901A53" w:rsidRPr="00604D22" w:rsidRDefault="00901A53" w:rsidP="00901A53">
      <w:pPr>
        <w:pStyle w:val="Basetext"/>
        <w:spacing w:before="0" w:after="240" w:line="360" w:lineRule="auto"/>
        <w:contextualSpacing/>
        <w:rPr>
          <w:b/>
        </w:rPr>
      </w:pPr>
      <w:r w:rsidRPr="00604D22">
        <w:t xml:space="preserve">The </w:t>
      </w:r>
      <w:r w:rsidRPr="00604D22">
        <w:rPr>
          <w:bCs/>
          <w:i/>
        </w:rPr>
        <w:t>Legislation (</w:t>
      </w:r>
      <w:r w:rsidR="00B11713">
        <w:rPr>
          <w:i/>
        </w:rPr>
        <w:t>Treatment-Related Principles</w:t>
      </w:r>
      <w:r w:rsidRPr="00604D22">
        <w:rPr>
          <w:bCs/>
          <w:i/>
        </w:rPr>
        <w:t>) Sunset-altering Declaration 202</w:t>
      </w:r>
      <w:r w:rsidR="00DA3C61">
        <w:rPr>
          <w:bCs/>
          <w:i/>
        </w:rPr>
        <w:t>4</w:t>
      </w:r>
      <w:r w:rsidRPr="00604D22">
        <w:rPr>
          <w:bCs/>
          <w:i/>
        </w:rPr>
        <w:t xml:space="preserve"> </w:t>
      </w:r>
      <w:r w:rsidRPr="00604D22">
        <w:rPr>
          <w:bCs/>
        </w:rPr>
        <w:t>(the </w:t>
      </w:r>
      <w:r w:rsidRPr="00604D22">
        <w:t xml:space="preserve">Declaration) is compatible with human rights and freedoms recognised or declared in the international instruments listed in section 3 of the </w:t>
      </w:r>
      <w:r w:rsidRPr="00604D22">
        <w:rPr>
          <w:i/>
        </w:rPr>
        <w:t>Human Rights (Parliamentary Scrutiny) Act 2011</w:t>
      </w:r>
      <w:r w:rsidRPr="00604D22">
        <w:t xml:space="preserve"> (the Human Rights Act).</w:t>
      </w:r>
    </w:p>
    <w:p w14:paraId="202AA9A3" w14:textId="77777777" w:rsidR="00901A53" w:rsidRPr="00604D22" w:rsidRDefault="00901A53" w:rsidP="00901A53">
      <w:pPr>
        <w:spacing w:after="240" w:line="360" w:lineRule="auto"/>
        <w:contextualSpacing/>
        <w:rPr>
          <w:sz w:val="22"/>
          <w:szCs w:val="22"/>
        </w:rPr>
      </w:pPr>
    </w:p>
    <w:p w14:paraId="1FBA9401" w14:textId="77777777" w:rsidR="00901A53" w:rsidRPr="00604D22" w:rsidRDefault="00901A53" w:rsidP="00901A53">
      <w:pPr>
        <w:keepNext/>
        <w:spacing w:after="240" w:line="360" w:lineRule="auto"/>
        <w:contextualSpacing/>
        <w:rPr>
          <w:b/>
          <w:sz w:val="22"/>
          <w:szCs w:val="22"/>
        </w:rPr>
      </w:pPr>
      <w:r w:rsidRPr="00604D22">
        <w:rPr>
          <w:b/>
          <w:sz w:val="22"/>
          <w:szCs w:val="22"/>
        </w:rPr>
        <w:t xml:space="preserve">Overview of the Declaration </w:t>
      </w:r>
    </w:p>
    <w:p w14:paraId="53CCB045" w14:textId="43AA14A3" w:rsidR="00901A53" w:rsidRPr="00604D22" w:rsidRDefault="00901A53" w:rsidP="00901A53">
      <w:pPr>
        <w:spacing w:after="240" w:line="360" w:lineRule="auto"/>
        <w:contextualSpacing/>
        <w:rPr>
          <w:sz w:val="22"/>
          <w:szCs w:val="22"/>
        </w:rPr>
      </w:pPr>
      <w:r w:rsidRPr="00604D22">
        <w:rPr>
          <w:sz w:val="22"/>
          <w:szCs w:val="22"/>
        </w:rPr>
        <w:t>The Declaration is made under subsection 51</w:t>
      </w:r>
      <w:proofErr w:type="gramStart"/>
      <w:r w:rsidRPr="00604D22">
        <w:rPr>
          <w:sz w:val="22"/>
          <w:szCs w:val="22"/>
        </w:rPr>
        <w:t>A(</w:t>
      </w:r>
      <w:proofErr w:type="gramEnd"/>
      <w:r w:rsidRPr="00604D22">
        <w:rPr>
          <w:sz w:val="22"/>
          <w:szCs w:val="22"/>
        </w:rPr>
        <w:t xml:space="preserve">1) of the </w:t>
      </w:r>
      <w:r w:rsidRPr="00604D22">
        <w:rPr>
          <w:i/>
          <w:sz w:val="22"/>
          <w:szCs w:val="22"/>
        </w:rPr>
        <w:t>Legislation Act 2003</w:t>
      </w:r>
      <w:r w:rsidRPr="00604D22">
        <w:rPr>
          <w:sz w:val="22"/>
          <w:szCs w:val="22"/>
        </w:rPr>
        <w:t xml:space="preserve"> (the Legislation Act). Under that subsection, the Attorney</w:t>
      </w:r>
      <w:r w:rsidR="00BA12C2">
        <w:rPr>
          <w:sz w:val="22"/>
          <w:szCs w:val="22"/>
        </w:rPr>
        <w:noBreakHyphen/>
      </w:r>
      <w:r w:rsidRPr="00604D22">
        <w:rPr>
          <w:sz w:val="22"/>
          <w:szCs w:val="22"/>
        </w:rPr>
        <w:t xml:space="preserve">General can align the sunsetting days of two or more legislative instruments to 1 April or 1 October of a year that is up to five years later than the earliest sunsetting day. The instruments specified in the declaration will then be repealed on the day specified in the declaration instead of the previously scheduled sunsetting day. The instruments specified in the Declaration are (together, ‘the </w:t>
      </w:r>
      <w:r w:rsidR="00024048">
        <w:rPr>
          <w:sz w:val="22"/>
          <w:szCs w:val="22"/>
        </w:rPr>
        <w:t xml:space="preserve">DVA Treatment </w:t>
      </w:r>
      <w:r w:rsidR="002B7FE5">
        <w:rPr>
          <w:sz w:val="22"/>
          <w:szCs w:val="22"/>
        </w:rPr>
        <w:t>Instruments’</w:t>
      </w:r>
      <w:r w:rsidRPr="00604D22">
        <w:rPr>
          <w:sz w:val="22"/>
          <w:szCs w:val="22"/>
        </w:rPr>
        <w:t xml:space="preserve">): </w:t>
      </w:r>
    </w:p>
    <w:p w14:paraId="0CF487AE" w14:textId="1802F7A3" w:rsidR="00335927" w:rsidRPr="00D957FB" w:rsidRDefault="00335927" w:rsidP="00335927">
      <w:pPr>
        <w:pStyle w:val="Basetext"/>
        <w:numPr>
          <w:ilvl w:val="0"/>
          <w:numId w:val="26"/>
        </w:numPr>
        <w:spacing w:after="240" w:line="360" w:lineRule="auto"/>
        <w:contextualSpacing/>
        <w:rPr>
          <w:i/>
        </w:rPr>
      </w:pPr>
      <w:r w:rsidRPr="00D957FB">
        <w:rPr>
          <w:i/>
        </w:rPr>
        <w:t>MRCA Pharmaceutical Benefits Scheme (No. MRCC 44/2013)</w:t>
      </w:r>
    </w:p>
    <w:p w14:paraId="1C05E8FE" w14:textId="2448CD91" w:rsidR="00335927" w:rsidRPr="00D957FB" w:rsidRDefault="00335927" w:rsidP="00335927">
      <w:pPr>
        <w:pStyle w:val="Basetext"/>
        <w:numPr>
          <w:ilvl w:val="0"/>
          <w:numId w:val="26"/>
        </w:numPr>
        <w:spacing w:after="240" w:line="360" w:lineRule="auto"/>
        <w:contextualSpacing/>
        <w:rPr>
          <w:i/>
        </w:rPr>
      </w:pPr>
      <w:r w:rsidRPr="00D957FB">
        <w:rPr>
          <w:i/>
        </w:rPr>
        <w:t>MRCA Private Patient Principles 2004</w:t>
      </w:r>
    </w:p>
    <w:p w14:paraId="29C81664" w14:textId="44E2F863" w:rsidR="00335927" w:rsidRPr="00D957FB" w:rsidRDefault="00335927" w:rsidP="00335927">
      <w:pPr>
        <w:pStyle w:val="Basetext"/>
        <w:numPr>
          <w:ilvl w:val="0"/>
          <w:numId w:val="26"/>
        </w:numPr>
        <w:spacing w:after="240" w:line="360" w:lineRule="auto"/>
        <w:contextualSpacing/>
        <w:rPr>
          <w:i/>
        </w:rPr>
      </w:pPr>
      <w:r w:rsidRPr="00D957FB">
        <w:rPr>
          <w:i/>
        </w:rPr>
        <w:t>MRCA Treatment Principles (No. MRCC 53/2013)</w:t>
      </w:r>
    </w:p>
    <w:p w14:paraId="7C0FC40E" w14:textId="525FD571" w:rsidR="00335927" w:rsidRPr="00D957FB" w:rsidRDefault="00335927" w:rsidP="00335927">
      <w:pPr>
        <w:pStyle w:val="Basetext"/>
        <w:numPr>
          <w:ilvl w:val="0"/>
          <w:numId w:val="26"/>
        </w:numPr>
        <w:spacing w:after="240" w:line="360" w:lineRule="auto"/>
        <w:contextualSpacing/>
        <w:rPr>
          <w:i/>
        </w:rPr>
      </w:pPr>
      <w:r w:rsidRPr="00D957FB">
        <w:rPr>
          <w:i/>
        </w:rPr>
        <w:t>Repatriation Pharmaceutical Benefits Scheme</w:t>
      </w:r>
    </w:p>
    <w:p w14:paraId="03E1431A" w14:textId="418C23F8" w:rsidR="00335927" w:rsidRPr="00D957FB" w:rsidRDefault="00335927" w:rsidP="00335927">
      <w:pPr>
        <w:pStyle w:val="Basetext"/>
        <w:numPr>
          <w:ilvl w:val="0"/>
          <w:numId w:val="26"/>
        </w:numPr>
        <w:spacing w:after="240" w:line="360" w:lineRule="auto"/>
        <w:contextualSpacing/>
        <w:rPr>
          <w:i/>
        </w:rPr>
      </w:pPr>
      <w:r w:rsidRPr="00D957FB">
        <w:rPr>
          <w:i/>
        </w:rPr>
        <w:t>Repatriation Private Patient Principles</w:t>
      </w:r>
    </w:p>
    <w:p w14:paraId="73D7F337" w14:textId="384CCBB8" w:rsidR="00335927" w:rsidRPr="00D957FB" w:rsidRDefault="00335927" w:rsidP="00335927">
      <w:pPr>
        <w:pStyle w:val="Basetext"/>
        <w:numPr>
          <w:ilvl w:val="0"/>
          <w:numId w:val="26"/>
        </w:numPr>
        <w:spacing w:after="240" w:line="360" w:lineRule="auto"/>
        <w:contextualSpacing/>
        <w:rPr>
          <w:i/>
        </w:rPr>
      </w:pPr>
      <w:r w:rsidRPr="00D957FB">
        <w:rPr>
          <w:i/>
        </w:rPr>
        <w:t>Treatment Benefits (Special Access) (Modifications of the Repatriation Private Patient Principles) Instrument 2019</w:t>
      </w:r>
    </w:p>
    <w:p w14:paraId="3E9A7CB7" w14:textId="75301786" w:rsidR="00335927" w:rsidRPr="00D957FB" w:rsidRDefault="00335927" w:rsidP="00335927">
      <w:pPr>
        <w:pStyle w:val="Basetext"/>
        <w:numPr>
          <w:ilvl w:val="0"/>
          <w:numId w:val="26"/>
        </w:numPr>
        <w:spacing w:after="240" w:line="360" w:lineRule="auto"/>
        <w:contextualSpacing/>
        <w:rPr>
          <w:i/>
        </w:rPr>
      </w:pPr>
      <w:r w:rsidRPr="00D957FB">
        <w:rPr>
          <w:i/>
        </w:rPr>
        <w:t>Treatment Benefits (Special Access) (Modifications of the Repatriation Pharmaceutical Benefits Scheme) Instrument 2019</w:t>
      </w:r>
    </w:p>
    <w:p w14:paraId="47AF5C82" w14:textId="51036D09" w:rsidR="00335927" w:rsidRPr="00D957FB" w:rsidRDefault="00335927" w:rsidP="00335927">
      <w:pPr>
        <w:pStyle w:val="Basetext"/>
        <w:numPr>
          <w:ilvl w:val="0"/>
          <w:numId w:val="26"/>
        </w:numPr>
        <w:spacing w:after="240" w:line="360" w:lineRule="auto"/>
        <w:contextualSpacing/>
        <w:rPr>
          <w:i/>
        </w:rPr>
      </w:pPr>
      <w:r w:rsidRPr="00D957FB">
        <w:rPr>
          <w:i/>
        </w:rPr>
        <w:t>Treatment Benefits (Special Access) (Modifications of the Treatment Principles) Instrument 2019</w:t>
      </w:r>
    </w:p>
    <w:p w14:paraId="2D7CD3E0" w14:textId="0B7AC7C4" w:rsidR="00335927" w:rsidRPr="00D957FB" w:rsidRDefault="00335927" w:rsidP="00335927">
      <w:pPr>
        <w:pStyle w:val="Basetext"/>
        <w:numPr>
          <w:ilvl w:val="0"/>
          <w:numId w:val="26"/>
        </w:numPr>
        <w:spacing w:after="240" w:line="360" w:lineRule="auto"/>
        <w:contextualSpacing/>
        <w:rPr>
          <w:i/>
        </w:rPr>
      </w:pPr>
      <w:r w:rsidRPr="00D957FB">
        <w:rPr>
          <w:i/>
        </w:rPr>
        <w:t>Treatment Principles (No. R52/2013)</w:t>
      </w:r>
    </w:p>
    <w:p w14:paraId="28D8FA63" w14:textId="004E6759" w:rsidR="00335927" w:rsidRPr="00D957FB" w:rsidRDefault="00335927" w:rsidP="00335927">
      <w:pPr>
        <w:pStyle w:val="Basetext"/>
        <w:numPr>
          <w:ilvl w:val="0"/>
          <w:numId w:val="26"/>
        </w:numPr>
        <w:spacing w:after="240" w:line="360" w:lineRule="auto"/>
        <w:contextualSpacing/>
        <w:rPr>
          <w:i/>
        </w:rPr>
      </w:pPr>
      <w:r w:rsidRPr="00D957FB">
        <w:rPr>
          <w:i/>
        </w:rPr>
        <w:t>Veterans' Entitlements (Psychiatric Assessment - Dependants of Vietnam Veterans) Determination 2000</w:t>
      </w:r>
    </w:p>
    <w:p w14:paraId="270A82C8" w14:textId="5ADF7D33" w:rsidR="00335927" w:rsidRPr="00D957FB" w:rsidRDefault="00335927" w:rsidP="00335927">
      <w:pPr>
        <w:pStyle w:val="Basetext"/>
        <w:numPr>
          <w:ilvl w:val="0"/>
          <w:numId w:val="26"/>
        </w:numPr>
        <w:spacing w:after="240" w:line="360" w:lineRule="auto"/>
        <w:contextualSpacing/>
        <w:rPr>
          <w:i/>
        </w:rPr>
      </w:pPr>
      <w:r w:rsidRPr="00D957FB">
        <w:rPr>
          <w:i/>
        </w:rPr>
        <w:t>Veterans’ Affairs (Extended Eligibility for Treatment) Instrument 2015</w:t>
      </w:r>
    </w:p>
    <w:p w14:paraId="5947EBD3" w14:textId="4AD2EC63" w:rsidR="00335927" w:rsidRPr="00D957FB" w:rsidRDefault="00335927" w:rsidP="00335927">
      <w:pPr>
        <w:pStyle w:val="Basetext"/>
        <w:numPr>
          <w:ilvl w:val="0"/>
          <w:numId w:val="26"/>
        </w:numPr>
        <w:spacing w:after="240" w:line="360" w:lineRule="auto"/>
        <w:contextualSpacing/>
        <w:rPr>
          <w:i/>
        </w:rPr>
      </w:pPr>
      <w:r w:rsidRPr="00D957FB">
        <w:rPr>
          <w:i/>
        </w:rPr>
        <w:t>Veterans’ Affairs (Extending Medication Chart Prescribing to Hospitals and Other Measures) Instrument 2015</w:t>
      </w:r>
    </w:p>
    <w:p w14:paraId="372EEE32" w14:textId="680A0BA1" w:rsidR="00335927" w:rsidRDefault="00335927" w:rsidP="00335927">
      <w:pPr>
        <w:pStyle w:val="Basetext"/>
        <w:numPr>
          <w:ilvl w:val="0"/>
          <w:numId w:val="26"/>
        </w:numPr>
        <w:spacing w:after="240" w:line="360" w:lineRule="auto"/>
        <w:contextualSpacing/>
        <w:rPr>
          <w:i/>
        </w:rPr>
      </w:pPr>
      <w:r w:rsidRPr="00D957FB">
        <w:rPr>
          <w:i/>
        </w:rPr>
        <w:t>Veterans’ Affairs (TRCP Treatment – Eligibility) Determination 2015</w:t>
      </w:r>
      <w:r>
        <w:rPr>
          <w:i/>
        </w:rPr>
        <w:t>.</w:t>
      </w:r>
    </w:p>
    <w:p w14:paraId="0AD480DF" w14:textId="31AE8918" w:rsidR="00901A53" w:rsidRPr="00604D22" w:rsidRDefault="00901A53" w:rsidP="00901A53">
      <w:pPr>
        <w:pStyle w:val="NoSpacing"/>
        <w:spacing w:after="240" w:line="360" w:lineRule="auto"/>
        <w:contextualSpacing/>
        <w:rPr>
          <w:sz w:val="22"/>
          <w:szCs w:val="22"/>
        </w:rPr>
      </w:pPr>
      <w:r w:rsidRPr="00604D22">
        <w:rPr>
          <w:sz w:val="22"/>
          <w:szCs w:val="22"/>
        </w:rPr>
        <w:t xml:space="preserve">The Declaration aligns the sunsetting dates of the </w:t>
      </w:r>
      <w:r w:rsidR="00024048">
        <w:rPr>
          <w:sz w:val="22"/>
          <w:szCs w:val="22"/>
        </w:rPr>
        <w:t xml:space="preserve">DVA Treatment </w:t>
      </w:r>
      <w:r w:rsidR="002B7FE5">
        <w:rPr>
          <w:sz w:val="22"/>
          <w:szCs w:val="22"/>
        </w:rPr>
        <w:t>Instruments</w:t>
      </w:r>
      <w:r w:rsidR="002B7FE5" w:rsidRPr="00F30297">
        <w:rPr>
          <w:sz w:val="22"/>
          <w:szCs w:val="22"/>
        </w:rPr>
        <w:t xml:space="preserve"> </w:t>
      </w:r>
      <w:r w:rsidRPr="00604D22">
        <w:rPr>
          <w:sz w:val="22"/>
          <w:szCs w:val="22"/>
        </w:rPr>
        <w:t>to 1 </w:t>
      </w:r>
      <w:r w:rsidR="00024048">
        <w:rPr>
          <w:sz w:val="22"/>
          <w:szCs w:val="22"/>
        </w:rPr>
        <w:t>October</w:t>
      </w:r>
      <w:r w:rsidRPr="00604D22">
        <w:rPr>
          <w:color w:val="000000"/>
          <w:sz w:val="22"/>
          <w:szCs w:val="22"/>
        </w:rPr>
        <w:t xml:space="preserve"> </w:t>
      </w:r>
      <w:r w:rsidR="00024048">
        <w:rPr>
          <w:sz w:val="22"/>
          <w:szCs w:val="22"/>
        </w:rPr>
        <w:t>2026</w:t>
      </w:r>
      <w:r w:rsidRPr="00604D22">
        <w:rPr>
          <w:sz w:val="22"/>
          <w:szCs w:val="22"/>
        </w:rPr>
        <w:t xml:space="preserve">. Prior to the making of the Declaration, the </w:t>
      </w:r>
      <w:r w:rsidR="00024048">
        <w:rPr>
          <w:sz w:val="22"/>
          <w:szCs w:val="22"/>
        </w:rPr>
        <w:t xml:space="preserve">Instruments had various sunsetting dates between </w:t>
      </w:r>
      <w:r w:rsidR="00024048">
        <w:rPr>
          <w:sz w:val="22"/>
          <w:szCs w:val="22"/>
        </w:rPr>
        <w:lastRenderedPageBreak/>
        <w:t>1</w:t>
      </w:r>
      <w:r w:rsidR="00E438E0">
        <w:rPr>
          <w:sz w:val="22"/>
          <w:szCs w:val="22"/>
        </w:rPr>
        <w:t> </w:t>
      </w:r>
      <w:r w:rsidR="00024048">
        <w:rPr>
          <w:sz w:val="22"/>
          <w:szCs w:val="22"/>
        </w:rPr>
        <w:t>April</w:t>
      </w:r>
      <w:r w:rsidR="00E438E0">
        <w:rPr>
          <w:sz w:val="22"/>
          <w:szCs w:val="22"/>
        </w:rPr>
        <w:t> </w:t>
      </w:r>
      <w:r w:rsidR="00024048">
        <w:rPr>
          <w:sz w:val="22"/>
          <w:szCs w:val="22"/>
        </w:rPr>
        <w:t xml:space="preserve">2024 to 1 </w:t>
      </w:r>
      <w:r w:rsidR="00FB1AC5">
        <w:rPr>
          <w:sz w:val="22"/>
          <w:szCs w:val="22"/>
        </w:rPr>
        <w:t>October</w:t>
      </w:r>
      <w:r w:rsidR="00024048">
        <w:rPr>
          <w:sz w:val="22"/>
          <w:szCs w:val="22"/>
        </w:rPr>
        <w:t xml:space="preserve"> 2029. </w:t>
      </w:r>
      <w:r w:rsidRPr="00604D22">
        <w:rPr>
          <w:sz w:val="22"/>
          <w:szCs w:val="22"/>
        </w:rPr>
        <w:t xml:space="preserve">The objective of issuing the Declaration is to </w:t>
      </w:r>
      <w:r w:rsidR="00024048">
        <w:rPr>
          <w:sz w:val="22"/>
          <w:szCs w:val="22"/>
        </w:rPr>
        <w:t>facilitate the undertaking of a thematic review of veterans treatment arrangements</w:t>
      </w:r>
      <w:r w:rsidRPr="00604D22">
        <w:rPr>
          <w:sz w:val="22"/>
          <w:szCs w:val="22"/>
        </w:rPr>
        <w:t>.</w:t>
      </w:r>
    </w:p>
    <w:p w14:paraId="1560ADED" w14:textId="77777777" w:rsidR="00901A53" w:rsidRPr="00604D22" w:rsidRDefault="00901A53" w:rsidP="00901A53">
      <w:pPr>
        <w:pStyle w:val="NoSpacing"/>
        <w:spacing w:after="240" w:line="360" w:lineRule="auto"/>
        <w:contextualSpacing/>
        <w:rPr>
          <w:b/>
          <w:sz w:val="22"/>
          <w:szCs w:val="22"/>
        </w:rPr>
      </w:pPr>
    </w:p>
    <w:p w14:paraId="38FD1871" w14:textId="77777777" w:rsidR="00901A53" w:rsidRPr="00604D22" w:rsidRDefault="00901A53" w:rsidP="00901A53">
      <w:pPr>
        <w:pStyle w:val="NoSpacing"/>
        <w:spacing w:after="240" w:line="360" w:lineRule="auto"/>
        <w:contextualSpacing/>
        <w:rPr>
          <w:b/>
          <w:sz w:val="22"/>
          <w:szCs w:val="22"/>
        </w:rPr>
      </w:pPr>
      <w:r w:rsidRPr="00604D22">
        <w:rPr>
          <w:b/>
          <w:sz w:val="22"/>
          <w:szCs w:val="22"/>
        </w:rPr>
        <w:t xml:space="preserve">Human Rights Implications </w:t>
      </w:r>
    </w:p>
    <w:p w14:paraId="15E2E6D2" w14:textId="0587DCF1" w:rsidR="00901A53" w:rsidRDefault="00901A53" w:rsidP="00901A53">
      <w:pPr>
        <w:pStyle w:val="NoSpacing"/>
        <w:spacing w:after="240" w:line="360" w:lineRule="auto"/>
        <w:contextualSpacing/>
        <w:rPr>
          <w:sz w:val="22"/>
          <w:szCs w:val="22"/>
        </w:rPr>
      </w:pPr>
      <w:r w:rsidRPr="00604D22">
        <w:rPr>
          <w:sz w:val="22"/>
          <w:szCs w:val="22"/>
          <w:lang w:val="en"/>
        </w:rPr>
        <w:t>The</w:t>
      </w:r>
      <w:r w:rsidRPr="00604D22">
        <w:rPr>
          <w:sz w:val="22"/>
          <w:szCs w:val="22"/>
        </w:rPr>
        <w:t xml:space="preserve"> </w:t>
      </w:r>
      <w:r w:rsidR="002C260C">
        <w:rPr>
          <w:sz w:val="22"/>
          <w:szCs w:val="22"/>
        </w:rPr>
        <w:t xml:space="preserve">DVA Treatment </w:t>
      </w:r>
      <w:r w:rsidR="002B7FE5">
        <w:rPr>
          <w:sz w:val="22"/>
          <w:szCs w:val="22"/>
        </w:rPr>
        <w:t>Instruments</w:t>
      </w:r>
      <w:r w:rsidR="002B7FE5" w:rsidRPr="00F30297">
        <w:rPr>
          <w:sz w:val="22"/>
          <w:szCs w:val="22"/>
        </w:rPr>
        <w:t xml:space="preserve"> </w:t>
      </w:r>
      <w:r w:rsidRPr="00604D22">
        <w:rPr>
          <w:sz w:val="22"/>
          <w:szCs w:val="22"/>
        </w:rPr>
        <w:t>engage certain rights and freedoms declared by the international instruments set out in section 3 of the Human Rights Act.</w:t>
      </w:r>
    </w:p>
    <w:p w14:paraId="053A1B10" w14:textId="77777777" w:rsidR="00BD4250" w:rsidRDefault="00BD4250" w:rsidP="00901A53">
      <w:pPr>
        <w:pStyle w:val="NoSpacing"/>
        <w:spacing w:after="240" w:line="360" w:lineRule="auto"/>
        <w:contextualSpacing/>
        <w:rPr>
          <w:b/>
          <w:sz w:val="22"/>
          <w:szCs w:val="22"/>
        </w:rPr>
      </w:pPr>
    </w:p>
    <w:p w14:paraId="03ED89CE" w14:textId="197A68D0" w:rsidR="00BD4250" w:rsidRPr="00BD4250" w:rsidRDefault="00BD4250" w:rsidP="00901A53">
      <w:pPr>
        <w:pStyle w:val="NoSpacing"/>
        <w:spacing w:after="240" w:line="360" w:lineRule="auto"/>
        <w:contextualSpacing/>
        <w:rPr>
          <w:sz w:val="22"/>
          <w:szCs w:val="22"/>
        </w:rPr>
      </w:pPr>
      <w:r>
        <w:rPr>
          <w:sz w:val="22"/>
          <w:szCs w:val="22"/>
        </w:rPr>
        <w:t xml:space="preserve">The Instruments </w:t>
      </w:r>
      <w:r w:rsidRPr="00BD4250">
        <w:rPr>
          <w:sz w:val="22"/>
          <w:szCs w:val="22"/>
        </w:rPr>
        <w:t>engage Articles 9 and 12 of the International Covenant on Economic, Social and Cultural Rights (ICESCR), specifically the rights to social security and health</w:t>
      </w:r>
      <w:r w:rsidR="00D0330B">
        <w:rPr>
          <w:sz w:val="22"/>
          <w:szCs w:val="22"/>
        </w:rPr>
        <w:t>.</w:t>
      </w:r>
    </w:p>
    <w:p w14:paraId="5255746F" w14:textId="77777777" w:rsidR="00BD4250" w:rsidRPr="00BD4250" w:rsidRDefault="00BD4250" w:rsidP="00BD4250">
      <w:pPr>
        <w:pStyle w:val="Basetext"/>
        <w:spacing w:afterLines="200" w:after="480" w:line="360" w:lineRule="auto"/>
        <w:contextualSpacing/>
        <w:rPr>
          <w:i/>
          <w:color w:val="000000"/>
          <w:lang w:val="en-GB" w:eastAsia="en-AU"/>
        </w:rPr>
      </w:pPr>
      <w:r w:rsidRPr="00BD4250">
        <w:rPr>
          <w:i/>
          <w:color w:val="000000"/>
          <w:lang w:val="en-GB" w:eastAsia="en-AU"/>
        </w:rPr>
        <w:t>The Right to Social Security</w:t>
      </w:r>
    </w:p>
    <w:p w14:paraId="3360A389" w14:textId="77777777" w:rsidR="00BD4250" w:rsidRPr="00BD4250" w:rsidRDefault="00BD4250" w:rsidP="00BD4250">
      <w:pPr>
        <w:pStyle w:val="Basetext"/>
        <w:spacing w:afterLines="200" w:after="480" w:line="360" w:lineRule="auto"/>
        <w:contextualSpacing/>
        <w:rPr>
          <w:color w:val="000000"/>
          <w:lang w:val="en-GB" w:eastAsia="en-AU"/>
        </w:rPr>
      </w:pPr>
      <w:r w:rsidRPr="00BD4250">
        <w:rPr>
          <w:color w:val="000000"/>
          <w:lang w:val="en-GB" w:eastAsia="en-AU"/>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to satisfy, as a matter of priority, this minimum obligation.</w:t>
      </w:r>
    </w:p>
    <w:p w14:paraId="6E1BA570" w14:textId="77777777" w:rsidR="00BD4250" w:rsidRDefault="00BD4250" w:rsidP="00BD4250">
      <w:pPr>
        <w:pStyle w:val="Basetext"/>
        <w:spacing w:afterLines="200" w:after="480" w:line="360" w:lineRule="auto"/>
        <w:contextualSpacing/>
        <w:rPr>
          <w:color w:val="000000"/>
          <w:lang w:val="en-GB" w:eastAsia="en-AU"/>
        </w:rPr>
      </w:pPr>
    </w:p>
    <w:p w14:paraId="1D6E971D" w14:textId="769FDE2F" w:rsidR="00BD4250" w:rsidRPr="00BD4250" w:rsidRDefault="00BD4250" w:rsidP="00BD4250">
      <w:pPr>
        <w:pStyle w:val="Basetext"/>
        <w:spacing w:afterLines="200" w:after="480" w:line="360" w:lineRule="auto"/>
        <w:contextualSpacing/>
        <w:rPr>
          <w:color w:val="000000"/>
          <w:lang w:val="en-GB" w:eastAsia="en-AU"/>
        </w:rPr>
      </w:pPr>
      <w:r w:rsidRPr="00BD4250">
        <w:rPr>
          <w:color w:val="000000"/>
          <w:lang w:val="en-GB" w:eastAsia="en-AU"/>
        </w:rPr>
        <w:t>The UN Committee on Economic Social and Cultural Rights (the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00A5E070" w14:textId="77777777" w:rsidR="00BD4250" w:rsidRDefault="00BD4250" w:rsidP="00BD4250">
      <w:pPr>
        <w:pStyle w:val="Basetext"/>
        <w:spacing w:afterLines="200" w:after="480" w:line="360" w:lineRule="auto"/>
        <w:contextualSpacing/>
        <w:rPr>
          <w:i/>
          <w:color w:val="000000"/>
          <w:lang w:val="en-GB" w:eastAsia="en-AU"/>
        </w:rPr>
      </w:pPr>
    </w:p>
    <w:p w14:paraId="36A7ECEE" w14:textId="1804866E" w:rsidR="00BD4250" w:rsidRPr="00BD4250" w:rsidRDefault="00BD4250" w:rsidP="00BD4250">
      <w:pPr>
        <w:pStyle w:val="Basetext"/>
        <w:spacing w:afterLines="200" w:after="480" w:line="360" w:lineRule="auto"/>
        <w:contextualSpacing/>
        <w:rPr>
          <w:i/>
          <w:color w:val="000000"/>
          <w:lang w:val="en-GB" w:eastAsia="en-AU"/>
        </w:rPr>
      </w:pPr>
      <w:r w:rsidRPr="00BD4250">
        <w:rPr>
          <w:i/>
          <w:color w:val="000000"/>
          <w:lang w:val="en-GB" w:eastAsia="en-AU"/>
        </w:rPr>
        <w:t>The Right to Health</w:t>
      </w:r>
    </w:p>
    <w:p w14:paraId="6339458B" w14:textId="77777777" w:rsidR="00BD4250" w:rsidRPr="00BD4250" w:rsidRDefault="00BD4250" w:rsidP="00BD4250">
      <w:pPr>
        <w:pStyle w:val="Basetext"/>
        <w:spacing w:afterLines="200" w:after="480" w:line="360" w:lineRule="auto"/>
        <w:contextualSpacing/>
        <w:rPr>
          <w:color w:val="000000"/>
          <w:lang w:val="en-GB" w:eastAsia="en-AU"/>
        </w:rPr>
      </w:pPr>
      <w:r w:rsidRPr="00BD4250">
        <w:rPr>
          <w:color w:val="000000"/>
          <w:lang w:val="en-GB" w:eastAsia="en-AU"/>
        </w:rPr>
        <w:t xml:space="preserve">The right to the enjoyment of the highest attainable standard of physical and mental health is contained in Article 12(1) of the ICESCR. The Committee has stated that the right to health is not a right for each individual to be healthy, but a right to a system of health protection that provides equality of opportunity for people to enjoy the highest attainable level of health. The Committee reports that the ‘highest attainable standard of health’ </w:t>
      </w:r>
      <w:proofErr w:type="gramStart"/>
      <w:r w:rsidRPr="00BD4250">
        <w:rPr>
          <w:color w:val="000000"/>
          <w:lang w:val="en-GB" w:eastAsia="en-AU"/>
        </w:rPr>
        <w:t>takes into account</w:t>
      </w:r>
      <w:proofErr w:type="gramEnd"/>
      <w:r w:rsidRPr="00BD4250">
        <w:rPr>
          <w:color w:val="000000"/>
          <w:lang w:val="en-GB" w:eastAsia="en-AU"/>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p>
    <w:p w14:paraId="54B559EC" w14:textId="77777777" w:rsidR="00BD4250" w:rsidRDefault="00BD4250" w:rsidP="00BD4250">
      <w:pPr>
        <w:pStyle w:val="Basetext"/>
        <w:spacing w:before="0" w:afterLines="200" w:after="480" w:line="360" w:lineRule="auto"/>
        <w:contextualSpacing/>
        <w:rPr>
          <w:color w:val="000000"/>
          <w:lang w:val="en-GB" w:eastAsia="en-AU"/>
        </w:rPr>
      </w:pPr>
    </w:p>
    <w:p w14:paraId="0002A2EB" w14:textId="77777777" w:rsidR="00BD4250" w:rsidRDefault="00BD4250" w:rsidP="00901A53">
      <w:pPr>
        <w:pStyle w:val="Basetext"/>
        <w:spacing w:before="0" w:afterLines="200" w:after="480" w:line="360" w:lineRule="auto"/>
        <w:contextualSpacing/>
        <w:rPr>
          <w:color w:val="000000"/>
          <w:lang w:eastAsia="en-AU"/>
        </w:rPr>
      </w:pPr>
      <w:r w:rsidRPr="00BD4250">
        <w:rPr>
          <w:color w:val="000000"/>
          <w:lang w:val="en-GB" w:eastAsia="en-AU"/>
        </w:rPr>
        <w:t xml:space="preserve">DVA’s treatment arrangements advance the right to health and the right to social security by </w:t>
      </w:r>
      <w:r w:rsidRPr="00BD4250">
        <w:rPr>
          <w:color w:val="000000"/>
          <w:lang w:val="en-GB" w:eastAsia="en-AU"/>
        </w:rPr>
        <w:lastRenderedPageBreak/>
        <w:t>providing access to a benefit scheme that assists with advancement of these human rights by providing patients with access to health and aged care services as well as medicines and rehabilitation aids and appliances at no or low cost to the patient.</w:t>
      </w:r>
    </w:p>
    <w:p w14:paraId="6AB4823A" w14:textId="77777777" w:rsidR="00BD4250" w:rsidRDefault="00BD4250" w:rsidP="00901A53">
      <w:pPr>
        <w:pStyle w:val="Basetext"/>
        <w:spacing w:before="0" w:afterLines="200" w:after="480" w:line="360" w:lineRule="auto"/>
        <w:contextualSpacing/>
        <w:rPr>
          <w:color w:val="000000"/>
          <w:lang w:eastAsia="en-AU"/>
        </w:rPr>
      </w:pPr>
    </w:p>
    <w:p w14:paraId="738221C6" w14:textId="03D647FF" w:rsidR="00901A53" w:rsidRPr="00604D22" w:rsidRDefault="00901A53" w:rsidP="00901A53">
      <w:pPr>
        <w:pStyle w:val="Basetext"/>
        <w:spacing w:before="0" w:afterLines="200" w:after="480" w:line="360" w:lineRule="auto"/>
        <w:contextualSpacing/>
        <w:rPr>
          <w:color w:val="000000"/>
          <w:lang w:eastAsia="en-AU"/>
        </w:rPr>
      </w:pPr>
      <w:r w:rsidRPr="00604D22">
        <w:rPr>
          <w:color w:val="000000"/>
          <w:lang w:eastAsia="en-AU"/>
        </w:rPr>
        <w:t>Before issuing the Declaration, the Attorney</w:t>
      </w:r>
      <w:r w:rsidR="00A34DF2">
        <w:rPr>
          <w:color w:val="000000"/>
          <w:lang w:eastAsia="en-AU"/>
        </w:rPr>
        <w:noBreakHyphen/>
      </w:r>
      <w:r w:rsidRPr="00604D22">
        <w:rPr>
          <w:color w:val="000000"/>
          <w:lang w:eastAsia="en-AU"/>
        </w:rPr>
        <w:t xml:space="preserve">General was satisfied that all Instruments specified in the Declaration would be subject to a single thematic review. A thematic review is an effective mechanism for determining whether the Instruments are fit for purpose, identifying opportunities to update, streamline and clarify the operation of the instruments and, where appropriate, reducing unnecessary regulation. </w:t>
      </w:r>
      <w:r w:rsidRPr="00604D22">
        <w:rPr>
          <w:lang w:val="en"/>
        </w:rPr>
        <w:t xml:space="preserve">Instruments that are replaced will be subject to parliamentary scrutiny and oversight through the disallowance processes unless otherwise exempt. </w:t>
      </w:r>
      <w:r w:rsidRPr="00604D22">
        <w:rPr>
          <w:color w:val="000000"/>
          <w:lang w:eastAsia="en-AU"/>
        </w:rPr>
        <w:t xml:space="preserve">The human rights impact of the </w:t>
      </w:r>
      <w:r w:rsidR="002C260C">
        <w:t xml:space="preserve">DVA Treatment </w:t>
      </w:r>
      <w:r w:rsidR="002B7FE5">
        <w:t>Instruments</w:t>
      </w:r>
      <w:r w:rsidR="002B7FE5" w:rsidRPr="00F30297">
        <w:t xml:space="preserve"> </w:t>
      </w:r>
      <w:r w:rsidRPr="00604D22">
        <w:rPr>
          <w:color w:val="000000"/>
          <w:lang w:eastAsia="en-AU"/>
        </w:rPr>
        <w:t>will be assessed at the time any replacement instruments are made, including through the requirement to prepare a further Statement of Compatibility with Human Rights.</w:t>
      </w:r>
    </w:p>
    <w:p w14:paraId="62568BE8" w14:textId="77777777" w:rsidR="00901A53" w:rsidRPr="00604D22" w:rsidRDefault="00901A53" w:rsidP="00901A53">
      <w:pPr>
        <w:pStyle w:val="Basetext"/>
        <w:spacing w:before="0" w:afterLines="200" w:after="480" w:line="360" w:lineRule="auto"/>
        <w:contextualSpacing/>
        <w:rPr>
          <w:b/>
        </w:rPr>
      </w:pPr>
    </w:p>
    <w:p w14:paraId="2D424189" w14:textId="77777777" w:rsidR="00901A53" w:rsidRPr="00604D22" w:rsidRDefault="00901A53" w:rsidP="00901A53">
      <w:pPr>
        <w:pStyle w:val="Basetext"/>
        <w:keepNext/>
        <w:spacing w:before="0" w:afterLines="200" w:after="480" w:line="360" w:lineRule="auto"/>
        <w:contextualSpacing/>
        <w:rPr>
          <w:b/>
        </w:rPr>
      </w:pPr>
      <w:r w:rsidRPr="00604D22">
        <w:rPr>
          <w:b/>
        </w:rPr>
        <w:t>Conclusion</w:t>
      </w:r>
    </w:p>
    <w:p w14:paraId="61D90114" w14:textId="0FCE389C" w:rsidR="00901A53" w:rsidRPr="00604D22" w:rsidRDefault="00E7314F" w:rsidP="00901A53">
      <w:pPr>
        <w:pStyle w:val="Basetext"/>
        <w:spacing w:before="0" w:afterLines="200" w:after="480" w:line="360" w:lineRule="auto"/>
        <w:contextualSpacing/>
        <w:rPr>
          <w:highlight w:val="yellow"/>
        </w:rPr>
      </w:pPr>
      <w:r>
        <w:t xml:space="preserve">The </w:t>
      </w:r>
      <w:r w:rsidR="00616AF2">
        <w:t>Instruments</w:t>
      </w:r>
      <w:r>
        <w:t xml:space="preserve"> that are subject to the Declaration are compatible with human rights and freedoms </w:t>
      </w:r>
      <w:r w:rsidRPr="00604D22">
        <w:t>recognised or declared in the international instruments listed in section 3 of the Human Rights Act</w:t>
      </w:r>
      <w:r w:rsidR="00B7520C">
        <w:t xml:space="preserve">. </w:t>
      </w:r>
      <w:r w:rsidR="00901A53" w:rsidRPr="00604D22">
        <w:t xml:space="preserve">The Declaration </w:t>
      </w:r>
      <w:r w:rsidR="00D664F7">
        <w:t xml:space="preserve">itself </w:t>
      </w:r>
      <w:r w:rsidR="00901A53" w:rsidRPr="00604D22">
        <w:t>is compatible with human rights and freedoms as it does not raise any human rights issues, and ensures that any proposal to make a replacement instrument will be subject to parliamentary oversight and scrutiny</w:t>
      </w:r>
    </w:p>
    <w:p w14:paraId="5D0B5413" w14:textId="77777777" w:rsidR="00901A53" w:rsidRPr="00604D22" w:rsidRDefault="00901A53" w:rsidP="00901A53">
      <w:pPr>
        <w:widowControl/>
        <w:spacing w:after="240" w:line="360" w:lineRule="auto"/>
        <w:contextualSpacing/>
        <w:rPr>
          <w:color w:val="000000"/>
          <w:sz w:val="22"/>
          <w:szCs w:val="22"/>
        </w:rPr>
      </w:pPr>
      <w:r w:rsidRPr="00604D22">
        <w:rPr>
          <w:color w:val="000000"/>
          <w:sz w:val="22"/>
          <w:szCs w:val="22"/>
        </w:rPr>
        <w:br w:type="page"/>
      </w:r>
    </w:p>
    <w:p w14:paraId="16A547C1" w14:textId="77777777" w:rsidR="00901A53" w:rsidRPr="00604D22" w:rsidRDefault="00901A53" w:rsidP="00901A53">
      <w:pPr>
        <w:widowControl/>
        <w:spacing w:after="240" w:line="360" w:lineRule="auto"/>
        <w:ind w:left="6480"/>
        <w:contextualSpacing/>
        <w:rPr>
          <w:rStyle w:val="Heading1Char"/>
          <w:rFonts w:eastAsiaTheme="majorEastAsia"/>
          <w:b w:val="0"/>
          <w:color w:val="000000" w:themeColor="text1"/>
          <w:sz w:val="22"/>
          <w:szCs w:val="22"/>
        </w:rPr>
      </w:pPr>
      <w:r w:rsidRPr="00604D22">
        <w:rPr>
          <w:rStyle w:val="Heading1Char"/>
          <w:rFonts w:eastAsiaTheme="majorEastAsia"/>
          <w:color w:val="000000" w:themeColor="text1"/>
          <w:sz w:val="22"/>
          <w:szCs w:val="22"/>
        </w:rPr>
        <w:lastRenderedPageBreak/>
        <w:t>ATTACHMENT A</w:t>
      </w:r>
    </w:p>
    <w:p w14:paraId="5DBE6B56" w14:textId="77777777" w:rsidR="00901A53" w:rsidRPr="00604D22" w:rsidRDefault="00901A53" w:rsidP="00901A53">
      <w:pPr>
        <w:pStyle w:val="Heading2"/>
        <w:spacing w:before="0" w:after="240" w:line="360" w:lineRule="auto"/>
        <w:contextualSpacing/>
        <w:rPr>
          <w:rFonts w:ascii="Times New Roman" w:hAnsi="Times New Roman" w:cs="Times New Roman"/>
          <w:b/>
          <w:color w:val="auto"/>
          <w:sz w:val="22"/>
          <w:szCs w:val="22"/>
        </w:rPr>
      </w:pPr>
      <w:r w:rsidRPr="00604D22">
        <w:rPr>
          <w:rFonts w:ascii="Times New Roman" w:hAnsi="Times New Roman" w:cs="Times New Roman"/>
          <w:b/>
          <w:color w:val="auto"/>
          <w:sz w:val="22"/>
          <w:szCs w:val="22"/>
        </w:rPr>
        <w:t>NOTES ON THE DECLARATION</w:t>
      </w:r>
      <w:r w:rsidRPr="00604D22">
        <w:rPr>
          <w:rFonts w:ascii="Times New Roman" w:hAnsi="Times New Roman" w:cs="Times New Roman"/>
          <w:b/>
          <w:color w:val="auto"/>
          <w:sz w:val="22"/>
          <w:szCs w:val="22"/>
        </w:rPr>
        <w:tab/>
      </w:r>
    </w:p>
    <w:p w14:paraId="6D28B33B" w14:textId="77777777" w:rsidR="00901A53" w:rsidRPr="00604D22" w:rsidRDefault="00901A53" w:rsidP="00901A53">
      <w:pPr>
        <w:pStyle w:val="Heading3"/>
        <w:spacing w:before="0" w:after="240" w:line="360" w:lineRule="auto"/>
        <w:contextualSpacing/>
        <w:rPr>
          <w:rFonts w:ascii="Times New Roman" w:hAnsi="Times New Roman" w:cs="Times New Roman"/>
          <w:b/>
          <w:color w:val="auto"/>
          <w:sz w:val="22"/>
          <w:szCs w:val="22"/>
        </w:rPr>
      </w:pPr>
      <w:r w:rsidRPr="00604D22">
        <w:rPr>
          <w:rFonts w:ascii="Times New Roman" w:hAnsi="Times New Roman" w:cs="Times New Roman"/>
          <w:b/>
          <w:color w:val="auto"/>
          <w:sz w:val="22"/>
          <w:szCs w:val="22"/>
        </w:rPr>
        <w:t>Section 1</w:t>
      </w:r>
      <w:r w:rsidRPr="00604D22">
        <w:rPr>
          <w:rFonts w:ascii="Times New Roman" w:hAnsi="Times New Roman" w:cs="Times New Roman"/>
          <w:b/>
          <w:color w:val="auto"/>
          <w:sz w:val="22"/>
          <w:szCs w:val="22"/>
        </w:rPr>
        <w:tab/>
        <w:t>Name</w:t>
      </w:r>
    </w:p>
    <w:p w14:paraId="4D70DB57" w14:textId="48BFB568" w:rsidR="00901A53" w:rsidRPr="00604D22" w:rsidRDefault="00901A53" w:rsidP="00901A53">
      <w:pPr>
        <w:spacing w:after="240" w:line="360" w:lineRule="auto"/>
        <w:contextualSpacing/>
        <w:rPr>
          <w:sz w:val="22"/>
          <w:szCs w:val="22"/>
        </w:rPr>
      </w:pPr>
      <w:r w:rsidRPr="00604D22">
        <w:rPr>
          <w:sz w:val="22"/>
          <w:szCs w:val="22"/>
        </w:rPr>
        <w:t xml:space="preserve">This section provides for the declaration to be named the </w:t>
      </w:r>
      <w:r w:rsidRPr="00604D22">
        <w:rPr>
          <w:i/>
          <w:iCs/>
          <w:sz w:val="22"/>
          <w:szCs w:val="22"/>
        </w:rPr>
        <w:t>Legislation (</w:t>
      </w:r>
      <w:bookmarkStart w:id="3" w:name="_Hlk142057463"/>
      <w:r w:rsidR="00B11713">
        <w:rPr>
          <w:i/>
          <w:sz w:val="22"/>
          <w:szCs w:val="22"/>
        </w:rPr>
        <w:t>Treatment-Related Instruments</w:t>
      </w:r>
      <w:bookmarkEnd w:id="3"/>
      <w:r w:rsidRPr="00604D22">
        <w:rPr>
          <w:i/>
          <w:iCs/>
          <w:sz w:val="22"/>
          <w:szCs w:val="22"/>
        </w:rPr>
        <w:t>) Sunset-altering Declaration 202</w:t>
      </w:r>
      <w:r w:rsidR="00DA3C61">
        <w:rPr>
          <w:i/>
          <w:sz w:val="22"/>
          <w:szCs w:val="22"/>
        </w:rPr>
        <w:t>4</w:t>
      </w:r>
      <w:r w:rsidRPr="00604D22">
        <w:rPr>
          <w:sz w:val="22"/>
          <w:szCs w:val="22"/>
        </w:rPr>
        <w:t>.</w:t>
      </w:r>
      <w:r w:rsidR="00D0330B">
        <w:rPr>
          <w:sz w:val="22"/>
          <w:szCs w:val="22"/>
        </w:rPr>
        <w:t xml:space="preserve"> </w:t>
      </w:r>
      <w:r w:rsidRPr="00604D22">
        <w:rPr>
          <w:sz w:val="22"/>
          <w:szCs w:val="22"/>
        </w:rPr>
        <w:t xml:space="preserve">The declaration may be cited by that name. </w:t>
      </w:r>
    </w:p>
    <w:p w14:paraId="7D9B6AA6" w14:textId="77777777" w:rsidR="00901A53" w:rsidRPr="00604D22" w:rsidRDefault="00901A53" w:rsidP="00901A53">
      <w:pPr>
        <w:spacing w:after="240" w:line="360" w:lineRule="auto"/>
        <w:contextualSpacing/>
        <w:rPr>
          <w:sz w:val="22"/>
          <w:szCs w:val="22"/>
        </w:rPr>
      </w:pPr>
    </w:p>
    <w:p w14:paraId="4E575E89" w14:textId="77777777" w:rsidR="00901A53" w:rsidRPr="00604D22" w:rsidRDefault="00901A53" w:rsidP="00901A53">
      <w:pPr>
        <w:pStyle w:val="Heading3"/>
        <w:spacing w:before="0" w:after="240" w:line="360" w:lineRule="auto"/>
        <w:contextualSpacing/>
        <w:rPr>
          <w:rFonts w:ascii="Times New Roman" w:hAnsi="Times New Roman" w:cs="Times New Roman"/>
          <w:b/>
          <w:color w:val="auto"/>
          <w:sz w:val="22"/>
          <w:szCs w:val="22"/>
        </w:rPr>
      </w:pPr>
      <w:r w:rsidRPr="00604D22">
        <w:rPr>
          <w:rFonts w:ascii="Times New Roman" w:hAnsi="Times New Roman" w:cs="Times New Roman"/>
          <w:b/>
          <w:color w:val="auto"/>
          <w:sz w:val="22"/>
          <w:szCs w:val="22"/>
        </w:rPr>
        <w:t xml:space="preserve">Section 2 </w:t>
      </w:r>
      <w:r w:rsidRPr="00604D22">
        <w:rPr>
          <w:rFonts w:ascii="Times New Roman" w:hAnsi="Times New Roman" w:cs="Times New Roman"/>
          <w:b/>
          <w:color w:val="auto"/>
          <w:sz w:val="22"/>
          <w:szCs w:val="22"/>
        </w:rPr>
        <w:tab/>
        <w:t>Commencement</w:t>
      </w:r>
    </w:p>
    <w:p w14:paraId="08D28DE8" w14:textId="77777777" w:rsidR="00901A53" w:rsidRPr="00604D22" w:rsidRDefault="00901A53" w:rsidP="00901A53">
      <w:pPr>
        <w:spacing w:after="240" w:line="360" w:lineRule="auto"/>
        <w:contextualSpacing/>
        <w:rPr>
          <w:sz w:val="22"/>
          <w:szCs w:val="22"/>
          <w:lang w:val="en-AU"/>
        </w:rPr>
      </w:pPr>
      <w:r w:rsidRPr="00604D22">
        <w:rPr>
          <w:sz w:val="22"/>
          <w:szCs w:val="22"/>
          <w:lang w:val="en-AU"/>
        </w:rPr>
        <w:t xml:space="preserve">This section provides for the declaration to commence on the day after it is registered. </w:t>
      </w:r>
    </w:p>
    <w:p w14:paraId="109AB27C" w14:textId="77777777" w:rsidR="00901A53" w:rsidRPr="00604D22" w:rsidRDefault="00901A53" w:rsidP="00901A53">
      <w:pPr>
        <w:pStyle w:val="Heading3"/>
        <w:spacing w:before="0" w:after="240" w:line="360" w:lineRule="auto"/>
        <w:contextualSpacing/>
        <w:rPr>
          <w:rFonts w:ascii="Times New Roman" w:hAnsi="Times New Roman" w:cs="Times New Roman"/>
          <w:color w:val="auto"/>
          <w:sz w:val="22"/>
          <w:szCs w:val="22"/>
        </w:rPr>
      </w:pPr>
    </w:p>
    <w:p w14:paraId="19BDF12D" w14:textId="77777777" w:rsidR="00901A53" w:rsidRPr="00604D22" w:rsidRDefault="00901A53" w:rsidP="00901A53">
      <w:pPr>
        <w:pStyle w:val="Heading3"/>
        <w:spacing w:before="0" w:after="240" w:line="360" w:lineRule="auto"/>
        <w:contextualSpacing/>
        <w:rPr>
          <w:rFonts w:ascii="Times New Roman" w:hAnsi="Times New Roman" w:cs="Times New Roman"/>
          <w:b/>
          <w:color w:val="auto"/>
          <w:sz w:val="22"/>
          <w:szCs w:val="22"/>
        </w:rPr>
      </w:pPr>
      <w:r w:rsidRPr="00604D22">
        <w:rPr>
          <w:rFonts w:ascii="Times New Roman" w:hAnsi="Times New Roman" w:cs="Times New Roman"/>
          <w:b/>
          <w:color w:val="auto"/>
          <w:sz w:val="22"/>
          <w:szCs w:val="22"/>
        </w:rPr>
        <w:t>Section 3</w:t>
      </w:r>
      <w:r w:rsidRPr="00604D22">
        <w:rPr>
          <w:rFonts w:ascii="Times New Roman" w:hAnsi="Times New Roman" w:cs="Times New Roman"/>
          <w:b/>
          <w:color w:val="auto"/>
          <w:sz w:val="22"/>
          <w:szCs w:val="22"/>
        </w:rPr>
        <w:tab/>
        <w:t>Authority</w:t>
      </w:r>
    </w:p>
    <w:p w14:paraId="26DA12AE" w14:textId="77777777" w:rsidR="00901A53" w:rsidRPr="00604D22" w:rsidRDefault="00901A53" w:rsidP="00901A53">
      <w:pPr>
        <w:spacing w:after="240" w:line="360" w:lineRule="auto"/>
        <w:contextualSpacing/>
        <w:rPr>
          <w:sz w:val="22"/>
          <w:szCs w:val="22"/>
          <w:lang w:val="en-AU"/>
        </w:rPr>
      </w:pPr>
      <w:r w:rsidRPr="00604D22">
        <w:rPr>
          <w:sz w:val="22"/>
          <w:szCs w:val="22"/>
          <w:lang w:val="en-AU"/>
        </w:rPr>
        <w:t>This section provides that the declaration is made under subsection 51</w:t>
      </w:r>
      <w:proofErr w:type="gramStart"/>
      <w:r w:rsidRPr="00604D22">
        <w:rPr>
          <w:sz w:val="22"/>
          <w:szCs w:val="22"/>
          <w:lang w:val="en-AU"/>
        </w:rPr>
        <w:t>A(</w:t>
      </w:r>
      <w:proofErr w:type="gramEnd"/>
      <w:r w:rsidRPr="00604D22">
        <w:rPr>
          <w:sz w:val="22"/>
          <w:szCs w:val="22"/>
          <w:lang w:val="en-AU"/>
        </w:rPr>
        <w:t xml:space="preserve">1) of the </w:t>
      </w:r>
      <w:r w:rsidRPr="00604D22">
        <w:rPr>
          <w:i/>
          <w:sz w:val="22"/>
          <w:szCs w:val="22"/>
          <w:lang w:val="en-AU"/>
        </w:rPr>
        <w:t>Legislation Act 2003</w:t>
      </w:r>
      <w:r w:rsidRPr="00604D22">
        <w:rPr>
          <w:sz w:val="22"/>
          <w:szCs w:val="22"/>
          <w:lang w:val="en-AU"/>
        </w:rPr>
        <w:t>.</w:t>
      </w:r>
    </w:p>
    <w:p w14:paraId="170B740E" w14:textId="77777777" w:rsidR="00901A53" w:rsidRPr="00604D22" w:rsidRDefault="00901A53" w:rsidP="00901A53">
      <w:pPr>
        <w:pStyle w:val="Heading3"/>
        <w:spacing w:before="0" w:after="240" w:line="360" w:lineRule="auto"/>
        <w:contextualSpacing/>
        <w:rPr>
          <w:rFonts w:ascii="Times New Roman" w:hAnsi="Times New Roman" w:cs="Times New Roman"/>
          <w:color w:val="auto"/>
          <w:sz w:val="22"/>
          <w:szCs w:val="22"/>
        </w:rPr>
      </w:pPr>
    </w:p>
    <w:p w14:paraId="2D700492" w14:textId="77777777" w:rsidR="00901A53" w:rsidRPr="00604D22" w:rsidRDefault="00901A53" w:rsidP="00901A53">
      <w:pPr>
        <w:pStyle w:val="Heading3"/>
        <w:spacing w:before="0" w:after="240" w:line="360" w:lineRule="auto"/>
        <w:contextualSpacing/>
        <w:rPr>
          <w:rFonts w:ascii="Times New Roman" w:hAnsi="Times New Roman" w:cs="Times New Roman"/>
          <w:b/>
          <w:color w:val="auto"/>
          <w:sz w:val="22"/>
          <w:szCs w:val="22"/>
        </w:rPr>
      </w:pPr>
      <w:r w:rsidRPr="00604D22">
        <w:rPr>
          <w:rFonts w:ascii="Times New Roman" w:hAnsi="Times New Roman" w:cs="Times New Roman"/>
          <w:b/>
          <w:color w:val="auto"/>
          <w:sz w:val="22"/>
          <w:szCs w:val="22"/>
        </w:rPr>
        <w:t>Section 4</w:t>
      </w:r>
      <w:r w:rsidRPr="00604D22">
        <w:rPr>
          <w:rFonts w:ascii="Times New Roman" w:hAnsi="Times New Roman" w:cs="Times New Roman"/>
          <w:b/>
          <w:color w:val="auto"/>
          <w:sz w:val="22"/>
          <w:szCs w:val="22"/>
        </w:rPr>
        <w:tab/>
        <w:t>Aligning of sunsetting</w:t>
      </w:r>
    </w:p>
    <w:p w14:paraId="3D6C1374" w14:textId="7332C32F" w:rsidR="00901A53" w:rsidRPr="00604D22" w:rsidRDefault="00901A53" w:rsidP="00901A53">
      <w:pPr>
        <w:pStyle w:val="Default"/>
        <w:spacing w:after="240" w:line="360" w:lineRule="auto"/>
        <w:contextualSpacing/>
        <w:rPr>
          <w:color w:val="auto"/>
          <w:sz w:val="22"/>
          <w:szCs w:val="22"/>
        </w:rPr>
      </w:pPr>
      <w:r w:rsidRPr="00604D22">
        <w:rPr>
          <w:color w:val="auto"/>
          <w:sz w:val="22"/>
          <w:szCs w:val="22"/>
        </w:rPr>
        <w:t xml:space="preserve">This section provides that the following instruments are repealed by section 51A of the </w:t>
      </w:r>
      <w:r w:rsidRPr="00604D22">
        <w:rPr>
          <w:i/>
          <w:iCs/>
          <w:color w:val="auto"/>
          <w:sz w:val="22"/>
          <w:szCs w:val="22"/>
        </w:rPr>
        <w:t xml:space="preserve">Legislation Act 2003 </w:t>
      </w:r>
      <w:r w:rsidRPr="00604D22">
        <w:rPr>
          <w:color w:val="auto"/>
          <w:sz w:val="22"/>
          <w:szCs w:val="22"/>
        </w:rPr>
        <w:t xml:space="preserve">on </w:t>
      </w:r>
      <w:r w:rsidRPr="00604D22">
        <w:rPr>
          <w:sz w:val="22"/>
          <w:szCs w:val="22"/>
        </w:rPr>
        <w:t>1 </w:t>
      </w:r>
      <w:r w:rsidR="00A34DF2">
        <w:rPr>
          <w:sz w:val="22"/>
          <w:szCs w:val="22"/>
        </w:rPr>
        <w:t>October</w:t>
      </w:r>
      <w:r w:rsidRPr="00604D22">
        <w:rPr>
          <w:sz w:val="22"/>
          <w:szCs w:val="22"/>
        </w:rPr>
        <w:t xml:space="preserve"> </w:t>
      </w:r>
      <w:r w:rsidR="00A34DF2">
        <w:rPr>
          <w:sz w:val="22"/>
          <w:szCs w:val="22"/>
        </w:rPr>
        <w:t>2026</w:t>
      </w:r>
      <w:r w:rsidRPr="00604D22">
        <w:rPr>
          <w:color w:val="auto"/>
          <w:sz w:val="22"/>
          <w:szCs w:val="22"/>
        </w:rPr>
        <w:t xml:space="preserve">: </w:t>
      </w:r>
    </w:p>
    <w:p w14:paraId="1870C304" w14:textId="28489560" w:rsidR="00B11713" w:rsidRPr="00D957FB" w:rsidRDefault="00B11713" w:rsidP="00335927">
      <w:pPr>
        <w:pStyle w:val="Basetext"/>
        <w:numPr>
          <w:ilvl w:val="0"/>
          <w:numId w:val="26"/>
        </w:numPr>
        <w:spacing w:after="240" w:line="360" w:lineRule="auto"/>
        <w:contextualSpacing/>
        <w:rPr>
          <w:i/>
        </w:rPr>
      </w:pPr>
      <w:r w:rsidRPr="00604D22">
        <w:t xml:space="preserve">the </w:t>
      </w:r>
      <w:r w:rsidRPr="00D957FB">
        <w:rPr>
          <w:i/>
        </w:rPr>
        <w:t>MRCA Pharmaceutical Benefits Scheme (No. MRCC 44/2013)</w:t>
      </w:r>
    </w:p>
    <w:p w14:paraId="207C05BF" w14:textId="039744B1" w:rsidR="00B11713" w:rsidRPr="00D957FB" w:rsidRDefault="00B11713" w:rsidP="00335927">
      <w:pPr>
        <w:pStyle w:val="Basetext"/>
        <w:numPr>
          <w:ilvl w:val="0"/>
          <w:numId w:val="26"/>
        </w:numPr>
        <w:spacing w:after="240" w:line="360" w:lineRule="auto"/>
        <w:contextualSpacing/>
        <w:rPr>
          <w:i/>
        </w:rPr>
      </w:pPr>
      <w:r w:rsidRPr="00604D22">
        <w:t xml:space="preserve">the </w:t>
      </w:r>
      <w:r w:rsidRPr="00D957FB">
        <w:rPr>
          <w:i/>
        </w:rPr>
        <w:t>MRCA Private Patient Principles 2004</w:t>
      </w:r>
    </w:p>
    <w:p w14:paraId="1C6D9D08" w14:textId="0D46D0AD" w:rsidR="00B11713" w:rsidRPr="00D957FB" w:rsidRDefault="00B11713" w:rsidP="00335927">
      <w:pPr>
        <w:pStyle w:val="Basetext"/>
        <w:numPr>
          <w:ilvl w:val="0"/>
          <w:numId w:val="26"/>
        </w:numPr>
        <w:spacing w:after="240" w:line="360" w:lineRule="auto"/>
        <w:contextualSpacing/>
        <w:rPr>
          <w:i/>
        </w:rPr>
      </w:pPr>
      <w:r w:rsidRPr="00604D22">
        <w:t xml:space="preserve">the </w:t>
      </w:r>
      <w:r w:rsidRPr="00D957FB">
        <w:rPr>
          <w:i/>
        </w:rPr>
        <w:t>MRCA Treatment Principles (No. MRCC 53/2013)</w:t>
      </w:r>
    </w:p>
    <w:p w14:paraId="4D8963E4" w14:textId="70C02B86" w:rsidR="00B11713" w:rsidRPr="00D957FB" w:rsidRDefault="00B11713" w:rsidP="00335927">
      <w:pPr>
        <w:pStyle w:val="Basetext"/>
        <w:numPr>
          <w:ilvl w:val="0"/>
          <w:numId w:val="26"/>
        </w:numPr>
        <w:spacing w:after="240" w:line="360" w:lineRule="auto"/>
        <w:contextualSpacing/>
        <w:rPr>
          <w:i/>
        </w:rPr>
      </w:pPr>
      <w:bookmarkStart w:id="4" w:name="_Hlk142312971"/>
      <w:r w:rsidRPr="00604D22">
        <w:t xml:space="preserve">the </w:t>
      </w:r>
      <w:bookmarkEnd w:id="4"/>
      <w:r w:rsidRPr="00D957FB">
        <w:rPr>
          <w:i/>
        </w:rPr>
        <w:t>Repatriation Pharmaceutical Benefits Scheme</w:t>
      </w:r>
    </w:p>
    <w:p w14:paraId="6E8F48C1" w14:textId="1752BA1B" w:rsidR="00B11713" w:rsidRPr="00D957FB" w:rsidRDefault="00B11713" w:rsidP="00335927">
      <w:pPr>
        <w:pStyle w:val="Basetext"/>
        <w:numPr>
          <w:ilvl w:val="0"/>
          <w:numId w:val="26"/>
        </w:numPr>
        <w:spacing w:after="240" w:line="360" w:lineRule="auto"/>
        <w:contextualSpacing/>
        <w:rPr>
          <w:i/>
        </w:rPr>
      </w:pPr>
      <w:r w:rsidRPr="00604D22">
        <w:t xml:space="preserve">the </w:t>
      </w:r>
      <w:r w:rsidRPr="00D957FB">
        <w:rPr>
          <w:i/>
        </w:rPr>
        <w:t>Repatriation Private Patient Principles</w:t>
      </w:r>
    </w:p>
    <w:p w14:paraId="21449C53" w14:textId="5BBA4C30" w:rsidR="00B11713" w:rsidRPr="00D957FB" w:rsidRDefault="00B11713" w:rsidP="00335927">
      <w:pPr>
        <w:pStyle w:val="Basetext"/>
        <w:numPr>
          <w:ilvl w:val="0"/>
          <w:numId w:val="26"/>
        </w:numPr>
        <w:spacing w:after="240" w:line="360" w:lineRule="auto"/>
        <w:contextualSpacing/>
        <w:rPr>
          <w:i/>
        </w:rPr>
      </w:pPr>
      <w:r w:rsidRPr="00604D22">
        <w:t xml:space="preserve">the </w:t>
      </w:r>
      <w:r w:rsidRPr="00D957FB">
        <w:rPr>
          <w:i/>
        </w:rPr>
        <w:t>Treatment Benefits (Special Access) (Modifications of the Repatriation Private Patient Principles) Instrument 2019</w:t>
      </w:r>
    </w:p>
    <w:p w14:paraId="6224C114" w14:textId="1509B7FD" w:rsidR="00B11713" w:rsidRPr="00D957FB" w:rsidRDefault="00B11713" w:rsidP="00335927">
      <w:pPr>
        <w:pStyle w:val="Basetext"/>
        <w:numPr>
          <w:ilvl w:val="0"/>
          <w:numId w:val="26"/>
        </w:numPr>
        <w:spacing w:after="240" w:line="360" w:lineRule="auto"/>
        <w:contextualSpacing/>
        <w:rPr>
          <w:i/>
        </w:rPr>
      </w:pPr>
      <w:r w:rsidRPr="00604D22">
        <w:t xml:space="preserve">the </w:t>
      </w:r>
      <w:r w:rsidRPr="00D957FB">
        <w:rPr>
          <w:i/>
        </w:rPr>
        <w:t>Treatment Benefits (Special Access) (Modifications of the Repatriation Pharmaceutical Benefits Scheme) Instrument 2019</w:t>
      </w:r>
    </w:p>
    <w:p w14:paraId="7D8EB6E1" w14:textId="30E423A0" w:rsidR="00B11713" w:rsidRPr="00D957FB" w:rsidRDefault="00B11713" w:rsidP="00335927">
      <w:pPr>
        <w:pStyle w:val="Basetext"/>
        <w:numPr>
          <w:ilvl w:val="0"/>
          <w:numId w:val="26"/>
        </w:numPr>
        <w:spacing w:after="240" w:line="360" w:lineRule="auto"/>
        <w:contextualSpacing/>
        <w:rPr>
          <w:i/>
        </w:rPr>
      </w:pPr>
      <w:r w:rsidRPr="00604D22">
        <w:t xml:space="preserve">the </w:t>
      </w:r>
      <w:r w:rsidRPr="00D957FB">
        <w:rPr>
          <w:i/>
        </w:rPr>
        <w:t>Treatment Benefits (Special Access) (Modifications of the Treatment Principles) Instrument 2019</w:t>
      </w:r>
    </w:p>
    <w:p w14:paraId="52D9DA91" w14:textId="3B378C3D" w:rsidR="00B64DF0" w:rsidRPr="00D957FB" w:rsidRDefault="00B64DF0" w:rsidP="00335927">
      <w:pPr>
        <w:pStyle w:val="Basetext"/>
        <w:numPr>
          <w:ilvl w:val="0"/>
          <w:numId w:val="26"/>
        </w:numPr>
        <w:spacing w:after="240" w:line="360" w:lineRule="auto"/>
        <w:contextualSpacing/>
        <w:rPr>
          <w:i/>
        </w:rPr>
      </w:pPr>
      <w:r w:rsidRPr="00604D22">
        <w:t xml:space="preserve">the </w:t>
      </w:r>
      <w:r w:rsidRPr="00D957FB">
        <w:rPr>
          <w:i/>
        </w:rPr>
        <w:t>Treatment Principles (No. R52/2013)</w:t>
      </w:r>
    </w:p>
    <w:p w14:paraId="01503508" w14:textId="5D0BD534" w:rsidR="00B11713" w:rsidRPr="00D957FB" w:rsidRDefault="00B11713" w:rsidP="00335927">
      <w:pPr>
        <w:pStyle w:val="Basetext"/>
        <w:numPr>
          <w:ilvl w:val="0"/>
          <w:numId w:val="26"/>
        </w:numPr>
        <w:spacing w:after="240" w:line="360" w:lineRule="auto"/>
        <w:contextualSpacing/>
        <w:rPr>
          <w:i/>
        </w:rPr>
      </w:pPr>
      <w:r w:rsidRPr="00604D22">
        <w:t xml:space="preserve">the </w:t>
      </w:r>
      <w:r w:rsidRPr="00D957FB">
        <w:rPr>
          <w:i/>
        </w:rPr>
        <w:t>Veterans' Entitlements (Psychiatric Assessment - Dependants of Vietnam Veterans) Determination 2000</w:t>
      </w:r>
    </w:p>
    <w:p w14:paraId="53A66546" w14:textId="29FF0BF3" w:rsidR="00B11713" w:rsidRPr="00D957FB" w:rsidRDefault="00B11713" w:rsidP="00335927">
      <w:pPr>
        <w:pStyle w:val="Basetext"/>
        <w:numPr>
          <w:ilvl w:val="0"/>
          <w:numId w:val="26"/>
        </w:numPr>
        <w:spacing w:after="240" w:line="360" w:lineRule="auto"/>
        <w:contextualSpacing/>
        <w:rPr>
          <w:i/>
        </w:rPr>
      </w:pPr>
      <w:r w:rsidRPr="00604D22">
        <w:t xml:space="preserve">the </w:t>
      </w:r>
      <w:r w:rsidRPr="00D957FB">
        <w:rPr>
          <w:i/>
        </w:rPr>
        <w:t>Veterans’ Affairs (Extended Eligibility for Treatment) Instrument 2015</w:t>
      </w:r>
    </w:p>
    <w:p w14:paraId="0AA2C04D" w14:textId="60499411" w:rsidR="00B64DF0" w:rsidRPr="00D957FB" w:rsidRDefault="00B64DF0" w:rsidP="00335927">
      <w:pPr>
        <w:pStyle w:val="Basetext"/>
        <w:numPr>
          <w:ilvl w:val="0"/>
          <w:numId w:val="26"/>
        </w:numPr>
        <w:spacing w:after="240" w:line="360" w:lineRule="auto"/>
        <w:contextualSpacing/>
        <w:rPr>
          <w:i/>
        </w:rPr>
      </w:pPr>
      <w:r w:rsidRPr="00604D22">
        <w:lastRenderedPageBreak/>
        <w:t xml:space="preserve">the </w:t>
      </w:r>
      <w:r w:rsidRPr="00D957FB">
        <w:rPr>
          <w:i/>
        </w:rPr>
        <w:t>Veterans’ Affairs (Extending Medication Chart Prescribing to Hospitals and Other Measures) Instrument 2015</w:t>
      </w:r>
      <w:r w:rsidR="00B11713">
        <w:rPr>
          <w:i/>
        </w:rPr>
        <w:t xml:space="preserve"> </w:t>
      </w:r>
      <w:r w:rsidR="00B11713">
        <w:t xml:space="preserve">and </w:t>
      </w:r>
    </w:p>
    <w:p w14:paraId="40902778" w14:textId="5D3B6FA6" w:rsidR="00B64DF0" w:rsidRDefault="00B64DF0" w:rsidP="00335927">
      <w:pPr>
        <w:pStyle w:val="Basetext"/>
        <w:numPr>
          <w:ilvl w:val="0"/>
          <w:numId w:val="26"/>
        </w:numPr>
        <w:spacing w:after="240" w:line="360" w:lineRule="auto"/>
        <w:contextualSpacing/>
        <w:rPr>
          <w:i/>
        </w:rPr>
      </w:pPr>
      <w:r w:rsidRPr="00604D22">
        <w:t xml:space="preserve">the </w:t>
      </w:r>
      <w:r w:rsidRPr="00D957FB">
        <w:rPr>
          <w:i/>
        </w:rPr>
        <w:t>Veterans’ Affairs (TRCP Treatment – Eligibility) Determination 2015</w:t>
      </w:r>
      <w:r w:rsidR="00B11713">
        <w:rPr>
          <w:i/>
        </w:rPr>
        <w:t>.</w:t>
      </w:r>
    </w:p>
    <w:p w14:paraId="2BC30F02" w14:textId="77777777" w:rsidR="00B64DF0" w:rsidRDefault="00B64DF0" w:rsidP="00B64DF0">
      <w:pPr>
        <w:pStyle w:val="Basetext"/>
        <w:spacing w:after="240" w:line="360" w:lineRule="auto"/>
        <w:contextualSpacing/>
        <w:rPr>
          <w:i/>
        </w:rPr>
      </w:pPr>
    </w:p>
    <w:p w14:paraId="37321235" w14:textId="6D51A324" w:rsidR="00901A53" w:rsidRPr="00B64DF0" w:rsidRDefault="00901A53" w:rsidP="00B64DF0">
      <w:pPr>
        <w:pStyle w:val="Basetext"/>
        <w:spacing w:after="240" w:line="360" w:lineRule="auto"/>
        <w:contextualSpacing/>
        <w:rPr>
          <w:i/>
        </w:rPr>
      </w:pPr>
      <w:r w:rsidRPr="00B64DF0">
        <w:t xml:space="preserve">1 </w:t>
      </w:r>
      <w:r w:rsidR="00A34DF2" w:rsidRPr="00B64DF0">
        <w:t>October</w:t>
      </w:r>
      <w:r w:rsidRPr="00B64DF0">
        <w:t xml:space="preserve"> </w:t>
      </w:r>
      <w:r w:rsidR="00A34DF2" w:rsidRPr="00B64DF0">
        <w:t>2026</w:t>
      </w:r>
      <w:r w:rsidRPr="00B64DF0">
        <w:rPr>
          <w:lang w:eastAsia="en-AU"/>
        </w:rPr>
        <w:t xml:space="preserve"> </w:t>
      </w:r>
      <w:r w:rsidRPr="00B64DF0">
        <w:t xml:space="preserve">is the aligned sunsetting day for those instruments, which would otherwise have sunset on </w:t>
      </w:r>
      <w:r w:rsidR="00A34DF2" w:rsidRPr="00B64DF0">
        <w:t>various days between 1 April 2024 and 1 October 2029</w:t>
      </w:r>
      <w:r w:rsidRPr="00B64DF0">
        <w:t>.</w:t>
      </w:r>
    </w:p>
    <w:p w14:paraId="16F15971" w14:textId="77777777" w:rsidR="00901A53" w:rsidRPr="00604D22" w:rsidRDefault="00901A53" w:rsidP="00901A53">
      <w:pPr>
        <w:pStyle w:val="Heading3"/>
        <w:spacing w:before="0" w:after="240" w:line="360" w:lineRule="auto"/>
        <w:contextualSpacing/>
        <w:rPr>
          <w:rFonts w:ascii="Times New Roman" w:hAnsi="Times New Roman" w:cs="Times New Roman"/>
          <w:color w:val="auto"/>
          <w:sz w:val="22"/>
          <w:szCs w:val="22"/>
        </w:rPr>
      </w:pPr>
    </w:p>
    <w:p w14:paraId="440103E4" w14:textId="77777777" w:rsidR="00901A53" w:rsidRPr="00604D22" w:rsidRDefault="00901A53" w:rsidP="00901A53">
      <w:pPr>
        <w:pStyle w:val="Heading3"/>
        <w:spacing w:before="0" w:after="240" w:line="360" w:lineRule="auto"/>
        <w:contextualSpacing/>
        <w:rPr>
          <w:rFonts w:ascii="Times New Roman" w:hAnsi="Times New Roman" w:cs="Times New Roman"/>
          <w:b/>
          <w:color w:val="auto"/>
          <w:sz w:val="22"/>
          <w:szCs w:val="22"/>
        </w:rPr>
      </w:pPr>
      <w:r w:rsidRPr="00604D22">
        <w:rPr>
          <w:rFonts w:ascii="Times New Roman" w:hAnsi="Times New Roman" w:cs="Times New Roman"/>
          <w:b/>
          <w:color w:val="auto"/>
          <w:sz w:val="22"/>
          <w:szCs w:val="22"/>
        </w:rPr>
        <w:t>Section 5</w:t>
      </w:r>
      <w:r w:rsidRPr="00604D22">
        <w:rPr>
          <w:rFonts w:ascii="Times New Roman" w:hAnsi="Times New Roman" w:cs="Times New Roman"/>
          <w:b/>
          <w:color w:val="auto"/>
          <w:sz w:val="22"/>
          <w:szCs w:val="22"/>
        </w:rPr>
        <w:tab/>
        <w:t>Repeal of this instrument</w:t>
      </w:r>
    </w:p>
    <w:p w14:paraId="75FF1260" w14:textId="19D5D2C6" w:rsidR="00901A53" w:rsidRPr="00604D22" w:rsidRDefault="00901A53" w:rsidP="00901A53">
      <w:pPr>
        <w:pStyle w:val="subsection"/>
        <w:spacing w:before="0" w:after="240" w:line="360" w:lineRule="auto"/>
        <w:ind w:left="0" w:firstLine="0"/>
        <w:contextualSpacing/>
        <w:rPr>
          <w:sz w:val="22"/>
          <w:szCs w:val="22"/>
          <w:lang w:val="en-AU"/>
        </w:rPr>
      </w:pPr>
      <w:r w:rsidRPr="00604D22">
        <w:rPr>
          <w:snapToGrid/>
          <w:sz w:val="22"/>
          <w:szCs w:val="22"/>
          <w:lang w:val="en-AU" w:eastAsia="en-US"/>
        </w:rPr>
        <w:t xml:space="preserve">This section provides that the certificate is repealed at the start of 2 </w:t>
      </w:r>
      <w:r w:rsidR="00A43A0E">
        <w:rPr>
          <w:sz w:val="22"/>
          <w:szCs w:val="22"/>
        </w:rPr>
        <w:t>October</w:t>
      </w:r>
      <w:r w:rsidRPr="00604D22">
        <w:rPr>
          <w:sz w:val="22"/>
          <w:szCs w:val="22"/>
        </w:rPr>
        <w:t xml:space="preserve"> </w:t>
      </w:r>
      <w:r w:rsidR="00A43A0E">
        <w:rPr>
          <w:sz w:val="22"/>
          <w:szCs w:val="22"/>
        </w:rPr>
        <w:t>2026</w:t>
      </w:r>
      <w:r w:rsidRPr="00604D22">
        <w:rPr>
          <w:sz w:val="22"/>
          <w:szCs w:val="22"/>
        </w:rPr>
        <w:t>.</w:t>
      </w:r>
    </w:p>
    <w:p w14:paraId="5570D0D4" w14:textId="77777777" w:rsidR="00901A53" w:rsidRDefault="00901A53"/>
    <w:sectPr w:rsidR="00901A53" w:rsidSect="003141CF">
      <w:footerReference w:type="default" r:id="rId13"/>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CD74B" w14:textId="77777777" w:rsidR="00810E13" w:rsidRDefault="00810E13">
      <w:r>
        <w:separator/>
      </w:r>
    </w:p>
  </w:endnote>
  <w:endnote w:type="continuationSeparator" w:id="0">
    <w:p w14:paraId="55184598" w14:textId="77777777" w:rsidR="00810E13" w:rsidRDefault="00810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8665426"/>
      <w:docPartObj>
        <w:docPartGallery w:val="Page Numbers (Bottom of Page)"/>
        <w:docPartUnique/>
      </w:docPartObj>
    </w:sdtPr>
    <w:sdtEndPr>
      <w:rPr>
        <w:noProof/>
      </w:rPr>
    </w:sdtEndPr>
    <w:sdtContent>
      <w:p w14:paraId="3C6FE24C" w14:textId="77777777" w:rsidR="009B152F" w:rsidRDefault="008739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494099" w14:textId="77777777" w:rsidR="009B152F" w:rsidRDefault="00140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80A78" w14:textId="77777777" w:rsidR="00810E13" w:rsidRDefault="00810E13">
      <w:r>
        <w:separator/>
      </w:r>
    </w:p>
  </w:footnote>
  <w:footnote w:type="continuationSeparator" w:id="0">
    <w:p w14:paraId="4A734E8D" w14:textId="77777777" w:rsidR="00810E13" w:rsidRDefault="00810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7E87"/>
    <w:multiLevelType w:val="hybridMultilevel"/>
    <w:tmpl w:val="AFDC2B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7471FE"/>
    <w:multiLevelType w:val="hybridMultilevel"/>
    <w:tmpl w:val="C70A7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FD3671"/>
    <w:multiLevelType w:val="hybridMultilevel"/>
    <w:tmpl w:val="B750F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A3D03AB"/>
    <w:multiLevelType w:val="hybridMultilevel"/>
    <w:tmpl w:val="613C9548"/>
    <w:lvl w:ilvl="0" w:tplc="8EBA1950">
      <w:start w:val="1"/>
      <w:numFmt w:val="lowerLetter"/>
      <w:lvlText w:val="(%1)"/>
      <w:lvlJc w:val="left"/>
      <w:pPr>
        <w:ind w:left="825" w:hanging="465"/>
      </w:pPr>
      <w:rPr>
        <w:rFonts w:hint="default"/>
        <w:b w:val="0"/>
      </w:rPr>
    </w:lvl>
    <w:lvl w:ilvl="1" w:tplc="01EC1E48">
      <w:start w:val="1"/>
      <w:numFmt w:val="lowerRoman"/>
      <w:lvlText w:val="%2)"/>
      <w:lvlJc w:val="left"/>
      <w:pPr>
        <w:ind w:left="1440" w:hanging="360"/>
      </w:pPr>
      <w:rPr>
        <w:rFonts w:hint="default"/>
        <w:b w:val="0"/>
      </w:rPr>
    </w:lvl>
    <w:lvl w:ilvl="2" w:tplc="6CB4AB32">
      <w:start w:val="1"/>
      <w:numFmt w:val="bullet"/>
      <w:lvlText w:val="•"/>
      <w:lvlJc w:val="left"/>
      <w:pPr>
        <w:ind w:left="2700" w:hanging="720"/>
      </w:pPr>
      <w:rPr>
        <w:rFonts w:ascii="Times New Roman" w:eastAsia="Times New Roman" w:hAnsi="Times New Roman" w:cs="Times New Roman"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3131FD"/>
    <w:multiLevelType w:val="hybridMultilevel"/>
    <w:tmpl w:val="F30E0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B23B8A"/>
    <w:multiLevelType w:val="hybridMultilevel"/>
    <w:tmpl w:val="EA44DB9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284013"/>
    <w:multiLevelType w:val="hybridMultilevel"/>
    <w:tmpl w:val="A5F052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0D4A05"/>
    <w:multiLevelType w:val="hybridMultilevel"/>
    <w:tmpl w:val="EE5AB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DE4C96"/>
    <w:multiLevelType w:val="hybridMultilevel"/>
    <w:tmpl w:val="1C20469C"/>
    <w:lvl w:ilvl="0" w:tplc="396AEFE8">
      <w:start w:val="1"/>
      <w:numFmt w:val="lowerLetter"/>
      <w:lvlText w:val="%1)"/>
      <w:lvlJc w:val="left"/>
      <w:pPr>
        <w:ind w:left="720" w:hanging="360"/>
      </w:pPr>
      <w:rPr>
        <w:b w:val="0"/>
      </w:rPr>
    </w:lvl>
    <w:lvl w:ilvl="1" w:tplc="36583062">
      <w:start w:val="1"/>
      <w:numFmt w:val="lowerRoman"/>
      <w:lvlText w:val="%2."/>
      <w:lvlJc w:val="right"/>
      <w:pPr>
        <w:ind w:left="1440" w:hanging="360"/>
      </w:pPr>
      <w:rPr>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9204864"/>
    <w:multiLevelType w:val="hybridMultilevel"/>
    <w:tmpl w:val="CBCA8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2C7104"/>
    <w:multiLevelType w:val="hybridMultilevel"/>
    <w:tmpl w:val="0ABE7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F0317F"/>
    <w:multiLevelType w:val="hybridMultilevel"/>
    <w:tmpl w:val="835CC0FA"/>
    <w:lvl w:ilvl="0" w:tplc="EBC203B8">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C554A16"/>
    <w:multiLevelType w:val="hybridMultilevel"/>
    <w:tmpl w:val="0660E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BD3608"/>
    <w:multiLevelType w:val="hybridMultilevel"/>
    <w:tmpl w:val="2E98F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BB20F9A"/>
    <w:multiLevelType w:val="hybridMultilevel"/>
    <w:tmpl w:val="EA44DB9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2941376"/>
    <w:multiLevelType w:val="hybridMultilevel"/>
    <w:tmpl w:val="A9DCE368"/>
    <w:lvl w:ilvl="0" w:tplc="20D04E8E">
      <w:start w:val="1"/>
      <w:numFmt w:val="lowerLetter"/>
      <w:lvlText w:val="(%1)"/>
      <w:lvlJc w:val="left"/>
      <w:pPr>
        <w:ind w:left="720" w:hanging="360"/>
      </w:pPr>
      <w:rPr>
        <w:rFonts w:ascii="Times New Roman" w:eastAsiaTheme="majorEastAsia"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A807DA9"/>
    <w:multiLevelType w:val="hybridMultilevel"/>
    <w:tmpl w:val="2402C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88193A"/>
    <w:multiLevelType w:val="hybridMultilevel"/>
    <w:tmpl w:val="0CCE8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D864BA"/>
    <w:multiLevelType w:val="hybridMultilevel"/>
    <w:tmpl w:val="FAEE3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295C14"/>
    <w:multiLevelType w:val="hybridMultilevel"/>
    <w:tmpl w:val="EA44DB9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6B43BED"/>
    <w:multiLevelType w:val="hybridMultilevel"/>
    <w:tmpl w:val="807ED60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6BC6A34"/>
    <w:multiLevelType w:val="hybridMultilevel"/>
    <w:tmpl w:val="171E5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B5C4AA6"/>
    <w:multiLevelType w:val="hybridMultilevel"/>
    <w:tmpl w:val="10444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885084"/>
    <w:multiLevelType w:val="hybridMultilevel"/>
    <w:tmpl w:val="3F007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350289"/>
    <w:multiLevelType w:val="hybridMultilevel"/>
    <w:tmpl w:val="E8802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9B5682"/>
    <w:multiLevelType w:val="hybridMultilevel"/>
    <w:tmpl w:val="279E3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7"/>
  </w:num>
  <w:num w:numId="4">
    <w:abstractNumId w:val="11"/>
  </w:num>
  <w:num w:numId="5">
    <w:abstractNumId w:val="20"/>
  </w:num>
  <w:num w:numId="6">
    <w:abstractNumId w:val="6"/>
  </w:num>
  <w:num w:numId="7">
    <w:abstractNumId w:val="12"/>
  </w:num>
  <w:num w:numId="8">
    <w:abstractNumId w:val="22"/>
  </w:num>
  <w:num w:numId="9">
    <w:abstractNumId w:val="21"/>
  </w:num>
  <w:num w:numId="10">
    <w:abstractNumId w:val="24"/>
  </w:num>
  <w:num w:numId="11">
    <w:abstractNumId w:val="8"/>
  </w:num>
  <w:num w:numId="12">
    <w:abstractNumId w:val="15"/>
  </w:num>
  <w:num w:numId="13">
    <w:abstractNumId w:val="16"/>
  </w:num>
  <w:num w:numId="14">
    <w:abstractNumId w:val="9"/>
  </w:num>
  <w:num w:numId="15">
    <w:abstractNumId w:val="10"/>
  </w:num>
  <w:num w:numId="16">
    <w:abstractNumId w:val="25"/>
  </w:num>
  <w:num w:numId="17">
    <w:abstractNumId w:val="18"/>
  </w:num>
  <w:num w:numId="18">
    <w:abstractNumId w:val="13"/>
  </w:num>
  <w:num w:numId="19">
    <w:abstractNumId w:val="2"/>
  </w:num>
  <w:num w:numId="20">
    <w:abstractNumId w:val="0"/>
  </w:num>
  <w:num w:numId="21">
    <w:abstractNumId w:val="23"/>
  </w:num>
  <w:num w:numId="22">
    <w:abstractNumId w:val="7"/>
  </w:num>
  <w:num w:numId="23">
    <w:abstractNumId w:val="19"/>
  </w:num>
  <w:num w:numId="24">
    <w:abstractNumId w:val="5"/>
  </w:num>
  <w:num w:numId="25">
    <w:abstractNumId w:val="4"/>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A53"/>
    <w:rsid w:val="000078A3"/>
    <w:rsid w:val="00024048"/>
    <w:rsid w:val="00041EBE"/>
    <w:rsid w:val="00140C0D"/>
    <w:rsid w:val="0015366F"/>
    <w:rsid w:val="0016685C"/>
    <w:rsid w:val="001910C2"/>
    <w:rsid w:val="001E3E50"/>
    <w:rsid w:val="001F3736"/>
    <w:rsid w:val="00225CC3"/>
    <w:rsid w:val="00246821"/>
    <w:rsid w:val="0025659D"/>
    <w:rsid w:val="00261879"/>
    <w:rsid w:val="00265EA1"/>
    <w:rsid w:val="002B7FE5"/>
    <w:rsid w:val="002C19AE"/>
    <w:rsid w:val="002C260C"/>
    <w:rsid w:val="002D06D5"/>
    <w:rsid w:val="002F587A"/>
    <w:rsid w:val="003034BF"/>
    <w:rsid w:val="00327114"/>
    <w:rsid w:val="00331654"/>
    <w:rsid w:val="00335927"/>
    <w:rsid w:val="00340E4D"/>
    <w:rsid w:val="00356216"/>
    <w:rsid w:val="00370235"/>
    <w:rsid w:val="004461F6"/>
    <w:rsid w:val="00497901"/>
    <w:rsid w:val="005721FD"/>
    <w:rsid w:val="005E7691"/>
    <w:rsid w:val="00616AF2"/>
    <w:rsid w:val="00621CC6"/>
    <w:rsid w:val="00624469"/>
    <w:rsid w:val="00634C12"/>
    <w:rsid w:val="00664441"/>
    <w:rsid w:val="0067062F"/>
    <w:rsid w:val="006B56AA"/>
    <w:rsid w:val="00700A61"/>
    <w:rsid w:val="00716C10"/>
    <w:rsid w:val="00777B8E"/>
    <w:rsid w:val="00810E13"/>
    <w:rsid w:val="008739E8"/>
    <w:rsid w:val="008D05C9"/>
    <w:rsid w:val="00901A53"/>
    <w:rsid w:val="00966C5F"/>
    <w:rsid w:val="00A00601"/>
    <w:rsid w:val="00A34DF2"/>
    <w:rsid w:val="00A43A0E"/>
    <w:rsid w:val="00A47E37"/>
    <w:rsid w:val="00A54567"/>
    <w:rsid w:val="00A7661F"/>
    <w:rsid w:val="00A944BB"/>
    <w:rsid w:val="00B11713"/>
    <w:rsid w:val="00B16F63"/>
    <w:rsid w:val="00B20D42"/>
    <w:rsid w:val="00B516D2"/>
    <w:rsid w:val="00B64DF0"/>
    <w:rsid w:val="00B7520C"/>
    <w:rsid w:val="00B8353C"/>
    <w:rsid w:val="00B97528"/>
    <w:rsid w:val="00BA12C2"/>
    <w:rsid w:val="00BB7185"/>
    <w:rsid w:val="00BC6511"/>
    <w:rsid w:val="00BD4250"/>
    <w:rsid w:val="00BD5DE3"/>
    <w:rsid w:val="00C266C0"/>
    <w:rsid w:val="00C81F5A"/>
    <w:rsid w:val="00D0330B"/>
    <w:rsid w:val="00D23028"/>
    <w:rsid w:val="00D30238"/>
    <w:rsid w:val="00D33B72"/>
    <w:rsid w:val="00D664F7"/>
    <w:rsid w:val="00D86EE8"/>
    <w:rsid w:val="00DA3C61"/>
    <w:rsid w:val="00DA7CBD"/>
    <w:rsid w:val="00E438E0"/>
    <w:rsid w:val="00E528D4"/>
    <w:rsid w:val="00E70978"/>
    <w:rsid w:val="00E7314F"/>
    <w:rsid w:val="00EB4A1C"/>
    <w:rsid w:val="00EC0F04"/>
    <w:rsid w:val="00EF1CA2"/>
    <w:rsid w:val="00F068C4"/>
    <w:rsid w:val="00F11D37"/>
    <w:rsid w:val="00F73932"/>
    <w:rsid w:val="00FB1AC5"/>
    <w:rsid w:val="00FD0E41"/>
    <w:rsid w:val="00FE24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0135D"/>
  <w15:chartTrackingRefBased/>
  <w15:docId w15:val="{BEC65DFD-E59E-4D8B-A6BF-D3C8E990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1A53"/>
    <w:pPr>
      <w:widowControl w:val="0"/>
      <w:spacing w:after="0" w:line="240" w:lineRule="auto"/>
    </w:pPr>
    <w:rPr>
      <w:rFonts w:ascii="Times New Roman" w:eastAsia="Times New Roman" w:hAnsi="Times New Roman" w:cs="Times New Roman"/>
      <w:snapToGrid w:val="0"/>
      <w:sz w:val="24"/>
      <w:szCs w:val="20"/>
      <w:lang w:val="en-US"/>
    </w:rPr>
  </w:style>
  <w:style w:type="paragraph" w:styleId="Heading1">
    <w:name w:val="heading 1"/>
    <w:basedOn w:val="Heading2"/>
    <w:next w:val="Normal"/>
    <w:link w:val="Heading1Char"/>
    <w:qFormat/>
    <w:rsid w:val="00901A53"/>
    <w:pPr>
      <w:keepNext w:val="0"/>
      <w:keepLines w:val="0"/>
      <w:spacing w:before="360" w:line="260" w:lineRule="atLeast"/>
      <w:jc w:val="center"/>
      <w:outlineLvl w:val="0"/>
    </w:pPr>
    <w:rPr>
      <w:rFonts w:ascii="Times New Roman" w:eastAsia="Times New Roman" w:hAnsi="Times New Roman" w:cs="Times New Roman"/>
      <w:b/>
      <w:color w:val="auto"/>
      <w:sz w:val="28"/>
      <w:szCs w:val="24"/>
      <w:lang w:val="en-AU"/>
    </w:rPr>
  </w:style>
  <w:style w:type="paragraph" w:styleId="Heading2">
    <w:name w:val="heading 2"/>
    <w:basedOn w:val="Normal"/>
    <w:next w:val="Normal"/>
    <w:link w:val="Heading2Char"/>
    <w:uiPriority w:val="9"/>
    <w:semiHidden/>
    <w:unhideWhenUsed/>
    <w:qFormat/>
    <w:rsid w:val="00901A5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01A53"/>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1A53"/>
    <w:rPr>
      <w:rFonts w:ascii="Times New Roman" w:eastAsia="Times New Roman" w:hAnsi="Times New Roman" w:cs="Times New Roman"/>
      <w:b/>
      <w:snapToGrid w:val="0"/>
      <w:sz w:val="28"/>
      <w:szCs w:val="24"/>
    </w:rPr>
  </w:style>
  <w:style w:type="character" w:customStyle="1" w:styleId="Heading2Char">
    <w:name w:val="Heading 2 Char"/>
    <w:basedOn w:val="DefaultParagraphFont"/>
    <w:link w:val="Heading2"/>
    <w:uiPriority w:val="9"/>
    <w:semiHidden/>
    <w:rsid w:val="00901A53"/>
    <w:rPr>
      <w:rFonts w:asciiTheme="majorHAnsi" w:eastAsiaTheme="majorEastAsia" w:hAnsiTheme="majorHAnsi" w:cstheme="majorBidi"/>
      <w:snapToGrid w:val="0"/>
      <w:color w:val="2F5496" w:themeColor="accent1" w:themeShade="BF"/>
      <w:sz w:val="26"/>
      <w:szCs w:val="26"/>
      <w:lang w:val="en-US"/>
    </w:rPr>
  </w:style>
  <w:style w:type="character" w:customStyle="1" w:styleId="Heading3Char">
    <w:name w:val="Heading 3 Char"/>
    <w:basedOn w:val="DefaultParagraphFont"/>
    <w:link w:val="Heading3"/>
    <w:uiPriority w:val="9"/>
    <w:rsid w:val="00901A53"/>
    <w:rPr>
      <w:rFonts w:asciiTheme="majorHAnsi" w:eastAsiaTheme="majorEastAsia" w:hAnsiTheme="majorHAnsi" w:cstheme="majorBidi"/>
      <w:snapToGrid w:val="0"/>
      <w:color w:val="1F3763" w:themeColor="accent1" w:themeShade="7F"/>
      <w:sz w:val="24"/>
      <w:szCs w:val="24"/>
      <w:lang w:val="en-US"/>
    </w:rPr>
  </w:style>
  <w:style w:type="paragraph" w:customStyle="1" w:styleId="Basetext">
    <w:name w:val="Base text"/>
    <w:basedOn w:val="Normal"/>
    <w:link w:val="BasetextChar"/>
    <w:qFormat/>
    <w:rsid w:val="00901A53"/>
    <w:pPr>
      <w:spacing w:before="180" w:line="276" w:lineRule="auto"/>
    </w:pPr>
    <w:rPr>
      <w:sz w:val="22"/>
      <w:szCs w:val="22"/>
      <w:lang w:val="en-AU"/>
    </w:rPr>
  </w:style>
  <w:style w:type="character" w:customStyle="1" w:styleId="BasetextChar">
    <w:name w:val="Base text Char"/>
    <w:basedOn w:val="DefaultParagraphFont"/>
    <w:link w:val="Basetext"/>
    <w:rsid w:val="00901A53"/>
    <w:rPr>
      <w:rFonts w:ascii="Times New Roman" w:eastAsia="Times New Roman" w:hAnsi="Times New Roman" w:cs="Times New Roman"/>
      <w:snapToGrid w:val="0"/>
    </w:rPr>
  </w:style>
  <w:style w:type="paragraph" w:styleId="ListParagraph">
    <w:name w:val="List Paragraph"/>
    <w:basedOn w:val="Normal"/>
    <w:uiPriority w:val="34"/>
    <w:qFormat/>
    <w:rsid w:val="00901A53"/>
    <w:pPr>
      <w:ind w:left="720"/>
      <w:contextualSpacing/>
    </w:pPr>
  </w:style>
  <w:style w:type="paragraph" w:styleId="Footer">
    <w:name w:val="footer"/>
    <w:basedOn w:val="Normal"/>
    <w:link w:val="FooterChar"/>
    <w:uiPriority w:val="99"/>
    <w:unhideWhenUsed/>
    <w:rsid w:val="00901A53"/>
    <w:pPr>
      <w:tabs>
        <w:tab w:val="center" w:pos="4513"/>
        <w:tab w:val="right" w:pos="9026"/>
      </w:tabs>
    </w:pPr>
  </w:style>
  <w:style w:type="character" w:customStyle="1" w:styleId="FooterChar">
    <w:name w:val="Footer Char"/>
    <w:basedOn w:val="DefaultParagraphFont"/>
    <w:link w:val="Footer"/>
    <w:uiPriority w:val="99"/>
    <w:rsid w:val="00901A53"/>
    <w:rPr>
      <w:rFonts w:ascii="Times New Roman" w:eastAsia="Times New Roman" w:hAnsi="Times New Roman" w:cs="Times New Roman"/>
      <w:snapToGrid w:val="0"/>
      <w:sz w:val="24"/>
      <w:szCs w:val="20"/>
      <w:lang w:val="en-US"/>
    </w:rPr>
  </w:style>
  <w:style w:type="paragraph" w:customStyle="1" w:styleId="subsection">
    <w:name w:val="subsection"/>
    <w:aliases w:val="ss"/>
    <w:basedOn w:val="Normal"/>
    <w:link w:val="subsectionChar"/>
    <w:rsid w:val="00901A53"/>
    <w:pPr>
      <w:tabs>
        <w:tab w:val="right" w:pos="1021"/>
      </w:tabs>
      <w:spacing w:before="180"/>
      <w:ind w:left="1134" w:hanging="1134"/>
    </w:pPr>
    <w:rPr>
      <w:lang w:eastAsia="en-AU"/>
    </w:rPr>
  </w:style>
  <w:style w:type="character" w:customStyle="1" w:styleId="subsectionChar">
    <w:name w:val="subsection Char"/>
    <w:aliases w:val="ss Char"/>
    <w:link w:val="subsection"/>
    <w:locked/>
    <w:rsid w:val="00901A53"/>
    <w:rPr>
      <w:rFonts w:ascii="Times New Roman" w:eastAsia="Times New Roman" w:hAnsi="Times New Roman" w:cs="Times New Roman"/>
      <w:snapToGrid w:val="0"/>
      <w:sz w:val="24"/>
      <w:szCs w:val="20"/>
      <w:lang w:val="en-US" w:eastAsia="en-AU"/>
    </w:rPr>
  </w:style>
  <w:style w:type="paragraph" w:customStyle="1" w:styleId="Default">
    <w:name w:val="Default"/>
    <w:rsid w:val="00901A53"/>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PlaceholderText">
    <w:name w:val="Placeholder Text"/>
    <w:basedOn w:val="DefaultParagraphFont"/>
    <w:uiPriority w:val="99"/>
    <w:semiHidden/>
    <w:rsid w:val="00901A53"/>
    <w:rPr>
      <w:color w:val="808080"/>
    </w:rPr>
  </w:style>
  <w:style w:type="character" w:styleId="CommentReference">
    <w:name w:val="annotation reference"/>
    <w:basedOn w:val="DefaultParagraphFont"/>
    <w:uiPriority w:val="99"/>
    <w:semiHidden/>
    <w:unhideWhenUsed/>
    <w:rsid w:val="00901A53"/>
    <w:rPr>
      <w:sz w:val="16"/>
      <w:szCs w:val="16"/>
    </w:rPr>
  </w:style>
  <w:style w:type="paragraph" w:styleId="CommentText">
    <w:name w:val="annotation text"/>
    <w:basedOn w:val="Normal"/>
    <w:link w:val="CommentTextChar"/>
    <w:uiPriority w:val="99"/>
    <w:unhideWhenUsed/>
    <w:rsid w:val="00901A53"/>
    <w:rPr>
      <w:sz w:val="20"/>
    </w:rPr>
  </w:style>
  <w:style w:type="character" w:customStyle="1" w:styleId="CommentTextChar">
    <w:name w:val="Comment Text Char"/>
    <w:basedOn w:val="DefaultParagraphFont"/>
    <w:link w:val="CommentText"/>
    <w:uiPriority w:val="99"/>
    <w:rsid w:val="00901A53"/>
    <w:rPr>
      <w:rFonts w:ascii="Times New Roman" w:eastAsia="Times New Roman" w:hAnsi="Times New Roman" w:cs="Times New Roman"/>
      <w:snapToGrid w:val="0"/>
      <w:sz w:val="20"/>
      <w:szCs w:val="20"/>
      <w:lang w:val="en-US"/>
    </w:rPr>
  </w:style>
  <w:style w:type="paragraph" w:styleId="NoSpacing">
    <w:name w:val="No Spacing"/>
    <w:uiPriority w:val="1"/>
    <w:qFormat/>
    <w:rsid w:val="00901A53"/>
    <w:pPr>
      <w:widowControl w:val="0"/>
      <w:spacing w:after="0" w:line="240" w:lineRule="auto"/>
    </w:pPr>
    <w:rPr>
      <w:rFonts w:ascii="Times New Roman" w:eastAsia="Times New Roman" w:hAnsi="Times New Roman" w:cs="Times New Roman"/>
      <w:snapToGrid w:val="0"/>
      <w:sz w:val="24"/>
      <w:szCs w:val="20"/>
      <w:lang w:val="en-US"/>
    </w:rPr>
  </w:style>
  <w:style w:type="paragraph" w:styleId="BalloonText">
    <w:name w:val="Balloon Text"/>
    <w:basedOn w:val="Normal"/>
    <w:link w:val="BalloonTextChar"/>
    <w:uiPriority w:val="99"/>
    <w:semiHidden/>
    <w:unhideWhenUsed/>
    <w:rsid w:val="00901A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A53"/>
    <w:rPr>
      <w:rFonts w:ascii="Segoe UI" w:eastAsia="Times New Roman" w:hAnsi="Segoe UI" w:cs="Segoe UI"/>
      <w:snapToGrid w:val="0"/>
      <w:sz w:val="18"/>
      <w:szCs w:val="18"/>
      <w:lang w:val="en-US"/>
    </w:rPr>
  </w:style>
  <w:style w:type="character" w:styleId="Hyperlink">
    <w:name w:val="Hyperlink"/>
    <w:uiPriority w:val="99"/>
    <w:semiHidden/>
    <w:unhideWhenUsed/>
    <w:rsid w:val="00B516D2"/>
    <w:rPr>
      <w:color w:val="0000FF"/>
      <w:u w:val="single"/>
    </w:rPr>
  </w:style>
  <w:style w:type="paragraph" w:styleId="CommentSubject">
    <w:name w:val="annotation subject"/>
    <w:basedOn w:val="CommentText"/>
    <w:next w:val="CommentText"/>
    <w:link w:val="CommentSubjectChar"/>
    <w:uiPriority w:val="99"/>
    <w:semiHidden/>
    <w:unhideWhenUsed/>
    <w:rsid w:val="00D664F7"/>
    <w:rPr>
      <w:b/>
      <w:bCs/>
    </w:rPr>
  </w:style>
  <w:style w:type="character" w:customStyle="1" w:styleId="CommentSubjectChar">
    <w:name w:val="Comment Subject Char"/>
    <w:basedOn w:val="CommentTextChar"/>
    <w:link w:val="CommentSubject"/>
    <w:uiPriority w:val="99"/>
    <w:semiHidden/>
    <w:rsid w:val="00D664F7"/>
    <w:rPr>
      <w:rFonts w:ascii="Times New Roman" w:eastAsia="Times New Roman" w:hAnsi="Times New Roman" w:cs="Times New Roman"/>
      <w:b/>
      <w:bCs/>
      <w:snapToGrid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21696">
      <w:bodyDiv w:val="1"/>
      <w:marLeft w:val="0"/>
      <w:marRight w:val="0"/>
      <w:marTop w:val="0"/>
      <w:marBottom w:val="0"/>
      <w:divBdr>
        <w:top w:val="none" w:sz="0" w:space="0" w:color="auto"/>
        <w:left w:val="none" w:sz="0" w:space="0" w:color="auto"/>
        <w:bottom w:val="none" w:sz="0" w:space="0" w:color="auto"/>
        <w:right w:val="none" w:sz="0" w:space="0" w:color="auto"/>
      </w:divBdr>
    </w:div>
    <w:div w:id="334192657">
      <w:bodyDiv w:val="1"/>
      <w:marLeft w:val="0"/>
      <w:marRight w:val="0"/>
      <w:marTop w:val="0"/>
      <w:marBottom w:val="0"/>
      <w:divBdr>
        <w:top w:val="none" w:sz="0" w:space="0" w:color="auto"/>
        <w:left w:val="none" w:sz="0" w:space="0" w:color="auto"/>
        <w:bottom w:val="none" w:sz="0" w:space="0" w:color="auto"/>
        <w:right w:val="none" w:sz="0" w:space="0" w:color="auto"/>
      </w:divBdr>
    </w:div>
    <w:div w:id="413627664">
      <w:bodyDiv w:val="1"/>
      <w:marLeft w:val="0"/>
      <w:marRight w:val="0"/>
      <w:marTop w:val="0"/>
      <w:marBottom w:val="0"/>
      <w:divBdr>
        <w:top w:val="none" w:sz="0" w:space="0" w:color="auto"/>
        <w:left w:val="none" w:sz="0" w:space="0" w:color="auto"/>
        <w:bottom w:val="none" w:sz="0" w:space="0" w:color="auto"/>
        <w:right w:val="none" w:sz="0" w:space="0" w:color="auto"/>
      </w:divBdr>
    </w:div>
    <w:div w:id="963854885">
      <w:bodyDiv w:val="1"/>
      <w:marLeft w:val="0"/>
      <w:marRight w:val="0"/>
      <w:marTop w:val="0"/>
      <w:marBottom w:val="0"/>
      <w:divBdr>
        <w:top w:val="none" w:sz="0" w:space="0" w:color="auto"/>
        <w:left w:val="none" w:sz="0" w:space="0" w:color="auto"/>
        <w:bottom w:val="none" w:sz="0" w:space="0" w:color="auto"/>
        <w:right w:val="none" w:sz="0" w:space="0" w:color="auto"/>
      </w:divBdr>
    </w:div>
    <w:div w:id="1203515923">
      <w:bodyDiv w:val="1"/>
      <w:marLeft w:val="0"/>
      <w:marRight w:val="0"/>
      <w:marTop w:val="0"/>
      <w:marBottom w:val="0"/>
      <w:divBdr>
        <w:top w:val="none" w:sz="0" w:space="0" w:color="auto"/>
        <w:left w:val="none" w:sz="0" w:space="0" w:color="auto"/>
        <w:bottom w:val="none" w:sz="0" w:space="0" w:color="auto"/>
        <w:right w:val="none" w:sz="0" w:space="0" w:color="auto"/>
      </w:divBdr>
    </w:div>
    <w:div w:id="1343900955">
      <w:bodyDiv w:val="1"/>
      <w:marLeft w:val="0"/>
      <w:marRight w:val="0"/>
      <w:marTop w:val="0"/>
      <w:marBottom w:val="0"/>
      <w:divBdr>
        <w:top w:val="none" w:sz="0" w:space="0" w:color="auto"/>
        <w:left w:val="none" w:sz="0" w:space="0" w:color="auto"/>
        <w:bottom w:val="none" w:sz="0" w:space="0" w:color="auto"/>
        <w:right w:val="none" w:sz="0" w:space="0" w:color="auto"/>
      </w:divBdr>
    </w:div>
    <w:div w:id="1381589738">
      <w:bodyDiv w:val="1"/>
      <w:marLeft w:val="0"/>
      <w:marRight w:val="0"/>
      <w:marTop w:val="0"/>
      <w:marBottom w:val="0"/>
      <w:divBdr>
        <w:top w:val="none" w:sz="0" w:space="0" w:color="auto"/>
        <w:left w:val="none" w:sz="0" w:space="0" w:color="auto"/>
        <w:bottom w:val="none" w:sz="0" w:space="0" w:color="auto"/>
        <w:right w:val="none" w:sz="0" w:space="0" w:color="auto"/>
      </w:divBdr>
    </w:div>
    <w:div w:id="1785151515">
      <w:bodyDiv w:val="1"/>
      <w:marLeft w:val="0"/>
      <w:marRight w:val="0"/>
      <w:marTop w:val="0"/>
      <w:marBottom w:val="0"/>
      <w:divBdr>
        <w:top w:val="none" w:sz="0" w:space="0" w:color="auto"/>
        <w:left w:val="none" w:sz="0" w:space="0" w:color="auto"/>
        <w:bottom w:val="none" w:sz="0" w:space="0" w:color="auto"/>
        <w:right w:val="none" w:sz="0" w:space="0" w:color="auto"/>
      </w:divBdr>
    </w:div>
    <w:div w:id="1821924791">
      <w:bodyDiv w:val="1"/>
      <w:marLeft w:val="0"/>
      <w:marRight w:val="0"/>
      <w:marTop w:val="0"/>
      <w:marBottom w:val="0"/>
      <w:divBdr>
        <w:top w:val="none" w:sz="0" w:space="0" w:color="auto"/>
        <w:left w:val="none" w:sz="0" w:space="0" w:color="auto"/>
        <w:bottom w:val="none" w:sz="0" w:space="0" w:color="auto"/>
        <w:right w:val="none" w:sz="0" w:space="0" w:color="auto"/>
      </w:divBdr>
    </w:div>
    <w:div w:id="207967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gislation.gov.au/Details/F2021C0016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au/Details/F2022C0100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legislation.gov.au/Details/F2022C0103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567C3C469A8A74BAAB4FBC3267F87C0" ma:contentTypeVersion="" ma:contentTypeDescription="PDMS Document Site Content Type" ma:contentTypeScope="" ma:versionID="26f293980904bddd7135ab4abb742054">
  <xsd:schema xmlns:xsd="http://www.w3.org/2001/XMLSchema" xmlns:xs="http://www.w3.org/2001/XMLSchema" xmlns:p="http://schemas.microsoft.com/office/2006/metadata/properties" xmlns:ns2="F5712CC6-FE33-44D1-9532-10C2F0C28602" targetNamespace="http://schemas.microsoft.com/office/2006/metadata/properties" ma:root="true" ma:fieldsID="6fd3734d2b89d425c33ddd6f7f37003c" ns2:_="">
    <xsd:import namespace="F5712CC6-FE33-44D1-9532-10C2F0C2860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12CC6-FE33-44D1-9532-10C2F0C2860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5712CC6-FE33-44D1-9532-10C2F0C28602" xsi:nil="true"/>
  </documentManagement>
</p:properties>
</file>

<file path=customXml/itemProps1.xml><?xml version="1.0" encoding="utf-8"?>
<ds:datastoreItem xmlns:ds="http://schemas.openxmlformats.org/officeDocument/2006/customXml" ds:itemID="{E1365949-0177-4597-B00D-5C2BF13ED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12CC6-FE33-44D1-9532-10C2F0C286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2A0E1C-F57B-44CA-9CA4-35022018DDE4}">
  <ds:schemaRefs>
    <ds:schemaRef ds:uri="http://schemas.microsoft.com/sharepoint/v3/contenttype/forms"/>
  </ds:schemaRefs>
</ds:datastoreItem>
</file>

<file path=customXml/itemProps3.xml><?xml version="1.0" encoding="utf-8"?>
<ds:datastoreItem xmlns:ds="http://schemas.openxmlformats.org/officeDocument/2006/customXml" ds:itemID="{ACF0015F-CA79-4060-A9DA-0BF45714BF50}">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F5712CC6-FE33-44D1-9532-10C2F0C2860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3785</Words>
  <Characters>21579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Argitis, Isabella</dc:creator>
  <cp:keywords/>
  <dc:description/>
  <cp:lastModifiedBy>Argitis, Isabella</cp:lastModifiedBy>
  <cp:revision>2</cp:revision>
  <dcterms:created xsi:type="dcterms:W3CDTF">2024-02-19T07:26:00Z</dcterms:created>
  <dcterms:modified xsi:type="dcterms:W3CDTF">2024-02-19T07:26:00Z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0x010100266966F133664895A6EE3632470D45F500A567C3C469A8A74BAAB4FBC3267F87C0</vt:lpwstr>
  </property>
</Properties>
</file>