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DE6802" w14:textId="77777777" w:rsidR="002A30D2" w:rsidRPr="00997C42" w:rsidRDefault="002A30D2" w:rsidP="002A30D2">
      <w:pPr>
        <w:pStyle w:val="ESTitleHeader"/>
        <w:spacing w:after="0" w:line="240" w:lineRule="auto"/>
        <w:rPr>
          <w:sz w:val="28"/>
        </w:rPr>
      </w:pPr>
      <w:r w:rsidRPr="00997C42">
        <w:rPr>
          <w:sz w:val="28"/>
        </w:rPr>
        <w:t>EXPLANATORY STATEMENT</w:t>
      </w:r>
    </w:p>
    <w:p w14:paraId="214903B3" w14:textId="77777777" w:rsidR="002A30D2" w:rsidRDefault="002A30D2" w:rsidP="002A30D2">
      <w:pPr>
        <w:pStyle w:val="ESTitleDecisionMaker"/>
        <w:spacing w:after="0" w:line="240" w:lineRule="auto"/>
      </w:pPr>
    </w:p>
    <w:p w14:paraId="091F9DE2" w14:textId="77777777" w:rsidR="002A30D2" w:rsidRPr="00997C42" w:rsidRDefault="002A30D2" w:rsidP="002A30D2">
      <w:pPr>
        <w:pStyle w:val="ESTitleDecisionMaker"/>
        <w:spacing w:after="0" w:line="240" w:lineRule="auto"/>
        <w:rPr>
          <w:sz w:val="24"/>
        </w:rPr>
      </w:pPr>
      <w:r w:rsidRPr="00997C42">
        <w:rPr>
          <w:sz w:val="24"/>
        </w:rPr>
        <w:t>Issued by authority of the Minister for Emergency Management</w:t>
      </w:r>
    </w:p>
    <w:p w14:paraId="1CF88EE4" w14:textId="77777777" w:rsidR="002A30D2" w:rsidRPr="001116E6" w:rsidRDefault="002A30D2" w:rsidP="002A30D2">
      <w:pPr>
        <w:pStyle w:val="ESTitleDecisionMaker"/>
        <w:spacing w:after="0" w:line="240" w:lineRule="auto"/>
        <w:rPr>
          <w:sz w:val="24"/>
          <w:szCs w:val="24"/>
        </w:rPr>
      </w:pPr>
    </w:p>
    <w:p w14:paraId="068E859E" w14:textId="77777777" w:rsidR="002A30D2" w:rsidRPr="00997C42" w:rsidRDefault="002A30D2" w:rsidP="002A30D2">
      <w:pPr>
        <w:pStyle w:val="ESTitleEnablingLegislation"/>
        <w:spacing w:after="0" w:line="240" w:lineRule="auto"/>
        <w:rPr>
          <w:i w:val="0"/>
          <w:sz w:val="24"/>
        </w:rPr>
      </w:pPr>
      <w:r w:rsidRPr="00997C42">
        <w:rPr>
          <w:sz w:val="24"/>
        </w:rPr>
        <w:t>Social Security Act 1991</w:t>
      </w:r>
    </w:p>
    <w:p w14:paraId="24A8A823" w14:textId="77777777" w:rsidR="002A30D2" w:rsidRPr="001116E6" w:rsidRDefault="002A30D2" w:rsidP="002A30D2">
      <w:pPr>
        <w:pStyle w:val="ESTitleEnablingLegislation"/>
        <w:spacing w:after="0" w:line="240" w:lineRule="auto"/>
        <w:rPr>
          <w:i w:val="0"/>
          <w:sz w:val="24"/>
          <w:szCs w:val="24"/>
        </w:rPr>
      </w:pPr>
    </w:p>
    <w:p w14:paraId="754700DB" w14:textId="77777777" w:rsidR="002A30D2" w:rsidRPr="00997C42" w:rsidRDefault="002A30D2" w:rsidP="002A30D2">
      <w:pPr>
        <w:pStyle w:val="ESTitleInstrumentName"/>
        <w:spacing w:before="0" w:after="0" w:line="240" w:lineRule="auto"/>
        <w:rPr>
          <w:b w:val="0"/>
          <w:i w:val="0"/>
          <w:sz w:val="24"/>
        </w:rPr>
      </w:pPr>
      <w:r w:rsidRPr="00997C42">
        <w:rPr>
          <w:sz w:val="24"/>
        </w:rPr>
        <w:t>Social Security (Repeal—LIN 24/005) Instrument 2024</w:t>
      </w:r>
    </w:p>
    <w:p w14:paraId="3FF8CFF7" w14:textId="77777777" w:rsidR="002A30D2" w:rsidRPr="001116E6" w:rsidRDefault="002A30D2" w:rsidP="002A30D2">
      <w:pPr>
        <w:pStyle w:val="ESTitleInstrumentName"/>
        <w:spacing w:before="0" w:after="0" w:line="240" w:lineRule="auto"/>
        <w:rPr>
          <w:b w:val="0"/>
          <w:i w:val="0"/>
          <w:sz w:val="24"/>
          <w:szCs w:val="24"/>
        </w:rPr>
      </w:pPr>
    </w:p>
    <w:p w14:paraId="474EFAB1" w14:textId="77777777" w:rsidR="002A30D2" w:rsidRPr="00997C42" w:rsidRDefault="002A30D2" w:rsidP="002A30D2">
      <w:pPr>
        <w:pStyle w:val="ESPara"/>
        <w:spacing w:before="0" w:after="0" w:line="240" w:lineRule="auto"/>
        <w:rPr>
          <w:b/>
          <w:sz w:val="24"/>
        </w:rPr>
      </w:pPr>
      <w:r w:rsidRPr="00997C42">
        <w:rPr>
          <w:b/>
          <w:sz w:val="24"/>
        </w:rPr>
        <w:t>Authority</w:t>
      </w:r>
    </w:p>
    <w:p w14:paraId="3BF4287A" w14:textId="77777777" w:rsidR="002A30D2" w:rsidRPr="001116E6" w:rsidRDefault="002A30D2" w:rsidP="002A30D2">
      <w:pPr>
        <w:pStyle w:val="ESPara"/>
        <w:spacing w:before="0" w:after="0" w:line="240" w:lineRule="auto"/>
        <w:rPr>
          <w:sz w:val="24"/>
          <w:szCs w:val="24"/>
        </w:rPr>
      </w:pPr>
    </w:p>
    <w:p w14:paraId="20C1916F" w14:textId="5C49DFB6" w:rsidR="002A30D2" w:rsidRPr="00E3566A" w:rsidRDefault="002A30D2" w:rsidP="00E3566A">
      <w:pPr>
        <w:pStyle w:val="ESPara"/>
        <w:numPr>
          <w:ilvl w:val="0"/>
          <w:numId w:val="7"/>
        </w:numPr>
        <w:spacing w:before="0" w:after="0" w:line="240" w:lineRule="auto"/>
        <w:ind w:left="426" w:hanging="426"/>
        <w:rPr>
          <w:color w:val="000000"/>
          <w:sz w:val="24"/>
          <w:shd w:val="clear" w:color="auto" w:fill="FFFFFF"/>
        </w:rPr>
      </w:pPr>
      <w:r w:rsidRPr="00E3566A">
        <w:rPr>
          <w:color w:val="000000"/>
          <w:sz w:val="24"/>
          <w:shd w:val="clear" w:color="auto" w:fill="FFFFFF"/>
        </w:rPr>
        <w:t xml:space="preserve">The </w:t>
      </w:r>
      <w:r w:rsidRPr="00E3566A">
        <w:rPr>
          <w:i/>
          <w:color w:val="000000"/>
          <w:sz w:val="24"/>
          <w:shd w:val="clear" w:color="auto" w:fill="FFFFFF"/>
        </w:rPr>
        <w:t>Social Security (Repeal—LIN 24/005) Instrument 2024</w:t>
      </w:r>
      <w:r w:rsidRPr="00E3566A">
        <w:rPr>
          <w:color w:val="000000"/>
          <w:sz w:val="24"/>
          <w:shd w:val="clear" w:color="auto" w:fill="FFFFFF"/>
        </w:rPr>
        <w:t xml:space="preserve"> (the Instrument) is made under subsections 1061KC(2) </w:t>
      </w:r>
      <w:r w:rsidR="00E3566A" w:rsidRPr="00E3566A">
        <w:rPr>
          <w:color w:val="000000"/>
          <w:sz w:val="24"/>
          <w:shd w:val="clear" w:color="auto" w:fill="FFFFFF"/>
        </w:rPr>
        <w:t xml:space="preserve">and 1061L(2) </w:t>
      </w:r>
      <w:r w:rsidRPr="00E3566A">
        <w:rPr>
          <w:color w:val="000000"/>
          <w:sz w:val="24"/>
          <w:shd w:val="clear" w:color="auto" w:fill="FFFFFF"/>
        </w:rPr>
        <w:t xml:space="preserve">of the </w:t>
      </w:r>
      <w:r w:rsidRPr="00E3566A">
        <w:rPr>
          <w:i/>
          <w:color w:val="000000"/>
          <w:sz w:val="24"/>
          <w:shd w:val="clear" w:color="auto" w:fill="FFFFFF"/>
        </w:rPr>
        <w:t>Social Security Act 1991</w:t>
      </w:r>
      <w:r w:rsidRPr="00E3566A">
        <w:rPr>
          <w:color w:val="000000"/>
          <w:sz w:val="24"/>
          <w:shd w:val="clear" w:color="auto" w:fill="FFFFFF"/>
        </w:rPr>
        <w:t xml:space="preserve"> (the Act) by the Minister for Emergency Management.</w:t>
      </w:r>
    </w:p>
    <w:p w14:paraId="3CF5233F" w14:textId="77777777" w:rsidR="002A30D2" w:rsidRDefault="002A30D2" w:rsidP="002A30D2">
      <w:pPr>
        <w:pStyle w:val="ESPara"/>
        <w:spacing w:before="0" w:after="0" w:line="240" w:lineRule="auto"/>
        <w:rPr>
          <w:sz w:val="24"/>
          <w:szCs w:val="24"/>
        </w:rPr>
      </w:pPr>
    </w:p>
    <w:p w14:paraId="2355EC26" w14:textId="25365FCD" w:rsidR="002A30D2" w:rsidRPr="00997C42" w:rsidRDefault="002A30D2" w:rsidP="002A30D2">
      <w:pPr>
        <w:pStyle w:val="ESPara"/>
        <w:numPr>
          <w:ilvl w:val="0"/>
          <w:numId w:val="7"/>
        </w:numPr>
        <w:spacing w:before="0" w:after="0" w:line="240" w:lineRule="auto"/>
        <w:ind w:left="426" w:hanging="426"/>
        <w:rPr>
          <w:sz w:val="24"/>
        </w:rPr>
      </w:pPr>
      <w:r w:rsidRPr="00997C42">
        <w:rPr>
          <w:color w:val="000000"/>
          <w:sz w:val="24"/>
          <w:shd w:val="clear" w:color="auto" w:fill="FFFFFF"/>
        </w:rPr>
        <w:t>The Australian Government Disaster Recovery Payment (AGDRP) provides an immediate, one-off payment to Australians adve</w:t>
      </w:r>
      <w:bookmarkStart w:id="0" w:name="_GoBack"/>
      <w:bookmarkEnd w:id="0"/>
      <w:r w:rsidRPr="00997C42">
        <w:rPr>
          <w:color w:val="000000"/>
          <w:sz w:val="24"/>
          <w:shd w:val="clear" w:color="auto" w:fill="FFFFFF"/>
        </w:rPr>
        <w:t xml:space="preserve">rsely affected by a major disaster. The Disaster Recovery Allowance (DRA) is </w:t>
      </w:r>
      <w:r w:rsidR="00515D02">
        <w:rPr>
          <w:color w:val="000000"/>
          <w:sz w:val="24"/>
          <w:shd w:val="clear" w:color="auto" w:fill="FFFFFF"/>
        </w:rPr>
        <w:t xml:space="preserve">a </w:t>
      </w:r>
      <w:r w:rsidRPr="00997C42">
        <w:rPr>
          <w:color w:val="000000"/>
          <w:sz w:val="24"/>
          <w:shd w:val="clear" w:color="auto" w:fill="FFFFFF"/>
        </w:rPr>
        <w:t>short</w:t>
      </w:r>
      <w:r w:rsidR="00125C2B">
        <w:rPr>
          <w:color w:val="000000"/>
          <w:sz w:val="24"/>
          <w:shd w:val="clear" w:color="auto" w:fill="FFFFFF"/>
        </w:rPr>
        <w:t>-</w:t>
      </w:r>
      <w:r w:rsidRPr="00997C42">
        <w:rPr>
          <w:color w:val="000000"/>
          <w:sz w:val="24"/>
          <w:shd w:val="clear" w:color="auto" w:fill="FFFFFF"/>
        </w:rPr>
        <w:t xml:space="preserve">term income </w:t>
      </w:r>
      <w:r w:rsidR="00515D02">
        <w:rPr>
          <w:color w:val="000000"/>
          <w:sz w:val="24"/>
          <w:shd w:val="clear" w:color="auto" w:fill="FFFFFF"/>
        </w:rPr>
        <w:t xml:space="preserve">support </w:t>
      </w:r>
      <w:r w:rsidRPr="00997C42">
        <w:rPr>
          <w:color w:val="000000"/>
          <w:sz w:val="24"/>
          <w:shd w:val="clear" w:color="auto" w:fill="FFFFFF"/>
        </w:rPr>
        <w:t>payment to Australians who can demonstrate that their income has been directly affected by a major disaster.</w:t>
      </w:r>
    </w:p>
    <w:p w14:paraId="3251337D" w14:textId="77777777" w:rsidR="002A30D2" w:rsidRPr="001116E6" w:rsidRDefault="002A30D2" w:rsidP="002A30D2">
      <w:pPr>
        <w:pStyle w:val="ESPara"/>
        <w:spacing w:before="0" w:after="0" w:line="240" w:lineRule="auto"/>
        <w:rPr>
          <w:sz w:val="24"/>
          <w:szCs w:val="24"/>
        </w:rPr>
      </w:pPr>
    </w:p>
    <w:p w14:paraId="70311966" w14:textId="77777777" w:rsidR="002A30D2" w:rsidRPr="00997C42" w:rsidRDefault="002A30D2" w:rsidP="002A30D2">
      <w:pPr>
        <w:pStyle w:val="ESPara"/>
        <w:numPr>
          <w:ilvl w:val="0"/>
          <w:numId w:val="7"/>
        </w:numPr>
        <w:spacing w:before="0" w:after="0" w:line="240" w:lineRule="auto"/>
        <w:ind w:left="426" w:hanging="426"/>
        <w:rPr>
          <w:sz w:val="24"/>
        </w:rPr>
      </w:pPr>
      <w:r w:rsidRPr="00997C42">
        <w:rPr>
          <w:color w:val="000000"/>
          <w:sz w:val="24"/>
          <w:shd w:val="clear" w:color="auto" w:fill="FFFFFF"/>
        </w:rPr>
        <w:t>Subsection 1061L(2) of the Act provides that the Minister may determine in writing, in relation to a major disaster, the circumstances in which persons are to be taken to be adversely affected by the disaster for AGDRP.</w:t>
      </w:r>
    </w:p>
    <w:p w14:paraId="26A859D7" w14:textId="77777777" w:rsidR="002A30D2" w:rsidRPr="001116E6" w:rsidRDefault="002A30D2" w:rsidP="002A30D2">
      <w:pPr>
        <w:pStyle w:val="ESPara"/>
        <w:spacing w:before="0" w:after="0" w:line="240" w:lineRule="auto"/>
        <w:rPr>
          <w:sz w:val="24"/>
          <w:szCs w:val="24"/>
        </w:rPr>
      </w:pPr>
    </w:p>
    <w:p w14:paraId="238B4348" w14:textId="0BC269A6" w:rsidR="002A30D2" w:rsidRPr="00F9249C" w:rsidRDefault="002A30D2" w:rsidP="002A30D2">
      <w:pPr>
        <w:pStyle w:val="ESPara"/>
        <w:numPr>
          <w:ilvl w:val="0"/>
          <w:numId w:val="7"/>
        </w:numPr>
        <w:spacing w:before="0" w:after="0" w:line="240" w:lineRule="auto"/>
        <w:ind w:left="426" w:hanging="426"/>
        <w:rPr>
          <w:sz w:val="24"/>
        </w:rPr>
      </w:pPr>
      <w:r w:rsidRPr="00997C42">
        <w:rPr>
          <w:sz w:val="24"/>
        </w:rPr>
        <w:t xml:space="preserve">Subsection 1061KC(2) of the Act requires the </w:t>
      </w:r>
      <w:r>
        <w:rPr>
          <w:sz w:val="24"/>
          <w:szCs w:val="24"/>
        </w:rPr>
        <w:t>M</w:t>
      </w:r>
      <w:r w:rsidRPr="001116E6">
        <w:rPr>
          <w:sz w:val="24"/>
          <w:szCs w:val="24"/>
        </w:rPr>
        <w:t>inister</w:t>
      </w:r>
      <w:r>
        <w:rPr>
          <w:sz w:val="24"/>
          <w:szCs w:val="24"/>
        </w:rPr>
        <w:t>, by</w:t>
      </w:r>
      <w:r w:rsidRPr="00997C42">
        <w:rPr>
          <w:sz w:val="24"/>
        </w:rPr>
        <w:t xml:space="preserve"> legislative instrument</w:t>
      </w:r>
      <w:r>
        <w:rPr>
          <w:sz w:val="24"/>
          <w:szCs w:val="24"/>
        </w:rPr>
        <w:t>,</w:t>
      </w:r>
      <w:r w:rsidRPr="001116E6">
        <w:rPr>
          <w:sz w:val="24"/>
          <w:szCs w:val="24"/>
        </w:rPr>
        <w:t xml:space="preserve"> </w:t>
      </w:r>
      <w:r w:rsidR="00125C2B">
        <w:rPr>
          <w:sz w:val="24"/>
          <w:szCs w:val="24"/>
        </w:rPr>
        <w:t xml:space="preserve">to </w:t>
      </w:r>
      <w:r w:rsidRPr="001116E6">
        <w:rPr>
          <w:sz w:val="24"/>
          <w:szCs w:val="24"/>
        </w:rPr>
        <w:t>specify</w:t>
      </w:r>
      <w:r w:rsidRPr="00F9249C">
        <w:rPr>
          <w:sz w:val="24"/>
        </w:rPr>
        <w:t xml:space="preserve"> a method for calculating the fortnightly rate of the DRA.</w:t>
      </w:r>
    </w:p>
    <w:p w14:paraId="30A0E125" w14:textId="77777777" w:rsidR="002A30D2" w:rsidRDefault="002A30D2" w:rsidP="002A30D2">
      <w:pPr>
        <w:pStyle w:val="ESPara"/>
        <w:spacing w:before="0" w:after="0" w:line="240" w:lineRule="auto"/>
        <w:rPr>
          <w:sz w:val="24"/>
          <w:szCs w:val="24"/>
        </w:rPr>
      </w:pPr>
    </w:p>
    <w:p w14:paraId="26EA26EE" w14:textId="77777777" w:rsidR="002A30D2" w:rsidRPr="00515D02" w:rsidRDefault="002A30D2" w:rsidP="00515D02">
      <w:pPr>
        <w:pStyle w:val="ESPara"/>
        <w:numPr>
          <w:ilvl w:val="0"/>
          <w:numId w:val="7"/>
        </w:numPr>
        <w:spacing w:before="0" w:after="0" w:line="240" w:lineRule="auto"/>
        <w:ind w:left="426" w:hanging="426"/>
        <w:rPr>
          <w:sz w:val="24"/>
        </w:rPr>
      </w:pPr>
      <w:r w:rsidRPr="00515D02">
        <w:rPr>
          <w:sz w:val="24"/>
        </w:rPr>
        <w:t xml:space="preserve">Subsection 33(3) of the </w:t>
      </w:r>
      <w:r w:rsidRPr="00515D02">
        <w:rPr>
          <w:i/>
          <w:sz w:val="24"/>
        </w:rPr>
        <w:t>Acts Interpretation Act 1901</w:t>
      </w:r>
      <w:r w:rsidRPr="00515D02">
        <w:rPr>
          <w:sz w:val="24"/>
        </w:rPr>
        <w:t xml:space="preserve">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7FE42DCE" w14:textId="77777777" w:rsidR="002A30D2" w:rsidRPr="001116E6" w:rsidRDefault="002A30D2" w:rsidP="002A30D2">
      <w:pPr>
        <w:pStyle w:val="ESPara"/>
        <w:spacing w:before="0" w:after="0" w:line="240" w:lineRule="auto"/>
        <w:rPr>
          <w:sz w:val="24"/>
          <w:szCs w:val="24"/>
        </w:rPr>
      </w:pPr>
    </w:p>
    <w:p w14:paraId="6FBE44A0" w14:textId="7C2E993F" w:rsidR="002A30D2" w:rsidRPr="001116E6" w:rsidRDefault="002A30D2" w:rsidP="002A30D2">
      <w:pPr>
        <w:pStyle w:val="ESPara"/>
        <w:spacing w:before="0" w:after="0" w:line="240" w:lineRule="auto"/>
        <w:rPr>
          <w:sz w:val="24"/>
          <w:szCs w:val="24"/>
        </w:rPr>
      </w:pPr>
      <w:r w:rsidRPr="00F9249C">
        <w:rPr>
          <w:b/>
          <w:sz w:val="24"/>
        </w:rPr>
        <w:t>Purpose</w:t>
      </w:r>
      <w:r>
        <w:rPr>
          <w:b/>
          <w:sz w:val="24"/>
          <w:szCs w:val="24"/>
        </w:rPr>
        <w:t xml:space="preserve"> and effect</w:t>
      </w:r>
      <w:r w:rsidR="00125C2B">
        <w:rPr>
          <w:b/>
          <w:sz w:val="24"/>
          <w:szCs w:val="24"/>
        </w:rPr>
        <w:t xml:space="preserve"> of the Instrument</w:t>
      </w:r>
    </w:p>
    <w:p w14:paraId="715B93A6" w14:textId="77777777" w:rsidR="002A30D2" w:rsidRPr="00F9249C" w:rsidRDefault="002A30D2" w:rsidP="002A30D2">
      <w:pPr>
        <w:pStyle w:val="ESPara"/>
        <w:spacing w:before="0" w:after="0" w:line="240" w:lineRule="auto"/>
        <w:rPr>
          <w:sz w:val="24"/>
        </w:rPr>
      </w:pPr>
    </w:p>
    <w:p w14:paraId="613C4C4D" w14:textId="43D38716" w:rsidR="002A30D2" w:rsidRDefault="002A30D2" w:rsidP="002A30D2">
      <w:pPr>
        <w:pStyle w:val="ESPara"/>
        <w:numPr>
          <w:ilvl w:val="0"/>
          <w:numId w:val="7"/>
        </w:numPr>
        <w:spacing w:before="0" w:after="0" w:line="240" w:lineRule="auto"/>
        <w:ind w:left="426" w:hanging="426"/>
        <w:rPr>
          <w:sz w:val="24"/>
          <w:szCs w:val="24"/>
        </w:rPr>
      </w:pPr>
      <w:r w:rsidRPr="00F9249C">
        <w:rPr>
          <w:sz w:val="24"/>
        </w:rPr>
        <w:t>Instruments to activate AGDRP and DRA are made to allow applications for payments by persons adversely affected by a major disaster. Applications for these payments are only able to be made for a six</w:t>
      </w:r>
      <w:r w:rsidR="00125C2B">
        <w:rPr>
          <w:sz w:val="24"/>
        </w:rPr>
        <w:t>-</w:t>
      </w:r>
      <w:r w:rsidRPr="00F9249C">
        <w:rPr>
          <w:sz w:val="24"/>
        </w:rPr>
        <w:t xml:space="preserve">month period from the time an instrument is made. These instruments, by their nature, are therefore available for repeal within a shorter period than the ten years </w:t>
      </w:r>
      <w:r w:rsidR="00125C2B">
        <w:rPr>
          <w:sz w:val="24"/>
        </w:rPr>
        <w:t>provided for</w:t>
      </w:r>
      <w:r w:rsidR="00125C2B" w:rsidRPr="00F9249C">
        <w:rPr>
          <w:sz w:val="24"/>
        </w:rPr>
        <w:t xml:space="preserve"> </w:t>
      </w:r>
      <w:r w:rsidRPr="00F9249C">
        <w:rPr>
          <w:sz w:val="24"/>
        </w:rPr>
        <w:t xml:space="preserve">by </w:t>
      </w:r>
      <w:r w:rsidR="00125C2B">
        <w:rPr>
          <w:sz w:val="24"/>
        </w:rPr>
        <w:t xml:space="preserve">the </w:t>
      </w:r>
      <w:r w:rsidRPr="00F9249C">
        <w:rPr>
          <w:sz w:val="24"/>
        </w:rPr>
        <w:t xml:space="preserve">sunsetting </w:t>
      </w:r>
      <w:r w:rsidR="00125C2B">
        <w:rPr>
          <w:sz w:val="24"/>
        </w:rPr>
        <w:t xml:space="preserve">regime under Part 4 of Chapter 3 of </w:t>
      </w:r>
      <w:r w:rsidRPr="00F9249C">
        <w:rPr>
          <w:sz w:val="24"/>
        </w:rPr>
        <w:t xml:space="preserve">the </w:t>
      </w:r>
      <w:r w:rsidRPr="00F9249C">
        <w:rPr>
          <w:i/>
          <w:sz w:val="24"/>
        </w:rPr>
        <w:t>Legislation Act 2003</w:t>
      </w:r>
      <w:r w:rsidR="00125C2B">
        <w:rPr>
          <w:sz w:val="24"/>
        </w:rPr>
        <w:t>, and particularly section 50 of that Act</w:t>
      </w:r>
      <w:r w:rsidRPr="00F9249C">
        <w:rPr>
          <w:sz w:val="24"/>
        </w:rPr>
        <w:t>.</w:t>
      </w:r>
    </w:p>
    <w:p w14:paraId="61480FB2" w14:textId="77777777" w:rsidR="002A30D2" w:rsidRDefault="002A30D2" w:rsidP="002A30D2">
      <w:pPr>
        <w:pStyle w:val="ESPara"/>
        <w:spacing w:before="0" w:after="0" w:line="240" w:lineRule="auto"/>
        <w:rPr>
          <w:sz w:val="24"/>
          <w:szCs w:val="24"/>
        </w:rPr>
      </w:pPr>
    </w:p>
    <w:p w14:paraId="248F04D2" w14:textId="7347DF40" w:rsidR="002A30D2" w:rsidRPr="00F9249C" w:rsidRDefault="002A30D2" w:rsidP="002A30D2">
      <w:pPr>
        <w:pStyle w:val="ESPara"/>
        <w:numPr>
          <w:ilvl w:val="0"/>
          <w:numId w:val="7"/>
        </w:numPr>
        <w:spacing w:before="0" w:after="0" w:line="240" w:lineRule="auto"/>
        <w:ind w:left="426" w:hanging="426"/>
        <w:rPr>
          <w:sz w:val="24"/>
        </w:rPr>
      </w:pPr>
      <w:r>
        <w:rPr>
          <w:sz w:val="24"/>
          <w:szCs w:val="24"/>
        </w:rPr>
        <w:t>Because</w:t>
      </w:r>
      <w:r w:rsidRPr="00F9249C">
        <w:rPr>
          <w:sz w:val="24"/>
        </w:rPr>
        <w:t xml:space="preserve"> instruments to activate AGDRP and DRA are for a specific time-limited purpose to support applications </w:t>
      </w:r>
      <w:r w:rsidR="00137CC3">
        <w:rPr>
          <w:sz w:val="24"/>
        </w:rPr>
        <w:t>in</w:t>
      </w:r>
      <w:r w:rsidRPr="00F9249C">
        <w:rPr>
          <w:sz w:val="24"/>
        </w:rPr>
        <w:t xml:space="preserve"> a defined period, it is appropriate, and efficient, to consider the repeal of all such instruments due to sunset over the next five years (until 2027). The</w:t>
      </w:r>
      <w:r w:rsidR="00137CC3">
        <w:rPr>
          <w:sz w:val="24"/>
        </w:rPr>
        <w:t xml:space="preserve"> ten instruments repealed by this Instrument</w:t>
      </w:r>
      <w:r w:rsidRPr="00F9249C">
        <w:rPr>
          <w:sz w:val="24"/>
        </w:rPr>
        <w:t xml:space="preserve"> are instruments made in response to major disasters declared between 2013 and 2018 for which AGDRP and DRA were activated.</w:t>
      </w:r>
    </w:p>
    <w:p w14:paraId="1DB8A802" w14:textId="77777777" w:rsidR="002A30D2" w:rsidRDefault="002A30D2" w:rsidP="002A30D2">
      <w:pPr>
        <w:pStyle w:val="ESPara"/>
        <w:spacing w:before="0" w:after="0" w:line="240" w:lineRule="auto"/>
        <w:rPr>
          <w:sz w:val="24"/>
          <w:szCs w:val="24"/>
        </w:rPr>
      </w:pPr>
    </w:p>
    <w:p w14:paraId="7AA5A9A5" w14:textId="6E7ACF5D" w:rsidR="009C0CD5" w:rsidRDefault="002A30D2" w:rsidP="00137CC3">
      <w:pPr>
        <w:pStyle w:val="ESPara"/>
        <w:keepLines/>
        <w:numPr>
          <w:ilvl w:val="0"/>
          <w:numId w:val="7"/>
        </w:numPr>
        <w:spacing w:before="0" w:after="0" w:line="240" w:lineRule="auto"/>
        <w:ind w:left="357" w:hanging="357"/>
        <w:rPr>
          <w:sz w:val="24"/>
        </w:rPr>
      </w:pPr>
      <w:r w:rsidRPr="00F1786C">
        <w:rPr>
          <w:sz w:val="24"/>
        </w:rPr>
        <w:lastRenderedPageBreak/>
        <w:t>The purpose of the Instrument is to proactively</w:t>
      </w:r>
      <w:r w:rsidRPr="00F1786C">
        <w:rPr>
          <w:i/>
          <w:sz w:val="24"/>
        </w:rPr>
        <w:t xml:space="preserve"> </w:t>
      </w:r>
      <w:r w:rsidRPr="00F1786C">
        <w:rPr>
          <w:sz w:val="24"/>
        </w:rPr>
        <w:t xml:space="preserve">repeal </w:t>
      </w:r>
      <w:r w:rsidR="009C0CD5">
        <w:rPr>
          <w:sz w:val="24"/>
        </w:rPr>
        <w:t>ten</w:t>
      </w:r>
      <w:r w:rsidRPr="00F1786C">
        <w:rPr>
          <w:sz w:val="24"/>
        </w:rPr>
        <w:t xml:space="preserve"> legislative instruments </w:t>
      </w:r>
      <w:r w:rsidR="00137CC3">
        <w:rPr>
          <w:sz w:val="24"/>
        </w:rPr>
        <w:t xml:space="preserve">that were </w:t>
      </w:r>
      <w:r w:rsidR="00515D02">
        <w:rPr>
          <w:sz w:val="24"/>
        </w:rPr>
        <w:t xml:space="preserve">otherwise </w:t>
      </w:r>
      <w:r w:rsidRPr="00F1786C">
        <w:rPr>
          <w:sz w:val="24"/>
        </w:rPr>
        <w:t>due to sunset between 2024 and 2027</w:t>
      </w:r>
      <w:r w:rsidR="00515D02">
        <w:rPr>
          <w:sz w:val="24"/>
        </w:rPr>
        <w:t>. These instruments have been identified for proactive repeal</w:t>
      </w:r>
      <w:r w:rsidRPr="00F1786C">
        <w:rPr>
          <w:sz w:val="24"/>
        </w:rPr>
        <w:t xml:space="preserve">, in accordance with the </w:t>
      </w:r>
      <w:r w:rsidR="009C0CD5" w:rsidRPr="00F1786C">
        <w:rPr>
          <w:sz w:val="24"/>
        </w:rPr>
        <w:t xml:space="preserve">Attorney-General’s Department’s </w:t>
      </w:r>
      <w:r w:rsidR="009C0CD5" w:rsidRPr="00F1786C">
        <w:rPr>
          <w:i/>
          <w:sz w:val="24"/>
        </w:rPr>
        <w:t xml:space="preserve">Guide to managing the sunsetting of legislative instruments </w:t>
      </w:r>
      <w:r w:rsidR="009C0CD5" w:rsidRPr="00F1786C">
        <w:rPr>
          <w:sz w:val="24"/>
        </w:rPr>
        <w:t xml:space="preserve">and the </w:t>
      </w:r>
      <w:r w:rsidRPr="00F1786C">
        <w:rPr>
          <w:sz w:val="24"/>
        </w:rPr>
        <w:t>Department of Home Affairs</w:t>
      </w:r>
      <w:r w:rsidR="009C0CD5">
        <w:rPr>
          <w:sz w:val="24"/>
        </w:rPr>
        <w:t>’</w:t>
      </w:r>
      <w:r w:rsidRPr="00F1786C">
        <w:rPr>
          <w:sz w:val="24"/>
        </w:rPr>
        <w:t xml:space="preserve"> best practice approach</w:t>
      </w:r>
      <w:r w:rsidR="009C0CD5">
        <w:rPr>
          <w:sz w:val="24"/>
        </w:rPr>
        <w:t xml:space="preserve"> to the review and management of sunsetting instruments.</w:t>
      </w:r>
    </w:p>
    <w:p w14:paraId="6F92DB6E" w14:textId="77777777" w:rsidR="00515D02" w:rsidRDefault="00515D02" w:rsidP="00515D02">
      <w:pPr>
        <w:pStyle w:val="ESPara"/>
        <w:spacing w:before="0" w:after="0" w:line="240" w:lineRule="auto"/>
        <w:rPr>
          <w:sz w:val="24"/>
        </w:rPr>
      </w:pPr>
    </w:p>
    <w:p w14:paraId="501225A6" w14:textId="45485570" w:rsidR="002A30D2" w:rsidRPr="00F1786C" w:rsidRDefault="009C0CD5" w:rsidP="00F1786C">
      <w:pPr>
        <w:pStyle w:val="ESPara"/>
        <w:numPr>
          <w:ilvl w:val="0"/>
          <w:numId w:val="7"/>
        </w:numPr>
        <w:spacing w:before="0" w:after="0" w:line="240" w:lineRule="auto"/>
        <w:rPr>
          <w:sz w:val="24"/>
        </w:rPr>
      </w:pPr>
      <w:r>
        <w:rPr>
          <w:sz w:val="24"/>
        </w:rPr>
        <w:t>The instrument repeals the following ten legislative instruments:</w:t>
      </w:r>
    </w:p>
    <w:p w14:paraId="633B31BC" w14:textId="77777777" w:rsidR="002A30D2" w:rsidRPr="00F9249C" w:rsidRDefault="002A30D2" w:rsidP="00F1786C">
      <w:pPr>
        <w:pStyle w:val="ESSubparaHeader"/>
        <w:keepNext w:val="0"/>
        <w:numPr>
          <w:ilvl w:val="0"/>
          <w:numId w:val="1"/>
        </w:numPr>
        <w:spacing w:before="120" w:after="0" w:line="240" w:lineRule="auto"/>
        <w:ind w:left="992" w:hanging="567"/>
        <w:rPr>
          <w:sz w:val="24"/>
        </w:rPr>
      </w:pPr>
      <w:r w:rsidRPr="00F9249C">
        <w:rPr>
          <w:i/>
          <w:sz w:val="24"/>
        </w:rPr>
        <w:t xml:space="preserve">Social Security (Australian Government Disaster Recovery Payment) Determination 2013 (No. 5) </w:t>
      </w:r>
      <w:r w:rsidRPr="00F9249C">
        <w:rPr>
          <w:sz w:val="24"/>
        </w:rPr>
        <w:t>(</w:t>
      </w:r>
      <w:r w:rsidRPr="00F9249C">
        <w:rPr>
          <w:i/>
          <w:sz w:val="24"/>
        </w:rPr>
        <w:t>AGDRP Determination 2013)</w:t>
      </w:r>
      <w:r w:rsidRPr="00F9249C">
        <w:rPr>
          <w:sz w:val="24"/>
        </w:rPr>
        <w:t>;</w:t>
      </w:r>
    </w:p>
    <w:p w14:paraId="70EFF0BB" w14:textId="77777777" w:rsidR="002A30D2" w:rsidRPr="00F9249C" w:rsidRDefault="002A30D2" w:rsidP="00F1786C">
      <w:pPr>
        <w:pStyle w:val="ESSubparaHeader"/>
        <w:keepNext w:val="0"/>
        <w:numPr>
          <w:ilvl w:val="0"/>
          <w:numId w:val="1"/>
        </w:numPr>
        <w:spacing w:before="120" w:after="0" w:line="240" w:lineRule="auto"/>
        <w:ind w:left="992" w:hanging="567"/>
        <w:rPr>
          <w:sz w:val="24"/>
        </w:rPr>
      </w:pPr>
      <w:r w:rsidRPr="00F9249C">
        <w:rPr>
          <w:i/>
          <w:sz w:val="24"/>
        </w:rPr>
        <w:t>Social Security (Australian Government Disaster Recovery Payment) Determination 2014 (No.1) (AGDRP Determination 2014)</w:t>
      </w:r>
      <w:r w:rsidRPr="00F9249C">
        <w:rPr>
          <w:sz w:val="24"/>
        </w:rPr>
        <w:t>;</w:t>
      </w:r>
    </w:p>
    <w:p w14:paraId="3FF3244E" w14:textId="364BD998" w:rsidR="002A30D2" w:rsidRPr="00F9249C" w:rsidRDefault="002A30D2" w:rsidP="00F1786C">
      <w:pPr>
        <w:pStyle w:val="ESSubparaHeader"/>
        <w:keepNext w:val="0"/>
        <w:numPr>
          <w:ilvl w:val="0"/>
          <w:numId w:val="1"/>
        </w:numPr>
        <w:spacing w:before="120" w:after="0" w:line="240" w:lineRule="auto"/>
        <w:ind w:left="992" w:hanging="567"/>
        <w:rPr>
          <w:i/>
          <w:sz w:val="24"/>
        </w:rPr>
      </w:pPr>
      <w:r w:rsidRPr="00F9249C">
        <w:rPr>
          <w:i/>
          <w:sz w:val="24"/>
        </w:rPr>
        <w:t>Social Security (Disaster Recovery Allowance</w:t>
      </w:r>
      <w:r w:rsidRPr="001116E6">
        <w:rPr>
          <w:i/>
          <w:sz w:val="24"/>
          <w:szCs w:val="24"/>
        </w:rPr>
        <w:t>)</w:t>
      </w:r>
      <w:r>
        <w:rPr>
          <w:i/>
          <w:sz w:val="24"/>
          <w:szCs w:val="24"/>
        </w:rPr>
        <w:t xml:space="preserve"> </w:t>
      </w:r>
      <w:r w:rsidRPr="001116E6">
        <w:rPr>
          <w:i/>
          <w:sz w:val="24"/>
          <w:szCs w:val="24"/>
        </w:rPr>
        <w:t>(</w:t>
      </w:r>
      <w:r w:rsidRPr="00F9249C">
        <w:rPr>
          <w:i/>
          <w:sz w:val="24"/>
        </w:rPr>
        <w:t>Rate Calculator) Determination 2013 (</w:t>
      </w:r>
      <w:r w:rsidR="00567734">
        <w:rPr>
          <w:i/>
          <w:sz w:val="24"/>
        </w:rPr>
        <w:t xml:space="preserve">2013 </w:t>
      </w:r>
      <w:r w:rsidRPr="00F9249C">
        <w:rPr>
          <w:i/>
          <w:sz w:val="24"/>
        </w:rPr>
        <w:t>DRA Calculator)</w:t>
      </w:r>
      <w:r w:rsidRPr="00F9249C">
        <w:rPr>
          <w:sz w:val="24"/>
        </w:rPr>
        <w:t>;</w:t>
      </w:r>
    </w:p>
    <w:p w14:paraId="6DC48D3D" w14:textId="77777777" w:rsidR="002A30D2" w:rsidRPr="00F9249C" w:rsidRDefault="002A30D2" w:rsidP="00F1786C">
      <w:pPr>
        <w:pStyle w:val="ESSubparaHeader"/>
        <w:keepNext w:val="0"/>
        <w:numPr>
          <w:ilvl w:val="0"/>
          <w:numId w:val="1"/>
        </w:numPr>
        <w:spacing w:before="120" w:after="0" w:line="240" w:lineRule="auto"/>
        <w:ind w:left="992" w:hanging="567"/>
        <w:rPr>
          <w:i/>
          <w:sz w:val="24"/>
        </w:rPr>
      </w:pPr>
      <w:r w:rsidRPr="00F9249C">
        <w:rPr>
          <w:i/>
          <w:sz w:val="24"/>
        </w:rPr>
        <w:t>Social Security (Australian Government Disaster Recovery Payment) Determination 2015 (No. 1) (AGDRP Determination 2015, 1)</w:t>
      </w:r>
      <w:r w:rsidRPr="00F9249C">
        <w:rPr>
          <w:sz w:val="24"/>
        </w:rPr>
        <w:t>;</w:t>
      </w:r>
    </w:p>
    <w:p w14:paraId="286B5340" w14:textId="77777777" w:rsidR="002A30D2" w:rsidRPr="00F9249C" w:rsidRDefault="002A30D2" w:rsidP="00F1786C">
      <w:pPr>
        <w:pStyle w:val="ESSubparaHeader"/>
        <w:keepNext w:val="0"/>
        <w:numPr>
          <w:ilvl w:val="0"/>
          <w:numId w:val="1"/>
        </w:numPr>
        <w:spacing w:before="120" w:after="0" w:line="240" w:lineRule="auto"/>
        <w:ind w:left="992" w:hanging="567"/>
        <w:rPr>
          <w:i/>
          <w:sz w:val="24"/>
        </w:rPr>
      </w:pPr>
      <w:r w:rsidRPr="00F9249C">
        <w:rPr>
          <w:i/>
          <w:sz w:val="24"/>
        </w:rPr>
        <w:t>Social Security (Australian Government Disaster Recovery Payment) Determination 2015 (No. 2) (AGDRP Determination 2015, 2)</w:t>
      </w:r>
      <w:r w:rsidRPr="00F9249C">
        <w:rPr>
          <w:sz w:val="24"/>
        </w:rPr>
        <w:t>;</w:t>
      </w:r>
    </w:p>
    <w:p w14:paraId="38657BEB" w14:textId="77777777" w:rsidR="002A30D2" w:rsidRPr="00F9249C" w:rsidRDefault="002A30D2" w:rsidP="00F1786C">
      <w:pPr>
        <w:pStyle w:val="LDBodyP1a"/>
        <w:numPr>
          <w:ilvl w:val="0"/>
          <w:numId w:val="1"/>
        </w:numPr>
        <w:tabs>
          <w:tab w:val="clear" w:pos="709"/>
          <w:tab w:val="left" w:pos="567"/>
        </w:tabs>
        <w:ind w:left="992" w:hanging="567"/>
      </w:pPr>
      <w:r w:rsidRPr="00F9249C">
        <w:rPr>
          <w:i/>
        </w:rPr>
        <w:t>Social Security (Australian Government Disaster Recovery Payment) Determination 2015 (No. 3) (AGDRP Determination 2015, 3)</w:t>
      </w:r>
      <w:r w:rsidRPr="00F9249C">
        <w:t>;</w:t>
      </w:r>
    </w:p>
    <w:p w14:paraId="284FACA8" w14:textId="77777777" w:rsidR="002A30D2" w:rsidRPr="00F9249C" w:rsidRDefault="002A30D2" w:rsidP="00F1786C">
      <w:pPr>
        <w:pStyle w:val="ESSubparaHeader"/>
        <w:keepNext w:val="0"/>
        <w:numPr>
          <w:ilvl w:val="0"/>
          <w:numId w:val="1"/>
        </w:numPr>
        <w:spacing w:before="120" w:after="0" w:line="240" w:lineRule="auto"/>
        <w:ind w:left="992" w:hanging="567"/>
        <w:rPr>
          <w:i/>
          <w:sz w:val="24"/>
        </w:rPr>
      </w:pPr>
      <w:r w:rsidRPr="00F9249C">
        <w:rPr>
          <w:i/>
          <w:sz w:val="24"/>
        </w:rPr>
        <w:t>Social Security (Australian Government Disaster Recovery Payment) Determination 2015 (No. 4) (AGDRP Determination 2015, 4)</w:t>
      </w:r>
      <w:r w:rsidRPr="00F9249C">
        <w:rPr>
          <w:sz w:val="24"/>
        </w:rPr>
        <w:t>;</w:t>
      </w:r>
    </w:p>
    <w:p w14:paraId="139F6B0C" w14:textId="77777777" w:rsidR="002A30D2" w:rsidRPr="00F9249C" w:rsidRDefault="002A30D2" w:rsidP="00F1786C">
      <w:pPr>
        <w:pStyle w:val="ESSubparaHeader"/>
        <w:keepNext w:val="0"/>
        <w:numPr>
          <w:ilvl w:val="0"/>
          <w:numId w:val="1"/>
        </w:numPr>
        <w:spacing w:before="120" w:after="0" w:line="240" w:lineRule="auto"/>
        <w:ind w:left="992" w:hanging="567"/>
        <w:rPr>
          <w:i/>
          <w:sz w:val="24"/>
        </w:rPr>
      </w:pPr>
      <w:r w:rsidRPr="00F9249C">
        <w:rPr>
          <w:i/>
          <w:sz w:val="24"/>
        </w:rPr>
        <w:t>Social Security (Australian Government Disaster Recovery Payment) Determination 2015 (No. 5) (AGDRP Determination 2015, 5)</w:t>
      </w:r>
      <w:r w:rsidRPr="00F9249C">
        <w:rPr>
          <w:sz w:val="24"/>
        </w:rPr>
        <w:t>;</w:t>
      </w:r>
    </w:p>
    <w:p w14:paraId="65DA5FCF" w14:textId="77777777" w:rsidR="002A30D2" w:rsidRPr="00F9249C" w:rsidRDefault="002A30D2" w:rsidP="00F1786C">
      <w:pPr>
        <w:pStyle w:val="ESSubparaHeader"/>
        <w:keepNext w:val="0"/>
        <w:numPr>
          <w:ilvl w:val="0"/>
          <w:numId w:val="1"/>
        </w:numPr>
        <w:spacing w:before="120" w:after="0" w:line="240" w:lineRule="auto"/>
        <w:ind w:left="992" w:hanging="567"/>
        <w:rPr>
          <w:i/>
          <w:sz w:val="24"/>
        </w:rPr>
      </w:pPr>
      <w:r w:rsidRPr="00F9249C">
        <w:rPr>
          <w:i/>
          <w:sz w:val="24"/>
        </w:rPr>
        <w:t>Social Security (Australian Government Disaster Recovery Payment) Determination 2016 (No. 1) (AGDRP Determination 2016)</w:t>
      </w:r>
      <w:r w:rsidRPr="00F9249C">
        <w:rPr>
          <w:sz w:val="24"/>
        </w:rPr>
        <w:t>; and</w:t>
      </w:r>
    </w:p>
    <w:p w14:paraId="059A67BD" w14:textId="77777777" w:rsidR="002A30D2" w:rsidRPr="00F9249C" w:rsidRDefault="002A30D2" w:rsidP="00F1786C">
      <w:pPr>
        <w:pStyle w:val="ESSubparaHeader"/>
        <w:keepNext w:val="0"/>
        <w:numPr>
          <w:ilvl w:val="0"/>
          <w:numId w:val="1"/>
        </w:numPr>
        <w:spacing w:before="120" w:after="0" w:line="240" w:lineRule="auto"/>
        <w:ind w:left="992" w:hanging="567"/>
        <w:rPr>
          <w:sz w:val="24"/>
        </w:rPr>
      </w:pPr>
      <w:r w:rsidRPr="00F9249C">
        <w:rPr>
          <w:i/>
          <w:sz w:val="24"/>
        </w:rPr>
        <w:t>Social Security (Australian Government Disaster Recovery Payment) Determination 2017 (No. 1) (AGDRP Determination 2017)</w:t>
      </w:r>
      <w:r w:rsidRPr="00F9249C">
        <w:rPr>
          <w:sz w:val="24"/>
        </w:rPr>
        <w:t>.</w:t>
      </w:r>
    </w:p>
    <w:p w14:paraId="0F8A617B" w14:textId="77777777" w:rsidR="002A30D2" w:rsidRPr="001116E6" w:rsidRDefault="002A30D2" w:rsidP="002A30D2">
      <w:pPr>
        <w:pStyle w:val="ESSubparaList"/>
        <w:spacing w:before="0" w:after="0" w:line="240" w:lineRule="auto"/>
      </w:pPr>
    </w:p>
    <w:p w14:paraId="4ACA586A" w14:textId="77777777" w:rsidR="002A30D2" w:rsidRPr="001116E6" w:rsidRDefault="002A30D2" w:rsidP="002A30D2">
      <w:pPr>
        <w:pStyle w:val="ESSubparaList"/>
        <w:spacing w:before="0" w:after="0" w:line="240" w:lineRule="auto"/>
        <w:rPr>
          <w:b/>
          <w:sz w:val="24"/>
          <w:szCs w:val="24"/>
        </w:rPr>
      </w:pPr>
      <w:r w:rsidRPr="00F9249C">
        <w:rPr>
          <w:b/>
          <w:sz w:val="24"/>
        </w:rPr>
        <w:t>Background</w:t>
      </w:r>
    </w:p>
    <w:p w14:paraId="4FAEC534" w14:textId="77777777" w:rsidR="002A30D2" w:rsidRPr="00F9249C" w:rsidRDefault="002A30D2" w:rsidP="002A30D2">
      <w:pPr>
        <w:pStyle w:val="ESPara"/>
        <w:spacing w:before="0" w:after="0" w:line="240" w:lineRule="auto"/>
        <w:rPr>
          <w:sz w:val="24"/>
        </w:rPr>
      </w:pPr>
    </w:p>
    <w:p w14:paraId="7ED04EE7" w14:textId="03027FA2" w:rsidR="002A30D2" w:rsidRDefault="002A30D2" w:rsidP="002A30D2">
      <w:pPr>
        <w:pStyle w:val="ESPara"/>
        <w:numPr>
          <w:ilvl w:val="0"/>
          <w:numId w:val="7"/>
        </w:numPr>
        <w:spacing w:before="0" w:after="0" w:line="240" w:lineRule="auto"/>
        <w:ind w:left="426" w:hanging="426"/>
        <w:rPr>
          <w:sz w:val="24"/>
          <w:szCs w:val="24"/>
        </w:rPr>
      </w:pPr>
      <w:r w:rsidRPr="00F9249C">
        <w:rPr>
          <w:sz w:val="24"/>
        </w:rPr>
        <w:t>The</w:t>
      </w:r>
      <w:r w:rsidRPr="00F9249C">
        <w:rPr>
          <w:i/>
          <w:sz w:val="24"/>
        </w:rPr>
        <w:t xml:space="preserve"> AGDRP Determination 2013</w:t>
      </w:r>
      <w:r w:rsidRPr="00F9249C">
        <w:rPr>
          <w:sz w:val="24"/>
        </w:rPr>
        <w:t xml:space="preserve"> determined who was eligible for the AGDRP following the 2013 bushfires in New South Wales. As the standard 6</w:t>
      </w:r>
      <w:r w:rsidR="009C0CD5">
        <w:rPr>
          <w:sz w:val="24"/>
        </w:rPr>
        <w:t>-</w:t>
      </w:r>
      <w:r w:rsidRPr="00F9249C">
        <w:rPr>
          <w:sz w:val="24"/>
        </w:rPr>
        <w:t>month timeframe for applications has ended, the instrument does not need to be replaced as it is no longer required to be in force.</w:t>
      </w:r>
    </w:p>
    <w:p w14:paraId="186FED28" w14:textId="77777777" w:rsidR="002A30D2" w:rsidRPr="00F9249C" w:rsidRDefault="002A30D2" w:rsidP="002A30D2">
      <w:pPr>
        <w:pStyle w:val="ESPara"/>
        <w:spacing w:before="0" w:after="0" w:line="240" w:lineRule="auto"/>
        <w:rPr>
          <w:sz w:val="24"/>
        </w:rPr>
      </w:pPr>
    </w:p>
    <w:p w14:paraId="18E9C71D" w14:textId="35B7223B" w:rsidR="002A30D2" w:rsidRPr="00F9249C" w:rsidRDefault="002A30D2" w:rsidP="002A30D2">
      <w:pPr>
        <w:pStyle w:val="ESPara"/>
        <w:numPr>
          <w:ilvl w:val="0"/>
          <w:numId w:val="7"/>
        </w:numPr>
        <w:spacing w:before="0" w:after="0" w:line="240" w:lineRule="auto"/>
        <w:ind w:left="426" w:hanging="426"/>
        <w:rPr>
          <w:sz w:val="24"/>
        </w:rPr>
      </w:pPr>
      <w:r w:rsidRPr="00F9249C">
        <w:rPr>
          <w:sz w:val="24"/>
        </w:rPr>
        <w:t xml:space="preserve">The </w:t>
      </w:r>
      <w:r w:rsidRPr="00F9249C">
        <w:rPr>
          <w:i/>
          <w:sz w:val="24"/>
        </w:rPr>
        <w:t>AGDRP Determination 2014</w:t>
      </w:r>
      <w:r w:rsidRPr="00F9249C">
        <w:rPr>
          <w:sz w:val="24"/>
        </w:rPr>
        <w:t xml:space="preserve"> determined who was eligible for the AGDRP following the 2014 bushfires in Western Australia. As the standard 6</w:t>
      </w:r>
      <w:r w:rsidR="009C0CD5">
        <w:rPr>
          <w:sz w:val="24"/>
        </w:rPr>
        <w:t>-</w:t>
      </w:r>
      <w:r w:rsidRPr="00F9249C">
        <w:rPr>
          <w:sz w:val="24"/>
        </w:rPr>
        <w:t>month timeframe for applications has ended, the instrument does not need to be replaced as it is no longer required to be in force.</w:t>
      </w:r>
    </w:p>
    <w:p w14:paraId="5B88641F" w14:textId="77777777" w:rsidR="002A30D2" w:rsidRPr="001116E6" w:rsidRDefault="002A30D2" w:rsidP="002A30D2">
      <w:pPr>
        <w:pStyle w:val="ESPara"/>
        <w:spacing w:before="0" w:after="0" w:line="240" w:lineRule="auto"/>
        <w:rPr>
          <w:sz w:val="24"/>
          <w:szCs w:val="24"/>
        </w:rPr>
      </w:pPr>
    </w:p>
    <w:p w14:paraId="1A75E922" w14:textId="21AE318A" w:rsidR="002A30D2" w:rsidRPr="00F1786C" w:rsidRDefault="002A30D2" w:rsidP="00F1786C">
      <w:pPr>
        <w:pStyle w:val="ESPara"/>
        <w:numPr>
          <w:ilvl w:val="0"/>
          <w:numId w:val="7"/>
        </w:numPr>
        <w:spacing w:before="0" w:after="0" w:line="240" w:lineRule="auto"/>
        <w:ind w:left="426" w:hanging="426"/>
        <w:rPr>
          <w:sz w:val="24"/>
        </w:rPr>
      </w:pPr>
      <w:r w:rsidRPr="00F9249C">
        <w:rPr>
          <w:sz w:val="24"/>
        </w:rPr>
        <w:t xml:space="preserve">The </w:t>
      </w:r>
      <w:r w:rsidR="00567734" w:rsidRPr="00F1786C">
        <w:rPr>
          <w:i/>
          <w:sz w:val="24"/>
        </w:rPr>
        <w:t xml:space="preserve">2013 </w:t>
      </w:r>
      <w:r w:rsidRPr="00F1786C">
        <w:rPr>
          <w:i/>
          <w:sz w:val="24"/>
        </w:rPr>
        <w:t>DRA Rate Calculator</w:t>
      </w:r>
      <w:r w:rsidRPr="00F9249C">
        <w:rPr>
          <w:sz w:val="24"/>
        </w:rPr>
        <w:t xml:space="preserve"> provided the method for calculating the fortnightly rate for the Disaster Recovery Allowance. This instrument is no longer required as it has been </w:t>
      </w:r>
      <w:r w:rsidR="009C0CD5">
        <w:rPr>
          <w:sz w:val="24"/>
        </w:rPr>
        <w:t>superseded</w:t>
      </w:r>
      <w:r w:rsidR="009C0CD5" w:rsidRPr="00F9249C">
        <w:rPr>
          <w:sz w:val="24"/>
        </w:rPr>
        <w:t xml:space="preserve"> </w:t>
      </w:r>
      <w:r w:rsidRPr="00F9249C">
        <w:rPr>
          <w:sz w:val="24"/>
        </w:rPr>
        <w:t xml:space="preserve">by the </w:t>
      </w:r>
      <w:r w:rsidRPr="00F1786C">
        <w:rPr>
          <w:i/>
          <w:sz w:val="24"/>
        </w:rPr>
        <w:t>Social Security (Disaster Recovery Allowance Rate Calculator) Determination 2020</w:t>
      </w:r>
      <w:r w:rsidRPr="00F1786C">
        <w:rPr>
          <w:sz w:val="24"/>
        </w:rPr>
        <w:t xml:space="preserve"> (</w:t>
      </w:r>
      <w:r w:rsidR="009C0CD5" w:rsidRPr="00F1786C">
        <w:rPr>
          <w:sz w:val="24"/>
        </w:rPr>
        <w:t xml:space="preserve">the </w:t>
      </w:r>
      <w:r w:rsidRPr="00F1786C">
        <w:rPr>
          <w:sz w:val="24"/>
        </w:rPr>
        <w:t xml:space="preserve">2020 </w:t>
      </w:r>
      <w:r w:rsidR="009C0CD5" w:rsidRPr="00F1786C">
        <w:rPr>
          <w:sz w:val="24"/>
        </w:rPr>
        <w:t>I</w:t>
      </w:r>
      <w:r w:rsidRPr="00F1786C">
        <w:rPr>
          <w:sz w:val="24"/>
        </w:rPr>
        <w:t>nstrument).</w:t>
      </w:r>
      <w:r w:rsidR="009C0CD5" w:rsidRPr="00F1786C">
        <w:rPr>
          <w:sz w:val="24"/>
        </w:rPr>
        <w:t xml:space="preserve"> While the 2020 Instrument repealed the preceding </w:t>
      </w:r>
      <w:r w:rsidR="00567734" w:rsidRPr="00F1786C">
        <w:rPr>
          <w:sz w:val="24"/>
        </w:rPr>
        <w:t xml:space="preserve">DRA </w:t>
      </w:r>
      <w:r w:rsidR="00567734">
        <w:rPr>
          <w:sz w:val="24"/>
        </w:rPr>
        <w:t>R</w:t>
      </w:r>
      <w:r w:rsidR="00567734" w:rsidRPr="00F1786C">
        <w:rPr>
          <w:sz w:val="24"/>
        </w:rPr>
        <w:t xml:space="preserve">ate </w:t>
      </w:r>
      <w:r w:rsidR="00567734">
        <w:rPr>
          <w:sz w:val="24"/>
        </w:rPr>
        <w:t>C</w:t>
      </w:r>
      <w:r w:rsidR="00567734" w:rsidRPr="00F1786C">
        <w:rPr>
          <w:sz w:val="24"/>
        </w:rPr>
        <w:t xml:space="preserve">alculator instrument - </w:t>
      </w:r>
      <w:r w:rsidR="00567734" w:rsidRPr="00F1786C">
        <w:rPr>
          <w:i/>
          <w:sz w:val="24"/>
        </w:rPr>
        <w:t xml:space="preserve">Social Security (Disaster Recovery Allowance) (Rate calculator) Determination 2015 </w:t>
      </w:r>
      <w:r w:rsidR="00567734">
        <w:rPr>
          <w:sz w:val="24"/>
        </w:rPr>
        <w:t>(the 2015 Instrument) –</w:t>
      </w:r>
      <w:r w:rsidRPr="00F1786C">
        <w:rPr>
          <w:sz w:val="24"/>
        </w:rPr>
        <w:t xml:space="preserve"> </w:t>
      </w:r>
      <w:r w:rsidR="00567734">
        <w:rPr>
          <w:sz w:val="24"/>
        </w:rPr>
        <w:t>the 2015 Instrument did not include a</w:t>
      </w:r>
      <w:r w:rsidR="00137CC3">
        <w:rPr>
          <w:sz w:val="24"/>
        </w:rPr>
        <w:t>n equivalent</w:t>
      </w:r>
      <w:r w:rsidR="00567734">
        <w:rPr>
          <w:sz w:val="24"/>
        </w:rPr>
        <w:t xml:space="preserve"> provision to repeal the 2013 DRA Rate Calculator when the 2015 Instrument commenced. As such, t</w:t>
      </w:r>
      <w:r w:rsidRPr="00F9249C">
        <w:rPr>
          <w:sz w:val="24"/>
        </w:rPr>
        <w:t xml:space="preserve">he </w:t>
      </w:r>
      <w:r w:rsidR="00567734">
        <w:rPr>
          <w:sz w:val="24"/>
        </w:rPr>
        <w:t xml:space="preserve">2013 </w:t>
      </w:r>
      <w:r w:rsidRPr="00F1786C">
        <w:rPr>
          <w:sz w:val="24"/>
        </w:rPr>
        <w:t xml:space="preserve">DRA Rate Calculator </w:t>
      </w:r>
      <w:r w:rsidRPr="00F9249C">
        <w:rPr>
          <w:sz w:val="24"/>
        </w:rPr>
        <w:t>remain</w:t>
      </w:r>
      <w:r w:rsidR="00567734">
        <w:rPr>
          <w:sz w:val="24"/>
        </w:rPr>
        <w:t xml:space="preserve">ed </w:t>
      </w:r>
      <w:r w:rsidRPr="00F9249C">
        <w:rPr>
          <w:sz w:val="24"/>
        </w:rPr>
        <w:t xml:space="preserve">on the statute book </w:t>
      </w:r>
      <w:r w:rsidR="00567734">
        <w:rPr>
          <w:sz w:val="24"/>
        </w:rPr>
        <w:t>until its repeal by the current Instrument</w:t>
      </w:r>
      <w:r w:rsidRPr="00F9249C">
        <w:rPr>
          <w:sz w:val="24"/>
        </w:rPr>
        <w:t>.</w:t>
      </w:r>
    </w:p>
    <w:p w14:paraId="387D7819" w14:textId="77777777" w:rsidR="002A30D2" w:rsidRPr="00F9249C" w:rsidRDefault="002A30D2" w:rsidP="002A30D2">
      <w:pPr>
        <w:pStyle w:val="ESPara"/>
        <w:spacing w:before="0" w:after="0" w:line="240" w:lineRule="auto"/>
        <w:rPr>
          <w:sz w:val="24"/>
        </w:rPr>
      </w:pPr>
    </w:p>
    <w:p w14:paraId="40751A25" w14:textId="3BB41280" w:rsidR="002A30D2" w:rsidRPr="00F9249C" w:rsidRDefault="002A30D2" w:rsidP="002A30D2">
      <w:pPr>
        <w:pStyle w:val="ESPara"/>
        <w:numPr>
          <w:ilvl w:val="0"/>
          <w:numId w:val="7"/>
        </w:numPr>
        <w:spacing w:before="0" w:after="0" w:line="240" w:lineRule="auto"/>
        <w:ind w:left="426" w:hanging="426"/>
        <w:rPr>
          <w:sz w:val="24"/>
        </w:rPr>
      </w:pPr>
      <w:r w:rsidRPr="00F9249C">
        <w:rPr>
          <w:sz w:val="24"/>
        </w:rPr>
        <w:t xml:space="preserve">The </w:t>
      </w:r>
      <w:r w:rsidRPr="00F9249C">
        <w:rPr>
          <w:i/>
          <w:sz w:val="24"/>
        </w:rPr>
        <w:t>AGDRP Determination 2015, 1</w:t>
      </w:r>
      <w:r w:rsidRPr="00F9249C">
        <w:rPr>
          <w:sz w:val="24"/>
        </w:rPr>
        <w:t xml:space="preserve"> determined who was eligible for the AGDRP following the 2015 bushfire in South Australia. As the standard 6</w:t>
      </w:r>
      <w:r w:rsidR="009C0CD5">
        <w:rPr>
          <w:sz w:val="24"/>
        </w:rPr>
        <w:t>-</w:t>
      </w:r>
      <w:r w:rsidRPr="00F9249C">
        <w:rPr>
          <w:sz w:val="24"/>
        </w:rPr>
        <w:t>month timeframe for applications has ended, the instrument does not need to be replaced as it is no longer required to be in force.</w:t>
      </w:r>
    </w:p>
    <w:p w14:paraId="6778C6B8" w14:textId="77777777" w:rsidR="002A30D2" w:rsidRPr="001116E6" w:rsidRDefault="002A30D2" w:rsidP="002A30D2">
      <w:pPr>
        <w:pStyle w:val="ESPara"/>
        <w:spacing w:before="0" w:after="0" w:line="240" w:lineRule="auto"/>
        <w:rPr>
          <w:sz w:val="24"/>
          <w:szCs w:val="24"/>
        </w:rPr>
      </w:pPr>
    </w:p>
    <w:p w14:paraId="1F6C7369" w14:textId="06369A23" w:rsidR="002A30D2" w:rsidRPr="00F9249C" w:rsidRDefault="002A30D2" w:rsidP="002A30D2">
      <w:pPr>
        <w:pStyle w:val="ESPara"/>
        <w:numPr>
          <w:ilvl w:val="0"/>
          <w:numId w:val="7"/>
        </w:numPr>
        <w:spacing w:before="0" w:after="0" w:line="240" w:lineRule="auto"/>
        <w:ind w:left="426" w:hanging="426"/>
        <w:rPr>
          <w:sz w:val="24"/>
        </w:rPr>
      </w:pPr>
      <w:r w:rsidRPr="00F9249C">
        <w:rPr>
          <w:sz w:val="24"/>
        </w:rPr>
        <w:t xml:space="preserve">The </w:t>
      </w:r>
      <w:r w:rsidRPr="00F9249C">
        <w:rPr>
          <w:i/>
          <w:sz w:val="24"/>
        </w:rPr>
        <w:t>AGDRP Determination 2015, 2</w:t>
      </w:r>
      <w:r w:rsidRPr="00F9249C">
        <w:rPr>
          <w:sz w:val="24"/>
        </w:rPr>
        <w:t xml:space="preserve"> determined who was eligible for the AGDRP following the 2015 Tropical Cyclone Marcia in Queensland. As the standard 6</w:t>
      </w:r>
      <w:r w:rsidR="00567734">
        <w:rPr>
          <w:sz w:val="24"/>
        </w:rPr>
        <w:t>-</w:t>
      </w:r>
      <w:r w:rsidRPr="00F9249C">
        <w:rPr>
          <w:sz w:val="24"/>
        </w:rPr>
        <w:t>month timeframe for applications has ended, the instrument does not need to be replaced as it is no longer required to be in force.</w:t>
      </w:r>
    </w:p>
    <w:p w14:paraId="1E945292" w14:textId="77777777" w:rsidR="002A30D2" w:rsidRPr="001116E6" w:rsidRDefault="002A30D2" w:rsidP="002A30D2">
      <w:pPr>
        <w:pStyle w:val="ESPara"/>
        <w:spacing w:before="0" w:after="0" w:line="240" w:lineRule="auto"/>
        <w:rPr>
          <w:sz w:val="24"/>
          <w:szCs w:val="24"/>
        </w:rPr>
      </w:pPr>
    </w:p>
    <w:p w14:paraId="3B307332" w14:textId="77C3D7D3" w:rsidR="002A30D2" w:rsidRPr="00F9249C" w:rsidRDefault="002A30D2" w:rsidP="002A30D2">
      <w:pPr>
        <w:pStyle w:val="ESPara"/>
        <w:numPr>
          <w:ilvl w:val="0"/>
          <w:numId w:val="7"/>
        </w:numPr>
        <w:spacing w:before="0" w:after="0" w:line="240" w:lineRule="auto"/>
        <w:ind w:left="426" w:hanging="426"/>
        <w:rPr>
          <w:sz w:val="24"/>
        </w:rPr>
      </w:pPr>
      <w:r w:rsidRPr="00F9249C">
        <w:rPr>
          <w:sz w:val="24"/>
        </w:rPr>
        <w:t xml:space="preserve">The </w:t>
      </w:r>
      <w:r w:rsidRPr="00F9249C">
        <w:rPr>
          <w:i/>
          <w:sz w:val="24"/>
        </w:rPr>
        <w:t>AGDRP Determination 2015, 3</w:t>
      </w:r>
      <w:r w:rsidRPr="00F9249C">
        <w:rPr>
          <w:sz w:val="24"/>
        </w:rPr>
        <w:t xml:space="preserve"> determined who was eligible for the AGDRP following the 2015 Tropical Cyclone Lam in Northern Territory. As the standard 6</w:t>
      </w:r>
      <w:r w:rsidR="00567734">
        <w:rPr>
          <w:sz w:val="24"/>
        </w:rPr>
        <w:t>-</w:t>
      </w:r>
      <w:r w:rsidRPr="00F9249C">
        <w:rPr>
          <w:sz w:val="24"/>
        </w:rPr>
        <w:t>month timeframe for applications has ended, the instrument does not need to be replaced as it is no longer required to be in force.</w:t>
      </w:r>
    </w:p>
    <w:p w14:paraId="4CC01BEE" w14:textId="77777777" w:rsidR="002A30D2" w:rsidRPr="001116E6" w:rsidRDefault="002A30D2" w:rsidP="002A30D2">
      <w:pPr>
        <w:pStyle w:val="ESPara"/>
        <w:spacing w:before="0" w:after="0" w:line="240" w:lineRule="auto"/>
        <w:rPr>
          <w:sz w:val="24"/>
          <w:szCs w:val="24"/>
        </w:rPr>
      </w:pPr>
    </w:p>
    <w:p w14:paraId="00FC6057" w14:textId="2F3BB2D0" w:rsidR="002A30D2" w:rsidRPr="00F9249C" w:rsidRDefault="002A30D2" w:rsidP="002A30D2">
      <w:pPr>
        <w:pStyle w:val="ESPara"/>
        <w:numPr>
          <w:ilvl w:val="0"/>
          <w:numId w:val="7"/>
        </w:numPr>
        <w:spacing w:before="0" w:after="0" w:line="240" w:lineRule="auto"/>
        <w:ind w:left="426" w:hanging="426"/>
        <w:rPr>
          <w:sz w:val="24"/>
        </w:rPr>
      </w:pPr>
      <w:r w:rsidRPr="00F9249C">
        <w:rPr>
          <w:sz w:val="24"/>
        </w:rPr>
        <w:t xml:space="preserve">The </w:t>
      </w:r>
      <w:r w:rsidRPr="00F9249C">
        <w:rPr>
          <w:i/>
          <w:sz w:val="24"/>
        </w:rPr>
        <w:t>AGDRP Determination 2015, 4</w:t>
      </w:r>
      <w:r w:rsidRPr="00F9249C">
        <w:rPr>
          <w:sz w:val="24"/>
        </w:rPr>
        <w:t xml:space="preserve"> determined who was eligible for the AGDRP following the 2015 severe weather, rainfall and flooding in New South Wales. As the standard 6</w:t>
      </w:r>
      <w:r w:rsidR="00567734">
        <w:rPr>
          <w:sz w:val="24"/>
        </w:rPr>
        <w:t>-</w:t>
      </w:r>
      <w:r w:rsidRPr="00F9249C">
        <w:rPr>
          <w:sz w:val="24"/>
        </w:rPr>
        <w:t>month timeframe for applications has ended, the instrument does not need to be replaced as it is no longer required to be in force.</w:t>
      </w:r>
    </w:p>
    <w:p w14:paraId="6D08AC24" w14:textId="77777777" w:rsidR="002A30D2" w:rsidRPr="001116E6" w:rsidRDefault="002A30D2" w:rsidP="002A30D2">
      <w:pPr>
        <w:pStyle w:val="ESPara"/>
        <w:spacing w:before="0" w:after="0" w:line="240" w:lineRule="auto"/>
        <w:rPr>
          <w:sz w:val="24"/>
          <w:szCs w:val="24"/>
        </w:rPr>
      </w:pPr>
    </w:p>
    <w:p w14:paraId="00C0C650" w14:textId="2047A477" w:rsidR="002A30D2" w:rsidRPr="00F9249C" w:rsidRDefault="002A30D2" w:rsidP="002A30D2">
      <w:pPr>
        <w:pStyle w:val="ESPara"/>
        <w:numPr>
          <w:ilvl w:val="0"/>
          <w:numId w:val="7"/>
        </w:numPr>
        <w:spacing w:before="0" w:after="0" w:line="240" w:lineRule="auto"/>
        <w:ind w:left="426" w:hanging="426"/>
        <w:rPr>
          <w:sz w:val="24"/>
        </w:rPr>
      </w:pPr>
      <w:r w:rsidRPr="00F9249C">
        <w:rPr>
          <w:sz w:val="24"/>
        </w:rPr>
        <w:t xml:space="preserve">The </w:t>
      </w:r>
      <w:r w:rsidRPr="00F9249C">
        <w:rPr>
          <w:i/>
          <w:sz w:val="24"/>
        </w:rPr>
        <w:t>AGDRP Determination 2015, 5</w:t>
      </w:r>
      <w:r w:rsidRPr="00F9249C">
        <w:rPr>
          <w:sz w:val="24"/>
        </w:rPr>
        <w:t xml:space="preserve"> determined who was eligible for the AGDRP following the 2015 bushfire in South Australia. As the standard 6</w:t>
      </w:r>
      <w:r w:rsidR="00567734">
        <w:rPr>
          <w:sz w:val="24"/>
        </w:rPr>
        <w:t>-</w:t>
      </w:r>
      <w:r w:rsidRPr="00F9249C">
        <w:rPr>
          <w:sz w:val="24"/>
        </w:rPr>
        <w:t>month timeframe for applications has ended, the instrument does not need to be replaced as it is no longer required to be in force.</w:t>
      </w:r>
    </w:p>
    <w:p w14:paraId="7E8492FF" w14:textId="77777777" w:rsidR="002A30D2" w:rsidRPr="001116E6" w:rsidRDefault="002A30D2" w:rsidP="002A30D2">
      <w:pPr>
        <w:pStyle w:val="ESPara"/>
        <w:spacing w:before="0" w:after="0" w:line="240" w:lineRule="auto"/>
        <w:rPr>
          <w:sz w:val="24"/>
          <w:szCs w:val="24"/>
        </w:rPr>
      </w:pPr>
    </w:p>
    <w:p w14:paraId="3F0839B9" w14:textId="777D26F8" w:rsidR="002A30D2" w:rsidRPr="00F9249C" w:rsidRDefault="002A30D2" w:rsidP="002A30D2">
      <w:pPr>
        <w:pStyle w:val="ESPara"/>
        <w:numPr>
          <w:ilvl w:val="0"/>
          <w:numId w:val="7"/>
        </w:numPr>
        <w:spacing w:before="0" w:after="0" w:line="240" w:lineRule="auto"/>
        <w:ind w:left="426" w:hanging="426"/>
        <w:rPr>
          <w:sz w:val="24"/>
        </w:rPr>
      </w:pPr>
      <w:r w:rsidRPr="00F9249C">
        <w:rPr>
          <w:sz w:val="24"/>
        </w:rPr>
        <w:t xml:space="preserve">The </w:t>
      </w:r>
      <w:r w:rsidRPr="00F9249C">
        <w:rPr>
          <w:i/>
          <w:sz w:val="24"/>
        </w:rPr>
        <w:t xml:space="preserve">AGDRP Determination 2016 </w:t>
      </w:r>
      <w:r w:rsidRPr="00F9249C">
        <w:rPr>
          <w:sz w:val="24"/>
        </w:rPr>
        <w:t>determined who was eligible for the AGDRP following the 2016 bushfire in Western Australia. As the standard 6</w:t>
      </w:r>
      <w:r w:rsidR="00567734">
        <w:rPr>
          <w:sz w:val="24"/>
        </w:rPr>
        <w:t>-</w:t>
      </w:r>
      <w:r w:rsidRPr="00F9249C">
        <w:rPr>
          <w:sz w:val="24"/>
        </w:rPr>
        <w:t>month timeframe for applications has ended, the instrument does not need to be replaced as it is no longer required to be in force.</w:t>
      </w:r>
    </w:p>
    <w:p w14:paraId="399B419A" w14:textId="77777777" w:rsidR="002A30D2" w:rsidRPr="001116E6" w:rsidRDefault="002A30D2" w:rsidP="002A30D2">
      <w:pPr>
        <w:pStyle w:val="ESPara"/>
        <w:spacing w:before="0" w:after="0" w:line="240" w:lineRule="auto"/>
        <w:rPr>
          <w:sz w:val="24"/>
          <w:szCs w:val="24"/>
        </w:rPr>
      </w:pPr>
    </w:p>
    <w:p w14:paraId="14309128" w14:textId="174CEBB6" w:rsidR="002A30D2" w:rsidRPr="00F9249C" w:rsidRDefault="002A30D2" w:rsidP="002A30D2">
      <w:pPr>
        <w:pStyle w:val="ESPara"/>
        <w:numPr>
          <w:ilvl w:val="0"/>
          <w:numId w:val="7"/>
        </w:numPr>
        <w:spacing w:before="0" w:after="0" w:line="240" w:lineRule="auto"/>
        <w:ind w:left="426" w:hanging="426"/>
        <w:rPr>
          <w:sz w:val="24"/>
        </w:rPr>
      </w:pPr>
      <w:r w:rsidRPr="00F9249C">
        <w:rPr>
          <w:sz w:val="24"/>
        </w:rPr>
        <w:t xml:space="preserve">The </w:t>
      </w:r>
      <w:r w:rsidRPr="00F9249C">
        <w:rPr>
          <w:i/>
          <w:sz w:val="24"/>
        </w:rPr>
        <w:t xml:space="preserve">AGDRP Determination 2017 </w:t>
      </w:r>
      <w:r w:rsidRPr="00F9249C">
        <w:rPr>
          <w:sz w:val="24"/>
        </w:rPr>
        <w:t>determined who was eligible for the AGDRP following the 2017 Tropical Cyclone Debbie in Queensland. As the standard 6</w:t>
      </w:r>
      <w:r w:rsidR="00567734">
        <w:rPr>
          <w:sz w:val="24"/>
        </w:rPr>
        <w:t>-</w:t>
      </w:r>
      <w:r w:rsidRPr="00F9249C">
        <w:rPr>
          <w:sz w:val="24"/>
        </w:rPr>
        <w:t>month timeframe for applications has ended, the instrument does not need to be replaced as it is no longer required to be in force.</w:t>
      </w:r>
    </w:p>
    <w:p w14:paraId="263D67B3" w14:textId="77777777" w:rsidR="002A30D2" w:rsidRPr="001116E6" w:rsidRDefault="002A30D2" w:rsidP="002A30D2">
      <w:pPr>
        <w:pStyle w:val="ESPara"/>
        <w:spacing w:before="0" w:after="0" w:line="240" w:lineRule="auto"/>
        <w:rPr>
          <w:sz w:val="24"/>
          <w:szCs w:val="24"/>
        </w:rPr>
      </w:pPr>
    </w:p>
    <w:p w14:paraId="1CC01266" w14:textId="77777777" w:rsidR="002A30D2" w:rsidRPr="001116E6" w:rsidRDefault="002A30D2" w:rsidP="002A30D2">
      <w:pPr>
        <w:pStyle w:val="ESPara"/>
        <w:spacing w:before="0" w:after="0" w:line="240" w:lineRule="auto"/>
        <w:rPr>
          <w:sz w:val="24"/>
          <w:szCs w:val="24"/>
        </w:rPr>
      </w:pPr>
      <w:r w:rsidRPr="00F9249C">
        <w:rPr>
          <w:b/>
          <w:sz w:val="24"/>
        </w:rPr>
        <w:t>Consultation</w:t>
      </w:r>
    </w:p>
    <w:p w14:paraId="0F8E9AC4" w14:textId="77777777" w:rsidR="002A30D2" w:rsidRPr="00F9249C" w:rsidRDefault="002A30D2" w:rsidP="002A30D2">
      <w:pPr>
        <w:pStyle w:val="ESPara"/>
        <w:spacing w:before="0" w:after="0" w:line="240" w:lineRule="auto"/>
        <w:rPr>
          <w:sz w:val="24"/>
        </w:rPr>
      </w:pPr>
    </w:p>
    <w:p w14:paraId="6CD3FE28" w14:textId="7CFB6314" w:rsidR="002A30D2" w:rsidRDefault="002A30D2" w:rsidP="002A30D2">
      <w:pPr>
        <w:pStyle w:val="ESPara"/>
        <w:numPr>
          <w:ilvl w:val="0"/>
          <w:numId w:val="7"/>
        </w:numPr>
        <w:spacing w:before="0" w:after="0" w:line="240" w:lineRule="auto"/>
        <w:ind w:left="426" w:hanging="426"/>
        <w:rPr>
          <w:sz w:val="24"/>
        </w:rPr>
      </w:pPr>
      <w:r w:rsidRPr="00F9249C">
        <w:rPr>
          <w:sz w:val="24"/>
        </w:rPr>
        <w:t>The Office of Impact Analysis was consulted prior to making this instrument and advised that an impact analysis was not required. The OIA reference number is OIA23-05943.</w:t>
      </w:r>
    </w:p>
    <w:p w14:paraId="2EC1DF1D" w14:textId="7C9836E3" w:rsidR="00567734" w:rsidRDefault="00567734" w:rsidP="00F1786C">
      <w:pPr>
        <w:pStyle w:val="ESPara"/>
        <w:spacing w:before="0" w:after="0" w:line="240" w:lineRule="auto"/>
        <w:rPr>
          <w:sz w:val="24"/>
        </w:rPr>
      </w:pPr>
    </w:p>
    <w:p w14:paraId="767E93AE" w14:textId="0509BC9A" w:rsidR="00567734" w:rsidRPr="00F9249C" w:rsidRDefault="00567734" w:rsidP="00F1786C">
      <w:pPr>
        <w:pStyle w:val="ESPara"/>
        <w:numPr>
          <w:ilvl w:val="0"/>
          <w:numId w:val="7"/>
        </w:numPr>
        <w:spacing w:before="0" w:after="0" w:line="240" w:lineRule="auto"/>
        <w:ind w:left="426" w:hanging="426"/>
        <w:rPr>
          <w:sz w:val="24"/>
        </w:rPr>
      </w:pPr>
      <w:r>
        <w:rPr>
          <w:sz w:val="24"/>
        </w:rPr>
        <w:t xml:space="preserve">The Department consulted the National Emergency Management Agency (NEMA) in relation to the proposed repeal of the ten instruments. The repeal of the instruments was supported, noting that for each of the nine AGDRP Determinations, the 6-month timeframe for applications had concluded and the instruments were no longer required. Similarly, the </w:t>
      </w:r>
      <w:r w:rsidRPr="00567734">
        <w:rPr>
          <w:sz w:val="24"/>
        </w:rPr>
        <w:t>2013 DRA Rate Calculator</w:t>
      </w:r>
      <w:r>
        <w:rPr>
          <w:sz w:val="24"/>
        </w:rPr>
        <w:t xml:space="preserve"> was no longer required as it had been superseded but not repealed by the 2015 Instrument, and subsequently the 2020 Instrument. No additional consultation was considered </w:t>
      </w:r>
      <w:r w:rsidR="009961CC">
        <w:rPr>
          <w:sz w:val="24"/>
        </w:rPr>
        <w:t xml:space="preserve">appropriate or practicable in the circumstances, having regard to the requirements under section 17 of the </w:t>
      </w:r>
      <w:r w:rsidR="009961CC" w:rsidRPr="00F1786C">
        <w:rPr>
          <w:i/>
          <w:sz w:val="24"/>
        </w:rPr>
        <w:t>Legislation Act 2003</w:t>
      </w:r>
      <w:r w:rsidR="009961CC">
        <w:rPr>
          <w:sz w:val="24"/>
        </w:rPr>
        <w:t>.</w:t>
      </w:r>
    </w:p>
    <w:p w14:paraId="1BCA4423" w14:textId="77777777" w:rsidR="002A30D2" w:rsidRPr="001116E6" w:rsidRDefault="002A30D2" w:rsidP="002A30D2">
      <w:pPr>
        <w:pStyle w:val="ESPara"/>
        <w:spacing w:before="0" w:after="0" w:line="240" w:lineRule="auto"/>
        <w:rPr>
          <w:sz w:val="24"/>
          <w:szCs w:val="24"/>
        </w:rPr>
      </w:pPr>
    </w:p>
    <w:p w14:paraId="39A4B314" w14:textId="77777777" w:rsidR="002A30D2" w:rsidRPr="00F9249C" w:rsidRDefault="002A30D2" w:rsidP="002A30D2">
      <w:pPr>
        <w:pStyle w:val="ESPara"/>
        <w:spacing w:before="0" w:after="0" w:line="240" w:lineRule="auto"/>
        <w:rPr>
          <w:b/>
          <w:sz w:val="24"/>
        </w:rPr>
      </w:pPr>
      <w:r w:rsidRPr="00F9249C">
        <w:rPr>
          <w:b/>
          <w:sz w:val="24"/>
        </w:rPr>
        <w:t>Details of the Instrument</w:t>
      </w:r>
    </w:p>
    <w:p w14:paraId="7E76E13A" w14:textId="77777777" w:rsidR="002A30D2" w:rsidRDefault="002A30D2" w:rsidP="002A30D2">
      <w:pPr>
        <w:pStyle w:val="ESPara"/>
        <w:spacing w:before="0" w:after="0" w:line="240" w:lineRule="auto"/>
        <w:rPr>
          <w:sz w:val="24"/>
          <w:szCs w:val="24"/>
        </w:rPr>
      </w:pPr>
    </w:p>
    <w:p w14:paraId="31AB5B8B" w14:textId="77777777" w:rsidR="002A30D2" w:rsidRPr="00F9249C" w:rsidRDefault="002A30D2" w:rsidP="002A30D2">
      <w:pPr>
        <w:pStyle w:val="ESPara"/>
        <w:numPr>
          <w:ilvl w:val="0"/>
          <w:numId w:val="7"/>
        </w:numPr>
        <w:spacing w:before="0" w:after="0" w:line="240" w:lineRule="auto"/>
        <w:ind w:left="426" w:hanging="426"/>
        <w:rPr>
          <w:sz w:val="24"/>
        </w:rPr>
      </w:pPr>
      <w:r w:rsidRPr="00F9249C">
        <w:rPr>
          <w:sz w:val="24"/>
        </w:rPr>
        <w:t xml:space="preserve">Paragraph (a) specifies the repeal of the </w:t>
      </w:r>
      <w:r w:rsidRPr="007F3258">
        <w:rPr>
          <w:sz w:val="24"/>
          <w:szCs w:val="24"/>
        </w:rPr>
        <w:t>AGDRP</w:t>
      </w:r>
      <w:r w:rsidRPr="00F9249C">
        <w:rPr>
          <w:sz w:val="24"/>
        </w:rPr>
        <w:t xml:space="preserve"> Determination 2013</w:t>
      </w:r>
      <w:r>
        <w:rPr>
          <w:sz w:val="24"/>
          <w:szCs w:val="24"/>
        </w:rPr>
        <w:t>.</w:t>
      </w:r>
    </w:p>
    <w:p w14:paraId="15E3A583" w14:textId="77777777" w:rsidR="002A30D2" w:rsidRDefault="002A30D2" w:rsidP="002A30D2">
      <w:pPr>
        <w:pStyle w:val="ESPara"/>
        <w:spacing w:before="0" w:after="0" w:line="240" w:lineRule="auto"/>
        <w:rPr>
          <w:sz w:val="24"/>
          <w:szCs w:val="24"/>
        </w:rPr>
      </w:pPr>
    </w:p>
    <w:p w14:paraId="5951470A" w14:textId="77777777" w:rsidR="002A30D2" w:rsidRPr="00F9249C" w:rsidRDefault="002A30D2" w:rsidP="002A30D2">
      <w:pPr>
        <w:pStyle w:val="ESPara"/>
        <w:numPr>
          <w:ilvl w:val="0"/>
          <w:numId w:val="7"/>
        </w:numPr>
        <w:spacing w:before="0" w:after="0" w:line="240" w:lineRule="auto"/>
        <w:ind w:left="426" w:hanging="426"/>
        <w:rPr>
          <w:sz w:val="24"/>
        </w:rPr>
      </w:pPr>
      <w:r w:rsidRPr="00F9249C">
        <w:rPr>
          <w:sz w:val="24"/>
        </w:rPr>
        <w:lastRenderedPageBreak/>
        <w:t xml:space="preserve">Paragraph (b) specifies the repeal of the </w:t>
      </w:r>
      <w:r w:rsidRPr="002B6D9F">
        <w:rPr>
          <w:sz w:val="24"/>
          <w:szCs w:val="24"/>
        </w:rPr>
        <w:t>AGDRP</w:t>
      </w:r>
      <w:r w:rsidRPr="00F9249C">
        <w:rPr>
          <w:sz w:val="24"/>
        </w:rPr>
        <w:t xml:space="preserve"> Determination 2014</w:t>
      </w:r>
      <w:r>
        <w:rPr>
          <w:sz w:val="24"/>
          <w:szCs w:val="24"/>
        </w:rPr>
        <w:t>.</w:t>
      </w:r>
    </w:p>
    <w:p w14:paraId="1E1F2A2B" w14:textId="77777777" w:rsidR="002A30D2" w:rsidRPr="001116E6" w:rsidRDefault="002A30D2" w:rsidP="002A30D2">
      <w:pPr>
        <w:pStyle w:val="ESPara"/>
        <w:spacing w:before="0" w:after="0" w:line="240" w:lineRule="auto"/>
        <w:rPr>
          <w:sz w:val="24"/>
          <w:szCs w:val="24"/>
        </w:rPr>
      </w:pPr>
    </w:p>
    <w:p w14:paraId="2CA17DCD" w14:textId="77777777" w:rsidR="002A30D2" w:rsidRPr="00F9249C" w:rsidRDefault="002A30D2" w:rsidP="002A30D2">
      <w:pPr>
        <w:pStyle w:val="ESPara"/>
        <w:numPr>
          <w:ilvl w:val="0"/>
          <w:numId w:val="7"/>
        </w:numPr>
        <w:spacing w:before="0" w:after="0" w:line="240" w:lineRule="auto"/>
        <w:ind w:left="426" w:hanging="426"/>
        <w:rPr>
          <w:sz w:val="24"/>
        </w:rPr>
      </w:pPr>
      <w:r w:rsidRPr="00F9249C">
        <w:rPr>
          <w:sz w:val="24"/>
        </w:rPr>
        <w:t xml:space="preserve">Paragraph (c) specifies the repeal of the </w:t>
      </w:r>
      <w:r w:rsidRPr="002B6D9F">
        <w:rPr>
          <w:sz w:val="24"/>
          <w:szCs w:val="24"/>
        </w:rPr>
        <w:t>DRA</w:t>
      </w:r>
      <w:r w:rsidRPr="00F9249C">
        <w:rPr>
          <w:sz w:val="24"/>
        </w:rPr>
        <w:t xml:space="preserve"> Calculator.</w:t>
      </w:r>
    </w:p>
    <w:p w14:paraId="4A63F491" w14:textId="77777777" w:rsidR="002A30D2" w:rsidRPr="001116E6" w:rsidRDefault="002A30D2" w:rsidP="002A30D2">
      <w:pPr>
        <w:pStyle w:val="ESPara"/>
        <w:spacing w:before="0" w:after="0" w:line="240" w:lineRule="auto"/>
        <w:rPr>
          <w:sz w:val="24"/>
          <w:szCs w:val="24"/>
        </w:rPr>
      </w:pPr>
    </w:p>
    <w:p w14:paraId="77AA495F" w14:textId="77777777" w:rsidR="002A30D2" w:rsidRPr="00F9249C" w:rsidRDefault="002A30D2" w:rsidP="002A30D2">
      <w:pPr>
        <w:pStyle w:val="ESPara"/>
        <w:numPr>
          <w:ilvl w:val="0"/>
          <w:numId w:val="7"/>
        </w:numPr>
        <w:spacing w:before="0" w:after="0" w:line="240" w:lineRule="auto"/>
        <w:ind w:left="426" w:hanging="426"/>
        <w:rPr>
          <w:sz w:val="24"/>
        </w:rPr>
      </w:pPr>
      <w:r w:rsidRPr="00F9249C">
        <w:rPr>
          <w:sz w:val="24"/>
        </w:rPr>
        <w:t xml:space="preserve">Paragraph (d) specifies the repeal of the </w:t>
      </w:r>
      <w:r w:rsidRPr="002B6D9F">
        <w:rPr>
          <w:sz w:val="24"/>
          <w:szCs w:val="24"/>
        </w:rPr>
        <w:t>AGDRP</w:t>
      </w:r>
      <w:r w:rsidRPr="00F9249C">
        <w:rPr>
          <w:sz w:val="24"/>
        </w:rPr>
        <w:t xml:space="preserve"> Determination 2015</w:t>
      </w:r>
      <w:r w:rsidRPr="002B6D9F">
        <w:rPr>
          <w:sz w:val="24"/>
          <w:szCs w:val="24"/>
        </w:rPr>
        <w:t>,</w:t>
      </w:r>
      <w:r w:rsidRPr="00F9249C">
        <w:rPr>
          <w:sz w:val="24"/>
        </w:rPr>
        <w:t xml:space="preserve"> 1</w:t>
      </w:r>
      <w:r w:rsidRPr="001116E6">
        <w:rPr>
          <w:sz w:val="24"/>
          <w:szCs w:val="24"/>
        </w:rPr>
        <w:t>.</w:t>
      </w:r>
    </w:p>
    <w:p w14:paraId="5ACDB486" w14:textId="77777777" w:rsidR="002A30D2" w:rsidRPr="001116E6" w:rsidRDefault="002A30D2" w:rsidP="002A30D2">
      <w:pPr>
        <w:pStyle w:val="ESPara"/>
        <w:spacing w:before="0" w:after="0" w:line="240" w:lineRule="auto"/>
        <w:rPr>
          <w:sz w:val="24"/>
          <w:szCs w:val="24"/>
        </w:rPr>
      </w:pPr>
    </w:p>
    <w:p w14:paraId="209371FE" w14:textId="77777777" w:rsidR="002A30D2" w:rsidRPr="00F9249C" w:rsidRDefault="002A30D2" w:rsidP="002A30D2">
      <w:pPr>
        <w:pStyle w:val="ESPara"/>
        <w:numPr>
          <w:ilvl w:val="0"/>
          <w:numId w:val="7"/>
        </w:numPr>
        <w:spacing w:before="0" w:after="0" w:line="240" w:lineRule="auto"/>
        <w:ind w:left="426" w:hanging="426"/>
        <w:rPr>
          <w:sz w:val="24"/>
        </w:rPr>
      </w:pPr>
      <w:r w:rsidRPr="00F9249C">
        <w:rPr>
          <w:sz w:val="24"/>
        </w:rPr>
        <w:t xml:space="preserve">Paragraph (e) specifies the repeal of the </w:t>
      </w:r>
      <w:r w:rsidRPr="00E21F5F">
        <w:rPr>
          <w:sz w:val="24"/>
          <w:szCs w:val="24"/>
        </w:rPr>
        <w:t>AGDRP</w:t>
      </w:r>
      <w:r w:rsidRPr="00F9249C">
        <w:rPr>
          <w:sz w:val="24"/>
        </w:rPr>
        <w:t xml:space="preserve"> Determination 2015</w:t>
      </w:r>
      <w:r w:rsidRPr="00E21F5F">
        <w:rPr>
          <w:sz w:val="24"/>
          <w:szCs w:val="24"/>
        </w:rPr>
        <w:t>,</w:t>
      </w:r>
      <w:r w:rsidRPr="00F9249C">
        <w:rPr>
          <w:sz w:val="24"/>
        </w:rPr>
        <w:t xml:space="preserve"> 2</w:t>
      </w:r>
      <w:r w:rsidRPr="001116E6">
        <w:rPr>
          <w:sz w:val="24"/>
          <w:szCs w:val="24"/>
        </w:rPr>
        <w:t>.</w:t>
      </w:r>
    </w:p>
    <w:p w14:paraId="5388D3AC" w14:textId="77777777" w:rsidR="002A30D2" w:rsidRPr="001116E6" w:rsidRDefault="002A30D2" w:rsidP="002A30D2">
      <w:pPr>
        <w:pStyle w:val="ESPara"/>
        <w:spacing w:before="0" w:after="0" w:line="240" w:lineRule="auto"/>
        <w:rPr>
          <w:sz w:val="24"/>
          <w:szCs w:val="24"/>
        </w:rPr>
      </w:pPr>
    </w:p>
    <w:p w14:paraId="432D4261" w14:textId="77777777" w:rsidR="002A30D2" w:rsidRPr="00F9249C" w:rsidRDefault="002A30D2" w:rsidP="002A30D2">
      <w:pPr>
        <w:pStyle w:val="ESPara"/>
        <w:numPr>
          <w:ilvl w:val="0"/>
          <w:numId w:val="7"/>
        </w:numPr>
        <w:spacing w:before="0" w:after="0" w:line="240" w:lineRule="auto"/>
        <w:ind w:left="426" w:hanging="426"/>
        <w:rPr>
          <w:sz w:val="24"/>
        </w:rPr>
      </w:pPr>
      <w:r w:rsidRPr="00F9249C">
        <w:rPr>
          <w:sz w:val="24"/>
        </w:rPr>
        <w:t xml:space="preserve">Paragraph (f) specifies the repeal of the </w:t>
      </w:r>
      <w:r>
        <w:rPr>
          <w:sz w:val="24"/>
          <w:szCs w:val="24"/>
        </w:rPr>
        <w:t>AGDRP</w:t>
      </w:r>
      <w:r w:rsidRPr="00F9249C">
        <w:rPr>
          <w:sz w:val="24"/>
        </w:rPr>
        <w:t xml:space="preserve"> Determination 2015</w:t>
      </w:r>
      <w:r>
        <w:rPr>
          <w:sz w:val="24"/>
          <w:szCs w:val="24"/>
        </w:rPr>
        <w:t>,</w:t>
      </w:r>
      <w:r w:rsidRPr="00F9249C">
        <w:rPr>
          <w:sz w:val="24"/>
        </w:rPr>
        <w:t xml:space="preserve"> 3</w:t>
      </w:r>
      <w:r w:rsidRPr="001116E6">
        <w:rPr>
          <w:sz w:val="24"/>
          <w:szCs w:val="24"/>
        </w:rPr>
        <w:t>.</w:t>
      </w:r>
    </w:p>
    <w:p w14:paraId="3A58555C" w14:textId="77777777" w:rsidR="002A30D2" w:rsidRPr="001116E6" w:rsidRDefault="002A30D2" w:rsidP="002A30D2">
      <w:pPr>
        <w:pStyle w:val="ESPara"/>
        <w:spacing w:before="0" w:after="0" w:line="240" w:lineRule="auto"/>
        <w:rPr>
          <w:sz w:val="24"/>
          <w:szCs w:val="24"/>
        </w:rPr>
      </w:pPr>
    </w:p>
    <w:p w14:paraId="69CF8741" w14:textId="77777777" w:rsidR="002A30D2" w:rsidRPr="00F9249C" w:rsidRDefault="002A30D2" w:rsidP="002A30D2">
      <w:pPr>
        <w:pStyle w:val="ESPara"/>
        <w:numPr>
          <w:ilvl w:val="0"/>
          <w:numId w:val="7"/>
        </w:numPr>
        <w:spacing w:before="0" w:after="0" w:line="240" w:lineRule="auto"/>
        <w:ind w:left="426" w:hanging="426"/>
        <w:rPr>
          <w:sz w:val="24"/>
        </w:rPr>
      </w:pPr>
      <w:r w:rsidRPr="00F9249C">
        <w:rPr>
          <w:sz w:val="24"/>
        </w:rPr>
        <w:t xml:space="preserve">Paragraph (g) specifies the repeal of the </w:t>
      </w:r>
      <w:r w:rsidRPr="00E21F5F">
        <w:rPr>
          <w:sz w:val="24"/>
          <w:szCs w:val="24"/>
        </w:rPr>
        <w:t>AGDRP</w:t>
      </w:r>
      <w:r w:rsidRPr="00F9249C">
        <w:rPr>
          <w:sz w:val="24"/>
        </w:rPr>
        <w:t xml:space="preserve"> Determination 2015</w:t>
      </w:r>
      <w:r w:rsidRPr="00E21F5F">
        <w:rPr>
          <w:sz w:val="24"/>
          <w:szCs w:val="24"/>
        </w:rPr>
        <w:t>,</w:t>
      </w:r>
      <w:r w:rsidRPr="00F9249C">
        <w:rPr>
          <w:sz w:val="24"/>
        </w:rPr>
        <w:t xml:space="preserve"> 4</w:t>
      </w:r>
      <w:r w:rsidRPr="001116E6">
        <w:rPr>
          <w:sz w:val="24"/>
          <w:szCs w:val="24"/>
        </w:rPr>
        <w:t>.</w:t>
      </w:r>
    </w:p>
    <w:p w14:paraId="5984CAD6" w14:textId="77777777" w:rsidR="002A30D2" w:rsidRPr="001116E6" w:rsidRDefault="002A30D2" w:rsidP="002A30D2">
      <w:pPr>
        <w:pStyle w:val="ESPara"/>
        <w:spacing w:before="0" w:after="0" w:line="240" w:lineRule="auto"/>
        <w:rPr>
          <w:sz w:val="24"/>
          <w:szCs w:val="24"/>
        </w:rPr>
      </w:pPr>
    </w:p>
    <w:p w14:paraId="5666681B" w14:textId="77777777" w:rsidR="002A30D2" w:rsidRPr="00F9249C" w:rsidRDefault="002A30D2" w:rsidP="002A30D2">
      <w:pPr>
        <w:pStyle w:val="ESPara"/>
        <w:numPr>
          <w:ilvl w:val="0"/>
          <w:numId w:val="7"/>
        </w:numPr>
        <w:spacing w:before="0" w:after="0" w:line="240" w:lineRule="auto"/>
        <w:ind w:left="426" w:hanging="426"/>
        <w:rPr>
          <w:sz w:val="24"/>
        </w:rPr>
      </w:pPr>
      <w:r w:rsidRPr="00F9249C">
        <w:rPr>
          <w:sz w:val="24"/>
        </w:rPr>
        <w:t xml:space="preserve">Paragraph (h) specifies the repeal of the </w:t>
      </w:r>
      <w:r w:rsidRPr="00E21F5F">
        <w:rPr>
          <w:sz w:val="24"/>
          <w:szCs w:val="24"/>
        </w:rPr>
        <w:t>AGDRP</w:t>
      </w:r>
      <w:r w:rsidRPr="00F9249C">
        <w:rPr>
          <w:sz w:val="24"/>
        </w:rPr>
        <w:t xml:space="preserve"> Determination 2015</w:t>
      </w:r>
      <w:r w:rsidRPr="00E21F5F">
        <w:rPr>
          <w:sz w:val="24"/>
          <w:szCs w:val="24"/>
        </w:rPr>
        <w:t>,</w:t>
      </w:r>
      <w:r w:rsidRPr="00F9249C">
        <w:rPr>
          <w:sz w:val="24"/>
        </w:rPr>
        <w:t xml:space="preserve"> 5</w:t>
      </w:r>
      <w:r>
        <w:rPr>
          <w:sz w:val="24"/>
          <w:szCs w:val="24"/>
        </w:rPr>
        <w:t>.</w:t>
      </w:r>
    </w:p>
    <w:p w14:paraId="31B4B105" w14:textId="77777777" w:rsidR="002A30D2" w:rsidRPr="001116E6" w:rsidRDefault="002A30D2" w:rsidP="002A30D2">
      <w:pPr>
        <w:pStyle w:val="ESPara"/>
        <w:spacing w:before="0" w:after="0" w:line="240" w:lineRule="auto"/>
        <w:rPr>
          <w:sz w:val="24"/>
          <w:szCs w:val="24"/>
        </w:rPr>
      </w:pPr>
    </w:p>
    <w:p w14:paraId="7BF7E527" w14:textId="77777777" w:rsidR="002A30D2" w:rsidRPr="00F9249C" w:rsidRDefault="002A30D2" w:rsidP="002A30D2">
      <w:pPr>
        <w:pStyle w:val="ESPara"/>
        <w:numPr>
          <w:ilvl w:val="0"/>
          <w:numId w:val="7"/>
        </w:numPr>
        <w:spacing w:before="0" w:after="0" w:line="240" w:lineRule="auto"/>
        <w:ind w:left="426" w:hanging="426"/>
        <w:rPr>
          <w:sz w:val="24"/>
        </w:rPr>
      </w:pPr>
      <w:r w:rsidRPr="00F9249C">
        <w:rPr>
          <w:sz w:val="24"/>
        </w:rPr>
        <w:t xml:space="preserve">Paragraph (i) specifies the repeal of the </w:t>
      </w:r>
      <w:r w:rsidRPr="00E21F5F">
        <w:rPr>
          <w:sz w:val="24"/>
          <w:szCs w:val="24"/>
        </w:rPr>
        <w:t>AGDRP</w:t>
      </w:r>
      <w:r w:rsidRPr="00F9249C">
        <w:rPr>
          <w:sz w:val="24"/>
        </w:rPr>
        <w:t xml:space="preserve"> Determination 2016</w:t>
      </w:r>
      <w:r w:rsidRPr="001116E6">
        <w:rPr>
          <w:sz w:val="24"/>
          <w:szCs w:val="24"/>
        </w:rPr>
        <w:t>.</w:t>
      </w:r>
    </w:p>
    <w:p w14:paraId="701F0F49" w14:textId="77777777" w:rsidR="002A30D2" w:rsidRPr="001116E6" w:rsidRDefault="002A30D2" w:rsidP="002A30D2">
      <w:pPr>
        <w:pStyle w:val="ESPara"/>
        <w:spacing w:before="0" w:after="0" w:line="240" w:lineRule="auto"/>
        <w:rPr>
          <w:sz w:val="24"/>
          <w:szCs w:val="24"/>
        </w:rPr>
      </w:pPr>
    </w:p>
    <w:p w14:paraId="729A691D" w14:textId="5314FEC9" w:rsidR="002A30D2" w:rsidRPr="00F9249C" w:rsidRDefault="002A30D2" w:rsidP="002A30D2">
      <w:pPr>
        <w:pStyle w:val="ESPara"/>
        <w:numPr>
          <w:ilvl w:val="0"/>
          <w:numId w:val="7"/>
        </w:numPr>
        <w:spacing w:before="0" w:after="0" w:line="240" w:lineRule="auto"/>
        <w:ind w:left="426" w:hanging="426"/>
        <w:rPr>
          <w:sz w:val="24"/>
        </w:rPr>
      </w:pPr>
      <w:r w:rsidRPr="00F9249C">
        <w:rPr>
          <w:sz w:val="24"/>
        </w:rPr>
        <w:t xml:space="preserve">Paragraph (j) specifies the repeal of the </w:t>
      </w:r>
      <w:r w:rsidRPr="00E21F5F">
        <w:rPr>
          <w:sz w:val="24"/>
          <w:szCs w:val="24"/>
        </w:rPr>
        <w:t>AGDRP</w:t>
      </w:r>
      <w:r w:rsidRPr="00F9249C">
        <w:rPr>
          <w:sz w:val="24"/>
        </w:rPr>
        <w:t xml:space="preserve"> Determination 2017</w:t>
      </w:r>
      <w:r w:rsidRPr="001116E6">
        <w:rPr>
          <w:sz w:val="24"/>
          <w:szCs w:val="24"/>
        </w:rPr>
        <w:t>.</w:t>
      </w:r>
    </w:p>
    <w:p w14:paraId="28BF78A5" w14:textId="61951AC3" w:rsidR="002A30D2" w:rsidRDefault="002A30D2" w:rsidP="002A30D2">
      <w:pPr>
        <w:pStyle w:val="ESPara"/>
        <w:spacing w:before="0" w:after="0" w:line="240" w:lineRule="auto"/>
        <w:rPr>
          <w:sz w:val="24"/>
          <w:szCs w:val="24"/>
        </w:rPr>
      </w:pPr>
    </w:p>
    <w:p w14:paraId="30309B3C" w14:textId="761E10AA" w:rsidR="009961CC" w:rsidRPr="00F1786C" w:rsidRDefault="009961CC" w:rsidP="00F1786C">
      <w:pPr>
        <w:pStyle w:val="ESPara"/>
        <w:numPr>
          <w:ilvl w:val="0"/>
          <w:numId w:val="7"/>
        </w:numPr>
        <w:spacing w:before="0" w:after="0" w:line="240" w:lineRule="auto"/>
        <w:ind w:left="426" w:hanging="426"/>
        <w:rPr>
          <w:sz w:val="24"/>
        </w:rPr>
      </w:pPr>
      <w:r>
        <w:rPr>
          <w:sz w:val="24"/>
        </w:rPr>
        <w:t>T</w:t>
      </w:r>
      <w:r w:rsidRPr="00F1786C">
        <w:rPr>
          <w:sz w:val="24"/>
        </w:rPr>
        <w:t>he Instrument commences the day after it is registered on the Federal Register of Legislation.</w:t>
      </w:r>
    </w:p>
    <w:p w14:paraId="052FDCD3" w14:textId="1213200C" w:rsidR="009961CC" w:rsidRDefault="009961CC" w:rsidP="002A30D2">
      <w:pPr>
        <w:pStyle w:val="ESPara"/>
        <w:spacing w:before="0" w:after="0" w:line="240" w:lineRule="auto"/>
        <w:rPr>
          <w:sz w:val="24"/>
          <w:szCs w:val="24"/>
        </w:rPr>
      </w:pPr>
    </w:p>
    <w:p w14:paraId="54841633" w14:textId="4F6DD37B" w:rsidR="002A30D2" w:rsidRPr="001116E6" w:rsidRDefault="002A30D2" w:rsidP="00F1786C">
      <w:pPr>
        <w:pStyle w:val="ESPara"/>
        <w:spacing w:before="0" w:after="0" w:line="240" w:lineRule="auto"/>
        <w:rPr>
          <w:b/>
          <w:sz w:val="24"/>
          <w:szCs w:val="24"/>
        </w:rPr>
      </w:pPr>
      <w:r>
        <w:rPr>
          <w:b/>
          <w:sz w:val="24"/>
          <w:szCs w:val="24"/>
        </w:rPr>
        <w:t>Other</w:t>
      </w:r>
      <w:r w:rsidR="006F0057">
        <w:rPr>
          <w:b/>
          <w:sz w:val="24"/>
          <w:szCs w:val="24"/>
        </w:rPr>
        <w:t xml:space="preserve"> matters</w:t>
      </w:r>
    </w:p>
    <w:p w14:paraId="6A548E92" w14:textId="77777777" w:rsidR="002A30D2" w:rsidRDefault="002A30D2" w:rsidP="002A30D2">
      <w:pPr>
        <w:pStyle w:val="LDMinuteParagraph"/>
        <w:numPr>
          <w:ilvl w:val="0"/>
          <w:numId w:val="0"/>
        </w:numPr>
        <w:tabs>
          <w:tab w:val="clear" w:pos="360"/>
          <w:tab w:val="left" w:pos="709"/>
        </w:tabs>
        <w:spacing w:after="0"/>
        <w:rPr>
          <w:szCs w:val="24"/>
        </w:rPr>
      </w:pPr>
    </w:p>
    <w:p w14:paraId="48EE7465" w14:textId="14F1D109" w:rsidR="002A30D2" w:rsidRDefault="002A30D2" w:rsidP="009961CC">
      <w:pPr>
        <w:pStyle w:val="LDMinuteParagraph"/>
        <w:numPr>
          <w:ilvl w:val="0"/>
          <w:numId w:val="7"/>
        </w:numPr>
        <w:tabs>
          <w:tab w:val="clear" w:pos="360"/>
          <w:tab w:val="left" w:pos="709"/>
        </w:tabs>
        <w:spacing w:after="0"/>
        <w:rPr>
          <w:szCs w:val="24"/>
        </w:rPr>
      </w:pPr>
      <w:r>
        <w:rPr>
          <w:szCs w:val="24"/>
        </w:rPr>
        <w:t xml:space="preserve">The </w:t>
      </w:r>
      <w:r w:rsidR="009961CC">
        <w:rPr>
          <w:szCs w:val="24"/>
        </w:rPr>
        <w:t>I</w:t>
      </w:r>
      <w:r>
        <w:rPr>
          <w:szCs w:val="24"/>
        </w:rPr>
        <w:t xml:space="preserve">nstrument is a disallowable legislative instrument for the purposes of the </w:t>
      </w:r>
      <w:r w:rsidRPr="00506E2C">
        <w:rPr>
          <w:i/>
          <w:szCs w:val="24"/>
        </w:rPr>
        <w:t>Legislation Act 2003</w:t>
      </w:r>
      <w:r w:rsidR="00503F11">
        <w:rPr>
          <w:i/>
          <w:szCs w:val="24"/>
        </w:rPr>
        <w:t xml:space="preserve"> </w:t>
      </w:r>
      <w:r w:rsidR="00503F11">
        <w:rPr>
          <w:szCs w:val="24"/>
        </w:rPr>
        <w:t>to the extent that it applies to the</w:t>
      </w:r>
      <w:r w:rsidR="00503F11" w:rsidRPr="00503F11">
        <w:rPr>
          <w:rFonts w:asciiTheme="minorHAnsi" w:eastAsiaTheme="minorHAnsi" w:hAnsiTheme="minorHAnsi" w:cstheme="minorBidi"/>
          <w:i/>
          <w:szCs w:val="22"/>
        </w:rPr>
        <w:t xml:space="preserve"> </w:t>
      </w:r>
      <w:r w:rsidR="00503F11" w:rsidRPr="00503F11">
        <w:rPr>
          <w:i/>
          <w:szCs w:val="24"/>
        </w:rPr>
        <w:t>DRA Rate Calculator</w:t>
      </w:r>
      <w:r w:rsidR="00503F11">
        <w:rPr>
          <w:szCs w:val="24"/>
        </w:rPr>
        <w:t>.</w:t>
      </w:r>
      <w:r w:rsidR="009961CC">
        <w:rPr>
          <w:szCs w:val="24"/>
        </w:rPr>
        <w:t xml:space="preserve"> </w:t>
      </w:r>
      <w:r w:rsidR="009961CC" w:rsidRPr="009961CC">
        <w:rPr>
          <w:szCs w:val="24"/>
        </w:rPr>
        <w:t>Instruments made under 1061KC(2) of the Social Security Act 1991 are disallowable. The Determination is disallowable to the extent that this instrument purports to repeal the DRA Rate Calculator.</w:t>
      </w:r>
    </w:p>
    <w:p w14:paraId="7EF41C1B" w14:textId="77777777" w:rsidR="002A30D2" w:rsidRPr="00F9249C" w:rsidRDefault="002A30D2" w:rsidP="002A30D2">
      <w:pPr>
        <w:pStyle w:val="LDMinuteParagraph"/>
        <w:numPr>
          <w:ilvl w:val="0"/>
          <w:numId w:val="0"/>
        </w:numPr>
        <w:tabs>
          <w:tab w:val="clear" w:pos="360"/>
          <w:tab w:val="left" w:pos="709"/>
        </w:tabs>
        <w:spacing w:after="0"/>
      </w:pPr>
    </w:p>
    <w:p w14:paraId="75E73AB5" w14:textId="075FB2C3" w:rsidR="002A30D2" w:rsidRDefault="002A30D2" w:rsidP="002A30D2">
      <w:pPr>
        <w:pStyle w:val="LDMinuteParagraph"/>
        <w:numPr>
          <w:ilvl w:val="0"/>
          <w:numId w:val="7"/>
        </w:numPr>
        <w:tabs>
          <w:tab w:val="clear" w:pos="360"/>
          <w:tab w:val="left" w:pos="709"/>
        </w:tabs>
        <w:spacing w:after="0"/>
        <w:rPr>
          <w:szCs w:val="24"/>
        </w:rPr>
      </w:pPr>
      <w:r w:rsidRPr="00F9249C">
        <w:t xml:space="preserve">Subsection 1061L(3) of the Act provides that a </w:t>
      </w:r>
      <w:r w:rsidR="009C07BC">
        <w:t>D</w:t>
      </w:r>
      <w:r w:rsidRPr="00F9249C">
        <w:t xml:space="preserve">etermination under section 1061L is a legislative instrument. However, the </w:t>
      </w:r>
      <w:r w:rsidR="009961CC">
        <w:t>Instrument</w:t>
      </w:r>
      <w:r w:rsidR="009961CC" w:rsidRPr="00F9249C">
        <w:t xml:space="preserve"> </w:t>
      </w:r>
      <w:r w:rsidRPr="00F9249C">
        <w:t>is not subject to disallowance to the extent it repeals nine instruments made under subsection 1061L(</w:t>
      </w:r>
      <w:r w:rsidR="00793EB0">
        <w:t>2</w:t>
      </w:r>
      <w:r w:rsidRPr="00F9249C">
        <w:t>) of the Act. Subsection</w:t>
      </w:r>
      <w:r>
        <w:rPr>
          <w:szCs w:val="24"/>
        </w:rPr>
        <w:t xml:space="preserve"> </w:t>
      </w:r>
      <w:r w:rsidRPr="00F9249C">
        <w:t xml:space="preserve">1061L(3) of the Act provides that section 42 of the </w:t>
      </w:r>
      <w:r w:rsidRPr="00F9249C">
        <w:rPr>
          <w:i/>
        </w:rPr>
        <w:t>Legislation Act 2003</w:t>
      </w:r>
      <w:r w:rsidRPr="00F9249C">
        <w:t xml:space="preserve"> does not apply.</w:t>
      </w:r>
    </w:p>
    <w:p w14:paraId="7AF13CB7" w14:textId="77777777" w:rsidR="002A30D2" w:rsidRPr="001116E6" w:rsidRDefault="002A30D2" w:rsidP="002A30D2">
      <w:pPr>
        <w:pStyle w:val="LDMinuteParagraph"/>
        <w:numPr>
          <w:ilvl w:val="0"/>
          <w:numId w:val="0"/>
        </w:numPr>
        <w:tabs>
          <w:tab w:val="clear" w:pos="360"/>
          <w:tab w:val="left" w:pos="709"/>
        </w:tabs>
        <w:spacing w:after="0"/>
        <w:rPr>
          <w:szCs w:val="24"/>
        </w:rPr>
      </w:pPr>
    </w:p>
    <w:p w14:paraId="13B341AD" w14:textId="77777777" w:rsidR="002A30D2" w:rsidRPr="00F9249C" w:rsidRDefault="002A30D2" w:rsidP="002A30D2">
      <w:pPr>
        <w:pStyle w:val="LDMinuteParagraph"/>
        <w:numPr>
          <w:ilvl w:val="0"/>
          <w:numId w:val="7"/>
        </w:numPr>
        <w:tabs>
          <w:tab w:val="clear" w:pos="360"/>
          <w:tab w:val="left" w:pos="709"/>
        </w:tabs>
        <w:spacing w:after="0"/>
        <w:rPr>
          <w:b/>
          <w:u w:val="single"/>
        </w:rPr>
      </w:pPr>
      <w:r>
        <w:rPr>
          <w:szCs w:val="24"/>
        </w:rPr>
        <w:t>The Instrument is</w:t>
      </w:r>
      <w:r w:rsidRPr="00506E2C">
        <w:rPr>
          <w:szCs w:val="24"/>
        </w:rPr>
        <w:t xml:space="preserve"> compatible with the human rights and freedoms recognised or declared in accordance with the </w:t>
      </w:r>
      <w:r w:rsidRPr="00506E2C">
        <w:rPr>
          <w:i/>
          <w:szCs w:val="24"/>
        </w:rPr>
        <w:t>Human Rights (Parliamentary Scrutiny) Act 2011</w:t>
      </w:r>
      <w:r w:rsidRPr="00506E2C">
        <w:rPr>
          <w:szCs w:val="24"/>
        </w:rPr>
        <w:t xml:space="preserve">. </w:t>
      </w:r>
      <w:r w:rsidRPr="00F9249C">
        <w:t xml:space="preserve">A Statement of Compatibility with Human Rights is set out in the </w:t>
      </w:r>
      <w:r w:rsidRPr="00F9249C">
        <w:rPr>
          <w:b/>
          <w:u w:val="single"/>
        </w:rPr>
        <w:t>Attachment</w:t>
      </w:r>
      <w:r w:rsidRPr="001116E6">
        <w:rPr>
          <w:szCs w:val="24"/>
        </w:rPr>
        <w:t>.</w:t>
      </w:r>
    </w:p>
    <w:p w14:paraId="5EEB53CD" w14:textId="77777777" w:rsidR="002A30D2" w:rsidRPr="00F9249C" w:rsidRDefault="002A30D2" w:rsidP="002A30D2">
      <w:pPr>
        <w:spacing w:after="0" w:line="240" w:lineRule="auto"/>
        <w:rPr>
          <w:rFonts w:ascii="Times New Roman" w:hAnsi="Times New Roman"/>
          <w:sz w:val="24"/>
        </w:rPr>
      </w:pPr>
      <w:r>
        <w:rPr>
          <w:b/>
          <w:u w:val="single"/>
        </w:rPr>
        <w:br w:type="page"/>
      </w:r>
    </w:p>
    <w:p w14:paraId="04FAC408" w14:textId="77777777" w:rsidR="002A30D2" w:rsidRDefault="002A30D2" w:rsidP="002A30D2">
      <w:pPr>
        <w:spacing w:after="0" w:line="240" w:lineRule="auto"/>
        <w:jc w:val="right"/>
        <w:rPr>
          <w:rFonts w:ascii="Times New Roman" w:eastAsia="Times New Roman" w:hAnsi="Times New Roman" w:cs="Times New Roman"/>
          <w:b/>
          <w:bCs/>
          <w:color w:val="000000"/>
          <w:sz w:val="24"/>
          <w:szCs w:val="24"/>
          <w:u w:val="single"/>
        </w:rPr>
      </w:pPr>
      <w:r w:rsidRPr="008D36C6">
        <w:rPr>
          <w:rFonts w:ascii="Times New Roman" w:eastAsia="Times New Roman" w:hAnsi="Times New Roman" w:cs="Times New Roman"/>
          <w:b/>
          <w:bCs/>
          <w:color w:val="000000"/>
          <w:sz w:val="24"/>
          <w:szCs w:val="24"/>
          <w:u w:val="single"/>
        </w:rPr>
        <w:lastRenderedPageBreak/>
        <w:t>ATTACHMENT</w:t>
      </w:r>
    </w:p>
    <w:p w14:paraId="233F113E" w14:textId="77777777" w:rsidR="002A30D2" w:rsidRPr="00F9249C" w:rsidRDefault="002A30D2" w:rsidP="002A30D2">
      <w:pPr>
        <w:spacing w:after="0" w:line="240" w:lineRule="auto"/>
        <w:jc w:val="right"/>
        <w:rPr>
          <w:rFonts w:ascii="Times New Roman" w:hAnsi="Times New Roman"/>
          <w:color w:val="000000"/>
          <w:sz w:val="24"/>
        </w:rPr>
      </w:pPr>
    </w:p>
    <w:p w14:paraId="4585430D" w14:textId="77777777" w:rsidR="002A30D2" w:rsidRPr="00F9249C" w:rsidRDefault="002A30D2" w:rsidP="002A30D2">
      <w:pPr>
        <w:spacing w:after="0" w:line="240" w:lineRule="auto"/>
        <w:jc w:val="center"/>
        <w:rPr>
          <w:rFonts w:ascii="Times New Roman" w:hAnsi="Times New Roman"/>
          <w:color w:val="000000"/>
          <w:sz w:val="28"/>
        </w:rPr>
      </w:pPr>
      <w:r w:rsidRPr="00F9249C">
        <w:rPr>
          <w:rFonts w:ascii="Times New Roman" w:hAnsi="Times New Roman"/>
          <w:b/>
          <w:color w:val="000000"/>
          <w:sz w:val="28"/>
        </w:rPr>
        <w:t>Statement of Compatibility with Human Rights</w:t>
      </w:r>
    </w:p>
    <w:p w14:paraId="246A2729" w14:textId="77777777" w:rsidR="002A30D2" w:rsidRDefault="002A30D2" w:rsidP="002A30D2">
      <w:pPr>
        <w:spacing w:after="0" w:line="240" w:lineRule="auto"/>
        <w:jc w:val="center"/>
        <w:rPr>
          <w:rFonts w:ascii="Times New Roman" w:eastAsia="Times New Roman" w:hAnsi="Times New Roman" w:cs="Times New Roman"/>
          <w:color w:val="000000"/>
          <w:sz w:val="24"/>
          <w:szCs w:val="24"/>
        </w:rPr>
      </w:pPr>
    </w:p>
    <w:p w14:paraId="176D16C8" w14:textId="77777777" w:rsidR="002A30D2" w:rsidRPr="00F9249C" w:rsidRDefault="002A30D2" w:rsidP="002A30D2">
      <w:pPr>
        <w:spacing w:after="0" w:line="240" w:lineRule="auto"/>
        <w:jc w:val="center"/>
        <w:rPr>
          <w:rFonts w:ascii="Times New Roman" w:hAnsi="Times New Roman"/>
          <w:color w:val="000000"/>
          <w:sz w:val="24"/>
        </w:rPr>
      </w:pPr>
      <w:r w:rsidRPr="0057310D">
        <w:rPr>
          <w:rFonts w:ascii="Times New Roman" w:eastAsia="Times New Roman" w:hAnsi="Times New Roman" w:cs="Times New Roman"/>
          <w:i/>
          <w:color w:val="000000"/>
          <w:sz w:val="24"/>
          <w:szCs w:val="24"/>
        </w:rPr>
        <w:t>Prepared i</w:t>
      </w:r>
      <w:r>
        <w:rPr>
          <w:rFonts w:ascii="Times New Roman" w:eastAsia="Times New Roman" w:hAnsi="Times New Roman" w:cs="Times New Roman"/>
          <w:i/>
          <w:color w:val="000000"/>
          <w:sz w:val="24"/>
          <w:szCs w:val="24"/>
        </w:rPr>
        <w:t xml:space="preserve">n accordance with Part 3 of the </w:t>
      </w:r>
      <w:r w:rsidRPr="0057310D">
        <w:rPr>
          <w:rFonts w:ascii="Times New Roman" w:eastAsia="Times New Roman" w:hAnsi="Times New Roman" w:cs="Times New Roman"/>
          <w:i/>
          <w:iCs/>
          <w:color w:val="000000"/>
          <w:sz w:val="24"/>
          <w:szCs w:val="24"/>
        </w:rPr>
        <w:t>Human Rights (Parliamentary Scrutiny) Act 2011</w:t>
      </w:r>
    </w:p>
    <w:p w14:paraId="4F0FA3B0" w14:textId="77777777" w:rsidR="002A30D2" w:rsidRPr="0057310D" w:rsidRDefault="002A30D2" w:rsidP="002A30D2">
      <w:pPr>
        <w:spacing w:after="0" w:line="240" w:lineRule="auto"/>
        <w:jc w:val="center"/>
        <w:rPr>
          <w:rFonts w:ascii="Times New Roman" w:eastAsia="Times New Roman" w:hAnsi="Times New Roman" w:cs="Times New Roman"/>
          <w:color w:val="000000"/>
          <w:sz w:val="24"/>
          <w:szCs w:val="24"/>
        </w:rPr>
      </w:pPr>
    </w:p>
    <w:p w14:paraId="26077726" w14:textId="77777777" w:rsidR="002A30D2" w:rsidRPr="00F9249C" w:rsidRDefault="002A30D2" w:rsidP="002A30D2">
      <w:pPr>
        <w:pStyle w:val="ESTitleInstrumentName"/>
        <w:spacing w:before="0" w:after="0" w:line="240" w:lineRule="auto"/>
        <w:rPr>
          <w:sz w:val="24"/>
        </w:rPr>
      </w:pPr>
      <w:r w:rsidRPr="00F9249C">
        <w:rPr>
          <w:sz w:val="24"/>
        </w:rPr>
        <w:t>Social Security (Repeal—LIN 24/005) Instrument 2024</w:t>
      </w:r>
    </w:p>
    <w:p w14:paraId="0772A8FA" w14:textId="77777777" w:rsidR="002A30D2" w:rsidRPr="0057310D" w:rsidRDefault="002A30D2" w:rsidP="002A30D2">
      <w:pPr>
        <w:spacing w:after="0" w:line="240" w:lineRule="auto"/>
        <w:rPr>
          <w:rFonts w:ascii="Times New Roman" w:eastAsia="Times New Roman" w:hAnsi="Times New Roman" w:cs="Times New Roman"/>
          <w:color w:val="000000"/>
          <w:sz w:val="24"/>
          <w:szCs w:val="24"/>
        </w:rPr>
      </w:pPr>
    </w:p>
    <w:p w14:paraId="54C92CD3" w14:textId="77777777" w:rsidR="002A30D2" w:rsidRPr="006676A6" w:rsidRDefault="002A30D2" w:rsidP="002A30D2">
      <w:pPr>
        <w:spacing w:after="0" w:line="240" w:lineRule="auto"/>
        <w:rPr>
          <w:rFonts w:ascii="Times New Roman" w:eastAsia="Times New Roman" w:hAnsi="Times New Roman" w:cs="Times New Roman"/>
          <w:i/>
          <w:iCs/>
          <w:color w:val="000000"/>
          <w:sz w:val="24"/>
          <w:szCs w:val="24"/>
        </w:rPr>
      </w:pPr>
      <w:r w:rsidRPr="001116E6">
        <w:rPr>
          <w:rFonts w:ascii="Times New Roman" w:eastAsia="Times New Roman" w:hAnsi="Times New Roman" w:cs="Times New Roman"/>
          <w:color w:val="000000"/>
          <w:sz w:val="24"/>
          <w:szCs w:val="24"/>
        </w:rPr>
        <w:t>This Disallowable Legislative Instrument is compatible with the human rights and freedoms recognised or declared in the international instruments listed in the definition of human rights in section 3 of the </w:t>
      </w:r>
      <w:r w:rsidRPr="006676A6">
        <w:rPr>
          <w:rFonts w:ascii="Times New Roman" w:eastAsia="Times New Roman" w:hAnsi="Times New Roman" w:cs="Times New Roman"/>
          <w:i/>
          <w:iCs/>
          <w:color w:val="000000"/>
          <w:sz w:val="24"/>
          <w:szCs w:val="24"/>
        </w:rPr>
        <w:t>Human Rights (Parliamentary Scrutiny) Act 2011.</w:t>
      </w:r>
    </w:p>
    <w:p w14:paraId="44C988B9" w14:textId="77777777" w:rsidR="002A30D2" w:rsidRPr="00DC0A0C" w:rsidRDefault="002A30D2" w:rsidP="002A30D2">
      <w:pPr>
        <w:spacing w:after="0" w:line="240" w:lineRule="auto"/>
        <w:rPr>
          <w:rFonts w:ascii="Times New Roman" w:eastAsia="Times New Roman" w:hAnsi="Times New Roman" w:cs="Times New Roman"/>
          <w:i/>
          <w:iCs/>
          <w:color w:val="000000"/>
          <w:sz w:val="24"/>
          <w:szCs w:val="24"/>
        </w:rPr>
      </w:pPr>
    </w:p>
    <w:p w14:paraId="028EF488" w14:textId="77777777" w:rsidR="002A30D2" w:rsidRPr="00DC0A0C" w:rsidRDefault="002A30D2" w:rsidP="002A30D2">
      <w:pPr>
        <w:spacing w:after="0" w:line="240" w:lineRule="auto"/>
        <w:rPr>
          <w:rFonts w:ascii="Times New Roman" w:eastAsia="Times New Roman" w:hAnsi="Times New Roman" w:cs="Times New Roman"/>
          <w:b/>
          <w:color w:val="000000"/>
          <w:sz w:val="24"/>
          <w:szCs w:val="24"/>
        </w:rPr>
      </w:pPr>
      <w:r w:rsidRPr="00DC0A0C">
        <w:rPr>
          <w:rFonts w:ascii="Times New Roman" w:eastAsia="Times New Roman" w:hAnsi="Times New Roman" w:cs="Times New Roman"/>
          <w:b/>
          <w:color w:val="000000"/>
          <w:sz w:val="24"/>
          <w:szCs w:val="24"/>
        </w:rPr>
        <w:t>Overview of the Disallowable Legislative Instrument</w:t>
      </w:r>
    </w:p>
    <w:p w14:paraId="4147B848" w14:textId="77777777" w:rsidR="002A30D2" w:rsidRPr="0057310D" w:rsidRDefault="002A30D2" w:rsidP="002A30D2">
      <w:pPr>
        <w:pStyle w:val="ESPara"/>
        <w:spacing w:before="0" w:after="0" w:line="240" w:lineRule="auto"/>
        <w:rPr>
          <w:sz w:val="24"/>
          <w:szCs w:val="24"/>
        </w:rPr>
      </w:pPr>
    </w:p>
    <w:p w14:paraId="777588CF" w14:textId="77777777" w:rsidR="002A30D2" w:rsidRDefault="002A30D2" w:rsidP="002A30D2">
      <w:pPr>
        <w:pStyle w:val="ESPara"/>
        <w:spacing w:before="0" w:after="0" w:line="240" w:lineRule="auto"/>
        <w:rPr>
          <w:sz w:val="24"/>
          <w:szCs w:val="24"/>
        </w:rPr>
      </w:pPr>
      <w:r w:rsidRPr="00F9249C">
        <w:rPr>
          <w:sz w:val="24"/>
        </w:rPr>
        <w:t xml:space="preserve">The purpose of </w:t>
      </w:r>
      <w:r w:rsidRPr="00940547">
        <w:rPr>
          <w:sz w:val="24"/>
        </w:rPr>
        <w:t>the</w:t>
      </w:r>
      <w:r w:rsidRPr="00F9249C">
        <w:rPr>
          <w:i/>
          <w:sz w:val="24"/>
        </w:rPr>
        <w:t xml:space="preserve"> Social Security (Repeal—LIN 24/005) Instrument 2024</w:t>
      </w:r>
      <w:r w:rsidRPr="00F9249C">
        <w:rPr>
          <w:sz w:val="24"/>
        </w:rPr>
        <w:t xml:space="preserve"> (the</w:t>
      </w:r>
      <w:r w:rsidRPr="00E21F5F">
        <w:rPr>
          <w:sz w:val="24"/>
          <w:szCs w:val="24"/>
        </w:rPr>
        <w:t xml:space="preserve"> </w:t>
      </w:r>
      <w:r>
        <w:rPr>
          <w:sz w:val="24"/>
          <w:szCs w:val="24"/>
        </w:rPr>
        <w:t>Disallowable Legislative</w:t>
      </w:r>
      <w:r w:rsidRPr="00F9249C">
        <w:rPr>
          <w:sz w:val="24"/>
        </w:rPr>
        <w:t xml:space="preserve"> Instrument) is to proactively repeal ten legislative instruments due to sunset between 2024 and 2027.</w:t>
      </w:r>
    </w:p>
    <w:p w14:paraId="730E5832" w14:textId="77777777" w:rsidR="002A30D2" w:rsidRPr="00F9249C" w:rsidRDefault="002A30D2" w:rsidP="002A30D2">
      <w:pPr>
        <w:pStyle w:val="ESPara"/>
        <w:spacing w:before="0" w:after="0" w:line="240" w:lineRule="auto"/>
        <w:rPr>
          <w:sz w:val="24"/>
        </w:rPr>
      </w:pPr>
    </w:p>
    <w:p w14:paraId="085A5EB1" w14:textId="77777777" w:rsidR="002A30D2" w:rsidRDefault="002A30D2" w:rsidP="002A30D2">
      <w:pPr>
        <w:pStyle w:val="ESPara"/>
        <w:spacing w:before="0" w:after="0" w:line="240" w:lineRule="auto"/>
        <w:rPr>
          <w:sz w:val="24"/>
          <w:szCs w:val="24"/>
        </w:rPr>
      </w:pPr>
      <w:r w:rsidRPr="00F9249C">
        <w:rPr>
          <w:sz w:val="24"/>
        </w:rPr>
        <w:t xml:space="preserve">The Australian Government Disaster Recovery Payment (the AGDRP) provides an immediate, one-off payment to Australians adversely affected by a major disaster. Subsection 1061L(2) of the </w:t>
      </w:r>
      <w:r w:rsidRPr="00F9249C">
        <w:rPr>
          <w:i/>
          <w:sz w:val="24"/>
        </w:rPr>
        <w:t>Social Security Act 1991</w:t>
      </w:r>
      <w:r w:rsidRPr="00F9249C">
        <w:rPr>
          <w:sz w:val="24"/>
        </w:rPr>
        <w:t xml:space="preserve"> (Social Security Act) provides that the Minister may determine in writing, in relation to a major disaster, the circumstances in which persons are to be taken to be adversely affected by the disaster for AGDRP. Subsection 1061L(3) of the </w:t>
      </w:r>
      <w:r w:rsidRPr="00E21F5F">
        <w:rPr>
          <w:sz w:val="24"/>
          <w:szCs w:val="24"/>
        </w:rPr>
        <w:t xml:space="preserve">Social Security </w:t>
      </w:r>
      <w:r w:rsidRPr="00F9249C">
        <w:rPr>
          <w:sz w:val="24"/>
        </w:rPr>
        <w:t>Act provides that a determination under section</w:t>
      </w:r>
      <w:r w:rsidRPr="00E21F5F">
        <w:rPr>
          <w:sz w:val="24"/>
          <w:szCs w:val="24"/>
        </w:rPr>
        <w:t xml:space="preserve"> </w:t>
      </w:r>
      <w:r w:rsidRPr="00F9249C">
        <w:rPr>
          <w:sz w:val="24"/>
        </w:rPr>
        <w:t>1061L is a legislative instrument. However, such a determination is not subject to disallowance by the Parliament as subsection</w:t>
      </w:r>
      <w:r w:rsidRPr="00E21F5F">
        <w:rPr>
          <w:sz w:val="24"/>
          <w:szCs w:val="24"/>
        </w:rPr>
        <w:t xml:space="preserve"> </w:t>
      </w:r>
      <w:r w:rsidRPr="00F9249C">
        <w:rPr>
          <w:sz w:val="24"/>
        </w:rPr>
        <w:t xml:space="preserve">1061L(3) of the </w:t>
      </w:r>
      <w:r w:rsidRPr="00E21F5F">
        <w:rPr>
          <w:sz w:val="24"/>
          <w:szCs w:val="24"/>
        </w:rPr>
        <w:t xml:space="preserve">Social Security </w:t>
      </w:r>
      <w:r w:rsidRPr="00F9249C">
        <w:rPr>
          <w:sz w:val="24"/>
        </w:rPr>
        <w:t xml:space="preserve">Act provides that section 42 of the </w:t>
      </w:r>
      <w:r w:rsidRPr="00F9249C">
        <w:rPr>
          <w:i/>
          <w:sz w:val="24"/>
        </w:rPr>
        <w:t>Legislation Act 2003</w:t>
      </w:r>
      <w:r w:rsidRPr="00F9249C">
        <w:rPr>
          <w:sz w:val="24"/>
        </w:rPr>
        <w:t xml:space="preserve"> does not apply to it. </w:t>
      </w:r>
      <w:r>
        <w:rPr>
          <w:sz w:val="24"/>
          <w:szCs w:val="24"/>
        </w:rPr>
        <w:t>T</w:t>
      </w:r>
      <w:r w:rsidRPr="00E21F5F">
        <w:rPr>
          <w:sz w:val="24"/>
          <w:szCs w:val="24"/>
        </w:rPr>
        <w:t xml:space="preserve">he </w:t>
      </w:r>
      <w:r>
        <w:rPr>
          <w:sz w:val="24"/>
          <w:szCs w:val="24"/>
        </w:rPr>
        <w:t>Disallowable Legislative</w:t>
      </w:r>
      <w:r w:rsidRPr="00F9249C">
        <w:rPr>
          <w:sz w:val="24"/>
        </w:rPr>
        <w:t xml:space="preserve"> Instrument repeals nine AGDRP determinations. As those determinations are exempt from disallowance, a Statement of Compatibility with Human Rights is not required in relation to the repeal of these determinations.</w:t>
      </w:r>
    </w:p>
    <w:p w14:paraId="0DEF6EC4" w14:textId="77777777" w:rsidR="002A30D2" w:rsidRPr="00F9249C" w:rsidRDefault="002A30D2" w:rsidP="002A30D2">
      <w:pPr>
        <w:pStyle w:val="ESPara"/>
        <w:spacing w:before="0" w:after="0" w:line="240" w:lineRule="auto"/>
        <w:rPr>
          <w:sz w:val="24"/>
        </w:rPr>
      </w:pPr>
    </w:p>
    <w:p w14:paraId="35790D1A" w14:textId="75F00500" w:rsidR="002A30D2" w:rsidRPr="00F9249C" w:rsidRDefault="002A30D2" w:rsidP="002A30D2">
      <w:pPr>
        <w:pStyle w:val="ESPara"/>
        <w:spacing w:before="0" w:after="0" w:line="240" w:lineRule="auto"/>
        <w:rPr>
          <w:sz w:val="24"/>
        </w:rPr>
      </w:pPr>
      <w:r w:rsidRPr="00F9249C">
        <w:rPr>
          <w:sz w:val="24"/>
        </w:rPr>
        <w:t xml:space="preserve">The Disaster Recovery Allowance (DRA) is </w:t>
      </w:r>
      <w:r w:rsidR="009961CC" w:rsidRPr="00F9249C">
        <w:rPr>
          <w:sz w:val="24"/>
        </w:rPr>
        <w:t>short-term</w:t>
      </w:r>
      <w:r w:rsidRPr="00F9249C">
        <w:rPr>
          <w:sz w:val="24"/>
        </w:rPr>
        <w:t xml:space="preserve"> income payment to Australians who can demonstrate that their income has been directly affected by a major disaster. Subsection 1061KC(2) of the Act requires the Minister to create a legislative instrument specifying a method for calculating the fortnightly rate of the DRA. Instruments made under 1061KC(2) of the Social Security Act are disallowable. </w:t>
      </w:r>
      <w:r>
        <w:rPr>
          <w:sz w:val="24"/>
          <w:szCs w:val="24"/>
        </w:rPr>
        <w:t>T</w:t>
      </w:r>
      <w:r w:rsidRPr="00E21F5F">
        <w:rPr>
          <w:sz w:val="24"/>
          <w:szCs w:val="24"/>
        </w:rPr>
        <w:t xml:space="preserve">he </w:t>
      </w:r>
      <w:r>
        <w:rPr>
          <w:sz w:val="24"/>
          <w:szCs w:val="24"/>
        </w:rPr>
        <w:t>Disallowable Legislative</w:t>
      </w:r>
      <w:r w:rsidRPr="00F9249C">
        <w:rPr>
          <w:sz w:val="24"/>
        </w:rPr>
        <w:t xml:space="preserve"> Instrument is disallowable to the extent that this instrument repeals the </w:t>
      </w:r>
      <w:r w:rsidRPr="00F9249C">
        <w:rPr>
          <w:i/>
          <w:sz w:val="24"/>
        </w:rPr>
        <w:t>Social Security (Disaster Recovery Allowance</w:t>
      </w:r>
      <w:r w:rsidRPr="00E21F5F">
        <w:rPr>
          <w:i/>
          <w:sz w:val="24"/>
          <w:szCs w:val="24"/>
        </w:rPr>
        <w:t>) (</w:t>
      </w:r>
      <w:r w:rsidRPr="00F9249C">
        <w:rPr>
          <w:i/>
          <w:sz w:val="24"/>
        </w:rPr>
        <w:t>Rate Calculator) Determination 2013</w:t>
      </w:r>
      <w:r w:rsidRPr="00F9249C">
        <w:rPr>
          <w:sz w:val="24"/>
        </w:rPr>
        <w:t xml:space="preserve"> (2013 Determination) which was made under 1061KC(2) of the Social Security Act.</w:t>
      </w:r>
    </w:p>
    <w:p w14:paraId="7FF86540" w14:textId="77777777" w:rsidR="002A30D2" w:rsidRDefault="002A30D2" w:rsidP="002A30D2">
      <w:pPr>
        <w:pStyle w:val="ESPara"/>
        <w:spacing w:before="0" w:after="0" w:line="240" w:lineRule="auto"/>
        <w:rPr>
          <w:sz w:val="24"/>
          <w:szCs w:val="24"/>
        </w:rPr>
      </w:pPr>
    </w:p>
    <w:p w14:paraId="77513B09" w14:textId="77777777" w:rsidR="002A30D2" w:rsidRPr="00E21F5F" w:rsidRDefault="002A30D2" w:rsidP="002A30D2">
      <w:pPr>
        <w:pStyle w:val="ESPara"/>
        <w:spacing w:before="0" w:after="0" w:line="240" w:lineRule="auto"/>
        <w:rPr>
          <w:sz w:val="24"/>
          <w:szCs w:val="24"/>
        </w:rPr>
      </w:pPr>
      <w:r w:rsidRPr="00F9249C">
        <w:rPr>
          <w:sz w:val="24"/>
        </w:rPr>
        <w:t xml:space="preserve">The 2013 Determination is no longer required as it has been effectively inoperative since 2015. The 2013 Determination was replaced by the </w:t>
      </w:r>
      <w:r w:rsidRPr="00F9249C">
        <w:rPr>
          <w:i/>
          <w:sz w:val="24"/>
        </w:rPr>
        <w:t>Social Security (Disaster Recovery Allowance) (Rate calculator) Determination 2015</w:t>
      </w:r>
      <w:r w:rsidRPr="00F9249C">
        <w:rPr>
          <w:sz w:val="24"/>
        </w:rPr>
        <w:t xml:space="preserve"> (2015 Determination), however was not repealed at that time. The 2015 Determination was repealed by the </w:t>
      </w:r>
      <w:r w:rsidRPr="00F9249C">
        <w:rPr>
          <w:i/>
          <w:sz w:val="24"/>
        </w:rPr>
        <w:t>Social Security (Disaster Recovery Allowance Rate Calculator) Determination 2020</w:t>
      </w:r>
      <w:r w:rsidRPr="00F9249C">
        <w:rPr>
          <w:sz w:val="24"/>
        </w:rPr>
        <w:t xml:space="preserve"> (2020 Determination), which also did not repeal the 2013 Determination. The purpose of </w:t>
      </w:r>
      <w:r w:rsidRPr="00E21F5F">
        <w:rPr>
          <w:sz w:val="24"/>
          <w:szCs w:val="24"/>
        </w:rPr>
        <w:t xml:space="preserve">the </w:t>
      </w:r>
      <w:r>
        <w:rPr>
          <w:sz w:val="24"/>
          <w:szCs w:val="24"/>
        </w:rPr>
        <w:t>Disallowable Legislative</w:t>
      </w:r>
      <w:r w:rsidRPr="00F9249C">
        <w:rPr>
          <w:sz w:val="24"/>
        </w:rPr>
        <w:t xml:space="preserve"> Instrument is to repeal the inoperative 2013 Determination.</w:t>
      </w:r>
    </w:p>
    <w:p w14:paraId="0252D2F7" w14:textId="77777777" w:rsidR="002A30D2" w:rsidRPr="00F9249C" w:rsidRDefault="002A30D2" w:rsidP="002A30D2">
      <w:pPr>
        <w:pStyle w:val="ESPara"/>
        <w:spacing w:before="0" w:after="0" w:line="240" w:lineRule="auto"/>
        <w:rPr>
          <w:sz w:val="24"/>
        </w:rPr>
      </w:pPr>
    </w:p>
    <w:p w14:paraId="3E740999" w14:textId="77777777" w:rsidR="002A30D2" w:rsidRPr="00F9249C" w:rsidRDefault="002A30D2" w:rsidP="002A30D2">
      <w:pPr>
        <w:pStyle w:val="ESPara"/>
        <w:spacing w:before="0" w:after="0" w:line="240" w:lineRule="auto"/>
        <w:rPr>
          <w:sz w:val="24"/>
        </w:rPr>
      </w:pPr>
      <w:r w:rsidRPr="00F9249C">
        <w:rPr>
          <w:sz w:val="24"/>
        </w:rPr>
        <w:t>The 2020 Determination remains in effect and the Statement of Compatibility with Human Rights to that instrument sets out the human rights implications and provides reasons for that instrument being compatible with human rights on the basis of supporting the right to social security.</w:t>
      </w:r>
    </w:p>
    <w:p w14:paraId="04A11173" w14:textId="77777777" w:rsidR="002A30D2" w:rsidRPr="00E21F5F" w:rsidRDefault="002A30D2" w:rsidP="002A30D2">
      <w:pPr>
        <w:pStyle w:val="ESPara"/>
        <w:spacing w:before="0" w:after="0" w:line="240" w:lineRule="auto"/>
        <w:rPr>
          <w:sz w:val="24"/>
          <w:szCs w:val="24"/>
        </w:rPr>
      </w:pPr>
    </w:p>
    <w:p w14:paraId="32270B3F" w14:textId="77777777" w:rsidR="002A30D2" w:rsidRPr="00F9249C" w:rsidRDefault="002A30D2" w:rsidP="002A30D2">
      <w:pPr>
        <w:pStyle w:val="ESPara"/>
        <w:pageBreakBefore/>
        <w:spacing w:before="0" w:after="0" w:line="240" w:lineRule="auto"/>
        <w:rPr>
          <w:b/>
          <w:sz w:val="24"/>
        </w:rPr>
      </w:pPr>
      <w:r w:rsidRPr="00F9249C">
        <w:rPr>
          <w:b/>
          <w:sz w:val="24"/>
        </w:rPr>
        <w:lastRenderedPageBreak/>
        <w:t>Human rights implications</w:t>
      </w:r>
    </w:p>
    <w:p w14:paraId="1EE738A5" w14:textId="77777777" w:rsidR="002A30D2" w:rsidRPr="00F9249C" w:rsidRDefault="002A30D2" w:rsidP="002A30D2">
      <w:pPr>
        <w:pStyle w:val="ESPara"/>
        <w:spacing w:before="0" w:after="0" w:line="240" w:lineRule="auto"/>
        <w:rPr>
          <w:sz w:val="24"/>
        </w:rPr>
      </w:pPr>
    </w:p>
    <w:p w14:paraId="2774D3BB" w14:textId="77777777" w:rsidR="002A30D2" w:rsidRPr="00F9249C" w:rsidRDefault="002A30D2" w:rsidP="002A30D2">
      <w:pPr>
        <w:pStyle w:val="ESPara"/>
        <w:spacing w:before="0" w:after="0" w:line="240" w:lineRule="auto"/>
        <w:rPr>
          <w:sz w:val="24"/>
        </w:rPr>
      </w:pPr>
      <w:r w:rsidRPr="00F9249C">
        <w:rPr>
          <w:sz w:val="24"/>
        </w:rPr>
        <w:t>As noted above, a Statement of Compatibility with Human Rights is not required in relation to the repeal of the 9 AGDRP Determinations, which were themselves exempt from disallowance. In any event, applications for the AGDRP are only able to be made for a six month period from the time such a determination is made. Repealing these determinations therefore does not affect anyone’s rights as the determinations range from 2013 to 2017.</w:t>
      </w:r>
    </w:p>
    <w:p w14:paraId="47EB72D7" w14:textId="77777777" w:rsidR="002A30D2" w:rsidRPr="00F9249C" w:rsidRDefault="002A30D2" w:rsidP="002A30D2">
      <w:pPr>
        <w:pStyle w:val="ESPara"/>
        <w:spacing w:before="0" w:after="0" w:line="240" w:lineRule="auto"/>
        <w:rPr>
          <w:sz w:val="24"/>
        </w:rPr>
      </w:pPr>
    </w:p>
    <w:p w14:paraId="2EA18E01" w14:textId="77777777" w:rsidR="002A30D2" w:rsidRPr="00F9249C" w:rsidRDefault="002A30D2" w:rsidP="002A30D2">
      <w:pPr>
        <w:pStyle w:val="ESPara"/>
        <w:spacing w:before="0" w:after="0" w:line="240" w:lineRule="auto"/>
        <w:rPr>
          <w:sz w:val="24"/>
        </w:rPr>
      </w:pPr>
      <w:r w:rsidRPr="00F9249C">
        <w:rPr>
          <w:sz w:val="24"/>
        </w:rPr>
        <w:t xml:space="preserve">The 2013 Determination, which was disallowable, engaged the right to social security (Article 9, </w:t>
      </w:r>
      <w:r w:rsidRPr="00F9249C">
        <w:rPr>
          <w:i/>
          <w:sz w:val="24"/>
        </w:rPr>
        <w:t>International Covenant on Economic, Social and Cultural Rights</w:t>
      </w:r>
      <w:r w:rsidRPr="00F9249C">
        <w:rPr>
          <w:sz w:val="24"/>
        </w:rPr>
        <w:t xml:space="preserve"> (ICESCR</w:t>
      </w:r>
      <w:r>
        <w:rPr>
          <w:sz w:val="24"/>
          <w:szCs w:val="24"/>
        </w:rPr>
        <w:t>)).</w:t>
      </w:r>
    </w:p>
    <w:p w14:paraId="06D1856C" w14:textId="77777777" w:rsidR="002A30D2" w:rsidRPr="00E21F5F" w:rsidRDefault="002A30D2" w:rsidP="002A30D2">
      <w:pPr>
        <w:pStyle w:val="ESPara"/>
        <w:spacing w:before="0" w:after="0" w:line="240" w:lineRule="auto"/>
        <w:rPr>
          <w:sz w:val="24"/>
          <w:szCs w:val="24"/>
        </w:rPr>
      </w:pPr>
    </w:p>
    <w:p w14:paraId="2EF83788" w14:textId="77777777" w:rsidR="002A30D2" w:rsidRPr="00F9249C" w:rsidRDefault="002A30D2" w:rsidP="002A30D2">
      <w:pPr>
        <w:pStyle w:val="ESPara"/>
        <w:spacing w:before="0" w:after="0" w:line="240" w:lineRule="auto"/>
        <w:rPr>
          <w:sz w:val="24"/>
        </w:rPr>
      </w:pPr>
      <w:r w:rsidRPr="00F9249C">
        <w:rPr>
          <w:sz w:val="24"/>
        </w:rPr>
        <w:t>Article 9 of the ICESCR states:</w:t>
      </w:r>
    </w:p>
    <w:p w14:paraId="03773833" w14:textId="77777777" w:rsidR="002A30D2" w:rsidRDefault="002A30D2" w:rsidP="002A30D2">
      <w:pPr>
        <w:pStyle w:val="ESPara"/>
        <w:spacing w:before="0" w:after="0" w:line="240" w:lineRule="auto"/>
        <w:rPr>
          <w:sz w:val="24"/>
          <w:szCs w:val="24"/>
        </w:rPr>
      </w:pPr>
    </w:p>
    <w:p w14:paraId="0FB39D33" w14:textId="77777777" w:rsidR="002A30D2" w:rsidRPr="00F9249C" w:rsidRDefault="002A30D2" w:rsidP="002A30D2">
      <w:pPr>
        <w:pStyle w:val="ESPara"/>
        <w:spacing w:before="0" w:after="0" w:line="240" w:lineRule="auto"/>
        <w:ind w:left="567"/>
        <w:rPr>
          <w:i/>
          <w:sz w:val="24"/>
        </w:rPr>
      </w:pPr>
      <w:r w:rsidRPr="00F9249C">
        <w:rPr>
          <w:i/>
          <w:sz w:val="24"/>
        </w:rPr>
        <w:t>The States Parties to the present Covenant recognize the right of everyone to social security, including social insurance.</w:t>
      </w:r>
    </w:p>
    <w:p w14:paraId="78A2687E" w14:textId="77777777" w:rsidR="002A30D2" w:rsidRDefault="002A30D2" w:rsidP="002A30D2">
      <w:pPr>
        <w:pStyle w:val="ESPara"/>
        <w:spacing w:before="0" w:after="0" w:line="240" w:lineRule="auto"/>
        <w:rPr>
          <w:sz w:val="24"/>
          <w:szCs w:val="24"/>
        </w:rPr>
      </w:pPr>
    </w:p>
    <w:p w14:paraId="098FA81B" w14:textId="77777777" w:rsidR="002A30D2" w:rsidRDefault="002A30D2" w:rsidP="002A30D2">
      <w:pPr>
        <w:pStyle w:val="ESPara"/>
        <w:spacing w:before="0" w:after="0" w:line="240" w:lineRule="auto"/>
        <w:rPr>
          <w:sz w:val="24"/>
          <w:szCs w:val="24"/>
        </w:rPr>
      </w:pPr>
      <w:r w:rsidRPr="00F9249C">
        <w:rPr>
          <w:sz w:val="24"/>
        </w:rPr>
        <w:t>Article 9 of</w:t>
      </w:r>
      <w:r w:rsidRPr="00E21F5F">
        <w:rPr>
          <w:sz w:val="24"/>
          <w:szCs w:val="24"/>
        </w:rPr>
        <w:t xml:space="preserve"> </w:t>
      </w:r>
      <w:r w:rsidRPr="00F9249C">
        <w:rPr>
          <w:sz w:val="24"/>
        </w:rPr>
        <w:t>ICESCR and Article 26 of the CRC require States to recognise the right of everyone to social security, including social insurance, including establishing</w:t>
      </w:r>
      <w:r w:rsidRPr="00E21F5F">
        <w:rPr>
          <w:sz w:val="24"/>
          <w:szCs w:val="24"/>
        </w:rPr>
        <w:t xml:space="preserve"> </w:t>
      </w:r>
      <w:r w:rsidRPr="00F9249C">
        <w:rPr>
          <w:sz w:val="24"/>
        </w:rPr>
        <w:t>a</w:t>
      </w:r>
      <w:r w:rsidRPr="00E21F5F">
        <w:rPr>
          <w:sz w:val="24"/>
          <w:szCs w:val="24"/>
        </w:rPr>
        <w:t xml:space="preserve"> </w:t>
      </w:r>
      <w:r w:rsidRPr="00F9249C">
        <w:rPr>
          <w:sz w:val="24"/>
        </w:rPr>
        <w:t>social security</w:t>
      </w:r>
      <w:r w:rsidRPr="00E21F5F">
        <w:rPr>
          <w:sz w:val="24"/>
          <w:szCs w:val="24"/>
        </w:rPr>
        <w:t xml:space="preserve"> </w:t>
      </w:r>
      <w:r w:rsidRPr="00F9249C">
        <w:rPr>
          <w:sz w:val="24"/>
        </w:rPr>
        <w:t>system under domestic law, and that public authorities must take responsibility for the effective administration of the system.</w:t>
      </w:r>
    </w:p>
    <w:p w14:paraId="6730D0E0" w14:textId="77777777" w:rsidR="002A30D2" w:rsidRPr="00F9249C" w:rsidRDefault="002A30D2" w:rsidP="002A30D2">
      <w:pPr>
        <w:pStyle w:val="ESPara"/>
        <w:spacing w:before="0" w:after="0" w:line="240" w:lineRule="auto"/>
        <w:rPr>
          <w:sz w:val="24"/>
        </w:rPr>
      </w:pPr>
    </w:p>
    <w:p w14:paraId="56C9FCA3" w14:textId="77777777" w:rsidR="002A30D2" w:rsidRPr="00F9249C" w:rsidRDefault="002A30D2" w:rsidP="002A30D2">
      <w:pPr>
        <w:pStyle w:val="ESPara"/>
        <w:spacing w:before="0" w:after="0" w:line="240" w:lineRule="auto"/>
        <w:rPr>
          <w:sz w:val="24"/>
        </w:rPr>
      </w:pPr>
      <w:r w:rsidRPr="00F9249C">
        <w:rPr>
          <w:sz w:val="24"/>
        </w:rPr>
        <w:t>As stated in the Statement of Compatibility with Human Rights for the 2013 Determination, it ensured that individuals who claim DRA have a rate calculated based on their age, living arrangements, partnered status and whether they are responsible for a dependent child/children. Where a person may receive a greater rate of payment from another income support payment, their right to apply for another payment was retained. This generally advanced the right to social security.</w:t>
      </w:r>
    </w:p>
    <w:p w14:paraId="1DEDDC33" w14:textId="77777777" w:rsidR="002A30D2" w:rsidRDefault="002A30D2" w:rsidP="002A30D2">
      <w:pPr>
        <w:pStyle w:val="ESPara"/>
        <w:spacing w:before="0" w:after="0" w:line="240" w:lineRule="auto"/>
        <w:rPr>
          <w:sz w:val="24"/>
          <w:szCs w:val="24"/>
        </w:rPr>
      </w:pPr>
    </w:p>
    <w:p w14:paraId="492541FB" w14:textId="77777777" w:rsidR="002A30D2" w:rsidRPr="00F9249C" w:rsidRDefault="002A30D2" w:rsidP="002A30D2">
      <w:pPr>
        <w:pStyle w:val="ESPara"/>
        <w:spacing w:before="0" w:after="0" w:line="240" w:lineRule="auto"/>
        <w:rPr>
          <w:sz w:val="24"/>
        </w:rPr>
      </w:pPr>
      <w:r w:rsidRPr="00F9249C">
        <w:rPr>
          <w:sz w:val="24"/>
        </w:rPr>
        <w:t xml:space="preserve">The 2013 Determination is no longer required as it has been inoperative since 2015 and has been effectively replaced by the 2020 Determination. As a result, repeal of the 2013 Determination by </w:t>
      </w:r>
      <w:r w:rsidRPr="00E21F5F">
        <w:rPr>
          <w:sz w:val="24"/>
          <w:szCs w:val="24"/>
        </w:rPr>
        <w:t xml:space="preserve">the </w:t>
      </w:r>
      <w:r>
        <w:rPr>
          <w:sz w:val="24"/>
          <w:szCs w:val="24"/>
        </w:rPr>
        <w:t>Disallowable Legislative</w:t>
      </w:r>
      <w:r w:rsidRPr="00F9249C">
        <w:rPr>
          <w:sz w:val="24"/>
        </w:rPr>
        <w:t xml:space="preserve"> Instrument does not engage or limit any of the applicable rights or freedoms.</w:t>
      </w:r>
    </w:p>
    <w:p w14:paraId="35610F87" w14:textId="77777777" w:rsidR="002A30D2" w:rsidRPr="00F9249C" w:rsidRDefault="002A30D2" w:rsidP="002A30D2">
      <w:pPr>
        <w:pStyle w:val="ESPara"/>
        <w:spacing w:before="0" w:after="0" w:line="240" w:lineRule="auto"/>
        <w:rPr>
          <w:sz w:val="24"/>
        </w:rPr>
      </w:pPr>
    </w:p>
    <w:p w14:paraId="679D839C" w14:textId="77777777" w:rsidR="002A30D2" w:rsidRPr="0057310D" w:rsidRDefault="002A30D2" w:rsidP="002A30D2">
      <w:pPr>
        <w:pStyle w:val="NormalWeb"/>
        <w:spacing w:before="0" w:beforeAutospacing="0" w:after="0" w:afterAutospacing="0"/>
        <w:rPr>
          <w:color w:val="000000"/>
        </w:rPr>
      </w:pPr>
      <w:r w:rsidRPr="0057310D">
        <w:rPr>
          <w:b/>
          <w:bCs/>
          <w:color w:val="000000"/>
        </w:rPr>
        <w:t>Conclusion</w:t>
      </w:r>
    </w:p>
    <w:p w14:paraId="20CEE226" w14:textId="77777777" w:rsidR="002A30D2" w:rsidRPr="0057310D" w:rsidRDefault="002A30D2" w:rsidP="002A30D2">
      <w:pPr>
        <w:pStyle w:val="NormalWeb"/>
        <w:spacing w:before="0" w:beforeAutospacing="0" w:after="0" w:afterAutospacing="0"/>
        <w:rPr>
          <w:color w:val="000000"/>
        </w:rPr>
      </w:pPr>
    </w:p>
    <w:p w14:paraId="3BC6838D" w14:textId="77777777" w:rsidR="002A30D2" w:rsidRPr="00F9249C" w:rsidRDefault="002A30D2" w:rsidP="002A30D2">
      <w:pPr>
        <w:pStyle w:val="NormalWeb"/>
        <w:spacing w:before="0" w:beforeAutospacing="0" w:after="0" w:afterAutospacing="0"/>
      </w:pPr>
      <w:r w:rsidRPr="00F9249C">
        <w:rPr>
          <w:color w:val="000000"/>
        </w:rPr>
        <w:t xml:space="preserve">The Disallowable Legislative Instrument </w:t>
      </w:r>
      <w:r w:rsidRPr="00F9249C">
        <w:t>is compatible with</w:t>
      </w:r>
      <w:r w:rsidRPr="00F9249C">
        <w:rPr>
          <w:color w:val="000000"/>
        </w:rPr>
        <w:t xml:space="preserve"> human rights</w:t>
      </w:r>
      <w:r w:rsidRPr="00F9249C">
        <w:t xml:space="preserve"> as it does not raise any human rights issues.</w:t>
      </w:r>
    </w:p>
    <w:p w14:paraId="49B19775" w14:textId="77777777" w:rsidR="002A30D2" w:rsidRPr="0057310D" w:rsidRDefault="002A30D2" w:rsidP="002A30D2">
      <w:pPr>
        <w:pStyle w:val="ESPara"/>
        <w:spacing w:before="0" w:after="0" w:line="240" w:lineRule="auto"/>
        <w:jc w:val="center"/>
        <w:rPr>
          <w:sz w:val="24"/>
          <w:szCs w:val="24"/>
        </w:rPr>
      </w:pPr>
    </w:p>
    <w:p w14:paraId="3D0C382C" w14:textId="6288855E" w:rsidR="002A30D2" w:rsidRPr="00F9249C" w:rsidRDefault="00125C2B" w:rsidP="002A30D2">
      <w:pPr>
        <w:pStyle w:val="ESPara"/>
        <w:spacing w:before="0" w:after="0" w:line="240" w:lineRule="auto"/>
        <w:jc w:val="center"/>
        <w:rPr>
          <w:b/>
          <w:sz w:val="24"/>
        </w:rPr>
      </w:pPr>
      <w:r>
        <w:rPr>
          <w:b/>
          <w:sz w:val="24"/>
        </w:rPr>
        <w:t xml:space="preserve">Senator the </w:t>
      </w:r>
      <w:r w:rsidR="002A30D2" w:rsidRPr="00F9249C">
        <w:rPr>
          <w:b/>
          <w:sz w:val="24"/>
        </w:rPr>
        <w:t>Hon Murray Watt</w:t>
      </w:r>
    </w:p>
    <w:p w14:paraId="0AB6CE90" w14:textId="540E6BD7" w:rsidR="00915032" w:rsidRPr="002A30D2" w:rsidRDefault="002A30D2" w:rsidP="002A30D2">
      <w:pPr>
        <w:pStyle w:val="ESPara"/>
        <w:spacing w:before="0" w:after="0" w:line="240" w:lineRule="auto"/>
        <w:jc w:val="center"/>
        <w:rPr>
          <w:b/>
          <w:sz w:val="24"/>
        </w:rPr>
      </w:pPr>
      <w:r w:rsidRPr="00F9249C">
        <w:rPr>
          <w:b/>
          <w:sz w:val="24"/>
        </w:rPr>
        <w:t>Minister for Emergency Management</w:t>
      </w:r>
    </w:p>
    <w:sectPr w:rsidR="00915032" w:rsidRPr="002A30D2" w:rsidSect="004F5CE4">
      <w:footerReference w:type="default" r:id="rId11"/>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C6CB90" w14:textId="77777777" w:rsidR="008C1652" w:rsidRDefault="008C1652" w:rsidP="008C1652">
      <w:pPr>
        <w:spacing w:after="0" w:line="240" w:lineRule="auto"/>
      </w:pPr>
      <w:r>
        <w:separator/>
      </w:r>
    </w:p>
  </w:endnote>
  <w:endnote w:type="continuationSeparator" w:id="0">
    <w:p w14:paraId="1C392A87" w14:textId="77777777" w:rsidR="008C1652" w:rsidRDefault="008C1652" w:rsidP="008C1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5510174"/>
      <w:docPartObj>
        <w:docPartGallery w:val="Page Numbers (Bottom of Page)"/>
        <w:docPartUnique/>
      </w:docPartObj>
    </w:sdtPr>
    <w:sdtEndPr>
      <w:rPr>
        <w:rFonts w:ascii="Times New Roman" w:hAnsi="Times New Roman" w:cs="Times New Roman"/>
        <w:noProof/>
      </w:rPr>
    </w:sdtEndPr>
    <w:sdtContent>
      <w:p w14:paraId="31A6BF15" w14:textId="51F85268" w:rsidR="00997C42" w:rsidRPr="00F1786C" w:rsidRDefault="00F1786C" w:rsidP="00F1786C">
        <w:pPr>
          <w:pStyle w:val="Footer"/>
          <w:jc w:val="center"/>
          <w:rPr>
            <w:rFonts w:ascii="Times New Roman" w:hAnsi="Times New Roman" w:cs="Times New Roman"/>
          </w:rPr>
        </w:pPr>
        <w:r w:rsidRPr="00F1786C">
          <w:rPr>
            <w:rFonts w:ascii="Times New Roman" w:hAnsi="Times New Roman" w:cs="Times New Roman"/>
          </w:rPr>
          <w:fldChar w:fldCharType="begin"/>
        </w:r>
        <w:r w:rsidRPr="00F1786C">
          <w:rPr>
            <w:rFonts w:ascii="Times New Roman" w:hAnsi="Times New Roman" w:cs="Times New Roman"/>
          </w:rPr>
          <w:instrText xml:space="preserve"> PAGE   \* MERGEFORMAT </w:instrText>
        </w:r>
        <w:r w:rsidRPr="00F1786C">
          <w:rPr>
            <w:rFonts w:ascii="Times New Roman" w:hAnsi="Times New Roman" w:cs="Times New Roman"/>
          </w:rPr>
          <w:fldChar w:fldCharType="separate"/>
        </w:r>
        <w:r w:rsidR="005E2A08">
          <w:rPr>
            <w:rFonts w:ascii="Times New Roman" w:hAnsi="Times New Roman" w:cs="Times New Roman"/>
            <w:noProof/>
          </w:rPr>
          <w:t>6</w:t>
        </w:r>
        <w:r w:rsidRPr="00F1786C">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36D02" w14:textId="77777777" w:rsidR="008C1652" w:rsidRDefault="008C1652" w:rsidP="008C1652">
      <w:pPr>
        <w:spacing w:after="0" w:line="240" w:lineRule="auto"/>
      </w:pPr>
      <w:r>
        <w:separator/>
      </w:r>
    </w:p>
  </w:footnote>
  <w:footnote w:type="continuationSeparator" w:id="0">
    <w:p w14:paraId="08B43B6D" w14:textId="77777777" w:rsidR="008C1652" w:rsidRDefault="008C1652" w:rsidP="008C16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64964"/>
    <w:multiLevelType w:val="multilevel"/>
    <w:tmpl w:val="EEC0EA90"/>
    <w:lvl w:ilvl="0">
      <w:start w:val="1"/>
      <w:numFmt w:val="lowerLetter"/>
      <w:lvlText w:val="%1)"/>
      <w:lvlJc w:val="left"/>
      <w:pPr>
        <w:ind w:left="108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 w15:restartNumberingAfterBreak="0">
    <w:nsid w:val="286E2EF5"/>
    <w:multiLevelType w:val="hybridMultilevel"/>
    <w:tmpl w:val="15E41B30"/>
    <w:lvl w:ilvl="0" w:tplc="4600DD6A">
      <w:start w:val="1"/>
      <w:numFmt w:val="decimal"/>
      <w:pStyle w:val="LDMinuteParagraph"/>
      <w:lvlText w:val="%1."/>
      <w:lvlJc w:val="left"/>
      <w:pPr>
        <w:tabs>
          <w:tab w:val="num" w:pos="142"/>
        </w:tabs>
        <w:ind w:left="142" w:firstLine="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3AE532A9"/>
    <w:multiLevelType w:val="multilevel"/>
    <w:tmpl w:val="EEC0EA90"/>
    <w:lvl w:ilvl="0">
      <w:start w:val="1"/>
      <w:numFmt w:val="lowerLetter"/>
      <w:lvlText w:val="%1)"/>
      <w:lvlJc w:val="left"/>
      <w:pPr>
        <w:ind w:left="108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 w15:restartNumberingAfterBreak="0">
    <w:nsid w:val="3CE37E0D"/>
    <w:multiLevelType w:val="hybridMultilevel"/>
    <w:tmpl w:val="A434CD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3FD132C"/>
    <w:multiLevelType w:val="multilevel"/>
    <w:tmpl w:val="696E15F2"/>
    <w:lvl w:ilvl="0">
      <w:start w:val="1"/>
      <w:numFmt w:val="decimal"/>
      <w:lvlText w:val="%1."/>
      <w:lvlJc w:val="left"/>
      <w:pPr>
        <w:ind w:left="360" w:hanging="360"/>
      </w:pPr>
      <w:rPr>
        <w:rFonts w:hint="default"/>
        <w:b w:val="0"/>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C8B22CF"/>
    <w:multiLevelType w:val="hybridMultilevel"/>
    <w:tmpl w:val="2DCEB73C"/>
    <w:lvl w:ilvl="0" w:tplc="2A36B062">
      <w:start w:val="2"/>
      <w:numFmt w:val="bullet"/>
      <w:pStyle w:val="ESAttLis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08A7FB4"/>
    <w:multiLevelType w:val="hybridMultilevel"/>
    <w:tmpl w:val="FB3849E6"/>
    <w:lvl w:ilvl="0" w:tplc="4BE6104C">
      <w:start w:val="1"/>
      <w:numFmt w:val="bullet"/>
      <w:pStyle w:val="Bodytextbullet"/>
      <w:lvlText w:val=""/>
      <w:lvlJc w:val="left"/>
      <w:pPr>
        <w:tabs>
          <w:tab w:val="num" w:pos="6"/>
        </w:tabs>
        <w:ind w:left="6" w:hanging="360"/>
      </w:pPr>
      <w:rPr>
        <w:rFonts w:ascii="Symbol" w:hAnsi="Symbol" w:hint="default"/>
      </w:rPr>
    </w:lvl>
    <w:lvl w:ilvl="1" w:tplc="AC9EDB8C" w:tentative="1">
      <w:start w:val="1"/>
      <w:numFmt w:val="bullet"/>
      <w:lvlText w:val="o"/>
      <w:lvlJc w:val="left"/>
      <w:pPr>
        <w:tabs>
          <w:tab w:val="num" w:pos="726"/>
        </w:tabs>
        <w:ind w:left="726" w:hanging="360"/>
      </w:pPr>
      <w:rPr>
        <w:rFonts w:ascii="Courier New" w:hAnsi="Courier New" w:cs="Courier New" w:hint="default"/>
      </w:rPr>
    </w:lvl>
    <w:lvl w:ilvl="2" w:tplc="34D422A4" w:tentative="1">
      <w:start w:val="1"/>
      <w:numFmt w:val="bullet"/>
      <w:lvlText w:val=""/>
      <w:lvlJc w:val="left"/>
      <w:pPr>
        <w:tabs>
          <w:tab w:val="num" w:pos="1446"/>
        </w:tabs>
        <w:ind w:left="1446" w:hanging="360"/>
      </w:pPr>
      <w:rPr>
        <w:rFonts w:ascii="Wingdings" w:hAnsi="Wingdings" w:hint="default"/>
      </w:rPr>
    </w:lvl>
    <w:lvl w:ilvl="3" w:tplc="616E114C" w:tentative="1">
      <w:start w:val="1"/>
      <w:numFmt w:val="bullet"/>
      <w:lvlText w:val=""/>
      <w:lvlJc w:val="left"/>
      <w:pPr>
        <w:tabs>
          <w:tab w:val="num" w:pos="2166"/>
        </w:tabs>
        <w:ind w:left="2166" w:hanging="360"/>
      </w:pPr>
      <w:rPr>
        <w:rFonts w:ascii="Symbol" w:hAnsi="Symbol" w:hint="default"/>
      </w:rPr>
    </w:lvl>
    <w:lvl w:ilvl="4" w:tplc="D61A5C5A" w:tentative="1">
      <w:start w:val="1"/>
      <w:numFmt w:val="bullet"/>
      <w:lvlText w:val="o"/>
      <w:lvlJc w:val="left"/>
      <w:pPr>
        <w:tabs>
          <w:tab w:val="num" w:pos="2886"/>
        </w:tabs>
        <w:ind w:left="2886" w:hanging="360"/>
      </w:pPr>
      <w:rPr>
        <w:rFonts w:ascii="Courier New" w:hAnsi="Courier New" w:cs="Courier New" w:hint="default"/>
      </w:rPr>
    </w:lvl>
    <w:lvl w:ilvl="5" w:tplc="5ED0EDF4" w:tentative="1">
      <w:start w:val="1"/>
      <w:numFmt w:val="bullet"/>
      <w:lvlText w:val=""/>
      <w:lvlJc w:val="left"/>
      <w:pPr>
        <w:tabs>
          <w:tab w:val="num" w:pos="3606"/>
        </w:tabs>
        <w:ind w:left="3606" w:hanging="360"/>
      </w:pPr>
      <w:rPr>
        <w:rFonts w:ascii="Wingdings" w:hAnsi="Wingdings" w:hint="default"/>
      </w:rPr>
    </w:lvl>
    <w:lvl w:ilvl="6" w:tplc="534881F0" w:tentative="1">
      <w:start w:val="1"/>
      <w:numFmt w:val="bullet"/>
      <w:lvlText w:val=""/>
      <w:lvlJc w:val="left"/>
      <w:pPr>
        <w:tabs>
          <w:tab w:val="num" w:pos="4326"/>
        </w:tabs>
        <w:ind w:left="4326" w:hanging="360"/>
      </w:pPr>
      <w:rPr>
        <w:rFonts w:ascii="Symbol" w:hAnsi="Symbol" w:hint="default"/>
      </w:rPr>
    </w:lvl>
    <w:lvl w:ilvl="7" w:tplc="36ACACC0" w:tentative="1">
      <w:start w:val="1"/>
      <w:numFmt w:val="bullet"/>
      <w:lvlText w:val="o"/>
      <w:lvlJc w:val="left"/>
      <w:pPr>
        <w:tabs>
          <w:tab w:val="num" w:pos="5046"/>
        </w:tabs>
        <w:ind w:left="5046" w:hanging="360"/>
      </w:pPr>
      <w:rPr>
        <w:rFonts w:ascii="Courier New" w:hAnsi="Courier New" w:cs="Courier New" w:hint="default"/>
      </w:rPr>
    </w:lvl>
    <w:lvl w:ilvl="8" w:tplc="AD88E0FA" w:tentative="1">
      <w:start w:val="1"/>
      <w:numFmt w:val="bullet"/>
      <w:lvlText w:val=""/>
      <w:lvlJc w:val="left"/>
      <w:pPr>
        <w:tabs>
          <w:tab w:val="num" w:pos="5766"/>
        </w:tabs>
        <w:ind w:left="5766" w:hanging="360"/>
      </w:pPr>
      <w:rPr>
        <w:rFonts w:ascii="Wingdings" w:hAnsi="Wingdings" w:hint="default"/>
      </w:rPr>
    </w:lvl>
  </w:abstractNum>
  <w:abstractNum w:abstractNumId="7" w15:restartNumberingAfterBreak="0">
    <w:nsid w:val="61345028"/>
    <w:multiLevelType w:val="hybridMultilevel"/>
    <w:tmpl w:val="DB04CB0A"/>
    <w:lvl w:ilvl="0" w:tplc="FF82C628">
      <w:start w:val="1"/>
      <w:numFmt w:val="decimal"/>
      <w:lvlText w:val="%1."/>
      <w:lvlJc w:val="left"/>
      <w:pPr>
        <w:ind w:left="360" w:hanging="360"/>
      </w:pPr>
      <w:rPr>
        <w:b w:val="0"/>
      </w:rPr>
    </w:lvl>
    <w:lvl w:ilvl="1" w:tplc="80A2320E">
      <w:start w:val="1"/>
      <w:numFmt w:val="lowerLetter"/>
      <w:lvlText w:val="%2."/>
      <w:lvlJc w:val="left"/>
      <w:pPr>
        <w:ind w:left="1080" w:hanging="360"/>
      </w:pPr>
    </w:lvl>
    <w:lvl w:ilvl="2" w:tplc="985A3D00" w:tentative="1">
      <w:start w:val="1"/>
      <w:numFmt w:val="lowerRoman"/>
      <w:lvlText w:val="%3."/>
      <w:lvlJc w:val="right"/>
      <w:pPr>
        <w:ind w:left="1800" w:hanging="180"/>
      </w:pPr>
    </w:lvl>
    <w:lvl w:ilvl="3" w:tplc="B6CE9050" w:tentative="1">
      <w:start w:val="1"/>
      <w:numFmt w:val="decimal"/>
      <w:lvlText w:val="%4."/>
      <w:lvlJc w:val="left"/>
      <w:pPr>
        <w:ind w:left="2520" w:hanging="360"/>
      </w:pPr>
    </w:lvl>
    <w:lvl w:ilvl="4" w:tplc="B242FA56" w:tentative="1">
      <w:start w:val="1"/>
      <w:numFmt w:val="lowerLetter"/>
      <w:lvlText w:val="%5."/>
      <w:lvlJc w:val="left"/>
      <w:pPr>
        <w:ind w:left="3240" w:hanging="360"/>
      </w:pPr>
    </w:lvl>
    <w:lvl w:ilvl="5" w:tplc="82464810" w:tentative="1">
      <w:start w:val="1"/>
      <w:numFmt w:val="lowerRoman"/>
      <w:lvlText w:val="%6."/>
      <w:lvlJc w:val="right"/>
      <w:pPr>
        <w:ind w:left="3960" w:hanging="180"/>
      </w:pPr>
    </w:lvl>
    <w:lvl w:ilvl="6" w:tplc="F97C928A" w:tentative="1">
      <w:start w:val="1"/>
      <w:numFmt w:val="decimal"/>
      <w:lvlText w:val="%7."/>
      <w:lvlJc w:val="left"/>
      <w:pPr>
        <w:ind w:left="4680" w:hanging="360"/>
      </w:pPr>
    </w:lvl>
    <w:lvl w:ilvl="7" w:tplc="269691AE" w:tentative="1">
      <w:start w:val="1"/>
      <w:numFmt w:val="lowerLetter"/>
      <w:lvlText w:val="%8."/>
      <w:lvlJc w:val="left"/>
      <w:pPr>
        <w:ind w:left="5400" w:hanging="360"/>
      </w:pPr>
    </w:lvl>
    <w:lvl w:ilvl="8" w:tplc="5C48BFAC" w:tentative="1">
      <w:start w:val="1"/>
      <w:numFmt w:val="lowerRoman"/>
      <w:lvlText w:val="%9."/>
      <w:lvlJc w:val="right"/>
      <w:pPr>
        <w:ind w:left="6120" w:hanging="180"/>
      </w:pPr>
    </w:lvl>
  </w:abstractNum>
  <w:abstractNum w:abstractNumId="8" w15:restartNumberingAfterBreak="0">
    <w:nsid w:val="73820D7D"/>
    <w:multiLevelType w:val="multilevel"/>
    <w:tmpl w:val="6F56BE6C"/>
    <w:lvl w:ilvl="0">
      <w:start w:val="1"/>
      <w:numFmt w:val="decimal"/>
      <w:lvlText w:val="%1."/>
      <w:lvlJc w:val="left"/>
      <w:pPr>
        <w:ind w:left="360" w:hanging="360"/>
      </w:pPr>
      <w:rPr>
        <w:rFonts w:hint="default"/>
        <w:b w:val="0"/>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5"/>
  </w:num>
  <w:num w:numId="3">
    <w:abstractNumId w:val="5"/>
  </w:num>
  <w:num w:numId="4">
    <w:abstractNumId w:val="5"/>
  </w:num>
  <w:num w:numId="5">
    <w:abstractNumId w:val="1"/>
  </w:num>
  <w:num w:numId="6">
    <w:abstractNumId w:val="0"/>
  </w:num>
  <w:num w:numId="7">
    <w:abstractNumId w:val="4"/>
  </w:num>
  <w:num w:numId="8">
    <w:abstractNumId w:val="8"/>
  </w:num>
  <w:num w:numId="9">
    <w:abstractNumId w:val="3"/>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8DF"/>
    <w:rsid w:val="00012AA7"/>
    <w:rsid w:val="00015552"/>
    <w:rsid w:val="00044E3F"/>
    <w:rsid w:val="00061368"/>
    <w:rsid w:val="00086E9B"/>
    <w:rsid w:val="000A023F"/>
    <w:rsid w:val="000A6EE5"/>
    <w:rsid w:val="000D014F"/>
    <w:rsid w:val="000E15E7"/>
    <w:rsid w:val="000F631C"/>
    <w:rsid w:val="000F6759"/>
    <w:rsid w:val="00100DFC"/>
    <w:rsid w:val="00110CEA"/>
    <w:rsid w:val="001160C0"/>
    <w:rsid w:val="00125C2B"/>
    <w:rsid w:val="00137CC3"/>
    <w:rsid w:val="001431AE"/>
    <w:rsid w:val="0019164E"/>
    <w:rsid w:val="00210AE6"/>
    <w:rsid w:val="00221F68"/>
    <w:rsid w:val="002266A2"/>
    <w:rsid w:val="002402E0"/>
    <w:rsid w:val="00243678"/>
    <w:rsid w:val="002666F3"/>
    <w:rsid w:val="002945A3"/>
    <w:rsid w:val="002A13B9"/>
    <w:rsid w:val="002A30D2"/>
    <w:rsid w:val="002D167E"/>
    <w:rsid w:val="002F4805"/>
    <w:rsid w:val="003208DF"/>
    <w:rsid w:val="00373497"/>
    <w:rsid w:val="003869D0"/>
    <w:rsid w:val="003E7373"/>
    <w:rsid w:val="004462FA"/>
    <w:rsid w:val="00451DA5"/>
    <w:rsid w:val="00457D4A"/>
    <w:rsid w:val="00464080"/>
    <w:rsid w:val="00491859"/>
    <w:rsid w:val="004952FD"/>
    <w:rsid w:val="004B2B7B"/>
    <w:rsid w:val="004B2EF2"/>
    <w:rsid w:val="004B4171"/>
    <w:rsid w:val="004D5C43"/>
    <w:rsid w:val="004E1AB7"/>
    <w:rsid w:val="004E2596"/>
    <w:rsid w:val="004F5CE4"/>
    <w:rsid w:val="0050331B"/>
    <w:rsid w:val="00503F11"/>
    <w:rsid w:val="00515D02"/>
    <w:rsid w:val="00536F13"/>
    <w:rsid w:val="00560B24"/>
    <w:rsid w:val="0056258B"/>
    <w:rsid w:val="00567734"/>
    <w:rsid w:val="00567980"/>
    <w:rsid w:val="0057002B"/>
    <w:rsid w:val="00574E1A"/>
    <w:rsid w:val="0057725E"/>
    <w:rsid w:val="005A25EF"/>
    <w:rsid w:val="005A3733"/>
    <w:rsid w:val="005E2A08"/>
    <w:rsid w:val="005F0192"/>
    <w:rsid w:val="00604E06"/>
    <w:rsid w:val="00622437"/>
    <w:rsid w:val="006454DE"/>
    <w:rsid w:val="00692940"/>
    <w:rsid w:val="006A5336"/>
    <w:rsid w:val="006B61C5"/>
    <w:rsid w:val="006D315C"/>
    <w:rsid w:val="006E33FE"/>
    <w:rsid w:val="006F0057"/>
    <w:rsid w:val="006F1948"/>
    <w:rsid w:val="007052D0"/>
    <w:rsid w:val="00743DA4"/>
    <w:rsid w:val="00751DF2"/>
    <w:rsid w:val="00767F34"/>
    <w:rsid w:val="0077169E"/>
    <w:rsid w:val="00793EB0"/>
    <w:rsid w:val="007E4691"/>
    <w:rsid w:val="00821AB8"/>
    <w:rsid w:val="00827BE9"/>
    <w:rsid w:val="008348E9"/>
    <w:rsid w:val="00860198"/>
    <w:rsid w:val="00864EF0"/>
    <w:rsid w:val="00883236"/>
    <w:rsid w:val="0088407D"/>
    <w:rsid w:val="00887BBD"/>
    <w:rsid w:val="008973F2"/>
    <w:rsid w:val="008A523D"/>
    <w:rsid w:val="008B1704"/>
    <w:rsid w:val="008B24C8"/>
    <w:rsid w:val="008C1652"/>
    <w:rsid w:val="008C5682"/>
    <w:rsid w:val="008D07C1"/>
    <w:rsid w:val="008F7744"/>
    <w:rsid w:val="009012AB"/>
    <w:rsid w:val="00915032"/>
    <w:rsid w:val="009152B2"/>
    <w:rsid w:val="009305EB"/>
    <w:rsid w:val="00930CE2"/>
    <w:rsid w:val="00934E77"/>
    <w:rsid w:val="00940547"/>
    <w:rsid w:val="0094117E"/>
    <w:rsid w:val="00961C10"/>
    <w:rsid w:val="009961CC"/>
    <w:rsid w:val="009C07BC"/>
    <w:rsid w:val="009C0CD5"/>
    <w:rsid w:val="00A34FB2"/>
    <w:rsid w:val="00A41FBF"/>
    <w:rsid w:val="00A9566D"/>
    <w:rsid w:val="00AA4557"/>
    <w:rsid w:val="00AA4F77"/>
    <w:rsid w:val="00AA7976"/>
    <w:rsid w:val="00AD6106"/>
    <w:rsid w:val="00AF5559"/>
    <w:rsid w:val="00AF7F1A"/>
    <w:rsid w:val="00B04B8E"/>
    <w:rsid w:val="00B11C05"/>
    <w:rsid w:val="00B41964"/>
    <w:rsid w:val="00B445D9"/>
    <w:rsid w:val="00B65A06"/>
    <w:rsid w:val="00B671D5"/>
    <w:rsid w:val="00B75478"/>
    <w:rsid w:val="00B939B6"/>
    <w:rsid w:val="00B96B6C"/>
    <w:rsid w:val="00B97C01"/>
    <w:rsid w:val="00BB0CF2"/>
    <w:rsid w:val="00BC3A52"/>
    <w:rsid w:val="00BC4EE8"/>
    <w:rsid w:val="00BD598E"/>
    <w:rsid w:val="00BE3E7F"/>
    <w:rsid w:val="00C14A2C"/>
    <w:rsid w:val="00C55763"/>
    <w:rsid w:val="00C81A5E"/>
    <w:rsid w:val="00C930F2"/>
    <w:rsid w:val="00CF17E0"/>
    <w:rsid w:val="00D20A69"/>
    <w:rsid w:val="00D40E1E"/>
    <w:rsid w:val="00D44543"/>
    <w:rsid w:val="00D51806"/>
    <w:rsid w:val="00D62F49"/>
    <w:rsid w:val="00D65A7A"/>
    <w:rsid w:val="00D90EAF"/>
    <w:rsid w:val="00DA50C4"/>
    <w:rsid w:val="00DB3D10"/>
    <w:rsid w:val="00DB5548"/>
    <w:rsid w:val="00DC3EFB"/>
    <w:rsid w:val="00DD176B"/>
    <w:rsid w:val="00DE17E4"/>
    <w:rsid w:val="00E03DCC"/>
    <w:rsid w:val="00E2197B"/>
    <w:rsid w:val="00E3566A"/>
    <w:rsid w:val="00E45FE2"/>
    <w:rsid w:val="00E84A89"/>
    <w:rsid w:val="00EA12C9"/>
    <w:rsid w:val="00EA17AA"/>
    <w:rsid w:val="00EA5CC9"/>
    <w:rsid w:val="00EB6094"/>
    <w:rsid w:val="00EC45AB"/>
    <w:rsid w:val="00EF0386"/>
    <w:rsid w:val="00EF2D24"/>
    <w:rsid w:val="00F1786C"/>
    <w:rsid w:val="00F358D0"/>
    <w:rsid w:val="00F403A9"/>
    <w:rsid w:val="00F657C0"/>
    <w:rsid w:val="00F84B1D"/>
    <w:rsid w:val="00F92232"/>
    <w:rsid w:val="00FA255A"/>
    <w:rsid w:val="00FA5A60"/>
    <w:rsid w:val="00FB6D6B"/>
    <w:rsid w:val="00FE0FEE"/>
    <w:rsid w:val="00FF00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5BE40"/>
  <w15:chartTrackingRefBased/>
  <w15:docId w15:val="{4FEB50D3-F21E-425F-A263-BC252759E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0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002B"/>
    <w:pPr>
      <w:ind w:left="720"/>
      <w:contextualSpacing/>
    </w:pPr>
  </w:style>
  <w:style w:type="paragraph" w:customStyle="1" w:styleId="ESParagraph">
    <w:name w:val="ES_Paragraph"/>
    <w:basedOn w:val="ListParagraph"/>
    <w:link w:val="ESParagraphChar"/>
    <w:rsid w:val="00100DFC"/>
    <w:pPr>
      <w:spacing w:before="240" w:after="240" w:line="276" w:lineRule="auto"/>
      <w:ind w:left="567" w:hanging="567"/>
      <w:contextualSpacing w:val="0"/>
    </w:pPr>
    <w:rPr>
      <w:rFonts w:ascii="Times New Roman" w:hAnsi="Times New Roman" w:cs="Times New Roman"/>
    </w:rPr>
  </w:style>
  <w:style w:type="paragraph" w:customStyle="1" w:styleId="ESHeading">
    <w:name w:val="ES_Heading"/>
    <w:basedOn w:val="ListParagraph"/>
    <w:link w:val="ESHeadingChar"/>
    <w:qFormat/>
    <w:rsid w:val="00100DFC"/>
    <w:pPr>
      <w:keepNext/>
      <w:spacing w:before="240" w:after="240" w:line="276" w:lineRule="auto"/>
      <w:ind w:left="0"/>
      <w:contextualSpacing w:val="0"/>
    </w:pPr>
    <w:rPr>
      <w:rFonts w:ascii="Times New Roman" w:hAnsi="Times New Roman" w:cs="Times New Roman"/>
      <w:b/>
      <w:i/>
    </w:rPr>
  </w:style>
  <w:style w:type="character" w:customStyle="1" w:styleId="ListParagraphChar">
    <w:name w:val="List Paragraph Char"/>
    <w:basedOn w:val="DefaultParagraphFont"/>
    <w:link w:val="ListParagraph"/>
    <w:uiPriority w:val="34"/>
    <w:rsid w:val="00100DFC"/>
  </w:style>
  <w:style w:type="character" w:customStyle="1" w:styleId="ESParagraphChar">
    <w:name w:val="ES_Paragraph Char"/>
    <w:basedOn w:val="ListParagraphChar"/>
    <w:link w:val="ESParagraph"/>
    <w:rsid w:val="00100DFC"/>
    <w:rPr>
      <w:rFonts w:ascii="Times New Roman" w:hAnsi="Times New Roman" w:cs="Times New Roman"/>
    </w:rPr>
  </w:style>
  <w:style w:type="paragraph" w:customStyle="1" w:styleId="ESAttAttName">
    <w:name w:val="ESAtt_AttName"/>
    <w:basedOn w:val="Normal"/>
    <w:link w:val="ESAttAttNameChar"/>
    <w:qFormat/>
    <w:rsid w:val="00100DFC"/>
    <w:pPr>
      <w:spacing w:before="240" w:after="240" w:line="276" w:lineRule="auto"/>
      <w:jc w:val="right"/>
    </w:pPr>
    <w:rPr>
      <w:rFonts w:ascii="Times New Roman" w:hAnsi="Times New Roman" w:cs="Times New Roman"/>
      <w:b/>
      <w:u w:val="single"/>
    </w:rPr>
  </w:style>
  <w:style w:type="character" w:customStyle="1" w:styleId="ESHeadingChar">
    <w:name w:val="ES_Heading Char"/>
    <w:basedOn w:val="ListParagraphChar"/>
    <w:link w:val="ESHeading"/>
    <w:rsid w:val="00100DFC"/>
    <w:rPr>
      <w:rFonts w:ascii="Times New Roman" w:hAnsi="Times New Roman" w:cs="Times New Roman"/>
      <w:b/>
      <w:i/>
    </w:rPr>
  </w:style>
  <w:style w:type="paragraph" w:customStyle="1" w:styleId="ESAttHeading">
    <w:name w:val="ESAtt_Heading"/>
    <w:basedOn w:val="Normal"/>
    <w:link w:val="ESAttHeadingChar"/>
    <w:qFormat/>
    <w:rsid w:val="00100DFC"/>
    <w:pPr>
      <w:keepNext/>
      <w:spacing w:before="240" w:after="240" w:line="276" w:lineRule="auto"/>
    </w:pPr>
    <w:rPr>
      <w:rFonts w:ascii="Times New Roman" w:hAnsi="Times New Roman" w:cs="Times New Roman"/>
      <w:b/>
    </w:rPr>
  </w:style>
  <w:style w:type="character" w:customStyle="1" w:styleId="ESAttAttNameChar">
    <w:name w:val="ESAtt_AttName Char"/>
    <w:basedOn w:val="DefaultParagraphFont"/>
    <w:link w:val="ESAttAttName"/>
    <w:rsid w:val="00100DFC"/>
    <w:rPr>
      <w:rFonts w:ascii="Times New Roman" w:hAnsi="Times New Roman" w:cs="Times New Roman"/>
      <w:b/>
      <w:u w:val="single"/>
    </w:rPr>
  </w:style>
  <w:style w:type="paragraph" w:customStyle="1" w:styleId="ESAttNormal">
    <w:name w:val="ESAtt_Normal"/>
    <w:basedOn w:val="Normal"/>
    <w:link w:val="ESAttNormalChar"/>
    <w:qFormat/>
    <w:rsid w:val="00100DFC"/>
    <w:pPr>
      <w:spacing w:before="240" w:after="240" w:line="276" w:lineRule="auto"/>
    </w:pPr>
    <w:rPr>
      <w:rFonts w:ascii="Times New Roman" w:hAnsi="Times New Roman" w:cs="Times New Roman"/>
    </w:rPr>
  </w:style>
  <w:style w:type="character" w:customStyle="1" w:styleId="ESAttHeadingChar">
    <w:name w:val="ESAtt_Heading Char"/>
    <w:basedOn w:val="DefaultParagraphFont"/>
    <w:link w:val="ESAttHeading"/>
    <w:rsid w:val="00100DFC"/>
    <w:rPr>
      <w:rFonts w:ascii="Times New Roman" w:hAnsi="Times New Roman" w:cs="Times New Roman"/>
      <w:b/>
    </w:rPr>
  </w:style>
  <w:style w:type="paragraph" w:customStyle="1" w:styleId="ESAttListHeader">
    <w:name w:val="ESAtt_ListHeader"/>
    <w:basedOn w:val="Normal"/>
    <w:link w:val="ESAttListHeaderChar"/>
    <w:qFormat/>
    <w:rsid w:val="00100DFC"/>
    <w:pPr>
      <w:keepNext/>
      <w:spacing w:before="240" w:after="240" w:line="276" w:lineRule="auto"/>
    </w:pPr>
    <w:rPr>
      <w:rFonts w:ascii="Times New Roman" w:hAnsi="Times New Roman" w:cs="Times New Roman"/>
    </w:rPr>
  </w:style>
  <w:style w:type="character" w:customStyle="1" w:styleId="ESAttNormalChar">
    <w:name w:val="ESAtt_Normal Char"/>
    <w:basedOn w:val="DefaultParagraphFont"/>
    <w:link w:val="ESAttNormal"/>
    <w:rsid w:val="00100DFC"/>
    <w:rPr>
      <w:rFonts w:ascii="Times New Roman" w:hAnsi="Times New Roman" w:cs="Times New Roman"/>
    </w:rPr>
  </w:style>
  <w:style w:type="paragraph" w:customStyle="1" w:styleId="ESAttList">
    <w:name w:val="ESAtt_List"/>
    <w:basedOn w:val="ListParagraph"/>
    <w:link w:val="ESAttListChar"/>
    <w:qFormat/>
    <w:rsid w:val="00100DFC"/>
    <w:pPr>
      <w:numPr>
        <w:numId w:val="2"/>
      </w:numPr>
      <w:spacing w:before="240" w:after="240" w:line="276" w:lineRule="auto"/>
      <w:contextualSpacing w:val="0"/>
    </w:pPr>
    <w:rPr>
      <w:rFonts w:ascii="Times New Roman" w:hAnsi="Times New Roman" w:cs="Times New Roman"/>
    </w:rPr>
  </w:style>
  <w:style w:type="character" w:customStyle="1" w:styleId="ESAttListHeaderChar">
    <w:name w:val="ESAtt_ListHeader Char"/>
    <w:basedOn w:val="DefaultParagraphFont"/>
    <w:link w:val="ESAttListHeader"/>
    <w:rsid w:val="00100DFC"/>
    <w:rPr>
      <w:rFonts w:ascii="Times New Roman" w:hAnsi="Times New Roman" w:cs="Times New Roman"/>
    </w:rPr>
  </w:style>
  <w:style w:type="paragraph" w:customStyle="1" w:styleId="ESSubHeading">
    <w:name w:val="ES_SubHeading"/>
    <w:basedOn w:val="ESHeading"/>
    <w:link w:val="ESSubHeadingChar"/>
    <w:qFormat/>
    <w:rsid w:val="00BB0CF2"/>
    <w:rPr>
      <w:b w:val="0"/>
    </w:rPr>
  </w:style>
  <w:style w:type="character" w:customStyle="1" w:styleId="ESAttListChar">
    <w:name w:val="ESAtt_List Char"/>
    <w:basedOn w:val="ListParagraphChar"/>
    <w:link w:val="ESAttList"/>
    <w:rsid w:val="00100DFC"/>
    <w:rPr>
      <w:rFonts w:ascii="Times New Roman" w:hAnsi="Times New Roman" w:cs="Times New Roman"/>
    </w:rPr>
  </w:style>
  <w:style w:type="paragraph" w:customStyle="1" w:styleId="ESTitleInstrumentName">
    <w:name w:val="ESTitle_InstrumentName"/>
    <w:basedOn w:val="Normal"/>
    <w:link w:val="ESTitleInstrumentNameChar"/>
    <w:qFormat/>
    <w:rsid w:val="00BB0CF2"/>
    <w:pPr>
      <w:spacing w:before="360" w:after="600" w:line="276" w:lineRule="auto"/>
      <w:jc w:val="center"/>
    </w:pPr>
    <w:rPr>
      <w:rFonts w:ascii="Times New Roman" w:hAnsi="Times New Roman" w:cs="Times New Roman"/>
      <w:b/>
      <w:i/>
    </w:rPr>
  </w:style>
  <w:style w:type="character" w:customStyle="1" w:styleId="ESSubHeadingChar">
    <w:name w:val="ES_SubHeading Char"/>
    <w:basedOn w:val="ESHeadingChar"/>
    <w:link w:val="ESSubHeading"/>
    <w:rsid w:val="00BB0CF2"/>
    <w:rPr>
      <w:rFonts w:ascii="Times New Roman" w:hAnsi="Times New Roman" w:cs="Times New Roman"/>
      <w:b w:val="0"/>
      <w:i/>
    </w:rPr>
  </w:style>
  <w:style w:type="paragraph" w:customStyle="1" w:styleId="ESTitleEnablingLegislation">
    <w:name w:val="ESTitle_EnablingLegislation"/>
    <w:basedOn w:val="Normal"/>
    <w:link w:val="ESTitleEnablingLegislationChar"/>
    <w:qFormat/>
    <w:rsid w:val="00BB0CF2"/>
    <w:pPr>
      <w:spacing w:line="276" w:lineRule="auto"/>
      <w:jc w:val="center"/>
    </w:pPr>
    <w:rPr>
      <w:rFonts w:ascii="Times New Roman" w:hAnsi="Times New Roman" w:cs="Times New Roman"/>
      <w:i/>
    </w:rPr>
  </w:style>
  <w:style w:type="character" w:customStyle="1" w:styleId="ESTitleInstrumentNameChar">
    <w:name w:val="ESTitle_InstrumentName Char"/>
    <w:basedOn w:val="DefaultParagraphFont"/>
    <w:link w:val="ESTitleInstrumentName"/>
    <w:rsid w:val="00BB0CF2"/>
    <w:rPr>
      <w:rFonts w:ascii="Times New Roman" w:hAnsi="Times New Roman" w:cs="Times New Roman"/>
      <w:b/>
      <w:i/>
    </w:rPr>
  </w:style>
  <w:style w:type="paragraph" w:customStyle="1" w:styleId="ESTitleDecisionMaker">
    <w:name w:val="ESTitle_DecisionMaker"/>
    <w:basedOn w:val="Normal"/>
    <w:link w:val="ESTitleDecisionMakerChar"/>
    <w:qFormat/>
    <w:rsid w:val="00BB0CF2"/>
    <w:pPr>
      <w:spacing w:line="276" w:lineRule="auto"/>
      <w:jc w:val="center"/>
    </w:pPr>
    <w:rPr>
      <w:rFonts w:ascii="Times New Roman" w:hAnsi="Times New Roman" w:cs="Times New Roman"/>
    </w:rPr>
  </w:style>
  <w:style w:type="character" w:customStyle="1" w:styleId="ESTitleEnablingLegislationChar">
    <w:name w:val="ESTitle_EnablingLegislation Char"/>
    <w:basedOn w:val="DefaultParagraphFont"/>
    <w:link w:val="ESTitleEnablingLegislation"/>
    <w:rsid w:val="00BB0CF2"/>
    <w:rPr>
      <w:rFonts w:ascii="Times New Roman" w:hAnsi="Times New Roman" w:cs="Times New Roman"/>
      <w:i/>
    </w:rPr>
  </w:style>
  <w:style w:type="paragraph" w:customStyle="1" w:styleId="ESTitleHeader">
    <w:name w:val="ESTitle_Header"/>
    <w:basedOn w:val="Normal"/>
    <w:link w:val="ESTitleHeaderChar"/>
    <w:qFormat/>
    <w:rsid w:val="00BB0CF2"/>
    <w:pPr>
      <w:spacing w:line="276" w:lineRule="auto"/>
      <w:jc w:val="center"/>
    </w:pPr>
    <w:rPr>
      <w:rFonts w:ascii="Times New Roman" w:hAnsi="Times New Roman" w:cs="Times New Roman"/>
      <w:u w:val="single"/>
    </w:rPr>
  </w:style>
  <w:style w:type="character" w:customStyle="1" w:styleId="ESTitleDecisionMakerChar">
    <w:name w:val="ESTitle_DecisionMaker Char"/>
    <w:basedOn w:val="DefaultParagraphFont"/>
    <w:link w:val="ESTitleDecisionMaker"/>
    <w:rsid w:val="00BB0CF2"/>
    <w:rPr>
      <w:rFonts w:ascii="Times New Roman" w:hAnsi="Times New Roman" w:cs="Times New Roman"/>
    </w:rPr>
  </w:style>
  <w:style w:type="paragraph" w:customStyle="1" w:styleId="ESSubparaHeader">
    <w:name w:val="ES_SubparaHeader"/>
    <w:basedOn w:val="ListParagraph"/>
    <w:next w:val="ESSubparaList"/>
    <w:link w:val="ESSubparaHeaderChar"/>
    <w:qFormat/>
    <w:rsid w:val="00BB0CF2"/>
    <w:pPr>
      <w:keepNext/>
      <w:spacing w:before="240" w:after="240" w:line="276" w:lineRule="auto"/>
      <w:ind w:left="0"/>
      <w:contextualSpacing w:val="0"/>
    </w:pPr>
    <w:rPr>
      <w:rFonts w:ascii="Times New Roman" w:hAnsi="Times New Roman" w:cs="Times New Roman"/>
    </w:rPr>
  </w:style>
  <w:style w:type="character" w:customStyle="1" w:styleId="ESTitleHeaderChar">
    <w:name w:val="ESTitle_Header Char"/>
    <w:basedOn w:val="DefaultParagraphFont"/>
    <w:link w:val="ESTitleHeader"/>
    <w:rsid w:val="00BB0CF2"/>
    <w:rPr>
      <w:rFonts w:ascii="Times New Roman" w:hAnsi="Times New Roman" w:cs="Times New Roman"/>
      <w:u w:val="single"/>
    </w:rPr>
  </w:style>
  <w:style w:type="paragraph" w:customStyle="1" w:styleId="ESSubparaList">
    <w:name w:val="ES_SubparaList"/>
    <w:basedOn w:val="ListParagraph"/>
    <w:link w:val="ESSubparaListChar"/>
    <w:qFormat/>
    <w:rsid w:val="00BB0CF2"/>
    <w:pPr>
      <w:spacing w:before="240" w:after="240" w:line="276" w:lineRule="auto"/>
      <w:ind w:left="0"/>
      <w:contextualSpacing w:val="0"/>
    </w:pPr>
    <w:rPr>
      <w:rFonts w:ascii="Times New Roman" w:hAnsi="Times New Roman" w:cs="Times New Roman"/>
    </w:rPr>
  </w:style>
  <w:style w:type="character" w:customStyle="1" w:styleId="ESSubparaHeaderChar">
    <w:name w:val="ES_SubparaHeader Char"/>
    <w:basedOn w:val="ListParagraphChar"/>
    <w:link w:val="ESSubparaHeader"/>
    <w:rsid w:val="00BB0CF2"/>
    <w:rPr>
      <w:rFonts w:ascii="Times New Roman" w:hAnsi="Times New Roman" w:cs="Times New Roman"/>
    </w:rPr>
  </w:style>
  <w:style w:type="character" w:customStyle="1" w:styleId="ESSubparaListChar">
    <w:name w:val="ES_SubparaList Char"/>
    <w:basedOn w:val="ListParagraphChar"/>
    <w:link w:val="ESSubparaList"/>
    <w:rsid w:val="00BB0CF2"/>
    <w:rPr>
      <w:rFonts w:ascii="Times New Roman" w:hAnsi="Times New Roman" w:cs="Times New Roman"/>
    </w:rPr>
  </w:style>
  <w:style w:type="paragraph" w:customStyle="1" w:styleId="ESPara">
    <w:name w:val="ES_Para"/>
    <w:basedOn w:val="ESSubparaHeader"/>
    <w:link w:val="ESParaChar"/>
    <w:qFormat/>
    <w:rsid w:val="002D167E"/>
    <w:pPr>
      <w:keepNext w:val="0"/>
    </w:pPr>
  </w:style>
  <w:style w:type="character" w:customStyle="1" w:styleId="ESParaChar">
    <w:name w:val="ES_Para Char"/>
    <w:basedOn w:val="ESSubparaHeaderChar"/>
    <w:link w:val="ESPara"/>
    <w:rsid w:val="002D167E"/>
    <w:rPr>
      <w:rFonts w:ascii="Times New Roman" w:hAnsi="Times New Roman" w:cs="Times New Roman"/>
    </w:rPr>
  </w:style>
  <w:style w:type="character" w:styleId="CommentReference">
    <w:name w:val="annotation reference"/>
    <w:basedOn w:val="DefaultParagraphFont"/>
    <w:uiPriority w:val="99"/>
    <w:semiHidden/>
    <w:unhideWhenUsed/>
    <w:rsid w:val="00DC3EFB"/>
    <w:rPr>
      <w:sz w:val="16"/>
      <w:szCs w:val="16"/>
    </w:rPr>
  </w:style>
  <w:style w:type="paragraph" w:styleId="CommentText">
    <w:name w:val="annotation text"/>
    <w:basedOn w:val="Normal"/>
    <w:link w:val="CommentTextChar"/>
    <w:uiPriority w:val="99"/>
    <w:unhideWhenUsed/>
    <w:rsid w:val="00DC3EFB"/>
    <w:pPr>
      <w:spacing w:line="240" w:lineRule="auto"/>
    </w:pPr>
    <w:rPr>
      <w:sz w:val="20"/>
      <w:szCs w:val="20"/>
    </w:rPr>
  </w:style>
  <w:style w:type="character" w:customStyle="1" w:styleId="CommentTextChar">
    <w:name w:val="Comment Text Char"/>
    <w:basedOn w:val="DefaultParagraphFont"/>
    <w:link w:val="CommentText"/>
    <w:uiPriority w:val="99"/>
    <w:rsid w:val="00DC3EFB"/>
    <w:rPr>
      <w:sz w:val="20"/>
      <w:szCs w:val="20"/>
    </w:rPr>
  </w:style>
  <w:style w:type="paragraph" w:styleId="CommentSubject">
    <w:name w:val="annotation subject"/>
    <w:basedOn w:val="CommentText"/>
    <w:next w:val="CommentText"/>
    <w:link w:val="CommentSubjectChar"/>
    <w:uiPriority w:val="99"/>
    <w:semiHidden/>
    <w:unhideWhenUsed/>
    <w:rsid w:val="00DC3EFB"/>
    <w:rPr>
      <w:b/>
      <w:bCs/>
    </w:rPr>
  </w:style>
  <w:style w:type="character" w:customStyle="1" w:styleId="CommentSubjectChar">
    <w:name w:val="Comment Subject Char"/>
    <w:basedOn w:val="CommentTextChar"/>
    <w:link w:val="CommentSubject"/>
    <w:uiPriority w:val="99"/>
    <w:semiHidden/>
    <w:rsid w:val="00DC3EFB"/>
    <w:rPr>
      <w:b/>
      <w:bCs/>
      <w:sz w:val="20"/>
      <w:szCs w:val="20"/>
    </w:rPr>
  </w:style>
  <w:style w:type="paragraph" w:styleId="BalloonText">
    <w:name w:val="Balloon Text"/>
    <w:basedOn w:val="Normal"/>
    <w:link w:val="BalloonTextChar"/>
    <w:uiPriority w:val="99"/>
    <w:semiHidden/>
    <w:unhideWhenUsed/>
    <w:rsid w:val="00DC3E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3EFB"/>
    <w:rPr>
      <w:rFonts w:ascii="Segoe UI" w:hAnsi="Segoe UI" w:cs="Segoe UI"/>
      <w:sz w:val="18"/>
      <w:szCs w:val="18"/>
    </w:rPr>
  </w:style>
  <w:style w:type="paragraph" w:customStyle="1" w:styleId="LDMinuteParagraph">
    <w:name w:val="LDMinuteParagraph"/>
    <w:basedOn w:val="Normal"/>
    <w:rsid w:val="006A5336"/>
    <w:pPr>
      <w:numPr>
        <w:numId w:val="5"/>
      </w:numPr>
      <w:tabs>
        <w:tab w:val="left" w:pos="360"/>
      </w:tabs>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rPr>
  </w:style>
  <w:style w:type="paragraph" w:customStyle="1" w:styleId="Bodytextbullet">
    <w:name w:val="Body text bullet"/>
    <w:basedOn w:val="Normal"/>
    <w:rsid w:val="003869D0"/>
    <w:pPr>
      <w:numPr>
        <w:numId w:val="10"/>
      </w:numPr>
      <w:spacing w:before="60" w:after="0" w:line="240" w:lineRule="auto"/>
    </w:pPr>
    <w:rPr>
      <w:rFonts w:ascii="Arial" w:eastAsia="Times New Roman" w:hAnsi="Arial" w:cs="Arial"/>
      <w:sz w:val="24"/>
      <w:szCs w:val="24"/>
      <w:lang w:eastAsia="en-AU"/>
    </w:rPr>
  </w:style>
  <w:style w:type="paragraph" w:customStyle="1" w:styleId="LDBodyP1a">
    <w:name w:val="LDBodyP1(a)"/>
    <w:rsid w:val="0077169E"/>
    <w:pPr>
      <w:tabs>
        <w:tab w:val="left" w:pos="709"/>
      </w:tabs>
      <w:spacing w:before="120" w:after="0" w:line="240" w:lineRule="auto"/>
      <w:ind w:left="709" w:hanging="567"/>
    </w:pPr>
    <w:rPr>
      <w:rFonts w:ascii="Times New Roman" w:eastAsia="Times New Roman" w:hAnsi="Times New Roman" w:cs="Times New Roman"/>
      <w:sz w:val="24"/>
      <w:szCs w:val="24"/>
    </w:rPr>
  </w:style>
  <w:style w:type="paragraph" w:styleId="NormalWeb">
    <w:name w:val="Normal (Web)"/>
    <w:basedOn w:val="Normal"/>
    <w:uiPriority w:val="99"/>
    <w:unhideWhenUsed/>
    <w:rsid w:val="005A25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FootnoteText">
    <w:name w:val="footnote text"/>
    <w:basedOn w:val="Normal"/>
    <w:link w:val="FootnoteTextChar"/>
    <w:uiPriority w:val="99"/>
    <w:semiHidden/>
    <w:unhideWhenUsed/>
    <w:rsid w:val="008C16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1652"/>
    <w:rPr>
      <w:sz w:val="20"/>
      <w:szCs w:val="20"/>
    </w:rPr>
  </w:style>
  <w:style w:type="character" w:styleId="FootnoteReference">
    <w:name w:val="footnote reference"/>
    <w:basedOn w:val="DefaultParagraphFont"/>
    <w:uiPriority w:val="99"/>
    <w:semiHidden/>
    <w:unhideWhenUsed/>
    <w:rsid w:val="008C1652"/>
    <w:rPr>
      <w:vertAlign w:val="superscript"/>
    </w:rPr>
  </w:style>
  <w:style w:type="character" w:styleId="Hyperlink">
    <w:name w:val="Hyperlink"/>
    <w:basedOn w:val="DefaultParagraphFont"/>
    <w:uiPriority w:val="99"/>
    <w:semiHidden/>
    <w:unhideWhenUsed/>
    <w:rsid w:val="008C1652"/>
    <w:rPr>
      <w:color w:val="0000FF"/>
      <w:u w:val="single"/>
    </w:rPr>
  </w:style>
  <w:style w:type="paragraph" w:styleId="Header">
    <w:name w:val="header"/>
    <w:basedOn w:val="Normal"/>
    <w:link w:val="HeaderChar"/>
    <w:uiPriority w:val="99"/>
    <w:unhideWhenUsed/>
    <w:rsid w:val="002A30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30D2"/>
  </w:style>
  <w:style w:type="paragraph" w:styleId="Footer">
    <w:name w:val="footer"/>
    <w:basedOn w:val="Normal"/>
    <w:link w:val="FooterChar"/>
    <w:uiPriority w:val="99"/>
    <w:unhideWhenUsed/>
    <w:rsid w:val="002A30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3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744426">
      <w:bodyDiv w:val="1"/>
      <w:marLeft w:val="0"/>
      <w:marRight w:val="0"/>
      <w:marTop w:val="0"/>
      <w:marBottom w:val="0"/>
      <w:divBdr>
        <w:top w:val="none" w:sz="0" w:space="0" w:color="auto"/>
        <w:left w:val="none" w:sz="0" w:space="0" w:color="auto"/>
        <w:bottom w:val="none" w:sz="0" w:space="0" w:color="auto"/>
        <w:right w:val="none" w:sz="0" w:space="0" w:color="auto"/>
      </w:divBdr>
    </w:div>
    <w:div w:id="1472405922">
      <w:bodyDiv w:val="1"/>
      <w:marLeft w:val="0"/>
      <w:marRight w:val="0"/>
      <w:marTop w:val="0"/>
      <w:marBottom w:val="0"/>
      <w:divBdr>
        <w:top w:val="none" w:sz="0" w:space="0" w:color="auto"/>
        <w:left w:val="none" w:sz="0" w:space="0" w:color="auto"/>
        <w:bottom w:val="none" w:sz="0" w:space="0" w:color="auto"/>
        <w:right w:val="none" w:sz="0" w:space="0" w:color="auto"/>
      </w:divBdr>
    </w:div>
    <w:div w:id="1670795407">
      <w:bodyDiv w:val="1"/>
      <w:marLeft w:val="0"/>
      <w:marRight w:val="0"/>
      <w:marTop w:val="0"/>
      <w:marBottom w:val="0"/>
      <w:divBdr>
        <w:top w:val="none" w:sz="0" w:space="0" w:color="auto"/>
        <w:left w:val="none" w:sz="0" w:space="0" w:color="auto"/>
        <w:bottom w:val="none" w:sz="0" w:space="0" w:color="auto"/>
        <w:right w:val="none" w:sz="0" w:space="0" w:color="auto"/>
      </w:divBdr>
    </w:div>
    <w:div w:id="1747265194">
      <w:bodyDiv w:val="1"/>
      <w:marLeft w:val="0"/>
      <w:marRight w:val="0"/>
      <w:marTop w:val="0"/>
      <w:marBottom w:val="0"/>
      <w:divBdr>
        <w:top w:val="none" w:sz="0" w:space="0" w:color="auto"/>
        <w:left w:val="none" w:sz="0" w:space="0" w:color="auto"/>
        <w:bottom w:val="none" w:sz="0" w:space="0" w:color="auto"/>
        <w:right w:val="none" w:sz="0" w:space="0" w:color="auto"/>
      </w:divBdr>
    </w:div>
    <w:div w:id="1866166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3B410AA6-4A8A-48BA-A14E-B744594CDA7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2336B3CBB0F704C920AB414CF241D83" ma:contentTypeVersion="" ma:contentTypeDescription="PDMS Document Site Content Type" ma:contentTypeScope="" ma:versionID="0effecd79774341a86fd90f941f0ed94">
  <xsd:schema xmlns:xsd="http://www.w3.org/2001/XMLSchema" xmlns:xs="http://www.w3.org/2001/XMLSchema" xmlns:p="http://schemas.microsoft.com/office/2006/metadata/properties" xmlns:ns2="3B410AA6-4A8A-48BA-A14E-B744594CDA71" targetNamespace="http://schemas.microsoft.com/office/2006/metadata/properties" ma:root="true" ma:fieldsID="0e79551c76e059e92d5a991f7f889966" ns2:_="">
    <xsd:import namespace="3B410AA6-4A8A-48BA-A14E-B744594CDA7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410AA6-4A8A-48BA-A14E-B744594CDA7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79E7B-B5EB-4595-8994-B6A96D4FFE4B}">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3B410AA6-4A8A-48BA-A14E-B744594CDA71"/>
    <ds:schemaRef ds:uri="http://www.w3.org/XML/1998/namespace"/>
    <ds:schemaRef ds:uri="http://purl.org/dc/dcmitype/"/>
  </ds:schemaRefs>
</ds:datastoreItem>
</file>

<file path=customXml/itemProps2.xml><?xml version="1.0" encoding="utf-8"?>
<ds:datastoreItem xmlns:ds="http://schemas.openxmlformats.org/officeDocument/2006/customXml" ds:itemID="{F9F4F1AC-3CAB-48F1-B54C-CDF99626E9E9}">
  <ds:schemaRefs>
    <ds:schemaRef ds:uri="http://schemas.microsoft.com/sharepoint/v3/contenttype/forms"/>
  </ds:schemaRefs>
</ds:datastoreItem>
</file>

<file path=customXml/itemProps3.xml><?xml version="1.0" encoding="utf-8"?>
<ds:datastoreItem xmlns:ds="http://schemas.openxmlformats.org/officeDocument/2006/customXml" ds:itemID="{A630D834-3678-4198-B1A0-5E62A1777E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410AA6-4A8A-48BA-A14E-B744594CD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AC3BE0-0166-4574-8432-E84BD286E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2300</Words>
  <Characters>13112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Department Of Home Affairs</Company>
  <LinksUpToDate>false</LinksUpToDate>
  <CharactersWithSpaces>15382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Easha RAHMAN</dc:creator>
  <cp:keywords/>
  <dc:description/>
  <cp:lastModifiedBy>Paul Byrnes</cp:lastModifiedBy>
  <cp:revision>2</cp:revision>
  <dcterms:created xsi:type="dcterms:W3CDTF">2024-04-22T03:34:00Z</dcterms:created>
  <dcterms:modified xsi:type="dcterms:W3CDTF">2024-04-22T03:34:00Z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0x010100266966F133664895A6EE3632470D45F500B2336B3CBB0F704C920AB414CF241D83</vt:lpwstr>
  </property>
</Properties>
</file>