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0C19E" w14:textId="2CF23FAA"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77636CF8" w14:textId="08F1883F" w:rsidR="00441FB2" w:rsidRPr="00E80A71" w:rsidRDefault="00F109D4" w:rsidP="002A6C5C">
      <w:pPr>
        <w:pStyle w:val="Heading2"/>
        <w:jc w:val="center"/>
        <w:rPr>
          <w:szCs w:val="18"/>
        </w:rPr>
      </w:pPr>
      <w:r w:rsidRPr="002A6C5C">
        <w:rPr>
          <w:sz w:val="24"/>
          <w:szCs w:val="18"/>
        </w:rPr>
        <w:t>Issued by authority</w:t>
      </w:r>
      <w:r w:rsidR="006D2B89" w:rsidRPr="002A6C5C">
        <w:rPr>
          <w:sz w:val="24"/>
          <w:szCs w:val="18"/>
        </w:rPr>
        <w:t xml:space="preserve"> of the Assistant Treasurer and Minister for Financial Services</w:t>
      </w:r>
    </w:p>
    <w:p w14:paraId="66FBD884" w14:textId="63732489" w:rsidR="00F109D4" w:rsidRDefault="00066799" w:rsidP="003C7907">
      <w:pPr>
        <w:spacing w:before="240" w:after="240"/>
        <w:jc w:val="center"/>
        <w:rPr>
          <w:i/>
        </w:rPr>
      </w:pPr>
      <w:bookmarkStart w:id="0" w:name="_Hlk129266214"/>
      <w:r>
        <w:rPr>
          <w:i/>
        </w:rPr>
        <w:t xml:space="preserve">Insurance Acquisitions and Takeovers Act </w:t>
      </w:r>
      <w:r w:rsidR="00162D19">
        <w:rPr>
          <w:i/>
        </w:rPr>
        <w:t>1991</w:t>
      </w:r>
    </w:p>
    <w:p w14:paraId="66AE373D" w14:textId="6F76CC7D" w:rsidR="00F109D4" w:rsidRPr="00503E44" w:rsidRDefault="00C934B8" w:rsidP="00AA1689">
      <w:pPr>
        <w:tabs>
          <w:tab w:val="left" w:pos="1418"/>
        </w:tabs>
        <w:spacing w:before="0" w:after="240"/>
        <w:jc w:val="center"/>
        <w:rPr>
          <w:i/>
        </w:rPr>
      </w:pPr>
      <w:bookmarkStart w:id="1" w:name="_Hlk129167070"/>
      <w:bookmarkEnd w:id="0"/>
      <w:r>
        <w:rPr>
          <w:i/>
        </w:rPr>
        <w:t xml:space="preserve">Insurance Acquisitions </w:t>
      </w:r>
      <w:r w:rsidR="00EC69A7">
        <w:rPr>
          <w:i/>
        </w:rPr>
        <w:t>and Takeovers (Public Interest) Determination 202</w:t>
      </w:r>
      <w:r w:rsidR="00B60EAB">
        <w:rPr>
          <w:i/>
        </w:rPr>
        <w:t>4</w:t>
      </w:r>
    </w:p>
    <w:bookmarkEnd w:id="1"/>
    <w:p w14:paraId="2BD61D02" w14:textId="0C3A434A" w:rsidR="00664763" w:rsidRPr="00F77289" w:rsidRDefault="7935E35A" w:rsidP="00664763">
      <w:pPr>
        <w:spacing w:before="240"/>
        <w:rPr>
          <w:szCs w:val="24"/>
        </w:rPr>
      </w:pPr>
      <w:r w:rsidRPr="00F77289">
        <w:rPr>
          <w:szCs w:val="24"/>
        </w:rPr>
        <w:t xml:space="preserve">Subsection 5(1) of the </w:t>
      </w:r>
      <w:r w:rsidRPr="00F77289">
        <w:rPr>
          <w:i/>
          <w:iCs/>
          <w:szCs w:val="24"/>
        </w:rPr>
        <w:t>Insurance Acquisitions and Takeovers Act 1991</w:t>
      </w:r>
      <w:r w:rsidRPr="00F77289">
        <w:rPr>
          <w:szCs w:val="24"/>
        </w:rPr>
        <w:t xml:space="preserve"> (the Act) provides that </w:t>
      </w:r>
      <w:r w:rsidR="3B7D3B1E" w:rsidRPr="00F77289">
        <w:rPr>
          <w:szCs w:val="24"/>
        </w:rPr>
        <w:t xml:space="preserve">for </w:t>
      </w:r>
      <w:r w:rsidR="3B7D3B1E" w:rsidRPr="002A6C5C">
        <w:rPr>
          <w:color w:val="000000"/>
          <w:szCs w:val="24"/>
          <w:shd w:val="clear" w:color="auto" w:fill="FFFFFF"/>
        </w:rPr>
        <w:t>the purposes of the application of th</w:t>
      </w:r>
      <w:r w:rsidR="77BC35E2" w:rsidRPr="002A6C5C">
        <w:rPr>
          <w:color w:val="000000"/>
          <w:szCs w:val="24"/>
          <w:shd w:val="clear" w:color="auto" w:fill="FFFFFF"/>
        </w:rPr>
        <w:t>e</w:t>
      </w:r>
      <w:r w:rsidR="3B7D3B1E" w:rsidRPr="002A6C5C">
        <w:rPr>
          <w:color w:val="000000"/>
          <w:szCs w:val="24"/>
          <w:shd w:val="clear" w:color="auto" w:fill="FFFFFF"/>
        </w:rPr>
        <w:t xml:space="preserve"> Act to an Australian</w:t>
      </w:r>
      <w:r w:rsidR="3B7D3B1E" w:rsidRPr="002A6C5C">
        <w:rPr>
          <w:color w:val="000000"/>
          <w:szCs w:val="24"/>
          <w:shd w:val="clear" w:color="auto" w:fill="FFFFFF"/>
        </w:rPr>
        <w:noBreakHyphen/>
        <w:t xml:space="preserve">registered insurance company, </w:t>
      </w:r>
      <w:r w:rsidRPr="00F77289">
        <w:rPr>
          <w:szCs w:val="24"/>
        </w:rPr>
        <w:t>a particular matter is taken to be contrary to the public interest if it is:</w:t>
      </w:r>
    </w:p>
    <w:p w14:paraId="5023AAEB" w14:textId="1008C87B" w:rsidR="00664763" w:rsidRPr="00664763" w:rsidRDefault="00664763" w:rsidP="00664763">
      <w:pPr>
        <w:pStyle w:val="Bullet"/>
      </w:pPr>
      <w:r w:rsidRPr="00664763">
        <w:t>likely to adversely affect the prudential conduct of the affairs of the company</w:t>
      </w:r>
      <w:r w:rsidR="0046440B">
        <w:t xml:space="preserve"> (see paragraph 5(1)(a)</w:t>
      </w:r>
      <w:r w:rsidR="2FE11E67">
        <w:t xml:space="preserve"> of the Act</w:t>
      </w:r>
      <w:proofErr w:type="gramStart"/>
      <w:r w:rsidR="0046440B">
        <w:t>)</w:t>
      </w:r>
      <w:r>
        <w:t>;</w:t>
      </w:r>
      <w:proofErr w:type="gramEnd"/>
      <w:r w:rsidRPr="00664763">
        <w:t xml:space="preserve"> </w:t>
      </w:r>
    </w:p>
    <w:p w14:paraId="0360E75F" w14:textId="7D166C51" w:rsidR="00664763" w:rsidRPr="00664763" w:rsidRDefault="00664763" w:rsidP="00664763">
      <w:pPr>
        <w:pStyle w:val="Bullet"/>
      </w:pPr>
      <w:r w:rsidRPr="00664763">
        <w:t>likely to result in a person who is not a fit and proper person to be in a position of influence over the company being in such a position of influence</w:t>
      </w:r>
      <w:r w:rsidR="0046440B">
        <w:t xml:space="preserve"> </w:t>
      </w:r>
      <w:r w:rsidR="0046440B" w:rsidRPr="0046440B">
        <w:t>(see paragraph 5(1)(</w:t>
      </w:r>
      <w:r w:rsidR="0046440B">
        <w:t>b)</w:t>
      </w:r>
      <w:r w:rsidR="276A43B3">
        <w:t xml:space="preserve"> of the Act</w:t>
      </w:r>
      <w:proofErr w:type="gramStart"/>
      <w:r w:rsidR="0046440B">
        <w:t>);</w:t>
      </w:r>
      <w:proofErr w:type="gramEnd"/>
    </w:p>
    <w:p w14:paraId="3798CD80" w14:textId="46186932" w:rsidR="00664763" w:rsidRPr="00664763" w:rsidRDefault="00664763" w:rsidP="00664763">
      <w:pPr>
        <w:pStyle w:val="Bullet"/>
      </w:pPr>
      <w:r w:rsidRPr="00664763">
        <w:t>likely to unduly concentrate economic power in the Australian general insurance industry, in the Australian life insurance industry or in the Australian financial system</w:t>
      </w:r>
      <w:r w:rsidR="0046440B">
        <w:t xml:space="preserve"> </w:t>
      </w:r>
      <w:r w:rsidR="0046440B" w:rsidRPr="0046440B">
        <w:t>(see paragraph 5(1)(</w:t>
      </w:r>
      <w:r w:rsidR="0046440B">
        <w:t>c)</w:t>
      </w:r>
      <w:r w:rsidR="311C6D9A">
        <w:t xml:space="preserve"> of the Act</w:t>
      </w:r>
      <w:r w:rsidR="0046440B">
        <w:t>)</w:t>
      </w:r>
      <w:r>
        <w:t>;</w:t>
      </w:r>
      <w:r w:rsidRPr="00664763">
        <w:t xml:space="preserve"> or</w:t>
      </w:r>
    </w:p>
    <w:p w14:paraId="7C1084DB" w14:textId="06A254B8" w:rsidR="00664763" w:rsidRPr="00664763" w:rsidRDefault="00664763" w:rsidP="00664763">
      <w:pPr>
        <w:pStyle w:val="Bullet"/>
      </w:pPr>
      <w:r w:rsidRPr="00664763">
        <w:t>contrary to the national interest</w:t>
      </w:r>
      <w:r w:rsidR="0046440B">
        <w:t xml:space="preserve"> </w:t>
      </w:r>
      <w:r w:rsidR="0046440B" w:rsidRPr="0046440B">
        <w:t>(see paragraph 5(1)(</w:t>
      </w:r>
      <w:r w:rsidR="0046440B">
        <w:t>d)</w:t>
      </w:r>
      <w:r w:rsidR="03597FFD">
        <w:t xml:space="preserve"> of the Act</w:t>
      </w:r>
      <w:r w:rsidR="0046440B">
        <w:t>).</w:t>
      </w:r>
    </w:p>
    <w:p w14:paraId="094E8BD7" w14:textId="4D485987" w:rsidR="00223C93" w:rsidRDefault="00D53F88" w:rsidP="00634D3C">
      <w:pPr>
        <w:spacing w:before="240"/>
      </w:pPr>
      <w:r>
        <w:t xml:space="preserve">Subsection 5(2) of the Act provides that the Minister </w:t>
      </w:r>
      <w:r w:rsidR="00634D3C">
        <w:t xml:space="preserve">may, by legislative instrument, determine </w:t>
      </w:r>
      <w:r w:rsidR="00F27008">
        <w:t>circumstances</w:t>
      </w:r>
      <w:r w:rsidR="00581DF7">
        <w:t xml:space="preserve"> in which a person is taken</w:t>
      </w:r>
      <w:r w:rsidR="00081CDB" w:rsidRPr="00081CDB">
        <w:t xml:space="preserve"> </w:t>
      </w:r>
      <w:r w:rsidR="00081CDB">
        <w:t>to be in a position of influence over an Australian-registered insurance company</w:t>
      </w:r>
      <w:r w:rsidR="674BEC23">
        <w:t xml:space="preserve"> for the purposes of</w:t>
      </w:r>
      <w:r w:rsidR="00223C93">
        <w:t xml:space="preserve"> </w:t>
      </w:r>
      <w:r w:rsidR="006E4CDE">
        <w:t>paragraph</w:t>
      </w:r>
      <w:r w:rsidR="002A3053">
        <w:t> </w:t>
      </w:r>
      <w:r w:rsidR="006E4CDE">
        <w:t>5(1)(b) of the Act</w:t>
      </w:r>
      <w:r w:rsidR="0046440B">
        <w:t>.</w:t>
      </w:r>
      <w:r w:rsidR="006E4CDE">
        <w:t xml:space="preserve"> </w:t>
      </w:r>
    </w:p>
    <w:p w14:paraId="5BA243E5" w14:textId="366F821D" w:rsidR="00593500" w:rsidRDefault="005973DB" w:rsidP="00ED00DC">
      <w:pPr>
        <w:spacing w:before="240"/>
      </w:pPr>
      <w:r>
        <w:t>Subsection 5(4) of the Act</w:t>
      </w:r>
      <w:r w:rsidR="00E42CA7">
        <w:t xml:space="preserve"> relevantly</w:t>
      </w:r>
      <w:r>
        <w:t xml:space="preserve"> provides that in relation to the Minister considering whether a matter is contrary to the public interest</w:t>
      </w:r>
      <w:r w:rsidR="00734CAA">
        <w:t>:</w:t>
      </w:r>
    </w:p>
    <w:p w14:paraId="246DA726" w14:textId="4F883D6C" w:rsidR="00734CAA" w:rsidRDefault="00D83C29" w:rsidP="00D83C29">
      <w:pPr>
        <w:pStyle w:val="Bullet"/>
      </w:pPr>
      <w:r>
        <w:t>i</w:t>
      </w:r>
      <w:r w:rsidR="00734CAA">
        <w:t xml:space="preserve">n considering whether the matter is likely to have the result in </w:t>
      </w:r>
      <w:r w:rsidR="00077279">
        <w:t>paragraph</w:t>
      </w:r>
      <w:r w:rsidR="0047357B">
        <w:t> </w:t>
      </w:r>
      <w:r w:rsidR="00077279">
        <w:t>5</w:t>
      </w:r>
      <w:r w:rsidR="00734CAA">
        <w:t>(1)(b)</w:t>
      </w:r>
      <w:r w:rsidR="00E42CA7">
        <w:t xml:space="preserve"> of the Act</w:t>
      </w:r>
      <w:r w:rsidR="00077279">
        <w:t>, the Minister must</w:t>
      </w:r>
      <w:r>
        <w:t>, or may</w:t>
      </w:r>
      <w:r w:rsidR="00095458">
        <w:t xml:space="preserve"> (as the case may be)</w:t>
      </w:r>
      <w:r w:rsidR="00077279">
        <w:t xml:space="preserve"> have regard to matters determined</w:t>
      </w:r>
      <w:r w:rsidR="00DF6900">
        <w:t xml:space="preserve"> under subsection 5(6)</w:t>
      </w:r>
      <w:r w:rsidR="00E42CA7">
        <w:t xml:space="preserve"> of the </w:t>
      </w:r>
      <w:proofErr w:type="gramStart"/>
      <w:r w:rsidR="00E42CA7">
        <w:t>Act</w:t>
      </w:r>
      <w:r w:rsidR="00DF6900">
        <w:t>;</w:t>
      </w:r>
      <w:proofErr w:type="gramEnd"/>
    </w:p>
    <w:p w14:paraId="49412409" w14:textId="38A93AC4" w:rsidR="001E3861" w:rsidRPr="001E3861" w:rsidRDefault="001E3861" w:rsidP="001E3861">
      <w:pPr>
        <w:pStyle w:val="Bullet"/>
      </w:pPr>
      <w:r w:rsidRPr="001E3861">
        <w:t xml:space="preserve">in considering whether the matter is likely to have the </w:t>
      </w:r>
      <w:r w:rsidR="00F258F9">
        <w:t>effect</w:t>
      </w:r>
      <w:r w:rsidR="00551E23">
        <w:t xml:space="preserve"> </w:t>
      </w:r>
      <w:r w:rsidRPr="001E3861">
        <w:t>in paragraph</w:t>
      </w:r>
      <w:r w:rsidR="0047357B">
        <w:t> </w:t>
      </w:r>
      <w:r w:rsidRPr="001E3861">
        <w:t>5(1)(</w:t>
      </w:r>
      <w:r w:rsidR="00F258F9">
        <w:t>c</w:t>
      </w:r>
      <w:r w:rsidRPr="001E3861">
        <w:t>)</w:t>
      </w:r>
      <w:r w:rsidR="00E42CA7">
        <w:t xml:space="preserve"> of the Act</w:t>
      </w:r>
      <w:r w:rsidRPr="001E3861">
        <w:t>, the Minister must, or may</w:t>
      </w:r>
      <w:r w:rsidR="00095458">
        <w:t xml:space="preserve"> (as the case may be)</w:t>
      </w:r>
      <w:r w:rsidRPr="001E3861">
        <w:t>, have regard to matters determined under subsection 5(6)</w:t>
      </w:r>
      <w:r w:rsidR="00E42CA7">
        <w:t xml:space="preserve"> of the Act</w:t>
      </w:r>
      <w:r w:rsidRPr="001E3861">
        <w:t>;</w:t>
      </w:r>
      <w:r w:rsidR="008C5517">
        <w:t xml:space="preserve"> and</w:t>
      </w:r>
    </w:p>
    <w:p w14:paraId="5F653A87" w14:textId="157620E8" w:rsidR="00DF6900" w:rsidRDefault="001E3861" w:rsidP="00E42CA7">
      <w:pPr>
        <w:pStyle w:val="Bullet"/>
      </w:pPr>
      <w:r w:rsidRPr="001E3861">
        <w:t xml:space="preserve">in considering whether the matter is </w:t>
      </w:r>
      <w:r w:rsidR="00095458">
        <w:t xml:space="preserve">contrary to the </w:t>
      </w:r>
      <w:r w:rsidR="00551E23">
        <w:t>national interest as mentioned in</w:t>
      </w:r>
      <w:r w:rsidRPr="001E3861">
        <w:t xml:space="preserve"> </w:t>
      </w:r>
      <w:r w:rsidR="00551E23">
        <w:t xml:space="preserve">paragraph </w:t>
      </w:r>
      <w:r w:rsidRPr="001E3861">
        <w:t>5(1)(</w:t>
      </w:r>
      <w:r w:rsidR="00551E23">
        <w:t>d</w:t>
      </w:r>
      <w:r w:rsidRPr="001E3861">
        <w:t>)</w:t>
      </w:r>
      <w:r w:rsidR="00E42CA7">
        <w:t xml:space="preserve"> of the Act</w:t>
      </w:r>
      <w:r w:rsidRPr="001E3861">
        <w:t>, the Minister must, or may</w:t>
      </w:r>
      <w:r w:rsidR="00095458">
        <w:t xml:space="preserve"> (as the case may be)</w:t>
      </w:r>
      <w:r w:rsidRPr="001E3861">
        <w:t>, have regard to matters determined under subsection 5(6)</w:t>
      </w:r>
      <w:r w:rsidR="00E42CA7">
        <w:t xml:space="preserve"> of the Act</w:t>
      </w:r>
      <w:r w:rsidR="008C5517">
        <w:t>.</w:t>
      </w:r>
    </w:p>
    <w:p w14:paraId="6EDA5D2A" w14:textId="64DC5D7F" w:rsidR="00AD4E0E" w:rsidRDefault="00223C93" w:rsidP="00ED00DC">
      <w:pPr>
        <w:spacing w:before="240"/>
      </w:pPr>
      <w:r>
        <w:t>S</w:t>
      </w:r>
      <w:r w:rsidR="00F42577">
        <w:t>ubs</w:t>
      </w:r>
      <w:r>
        <w:t xml:space="preserve">ection </w:t>
      </w:r>
      <w:r w:rsidR="00F42577">
        <w:t>5(</w:t>
      </w:r>
      <w:r w:rsidR="00381A2E">
        <w:t>6</w:t>
      </w:r>
      <w:r w:rsidR="00F42577">
        <w:t>)</w:t>
      </w:r>
      <w:r w:rsidR="00381A2E">
        <w:t xml:space="preserve"> of the Act provides that the Minister may, by legislative instrument, determine matters</w:t>
      </w:r>
      <w:r w:rsidR="00F27008">
        <w:t xml:space="preserve"> </w:t>
      </w:r>
      <w:r w:rsidR="00CB0FB9">
        <w:t xml:space="preserve">for the </w:t>
      </w:r>
      <w:r w:rsidR="00E42CA7">
        <w:t xml:space="preserve">purposes described above. </w:t>
      </w:r>
    </w:p>
    <w:p w14:paraId="60723CEF" w14:textId="17C05D3A" w:rsidR="00A46643" w:rsidRPr="00233616" w:rsidDel="00247177" w:rsidRDefault="00ED00DC" w:rsidP="00247177">
      <w:pPr>
        <w:spacing w:before="240"/>
        <w:rPr>
          <w:iCs/>
        </w:rPr>
      </w:pPr>
      <w:r w:rsidRPr="00F457B7" w:rsidDel="00247177">
        <w:lastRenderedPageBreak/>
        <w:t xml:space="preserve">The </w:t>
      </w:r>
      <w:r w:rsidR="00ED308D" w:rsidRPr="001F13EB" w:rsidDel="00247177">
        <w:t>Act</w:t>
      </w:r>
      <w:r w:rsidR="00D97381" w:rsidRPr="00ED308D" w:rsidDel="00247177">
        <w:t xml:space="preserve"> </w:t>
      </w:r>
      <w:r w:rsidRPr="00ED308D" w:rsidDel="00247177">
        <w:t>establishes a framework for the control and compulsory notification of certain acquisitions</w:t>
      </w:r>
      <w:r w:rsidRPr="00F457B7" w:rsidDel="00247177">
        <w:t xml:space="preserve"> and agreements relating to Australian-registered insurance companies. </w:t>
      </w:r>
      <w:r w:rsidR="00233616" w:rsidDel="00247177">
        <w:t xml:space="preserve">The Minister has various decision-making powers for these purposes.  </w:t>
      </w:r>
      <w:r w:rsidR="00233616" w:rsidDel="00247177">
        <w:rPr>
          <w:iCs/>
        </w:rPr>
        <w:t>S</w:t>
      </w:r>
      <w:r w:rsidR="00233616" w:rsidRPr="009F1FBE" w:rsidDel="00247177">
        <w:rPr>
          <w:iCs/>
        </w:rPr>
        <w:t>pecific decisions in the Act require the Minister to consider whether a matter would be contrary to the public interest.</w:t>
      </w:r>
    </w:p>
    <w:p w14:paraId="24A15094" w14:textId="5D64015C" w:rsidR="00E77CF3" w:rsidRPr="00903BAB" w:rsidRDefault="002669A7" w:rsidP="00247177">
      <w:pPr>
        <w:spacing w:before="240"/>
      </w:pPr>
      <w:r>
        <w:rPr>
          <w:iCs/>
        </w:rPr>
        <w:t xml:space="preserve">The purpose of the </w:t>
      </w:r>
      <w:r w:rsidR="00A250C5" w:rsidRPr="00ED00DC">
        <w:rPr>
          <w:i/>
        </w:rPr>
        <w:t>Insurance Acquisitions and Takeovers (Public Interest) Determination 202</w:t>
      </w:r>
      <w:r w:rsidR="00B60EAB">
        <w:rPr>
          <w:i/>
        </w:rPr>
        <w:t>4</w:t>
      </w:r>
      <w:r w:rsidR="00A250C5">
        <w:rPr>
          <w:i/>
        </w:rPr>
        <w:t xml:space="preserve"> </w:t>
      </w:r>
      <w:r w:rsidR="00A250C5">
        <w:rPr>
          <w:iCs/>
        </w:rPr>
        <w:t xml:space="preserve">(the Determination) is </w:t>
      </w:r>
      <w:r>
        <w:rPr>
          <w:iCs/>
        </w:rPr>
        <w:t>to remake</w:t>
      </w:r>
      <w:r w:rsidR="00A250C5">
        <w:rPr>
          <w:iCs/>
        </w:rPr>
        <w:t xml:space="preserve"> </w:t>
      </w:r>
      <w:r>
        <w:rPr>
          <w:iCs/>
        </w:rPr>
        <w:t xml:space="preserve">the </w:t>
      </w:r>
      <w:r w:rsidRPr="00926E6D">
        <w:rPr>
          <w:i/>
          <w:iCs/>
        </w:rPr>
        <w:t>Insurance</w:t>
      </w:r>
      <w:r w:rsidR="00F84097">
        <w:rPr>
          <w:i/>
          <w:iCs/>
        </w:rPr>
        <w:t> </w:t>
      </w:r>
      <w:r w:rsidRPr="00926E6D">
        <w:rPr>
          <w:i/>
          <w:iCs/>
        </w:rPr>
        <w:t>Acquisitions and Takeovers Act 1991</w:t>
      </w:r>
      <w:r w:rsidR="00F10C95">
        <w:t xml:space="preserve">- </w:t>
      </w:r>
      <w:r w:rsidRPr="00F457B7">
        <w:rPr>
          <w:i/>
          <w:iCs/>
        </w:rPr>
        <w:t>Decision-Making Principles IDM 1/199</w:t>
      </w:r>
      <w:r>
        <w:rPr>
          <w:i/>
          <w:iCs/>
        </w:rPr>
        <w:t>2</w:t>
      </w:r>
      <w:r>
        <w:t xml:space="preserve"> (the DMP) in a form that is fit for purpose, </w:t>
      </w:r>
      <w:r w:rsidR="004566E0">
        <w:t>prior to</w:t>
      </w:r>
      <w:r>
        <w:t xml:space="preserve"> </w:t>
      </w:r>
      <w:r w:rsidR="00892883">
        <w:t>the DMP</w:t>
      </w:r>
      <w:r>
        <w:t xml:space="preserve"> sunset</w:t>
      </w:r>
      <w:r w:rsidR="004566E0">
        <w:t>ting</w:t>
      </w:r>
      <w:r w:rsidR="008C5517">
        <w:t xml:space="preserve"> on 1 October 2024</w:t>
      </w:r>
      <w:r>
        <w:t>.</w:t>
      </w:r>
    </w:p>
    <w:p w14:paraId="5532837D" w14:textId="3E3E2078" w:rsidR="002669A7" w:rsidRDefault="002669A7" w:rsidP="00A46643">
      <w:pPr>
        <w:spacing w:before="240"/>
        <w:rPr>
          <w:iCs/>
        </w:rPr>
      </w:pPr>
      <w:r w:rsidRPr="004D1534">
        <w:rPr>
          <w:b/>
          <w:bCs/>
        </w:rPr>
        <w:t xml:space="preserve">Background </w:t>
      </w:r>
    </w:p>
    <w:p w14:paraId="308ABA8A" w14:textId="1AE25DCF" w:rsidR="003C06CE" w:rsidRDefault="003C06CE" w:rsidP="00012335">
      <w:pPr>
        <w:tabs>
          <w:tab w:val="left" w:pos="1418"/>
        </w:tabs>
        <w:spacing w:before="0" w:after="240"/>
      </w:pPr>
      <w:r>
        <w:t xml:space="preserve">The </w:t>
      </w:r>
      <w:r>
        <w:rPr>
          <w:i/>
          <w:iCs/>
        </w:rPr>
        <w:t>Legislation Act 2003</w:t>
      </w:r>
      <w:r>
        <w:t xml:space="preserve"> provides that all legislative instruments, other than exempt instruments, are automatically repealed according to the progressive timetable set out in section 50 of that Act. The Attorney-General may defer sunsetting in certain circumstances, pursuant to section 51 of the </w:t>
      </w:r>
      <w:r w:rsidRPr="004D1534">
        <w:rPr>
          <w:i/>
          <w:iCs/>
        </w:rPr>
        <w:t>Legislation Act 2003</w:t>
      </w:r>
      <w:r>
        <w:t>. Legislative instruments generally cease to have effect after a specific date unless further legislative action is taken to extend their operation, such as remaking the instrument</w:t>
      </w:r>
      <w:r w:rsidR="00CB4F09">
        <w:t>.</w:t>
      </w:r>
      <w:r w:rsidDel="002669A7">
        <w:rPr>
          <w:iCs/>
        </w:rPr>
        <w:t xml:space="preserve"> </w:t>
      </w:r>
    </w:p>
    <w:p w14:paraId="4854C639" w14:textId="3BBAB013" w:rsidR="008C5517" w:rsidRDefault="00FC2595" w:rsidP="008C5517">
      <w:pPr>
        <w:pStyle w:val="Bullet"/>
        <w:numPr>
          <w:ilvl w:val="0"/>
          <w:numId w:val="0"/>
        </w:numPr>
        <w:rPr>
          <w:szCs w:val="24"/>
        </w:rPr>
      </w:pPr>
      <w:r>
        <w:t xml:space="preserve">The </w:t>
      </w:r>
      <w:r w:rsidRPr="5F5A6488">
        <w:rPr>
          <w:i/>
          <w:iCs/>
        </w:rPr>
        <w:t>Legislation (Insurance Instruments) Sunset-altering Declaration 2018</w:t>
      </w:r>
      <w:r>
        <w:t xml:space="preserve"> aligned the </w:t>
      </w:r>
      <w:r w:rsidR="00055BD7">
        <w:t xml:space="preserve">sunsetting date </w:t>
      </w:r>
      <w:r w:rsidR="005E4A28">
        <w:t>for</w:t>
      </w:r>
      <w:r w:rsidR="00055BD7">
        <w:t xml:space="preserve"> </w:t>
      </w:r>
      <w:r w:rsidR="00520F90">
        <w:t xml:space="preserve">the </w:t>
      </w:r>
      <w:r w:rsidR="00987913">
        <w:t xml:space="preserve">DMP, </w:t>
      </w:r>
      <w:r w:rsidR="00987913" w:rsidRPr="5F5A6488">
        <w:rPr>
          <w:i/>
          <w:iCs/>
        </w:rPr>
        <w:t>Insurance Acquisitions and Takeovers (Notices) Regulations 1992</w:t>
      </w:r>
      <w:r w:rsidR="004F7AD1" w:rsidRPr="5F5A6488">
        <w:rPr>
          <w:i/>
          <w:iCs/>
        </w:rPr>
        <w:t>,</w:t>
      </w:r>
      <w:r w:rsidR="00987913">
        <w:t xml:space="preserve"> </w:t>
      </w:r>
      <w:r w:rsidR="00987913" w:rsidRPr="5F5A6488">
        <w:rPr>
          <w:i/>
          <w:iCs/>
        </w:rPr>
        <w:t xml:space="preserve">Insurance Regulations </w:t>
      </w:r>
      <w:proofErr w:type="gramStart"/>
      <w:r w:rsidR="00987913" w:rsidRPr="5F5A6488">
        <w:rPr>
          <w:i/>
          <w:iCs/>
        </w:rPr>
        <w:t>2002</w:t>
      </w:r>
      <w:proofErr w:type="gramEnd"/>
      <w:r w:rsidR="00987913">
        <w:t xml:space="preserve"> and </w:t>
      </w:r>
      <w:r w:rsidR="00987913" w:rsidRPr="5F5A6488">
        <w:rPr>
          <w:i/>
          <w:iCs/>
        </w:rPr>
        <w:t>Life Insurance Regulations 1995</w:t>
      </w:r>
      <w:r w:rsidR="004F7AD1" w:rsidRPr="5F5A6488">
        <w:rPr>
          <w:i/>
          <w:iCs/>
        </w:rPr>
        <w:t xml:space="preserve"> </w:t>
      </w:r>
      <w:r w:rsidR="00A15F29">
        <w:t xml:space="preserve">(the Insurance Instruments) </w:t>
      </w:r>
      <w:r w:rsidR="00055BD7">
        <w:t>to 1 October</w:t>
      </w:r>
      <w:r>
        <w:t> </w:t>
      </w:r>
      <w:r w:rsidR="00055BD7">
        <w:t>2023</w:t>
      </w:r>
      <w:r>
        <w:t xml:space="preserve"> </w:t>
      </w:r>
      <w:r w:rsidR="00055BD7">
        <w:t xml:space="preserve">to </w:t>
      </w:r>
      <w:r w:rsidR="00F43C64">
        <w:t xml:space="preserve">enable Treasury to conduct a comprehensive thematic review </w:t>
      </w:r>
      <w:r>
        <w:t>of regulation imposed on the insurance industry</w:t>
      </w:r>
      <w:r w:rsidR="00987913">
        <w:t>.</w:t>
      </w:r>
      <w:r w:rsidR="00055BD7">
        <w:t xml:space="preserve"> </w:t>
      </w:r>
      <w:r w:rsidR="00987913">
        <w:t>Relevant provisions of the enabling Acts</w:t>
      </w:r>
      <w:r w:rsidR="001204AD">
        <w:t>,</w:t>
      </w:r>
      <w:r w:rsidR="00987913">
        <w:t xml:space="preserve"> that is, the Act, the </w:t>
      </w:r>
      <w:r w:rsidR="00987913" w:rsidRPr="5F5A6488">
        <w:rPr>
          <w:i/>
          <w:iCs/>
        </w:rPr>
        <w:t xml:space="preserve">Insurance Act </w:t>
      </w:r>
      <w:proofErr w:type="gramStart"/>
      <w:r w:rsidR="00987913" w:rsidRPr="5F5A6488">
        <w:rPr>
          <w:i/>
          <w:iCs/>
        </w:rPr>
        <w:t>1973</w:t>
      </w:r>
      <w:proofErr w:type="gramEnd"/>
      <w:r w:rsidR="00987913">
        <w:t xml:space="preserve"> and the </w:t>
      </w:r>
      <w:r w:rsidR="00987913" w:rsidRPr="5F5A6488">
        <w:rPr>
          <w:i/>
          <w:iCs/>
        </w:rPr>
        <w:t>Life Insurance Act</w:t>
      </w:r>
      <w:r w:rsidR="00987913">
        <w:t xml:space="preserve"> </w:t>
      </w:r>
      <w:r w:rsidR="00987913" w:rsidRPr="5F5A6488">
        <w:rPr>
          <w:i/>
          <w:iCs/>
        </w:rPr>
        <w:t xml:space="preserve">1995, </w:t>
      </w:r>
      <w:r w:rsidR="00987913">
        <w:t>were also considered</w:t>
      </w:r>
      <w:r w:rsidR="000044F4">
        <w:t xml:space="preserve"> as part of the review</w:t>
      </w:r>
      <w:r w:rsidR="00987913" w:rsidRPr="00E75677">
        <w:rPr>
          <w:szCs w:val="24"/>
        </w:rPr>
        <w:t xml:space="preserve">. </w:t>
      </w:r>
    </w:p>
    <w:p w14:paraId="0A19AF3A" w14:textId="52C4B988" w:rsidR="00987913" w:rsidRDefault="2C2BAB05" w:rsidP="008C5517">
      <w:pPr>
        <w:pStyle w:val="Bullet"/>
        <w:numPr>
          <w:ilvl w:val="0"/>
          <w:numId w:val="0"/>
        </w:numPr>
        <w:rPr>
          <w:color w:val="000000" w:themeColor="text1"/>
          <w:szCs w:val="24"/>
        </w:rPr>
      </w:pPr>
      <w:r w:rsidRPr="00E75677">
        <w:rPr>
          <w:szCs w:val="24"/>
        </w:rPr>
        <w:t>The</w:t>
      </w:r>
      <w:r w:rsidRPr="008C5517">
        <w:rPr>
          <w:i/>
          <w:iCs/>
          <w:szCs w:val="24"/>
        </w:rPr>
        <w:t xml:space="preserve"> </w:t>
      </w:r>
      <w:r w:rsidR="77D7CD9C" w:rsidRPr="008C5517">
        <w:rPr>
          <w:i/>
          <w:iCs/>
          <w:szCs w:val="24"/>
        </w:rPr>
        <w:t>Legislation (Deferral of Sunsetting—Insurance Instruments) Certificate 2023</w:t>
      </w:r>
      <w:r w:rsidR="77D7CD9C" w:rsidRPr="00E75677">
        <w:rPr>
          <w:i/>
          <w:iCs/>
          <w:szCs w:val="24"/>
        </w:rPr>
        <w:t xml:space="preserve"> </w:t>
      </w:r>
      <w:r w:rsidR="77D7CD9C" w:rsidRPr="008C5517">
        <w:rPr>
          <w:szCs w:val="24"/>
        </w:rPr>
        <w:t>further</w:t>
      </w:r>
      <w:r w:rsidR="77D7CD9C" w:rsidRPr="00E75677">
        <w:rPr>
          <w:i/>
          <w:iCs/>
          <w:szCs w:val="24"/>
        </w:rPr>
        <w:t xml:space="preserve"> </w:t>
      </w:r>
      <w:r w:rsidR="77D7CD9C" w:rsidRPr="008C5517">
        <w:rPr>
          <w:szCs w:val="24"/>
        </w:rPr>
        <w:t xml:space="preserve">deferred the sunsetting date </w:t>
      </w:r>
      <w:r w:rsidR="4D221BA6" w:rsidRPr="00E75677">
        <w:rPr>
          <w:szCs w:val="24"/>
        </w:rPr>
        <w:t xml:space="preserve">for the </w:t>
      </w:r>
      <w:r w:rsidR="000044F4">
        <w:rPr>
          <w:szCs w:val="24"/>
        </w:rPr>
        <w:t>Insurance Instrument</w:t>
      </w:r>
      <w:r w:rsidR="001204AD">
        <w:rPr>
          <w:szCs w:val="24"/>
        </w:rPr>
        <w:t>s</w:t>
      </w:r>
      <w:r w:rsidR="000044F4">
        <w:rPr>
          <w:szCs w:val="24"/>
        </w:rPr>
        <w:t xml:space="preserve"> to</w:t>
      </w:r>
      <w:r w:rsidR="77D7CD9C" w:rsidRPr="008C5517">
        <w:rPr>
          <w:szCs w:val="24"/>
        </w:rPr>
        <w:t xml:space="preserve"> 1 October 2024</w:t>
      </w:r>
      <w:r w:rsidR="650647EC" w:rsidRPr="00E75677">
        <w:rPr>
          <w:szCs w:val="24"/>
        </w:rPr>
        <w:t xml:space="preserve"> to allow for the passage of the</w:t>
      </w:r>
      <w:r w:rsidR="650647EC" w:rsidRPr="008C5517">
        <w:rPr>
          <w:color w:val="000000" w:themeColor="text1"/>
          <w:szCs w:val="24"/>
        </w:rPr>
        <w:t xml:space="preserve"> </w:t>
      </w:r>
      <w:r w:rsidR="650647EC" w:rsidRPr="008C5517">
        <w:rPr>
          <w:i/>
          <w:iCs/>
          <w:color w:val="000000" w:themeColor="text1"/>
          <w:szCs w:val="24"/>
        </w:rPr>
        <w:t>Treasury Laws Amendment (2023 Law Improvement Package No. 1) Act 2023</w:t>
      </w:r>
      <w:r w:rsidR="000044F4">
        <w:rPr>
          <w:color w:val="000000" w:themeColor="text1"/>
          <w:szCs w:val="24"/>
        </w:rPr>
        <w:t xml:space="preserve">, which amended the enabling Acts to implement certain findings of the thematic review. </w:t>
      </w:r>
    </w:p>
    <w:p w14:paraId="5EE84FD9" w14:textId="668780CE" w:rsidR="005056A2" w:rsidRDefault="001C19B6" w:rsidP="009A05A2">
      <w:pPr>
        <w:spacing w:before="240"/>
      </w:pPr>
      <w:r>
        <w:t>The</w:t>
      </w:r>
      <w:r w:rsidRPr="00ED308D">
        <w:t xml:space="preserve"> DMP </w:t>
      </w:r>
      <w:r w:rsidR="001204AD">
        <w:t>was</w:t>
      </w:r>
      <w:r w:rsidRPr="00ED308D">
        <w:t xml:space="preserve"> made pursuant to subsection 65(1) of the Act, which allowed the Minister to formulate principles to be complied with by </w:t>
      </w:r>
      <w:r w:rsidR="00ED52AF">
        <w:t>the Minister</w:t>
      </w:r>
      <w:r w:rsidRPr="00ED308D">
        <w:t xml:space="preserve"> in making decisions under Part 3 or 4 of the Act.</w:t>
      </w:r>
      <w:r>
        <w:t xml:space="preserve"> </w:t>
      </w:r>
      <w:r w:rsidR="00B11DD6">
        <w:rPr>
          <w:rStyle w:val="normaltextrun"/>
          <w:color w:val="000000"/>
          <w:shd w:val="clear" w:color="auto" w:fill="FFFFFF"/>
        </w:rPr>
        <w:t xml:space="preserve">The review found that </w:t>
      </w:r>
      <w:r w:rsidR="00B11DD6">
        <w:t xml:space="preserve">while the DMP </w:t>
      </w:r>
      <w:r w:rsidR="001204AD">
        <w:t>was</w:t>
      </w:r>
      <w:r w:rsidR="00B11DD6">
        <w:t xml:space="preserve"> still </w:t>
      </w:r>
      <w:r w:rsidR="00FF14F9">
        <w:t>required in some form</w:t>
      </w:r>
      <w:r w:rsidR="00B11DD6">
        <w:t>,</w:t>
      </w:r>
      <w:r w:rsidR="000B5931">
        <w:t xml:space="preserve"> </w:t>
      </w:r>
      <w:r w:rsidR="00631A82">
        <w:t xml:space="preserve">the </w:t>
      </w:r>
      <w:r w:rsidR="000B5931">
        <w:t>application</w:t>
      </w:r>
      <w:r w:rsidR="00631A82">
        <w:t xml:space="preserve"> of the DMP</w:t>
      </w:r>
      <w:r w:rsidR="000B5931">
        <w:t xml:space="preserve"> </w:t>
      </w:r>
      <w:r w:rsidR="00EA2301">
        <w:t>wa</w:t>
      </w:r>
      <w:r w:rsidR="000B5931">
        <w:t>s unclear, and</w:t>
      </w:r>
      <w:r w:rsidR="00B11DD6">
        <w:t xml:space="preserve"> </w:t>
      </w:r>
      <w:r w:rsidR="00FD3922">
        <w:t>the Act</w:t>
      </w:r>
      <w:r w:rsidR="00526A9A">
        <w:t xml:space="preserve"> should be</w:t>
      </w:r>
      <w:r w:rsidR="00FD3922">
        <w:t xml:space="preserve"> amended </w:t>
      </w:r>
      <w:r w:rsidR="00080621">
        <w:t xml:space="preserve">to </w:t>
      </w:r>
      <w:r w:rsidR="004844B3">
        <w:t>clarify their intended operation and purpose</w:t>
      </w:r>
      <w:r w:rsidR="00655E17">
        <w:t>;</w:t>
      </w:r>
      <w:r w:rsidR="001271D0">
        <w:t xml:space="preserve"> </w:t>
      </w:r>
      <w:r w:rsidR="00655E17">
        <w:t>t</w:t>
      </w:r>
      <w:r w:rsidR="001271D0">
        <w:t>h</w:t>
      </w:r>
      <w:r w:rsidR="00655E17">
        <w:t xml:space="preserve">at is, </w:t>
      </w:r>
      <w:r w:rsidR="001271D0">
        <w:t xml:space="preserve">to inform </w:t>
      </w:r>
      <w:r w:rsidR="006505B6">
        <w:t>when a matter is contrary to the public interest (</w:t>
      </w:r>
      <w:r w:rsidR="00DA5696">
        <w:t xml:space="preserve">known </w:t>
      </w:r>
      <w:r w:rsidR="006505B6">
        <w:t xml:space="preserve">as the </w:t>
      </w:r>
      <w:r w:rsidR="008643A7">
        <w:t>‘</w:t>
      </w:r>
      <w:r w:rsidR="006505B6">
        <w:t>public interest test</w:t>
      </w:r>
      <w:r w:rsidR="008643A7">
        <w:t>’</w:t>
      </w:r>
      <w:r w:rsidR="006505B6">
        <w:t>)</w:t>
      </w:r>
      <w:r w:rsidR="007102A9">
        <w:t xml:space="preserve"> under s</w:t>
      </w:r>
      <w:r w:rsidR="00AC3365">
        <w:t>ubs</w:t>
      </w:r>
      <w:r w:rsidR="007102A9">
        <w:t>ection 5</w:t>
      </w:r>
      <w:r w:rsidR="00AC3365">
        <w:t>(1)</w:t>
      </w:r>
      <w:r w:rsidR="007102A9">
        <w:t xml:space="preserve"> of the Act</w:t>
      </w:r>
      <w:r w:rsidR="006505B6">
        <w:t>.</w:t>
      </w:r>
      <w:r w:rsidR="004844B3">
        <w:t xml:space="preserve"> </w:t>
      </w:r>
    </w:p>
    <w:p w14:paraId="5303CD13" w14:textId="269C7C94" w:rsidR="001C5EAA" w:rsidRDefault="00F60E27" w:rsidP="009D1086">
      <w:pPr>
        <w:pStyle w:val="Bullet"/>
        <w:numPr>
          <w:ilvl w:val="0"/>
          <w:numId w:val="0"/>
        </w:numPr>
      </w:pPr>
      <w:r>
        <w:t xml:space="preserve">To implement the findings of the thematic review, </w:t>
      </w:r>
      <w:r w:rsidR="0043480E">
        <w:t xml:space="preserve">Schedule </w:t>
      </w:r>
      <w:r w:rsidR="427E6F62">
        <w:t>4</w:t>
      </w:r>
      <w:r w:rsidR="0043480E">
        <w:t xml:space="preserve"> to t</w:t>
      </w:r>
      <w:r w:rsidR="00310100">
        <w:t>h</w:t>
      </w:r>
      <w:r w:rsidR="000D1461">
        <w:t>e</w:t>
      </w:r>
      <w:r w:rsidR="00310100" w:rsidRPr="5F5A6488">
        <w:rPr>
          <w:i/>
          <w:iCs/>
        </w:rPr>
        <w:t xml:space="preserve"> </w:t>
      </w:r>
      <w:r w:rsidR="632BFCC9" w:rsidRPr="5F5A6488">
        <w:rPr>
          <w:i/>
          <w:iCs/>
          <w:color w:val="000000" w:themeColor="text1"/>
          <w:szCs w:val="24"/>
        </w:rPr>
        <w:t>Treasury Laws Amendment (2023 Law Improvement Package No. 1) Act 2023</w:t>
      </w:r>
      <w:r w:rsidR="004E62C0">
        <w:t xml:space="preserve"> </w:t>
      </w:r>
      <w:r w:rsidR="006A3606">
        <w:t xml:space="preserve">made </w:t>
      </w:r>
      <w:proofErr w:type="gramStart"/>
      <w:r w:rsidR="006A3606">
        <w:t>a number of</w:t>
      </w:r>
      <w:proofErr w:type="gramEnd"/>
      <w:r w:rsidR="006A3606">
        <w:t xml:space="preserve"> amendments</w:t>
      </w:r>
      <w:r w:rsidR="009D1086">
        <w:t xml:space="preserve"> to the Act</w:t>
      </w:r>
      <w:r w:rsidR="006A3606">
        <w:t>, including</w:t>
      </w:r>
      <w:r w:rsidR="001C5EAA">
        <w:t>:</w:t>
      </w:r>
      <w:r w:rsidR="00D87F5F">
        <w:t xml:space="preserve"> </w:t>
      </w:r>
    </w:p>
    <w:p w14:paraId="0079B78F" w14:textId="5207EB0B" w:rsidR="00192D28" w:rsidRDefault="00192D28" w:rsidP="00192D28">
      <w:pPr>
        <w:pStyle w:val="Bullet"/>
      </w:pPr>
      <w:r>
        <w:t xml:space="preserve">repealing subsection 5(2) and amending paragraph 5(1)(b) of the Act to remove redundant references to an unsuitable </w:t>
      </w:r>
      <w:proofErr w:type="gramStart"/>
      <w:r>
        <w:t>person;</w:t>
      </w:r>
      <w:proofErr w:type="gramEnd"/>
    </w:p>
    <w:p w14:paraId="04DE412F" w14:textId="5839B281" w:rsidR="00E072C3" w:rsidRDefault="00E072C3" w:rsidP="00E072C3">
      <w:pPr>
        <w:pStyle w:val="Bullet"/>
      </w:pPr>
      <w:r>
        <w:t xml:space="preserve">repealing subsection 5(3) of the Act, which set out when a person was taken to be in a position of influence over a company and replacing it with the head of </w:t>
      </w:r>
      <w:r>
        <w:lastRenderedPageBreak/>
        <w:t>power to prescribe such matters in a legislative instrument in new subsection</w:t>
      </w:r>
      <w:r w:rsidR="00024386">
        <w:t> </w:t>
      </w:r>
      <w:r>
        <w:t>5(2) of the Act; and</w:t>
      </w:r>
    </w:p>
    <w:p w14:paraId="66E47E51" w14:textId="373FC8C5" w:rsidR="001C5EAA" w:rsidRDefault="001C5EAA" w:rsidP="001C5EAA">
      <w:pPr>
        <w:pStyle w:val="Bullet"/>
      </w:pPr>
      <w:r>
        <w:t>repeal</w:t>
      </w:r>
      <w:r w:rsidR="006A3606">
        <w:t>ing</w:t>
      </w:r>
      <w:r>
        <w:t xml:space="preserve"> </w:t>
      </w:r>
      <w:r w:rsidR="006426AA">
        <w:t xml:space="preserve">the </w:t>
      </w:r>
      <w:r w:rsidR="003133A4">
        <w:t>enabling provision</w:t>
      </w:r>
      <w:r w:rsidR="006426AA">
        <w:t xml:space="preserve"> for the DMP in </w:t>
      </w:r>
      <w:r w:rsidR="00AE2B1E">
        <w:t>section 65 of the Act</w:t>
      </w:r>
      <w:r w:rsidR="00D87F5F">
        <w:t xml:space="preserve"> </w:t>
      </w:r>
      <w:r w:rsidR="006426AA">
        <w:t>(also repealing the DMP)</w:t>
      </w:r>
      <w:r w:rsidR="00B8323B">
        <w:t xml:space="preserve"> </w:t>
      </w:r>
      <w:r w:rsidR="006977F2">
        <w:t>and</w:t>
      </w:r>
      <w:r w:rsidR="00D87F5F">
        <w:t xml:space="preserve"> replac</w:t>
      </w:r>
      <w:r w:rsidR="006A3606">
        <w:t>ing</w:t>
      </w:r>
      <w:r w:rsidR="00D87F5F">
        <w:t xml:space="preserve"> it </w:t>
      </w:r>
      <w:r w:rsidR="0068007A">
        <w:t>with</w:t>
      </w:r>
      <w:r w:rsidR="006A3606">
        <w:t xml:space="preserve"> </w:t>
      </w:r>
      <w:r w:rsidR="007473D7">
        <w:t xml:space="preserve">new </w:t>
      </w:r>
      <w:r w:rsidR="00F4737C">
        <w:t>subsection 5(</w:t>
      </w:r>
      <w:r w:rsidR="00734524">
        <w:t>6)</w:t>
      </w:r>
      <w:r w:rsidR="00F4737C">
        <w:t xml:space="preserve"> </w:t>
      </w:r>
      <w:r w:rsidR="00EA3023">
        <w:t xml:space="preserve">of </w:t>
      </w:r>
      <w:r w:rsidR="00E072C3">
        <w:t xml:space="preserve">the Act </w:t>
      </w:r>
      <w:r w:rsidR="00F60E27">
        <w:t>which</w:t>
      </w:r>
      <w:r w:rsidR="004E62C0">
        <w:t>, as described above,</w:t>
      </w:r>
      <w:r w:rsidR="00F60E27">
        <w:t xml:space="preserve"> provides the Minister with the power to determine, by legislative instrument, matters which inform the public interest test</w:t>
      </w:r>
      <w:r w:rsidR="001204AD">
        <w:t xml:space="preserve"> i</w:t>
      </w:r>
      <w:r w:rsidR="3C1E846D">
        <w:t>n subsection 5(1) of the Act.</w:t>
      </w:r>
    </w:p>
    <w:p w14:paraId="58640083" w14:textId="1BAECDEA" w:rsidR="00163982" w:rsidRPr="006426AA" w:rsidRDefault="00532E2D" w:rsidP="009A05A2">
      <w:pPr>
        <w:rPr>
          <w:b/>
          <w:bCs/>
        </w:rPr>
      </w:pPr>
      <w:r>
        <w:rPr>
          <w:b/>
          <w:bCs/>
        </w:rPr>
        <w:t xml:space="preserve">Summary </w:t>
      </w:r>
    </w:p>
    <w:p w14:paraId="4EE7A640" w14:textId="047BE650" w:rsidR="00F9559A" w:rsidRDefault="005622B4" w:rsidP="009A05A2">
      <w:pPr>
        <w:rPr>
          <w:color w:val="000000"/>
          <w:shd w:val="clear" w:color="auto" w:fill="FFFFFF"/>
        </w:rPr>
      </w:pPr>
      <w:r w:rsidRPr="00D80F7E">
        <w:t xml:space="preserve">The Determination remakes the DMP </w:t>
      </w:r>
      <w:r w:rsidR="0031380F" w:rsidRPr="00D80F7E">
        <w:t xml:space="preserve">under new </w:t>
      </w:r>
      <w:r w:rsidR="003133A4" w:rsidRPr="00D80F7E">
        <w:t>enabling provision</w:t>
      </w:r>
      <w:r w:rsidR="003E79C1" w:rsidRPr="00D80F7E">
        <w:t>s</w:t>
      </w:r>
      <w:r w:rsidR="003133A4" w:rsidRPr="00D80F7E">
        <w:t xml:space="preserve"> </w:t>
      </w:r>
      <w:r w:rsidR="0031380F" w:rsidRPr="00D80F7E">
        <w:t>in the Act</w:t>
      </w:r>
      <w:r w:rsidR="004A1D6B" w:rsidRPr="00D80F7E">
        <w:t xml:space="preserve"> </w:t>
      </w:r>
      <w:r w:rsidR="00491FB3">
        <w:t xml:space="preserve">with </w:t>
      </w:r>
      <w:r w:rsidR="00E072C3">
        <w:t>improvements</w:t>
      </w:r>
      <w:r w:rsidR="001837AA">
        <w:t xml:space="preserve"> </w:t>
      </w:r>
      <w:r w:rsidR="003A7004">
        <w:t xml:space="preserve">to </w:t>
      </w:r>
      <w:r w:rsidR="00A27308">
        <w:t>ensure it</w:t>
      </w:r>
      <w:r w:rsidR="00E072C3">
        <w:t xml:space="preserve"> aligns</w:t>
      </w:r>
      <w:r w:rsidR="00E072C3" w:rsidRPr="008C5517">
        <w:t xml:space="preserve"> </w:t>
      </w:r>
      <w:r w:rsidR="00E072C3" w:rsidRPr="2509D46C">
        <w:rPr>
          <w:color w:val="000000"/>
          <w:shd w:val="clear" w:color="auto" w:fill="FFFFFF"/>
        </w:rPr>
        <w:t>with modern drafting practices and</w:t>
      </w:r>
      <w:r w:rsidR="00A27308">
        <w:t xml:space="preserve"> is in a form that is fit for purpose</w:t>
      </w:r>
      <w:r w:rsidRPr="00D80F7E">
        <w:rPr>
          <w:color w:val="000000"/>
          <w:shd w:val="clear" w:color="auto" w:fill="FFFFFF"/>
        </w:rPr>
        <w:t xml:space="preserve">. </w:t>
      </w:r>
      <w:r w:rsidR="001A3F61">
        <w:rPr>
          <w:color w:val="000000"/>
          <w:shd w:val="clear" w:color="auto" w:fill="FFFFFF"/>
        </w:rPr>
        <w:t>T</w:t>
      </w:r>
      <w:r w:rsidR="003B77BF">
        <w:rPr>
          <w:color w:val="000000"/>
          <w:shd w:val="clear" w:color="auto" w:fill="FFFFFF"/>
        </w:rPr>
        <w:t xml:space="preserve">he </w:t>
      </w:r>
      <w:r w:rsidR="00CD7725">
        <w:rPr>
          <w:color w:val="000000"/>
          <w:shd w:val="clear" w:color="auto" w:fill="FFFFFF"/>
        </w:rPr>
        <w:t xml:space="preserve">operation of the </w:t>
      </w:r>
      <w:r w:rsidR="003B77BF">
        <w:rPr>
          <w:color w:val="000000"/>
          <w:shd w:val="clear" w:color="auto" w:fill="FFFFFF"/>
        </w:rPr>
        <w:t>Determination</w:t>
      </w:r>
      <w:r w:rsidR="00CD7725">
        <w:rPr>
          <w:color w:val="000000"/>
          <w:shd w:val="clear" w:color="auto" w:fill="FFFFFF"/>
        </w:rPr>
        <w:t xml:space="preserve"> </w:t>
      </w:r>
      <w:r w:rsidR="003B77BF">
        <w:rPr>
          <w:color w:val="000000"/>
          <w:shd w:val="clear" w:color="auto" w:fill="FFFFFF"/>
        </w:rPr>
        <w:t xml:space="preserve">remains largely the same as the DMP. </w:t>
      </w:r>
      <w:r w:rsidR="00E1159D" w:rsidRPr="00D80F7E">
        <w:rPr>
          <w:color w:val="000000"/>
          <w:shd w:val="clear" w:color="auto" w:fill="FFFFFF"/>
        </w:rPr>
        <w:t>Key</w:t>
      </w:r>
      <w:r w:rsidR="00FE2985" w:rsidRPr="00D80F7E">
        <w:rPr>
          <w:color w:val="000000"/>
          <w:shd w:val="clear" w:color="auto" w:fill="FFFFFF"/>
        </w:rPr>
        <w:t xml:space="preserve"> </w:t>
      </w:r>
      <w:r w:rsidR="00BD157C" w:rsidRPr="00D80F7E">
        <w:rPr>
          <w:color w:val="000000"/>
          <w:shd w:val="clear" w:color="auto" w:fill="FFFFFF"/>
        </w:rPr>
        <w:t xml:space="preserve">changes </w:t>
      </w:r>
      <w:r w:rsidR="00FE2985" w:rsidRPr="00D80F7E">
        <w:rPr>
          <w:color w:val="000000"/>
          <w:shd w:val="clear" w:color="auto" w:fill="FFFFFF"/>
        </w:rPr>
        <w:t>from the DMP</w:t>
      </w:r>
      <w:r w:rsidR="00E1159D" w:rsidRPr="00D80F7E">
        <w:rPr>
          <w:color w:val="000000"/>
          <w:shd w:val="clear" w:color="auto" w:fill="FFFFFF"/>
        </w:rPr>
        <w:t xml:space="preserve"> are</w:t>
      </w:r>
      <w:r w:rsidR="003116F1" w:rsidRPr="00D80F7E">
        <w:rPr>
          <w:color w:val="000000"/>
          <w:shd w:val="clear" w:color="auto" w:fill="FFFFFF"/>
        </w:rPr>
        <w:t xml:space="preserve"> as follows</w:t>
      </w:r>
      <w:r w:rsidR="00E1159D" w:rsidRPr="00D80F7E">
        <w:rPr>
          <w:color w:val="000000"/>
          <w:shd w:val="clear" w:color="auto" w:fill="FFFFFF"/>
        </w:rPr>
        <w:t>:</w:t>
      </w:r>
    </w:p>
    <w:p w14:paraId="58F7F49D" w14:textId="57F436D0" w:rsidR="00FE2985" w:rsidRDefault="00E072C3" w:rsidP="00CF6F37">
      <w:pPr>
        <w:pStyle w:val="Bullet"/>
      </w:pPr>
      <w:r>
        <w:t>t</w:t>
      </w:r>
      <w:r w:rsidR="00EE7F5D">
        <w:t>he Determination p</w:t>
      </w:r>
      <w:r w:rsidR="00786576">
        <w:t xml:space="preserve">rescribes when a person </w:t>
      </w:r>
      <w:r w:rsidR="00CF6F37">
        <w:t>i</w:t>
      </w:r>
      <w:r w:rsidR="00786576">
        <w:t>s taken to be in a position of influence over a company</w:t>
      </w:r>
      <w:r w:rsidR="00F77C3F">
        <w:t>. This</w:t>
      </w:r>
      <w:r w:rsidR="00E00A06">
        <w:t xml:space="preserve"> </w:t>
      </w:r>
      <w:r w:rsidR="00BD157C">
        <w:t>replac</w:t>
      </w:r>
      <w:r w:rsidR="00E00A06">
        <w:t>e</w:t>
      </w:r>
      <w:r w:rsidR="00F77C3F">
        <w:t>s</w:t>
      </w:r>
      <w:r w:rsidR="00CF6F37">
        <w:t xml:space="preserve"> subsection 5(3) of the A</w:t>
      </w:r>
      <w:r w:rsidR="00E00A06">
        <w:t>ct</w:t>
      </w:r>
      <w:r w:rsidR="00087A09">
        <w:t>, which was rep</w:t>
      </w:r>
      <w:r w:rsidR="00EF3212">
        <w:t xml:space="preserve">ealed by </w:t>
      </w:r>
      <w:r w:rsidR="00087A09">
        <w:t xml:space="preserve">Schedule </w:t>
      </w:r>
      <w:r w:rsidR="00F7539B">
        <w:t>4</w:t>
      </w:r>
      <w:r w:rsidR="00BD29CE" w:rsidRPr="00BD29CE">
        <w:t xml:space="preserve"> </w:t>
      </w:r>
      <w:r w:rsidR="00087A09">
        <w:t xml:space="preserve">to the </w:t>
      </w:r>
      <w:r w:rsidR="00E75677" w:rsidRPr="2509D46C">
        <w:rPr>
          <w:i/>
          <w:color w:val="000000" w:themeColor="text1"/>
        </w:rPr>
        <w:t>Treasury Laws Amendment (2023 Law Improvement Package No. 1) Act 2023</w:t>
      </w:r>
      <w:r>
        <w:t>; and</w:t>
      </w:r>
    </w:p>
    <w:p w14:paraId="4B2C6402" w14:textId="1E85169F" w:rsidR="00292D5C" w:rsidRPr="00CF6F37" w:rsidRDefault="00E072C3" w:rsidP="00093C05">
      <w:pPr>
        <w:pStyle w:val="Bullet"/>
      </w:pPr>
      <w:r>
        <w:t>t</w:t>
      </w:r>
      <w:r w:rsidR="00EE7F5D">
        <w:t>he Determination u</w:t>
      </w:r>
      <w:r w:rsidR="00741FE9">
        <w:t xml:space="preserve">pdates the matters </w:t>
      </w:r>
      <w:r w:rsidR="00583216">
        <w:t>to which</w:t>
      </w:r>
      <w:r w:rsidR="00741FE9">
        <w:t xml:space="preserve"> the Minister must </w:t>
      </w:r>
      <w:r w:rsidR="00583216">
        <w:t xml:space="preserve">or may have regard in </w:t>
      </w:r>
      <w:r w:rsidR="003116F1">
        <w:t>considering</w:t>
      </w:r>
      <w:r w:rsidR="001735EC">
        <w:t xml:space="preserve"> </w:t>
      </w:r>
      <w:r w:rsidR="00920AAB">
        <w:t xml:space="preserve">whether a </w:t>
      </w:r>
      <w:r w:rsidR="00B00ABB">
        <w:t xml:space="preserve">person is a fit and proper </w:t>
      </w:r>
      <w:r w:rsidR="00A35B31">
        <w:t>person</w:t>
      </w:r>
      <w:r w:rsidR="003116F1">
        <w:t xml:space="preserve"> under the DMP</w:t>
      </w:r>
      <w:r w:rsidR="00EE7F5D">
        <w:t xml:space="preserve">, </w:t>
      </w:r>
      <w:r w:rsidR="001E2F14">
        <w:t>to provide consistency with other similar provisions in the portfolio</w:t>
      </w:r>
      <w:r w:rsidR="007E1C57">
        <w:t>, including</w:t>
      </w:r>
      <w:r w:rsidR="00116199">
        <w:t xml:space="preserve"> </w:t>
      </w:r>
      <w:r w:rsidR="007E1C57">
        <w:t xml:space="preserve">section 7 of the </w:t>
      </w:r>
      <w:r w:rsidR="007E1C57" w:rsidRPr="5F5A6488">
        <w:rPr>
          <w:i/>
          <w:iCs/>
        </w:rPr>
        <w:t>Financial Sector (Shareholdings) Determination No.</w:t>
      </w:r>
      <w:r w:rsidR="00EA2377">
        <w:rPr>
          <w:i/>
          <w:iCs/>
        </w:rPr>
        <w:t> </w:t>
      </w:r>
      <w:r w:rsidR="007E1C57" w:rsidRPr="5F5A6488">
        <w:rPr>
          <w:i/>
          <w:iCs/>
        </w:rPr>
        <w:t>1 of 2019</w:t>
      </w:r>
      <w:r w:rsidR="001E2F14">
        <w:t>.</w:t>
      </w:r>
    </w:p>
    <w:p w14:paraId="3360E3AA" w14:textId="71DEC0FF" w:rsidR="00C37E05" w:rsidRDefault="00DE6EFF" w:rsidP="002C226C">
      <w:pPr>
        <w:spacing w:before="240"/>
      </w:pPr>
      <w:r>
        <w:t xml:space="preserve">The </w:t>
      </w:r>
      <w:r w:rsidR="00986E0B" w:rsidRPr="001B5FA2">
        <w:t>Act</w:t>
      </w:r>
      <w:r>
        <w:rPr>
          <w:i/>
          <w:iCs/>
        </w:rPr>
        <w:t xml:space="preserve"> </w:t>
      </w:r>
      <w:r>
        <w:t xml:space="preserve">does not specify any conditions </w:t>
      </w:r>
      <w:r w:rsidR="00A01F2B">
        <w:t xml:space="preserve">which must be met before </w:t>
      </w:r>
      <w:r w:rsidR="004F462D">
        <w:t xml:space="preserve">the Minister’s power to make </w:t>
      </w:r>
      <w:r w:rsidR="003872BD">
        <w:t>the</w:t>
      </w:r>
      <w:r w:rsidR="004F462D">
        <w:t xml:space="preserve"> Determination may be exercised.  </w:t>
      </w:r>
    </w:p>
    <w:p w14:paraId="23A224FE" w14:textId="1E947D55" w:rsidR="00B55B4A" w:rsidRPr="00DE6EFF" w:rsidRDefault="00B55B4A" w:rsidP="008C5517">
      <w:pPr>
        <w:pStyle w:val="Bullet"/>
        <w:numPr>
          <w:ilvl w:val="0"/>
          <w:numId w:val="0"/>
        </w:numPr>
      </w:pPr>
      <w:r>
        <w:t>An exposure draft of the Determination and the accompanying explanatory materials were released for public consultation from 11 April to 26 April 2023.</w:t>
      </w:r>
    </w:p>
    <w:p w14:paraId="10B8C308" w14:textId="435D92F1" w:rsidR="0099493A" w:rsidRDefault="0099493A" w:rsidP="00FD4E3D">
      <w:pPr>
        <w:spacing w:before="240"/>
      </w:pPr>
      <w:r>
        <w:t xml:space="preserve">Details of the Determination are set out at </w:t>
      </w:r>
      <w:r w:rsidRPr="0099493A">
        <w:rPr>
          <w:u w:val="single"/>
        </w:rPr>
        <w:t>Attachment A</w:t>
      </w:r>
    </w:p>
    <w:p w14:paraId="685AB040" w14:textId="26DFB5DD" w:rsidR="00FD4E3D" w:rsidRDefault="00FD4E3D" w:rsidP="00FD4E3D">
      <w:pPr>
        <w:spacing w:before="240"/>
      </w:pPr>
      <w:r>
        <w:t xml:space="preserve">A Statement of Compatibility with Human Rights is at </w:t>
      </w:r>
      <w:r w:rsidRPr="008C5517">
        <w:rPr>
          <w:u w:val="single"/>
        </w:rPr>
        <w:t xml:space="preserve">Attachment </w:t>
      </w:r>
      <w:r w:rsidR="0099493A">
        <w:rPr>
          <w:u w:val="single"/>
        </w:rPr>
        <w:t>B</w:t>
      </w:r>
      <w:r w:rsidRPr="008C5517">
        <w:rPr>
          <w:u w:val="single"/>
        </w:rPr>
        <w:t>.</w:t>
      </w:r>
    </w:p>
    <w:p w14:paraId="7A28814E" w14:textId="77777777" w:rsidR="00FD4E3D" w:rsidRDefault="00FD4E3D" w:rsidP="00FD4E3D">
      <w:pPr>
        <w:spacing w:before="240"/>
      </w:pPr>
      <w:r>
        <w:t>The Office of Impact Analysis (OIA) has been consulted (OIA ref: OIA23-04962) and agreed that an Impact Analysis is not required.</w:t>
      </w:r>
    </w:p>
    <w:p w14:paraId="7443ECF9" w14:textId="1B8F2EAB" w:rsidR="002C226C" w:rsidRDefault="002C226C" w:rsidP="00FD4E3D">
      <w:pPr>
        <w:spacing w:before="240"/>
      </w:pPr>
      <w:r>
        <w:t>The</w:t>
      </w:r>
      <w:r w:rsidRPr="00D3322F">
        <w:t xml:space="preserve"> </w:t>
      </w:r>
      <w:r w:rsidR="00BA40D2">
        <w:t>Determination is</w:t>
      </w:r>
      <w:r w:rsidRPr="00D3322F">
        <w:t xml:space="preserve"> a legislative instrument for the purposes of the</w:t>
      </w:r>
      <w:r w:rsidRPr="00322524">
        <w:t xml:space="preserve"> </w:t>
      </w:r>
      <w:r w:rsidRPr="00D3322F">
        <w:rPr>
          <w:i/>
        </w:rPr>
        <w:t>Legislation</w:t>
      </w:r>
      <w:r w:rsidR="00986E0B">
        <w:rPr>
          <w:i/>
        </w:rPr>
        <w:t> </w:t>
      </w:r>
      <w:r w:rsidRPr="00D3322F">
        <w:rPr>
          <w:i/>
        </w:rPr>
        <w:t>Act</w:t>
      </w:r>
      <w:r w:rsidR="00986E0B">
        <w:rPr>
          <w:i/>
        </w:rPr>
        <w:t> </w:t>
      </w:r>
      <w:r w:rsidRPr="00D3322F">
        <w:rPr>
          <w:i/>
        </w:rPr>
        <w:t>2003</w:t>
      </w:r>
      <w:r w:rsidRPr="00D3322F">
        <w:t>.</w:t>
      </w:r>
    </w:p>
    <w:p w14:paraId="6CE6F907" w14:textId="392FD44D" w:rsidR="009143A0" w:rsidRPr="00647BB7" w:rsidRDefault="00F109D4" w:rsidP="00647BB7">
      <w:pPr>
        <w:spacing w:before="240"/>
        <w:rPr>
          <w:i/>
        </w:rPr>
      </w:pPr>
      <w:r w:rsidRPr="00503E44">
        <w:t xml:space="preserve">The </w:t>
      </w:r>
      <w:r w:rsidR="00BA40D2">
        <w:t xml:space="preserve">Determination </w:t>
      </w:r>
      <w:r w:rsidRPr="00503E44">
        <w:t>commenc</w:t>
      </w:r>
      <w:r w:rsidR="008A5834">
        <w:t>ed</w:t>
      </w:r>
      <w:r w:rsidRPr="00503E44">
        <w:t xml:space="preserve"> </w:t>
      </w:r>
      <w:r w:rsidR="00AF2B28">
        <w:t>on 1 March 2024</w:t>
      </w:r>
      <w:r w:rsidR="00BB4EAF" w:rsidRPr="00BB4EAF">
        <w:t xml:space="preserve"> </w:t>
      </w:r>
      <w:r w:rsidR="00BB4EAF">
        <w:t xml:space="preserve">(concurrently to the </w:t>
      </w:r>
      <w:r w:rsidR="00BB4EAF" w:rsidRPr="00BB4EAF">
        <w:rPr>
          <w:i/>
          <w:iCs/>
        </w:rPr>
        <w:t>Treasury Laws Amendment (2023 Law Improvement Package No. 1) Act 2023</w:t>
      </w:r>
      <w:r w:rsidR="00BB4EAF">
        <w:t>)</w:t>
      </w:r>
      <w:r w:rsidR="00AF2B28">
        <w:t xml:space="preserve"> </w:t>
      </w:r>
      <w:r w:rsidR="001B5FA2">
        <w:t xml:space="preserve">and </w:t>
      </w:r>
      <w:r w:rsidR="008A5834">
        <w:t>appl</w:t>
      </w:r>
      <w:r w:rsidR="003974D5">
        <w:t>ies</w:t>
      </w:r>
      <w:r w:rsidR="001B5FA2">
        <w:t xml:space="preserve"> from the date of commencement. </w:t>
      </w:r>
    </w:p>
    <w:p w14:paraId="76717097" w14:textId="77777777" w:rsidR="00FE5195" w:rsidRDefault="00FE5195">
      <w:pPr>
        <w:spacing w:before="0" w:after="0"/>
        <w:rPr>
          <w:b/>
          <w:bCs/>
          <w:szCs w:val="24"/>
          <w:u w:val="single"/>
        </w:rPr>
      </w:pPr>
      <w:r>
        <w:rPr>
          <w:b/>
          <w:bCs/>
          <w:szCs w:val="24"/>
          <w:u w:val="single"/>
        </w:rPr>
        <w:br w:type="page"/>
      </w:r>
    </w:p>
    <w:p w14:paraId="168F839B" w14:textId="5125645C" w:rsidR="00D53EE2" w:rsidRPr="003C5719" w:rsidRDefault="00D53EE2" w:rsidP="00D53EE2">
      <w:pPr>
        <w:pageBreakBefore/>
        <w:spacing w:before="240"/>
        <w:jc w:val="right"/>
        <w:rPr>
          <w:b/>
          <w:u w:val="single"/>
        </w:rPr>
      </w:pPr>
      <w:r w:rsidRPr="003C5719">
        <w:rPr>
          <w:b/>
          <w:u w:val="single"/>
        </w:rPr>
        <w:lastRenderedPageBreak/>
        <w:t xml:space="preserve">ATTACHMENT </w:t>
      </w:r>
      <w:r>
        <w:rPr>
          <w:b/>
          <w:u w:val="single"/>
        </w:rPr>
        <w:t>A</w:t>
      </w:r>
    </w:p>
    <w:p w14:paraId="1AB882C4" w14:textId="660C2A51" w:rsidR="00D53EE2" w:rsidRPr="003C5719" w:rsidRDefault="00D53EE2" w:rsidP="00D53EE2">
      <w:pPr>
        <w:spacing w:before="240"/>
        <w:rPr>
          <w:b/>
          <w:bCs/>
          <w:szCs w:val="24"/>
          <w:u w:val="single"/>
        </w:rPr>
      </w:pPr>
      <w:r w:rsidRPr="003C5719">
        <w:rPr>
          <w:b/>
          <w:bCs/>
          <w:u w:val="single"/>
        </w:rPr>
        <w:t xml:space="preserve">Details of the </w:t>
      </w:r>
      <w:r w:rsidRPr="00D53EE2">
        <w:rPr>
          <w:b/>
          <w:i/>
          <w:u w:val="single"/>
        </w:rPr>
        <w:t>Insurance Acquisitions and Takeovers (Public Interest) Determination 2024</w:t>
      </w:r>
    </w:p>
    <w:p w14:paraId="301CF2DE" w14:textId="3CF1FD38" w:rsidR="00715A5F" w:rsidRPr="003B5785" w:rsidRDefault="00715A5F" w:rsidP="003B5785">
      <w:pPr>
        <w:rPr>
          <w:b/>
          <w:bCs/>
        </w:rPr>
      </w:pPr>
      <w:r w:rsidRPr="003B5785">
        <w:rPr>
          <w:b/>
          <w:bCs/>
        </w:rPr>
        <w:t>Part 1</w:t>
      </w:r>
      <w:r w:rsidR="00935457" w:rsidRPr="003B5785">
        <w:rPr>
          <w:b/>
          <w:bCs/>
        </w:rPr>
        <w:t>—</w:t>
      </w:r>
      <w:r w:rsidR="00935457">
        <w:rPr>
          <w:b/>
          <w:bCs/>
        </w:rPr>
        <w:t>Preliminary</w:t>
      </w:r>
    </w:p>
    <w:p w14:paraId="2FC319EE" w14:textId="27404FE0" w:rsidR="00715A5F" w:rsidRPr="00715A5F" w:rsidRDefault="00715A5F" w:rsidP="00D53EE2">
      <w:pPr>
        <w:spacing w:before="240"/>
      </w:pPr>
      <w:r w:rsidRPr="00715A5F">
        <w:t xml:space="preserve">Part 1 provides the name, commencement, </w:t>
      </w:r>
      <w:proofErr w:type="gramStart"/>
      <w:r w:rsidRPr="00715A5F">
        <w:t>authority</w:t>
      </w:r>
      <w:proofErr w:type="gramEnd"/>
      <w:r w:rsidRPr="00715A5F">
        <w:t xml:space="preserve"> and definitions relevant to the Determination</w:t>
      </w:r>
      <w:r w:rsidR="009526DA">
        <w:t>.</w:t>
      </w:r>
    </w:p>
    <w:p w14:paraId="337D482F" w14:textId="2F000DC4" w:rsidR="00D53EE2" w:rsidRPr="003C5719" w:rsidRDefault="00D53EE2" w:rsidP="00D53EE2">
      <w:pPr>
        <w:spacing w:before="240"/>
        <w:rPr>
          <w:rFonts w:ascii="Calibri" w:hAnsi="Calibri"/>
          <w:sz w:val="22"/>
          <w:szCs w:val="22"/>
          <w:u w:val="single"/>
          <w:lang w:eastAsia="en-US"/>
        </w:rPr>
      </w:pPr>
      <w:r w:rsidRPr="003C5719">
        <w:rPr>
          <w:u w:val="single"/>
        </w:rPr>
        <w:t xml:space="preserve">Section 1 – Name </w:t>
      </w:r>
    </w:p>
    <w:p w14:paraId="684708A4" w14:textId="22485BB8" w:rsidR="00D53EE2" w:rsidRPr="003C5719" w:rsidRDefault="00D53EE2" w:rsidP="00D53EE2">
      <w:pPr>
        <w:spacing w:before="240"/>
      </w:pPr>
      <w:r w:rsidRPr="003C5719">
        <w:t xml:space="preserve">This section provides that the name of the </w:t>
      </w:r>
      <w:r w:rsidR="009526DA">
        <w:t>instrument</w:t>
      </w:r>
      <w:r w:rsidR="009526DA" w:rsidRPr="003C5719">
        <w:t xml:space="preserve"> </w:t>
      </w:r>
      <w:r w:rsidRPr="003C5719">
        <w:t xml:space="preserve">is the </w:t>
      </w:r>
      <w:r w:rsidR="009A4B7A" w:rsidRPr="009A4B7A">
        <w:rPr>
          <w:i/>
        </w:rPr>
        <w:t>Insurance Acquisitions and Takeovers (Public Interest) Determination 2024</w:t>
      </w:r>
      <w:r w:rsidRPr="003C5719">
        <w:t xml:space="preserve"> (the </w:t>
      </w:r>
      <w:r w:rsidR="009A4B7A">
        <w:t>Determination</w:t>
      </w:r>
      <w:r w:rsidRPr="003C5719">
        <w:t>).</w:t>
      </w:r>
    </w:p>
    <w:p w14:paraId="0823660E" w14:textId="77777777" w:rsidR="00D53EE2" w:rsidRPr="003C5719" w:rsidRDefault="00D53EE2" w:rsidP="00D53EE2">
      <w:pPr>
        <w:spacing w:before="240"/>
        <w:rPr>
          <w:u w:val="single"/>
        </w:rPr>
      </w:pPr>
      <w:r w:rsidRPr="003C5719">
        <w:rPr>
          <w:u w:val="single"/>
        </w:rPr>
        <w:t>Section 2 – Commencement</w:t>
      </w:r>
    </w:p>
    <w:p w14:paraId="510EDED5" w14:textId="2573D578" w:rsidR="00D53EE2" w:rsidRDefault="009A4B7A" w:rsidP="00D53EE2">
      <w:pPr>
        <w:spacing w:before="240"/>
      </w:pPr>
      <w:r>
        <w:t>The Determination</w:t>
      </w:r>
      <w:r w:rsidR="00D53EE2" w:rsidRPr="003C5719">
        <w:t xml:space="preserve"> commence</w:t>
      </w:r>
      <w:r w:rsidR="00D53EE2">
        <w:t>d</w:t>
      </w:r>
      <w:r w:rsidR="00D53EE2" w:rsidRPr="003C5719">
        <w:t xml:space="preserve"> on </w:t>
      </w:r>
      <w:r>
        <w:t>1 March 2024.</w:t>
      </w:r>
      <w:r w:rsidR="00D53EE2" w:rsidRPr="003C5719">
        <w:t xml:space="preserve"> </w:t>
      </w:r>
    </w:p>
    <w:p w14:paraId="7CC9F641" w14:textId="77777777" w:rsidR="00862005" w:rsidRPr="003C5719" w:rsidRDefault="00862005" w:rsidP="00862005">
      <w:pPr>
        <w:spacing w:before="240"/>
        <w:rPr>
          <w:u w:val="single"/>
        </w:rPr>
      </w:pPr>
      <w:r w:rsidRPr="003C5719">
        <w:rPr>
          <w:u w:val="single"/>
        </w:rPr>
        <w:t>Section 3 – Authority</w:t>
      </w:r>
    </w:p>
    <w:p w14:paraId="6AF920E9" w14:textId="1F64163B" w:rsidR="00862005" w:rsidRPr="003C5719" w:rsidRDefault="00862005" w:rsidP="00862005">
      <w:pPr>
        <w:spacing w:before="240"/>
      </w:pPr>
      <w:r w:rsidRPr="003C5719">
        <w:t>The</w:t>
      </w:r>
      <w:r>
        <w:t xml:space="preserve"> Determination is</w:t>
      </w:r>
      <w:r w:rsidRPr="003C5719">
        <w:t xml:space="preserve"> made under the </w:t>
      </w:r>
      <w:r w:rsidRPr="00862005">
        <w:rPr>
          <w:i/>
        </w:rPr>
        <w:t>Insurance Acquisitions and Takeovers Act 1991</w:t>
      </w:r>
      <w:r w:rsidRPr="003C5719">
        <w:t xml:space="preserve"> (the Act).</w:t>
      </w:r>
    </w:p>
    <w:p w14:paraId="200B5536" w14:textId="1B1AF7C5" w:rsidR="00914AB3" w:rsidRDefault="00914AB3" w:rsidP="00914AB3">
      <w:pPr>
        <w:spacing w:before="240"/>
        <w:rPr>
          <w:u w:val="single"/>
        </w:rPr>
      </w:pPr>
      <w:r w:rsidRPr="003C5719">
        <w:rPr>
          <w:u w:val="single"/>
        </w:rPr>
        <w:t xml:space="preserve">Section </w:t>
      </w:r>
      <w:r>
        <w:rPr>
          <w:u w:val="single"/>
        </w:rPr>
        <w:t>4</w:t>
      </w:r>
      <w:r w:rsidRPr="003C5719">
        <w:rPr>
          <w:u w:val="single"/>
        </w:rPr>
        <w:t xml:space="preserve"> – </w:t>
      </w:r>
      <w:r w:rsidR="008328B4">
        <w:rPr>
          <w:u w:val="single"/>
        </w:rPr>
        <w:t xml:space="preserve">Definitions </w:t>
      </w:r>
    </w:p>
    <w:p w14:paraId="3C674517" w14:textId="65A05962" w:rsidR="004B7C16" w:rsidRDefault="004B7C16" w:rsidP="00914AB3">
      <w:pPr>
        <w:spacing w:before="240"/>
      </w:pPr>
      <w:r w:rsidRPr="004B7C16">
        <w:t xml:space="preserve">This section </w:t>
      </w:r>
      <w:r>
        <w:t>sets out</w:t>
      </w:r>
      <w:r w:rsidRPr="004B7C16">
        <w:t xml:space="preserve"> definitions for terms used in the </w:t>
      </w:r>
      <w:r>
        <w:t>Determination</w:t>
      </w:r>
      <w:r w:rsidR="008E37FA">
        <w:t>.</w:t>
      </w:r>
    </w:p>
    <w:p w14:paraId="2A290913" w14:textId="0E54F8F1" w:rsidR="00846CF0" w:rsidRPr="004B7C16" w:rsidRDefault="00846CF0" w:rsidP="00914AB3">
      <w:pPr>
        <w:spacing w:before="240"/>
      </w:pPr>
      <w:r w:rsidRPr="00846CF0">
        <w:t>A note to this section direct</w:t>
      </w:r>
      <w:r w:rsidR="008E37FA">
        <w:t>s</w:t>
      </w:r>
      <w:r w:rsidRPr="00846CF0">
        <w:t xml:space="preserve"> the reader to </w:t>
      </w:r>
      <w:r w:rsidR="000F3BBC">
        <w:t>p</w:t>
      </w:r>
      <w:r w:rsidR="000F3BBC" w:rsidRPr="000F3BBC">
        <w:t xml:space="preserve">aragraph 13(1)(b) of the </w:t>
      </w:r>
      <w:r w:rsidR="000F3BBC" w:rsidRPr="000F3BBC">
        <w:rPr>
          <w:i/>
          <w:iCs/>
        </w:rPr>
        <w:t>Legislation Act 2003</w:t>
      </w:r>
      <w:r w:rsidR="000F3BBC">
        <w:rPr>
          <w:i/>
          <w:iCs/>
        </w:rPr>
        <w:t xml:space="preserve">, </w:t>
      </w:r>
      <w:r w:rsidR="000F3BBC" w:rsidRPr="000F3BBC">
        <w:t>which has the effect that expressions have the same meaning in</w:t>
      </w:r>
      <w:r w:rsidR="000F3BBC">
        <w:t xml:space="preserve"> the Determination </w:t>
      </w:r>
      <w:r w:rsidR="000F3BBC" w:rsidRPr="000F3BBC">
        <w:t xml:space="preserve">as in the </w:t>
      </w:r>
      <w:r w:rsidR="000F3BBC">
        <w:t>Act</w:t>
      </w:r>
      <w:r w:rsidR="000F3BBC" w:rsidRPr="000F3BBC">
        <w:t xml:space="preserve"> as in force from time to time</w:t>
      </w:r>
      <w:r w:rsidR="000F3BBC">
        <w:t>.</w:t>
      </w:r>
    </w:p>
    <w:p w14:paraId="7604DEBC" w14:textId="763C7017" w:rsidR="00715A5F" w:rsidRPr="003B5785" w:rsidRDefault="00715A5F" w:rsidP="003B5785">
      <w:pPr>
        <w:rPr>
          <w:b/>
          <w:bCs/>
        </w:rPr>
      </w:pPr>
      <w:r w:rsidRPr="003B5785">
        <w:rPr>
          <w:b/>
          <w:bCs/>
        </w:rPr>
        <w:t>Part 2—Public interest matters</w:t>
      </w:r>
    </w:p>
    <w:p w14:paraId="018A3AD7" w14:textId="767A4A5A" w:rsidR="00715A5F" w:rsidRPr="00715A5F" w:rsidRDefault="00715A5F" w:rsidP="008328B4">
      <w:pPr>
        <w:spacing w:before="240"/>
      </w:pPr>
      <w:r w:rsidRPr="00715A5F">
        <w:t xml:space="preserve">Part 2 prescribes </w:t>
      </w:r>
      <w:r w:rsidR="00AD779E">
        <w:t>matters</w:t>
      </w:r>
      <w:r w:rsidRPr="00715A5F">
        <w:t xml:space="preserve"> which inform</w:t>
      </w:r>
      <w:r w:rsidR="00DA5696">
        <w:t xml:space="preserve"> whether a </w:t>
      </w:r>
      <w:r w:rsidR="00AD779E">
        <w:t xml:space="preserve">particular </w:t>
      </w:r>
      <w:r w:rsidR="00DA5696">
        <w:t>matter is contrary to</w:t>
      </w:r>
      <w:r w:rsidRPr="00715A5F">
        <w:t xml:space="preserve"> the public interest </w:t>
      </w:r>
      <w:r w:rsidR="00DA5696">
        <w:t xml:space="preserve">(known as the public </w:t>
      </w:r>
      <w:r w:rsidR="00746C5D">
        <w:t xml:space="preserve">interest </w:t>
      </w:r>
      <w:r w:rsidRPr="00715A5F">
        <w:t>test</w:t>
      </w:r>
      <w:r w:rsidR="00DA5696">
        <w:t>)</w:t>
      </w:r>
      <w:r w:rsidRPr="00715A5F">
        <w:t xml:space="preserve"> </w:t>
      </w:r>
      <w:r w:rsidR="009526DA">
        <w:t xml:space="preserve">for the purposes of </w:t>
      </w:r>
      <w:r w:rsidRPr="00715A5F">
        <w:t>s</w:t>
      </w:r>
      <w:r w:rsidR="007825ED">
        <w:t>ubs</w:t>
      </w:r>
      <w:r w:rsidRPr="00715A5F">
        <w:t>ection 5</w:t>
      </w:r>
      <w:r w:rsidR="007825ED">
        <w:t>(1)</w:t>
      </w:r>
      <w:r w:rsidRPr="00715A5F">
        <w:t xml:space="preserve"> of the Act</w:t>
      </w:r>
      <w:r w:rsidR="00144283">
        <w:t xml:space="preserve">. </w:t>
      </w:r>
    </w:p>
    <w:p w14:paraId="04F8243E" w14:textId="6417D66F" w:rsidR="008328B4" w:rsidRDefault="008328B4" w:rsidP="008328B4">
      <w:pPr>
        <w:spacing w:before="240"/>
        <w:rPr>
          <w:u w:val="single"/>
        </w:rPr>
      </w:pPr>
      <w:r w:rsidRPr="003C5719">
        <w:rPr>
          <w:u w:val="single"/>
        </w:rPr>
        <w:t xml:space="preserve">Section </w:t>
      </w:r>
      <w:r>
        <w:rPr>
          <w:u w:val="single"/>
        </w:rPr>
        <w:t>5</w:t>
      </w:r>
      <w:r w:rsidRPr="003C5719">
        <w:rPr>
          <w:u w:val="single"/>
        </w:rPr>
        <w:t xml:space="preserve"> – </w:t>
      </w:r>
      <w:r>
        <w:rPr>
          <w:u w:val="single"/>
        </w:rPr>
        <w:t>Fit and proper person</w:t>
      </w:r>
    </w:p>
    <w:p w14:paraId="6F5F93D2" w14:textId="5EB21577" w:rsidR="005D16B1" w:rsidRDefault="00715A5F" w:rsidP="008328B4">
      <w:pPr>
        <w:spacing w:before="240"/>
      </w:pPr>
      <w:r w:rsidRPr="00715A5F">
        <w:t xml:space="preserve">Section 5 prescribes matters </w:t>
      </w:r>
      <w:r w:rsidR="00C80FFF">
        <w:t xml:space="preserve">under subsection 5(6) of the Act </w:t>
      </w:r>
      <w:r w:rsidRPr="00715A5F">
        <w:t>to which the Minister must or may have regard in determining whether a particular matter is likely to result in a person who is not a fit and proper person to be in a position of influence over an Australian</w:t>
      </w:r>
      <w:r>
        <w:t>-</w:t>
      </w:r>
      <w:r w:rsidRPr="00715A5F">
        <w:t xml:space="preserve">registered insurance company, being in such a position of influence. </w:t>
      </w:r>
      <w:r w:rsidR="008B0F17">
        <w:t>This informs the public interest test</w:t>
      </w:r>
      <w:r w:rsidR="00531C84" w:rsidDel="008B0F17">
        <w:t xml:space="preserve"> </w:t>
      </w:r>
      <w:r w:rsidR="00C90FC2">
        <w:t xml:space="preserve">for the purposes of </w:t>
      </w:r>
      <w:r w:rsidR="00F306D2">
        <w:t>subparagraph</w:t>
      </w:r>
      <w:r w:rsidR="00FB0B4C">
        <w:t>s 5(4)(b)(</w:t>
      </w:r>
      <w:proofErr w:type="spellStart"/>
      <w:r w:rsidR="00FB0B4C">
        <w:t>i</w:t>
      </w:r>
      <w:proofErr w:type="spellEnd"/>
      <w:r w:rsidR="00FB0B4C">
        <w:t>) and (ii) of the Act</w:t>
      </w:r>
      <w:r w:rsidR="00AA725C">
        <w:t>.</w:t>
      </w:r>
    </w:p>
    <w:p w14:paraId="626EFA88" w14:textId="0AC921FF" w:rsidR="00715A5F" w:rsidRPr="00715A5F" w:rsidRDefault="00E02661" w:rsidP="008328B4">
      <w:pPr>
        <w:spacing w:before="240"/>
      </w:pPr>
      <w:r>
        <w:t>Section 5</w:t>
      </w:r>
      <w:r w:rsidR="00715A5F" w:rsidRPr="00715A5F">
        <w:t xml:space="preserve"> </w:t>
      </w:r>
      <w:r>
        <w:t>updates</w:t>
      </w:r>
      <w:r w:rsidR="00715A5F" w:rsidRPr="00715A5F">
        <w:t xml:space="preserve"> the operation of section 4 of the DMP to provide consistency with other similar provisions in the portfolio</w:t>
      </w:r>
      <w:r>
        <w:t>, including</w:t>
      </w:r>
      <w:r w:rsidRPr="00E02661">
        <w:t xml:space="preserve"> section 7 of the </w:t>
      </w:r>
      <w:r w:rsidRPr="006D43C9">
        <w:rPr>
          <w:i/>
          <w:iCs/>
        </w:rPr>
        <w:t>Financial Sector (Shareholdings) Determination No. 1 of 2019</w:t>
      </w:r>
      <w:r>
        <w:rPr>
          <w:i/>
          <w:iCs/>
        </w:rPr>
        <w:t>.</w:t>
      </w:r>
    </w:p>
    <w:p w14:paraId="316749CF" w14:textId="04567258" w:rsidR="008328B4" w:rsidRDefault="008328B4" w:rsidP="008328B4">
      <w:pPr>
        <w:spacing w:before="240"/>
        <w:rPr>
          <w:u w:val="single"/>
        </w:rPr>
      </w:pPr>
      <w:r w:rsidRPr="003C5719">
        <w:rPr>
          <w:u w:val="single"/>
        </w:rPr>
        <w:t xml:space="preserve">Section </w:t>
      </w:r>
      <w:r>
        <w:rPr>
          <w:u w:val="single"/>
        </w:rPr>
        <w:t>6</w:t>
      </w:r>
      <w:r w:rsidRPr="003C5719">
        <w:rPr>
          <w:u w:val="single"/>
        </w:rPr>
        <w:t xml:space="preserve"> – </w:t>
      </w:r>
      <w:r>
        <w:rPr>
          <w:u w:val="single"/>
        </w:rPr>
        <w:t>Position of influence over a company</w:t>
      </w:r>
    </w:p>
    <w:p w14:paraId="15CA6A9C" w14:textId="0D0C5D6C" w:rsidR="003C37AA" w:rsidRDefault="00715A5F" w:rsidP="00715A5F">
      <w:pPr>
        <w:spacing w:before="240"/>
      </w:pPr>
      <w:r w:rsidRPr="00715A5F">
        <w:lastRenderedPageBreak/>
        <w:t>Section 6 prescribes</w:t>
      </w:r>
      <w:r w:rsidR="00C80FFF">
        <w:t xml:space="preserve"> circumstances</w:t>
      </w:r>
      <w:r w:rsidRPr="00715A5F">
        <w:t xml:space="preserve"> </w:t>
      </w:r>
      <w:r w:rsidR="00353FAD" w:rsidRPr="00715A5F">
        <w:t>under subsection 5(</w:t>
      </w:r>
      <w:r w:rsidR="00353FAD">
        <w:t>2</w:t>
      </w:r>
      <w:r w:rsidR="00353FAD" w:rsidRPr="00715A5F">
        <w:t>) of the Ac</w:t>
      </w:r>
      <w:r w:rsidR="00C80FFF">
        <w:t>t</w:t>
      </w:r>
      <w:r w:rsidRPr="00715A5F">
        <w:t xml:space="preserve"> in which a person is taken to be in a position of influence over the Australian</w:t>
      </w:r>
      <w:r w:rsidR="001D143E">
        <w:t>-</w:t>
      </w:r>
      <w:r w:rsidRPr="00715A5F">
        <w:t>registered insurance company for the purposes of paragraph 5(1)(b) of th</w:t>
      </w:r>
      <w:r w:rsidR="00EF2E32">
        <w:t>e Act</w:t>
      </w:r>
      <w:r w:rsidR="00022C46">
        <w:t>.</w:t>
      </w:r>
      <w:r w:rsidRPr="00715A5F">
        <w:t xml:space="preserve"> </w:t>
      </w:r>
      <w:r w:rsidR="00E04D6F">
        <w:t>This</w:t>
      </w:r>
      <w:r w:rsidR="00E04D6F" w:rsidRPr="00E04D6F">
        <w:t xml:space="preserve"> inform</w:t>
      </w:r>
      <w:r w:rsidR="00E04D6F">
        <w:t>s</w:t>
      </w:r>
      <w:r w:rsidR="00E04D6F" w:rsidRPr="00E04D6F">
        <w:t xml:space="preserve"> </w:t>
      </w:r>
      <w:r w:rsidR="005B679B">
        <w:t>the</w:t>
      </w:r>
      <w:r w:rsidR="00F671AA">
        <w:t xml:space="preserve"> ‘fit and proper person’ limb of the</w:t>
      </w:r>
      <w:r w:rsidR="00E04D6F" w:rsidRPr="00E04D6F">
        <w:t xml:space="preserve"> public interest test</w:t>
      </w:r>
      <w:r w:rsidR="00F671AA">
        <w:t xml:space="preserve"> (see section 5)</w:t>
      </w:r>
      <w:r w:rsidR="00E04D6F">
        <w:t>.</w:t>
      </w:r>
      <w:r w:rsidR="00E04D6F" w:rsidRPr="00E04D6F">
        <w:t xml:space="preserve"> </w:t>
      </w:r>
    </w:p>
    <w:p w14:paraId="5F1E4F80" w14:textId="09692682" w:rsidR="00715A5F" w:rsidRPr="00715A5F" w:rsidRDefault="003C37AA" w:rsidP="00715A5F">
      <w:pPr>
        <w:spacing w:before="240"/>
      </w:pPr>
      <w:r>
        <w:t xml:space="preserve">Section 6 </w:t>
      </w:r>
      <w:r w:rsidR="00715A5F" w:rsidRPr="00715A5F">
        <w:t>replaces subsection 5(3) of the Act</w:t>
      </w:r>
      <w:r w:rsidR="005D6902">
        <w:t>, which was</w:t>
      </w:r>
      <w:r w:rsidR="00715A5F" w:rsidRPr="00715A5F">
        <w:t xml:space="preserve"> repealed by the </w:t>
      </w:r>
      <w:r w:rsidR="00715A5F" w:rsidRPr="00715A5F">
        <w:rPr>
          <w:i/>
          <w:iCs/>
        </w:rPr>
        <w:t>Treasury Laws Amendment (2023 Law Improvement Package No. 1) Act 2023</w:t>
      </w:r>
      <w:r w:rsidR="00715A5F" w:rsidRPr="00715A5F">
        <w:t xml:space="preserve">. </w:t>
      </w:r>
    </w:p>
    <w:p w14:paraId="06F0F182" w14:textId="77777777" w:rsidR="008328B4" w:rsidRDefault="008328B4" w:rsidP="008328B4">
      <w:pPr>
        <w:spacing w:before="240"/>
        <w:rPr>
          <w:u w:val="single"/>
        </w:rPr>
      </w:pPr>
      <w:r w:rsidRPr="003C5719">
        <w:rPr>
          <w:u w:val="single"/>
        </w:rPr>
        <w:t xml:space="preserve">Section </w:t>
      </w:r>
      <w:r>
        <w:rPr>
          <w:u w:val="single"/>
        </w:rPr>
        <w:t>7</w:t>
      </w:r>
      <w:r w:rsidRPr="003C5719">
        <w:rPr>
          <w:u w:val="single"/>
        </w:rPr>
        <w:t xml:space="preserve"> –</w:t>
      </w:r>
      <w:r>
        <w:rPr>
          <w:u w:val="single"/>
        </w:rPr>
        <w:t xml:space="preserve"> Undue concentration of power </w:t>
      </w:r>
    </w:p>
    <w:p w14:paraId="053EB3D9" w14:textId="6DCBF01F" w:rsidR="003C37AA" w:rsidRDefault="00715A5F" w:rsidP="00715A5F">
      <w:pPr>
        <w:spacing w:before="240"/>
      </w:pPr>
      <w:r w:rsidRPr="00715A5F">
        <w:t>Section 7 prescribes</w:t>
      </w:r>
      <w:r w:rsidR="006C2988" w:rsidRPr="00715A5F">
        <w:t xml:space="preserve"> </w:t>
      </w:r>
      <w:r w:rsidRPr="00715A5F">
        <w:t>matters</w:t>
      </w:r>
      <w:r w:rsidR="00AA725C">
        <w:t xml:space="preserve"> </w:t>
      </w:r>
      <w:r w:rsidR="00C80FFF">
        <w:t>under subsection 5(6) of the Act</w:t>
      </w:r>
      <w:r w:rsidR="00C80FFF" w:rsidRPr="00715A5F">
        <w:t xml:space="preserve"> </w:t>
      </w:r>
      <w:r w:rsidRPr="00715A5F">
        <w:t xml:space="preserve">to which the Minister must or may have regard in determining whether a particular matter is likely to unduly concentrate economic power in the Australia general insurance industry, the Australian life insurance </w:t>
      </w:r>
      <w:proofErr w:type="gramStart"/>
      <w:r w:rsidRPr="00715A5F">
        <w:t>industry</w:t>
      </w:r>
      <w:proofErr w:type="gramEnd"/>
      <w:r w:rsidRPr="00715A5F">
        <w:t xml:space="preserve"> or the Australian financial system. </w:t>
      </w:r>
      <w:r w:rsidR="002823DA">
        <w:t>This</w:t>
      </w:r>
      <w:r w:rsidR="00AC013D">
        <w:t xml:space="preserve"> informs the public interest test</w:t>
      </w:r>
      <w:r w:rsidR="00AC115F">
        <w:t xml:space="preserve"> </w:t>
      </w:r>
      <w:r w:rsidR="00C5703C">
        <w:t xml:space="preserve">for the purposes of </w:t>
      </w:r>
      <w:r w:rsidR="00AC115F">
        <w:t>subparagraphs 5(4)(c)(</w:t>
      </w:r>
      <w:proofErr w:type="spellStart"/>
      <w:r w:rsidR="00AC115F">
        <w:t>i</w:t>
      </w:r>
      <w:proofErr w:type="spellEnd"/>
      <w:r w:rsidR="00AC115F">
        <w:t xml:space="preserve">) and (ii) </w:t>
      </w:r>
      <w:r w:rsidR="000149DB">
        <w:t>of the Act</w:t>
      </w:r>
      <w:r w:rsidR="00AA725C">
        <w:t>.</w:t>
      </w:r>
    </w:p>
    <w:p w14:paraId="6444F4D6" w14:textId="0740FA69" w:rsidR="00715A5F" w:rsidRPr="00715A5F" w:rsidRDefault="005F69AE" w:rsidP="00715A5F">
      <w:pPr>
        <w:spacing w:before="240"/>
      </w:pPr>
      <w:r>
        <w:t>Section 7</w:t>
      </w:r>
      <w:r w:rsidR="00715A5F" w:rsidRPr="00715A5F">
        <w:t xml:space="preserve"> remakes section 5 of the DMP.</w:t>
      </w:r>
    </w:p>
    <w:p w14:paraId="646DBA6D" w14:textId="5060A16B" w:rsidR="008328B4" w:rsidRDefault="008328B4" w:rsidP="008328B4">
      <w:pPr>
        <w:spacing w:before="240"/>
        <w:rPr>
          <w:u w:val="single"/>
        </w:rPr>
      </w:pPr>
      <w:r w:rsidRPr="003C5719">
        <w:rPr>
          <w:u w:val="single"/>
        </w:rPr>
        <w:t xml:space="preserve">Section </w:t>
      </w:r>
      <w:r>
        <w:rPr>
          <w:u w:val="single"/>
        </w:rPr>
        <w:t>8</w:t>
      </w:r>
      <w:r w:rsidRPr="003C5719">
        <w:rPr>
          <w:u w:val="single"/>
        </w:rPr>
        <w:t xml:space="preserve"> –</w:t>
      </w:r>
      <w:r>
        <w:rPr>
          <w:u w:val="single"/>
        </w:rPr>
        <w:t xml:space="preserve"> Contrary to the national interest </w:t>
      </w:r>
    </w:p>
    <w:p w14:paraId="07C4101A" w14:textId="18DABB00" w:rsidR="005F69AE" w:rsidRDefault="00715A5F" w:rsidP="00715A5F">
      <w:pPr>
        <w:spacing w:before="240"/>
      </w:pPr>
      <w:r w:rsidRPr="00715A5F">
        <w:t>Section 8 prescribes</w:t>
      </w:r>
      <w:r w:rsidR="003069A3" w:rsidRPr="00715A5F">
        <w:t xml:space="preserve"> </w:t>
      </w:r>
      <w:r w:rsidRPr="00715A5F">
        <w:t>matters</w:t>
      </w:r>
      <w:r w:rsidR="00AA725C">
        <w:t xml:space="preserve"> </w:t>
      </w:r>
      <w:r w:rsidR="00C80FFF">
        <w:t>under subsection 5(6) of the Act</w:t>
      </w:r>
      <w:r w:rsidR="00C80FFF" w:rsidRPr="00715A5F">
        <w:t xml:space="preserve"> </w:t>
      </w:r>
      <w:r w:rsidRPr="00715A5F">
        <w:t xml:space="preserve">to which the Minister must or may have regard in determining whether a particular matter is contrary to the national interest. </w:t>
      </w:r>
      <w:r w:rsidR="002B054E">
        <w:t>This</w:t>
      </w:r>
      <w:r w:rsidR="000149DB">
        <w:t xml:space="preserve"> informs the public interest test </w:t>
      </w:r>
      <w:r w:rsidR="00C5703C">
        <w:t>for the purposes of</w:t>
      </w:r>
      <w:r w:rsidR="000149DB">
        <w:t xml:space="preserve"> subparagraphs 5(4)(d)(</w:t>
      </w:r>
      <w:proofErr w:type="spellStart"/>
      <w:r w:rsidR="000149DB">
        <w:t>i</w:t>
      </w:r>
      <w:proofErr w:type="spellEnd"/>
      <w:r w:rsidR="000149DB">
        <w:t>) and (ii) of the Act</w:t>
      </w:r>
      <w:r w:rsidR="00AD05F5">
        <w:t>.</w:t>
      </w:r>
    </w:p>
    <w:p w14:paraId="2F147997" w14:textId="286F4EFA" w:rsidR="00715A5F" w:rsidRPr="00715A5F" w:rsidRDefault="005F69AE" w:rsidP="00715A5F">
      <w:pPr>
        <w:spacing w:before="240"/>
      </w:pPr>
      <w:r>
        <w:t>Section 8</w:t>
      </w:r>
      <w:r w:rsidR="00715A5F" w:rsidRPr="00715A5F">
        <w:t xml:space="preserve"> remakes section 6 of the DMP.</w:t>
      </w:r>
    </w:p>
    <w:p w14:paraId="54940311" w14:textId="3734FD94" w:rsidR="008328B4" w:rsidRDefault="008328B4" w:rsidP="008328B4">
      <w:pPr>
        <w:spacing w:before="240"/>
        <w:rPr>
          <w:u w:val="single"/>
        </w:rPr>
      </w:pPr>
      <w:r>
        <w:rPr>
          <w:u w:val="single"/>
        </w:rPr>
        <w:br/>
      </w:r>
    </w:p>
    <w:p w14:paraId="68343DD5" w14:textId="77777777" w:rsidR="008328B4" w:rsidRDefault="008328B4" w:rsidP="008328B4">
      <w:pPr>
        <w:spacing w:before="240"/>
        <w:rPr>
          <w:u w:val="single"/>
        </w:rPr>
      </w:pPr>
    </w:p>
    <w:p w14:paraId="12AB66D0" w14:textId="77777777" w:rsidR="008328B4" w:rsidRDefault="008328B4" w:rsidP="008328B4">
      <w:pPr>
        <w:spacing w:before="240"/>
        <w:rPr>
          <w:u w:val="single"/>
        </w:rPr>
      </w:pPr>
    </w:p>
    <w:p w14:paraId="25044F6A" w14:textId="77777777" w:rsidR="008328B4" w:rsidRDefault="008328B4" w:rsidP="008328B4">
      <w:pPr>
        <w:spacing w:before="240"/>
        <w:rPr>
          <w:u w:val="single"/>
        </w:rPr>
      </w:pPr>
    </w:p>
    <w:p w14:paraId="37313DDE" w14:textId="77777777" w:rsidR="008328B4" w:rsidRPr="003C5719" w:rsidRDefault="008328B4" w:rsidP="00914AB3">
      <w:pPr>
        <w:spacing w:before="240"/>
        <w:rPr>
          <w:u w:val="single"/>
        </w:rPr>
      </w:pPr>
    </w:p>
    <w:p w14:paraId="468F26A2" w14:textId="77777777" w:rsidR="00862005" w:rsidRPr="003C5719" w:rsidRDefault="00862005" w:rsidP="00D53EE2">
      <w:pPr>
        <w:spacing w:before="240"/>
      </w:pPr>
    </w:p>
    <w:p w14:paraId="597770F7" w14:textId="77777777" w:rsidR="007E61FB" w:rsidRDefault="007E61FB">
      <w:pPr>
        <w:spacing w:before="0" w:after="0"/>
        <w:rPr>
          <w:b/>
          <w:bCs/>
          <w:szCs w:val="24"/>
          <w:u w:val="single"/>
        </w:rPr>
      </w:pPr>
      <w:r>
        <w:rPr>
          <w:b/>
          <w:bCs/>
          <w:szCs w:val="24"/>
          <w:u w:val="single"/>
        </w:rPr>
        <w:br w:type="page"/>
      </w:r>
    </w:p>
    <w:p w14:paraId="2FA285A5" w14:textId="39D4818F" w:rsidR="00FE5195" w:rsidRPr="00FE5195" w:rsidRDefault="00FE5195" w:rsidP="007E61FB">
      <w:pPr>
        <w:spacing w:before="240"/>
        <w:jc w:val="right"/>
        <w:rPr>
          <w:szCs w:val="24"/>
        </w:rPr>
      </w:pPr>
      <w:r w:rsidRPr="00FE5195">
        <w:rPr>
          <w:b/>
          <w:bCs/>
          <w:szCs w:val="24"/>
          <w:u w:val="single"/>
        </w:rPr>
        <w:lastRenderedPageBreak/>
        <w:t xml:space="preserve">ATTACHMENT </w:t>
      </w:r>
      <w:r w:rsidR="00935457">
        <w:rPr>
          <w:b/>
          <w:bCs/>
          <w:szCs w:val="24"/>
          <w:u w:val="single"/>
        </w:rPr>
        <w:t>B</w:t>
      </w:r>
      <w:r w:rsidRPr="00FE5195">
        <w:rPr>
          <w:szCs w:val="24"/>
        </w:rPr>
        <w:t> </w:t>
      </w:r>
    </w:p>
    <w:p w14:paraId="08EDE42F" w14:textId="77777777" w:rsidR="00FE5195" w:rsidRPr="00FE5195" w:rsidRDefault="00FE5195" w:rsidP="00634E33">
      <w:pPr>
        <w:pStyle w:val="Heading3"/>
      </w:pPr>
      <w:r w:rsidRPr="00FE5195">
        <w:t>Statement of Compatibility with Human Rights </w:t>
      </w:r>
    </w:p>
    <w:p w14:paraId="29579F5D" w14:textId="3D4C6FC2" w:rsidR="00FE5195" w:rsidRPr="00FE5195" w:rsidRDefault="00FE5195" w:rsidP="00634E33">
      <w:pPr>
        <w:spacing w:before="240"/>
        <w:jc w:val="center"/>
        <w:rPr>
          <w:szCs w:val="24"/>
        </w:rPr>
      </w:pPr>
      <w:r w:rsidRPr="00FE5195">
        <w:rPr>
          <w:i/>
          <w:iCs/>
          <w:szCs w:val="24"/>
        </w:rPr>
        <w:t>Prepared in accordance with Part 3 of the Human Rights (Parliamentary Scrutiny) Act 2011</w:t>
      </w:r>
    </w:p>
    <w:p w14:paraId="218986C8" w14:textId="30BB94F0" w:rsidR="00FE5195" w:rsidRPr="00FE5195" w:rsidRDefault="00FE5195" w:rsidP="00634E33">
      <w:pPr>
        <w:pStyle w:val="Heading3"/>
        <w:rPr>
          <w:bCs/>
        </w:rPr>
      </w:pPr>
      <w:r w:rsidRPr="00FE5195">
        <w:t>Insurance Acquisitions and Takeovers (Public Interest) Determination 202</w:t>
      </w:r>
      <w:r w:rsidR="00EB27CC">
        <w:t>4</w:t>
      </w:r>
      <w:r w:rsidRPr="00FE5195">
        <w:rPr>
          <w:bCs/>
        </w:rPr>
        <w:t> </w:t>
      </w:r>
    </w:p>
    <w:p w14:paraId="340471E3" w14:textId="77777777" w:rsidR="00FE5195" w:rsidRPr="00FE5195" w:rsidRDefault="00FE5195" w:rsidP="00FE5195">
      <w:pPr>
        <w:spacing w:before="240"/>
        <w:rPr>
          <w:szCs w:val="24"/>
        </w:rPr>
      </w:pPr>
      <w:r w:rsidRPr="00FE5195">
        <w:rPr>
          <w:szCs w:val="24"/>
        </w:rPr>
        <w:t xml:space="preserve">This Legislative Instrument is compatible with the human rights and freedoms recognised or declared in the international instruments listed in section 3 of the </w:t>
      </w:r>
      <w:r w:rsidRPr="00FE5195">
        <w:rPr>
          <w:i/>
          <w:iCs/>
          <w:szCs w:val="24"/>
        </w:rPr>
        <w:t xml:space="preserve">Human Rights (Parliamentary Scrutiny) Act 2011 </w:t>
      </w:r>
      <w:r w:rsidRPr="00FE5195">
        <w:rPr>
          <w:szCs w:val="24"/>
        </w:rPr>
        <w:t>(HRPS Act). </w:t>
      </w:r>
    </w:p>
    <w:p w14:paraId="2991D307" w14:textId="77777777" w:rsidR="00FE5195" w:rsidRPr="00FE5195" w:rsidRDefault="00FE5195" w:rsidP="00634E33">
      <w:pPr>
        <w:pStyle w:val="Heading3"/>
      </w:pPr>
      <w:r w:rsidRPr="00FE5195">
        <w:t>Overview of the Legislative Instrument </w:t>
      </w:r>
    </w:p>
    <w:p w14:paraId="5A598AE8" w14:textId="1D68C9A2" w:rsidR="00FE5195" w:rsidRPr="00FE5195" w:rsidRDefault="00FE5195" w:rsidP="00FE5195">
      <w:pPr>
        <w:spacing w:before="240"/>
        <w:rPr>
          <w:szCs w:val="24"/>
        </w:rPr>
      </w:pPr>
      <w:r w:rsidRPr="00FE5195">
        <w:rPr>
          <w:szCs w:val="24"/>
        </w:rPr>
        <w:t xml:space="preserve">The purpose of the </w:t>
      </w:r>
      <w:r w:rsidRPr="00FE5195">
        <w:rPr>
          <w:i/>
          <w:iCs/>
          <w:szCs w:val="24"/>
        </w:rPr>
        <w:t>Insurance Acquisitions and Takeovers (Public Interest) Determination 202</w:t>
      </w:r>
      <w:r w:rsidR="00EB27CC">
        <w:rPr>
          <w:i/>
          <w:iCs/>
          <w:szCs w:val="24"/>
        </w:rPr>
        <w:t>4</w:t>
      </w:r>
      <w:r w:rsidRPr="00FE5195">
        <w:rPr>
          <w:i/>
          <w:iCs/>
          <w:szCs w:val="24"/>
        </w:rPr>
        <w:t xml:space="preserve"> </w:t>
      </w:r>
      <w:r w:rsidRPr="00FE5195">
        <w:rPr>
          <w:szCs w:val="24"/>
        </w:rPr>
        <w:t xml:space="preserve">(the Determination) is to remake the </w:t>
      </w:r>
      <w:r w:rsidRPr="00FE5195">
        <w:rPr>
          <w:i/>
          <w:iCs/>
          <w:szCs w:val="24"/>
        </w:rPr>
        <w:t xml:space="preserve">Decision-Making Principles IDM 1/1992 </w:t>
      </w:r>
      <w:r w:rsidR="000D49FF">
        <w:rPr>
          <w:szCs w:val="24"/>
        </w:rPr>
        <w:t xml:space="preserve">(the DMP) </w:t>
      </w:r>
      <w:r w:rsidRPr="00FE5195">
        <w:rPr>
          <w:szCs w:val="24"/>
        </w:rPr>
        <w:t xml:space="preserve">before </w:t>
      </w:r>
      <w:proofErr w:type="gramStart"/>
      <w:r w:rsidRPr="00FE5195">
        <w:rPr>
          <w:szCs w:val="24"/>
        </w:rPr>
        <w:t>it</w:t>
      </w:r>
      <w:proofErr w:type="gramEnd"/>
      <w:r w:rsidRPr="00FE5195">
        <w:rPr>
          <w:szCs w:val="24"/>
        </w:rPr>
        <w:t xml:space="preserve"> sunsets on 1 October 202</w:t>
      </w:r>
      <w:r w:rsidR="002020C4">
        <w:rPr>
          <w:szCs w:val="24"/>
        </w:rPr>
        <w:t>4</w:t>
      </w:r>
      <w:r w:rsidR="00792EA0">
        <w:rPr>
          <w:szCs w:val="24"/>
        </w:rPr>
        <w:t xml:space="preserve">. </w:t>
      </w:r>
      <w:r w:rsidR="000D49FF" w:rsidRPr="00D80F7E">
        <w:t xml:space="preserve">The Determination remakes the DMP under new enabling provisions in the </w:t>
      </w:r>
      <w:r w:rsidR="00D52551" w:rsidRPr="00FE5195">
        <w:rPr>
          <w:i/>
          <w:iCs/>
          <w:szCs w:val="24"/>
        </w:rPr>
        <w:t xml:space="preserve">Insurance Acquisitions and Takeovers Act 1991 </w:t>
      </w:r>
      <w:r w:rsidR="00D52551" w:rsidRPr="006D43C9">
        <w:rPr>
          <w:szCs w:val="24"/>
        </w:rPr>
        <w:t xml:space="preserve">(the </w:t>
      </w:r>
      <w:r w:rsidR="000D49FF" w:rsidRPr="00D52551">
        <w:t>Act</w:t>
      </w:r>
      <w:r w:rsidR="00D52551">
        <w:t>)</w:t>
      </w:r>
      <w:r w:rsidR="00634E33">
        <w:t>,</w:t>
      </w:r>
      <w:r w:rsidR="000D49FF" w:rsidRPr="00D80F7E">
        <w:t xml:space="preserve"> </w:t>
      </w:r>
      <w:r w:rsidR="00E542C1">
        <w:t xml:space="preserve">with updates </w:t>
      </w:r>
      <w:r w:rsidR="00942436">
        <w:t xml:space="preserve">to </w:t>
      </w:r>
      <w:r w:rsidR="00E542C1">
        <w:t xml:space="preserve">ensure it </w:t>
      </w:r>
      <w:r w:rsidR="00634E33" w:rsidRPr="00D80F7E">
        <w:rPr>
          <w:color w:val="000000"/>
          <w:szCs w:val="24"/>
          <w:shd w:val="clear" w:color="auto" w:fill="FFFFFF"/>
        </w:rPr>
        <w:t>align</w:t>
      </w:r>
      <w:r w:rsidR="00634E33">
        <w:rPr>
          <w:color w:val="000000"/>
          <w:szCs w:val="24"/>
          <w:shd w:val="clear" w:color="auto" w:fill="FFFFFF"/>
        </w:rPr>
        <w:t>s</w:t>
      </w:r>
      <w:r w:rsidR="00634E33" w:rsidRPr="00D80F7E">
        <w:rPr>
          <w:color w:val="000000"/>
          <w:szCs w:val="24"/>
          <w:shd w:val="clear" w:color="auto" w:fill="FFFFFF"/>
        </w:rPr>
        <w:t xml:space="preserve"> with modern drafting practices</w:t>
      </w:r>
      <w:r w:rsidR="00634E33">
        <w:t xml:space="preserve"> and </w:t>
      </w:r>
      <w:r w:rsidR="00E542C1">
        <w:t>is in a form that is fit for purpose</w:t>
      </w:r>
      <w:r w:rsidR="00634E33">
        <w:t>.</w:t>
      </w:r>
    </w:p>
    <w:p w14:paraId="3832DE8B" w14:textId="77777777" w:rsidR="00FE5195" w:rsidRPr="00FE5195" w:rsidRDefault="00FE5195" w:rsidP="00634E33">
      <w:pPr>
        <w:pStyle w:val="Heading3"/>
      </w:pPr>
      <w:r w:rsidRPr="00FE5195">
        <w:t>Human rights implications </w:t>
      </w:r>
    </w:p>
    <w:p w14:paraId="1290426E" w14:textId="77777777" w:rsidR="00FE5195" w:rsidRPr="00FE5195" w:rsidRDefault="00FE5195" w:rsidP="00FE5195">
      <w:pPr>
        <w:spacing w:before="240"/>
        <w:rPr>
          <w:szCs w:val="24"/>
        </w:rPr>
      </w:pPr>
      <w:r w:rsidRPr="00FE5195">
        <w:rPr>
          <w:szCs w:val="24"/>
        </w:rPr>
        <w:t>Treasury has assessed the instrument against the international instruments listed in section 3 of the HRPS Act and determined that it may engage the following human rights: </w:t>
      </w:r>
    </w:p>
    <w:p w14:paraId="435137D3" w14:textId="77777777" w:rsidR="00FE5195" w:rsidRPr="00FE5195" w:rsidRDefault="00FE5195" w:rsidP="00FE5195">
      <w:pPr>
        <w:numPr>
          <w:ilvl w:val="0"/>
          <w:numId w:val="24"/>
        </w:numPr>
        <w:spacing w:before="240"/>
      </w:pPr>
      <w:r w:rsidRPr="00FE5195">
        <w:rPr>
          <w:szCs w:val="24"/>
        </w:rPr>
        <w:t>the right to protection from arbitrary or unlawful interference with privacy in Article 17 of the International Covenant on Civil and Political Rights (ICCPR</w:t>
      </w:r>
      <w:proofErr w:type="gramStart"/>
      <w:r w:rsidRPr="00FE5195">
        <w:rPr>
          <w:szCs w:val="24"/>
        </w:rPr>
        <w:t>);</w:t>
      </w:r>
      <w:proofErr w:type="gramEnd"/>
      <w:r w:rsidRPr="00FE5195">
        <w:rPr>
          <w:szCs w:val="24"/>
        </w:rPr>
        <w:t>  </w:t>
      </w:r>
    </w:p>
    <w:p w14:paraId="1DD76688" w14:textId="77777777" w:rsidR="00FE5195" w:rsidRPr="00FE5195" w:rsidRDefault="00FE5195" w:rsidP="00FE5195">
      <w:pPr>
        <w:numPr>
          <w:ilvl w:val="0"/>
          <w:numId w:val="25"/>
        </w:numPr>
        <w:spacing w:before="240"/>
        <w:rPr>
          <w:szCs w:val="24"/>
        </w:rPr>
      </w:pPr>
      <w:r w:rsidRPr="00FE5195">
        <w:rPr>
          <w:szCs w:val="24"/>
        </w:rPr>
        <w:t>the right to work under Article 6 of the International Covenant on Economic, Social and Cultural Rights (ICESCR). </w:t>
      </w:r>
    </w:p>
    <w:p w14:paraId="6B8530D1" w14:textId="77777777" w:rsidR="00FE5195" w:rsidRPr="00FE5195" w:rsidRDefault="00FE5195" w:rsidP="00FE5195">
      <w:pPr>
        <w:spacing w:before="240"/>
        <w:rPr>
          <w:szCs w:val="24"/>
        </w:rPr>
      </w:pPr>
      <w:r w:rsidRPr="00FE5195">
        <w:rPr>
          <w:i/>
          <w:iCs/>
          <w:szCs w:val="24"/>
        </w:rPr>
        <w:t>The right to protection from arbitrary or unlawful interference with privacy</w:t>
      </w:r>
      <w:r w:rsidRPr="00FE5195">
        <w:rPr>
          <w:szCs w:val="24"/>
        </w:rPr>
        <w:t> </w:t>
      </w:r>
    </w:p>
    <w:p w14:paraId="6FAEB1B7" w14:textId="77777777" w:rsidR="00FE5195" w:rsidRPr="00FE5195" w:rsidRDefault="00FE5195" w:rsidP="00FE5195">
      <w:pPr>
        <w:spacing w:before="240"/>
        <w:rPr>
          <w:szCs w:val="24"/>
        </w:rPr>
      </w:pPr>
      <w:r w:rsidRPr="00FE5195">
        <w:rPr>
          <w:szCs w:val="24"/>
        </w:rPr>
        <w:t xml:space="preserve">The right to protection from unlawful or arbitrary interference with privacy under Article 17 of the ICCPR may be subject to permissible limitations, where these limitations are authorised by law and are not arbitrary. </w:t>
      </w:r>
      <w:proofErr w:type="gramStart"/>
      <w:r w:rsidRPr="00FE5195">
        <w:rPr>
          <w:szCs w:val="24"/>
        </w:rPr>
        <w:t>In order for</w:t>
      </w:r>
      <w:proofErr w:type="gramEnd"/>
      <w:r w:rsidRPr="00FE5195">
        <w:rPr>
          <w:szCs w:val="24"/>
        </w:rPr>
        <w:t xml:space="preserve"> an interference with the right to privacy to be permissible, the interference must be authorised by law, be for a reason consistent with the ICCPR and be reasonable in the particular circumstances. The UN Human Rights Committee has interpreted the requirement of ‘reasonableness’ to imply that any interference with privacy must be proportional to the end sought and be necessary in the circumstances of any given case.  </w:t>
      </w:r>
    </w:p>
    <w:p w14:paraId="1BE4B9FC" w14:textId="276BDFD6" w:rsidR="00FE5195" w:rsidRPr="00FE5195" w:rsidRDefault="00FE5195" w:rsidP="00FE5195">
      <w:pPr>
        <w:spacing w:before="240"/>
        <w:rPr>
          <w:szCs w:val="24"/>
        </w:rPr>
      </w:pPr>
      <w:r w:rsidRPr="00FE5195">
        <w:rPr>
          <w:szCs w:val="24"/>
        </w:rPr>
        <w:t>The Act</w:t>
      </w:r>
      <w:r w:rsidRPr="00FE5195">
        <w:rPr>
          <w:i/>
          <w:iCs/>
          <w:szCs w:val="24"/>
        </w:rPr>
        <w:t xml:space="preserve"> </w:t>
      </w:r>
      <w:r w:rsidRPr="00FE5195">
        <w:rPr>
          <w:szCs w:val="24"/>
        </w:rPr>
        <w:t>establishes a framework for the control and compulsory notification of certain acquisitions and agreements relating to Australian-registered insurance companies. The Minister has various decision-making powers for these purposes. </w:t>
      </w:r>
    </w:p>
    <w:p w14:paraId="30BFBFCE" w14:textId="77777777" w:rsidR="00FE5195" w:rsidRPr="00FE5195" w:rsidRDefault="00FE5195" w:rsidP="00FE5195">
      <w:pPr>
        <w:spacing w:before="240"/>
        <w:rPr>
          <w:szCs w:val="24"/>
        </w:rPr>
      </w:pPr>
      <w:r w:rsidRPr="00FE5195">
        <w:rPr>
          <w:szCs w:val="24"/>
        </w:rPr>
        <w:t> </w:t>
      </w:r>
    </w:p>
    <w:p w14:paraId="472E11B6" w14:textId="77777777" w:rsidR="00FE5195" w:rsidRPr="00FE5195" w:rsidRDefault="00FE5195" w:rsidP="00FE5195">
      <w:pPr>
        <w:spacing w:before="240"/>
        <w:rPr>
          <w:szCs w:val="24"/>
        </w:rPr>
      </w:pPr>
      <w:r w:rsidRPr="00FE5195">
        <w:rPr>
          <w:szCs w:val="24"/>
        </w:rPr>
        <w:lastRenderedPageBreak/>
        <w:t>Section 73 of the Act provides that, if the Minister has reason to believe that a person is capable of giving information or producing documents about matters that are relevant to the exercise by the Minister of his or her powers under the Act, the Minister may, by notice in writing served on that person, require that person to give or produce such information within the time and in the manner specified in the notice. </w:t>
      </w:r>
    </w:p>
    <w:p w14:paraId="4D6A3EB8" w14:textId="095C81FE" w:rsidR="00FE5195" w:rsidRPr="00FE5195" w:rsidRDefault="00FE5195" w:rsidP="00FE5195">
      <w:pPr>
        <w:spacing w:before="240"/>
        <w:rPr>
          <w:szCs w:val="24"/>
        </w:rPr>
      </w:pPr>
      <w:r w:rsidRPr="00FE5195">
        <w:rPr>
          <w:szCs w:val="24"/>
        </w:rPr>
        <w:t>The Determination</w:t>
      </w:r>
      <w:r w:rsidR="00CF1969">
        <w:rPr>
          <w:szCs w:val="24"/>
        </w:rPr>
        <w:t xml:space="preserve">, made under </w:t>
      </w:r>
      <w:r w:rsidR="007E302A">
        <w:rPr>
          <w:szCs w:val="24"/>
        </w:rPr>
        <w:t xml:space="preserve">enabling provisions </w:t>
      </w:r>
      <w:r w:rsidR="00E40D54">
        <w:rPr>
          <w:szCs w:val="24"/>
        </w:rPr>
        <w:t xml:space="preserve">in </w:t>
      </w:r>
      <w:r w:rsidR="00CF1969" w:rsidRPr="006875EE">
        <w:t xml:space="preserve">subsection 5(2) </w:t>
      </w:r>
      <w:r w:rsidR="00CF1969">
        <w:t xml:space="preserve">and </w:t>
      </w:r>
      <w:r w:rsidR="00634E33">
        <w:t>5(6) of the Act</w:t>
      </w:r>
      <w:r w:rsidR="00CF1969">
        <w:t>,</w:t>
      </w:r>
      <w:r w:rsidRPr="00FE5195">
        <w:rPr>
          <w:szCs w:val="24"/>
        </w:rPr>
        <w:t xml:space="preserve"> provides the matters to which the Minister must </w:t>
      </w:r>
      <w:r w:rsidR="007F4177">
        <w:rPr>
          <w:szCs w:val="24"/>
        </w:rPr>
        <w:t xml:space="preserve">or may </w:t>
      </w:r>
      <w:r w:rsidRPr="00FE5195">
        <w:rPr>
          <w:szCs w:val="24"/>
        </w:rPr>
        <w:t xml:space="preserve">have regard in determining whether a particular matter is contrary to the public interest under </w:t>
      </w:r>
      <w:r w:rsidR="00E74DA1">
        <w:rPr>
          <w:szCs w:val="24"/>
        </w:rPr>
        <w:t>sub</w:t>
      </w:r>
      <w:r w:rsidRPr="00FE5195">
        <w:rPr>
          <w:szCs w:val="24"/>
        </w:rPr>
        <w:t>section 5</w:t>
      </w:r>
      <w:r w:rsidR="00280C05">
        <w:rPr>
          <w:szCs w:val="24"/>
        </w:rPr>
        <w:t>(1)</w:t>
      </w:r>
      <w:r w:rsidRPr="00FE5195">
        <w:rPr>
          <w:szCs w:val="24"/>
        </w:rPr>
        <w:t xml:space="preserve"> of the Act. For example, </w:t>
      </w:r>
      <w:r w:rsidR="00C647AC">
        <w:rPr>
          <w:szCs w:val="24"/>
        </w:rPr>
        <w:t>sub</w:t>
      </w:r>
      <w:r w:rsidR="00BB0881">
        <w:rPr>
          <w:szCs w:val="24"/>
        </w:rPr>
        <w:t xml:space="preserve">paragraph </w:t>
      </w:r>
      <w:r w:rsidR="00AB2488">
        <w:rPr>
          <w:szCs w:val="24"/>
        </w:rPr>
        <w:t>5</w:t>
      </w:r>
      <w:r w:rsidR="00784F30">
        <w:rPr>
          <w:szCs w:val="24"/>
        </w:rPr>
        <w:t>(1)</w:t>
      </w:r>
      <w:r w:rsidR="00AB2488">
        <w:rPr>
          <w:szCs w:val="24"/>
        </w:rPr>
        <w:t>(a)(</w:t>
      </w:r>
      <w:proofErr w:type="spellStart"/>
      <w:r w:rsidR="00AB2488">
        <w:rPr>
          <w:szCs w:val="24"/>
        </w:rPr>
        <w:t>i</w:t>
      </w:r>
      <w:proofErr w:type="spellEnd"/>
      <w:r w:rsidR="00AB2488">
        <w:rPr>
          <w:szCs w:val="24"/>
        </w:rPr>
        <w:t>)</w:t>
      </w:r>
      <w:r w:rsidRPr="00FE5195">
        <w:rPr>
          <w:szCs w:val="24"/>
        </w:rPr>
        <w:t xml:space="preserve"> of the Determination provides that the Minister, in determining whether a particular matter is likely to result in a person who is not a fit and proper person to be in a position of influence over the Australian-registered insurance company</w:t>
      </w:r>
      <w:r w:rsidR="00E4479F">
        <w:rPr>
          <w:szCs w:val="24"/>
        </w:rPr>
        <w:t xml:space="preserve"> being in such a position of influence</w:t>
      </w:r>
      <w:r w:rsidRPr="00FE5195">
        <w:rPr>
          <w:szCs w:val="24"/>
        </w:rPr>
        <w:t>, must have regard to the honesty, integrity and reputation of the person</w:t>
      </w:r>
      <w:r w:rsidR="00AB2488">
        <w:rPr>
          <w:szCs w:val="24"/>
        </w:rPr>
        <w:t>.</w:t>
      </w:r>
    </w:p>
    <w:p w14:paraId="7FF4FD3E" w14:textId="76CE977F" w:rsidR="00FE5195" w:rsidRPr="00FE5195" w:rsidRDefault="00FE5195" w:rsidP="00FE5195">
      <w:pPr>
        <w:spacing w:before="240"/>
        <w:rPr>
          <w:szCs w:val="24"/>
        </w:rPr>
      </w:pPr>
      <w:r w:rsidRPr="00FE5195">
        <w:rPr>
          <w:szCs w:val="24"/>
        </w:rPr>
        <w:t xml:space="preserve">The Minister may exercise his or her power under </w:t>
      </w:r>
      <w:r w:rsidR="00DA54E4">
        <w:rPr>
          <w:szCs w:val="24"/>
        </w:rPr>
        <w:t>s</w:t>
      </w:r>
      <w:r w:rsidRPr="00FE5195">
        <w:rPr>
          <w:szCs w:val="24"/>
        </w:rPr>
        <w:t>ection 73 of the Act by requiring a person to give or produce information about matters that are relevant to the Minister in determining whether a particular matter is contrary to the public interest under section 5</w:t>
      </w:r>
      <w:r w:rsidR="005605DE">
        <w:rPr>
          <w:szCs w:val="24"/>
        </w:rPr>
        <w:t>(1)</w:t>
      </w:r>
      <w:r w:rsidRPr="00FE5195">
        <w:rPr>
          <w:szCs w:val="24"/>
        </w:rPr>
        <w:t xml:space="preserve"> of the Act. This information ultimately supports the objects of the Act to protect the public interest, by ensuring that the affairs of Australian-registered insurance companies are carried out in a prudential manner and preventing unsuitable persons from being in a position of influence.  </w:t>
      </w:r>
    </w:p>
    <w:p w14:paraId="74A44302" w14:textId="751D71D6" w:rsidR="00FE5195" w:rsidRDefault="00FE5195" w:rsidP="00FE5195">
      <w:pPr>
        <w:spacing w:before="240"/>
        <w:rPr>
          <w:szCs w:val="24"/>
        </w:rPr>
      </w:pPr>
      <w:r w:rsidRPr="00FE5195">
        <w:rPr>
          <w:szCs w:val="24"/>
        </w:rPr>
        <w:t xml:space="preserve">Further, section 75 of the Act provides that section 56 of the </w:t>
      </w:r>
      <w:r w:rsidRPr="00E03FBB">
        <w:rPr>
          <w:i/>
          <w:iCs/>
          <w:szCs w:val="24"/>
        </w:rPr>
        <w:t xml:space="preserve">Australian Prudential Regulation Authority Act </w:t>
      </w:r>
      <w:r w:rsidRPr="00634E33">
        <w:rPr>
          <w:i/>
          <w:iCs/>
          <w:szCs w:val="24"/>
        </w:rPr>
        <w:t>1998</w:t>
      </w:r>
      <w:r w:rsidRPr="00FE5195">
        <w:rPr>
          <w:szCs w:val="24"/>
        </w:rPr>
        <w:t>, which prohibits certain disclosures of information received</w:t>
      </w:r>
      <w:r w:rsidR="00437774">
        <w:rPr>
          <w:szCs w:val="24"/>
        </w:rPr>
        <w:t xml:space="preserve"> by APRA</w:t>
      </w:r>
      <w:r w:rsidRPr="00FE5195">
        <w:rPr>
          <w:szCs w:val="24"/>
        </w:rPr>
        <w:t>, applies to information received under the Act. This is intended to protect the privacy of individuals, consistent with the right to privacy under Article 17, while still ensuring appropriate levels of transparency and accountability in assisting the Minister to exercise his or her powers under the Act.  </w:t>
      </w:r>
    </w:p>
    <w:p w14:paraId="6578CF75" w14:textId="4AF4675A" w:rsidR="00B77DA5" w:rsidRPr="00FE5195" w:rsidRDefault="00B77DA5" w:rsidP="00FE5195">
      <w:pPr>
        <w:spacing w:before="240"/>
        <w:rPr>
          <w:szCs w:val="24"/>
        </w:rPr>
      </w:pPr>
      <w:r>
        <w:rPr>
          <w:szCs w:val="24"/>
        </w:rPr>
        <w:t xml:space="preserve">The Determination’s limitations on the right to privacy are therefore necessary, </w:t>
      </w:r>
      <w:proofErr w:type="gramStart"/>
      <w:r>
        <w:rPr>
          <w:szCs w:val="24"/>
        </w:rPr>
        <w:t>reasonable</w:t>
      </w:r>
      <w:proofErr w:type="gramEnd"/>
      <w:r>
        <w:rPr>
          <w:szCs w:val="24"/>
        </w:rPr>
        <w:t xml:space="preserve"> and proportionate to the legitimate aim of protecting the public interest by ensuring the Minister is able to access the information required to assess any risk, balanced by the safeguard in section 75. </w:t>
      </w:r>
    </w:p>
    <w:p w14:paraId="5CAB9DEF" w14:textId="77777777" w:rsidR="00FE5195" w:rsidRPr="00FE5195" w:rsidRDefault="00FE5195" w:rsidP="00FE5195">
      <w:pPr>
        <w:spacing w:before="240"/>
        <w:rPr>
          <w:szCs w:val="24"/>
        </w:rPr>
      </w:pPr>
      <w:r w:rsidRPr="00FE5195">
        <w:rPr>
          <w:i/>
          <w:iCs/>
          <w:szCs w:val="24"/>
        </w:rPr>
        <w:t xml:space="preserve">The right to </w:t>
      </w:r>
      <w:proofErr w:type="gramStart"/>
      <w:r w:rsidRPr="00FE5195">
        <w:rPr>
          <w:i/>
          <w:iCs/>
          <w:szCs w:val="24"/>
        </w:rPr>
        <w:t>work</w:t>
      </w:r>
      <w:proofErr w:type="gramEnd"/>
      <w:r w:rsidRPr="00FE5195">
        <w:rPr>
          <w:szCs w:val="24"/>
        </w:rPr>
        <w:t> </w:t>
      </w:r>
    </w:p>
    <w:p w14:paraId="3ED6BD8E" w14:textId="77777777" w:rsidR="00FE5195" w:rsidRPr="00FE5195" w:rsidRDefault="00FE5195" w:rsidP="00FE5195">
      <w:pPr>
        <w:spacing w:before="240"/>
        <w:rPr>
          <w:szCs w:val="24"/>
        </w:rPr>
      </w:pPr>
      <w:r w:rsidRPr="00FE5195">
        <w:rPr>
          <w:szCs w:val="24"/>
        </w:rPr>
        <w:t>The right to work provides that everyone must be able to freely accept or choose their work and includes a right not to be unfairly deprived of work. The right to work also requires that state parties provide a system of protection guaranteeing access to employment. This right must be made available in a non-discriminatory manner pursuant to Article 2(1) of the ICESCR. </w:t>
      </w:r>
    </w:p>
    <w:p w14:paraId="20250AA0" w14:textId="5F0BACB8" w:rsidR="0019276A" w:rsidRDefault="00FE5195" w:rsidP="00FE5195">
      <w:pPr>
        <w:spacing w:before="240"/>
        <w:rPr>
          <w:szCs w:val="24"/>
        </w:rPr>
      </w:pPr>
      <w:r w:rsidRPr="00FE5195">
        <w:rPr>
          <w:szCs w:val="24"/>
        </w:rPr>
        <w:t xml:space="preserve">Section </w:t>
      </w:r>
      <w:r w:rsidR="00AE5705">
        <w:rPr>
          <w:szCs w:val="24"/>
        </w:rPr>
        <w:t>5</w:t>
      </w:r>
      <w:r w:rsidRPr="00FE5195">
        <w:rPr>
          <w:szCs w:val="24"/>
        </w:rPr>
        <w:t xml:space="preserve"> of the Determination </w:t>
      </w:r>
      <w:r w:rsidR="008C5ED4">
        <w:rPr>
          <w:szCs w:val="24"/>
        </w:rPr>
        <w:t>requires</w:t>
      </w:r>
      <w:r w:rsidRPr="00FE5195">
        <w:rPr>
          <w:szCs w:val="24"/>
        </w:rPr>
        <w:t xml:space="preserve"> the Minister</w:t>
      </w:r>
      <w:r w:rsidR="008C5ED4">
        <w:t xml:space="preserve"> </w:t>
      </w:r>
      <w:r w:rsidR="002E1845" w:rsidRPr="002E1845">
        <w:rPr>
          <w:szCs w:val="24"/>
        </w:rPr>
        <w:t xml:space="preserve">have regard to </w:t>
      </w:r>
      <w:r w:rsidR="008C7365">
        <w:rPr>
          <w:szCs w:val="24"/>
        </w:rPr>
        <w:t>prescribed</w:t>
      </w:r>
      <w:r w:rsidR="002E1845">
        <w:rPr>
          <w:szCs w:val="24"/>
        </w:rPr>
        <w:t xml:space="preserve"> matters</w:t>
      </w:r>
      <w:r w:rsidRPr="00FE5195">
        <w:rPr>
          <w:szCs w:val="24"/>
        </w:rPr>
        <w:t xml:space="preserve"> in determining whether a particular matter is likely to result in a person who is not a fit and proper person to be in a position of influence over the Australian-registered insurance company</w:t>
      </w:r>
      <w:r w:rsidR="00E4479F">
        <w:rPr>
          <w:szCs w:val="24"/>
        </w:rPr>
        <w:t xml:space="preserve"> being in such a position of influence</w:t>
      </w:r>
      <w:r w:rsidRPr="00FE5195">
        <w:rPr>
          <w:szCs w:val="24"/>
        </w:rPr>
        <w:t xml:space="preserve">. </w:t>
      </w:r>
      <w:r w:rsidR="00DD21F1">
        <w:rPr>
          <w:szCs w:val="24"/>
        </w:rPr>
        <w:t>Requiring</w:t>
      </w:r>
      <w:r w:rsidR="0026066C" w:rsidRPr="0026066C">
        <w:rPr>
          <w:szCs w:val="24"/>
        </w:rPr>
        <w:t xml:space="preserve"> the Minister to </w:t>
      </w:r>
      <w:r w:rsidR="00DD21F1">
        <w:rPr>
          <w:szCs w:val="24"/>
        </w:rPr>
        <w:t xml:space="preserve">have regard to these </w:t>
      </w:r>
      <w:r w:rsidR="0026066C" w:rsidRPr="0026066C">
        <w:rPr>
          <w:szCs w:val="24"/>
        </w:rPr>
        <w:t>matters when considerin</w:t>
      </w:r>
      <w:r w:rsidR="00655022">
        <w:rPr>
          <w:szCs w:val="24"/>
        </w:rPr>
        <w:t>g whether a person is a fit and proper</w:t>
      </w:r>
      <w:r w:rsidR="0026066C" w:rsidRPr="0026066C">
        <w:rPr>
          <w:szCs w:val="24"/>
        </w:rPr>
        <w:t xml:space="preserve"> person</w:t>
      </w:r>
      <w:r w:rsidR="006F49FA" w:rsidRPr="006F49FA">
        <w:rPr>
          <w:szCs w:val="24"/>
        </w:rPr>
        <w:t xml:space="preserve"> </w:t>
      </w:r>
      <w:r w:rsidR="006F49FA" w:rsidRPr="0026066C">
        <w:rPr>
          <w:szCs w:val="24"/>
        </w:rPr>
        <w:t xml:space="preserve">is </w:t>
      </w:r>
      <w:r w:rsidR="006F49FA">
        <w:rPr>
          <w:szCs w:val="24"/>
        </w:rPr>
        <w:t>appropriate</w:t>
      </w:r>
      <w:r w:rsidR="004A46E5">
        <w:rPr>
          <w:szCs w:val="24"/>
        </w:rPr>
        <w:t>,</w:t>
      </w:r>
      <w:r w:rsidR="0026066C" w:rsidRPr="0026066C">
        <w:rPr>
          <w:szCs w:val="24"/>
        </w:rPr>
        <w:t xml:space="preserve"> </w:t>
      </w:r>
      <w:r w:rsidR="00A4713B">
        <w:rPr>
          <w:szCs w:val="24"/>
        </w:rPr>
        <w:t xml:space="preserve">because </w:t>
      </w:r>
      <w:r w:rsidR="00ED0491">
        <w:rPr>
          <w:szCs w:val="24"/>
        </w:rPr>
        <w:t xml:space="preserve">each of </w:t>
      </w:r>
      <w:r w:rsidR="00DD21F1">
        <w:rPr>
          <w:szCs w:val="24"/>
        </w:rPr>
        <w:t>these matters</w:t>
      </w:r>
      <w:r w:rsidR="00EA619A">
        <w:rPr>
          <w:szCs w:val="24"/>
        </w:rPr>
        <w:t xml:space="preserve"> </w:t>
      </w:r>
      <w:r w:rsidR="00DD21F1">
        <w:rPr>
          <w:szCs w:val="24"/>
        </w:rPr>
        <w:t xml:space="preserve">will </w:t>
      </w:r>
      <w:r w:rsidR="0046214B">
        <w:rPr>
          <w:szCs w:val="24"/>
        </w:rPr>
        <w:t xml:space="preserve">inform the overall </w:t>
      </w:r>
      <w:r w:rsidR="001350D9">
        <w:rPr>
          <w:szCs w:val="24"/>
        </w:rPr>
        <w:t>assessment of</w:t>
      </w:r>
      <w:r w:rsidR="00655022">
        <w:rPr>
          <w:szCs w:val="24"/>
        </w:rPr>
        <w:t xml:space="preserve"> the person’s </w:t>
      </w:r>
      <w:r w:rsidR="00A95562">
        <w:rPr>
          <w:szCs w:val="24"/>
        </w:rPr>
        <w:t>fitness and propriety</w:t>
      </w:r>
      <w:r w:rsidR="00655022">
        <w:rPr>
          <w:szCs w:val="24"/>
        </w:rPr>
        <w:t>.</w:t>
      </w:r>
      <w:r w:rsidR="004A46E5">
        <w:rPr>
          <w:szCs w:val="24"/>
        </w:rPr>
        <w:t xml:space="preserve"> Additionally, the </w:t>
      </w:r>
      <w:r w:rsidR="00A95562">
        <w:rPr>
          <w:szCs w:val="24"/>
        </w:rPr>
        <w:t>matters</w:t>
      </w:r>
      <w:r w:rsidR="004A46E5">
        <w:rPr>
          <w:szCs w:val="24"/>
        </w:rPr>
        <w:t xml:space="preserve"> in the Determination are updated to provide consistency with other similar provisions within </w:t>
      </w:r>
      <w:r w:rsidR="004A46E5">
        <w:rPr>
          <w:szCs w:val="24"/>
        </w:rPr>
        <w:lastRenderedPageBreak/>
        <w:t xml:space="preserve">the portfolio, including </w:t>
      </w:r>
      <w:r w:rsidR="0019276A">
        <w:rPr>
          <w:szCs w:val="24"/>
        </w:rPr>
        <w:t xml:space="preserve">section 7 of the </w:t>
      </w:r>
      <w:r w:rsidR="0019276A">
        <w:rPr>
          <w:i/>
          <w:iCs/>
          <w:szCs w:val="24"/>
        </w:rPr>
        <w:t>Financial Sector (Shareholdings) Determination No. 1 of 2019.</w:t>
      </w:r>
      <w:r w:rsidR="00655022">
        <w:rPr>
          <w:szCs w:val="24"/>
        </w:rPr>
        <w:t xml:space="preserve"> </w:t>
      </w:r>
    </w:p>
    <w:p w14:paraId="4F32C15C" w14:textId="74131643" w:rsidR="00FE5195" w:rsidRPr="00FE5195" w:rsidRDefault="00FE5195" w:rsidP="00FE5195">
      <w:pPr>
        <w:spacing w:before="240"/>
        <w:rPr>
          <w:szCs w:val="24"/>
        </w:rPr>
      </w:pPr>
      <w:r w:rsidRPr="00FE5195">
        <w:rPr>
          <w:szCs w:val="24"/>
        </w:rPr>
        <w:t xml:space="preserve">The inclusion of a fit and proper test is appropriate as it pursues the </w:t>
      </w:r>
      <w:r w:rsidR="00B77DA5">
        <w:rPr>
          <w:szCs w:val="24"/>
        </w:rPr>
        <w:t>legitimate</w:t>
      </w:r>
      <w:r w:rsidR="00B77DA5" w:rsidRPr="00FE5195">
        <w:rPr>
          <w:szCs w:val="24"/>
        </w:rPr>
        <w:t xml:space="preserve"> </w:t>
      </w:r>
      <w:r w:rsidRPr="00FE5195">
        <w:rPr>
          <w:szCs w:val="24"/>
        </w:rPr>
        <w:t>objective of ensuring that persons who have been approved to be in a position of influence over an Australian-registered insurance company are persons who are trustworthy and have the required integrity for the role. Ensuring that only individuals who meet appropriate ethical standards can be in such a position of influence is necessary to protect the public interest.  </w:t>
      </w:r>
    </w:p>
    <w:p w14:paraId="6930B8EA" w14:textId="77777777" w:rsidR="00FE5195" w:rsidRPr="00FE5195" w:rsidRDefault="00FE5195" w:rsidP="00FE5195">
      <w:pPr>
        <w:spacing w:before="240"/>
        <w:rPr>
          <w:szCs w:val="24"/>
        </w:rPr>
      </w:pPr>
      <w:r w:rsidRPr="00FE5195">
        <w:rPr>
          <w:szCs w:val="24"/>
        </w:rPr>
        <w:t>A position of influence over an Australian-registered insurance market in Australia’s insurance market is not a right. This position is a privilege, granted by the Commonwealth to suitable persons. A person seeking the benefit of such a position in the insurance industry will do so in the knowledge that the existence of certain adverse factors may result in a proposal relating to the acquisition or leasing of assets of Australian-registered insurance companies or the entering into of agreements relating to directors of Australian-registered insurance companies being stopped if the Minister makes such an order. This is appropriate as it remains necessary to ensure that unsuitable persons are prevented from being in a position of influence over Australian-registered insurance companies. </w:t>
      </w:r>
    </w:p>
    <w:p w14:paraId="0D32E8B0" w14:textId="77777777" w:rsidR="00FE5195" w:rsidRPr="00FE5195" w:rsidRDefault="00FE5195" w:rsidP="00634E33">
      <w:pPr>
        <w:pStyle w:val="Heading3"/>
      </w:pPr>
      <w:r w:rsidRPr="00FE5195">
        <w:t>Conclusion </w:t>
      </w:r>
    </w:p>
    <w:p w14:paraId="75156F31" w14:textId="77777777" w:rsidR="00FE5195" w:rsidRPr="00FE5195" w:rsidRDefault="00FE5195" w:rsidP="00FE5195">
      <w:pPr>
        <w:spacing w:before="240"/>
        <w:rPr>
          <w:szCs w:val="24"/>
        </w:rPr>
      </w:pPr>
      <w:r w:rsidRPr="00FE5195">
        <w:rPr>
          <w:szCs w:val="24"/>
        </w:rPr>
        <w:t xml:space="preserve">This Legislative Instrument is compatible with human rights because, to the extent that this determination limits human rights, those limitations are reasonable, </w:t>
      </w:r>
      <w:proofErr w:type="gramStart"/>
      <w:r w:rsidRPr="00FE5195">
        <w:rPr>
          <w:szCs w:val="24"/>
        </w:rPr>
        <w:t>necessary</w:t>
      </w:r>
      <w:proofErr w:type="gramEnd"/>
      <w:r w:rsidRPr="00FE5195">
        <w:rPr>
          <w:szCs w:val="24"/>
        </w:rPr>
        <w:t xml:space="preserve"> and proportionate.  </w:t>
      </w:r>
    </w:p>
    <w:p w14:paraId="5257A109" w14:textId="77777777" w:rsidR="00FE5195" w:rsidRPr="00FE5195" w:rsidRDefault="00FE5195" w:rsidP="00FE5195">
      <w:pPr>
        <w:spacing w:before="240"/>
        <w:rPr>
          <w:szCs w:val="24"/>
        </w:rPr>
      </w:pPr>
      <w:r w:rsidRPr="00FE5195">
        <w:rPr>
          <w:szCs w:val="24"/>
        </w:rPr>
        <w:t> </w:t>
      </w:r>
    </w:p>
    <w:p w14:paraId="06C9C864" w14:textId="77777777" w:rsidR="00FE5195" w:rsidRPr="00FE5195" w:rsidRDefault="00FE5195" w:rsidP="00FE5195">
      <w:pPr>
        <w:spacing w:before="240"/>
        <w:rPr>
          <w:szCs w:val="24"/>
        </w:rPr>
      </w:pPr>
      <w:r w:rsidRPr="00FE5195">
        <w:rPr>
          <w:szCs w:val="24"/>
        </w:rPr>
        <w:t> </w:t>
      </w:r>
    </w:p>
    <w:p w14:paraId="08075B73" w14:textId="1085598E" w:rsidR="00126A1E" w:rsidRPr="00EA4DD8" w:rsidRDefault="00126A1E" w:rsidP="009A05A2"/>
    <w:sectPr w:rsidR="00126A1E" w:rsidRPr="00EA4DD8" w:rsidSect="00392BBA">
      <w:footerReference w:type="default" r:id="rId1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902E2" w14:textId="77777777" w:rsidR="00EA2A4D" w:rsidRDefault="00EA2A4D" w:rsidP="00954679">
      <w:pPr>
        <w:spacing w:before="0" w:after="0"/>
      </w:pPr>
      <w:r>
        <w:separator/>
      </w:r>
    </w:p>
  </w:endnote>
  <w:endnote w:type="continuationSeparator" w:id="0">
    <w:p w14:paraId="41682BC2" w14:textId="77777777" w:rsidR="00EA2A4D" w:rsidRDefault="00EA2A4D" w:rsidP="00954679">
      <w:pPr>
        <w:spacing w:before="0" w:after="0"/>
      </w:pPr>
      <w:r>
        <w:continuationSeparator/>
      </w:r>
    </w:p>
  </w:endnote>
  <w:endnote w:type="continuationNotice" w:id="1">
    <w:p w14:paraId="0A32109C" w14:textId="77777777" w:rsidR="00EA2A4D" w:rsidRDefault="00EA2A4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52BFAAB5"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D48AF" w14:textId="77777777" w:rsidR="00EA2A4D" w:rsidRDefault="00EA2A4D" w:rsidP="00954679">
      <w:pPr>
        <w:spacing w:before="0" w:after="0"/>
      </w:pPr>
      <w:r>
        <w:separator/>
      </w:r>
    </w:p>
  </w:footnote>
  <w:footnote w:type="continuationSeparator" w:id="0">
    <w:p w14:paraId="604E71EC" w14:textId="77777777" w:rsidR="00EA2A4D" w:rsidRDefault="00EA2A4D" w:rsidP="00954679">
      <w:pPr>
        <w:spacing w:before="0" w:after="0"/>
      </w:pPr>
      <w:r>
        <w:continuationSeparator/>
      </w:r>
    </w:p>
  </w:footnote>
  <w:footnote w:type="continuationNotice" w:id="1">
    <w:p w14:paraId="7B2D7D8D" w14:textId="77777777" w:rsidR="00EA2A4D" w:rsidRDefault="00EA2A4D">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03A3C"/>
    <w:multiLevelType w:val="hybridMultilevel"/>
    <w:tmpl w:val="95C07E6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A0D276D"/>
    <w:multiLevelType w:val="hybridMultilevel"/>
    <w:tmpl w:val="FAE02510"/>
    <w:lvl w:ilvl="0" w:tplc="D9BA532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1905DF"/>
    <w:multiLevelType w:val="multilevel"/>
    <w:tmpl w:val="D610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0604866"/>
    <w:multiLevelType w:val="hybridMultilevel"/>
    <w:tmpl w:val="485C618C"/>
    <w:lvl w:ilvl="0" w:tplc="5A82B2B4">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170CA0"/>
    <w:multiLevelType w:val="multilevel"/>
    <w:tmpl w:val="049421C8"/>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7" w15:restartNumberingAfterBreak="0">
    <w:nsid w:val="30626A9D"/>
    <w:multiLevelType w:val="hybridMultilevel"/>
    <w:tmpl w:val="89086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7C0354"/>
    <w:multiLevelType w:val="multilevel"/>
    <w:tmpl w:val="B8B81C9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D7725CB"/>
    <w:multiLevelType w:val="multilevel"/>
    <w:tmpl w:val="98FA4DAA"/>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1B30B9D"/>
    <w:multiLevelType w:val="multilevel"/>
    <w:tmpl w:val="531CA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C66B51"/>
    <w:multiLevelType w:val="multilevel"/>
    <w:tmpl w:val="B3E86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BC7E8D"/>
    <w:multiLevelType w:val="singleLevel"/>
    <w:tmpl w:val="56EE607A"/>
    <w:lvl w:ilvl="0">
      <w:start w:val="1"/>
      <w:numFmt w:val="decimal"/>
      <w:lvlRestart w:val="0"/>
      <w:lvlText w:val="%1."/>
      <w:lvlJc w:val="left"/>
      <w:pPr>
        <w:tabs>
          <w:tab w:val="num" w:pos="1984"/>
        </w:tabs>
        <w:ind w:left="1140" w:firstLine="0"/>
      </w:pPr>
      <w:rPr>
        <w:b w:val="0"/>
        <w:i w:val="0"/>
        <w:color w:val="000000"/>
      </w:rPr>
    </w:lvl>
  </w:abstractNum>
  <w:abstractNum w:abstractNumId="13" w15:restartNumberingAfterBreak="0">
    <w:nsid w:val="67A43C0B"/>
    <w:multiLevelType w:val="multilevel"/>
    <w:tmpl w:val="C8946BB2"/>
    <w:name w:val="StandardBulletedList"/>
    <w:lvl w:ilvl="0">
      <w:start w:val="1"/>
      <w:numFmt w:val="bullet"/>
      <w:pStyle w:val="Bullet"/>
      <w:lvlText w:val="•"/>
      <w:lvlJc w:val="left"/>
      <w:pPr>
        <w:tabs>
          <w:tab w:val="num" w:pos="567"/>
        </w:tabs>
        <w:ind w:left="567" w:hanging="567"/>
      </w:pPr>
      <w:rPr>
        <w:rFonts w:ascii="Times New Roman" w:hAnsi="Times New Roman" w:hint="default"/>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3C77C93"/>
    <w:multiLevelType w:val="multilevel"/>
    <w:tmpl w:val="0E5AFAD4"/>
    <w:lvl w:ilvl="0">
      <w:start w:val="1"/>
      <w:numFmt w:val="bullet"/>
      <w:lvlText w:val="•"/>
      <w:lvlJc w:val="left"/>
      <w:pPr>
        <w:ind w:left="567" w:hanging="567"/>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C4F2685"/>
    <w:multiLevelType w:val="multilevel"/>
    <w:tmpl w:val="D82CD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8469445">
    <w:abstractNumId w:val="14"/>
  </w:num>
  <w:num w:numId="2" w16cid:durableId="2083792393">
    <w:abstractNumId w:val="6"/>
  </w:num>
  <w:num w:numId="3" w16cid:durableId="220797541">
    <w:abstractNumId w:val="13"/>
  </w:num>
  <w:num w:numId="4" w16cid:durableId="1904950628">
    <w:abstractNumId w:val="3"/>
  </w:num>
  <w:num w:numId="5" w16cid:durableId="640234281">
    <w:abstractNumId w:val="7"/>
  </w:num>
  <w:num w:numId="6" w16cid:durableId="1702902184">
    <w:abstractNumId w:val="8"/>
  </w:num>
  <w:num w:numId="7" w16cid:durableId="1552037332">
    <w:abstractNumId w:val="0"/>
  </w:num>
  <w:num w:numId="8" w16cid:durableId="1384251466">
    <w:abstractNumId w:val="5"/>
  </w:num>
  <w:num w:numId="9" w16cid:durableId="1586263071">
    <w:abstractNumId w:val="12"/>
  </w:num>
  <w:num w:numId="10" w16cid:durableId="643586222">
    <w:abstractNumId w:val="9"/>
  </w:num>
  <w:num w:numId="11" w16cid:durableId="999887546">
    <w:abstractNumId w:val="13"/>
  </w:num>
  <w:num w:numId="12" w16cid:durableId="810366141">
    <w:abstractNumId w:val="13"/>
  </w:num>
  <w:num w:numId="13" w16cid:durableId="1126316899">
    <w:abstractNumId w:val="13"/>
  </w:num>
  <w:num w:numId="14" w16cid:durableId="992567836">
    <w:abstractNumId w:val="13"/>
  </w:num>
  <w:num w:numId="15" w16cid:durableId="1079252535">
    <w:abstractNumId w:val="13"/>
  </w:num>
  <w:num w:numId="16" w16cid:durableId="751198832">
    <w:abstractNumId w:val="4"/>
  </w:num>
  <w:num w:numId="17" w16cid:durableId="142619882">
    <w:abstractNumId w:val="13"/>
  </w:num>
  <w:num w:numId="18" w16cid:durableId="1533228978">
    <w:abstractNumId w:val="13"/>
  </w:num>
  <w:num w:numId="19" w16cid:durableId="1693333888">
    <w:abstractNumId w:val="13"/>
  </w:num>
  <w:num w:numId="20" w16cid:durableId="1800486842">
    <w:abstractNumId w:val="13"/>
  </w:num>
  <w:num w:numId="21" w16cid:durableId="1183398745">
    <w:abstractNumId w:val="13"/>
  </w:num>
  <w:num w:numId="22" w16cid:durableId="945500411">
    <w:abstractNumId w:val="15"/>
  </w:num>
  <w:num w:numId="23" w16cid:durableId="1027217528">
    <w:abstractNumId w:val="11"/>
  </w:num>
  <w:num w:numId="24" w16cid:durableId="1628243182">
    <w:abstractNumId w:val="2"/>
  </w:num>
  <w:num w:numId="25" w16cid:durableId="1275822075">
    <w:abstractNumId w:val="10"/>
  </w:num>
  <w:num w:numId="26" w16cid:durableId="1455364586">
    <w:abstractNumId w:val="1"/>
  </w:num>
  <w:num w:numId="27" w16cid:durableId="20932370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3D0"/>
    <w:rsid w:val="00001277"/>
    <w:rsid w:val="000020FA"/>
    <w:rsid w:val="000044F4"/>
    <w:rsid w:val="0000507C"/>
    <w:rsid w:val="0000602B"/>
    <w:rsid w:val="000069A4"/>
    <w:rsid w:val="00006C3E"/>
    <w:rsid w:val="00007458"/>
    <w:rsid w:val="00010D58"/>
    <w:rsid w:val="00011178"/>
    <w:rsid w:val="00011F99"/>
    <w:rsid w:val="0001221A"/>
    <w:rsid w:val="00012335"/>
    <w:rsid w:val="00012D61"/>
    <w:rsid w:val="00013390"/>
    <w:rsid w:val="000149DB"/>
    <w:rsid w:val="00015606"/>
    <w:rsid w:val="0001560C"/>
    <w:rsid w:val="000160D5"/>
    <w:rsid w:val="00016A13"/>
    <w:rsid w:val="00016A91"/>
    <w:rsid w:val="00016C67"/>
    <w:rsid w:val="00016C8D"/>
    <w:rsid w:val="00016EA2"/>
    <w:rsid w:val="0001780B"/>
    <w:rsid w:val="00020400"/>
    <w:rsid w:val="0002123C"/>
    <w:rsid w:val="000215C3"/>
    <w:rsid w:val="000220D7"/>
    <w:rsid w:val="00022C46"/>
    <w:rsid w:val="00022D4E"/>
    <w:rsid w:val="00024386"/>
    <w:rsid w:val="00025FAF"/>
    <w:rsid w:val="00027525"/>
    <w:rsid w:val="000277D1"/>
    <w:rsid w:val="00031368"/>
    <w:rsid w:val="000314F2"/>
    <w:rsid w:val="00031870"/>
    <w:rsid w:val="00031E2A"/>
    <w:rsid w:val="00034C83"/>
    <w:rsid w:val="00036A0B"/>
    <w:rsid w:val="00036A6B"/>
    <w:rsid w:val="00036B27"/>
    <w:rsid w:val="000373D5"/>
    <w:rsid w:val="0003779E"/>
    <w:rsid w:val="000440D7"/>
    <w:rsid w:val="0004568E"/>
    <w:rsid w:val="00045A03"/>
    <w:rsid w:val="00046FBA"/>
    <w:rsid w:val="00047D00"/>
    <w:rsid w:val="00050F30"/>
    <w:rsid w:val="000522BB"/>
    <w:rsid w:val="00053D34"/>
    <w:rsid w:val="00055380"/>
    <w:rsid w:val="00055968"/>
    <w:rsid w:val="00055BD7"/>
    <w:rsid w:val="00056B01"/>
    <w:rsid w:val="0006161A"/>
    <w:rsid w:val="000634A7"/>
    <w:rsid w:val="00066799"/>
    <w:rsid w:val="000670FE"/>
    <w:rsid w:val="00067482"/>
    <w:rsid w:val="000675FA"/>
    <w:rsid w:val="0006778D"/>
    <w:rsid w:val="00071DBD"/>
    <w:rsid w:val="00072490"/>
    <w:rsid w:val="000726D2"/>
    <w:rsid w:val="00073462"/>
    <w:rsid w:val="00075E1A"/>
    <w:rsid w:val="00076178"/>
    <w:rsid w:val="00077279"/>
    <w:rsid w:val="00080621"/>
    <w:rsid w:val="00081CDB"/>
    <w:rsid w:val="000827AF"/>
    <w:rsid w:val="000839F6"/>
    <w:rsid w:val="00083F74"/>
    <w:rsid w:val="00085E94"/>
    <w:rsid w:val="00087A09"/>
    <w:rsid w:val="00090E0E"/>
    <w:rsid w:val="0009118F"/>
    <w:rsid w:val="0009224D"/>
    <w:rsid w:val="00093A3E"/>
    <w:rsid w:val="00093C05"/>
    <w:rsid w:val="000948F0"/>
    <w:rsid w:val="00095211"/>
    <w:rsid w:val="00095458"/>
    <w:rsid w:val="00096042"/>
    <w:rsid w:val="000A004F"/>
    <w:rsid w:val="000A0327"/>
    <w:rsid w:val="000A08DE"/>
    <w:rsid w:val="000A0E22"/>
    <w:rsid w:val="000A1F46"/>
    <w:rsid w:val="000A1F4B"/>
    <w:rsid w:val="000A48E9"/>
    <w:rsid w:val="000A4D7D"/>
    <w:rsid w:val="000A7FB2"/>
    <w:rsid w:val="000B0297"/>
    <w:rsid w:val="000B053E"/>
    <w:rsid w:val="000B1EE2"/>
    <w:rsid w:val="000B285F"/>
    <w:rsid w:val="000B3603"/>
    <w:rsid w:val="000B39A1"/>
    <w:rsid w:val="000B5931"/>
    <w:rsid w:val="000B5C0E"/>
    <w:rsid w:val="000B7610"/>
    <w:rsid w:val="000C10DF"/>
    <w:rsid w:val="000C17CB"/>
    <w:rsid w:val="000C20CD"/>
    <w:rsid w:val="000C24AC"/>
    <w:rsid w:val="000C2D96"/>
    <w:rsid w:val="000C2E36"/>
    <w:rsid w:val="000C2EFA"/>
    <w:rsid w:val="000C3C66"/>
    <w:rsid w:val="000C454F"/>
    <w:rsid w:val="000C6935"/>
    <w:rsid w:val="000C6D06"/>
    <w:rsid w:val="000D1461"/>
    <w:rsid w:val="000D191E"/>
    <w:rsid w:val="000D3D4B"/>
    <w:rsid w:val="000D4315"/>
    <w:rsid w:val="000D49FF"/>
    <w:rsid w:val="000D5A14"/>
    <w:rsid w:val="000D64FD"/>
    <w:rsid w:val="000E0422"/>
    <w:rsid w:val="000E0A39"/>
    <w:rsid w:val="000E18DE"/>
    <w:rsid w:val="000E3207"/>
    <w:rsid w:val="000E32E3"/>
    <w:rsid w:val="000E3FCF"/>
    <w:rsid w:val="000E4C56"/>
    <w:rsid w:val="000E6C02"/>
    <w:rsid w:val="000E7BAE"/>
    <w:rsid w:val="000F24AA"/>
    <w:rsid w:val="000F286D"/>
    <w:rsid w:val="000F33A6"/>
    <w:rsid w:val="000F3BBC"/>
    <w:rsid w:val="000F51E0"/>
    <w:rsid w:val="000F5E2B"/>
    <w:rsid w:val="000F7316"/>
    <w:rsid w:val="00100BBF"/>
    <w:rsid w:val="00101D59"/>
    <w:rsid w:val="00101DC3"/>
    <w:rsid w:val="0010446B"/>
    <w:rsid w:val="00105A47"/>
    <w:rsid w:val="00106F36"/>
    <w:rsid w:val="00112348"/>
    <w:rsid w:val="001126F9"/>
    <w:rsid w:val="00112928"/>
    <w:rsid w:val="00113B45"/>
    <w:rsid w:val="00113F23"/>
    <w:rsid w:val="00114ADA"/>
    <w:rsid w:val="00114DD2"/>
    <w:rsid w:val="001152F9"/>
    <w:rsid w:val="0011543E"/>
    <w:rsid w:val="00115DEB"/>
    <w:rsid w:val="00116199"/>
    <w:rsid w:val="00116CE4"/>
    <w:rsid w:val="0011751C"/>
    <w:rsid w:val="00117C02"/>
    <w:rsid w:val="00117E5E"/>
    <w:rsid w:val="001204AD"/>
    <w:rsid w:val="00122571"/>
    <w:rsid w:val="00122C1E"/>
    <w:rsid w:val="0012473B"/>
    <w:rsid w:val="0012485D"/>
    <w:rsid w:val="00126A1E"/>
    <w:rsid w:val="001271D0"/>
    <w:rsid w:val="00127610"/>
    <w:rsid w:val="0013011E"/>
    <w:rsid w:val="0013013E"/>
    <w:rsid w:val="001306DC"/>
    <w:rsid w:val="00130F7A"/>
    <w:rsid w:val="00131DDE"/>
    <w:rsid w:val="00131DE0"/>
    <w:rsid w:val="00133DD9"/>
    <w:rsid w:val="0013471B"/>
    <w:rsid w:val="001350D9"/>
    <w:rsid w:val="00137A80"/>
    <w:rsid w:val="001438A1"/>
    <w:rsid w:val="00143BFE"/>
    <w:rsid w:val="00144283"/>
    <w:rsid w:val="00145EF0"/>
    <w:rsid w:val="001466DB"/>
    <w:rsid w:val="0015140D"/>
    <w:rsid w:val="00152B7C"/>
    <w:rsid w:val="00153643"/>
    <w:rsid w:val="00153748"/>
    <w:rsid w:val="001542AE"/>
    <w:rsid w:val="001546F9"/>
    <w:rsid w:val="00154717"/>
    <w:rsid w:val="00155EAF"/>
    <w:rsid w:val="001577AE"/>
    <w:rsid w:val="00157B59"/>
    <w:rsid w:val="00162D19"/>
    <w:rsid w:val="00163982"/>
    <w:rsid w:val="001646C1"/>
    <w:rsid w:val="00165E39"/>
    <w:rsid w:val="001673C3"/>
    <w:rsid w:val="00167896"/>
    <w:rsid w:val="00171551"/>
    <w:rsid w:val="00171BCC"/>
    <w:rsid w:val="001735EC"/>
    <w:rsid w:val="00173F26"/>
    <w:rsid w:val="00173F68"/>
    <w:rsid w:val="00174AF0"/>
    <w:rsid w:val="001758AC"/>
    <w:rsid w:val="001773D7"/>
    <w:rsid w:val="001805B0"/>
    <w:rsid w:val="001808CF"/>
    <w:rsid w:val="0018238B"/>
    <w:rsid w:val="0018279A"/>
    <w:rsid w:val="001837AA"/>
    <w:rsid w:val="00183FAB"/>
    <w:rsid w:val="00184956"/>
    <w:rsid w:val="001867A1"/>
    <w:rsid w:val="0019103D"/>
    <w:rsid w:val="00191A73"/>
    <w:rsid w:val="00191BDD"/>
    <w:rsid w:val="0019276A"/>
    <w:rsid w:val="00192D28"/>
    <w:rsid w:val="00192D5D"/>
    <w:rsid w:val="00195BFD"/>
    <w:rsid w:val="00196BE0"/>
    <w:rsid w:val="00197298"/>
    <w:rsid w:val="001A0899"/>
    <w:rsid w:val="001A0905"/>
    <w:rsid w:val="001A21B4"/>
    <w:rsid w:val="001A3F61"/>
    <w:rsid w:val="001A4013"/>
    <w:rsid w:val="001A41DD"/>
    <w:rsid w:val="001A61CC"/>
    <w:rsid w:val="001A6882"/>
    <w:rsid w:val="001A7A7A"/>
    <w:rsid w:val="001B199F"/>
    <w:rsid w:val="001B44CE"/>
    <w:rsid w:val="001B551D"/>
    <w:rsid w:val="001B5FA2"/>
    <w:rsid w:val="001B67A1"/>
    <w:rsid w:val="001B7535"/>
    <w:rsid w:val="001C04B7"/>
    <w:rsid w:val="001C19B6"/>
    <w:rsid w:val="001C1AC5"/>
    <w:rsid w:val="001C1DC0"/>
    <w:rsid w:val="001C5DAF"/>
    <w:rsid w:val="001C5EAA"/>
    <w:rsid w:val="001C6412"/>
    <w:rsid w:val="001C7191"/>
    <w:rsid w:val="001D0EA0"/>
    <w:rsid w:val="001D143E"/>
    <w:rsid w:val="001D1AE7"/>
    <w:rsid w:val="001D3931"/>
    <w:rsid w:val="001D44C0"/>
    <w:rsid w:val="001D5764"/>
    <w:rsid w:val="001D6173"/>
    <w:rsid w:val="001D6F83"/>
    <w:rsid w:val="001D73B1"/>
    <w:rsid w:val="001E14AD"/>
    <w:rsid w:val="001E1FCA"/>
    <w:rsid w:val="001E2ACC"/>
    <w:rsid w:val="001E2C10"/>
    <w:rsid w:val="001E2F14"/>
    <w:rsid w:val="001E3861"/>
    <w:rsid w:val="001E6A74"/>
    <w:rsid w:val="001E6EF4"/>
    <w:rsid w:val="001E728E"/>
    <w:rsid w:val="001F0A37"/>
    <w:rsid w:val="001F0BD6"/>
    <w:rsid w:val="001F0CE9"/>
    <w:rsid w:val="001F13EB"/>
    <w:rsid w:val="001F2CA4"/>
    <w:rsid w:val="001F41D0"/>
    <w:rsid w:val="001F4A8A"/>
    <w:rsid w:val="001F5258"/>
    <w:rsid w:val="001F796A"/>
    <w:rsid w:val="002006E0"/>
    <w:rsid w:val="00200A76"/>
    <w:rsid w:val="002017B1"/>
    <w:rsid w:val="00201838"/>
    <w:rsid w:val="002020C4"/>
    <w:rsid w:val="002020C8"/>
    <w:rsid w:val="00203CD1"/>
    <w:rsid w:val="00204656"/>
    <w:rsid w:val="0020593E"/>
    <w:rsid w:val="00207773"/>
    <w:rsid w:val="00207A41"/>
    <w:rsid w:val="00210BD5"/>
    <w:rsid w:val="00211E0F"/>
    <w:rsid w:val="00212491"/>
    <w:rsid w:val="00212C6C"/>
    <w:rsid w:val="0021331E"/>
    <w:rsid w:val="00213A70"/>
    <w:rsid w:val="00214937"/>
    <w:rsid w:val="00215720"/>
    <w:rsid w:val="00220BA2"/>
    <w:rsid w:val="00220F16"/>
    <w:rsid w:val="0022250A"/>
    <w:rsid w:val="00223C93"/>
    <w:rsid w:val="002252EB"/>
    <w:rsid w:val="002257C8"/>
    <w:rsid w:val="00227CD9"/>
    <w:rsid w:val="00233616"/>
    <w:rsid w:val="0023562D"/>
    <w:rsid w:val="00235DA2"/>
    <w:rsid w:val="00235FE3"/>
    <w:rsid w:val="00237536"/>
    <w:rsid w:val="002376AB"/>
    <w:rsid w:val="00241422"/>
    <w:rsid w:val="00241C79"/>
    <w:rsid w:val="002426D3"/>
    <w:rsid w:val="002456F3"/>
    <w:rsid w:val="00245B8D"/>
    <w:rsid w:val="002462F7"/>
    <w:rsid w:val="00247177"/>
    <w:rsid w:val="0025129C"/>
    <w:rsid w:val="00251722"/>
    <w:rsid w:val="00251776"/>
    <w:rsid w:val="00252CBD"/>
    <w:rsid w:val="002533FA"/>
    <w:rsid w:val="00253568"/>
    <w:rsid w:val="002546CE"/>
    <w:rsid w:val="00254C5B"/>
    <w:rsid w:val="00256878"/>
    <w:rsid w:val="0025721E"/>
    <w:rsid w:val="0026066C"/>
    <w:rsid w:val="00262B07"/>
    <w:rsid w:val="00262BEB"/>
    <w:rsid w:val="002639B3"/>
    <w:rsid w:val="00264239"/>
    <w:rsid w:val="00264627"/>
    <w:rsid w:val="00264CE8"/>
    <w:rsid w:val="00266669"/>
    <w:rsid w:val="002669A7"/>
    <w:rsid w:val="002673D0"/>
    <w:rsid w:val="00267467"/>
    <w:rsid w:val="00270C99"/>
    <w:rsid w:val="00271A2D"/>
    <w:rsid w:val="00272AB8"/>
    <w:rsid w:val="00273041"/>
    <w:rsid w:val="002743FA"/>
    <w:rsid w:val="0027455B"/>
    <w:rsid w:val="002748C0"/>
    <w:rsid w:val="002754C6"/>
    <w:rsid w:val="00275B29"/>
    <w:rsid w:val="00276370"/>
    <w:rsid w:val="002764D8"/>
    <w:rsid w:val="00276E24"/>
    <w:rsid w:val="002778EF"/>
    <w:rsid w:val="00280C05"/>
    <w:rsid w:val="00281120"/>
    <w:rsid w:val="002818BB"/>
    <w:rsid w:val="002823DA"/>
    <w:rsid w:val="002834C8"/>
    <w:rsid w:val="00283F36"/>
    <w:rsid w:val="0028498F"/>
    <w:rsid w:val="002917C7"/>
    <w:rsid w:val="00291849"/>
    <w:rsid w:val="00291D2F"/>
    <w:rsid w:val="00292D5C"/>
    <w:rsid w:val="002955DD"/>
    <w:rsid w:val="002977BE"/>
    <w:rsid w:val="002978AA"/>
    <w:rsid w:val="00297F47"/>
    <w:rsid w:val="002A0263"/>
    <w:rsid w:val="002A2962"/>
    <w:rsid w:val="002A3053"/>
    <w:rsid w:val="002A4976"/>
    <w:rsid w:val="002A50ED"/>
    <w:rsid w:val="002A617A"/>
    <w:rsid w:val="002A6C5C"/>
    <w:rsid w:val="002A70D8"/>
    <w:rsid w:val="002A7E1F"/>
    <w:rsid w:val="002B054E"/>
    <w:rsid w:val="002B1C08"/>
    <w:rsid w:val="002B21CF"/>
    <w:rsid w:val="002B3367"/>
    <w:rsid w:val="002B3C12"/>
    <w:rsid w:val="002B3C73"/>
    <w:rsid w:val="002B4FEA"/>
    <w:rsid w:val="002B5CF5"/>
    <w:rsid w:val="002B6197"/>
    <w:rsid w:val="002B6C76"/>
    <w:rsid w:val="002C050F"/>
    <w:rsid w:val="002C19EE"/>
    <w:rsid w:val="002C226C"/>
    <w:rsid w:val="002C326D"/>
    <w:rsid w:val="002C543A"/>
    <w:rsid w:val="002D0AD0"/>
    <w:rsid w:val="002D0E92"/>
    <w:rsid w:val="002D421B"/>
    <w:rsid w:val="002D74C1"/>
    <w:rsid w:val="002D7503"/>
    <w:rsid w:val="002D7C3E"/>
    <w:rsid w:val="002E17CB"/>
    <w:rsid w:val="002E1845"/>
    <w:rsid w:val="002E1CD0"/>
    <w:rsid w:val="002E2577"/>
    <w:rsid w:val="002E6C05"/>
    <w:rsid w:val="002E7307"/>
    <w:rsid w:val="002E7940"/>
    <w:rsid w:val="002E7F7B"/>
    <w:rsid w:val="002F022D"/>
    <w:rsid w:val="002F056E"/>
    <w:rsid w:val="002F45C9"/>
    <w:rsid w:val="002F48D1"/>
    <w:rsid w:val="002F6881"/>
    <w:rsid w:val="0030040B"/>
    <w:rsid w:val="00301200"/>
    <w:rsid w:val="00303384"/>
    <w:rsid w:val="00303E73"/>
    <w:rsid w:val="003041FA"/>
    <w:rsid w:val="003069A3"/>
    <w:rsid w:val="003071F7"/>
    <w:rsid w:val="00307C97"/>
    <w:rsid w:val="00310100"/>
    <w:rsid w:val="003116F1"/>
    <w:rsid w:val="0031184D"/>
    <w:rsid w:val="00311931"/>
    <w:rsid w:val="00311EC7"/>
    <w:rsid w:val="003133A4"/>
    <w:rsid w:val="0031380F"/>
    <w:rsid w:val="003147F2"/>
    <w:rsid w:val="0031571C"/>
    <w:rsid w:val="003162F0"/>
    <w:rsid w:val="003209DA"/>
    <w:rsid w:val="00322D80"/>
    <w:rsid w:val="0032563B"/>
    <w:rsid w:val="00326D22"/>
    <w:rsid w:val="00327CBB"/>
    <w:rsid w:val="00327DC1"/>
    <w:rsid w:val="00331A2A"/>
    <w:rsid w:val="00331E07"/>
    <w:rsid w:val="00332534"/>
    <w:rsid w:val="00332C48"/>
    <w:rsid w:val="003342CD"/>
    <w:rsid w:val="0033483B"/>
    <w:rsid w:val="003348AB"/>
    <w:rsid w:val="00335042"/>
    <w:rsid w:val="00335792"/>
    <w:rsid w:val="003371C4"/>
    <w:rsid w:val="00337A74"/>
    <w:rsid w:val="00340111"/>
    <w:rsid w:val="00342122"/>
    <w:rsid w:val="00344CB7"/>
    <w:rsid w:val="00347956"/>
    <w:rsid w:val="00350BD9"/>
    <w:rsid w:val="003511D3"/>
    <w:rsid w:val="003520AF"/>
    <w:rsid w:val="00352428"/>
    <w:rsid w:val="00352459"/>
    <w:rsid w:val="00352765"/>
    <w:rsid w:val="00353FAD"/>
    <w:rsid w:val="00353FC0"/>
    <w:rsid w:val="00355D81"/>
    <w:rsid w:val="003563A4"/>
    <w:rsid w:val="00356D0F"/>
    <w:rsid w:val="0036296D"/>
    <w:rsid w:val="00362B6D"/>
    <w:rsid w:val="00362B70"/>
    <w:rsid w:val="00363003"/>
    <w:rsid w:val="003638C6"/>
    <w:rsid w:val="003654EA"/>
    <w:rsid w:val="00366442"/>
    <w:rsid w:val="00371D9F"/>
    <w:rsid w:val="0037423D"/>
    <w:rsid w:val="0037427F"/>
    <w:rsid w:val="003743D6"/>
    <w:rsid w:val="0037541B"/>
    <w:rsid w:val="003761F1"/>
    <w:rsid w:val="00376FE8"/>
    <w:rsid w:val="0037713F"/>
    <w:rsid w:val="0037755F"/>
    <w:rsid w:val="003810E2"/>
    <w:rsid w:val="00381A2E"/>
    <w:rsid w:val="00381A9A"/>
    <w:rsid w:val="00382D70"/>
    <w:rsid w:val="0038567C"/>
    <w:rsid w:val="00385DFC"/>
    <w:rsid w:val="0038674E"/>
    <w:rsid w:val="00387205"/>
    <w:rsid w:val="003872BD"/>
    <w:rsid w:val="00387531"/>
    <w:rsid w:val="00391F5E"/>
    <w:rsid w:val="00392AA4"/>
    <w:rsid w:val="00392BBA"/>
    <w:rsid w:val="0039322A"/>
    <w:rsid w:val="003949CD"/>
    <w:rsid w:val="00394EF5"/>
    <w:rsid w:val="003954FD"/>
    <w:rsid w:val="003954FE"/>
    <w:rsid w:val="003959A6"/>
    <w:rsid w:val="0039670E"/>
    <w:rsid w:val="003974D5"/>
    <w:rsid w:val="003A1BCE"/>
    <w:rsid w:val="003A2E6B"/>
    <w:rsid w:val="003A2F82"/>
    <w:rsid w:val="003A4B90"/>
    <w:rsid w:val="003A5554"/>
    <w:rsid w:val="003A5750"/>
    <w:rsid w:val="003A58FC"/>
    <w:rsid w:val="003A5C47"/>
    <w:rsid w:val="003A7004"/>
    <w:rsid w:val="003B3C1D"/>
    <w:rsid w:val="003B4212"/>
    <w:rsid w:val="003B432F"/>
    <w:rsid w:val="003B54BC"/>
    <w:rsid w:val="003B5785"/>
    <w:rsid w:val="003B5B46"/>
    <w:rsid w:val="003B75BF"/>
    <w:rsid w:val="003B77BF"/>
    <w:rsid w:val="003B7FFE"/>
    <w:rsid w:val="003C04CA"/>
    <w:rsid w:val="003C06CE"/>
    <w:rsid w:val="003C22CF"/>
    <w:rsid w:val="003C37AA"/>
    <w:rsid w:val="003C7907"/>
    <w:rsid w:val="003D12B9"/>
    <w:rsid w:val="003D37E8"/>
    <w:rsid w:val="003D5DAB"/>
    <w:rsid w:val="003D60D7"/>
    <w:rsid w:val="003D73C6"/>
    <w:rsid w:val="003E18AA"/>
    <w:rsid w:val="003E1982"/>
    <w:rsid w:val="003E1CE3"/>
    <w:rsid w:val="003E2611"/>
    <w:rsid w:val="003E38C1"/>
    <w:rsid w:val="003E79C1"/>
    <w:rsid w:val="003F101C"/>
    <w:rsid w:val="003F235C"/>
    <w:rsid w:val="00400683"/>
    <w:rsid w:val="00401A26"/>
    <w:rsid w:val="00401A6F"/>
    <w:rsid w:val="00401B74"/>
    <w:rsid w:val="00402440"/>
    <w:rsid w:val="00403562"/>
    <w:rsid w:val="00403673"/>
    <w:rsid w:val="00403AE7"/>
    <w:rsid w:val="00404539"/>
    <w:rsid w:val="004047A7"/>
    <w:rsid w:val="004054C3"/>
    <w:rsid w:val="0040560C"/>
    <w:rsid w:val="00405D77"/>
    <w:rsid w:val="00412801"/>
    <w:rsid w:val="00417132"/>
    <w:rsid w:val="004175FA"/>
    <w:rsid w:val="00417C07"/>
    <w:rsid w:val="00417E87"/>
    <w:rsid w:val="00425477"/>
    <w:rsid w:val="0042645F"/>
    <w:rsid w:val="00426FE3"/>
    <w:rsid w:val="00427C47"/>
    <w:rsid w:val="004314AD"/>
    <w:rsid w:val="00431F33"/>
    <w:rsid w:val="004321E9"/>
    <w:rsid w:val="00432940"/>
    <w:rsid w:val="0043361B"/>
    <w:rsid w:val="00434566"/>
    <w:rsid w:val="0043480E"/>
    <w:rsid w:val="004359A3"/>
    <w:rsid w:val="004360F1"/>
    <w:rsid w:val="004363C5"/>
    <w:rsid w:val="0043663E"/>
    <w:rsid w:val="0043766A"/>
    <w:rsid w:val="00437774"/>
    <w:rsid w:val="0043792D"/>
    <w:rsid w:val="004406ED"/>
    <w:rsid w:val="00441DC8"/>
    <w:rsid w:val="00441FB2"/>
    <w:rsid w:val="004422B8"/>
    <w:rsid w:val="0044264D"/>
    <w:rsid w:val="0044566C"/>
    <w:rsid w:val="004467E4"/>
    <w:rsid w:val="00447D42"/>
    <w:rsid w:val="0045022F"/>
    <w:rsid w:val="0045067A"/>
    <w:rsid w:val="004522BB"/>
    <w:rsid w:val="00452C7D"/>
    <w:rsid w:val="004566E0"/>
    <w:rsid w:val="004566E8"/>
    <w:rsid w:val="00462095"/>
    <w:rsid w:val="0046214B"/>
    <w:rsid w:val="004631B4"/>
    <w:rsid w:val="0046440B"/>
    <w:rsid w:val="00465374"/>
    <w:rsid w:val="00465895"/>
    <w:rsid w:val="00465A84"/>
    <w:rsid w:val="00467976"/>
    <w:rsid w:val="0047357B"/>
    <w:rsid w:val="00473B37"/>
    <w:rsid w:val="00474AAF"/>
    <w:rsid w:val="004751C4"/>
    <w:rsid w:val="004752A1"/>
    <w:rsid w:val="00475327"/>
    <w:rsid w:val="004771A4"/>
    <w:rsid w:val="00477507"/>
    <w:rsid w:val="004779BC"/>
    <w:rsid w:val="00480238"/>
    <w:rsid w:val="0048122D"/>
    <w:rsid w:val="00482B81"/>
    <w:rsid w:val="00482D4C"/>
    <w:rsid w:val="004838BA"/>
    <w:rsid w:val="00483FF8"/>
    <w:rsid w:val="004844B3"/>
    <w:rsid w:val="0048656C"/>
    <w:rsid w:val="00486A1C"/>
    <w:rsid w:val="00486E17"/>
    <w:rsid w:val="00490AF1"/>
    <w:rsid w:val="00490B68"/>
    <w:rsid w:val="004919F2"/>
    <w:rsid w:val="00491FB3"/>
    <w:rsid w:val="0049257F"/>
    <w:rsid w:val="00493579"/>
    <w:rsid w:val="00494293"/>
    <w:rsid w:val="004945E2"/>
    <w:rsid w:val="0049646D"/>
    <w:rsid w:val="0049662F"/>
    <w:rsid w:val="004966B1"/>
    <w:rsid w:val="004A080F"/>
    <w:rsid w:val="004A0BAC"/>
    <w:rsid w:val="004A1738"/>
    <w:rsid w:val="004A1D6B"/>
    <w:rsid w:val="004A23C1"/>
    <w:rsid w:val="004A42C9"/>
    <w:rsid w:val="004A46E5"/>
    <w:rsid w:val="004A4823"/>
    <w:rsid w:val="004A60B3"/>
    <w:rsid w:val="004A62CC"/>
    <w:rsid w:val="004A7B7E"/>
    <w:rsid w:val="004A7C8B"/>
    <w:rsid w:val="004B13AC"/>
    <w:rsid w:val="004B23C4"/>
    <w:rsid w:val="004B2E4F"/>
    <w:rsid w:val="004B3C0F"/>
    <w:rsid w:val="004B413A"/>
    <w:rsid w:val="004B424D"/>
    <w:rsid w:val="004B43FC"/>
    <w:rsid w:val="004B5E4F"/>
    <w:rsid w:val="004B6ABB"/>
    <w:rsid w:val="004B7C16"/>
    <w:rsid w:val="004C01FE"/>
    <w:rsid w:val="004C05E4"/>
    <w:rsid w:val="004C0B3F"/>
    <w:rsid w:val="004C20C9"/>
    <w:rsid w:val="004C257A"/>
    <w:rsid w:val="004C2B08"/>
    <w:rsid w:val="004C316F"/>
    <w:rsid w:val="004C39CB"/>
    <w:rsid w:val="004C4688"/>
    <w:rsid w:val="004C4812"/>
    <w:rsid w:val="004C7A31"/>
    <w:rsid w:val="004D08EE"/>
    <w:rsid w:val="004D1534"/>
    <w:rsid w:val="004D2828"/>
    <w:rsid w:val="004D69A4"/>
    <w:rsid w:val="004E07BA"/>
    <w:rsid w:val="004E2C3C"/>
    <w:rsid w:val="004E39E1"/>
    <w:rsid w:val="004E561F"/>
    <w:rsid w:val="004E62C0"/>
    <w:rsid w:val="004F0860"/>
    <w:rsid w:val="004F1003"/>
    <w:rsid w:val="004F220D"/>
    <w:rsid w:val="004F462D"/>
    <w:rsid w:val="004F4732"/>
    <w:rsid w:val="004F56D0"/>
    <w:rsid w:val="004F611E"/>
    <w:rsid w:val="004F628D"/>
    <w:rsid w:val="004F7AD1"/>
    <w:rsid w:val="005000E6"/>
    <w:rsid w:val="00501CBB"/>
    <w:rsid w:val="005038DA"/>
    <w:rsid w:val="00503E44"/>
    <w:rsid w:val="00504826"/>
    <w:rsid w:val="005056A2"/>
    <w:rsid w:val="00507E0C"/>
    <w:rsid w:val="00511E37"/>
    <w:rsid w:val="00514612"/>
    <w:rsid w:val="005148F5"/>
    <w:rsid w:val="00515283"/>
    <w:rsid w:val="00516727"/>
    <w:rsid w:val="005168D4"/>
    <w:rsid w:val="0051691E"/>
    <w:rsid w:val="00516A15"/>
    <w:rsid w:val="00520419"/>
    <w:rsid w:val="00520AEF"/>
    <w:rsid w:val="00520F90"/>
    <w:rsid w:val="00521CA4"/>
    <w:rsid w:val="00522CA4"/>
    <w:rsid w:val="00523085"/>
    <w:rsid w:val="00523625"/>
    <w:rsid w:val="00523976"/>
    <w:rsid w:val="00524F24"/>
    <w:rsid w:val="00526A65"/>
    <w:rsid w:val="00526A9A"/>
    <w:rsid w:val="005273AE"/>
    <w:rsid w:val="00527AAD"/>
    <w:rsid w:val="00531C84"/>
    <w:rsid w:val="00531CA0"/>
    <w:rsid w:val="00532E2D"/>
    <w:rsid w:val="00533307"/>
    <w:rsid w:val="00533926"/>
    <w:rsid w:val="00533B88"/>
    <w:rsid w:val="00534022"/>
    <w:rsid w:val="00534717"/>
    <w:rsid w:val="005360AB"/>
    <w:rsid w:val="0053703F"/>
    <w:rsid w:val="00540D1F"/>
    <w:rsid w:val="00541B41"/>
    <w:rsid w:val="005442B2"/>
    <w:rsid w:val="00545638"/>
    <w:rsid w:val="005456DD"/>
    <w:rsid w:val="00546BA8"/>
    <w:rsid w:val="005504B9"/>
    <w:rsid w:val="00551E23"/>
    <w:rsid w:val="00551EC5"/>
    <w:rsid w:val="00552F7B"/>
    <w:rsid w:val="0055393E"/>
    <w:rsid w:val="00553E8F"/>
    <w:rsid w:val="00554F00"/>
    <w:rsid w:val="00555F1B"/>
    <w:rsid w:val="0055675D"/>
    <w:rsid w:val="00557062"/>
    <w:rsid w:val="005573C2"/>
    <w:rsid w:val="005605DE"/>
    <w:rsid w:val="00560857"/>
    <w:rsid w:val="0056090D"/>
    <w:rsid w:val="005622B4"/>
    <w:rsid w:val="00564409"/>
    <w:rsid w:val="005648E7"/>
    <w:rsid w:val="0056676B"/>
    <w:rsid w:val="005668E3"/>
    <w:rsid w:val="00566E8F"/>
    <w:rsid w:val="00571692"/>
    <w:rsid w:val="0057422E"/>
    <w:rsid w:val="00581DF7"/>
    <w:rsid w:val="00583216"/>
    <w:rsid w:val="005833BE"/>
    <w:rsid w:val="00583A20"/>
    <w:rsid w:val="00584793"/>
    <w:rsid w:val="0058494E"/>
    <w:rsid w:val="00584A91"/>
    <w:rsid w:val="005878AA"/>
    <w:rsid w:val="00587A38"/>
    <w:rsid w:val="0059287A"/>
    <w:rsid w:val="00593047"/>
    <w:rsid w:val="00593500"/>
    <w:rsid w:val="00593A67"/>
    <w:rsid w:val="00593C34"/>
    <w:rsid w:val="005965AB"/>
    <w:rsid w:val="00596EE6"/>
    <w:rsid w:val="005973DB"/>
    <w:rsid w:val="005A3D7F"/>
    <w:rsid w:val="005A4231"/>
    <w:rsid w:val="005A4A06"/>
    <w:rsid w:val="005B0638"/>
    <w:rsid w:val="005B378D"/>
    <w:rsid w:val="005B3D39"/>
    <w:rsid w:val="005B413E"/>
    <w:rsid w:val="005B53AC"/>
    <w:rsid w:val="005B5C58"/>
    <w:rsid w:val="005B679B"/>
    <w:rsid w:val="005B7594"/>
    <w:rsid w:val="005C2F33"/>
    <w:rsid w:val="005C311A"/>
    <w:rsid w:val="005C47A7"/>
    <w:rsid w:val="005C5C09"/>
    <w:rsid w:val="005C661D"/>
    <w:rsid w:val="005D0F16"/>
    <w:rsid w:val="005D0F8B"/>
    <w:rsid w:val="005D151A"/>
    <w:rsid w:val="005D16B1"/>
    <w:rsid w:val="005D1E3F"/>
    <w:rsid w:val="005D392E"/>
    <w:rsid w:val="005D39B6"/>
    <w:rsid w:val="005D3A99"/>
    <w:rsid w:val="005D42E7"/>
    <w:rsid w:val="005D4A9D"/>
    <w:rsid w:val="005D6868"/>
    <w:rsid w:val="005D6902"/>
    <w:rsid w:val="005D7A30"/>
    <w:rsid w:val="005D7D5A"/>
    <w:rsid w:val="005E20C0"/>
    <w:rsid w:val="005E2460"/>
    <w:rsid w:val="005E263C"/>
    <w:rsid w:val="005E26E2"/>
    <w:rsid w:val="005E2C01"/>
    <w:rsid w:val="005E361B"/>
    <w:rsid w:val="005E4487"/>
    <w:rsid w:val="005E4A28"/>
    <w:rsid w:val="005E4BAC"/>
    <w:rsid w:val="005E4E0A"/>
    <w:rsid w:val="005E5621"/>
    <w:rsid w:val="005E589B"/>
    <w:rsid w:val="005E5E87"/>
    <w:rsid w:val="005E7AAC"/>
    <w:rsid w:val="005E7AE6"/>
    <w:rsid w:val="005E7EB5"/>
    <w:rsid w:val="005F0137"/>
    <w:rsid w:val="005F2B17"/>
    <w:rsid w:val="005F3A58"/>
    <w:rsid w:val="005F4953"/>
    <w:rsid w:val="005F5400"/>
    <w:rsid w:val="005F5E6D"/>
    <w:rsid w:val="005F609B"/>
    <w:rsid w:val="005F69AE"/>
    <w:rsid w:val="0060023B"/>
    <w:rsid w:val="0060130D"/>
    <w:rsid w:val="00601D6A"/>
    <w:rsid w:val="00602D8F"/>
    <w:rsid w:val="0060600B"/>
    <w:rsid w:val="00606699"/>
    <w:rsid w:val="0060778C"/>
    <w:rsid w:val="00607FF4"/>
    <w:rsid w:val="006100E5"/>
    <w:rsid w:val="00612B1D"/>
    <w:rsid w:val="00612DEB"/>
    <w:rsid w:val="00616B40"/>
    <w:rsid w:val="006171E5"/>
    <w:rsid w:val="00620D3E"/>
    <w:rsid w:val="00623451"/>
    <w:rsid w:val="00623781"/>
    <w:rsid w:val="00624904"/>
    <w:rsid w:val="00624C38"/>
    <w:rsid w:val="00624DE2"/>
    <w:rsid w:val="00625445"/>
    <w:rsid w:val="006273CA"/>
    <w:rsid w:val="00627611"/>
    <w:rsid w:val="00627662"/>
    <w:rsid w:val="00627FE7"/>
    <w:rsid w:val="00631950"/>
    <w:rsid w:val="00631A82"/>
    <w:rsid w:val="00631AD2"/>
    <w:rsid w:val="00631BA9"/>
    <w:rsid w:val="00633D78"/>
    <w:rsid w:val="00634D3C"/>
    <w:rsid w:val="00634E33"/>
    <w:rsid w:val="00636559"/>
    <w:rsid w:val="0064026F"/>
    <w:rsid w:val="00640DF1"/>
    <w:rsid w:val="0064129F"/>
    <w:rsid w:val="00641853"/>
    <w:rsid w:val="006426AA"/>
    <w:rsid w:val="00645F32"/>
    <w:rsid w:val="006470B0"/>
    <w:rsid w:val="00647BB7"/>
    <w:rsid w:val="00647E08"/>
    <w:rsid w:val="00647F32"/>
    <w:rsid w:val="006505B6"/>
    <w:rsid w:val="00650707"/>
    <w:rsid w:val="006514D3"/>
    <w:rsid w:val="0065157B"/>
    <w:rsid w:val="00652413"/>
    <w:rsid w:val="006545CE"/>
    <w:rsid w:val="00654FCC"/>
    <w:rsid w:val="00655022"/>
    <w:rsid w:val="00655E17"/>
    <w:rsid w:val="00656927"/>
    <w:rsid w:val="00661420"/>
    <w:rsid w:val="006639CA"/>
    <w:rsid w:val="00664763"/>
    <w:rsid w:val="00664C70"/>
    <w:rsid w:val="00664E35"/>
    <w:rsid w:val="0066520D"/>
    <w:rsid w:val="00665267"/>
    <w:rsid w:val="00667290"/>
    <w:rsid w:val="006700B8"/>
    <w:rsid w:val="00674B25"/>
    <w:rsid w:val="006758F1"/>
    <w:rsid w:val="00676F92"/>
    <w:rsid w:val="0068007A"/>
    <w:rsid w:val="00680297"/>
    <w:rsid w:val="00682197"/>
    <w:rsid w:val="006834DF"/>
    <w:rsid w:val="00683515"/>
    <w:rsid w:val="00683713"/>
    <w:rsid w:val="00683826"/>
    <w:rsid w:val="00683D54"/>
    <w:rsid w:val="00684D1D"/>
    <w:rsid w:val="00684DE1"/>
    <w:rsid w:val="00684FAA"/>
    <w:rsid w:val="00685682"/>
    <w:rsid w:val="006873CE"/>
    <w:rsid w:val="00687584"/>
    <w:rsid w:val="00690EE4"/>
    <w:rsid w:val="00692672"/>
    <w:rsid w:val="00695095"/>
    <w:rsid w:val="00695A39"/>
    <w:rsid w:val="00695C7B"/>
    <w:rsid w:val="0069652F"/>
    <w:rsid w:val="006977F2"/>
    <w:rsid w:val="006A0786"/>
    <w:rsid w:val="006A18ED"/>
    <w:rsid w:val="006A22E0"/>
    <w:rsid w:val="006A30F4"/>
    <w:rsid w:val="006A325C"/>
    <w:rsid w:val="006A3379"/>
    <w:rsid w:val="006A3606"/>
    <w:rsid w:val="006A5193"/>
    <w:rsid w:val="006A6FD9"/>
    <w:rsid w:val="006A6FEA"/>
    <w:rsid w:val="006A7570"/>
    <w:rsid w:val="006B01B5"/>
    <w:rsid w:val="006B1906"/>
    <w:rsid w:val="006B3465"/>
    <w:rsid w:val="006B3812"/>
    <w:rsid w:val="006B5936"/>
    <w:rsid w:val="006C1E5C"/>
    <w:rsid w:val="006C2988"/>
    <w:rsid w:val="006C3D50"/>
    <w:rsid w:val="006C43A3"/>
    <w:rsid w:val="006C5121"/>
    <w:rsid w:val="006C51BA"/>
    <w:rsid w:val="006C7141"/>
    <w:rsid w:val="006D0220"/>
    <w:rsid w:val="006D2B89"/>
    <w:rsid w:val="006D3086"/>
    <w:rsid w:val="006D43C9"/>
    <w:rsid w:val="006D567B"/>
    <w:rsid w:val="006D6235"/>
    <w:rsid w:val="006D626B"/>
    <w:rsid w:val="006E157C"/>
    <w:rsid w:val="006E4CDE"/>
    <w:rsid w:val="006E4F07"/>
    <w:rsid w:val="006E6A2E"/>
    <w:rsid w:val="006E71D5"/>
    <w:rsid w:val="006F0352"/>
    <w:rsid w:val="006F43AC"/>
    <w:rsid w:val="006F46AB"/>
    <w:rsid w:val="006F49FA"/>
    <w:rsid w:val="006F546B"/>
    <w:rsid w:val="006F63A9"/>
    <w:rsid w:val="00700BBE"/>
    <w:rsid w:val="00702035"/>
    <w:rsid w:val="007039CC"/>
    <w:rsid w:val="0070483A"/>
    <w:rsid w:val="00704902"/>
    <w:rsid w:val="007051CC"/>
    <w:rsid w:val="00705F45"/>
    <w:rsid w:val="00706205"/>
    <w:rsid w:val="007068DB"/>
    <w:rsid w:val="007102A9"/>
    <w:rsid w:val="00710E94"/>
    <w:rsid w:val="00713033"/>
    <w:rsid w:val="00713F6C"/>
    <w:rsid w:val="00715416"/>
    <w:rsid w:val="00715A5F"/>
    <w:rsid w:val="00720323"/>
    <w:rsid w:val="00721E16"/>
    <w:rsid w:val="00722020"/>
    <w:rsid w:val="00726CC2"/>
    <w:rsid w:val="00727D8A"/>
    <w:rsid w:val="00730EE5"/>
    <w:rsid w:val="00731C69"/>
    <w:rsid w:val="00731FEA"/>
    <w:rsid w:val="007340E9"/>
    <w:rsid w:val="00734524"/>
    <w:rsid w:val="00734CAA"/>
    <w:rsid w:val="00736F61"/>
    <w:rsid w:val="00736FC8"/>
    <w:rsid w:val="007416C7"/>
    <w:rsid w:val="00741FE9"/>
    <w:rsid w:val="00742118"/>
    <w:rsid w:val="00742253"/>
    <w:rsid w:val="00746806"/>
    <w:rsid w:val="00746C5D"/>
    <w:rsid w:val="0074728B"/>
    <w:rsid w:val="007473D7"/>
    <w:rsid w:val="0074768F"/>
    <w:rsid w:val="00752D05"/>
    <w:rsid w:val="00753EBA"/>
    <w:rsid w:val="00755AA7"/>
    <w:rsid w:val="0075641A"/>
    <w:rsid w:val="00756488"/>
    <w:rsid w:val="007571D9"/>
    <w:rsid w:val="00760875"/>
    <w:rsid w:val="007611DD"/>
    <w:rsid w:val="007662C7"/>
    <w:rsid w:val="0076688A"/>
    <w:rsid w:val="00766ED9"/>
    <w:rsid w:val="007713C9"/>
    <w:rsid w:val="00773466"/>
    <w:rsid w:val="00773F37"/>
    <w:rsid w:val="0077538D"/>
    <w:rsid w:val="00776306"/>
    <w:rsid w:val="00777D96"/>
    <w:rsid w:val="00780285"/>
    <w:rsid w:val="00780306"/>
    <w:rsid w:val="007825ED"/>
    <w:rsid w:val="00784F30"/>
    <w:rsid w:val="00786576"/>
    <w:rsid w:val="007874B9"/>
    <w:rsid w:val="0079173B"/>
    <w:rsid w:val="00792EA0"/>
    <w:rsid w:val="00793AE9"/>
    <w:rsid w:val="00793F72"/>
    <w:rsid w:val="00794C27"/>
    <w:rsid w:val="00794E93"/>
    <w:rsid w:val="00796BD2"/>
    <w:rsid w:val="00797C69"/>
    <w:rsid w:val="007A039E"/>
    <w:rsid w:val="007A0C2A"/>
    <w:rsid w:val="007A1AC0"/>
    <w:rsid w:val="007A2EA3"/>
    <w:rsid w:val="007A4870"/>
    <w:rsid w:val="007A55A7"/>
    <w:rsid w:val="007A55AF"/>
    <w:rsid w:val="007A74E8"/>
    <w:rsid w:val="007A7714"/>
    <w:rsid w:val="007B0686"/>
    <w:rsid w:val="007B1F10"/>
    <w:rsid w:val="007B335E"/>
    <w:rsid w:val="007B4CF5"/>
    <w:rsid w:val="007B5552"/>
    <w:rsid w:val="007B6536"/>
    <w:rsid w:val="007C07E4"/>
    <w:rsid w:val="007C418F"/>
    <w:rsid w:val="007C4A00"/>
    <w:rsid w:val="007C65D5"/>
    <w:rsid w:val="007C7D64"/>
    <w:rsid w:val="007D0325"/>
    <w:rsid w:val="007D120A"/>
    <w:rsid w:val="007D1219"/>
    <w:rsid w:val="007D18B9"/>
    <w:rsid w:val="007D1F64"/>
    <w:rsid w:val="007D5E6D"/>
    <w:rsid w:val="007D6071"/>
    <w:rsid w:val="007D676C"/>
    <w:rsid w:val="007D714C"/>
    <w:rsid w:val="007E018D"/>
    <w:rsid w:val="007E0E40"/>
    <w:rsid w:val="007E1630"/>
    <w:rsid w:val="007E1C57"/>
    <w:rsid w:val="007E2166"/>
    <w:rsid w:val="007E23F4"/>
    <w:rsid w:val="007E302A"/>
    <w:rsid w:val="007E44FE"/>
    <w:rsid w:val="007E4D2B"/>
    <w:rsid w:val="007E5DC0"/>
    <w:rsid w:val="007E61FB"/>
    <w:rsid w:val="007F1B71"/>
    <w:rsid w:val="007F29C6"/>
    <w:rsid w:val="007F3182"/>
    <w:rsid w:val="007F3358"/>
    <w:rsid w:val="007F3FE6"/>
    <w:rsid w:val="007F4177"/>
    <w:rsid w:val="007F468B"/>
    <w:rsid w:val="007F50CE"/>
    <w:rsid w:val="007F55FF"/>
    <w:rsid w:val="007F6823"/>
    <w:rsid w:val="007F6C34"/>
    <w:rsid w:val="007F7D7C"/>
    <w:rsid w:val="0080043D"/>
    <w:rsid w:val="00800CE6"/>
    <w:rsid w:val="00801159"/>
    <w:rsid w:val="00805460"/>
    <w:rsid w:val="00805ADB"/>
    <w:rsid w:val="00807D8A"/>
    <w:rsid w:val="00807E7D"/>
    <w:rsid w:val="00810EB5"/>
    <w:rsid w:val="00812548"/>
    <w:rsid w:val="0081383D"/>
    <w:rsid w:val="00814248"/>
    <w:rsid w:val="008153F6"/>
    <w:rsid w:val="008158CD"/>
    <w:rsid w:val="0081666E"/>
    <w:rsid w:val="00816880"/>
    <w:rsid w:val="00816943"/>
    <w:rsid w:val="00817CFB"/>
    <w:rsid w:val="0082251F"/>
    <w:rsid w:val="0082270D"/>
    <w:rsid w:val="00822DC5"/>
    <w:rsid w:val="00825877"/>
    <w:rsid w:val="00825B77"/>
    <w:rsid w:val="00825C09"/>
    <w:rsid w:val="0083018F"/>
    <w:rsid w:val="00831362"/>
    <w:rsid w:val="0083164A"/>
    <w:rsid w:val="00831675"/>
    <w:rsid w:val="00831E11"/>
    <w:rsid w:val="008328B4"/>
    <w:rsid w:val="00832A2E"/>
    <w:rsid w:val="00833CBE"/>
    <w:rsid w:val="008340D8"/>
    <w:rsid w:val="00835A33"/>
    <w:rsid w:val="00840F46"/>
    <w:rsid w:val="00841577"/>
    <w:rsid w:val="0084310B"/>
    <w:rsid w:val="0084371E"/>
    <w:rsid w:val="00844011"/>
    <w:rsid w:val="00844329"/>
    <w:rsid w:val="00844CB3"/>
    <w:rsid w:val="00846CF0"/>
    <w:rsid w:val="00846F87"/>
    <w:rsid w:val="00847D7A"/>
    <w:rsid w:val="00850DD7"/>
    <w:rsid w:val="00851104"/>
    <w:rsid w:val="00851843"/>
    <w:rsid w:val="00851A8E"/>
    <w:rsid w:val="008531ED"/>
    <w:rsid w:val="0085352B"/>
    <w:rsid w:val="00853A30"/>
    <w:rsid w:val="00854971"/>
    <w:rsid w:val="00854C0B"/>
    <w:rsid w:val="00855678"/>
    <w:rsid w:val="00855697"/>
    <w:rsid w:val="00856E49"/>
    <w:rsid w:val="008601D6"/>
    <w:rsid w:val="00861B06"/>
    <w:rsid w:val="00861BF0"/>
    <w:rsid w:val="00862005"/>
    <w:rsid w:val="008622A3"/>
    <w:rsid w:val="008643A7"/>
    <w:rsid w:val="0086544C"/>
    <w:rsid w:val="0086588B"/>
    <w:rsid w:val="008666AA"/>
    <w:rsid w:val="00870E23"/>
    <w:rsid w:val="00870F39"/>
    <w:rsid w:val="00871FC4"/>
    <w:rsid w:val="008754F5"/>
    <w:rsid w:val="008761C1"/>
    <w:rsid w:val="00882144"/>
    <w:rsid w:val="00882692"/>
    <w:rsid w:val="0088467C"/>
    <w:rsid w:val="008867F8"/>
    <w:rsid w:val="00890D98"/>
    <w:rsid w:val="00892883"/>
    <w:rsid w:val="00893933"/>
    <w:rsid w:val="008944C8"/>
    <w:rsid w:val="00894579"/>
    <w:rsid w:val="00894BA5"/>
    <w:rsid w:val="0089501B"/>
    <w:rsid w:val="008A0EE3"/>
    <w:rsid w:val="008A142C"/>
    <w:rsid w:val="008A5393"/>
    <w:rsid w:val="008A5834"/>
    <w:rsid w:val="008A5867"/>
    <w:rsid w:val="008A59D2"/>
    <w:rsid w:val="008A5B67"/>
    <w:rsid w:val="008A5CCD"/>
    <w:rsid w:val="008A6CCC"/>
    <w:rsid w:val="008A7293"/>
    <w:rsid w:val="008A7398"/>
    <w:rsid w:val="008B0F17"/>
    <w:rsid w:val="008B134E"/>
    <w:rsid w:val="008B1EF4"/>
    <w:rsid w:val="008B2007"/>
    <w:rsid w:val="008B2BA3"/>
    <w:rsid w:val="008B325B"/>
    <w:rsid w:val="008B3E24"/>
    <w:rsid w:val="008B4915"/>
    <w:rsid w:val="008B4A91"/>
    <w:rsid w:val="008B633A"/>
    <w:rsid w:val="008B735F"/>
    <w:rsid w:val="008B7683"/>
    <w:rsid w:val="008B78C0"/>
    <w:rsid w:val="008B7CCA"/>
    <w:rsid w:val="008C40CC"/>
    <w:rsid w:val="008C5112"/>
    <w:rsid w:val="008C5517"/>
    <w:rsid w:val="008C5E7B"/>
    <w:rsid w:val="008C5ED4"/>
    <w:rsid w:val="008C7365"/>
    <w:rsid w:val="008D029C"/>
    <w:rsid w:val="008D09FC"/>
    <w:rsid w:val="008D16F7"/>
    <w:rsid w:val="008D2085"/>
    <w:rsid w:val="008D3804"/>
    <w:rsid w:val="008D43E7"/>
    <w:rsid w:val="008D54AA"/>
    <w:rsid w:val="008D57D4"/>
    <w:rsid w:val="008E0E7E"/>
    <w:rsid w:val="008E1427"/>
    <w:rsid w:val="008E1DC3"/>
    <w:rsid w:val="008E24D3"/>
    <w:rsid w:val="008E37FA"/>
    <w:rsid w:val="008E5A82"/>
    <w:rsid w:val="008E627F"/>
    <w:rsid w:val="008E777E"/>
    <w:rsid w:val="008F0697"/>
    <w:rsid w:val="008F0DF2"/>
    <w:rsid w:val="008F258F"/>
    <w:rsid w:val="008F282C"/>
    <w:rsid w:val="008F2E37"/>
    <w:rsid w:val="00900285"/>
    <w:rsid w:val="009003FD"/>
    <w:rsid w:val="0090188A"/>
    <w:rsid w:val="00902359"/>
    <w:rsid w:val="00903BAB"/>
    <w:rsid w:val="00903C47"/>
    <w:rsid w:val="00904AD2"/>
    <w:rsid w:val="0090640B"/>
    <w:rsid w:val="009102F9"/>
    <w:rsid w:val="00913446"/>
    <w:rsid w:val="00913FF3"/>
    <w:rsid w:val="0091422B"/>
    <w:rsid w:val="009143A0"/>
    <w:rsid w:val="00914AB3"/>
    <w:rsid w:val="0091623C"/>
    <w:rsid w:val="009173A5"/>
    <w:rsid w:val="00917EFD"/>
    <w:rsid w:val="00920AAB"/>
    <w:rsid w:val="009250B1"/>
    <w:rsid w:val="0092651D"/>
    <w:rsid w:val="00926E6D"/>
    <w:rsid w:val="00927114"/>
    <w:rsid w:val="00931EBF"/>
    <w:rsid w:val="009323A9"/>
    <w:rsid w:val="0093425B"/>
    <w:rsid w:val="009344D9"/>
    <w:rsid w:val="00934543"/>
    <w:rsid w:val="00935457"/>
    <w:rsid w:val="00936902"/>
    <w:rsid w:val="00936F8D"/>
    <w:rsid w:val="00942436"/>
    <w:rsid w:val="009446C3"/>
    <w:rsid w:val="00944DC3"/>
    <w:rsid w:val="0094509A"/>
    <w:rsid w:val="009464FA"/>
    <w:rsid w:val="00946F75"/>
    <w:rsid w:val="009472DB"/>
    <w:rsid w:val="009474F0"/>
    <w:rsid w:val="0095066B"/>
    <w:rsid w:val="009526DA"/>
    <w:rsid w:val="00954679"/>
    <w:rsid w:val="0095612D"/>
    <w:rsid w:val="00957184"/>
    <w:rsid w:val="00960064"/>
    <w:rsid w:val="00963317"/>
    <w:rsid w:val="009643B8"/>
    <w:rsid w:val="00965123"/>
    <w:rsid w:val="009655F4"/>
    <w:rsid w:val="00966427"/>
    <w:rsid w:val="009664C3"/>
    <w:rsid w:val="00973913"/>
    <w:rsid w:val="00974E51"/>
    <w:rsid w:val="009769E6"/>
    <w:rsid w:val="00977A00"/>
    <w:rsid w:val="009802C7"/>
    <w:rsid w:val="00984B33"/>
    <w:rsid w:val="00984CAE"/>
    <w:rsid w:val="009850ED"/>
    <w:rsid w:val="00986E0B"/>
    <w:rsid w:val="00987913"/>
    <w:rsid w:val="00987FE6"/>
    <w:rsid w:val="00990A0D"/>
    <w:rsid w:val="00990C0A"/>
    <w:rsid w:val="00991020"/>
    <w:rsid w:val="00991354"/>
    <w:rsid w:val="009933DC"/>
    <w:rsid w:val="0099365D"/>
    <w:rsid w:val="009936C9"/>
    <w:rsid w:val="0099493A"/>
    <w:rsid w:val="00995E2E"/>
    <w:rsid w:val="009961F1"/>
    <w:rsid w:val="009A05A2"/>
    <w:rsid w:val="009A1B88"/>
    <w:rsid w:val="009A2552"/>
    <w:rsid w:val="009A3A64"/>
    <w:rsid w:val="009A3C5C"/>
    <w:rsid w:val="009A3CD5"/>
    <w:rsid w:val="009A3F39"/>
    <w:rsid w:val="009A3F3D"/>
    <w:rsid w:val="009A4B7A"/>
    <w:rsid w:val="009A5B60"/>
    <w:rsid w:val="009A6513"/>
    <w:rsid w:val="009A6C77"/>
    <w:rsid w:val="009B0156"/>
    <w:rsid w:val="009B125A"/>
    <w:rsid w:val="009B12DA"/>
    <w:rsid w:val="009B455F"/>
    <w:rsid w:val="009B561F"/>
    <w:rsid w:val="009B7472"/>
    <w:rsid w:val="009B786C"/>
    <w:rsid w:val="009C12C1"/>
    <w:rsid w:val="009C63BF"/>
    <w:rsid w:val="009C6A1E"/>
    <w:rsid w:val="009D1086"/>
    <w:rsid w:val="009D234F"/>
    <w:rsid w:val="009D235E"/>
    <w:rsid w:val="009D433C"/>
    <w:rsid w:val="009D55B5"/>
    <w:rsid w:val="009D6069"/>
    <w:rsid w:val="009D6363"/>
    <w:rsid w:val="009D6AF2"/>
    <w:rsid w:val="009D7C0A"/>
    <w:rsid w:val="009E03C4"/>
    <w:rsid w:val="009E1DDA"/>
    <w:rsid w:val="009E2924"/>
    <w:rsid w:val="009E29DA"/>
    <w:rsid w:val="009E2EF0"/>
    <w:rsid w:val="009E2F86"/>
    <w:rsid w:val="009E4A87"/>
    <w:rsid w:val="009E5F89"/>
    <w:rsid w:val="009E69F5"/>
    <w:rsid w:val="009E7FAB"/>
    <w:rsid w:val="009F027F"/>
    <w:rsid w:val="009F1311"/>
    <w:rsid w:val="009F1FBE"/>
    <w:rsid w:val="009F228B"/>
    <w:rsid w:val="009F2DAB"/>
    <w:rsid w:val="009F36AD"/>
    <w:rsid w:val="009F4256"/>
    <w:rsid w:val="009F50AD"/>
    <w:rsid w:val="009F5402"/>
    <w:rsid w:val="009F7A6F"/>
    <w:rsid w:val="009F7BD4"/>
    <w:rsid w:val="00A01416"/>
    <w:rsid w:val="00A01F2B"/>
    <w:rsid w:val="00A03AE1"/>
    <w:rsid w:val="00A05FDC"/>
    <w:rsid w:val="00A0660C"/>
    <w:rsid w:val="00A12209"/>
    <w:rsid w:val="00A12B39"/>
    <w:rsid w:val="00A132A5"/>
    <w:rsid w:val="00A157E5"/>
    <w:rsid w:val="00A15F29"/>
    <w:rsid w:val="00A24744"/>
    <w:rsid w:val="00A250C5"/>
    <w:rsid w:val="00A2587E"/>
    <w:rsid w:val="00A26891"/>
    <w:rsid w:val="00A27308"/>
    <w:rsid w:val="00A34CA4"/>
    <w:rsid w:val="00A35B31"/>
    <w:rsid w:val="00A36CD3"/>
    <w:rsid w:val="00A36DF3"/>
    <w:rsid w:val="00A3738D"/>
    <w:rsid w:val="00A3763A"/>
    <w:rsid w:val="00A42196"/>
    <w:rsid w:val="00A44375"/>
    <w:rsid w:val="00A46643"/>
    <w:rsid w:val="00A4713B"/>
    <w:rsid w:val="00A476DB"/>
    <w:rsid w:val="00A47A31"/>
    <w:rsid w:val="00A500CB"/>
    <w:rsid w:val="00A501B1"/>
    <w:rsid w:val="00A504D8"/>
    <w:rsid w:val="00A517E6"/>
    <w:rsid w:val="00A521F8"/>
    <w:rsid w:val="00A530E5"/>
    <w:rsid w:val="00A532DD"/>
    <w:rsid w:val="00A55919"/>
    <w:rsid w:val="00A55C8B"/>
    <w:rsid w:val="00A55DB7"/>
    <w:rsid w:val="00A61A74"/>
    <w:rsid w:val="00A623E5"/>
    <w:rsid w:val="00A64A8A"/>
    <w:rsid w:val="00A64B20"/>
    <w:rsid w:val="00A64D02"/>
    <w:rsid w:val="00A65609"/>
    <w:rsid w:val="00A7311D"/>
    <w:rsid w:val="00A73BC0"/>
    <w:rsid w:val="00A740BF"/>
    <w:rsid w:val="00A74736"/>
    <w:rsid w:val="00A760DA"/>
    <w:rsid w:val="00A76B12"/>
    <w:rsid w:val="00A77373"/>
    <w:rsid w:val="00A774EE"/>
    <w:rsid w:val="00A80BCF"/>
    <w:rsid w:val="00A81F0E"/>
    <w:rsid w:val="00A82322"/>
    <w:rsid w:val="00A8369C"/>
    <w:rsid w:val="00A861A3"/>
    <w:rsid w:val="00A86FE4"/>
    <w:rsid w:val="00A909FC"/>
    <w:rsid w:val="00A90E30"/>
    <w:rsid w:val="00A90FEC"/>
    <w:rsid w:val="00A912BC"/>
    <w:rsid w:val="00A92142"/>
    <w:rsid w:val="00A95154"/>
    <w:rsid w:val="00A95562"/>
    <w:rsid w:val="00A979C0"/>
    <w:rsid w:val="00AA050F"/>
    <w:rsid w:val="00AA1689"/>
    <w:rsid w:val="00AA198F"/>
    <w:rsid w:val="00AA1AD9"/>
    <w:rsid w:val="00AA2977"/>
    <w:rsid w:val="00AA3AA1"/>
    <w:rsid w:val="00AA3F58"/>
    <w:rsid w:val="00AA4027"/>
    <w:rsid w:val="00AA56BE"/>
    <w:rsid w:val="00AA5770"/>
    <w:rsid w:val="00AA725C"/>
    <w:rsid w:val="00AA741A"/>
    <w:rsid w:val="00AA758A"/>
    <w:rsid w:val="00AB05CF"/>
    <w:rsid w:val="00AB11CE"/>
    <w:rsid w:val="00AB2488"/>
    <w:rsid w:val="00AB2547"/>
    <w:rsid w:val="00AB2BC1"/>
    <w:rsid w:val="00AB2BF1"/>
    <w:rsid w:val="00AB2E18"/>
    <w:rsid w:val="00AC013D"/>
    <w:rsid w:val="00AC115F"/>
    <w:rsid w:val="00AC1984"/>
    <w:rsid w:val="00AC1D15"/>
    <w:rsid w:val="00AC2B45"/>
    <w:rsid w:val="00AC303D"/>
    <w:rsid w:val="00AC3365"/>
    <w:rsid w:val="00AC37CA"/>
    <w:rsid w:val="00AC4F36"/>
    <w:rsid w:val="00AC5B48"/>
    <w:rsid w:val="00AC615A"/>
    <w:rsid w:val="00AD0312"/>
    <w:rsid w:val="00AD05F5"/>
    <w:rsid w:val="00AD06FF"/>
    <w:rsid w:val="00AD2222"/>
    <w:rsid w:val="00AD31E1"/>
    <w:rsid w:val="00AD33C6"/>
    <w:rsid w:val="00AD3591"/>
    <w:rsid w:val="00AD40D9"/>
    <w:rsid w:val="00AD4ACA"/>
    <w:rsid w:val="00AD4E0E"/>
    <w:rsid w:val="00AD502D"/>
    <w:rsid w:val="00AD5AD0"/>
    <w:rsid w:val="00AD5F80"/>
    <w:rsid w:val="00AD779E"/>
    <w:rsid w:val="00AD7CFC"/>
    <w:rsid w:val="00AE070A"/>
    <w:rsid w:val="00AE1556"/>
    <w:rsid w:val="00AE1BB0"/>
    <w:rsid w:val="00AE24A4"/>
    <w:rsid w:val="00AE2B1E"/>
    <w:rsid w:val="00AE3EF3"/>
    <w:rsid w:val="00AE5705"/>
    <w:rsid w:val="00AE64D6"/>
    <w:rsid w:val="00AE6A46"/>
    <w:rsid w:val="00AF27D6"/>
    <w:rsid w:val="00AF2B28"/>
    <w:rsid w:val="00AF4A4C"/>
    <w:rsid w:val="00AF5149"/>
    <w:rsid w:val="00B001AD"/>
    <w:rsid w:val="00B00289"/>
    <w:rsid w:val="00B008E5"/>
    <w:rsid w:val="00B00ABB"/>
    <w:rsid w:val="00B01D19"/>
    <w:rsid w:val="00B02B4F"/>
    <w:rsid w:val="00B02E2A"/>
    <w:rsid w:val="00B07865"/>
    <w:rsid w:val="00B07B0C"/>
    <w:rsid w:val="00B07ED2"/>
    <w:rsid w:val="00B119A1"/>
    <w:rsid w:val="00B11A75"/>
    <w:rsid w:val="00B11DD6"/>
    <w:rsid w:val="00B126A6"/>
    <w:rsid w:val="00B12B8F"/>
    <w:rsid w:val="00B139DB"/>
    <w:rsid w:val="00B13E30"/>
    <w:rsid w:val="00B14217"/>
    <w:rsid w:val="00B147D0"/>
    <w:rsid w:val="00B14A82"/>
    <w:rsid w:val="00B164E3"/>
    <w:rsid w:val="00B17762"/>
    <w:rsid w:val="00B2140F"/>
    <w:rsid w:val="00B2194E"/>
    <w:rsid w:val="00B21A0B"/>
    <w:rsid w:val="00B21C71"/>
    <w:rsid w:val="00B21D7F"/>
    <w:rsid w:val="00B22C14"/>
    <w:rsid w:val="00B234C6"/>
    <w:rsid w:val="00B25563"/>
    <w:rsid w:val="00B259BE"/>
    <w:rsid w:val="00B26D48"/>
    <w:rsid w:val="00B277C1"/>
    <w:rsid w:val="00B32584"/>
    <w:rsid w:val="00B33C88"/>
    <w:rsid w:val="00B40070"/>
    <w:rsid w:val="00B4148B"/>
    <w:rsid w:val="00B420F1"/>
    <w:rsid w:val="00B42EE1"/>
    <w:rsid w:val="00B4381E"/>
    <w:rsid w:val="00B44582"/>
    <w:rsid w:val="00B45891"/>
    <w:rsid w:val="00B51E26"/>
    <w:rsid w:val="00B52222"/>
    <w:rsid w:val="00B52D14"/>
    <w:rsid w:val="00B55B4A"/>
    <w:rsid w:val="00B56253"/>
    <w:rsid w:val="00B5630B"/>
    <w:rsid w:val="00B571E8"/>
    <w:rsid w:val="00B57E1B"/>
    <w:rsid w:val="00B60945"/>
    <w:rsid w:val="00B60EAB"/>
    <w:rsid w:val="00B6145B"/>
    <w:rsid w:val="00B61F14"/>
    <w:rsid w:val="00B62007"/>
    <w:rsid w:val="00B64CA7"/>
    <w:rsid w:val="00B659D4"/>
    <w:rsid w:val="00B65B5B"/>
    <w:rsid w:val="00B66E4A"/>
    <w:rsid w:val="00B71010"/>
    <w:rsid w:val="00B72CEE"/>
    <w:rsid w:val="00B737B2"/>
    <w:rsid w:val="00B74A72"/>
    <w:rsid w:val="00B76A31"/>
    <w:rsid w:val="00B77DA5"/>
    <w:rsid w:val="00B808E6"/>
    <w:rsid w:val="00B812BF"/>
    <w:rsid w:val="00B81B99"/>
    <w:rsid w:val="00B82475"/>
    <w:rsid w:val="00B8293D"/>
    <w:rsid w:val="00B8323B"/>
    <w:rsid w:val="00B840B4"/>
    <w:rsid w:val="00B843EE"/>
    <w:rsid w:val="00B84EBC"/>
    <w:rsid w:val="00B86306"/>
    <w:rsid w:val="00B86CC2"/>
    <w:rsid w:val="00B90881"/>
    <w:rsid w:val="00B9181B"/>
    <w:rsid w:val="00B91EAA"/>
    <w:rsid w:val="00B92478"/>
    <w:rsid w:val="00B9282B"/>
    <w:rsid w:val="00B92AF9"/>
    <w:rsid w:val="00B934D5"/>
    <w:rsid w:val="00B93DA9"/>
    <w:rsid w:val="00B9514F"/>
    <w:rsid w:val="00B95194"/>
    <w:rsid w:val="00BA09DA"/>
    <w:rsid w:val="00BA0A61"/>
    <w:rsid w:val="00BA20B1"/>
    <w:rsid w:val="00BA36D5"/>
    <w:rsid w:val="00BA3FF1"/>
    <w:rsid w:val="00BA40D2"/>
    <w:rsid w:val="00BA4BAD"/>
    <w:rsid w:val="00BA5337"/>
    <w:rsid w:val="00BA53F8"/>
    <w:rsid w:val="00BA56BB"/>
    <w:rsid w:val="00BA5BB7"/>
    <w:rsid w:val="00BA6188"/>
    <w:rsid w:val="00BA7F46"/>
    <w:rsid w:val="00BB0881"/>
    <w:rsid w:val="00BB1B20"/>
    <w:rsid w:val="00BB2AD7"/>
    <w:rsid w:val="00BB4EAF"/>
    <w:rsid w:val="00BB5987"/>
    <w:rsid w:val="00BB5AE8"/>
    <w:rsid w:val="00BB68A7"/>
    <w:rsid w:val="00BB7BDF"/>
    <w:rsid w:val="00BC0E8A"/>
    <w:rsid w:val="00BC275C"/>
    <w:rsid w:val="00BC298D"/>
    <w:rsid w:val="00BC3876"/>
    <w:rsid w:val="00BC3F2D"/>
    <w:rsid w:val="00BC45D7"/>
    <w:rsid w:val="00BC48C9"/>
    <w:rsid w:val="00BC6A8F"/>
    <w:rsid w:val="00BC70E8"/>
    <w:rsid w:val="00BC76D2"/>
    <w:rsid w:val="00BD1043"/>
    <w:rsid w:val="00BD157C"/>
    <w:rsid w:val="00BD29CE"/>
    <w:rsid w:val="00BD53B7"/>
    <w:rsid w:val="00BD5A05"/>
    <w:rsid w:val="00BD61A2"/>
    <w:rsid w:val="00BE0157"/>
    <w:rsid w:val="00BE0FD5"/>
    <w:rsid w:val="00BE1098"/>
    <w:rsid w:val="00BE22B6"/>
    <w:rsid w:val="00BE23BC"/>
    <w:rsid w:val="00BE4087"/>
    <w:rsid w:val="00BE484D"/>
    <w:rsid w:val="00BE57B7"/>
    <w:rsid w:val="00BE60D9"/>
    <w:rsid w:val="00BE6DF9"/>
    <w:rsid w:val="00BF006A"/>
    <w:rsid w:val="00BF0664"/>
    <w:rsid w:val="00BF19BE"/>
    <w:rsid w:val="00BF1DBA"/>
    <w:rsid w:val="00BF23F7"/>
    <w:rsid w:val="00BF5C6C"/>
    <w:rsid w:val="00BF6945"/>
    <w:rsid w:val="00BF70E8"/>
    <w:rsid w:val="00BF7953"/>
    <w:rsid w:val="00C027FD"/>
    <w:rsid w:val="00C04B76"/>
    <w:rsid w:val="00C065EA"/>
    <w:rsid w:val="00C07189"/>
    <w:rsid w:val="00C1033D"/>
    <w:rsid w:val="00C10D89"/>
    <w:rsid w:val="00C13F62"/>
    <w:rsid w:val="00C1406D"/>
    <w:rsid w:val="00C1468D"/>
    <w:rsid w:val="00C14AAA"/>
    <w:rsid w:val="00C158A9"/>
    <w:rsid w:val="00C17E43"/>
    <w:rsid w:val="00C205D1"/>
    <w:rsid w:val="00C2088C"/>
    <w:rsid w:val="00C228A0"/>
    <w:rsid w:val="00C24F2E"/>
    <w:rsid w:val="00C26CFE"/>
    <w:rsid w:val="00C300FB"/>
    <w:rsid w:val="00C3233C"/>
    <w:rsid w:val="00C32453"/>
    <w:rsid w:val="00C32F89"/>
    <w:rsid w:val="00C348DE"/>
    <w:rsid w:val="00C34CCA"/>
    <w:rsid w:val="00C35461"/>
    <w:rsid w:val="00C354DB"/>
    <w:rsid w:val="00C35DDE"/>
    <w:rsid w:val="00C37E05"/>
    <w:rsid w:val="00C407E5"/>
    <w:rsid w:val="00C40B3D"/>
    <w:rsid w:val="00C416FB"/>
    <w:rsid w:val="00C418EE"/>
    <w:rsid w:val="00C41DF7"/>
    <w:rsid w:val="00C4241D"/>
    <w:rsid w:val="00C426B6"/>
    <w:rsid w:val="00C439A8"/>
    <w:rsid w:val="00C4478B"/>
    <w:rsid w:val="00C47789"/>
    <w:rsid w:val="00C50BAE"/>
    <w:rsid w:val="00C512D3"/>
    <w:rsid w:val="00C517D4"/>
    <w:rsid w:val="00C51C4C"/>
    <w:rsid w:val="00C51CF3"/>
    <w:rsid w:val="00C52B34"/>
    <w:rsid w:val="00C55436"/>
    <w:rsid w:val="00C55D29"/>
    <w:rsid w:val="00C5703C"/>
    <w:rsid w:val="00C5736C"/>
    <w:rsid w:val="00C60B3D"/>
    <w:rsid w:val="00C623E1"/>
    <w:rsid w:val="00C63E8C"/>
    <w:rsid w:val="00C640C4"/>
    <w:rsid w:val="00C64512"/>
    <w:rsid w:val="00C647AC"/>
    <w:rsid w:val="00C708B8"/>
    <w:rsid w:val="00C72C36"/>
    <w:rsid w:val="00C7336B"/>
    <w:rsid w:val="00C73C3F"/>
    <w:rsid w:val="00C772D3"/>
    <w:rsid w:val="00C77F3E"/>
    <w:rsid w:val="00C803F6"/>
    <w:rsid w:val="00C80FFF"/>
    <w:rsid w:val="00C81D25"/>
    <w:rsid w:val="00C83CC2"/>
    <w:rsid w:val="00C8409E"/>
    <w:rsid w:val="00C84D7D"/>
    <w:rsid w:val="00C860EB"/>
    <w:rsid w:val="00C86E2D"/>
    <w:rsid w:val="00C87356"/>
    <w:rsid w:val="00C879C3"/>
    <w:rsid w:val="00C90FC2"/>
    <w:rsid w:val="00C91490"/>
    <w:rsid w:val="00C92008"/>
    <w:rsid w:val="00C92197"/>
    <w:rsid w:val="00C934B8"/>
    <w:rsid w:val="00C93B82"/>
    <w:rsid w:val="00C941A2"/>
    <w:rsid w:val="00C95DDC"/>
    <w:rsid w:val="00C976E6"/>
    <w:rsid w:val="00CA07EA"/>
    <w:rsid w:val="00CA0BE9"/>
    <w:rsid w:val="00CA138D"/>
    <w:rsid w:val="00CA4F80"/>
    <w:rsid w:val="00CA5081"/>
    <w:rsid w:val="00CA6977"/>
    <w:rsid w:val="00CB0FB9"/>
    <w:rsid w:val="00CB2740"/>
    <w:rsid w:val="00CB28C0"/>
    <w:rsid w:val="00CB3038"/>
    <w:rsid w:val="00CB31F1"/>
    <w:rsid w:val="00CB3DC7"/>
    <w:rsid w:val="00CB4F09"/>
    <w:rsid w:val="00CB5CC5"/>
    <w:rsid w:val="00CB709A"/>
    <w:rsid w:val="00CB7D49"/>
    <w:rsid w:val="00CC0535"/>
    <w:rsid w:val="00CC07CE"/>
    <w:rsid w:val="00CC0954"/>
    <w:rsid w:val="00CC0E9A"/>
    <w:rsid w:val="00CC1214"/>
    <w:rsid w:val="00CC1F23"/>
    <w:rsid w:val="00CC2D3D"/>
    <w:rsid w:val="00CC31BC"/>
    <w:rsid w:val="00CC3921"/>
    <w:rsid w:val="00CC64F5"/>
    <w:rsid w:val="00CC7641"/>
    <w:rsid w:val="00CC795C"/>
    <w:rsid w:val="00CD08D1"/>
    <w:rsid w:val="00CD1198"/>
    <w:rsid w:val="00CD20F1"/>
    <w:rsid w:val="00CD287E"/>
    <w:rsid w:val="00CD330F"/>
    <w:rsid w:val="00CD4062"/>
    <w:rsid w:val="00CD4741"/>
    <w:rsid w:val="00CD6740"/>
    <w:rsid w:val="00CD6FAA"/>
    <w:rsid w:val="00CD7725"/>
    <w:rsid w:val="00CE182F"/>
    <w:rsid w:val="00CE1BF2"/>
    <w:rsid w:val="00CE34BA"/>
    <w:rsid w:val="00CE4F8A"/>
    <w:rsid w:val="00CE5166"/>
    <w:rsid w:val="00CE5B11"/>
    <w:rsid w:val="00CE7CCC"/>
    <w:rsid w:val="00CF15E7"/>
    <w:rsid w:val="00CF1969"/>
    <w:rsid w:val="00CF3756"/>
    <w:rsid w:val="00CF3D36"/>
    <w:rsid w:val="00CF5677"/>
    <w:rsid w:val="00CF5773"/>
    <w:rsid w:val="00CF5A43"/>
    <w:rsid w:val="00CF5D03"/>
    <w:rsid w:val="00CF5FDC"/>
    <w:rsid w:val="00CF6F37"/>
    <w:rsid w:val="00D00C36"/>
    <w:rsid w:val="00D00DC1"/>
    <w:rsid w:val="00D01606"/>
    <w:rsid w:val="00D03438"/>
    <w:rsid w:val="00D048B7"/>
    <w:rsid w:val="00D04EDB"/>
    <w:rsid w:val="00D0575A"/>
    <w:rsid w:val="00D06E95"/>
    <w:rsid w:val="00D07546"/>
    <w:rsid w:val="00D07684"/>
    <w:rsid w:val="00D1050B"/>
    <w:rsid w:val="00D12DD5"/>
    <w:rsid w:val="00D130D4"/>
    <w:rsid w:val="00D133F8"/>
    <w:rsid w:val="00D13794"/>
    <w:rsid w:val="00D13ED1"/>
    <w:rsid w:val="00D1679E"/>
    <w:rsid w:val="00D20D30"/>
    <w:rsid w:val="00D24052"/>
    <w:rsid w:val="00D24386"/>
    <w:rsid w:val="00D24480"/>
    <w:rsid w:val="00D2493D"/>
    <w:rsid w:val="00D27D82"/>
    <w:rsid w:val="00D27FFE"/>
    <w:rsid w:val="00D3117F"/>
    <w:rsid w:val="00D31575"/>
    <w:rsid w:val="00D32168"/>
    <w:rsid w:val="00D34626"/>
    <w:rsid w:val="00D34FB4"/>
    <w:rsid w:val="00D35528"/>
    <w:rsid w:val="00D36115"/>
    <w:rsid w:val="00D36177"/>
    <w:rsid w:val="00D368F8"/>
    <w:rsid w:val="00D36976"/>
    <w:rsid w:val="00D374D0"/>
    <w:rsid w:val="00D406DF"/>
    <w:rsid w:val="00D40B7A"/>
    <w:rsid w:val="00D412B2"/>
    <w:rsid w:val="00D41A19"/>
    <w:rsid w:val="00D41A29"/>
    <w:rsid w:val="00D41AFB"/>
    <w:rsid w:val="00D4257A"/>
    <w:rsid w:val="00D452F8"/>
    <w:rsid w:val="00D457C5"/>
    <w:rsid w:val="00D47229"/>
    <w:rsid w:val="00D503BC"/>
    <w:rsid w:val="00D507E4"/>
    <w:rsid w:val="00D51159"/>
    <w:rsid w:val="00D52551"/>
    <w:rsid w:val="00D52BAB"/>
    <w:rsid w:val="00D52CF2"/>
    <w:rsid w:val="00D53EE2"/>
    <w:rsid w:val="00D53F88"/>
    <w:rsid w:val="00D545C3"/>
    <w:rsid w:val="00D56A4D"/>
    <w:rsid w:val="00D60535"/>
    <w:rsid w:val="00D60776"/>
    <w:rsid w:val="00D61801"/>
    <w:rsid w:val="00D61AA9"/>
    <w:rsid w:val="00D62665"/>
    <w:rsid w:val="00D629A8"/>
    <w:rsid w:val="00D64297"/>
    <w:rsid w:val="00D6511C"/>
    <w:rsid w:val="00D65C0C"/>
    <w:rsid w:val="00D66C71"/>
    <w:rsid w:val="00D706EB"/>
    <w:rsid w:val="00D710D9"/>
    <w:rsid w:val="00D739D9"/>
    <w:rsid w:val="00D73A35"/>
    <w:rsid w:val="00D74144"/>
    <w:rsid w:val="00D758AE"/>
    <w:rsid w:val="00D7617C"/>
    <w:rsid w:val="00D8008F"/>
    <w:rsid w:val="00D80F7E"/>
    <w:rsid w:val="00D81662"/>
    <w:rsid w:val="00D82CAC"/>
    <w:rsid w:val="00D82E47"/>
    <w:rsid w:val="00D82F4A"/>
    <w:rsid w:val="00D83C29"/>
    <w:rsid w:val="00D84DB9"/>
    <w:rsid w:val="00D8514E"/>
    <w:rsid w:val="00D85233"/>
    <w:rsid w:val="00D853DB"/>
    <w:rsid w:val="00D85EDB"/>
    <w:rsid w:val="00D86F48"/>
    <w:rsid w:val="00D87F5F"/>
    <w:rsid w:val="00D90DCF"/>
    <w:rsid w:val="00D91CA2"/>
    <w:rsid w:val="00D941E4"/>
    <w:rsid w:val="00D945C4"/>
    <w:rsid w:val="00D96F1B"/>
    <w:rsid w:val="00D97381"/>
    <w:rsid w:val="00DA0436"/>
    <w:rsid w:val="00DA3B7F"/>
    <w:rsid w:val="00DA4065"/>
    <w:rsid w:val="00DA54E4"/>
    <w:rsid w:val="00DA5696"/>
    <w:rsid w:val="00DA7900"/>
    <w:rsid w:val="00DA7A16"/>
    <w:rsid w:val="00DA7EB5"/>
    <w:rsid w:val="00DB0E8D"/>
    <w:rsid w:val="00DB11FF"/>
    <w:rsid w:val="00DB180E"/>
    <w:rsid w:val="00DB1A6F"/>
    <w:rsid w:val="00DB37EC"/>
    <w:rsid w:val="00DB5594"/>
    <w:rsid w:val="00DB69D1"/>
    <w:rsid w:val="00DB6B7D"/>
    <w:rsid w:val="00DB7D60"/>
    <w:rsid w:val="00DC0065"/>
    <w:rsid w:val="00DC036C"/>
    <w:rsid w:val="00DC0866"/>
    <w:rsid w:val="00DC0B2E"/>
    <w:rsid w:val="00DC0CDE"/>
    <w:rsid w:val="00DC0D61"/>
    <w:rsid w:val="00DC11F1"/>
    <w:rsid w:val="00DC23EC"/>
    <w:rsid w:val="00DC3403"/>
    <w:rsid w:val="00DC448B"/>
    <w:rsid w:val="00DC47DA"/>
    <w:rsid w:val="00DC4AAF"/>
    <w:rsid w:val="00DC4D72"/>
    <w:rsid w:val="00DC534B"/>
    <w:rsid w:val="00DC53A9"/>
    <w:rsid w:val="00DC5DAB"/>
    <w:rsid w:val="00DC5FAB"/>
    <w:rsid w:val="00DC666A"/>
    <w:rsid w:val="00DC6BA1"/>
    <w:rsid w:val="00DD03A1"/>
    <w:rsid w:val="00DD0594"/>
    <w:rsid w:val="00DD0E08"/>
    <w:rsid w:val="00DD1D51"/>
    <w:rsid w:val="00DD21F1"/>
    <w:rsid w:val="00DD503B"/>
    <w:rsid w:val="00DD5759"/>
    <w:rsid w:val="00DD6B3E"/>
    <w:rsid w:val="00DD741A"/>
    <w:rsid w:val="00DE0641"/>
    <w:rsid w:val="00DE398F"/>
    <w:rsid w:val="00DE5947"/>
    <w:rsid w:val="00DE5CAD"/>
    <w:rsid w:val="00DE6E16"/>
    <w:rsid w:val="00DE6EFF"/>
    <w:rsid w:val="00DE7A94"/>
    <w:rsid w:val="00DF0ECC"/>
    <w:rsid w:val="00DF371B"/>
    <w:rsid w:val="00DF4C06"/>
    <w:rsid w:val="00DF4CD5"/>
    <w:rsid w:val="00DF5646"/>
    <w:rsid w:val="00DF5901"/>
    <w:rsid w:val="00DF68BD"/>
    <w:rsid w:val="00DF6900"/>
    <w:rsid w:val="00DF78F6"/>
    <w:rsid w:val="00E00A06"/>
    <w:rsid w:val="00E019BA"/>
    <w:rsid w:val="00E02390"/>
    <w:rsid w:val="00E023B5"/>
    <w:rsid w:val="00E023C3"/>
    <w:rsid w:val="00E02661"/>
    <w:rsid w:val="00E02699"/>
    <w:rsid w:val="00E03FBB"/>
    <w:rsid w:val="00E04D6F"/>
    <w:rsid w:val="00E06221"/>
    <w:rsid w:val="00E0624D"/>
    <w:rsid w:val="00E06DB4"/>
    <w:rsid w:val="00E072C3"/>
    <w:rsid w:val="00E10C03"/>
    <w:rsid w:val="00E10F35"/>
    <w:rsid w:val="00E1159D"/>
    <w:rsid w:val="00E11E86"/>
    <w:rsid w:val="00E2214F"/>
    <w:rsid w:val="00E27470"/>
    <w:rsid w:val="00E3096C"/>
    <w:rsid w:val="00E3189D"/>
    <w:rsid w:val="00E322B2"/>
    <w:rsid w:val="00E32D91"/>
    <w:rsid w:val="00E3493B"/>
    <w:rsid w:val="00E353A3"/>
    <w:rsid w:val="00E35822"/>
    <w:rsid w:val="00E35C49"/>
    <w:rsid w:val="00E4005D"/>
    <w:rsid w:val="00E40D54"/>
    <w:rsid w:val="00E4100B"/>
    <w:rsid w:val="00E41579"/>
    <w:rsid w:val="00E41F8E"/>
    <w:rsid w:val="00E42317"/>
    <w:rsid w:val="00E42CA7"/>
    <w:rsid w:val="00E42DCF"/>
    <w:rsid w:val="00E42FA8"/>
    <w:rsid w:val="00E4438C"/>
    <w:rsid w:val="00E4479F"/>
    <w:rsid w:val="00E452E4"/>
    <w:rsid w:val="00E454F5"/>
    <w:rsid w:val="00E457F3"/>
    <w:rsid w:val="00E45A4A"/>
    <w:rsid w:val="00E45F44"/>
    <w:rsid w:val="00E4624A"/>
    <w:rsid w:val="00E4686D"/>
    <w:rsid w:val="00E4717F"/>
    <w:rsid w:val="00E4751A"/>
    <w:rsid w:val="00E47ACA"/>
    <w:rsid w:val="00E47B38"/>
    <w:rsid w:val="00E50EEF"/>
    <w:rsid w:val="00E516F8"/>
    <w:rsid w:val="00E51B84"/>
    <w:rsid w:val="00E52B4B"/>
    <w:rsid w:val="00E52B62"/>
    <w:rsid w:val="00E53371"/>
    <w:rsid w:val="00E533EC"/>
    <w:rsid w:val="00E53FEF"/>
    <w:rsid w:val="00E542C1"/>
    <w:rsid w:val="00E551E5"/>
    <w:rsid w:val="00E55485"/>
    <w:rsid w:val="00E55580"/>
    <w:rsid w:val="00E55713"/>
    <w:rsid w:val="00E574DE"/>
    <w:rsid w:val="00E57685"/>
    <w:rsid w:val="00E60101"/>
    <w:rsid w:val="00E62409"/>
    <w:rsid w:val="00E62967"/>
    <w:rsid w:val="00E63066"/>
    <w:rsid w:val="00E6327F"/>
    <w:rsid w:val="00E63413"/>
    <w:rsid w:val="00E638A2"/>
    <w:rsid w:val="00E63E1E"/>
    <w:rsid w:val="00E6463A"/>
    <w:rsid w:val="00E66D67"/>
    <w:rsid w:val="00E67B94"/>
    <w:rsid w:val="00E70500"/>
    <w:rsid w:val="00E714F1"/>
    <w:rsid w:val="00E72178"/>
    <w:rsid w:val="00E735E5"/>
    <w:rsid w:val="00E73682"/>
    <w:rsid w:val="00E74DA1"/>
    <w:rsid w:val="00E75677"/>
    <w:rsid w:val="00E7598D"/>
    <w:rsid w:val="00E75CEE"/>
    <w:rsid w:val="00E77CF3"/>
    <w:rsid w:val="00E80A71"/>
    <w:rsid w:val="00E81EDA"/>
    <w:rsid w:val="00E841FF"/>
    <w:rsid w:val="00E84EB3"/>
    <w:rsid w:val="00E86A62"/>
    <w:rsid w:val="00E877BC"/>
    <w:rsid w:val="00E913F7"/>
    <w:rsid w:val="00E942FA"/>
    <w:rsid w:val="00E94E8E"/>
    <w:rsid w:val="00E952E2"/>
    <w:rsid w:val="00E9616F"/>
    <w:rsid w:val="00E9743A"/>
    <w:rsid w:val="00E975FA"/>
    <w:rsid w:val="00E97A6D"/>
    <w:rsid w:val="00EA2301"/>
    <w:rsid w:val="00EA2377"/>
    <w:rsid w:val="00EA2A4D"/>
    <w:rsid w:val="00EA3023"/>
    <w:rsid w:val="00EA40FB"/>
    <w:rsid w:val="00EA4DD8"/>
    <w:rsid w:val="00EA5039"/>
    <w:rsid w:val="00EA619A"/>
    <w:rsid w:val="00EA6E33"/>
    <w:rsid w:val="00EA6ED0"/>
    <w:rsid w:val="00EB098C"/>
    <w:rsid w:val="00EB1386"/>
    <w:rsid w:val="00EB235E"/>
    <w:rsid w:val="00EB2476"/>
    <w:rsid w:val="00EB27CC"/>
    <w:rsid w:val="00EB2AEF"/>
    <w:rsid w:val="00EB2D38"/>
    <w:rsid w:val="00EB3C33"/>
    <w:rsid w:val="00EB4728"/>
    <w:rsid w:val="00EB47B4"/>
    <w:rsid w:val="00EB5361"/>
    <w:rsid w:val="00EB5E26"/>
    <w:rsid w:val="00EB6F94"/>
    <w:rsid w:val="00EB7820"/>
    <w:rsid w:val="00EB7E71"/>
    <w:rsid w:val="00EC084E"/>
    <w:rsid w:val="00EC1690"/>
    <w:rsid w:val="00EC2E23"/>
    <w:rsid w:val="00EC42B8"/>
    <w:rsid w:val="00EC532E"/>
    <w:rsid w:val="00EC69A7"/>
    <w:rsid w:val="00EC73D6"/>
    <w:rsid w:val="00EC792F"/>
    <w:rsid w:val="00EC7E8D"/>
    <w:rsid w:val="00ED00DC"/>
    <w:rsid w:val="00ED03C5"/>
    <w:rsid w:val="00ED0491"/>
    <w:rsid w:val="00ED24C2"/>
    <w:rsid w:val="00ED308D"/>
    <w:rsid w:val="00ED52AF"/>
    <w:rsid w:val="00ED5962"/>
    <w:rsid w:val="00ED5BDD"/>
    <w:rsid w:val="00ED685F"/>
    <w:rsid w:val="00ED6DCB"/>
    <w:rsid w:val="00EE1BFB"/>
    <w:rsid w:val="00EE1E4A"/>
    <w:rsid w:val="00EE2969"/>
    <w:rsid w:val="00EE2981"/>
    <w:rsid w:val="00EE34B3"/>
    <w:rsid w:val="00EE3E96"/>
    <w:rsid w:val="00EE6F39"/>
    <w:rsid w:val="00EE7F5D"/>
    <w:rsid w:val="00EF0ECE"/>
    <w:rsid w:val="00EF16AF"/>
    <w:rsid w:val="00EF2E32"/>
    <w:rsid w:val="00EF3212"/>
    <w:rsid w:val="00EF514C"/>
    <w:rsid w:val="00EF5F43"/>
    <w:rsid w:val="00F01DC8"/>
    <w:rsid w:val="00F03B50"/>
    <w:rsid w:val="00F040CE"/>
    <w:rsid w:val="00F04143"/>
    <w:rsid w:val="00F04E17"/>
    <w:rsid w:val="00F0608F"/>
    <w:rsid w:val="00F0690C"/>
    <w:rsid w:val="00F06967"/>
    <w:rsid w:val="00F06B8C"/>
    <w:rsid w:val="00F0791A"/>
    <w:rsid w:val="00F1028F"/>
    <w:rsid w:val="00F109D4"/>
    <w:rsid w:val="00F10C95"/>
    <w:rsid w:val="00F14720"/>
    <w:rsid w:val="00F14FD4"/>
    <w:rsid w:val="00F15EE9"/>
    <w:rsid w:val="00F15FFD"/>
    <w:rsid w:val="00F23067"/>
    <w:rsid w:val="00F24048"/>
    <w:rsid w:val="00F245EB"/>
    <w:rsid w:val="00F24774"/>
    <w:rsid w:val="00F25215"/>
    <w:rsid w:val="00F2521D"/>
    <w:rsid w:val="00F258F9"/>
    <w:rsid w:val="00F26573"/>
    <w:rsid w:val="00F27008"/>
    <w:rsid w:val="00F304BC"/>
    <w:rsid w:val="00F306D2"/>
    <w:rsid w:val="00F30A77"/>
    <w:rsid w:val="00F31731"/>
    <w:rsid w:val="00F323AC"/>
    <w:rsid w:val="00F32527"/>
    <w:rsid w:val="00F32994"/>
    <w:rsid w:val="00F34276"/>
    <w:rsid w:val="00F34826"/>
    <w:rsid w:val="00F35196"/>
    <w:rsid w:val="00F3530C"/>
    <w:rsid w:val="00F35A9F"/>
    <w:rsid w:val="00F368E5"/>
    <w:rsid w:val="00F37D7E"/>
    <w:rsid w:val="00F42577"/>
    <w:rsid w:val="00F43053"/>
    <w:rsid w:val="00F43C64"/>
    <w:rsid w:val="00F44788"/>
    <w:rsid w:val="00F44AAD"/>
    <w:rsid w:val="00F457B7"/>
    <w:rsid w:val="00F46B4F"/>
    <w:rsid w:val="00F4737C"/>
    <w:rsid w:val="00F47585"/>
    <w:rsid w:val="00F518EB"/>
    <w:rsid w:val="00F51FBD"/>
    <w:rsid w:val="00F520A1"/>
    <w:rsid w:val="00F53562"/>
    <w:rsid w:val="00F54618"/>
    <w:rsid w:val="00F5756D"/>
    <w:rsid w:val="00F60E27"/>
    <w:rsid w:val="00F61C5E"/>
    <w:rsid w:val="00F648F7"/>
    <w:rsid w:val="00F671AA"/>
    <w:rsid w:val="00F715F6"/>
    <w:rsid w:val="00F72609"/>
    <w:rsid w:val="00F737B4"/>
    <w:rsid w:val="00F741A0"/>
    <w:rsid w:val="00F7539B"/>
    <w:rsid w:val="00F7698A"/>
    <w:rsid w:val="00F76EBA"/>
    <w:rsid w:val="00F77289"/>
    <w:rsid w:val="00F77C3F"/>
    <w:rsid w:val="00F80EE5"/>
    <w:rsid w:val="00F82936"/>
    <w:rsid w:val="00F82BF6"/>
    <w:rsid w:val="00F8341A"/>
    <w:rsid w:val="00F8343B"/>
    <w:rsid w:val="00F839B9"/>
    <w:rsid w:val="00F83DB9"/>
    <w:rsid w:val="00F84097"/>
    <w:rsid w:val="00F84CD1"/>
    <w:rsid w:val="00F85E6F"/>
    <w:rsid w:val="00F87587"/>
    <w:rsid w:val="00F9044A"/>
    <w:rsid w:val="00F908C5"/>
    <w:rsid w:val="00F9144F"/>
    <w:rsid w:val="00F919C4"/>
    <w:rsid w:val="00F92FEC"/>
    <w:rsid w:val="00F93B34"/>
    <w:rsid w:val="00F9559A"/>
    <w:rsid w:val="00F9659E"/>
    <w:rsid w:val="00F96650"/>
    <w:rsid w:val="00F97D86"/>
    <w:rsid w:val="00FA03BE"/>
    <w:rsid w:val="00FA20D4"/>
    <w:rsid w:val="00FA3735"/>
    <w:rsid w:val="00FA5D2D"/>
    <w:rsid w:val="00FA61AD"/>
    <w:rsid w:val="00FA626D"/>
    <w:rsid w:val="00FA65EA"/>
    <w:rsid w:val="00FA682A"/>
    <w:rsid w:val="00FA6E91"/>
    <w:rsid w:val="00FA7505"/>
    <w:rsid w:val="00FB0B4C"/>
    <w:rsid w:val="00FB1249"/>
    <w:rsid w:val="00FB130E"/>
    <w:rsid w:val="00FB3901"/>
    <w:rsid w:val="00FB40B6"/>
    <w:rsid w:val="00FB4CCE"/>
    <w:rsid w:val="00FB6866"/>
    <w:rsid w:val="00FB6940"/>
    <w:rsid w:val="00FB6F09"/>
    <w:rsid w:val="00FC1762"/>
    <w:rsid w:val="00FC20F4"/>
    <w:rsid w:val="00FC2595"/>
    <w:rsid w:val="00FC3134"/>
    <w:rsid w:val="00FC3671"/>
    <w:rsid w:val="00FC409A"/>
    <w:rsid w:val="00FC57AA"/>
    <w:rsid w:val="00FC7AF1"/>
    <w:rsid w:val="00FD1B60"/>
    <w:rsid w:val="00FD340B"/>
    <w:rsid w:val="00FD3922"/>
    <w:rsid w:val="00FD4E3D"/>
    <w:rsid w:val="00FD7BF1"/>
    <w:rsid w:val="00FD7DD0"/>
    <w:rsid w:val="00FD7EAF"/>
    <w:rsid w:val="00FE04E4"/>
    <w:rsid w:val="00FE0B7A"/>
    <w:rsid w:val="00FE0BB9"/>
    <w:rsid w:val="00FE13C5"/>
    <w:rsid w:val="00FE205B"/>
    <w:rsid w:val="00FE2669"/>
    <w:rsid w:val="00FE269B"/>
    <w:rsid w:val="00FE2985"/>
    <w:rsid w:val="00FE2CFC"/>
    <w:rsid w:val="00FE3752"/>
    <w:rsid w:val="00FE39BD"/>
    <w:rsid w:val="00FE4A0C"/>
    <w:rsid w:val="00FE4A2D"/>
    <w:rsid w:val="00FE5195"/>
    <w:rsid w:val="00FE6B2A"/>
    <w:rsid w:val="00FE73F9"/>
    <w:rsid w:val="00FE7795"/>
    <w:rsid w:val="00FF1057"/>
    <w:rsid w:val="00FF14F9"/>
    <w:rsid w:val="00FF2224"/>
    <w:rsid w:val="00FF2D27"/>
    <w:rsid w:val="00FF329B"/>
    <w:rsid w:val="00FF3E25"/>
    <w:rsid w:val="00FF550C"/>
    <w:rsid w:val="00FF55C9"/>
    <w:rsid w:val="00FF68FB"/>
    <w:rsid w:val="00FF6C83"/>
    <w:rsid w:val="00FF731F"/>
    <w:rsid w:val="00FF76BB"/>
    <w:rsid w:val="01B7BE65"/>
    <w:rsid w:val="03597FFD"/>
    <w:rsid w:val="03FD473D"/>
    <w:rsid w:val="044AEF6E"/>
    <w:rsid w:val="0455D29F"/>
    <w:rsid w:val="05E2EF49"/>
    <w:rsid w:val="06AC99F5"/>
    <w:rsid w:val="0BB242BB"/>
    <w:rsid w:val="0BC937AA"/>
    <w:rsid w:val="0DF06A43"/>
    <w:rsid w:val="0E85AEF1"/>
    <w:rsid w:val="100F3651"/>
    <w:rsid w:val="125BD87D"/>
    <w:rsid w:val="13011E3A"/>
    <w:rsid w:val="13F714F8"/>
    <w:rsid w:val="1628A625"/>
    <w:rsid w:val="164D7F6C"/>
    <w:rsid w:val="166FB051"/>
    <w:rsid w:val="18D0A7B1"/>
    <w:rsid w:val="1A466656"/>
    <w:rsid w:val="208A6A00"/>
    <w:rsid w:val="2126EEBE"/>
    <w:rsid w:val="23C38974"/>
    <w:rsid w:val="2509D46C"/>
    <w:rsid w:val="25D365D4"/>
    <w:rsid w:val="2760F0B6"/>
    <w:rsid w:val="276A43B3"/>
    <w:rsid w:val="276F3635"/>
    <w:rsid w:val="2878D2EA"/>
    <w:rsid w:val="2BB21476"/>
    <w:rsid w:val="2C2BAB05"/>
    <w:rsid w:val="2CEBF41B"/>
    <w:rsid w:val="2D8B3B4B"/>
    <w:rsid w:val="2FE11E67"/>
    <w:rsid w:val="308F0016"/>
    <w:rsid w:val="311C6D9A"/>
    <w:rsid w:val="32C7BF8D"/>
    <w:rsid w:val="362C797F"/>
    <w:rsid w:val="37A8E4A6"/>
    <w:rsid w:val="390B4F9D"/>
    <w:rsid w:val="3A2952C8"/>
    <w:rsid w:val="3AFA69CC"/>
    <w:rsid w:val="3B7D3B1E"/>
    <w:rsid w:val="3BEC6657"/>
    <w:rsid w:val="3C0BDB49"/>
    <w:rsid w:val="3C1E846D"/>
    <w:rsid w:val="3CAD9120"/>
    <w:rsid w:val="3D1D8EED"/>
    <w:rsid w:val="3E2687C3"/>
    <w:rsid w:val="3F34A16A"/>
    <w:rsid w:val="40A870CA"/>
    <w:rsid w:val="40FA2FC3"/>
    <w:rsid w:val="427E6F62"/>
    <w:rsid w:val="4412A55D"/>
    <w:rsid w:val="4483520C"/>
    <w:rsid w:val="45A60A3C"/>
    <w:rsid w:val="4654999E"/>
    <w:rsid w:val="49AC1735"/>
    <w:rsid w:val="4A380AC9"/>
    <w:rsid w:val="4D221BA6"/>
    <w:rsid w:val="4D8747AC"/>
    <w:rsid w:val="4DE988BC"/>
    <w:rsid w:val="4F421869"/>
    <w:rsid w:val="50B96C91"/>
    <w:rsid w:val="51A15CB1"/>
    <w:rsid w:val="5279B92B"/>
    <w:rsid w:val="52AF2462"/>
    <w:rsid w:val="5333346E"/>
    <w:rsid w:val="53AC5105"/>
    <w:rsid w:val="55E577F2"/>
    <w:rsid w:val="566B34ED"/>
    <w:rsid w:val="5760FD8E"/>
    <w:rsid w:val="58F12445"/>
    <w:rsid w:val="5BB92469"/>
    <w:rsid w:val="5C566285"/>
    <w:rsid w:val="5F5A6488"/>
    <w:rsid w:val="60C91A6E"/>
    <w:rsid w:val="60CA46CA"/>
    <w:rsid w:val="60E77014"/>
    <w:rsid w:val="632128C5"/>
    <w:rsid w:val="632BFCC9"/>
    <w:rsid w:val="6451BF9A"/>
    <w:rsid w:val="650647EC"/>
    <w:rsid w:val="660522AB"/>
    <w:rsid w:val="674BEC23"/>
    <w:rsid w:val="68F51DB6"/>
    <w:rsid w:val="6A0EDB9B"/>
    <w:rsid w:val="6A838CE5"/>
    <w:rsid w:val="6ABDE1B5"/>
    <w:rsid w:val="6FB86F70"/>
    <w:rsid w:val="71760DD3"/>
    <w:rsid w:val="718D6A7E"/>
    <w:rsid w:val="76F4504E"/>
    <w:rsid w:val="77BC35E2"/>
    <w:rsid w:val="77D7CD9C"/>
    <w:rsid w:val="787AA604"/>
    <w:rsid w:val="7935E35A"/>
    <w:rsid w:val="79F1A341"/>
    <w:rsid w:val="7B1E6C7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8EC0A"/>
  <w15:docId w15:val="{1C73F64A-5951-4236-8E30-507AB1315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E17"/>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aliases w:val="h2,h2 main heading,B Sub/Bold,Activity,A.B.C.,Level I for #'s,hoofd 2,Heading2-bio,Career Exp.,Heading 2 main heading,H2,Heading 2 main heading Char,h2 main heading Char,B Sub/Bold Char,Activity Char,h2 Char,A.B.C. Char,H2 Char,h"/>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uiPriority w:val="9"/>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2"/>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 + line,b1,Body,level 1,Bullet + line"/>
    <w:basedOn w:val="Normal"/>
    <w:link w:val="BulletChar"/>
    <w:qFormat/>
    <w:rsid w:val="00E0624D"/>
    <w:pPr>
      <w:numPr>
        <w:numId w:val="3"/>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qFormat/>
    <w:rsid w:val="00E0624D"/>
    <w:pPr>
      <w:numPr>
        <w:ilvl w:val="1"/>
        <w:numId w:val="3"/>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3"/>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uiPriority w:val="9"/>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Revision">
    <w:name w:val="Revision"/>
    <w:hidden/>
    <w:uiPriority w:val="99"/>
    <w:semiHidden/>
    <w:rsid w:val="00FB40B6"/>
    <w:rPr>
      <w:sz w:val="24"/>
    </w:rPr>
  </w:style>
  <w:style w:type="paragraph" w:styleId="ListParagraph">
    <w:name w:val="List Paragraph"/>
    <w:basedOn w:val="Normal"/>
    <w:uiPriority w:val="34"/>
    <w:qFormat/>
    <w:rsid w:val="004B6ABB"/>
    <w:pPr>
      <w:ind w:left="720"/>
      <w:contextualSpacing/>
    </w:pPr>
  </w:style>
  <w:style w:type="character" w:customStyle="1" w:styleId="normaltextrun">
    <w:name w:val="normaltextrun"/>
    <w:basedOn w:val="DefaultParagraphFont"/>
    <w:rsid w:val="00AE6A46"/>
  </w:style>
  <w:style w:type="character" w:customStyle="1" w:styleId="eop">
    <w:name w:val="eop"/>
    <w:basedOn w:val="DefaultParagraphFont"/>
    <w:rsid w:val="00AE6A46"/>
  </w:style>
  <w:style w:type="paragraph" w:customStyle="1" w:styleId="paragraph">
    <w:name w:val="paragraph"/>
    <w:basedOn w:val="Normal"/>
    <w:rsid w:val="00E51B84"/>
    <w:pPr>
      <w:spacing w:before="100" w:beforeAutospacing="1" w:after="100" w:afterAutospacing="1"/>
    </w:pPr>
    <w:rPr>
      <w:szCs w:val="24"/>
    </w:rPr>
  </w:style>
  <w:style w:type="paragraph" w:customStyle="1" w:styleId="TableHeading">
    <w:name w:val="Table Heading"/>
    <w:basedOn w:val="Heading4"/>
    <w:next w:val="Normal"/>
    <w:uiPriority w:val="1"/>
    <w:rsid w:val="00AB2BF1"/>
    <w:pPr>
      <w:numPr>
        <w:ilvl w:val="4"/>
        <w:numId w:val="8"/>
      </w:numPr>
      <w:tabs>
        <w:tab w:val="clear" w:pos="1987"/>
      </w:tabs>
      <w:spacing w:before="240" w:after="200"/>
      <w:ind w:left="0" w:firstLine="0"/>
    </w:pPr>
    <w:rPr>
      <w:rFonts w:ascii="Helvetica" w:hAnsi="Helvetica" w:cs="Helvetica"/>
      <w:i/>
      <w:iCs/>
      <w:kern w:val="0"/>
      <w:sz w:val="22"/>
      <w:szCs w:val="22"/>
      <w:lang w:eastAsia="en-US"/>
    </w:rPr>
  </w:style>
  <w:style w:type="paragraph" w:customStyle="1" w:styleId="Chapterheading">
    <w:name w:val="Chapter heading"/>
    <w:basedOn w:val="Heading1"/>
    <w:next w:val="Normal"/>
    <w:rsid w:val="00AB2BF1"/>
    <w:pPr>
      <w:keepLines/>
      <w:numPr>
        <w:numId w:val="8"/>
      </w:numPr>
      <w:pBdr>
        <w:bottom w:val="single" w:sz="4" w:space="8" w:color="auto"/>
      </w:pBdr>
      <w:spacing w:before="0" w:after="480"/>
      <w:jc w:val="left"/>
    </w:pPr>
    <w:rPr>
      <w:rFonts w:ascii="Helvitica" w:eastAsiaTheme="majorEastAsia" w:hAnsi="Helvitica" w:cstheme="majorBidi"/>
      <w:i/>
      <w:kern w:val="0"/>
      <w:sz w:val="40"/>
      <w:szCs w:val="32"/>
      <w:u w:val="none"/>
      <w:lang w:eastAsia="en-US"/>
    </w:rPr>
  </w:style>
  <w:style w:type="numbering" w:customStyle="1" w:styleId="Chapternumbering">
    <w:name w:val="Chapter numbering"/>
    <w:uiPriority w:val="99"/>
    <w:rsid w:val="00AB2BF1"/>
    <w:pPr>
      <w:numPr>
        <w:numId w:val="8"/>
      </w:numPr>
    </w:pPr>
  </w:style>
  <w:style w:type="paragraph" w:customStyle="1" w:styleId="DiagramHeading">
    <w:name w:val="Diagram Heading"/>
    <w:basedOn w:val="TableHeading"/>
    <w:next w:val="Normal"/>
    <w:uiPriority w:val="1"/>
    <w:rsid w:val="00AB2BF1"/>
    <w:pPr>
      <w:numPr>
        <w:ilvl w:val="2"/>
      </w:numPr>
      <w:ind w:left="0" w:firstLine="0"/>
    </w:pPr>
  </w:style>
  <w:style w:type="paragraph" w:customStyle="1" w:styleId="ExampleHeading">
    <w:name w:val="Example Heading"/>
    <w:basedOn w:val="TableHeading"/>
    <w:next w:val="Normal"/>
    <w:uiPriority w:val="1"/>
    <w:rsid w:val="00AB2BF1"/>
    <w:pPr>
      <w:numPr>
        <w:ilvl w:val="3"/>
      </w:numPr>
      <w:ind w:left="0" w:firstLine="0"/>
    </w:pPr>
  </w:style>
  <w:style w:type="paragraph" w:customStyle="1" w:styleId="Normalparatextwithnumbers">
    <w:name w:val="Normal para text (with numbers)"/>
    <w:basedOn w:val="Normal"/>
    <w:qFormat/>
    <w:rsid w:val="00AB2BF1"/>
    <w:pPr>
      <w:numPr>
        <w:ilvl w:val="1"/>
        <w:numId w:val="8"/>
      </w:numPr>
    </w:pPr>
    <w:rPr>
      <w:rFonts w:eastAsiaTheme="minorHAnsi" w:cstheme="minorBidi"/>
      <w:sz w:val="22"/>
      <w:szCs w:val="22"/>
      <w:lang w:eastAsia="en-US"/>
    </w:rPr>
  </w:style>
  <w:style w:type="character" w:customStyle="1" w:styleId="base-text-paragraphChar">
    <w:name w:val="base-text-paragraph Char"/>
    <w:basedOn w:val="DefaultParagraphFont"/>
    <w:link w:val="base-text-paragraph"/>
    <w:rsid w:val="00B11A75"/>
    <w:rPr>
      <w:sz w:val="24"/>
    </w:rPr>
  </w:style>
  <w:style w:type="paragraph" w:customStyle="1" w:styleId="NoCtexttimesnewroman12">
    <w:name w:val="NoC text times new roman 12"/>
    <w:basedOn w:val="Normal"/>
    <w:link w:val="NoCtexttimesnewroman12Char"/>
    <w:qFormat/>
    <w:rsid w:val="0018279A"/>
    <w:pPr>
      <w:spacing w:before="240"/>
    </w:pPr>
    <w:rPr>
      <w:rFonts w:eastAsiaTheme="minorHAnsi" w:cstheme="minorBidi"/>
      <w:szCs w:val="22"/>
      <w:lang w:eastAsia="en-US"/>
    </w:rPr>
  </w:style>
  <w:style w:type="character" w:customStyle="1" w:styleId="NoCtexttimesnewroman12Char">
    <w:name w:val="NoC text times new roman 12 Char"/>
    <w:basedOn w:val="DefaultParagraphFont"/>
    <w:link w:val="NoCtexttimesnewroman12"/>
    <w:rsid w:val="0018279A"/>
    <w:rPr>
      <w:rFonts w:eastAsia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3004">
      <w:bodyDiv w:val="1"/>
      <w:marLeft w:val="0"/>
      <w:marRight w:val="0"/>
      <w:marTop w:val="0"/>
      <w:marBottom w:val="0"/>
      <w:divBdr>
        <w:top w:val="none" w:sz="0" w:space="0" w:color="auto"/>
        <w:left w:val="none" w:sz="0" w:space="0" w:color="auto"/>
        <w:bottom w:val="none" w:sz="0" w:space="0" w:color="auto"/>
        <w:right w:val="none" w:sz="0" w:space="0" w:color="auto"/>
      </w:divBdr>
    </w:div>
    <w:div w:id="398552683">
      <w:bodyDiv w:val="1"/>
      <w:marLeft w:val="0"/>
      <w:marRight w:val="0"/>
      <w:marTop w:val="0"/>
      <w:marBottom w:val="0"/>
      <w:divBdr>
        <w:top w:val="none" w:sz="0" w:space="0" w:color="auto"/>
        <w:left w:val="none" w:sz="0" w:space="0" w:color="auto"/>
        <w:bottom w:val="none" w:sz="0" w:space="0" w:color="auto"/>
        <w:right w:val="none" w:sz="0" w:space="0" w:color="auto"/>
      </w:divBdr>
    </w:div>
    <w:div w:id="417557730">
      <w:bodyDiv w:val="1"/>
      <w:marLeft w:val="0"/>
      <w:marRight w:val="0"/>
      <w:marTop w:val="0"/>
      <w:marBottom w:val="0"/>
      <w:divBdr>
        <w:top w:val="none" w:sz="0" w:space="0" w:color="auto"/>
        <w:left w:val="none" w:sz="0" w:space="0" w:color="auto"/>
        <w:bottom w:val="none" w:sz="0" w:space="0" w:color="auto"/>
        <w:right w:val="none" w:sz="0" w:space="0" w:color="auto"/>
      </w:divBdr>
      <w:divsChild>
        <w:div w:id="216282546">
          <w:marLeft w:val="0"/>
          <w:marRight w:val="0"/>
          <w:marTop w:val="0"/>
          <w:marBottom w:val="0"/>
          <w:divBdr>
            <w:top w:val="none" w:sz="0" w:space="0" w:color="auto"/>
            <w:left w:val="none" w:sz="0" w:space="0" w:color="auto"/>
            <w:bottom w:val="none" w:sz="0" w:space="0" w:color="auto"/>
            <w:right w:val="none" w:sz="0" w:space="0" w:color="auto"/>
          </w:divBdr>
        </w:div>
        <w:div w:id="289631245">
          <w:marLeft w:val="0"/>
          <w:marRight w:val="0"/>
          <w:marTop w:val="0"/>
          <w:marBottom w:val="0"/>
          <w:divBdr>
            <w:top w:val="none" w:sz="0" w:space="0" w:color="auto"/>
            <w:left w:val="none" w:sz="0" w:space="0" w:color="auto"/>
            <w:bottom w:val="none" w:sz="0" w:space="0" w:color="auto"/>
            <w:right w:val="none" w:sz="0" w:space="0" w:color="auto"/>
          </w:divBdr>
        </w:div>
        <w:div w:id="397099012">
          <w:marLeft w:val="0"/>
          <w:marRight w:val="0"/>
          <w:marTop w:val="0"/>
          <w:marBottom w:val="0"/>
          <w:divBdr>
            <w:top w:val="none" w:sz="0" w:space="0" w:color="auto"/>
            <w:left w:val="none" w:sz="0" w:space="0" w:color="auto"/>
            <w:bottom w:val="none" w:sz="0" w:space="0" w:color="auto"/>
            <w:right w:val="none" w:sz="0" w:space="0" w:color="auto"/>
          </w:divBdr>
        </w:div>
        <w:div w:id="529951944">
          <w:marLeft w:val="0"/>
          <w:marRight w:val="0"/>
          <w:marTop w:val="0"/>
          <w:marBottom w:val="0"/>
          <w:divBdr>
            <w:top w:val="none" w:sz="0" w:space="0" w:color="auto"/>
            <w:left w:val="none" w:sz="0" w:space="0" w:color="auto"/>
            <w:bottom w:val="none" w:sz="0" w:space="0" w:color="auto"/>
            <w:right w:val="none" w:sz="0" w:space="0" w:color="auto"/>
          </w:divBdr>
          <w:divsChild>
            <w:div w:id="135338632">
              <w:marLeft w:val="0"/>
              <w:marRight w:val="0"/>
              <w:marTop w:val="0"/>
              <w:marBottom w:val="0"/>
              <w:divBdr>
                <w:top w:val="none" w:sz="0" w:space="0" w:color="auto"/>
                <w:left w:val="none" w:sz="0" w:space="0" w:color="auto"/>
                <w:bottom w:val="none" w:sz="0" w:space="0" w:color="auto"/>
                <w:right w:val="none" w:sz="0" w:space="0" w:color="auto"/>
              </w:divBdr>
            </w:div>
            <w:div w:id="1510831002">
              <w:marLeft w:val="0"/>
              <w:marRight w:val="0"/>
              <w:marTop w:val="0"/>
              <w:marBottom w:val="0"/>
              <w:divBdr>
                <w:top w:val="none" w:sz="0" w:space="0" w:color="auto"/>
                <w:left w:val="none" w:sz="0" w:space="0" w:color="auto"/>
                <w:bottom w:val="none" w:sz="0" w:space="0" w:color="auto"/>
                <w:right w:val="none" w:sz="0" w:space="0" w:color="auto"/>
              </w:divBdr>
            </w:div>
            <w:div w:id="1636568729">
              <w:marLeft w:val="0"/>
              <w:marRight w:val="0"/>
              <w:marTop w:val="0"/>
              <w:marBottom w:val="0"/>
              <w:divBdr>
                <w:top w:val="none" w:sz="0" w:space="0" w:color="auto"/>
                <w:left w:val="none" w:sz="0" w:space="0" w:color="auto"/>
                <w:bottom w:val="none" w:sz="0" w:space="0" w:color="auto"/>
                <w:right w:val="none" w:sz="0" w:space="0" w:color="auto"/>
              </w:divBdr>
            </w:div>
            <w:div w:id="1968395526">
              <w:marLeft w:val="0"/>
              <w:marRight w:val="0"/>
              <w:marTop w:val="0"/>
              <w:marBottom w:val="0"/>
              <w:divBdr>
                <w:top w:val="none" w:sz="0" w:space="0" w:color="auto"/>
                <w:left w:val="none" w:sz="0" w:space="0" w:color="auto"/>
                <w:bottom w:val="none" w:sz="0" w:space="0" w:color="auto"/>
                <w:right w:val="none" w:sz="0" w:space="0" w:color="auto"/>
              </w:divBdr>
            </w:div>
            <w:div w:id="1989432593">
              <w:marLeft w:val="0"/>
              <w:marRight w:val="0"/>
              <w:marTop w:val="0"/>
              <w:marBottom w:val="0"/>
              <w:divBdr>
                <w:top w:val="none" w:sz="0" w:space="0" w:color="auto"/>
                <w:left w:val="none" w:sz="0" w:space="0" w:color="auto"/>
                <w:bottom w:val="none" w:sz="0" w:space="0" w:color="auto"/>
                <w:right w:val="none" w:sz="0" w:space="0" w:color="auto"/>
              </w:divBdr>
            </w:div>
          </w:divsChild>
        </w:div>
        <w:div w:id="604116447">
          <w:marLeft w:val="0"/>
          <w:marRight w:val="0"/>
          <w:marTop w:val="0"/>
          <w:marBottom w:val="0"/>
          <w:divBdr>
            <w:top w:val="none" w:sz="0" w:space="0" w:color="auto"/>
            <w:left w:val="none" w:sz="0" w:space="0" w:color="auto"/>
            <w:bottom w:val="none" w:sz="0" w:space="0" w:color="auto"/>
            <w:right w:val="none" w:sz="0" w:space="0" w:color="auto"/>
          </w:divBdr>
        </w:div>
        <w:div w:id="867260755">
          <w:marLeft w:val="0"/>
          <w:marRight w:val="0"/>
          <w:marTop w:val="0"/>
          <w:marBottom w:val="0"/>
          <w:divBdr>
            <w:top w:val="none" w:sz="0" w:space="0" w:color="auto"/>
            <w:left w:val="none" w:sz="0" w:space="0" w:color="auto"/>
            <w:bottom w:val="none" w:sz="0" w:space="0" w:color="auto"/>
            <w:right w:val="none" w:sz="0" w:space="0" w:color="auto"/>
          </w:divBdr>
        </w:div>
        <w:div w:id="1019544994">
          <w:marLeft w:val="0"/>
          <w:marRight w:val="0"/>
          <w:marTop w:val="0"/>
          <w:marBottom w:val="0"/>
          <w:divBdr>
            <w:top w:val="none" w:sz="0" w:space="0" w:color="auto"/>
            <w:left w:val="none" w:sz="0" w:space="0" w:color="auto"/>
            <w:bottom w:val="none" w:sz="0" w:space="0" w:color="auto"/>
            <w:right w:val="none" w:sz="0" w:space="0" w:color="auto"/>
          </w:divBdr>
          <w:divsChild>
            <w:div w:id="154230561">
              <w:marLeft w:val="0"/>
              <w:marRight w:val="0"/>
              <w:marTop w:val="0"/>
              <w:marBottom w:val="0"/>
              <w:divBdr>
                <w:top w:val="none" w:sz="0" w:space="0" w:color="auto"/>
                <w:left w:val="none" w:sz="0" w:space="0" w:color="auto"/>
                <w:bottom w:val="none" w:sz="0" w:space="0" w:color="auto"/>
                <w:right w:val="none" w:sz="0" w:space="0" w:color="auto"/>
              </w:divBdr>
            </w:div>
            <w:div w:id="712924446">
              <w:marLeft w:val="0"/>
              <w:marRight w:val="0"/>
              <w:marTop w:val="0"/>
              <w:marBottom w:val="0"/>
              <w:divBdr>
                <w:top w:val="none" w:sz="0" w:space="0" w:color="auto"/>
                <w:left w:val="none" w:sz="0" w:space="0" w:color="auto"/>
                <w:bottom w:val="none" w:sz="0" w:space="0" w:color="auto"/>
                <w:right w:val="none" w:sz="0" w:space="0" w:color="auto"/>
              </w:divBdr>
            </w:div>
            <w:div w:id="1042287455">
              <w:marLeft w:val="0"/>
              <w:marRight w:val="0"/>
              <w:marTop w:val="0"/>
              <w:marBottom w:val="0"/>
              <w:divBdr>
                <w:top w:val="none" w:sz="0" w:space="0" w:color="auto"/>
                <w:left w:val="none" w:sz="0" w:space="0" w:color="auto"/>
                <w:bottom w:val="none" w:sz="0" w:space="0" w:color="auto"/>
                <w:right w:val="none" w:sz="0" w:space="0" w:color="auto"/>
              </w:divBdr>
            </w:div>
            <w:div w:id="1857230594">
              <w:marLeft w:val="0"/>
              <w:marRight w:val="0"/>
              <w:marTop w:val="0"/>
              <w:marBottom w:val="0"/>
              <w:divBdr>
                <w:top w:val="none" w:sz="0" w:space="0" w:color="auto"/>
                <w:left w:val="none" w:sz="0" w:space="0" w:color="auto"/>
                <w:bottom w:val="none" w:sz="0" w:space="0" w:color="auto"/>
                <w:right w:val="none" w:sz="0" w:space="0" w:color="auto"/>
              </w:divBdr>
            </w:div>
            <w:div w:id="2100635807">
              <w:marLeft w:val="0"/>
              <w:marRight w:val="0"/>
              <w:marTop w:val="0"/>
              <w:marBottom w:val="0"/>
              <w:divBdr>
                <w:top w:val="none" w:sz="0" w:space="0" w:color="auto"/>
                <w:left w:val="none" w:sz="0" w:space="0" w:color="auto"/>
                <w:bottom w:val="none" w:sz="0" w:space="0" w:color="auto"/>
                <w:right w:val="none" w:sz="0" w:space="0" w:color="auto"/>
              </w:divBdr>
            </w:div>
          </w:divsChild>
        </w:div>
        <w:div w:id="1176774095">
          <w:marLeft w:val="0"/>
          <w:marRight w:val="0"/>
          <w:marTop w:val="0"/>
          <w:marBottom w:val="0"/>
          <w:divBdr>
            <w:top w:val="none" w:sz="0" w:space="0" w:color="auto"/>
            <w:left w:val="none" w:sz="0" w:space="0" w:color="auto"/>
            <w:bottom w:val="none" w:sz="0" w:space="0" w:color="auto"/>
            <w:right w:val="none" w:sz="0" w:space="0" w:color="auto"/>
          </w:divBdr>
        </w:div>
        <w:div w:id="1212644994">
          <w:marLeft w:val="0"/>
          <w:marRight w:val="0"/>
          <w:marTop w:val="0"/>
          <w:marBottom w:val="0"/>
          <w:divBdr>
            <w:top w:val="none" w:sz="0" w:space="0" w:color="auto"/>
            <w:left w:val="none" w:sz="0" w:space="0" w:color="auto"/>
            <w:bottom w:val="none" w:sz="0" w:space="0" w:color="auto"/>
            <w:right w:val="none" w:sz="0" w:space="0" w:color="auto"/>
          </w:divBdr>
        </w:div>
        <w:div w:id="1250385050">
          <w:marLeft w:val="0"/>
          <w:marRight w:val="0"/>
          <w:marTop w:val="0"/>
          <w:marBottom w:val="0"/>
          <w:divBdr>
            <w:top w:val="none" w:sz="0" w:space="0" w:color="auto"/>
            <w:left w:val="none" w:sz="0" w:space="0" w:color="auto"/>
            <w:bottom w:val="none" w:sz="0" w:space="0" w:color="auto"/>
            <w:right w:val="none" w:sz="0" w:space="0" w:color="auto"/>
          </w:divBdr>
        </w:div>
        <w:div w:id="1402407162">
          <w:marLeft w:val="0"/>
          <w:marRight w:val="0"/>
          <w:marTop w:val="0"/>
          <w:marBottom w:val="0"/>
          <w:divBdr>
            <w:top w:val="none" w:sz="0" w:space="0" w:color="auto"/>
            <w:left w:val="none" w:sz="0" w:space="0" w:color="auto"/>
            <w:bottom w:val="none" w:sz="0" w:space="0" w:color="auto"/>
            <w:right w:val="none" w:sz="0" w:space="0" w:color="auto"/>
          </w:divBdr>
        </w:div>
        <w:div w:id="1652756091">
          <w:marLeft w:val="0"/>
          <w:marRight w:val="0"/>
          <w:marTop w:val="0"/>
          <w:marBottom w:val="0"/>
          <w:divBdr>
            <w:top w:val="none" w:sz="0" w:space="0" w:color="auto"/>
            <w:left w:val="none" w:sz="0" w:space="0" w:color="auto"/>
            <w:bottom w:val="none" w:sz="0" w:space="0" w:color="auto"/>
            <w:right w:val="none" w:sz="0" w:space="0" w:color="auto"/>
          </w:divBdr>
        </w:div>
        <w:div w:id="1659188714">
          <w:marLeft w:val="0"/>
          <w:marRight w:val="0"/>
          <w:marTop w:val="0"/>
          <w:marBottom w:val="0"/>
          <w:divBdr>
            <w:top w:val="none" w:sz="0" w:space="0" w:color="auto"/>
            <w:left w:val="none" w:sz="0" w:space="0" w:color="auto"/>
            <w:bottom w:val="none" w:sz="0" w:space="0" w:color="auto"/>
            <w:right w:val="none" w:sz="0" w:space="0" w:color="auto"/>
          </w:divBdr>
        </w:div>
        <w:div w:id="1696080780">
          <w:marLeft w:val="0"/>
          <w:marRight w:val="0"/>
          <w:marTop w:val="0"/>
          <w:marBottom w:val="0"/>
          <w:divBdr>
            <w:top w:val="none" w:sz="0" w:space="0" w:color="auto"/>
            <w:left w:val="none" w:sz="0" w:space="0" w:color="auto"/>
            <w:bottom w:val="none" w:sz="0" w:space="0" w:color="auto"/>
            <w:right w:val="none" w:sz="0" w:space="0" w:color="auto"/>
          </w:divBdr>
        </w:div>
        <w:div w:id="1774587636">
          <w:marLeft w:val="0"/>
          <w:marRight w:val="0"/>
          <w:marTop w:val="0"/>
          <w:marBottom w:val="0"/>
          <w:divBdr>
            <w:top w:val="none" w:sz="0" w:space="0" w:color="auto"/>
            <w:left w:val="none" w:sz="0" w:space="0" w:color="auto"/>
            <w:bottom w:val="none" w:sz="0" w:space="0" w:color="auto"/>
            <w:right w:val="none" w:sz="0" w:space="0" w:color="auto"/>
          </w:divBdr>
        </w:div>
        <w:div w:id="1832672554">
          <w:marLeft w:val="0"/>
          <w:marRight w:val="0"/>
          <w:marTop w:val="0"/>
          <w:marBottom w:val="0"/>
          <w:divBdr>
            <w:top w:val="none" w:sz="0" w:space="0" w:color="auto"/>
            <w:left w:val="none" w:sz="0" w:space="0" w:color="auto"/>
            <w:bottom w:val="none" w:sz="0" w:space="0" w:color="auto"/>
            <w:right w:val="none" w:sz="0" w:space="0" w:color="auto"/>
          </w:divBdr>
        </w:div>
        <w:div w:id="1870996311">
          <w:marLeft w:val="0"/>
          <w:marRight w:val="0"/>
          <w:marTop w:val="0"/>
          <w:marBottom w:val="0"/>
          <w:divBdr>
            <w:top w:val="none" w:sz="0" w:space="0" w:color="auto"/>
            <w:left w:val="none" w:sz="0" w:space="0" w:color="auto"/>
            <w:bottom w:val="none" w:sz="0" w:space="0" w:color="auto"/>
            <w:right w:val="none" w:sz="0" w:space="0" w:color="auto"/>
          </w:divBdr>
        </w:div>
        <w:div w:id="1983461436">
          <w:marLeft w:val="0"/>
          <w:marRight w:val="0"/>
          <w:marTop w:val="0"/>
          <w:marBottom w:val="0"/>
          <w:divBdr>
            <w:top w:val="none" w:sz="0" w:space="0" w:color="auto"/>
            <w:left w:val="none" w:sz="0" w:space="0" w:color="auto"/>
            <w:bottom w:val="none" w:sz="0" w:space="0" w:color="auto"/>
            <w:right w:val="none" w:sz="0" w:space="0" w:color="auto"/>
          </w:divBdr>
        </w:div>
        <w:div w:id="2073770625">
          <w:marLeft w:val="0"/>
          <w:marRight w:val="0"/>
          <w:marTop w:val="0"/>
          <w:marBottom w:val="0"/>
          <w:divBdr>
            <w:top w:val="none" w:sz="0" w:space="0" w:color="auto"/>
            <w:left w:val="none" w:sz="0" w:space="0" w:color="auto"/>
            <w:bottom w:val="none" w:sz="0" w:space="0" w:color="auto"/>
            <w:right w:val="none" w:sz="0" w:space="0" w:color="auto"/>
          </w:divBdr>
        </w:div>
      </w:divsChild>
    </w:div>
    <w:div w:id="500581231">
      <w:bodyDiv w:val="1"/>
      <w:marLeft w:val="0"/>
      <w:marRight w:val="0"/>
      <w:marTop w:val="0"/>
      <w:marBottom w:val="0"/>
      <w:divBdr>
        <w:top w:val="none" w:sz="0" w:space="0" w:color="auto"/>
        <w:left w:val="none" w:sz="0" w:space="0" w:color="auto"/>
        <w:bottom w:val="none" w:sz="0" w:space="0" w:color="auto"/>
        <w:right w:val="none" w:sz="0" w:space="0" w:color="auto"/>
      </w:divBdr>
      <w:divsChild>
        <w:div w:id="254244246">
          <w:marLeft w:val="0"/>
          <w:marRight w:val="0"/>
          <w:marTop w:val="0"/>
          <w:marBottom w:val="0"/>
          <w:divBdr>
            <w:top w:val="none" w:sz="0" w:space="0" w:color="auto"/>
            <w:left w:val="none" w:sz="0" w:space="0" w:color="auto"/>
            <w:bottom w:val="none" w:sz="0" w:space="0" w:color="auto"/>
            <w:right w:val="none" w:sz="0" w:space="0" w:color="auto"/>
          </w:divBdr>
        </w:div>
        <w:div w:id="328758300">
          <w:marLeft w:val="0"/>
          <w:marRight w:val="0"/>
          <w:marTop w:val="0"/>
          <w:marBottom w:val="0"/>
          <w:divBdr>
            <w:top w:val="none" w:sz="0" w:space="0" w:color="auto"/>
            <w:left w:val="none" w:sz="0" w:space="0" w:color="auto"/>
            <w:bottom w:val="none" w:sz="0" w:space="0" w:color="auto"/>
            <w:right w:val="none" w:sz="0" w:space="0" w:color="auto"/>
          </w:divBdr>
        </w:div>
        <w:div w:id="494032317">
          <w:marLeft w:val="0"/>
          <w:marRight w:val="0"/>
          <w:marTop w:val="0"/>
          <w:marBottom w:val="0"/>
          <w:divBdr>
            <w:top w:val="none" w:sz="0" w:space="0" w:color="auto"/>
            <w:left w:val="none" w:sz="0" w:space="0" w:color="auto"/>
            <w:bottom w:val="none" w:sz="0" w:space="0" w:color="auto"/>
            <w:right w:val="none" w:sz="0" w:space="0" w:color="auto"/>
          </w:divBdr>
        </w:div>
        <w:div w:id="761494198">
          <w:marLeft w:val="0"/>
          <w:marRight w:val="0"/>
          <w:marTop w:val="0"/>
          <w:marBottom w:val="0"/>
          <w:divBdr>
            <w:top w:val="none" w:sz="0" w:space="0" w:color="auto"/>
            <w:left w:val="none" w:sz="0" w:space="0" w:color="auto"/>
            <w:bottom w:val="none" w:sz="0" w:space="0" w:color="auto"/>
            <w:right w:val="none" w:sz="0" w:space="0" w:color="auto"/>
          </w:divBdr>
        </w:div>
        <w:div w:id="766468122">
          <w:marLeft w:val="0"/>
          <w:marRight w:val="0"/>
          <w:marTop w:val="0"/>
          <w:marBottom w:val="0"/>
          <w:divBdr>
            <w:top w:val="none" w:sz="0" w:space="0" w:color="auto"/>
            <w:left w:val="none" w:sz="0" w:space="0" w:color="auto"/>
            <w:bottom w:val="none" w:sz="0" w:space="0" w:color="auto"/>
            <w:right w:val="none" w:sz="0" w:space="0" w:color="auto"/>
          </w:divBdr>
          <w:divsChild>
            <w:div w:id="238758074">
              <w:marLeft w:val="0"/>
              <w:marRight w:val="0"/>
              <w:marTop w:val="0"/>
              <w:marBottom w:val="0"/>
              <w:divBdr>
                <w:top w:val="none" w:sz="0" w:space="0" w:color="auto"/>
                <w:left w:val="none" w:sz="0" w:space="0" w:color="auto"/>
                <w:bottom w:val="none" w:sz="0" w:space="0" w:color="auto"/>
                <w:right w:val="none" w:sz="0" w:space="0" w:color="auto"/>
              </w:divBdr>
            </w:div>
            <w:div w:id="453137301">
              <w:marLeft w:val="0"/>
              <w:marRight w:val="0"/>
              <w:marTop w:val="0"/>
              <w:marBottom w:val="0"/>
              <w:divBdr>
                <w:top w:val="none" w:sz="0" w:space="0" w:color="auto"/>
                <w:left w:val="none" w:sz="0" w:space="0" w:color="auto"/>
                <w:bottom w:val="none" w:sz="0" w:space="0" w:color="auto"/>
                <w:right w:val="none" w:sz="0" w:space="0" w:color="auto"/>
              </w:divBdr>
            </w:div>
            <w:div w:id="833297474">
              <w:marLeft w:val="0"/>
              <w:marRight w:val="0"/>
              <w:marTop w:val="0"/>
              <w:marBottom w:val="0"/>
              <w:divBdr>
                <w:top w:val="none" w:sz="0" w:space="0" w:color="auto"/>
                <w:left w:val="none" w:sz="0" w:space="0" w:color="auto"/>
                <w:bottom w:val="none" w:sz="0" w:space="0" w:color="auto"/>
                <w:right w:val="none" w:sz="0" w:space="0" w:color="auto"/>
              </w:divBdr>
            </w:div>
            <w:div w:id="1762529865">
              <w:marLeft w:val="0"/>
              <w:marRight w:val="0"/>
              <w:marTop w:val="0"/>
              <w:marBottom w:val="0"/>
              <w:divBdr>
                <w:top w:val="none" w:sz="0" w:space="0" w:color="auto"/>
                <w:left w:val="none" w:sz="0" w:space="0" w:color="auto"/>
                <w:bottom w:val="none" w:sz="0" w:space="0" w:color="auto"/>
                <w:right w:val="none" w:sz="0" w:space="0" w:color="auto"/>
              </w:divBdr>
            </w:div>
            <w:div w:id="2078625053">
              <w:marLeft w:val="0"/>
              <w:marRight w:val="0"/>
              <w:marTop w:val="0"/>
              <w:marBottom w:val="0"/>
              <w:divBdr>
                <w:top w:val="none" w:sz="0" w:space="0" w:color="auto"/>
                <w:left w:val="none" w:sz="0" w:space="0" w:color="auto"/>
                <w:bottom w:val="none" w:sz="0" w:space="0" w:color="auto"/>
                <w:right w:val="none" w:sz="0" w:space="0" w:color="auto"/>
              </w:divBdr>
            </w:div>
          </w:divsChild>
        </w:div>
        <w:div w:id="910892667">
          <w:marLeft w:val="0"/>
          <w:marRight w:val="0"/>
          <w:marTop w:val="0"/>
          <w:marBottom w:val="0"/>
          <w:divBdr>
            <w:top w:val="none" w:sz="0" w:space="0" w:color="auto"/>
            <w:left w:val="none" w:sz="0" w:space="0" w:color="auto"/>
            <w:bottom w:val="none" w:sz="0" w:space="0" w:color="auto"/>
            <w:right w:val="none" w:sz="0" w:space="0" w:color="auto"/>
          </w:divBdr>
          <w:divsChild>
            <w:div w:id="449588739">
              <w:marLeft w:val="0"/>
              <w:marRight w:val="0"/>
              <w:marTop w:val="0"/>
              <w:marBottom w:val="0"/>
              <w:divBdr>
                <w:top w:val="none" w:sz="0" w:space="0" w:color="auto"/>
                <w:left w:val="none" w:sz="0" w:space="0" w:color="auto"/>
                <w:bottom w:val="none" w:sz="0" w:space="0" w:color="auto"/>
                <w:right w:val="none" w:sz="0" w:space="0" w:color="auto"/>
              </w:divBdr>
            </w:div>
            <w:div w:id="663513536">
              <w:marLeft w:val="0"/>
              <w:marRight w:val="0"/>
              <w:marTop w:val="0"/>
              <w:marBottom w:val="0"/>
              <w:divBdr>
                <w:top w:val="none" w:sz="0" w:space="0" w:color="auto"/>
                <w:left w:val="none" w:sz="0" w:space="0" w:color="auto"/>
                <w:bottom w:val="none" w:sz="0" w:space="0" w:color="auto"/>
                <w:right w:val="none" w:sz="0" w:space="0" w:color="auto"/>
              </w:divBdr>
            </w:div>
            <w:div w:id="1365062315">
              <w:marLeft w:val="0"/>
              <w:marRight w:val="0"/>
              <w:marTop w:val="0"/>
              <w:marBottom w:val="0"/>
              <w:divBdr>
                <w:top w:val="none" w:sz="0" w:space="0" w:color="auto"/>
                <w:left w:val="none" w:sz="0" w:space="0" w:color="auto"/>
                <w:bottom w:val="none" w:sz="0" w:space="0" w:color="auto"/>
                <w:right w:val="none" w:sz="0" w:space="0" w:color="auto"/>
              </w:divBdr>
            </w:div>
            <w:div w:id="1375351646">
              <w:marLeft w:val="0"/>
              <w:marRight w:val="0"/>
              <w:marTop w:val="0"/>
              <w:marBottom w:val="0"/>
              <w:divBdr>
                <w:top w:val="none" w:sz="0" w:space="0" w:color="auto"/>
                <w:left w:val="none" w:sz="0" w:space="0" w:color="auto"/>
                <w:bottom w:val="none" w:sz="0" w:space="0" w:color="auto"/>
                <w:right w:val="none" w:sz="0" w:space="0" w:color="auto"/>
              </w:divBdr>
            </w:div>
            <w:div w:id="1598752734">
              <w:marLeft w:val="0"/>
              <w:marRight w:val="0"/>
              <w:marTop w:val="0"/>
              <w:marBottom w:val="0"/>
              <w:divBdr>
                <w:top w:val="none" w:sz="0" w:space="0" w:color="auto"/>
                <w:left w:val="none" w:sz="0" w:space="0" w:color="auto"/>
                <w:bottom w:val="none" w:sz="0" w:space="0" w:color="auto"/>
                <w:right w:val="none" w:sz="0" w:space="0" w:color="auto"/>
              </w:divBdr>
            </w:div>
          </w:divsChild>
        </w:div>
        <w:div w:id="971978241">
          <w:marLeft w:val="0"/>
          <w:marRight w:val="0"/>
          <w:marTop w:val="0"/>
          <w:marBottom w:val="0"/>
          <w:divBdr>
            <w:top w:val="none" w:sz="0" w:space="0" w:color="auto"/>
            <w:left w:val="none" w:sz="0" w:space="0" w:color="auto"/>
            <w:bottom w:val="none" w:sz="0" w:space="0" w:color="auto"/>
            <w:right w:val="none" w:sz="0" w:space="0" w:color="auto"/>
          </w:divBdr>
        </w:div>
        <w:div w:id="1241021215">
          <w:marLeft w:val="0"/>
          <w:marRight w:val="0"/>
          <w:marTop w:val="0"/>
          <w:marBottom w:val="0"/>
          <w:divBdr>
            <w:top w:val="none" w:sz="0" w:space="0" w:color="auto"/>
            <w:left w:val="none" w:sz="0" w:space="0" w:color="auto"/>
            <w:bottom w:val="none" w:sz="0" w:space="0" w:color="auto"/>
            <w:right w:val="none" w:sz="0" w:space="0" w:color="auto"/>
          </w:divBdr>
        </w:div>
        <w:div w:id="1246765691">
          <w:marLeft w:val="0"/>
          <w:marRight w:val="0"/>
          <w:marTop w:val="0"/>
          <w:marBottom w:val="0"/>
          <w:divBdr>
            <w:top w:val="none" w:sz="0" w:space="0" w:color="auto"/>
            <w:left w:val="none" w:sz="0" w:space="0" w:color="auto"/>
            <w:bottom w:val="none" w:sz="0" w:space="0" w:color="auto"/>
            <w:right w:val="none" w:sz="0" w:space="0" w:color="auto"/>
          </w:divBdr>
        </w:div>
        <w:div w:id="1446120501">
          <w:marLeft w:val="0"/>
          <w:marRight w:val="0"/>
          <w:marTop w:val="0"/>
          <w:marBottom w:val="0"/>
          <w:divBdr>
            <w:top w:val="none" w:sz="0" w:space="0" w:color="auto"/>
            <w:left w:val="none" w:sz="0" w:space="0" w:color="auto"/>
            <w:bottom w:val="none" w:sz="0" w:space="0" w:color="auto"/>
            <w:right w:val="none" w:sz="0" w:space="0" w:color="auto"/>
          </w:divBdr>
        </w:div>
        <w:div w:id="1470588989">
          <w:marLeft w:val="0"/>
          <w:marRight w:val="0"/>
          <w:marTop w:val="0"/>
          <w:marBottom w:val="0"/>
          <w:divBdr>
            <w:top w:val="none" w:sz="0" w:space="0" w:color="auto"/>
            <w:left w:val="none" w:sz="0" w:space="0" w:color="auto"/>
            <w:bottom w:val="none" w:sz="0" w:space="0" w:color="auto"/>
            <w:right w:val="none" w:sz="0" w:space="0" w:color="auto"/>
          </w:divBdr>
        </w:div>
        <w:div w:id="1539270282">
          <w:marLeft w:val="0"/>
          <w:marRight w:val="0"/>
          <w:marTop w:val="0"/>
          <w:marBottom w:val="0"/>
          <w:divBdr>
            <w:top w:val="none" w:sz="0" w:space="0" w:color="auto"/>
            <w:left w:val="none" w:sz="0" w:space="0" w:color="auto"/>
            <w:bottom w:val="none" w:sz="0" w:space="0" w:color="auto"/>
            <w:right w:val="none" w:sz="0" w:space="0" w:color="auto"/>
          </w:divBdr>
        </w:div>
        <w:div w:id="1541045026">
          <w:marLeft w:val="0"/>
          <w:marRight w:val="0"/>
          <w:marTop w:val="0"/>
          <w:marBottom w:val="0"/>
          <w:divBdr>
            <w:top w:val="none" w:sz="0" w:space="0" w:color="auto"/>
            <w:left w:val="none" w:sz="0" w:space="0" w:color="auto"/>
            <w:bottom w:val="none" w:sz="0" w:space="0" w:color="auto"/>
            <w:right w:val="none" w:sz="0" w:space="0" w:color="auto"/>
          </w:divBdr>
        </w:div>
        <w:div w:id="1691568325">
          <w:marLeft w:val="0"/>
          <w:marRight w:val="0"/>
          <w:marTop w:val="0"/>
          <w:marBottom w:val="0"/>
          <w:divBdr>
            <w:top w:val="none" w:sz="0" w:space="0" w:color="auto"/>
            <w:left w:val="none" w:sz="0" w:space="0" w:color="auto"/>
            <w:bottom w:val="none" w:sz="0" w:space="0" w:color="auto"/>
            <w:right w:val="none" w:sz="0" w:space="0" w:color="auto"/>
          </w:divBdr>
        </w:div>
        <w:div w:id="1747065760">
          <w:marLeft w:val="0"/>
          <w:marRight w:val="0"/>
          <w:marTop w:val="0"/>
          <w:marBottom w:val="0"/>
          <w:divBdr>
            <w:top w:val="none" w:sz="0" w:space="0" w:color="auto"/>
            <w:left w:val="none" w:sz="0" w:space="0" w:color="auto"/>
            <w:bottom w:val="none" w:sz="0" w:space="0" w:color="auto"/>
            <w:right w:val="none" w:sz="0" w:space="0" w:color="auto"/>
          </w:divBdr>
        </w:div>
        <w:div w:id="1786538900">
          <w:marLeft w:val="0"/>
          <w:marRight w:val="0"/>
          <w:marTop w:val="0"/>
          <w:marBottom w:val="0"/>
          <w:divBdr>
            <w:top w:val="none" w:sz="0" w:space="0" w:color="auto"/>
            <w:left w:val="none" w:sz="0" w:space="0" w:color="auto"/>
            <w:bottom w:val="none" w:sz="0" w:space="0" w:color="auto"/>
            <w:right w:val="none" w:sz="0" w:space="0" w:color="auto"/>
          </w:divBdr>
        </w:div>
        <w:div w:id="1791708698">
          <w:marLeft w:val="0"/>
          <w:marRight w:val="0"/>
          <w:marTop w:val="0"/>
          <w:marBottom w:val="0"/>
          <w:divBdr>
            <w:top w:val="none" w:sz="0" w:space="0" w:color="auto"/>
            <w:left w:val="none" w:sz="0" w:space="0" w:color="auto"/>
            <w:bottom w:val="none" w:sz="0" w:space="0" w:color="auto"/>
            <w:right w:val="none" w:sz="0" w:space="0" w:color="auto"/>
          </w:divBdr>
        </w:div>
        <w:div w:id="1834949081">
          <w:marLeft w:val="0"/>
          <w:marRight w:val="0"/>
          <w:marTop w:val="0"/>
          <w:marBottom w:val="0"/>
          <w:divBdr>
            <w:top w:val="none" w:sz="0" w:space="0" w:color="auto"/>
            <w:left w:val="none" w:sz="0" w:space="0" w:color="auto"/>
            <w:bottom w:val="none" w:sz="0" w:space="0" w:color="auto"/>
            <w:right w:val="none" w:sz="0" w:space="0" w:color="auto"/>
          </w:divBdr>
        </w:div>
        <w:div w:id="2086223974">
          <w:marLeft w:val="0"/>
          <w:marRight w:val="0"/>
          <w:marTop w:val="0"/>
          <w:marBottom w:val="0"/>
          <w:divBdr>
            <w:top w:val="none" w:sz="0" w:space="0" w:color="auto"/>
            <w:left w:val="none" w:sz="0" w:space="0" w:color="auto"/>
            <w:bottom w:val="none" w:sz="0" w:space="0" w:color="auto"/>
            <w:right w:val="none" w:sz="0" w:space="0" w:color="auto"/>
          </w:divBdr>
        </w:div>
      </w:divsChild>
    </w:div>
    <w:div w:id="1525173689">
      <w:bodyDiv w:val="1"/>
      <w:marLeft w:val="0"/>
      <w:marRight w:val="0"/>
      <w:marTop w:val="0"/>
      <w:marBottom w:val="0"/>
      <w:divBdr>
        <w:top w:val="none" w:sz="0" w:space="0" w:color="auto"/>
        <w:left w:val="none" w:sz="0" w:space="0" w:color="auto"/>
        <w:bottom w:val="none" w:sz="0" w:space="0" w:color="auto"/>
        <w:right w:val="none" w:sz="0" w:space="0" w:color="auto"/>
      </w:divBdr>
      <w:divsChild>
        <w:div w:id="1891843502">
          <w:marLeft w:val="0"/>
          <w:marRight w:val="0"/>
          <w:marTop w:val="0"/>
          <w:marBottom w:val="0"/>
          <w:divBdr>
            <w:top w:val="none" w:sz="0" w:space="0" w:color="auto"/>
            <w:left w:val="none" w:sz="0" w:space="0" w:color="auto"/>
            <w:bottom w:val="none" w:sz="0" w:space="0" w:color="auto"/>
            <w:right w:val="none" w:sz="0" w:space="0" w:color="auto"/>
          </w:divBdr>
          <w:divsChild>
            <w:div w:id="414283747">
              <w:marLeft w:val="0"/>
              <w:marRight w:val="0"/>
              <w:marTop w:val="0"/>
              <w:marBottom w:val="0"/>
              <w:divBdr>
                <w:top w:val="none" w:sz="0" w:space="0" w:color="auto"/>
                <w:left w:val="none" w:sz="0" w:space="0" w:color="auto"/>
                <w:bottom w:val="none" w:sz="0" w:space="0" w:color="auto"/>
                <w:right w:val="none" w:sz="0" w:space="0" w:color="auto"/>
              </w:divBdr>
            </w:div>
          </w:divsChild>
        </w:div>
        <w:div w:id="1911691911">
          <w:marLeft w:val="0"/>
          <w:marRight w:val="0"/>
          <w:marTop w:val="0"/>
          <w:marBottom w:val="0"/>
          <w:divBdr>
            <w:top w:val="none" w:sz="0" w:space="0" w:color="auto"/>
            <w:left w:val="none" w:sz="0" w:space="0" w:color="auto"/>
            <w:bottom w:val="none" w:sz="0" w:space="0" w:color="auto"/>
            <w:right w:val="none" w:sz="0" w:space="0" w:color="auto"/>
          </w:divBdr>
        </w:div>
      </w:divsChild>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2125541452">
      <w:bodyDiv w:val="1"/>
      <w:marLeft w:val="0"/>
      <w:marRight w:val="0"/>
      <w:marTop w:val="0"/>
      <w:marBottom w:val="0"/>
      <w:divBdr>
        <w:top w:val="none" w:sz="0" w:space="0" w:color="auto"/>
        <w:left w:val="none" w:sz="0" w:space="0" w:color="auto"/>
        <w:bottom w:val="none" w:sz="0" w:space="0" w:color="auto"/>
        <w:right w:val="none" w:sz="0" w:space="0" w:color="auto"/>
      </w:divBdr>
      <w:divsChild>
        <w:div w:id="125248427">
          <w:marLeft w:val="0"/>
          <w:marRight w:val="0"/>
          <w:marTop w:val="0"/>
          <w:marBottom w:val="0"/>
          <w:divBdr>
            <w:top w:val="none" w:sz="0" w:space="0" w:color="auto"/>
            <w:left w:val="none" w:sz="0" w:space="0" w:color="auto"/>
            <w:bottom w:val="none" w:sz="0" w:space="0" w:color="auto"/>
            <w:right w:val="none" w:sz="0" w:space="0" w:color="auto"/>
          </w:divBdr>
        </w:div>
        <w:div w:id="306055415">
          <w:marLeft w:val="0"/>
          <w:marRight w:val="0"/>
          <w:marTop w:val="0"/>
          <w:marBottom w:val="0"/>
          <w:divBdr>
            <w:top w:val="none" w:sz="0" w:space="0" w:color="auto"/>
            <w:left w:val="none" w:sz="0" w:space="0" w:color="auto"/>
            <w:bottom w:val="none" w:sz="0" w:space="0" w:color="auto"/>
            <w:right w:val="none" w:sz="0" w:space="0" w:color="auto"/>
          </w:divBdr>
        </w:div>
        <w:div w:id="401610050">
          <w:marLeft w:val="0"/>
          <w:marRight w:val="0"/>
          <w:marTop w:val="0"/>
          <w:marBottom w:val="0"/>
          <w:divBdr>
            <w:top w:val="none" w:sz="0" w:space="0" w:color="auto"/>
            <w:left w:val="none" w:sz="0" w:space="0" w:color="auto"/>
            <w:bottom w:val="none" w:sz="0" w:space="0" w:color="auto"/>
            <w:right w:val="none" w:sz="0" w:space="0" w:color="auto"/>
          </w:divBdr>
        </w:div>
        <w:div w:id="520321401">
          <w:marLeft w:val="0"/>
          <w:marRight w:val="0"/>
          <w:marTop w:val="0"/>
          <w:marBottom w:val="0"/>
          <w:divBdr>
            <w:top w:val="none" w:sz="0" w:space="0" w:color="auto"/>
            <w:left w:val="none" w:sz="0" w:space="0" w:color="auto"/>
            <w:bottom w:val="none" w:sz="0" w:space="0" w:color="auto"/>
            <w:right w:val="none" w:sz="0" w:space="0" w:color="auto"/>
          </w:divBdr>
        </w:div>
        <w:div w:id="528103238">
          <w:marLeft w:val="0"/>
          <w:marRight w:val="0"/>
          <w:marTop w:val="0"/>
          <w:marBottom w:val="0"/>
          <w:divBdr>
            <w:top w:val="none" w:sz="0" w:space="0" w:color="auto"/>
            <w:left w:val="none" w:sz="0" w:space="0" w:color="auto"/>
            <w:bottom w:val="none" w:sz="0" w:space="0" w:color="auto"/>
            <w:right w:val="none" w:sz="0" w:space="0" w:color="auto"/>
          </w:divBdr>
        </w:div>
        <w:div w:id="769545934">
          <w:marLeft w:val="0"/>
          <w:marRight w:val="0"/>
          <w:marTop w:val="0"/>
          <w:marBottom w:val="0"/>
          <w:divBdr>
            <w:top w:val="none" w:sz="0" w:space="0" w:color="auto"/>
            <w:left w:val="none" w:sz="0" w:space="0" w:color="auto"/>
            <w:bottom w:val="none" w:sz="0" w:space="0" w:color="auto"/>
            <w:right w:val="none" w:sz="0" w:space="0" w:color="auto"/>
          </w:divBdr>
        </w:div>
        <w:div w:id="1084498370">
          <w:marLeft w:val="0"/>
          <w:marRight w:val="0"/>
          <w:marTop w:val="0"/>
          <w:marBottom w:val="0"/>
          <w:divBdr>
            <w:top w:val="none" w:sz="0" w:space="0" w:color="auto"/>
            <w:left w:val="none" w:sz="0" w:space="0" w:color="auto"/>
            <w:bottom w:val="none" w:sz="0" w:space="0" w:color="auto"/>
            <w:right w:val="none" w:sz="0" w:space="0" w:color="auto"/>
          </w:divBdr>
        </w:div>
        <w:div w:id="1262224877">
          <w:marLeft w:val="0"/>
          <w:marRight w:val="0"/>
          <w:marTop w:val="0"/>
          <w:marBottom w:val="0"/>
          <w:divBdr>
            <w:top w:val="none" w:sz="0" w:space="0" w:color="auto"/>
            <w:left w:val="none" w:sz="0" w:space="0" w:color="auto"/>
            <w:bottom w:val="none" w:sz="0" w:space="0" w:color="auto"/>
            <w:right w:val="none" w:sz="0" w:space="0" w:color="auto"/>
          </w:divBdr>
        </w:div>
        <w:div w:id="1280184463">
          <w:marLeft w:val="0"/>
          <w:marRight w:val="0"/>
          <w:marTop w:val="0"/>
          <w:marBottom w:val="0"/>
          <w:divBdr>
            <w:top w:val="none" w:sz="0" w:space="0" w:color="auto"/>
            <w:left w:val="none" w:sz="0" w:space="0" w:color="auto"/>
            <w:bottom w:val="none" w:sz="0" w:space="0" w:color="auto"/>
            <w:right w:val="none" w:sz="0" w:space="0" w:color="auto"/>
          </w:divBdr>
        </w:div>
        <w:div w:id="1321276697">
          <w:marLeft w:val="0"/>
          <w:marRight w:val="0"/>
          <w:marTop w:val="0"/>
          <w:marBottom w:val="0"/>
          <w:divBdr>
            <w:top w:val="none" w:sz="0" w:space="0" w:color="auto"/>
            <w:left w:val="none" w:sz="0" w:space="0" w:color="auto"/>
            <w:bottom w:val="none" w:sz="0" w:space="0" w:color="auto"/>
            <w:right w:val="none" w:sz="0" w:space="0" w:color="auto"/>
          </w:divBdr>
        </w:div>
        <w:div w:id="1562978734">
          <w:marLeft w:val="0"/>
          <w:marRight w:val="0"/>
          <w:marTop w:val="0"/>
          <w:marBottom w:val="0"/>
          <w:divBdr>
            <w:top w:val="none" w:sz="0" w:space="0" w:color="auto"/>
            <w:left w:val="none" w:sz="0" w:space="0" w:color="auto"/>
            <w:bottom w:val="none" w:sz="0" w:space="0" w:color="auto"/>
            <w:right w:val="none" w:sz="0" w:space="0" w:color="auto"/>
          </w:divBdr>
        </w:div>
        <w:div w:id="1689138234">
          <w:marLeft w:val="0"/>
          <w:marRight w:val="0"/>
          <w:marTop w:val="0"/>
          <w:marBottom w:val="0"/>
          <w:divBdr>
            <w:top w:val="none" w:sz="0" w:space="0" w:color="auto"/>
            <w:left w:val="none" w:sz="0" w:space="0" w:color="auto"/>
            <w:bottom w:val="none" w:sz="0" w:space="0" w:color="auto"/>
            <w:right w:val="none" w:sz="0" w:space="0" w:color="auto"/>
          </w:divBdr>
        </w:div>
        <w:div w:id="1707370709">
          <w:marLeft w:val="0"/>
          <w:marRight w:val="0"/>
          <w:marTop w:val="0"/>
          <w:marBottom w:val="0"/>
          <w:divBdr>
            <w:top w:val="none" w:sz="0" w:space="0" w:color="auto"/>
            <w:left w:val="none" w:sz="0" w:space="0" w:color="auto"/>
            <w:bottom w:val="none" w:sz="0" w:space="0" w:color="auto"/>
            <w:right w:val="none" w:sz="0" w:space="0" w:color="auto"/>
          </w:divBdr>
        </w:div>
        <w:div w:id="1760713370">
          <w:marLeft w:val="0"/>
          <w:marRight w:val="0"/>
          <w:marTop w:val="0"/>
          <w:marBottom w:val="0"/>
          <w:divBdr>
            <w:top w:val="none" w:sz="0" w:space="0" w:color="auto"/>
            <w:left w:val="none" w:sz="0" w:space="0" w:color="auto"/>
            <w:bottom w:val="none" w:sz="0" w:space="0" w:color="auto"/>
            <w:right w:val="none" w:sz="0" w:space="0" w:color="auto"/>
          </w:divBdr>
        </w:div>
        <w:div w:id="1784610949">
          <w:marLeft w:val="0"/>
          <w:marRight w:val="0"/>
          <w:marTop w:val="0"/>
          <w:marBottom w:val="0"/>
          <w:divBdr>
            <w:top w:val="none" w:sz="0" w:space="0" w:color="auto"/>
            <w:left w:val="none" w:sz="0" w:space="0" w:color="auto"/>
            <w:bottom w:val="none" w:sz="0" w:space="0" w:color="auto"/>
            <w:right w:val="none" w:sz="0" w:space="0" w:color="auto"/>
          </w:divBdr>
        </w:div>
        <w:div w:id="1855344184">
          <w:marLeft w:val="0"/>
          <w:marRight w:val="0"/>
          <w:marTop w:val="0"/>
          <w:marBottom w:val="0"/>
          <w:divBdr>
            <w:top w:val="none" w:sz="0" w:space="0" w:color="auto"/>
            <w:left w:val="none" w:sz="0" w:space="0" w:color="auto"/>
            <w:bottom w:val="none" w:sz="0" w:space="0" w:color="auto"/>
            <w:right w:val="none" w:sz="0" w:space="0" w:color="auto"/>
          </w:divBdr>
          <w:divsChild>
            <w:div w:id="67579263">
              <w:marLeft w:val="0"/>
              <w:marRight w:val="0"/>
              <w:marTop w:val="0"/>
              <w:marBottom w:val="0"/>
              <w:divBdr>
                <w:top w:val="none" w:sz="0" w:space="0" w:color="auto"/>
                <w:left w:val="none" w:sz="0" w:space="0" w:color="auto"/>
                <w:bottom w:val="none" w:sz="0" w:space="0" w:color="auto"/>
                <w:right w:val="none" w:sz="0" w:space="0" w:color="auto"/>
              </w:divBdr>
            </w:div>
            <w:div w:id="235944739">
              <w:marLeft w:val="0"/>
              <w:marRight w:val="0"/>
              <w:marTop w:val="0"/>
              <w:marBottom w:val="0"/>
              <w:divBdr>
                <w:top w:val="none" w:sz="0" w:space="0" w:color="auto"/>
                <w:left w:val="none" w:sz="0" w:space="0" w:color="auto"/>
                <w:bottom w:val="none" w:sz="0" w:space="0" w:color="auto"/>
                <w:right w:val="none" w:sz="0" w:space="0" w:color="auto"/>
              </w:divBdr>
            </w:div>
            <w:div w:id="992953681">
              <w:marLeft w:val="0"/>
              <w:marRight w:val="0"/>
              <w:marTop w:val="0"/>
              <w:marBottom w:val="0"/>
              <w:divBdr>
                <w:top w:val="none" w:sz="0" w:space="0" w:color="auto"/>
                <w:left w:val="none" w:sz="0" w:space="0" w:color="auto"/>
                <w:bottom w:val="none" w:sz="0" w:space="0" w:color="auto"/>
                <w:right w:val="none" w:sz="0" w:space="0" w:color="auto"/>
              </w:divBdr>
            </w:div>
            <w:div w:id="1642466111">
              <w:marLeft w:val="0"/>
              <w:marRight w:val="0"/>
              <w:marTop w:val="0"/>
              <w:marBottom w:val="0"/>
              <w:divBdr>
                <w:top w:val="none" w:sz="0" w:space="0" w:color="auto"/>
                <w:left w:val="none" w:sz="0" w:space="0" w:color="auto"/>
                <w:bottom w:val="none" w:sz="0" w:space="0" w:color="auto"/>
                <w:right w:val="none" w:sz="0" w:space="0" w:color="auto"/>
              </w:divBdr>
            </w:div>
            <w:div w:id="2096440780">
              <w:marLeft w:val="0"/>
              <w:marRight w:val="0"/>
              <w:marTop w:val="0"/>
              <w:marBottom w:val="0"/>
              <w:divBdr>
                <w:top w:val="none" w:sz="0" w:space="0" w:color="auto"/>
                <w:left w:val="none" w:sz="0" w:space="0" w:color="auto"/>
                <w:bottom w:val="none" w:sz="0" w:space="0" w:color="auto"/>
                <w:right w:val="none" w:sz="0" w:space="0" w:color="auto"/>
              </w:divBdr>
            </w:div>
          </w:divsChild>
        </w:div>
        <w:div w:id="1973365720">
          <w:marLeft w:val="0"/>
          <w:marRight w:val="0"/>
          <w:marTop w:val="0"/>
          <w:marBottom w:val="0"/>
          <w:divBdr>
            <w:top w:val="none" w:sz="0" w:space="0" w:color="auto"/>
            <w:left w:val="none" w:sz="0" w:space="0" w:color="auto"/>
            <w:bottom w:val="none" w:sz="0" w:space="0" w:color="auto"/>
            <w:right w:val="none" w:sz="0" w:space="0" w:color="auto"/>
          </w:divBdr>
          <w:divsChild>
            <w:div w:id="300577435">
              <w:marLeft w:val="0"/>
              <w:marRight w:val="0"/>
              <w:marTop w:val="0"/>
              <w:marBottom w:val="0"/>
              <w:divBdr>
                <w:top w:val="none" w:sz="0" w:space="0" w:color="auto"/>
                <w:left w:val="none" w:sz="0" w:space="0" w:color="auto"/>
                <w:bottom w:val="none" w:sz="0" w:space="0" w:color="auto"/>
                <w:right w:val="none" w:sz="0" w:space="0" w:color="auto"/>
              </w:divBdr>
            </w:div>
            <w:div w:id="1112088951">
              <w:marLeft w:val="0"/>
              <w:marRight w:val="0"/>
              <w:marTop w:val="0"/>
              <w:marBottom w:val="0"/>
              <w:divBdr>
                <w:top w:val="none" w:sz="0" w:space="0" w:color="auto"/>
                <w:left w:val="none" w:sz="0" w:space="0" w:color="auto"/>
                <w:bottom w:val="none" w:sz="0" w:space="0" w:color="auto"/>
                <w:right w:val="none" w:sz="0" w:space="0" w:color="auto"/>
              </w:divBdr>
            </w:div>
            <w:div w:id="1128009599">
              <w:marLeft w:val="0"/>
              <w:marRight w:val="0"/>
              <w:marTop w:val="0"/>
              <w:marBottom w:val="0"/>
              <w:divBdr>
                <w:top w:val="none" w:sz="0" w:space="0" w:color="auto"/>
                <w:left w:val="none" w:sz="0" w:space="0" w:color="auto"/>
                <w:bottom w:val="none" w:sz="0" w:space="0" w:color="auto"/>
                <w:right w:val="none" w:sz="0" w:space="0" w:color="auto"/>
              </w:divBdr>
            </w:div>
            <w:div w:id="1514952615">
              <w:marLeft w:val="0"/>
              <w:marRight w:val="0"/>
              <w:marTop w:val="0"/>
              <w:marBottom w:val="0"/>
              <w:divBdr>
                <w:top w:val="none" w:sz="0" w:space="0" w:color="auto"/>
                <w:left w:val="none" w:sz="0" w:space="0" w:color="auto"/>
                <w:bottom w:val="none" w:sz="0" w:space="0" w:color="auto"/>
                <w:right w:val="none" w:sz="0" w:space="0" w:color="auto"/>
              </w:divBdr>
            </w:div>
            <w:div w:id="1633629150">
              <w:marLeft w:val="0"/>
              <w:marRight w:val="0"/>
              <w:marTop w:val="0"/>
              <w:marBottom w:val="0"/>
              <w:divBdr>
                <w:top w:val="none" w:sz="0" w:space="0" w:color="auto"/>
                <w:left w:val="none" w:sz="0" w:space="0" w:color="auto"/>
                <w:bottom w:val="none" w:sz="0" w:space="0" w:color="auto"/>
                <w:right w:val="none" w:sz="0" w:space="0" w:color="auto"/>
              </w:divBdr>
            </w:div>
          </w:divsChild>
        </w:div>
        <w:div w:id="1989896607">
          <w:marLeft w:val="0"/>
          <w:marRight w:val="0"/>
          <w:marTop w:val="0"/>
          <w:marBottom w:val="0"/>
          <w:divBdr>
            <w:top w:val="none" w:sz="0" w:space="0" w:color="auto"/>
            <w:left w:val="none" w:sz="0" w:space="0" w:color="auto"/>
            <w:bottom w:val="none" w:sz="0" w:space="0" w:color="auto"/>
            <w:right w:val="none" w:sz="0" w:space="0" w:color="auto"/>
          </w:divBdr>
        </w:div>
        <w:div w:id="2105495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ff38c824-6e29-4496-8487-69f397e7ed29">
      <Value>36</Value>
      <Value>44</Value>
      <Value>1</Value>
      <Value>35</Value>
    </TaxCatchAll>
    <_dlc_DocId xmlns="fe39d773-a83d-4623-ae74-f25711a76616">S574FYTY5PW6-969949929-1192</_dlc_DocId>
    <_dlc_DocIdUrl xmlns="fe39d773-a83d-4623-ae74-f25711a76616">
      <Url>https://austreasury.sharepoint.com/sites/leg-cord-function/_layouts/15/DocIdRedir.aspx?ID=S574FYTY5PW6-969949929-1192</Url>
      <Description>S574FYTY5PW6-969949929-1192</Description>
    </_dlc_DocIdUrl>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lcf76f155ced4ddcb4097134ff3c332f xmlns="30b813c2-29e2-43aa-bac2-1ed67b791ce7">
      <Terms xmlns="http://schemas.microsoft.com/office/infopath/2007/PartnerControls"/>
    </lcf76f155ced4ddcb4097134ff3c332f>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Logistics</TermName>
          <TermId xmlns="http://schemas.microsoft.com/office/infopath/2007/PartnerControls">677ec322-fd8b-465a-9649-f3f8f43a85c1</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28" ma:contentTypeDescription="Create a new document." ma:contentTypeScope="" ma:versionID="716eae1b0526bb5a094827cd1cebbebe">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4aff8fd8d13efa679f179f3e943812b5"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3.xml><?xml version="1.0" encoding="utf-8"?>
<ds:datastoreItem xmlns:ds="http://schemas.openxmlformats.org/officeDocument/2006/customXml" ds:itemID="{D4FC6DD4-3FAF-4EEB-BEE8-3BEB244232A5}">
  <ds:schemaRefs>
    <ds:schemaRef ds:uri="http://schemas.microsoft.com/sharepoint/events"/>
  </ds:schemaRefs>
</ds:datastoreItem>
</file>

<file path=customXml/itemProps4.xml><?xml version="1.0" encoding="utf-8"?>
<ds:datastoreItem xmlns:ds="http://schemas.openxmlformats.org/officeDocument/2006/customXml" ds:itemID="{46278533-3486-40E5-9013-DD26FD164D39}">
  <ds:schemaRefs>
    <ds:schemaRef ds:uri="http://schemas.microsoft.com/office/infopath/2007/PartnerControls"/>
    <ds:schemaRef ds:uri="ff38c824-6e29-4496-8487-69f397e7ed29"/>
    <ds:schemaRef ds:uri="http://purl.org/dc/terms/"/>
    <ds:schemaRef ds:uri="http://schemas.microsoft.com/office/2006/metadata/properties"/>
    <ds:schemaRef ds:uri="http://purl.org/dc/elements/1.1/"/>
    <ds:schemaRef ds:uri="http://schemas.microsoft.com/sharepoint/v3"/>
    <ds:schemaRef ds:uri="http://purl.org/dc/dcmitype/"/>
    <ds:schemaRef ds:uri="fe39d773-a83d-4623-ae74-f25711a76616"/>
    <ds:schemaRef ds:uri="http://schemas.openxmlformats.org/package/2006/metadata/core-properties"/>
    <ds:schemaRef ds:uri="http://schemas.microsoft.com/office/2006/documentManagement/types"/>
    <ds:schemaRef ds:uri="59a97669-a6c8-4691-b007-60f3016a35d2"/>
    <ds:schemaRef ds:uri="a289cb20-8bb9-401f-8d7b-706fb1a2988d"/>
    <ds:schemaRef ds:uri="http://www.w3.org/XML/1998/namespace"/>
    <ds:schemaRef ds:uri="30b813c2-29e2-43aa-bac2-1ed67b791ce7"/>
    <ds:schemaRef ds:uri="42f4cb5a-261c-4c59-b165-7132460581a3"/>
  </ds:schemaRefs>
</ds:datastoreItem>
</file>

<file path=customXml/itemProps5.xml><?xml version="1.0" encoding="utf-8"?>
<ds:datastoreItem xmlns:ds="http://schemas.openxmlformats.org/officeDocument/2006/customXml" ds:itemID="{69993458-9DE9-4A4D-90EB-E38AC7C05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30b813c2-29e2-43aa-bac2-1ed67b791ce7"/>
    <ds:schemaRef ds:uri="42f4cb5a-261c-4c59-b165-7132460581a3"/>
    <ds:schemaRef ds:uri="fe39d773-a83d-4623-ae74-f25711a76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Sub-ES.dotx</Template>
  <TotalTime>2</TotalTime>
  <Pages>8</Pages>
  <Words>2710</Words>
  <Characters>15450</Characters>
  <Application>Microsoft Office Word</Application>
  <DocSecurity>0</DocSecurity>
  <Lines>128</Lines>
  <Paragraphs>36</Paragraphs>
  <ScaleCrop>false</ScaleCrop>
  <Company>Treasury</Company>
  <LinksUpToDate>false</LinksUpToDate>
  <CharactersWithSpaces>18124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Roche, Lara</dc:creator>
  <cp:keywords/>
  <dc:description/>
  <cp:lastModifiedBy>Emily Morrison</cp:lastModifiedBy>
  <cp:revision>2</cp:revision>
  <cp:lastPrinted>2019-02-23T12:23:00Z</cp:lastPrinted>
  <dcterms:created xsi:type="dcterms:W3CDTF">2024-02-29T21:59:00Z</dcterms:created>
  <dcterms:modified xsi:type="dcterms:W3CDTF">2024-02-29T21:59:00Z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0x010100B569D256E75E71428C72445DFBB99E7A</vt:lpwstr>
  </property>
  <property fmtid="{D5CDD505-2E9C-101B-9397-08002B2CF9AE}" pid="4" name="TSYRecordClass">
    <vt:lpwstr>1;#AE-20260-Destroy 7 years after action completed|623f5ec9-ec5d-4824-8e13-9c9bfc51fe7e</vt:lpwstr>
  </property>
  <property fmtid="{D5CDD505-2E9C-101B-9397-08002B2CF9AE}" pid="5" name="TSYStatus">
    <vt:lpwstr/>
  </property>
  <property fmtid="{D5CDD505-2E9C-101B-9397-08002B2CF9AE}" pid="6" name="eTheme">
    <vt:lpwstr>1;#Law Design|318dd2d2-18da-4b8e-a458-14db2c1af95f</vt:lpwstr>
  </property>
  <property fmtid="{D5CDD505-2E9C-101B-9397-08002B2CF9AE}" pid="7" name="eDocumentType">
    <vt:lpwstr>153;#Explanatory Materials|ac61e78e-992e-40fd-ae93-2c9522960b05</vt:lpwstr>
  </property>
  <property fmtid="{D5CDD505-2E9C-101B-9397-08002B2CF9AE}" pid="8" name="eTopic">
    <vt:lpwstr>83;#Insurance|b90cd62f-b048-4409-b585-751d11d9d856</vt:lpwstr>
  </property>
  <property fmtid="{D5CDD505-2E9C-101B-9397-08002B2CF9AE}" pid="9" name="LMDivision">
    <vt:lpwstr/>
  </property>
  <property fmtid="{D5CDD505-2E9C-101B-9397-08002B2CF9AE}" pid="10" name="eActivity">
    <vt:lpwstr>28;#Legislative measures|0d31ce10-0017-4a46-8d2d-ba60058cb6a2</vt:lpwstr>
  </property>
  <property fmtid="{D5CDD505-2E9C-101B-9397-08002B2CF9AE}" pid="11" name="k8424359e03846678cc4a99dd97e9705">
    <vt:lpwstr/>
  </property>
  <property fmtid="{D5CDD505-2E9C-101B-9397-08002B2CF9AE}" pid="12" name="_dlc_DocIdItemGuid">
    <vt:lpwstr>ea0a12ef-2ef3-463f-a654-7e65d2f1dec1</vt:lpwstr>
  </property>
  <property fmtid="{D5CDD505-2E9C-101B-9397-08002B2CF9AE}" pid="13" name="Activity">
    <vt:lpwstr>35;#Legislation management|cb630f2f-9155-496b-ad0f-d960eb1bf90c</vt:lpwstr>
  </property>
  <property fmtid="{D5CDD505-2E9C-101B-9397-08002B2CF9AE}" pid="14" name="Topic">
    <vt:lpwstr>36;#Legislation Coordination|58c6712e-e847-48f4-81ab-b25e2bbd3986</vt:lpwstr>
  </property>
  <property fmtid="{D5CDD505-2E9C-101B-9397-08002B2CF9AE}" pid="15" name="MediaServiceImageTags">
    <vt:lpwstr/>
  </property>
  <property fmtid="{D5CDD505-2E9C-101B-9397-08002B2CF9AE}" pid="16" name="Document Type">
    <vt:lpwstr>44;#Logistics|677ec322-fd8b-465a-9649-f3f8f43a85c1</vt:lpwstr>
  </property>
</Properties>
</file>