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6FAB9" w14:textId="77777777" w:rsidR="00892394" w:rsidRPr="00C52125" w:rsidRDefault="00892394" w:rsidP="00892394">
      <w:pPr>
        <w:jc w:val="center"/>
        <w:rPr>
          <w:rFonts w:ascii="Times New Roman" w:hAnsi="Times New Roman" w:cs="Times New Roman"/>
          <w:b/>
          <w:sz w:val="24"/>
          <w:szCs w:val="24"/>
        </w:rPr>
      </w:pPr>
      <w:r w:rsidRPr="00C52125">
        <w:rPr>
          <w:rFonts w:ascii="Times New Roman" w:hAnsi="Times New Roman" w:cs="Times New Roman"/>
          <w:b/>
          <w:sz w:val="24"/>
          <w:szCs w:val="24"/>
        </w:rPr>
        <w:t>Explanatory Statement</w:t>
      </w:r>
    </w:p>
    <w:p w14:paraId="4F46FABA" w14:textId="77777777"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BA7C65">
        <w:rPr>
          <w:rFonts w:ascii="Times New Roman" w:hAnsi="Times New Roman" w:cs="Times New Roman"/>
          <w:sz w:val="24"/>
          <w:szCs w:val="24"/>
        </w:rPr>
        <w:t>the Arts</w:t>
      </w:r>
    </w:p>
    <w:p w14:paraId="4F46FABB" w14:textId="1E4A37A0" w:rsidR="00892394" w:rsidRDefault="00BA7C65" w:rsidP="00892394">
      <w:pPr>
        <w:jc w:val="center"/>
        <w:rPr>
          <w:rFonts w:ascii="Times New Roman" w:hAnsi="Times New Roman" w:cs="Times New Roman"/>
          <w:i/>
          <w:sz w:val="24"/>
          <w:szCs w:val="24"/>
        </w:rPr>
      </w:pPr>
      <w:r>
        <w:rPr>
          <w:rFonts w:ascii="Times New Roman" w:hAnsi="Times New Roman" w:cs="Times New Roman"/>
          <w:i/>
          <w:sz w:val="24"/>
          <w:szCs w:val="24"/>
        </w:rPr>
        <w:t>Resale Royalty Right for Visual Artists Act 2009</w:t>
      </w:r>
    </w:p>
    <w:p w14:paraId="2044BC16" w14:textId="77777777" w:rsidR="005E0E6C" w:rsidRDefault="005E0E6C" w:rsidP="00892394">
      <w:pPr>
        <w:jc w:val="center"/>
        <w:rPr>
          <w:rFonts w:ascii="Times New Roman" w:hAnsi="Times New Roman" w:cs="Times New Roman"/>
          <w:i/>
          <w:sz w:val="24"/>
          <w:szCs w:val="24"/>
        </w:rPr>
      </w:pPr>
    </w:p>
    <w:p w14:paraId="4368692C" w14:textId="6039A755" w:rsidR="005E0E6C" w:rsidRPr="005E0E6C" w:rsidRDefault="00AE3B74" w:rsidP="00892394">
      <w:pPr>
        <w:rPr>
          <w:rFonts w:ascii="Times New Roman" w:hAnsi="Times New Roman" w:cs="Times New Roman"/>
          <w:b/>
          <w:i/>
          <w:sz w:val="24"/>
          <w:szCs w:val="24"/>
        </w:rPr>
      </w:pPr>
      <w:r>
        <w:rPr>
          <w:rFonts w:ascii="Times New Roman" w:hAnsi="Times New Roman" w:cs="Times New Roman"/>
          <w:b/>
          <w:i/>
          <w:sz w:val="24"/>
          <w:szCs w:val="24"/>
        </w:rPr>
        <w:t xml:space="preserve">Resale Royalty Right for Visual Artists Regulations </w:t>
      </w:r>
      <w:r w:rsidR="00972A21">
        <w:rPr>
          <w:rFonts w:ascii="Times New Roman" w:hAnsi="Times New Roman" w:cs="Times New Roman"/>
          <w:b/>
          <w:i/>
          <w:sz w:val="24"/>
          <w:szCs w:val="24"/>
        </w:rPr>
        <w:t xml:space="preserve">Amendment (Reciprocating Countries) Regulations </w:t>
      </w:r>
      <w:r>
        <w:rPr>
          <w:rFonts w:ascii="Times New Roman" w:hAnsi="Times New Roman" w:cs="Times New Roman"/>
          <w:b/>
          <w:i/>
          <w:sz w:val="24"/>
          <w:szCs w:val="24"/>
        </w:rPr>
        <w:t>202</w:t>
      </w:r>
      <w:r w:rsidR="0015712A">
        <w:rPr>
          <w:rFonts w:ascii="Times New Roman" w:hAnsi="Times New Roman" w:cs="Times New Roman"/>
          <w:b/>
          <w:i/>
          <w:sz w:val="24"/>
          <w:szCs w:val="24"/>
        </w:rPr>
        <w:t>4</w:t>
      </w:r>
    </w:p>
    <w:p w14:paraId="4F46FABE" w14:textId="4257F540"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4F46FABF" w14:textId="3B50B75E" w:rsidR="00892394" w:rsidRDefault="00AE3B74" w:rsidP="00892394">
      <w:pPr>
        <w:rPr>
          <w:rFonts w:ascii="Times New Roman" w:hAnsi="Times New Roman" w:cs="Times New Roman"/>
          <w:sz w:val="24"/>
          <w:szCs w:val="24"/>
        </w:rPr>
      </w:pPr>
      <w:r>
        <w:rPr>
          <w:rFonts w:ascii="Times New Roman" w:hAnsi="Times New Roman" w:cs="Times New Roman"/>
          <w:sz w:val="24"/>
          <w:szCs w:val="24"/>
        </w:rPr>
        <w:t xml:space="preserve">Section 53 of the </w:t>
      </w:r>
      <w:r>
        <w:rPr>
          <w:rFonts w:ascii="Times New Roman" w:hAnsi="Times New Roman" w:cs="Times New Roman"/>
          <w:i/>
          <w:sz w:val="24"/>
          <w:szCs w:val="24"/>
        </w:rPr>
        <w:t xml:space="preserve">Resale Royalty Right for Visual Artists Act 2009 </w:t>
      </w:r>
      <w:r>
        <w:rPr>
          <w:rFonts w:ascii="Times New Roman" w:hAnsi="Times New Roman" w:cs="Times New Roman"/>
          <w:sz w:val="24"/>
          <w:szCs w:val="24"/>
        </w:rPr>
        <w:t>(the Act) provides that the Governor-General may make regulations presc</w:t>
      </w:r>
      <w:r w:rsidR="006214BA">
        <w:rPr>
          <w:rFonts w:ascii="Times New Roman" w:hAnsi="Times New Roman" w:cs="Times New Roman"/>
          <w:sz w:val="24"/>
          <w:szCs w:val="24"/>
        </w:rPr>
        <w:t>rib</w:t>
      </w:r>
      <w:r>
        <w:rPr>
          <w:rFonts w:ascii="Times New Roman" w:hAnsi="Times New Roman" w:cs="Times New Roman"/>
          <w:sz w:val="24"/>
          <w:szCs w:val="24"/>
        </w:rPr>
        <w:t>ing matters prescribed or permitted to be prescribed</w:t>
      </w:r>
      <w:r w:rsidR="00F36C50">
        <w:rPr>
          <w:rFonts w:ascii="Times New Roman" w:hAnsi="Times New Roman" w:cs="Times New Roman"/>
          <w:sz w:val="24"/>
          <w:szCs w:val="24"/>
        </w:rPr>
        <w:t xml:space="preserve"> by</w:t>
      </w:r>
      <w:r>
        <w:rPr>
          <w:rFonts w:ascii="Times New Roman" w:hAnsi="Times New Roman" w:cs="Times New Roman"/>
          <w:sz w:val="24"/>
          <w:szCs w:val="24"/>
        </w:rPr>
        <w:t xml:space="preserve"> the Act</w:t>
      </w:r>
      <w:r w:rsidR="00F36C50">
        <w:rPr>
          <w:rFonts w:ascii="Times New Roman" w:hAnsi="Times New Roman" w:cs="Times New Roman"/>
          <w:sz w:val="24"/>
          <w:szCs w:val="24"/>
        </w:rPr>
        <w:t>,</w:t>
      </w:r>
      <w:r>
        <w:rPr>
          <w:rFonts w:ascii="Times New Roman" w:hAnsi="Times New Roman" w:cs="Times New Roman"/>
          <w:sz w:val="24"/>
          <w:szCs w:val="24"/>
        </w:rPr>
        <w:t xml:space="preserve"> </w:t>
      </w:r>
      <w:r w:rsidR="006214BA">
        <w:rPr>
          <w:rFonts w:ascii="Times New Roman" w:hAnsi="Times New Roman" w:cs="Times New Roman"/>
          <w:sz w:val="24"/>
          <w:szCs w:val="24"/>
        </w:rPr>
        <w:t>or necessary or convenient to be prescribed for the carrying out or giving effect to the Act.</w:t>
      </w:r>
      <w:r w:rsidR="00C42C3D">
        <w:rPr>
          <w:rFonts w:ascii="Times New Roman" w:hAnsi="Times New Roman" w:cs="Times New Roman"/>
          <w:sz w:val="24"/>
          <w:szCs w:val="24"/>
        </w:rPr>
        <w:t xml:space="preserve"> </w:t>
      </w:r>
    </w:p>
    <w:p w14:paraId="4F46FAC0"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4F46FAC1" w14:textId="18CB5BF0" w:rsidR="00914AC5" w:rsidRDefault="00892394" w:rsidP="00ED641B">
      <w:pPr>
        <w:rPr>
          <w:rFonts w:ascii="Times New Roman" w:hAnsi="Times New Roman" w:cs="Times New Roman"/>
          <w:sz w:val="24"/>
          <w:szCs w:val="24"/>
        </w:rPr>
      </w:pPr>
      <w:r w:rsidRPr="00914AC5">
        <w:rPr>
          <w:rFonts w:ascii="Times New Roman" w:hAnsi="Times New Roman" w:cs="Times New Roman"/>
          <w:sz w:val="24"/>
          <w:szCs w:val="24"/>
        </w:rPr>
        <w:t xml:space="preserve">The purpose of the </w:t>
      </w:r>
      <w:r w:rsidR="00ED641B" w:rsidRPr="00914AC5">
        <w:rPr>
          <w:rFonts w:ascii="Times New Roman" w:hAnsi="Times New Roman" w:cs="Times New Roman"/>
          <w:sz w:val="24"/>
          <w:szCs w:val="24"/>
        </w:rPr>
        <w:t xml:space="preserve">instrument is </w:t>
      </w:r>
      <w:r w:rsidR="00F36C50" w:rsidRPr="00914AC5">
        <w:rPr>
          <w:rFonts w:ascii="Times New Roman" w:hAnsi="Times New Roman" w:cs="Times New Roman"/>
          <w:sz w:val="24"/>
          <w:szCs w:val="24"/>
        </w:rPr>
        <w:t xml:space="preserve">to </w:t>
      </w:r>
      <w:r w:rsidR="00914AC5" w:rsidRPr="00914AC5">
        <w:rPr>
          <w:rFonts w:ascii="Times New Roman" w:hAnsi="Times New Roman" w:cs="Times New Roman"/>
          <w:sz w:val="24"/>
          <w:szCs w:val="24"/>
        </w:rPr>
        <w:t xml:space="preserve">amend the </w:t>
      </w:r>
      <w:r w:rsidR="00914AC5" w:rsidRPr="00914AC5">
        <w:rPr>
          <w:rFonts w:ascii="Times New Roman" w:hAnsi="Times New Roman" w:cs="Times New Roman"/>
          <w:i/>
          <w:sz w:val="24"/>
          <w:szCs w:val="24"/>
        </w:rPr>
        <w:t>Resale Royalty Right for Visual Artists Regulations 2021</w:t>
      </w:r>
      <w:r w:rsidR="00914AC5" w:rsidRPr="00914AC5">
        <w:rPr>
          <w:rFonts w:ascii="Times New Roman" w:hAnsi="Times New Roman" w:cs="Times New Roman"/>
          <w:sz w:val="24"/>
          <w:szCs w:val="24"/>
        </w:rPr>
        <w:t xml:space="preserve"> </w:t>
      </w:r>
      <w:r w:rsidR="00311FD8">
        <w:rPr>
          <w:rFonts w:ascii="Times New Roman" w:hAnsi="Times New Roman" w:cs="Times New Roman"/>
          <w:sz w:val="24"/>
          <w:szCs w:val="24"/>
        </w:rPr>
        <w:t xml:space="preserve">to </w:t>
      </w:r>
      <w:r w:rsidR="00914AC5" w:rsidRPr="00914AC5">
        <w:rPr>
          <w:rFonts w:ascii="Times New Roman" w:hAnsi="Times New Roman" w:cs="Times New Roman"/>
          <w:sz w:val="24"/>
          <w:szCs w:val="24"/>
        </w:rPr>
        <w:t>prescrib</w:t>
      </w:r>
      <w:r w:rsidR="00445EBB">
        <w:rPr>
          <w:rFonts w:ascii="Times New Roman" w:hAnsi="Times New Roman" w:cs="Times New Roman"/>
          <w:sz w:val="24"/>
          <w:szCs w:val="24"/>
        </w:rPr>
        <w:t xml:space="preserve">e </w:t>
      </w:r>
      <w:r w:rsidR="00A34210">
        <w:rPr>
          <w:rFonts w:ascii="Times New Roman" w:hAnsi="Times New Roman" w:cs="Times New Roman"/>
          <w:sz w:val="24"/>
          <w:szCs w:val="24"/>
        </w:rPr>
        <w:t xml:space="preserve">eligible </w:t>
      </w:r>
      <w:r w:rsidR="00914AC5" w:rsidRPr="00914AC5">
        <w:rPr>
          <w:rFonts w:ascii="Times New Roman" w:hAnsi="Times New Roman" w:cs="Times New Roman"/>
          <w:sz w:val="24"/>
          <w:szCs w:val="24"/>
        </w:rPr>
        <w:t>countries to enable international reciprocal arrangements</w:t>
      </w:r>
      <w:r w:rsidR="00FD15C7">
        <w:rPr>
          <w:rFonts w:ascii="Times New Roman" w:hAnsi="Times New Roman" w:cs="Times New Roman"/>
          <w:sz w:val="24"/>
          <w:szCs w:val="24"/>
        </w:rPr>
        <w:t xml:space="preserve"> for the </w:t>
      </w:r>
      <w:r w:rsidR="00BC3423">
        <w:rPr>
          <w:rFonts w:ascii="Times New Roman" w:hAnsi="Times New Roman" w:cs="Times New Roman"/>
          <w:sz w:val="24"/>
          <w:szCs w:val="24"/>
        </w:rPr>
        <w:t>purposes</w:t>
      </w:r>
      <w:r w:rsidR="00FD15C7">
        <w:rPr>
          <w:rFonts w:ascii="Times New Roman" w:hAnsi="Times New Roman" w:cs="Times New Roman"/>
          <w:sz w:val="24"/>
          <w:szCs w:val="24"/>
        </w:rPr>
        <w:t xml:space="preserve"> of paragraph 14(1)(c) of the Act</w:t>
      </w:r>
      <w:r w:rsidR="00914AC5" w:rsidRPr="00914AC5">
        <w:rPr>
          <w:rFonts w:ascii="Times New Roman" w:hAnsi="Times New Roman" w:cs="Times New Roman"/>
          <w:sz w:val="24"/>
          <w:szCs w:val="24"/>
        </w:rPr>
        <w:t>.</w:t>
      </w:r>
      <w:r w:rsidR="00914AC5">
        <w:rPr>
          <w:rFonts w:ascii="Times New Roman" w:hAnsi="Times New Roman" w:cs="Times New Roman"/>
          <w:sz w:val="24"/>
          <w:szCs w:val="24"/>
        </w:rPr>
        <w:t xml:space="preserve"> </w:t>
      </w:r>
    </w:p>
    <w:p w14:paraId="26C1594F" w14:textId="295CA2AF" w:rsidR="00B26F34" w:rsidRDefault="00914AC5" w:rsidP="00B26F34">
      <w:pPr>
        <w:rPr>
          <w:rFonts w:ascii="Times New Roman" w:hAnsi="Times New Roman" w:cs="Times New Roman"/>
          <w:sz w:val="24"/>
          <w:szCs w:val="24"/>
        </w:rPr>
      </w:pPr>
      <w:r>
        <w:rPr>
          <w:rFonts w:ascii="Times New Roman" w:hAnsi="Times New Roman" w:cs="Times New Roman"/>
          <w:sz w:val="24"/>
          <w:szCs w:val="24"/>
        </w:rPr>
        <w:t xml:space="preserve">The Act allows for the establishment of </w:t>
      </w:r>
      <w:r w:rsidR="00445EBB">
        <w:rPr>
          <w:rFonts w:ascii="Times New Roman" w:hAnsi="Times New Roman" w:cs="Times New Roman"/>
          <w:sz w:val="24"/>
          <w:szCs w:val="24"/>
        </w:rPr>
        <w:t>r</w:t>
      </w:r>
      <w:r>
        <w:rPr>
          <w:rFonts w:ascii="Times New Roman" w:hAnsi="Times New Roman" w:cs="Times New Roman"/>
          <w:sz w:val="24"/>
          <w:szCs w:val="24"/>
        </w:rPr>
        <w:t xml:space="preserve">eciprocal arrangements through </w:t>
      </w:r>
      <w:r w:rsidR="00445EBB">
        <w:rPr>
          <w:rFonts w:ascii="Times New Roman" w:hAnsi="Times New Roman" w:cs="Times New Roman"/>
          <w:sz w:val="24"/>
          <w:szCs w:val="24"/>
        </w:rPr>
        <w:t>s</w:t>
      </w:r>
      <w:r>
        <w:rPr>
          <w:rFonts w:ascii="Times New Roman" w:hAnsi="Times New Roman" w:cs="Times New Roman"/>
          <w:sz w:val="24"/>
          <w:szCs w:val="24"/>
        </w:rPr>
        <w:t>ection 14, Residency Test, which allows for countries that have implemented Article 14</w:t>
      </w:r>
      <w:r>
        <w:rPr>
          <w:rFonts w:ascii="Times New Roman" w:hAnsi="Times New Roman" w:cs="Times New Roman"/>
          <w:i/>
          <w:sz w:val="24"/>
          <w:szCs w:val="24"/>
        </w:rPr>
        <w:t xml:space="preserve">ter </w:t>
      </w:r>
      <w:r>
        <w:rPr>
          <w:rFonts w:ascii="Times New Roman" w:hAnsi="Times New Roman" w:cs="Times New Roman"/>
          <w:sz w:val="24"/>
          <w:szCs w:val="24"/>
        </w:rPr>
        <w:t>of the Berne Convention for the protection of Literary and Artistic Works (Berne Convention) to be prescribed as a reciprocating country.</w:t>
      </w:r>
      <w:r w:rsidR="004B7415">
        <w:rPr>
          <w:rFonts w:ascii="Times New Roman" w:hAnsi="Times New Roman" w:cs="Times New Roman"/>
          <w:sz w:val="24"/>
          <w:szCs w:val="24"/>
        </w:rPr>
        <w:t xml:space="preserve"> </w:t>
      </w:r>
    </w:p>
    <w:p w14:paraId="7754E989" w14:textId="131A06A3" w:rsidR="00B26F34" w:rsidRDefault="00B26F34" w:rsidP="00B26F34">
      <w:pPr>
        <w:rPr>
          <w:rFonts w:ascii="Times New Roman" w:hAnsi="Times New Roman" w:cs="Times New Roman"/>
          <w:sz w:val="24"/>
          <w:szCs w:val="24"/>
        </w:rPr>
      </w:pPr>
      <w:r>
        <w:rPr>
          <w:rFonts w:ascii="Times New Roman" w:hAnsi="Times New Roman" w:cs="Times New Roman"/>
          <w:sz w:val="24"/>
          <w:szCs w:val="24"/>
        </w:rPr>
        <w:t xml:space="preserve">Section 14 of the Act </w:t>
      </w:r>
      <w:r w:rsidRPr="00445EBB">
        <w:rPr>
          <w:rFonts w:ascii="Times New Roman" w:hAnsi="Times New Roman" w:cs="Times New Roman"/>
          <w:sz w:val="24"/>
          <w:szCs w:val="24"/>
        </w:rPr>
        <w:t xml:space="preserve">sets out the residency requirements that a potential right holder must meet in order to be eligible to hold the </w:t>
      </w:r>
      <w:r>
        <w:rPr>
          <w:rFonts w:ascii="Times New Roman" w:hAnsi="Times New Roman" w:cs="Times New Roman"/>
          <w:sz w:val="24"/>
          <w:szCs w:val="24"/>
        </w:rPr>
        <w:t xml:space="preserve">resale royalty </w:t>
      </w:r>
      <w:r w:rsidRPr="00445EBB">
        <w:rPr>
          <w:rFonts w:ascii="Times New Roman" w:hAnsi="Times New Roman" w:cs="Times New Roman"/>
          <w:sz w:val="24"/>
          <w:szCs w:val="24"/>
        </w:rPr>
        <w:t xml:space="preserve">right at the time of any commercial resale (as set out in </w:t>
      </w:r>
      <w:r>
        <w:rPr>
          <w:rFonts w:ascii="Times New Roman" w:hAnsi="Times New Roman" w:cs="Times New Roman"/>
          <w:sz w:val="24"/>
          <w:szCs w:val="24"/>
        </w:rPr>
        <w:t xml:space="preserve">section </w:t>
      </w:r>
      <w:r w:rsidRPr="00445EBB">
        <w:rPr>
          <w:rFonts w:ascii="Times New Roman" w:hAnsi="Times New Roman" w:cs="Times New Roman"/>
          <w:sz w:val="24"/>
          <w:szCs w:val="24"/>
        </w:rPr>
        <w:t xml:space="preserve">12). </w:t>
      </w:r>
      <w:r>
        <w:rPr>
          <w:rFonts w:ascii="Times New Roman" w:hAnsi="Times New Roman" w:cs="Times New Roman"/>
          <w:sz w:val="24"/>
          <w:szCs w:val="24"/>
        </w:rPr>
        <w:t xml:space="preserve"> A</w:t>
      </w:r>
      <w:r w:rsidRPr="00445EBB">
        <w:rPr>
          <w:rFonts w:ascii="Times New Roman" w:hAnsi="Times New Roman" w:cs="Times New Roman"/>
          <w:sz w:val="24"/>
          <w:szCs w:val="24"/>
        </w:rPr>
        <w:t>n individual satisfies the residency test at a particular time if that person, at that time, is an Australian citizen</w:t>
      </w:r>
      <w:r>
        <w:rPr>
          <w:rFonts w:ascii="Times New Roman" w:hAnsi="Times New Roman" w:cs="Times New Roman"/>
          <w:sz w:val="24"/>
          <w:szCs w:val="24"/>
        </w:rPr>
        <w:t xml:space="preserve"> (paragraph 14(1)(a))</w:t>
      </w:r>
      <w:r w:rsidRPr="00445EBB">
        <w:rPr>
          <w:rFonts w:ascii="Times New Roman" w:hAnsi="Times New Roman" w:cs="Times New Roman"/>
          <w:sz w:val="24"/>
          <w:szCs w:val="24"/>
        </w:rPr>
        <w:t xml:space="preserve">, a permanent resident of Australia </w:t>
      </w:r>
      <w:r>
        <w:rPr>
          <w:rFonts w:ascii="Times New Roman" w:hAnsi="Times New Roman" w:cs="Times New Roman"/>
          <w:sz w:val="24"/>
          <w:szCs w:val="24"/>
        </w:rPr>
        <w:t xml:space="preserve">(paragraph 14(1)(b)) </w:t>
      </w:r>
      <w:r w:rsidRPr="00445EBB">
        <w:rPr>
          <w:rFonts w:ascii="Times New Roman" w:hAnsi="Times New Roman" w:cs="Times New Roman"/>
          <w:sz w:val="24"/>
          <w:szCs w:val="24"/>
        </w:rPr>
        <w:t>or a national or citizen of a country prescribed as a reciprocating country in regulations (</w:t>
      </w:r>
      <w:r>
        <w:rPr>
          <w:rFonts w:ascii="Times New Roman" w:hAnsi="Times New Roman" w:cs="Times New Roman"/>
          <w:sz w:val="24"/>
          <w:szCs w:val="24"/>
        </w:rPr>
        <w:t>(paragraph 14(1)(c)</w:t>
      </w:r>
      <w:r w:rsidRPr="00445EBB">
        <w:rPr>
          <w:rFonts w:ascii="Times New Roman" w:hAnsi="Times New Roman" w:cs="Times New Roman"/>
          <w:sz w:val="24"/>
          <w:szCs w:val="24"/>
        </w:rPr>
        <w:t>).</w:t>
      </w:r>
    </w:p>
    <w:p w14:paraId="4F46FAC3" w14:textId="77777777"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14:paraId="4F46FAC4" w14:textId="10CEEFA7" w:rsidR="00CA6600" w:rsidRPr="00CA6600" w:rsidRDefault="00CA6600" w:rsidP="00CA6600">
      <w:pPr>
        <w:pStyle w:val="TBLText"/>
        <w:rPr>
          <w:rFonts w:ascii="Times New Roman" w:hAnsi="Times New Roman" w:cs="Times New Roman"/>
          <w:sz w:val="24"/>
          <w:szCs w:val="24"/>
        </w:rPr>
      </w:pPr>
      <w:r w:rsidRPr="00CA6600">
        <w:rPr>
          <w:rFonts w:ascii="Times New Roman" w:hAnsi="Times New Roman" w:cs="Times New Roman"/>
          <w:sz w:val="24"/>
          <w:szCs w:val="24"/>
        </w:rPr>
        <w:t>The resale royalty right</w:t>
      </w:r>
      <w:r w:rsidR="00713299">
        <w:rPr>
          <w:rFonts w:ascii="Times New Roman" w:hAnsi="Times New Roman" w:cs="Times New Roman"/>
          <w:sz w:val="24"/>
          <w:szCs w:val="24"/>
        </w:rPr>
        <w:t xml:space="preserve">, being the right </w:t>
      </w:r>
      <w:r w:rsidR="00713299">
        <w:rPr>
          <w:rFonts w:ascii="Times New Roman" w:eastAsiaTheme="minorHAnsi" w:hAnsi="Times New Roman" w:cs="Times New Roman"/>
          <w:color w:val="262626" w:themeColor="text1" w:themeTint="D9"/>
          <w:sz w:val="24"/>
          <w:szCs w:val="24"/>
        </w:rPr>
        <w:t>to allow the right to an interest in any sale of the work subsequent to the first transfer by the author of the work,</w:t>
      </w:r>
      <w:r w:rsidRPr="00CA6600">
        <w:rPr>
          <w:rFonts w:ascii="Times New Roman" w:hAnsi="Times New Roman" w:cs="Times New Roman"/>
          <w:sz w:val="24"/>
          <w:szCs w:val="24"/>
        </w:rPr>
        <w:t xml:space="preserve"> is recognised in the Berne Convention, a multilateral copyright treaty administered by the World Intellectual Property Organization (WIPO). Australia acceded to the Berne Convention (as at Paris, 1971) on 28</w:t>
      </w:r>
      <w:r w:rsidR="006853BA">
        <w:rPr>
          <w:rFonts w:ascii="Times New Roman" w:hAnsi="Times New Roman" w:cs="Times New Roman"/>
          <w:sz w:val="24"/>
          <w:szCs w:val="24"/>
        </w:rPr>
        <w:t> </w:t>
      </w:r>
      <w:r w:rsidRPr="00CA6600">
        <w:rPr>
          <w:rFonts w:ascii="Times New Roman" w:hAnsi="Times New Roman" w:cs="Times New Roman"/>
          <w:sz w:val="24"/>
          <w:szCs w:val="24"/>
        </w:rPr>
        <w:t>November 1977, with entry into force on 1</w:t>
      </w:r>
      <w:r w:rsidR="003E3A31">
        <w:rPr>
          <w:rFonts w:ascii="Times New Roman" w:hAnsi="Times New Roman" w:cs="Times New Roman"/>
          <w:sz w:val="24"/>
          <w:szCs w:val="24"/>
        </w:rPr>
        <w:t> </w:t>
      </w:r>
      <w:r w:rsidRPr="00CA6600">
        <w:rPr>
          <w:rFonts w:ascii="Times New Roman" w:hAnsi="Times New Roman" w:cs="Times New Roman"/>
          <w:sz w:val="24"/>
          <w:szCs w:val="24"/>
        </w:rPr>
        <w:t xml:space="preserve">March 1978. </w:t>
      </w:r>
    </w:p>
    <w:p w14:paraId="4F46FAC5" w14:textId="77777777" w:rsidR="00CA6600" w:rsidRPr="00CA6600" w:rsidRDefault="00CA6600" w:rsidP="00CA6600">
      <w:pPr>
        <w:pStyle w:val="TBLText"/>
        <w:rPr>
          <w:rFonts w:ascii="Times New Roman" w:hAnsi="Times New Roman" w:cs="Times New Roman"/>
          <w:sz w:val="24"/>
          <w:szCs w:val="24"/>
        </w:rPr>
      </w:pPr>
    </w:p>
    <w:p w14:paraId="4F46FAC7" w14:textId="7F7692B0" w:rsidR="00ED641B" w:rsidRDefault="00CA6600" w:rsidP="004B7415">
      <w:pPr>
        <w:pStyle w:val="TBLText"/>
        <w:rPr>
          <w:rFonts w:ascii="Times New Roman" w:hAnsi="Times New Roman" w:cs="Times New Roman"/>
          <w:sz w:val="24"/>
          <w:szCs w:val="24"/>
        </w:rPr>
      </w:pPr>
      <w:r w:rsidRPr="00CA6600">
        <w:rPr>
          <w:rFonts w:ascii="Times New Roman" w:hAnsi="Times New Roman" w:cs="Times New Roman"/>
          <w:sz w:val="24"/>
          <w:szCs w:val="24"/>
        </w:rPr>
        <w:t>The Copyright Agency L</w:t>
      </w:r>
      <w:r w:rsidR="00713299">
        <w:rPr>
          <w:rFonts w:ascii="Times New Roman" w:hAnsi="Times New Roman" w:cs="Times New Roman"/>
          <w:sz w:val="24"/>
          <w:szCs w:val="24"/>
        </w:rPr>
        <w:t xml:space="preserve">td </w:t>
      </w:r>
      <w:r w:rsidRPr="00CA6600">
        <w:rPr>
          <w:rFonts w:ascii="Times New Roman" w:hAnsi="Times New Roman" w:cs="Times New Roman"/>
          <w:sz w:val="24"/>
          <w:szCs w:val="24"/>
        </w:rPr>
        <w:t xml:space="preserve">(CAL), the collecting society </w:t>
      </w:r>
      <w:r w:rsidR="00B26F34">
        <w:rPr>
          <w:rFonts w:ascii="Times New Roman" w:hAnsi="Times New Roman" w:cs="Times New Roman"/>
          <w:sz w:val="24"/>
          <w:szCs w:val="24"/>
        </w:rPr>
        <w:t xml:space="preserve">currently </w:t>
      </w:r>
      <w:r w:rsidRPr="00CA6600">
        <w:rPr>
          <w:rFonts w:ascii="Times New Roman" w:hAnsi="Times New Roman" w:cs="Times New Roman"/>
          <w:sz w:val="24"/>
          <w:szCs w:val="24"/>
        </w:rPr>
        <w:t>appointed under section 3</w:t>
      </w:r>
      <w:r w:rsidR="00262C60">
        <w:rPr>
          <w:rFonts w:ascii="Times New Roman" w:hAnsi="Times New Roman" w:cs="Times New Roman"/>
          <w:sz w:val="24"/>
          <w:szCs w:val="24"/>
        </w:rPr>
        <w:t>5</w:t>
      </w:r>
      <w:r w:rsidRPr="00CA6600">
        <w:rPr>
          <w:rFonts w:ascii="Times New Roman" w:hAnsi="Times New Roman" w:cs="Times New Roman"/>
          <w:sz w:val="24"/>
          <w:szCs w:val="24"/>
        </w:rPr>
        <w:t xml:space="preserve"> of the </w:t>
      </w:r>
      <w:r w:rsidRPr="00CA6600">
        <w:rPr>
          <w:rFonts w:ascii="Times New Roman" w:hAnsi="Times New Roman" w:cs="Times New Roman"/>
          <w:i/>
          <w:sz w:val="24"/>
          <w:szCs w:val="24"/>
        </w:rPr>
        <w:t>Resale Royalty Right for Visual Artist Regulations 2021</w:t>
      </w:r>
      <w:r w:rsidRPr="00CA6600">
        <w:rPr>
          <w:rFonts w:ascii="Times New Roman" w:hAnsi="Times New Roman" w:cs="Times New Roman"/>
          <w:sz w:val="24"/>
          <w:szCs w:val="24"/>
        </w:rPr>
        <w:t xml:space="preserve"> is required to establish reciprocal relationships with collecting organisations in overseas jurisdictions that operate a resale royalty scheme for visual artists. This will enable the reciprocal collection and payment of royalties to artists.</w:t>
      </w:r>
    </w:p>
    <w:p w14:paraId="0B0CA1FC" w14:textId="7EAF052E" w:rsidR="00707376" w:rsidRDefault="00707376" w:rsidP="004B7415">
      <w:pPr>
        <w:pStyle w:val="TBLText"/>
        <w:rPr>
          <w:rFonts w:ascii="Times New Roman" w:hAnsi="Times New Roman" w:cs="Times New Roman"/>
          <w:sz w:val="24"/>
          <w:szCs w:val="24"/>
        </w:rPr>
      </w:pPr>
    </w:p>
    <w:p w14:paraId="4C8A88CF" w14:textId="5BFFB4C9" w:rsidR="00707376" w:rsidRPr="00D92BDB" w:rsidRDefault="00B26F34" w:rsidP="00707376">
      <w:pPr>
        <w:pStyle w:val="TBLText"/>
        <w:rPr>
          <w:rFonts w:ascii="Times New Roman" w:hAnsi="Times New Roman" w:cs="Times New Roman"/>
          <w:sz w:val="24"/>
          <w:szCs w:val="24"/>
        </w:rPr>
      </w:pPr>
      <w:r>
        <w:rPr>
          <w:rFonts w:ascii="Times New Roman" w:hAnsi="Times New Roman" w:cs="Times New Roman"/>
          <w:sz w:val="24"/>
          <w:szCs w:val="24"/>
        </w:rPr>
        <w:t xml:space="preserve">The </w:t>
      </w:r>
      <w:r w:rsidR="00707376" w:rsidRPr="00DE2356">
        <w:rPr>
          <w:rFonts w:ascii="Times New Roman" w:hAnsi="Times New Roman" w:cs="Times New Roman"/>
          <w:sz w:val="24"/>
          <w:szCs w:val="24"/>
        </w:rPr>
        <w:t xml:space="preserve">international reciprocal arrangements align to the Government’s commitments for the Resale Royalty Scheme under the National Cultural Policy </w:t>
      </w:r>
      <w:r w:rsidR="00707376" w:rsidRPr="00DE2356">
        <w:rPr>
          <w:rFonts w:ascii="Times New Roman" w:hAnsi="Times New Roman" w:cs="Times New Roman"/>
          <w:i/>
          <w:sz w:val="24"/>
          <w:szCs w:val="24"/>
        </w:rPr>
        <w:t>Revive</w:t>
      </w:r>
      <w:r w:rsidR="00707376" w:rsidRPr="00DE2356">
        <w:rPr>
          <w:rFonts w:ascii="Times New Roman" w:hAnsi="Times New Roman" w:cs="Times New Roman"/>
          <w:sz w:val="24"/>
          <w:szCs w:val="24"/>
        </w:rPr>
        <w:t>.</w:t>
      </w:r>
    </w:p>
    <w:p w14:paraId="1B66A9BD" w14:textId="77777777" w:rsidR="00707376" w:rsidRPr="004B7415" w:rsidRDefault="00707376" w:rsidP="004B7415">
      <w:pPr>
        <w:pStyle w:val="TBLText"/>
        <w:rPr>
          <w:rFonts w:ascii="Times New Roman" w:hAnsi="Times New Roman" w:cs="Times New Roman"/>
          <w:sz w:val="24"/>
          <w:szCs w:val="24"/>
        </w:rPr>
      </w:pPr>
    </w:p>
    <w:p w14:paraId="51C94F29" w14:textId="77777777" w:rsidR="00B26F34"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5C1AE6">
        <w:rPr>
          <w:rFonts w:ascii="Times New Roman" w:hAnsi="Times New Roman"/>
          <w:sz w:val="24"/>
          <w:szCs w:val="24"/>
        </w:rPr>
        <w:t xml:space="preserve">Regulations are </w:t>
      </w:r>
      <w:r w:rsidRPr="005168E5">
        <w:rPr>
          <w:rFonts w:ascii="Times New Roman" w:hAnsi="Times New Roman"/>
          <w:sz w:val="24"/>
          <w:szCs w:val="24"/>
        </w:rPr>
        <w:t xml:space="preserve">a legislative instrument for the purposes of the </w:t>
      </w:r>
      <w:r w:rsidRPr="005168E5">
        <w:rPr>
          <w:rFonts w:ascii="Times New Roman" w:hAnsi="Times New Roman"/>
          <w:i/>
          <w:iCs/>
          <w:sz w:val="24"/>
          <w:szCs w:val="24"/>
        </w:rPr>
        <w:t>Legislation Act 2003</w:t>
      </w:r>
      <w:r w:rsidR="00275778">
        <w:rPr>
          <w:rFonts w:ascii="Times New Roman" w:hAnsi="Times New Roman"/>
          <w:iCs/>
          <w:sz w:val="24"/>
          <w:szCs w:val="24"/>
        </w:rPr>
        <w:t xml:space="preserve"> and is subject to </w:t>
      </w:r>
      <w:r w:rsidR="00887CC8">
        <w:rPr>
          <w:rFonts w:ascii="Times New Roman" w:hAnsi="Times New Roman"/>
          <w:iCs/>
          <w:sz w:val="24"/>
          <w:szCs w:val="24"/>
        </w:rPr>
        <w:t xml:space="preserve">the default </w:t>
      </w:r>
      <w:r w:rsidR="00275778">
        <w:rPr>
          <w:rFonts w:ascii="Times New Roman" w:hAnsi="Times New Roman"/>
          <w:iCs/>
          <w:sz w:val="24"/>
          <w:szCs w:val="24"/>
        </w:rPr>
        <w:t xml:space="preserve">sunsetting </w:t>
      </w:r>
      <w:r w:rsidR="00887CC8">
        <w:rPr>
          <w:rFonts w:ascii="Times New Roman" w:hAnsi="Times New Roman"/>
          <w:iCs/>
          <w:sz w:val="24"/>
          <w:szCs w:val="24"/>
        </w:rPr>
        <w:t xml:space="preserve">requirements </w:t>
      </w:r>
      <w:r w:rsidR="00275778">
        <w:rPr>
          <w:rFonts w:ascii="Times New Roman" w:hAnsi="Times New Roman"/>
          <w:iCs/>
          <w:sz w:val="24"/>
          <w:szCs w:val="24"/>
        </w:rPr>
        <w:t>and disallowance</w:t>
      </w:r>
      <w:r w:rsidRPr="005168E5">
        <w:rPr>
          <w:rFonts w:ascii="Times New Roman" w:hAnsi="Times New Roman"/>
          <w:i/>
          <w:iCs/>
          <w:sz w:val="24"/>
          <w:szCs w:val="24"/>
        </w:rPr>
        <w:t>.</w:t>
      </w:r>
      <w:r w:rsidRPr="005168E5">
        <w:rPr>
          <w:rFonts w:ascii="Times New Roman" w:hAnsi="Times New Roman"/>
          <w:sz w:val="24"/>
          <w:szCs w:val="24"/>
        </w:rPr>
        <w:t xml:space="preserve"> </w:t>
      </w:r>
    </w:p>
    <w:p w14:paraId="4F46FACE" w14:textId="0434B099" w:rsidR="00892394"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5C1AE6">
        <w:rPr>
          <w:rFonts w:ascii="Times New Roman" w:hAnsi="Times New Roman"/>
          <w:sz w:val="24"/>
          <w:szCs w:val="24"/>
        </w:rPr>
        <w:t xml:space="preserve">Regulations </w:t>
      </w:r>
      <w:r w:rsidRPr="005168E5">
        <w:rPr>
          <w:rFonts w:ascii="Times New Roman" w:hAnsi="Times New Roman"/>
          <w:sz w:val="24"/>
          <w:szCs w:val="24"/>
        </w:rPr>
        <w:t xml:space="preserve">commence </w:t>
      </w:r>
      <w:r w:rsidR="006A4510">
        <w:rPr>
          <w:rFonts w:ascii="Times New Roman" w:hAnsi="Times New Roman"/>
          <w:sz w:val="24"/>
          <w:szCs w:val="24"/>
        </w:rPr>
        <w:t xml:space="preserve">on 31 March 2024. </w:t>
      </w:r>
    </w:p>
    <w:p w14:paraId="4F46FACF" w14:textId="77777777" w:rsidR="00892394" w:rsidRPr="005168E5"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w:t>
      </w:r>
      <w:r w:rsidR="00ED641B">
        <w:rPr>
          <w:rFonts w:ascii="Times New Roman" w:hAnsi="Times New Roman"/>
          <w:sz w:val="24"/>
          <w:szCs w:val="24"/>
        </w:rPr>
        <w:t>instrument</w:t>
      </w:r>
      <w:r w:rsidRPr="005168E5">
        <w:rPr>
          <w:rFonts w:ascii="Times New Roman" w:hAnsi="Times New Roman"/>
          <w:sz w:val="24"/>
          <w:szCs w:val="24"/>
        </w:rPr>
        <w:t xml:space="preserve">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4F46FAD0" w14:textId="77777777"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14:paraId="4F46FAD1" w14:textId="5AFBCA69" w:rsidR="00892394" w:rsidRDefault="00B26F34" w:rsidP="00821C72">
      <w:pPr>
        <w:spacing w:after="0" w:line="240" w:lineRule="auto"/>
        <w:rPr>
          <w:rFonts w:ascii="Times New Roman" w:hAnsi="Times New Roman"/>
          <w:sz w:val="24"/>
          <w:szCs w:val="24"/>
        </w:rPr>
      </w:pPr>
      <w:r>
        <w:rPr>
          <w:rFonts w:ascii="Times New Roman" w:hAnsi="Times New Roman"/>
          <w:sz w:val="24"/>
          <w:szCs w:val="24"/>
        </w:rPr>
        <w:t>On behalf of the Minister, t</w:t>
      </w:r>
      <w:r w:rsidR="00892394">
        <w:rPr>
          <w:rFonts w:ascii="Times New Roman" w:hAnsi="Times New Roman"/>
          <w:sz w:val="24"/>
          <w:szCs w:val="24"/>
        </w:rPr>
        <w:t xml:space="preserve">he Department </w:t>
      </w:r>
      <w:r>
        <w:rPr>
          <w:rFonts w:ascii="Times New Roman" w:hAnsi="Times New Roman"/>
          <w:sz w:val="24"/>
          <w:szCs w:val="24"/>
        </w:rPr>
        <w:t xml:space="preserve">of Infrastructure, </w:t>
      </w:r>
      <w:r w:rsidR="00D35868">
        <w:rPr>
          <w:rFonts w:ascii="Times New Roman" w:hAnsi="Times New Roman"/>
          <w:sz w:val="24"/>
          <w:szCs w:val="24"/>
        </w:rPr>
        <w:t>T</w:t>
      </w:r>
      <w:r>
        <w:rPr>
          <w:rFonts w:ascii="Times New Roman" w:hAnsi="Times New Roman"/>
          <w:sz w:val="24"/>
          <w:szCs w:val="24"/>
        </w:rPr>
        <w:t xml:space="preserve">ransport, Regional Development, Communications and the Arts </w:t>
      </w:r>
      <w:r w:rsidR="00892394">
        <w:rPr>
          <w:rFonts w:ascii="Times New Roman" w:hAnsi="Times New Roman"/>
          <w:sz w:val="24"/>
          <w:szCs w:val="24"/>
        </w:rPr>
        <w:t>consult</w:t>
      </w:r>
      <w:r w:rsidR="00821C72">
        <w:rPr>
          <w:rFonts w:ascii="Times New Roman" w:hAnsi="Times New Roman"/>
          <w:sz w:val="24"/>
          <w:szCs w:val="24"/>
        </w:rPr>
        <w:t>ed with CAL, the collecting society appointed under section 35 of the Act, to identify minor changes to the reporting regime</w:t>
      </w:r>
      <w:r w:rsidR="00262C60">
        <w:rPr>
          <w:rFonts w:ascii="Times New Roman" w:hAnsi="Times New Roman"/>
          <w:sz w:val="24"/>
          <w:szCs w:val="24"/>
        </w:rPr>
        <w:t xml:space="preserve">, collection and payment of royalties. </w:t>
      </w:r>
      <w:r w:rsidR="00821C72">
        <w:rPr>
          <w:rFonts w:ascii="Times New Roman" w:hAnsi="Times New Roman"/>
          <w:sz w:val="24"/>
          <w:szCs w:val="24"/>
        </w:rPr>
        <w:t xml:space="preserve"> </w:t>
      </w:r>
      <w:r w:rsidR="00ED641B">
        <w:rPr>
          <w:rFonts w:ascii="Times New Roman" w:hAnsi="Times New Roman"/>
          <w:sz w:val="24"/>
          <w:szCs w:val="24"/>
        </w:rPr>
        <w:t xml:space="preserve"> </w:t>
      </w:r>
    </w:p>
    <w:p w14:paraId="4A98AE32" w14:textId="5E5F9A84" w:rsidR="00964CF6" w:rsidRDefault="00964CF6" w:rsidP="00821C72">
      <w:pPr>
        <w:spacing w:after="0" w:line="240" w:lineRule="auto"/>
        <w:rPr>
          <w:rFonts w:ascii="Times New Roman" w:hAnsi="Times New Roman"/>
          <w:sz w:val="24"/>
          <w:szCs w:val="24"/>
        </w:rPr>
      </w:pPr>
    </w:p>
    <w:p w14:paraId="14B79871" w14:textId="23A12417" w:rsidR="00964CF6" w:rsidRPr="00713299" w:rsidRDefault="00964CF6" w:rsidP="00821C72">
      <w:pPr>
        <w:spacing w:after="0" w:line="240" w:lineRule="auto"/>
        <w:rPr>
          <w:rFonts w:ascii="Times New Roman" w:hAnsi="Times New Roman" w:cs="Times New Roman"/>
          <w:sz w:val="24"/>
          <w:szCs w:val="24"/>
        </w:rPr>
      </w:pPr>
      <w:r w:rsidRPr="00713299">
        <w:rPr>
          <w:rFonts w:ascii="Times New Roman" w:hAnsi="Times New Roman" w:cs="Times New Roman"/>
          <w:sz w:val="24"/>
          <w:szCs w:val="24"/>
        </w:rPr>
        <w:t>The Office of Impact An</w:t>
      </w:r>
      <w:r w:rsidR="0021462F" w:rsidRPr="00713299">
        <w:rPr>
          <w:rFonts w:ascii="Times New Roman" w:hAnsi="Times New Roman" w:cs="Times New Roman"/>
          <w:sz w:val="24"/>
          <w:szCs w:val="24"/>
        </w:rPr>
        <w:t>al</w:t>
      </w:r>
      <w:r w:rsidRPr="00713299">
        <w:rPr>
          <w:rFonts w:ascii="Times New Roman" w:hAnsi="Times New Roman" w:cs="Times New Roman"/>
          <w:sz w:val="24"/>
          <w:szCs w:val="24"/>
        </w:rPr>
        <w:t>ysis</w:t>
      </w:r>
      <w:r w:rsidR="0021462F" w:rsidRPr="00713299">
        <w:rPr>
          <w:rFonts w:ascii="Times New Roman" w:hAnsi="Times New Roman" w:cs="Times New Roman"/>
          <w:sz w:val="24"/>
          <w:szCs w:val="24"/>
        </w:rPr>
        <w:t xml:space="preserve"> was consulted</w:t>
      </w:r>
      <w:r w:rsidR="00B26F34" w:rsidRPr="00713299">
        <w:rPr>
          <w:rFonts w:ascii="Times New Roman" w:hAnsi="Times New Roman" w:cs="Times New Roman"/>
          <w:sz w:val="24"/>
          <w:szCs w:val="24"/>
        </w:rPr>
        <w:t xml:space="preserve"> and </w:t>
      </w:r>
      <w:r w:rsidR="004B1222" w:rsidRPr="00713299">
        <w:rPr>
          <w:rFonts w:ascii="Times New Roman" w:hAnsi="Times New Roman" w:cs="Times New Roman"/>
          <w:sz w:val="24"/>
          <w:szCs w:val="24"/>
        </w:rPr>
        <w:t>the preparation of an Impact Analysis was not required</w:t>
      </w:r>
      <w:r w:rsidR="00B26F34" w:rsidRPr="00713299">
        <w:rPr>
          <w:rFonts w:ascii="Times New Roman" w:hAnsi="Times New Roman" w:cs="Times New Roman"/>
          <w:sz w:val="24"/>
          <w:szCs w:val="24"/>
        </w:rPr>
        <w:t xml:space="preserve"> (</w:t>
      </w:r>
      <w:r w:rsidR="002255DF" w:rsidRPr="00713299">
        <w:rPr>
          <w:rFonts w:ascii="Times New Roman" w:eastAsia="Times New Roman" w:hAnsi="Times New Roman" w:cs="Times New Roman"/>
        </w:rPr>
        <w:t xml:space="preserve">OIA23-06090). </w:t>
      </w:r>
    </w:p>
    <w:p w14:paraId="4F46FAD2" w14:textId="77777777" w:rsidR="00892394" w:rsidRDefault="00892394" w:rsidP="00892394">
      <w:pPr>
        <w:shd w:val="clear" w:color="auto" w:fill="FFFFFF"/>
        <w:spacing w:before="100" w:beforeAutospacing="1" w:after="100" w:afterAutospacing="1"/>
        <w:rPr>
          <w:rFonts w:ascii="Times New Roman" w:hAnsi="Times New Roman"/>
          <w:b/>
          <w:sz w:val="24"/>
          <w:szCs w:val="24"/>
        </w:rPr>
      </w:pPr>
      <w:r w:rsidRPr="004B1222">
        <w:rPr>
          <w:rFonts w:ascii="Times New Roman" w:hAnsi="Times New Roman"/>
          <w:b/>
          <w:sz w:val="24"/>
          <w:szCs w:val="24"/>
        </w:rPr>
        <w:t>Statement of Compatibility with Human</w:t>
      </w:r>
      <w:bookmarkStart w:id="0" w:name="_GoBack"/>
      <w:bookmarkEnd w:id="0"/>
      <w:r w:rsidRPr="004B1222">
        <w:rPr>
          <w:rFonts w:ascii="Times New Roman" w:hAnsi="Times New Roman"/>
          <w:b/>
          <w:sz w:val="24"/>
          <w:szCs w:val="24"/>
        </w:rPr>
        <w:t xml:space="preserve"> Rights</w:t>
      </w:r>
    </w:p>
    <w:p w14:paraId="4F46FAD3" w14:textId="59E49B9C" w:rsidR="00892394" w:rsidRDefault="00892394" w:rsidP="00892394">
      <w:pPr>
        <w:spacing w:before="100" w:beforeAutospacing="1" w:after="100" w:afterAutospacing="1"/>
        <w:rPr>
          <w:rFonts w:ascii="Times New Roman" w:hAnsi="Times New Roman"/>
          <w:color w:val="000000"/>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4F46FAD4" w14:textId="271B6768"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br w:type="page"/>
      </w:r>
    </w:p>
    <w:p w14:paraId="37858FDA" w14:textId="77777777" w:rsidR="006B36F3" w:rsidRDefault="006B36F3" w:rsidP="00892394">
      <w:pPr>
        <w:rPr>
          <w:rFonts w:ascii="Times New Roman" w:hAnsi="Times New Roman" w:cs="Times New Roman"/>
          <w:b/>
          <w:sz w:val="24"/>
          <w:szCs w:val="24"/>
        </w:rPr>
      </w:pPr>
    </w:p>
    <w:p w14:paraId="4F46FAD5"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t>Attachment A</w:t>
      </w:r>
    </w:p>
    <w:p w14:paraId="4F46FAD6" w14:textId="394B1235"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F47FE0" w:rsidRPr="004658FE">
        <w:rPr>
          <w:rFonts w:ascii="Times New Roman" w:hAnsi="Times New Roman" w:cs="Times New Roman"/>
          <w:b/>
          <w:i/>
          <w:sz w:val="24"/>
          <w:szCs w:val="24"/>
        </w:rPr>
        <w:t xml:space="preserve">Resale Royalty Right for Visual Artists </w:t>
      </w:r>
      <w:r w:rsidR="009C77D0">
        <w:rPr>
          <w:rFonts w:ascii="Times New Roman" w:hAnsi="Times New Roman" w:cs="Times New Roman"/>
          <w:b/>
          <w:i/>
          <w:sz w:val="24"/>
          <w:szCs w:val="24"/>
        </w:rPr>
        <w:t xml:space="preserve">Amendment (Reciprocating Countries) </w:t>
      </w:r>
      <w:r w:rsidR="00F47FE0" w:rsidRPr="004658FE">
        <w:rPr>
          <w:rFonts w:ascii="Times New Roman" w:hAnsi="Times New Roman" w:cs="Times New Roman"/>
          <w:b/>
          <w:i/>
          <w:sz w:val="24"/>
          <w:szCs w:val="24"/>
        </w:rPr>
        <w:t>Regulations 202</w:t>
      </w:r>
      <w:r w:rsidR="00B55F01">
        <w:rPr>
          <w:rFonts w:ascii="Times New Roman" w:hAnsi="Times New Roman" w:cs="Times New Roman"/>
          <w:b/>
          <w:i/>
          <w:sz w:val="24"/>
          <w:szCs w:val="24"/>
        </w:rPr>
        <w:t>4</w:t>
      </w:r>
    </w:p>
    <w:p w14:paraId="4F46FAD7" w14:textId="3072F2F8" w:rsidR="00892394" w:rsidRPr="004658FE" w:rsidRDefault="00892394" w:rsidP="00892394">
      <w:pPr>
        <w:ind w:right="91"/>
        <w:rPr>
          <w:rFonts w:ascii="Times New Roman" w:hAnsi="Times New Roman" w:cs="Times New Roman"/>
          <w:b/>
          <w:sz w:val="24"/>
          <w:szCs w:val="24"/>
        </w:rPr>
      </w:pPr>
      <w:r w:rsidRPr="00A54CEA">
        <w:rPr>
          <w:rFonts w:ascii="Times New Roman" w:hAnsi="Times New Roman" w:cs="Times New Roman"/>
          <w:kern w:val="24"/>
          <w:sz w:val="24"/>
          <w:szCs w:val="24"/>
          <w:u w:val="single"/>
        </w:rPr>
        <w:t xml:space="preserve">Section 1 – </w:t>
      </w:r>
      <w:r w:rsidR="004658FE">
        <w:rPr>
          <w:rFonts w:ascii="Times New Roman" w:hAnsi="Times New Roman" w:cs="Times New Roman"/>
          <w:sz w:val="24"/>
          <w:szCs w:val="24"/>
          <w:u w:val="single"/>
        </w:rPr>
        <w:t>Name</w:t>
      </w:r>
    </w:p>
    <w:p w14:paraId="4F46FAD8" w14:textId="5E6B71CF" w:rsidR="00892394" w:rsidRPr="004658FE" w:rsidRDefault="00892394" w:rsidP="00892394">
      <w:pPr>
        <w:ind w:right="91"/>
        <w:rPr>
          <w:rFonts w:ascii="Times New Roman" w:hAnsi="Times New Roman" w:cs="Times New Roman"/>
          <w:i/>
          <w:kern w:val="24"/>
          <w:sz w:val="24"/>
          <w:szCs w:val="24"/>
        </w:rPr>
      </w:pPr>
      <w:r w:rsidRPr="00A54CEA">
        <w:rPr>
          <w:rFonts w:ascii="Times New Roman" w:hAnsi="Times New Roman" w:cs="Times New Roman"/>
          <w:kern w:val="24"/>
          <w:sz w:val="24"/>
          <w:szCs w:val="24"/>
        </w:rPr>
        <w:t xml:space="preserve">This section provides that the name of the </w:t>
      </w:r>
      <w:r w:rsidR="004658FE">
        <w:rPr>
          <w:rFonts w:ascii="Times New Roman" w:hAnsi="Times New Roman" w:cs="Times New Roman"/>
          <w:kern w:val="24"/>
          <w:sz w:val="24"/>
          <w:szCs w:val="24"/>
        </w:rPr>
        <w:t xml:space="preserve">Regulations is </w:t>
      </w:r>
      <w:r w:rsidR="00754EE4">
        <w:rPr>
          <w:rFonts w:ascii="Times New Roman" w:hAnsi="Times New Roman" w:cs="Times New Roman"/>
          <w:i/>
          <w:kern w:val="24"/>
          <w:sz w:val="24"/>
          <w:szCs w:val="24"/>
        </w:rPr>
        <w:t>Resale Royalty Right for Visual Artists Amendment (Reciprocating Countries) Regulations 202</w:t>
      </w:r>
      <w:r w:rsidR="00B55F01">
        <w:rPr>
          <w:rFonts w:ascii="Times New Roman" w:hAnsi="Times New Roman" w:cs="Times New Roman"/>
          <w:i/>
          <w:kern w:val="24"/>
          <w:sz w:val="24"/>
          <w:szCs w:val="24"/>
        </w:rPr>
        <w:t>4</w:t>
      </w:r>
      <w:r w:rsidR="00754EE4">
        <w:rPr>
          <w:rFonts w:ascii="Times New Roman" w:hAnsi="Times New Roman" w:cs="Times New Roman"/>
          <w:i/>
          <w:kern w:val="24"/>
          <w:sz w:val="24"/>
          <w:szCs w:val="24"/>
        </w:rPr>
        <w:t>.</w:t>
      </w:r>
    </w:p>
    <w:p w14:paraId="4F46FAD9"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4F46FADA" w14:textId="47D1CE0C" w:rsidR="00892394" w:rsidRPr="00A54CEA" w:rsidRDefault="00892394" w:rsidP="00892394">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This section provides</w:t>
      </w:r>
      <w:r w:rsidR="00C70E7C">
        <w:rPr>
          <w:rFonts w:ascii="Times New Roman" w:hAnsi="Times New Roman" w:cs="Times New Roman"/>
          <w:kern w:val="24"/>
          <w:sz w:val="24"/>
          <w:szCs w:val="24"/>
        </w:rPr>
        <w:t xml:space="preserve"> for the</w:t>
      </w:r>
      <w:r w:rsidRPr="00A54CEA">
        <w:rPr>
          <w:rFonts w:ascii="Times New Roman" w:hAnsi="Times New Roman" w:cs="Times New Roman"/>
          <w:kern w:val="24"/>
          <w:sz w:val="24"/>
          <w:szCs w:val="24"/>
        </w:rPr>
        <w:t xml:space="preserve"> </w:t>
      </w:r>
      <w:r w:rsidR="00220FBF">
        <w:rPr>
          <w:rFonts w:ascii="Times New Roman" w:hAnsi="Times New Roman" w:cs="Times New Roman"/>
          <w:kern w:val="24"/>
          <w:sz w:val="24"/>
          <w:szCs w:val="24"/>
        </w:rPr>
        <w:t xml:space="preserve">whole of the </w:t>
      </w:r>
      <w:r w:rsidR="004658FE">
        <w:rPr>
          <w:rFonts w:ascii="Times New Roman" w:hAnsi="Times New Roman" w:cs="Times New Roman"/>
          <w:kern w:val="24"/>
          <w:sz w:val="24"/>
          <w:szCs w:val="24"/>
        </w:rPr>
        <w:t>Regulations</w:t>
      </w:r>
      <w:r w:rsidRPr="00A54CEA">
        <w:rPr>
          <w:rFonts w:ascii="Times New Roman" w:hAnsi="Times New Roman" w:cs="Times New Roman"/>
          <w:kern w:val="24"/>
          <w:sz w:val="24"/>
          <w:szCs w:val="24"/>
        </w:rPr>
        <w:t xml:space="preserve"> to commence </w:t>
      </w:r>
      <w:r w:rsidR="00B26F34">
        <w:rPr>
          <w:rFonts w:ascii="Times New Roman" w:hAnsi="Times New Roman" w:cs="Times New Roman"/>
          <w:kern w:val="24"/>
          <w:sz w:val="24"/>
          <w:szCs w:val="24"/>
        </w:rPr>
        <w:t xml:space="preserve">on </w:t>
      </w:r>
      <w:r w:rsidR="00562C07">
        <w:rPr>
          <w:rFonts w:ascii="Times New Roman" w:hAnsi="Times New Roman" w:cs="Times New Roman"/>
          <w:kern w:val="24"/>
          <w:sz w:val="24"/>
          <w:szCs w:val="24"/>
        </w:rPr>
        <w:t>3</w:t>
      </w:r>
      <w:r w:rsidR="000E7F9E">
        <w:rPr>
          <w:rFonts w:ascii="Times New Roman" w:hAnsi="Times New Roman" w:cs="Times New Roman"/>
          <w:kern w:val="24"/>
          <w:sz w:val="24"/>
          <w:szCs w:val="24"/>
        </w:rPr>
        <w:t>1 March 2024.</w:t>
      </w:r>
    </w:p>
    <w:p w14:paraId="4F46FADB"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4F46FADC" w14:textId="08E9463A" w:rsidR="00892394" w:rsidRPr="00C70E7C" w:rsidRDefault="00892394" w:rsidP="00892394">
      <w:pPr>
        <w:spacing w:before="100" w:beforeAutospacing="1" w:after="100" w:afterAutospacing="1" w:line="300" w:lineRule="atLeast"/>
        <w:rPr>
          <w:rFonts w:ascii="Times New Roman" w:hAnsi="Times New Roman" w:cs="Times New Roman"/>
          <w:i/>
          <w:sz w:val="24"/>
          <w:szCs w:val="24"/>
        </w:rPr>
      </w:pPr>
      <w:r w:rsidRPr="00A54CEA">
        <w:rPr>
          <w:rFonts w:ascii="Times New Roman" w:hAnsi="Times New Roman" w:cs="Times New Roman"/>
          <w:kern w:val="24"/>
          <w:sz w:val="24"/>
          <w:szCs w:val="24"/>
        </w:rPr>
        <w:t xml:space="preserve">This section provides that the </w:t>
      </w:r>
      <w:r w:rsidR="00C70E7C">
        <w:rPr>
          <w:rFonts w:ascii="Times New Roman" w:hAnsi="Times New Roman" w:cs="Times New Roman"/>
          <w:kern w:val="24"/>
          <w:sz w:val="24"/>
          <w:szCs w:val="24"/>
        </w:rPr>
        <w:t>Regulations are</w:t>
      </w:r>
      <w:r w:rsidRPr="00A54CEA">
        <w:rPr>
          <w:rFonts w:ascii="Times New Roman" w:hAnsi="Times New Roman" w:cs="Times New Roman"/>
          <w:kern w:val="24"/>
          <w:sz w:val="24"/>
          <w:szCs w:val="24"/>
        </w:rPr>
        <w:t xml:space="preserve"> made under </w:t>
      </w:r>
      <w:r w:rsidR="00C70E7C">
        <w:rPr>
          <w:rFonts w:ascii="Times New Roman" w:hAnsi="Times New Roman" w:cs="Times New Roman"/>
          <w:kern w:val="24"/>
          <w:sz w:val="24"/>
          <w:szCs w:val="24"/>
        </w:rPr>
        <w:t xml:space="preserve">the </w:t>
      </w:r>
      <w:r w:rsidR="00C70E7C">
        <w:rPr>
          <w:rFonts w:ascii="Times New Roman" w:hAnsi="Times New Roman" w:cs="Times New Roman"/>
          <w:i/>
          <w:kern w:val="24"/>
          <w:sz w:val="24"/>
          <w:szCs w:val="24"/>
        </w:rPr>
        <w:t xml:space="preserve">Resale Royalty Right for Visual Artists Act 2009. </w:t>
      </w:r>
    </w:p>
    <w:p w14:paraId="4F46FADD" w14:textId="77777777" w:rsidR="00892394" w:rsidRPr="00A54CEA" w:rsidRDefault="00892394" w:rsidP="00892394">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Section 4 – Schedule</w:t>
      </w:r>
      <w:r w:rsidR="003C7D1A">
        <w:rPr>
          <w:rFonts w:ascii="Times New Roman" w:hAnsi="Times New Roman" w:cs="Times New Roman"/>
          <w:kern w:val="24"/>
          <w:sz w:val="24"/>
          <w:szCs w:val="24"/>
          <w:u w:val="single"/>
        </w:rPr>
        <w:t>s</w:t>
      </w:r>
    </w:p>
    <w:p w14:paraId="4F46FADE" w14:textId="089115E3" w:rsidR="00892394" w:rsidRPr="00A54CEA" w:rsidRDefault="00892394" w:rsidP="00892394">
      <w:pPr>
        <w:tabs>
          <w:tab w:val="left" w:pos="3610"/>
        </w:tabs>
        <w:ind w:right="91"/>
        <w:rPr>
          <w:rFonts w:ascii="Times New Roman" w:hAnsi="Times New Roman" w:cs="Times New Roman"/>
          <w:sz w:val="24"/>
          <w:szCs w:val="24"/>
        </w:rPr>
      </w:pPr>
      <w:r w:rsidRPr="00A54CEA">
        <w:rPr>
          <w:rFonts w:ascii="Times New Roman" w:hAnsi="Times New Roman" w:cs="Times New Roman"/>
          <w:color w:val="000000"/>
          <w:sz w:val="24"/>
          <w:szCs w:val="24"/>
          <w:shd w:val="clear" w:color="auto" w:fill="FFFFFF"/>
        </w:rPr>
        <w:t xml:space="preserve">This section provides that each instrument specified in the Schedule is amended or repealed as set out in the applicable item in the Schedule concerned, and that any other item in a Schedule to </w:t>
      </w:r>
      <w:r w:rsidR="00887CC8" w:rsidRPr="00A54CEA">
        <w:rPr>
          <w:rFonts w:ascii="Times New Roman" w:hAnsi="Times New Roman" w:cs="Times New Roman"/>
          <w:color w:val="000000"/>
          <w:sz w:val="24"/>
          <w:szCs w:val="24"/>
          <w:shd w:val="clear" w:color="auto" w:fill="FFFFFF"/>
        </w:rPr>
        <w:t>th</w:t>
      </w:r>
      <w:r w:rsidR="00887CC8">
        <w:rPr>
          <w:rFonts w:ascii="Times New Roman" w:hAnsi="Times New Roman" w:cs="Times New Roman"/>
          <w:color w:val="000000"/>
          <w:sz w:val="24"/>
          <w:szCs w:val="24"/>
          <w:shd w:val="clear" w:color="auto" w:fill="FFFFFF"/>
        </w:rPr>
        <w:t>e</w:t>
      </w:r>
      <w:r w:rsidR="00887CC8" w:rsidRPr="00A54CEA">
        <w:rPr>
          <w:rFonts w:ascii="Times New Roman" w:hAnsi="Times New Roman" w:cs="Times New Roman"/>
          <w:color w:val="000000"/>
          <w:sz w:val="24"/>
          <w:szCs w:val="24"/>
          <w:shd w:val="clear" w:color="auto" w:fill="FFFFFF"/>
        </w:rPr>
        <w:t xml:space="preserve"> </w:t>
      </w:r>
      <w:r w:rsidRPr="00A54CEA">
        <w:rPr>
          <w:rFonts w:ascii="Times New Roman" w:hAnsi="Times New Roman" w:cs="Times New Roman"/>
          <w:color w:val="000000"/>
          <w:sz w:val="24"/>
          <w:szCs w:val="24"/>
          <w:shd w:val="clear" w:color="auto" w:fill="FFFFFF"/>
        </w:rPr>
        <w:t>instrument has effect according to its terms.</w:t>
      </w:r>
      <w:r w:rsidR="00B26F34">
        <w:rPr>
          <w:rFonts w:ascii="Times New Roman" w:hAnsi="Times New Roman" w:cs="Times New Roman"/>
          <w:color w:val="000000"/>
          <w:sz w:val="24"/>
          <w:szCs w:val="24"/>
          <w:shd w:val="clear" w:color="auto" w:fill="FFFFFF"/>
        </w:rPr>
        <w:t xml:space="preserve"> There is one Schedule.</w:t>
      </w:r>
    </w:p>
    <w:p w14:paraId="4F46FADF"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Schedule 1 – Amendments</w:t>
      </w:r>
    </w:p>
    <w:p w14:paraId="6FAC168F" w14:textId="6AF1D067" w:rsidR="00B26F34" w:rsidRDefault="00917B9D" w:rsidP="00892394">
      <w:pPr>
        <w:rPr>
          <w:rFonts w:ascii="Times New Roman" w:hAnsi="Times New Roman" w:cs="Times New Roman"/>
          <w:sz w:val="24"/>
          <w:szCs w:val="24"/>
        </w:rPr>
      </w:pPr>
      <w:r>
        <w:rPr>
          <w:rFonts w:ascii="Times New Roman" w:hAnsi="Times New Roman" w:cs="Times New Roman"/>
          <w:sz w:val="24"/>
          <w:szCs w:val="24"/>
        </w:rPr>
        <w:t>This s</w:t>
      </w:r>
      <w:r w:rsidR="00892394" w:rsidRPr="00A1678B">
        <w:rPr>
          <w:rFonts w:ascii="Times New Roman" w:hAnsi="Times New Roman" w:cs="Times New Roman"/>
          <w:sz w:val="24"/>
          <w:szCs w:val="24"/>
        </w:rPr>
        <w:t xml:space="preserve">chedule sets </w:t>
      </w:r>
      <w:r w:rsidR="00E603F4">
        <w:rPr>
          <w:rFonts w:ascii="Times New Roman" w:hAnsi="Times New Roman" w:cs="Times New Roman"/>
          <w:sz w:val="24"/>
          <w:szCs w:val="24"/>
        </w:rPr>
        <w:t>out amendments</w:t>
      </w:r>
      <w:r w:rsidR="00B8119E">
        <w:rPr>
          <w:rFonts w:ascii="Times New Roman" w:hAnsi="Times New Roman" w:cs="Times New Roman"/>
          <w:sz w:val="24"/>
          <w:szCs w:val="24"/>
        </w:rPr>
        <w:t xml:space="preserve"> to the </w:t>
      </w:r>
      <w:r w:rsidR="00B8119E">
        <w:rPr>
          <w:rFonts w:ascii="Times New Roman" w:hAnsi="Times New Roman" w:cs="Times New Roman"/>
          <w:i/>
          <w:sz w:val="24"/>
          <w:szCs w:val="24"/>
        </w:rPr>
        <w:t>Resale Royalty Right for Visual Artists Regulations 20</w:t>
      </w:r>
      <w:r w:rsidR="00B6427D">
        <w:rPr>
          <w:rFonts w:ascii="Times New Roman" w:hAnsi="Times New Roman" w:cs="Times New Roman"/>
          <w:i/>
          <w:sz w:val="24"/>
          <w:szCs w:val="24"/>
        </w:rPr>
        <w:t>2</w:t>
      </w:r>
      <w:r w:rsidR="00B8119E">
        <w:rPr>
          <w:rFonts w:ascii="Times New Roman" w:hAnsi="Times New Roman" w:cs="Times New Roman"/>
          <w:i/>
          <w:sz w:val="24"/>
          <w:szCs w:val="24"/>
        </w:rPr>
        <w:t>1.</w:t>
      </w:r>
      <w:r w:rsidR="004C76B5">
        <w:rPr>
          <w:rFonts w:ascii="Times New Roman" w:hAnsi="Times New Roman" w:cs="Times New Roman"/>
          <w:sz w:val="24"/>
          <w:szCs w:val="24"/>
        </w:rPr>
        <w:t xml:space="preserve"> </w:t>
      </w:r>
    </w:p>
    <w:p w14:paraId="51FAA793" w14:textId="77777777" w:rsidR="00917B9D" w:rsidRPr="002D4980" w:rsidRDefault="00917B9D" w:rsidP="00917B9D">
      <w:pPr>
        <w:spacing w:after="0" w:line="240" w:lineRule="auto"/>
        <w:ind w:right="91"/>
        <w:rPr>
          <w:rFonts w:ascii="Times New Roman" w:eastAsia="Times New Roman" w:hAnsi="Times New Roman" w:cs="Times New Roman"/>
          <w:sz w:val="24"/>
          <w:lang w:eastAsia="en-AU"/>
        </w:rPr>
      </w:pPr>
      <w:r w:rsidRPr="002D4980">
        <w:rPr>
          <w:rFonts w:ascii="Times New Roman" w:eastAsia="Times New Roman" w:hAnsi="Times New Roman" w:cs="Times New Roman"/>
          <w:b/>
          <w:sz w:val="24"/>
          <w:lang w:eastAsia="en-AU"/>
        </w:rPr>
        <w:t xml:space="preserve">Item [1] </w:t>
      </w:r>
      <w:r>
        <w:rPr>
          <w:rFonts w:ascii="Times New Roman" w:eastAsia="Times New Roman" w:hAnsi="Times New Roman" w:cs="Times New Roman"/>
          <w:b/>
          <w:sz w:val="24"/>
          <w:lang w:eastAsia="en-AU"/>
        </w:rPr>
        <w:t>–</w:t>
      </w:r>
      <w:r w:rsidRPr="002D4980">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 xml:space="preserve">After </w:t>
      </w:r>
      <w:r w:rsidRPr="002D4980">
        <w:rPr>
          <w:rFonts w:ascii="Times New Roman" w:eastAsia="Times New Roman" w:hAnsi="Times New Roman" w:cs="Times New Roman"/>
          <w:b/>
          <w:sz w:val="24"/>
          <w:lang w:eastAsia="en-AU"/>
        </w:rPr>
        <w:t xml:space="preserve">section </w:t>
      </w:r>
      <w:r>
        <w:rPr>
          <w:rFonts w:ascii="Times New Roman" w:eastAsia="Times New Roman" w:hAnsi="Times New Roman" w:cs="Times New Roman"/>
          <w:b/>
          <w:sz w:val="24"/>
          <w:lang w:eastAsia="en-AU"/>
        </w:rPr>
        <w:t>6</w:t>
      </w:r>
    </w:p>
    <w:p w14:paraId="4F46FAE1" w14:textId="5929020F" w:rsidR="0084614C" w:rsidRPr="00B26F34" w:rsidRDefault="0084614C" w:rsidP="00B26F34">
      <w:pPr>
        <w:rPr>
          <w:rFonts w:ascii="Times New Roman" w:hAnsi="Times New Roman" w:cs="Times New Roman"/>
          <w:color w:val="000000"/>
          <w:sz w:val="24"/>
          <w:szCs w:val="24"/>
          <w:shd w:val="clear" w:color="auto" w:fill="FFFFFF"/>
        </w:rPr>
      </w:pPr>
      <w:r w:rsidRPr="00B26F34">
        <w:rPr>
          <w:rFonts w:ascii="Times New Roman" w:hAnsi="Times New Roman" w:cs="Times New Roman"/>
          <w:color w:val="000000"/>
          <w:sz w:val="24"/>
          <w:szCs w:val="24"/>
          <w:shd w:val="clear" w:color="auto" w:fill="FFFFFF"/>
        </w:rPr>
        <w:t xml:space="preserve">Item 1 </w:t>
      </w:r>
      <w:r w:rsidR="00B26F34" w:rsidRPr="00B26F34">
        <w:rPr>
          <w:rFonts w:ascii="Times New Roman" w:hAnsi="Times New Roman" w:cs="Times New Roman"/>
          <w:color w:val="000000"/>
          <w:sz w:val="24"/>
          <w:szCs w:val="24"/>
          <w:shd w:val="clear" w:color="auto" w:fill="FFFFFF"/>
        </w:rPr>
        <w:t xml:space="preserve">of </w:t>
      </w:r>
      <w:r w:rsidRPr="00B26F34">
        <w:rPr>
          <w:rFonts w:ascii="Times New Roman" w:hAnsi="Times New Roman" w:cs="Times New Roman"/>
          <w:color w:val="000000"/>
          <w:sz w:val="24"/>
          <w:szCs w:val="24"/>
          <w:shd w:val="clear" w:color="auto" w:fill="FFFFFF"/>
        </w:rPr>
        <w:t xml:space="preserve">Schedule 1 </w:t>
      </w:r>
      <w:r w:rsidR="00663DA2" w:rsidRPr="00B26F34">
        <w:rPr>
          <w:rFonts w:ascii="Times New Roman" w:hAnsi="Times New Roman" w:cs="Times New Roman"/>
          <w:color w:val="000000"/>
          <w:sz w:val="24"/>
          <w:szCs w:val="24"/>
          <w:shd w:val="clear" w:color="auto" w:fill="FFFFFF"/>
        </w:rPr>
        <w:t xml:space="preserve">inserts </w:t>
      </w:r>
      <w:r w:rsidR="00B26F34" w:rsidRPr="00B26F34">
        <w:rPr>
          <w:rFonts w:ascii="Times New Roman" w:hAnsi="Times New Roman" w:cs="Times New Roman"/>
          <w:color w:val="000000"/>
          <w:sz w:val="24"/>
          <w:szCs w:val="24"/>
          <w:shd w:val="clear" w:color="auto" w:fill="FFFFFF"/>
        </w:rPr>
        <w:t xml:space="preserve">new section </w:t>
      </w:r>
      <w:r w:rsidR="00663DA2" w:rsidRPr="00B26F34">
        <w:rPr>
          <w:rFonts w:ascii="Times New Roman" w:hAnsi="Times New Roman" w:cs="Times New Roman"/>
          <w:color w:val="000000"/>
          <w:sz w:val="24"/>
          <w:szCs w:val="24"/>
          <w:shd w:val="clear" w:color="auto" w:fill="FFFFFF"/>
        </w:rPr>
        <w:t>6A</w:t>
      </w:r>
      <w:r w:rsidR="00B26F34" w:rsidRPr="00B26F34">
        <w:rPr>
          <w:rFonts w:ascii="Times New Roman" w:hAnsi="Times New Roman" w:cs="Times New Roman"/>
          <w:color w:val="000000"/>
          <w:sz w:val="24"/>
          <w:szCs w:val="24"/>
          <w:shd w:val="clear" w:color="auto" w:fill="FFFFFF"/>
        </w:rPr>
        <w:t>, titled “</w:t>
      </w:r>
      <w:r w:rsidR="00713299" w:rsidRPr="00713299">
        <w:rPr>
          <w:rFonts w:ascii="Times New Roman" w:hAnsi="Times New Roman"/>
        </w:rPr>
        <w:t>Residency test–individuals</w:t>
      </w:r>
      <w:r w:rsidR="00B26F34" w:rsidRPr="00B26F34">
        <w:rPr>
          <w:rFonts w:ascii="Times New Roman" w:hAnsi="Times New Roman" w:cs="Times New Roman"/>
          <w:color w:val="000000"/>
          <w:sz w:val="24"/>
          <w:szCs w:val="24"/>
          <w:shd w:val="clear" w:color="auto" w:fill="FFFFFF"/>
        </w:rPr>
        <w:t>”</w:t>
      </w:r>
      <w:r w:rsidR="00663DA2" w:rsidRPr="00B26F34">
        <w:rPr>
          <w:rFonts w:ascii="Times New Roman" w:hAnsi="Times New Roman" w:cs="Times New Roman"/>
          <w:color w:val="000000"/>
          <w:sz w:val="24"/>
          <w:szCs w:val="24"/>
          <w:shd w:val="clear" w:color="auto" w:fill="FFFFFF"/>
        </w:rPr>
        <w:t>.</w:t>
      </w:r>
      <w:r w:rsidR="00B26F34" w:rsidRPr="00B26F34">
        <w:rPr>
          <w:rFonts w:ascii="Times New Roman" w:hAnsi="Times New Roman" w:cs="Times New Roman"/>
          <w:color w:val="000000"/>
          <w:sz w:val="24"/>
          <w:szCs w:val="24"/>
          <w:shd w:val="clear" w:color="auto" w:fill="FFFFFF"/>
        </w:rPr>
        <w:t xml:space="preserve"> This new section specifies, for the purposes of paragraph 14(1)(c) of the Act, the following countries are prescribed as reciprocating countries: Austria; Belgium; Czech Republic; Denmark; Finland; France;</w:t>
      </w:r>
      <w:r w:rsidR="00B26F34">
        <w:rPr>
          <w:rFonts w:ascii="Times New Roman" w:hAnsi="Times New Roman" w:cs="Times New Roman"/>
          <w:color w:val="000000"/>
          <w:sz w:val="24"/>
          <w:szCs w:val="24"/>
          <w:shd w:val="clear" w:color="auto" w:fill="FFFFFF"/>
        </w:rPr>
        <w:t xml:space="preserve"> </w:t>
      </w:r>
      <w:r w:rsidR="00B26F34" w:rsidRPr="00B26F34">
        <w:rPr>
          <w:rFonts w:ascii="Times New Roman" w:hAnsi="Times New Roman" w:cs="Times New Roman"/>
          <w:color w:val="000000"/>
          <w:sz w:val="24"/>
          <w:szCs w:val="24"/>
          <w:shd w:val="clear" w:color="auto" w:fill="FFFFFF"/>
        </w:rPr>
        <w:t xml:space="preserve">Germany; Hungary; Ireland; Italy; Latvia; Netherlands; Norway; Portugal; Spain; Sweden; and </w:t>
      </w:r>
      <w:r w:rsidR="00713299">
        <w:rPr>
          <w:rFonts w:ascii="Times New Roman" w:hAnsi="Times New Roman" w:cs="Times New Roman"/>
          <w:color w:val="000000"/>
          <w:sz w:val="24"/>
          <w:szCs w:val="24"/>
          <w:shd w:val="clear" w:color="auto" w:fill="FFFFFF"/>
        </w:rPr>
        <w:t xml:space="preserve">the </w:t>
      </w:r>
      <w:r w:rsidR="00B26F34" w:rsidRPr="00B26F34">
        <w:rPr>
          <w:rFonts w:ascii="Times New Roman" w:hAnsi="Times New Roman" w:cs="Times New Roman"/>
          <w:color w:val="000000"/>
          <w:sz w:val="24"/>
          <w:szCs w:val="24"/>
          <w:shd w:val="clear" w:color="auto" w:fill="FFFFFF"/>
        </w:rPr>
        <w:t>United Kingdom.</w:t>
      </w:r>
    </w:p>
    <w:p w14:paraId="54C54A61" w14:textId="77777777" w:rsidR="00663DA2" w:rsidRDefault="00663DA2" w:rsidP="00B26F34">
      <w:pPr>
        <w:jc w:val="right"/>
        <w:rPr>
          <w:rFonts w:ascii="Times New Roman" w:hAnsi="Times New Roman" w:cs="Times New Roman"/>
          <w:b/>
          <w:sz w:val="24"/>
          <w:szCs w:val="24"/>
        </w:rPr>
      </w:pPr>
    </w:p>
    <w:p w14:paraId="710D0422" w14:textId="77777777" w:rsidR="00663DA2" w:rsidRDefault="00663DA2" w:rsidP="00892394">
      <w:pPr>
        <w:jc w:val="right"/>
        <w:rPr>
          <w:rFonts w:ascii="Times New Roman" w:hAnsi="Times New Roman" w:cs="Times New Roman"/>
          <w:b/>
          <w:sz w:val="24"/>
          <w:szCs w:val="24"/>
        </w:rPr>
      </w:pPr>
    </w:p>
    <w:p w14:paraId="7A5FE18A" w14:textId="77777777" w:rsidR="00663DA2" w:rsidRDefault="00663DA2" w:rsidP="00892394">
      <w:pPr>
        <w:jc w:val="right"/>
        <w:rPr>
          <w:rFonts w:ascii="Times New Roman" w:hAnsi="Times New Roman" w:cs="Times New Roman"/>
          <w:b/>
          <w:sz w:val="24"/>
          <w:szCs w:val="24"/>
        </w:rPr>
      </w:pPr>
    </w:p>
    <w:p w14:paraId="34AB2743" w14:textId="77777777" w:rsidR="00663DA2" w:rsidRDefault="00663DA2" w:rsidP="00892394">
      <w:pPr>
        <w:jc w:val="right"/>
        <w:rPr>
          <w:rFonts w:ascii="Times New Roman" w:hAnsi="Times New Roman" w:cs="Times New Roman"/>
          <w:b/>
          <w:sz w:val="24"/>
          <w:szCs w:val="24"/>
        </w:rPr>
      </w:pPr>
    </w:p>
    <w:p w14:paraId="25C85C23" w14:textId="77777777" w:rsidR="00663DA2" w:rsidRDefault="00663DA2" w:rsidP="00892394">
      <w:pPr>
        <w:jc w:val="right"/>
        <w:rPr>
          <w:rFonts w:ascii="Times New Roman" w:hAnsi="Times New Roman" w:cs="Times New Roman"/>
          <w:b/>
          <w:sz w:val="24"/>
          <w:szCs w:val="24"/>
        </w:rPr>
      </w:pPr>
    </w:p>
    <w:p w14:paraId="58000A19" w14:textId="77777777" w:rsidR="00663DA2" w:rsidRDefault="00663DA2" w:rsidP="00892394">
      <w:pPr>
        <w:jc w:val="right"/>
        <w:rPr>
          <w:rFonts w:ascii="Times New Roman" w:hAnsi="Times New Roman" w:cs="Times New Roman"/>
          <w:b/>
          <w:sz w:val="24"/>
          <w:szCs w:val="24"/>
        </w:rPr>
      </w:pPr>
    </w:p>
    <w:p w14:paraId="7BDDE527" w14:textId="77777777" w:rsidR="00663DA2" w:rsidRDefault="00663DA2" w:rsidP="00892394">
      <w:pPr>
        <w:jc w:val="right"/>
        <w:rPr>
          <w:rFonts w:ascii="Times New Roman" w:hAnsi="Times New Roman" w:cs="Times New Roman"/>
          <w:b/>
          <w:sz w:val="24"/>
          <w:szCs w:val="24"/>
        </w:rPr>
      </w:pPr>
    </w:p>
    <w:p w14:paraId="2BE5AC55" w14:textId="105848B1" w:rsidR="00663DA2" w:rsidRDefault="00663DA2" w:rsidP="00892394">
      <w:pPr>
        <w:jc w:val="right"/>
        <w:rPr>
          <w:rFonts w:ascii="Times New Roman" w:hAnsi="Times New Roman" w:cs="Times New Roman"/>
          <w:b/>
          <w:sz w:val="24"/>
          <w:szCs w:val="24"/>
        </w:rPr>
      </w:pPr>
    </w:p>
    <w:p w14:paraId="4D2D3FFF" w14:textId="77777777" w:rsidR="00663DA2" w:rsidRDefault="00663DA2" w:rsidP="00B20E8B">
      <w:pPr>
        <w:rPr>
          <w:rFonts w:ascii="Times New Roman" w:hAnsi="Times New Roman" w:cs="Times New Roman"/>
          <w:b/>
          <w:sz w:val="24"/>
          <w:szCs w:val="24"/>
        </w:rPr>
      </w:pPr>
    </w:p>
    <w:p w14:paraId="4F46FAE7" w14:textId="190AC4D1" w:rsidR="00892394" w:rsidRPr="00B72D3E" w:rsidRDefault="00892394" w:rsidP="00892394">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4F46FAE8" w14:textId="77777777" w:rsidR="00892394" w:rsidRPr="00B72D3E" w:rsidRDefault="00892394" w:rsidP="00892394">
      <w:pPr>
        <w:pStyle w:val="Heading2"/>
        <w:spacing w:after="0"/>
        <w:rPr>
          <w:rFonts w:eastAsiaTheme="minorHAnsi"/>
          <w:sz w:val="24"/>
          <w:szCs w:val="24"/>
        </w:rPr>
      </w:pPr>
      <w:r w:rsidRPr="00B72D3E">
        <w:rPr>
          <w:rFonts w:eastAsiaTheme="minorHAnsi"/>
          <w:sz w:val="24"/>
          <w:szCs w:val="24"/>
        </w:rPr>
        <w:t>Statement of Compatibility with Human Rights</w:t>
      </w:r>
    </w:p>
    <w:p w14:paraId="4F46FAE9" w14:textId="77777777" w:rsidR="00892394" w:rsidRPr="00B72D3E" w:rsidRDefault="00892394" w:rsidP="00892394">
      <w:pPr>
        <w:spacing w:before="120" w:after="0"/>
        <w:jc w:val="center"/>
        <w:rPr>
          <w:rFonts w:ascii="Times New Roman" w:hAnsi="Times New Roman"/>
          <w:sz w:val="24"/>
          <w:szCs w:val="24"/>
        </w:rPr>
      </w:pPr>
      <w:r w:rsidRPr="00B72D3E">
        <w:rPr>
          <w:rFonts w:ascii="Times New Roman" w:hAnsi="Times New Roman"/>
          <w:i/>
          <w:sz w:val="24"/>
          <w:szCs w:val="24"/>
        </w:rPr>
        <w:t>Prepared in accordance with Part 3 of the Human Rights (Parliamentary Scrutiny) Act 2011</w:t>
      </w:r>
    </w:p>
    <w:p w14:paraId="4F46FAEA" w14:textId="77777777" w:rsidR="00892394" w:rsidRPr="00B72D3E" w:rsidRDefault="00892394" w:rsidP="00892394">
      <w:pPr>
        <w:spacing w:after="0"/>
        <w:jc w:val="center"/>
        <w:rPr>
          <w:rFonts w:ascii="Times New Roman" w:hAnsi="Times New Roman"/>
          <w:sz w:val="24"/>
          <w:szCs w:val="24"/>
        </w:rPr>
      </w:pPr>
    </w:p>
    <w:p w14:paraId="4F46FAEB" w14:textId="717926AF" w:rsidR="00892394" w:rsidRPr="00B27079" w:rsidRDefault="00AE1BE4" w:rsidP="00892394">
      <w:pPr>
        <w:jc w:val="center"/>
        <w:rPr>
          <w:rFonts w:ascii="Times New Roman" w:hAnsi="Times New Roman"/>
          <w:b/>
          <w:i/>
          <w:sz w:val="24"/>
          <w:szCs w:val="24"/>
        </w:rPr>
      </w:pPr>
      <w:r w:rsidRPr="00B27079">
        <w:rPr>
          <w:rFonts w:ascii="Times New Roman" w:hAnsi="Times New Roman"/>
          <w:b/>
          <w:i/>
          <w:sz w:val="24"/>
          <w:szCs w:val="24"/>
        </w:rPr>
        <w:t>Resale Royalty Right for Visual Artists</w:t>
      </w:r>
      <w:r w:rsidR="00E748B4" w:rsidRPr="00B27079">
        <w:rPr>
          <w:rFonts w:ascii="Times New Roman" w:hAnsi="Times New Roman"/>
          <w:b/>
          <w:i/>
          <w:sz w:val="24"/>
          <w:szCs w:val="24"/>
        </w:rPr>
        <w:t xml:space="preserve"> Amendment (Reciprocating Countries)</w:t>
      </w:r>
      <w:r w:rsidRPr="00B27079">
        <w:rPr>
          <w:rFonts w:ascii="Times New Roman" w:hAnsi="Times New Roman"/>
          <w:b/>
          <w:i/>
          <w:sz w:val="24"/>
          <w:szCs w:val="24"/>
        </w:rPr>
        <w:t xml:space="preserve"> </w:t>
      </w:r>
      <w:r w:rsidR="002A60C7">
        <w:rPr>
          <w:rFonts w:ascii="Times New Roman" w:hAnsi="Times New Roman"/>
          <w:b/>
          <w:i/>
          <w:sz w:val="24"/>
          <w:szCs w:val="24"/>
        </w:rPr>
        <w:t xml:space="preserve">    </w:t>
      </w:r>
      <w:r w:rsidRPr="00B27079">
        <w:rPr>
          <w:rFonts w:ascii="Times New Roman" w:hAnsi="Times New Roman"/>
          <w:b/>
          <w:i/>
          <w:sz w:val="24"/>
          <w:szCs w:val="24"/>
        </w:rPr>
        <w:t>Regulations 202</w:t>
      </w:r>
      <w:r w:rsidR="00B55F01" w:rsidRPr="00B27079">
        <w:rPr>
          <w:rFonts w:ascii="Times New Roman" w:hAnsi="Times New Roman"/>
          <w:b/>
          <w:i/>
          <w:sz w:val="24"/>
          <w:szCs w:val="24"/>
        </w:rPr>
        <w:t>4</w:t>
      </w:r>
    </w:p>
    <w:p w14:paraId="2D805574" w14:textId="77777777" w:rsidR="002A60C7" w:rsidRDefault="00E748B4">
      <w:pPr>
        <w:rPr>
          <w:rFonts w:ascii="Times New Roman" w:hAnsi="Times New Roman" w:cs="Times New Roman"/>
          <w:b/>
          <w:i/>
          <w:sz w:val="24"/>
          <w:szCs w:val="24"/>
        </w:rPr>
      </w:pPr>
      <w:r>
        <w:rPr>
          <w:rFonts w:ascii="Times New Roman" w:hAnsi="Times New Roman" w:cs="Times New Roman"/>
          <w:b/>
          <w:i/>
          <w:sz w:val="24"/>
          <w:szCs w:val="24"/>
        </w:rPr>
        <w:t xml:space="preserve">Overview </w:t>
      </w:r>
    </w:p>
    <w:p w14:paraId="3CFDBE62" w14:textId="5CC0D628" w:rsidR="00373384" w:rsidRDefault="00373384" w:rsidP="002A60C7">
      <w:pPr>
        <w:spacing w:before="120" w:after="120" w:line="240" w:lineRule="auto"/>
        <w:rPr>
          <w:rFonts w:ascii="Times New Roman" w:hAnsi="Times New Roman"/>
          <w:sz w:val="24"/>
          <w:szCs w:val="24"/>
        </w:rPr>
      </w:pPr>
      <w:r w:rsidRPr="002A60C7">
        <w:rPr>
          <w:rFonts w:ascii="Times New Roman" w:hAnsi="Times New Roman"/>
          <w:sz w:val="24"/>
          <w:szCs w:val="24"/>
        </w:rPr>
        <w:t xml:space="preserve">The </w:t>
      </w:r>
      <w:r w:rsidRPr="002A60C7">
        <w:rPr>
          <w:rFonts w:ascii="Times New Roman" w:hAnsi="Times New Roman"/>
          <w:i/>
          <w:sz w:val="24"/>
          <w:szCs w:val="24"/>
        </w:rPr>
        <w:t>Resale Royalty Right for Visual Artists Act 2009</w:t>
      </w:r>
      <w:r w:rsidRPr="002A60C7">
        <w:rPr>
          <w:rFonts w:ascii="Times New Roman" w:hAnsi="Times New Roman"/>
          <w:sz w:val="24"/>
          <w:szCs w:val="24"/>
        </w:rPr>
        <w:t xml:space="preserve"> (the Act) established the resale royalty scheme, which entitles visual artists with the right to receive a 5 per cent royalty payment each time one of their works is resold on the secondary art market for $1</w:t>
      </w:r>
      <w:r w:rsidR="002A60C7" w:rsidRPr="002A60C7">
        <w:rPr>
          <w:rFonts w:ascii="Times New Roman" w:hAnsi="Times New Roman"/>
          <w:sz w:val="24"/>
          <w:szCs w:val="24"/>
        </w:rPr>
        <w:t>,</w:t>
      </w:r>
      <w:r w:rsidRPr="002A60C7">
        <w:rPr>
          <w:rFonts w:ascii="Times New Roman" w:hAnsi="Times New Roman"/>
          <w:sz w:val="24"/>
          <w:szCs w:val="24"/>
        </w:rPr>
        <w:t>000 or more.</w:t>
      </w:r>
      <w:r w:rsidR="002A60C7" w:rsidRPr="002A60C7">
        <w:rPr>
          <w:rFonts w:ascii="Times New Roman" w:hAnsi="Times New Roman"/>
          <w:sz w:val="24"/>
          <w:szCs w:val="24"/>
        </w:rPr>
        <w:t xml:space="preserve"> </w:t>
      </w:r>
      <w:r w:rsidRPr="002A60C7">
        <w:rPr>
          <w:rFonts w:ascii="Times New Roman" w:hAnsi="Times New Roman"/>
          <w:sz w:val="24"/>
          <w:szCs w:val="24"/>
        </w:rPr>
        <w:t xml:space="preserve">The Act allows for the establishment of Reciprocal arrangements through </w:t>
      </w:r>
      <w:r w:rsidR="00BC3423" w:rsidRPr="002A60C7">
        <w:rPr>
          <w:rFonts w:ascii="Times New Roman" w:hAnsi="Times New Roman"/>
          <w:sz w:val="24"/>
          <w:szCs w:val="24"/>
        </w:rPr>
        <w:t xml:space="preserve">paragraph </w:t>
      </w:r>
      <w:r w:rsidRPr="002A60C7">
        <w:rPr>
          <w:rFonts w:ascii="Times New Roman" w:hAnsi="Times New Roman"/>
          <w:sz w:val="24"/>
          <w:szCs w:val="24"/>
        </w:rPr>
        <w:t>14</w:t>
      </w:r>
      <w:r w:rsidR="00BC3423" w:rsidRPr="002A60C7">
        <w:rPr>
          <w:rFonts w:ascii="Times New Roman" w:hAnsi="Times New Roman"/>
          <w:sz w:val="24"/>
          <w:szCs w:val="24"/>
        </w:rPr>
        <w:t>(1)(c) (r</w:t>
      </w:r>
      <w:r w:rsidRPr="002A60C7">
        <w:rPr>
          <w:rFonts w:ascii="Times New Roman" w:hAnsi="Times New Roman"/>
          <w:sz w:val="24"/>
          <w:szCs w:val="24"/>
        </w:rPr>
        <w:t xml:space="preserve">esidency </w:t>
      </w:r>
      <w:r w:rsidR="00BC3423" w:rsidRPr="002A60C7">
        <w:rPr>
          <w:rFonts w:ascii="Times New Roman" w:hAnsi="Times New Roman"/>
          <w:sz w:val="24"/>
          <w:szCs w:val="24"/>
        </w:rPr>
        <w:t>t</w:t>
      </w:r>
      <w:r w:rsidRPr="002A60C7">
        <w:rPr>
          <w:rFonts w:ascii="Times New Roman" w:hAnsi="Times New Roman"/>
          <w:sz w:val="24"/>
          <w:szCs w:val="24"/>
        </w:rPr>
        <w:t>est</w:t>
      </w:r>
      <w:r w:rsidR="00BC3423" w:rsidRPr="002A60C7">
        <w:rPr>
          <w:rFonts w:ascii="Times New Roman" w:hAnsi="Times New Roman"/>
          <w:sz w:val="24"/>
          <w:szCs w:val="24"/>
        </w:rPr>
        <w:t>)</w:t>
      </w:r>
      <w:r w:rsidRPr="002A60C7">
        <w:rPr>
          <w:rFonts w:ascii="Times New Roman" w:hAnsi="Times New Roman"/>
          <w:sz w:val="24"/>
          <w:szCs w:val="24"/>
        </w:rPr>
        <w:t>, which allows for countries that have implemented Article 14</w:t>
      </w:r>
      <w:r w:rsidRPr="002A60C7">
        <w:rPr>
          <w:rFonts w:ascii="Times New Roman" w:hAnsi="Times New Roman"/>
          <w:i/>
          <w:sz w:val="24"/>
          <w:szCs w:val="24"/>
        </w:rPr>
        <w:t xml:space="preserve">ter </w:t>
      </w:r>
      <w:r w:rsidRPr="002A60C7">
        <w:rPr>
          <w:rFonts w:ascii="Times New Roman" w:hAnsi="Times New Roman"/>
          <w:sz w:val="24"/>
          <w:szCs w:val="24"/>
        </w:rPr>
        <w:t>of the Berne Convention for the protection of Literary and Artistic Works (Berne Convention) to be prescribed as a reciprocating country</w:t>
      </w:r>
      <w:r w:rsidR="00BC3423" w:rsidRPr="002A60C7">
        <w:rPr>
          <w:rFonts w:ascii="Times New Roman" w:hAnsi="Times New Roman"/>
          <w:sz w:val="24"/>
          <w:szCs w:val="24"/>
        </w:rPr>
        <w:t xml:space="preserve"> and as a national or citizen of a country prescribed as a reciprocating country </w:t>
      </w:r>
      <w:r w:rsidR="005611E9" w:rsidRPr="002A60C7">
        <w:rPr>
          <w:rFonts w:ascii="Times New Roman" w:hAnsi="Times New Roman"/>
          <w:sz w:val="24"/>
          <w:szCs w:val="24"/>
        </w:rPr>
        <w:t>will satisfy the residency test</w:t>
      </w:r>
      <w:r w:rsidRPr="002A60C7">
        <w:rPr>
          <w:rFonts w:ascii="Times New Roman" w:hAnsi="Times New Roman"/>
          <w:sz w:val="24"/>
          <w:szCs w:val="24"/>
        </w:rPr>
        <w:t>.</w:t>
      </w:r>
    </w:p>
    <w:p w14:paraId="05ACAB73" w14:textId="6CE4A4E7" w:rsidR="00373384" w:rsidRPr="009E4BEB" w:rsidRDefault="009E4BEB">
      <w:pPr>
        <w:rPr>
          <w:rFonts w:ascii="Times New Roman" w:hAnsi="Times New Roman"/>
          <w:sz w:val="24"/>
          <w:szCs w:val="24"/>
        </w:rPr>
      </w:pPr>
      <w:r>
        <w:rPr>
          <w:rFonts w:ascii="Times New Roman" w:hAnsi="Times New Roman"/>
          <w:sz w:val="24"/>
          <w:szCs w:val="24"/>
        </w:rPr>
        <w:t xml:space="preserve">The purpose of the </w:t>
      </w:r>
      <w:r w:rsidRPr="009E4BEB">
        <w:rPr>
          <w:rFonts w:ascii="Times New Roman" w:hAnsi="Times New Roman" w:cs="Times New Roman"/>
          <w:i/>
          <w:sz w:val="24"/>
          <w:szCs w:val="24"/>
        </w:rPr>
        <w:t>Resale Royalty Right for Visual Artists Amendment (Reciprocating Countries) Regulations 202</w:t>
      </w:r>
      <w:r w:rsidR="00B55F01">
        <w:rPr>
          <w:rFonts w:ascii="Times New Roman" w:hAnsi="Times New Roman" w:cs="Times New Roman"/>
          <w:i/>
          <w:sz w:val="24"/>
          <w:szCs w:val="24"/>
        </w:rPr>
        <w:t>4</w:t>
      </w:r>
      <w:r>
        <w:rPr>
          <w:rFonts w:ascii="Times New Roman" w:hAnsi="Times New Roman" w:cs="Times New Roman"/>
          <w:sz w:val="24"/>
          <w:szCs w:val="24"/>
        </w:rPr>
        <w:t xml:space="preserve"> </w:t>
      </w:r>
      <w:r w:rsidR="002A60C7">
        <w:rPr>
          <w:rFonts w:ascii="Times New Roman" w:hAnsi="Times New Roman" w:cs="Times New Roman"/>
          <w:sz w:val="24"/>
          <w:szCs w:val="24"/>
        </w:rPr>
        <w:t xml:space="preserve">is </w:t>
      </w:r>
      <w:r>
        <w:rPr>
          <w:rFonts w:ascii="Times New Roman" w:hAnsi="Times New Roman" w:cs="Times New Roman"/>
          <w:sz w:val="24"/>
          <w:szCs w:val="24"/>
        </w:rPr>
        <w:t xml:space="preserve">to amend the Regulations to allow </w:t>
      </w:r>
      <w:r w:rsidRPr="00914AC5">
        <w:rPr>
          <w:rFonts w:ascii="Times New Roman" w:hAnsi="Times New Roman" w:cs="Times New Roman"/>
          <w:sz w:val="24"/>
          <w:szCs w:val="24"/>
        </w:rPr>
        <w:t>for</w:t>
      </w:r>
      <w:r>
        <w:rPr>
          <w:rFonts w:ascii="Times New Roman" w:hAnsi="Times New Roman" w:cs="Times New Roman"/>
          <w:sz w:val="24"/>
          <w:szCs w:val="24"/>
        </w:rPr>
        <w:t xml:space="preserve"> the</w:t>
      </w:r>
      <w:r w:rsidRPr="00914AC5">
        <w:rPr>
          <w:rFonts w:ascii="Times New Roman" w:hAnsi="Times New Roman" w:cs="Times New Roman"/>
          <w:sz w:val="24"/>
          <w:szCs w:val="24"/>
        </w:rPr>
        <w:t xml:space="preserve"> prescribing of </w:t>
      </w:r>
      <w:r>
        <w:rPr>
          <w:rFonts w:ascii="Times New Roman" w:hAnsi="Times New Roman" w:cs="Times New Roman"/>
          <w:sz w:val="24"/>
          <w:szCs w:val="24"/>
        </w:rPr>
        <w:t xml:space="preserve">eligible </w:t>
      </w:r>
      <w:r w:rsidRPr="00914AC5">
        <w:rPr>
          <w:rFonts w:ascii="Times New Roman" w:hAnsi="Times New Roman" w:cs="Times New Roman"/>
          <w:sz w:val="24"/>
          <w:szCs w:val="24"/>
        </w:rPr>
        <w:t>countries to enable international reciprocal arrangements.</w:t>
      </w:r>
    </w:p>
    <w:p w14:paraId="4F46FAEE" w14:textId="77777777" w:rsidR="00892394" w:rsidRPr="00B72D3E" w:rsidRDefault="00892394" w:rsidP="00892394">
      <w:pPr>
        <w:spacing w:before="160"/>
        <w:rPr>
          <w:rFonts w:ascii="Times New Roman" w:hAnsi="Times New Roman"/>
          <w:b/>
          <w:i/>
          <w:sz w:val="24"/>
          <w:szCs w:val="24"/>
        </w:rPr>
      </w:pPr>
      <w:r w:rsidRPr="00B72D3E">
        <w:rPr>
          <w:rFonts w:ascii="Times New Roman" w:hAnsi="Times New Roman"/>
          <w:b/>
          <w:i/>
          <w:sz w:val="24"/>
          <w:szCs w:val="24"/>
        </w:rPr>
        <w:t xml:space="preserve">Human rights implications </w:t>
      </w:r>
    </w:p>
    <w:p w14:paraId="49FDB421" w14:textId="0973808F" w:rsidR="005611E9" w:rsidRDefault="00F57862" w:rsidP="00B27079">
      <w:pPr>
        <w:shd w:val="clear" w:color="auto" w:fill="FFFFFF"/>
        <w:spacing w:before="160"/>
        <w:rPr>
          <w:rFonts w:ascii="Times New Roman" w:hAnsi="Times New Roman"/>
          <w:sz w:val="24"/>
          <w:szCs w:val="24"/>
        </w:rPr>
      </w:pPr>
      <w:r>
        <w:rPr>
          <w:rFonts w:ascii="Times New Roman" w:hAnsi="Times New Roman"/>
          <w:sz w:val="24"/>
          <w:szCs w:val="24"/>
        </w:rPr>
        <w:t xml:space="preserve">The Regulations engage the right to privacy in Article 17 of the </w:t>
      </w:r>
      <w:r>
        <w:rPr>
          <w:rFonts w:ascii="Times New Roman" w:hAnsi="Times New Roman"/>
          <w:i/>
          <w:sz w:val="24"/>
          <w:szCs w:val="24"/>
        </w:rPr>
        <w:t>International Coven</w:t>
      </w:r>
      <w:r w:rsidR="00C94789">
        <w:rPr>
          <w:rFonts w:ascii="Times New Roman" w:hAnsi="Times New Roman"/>
          <w:i/>
          <w:sz w:val="24"/>
          <w:szCs w:val="24"/>
        </w:rPr>
        <w:t xml:space="preserve">ant on Civil and Political Rights </w:t>
      </w:r>
      <w:r w:rsidR="00C94789">
        <w:rPr>
          <w:rFonts w:ascii="Times New Roman" w:hAnsi="Times New Roman"/>
          <w:sz w:val="24"/>
          <w:szCs w:val="24"/>
        </w:rPr>
        <w:t xml:space="preserve">(the ICCPR). Article 17 of the ICCPR prohibits arbitrary or unlawful interference with a person’s privacy. The Regulations engage the right to privacy by requiring a notice of commercial resale to include information sufficient to identify an individual artist, whether they are alive or deceased, and the sale price of their work. </w:t>
      </w:r>
    </w:p>
    <w:p w14:paraId="501FDCF9" w14:textId="543C9D96" w:rsidR="00072879" w:rsidRPr="00B27079" w:rsidRDefault="00C94789" w:rsidP="00B27079">
      <w:pPr>
        <w:rPr>
          <w:rFonts w:ascii="Times New Roman" w:hAnsi="Times New Roman"/>
          <w:sz w:val="24"/>
          <w:szCs w:val="24"/>
        </w:rPr>
      </w:pPr>
      <w:r>
        <w:rPr>
          <w:rFonts w:ascii="Times New Roman" w:hAnsi="Times New Roman"/>
          <w:sz w:val="24"/>
          <w:szCs w:val="24"/>
        </w:rPr>
        <w:t>Under the Act, the collecting society is required to collect royalties on behalf of resale royalty right holders, and to distribute royalties to the holder of those rights. Without provision for this information to be collected, the collecting society will not be properly able to fulfil this function.</w:t>
      </w:r>
      <w:r w:rsidR="005F05DA">
        <w:rPr>
          <w:rFonts w:ascii="Times New Roman" w:hAnsi="Times New Roman"/>
          <w:sz w:val="24"/>
          <w:szCs w:val="24"/>
        </w:rPr>
        <w:t xml:space="preserve"> To the extent that the collection of this information is a limitation under Article 17,</w:t>
      </w:r>
      <w:r w:rsidR="005F05DA" w:rsidRPr="002A60C7">
        <w:rPr>
          <w:rFonts w:ascii="Times New Roman" w:hAnsi="Times New Roman"/>
          <w:sz w:val="24"/>
          <w:szCs w:val="24"/>
        </w:rPr>
        <w:t xml:space="preserve"> it is reasonable, necessary and proportionate and in purs</w:t>
      </w:r>
      <w:r w:rsidR="005F05DA" w:rsidRPr="00D23AE9">
        <w:rPr>
          <w:rFonts w:ascii="Times New Roman" w:hAnsi="Times New Roman"/>
          <w:sz w:val="24"/>
          <w:szCs w:val="24"/>
        </w:rPr>
        <w:t>uit of a legitimate objective, the successful operation of the scheme. Accordingly, to the extent that the Regulations engage the right to privacy, it is compatible with that right.</w:t>
      </w:r>
    </w:p>
    <w:p w14:paraId="4F46FAF0" w14:textId="74040678" w:rsidR="00892394" w:rsidRPr="00B72D3E" w:rsidRDefault="00892394" w:rsidP="00892394">
      <w:pPr>
        <w:shd w:val="clear" w:color="auto" w:fill="FFFFFF"/>
        <w:spacing w:before="160"/>
        <w:rPr>
          <w:rFonts w:ascii="Times New Roman" w:hAnsi="Times New Roman"/>
          <w:b/>
          <w:i/>
          <w:sz w:val="24"/>
          <w:szCs w:val="24"/>
          <w:lang w:val="en-US"/>
        </w:rPr>
      </w:pPr>
      <w:r w:rsidRPr="00B72D3E">
        <w:rPr>
          <w:rFonts w:ascii="Times New Roman" w:hAnsi="Times New Roman"/>
          <w:b/>
          <w:bCs/>
          <w:i/>
          <w:iCs/>
          <w:sz w:val="24"/>
          <w:szCs w:val="24"/>
        </w:rPr>
        <w:t>Conclusion</w:t>
      </w:r>
    </w:p>
    <w:p w14:paraId="4F46FAF2" w14:textId="2F17ADF0" w:rsidR="00A27F47" w:rsidRDefault="00892394" w:rsidP="002A60C7">
      <w:pPr>
        <w:shd w:val="clear" w:color="auto" w:fill="FFFFFF"/>
        <w:spacing w:before="160"/>
      </w:pPr>
      <w:r w:rsidRPr="00B72D3E">
        <w:rPr>
          <w:rFonts w:ascii="Times New Roman" w:hAnsi="Times New Roman"/>
          <w:sz w:val="24"/>
          <w:szCs w:val="24"/>
        </w:rPr>
        <w:t>The</w:t>
      </w:r>
      <w:r w:rsidR="00291751">
        <w:rPr>
          <w:rFonts w:ascii="Times New Roman" w:hAnsi="Times New Roman"/>
          <w:sz w:val="24"/>
          <w:szCs w:val="24"/>
        </w:rPr>
        <w:t xml:space="preserve"> </w:t>
      </w:r>
      <w:r w:rsidR="00291751">
        <w:rPr>
          <w:rFonts w:ascii="Times New Roman" w:hAnsi="Times New Roman"/>
          <w:i/>
          <w:sz w:val="24"/>
          <w:szCs w:val="24"/>
        </w:rPr>
        <w:t>Resale Royalty Right for Visual Artists Amendment (Reciprocating Countries) Regulations 202</w:t>
      </w:r>
      <w:r w:rsidR="00EE29F4">
        <w:rPr>
          <w:rFonts w:ascii="Times New Roman" w:hAnsi="Times New Roman"/>
          <w:i/>
          <w:sz w:val="24"/>
          <w:szCs w:val="24"/>
        </w:rPr>
        <w:t>4</w:t>
      </w:r>
      <w:r w:rsidR="00291751">
        <w:rPr>
          <w:rFonts w:ascii="Times New Roman" w:hAnsi="Times New Roman"/>
          <w:i/>
          <w:sz w:val="24"/>
          <w:szCs w:val="24"/>
        </w:rPr>
        <w:t xml:space="preserve"> </w:t>
      </w:r>
      <w:r w:rsidR="00291751">
        <w:rPr>
          <w:rFonts w:ascii="Times New Roman" w:hAnsi="Times New Roman"/>
          <w:sz w:val="24"/>
          <w:szCs w:val="24"/>
        </w:rPr>
        <w:t xml:space="preserve">are </w:t>
      </w:r>
      <w:r w:rsidRPr="00B72D3E">
        <w:rPr>
          <w:rFonts w:ascii="Times New Roman" w:hAnsi="Times New Roman"/>
          <w:sz w:val="24"/>
          <w:szCs w:val="24"/>
        </w:rPr>
        <w:t>compatible with human rights</w:t>
      </w:r>
      <w:r w:rsidR="00291751">
        <w:rPr>
          <w:rFonts w:ascii="Times New Roman" w:hAnsi="Times New Roman"/>
          <w:sz w:val="24"/>
          <w:szCs w:val="24"/>
        </w:rPr>
        <w:t xml:space="preserve">. To the extent that it may limit human rights, those limitations are reasonable, necessary and proportionate. </w:t>
      </w:r>
    </w:p>
    <w:sectPr w:rsidR="00A27F4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5C888" w14:textId="77777777" w:rsidR="00711D15" w:rsidRDefault="00711D15">
      <w:pPr>
        <w:spacing w:after="0" w:line="240" w:lineRule="auto"/>
      </w:pPr>
      <w:r>
        <w:separator/>
      </w:r>
    </w:p>
  </w:endnote>
  <w:endnote w:type="continuationSeparator" w:id="0">
    <w:p w14:paraId="3E90F9C3" w14:textId="77777777" w:rsidR="00711D15" w:rsidRDefault="00711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183203"/>
      <w:docPartObj>
        <w:docPartGallery w:val="Page Numbers (Bottom of Page)"/>
        <w:docPartUnique/>
      </w:docPartObj>
    </w:sdtPr>
    <w:sdtEndPr>
      <w:rPr>
        <w:noProof/>
      </w:rPr>
    </w:sdtEndPr>
    <w:sdtContent>
      <w:p w14:paraId="51E08183" w14:textId="0EC2903E" w:rsidR="005611E9" w:rsidRDefault="005611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46FAF8" w14:textId="77777777" w:rsidR="002D2F32" w:rsidRDefault="00DA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328FB" w14:textId="77777777" w:rsidR="00711D15" w:rsidRDefault="00711D15">
      <w:pPr>
        <w:spacing w:after="0" w:line="240" w:lineRule="auto"/>
      </w:pPr>
      <w:r>
        <w:separator/>
      </w:r>
    </w:p>
  </w:footnote>
  <w:footnote w:type="continuationSeparator" w:id="0">
    <w:p w14:paraId="77B23F1F" w14:textId="77777777" w:rsidR="00711D15" w:rsidRDefault="00711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7B28"/>
    <w:multiLevelType w:val="hybridMultilevel"/>
    <w:tmpl w:val="12E09CA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4862751"/>
    <w:multiLevelType w:val="hybridMultilevel"/>
    <w:tmpl w:val="F168ACF4"/>
    <w:lvl w:ilvl="0" w:tplc="D2DE3AAA">
      <w:start w:val="1"/>
      <w:numFmt w:val="lowerLetter"/>
      <w:lvlText w:val="(%1)"/>
      <w:lvlJc w:val="left"/>
      <w:pPr>
        <w:ind w:left="1440" w:hanging="73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63DCD"/>
    <w:rsid w:val="000678AA"/>
    <w:rsid w:val="00072879"/>
    <w:rsid w:val="00073F58"/>
    <w:rsid w:val="000A45A5"/>
    <w:rsid w:val="000B47D4"/>
    <w:rsid w:val="000B6CF7"/>
    <w:rsid w:val="000D6EEF"/>
    <w:rsid w:val="000E1414"/>
    <w:rsid w:val="000E7F9E"/>
    <w:rsid w:val="0011203D"/>
    <w:rsid w:val="00121F58"/>
    <w:rsid w:val="00143E63"/>
    <w:rsid w:val="001563E2"/>
    <w:rsid w:val="0015712A"/>
    <w:rsid w:val="00163019"/>
    <w:rsid w:val="00172D85"/>
    <w:rsid w:val="001A1F32"/>
    <w:rsid w:val="001C37E5"/>
    <w:rsid w:val="00202E39"/>
    <w:rsid w:val="00204B60"/>
    <w:rsid w:val="0021462F"/>
    <w:rsid w:val="00216599"/>
    <w:rsid w:val="00217850"/>
    <w:rsid w:val="00220FBF"/>
    <w:rsid w:val="002255DF"/>
    <w:rsid w:val="00230B89"/>
    <w:rsid w:val="00234F4A"/>
    <w:rsid w:val="00257192"/>
    <w:rsid w:val="002612DF"/>
    <w:rsid w:val="00262C60"/>
    <w:rsid w:val="00275778"/>
    <w:rsid w:val="00275B52"/>
    <w:rsid w:val="00291751"/>
    <w:rsid w:val="002A60C7"/>
    <w:rsid w:val="002A78B0"/>
    <w:rsid w:val="002B1B97"/>
    <w:rsid w:val="002C108D"/>
    <w:rsid w:val="002D79A8"/>
    <w:rsid w:val="00311FD8"/>
    <w:rsid w:val="0032260E"/>
    <w:rsid w:val="00324F6A"/>
    <w:rsid w:val="00373384"/>
    <w:rsid w:val="0038668A"/>
    <w:rsid w:val="003C7D1A"/>
    <w:rsid w:val="003E3A31"/>
    <w:rsid w:val="00405FD8"/>
    <w:rsid w:val="00414239"/>
    <w:rsid w:val="00415044"/>
    <w:rsid w:val="0042141B"/>
    <w:rsid w:val="00445EBB"/>
    <w:rsid w:val="00450738"/>
    <w:rsid w:val="00456659"/>
    <w:rsid w:val="004658FE"/>
    <w:rsid w:val="00471011"/>
    <w:rsid w:val="004B1222"/>
    <w:rsid w:val="004B7415"/>
    <w:rsid w:val="004C72B3"/>
    <w:rsid w:val="004C76B5"/>
    <w:rsid w:val="005037A3"/>
    <w:rsid w:val="00540CF1"/>
    <w:rsid w:val="005611E9"/>
    <w:rsid w:val="00562B73"/>
    <w:rsid w:val="00562C07"/>
    <w:rsid w:val="005B7BB2"/>
    <w:rsid w:val="005C1AE6"/>
    <w:rsid w:val="005C43B9"/>
    <w:rsid w:val="005E0E6C"/>
    <w:rsid w:val="005F05DA"/>
    <w:rsid w:val="00605F4B"/>
    <w:rsid w:val="00611ED6"/>
    <w:rsid w:val="00620A75"/>
    <w:rsid w:val="006214BA"/>
    <w:rsid w:val="00663DA2"/>
    <w:rsid w:val="00666DCE"/>
    <w:rsid w:val="006708D1"/>
    <w:rsid w:val="006725A3"/>
    <w:rsid w:val="006853BA"/>
    <w:rsid w:val="006A4510"/>
    <w:rsid w:val="006A4D45"/>
    <w:rsid w:val="006B36F3"/>
    <w:rsid w:val="006B471F"/>
    <w:rsid w:val="006B6B1C"/>
    <w:rsid w:val="006E6C07"/>
    <w:rsid w:val="006F3DFC"/>
    <w:rsid w:val="00700871"/>
    <w:rsid w:val="00707376"/>
    <w:rsid w:val="00711D15"/>
    <w:rsid w:val="00713299"/>
    <w:rsid w:val="007171FA"/>
    <w:rsid w:val="00727BB5"/>
    <w:rsid w:val="00754EE4"/>
    <w:rsid w:val="0079085D"/>
    <w:rsid w:val="008117B1"/>
    <w:rsid w:val="00813635"/>
    <w:rsid w:val="0081603E"/>
    <w:rsid w:val="00821C72"/>
    <w:rsid w:val="0084614C"/>
    <w:rsid w:val="008657A9"/>
    <w:rsid w:val="00874D7D"/>
    <w:rsid w:val="0088296F"/>
    <w:rsid w:val="00887CC8"/>
    <w:rsid w:val="00890D4C"/>
    <w:rsid w:val="00892394"/>
    <w:rsid w:val="00896274"/>
    <w:rsid w:val="008A0392"/>
    <w:rsid w:val="008C1702"/>
    <w:rsid w:val="008D6761"/>
    <w:rsid w:val="0090436C"/>
    <w:rsid w:val="0091141E"/>
    <w:rsid w:val="0091156D"/>
    <w:rsid w:val="00914AC5"/>
    <w:rsid w:val="00917B9D"/>
    <w:rsid w:val="009466FA"/>
    <w:rsid w:val="00953E79"/>
    <w:rsid w:val="00960670"/>
    <w:rsid w:val="00964CF6"/>
    <w:rsid w:val="009704E3"/>
    <w:rsid w:val="00972A21"/>
    <w:rsid w:val="00992AA8"/>
    <w:rsid w:val="009C50F0"/>
    <w:rsid w:val="009C77D0"/>
    <w:rsid w:val="009E4BEB"/>
    <w:rsid w:val="00A06894"/>
    <w:rsid w:val="00A072A9"/>
    <w:rsid w:val="00A27F47"/>
    <w:rsid w:val="00A34210"/>
    <w:rsid w:val="00A4273F"/>
    <w:rsid w:val="00A65E06"/>
    <w:rsid w:val="00A854F4"/>
    <w:rsid w:val="00AA136E"/>
    <w:rsid w:val="00AC08AB"/>
    <w:rsid w:val="00AC4BBB"/>
    <w:rsid w:val="00AD421F"/>
    <w:rsid w:val="00AE1BE4"/>
    <w:rsid w:val="00AE2013"/>
    <w:rsid w:val="00AE31C4"/>
    <w:rsid w:val="00AE3B74"/>
    <w:rsid w:val="00B03D56"/>
    <w:rsid w:val="00B20E8B"/>
    <w:rsid w:val="00B26F34"/>
    <w:rsid w:val="00B27079"/>
    <w:rsid w:val="00B361F1"/>
    <w:rsid w:val="00B41A49"/>
    <w:rsid w:val="00B55F01"/>
    <w:rsid w:val="00B6427D"/>
    <w:rsid w:val="00B8119E"/>
    <w:rsid w:val="00B84909"/>
    <w:rsid w:val="00B96E5D"/>
    <w:rsid w:val="00BA0708"/>
    <w:rsid w:val="00BA7C65"/>
    <w:rsid w:val="00BC3423"/>
    <w:rsid w:val="00BE3854"/>
    <w:rsid w:val="00BE697F"/>
    <w:rsid w:val="00BE7AD1"/>
    <w:rsid w:val="00C07E8B"/>
    <w:rsid w:val="00C15633"/>
    <w:rsid w:val="00C17772"/>
    <w:rsid w:val="00C42C3D"/>
    <w:rsid w:val="00C45961"/>
    <w:rsid w:val="00C50F56"/>
    <w:rsid w:val="00C70E7C"/>
    <w:rsid w:val="00C7170C"/>
    <w:rsid w:val="00C75A8F"/>
    <w:rsid w:val="00C91D35"/>
    <w:rsid w:val="00C94789"/>
    <w:rsid w:val="00CA4545"/>
    <w:rsid w:val="00CA6600"/>
    <w:rsid w:val="00CE6682"/>
    <w:rsid w:val="00CE7244"/>
    <w:rsid w:val="00D23AE9"/>
    <w:rsid w:val="00D35868"/>
    <w:rsid w:val="00D64F75"/>
    <w:rsid w:val="00D81EE9"/>
    <w:rsid w:val="00D92BDB"/>
    <w:rsid w:val="00DA0A77"/>
    <w:rsid w:val="00DA5543"/>
    <w:rsid w:val="00DC5A4D"/>
    <w:rsid w:val="00DD3086"/>
    <w:rsid w:val="00DE2356"/>
    <w:rsid w:val="00DE73E9"/>
    <w:rsid w:val="00E04BE4"/>
    <w:rsid w:val="00E2620B"/>
    <w:rsid w:val="00E45363"/>
    <w:rsid w:val="00E603F4"/>
    <w:rsid w:val="00E62C89"/>
    <w:rsid w:val="00E7404A"/>
    <w:rsid w:val="00E748B4"/>
    <w:rsid w:val="00E74EE5"/>
    <w:rsid w:val="00E9108C"/>
    <w:rsid w:val="00EA2610"/>
    <w:rsid w:val="00EB01B2"/>
    <w:rsid w:val="00ED131A"/>
    <w:rsid w:val="00ED641B"/>
    <w:rsid w:val="00EE29F4"/>
    <w:rsid w:val="00F32B09"/>
    <w:rsid w:val="00F33F39"/>
    <w:rsid w:val="00F36A93"/>
    <w:rsid w:val="00F36C50"/>
    <w:rsid w:val="00F47FE0"/>
    <w:rsid w:val="00F511FE"/>
    <w:rsid w:val="00F57862"/>
    <w:rsid w:val="00F65B09"/>
    <w:rsid w:val="00F76CD7"/>
    <w:rsid w:val="00F92E95"/>
    <w:rsid w:val="00F9312A"/>
    <w:rsid w:val="00F9604D"/>
    <w:rsid w:val="00FA1E54"/>
    <w:rsid w:val="00FA22E7"/>
    <w:rsid w:val="00FA28F4"/>
    <w:rsid w:val="00FD1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6F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TBLText">
    <w:name w:val="TBL Text"/>
    <w:basedOn w:val="Normal"/>
    <w:uiPriority w:val="9"/>
    <w:qFormat/>
    <w:rsid w:val="00CA6600"/>
    <w:pPr>
      <w:spacing w:after="0" w:line="240" w:lineRule="auto"/>
    </w:pPr>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A6742D0-F5E1-4717-AD44-965F86661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A766F9F6C671E48AAF52AB7AFD7DAA4" ma:contentTypeVersion="" ma:contentTypeDescription="PDMS Document Site Content Type" ma:contentTypeScope="" ma:versionID="7e0874ac6ef747a9cc4a676c71280df3">
  <xsd:schema xmlns:xsd="http://www.w3.org/2001/XMLSchema" xmlns:xs="http://www.w3.org/2001/XMLSchema" xmlns:p="http://schemas.microsoft.com/office/2006/metadata/properties" xmlns:ns2="5A6742D0-F5E1-4717-AD44-965F86661EBF" targetNamespace="http://schemas.microsoft.com/office/2006/metadata/properties" ma:root="true" ma:fieldsID="b57e046867b0fb3db624d3eb9cdcdf6a" ns2:_="">
    <xsd:import namespace="5A6742D0-F5E1-4717-AD44-965F86661E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742D0-F5E1-4717-AD44-965F86661E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1B43-B7DD-474B-8E69-3FB335A486BC}">
  <ds:schemaRefs>
    <ds:schemaRef ds:uri="http://schemas.microsoft.com/office/2006/documentManagement/types"/>
    <ds:schemaRef ds:uri="http://purl.org/dc/terms/"/>
    <ds:schemaRef ds:uri="5A6742D0-F5E1-4717-AD44-965F86661EBF"/>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3.xml><?xml version="1.0" encoding="utf-8"?>
<ds:datastoreItem xmlns:ds="http://schemas.openxmlformats.org/officeDocument/2006/customXml" ds:itemID="{A35D80AF-AA57-4ACD-8931-04E87154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742D0-F5E1-4717-AD44-965F86661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21C8D-441B-4C3C-B6D3-795DCA95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2024-02-13T22:20:00Z</dcterms:created>
  <dcterms:modified xsi:type="dcterms:W3CDTF">2024-02-13T22:20:00Z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0x010100266966F133664895A6EE3632470D45F5001A766F9F6C671E48AAF52AB7AFD7DAA4</vt:lpwstr>
  </property>
</Properties>
</file>