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FA46" w14:textId="77777777" w:rsidR="002D71FE" w:rsidRDefault="002D71FE" w:rsidP="00C70807">
      <w:pPr>
        <w:spacing w:before="280" w:after="240"/>
        <w:rPr>
          <w:b/>
          <w:sz w:val="32"/>
          <w:szCs w:val="32"/>
        </w:rPr>
      </w:pPr>
    </w:p>
    <w:p w14:paraId="23DA0F6A" w14:textId="5C243548" w:rsidR="00C70807" w:rsidRPr="003017EE" w:rsidRDefault="00E120A7" w:rsidP="00C70807">
      <w:pPr>
        <w:spacing w:before="280" w:after="240"/>
        <w:rPr>
          <w:b/>
          <w:sz w:val="32"/>
          <w:szCs w:val="32"/>
        </w:rPr>
      </w:pPr>
      <w:r w:rsidRPr="003017EE">
        <w:rPr>
          <w:noProof/>
          <w:sz w:val="28"/>
        </w:rPr>
        <w:drawing>
          <wp:inline distT="0" distB="0" distL="0" distR="0" wp14:anchorId="748DE479" wp14:editId="0282DB1D">
            <wp:extent cx="5261610" cy="865505"/>
            <wp:effectExtent l="0" t="0" r="0" b="0"/>
            <wp:docPr id="1" name="Picture 1" descr="Commonwealth of Australia Coat of Arms, APRA logo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of Australia Coat of Arms, APRA logo and ASIC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1610" cy="865505"/>
                    </a:xfrm>
                    <a:prstGeom prst="rect">
                      <a:avLst/>
                    </a:prstGeom>
                    <a:noFill/>
                  </pic:spPr>
                </pic:pic>
              </a:graphicData>
            </a:graphic>
          </wp:inline>
        </w:drawing>
      </w:r>
    </w:p>
    <w:p w14:paraId="7F8E24A1" w14:textId="77777777" w:rsidR="00C70807" w:rsidRPr="003017EE" w:rsidRDefault="00C70807" w:rsidP="00C70807">
      <w:pPr>
        <w:pStyle w:val="LI-Title"/>
        <w:pBdr>
          <w:top w:val="none" w:sz="0" w:space="0" w:color="auto"/>
        </w:pBdr>
        <w:jc w:val="center"/>
      </w:pPr>
      <w:r w:rsidRPr="003017EE">
        <w:t>Explanatory Statement</w:t>
      </w:r>
    </w:p>
    <w:p w14:paraId="0B202D80" w14:textId="77777777" w:rsidR="00C70807" w:rsidRPr="003017EE" w:rsidRDefault="00C70807" w:rsidP="00C70807">
      <w:pPr>
        <w:rPr>
          <w:lang w:eastAsia="en-AU"/>
        </w:rPr>
      </w:pPr>
    </w:p>
    <w:p w14:paraId="0DC8540D" w14:textId="299A8BEE" w:rsidR="004B1A40" w:rsidRPr="003017EE" w:rsidRDefault="004B1A40" w:rsidP="11C32942">
      <w:pPr>
        <w:jc w:val="center"/>
        <w:rPr>
          <w:b/>
          <w:bCs/>
          <w:i/>
          <w:iCs/>
          <w:sz w:val="28"/>
          <w:szCs w:val="28"/>
          <w:lang w:eastAsia="en-AU"/>
        </w:rPr>
      </w:pPr>
      <w:bookmarkStart w:id="0" w:name="_Hlk33458136"/>
      <w:r w:rsidRPr="003017EE">
        <w:rPr>
          <w:b/>
          <w:bCs/>
          <w:i/>
          <w:iCs/>
          <w:sz w:val="28"/>
          <w:szCs w:val="28"/>
        </w:rPr>
        <w:t>Financial Accountability Regime (Consequential Amendments) Transitional Rules 2</w:t>
      </w:r>
      <w:r w:rsidR="6798087B" w:rsidRPr="003017EE">
        <w:rPr>
          <w:b/>
          <w:bCs/>
          <w:i/>
          <w:iCs/>
          <w:sz w:val="28"/>
          <w:szCs w:val="28"/>
        </w:rPr>
        <w:t>024</w:t>
      </w:r>
    </w:p>
    <w:bookmarkEnd w:id="0"/>
    <w:p w14:paraId="2283E1A2" w14:textId="07603E89" w:rsidR="00C70807" w:rsidRPr="003017EE" w:rsidRDefault="00B3213C" w:rsidP="00C70807">
      <w:pPr>
        <w:pStyle w:val="LI-BodyTextParaa"/>
        <w:ind w:left="0" w:firstLine="0"/>
      </w:pPr>
      <w:r w:rsidRPr="003017EE">
        <w:t>P</w:t>
      </w:r>
      <w:r w:rsidR="00D51FB5" w:rsidRPr="003017EE">
        <w:t>repared</w:t>
      </w:r>
      <w:r w:rsidR="00C70807" w:rsidRPr="003017EE">
        <w:t xml:space="preserve"> by the</w:t>
      </w:r>
      <w:r w:rsidR="00E120A7" w:rsidRPr="003017EE">
        <w:t xml:space="preserve"> Australian Prudential Regulation Authority (</w:t>
      </w:r>
      <w:r w:rsidR="00E120A7" w:rsidRPr="003017EE">
        <w:rPr>
          <w:b/>
          <w:bCs/>
          <w:i/>
          <w:iCs/>
        </w:rPr>
        <w:t>APRA</w:t>
      </w:r>
      <w:r w:rsidR="00E120A7" w:rsidRPr="003017EE">
        <w:t>) and the</w:t>
      </w:r>
      <w:r w:rsidR="00C70807" w:rsidRPr="003017EE">
        <w:t xml:space="preserve"> Australian Securities and Investments Commission (</w:t>
      </w:r>
      <w:r w:rsidR="00C70807" w:rsidRPr="003017EE">
        <w:rPr>
          <w:b/>
          <w:i/>
        </w:rPr>
        <w:t>ASIC</w:t>
      </w:r>
      <w:r w:rsidR="00C70807" w:rsidRPr="003017EE">
        <w:t>).</w:t>
      </w:r>
    </w:p>
    <w:p w14:paraId="3873D6B9" w14:textId="2C7F4EEF" w:rsidR="00C70807" w:rsidRPr="003017EE" w:rsidRDefault="00C70807" w:rsidP="00C70807">
      <w:pPr>
        <w:pStyle w:val="LI-Heading2"/>
      </w:pPr>
      <w:r w:rsidRPr="003017EE">
        <w:t>Summary</w:t>
      </w:r>
    </w:p>
    <w:p w14:paraId="3BD08CDF" w14:textId="70A39FEE" w:rsidR="003247FE" w:rsidRPr="003017EE" w:rsidRDefault="1E8B5644" w:rsidP="004B1A40">
      <w:pPr>
        <w:pStyle w:val="LI-BodyTextNumbered"/>
        <w:numPr>
          <w:ilvl w:val="0"/>
          <w:numId w:val="0"/>
        </w:numPr>
        <w:ind w:left="567" w:hanging="567"/>
      </w:pPr>
      <w:r w:rsidRPr="003017EE">
        <w:t>1.</w:t>
      </w:r>
      <w:r w:rsidRPr="003017EE">
        <w:tab/>
      </w:r>
      <w:r w:rsidR="3DF36A8B" w:rsidRPr="003017EE">
        <w:t xml:space="preserve">Item 34(1) of Schedule 2 of the </w:t>
      </w:r>
      <w:bookmarkStart w:id="1" w:name="_Hlk147243850"/>
      <w:r w:rsidR="3DF36A8B" w:rsidRPr="003017EE">
        <w:rPr>
          <w:i/>
          <w:iCs/>
        </w:rPr>
        <w:t xml:space="preserve">Financial </w:t>
      </w:r>
      <w:r w:rsidR="2B6A5615" w:rsidRPr="003017EE">
        <w:rPr>
          <w:i/>
          <w:iCs/>
        </w:rPr>
        <w:t>Accountability Regime (Consequential Amendments)</w:t>
      </w:r>
      <w:r w:rsidR="3DF36A8B" w:rsidRPr="003017EE">
        <w:rPr>
          <w:i/>
          <w:iCs/>
        </w:rPr>
        <w:t xml:space="preserve"> Act 2023</w:t>
      </w:r>
      <w:bookmarkEnd w:id="1"/>
      <w:r w:rsidR="3DF36A8B" w:rsidRPr="003017EE">
        <w:t xml:space="preserve"> (</w:t>
      </w:r>
      <w:r w:rsidR="3DF36A8B" w:rsidRPr="003017EE">
        <w:rPr>
          <w:b/>
          <w:bCs/>
          <w:i/>
          <w:iCs/>
        </w:rPr>
        <w:t>the Act</w:t>
      </w:r>
      <w:r w:rsidR="3DF36A8B" w:rsidRPr="003017EE">
        <w:t xml:space="preserve">) provides that </w:t>
      </w:r>
      <w:r w:rsidR="00A17285" w:rsidRPr="003017EE">
        <w:t xml:space="preserve">the </w:t>
      </w:r>
      <w:r w:rsidR="3DF36A8B" w:rsidRPr="003017EE">
        <w:t>APRA and ASIC (</w:t>
      </w:r>
      <w:r w:rsidR="3DF36A8B" w:rsidRPr="003017EE">
        <w:rPr>
          <w:b/>
          <w:bCs/>
          <w:i/>
          <w:iCs/>
        </w:rPr>
        <w:t>the Regulator</w:t>
      </w:r>
      <w:r w:rsidR="2B6A5615" w:rsidRPr="003017EE">
        <w:rPr>
          <w:b/>
          <w:bCs/>
          <w:i/>
          <w:iCs/>
        </w:rPr>
        <w:t>s</w:t>
      </w:r>
      <w:r w:rsidR="3DF36A8B" w:rsidRPr="003017EE">
        <w:t xml:space="preserve">) may jointly, by legislative instrument, make rules prescribing matters of a transitional nature (including prescribing any saving or application provisions) relating to the amendments or repeals made by the Act or the enactment of the Act or the </w:t>
      </w:r>
      <w:r w:rsidR="3DF36A8B" w:rsidRPr="003017EE">
        <w:rPr>
          <w:i/>
          <w:iCs/>
        </w:rPr>
        <w:t>Financial Accountability Regime Act 202</w:t>
      </w:r>
      <w:r w:rsidR="2B6A5615" w:rsidRPr="003017EE">
        <w:rPr>
          <w:i/>
          <w:iCs/>
        </w:rPr>
        <w:t>3</w:t>
      </w:r>
      <w:r w:rsidR="3DF36A8B" w:rsidRPr="003017EE">
        <w:t xml:space="preserve"> (</w:t>
      </w:r>
      <w:r w:rsidR="3DF36A8B" w:rsidRPr="003017EE">
        <w:rPr>
          <w:b/>
          <w:bCs/>
          <w:i/>
          <w:iCs/>
        </w:rPr>
        <w:t>the FAR Act</w:t>
      </w:r>
      <w:r w:rsidR="3DF36A8B" w:rsidRPr="003017EE">
        <w:t>)</w:t>
      </w:r>
      <w:r w:rsidR="3DF36A8B" w:rsidRPr="003017EE">
        <w:rPr>
          <w:i/>
          <w:iCs/>
        </w:rPr>
        <w:t xml:space="preserve">. </w:t>
      </w:r>
      <w:r w:rsidR="2B6A5615" w:rsidRPr="003017EE">
        <w:t xml:space="preserve"> On </w:t>
      </w:r>
      <w:r w:rsidR="0740168E" w:rsidRPr="003017EE">
        <w:t xml:space="preserve">6 March </w:t>
      </w:r>
      <w:r w:rsidR="2B6A5615" w:rsidRPr="003017EE">
        <w:t>2</w:t>
      </w:r>
      <w:r w:rsidR="073EA2C7" w:rsidRPr="003017EE">
        <w:t>024</w:t>
      </w:r>
      <w:r w:rsidR="2B6A5615" w:rsidRPr="003017EE">
        <w:t xml:space="preserve">, the Regulators made the </w:t>
      </w:r>
      <w:r w:rsidR="2B6A5615" w:rsidRPr="003017EE">
        <w:rPr>
          <w:i/>
          <w:iCs/>
        </w:rPr>
        <w:t>Financial Accountability Regime (Consequential Amendments) Transitional Rules 2</w:t>
      </w:r>
      <w:r w:rsidR="3679B7B0" w:rsidRPr="003017EE">
        <w:rPr>
          <w:i/>
          <w:iCs/>
        </w:rPr>
        <w:t xml:space="preserve">024 </w:t>
      </w:r>
      <w:r w:rsidR="2B6A5615" w:rsidRPr="003017EE">
        <w:rPr>
          <w:i/>
          <w:iCs/>
        </w:rPr>
        <w:t>(</w:t>
      </w:r>
      <w:r w:rsidR="2B6A5615" w:rsidRPr="003017EE">
        <w:rPr>
          <w:b/>
          <w:bCs/>
          <w:i/>
          <w:iCs/>
        </w:rPr>
        <w:t>the instrument</w:t>
      </w:r>
      <w:r w:rsidR="2B6A5615" w:rsidRPr="003017EE">
        <w:rPr>
          <w:i/>
          <w:iCs/>
        </w:rPr>
        <w:t xml:space="preserve">). </w:t>
      </w:r>
      <w:r w:rsidR="019F291E" w:rsidRPr="003017EE">
        <w:t xml:space="preserve">The instrument is a </w:t>
      </w:r>
      <w:r w:rsidR="6E86703F" w:rsidRPr="003017EE">
        <w:t xml:space="preserve">legislative instrument for the purposes of the </w:t>
      </w:r>
      <w:r w:rsidR="6E86703F" w:rsidRPr="003017EE">
        <w:rPr>
          <w:i/>
          <w:iCs/>
        </w:rPr>
        <w:t>Legislation Act 2003</w:t>
      </w:r>
      <w:r w:rsidR="000975AF" w:rsidRPr="003017EE">
        <w:rPr>
          <w:i/>
          <w:iCs/>
        </w:rPr>
        <w:t xml:space="preserve"> </w:t>
      </w:r>
      <w:r w:rsidR="000975AF" w:rsidRPr="003017EE">
        <w:t>(</w:t>
      </w:r>
      <w:r w:rsidR="000975AF" w:rsidRPr="003017EE">
        <w:rPr>
          <w:b/>
          <w:bCs/>
          <w:i/>
          <w:iCs/>
        </w:rPr>
        <w:t>the Legislation Act</w:t>
      </w:r>
      <w:r w:rsidR="000975AF" w:rsidRPr="003017EE">
        <w:t>)</w:t>
      </w:r>
      <w:r w:rsidRPr="003017EE">
        <w:t>.</w:t>
      </w:r>
    </w:p>
    <w:p w14:paraId="2863B235" w14:textId="5BB8DF2B" w:rsidR="00E56DD6" w:rsidRPr="003017EE" w:rsidRDefault="003247FE" w:rsidP="00C61FE8">
      <w:pPr>
        <w:pStyle w:val="LI-BodyTextNumbered"/>
        <w:numPr>
          <w:ilvl w:val="0"/>
          <w:numId w:val="0"/>
        </w:numPr>
        <w:ind w:left="567" w:hanging="567"/>
      </w:pPr>
      <w:r w:rsidRPr="003017EE">
        <w:t>2.</w:t>
      </w:r>
      <w:r w:rsidRPr="003017EE">
        <w:tab/>
      </w:r>
      <w:r w:rsidR="00E56DD6" w:rsidRPr="003017EE">
        <w:t xml:space="preserve">The instrument commences on </w:t>
      </w:r>
      <w:r w:rsidR="007B297D" w:rsidRPr="003017EE">
        <w:t xml:space="preserve">the day after it is </w:t>
      </w:r>
      <w:r w:rsidR="00E56DD6" w:rsidRPr="003017EE">
        <w:t>regist</w:t>
      </w:r>
      <w:r w:rsidR="00615A8D" w:rsidRPr="003017EE">
        <w:t>e</w:t>
      </w:r>
      <w:r w:rsidR="00E56DD6" w:rsidRPr="003017EE">
        <w:t>r</w:t>
      </w:r>
      <w:r w:rsidR="00615A8D" w:rsidRPr="003017EE">
        <w:t>ed</w:t>
      </w:r>
      <w:r w:rsidR="00E56DD6" w:rsidRPr="003017EE">
        <w:t xml:space="preserve"> on the Federal Register of Legislation.</w:t>
      </w:r>
    </w:p>
    <w:p w14:paraId="7A5C5E3D" w14:textId="1FA149D3" w:rsidR="004419BF" w:rsidRPr="003017EE" w:rsidRDefault="004419BF" w:rsidP="00C61FE8">
      <w:pPr>
        <w:pStyle w:val="LI-BodyTextNumbered"/>
        <w:numPr>
          <w:ilvl w:val="0"/>
          <w:numId w:val="0"/>
        </w:numPr>
        <w:rPr>
          <w:b/>
        </w:rPr>
      </w:pPr>
      <w:r w:rsidRPr="003017EE">
        <w:rPr>
          <w:b/>
        </w:rPr>
        <w:t>Background</w:t>
      </w:r>
    </w:p>
    <w:p w14:paraId="7580CF03" w14:textId="251750B0" w:rsidR="004B1A40" w:rsidRPr="003017EE" w:rsidRDefault="004B1A40" w:rsidP="004B1A40">
      <w:pPr>
        <w:pStyle w:val="LI-BodyTextNumbered"/>
        <w:numPr>
          <w:ilvl w:val="0"/>
          <w:numId w:val="0"/>
        </w:numPr>
        <w:ind w:left="567" w:hanging="567"/>
      </w:pPr>
      <w:r w:rsidRPr="003017EE">
        <w:t>3.</w:t>
      </w:r>
      <w:r w:rsidRPr="003017EE">
        <w:tab/>
        <w:t xml:space="preserve">On 4 February 2019, the Royal Commission into Misconduct in the Banking, Superannuation and Financial Services Industry released its Final Report. The Final Report included recommendations </w:t>
      </w:r>
      <w:r w:rsidR="00030795" w:rsidRPr="003017EE">
        <w:t>that provisions modelled on</w:t>
      </w:r>
      <w:r w:rsidRPr="003017EE">
        <w:t xml:space="preserve"> the Banking Executive Accountability Regime </w:t>
      </w:r>
      <w:r w:rsidR="03103CF6" w:rsidRPr="003017EE">
        <w:t>(</w:t>
      </w:r>
      <w:r w:rsidR="03103CF6" w:rsidRPr="003017EE">
        <w:rPr>
          <w:b/>
          <w:i/>
        </w:rPr>
        <w:t>BEAR</w:t>
      </w:r>
      <w:r w:rsidR="03103CF6" w:rsidRPr="003017EE">
        <w:t xml:space="preserve">) </w:t>
      </w:r>
      <w:r w:rsidR="00030795" w:rsidRPr="003017EE">
        <w:t xml:space="preserve">be extended </w:t>
      </w:r>
      <w:r w:rsidRPr="003017EE">
        <w:t xml:space="preserve">to </w:t>
      </w:r>
      <w:r w:rsidR="00030795" w:rsidRPr="003017EE">
        <w:t>all</w:t>
      </w:r>
      <w:r w:rsidRPr="003017EE">
        <w:t xml:space="preserve"> APRA</w:t>
      </w:r>
      <w:r w:rsidR="00030795" w:rsidRPr="003017EE">
        <w:t>-</w:t>
      </w:r>
      <w:r w:rsidRPr="003017EE">
        <w:t xml:space="preserve">regulated </w:t>
      </w:r>
      <w:r w:rsidR="00030795" w:rsidRPr="003017EE">
        <w:t>financial services institutions</w:t>
      </w:r>
      <w:r w:rsidRPr="003017EE">
        <w:t>.</w:t>
      </w:r>
    </w:p>
    <w:p w14:paraId="69929AD3" w14:textId="3900A89C" w:rsidR="004B1A40" w:rsidRPr="003017EE" w:rsidRDefault="004B1A40" w:rsidP="004B1A40">
      <w:pPr>
        <w:pStyle w:val="LI-BodyTextNumbered"/>
        <w:numPr>
          <w:ilvl w:val="0"/>
          <w:numId w:val="0"/>
        </w:numPr>
        <w:ind w:left="567" w:hanging="567"/>
      </w:pPr>
      <w:r w:rsidRPr="003017EE">
        <w:t>4.</w:t>
      </w:r>
      <w:r w:rsidRPr="003017EE">
        <w:tab/>
        <w:t xml:space="preserve">The </w:t>
      </w:r>
      <w:r w:rsidR="00030795" w:rsidRPr="003017EE">
        <w:t xml:space="preserve">Act and the </w:t>
      </w:r>
      <w:r w:rsidR="1153A8B9" w:rsidRPr="003017EE">
        <w:t xml:space="preserve">FAR </w:t>
      </w:r>
      <w:r w:rsidRPr="003017EE">
        <w:t>Act implement the recommendations of the Royal Commission by establishing the Financial Accountability Regime</w:t>
      </w:r>
      <w:r w:rsidR="2774C898" w:rsidRPr="003017EE">
        <w:t xml:space="preserve"> (</w:t>
      </w:r>
      <w:r w:rsidR="2774C898" w:rsidRPr="003017EE">
        <w:rPr>
          <w:b/>
          <w:bCs/>
          <w:i/>
          <w:iCs/>
        </w:rPr>
        <w:t>FAR</w:t>
      </w:r>
      <w:r w:rsidR="2774C898" w:rsidRPr="003017EE">
        <w:t>)</w:t>
      </w:r>
      <w:r w:rsidRPr="003017EE">
        <w:t xml:space="preserve">, a new accountability regime for institutions and their senior executives in the banking, insurance, and superannuation sectors. The regime will be jointly </w:t>
      </w:r>
      <w:r w:rsidR="00030795" w:rsidRPr="003017EE">
        <w:t>administered</w:t>
      </w:r>
      <w:r w:rsidRPr="003017EE">
        <w:t xml:space="preserve"> by APRA and ASIC.</w:t>
      </w:r>
    </w:p>
    <w:p w14:paraId="10B72C63" w14:textId="28FAE4A9" w:rsidR="009C087D" w:rsidRPr="003017EE" w:rsidRDefault="009C087D" w:rsidP="003247FE">
      <w:pPr>
        <w:pStyle w:val="LI-BodyTextNumbered"/>
        <w:numPr>
          <w:ilvl w:val="0"/>
          <w:numId w:val="0"/>
        </w:numPr>
        <w:rPr>
          <w:b/>
          <w:bCs/>
        </w:rPr>
      </w:pPr>
      <w:r w:rsidRPr="003017EE">
        <w:rPr>
          <w:b/>
          <w:bCs/>
        </w:rPr>
        <w:t>Purpose of the instrument</w:t>
      </w:r>
    </w:p>
    <w:p w14:paraId="1EFF6DFD" w14:textId="283CA799" w:rsidR="002B47FC" w:rsidRPr="003017EE" w:rsidRDefault="003247FE" w:rsidP="002364A0">
      <w:pPr>
        <w:pStyle w:val="LI-BodyTextNumbered"/>
        <w:numPr>
          <w:ilvl w:val="0"/>
          <w:numId w:val="0"/>
        </w:numPr>
        <w:ind w:left="567" w:hanging="567"/>
      </w:pPr>
      <w:r w:rsidRPr="003017EE">
        <w:lastRenderedPageBreak/>
        <w:t xml:space="preserve">5. </w:t>
      </w:r>
      <w:r w:rsidRPr="003017EE">
        <w:tab/>
      </w:r>
      <w:r w:rsidR="00A178B2" w:rsidRPr="003017EE">
        <w:t>The</w:t>
      </w:r>
      <w:r w:rsidR="00C34C2C" w:rsidRPr="003017EE">
        <w:t xml:space="preserve"> instrument</w:t>
      </w:r>
      <w:r w:rsidR="00A178B2" w:rsidRPr="003017EE">
        <w:t xml:space="preserve"> support</w:t>
      </w:r>
      <w:r w:rsidR="00C34C2C" w:rsidRPr="003017EE">
        <w:t>s</w:t>
      </w:r>
      <w:r w:rsidR="00A178B2" w:rsidRPr="003017EE">
        <w:t xml:space="preserve"> the establishment of the F</w:t>
      </w:r>
      <w:r w:rsidR="15B0EC2E" w:rsidRPr="003017EE">
        <w:t xml:space="preserve">AR </w:t>
      </w:r>
      <w:r w:rsidR="00A178B2" w:rsidRPr="003017EE">
        <w:t>by</w:t>
      </w:r>
      <w:r w:rsidR="00A3008A" w:rsidRPr="003017EE">
        <w:t xml:space="preserve"> </w:t>
      </w:r>
      <w:r w:rsidR="002B47FC" w:rsidRPr="003017EE">
        <w:t>prescribing:</w:t>
      </w:r>
    </w:p>
    <w:p w14:paraId="4C88A7DD" w14:textId="3D90B42F" w:rsidR="002B47FC" w:rsidRPr="003017EE" w:rsidRDefault="002B47FC" w:rsidP="002B47FC">
      <w:pPr>
        <w:pStyle w:val="LI-BodyTextNumbered"/>
        <w:numPr>
          <w:ilvl w:val="0"/>
          <w:numId w:val="0"/>
        </w:numPr>
        <w:ind w:left="1134" w:hanging="567"/>
      </w:pPr>
      <w:r w:rsidRPr="003017EE">
        <w:t xml:space="preserve">(a) </w:t>
      </w:r>
      <w:r w:rsidRPr="003017EE">
        <w:tab/>
      </w:r>
      <w:r w:rsidR="000B3168" w:rsidRPr="003017EE">
        <w:t>that</w:t>
      </w:r>
      <w:r w:rsidRPr="003017EE">
        <w:t xml:space="preserve"> </w:t>
      </w:r>
      <w:r w:rsidR="000B3168" w:rsidRPr="003017EE">
        <w:t xml:space="preserve">certain </w:t>
      </w:r>
      <w:r w:rsidRPr="003017EE">
        <w:t xml:space="preserve">information </w:t>
      </w:r>
      <w:r w:rsidR="000B3168" w:rsidRPr="003017EE">
        <w:t xml:space="preserve">must be provided to the Regulators </w:t>
      </w:r>
      <w:r w:rsidR="00EC2462" w:rsidRPr="003017EE">
        <w:t>by</w:t>
      </w:r>
      <w:r w:rsidR="5720B0B7" w:rsidRPr="003017EE">
        <w:t xml:space="preserve"> </w:t>
      </w:r>
      <w:r w:rsidR="4087FF32" w:rsidRPr="003017EE">
        <w:t>a</w:t>
      </w:r>
      <w:r w:rsidR="3E828C8D" w:rsidRPr="003017EE">
        <w:t xml:space="preserve">uthorised </w:t>
      </w:r>
      <w:r w:rsidR="3A65D3F9" w:rsidRPr="003017EE">
        <w:t>d</w:t>
      </w:r>
      <w:r w:rsidR="3E828C8D" w:rsidRPr="003017EE">
        <w:t xml:space="preserve">eposit-taking </w:t>
      </w:r>
      <w:r w:rsidR="3443A8C0" w:rsidRPr="003017EE">
        <w:t>i</w:t>
      </w:r>
      <w:r w:rsidR="3E828C8D" w:rsidRPr="003017EE">
        <w:t>nstitutions (</w:t>
      </w:r>
      <w:proofErr w:type="spellStart"/>
      <w:r w:rsidR="3E828C8D" w:rsidRPr="003017EE">
        <w:rPr>
          <w:b/>
          <w:i/>
        </w:rPr>
        <w:t>ADIs</w:t>
      </w:r>
      <w:proofErr w:type="spellEnd"/>
      <w:r w:rsidR="3E828C8D" w:rsidRPr="003017EE">
        <w:t>)</w:t>
      </w:r>
      <w:r w:rsidRPr="003017EE">
        <w:t xml:space="preserve"> </w:t>
      </w:r>
      <w:r w:rsidR="00EC2462" w:rsidRPr="003017EE">
        <w:t xml:space="preserve">which are subject to the </w:t>
      </w:r>
      <w:proofErr w:type="gramStart"/>
      <w:r w:rsidR="00EC2462" w:rsidRPr="003017EE">
        <w:t>BEAR</w:t>
      </w:r>
      <w:proofErr w:type="gramEnd"/>
      <w:r w:rsidR="00EC2462" w:rsidRPr="003017EE">
        <w:t xml:space="preserve"> and which become accountable entities under the FAR Act, </w:t>
      </w:r>
      <w:r w:rsidRPr="003017EE">
        <w:t>to facilitate</w:t>
      </w:r>
      <w:r w:rsidR="00EC2462" w:rsidRPr="003017EE">
        <w:t xml:space="preserve"> the</w:t>
      </w:r>
      <w:r w:rsidRPr="003017EE">
        <w:t xml:space="preserve"> transition </w:t>
      </w:r>
      <w:r w:rsidR="00EC2462" w:rsidRPr="003017EE">
        <w:t xml:space="preserve">of </w:t>
      </w:r>
      <w:r w:rsidR="00486241" w:rsidRPr="003017EE">
        <w:t xml:space="preserve">such </w:t>
      </w:r>
      <w:proofErr w:type="spellStart"/>
      <w:r w:rsidR="00486241" w:rsidRPr="003017EE">
        <w:t>ADIs</w:t>
      </w:r>
      <w:proofErr w:type="spellEnd"/>
      <w:r w:rsidR="00EC2462" w:rsidRPr="003017EE">
        <w:t xml:space="preserve"> </w:t>
      </w:r>
      <w:r w:rsidRPr="003017EE">
        <w:t xml:space="preserve">from the BEAR to the FAR; </w:t>
      </w:r>
    </w:p>
    <w:p w14:paraId="3F641E6D" w14:textId="5A2DC1D2" w:rsidR="002B47FC" w:rsidRPr="003017EE" w:rsidRDefault="002B47FC" w:rsidP="002B47FC">
      <w:pPr>
        <w:pStyle w:val="LI-BodyTextNumbered"/>
        <w:numPr>
          <w:ilvl w:val="0"/>
          <w:numId w:val="0"/>
        </w:numPr>
        <w:ind w:left="1134" w:hanging="567"/>
      </w:pPr>
      <w:r w:rsidRPr="003017EE">
        <w:t>(b)</w:t>
      </w:r>
      <w:r w:rsidRPr="003017EE">
        <w:tab/>
        <w:t xml:space="preserve">the required timeframe for submission of that information; and </w:t>
      </w:r>
    </w:p>
    <w:p w14:paraId="2E0E4888" w14:textId="4879549B" w:rsidR="00A178B2" w:rsidRPr="003017EE" w:rsidRDefault="002B47FC" w:rsidP="009E2A42">
      <w:pPr>
        <w:pStyle w:val="LI-BodyTextNumbered"/>
        <w:numPr>
          <w:ilvl w:val="0"/>
          <w:numId w:val="0"/>
        </w:numPr>
        <w:ind w:left="1134" w:hanging="567"/>
      </w:pPr>
      <w:r w:rsidRPr="003017EE">
        <w:t xml:space="preserve">(c) </w:t>
      </w:r>
      <w:r w:rsidRPr="003017EE">
        <w:tab/>
        <w:t xml:space="preserve">the method of submission of that information. </w:t>
      </w:r>
    </w:p>
    <w:p w14:paraId="3F2949EF" w14:textId="20E04B52" w:rsidR="006436EB" w:rsidRPr="003017EE" w:rsidRDefault="006436EB" w:rsidP="00C61FE8">
      <w:pPr>
        <w:pStyle w:val="LI-BodyTextNumbered"/>
        <w:numPr>
          <w:ilvl w:val="0"/>
          <w:numId w:val="0"/>
        </w:numPr>
        <w:ind w:left="567" w:hanging="567"/>
        <w:rPr>
          <w:b/>
          <w:bCs/>
        </w:rPr>
      </w:pPr>
      <w:r w:rsidRPr="003017EE">
        <w:rPr>
          <w:b/>
          <w:bCs/>
        </w:rPr>
        <w:t>Operation of the instrument</w:t>
      </w:r>
    </w:p>
    <w:p w14:paraId="75096D1A" w14:textId="01470625" w:rsidR="002B47FC" w:rsidRPr="003017EE" w:rsidRDefault="00486241" w:rsidP="009E2A42">
      <w:pPr>
        <w:pStyle w:val="LI-BodyTextNumbered"/>
        <w:numPr>
          <w:ilvl w:val="0"/>
          <w:numId w:val="0"/>
        </w:numPr>
        <w:ind w:left="567" w:hanging="567"/>
      </w:pPr>
      <w:r w:rsidRPr="003017EE">
        <w:t>6</w:t>
      </w:r>
      <w:r w:rsidR="002B47FC" w:rsidRPr="003017EE">
        <w:t xml:space="preserve">. </w:t>
      </w:r>
      <w:r w:rsidR="002B47FC" w:rsidRPr="003017EE">
        <w:tab/>
        <w:t xml:space="preserve">Section 6(1) </w:t>
      </w:r>
      <w:r w:rsidRPr="003017EE">
        <w:t xml:space="preserve">of </w:t>
      </w:r>
      <w:r w:rsidR="00271FC3" w:rsidRPr="003017EE">
        <w:t xml:space="preserve">Part 2 of </w:t>
      </w:r>
      <w:r w:rsidRPr="003017EE">
        <w:t xml:space="preserve">the instrument </w:t>
      </w:r>
      <w:r w:rsidR="002B47FC" w:rsidRPr="003017EE">
        <w:t xml:space="preserve">requires an </w:t>
      </w:r>
      <w:r w:rsidR="27A9E9D6" w:rsidRPr="003017EE">
        <w:t xml:space="preserve">ADI </w:t>
      </w:r>
      <w:r w:rsidR="002B47FC" w:rsidRPr="003017EE">
        <w:t xml:space="preserve">which is subject to the </w:t>
      </w:r>
      <w:proofErr w:type="gramStart"/>
      <w:r w:rsidR="002B47FC" w:rsidRPr="003017EE">
        <w:t>BEAR</w:t>
      </w:r>
      <w:proofErr w:type="gramEnd"/>
      <w:r w:rsidR="002B47FC" w:rsidRPr="003017EE">
        <w:t xml:space="preserve"> and which </w:t>
      </w:r>
      <w:r w:rsidR="003E4A0B" w:rsidRPr="003017EE">
        <w:t>becomes</w:t>
      </w:r>
      <w:r w:rsidR="106E9547" w:rsidRPr="003017EE">
        <w:t xml:space="preserve"> </w:t>
      </w:r>
      <w:r w:rsidR="002B47FC" w:rsidRPr="003017EE">
        <w:t>an accountable entity under the FAR Act</w:t>
      </w:r>
      <w:r w:rsidR="00A80693" w:rsidRPr="003017EE">
        <w:t xml:space="preserve"> on 15 March 2024 (</w:t>
      </w:r>
      <w:r w:rsidR="00A80693" w:rsidRPr="003017EE">
        <w:rPr>
          <w:b/>
          <w:i/>
        </w:rPr>
        <w:t>the banking start time</w:t>
      </w:r>
      <w:r w:rsidR="00A80693" w:rsidRPr="003017EE">
        <w:t>)</w:t>
      </w:r>
      <w:r w:rsidR="002B47FC" w:rsidRPr="003017EE">
        <w:t xml:space="preserve"> to provide the Regulator</w:t>
      </w:r>
      <w:r w:rsidR="1F87432B" w:rsidRPr="003017EE">
        <w:t>s</w:t>
      </w:r>
      <w:r w:rsidR="002B47FC" w:rsidRPr="003017EE">
        <w:t xml:space="preserve"> with </w:t>
      </w:r>
      <w:r w:rsidR="003E4A0B" w:rsidRPr="003017EE">
        <w:t>certain</w:t>
      </w:r>
      <w:r w:rsidR="002B47FC" w:rsidRPr="003017EE">
        <w:t xml:space="preserve"> prescribed information </w:t>
      </w:r>
      <w:r w:rsidR="00797F78" w:rsidRPr="003017EE">
        <w:t xml:space="preserve">in a specified manner </w:t>
      </w:r>
      <w:r w:rsidR="002B47FC" w:rsidRPr="003017EE">
        <w:t xml:space="preserve">within 30 days after the banking start time. </w:t>
      </w:r>
    </w:p>
    <w:p w14:paraId="05AB84B8" w14:textId="67C59919" w:rsidR="002B47FC" w:rsidRPr="003017EE" w:rsidRDefault="00486241" w:rsidP="009E2A42">
      <w:pPr>
        <w:pStyle w:val="LI-BodyTextNumbered"/>
        <w:numPr>
          <w:ilvl w:val="0"/>
          <w:numId w:val="0"/>
        </w:numPr>
        <w:ind w:left="567" w:hanging="567"/>
      </w:pPr>
      <w:r w:rsidRPr="003017EE">
        <w:t>7</w:t>
      </w:r>
      <w:r w:rsidR="002B47FC" w:rsidRPr="003017EE">
        <w:t xml:space="preserve">. </w:t>
      </w:r>
      <w:r w:rsidR="002B47FC" w:rsidRPr="003017EE">
        <w:tab/>
        <w:t>Section 6(2)</w:t>
      </w:r>
      <w:r w:rsidR="2EC21951" w:rsidRPr="003017EE">
        <w:t xml:space="preserve"> </w:t>
      </w:r>
      <w:r w:rsidR="00271FC3" w:rsidRPr="003017EE">
        <w:t xml:space="preserve">of Part 2 of the instrument </w:t>
      </w:r>
      <w:r w:rsidR="002B47FC" w:rsidRPr="003017EE">
        <w:t xml:space="preserve">prescribes the information which must be provided </w:t>
      </w:r>
      <w:r w:rsidR="000B3168" w:rsidRPr="003017EE">
        <w:t>to the Regulators, being certain</w:t>
      </w:r>
      <w:r w:rsidR="00E847DF" w:rsidRPr="003017EE">
        <w:t xml:space="preserve"> </w:t>
      </w:r>
      <w:r w:rsidR="000B3168" w:rsidRPr="003017EE">
        <w:t xml:space="preserve">information </w:t>
      </w:r>
      <w:r w:rsidR="002B47FC" w:rsidRPr="003017EE">
        <w:t>in respect of each person who is</w:t>
      </w:r>
      <w:r w:rsidR="000B3168" w:rsidRPr="003017EE">
        <w:t>, immediately prior to the banking start time,</w:t>
      </w:r>
      <w:r w:rsidR="002B47FC" w:rsidRPr="003017EE">
        <w:t xml:space="preserve"> an accountable person for the purposes of the BEAR and who</w:t>
      </w:r>
      <w:r w:rsidR="000B3168" w:rsidRPr="003017EE">
        <w:t>, at the banking start time,</w:t>
      </w:r>
      <w:r w:rsidR="002B47FC" w:rsidRPr="003017EE">
        <w:t xml:space="preserve"> </w:t>
      </w:r>
      <w:r w:rsidR="000B3168" w:rsidRPr="003017EE">
        <w:t>becomes</w:t>
      </w:r>
      <w:r w:rsidR="089A33D7" w:rsidRPr="003017EE">
        <w:t xml:space="preserve"> </w:t>
      </w:r>
      <w:r w:rsidR="002B47FC" w:rsidRPr="003017EE">
        <w:t xml:space="preserve">an accountable person of </w:t>
      </w:r>
      <w:r w:rsidR="000B3168" w:rsidRPr="003017EE">
        <w:t>the relevant</w:t>
      </w:r>
      <w:r w:rsidR="002B47FC" w:rsidRPr="003017EE">
        <w:t xml:space="preserve"> accountable entity or</w:t>
      </w:r>
      <w:r w:rsidR="000B3168" w:rsidRPr="003017EE">
        <w:t xml:space="preserve"> a</w:t>
      </w:r>
      <w:r w:rsidR="002B47FC" w:rsidRPr="003017EE">
        <w:t xml:space="preserve"> significant related entity </w:t>
      </w:r>
      <w:r w:rsidR="00797F78" w:rsidRPr="003017EE">
        <w:t xml:space="preserve">of that accountable entity </w:t>
      </w:r>
      <w:r w:rsidR="002B47FC" w:rsidRPr="003017EE">
        <w:t xml:space="preserve">under the </w:t>
      </w:r>
      <w:r w:rsidR="568247B2" w:rsidRPr="003017EE">
        <w:t>FAR Act</w:t>
      </w:r>
      <w:r w:rsidR="002B47FC" w:rsidRPr="003017EE">
        <w:t>.</w:t>
      </w:r>
      <w:r w:rsidRPr="003017EE">
        <w:t xml:space="preserve"> The information </w:t>
      </w:r>
      <w:r w:rsidR="00797F78" w:rsidRPr="003017EE">
        <w:t xml:space="preserve">which must </w:t>
      </w:r>
      <w:r w:rsidRPr="003017EE">
        <w:t xml:space="preserve">be </w:t>
      </w:r>
      <w:r w:rsidR="00797F78" w:rsidRPr="003017EE">
        <w:t>provided</w:t>
      </w:r>
      <w:r w:rsidRPr="003017EE">
        <w:t xml:space="preserve"> is separated into five categories: personal identification details, employment status, reporting lines, responsibilities information and key functions information.</w:t>
      </w:r>
    </w:p>
    <w:p w14:paraId="309058C6" w14:textId="1427D775" w:rsidR="002B47FC" w:rsidRPr="003017EE" w:rsidRDefault="00486241" w:rsidP="002B47FC">
      <w:pPr>
        <w:pStyle w:val="LI-BodyTextNumbered"/>
        <w:numPr>
          <w:ilvl w:val="0"/>
          <w:numId w:val="0"/>
        </w:numPr>
        <w:ind w:left="567" w:hanging="567"/>
      </w:pPr>
      <w:r w:rsidRPr="003017EE">
        <w:t>8</w:t>
      </w:r>
      <w:r w:rsidR="002B47FC" w:rsidRPr="003017EE">
        <w:t xml:space="preserve">. </w:t>
      </w:r>
      <w:r w:rsidR="002B47FC" w:rsidRPr="003017EE">
        <w:tab/>
        <w:t xml:space="preserve">Section 6(3) </w:t>
      </w:r>
      <w:r w:rsidR="00271FC3" w:rsidRPr="003017EE">
        <w:t xml:space="preserve">of Part 2 of the instrument </w:t>
      </w:r>
      <w:r w:rsidR="002B47FC" w:rsidRPr="003017EE">
        <w:t>requires the</w:t>
      </w:r>
      <w:r w:rsidR="00797F78" w:rsidRPr="003017EE">
        <w:t xml:space="preserve"> prescribed</w:t>
      </w:r>
      <w:r w:rsidR="002B47FC" w:rsidRPr="003017EE">
        <w:t xml:space="preserve"> information </w:t>
      </w:r>
      <w:r w:rsidR="00797F78" w:rsidRPr="003017EE">
        <w:t>to</w:t>
      </w:r>
      <w:r w:rsidR="002B47FC" w:rsidRPr="003017EE">
        <w:t xml:space="preserve"> be provided </w:t>
      </w:r>
      <w:r w:rsidR="00EB2079" w:rsidRPr="003017EE">
        <w:t xml:space="preserve">to the Regulators </w:t>
      </w:r>
      <w:r w:rsidR="002B47FC" w:rsidRPr="003017EE">
        <w:t>by completing and submitting the electronic notification form</w:t>
      </w:r>
      <w:r w:rsidR="00797F78" w:rsidRPr="003017EE">
        <w:t xml:space="preserve"> which is made available by APRA</w:t>
      </w:r>
      <w:r w:rsidR="002B47FC" w:rsidRPr="003017EE">
        <w:t xml:space="preserve"> in APRA Connect</w:t>
      </w:r>
      <w:r w:rsidR="00797F78" w:rsidRPr="003017EE">
        <w:t xml:space="preserve"> for this purpose</w:t>
      </w:r>
      <w:r w:rsidR="002B47FC" w:rsidRPr="003017EE">
        <w:t xml:space="preserve">. </w:t>
      </w:r>
    </w:p>
    <w:p w14:paraId="18894F61" w14:textId="4733DE67" w:rsidR="00C45B7D" w:rsidRPr="003017EE" w:rsidRDefault="00486241" w:rsidP="00E847DF">
      <w:pPr>
        <w:pStyle w:val="LI-BodyTextNumbered"/>
        <w:numPr>
          <w:ilvl w:val="0"/>
          <w:numId w:val="0"/>
        </w:numPr>
        <w:ind w:left="567" w:hanging="567"/>
      </w:pPr>
      <w:r w:rsidRPr="003017EE">
        <w:t>9</w:t>
      </w:r>
      <w:r w:rsidR="00CB2E85" w:rsidRPr="003017EE">
        <w:t xml:space="preserve">. </w:t>
      </w:r>
      <w:r w:rsidR="002364A0" w:rsidRPr="003017EE">
        <w:tab/>
      </w:r>
      <w:r w:rsidR="00C45B7D" w:rsidRPr="003017EE">
        <w:t>Paragraphs 6(</w:t>
      </w:r>
      <w:r w:rsidR="00E86F40" w:rsidRPr="003017EE">
        <w:t>2)(a)-(</w:t>
      </w:r>
      <w:r w:rsidR="00426F20" w:rsidRPr="003017EE">
        <w:t>h</w:t>
      </w:r>
      <w:r w:rsidR="00E86F40" w:rsidRPr="003017EE">
        <w:t xml:space="preserve">) of Part 2 of the instrument prescribe </w:t>
      </w:r>
      <w:r w:rsidR="009B6F90" w:rsidRPr="003017EE">
        <w:t>as information which must be provided</w:t>
      </w:r>
      <w:r w:rsidR="00550C71" w:rsidRPr="003017EE">
        <w:t>:</w:t>
      </w:r>
      <w:r w:rsidR="00426F20" w:rsidRPr="003017EE">
        <w:t xml:space="preserve"> specific personal information, employment status information, reporting line information and </w:t>
      </w:r>
      <w:r w:rsidR="006607AB" w:rsidRPr="003017EE">
        <w:t xml:space="preserve">responsibilities information. </w:t>
      </w:r>
    </w:p>
    <w:p w14:paraId="5293243F" w14:textId="1C0CEC16" w:rsidR="004904D4" w:rsidRPr="009807E5" w:rsidRDefault="00B76F55" w:rsidP="00B76F55">
      <w:pPr>
        <w:pStyle w:val="LI-BodyTextNumbered"/>
        <w:numPr>
          <w:ilvl w:val="0"/>
          <w:numId w:val="0"/>
        </w:numPr>
        <w:ind w:left="567" w:hanging="567"/>
        <w:rPr>
          <w:i/>
          <w:iCs/>
        </w:rPr>
      </w:pPr>
      <w:r w:rsidRPr="003017EE">
        <w:rPr>
          <w:i/>
          <w:iCs/>
        </w:rPr>
        <w:t>Key functions information</w:t>
      </w:r>
    </w:p>
    <w:p w14:paraId="5658156F" w14:textId="3FDFE265" w:rsidR="00E847DF" w:rsidRPr="009807E5" w:rsidRDefault="00C45B7D" w:rsidP="00E847DF">
      <w:pPr>
        <w:pStyle w:val="LI-BodyTextNumbered"/>
        <w:numPr>
          <w:ilvl w:val="0"/>
          <w:numId w:val="0"/>
        </w:numPr>
        <w:ind w:left="567" w:hanging="567"/>
      </w:pPr>
      <w:r w:rsidRPr="009807E5">
        <w:t>10.</w:t>
      </w:r>
      <w:r w:rsidRPr="009807E5">
        <w:tab/>
      </w:r>
      <w:r w:rsidR="00E847DF" w:rsidRPr="009807E5">
        <w:t>Paragraphs 6(2)(</w:t>
      </w:r>
      <w:proofErr w:type="spellStart"/>
      <w:r w:rsidR="00E847DF" w:rsidRPr="009807E5">
        <w:t>i</w:t>
      </w:r>
      <w:proofErr w:type="spellEnd"/>
      <w:r w:rsidR="00E847DF" w:rsidRPr="009807E5">
        <w:t xml:space="preserve">) – (j) </w:t>
      </w:r>
      <w:r w:rsidR="00271FC3" w:rsidRPr="009807E5">
        <w:t xml:space="preserve">of Part 2 of the instrument </w:t>
      </w:r>
      <w:r w:rsidR="00E847DF" w:rsidRPr="009807E5">
        <w:t xml:space="preserve">prescribe </w:t>
      </w:r>
      <w:r w:rsidR="00271FC3" w:rsidRPr="009807E5">
        <w:t xml:space="preserve">as information which must be provided to the Regulators </w:t>
      </w:r>
      <w:r w:rsidR="00E847DF" w:rsidRPr="009807E5">
        <w:t>each ADI Key Function (if any) of a</w:t>
      </w:r>
      <w:r w:rsidR="003E63D5" w:rsidRPr="009807E5">
        <w:t>n</w:t>
      </w:r>
      <w:r w:rsidR="00E47AE7" w:rsidRPr="009807E5">
        <w:t xml:space="preserve"> </w:t>
      </w:r>
      <w:r w:rsidR="00E847DF" w:rsidRPr="009807E5">
        <w:t xml:space="preserve">accountable person and the date the accountable person assumed responsibility for </w:t>
      </w:r>
      <w:r w:rsidR="00E47AE7" w:rsidRPr="009807E5">
        <w:t>each</w:t>
      </w:r>
      <w:r w:rsidR="00E847DF" w:rsidRPr="009807E5">
        <w:t xml:space="preserve"> ADI Key Function (if applicable).</w:t>
      </w:r>
    </w:p>
    <w:p w14:paraId="48F3D9B1" w14:textId="3CDA82F6" w:rsidR="00AE4609" w:rsidRPr="009807E5" w:rsidRDefault="00E847DF" w:rsidP="009E2A42">
      <w:pPr>
        <w:pStyle w:val="LI-BodyTextNumbered"/>
        <w:numPr>
          <w:ilvl w:val="0"/>
          <w:numId w:val="0"/>
        </w:numPr>
        <w:ind w:left="567" w:hanging="567"/>
      </w:pPr>
      <w:r w:rsidRPr="009807E5">
        <w:t>1</w:t>
      </w:r>
      <w:r w:rsidR="00DC261A" w:rsidRPr="009807E5">
        <w:t>1</w:t>
      </w:r>
      <w:r w:rsidRPr="009807E5">
        <w:t>.</w:t>
      </w:r>
      <w:r w:rsidRPr="009807E5">
        <w:tab/>
      </w:r>
      <w:r w:rsidR="00E47AE7" w:rsidRPr="009807E5">
        <w:t xml:space="preserve">The term “ADI Key Function” is defined in section </w:t>
      </w:r>
      <w:r w:rsidR="00EB2079" w:rsidRPr="009807E5">
        <w:t>5</w:t>
      </w:r>
      <w:r w:rsidR="00E47AE7" w:rsidRPr="009807E5">
        <w:t xml:space="preserve"> of </w:t>
      </w:r>
      <w:r w:rsidR="00CB2E85" w:rsidRPr="009807E5">
        <w:t>Part 1 of the instrument</w:t>
      </w:r>
      <w:r w:rsidR="00AE4609" w:rsidRPr="009807E5">
        <w:t xml:space="preserve">. </w:t>
      </w:r>
      <w:r w:rsidR="00E47AE7" w:rsidRPr="009807E5">
        <w:t>Relevant i</w:t>
      </w:r>
      <w:r w:rsidR="00AE4609" w:rsidRPr="009807E5">
        <w:t xml:space="preserve">nformation regarding </w:t>
      </w:r>
      <w:r w:rsidR="00D049F3" w:rsidRPr="009807E5">
        <w:t>an</w:t>
      </w:r>
      <w:r w:rsidR="00AE4609" w:rsidRPr="009807E5">
        <w:t xml:space="preserve"> ADI Key Function is only required to be provided where:  </w:t>
      </w:r>
    </w:p>
    <w:p w14:paraId="51FB5CF7" w14:textId="492958C9" w:rsidR="00AE4609" w:rsidRPr="009807E5" w:rsidRDefault="00AE4609" w:rsidP="009E2A42">
      <w:pPr>
        <w:pStyle w:val="LI-BodyTextNumbered"/>
        <w:numPr>
          <w:ilvl w:val="0"/>
          <w:numId w:val="0"/>
        </w:numPr>
        <w:ind w:left="1437" w:hanging="870"/>
      </w:pPr>
      <w:r w:rsidRPr="009807E5">
        <w:t xml:space="preserve">(a) </w:t>
      </w:r>
      <w:r w:rsidRPr="009807E5">
        <w:tab/>
        <w:t xml:space="preserve">an </w:t>
      </w:r>
      <w:r w:rsidR="00E47AE7" w:rsidRPr="009807E5">
        <w:t xml:space="preserve">accountable entity which is an </w:t>
      </w:r>
      <w:r w:rsidRPr="009807E5">
        <w:t xml:space="preserve">ADI undertakes </w:t>
      </w:r>
      <w:r w:rsidR="001E6264" w:rsidRPr="009807E5">
        <w:t>the</w:t>
      </w:r>
      <w:r w:rsidRPr="009807E5">
        <w:t xml:space="preserve"> ADI Key Function; and  </w:t>
      </w:r>
    </w:p>
    <w:p w14:paraId="26C4DC92" w14:textId="6E5CE9C9" w:rsidR="00AE4609" w:rsidRPr="009807E5" w:rsidRDefault="00AE4609" w:rsidP="009E2A42">
      <w:pPr>
        <w:pStyle w:val="LI-BodyTextNumbered"/>
        <w:numPr>
          <w:ilvl w:val="0"/>
          <w:numId w:val="0"/>
        </w:numPr>
        <w:ind w:left="1437" w:hanging="870"/>
      </w:pPr>
      <w:r w:rsidRPr="009807E5">
        <w:lastRenderedPageBreak/>
        <w:t xml:space="preserve">(b) </w:t>
      </w:r>
      <w:r w:rsidRPr="009807E5">
        <w:tab/>
        <w:t xml:space="preserve">a person who is determined to be an accountable person in accordance with the </w:t>
      </w:r>
      <w:r w:rsidR="16130E70" w:rsidRPr="009807E5">
        <w:t xml:space="preserve">FAR </w:t>
      </w:r>
      <w:r w:rsidRPr="009807E5">
        <w:t xml:space="preserve">Act has actual or effective senior executive responsibility for management or control of the whole of, or a significant or substantial part or aspect of, </w:t>
      </w:r>
      <w:r w:rsidR="00D049F3" w:rsidRPr="009807E5">
        <w:t>the</w:t>
      </w:r>
      <w:r w:rsidRPr="009807E5">
        <w:t xml:space="preserve"> ADI Key Function. </w:t>
      </w:r>
    </w:p>
    <w:p w14:paraId="161A4102" w14:textId="1FDA6FE3" w:rsidR="006436EB" w:rsidRPr="009807E5" w:rsidRDefault="00AE4609">
      <w:pPr>
        <w:pStyle w:val="LI-BodyTextNumbered"/>
        <w:numPr>
          <w:ilvl w:val="0"/>
          <w:numId w:val="0"/>
        </w:numPr>
        <w:ind w:left="567"/>
      </w:pPr>
      <w:r w:rsidRPr="009807E5">
        <w:t xml:space="preserve">The instrument does not require a relevant accountable entity to undertake each </w:t>
      </w:r>
      <w:r w:rsidR="00D049F3" w:rsidRPr="009807E5">
        <w:t>ADI K</w:t>
      </w:r>
      <w:r w:rsidR="00EF2614" w:rsidRPr="009807E5">
        <w:t xml:space="preserve">ey </w:t>
      </w:r>
      <w:r w:rsidR="00D049F3" w:rsidRPr="009807E5">
        <w:t>F</w:t>
      </w:r>
      <w:r w:rsidR="00EF2614" w:rsidRPr="009807E5">
        <w:t>unction</w:t>
      </w:r>
      <w:r w:rsidRPr="009807E5">
        <w:t xml:space="preserve"> or to assign each </w:t>
      </w:r>
      <w:r w:rsidR="00D049F3" w:rsidRPr="009807E5">
        <w:t>ADI K</w:t>
      </w:r>
      <w:r w:rsidR="00EF2614" w:rsidRPr="009807E5">
        <w:t xml:space="preserve">ey </w:t>
      </w:r>
      <w:r w:rsidR="00D049F3" w:rsidRPr="009807E5">
        <w:t>F</w:t>
      </w:r>
      <w:r w:rsidR="00EF2614" w:rsidRPr="009807E5">
        <w:t>unction</w:t>
      </w:r>
      <w:r w:rsidRPr="009807E5">
        <w:t xml:space="preserve"> to an accountable person.   </w:t>
      </w:r>
      <w:r w:rsidR="00CB2E85" w:rsidRPr="009807E5">
        <w:t xml:space="preserve"> </w:t>
      </w:r>
    </w:p>
    <w:p w14:paraId="08575A48" w14:textId="44849F3E" w:rsidR="00CD3ED4" w:rsidRPr="009807E5" w:rsidRDefault="002364A0" w:rsidP="00C61FE8">
      <w:pPr>
        <w:pStyle w:val="LI-BodyTextNumbered"/>
        <w:numPr>
          <w:ilvl w:val="0"/>
          <w:numId w:val="0"/>
        </w:numPr>
        <w:ind w:left="567" w:hanging="567"/>
      </w:pPr>
      <w:r w:rsidRPr="009807E5">
        <w:t>1</w:t>
      </w:r>
      <w:r w:rsidR="00DC261A" w:rsidRPr="009807E5">
        <w:t>2</w:t>
      </w:r>
      <w:r w:rsidR="006436EB" w:rsidRPr="009807E5">
        <w:t xml:space="preserve">. </w:t>
      </w:r>
      <w:r w:rsidRPr="009807E5">
        <w:tab/>
      </w:r>
      <w:r w:rsidR="00CD3ED4" w:rsidRPr="009807E5">
        <w:t>T</w:t>
      </w:r>
      <w:r w:rsidR="004913AE" w:rsidRPr="009807E5">
        <w:t xml:space="preserve">he concept of </w:t>
      </w:r>
      <w:r w:rsidR="00D049F3" w:rsidRPr="009807E5">
        <w:t>ADI K</w:t>
      </w:r>
      <w:r w:rsidR="004913AE" w:rsidRPr="009807E5">
        <w:t xml:space="preserve">ey </w:t>
      </w:r>
      <w:r w:rsidR="00D049F3" w:rsidRPr="009807E5">
        <w:t>F</w:t>
      </w:r>
      <w:r w:rsidR="004913AE" w:rsidRPr="009807E5">
        <w:t xml:space="preserve">unctions does not expand the definition or scope of responsibilities of accountable persons under the </w:t>
      </w:r>
      <w:r w:rsidR="41B66AA0" w:rsidRPr="009807E5">
        <w:t>FAR</w:t>
      </w:r>
      <w:r w:rsidR="004913AE" w:rsidRPr="009807E5">
        <w:t xml:space="preserve"> Act. </w:t>
      </w:r>
      <w:r w:rsidR="00FC7932" w:rsidRPr="009807E5">
        <w:t xml:space="preserve">The </w:t>
      </w:r>
      <w:r w:rsidR="0087060A" w:rsidRPr="009807E5">
        <w:t>provision of i</w:t>
      </w:r>
      <w:r w:rsidR="00FC7932" w:rsidRPr="009807E5">
        <w:t xml:space="preserve">nformation regarding ADI </w:t>
      </w:r>
      <w:r w:rsidR="004913AE" w:rsidRPr="009807E5">
        <w:t xml:space="preserve">Key </w:t>
      </w:r>
      <w:r w:rsidR="00FC7932" w:rsidRPr="009807E5">
        <w:t>F</w:t>
      </w:r>
      <w:r w:rsidR="004913AE" w:rsidRPr="009807E5">
        <w:t xml:space="preserve">unctions </w:t>
      </w:r>
      <w:r w:rsidR="00FC7932" w:rsidRPr="009807E5">
        <w:t>will assist</w:t>
      </w:r>
      <w:r w:rsidR="004913AE" w:rsidRPr="009807E5">
        <w:t xml:space="preserve"> the Regulators </w:t>
      </w:r>
      <w:r w:rsidR="00FC7932" w:rsidRPr="009807E5">
        <w:t xml:space="preserve">in </w:t>
      </w:r>
      <w:r w:rsidR="004913AE" w:rsidRPr="009807E5">
        <w:t>assess</w:t>
      </w:r>
      <w:r w:rsidR="00FC7932" w:rsidRPr="009807E5">
        <w:t>ing</w:t>
      </w:r>
      <w:r w:rsidR="004913AE" w:rsidRPr="009807E5">
        <w:t xml:space="preserve"> </w:t>
      </w:r>
      <w:r w:rsidR="00FC7932" w:rsidRPr="009807E5">
        <w:t>a relevant</w:t>
      </w:r>
      <w:r w:rsidR="004913AE" w:rsidRPr="009807E5">
        <w:t xml:space="preserve"> accountable entit</w:t>
      </w:r>
      <w:r w:rsidR="00FC7932" w:rsidRPr="009807E5">
        <w:t>y’s</w:t>
      </w:r>
      <w:r w:rsidR="004913AE" w:rsidRPr="009807E5">
        <w:t xml:space="preserve"> </w:t>
      </w:r>
      <w:r w:rsidR="00FC7932" w:rsidRPr="009807E5">
        <w:t xml:space="preserve">compliance with its obligation under </w:t>
      </w:r>
      <w:r w:rsidR="00741884" w:rsidRPr="009807E5">
        <w:t>paragraph</w:t>
      </w:r>
      <w:r w:rsidR="00FC7932" w:rsidRPr="009807E5">
        <w:t xml:space="preserve"> 23(1)(a) of the FAR Act</w:t>
      </w:r>
      <w:r w:rsidR="004913AE" w:rsidRPr="009807E5">
        <w:t>.</w:t>
      </w:r>
    </w:p>
    <w:p w14:paraId="28DDF252" w14:textId="2F222494" w:rsidR="00816129" w:rsidRPr="009807E5" w:rsidRDefault="002364A0" w:rsidP="00816129">
      <w:pPr>
        <w:pStyle w:val="LI-BodyTextNumbered"/>
        <w:numPr>
          <w:ilvl w:val="0"/>
          <w:numId w:val="0"/>
        </w:numPr>
        <w:ind w:left="567" w:hanging="567"/>
      </w:pPr>
      <w:r w:rsidRPr="009807E5">
        <w:t>1</w:t>
      </w:r>
      <w:r w:rsidR="00DC261A" w:rsidRPr="009807E5">
        <w:t>3</w:t>
      </w:r>
      <w:r w:rsidR="003247FE" w:rsidRPr="009807E5">
        <w:t xml:space="preserve">. </w:t>
      </w:r>
      <w:r w:rsidRPr="009807E5">
        <w:tab/>
      </w:r>
      <w:r w:rsidR="0076366F" w:rsidRPr="009807E5">
        <w:t>Relevant information in respect of ADI Key Functions should</w:t>
      </w:r>
      <w:r w:rsidR="004913AE" w:rsidRPr="009807E5">
        <w:t xml:space="preserve"> reflect actual practices. </w:t>
      </w:r>
      <w:r w:rsidR="0076366F" w:rsidRPr="009807E5">
        <w:t>For example, o</w:t>
      </w:r>
      <w:r w:rsidR="004913AE" w:rsidRPr="009807E5">
        <w:t>ne accountable person may</w:t>
      </w:r>
      <w:r w:rsidR="0076366F" w:rsidRPr="009807E5">
        <w:t xml:space="preserve"> not</w:t>
      </w:r>
      <w:r w:rsidR="004913AE" w:rsidRPr="009807E5">
        <w:t xml:space="preserve"> have </w:t>
      </w:r>
      <w:r w:rsidR="0076366F" w:rsidRPr="009807E5">
        <w:t xml:space="preserve">the requisite level of responsibility </w:t>
      </w:r>
      <w:r w:rsidR="00C3725B" w:rsidRPr="009807E5">
        <w:t>for any applicable ADI</w:t>
      </w:r>
      <w:r w:rsidR="004913AE" w:rsidRPr="009807E5">
        <w:t xml:space="preserve"> </w:t>
      </w:r>
      <w:r w:rsidR="00C3725B" w:rsidRPr="009807E5">
        <w:t>K</w:t>
      </w:r>
      <w:r w:rsidR="004913AE" w:rsidRPr="009807E5">
        <w:t xml:space="preserve">ey </w:t>
      </w:r>
      <w:r w:rsidR="00C3725B" w:rsidRPr="009807E5">
        <w:t>F</w:t>
      </w:r>
      <w:r w:rsidR="004913AE" w:rsidRPr="009807E5">
        <w:t>unctions, while another accountable person may have</w:t>
      </w:r>
      <w:r w:rsidR="00C3725B" w:rsidRPr="009807E5">
        <w:t xml:space="preserve"> the requisite level of responsibility for</w:t>
      </w:r>
      <w:r w:rsidR="004913AE" w:rsidRPr="009807E5">
        <w:t xml:space="preserve"> multiple </w:t>
      </w:r>
      <w:r w:rsidR="00C3725B" w:rsidRPr="009807E5">
        <w:t>applicable ADI K</w:t>
      </w:r>
      <w:r w:rsidR="004913AE" w:rsidRPr="009807E5">
        <w:t xml:space="preserve">ey </w:t>
      </w:r>
      <w:r w:rsidR="00C3725B" w:rsidRPr="009807E5">
        <w:t>F</w:t>
      </w:r>
      <w:r w:rsidR="004913AE" w:rsidRPr="009807E5">
        <w:t>unctions.</w:t>
      </w:r>
    </w:p>
    <w:p w14:paraId="0E8FC57A" w14:textId="2C404115" w:rsidR="00816129" w:rsidRPr="009807E5" w:rsidRDefault="00EF2614" w:rsidP="0022695C">
      <w:pPr>
        <w:pStyle w:val="LI-BodyTextNumbered"/>
        <w:numPr>
          <w:ilvl w:val="0"/>
          <w:numId w:val="0"/>
        </w:numPr>
        <w:ind w:left="567" w:hanging="567"/>
      </w:pPr>
      <w:r w:rsidRPr="009807E5">
        <w:t>1</w:t>
      </w:r>
      <w:r w:rsidR="00DC261A" w:rsidRPr="009807E5">
        <w:t>4</w:t>
      </w:r>
      <w:r w:rsidR="003247FE" w:rsidRPr="009807E5">
        <w:t xml:space="preserve">. </w:t>
      </w:r>
      <w:r w:rsidRPr="009807E5">
        <w:tab/>
      </w:r>
      <w:r w:rsidR="004913AE" w:rsidRPr="009807E5">
        <w:t>Accountable entities can</w:t>
      </w:r>
      <w:r w:rsidR="00C3725B" w:rsidRPr="009807E5">
        <w:t xml:space="preserve"> also</w:t>
      </w:r>
      <w:r w:rsidR="004913AE" w:rsidRPr="009807E5">
        <w:t xml:space="preserve"> assign a</w:t>
      </w:r>
      <w:r w:rsidR="00C3725B" w:rsidRPr="009807E5">
        <w:t>n applicable ADI</w:t>
      </w:r>
      <w:r w:rsidR="004913AE" w:rsidRPr="009807E5">
        <w:t xml:space="preserve"> </w:t>
      </w:r>
      <w:r w:rsidR="00C3725B" w:rsidRPr="009807E5">
        <w:t>K</w:t>
      </w:r>
      <w:r w:rsidR="004913AE" w:rsidRPr="009807E5">
        <w:t xml:space="preserve">ey </w:t>
      </w:r>
      <w:r w:rsidR="00C3725B" w:rsidRPr="009807E5">
        <w:t>F</w:t>
      </w:r>
      <w:r w:rsidR="004913AE" w:rsidRPr="009807E5">
        <w:t xml:space="preserve">unction to more than one accountable person if </w:t>
      </w:r>
      <w:r w:rsidR="00C3725B" w:rsidRPr="009807E5">
        <w:t>those accountable persons have the requisite level of responsibility for different aspects of the ADI Key Function</w:t>
      </w:r>
      <w:r w:rsidR="00C75ABD" w:rsidRPr="009807E5">
        <w:t>.</w:t>
      </w:r>
    </w:p>
    <w:p w14:paraId="1241DE46" w14:textId="4C9609F2" w:rsidR="0022695C" w:rsidRPr="009807E5" w:rsidRDefault="00B13002" w:rsidP="00B51043">
      <w:pPr>
        <w:pStyle w:val="LI-BodyTextNumbered"/>
        <w:numPr>
          <w:ilvl w:val="0"/>
          <w:numId w:val="0"/>
        </w:numPr>
        <w:ind w:left="567" w:hanging="567"/>
        <w:rPr>
          <w:bCs/>
          <w:i/>
        </w:rPr>
      </w:pPr>
      <w:r w:rsidRPr="009807E5">
        <w:rPr>
          <w:bCs/>
          <w:i/>
        </w:rPr>
        <w:t xml:space="preserve">References </w:t>
      </w:r>
      <w:r w:rsidR="000D6E0A" w:rsidRPr="009807E5">
        <w:rPr>
          <w:bCs/>
          <w:i/>
        </w:rPr>
        <w:t>in definitions</w:t>
      </w:r>
    </w:p>
    <w:p w14:paraId="03F8F063" w14:textId="1289BEFD" w:rsidR="0022695C" w:rsidRPr="009807E5" w:rsidRDefault="00816129" w:rsidP="00B51043">
      <w:pPr>
        <w:spacing w:before="240"/>
        <w:ind w:left="567" w:hanging="567"/>
        <w:rPr>
          <w:sz w:val="24"/>
        </w:rPr>
      </w:pPr>
      <w:r w:rsidRPr="009807E5">
        <w:rPr>
          <w:sz w:val="24"/>
          <w:szCs w:val="22"/>
        </w:rPr>
        <w:t>1</w:t>
      </w:r>
      <w:r w:rsidR="000726C0" w:rsidRPr="009807E5">
        <w:rPr>
          <w:sz w:val="24"/>
          <w:szCs w:val="22"/>
        </w:rPr>
        <w:t>5</w:t>
      </w:r>
      <w:r w:rsidRPr="009807E5">
        <w:rPr>
          <w:sz w:val="24"/>
          <w:szCs w:val="22"/>
        </w:rPr>
        <w:t xml:space="preserve">. </w:t>
      </w:r>
      <w:r w:rsidRPr="009807E5">
        <w:rPr>
          <w:sz w:val="24"/>
          <w:szCs w:val="22"/>
        </w:rPr>
        <w:tab/>
      </w:r>
      <w:r w:rsidR="009B7DA4" w:rsidRPr="009807E5">
        <w:rPr>
          <w:sz w:val="24"/>
          <w:szCs w:val="22"/>
        </w:rPr>
        <w:t>T</w:t>
      </w:r>
      <w:r w:rsidR="0022695C" w:rsidRPr="009807E5">
        <w:rPr>
          <w:sz w:val="24"/>
          <w:szCs w:val="22"/>
        </w:rPr>
        <w:t xml:space="preserve">he instrument </w:t>
      </w:r>
      <w:r w:rsidR="000D6E0A" w:rsidRPr="009807E5">
        <w:rPr>
          <w:sz w:val="24"/>
          <w:szCs w:val="22"/>
        </w:rPr>
        <w:t xml:space="preserve">refers to </w:t>
      </w:r>
      <w:r w:rsidR="007E4497" w:rsidRPr="009807E5">
        <w:rPr>
          <w:sz w:val="24"/>
          <w:szCs w:val="22"/>
        </w:rPr>
        <w:t xml:space="preserve">definitions contained in the following </w:t>
      </w:r>
      <w:r w:rsidR="00261C08" w:rsidRPr="009807E5">
        <w:rPr>
          <w:sz w:val="24"/>
          <w:szCs w:val="22"/>
        </w:rPr>
        <w:t xml:space="preserve">statutes </w:t>
      </w:r>
      <w:r w:rsidR="0022695C" w:rsidRPr="009807E5">
        <w:rPr>
          <w:sz w:val="24"/>
          <w:szCs w:val="22"/>
        </w:rPr>
        <w:t>as in force from time to time:</w:t>
      </w:r>
    </w:p>
    <w:p w14:paraId="00A165E0" w14:textId="6C5E71F3" w:rsidR="009433A3" w:rsidRPr="009807E5" w:rsidRDefault="00804866" w:rsidP="00374993">
      <w:pPr>
        <w:pStyle w:val="NormalWeb"/>
        <w:numPr>
          <w:ilvl w:val="0"/>
          <w:numId w:val="20"/>
        </w:numPr>
        <w:spacing w:before="240"/>
        <w:ind w:left="1418" w:hanging="851"/>
        <w:rPr>
          <w:rFonts w:ascii="Times New Roman" w:hAnsi="Times New Roman"/>
          <w:sz w:val="24"/>
          <w:szCs w:val="24"/>
        </w:rPr>
      </w:pPr>
      <w:r w:rsidRPr="009807E5">
        <w:rPr>
          <w:rFonts w:ascii="Times New Roman" w:hAnsi="Times New Roman"/>
          <w:sz w:val="24"/>
          <w:szCs w:val="24"/>
        </w:rPr>
        <w:t xml:space="preserve">the </w:t>
      </w:r>
      <w:proofErr w:type="gramStart"/>
      <w:r w:rsidRPr="009807E5">
        <w:rPr>
          <w:rFonts w:ascii="Times New Roman" w:hAnsi="Times New Roman"/>
          <w:sz w:val="24"/>
          <w:szCs w:val="24"/>
        </w:rPr>
        <w:t>Act;</w:t>
      </w:r>
      <w:proofErr w:type="gramEnd"/>
    </w:p>
    <w:p w14:paraId="7F7B33DA" w14:textId="7936330E" w:rsidR="0022695C" w:rsidRPr="009807E5" w:rsidRDefault="0022695C" w:rsidP="00B51043">
      <w:pPr>
        <w:pStyle w:val="NormalWeb"/>
        <w:numPr>
          <w:ilvl w:val="0"/>
          <w:numId w:val="20"/>
        </w:numPr>
        <w:spacing w:before="240"/>
        <w:ind w:left="1418" w:hanging="851"/>
        <w:rPr>
          <w:rFonts w:ascii="Times New Roman" w:hAnsi="Times New Roman"/>
          <w:sz w:val="24"/>
          <w:szCs w:val="24"/>
        </w:rPr>
      </w:pPr>
      <w:r w:rsidRPr="009807E5">
        <w:rPr>
          <w:rFonts w:ascii="Times New Roman" w:hAnsi="Times New Roman"/>
          <w:i/>
          <w:sz w:val="24"/>
          <w:szCs w:val="24"/>
        </w:rPr>
        <w:t>Banking Act 1959</w:t>
      </w:r>
      <w:r w:rsidR="00374993" w:rsidRPr="009807E5">
        <w:rPr>
          <w:rFonts w:ascii="Times New Roman" w:hAnsi="Times New Roman"/>
          <w:i/>
          <w:sz w:val="24"/>
          <w:szCs w:val="24"/>
        </w:rPr>
        <w:t xml:space="preserve"> </w:t>
      </w:r>
      <w:r w:rsidR="00374993" w:rsidRPr="009807E5">
        <w:rPr>
          <w:rFonts w:ascii="Times New Roman" w:hAnsi="Times New Roman"/>
          <w:sz w:val="24"/>
          <w:szCs w:val="24"/>
        </w:rPr>
        <w:t>(</w:t>
      </w:r>
      <w:r w:rsidR="002C452A" w:rsidRPr="009807E5">
        <w:rPr>
          <w:rFonts w:ascii="Times New Roman" w:hAnsi="Times New Roman"/>
          <w:b/>
          <w:i/>
          <w:sz w:val="24"/>
          <w:szCs w:val="24"/>
        </w:rPr>
        <w:t xml:space="preserve">the </w:t>
      </w:r>
      <w:r w:rsidR="00374993" w:rsidRPr="009807E5">
        <w:rPr>
          <w:rFonts w:ascii="Times New Roman" w:hAnsi="Times New Roman"/>
          <w:b/>
          <w:i/>
          <w:sz w:val="24"/>
          <w:szCs w:val="24"/>
        </w:rPr>
        <w:t>Banking Act</w:t>
      </w:r>
      <w:r w:rsidR="00374993" w:rsidRPr="009807E5">
        <w:rPr>
          <w:rFonts w:ascii="Times New Roman" w:hAnsi="Times New Roman"/>
          <w:sz w:val="24"/>
          <w:szCs w:val="24"/>
        </w:rPr>
        <w:t>)</w:t>
      </w:r>
      <w:r w:rsidR="005D3531" w:rsidRPr="009807E5">
        <w:rPr>
          <w:rFonts w:ascii="Times New Roman" w:hAnsi="Times New Roman"/>
          <w:sz w:val="24"/>
          <w:szCs w:val="24"/>
        </w:rPr>
        <w:t>, except in rel</w:t>
      </w:r>
      <w:r w:rsidR="008F28E8" w:rsidRPr="009807E5">
        <w:rPr>
          <w:rFonts w:ascii="Times New Roman" w:hAnsi="Times New Roman"/>
          <w:sz w:val="24"/>
          <w:szCs w:val="24"/>
        </w:rPr>
        <w:t xml:space="preserve">ation to Part </w:t>
      </w:r>
      <w:proofErr w:type="spellStart"/>
      <w:r w:rsidR="008F28E8" w:rsidRPr="009807E5">
        <w:rPr>
          <w:rFonts w:ascii="Times New Roman" w:hAnsi="Times New Roman"/>
          <w:sz w:val="24"/>
          <w:szCs w:val="24"/>
        </w:rPr>
        <w:t>IIAA</w:t>
      </w:r>
      <w:proofErr w:type="spellEnd"/>
      <w:r w:rsidR="008F28E8" w:rsidRPr="009807E5">
        <w:rPr>
          <w:rFonts w:ascii="Times New Roman" w:hAnsi="Times New Roman"/>
          <w:sz w:val="24"/>
          <w:szCs w:val="24"/>
        </w:rPr>
        <w:t xml:space="preserve"> (see paragraph 1</w:t>
      </w:r>
      <w:r w:rsidR="007B0E84" w:rsidRPr="009807E5">
        <w:rPr>
          <w:rFonts w:ascii="Times New Roman" w:hAnsi="Times New Roman"/>
          <w:sz w:val="24"/>
          <w:szCs w:val="24"/>
        </w:rPr>
        <w:t>6</w:t>
      </w:r>
      <w:proofErr w:type="gramStart"/>
      <w:r w:rsidR="008F28E8" w:rsidRPr="009807E5">
        <w:rPr>
          <w:rFonts w:ascii="Times New Roman" w:hAnsi="Times New Roman"/>
          <w:sz w:val="24"/>
          <w:szCs w:val="24"/>
        </w:rPr>
        <w:t>)</w:t>
      </w:r>
      <w:r w:rsidRPr="009807E5">
        <w:rPr>
          <w:rFonts w:ascii="Times New Roman" w:hAnsi="Times New Roman"/>
          <w:sz w:val="24"/>
          <w:szCs w:val="24"/>
        </w:rPr>
        <w:t>;</w:t>
      </w:r>
      <w:proofErr w:type="gramEnd"/>
      <w:r w:rsidRPr="009807E5">
        <w:rPr>
          <w:rFonts w:ascii="Times New Roman" w:hAnsi="Times New Roman"/>
          <w:sz w:val="24"/>
          <w:szCs w:val="24"/>
        </w:rPr>
        <w:t xml:space="preserve"> </w:t>
      </w:r>
    </w:p>
    <w:p w14:paraId="34813313" w14:textId="5669B09E" w:rsidR="0022695C" w:rsidRPr="009807E5" w:rsidRDefault="0022695C" w:rsidP="00B51043">
      <w:pPr>
        <w:pStyle w:val="NormalWeb"/>
        <w:numPr>
          <w:ilvl w:val="0"/>
          <w:numId w:val="20"/>
        </w:numPr>
        <w:spacing w:before="240"/>
        <w:ind w:left="1418" w:hanging="851"/>
        <w:rPr>
          <w:rFonts w:ascii="Times New Roman" w:hAnsi="Times New Roman"/>
          <w:i/>
          <w:sz w:val="24"/>
          <w:szCs w:val="24"/>
        </w:rPr>
      </w:pPr>
      <w:r w:rsidRPr="009807E5">
        <w:rPr>
          <w:rFonts w:ascii="Times New Roman" w:hAnsi="Times New Roman"/>
          <w:i/>
          <w:sz w:val="24"/>
          <w:szCs w:val="24"/>
        </w:rPr>
        <w:t>Corporations Act 2001</w:t>
      </w:r>
      <w:r w:rsidR="00804866" w:rsidRPr="009807E5">
        <w:rPr>
          <w:rFonts w:ascii="Times New Roman" w:hAnsi="Times New Roman"/>
          <w:sz w:val="24"/>
          <w:szCs w:val="24"/>
        </w:rPr>
        <w:t>; and</w:t>
      </w:r>
    </w:p>
    <w:p w14:paraId="6C360D25" w14:textId="7C83431B" w:rsidR="0022695C" w:rsidRPr="009807E5" w:rsidRDefault="00CB556F" w:rsidP="00B51043">
      <w:pPr>
        <w:pStyle w:val="NormalWeb"/>
        <w:numPr>
          <w:ilvl w:val="0"/>
          <w:numId w:val="20"/>
        </w:numPr>
        <w:spacing w:before="240"/>
        <w:ind w:left="1418" w:hanging="851"/>
        <w:rPr>
          <w:rFonts w:ascii="Times New Roman" w:hAnsi="Times New Roman"/>
          <w:sz w:val="24"/>
          <w:szCs w:val="24"/>
        </w:rPr>
      </w:pPr>
      <w:r w:rsidRPr="009807E5">
        <w:rPr>
          <w:rFonts w:ascii="Times New Roman" w:hAnsi="Times New Roman"/>
          <w:sz w:val="24"/>
          <w:szCs w:val="24"/>
        </w:rPr>
        <w:t xml:space="preserve">the </w:t>
      </w:r>
      <w:r w:rsidR="002C452A" w:rsidRPr="009807E5">
        <w:rPr>
          <w:rFonts w:ascii="Times New Roman" w:hAnsi="Times New Roman"/>
          <w:sz w:val="24"/>
          <w:szCs w:val="24"/>
        </w:rPr>
        <w:t>FAR Act</w:t>
      </w:r>
      <w:r w:rsidR="00804866" w:rsidRPr="009807E5">
        <w:rPr>
          <w:rFonts w:ascii="Times New Roman" w:hAnsi="Times New Roman"/>
          <w:sz w:val="24"/>
          <w:szCs w:val="24"/>
        </w:rPr>
        <w:t>.</w:t>
      </w:r>
    </w:p>
    <w:p w14:paraId="70A3246C" w14:textId="04CF7F21" w:rsidR="0022695C" w:rsidRPr="009807E5" w:rsidRDefault="00374993" w:rsidP="00B51043">
      <w:pPr>
        <w:pStyle w:val="LI-BodyTextNumbered"/>
        <w:numPr>
          <w:ilvl w:val="0"/>
          <w:numId w:val="0"/>
        </w:numPr>
        <w:ind w:left="567" w:hanging="567"/>
      </w:pPr>
      <w:r w:rsidRPr="009807E5">
        <w:t>1</w:t>
      </w:r>
      <w:r w:rsidR="000726C0" w:rsidRPr="009807E5">
        <w:t>6</w:t>
      </w:r>
      <w:r w:rsidRPr="009807E5">
        <w:t xml:space="preserve">. </w:t>
      </w:r>
      <w:r w:rsidRPr="009807E5">
        <w:tab/>
      </w:r>
      <w:r w:rsidR="00081783" w:rsidRPr="009807E5">
        <w:t>T</w:t>
      </w:r>
      <w:r w:rsidR="0022695C" w:rsidRPr="009807E5">
        <w:t xml:space="preserve">he instrument </w:t>
      </w:r>
      <w:r w:rsidR="00080E6F" w:rsidRPr="009807E5">
        <w:t xml:space="preserve">also </w:t>
      </w:r>
      <w:r w:rsidR="000077E2" w:rsidRPr="009807E5">
        <w:t>refers to</w:t>
      </w:r>
      <w:r w:rsidR="0022695C" w:rsidRPr="009807E5">
        <w:t xml:space="preserve"> </w:t>
      </w:r>
      <w:r w:rsidR="00080E6F" w:rsidRPr="009807E5">
        <w:t xml:space="preserve">definitions in </w:t>
      </w:r>
      <w:r w:rsidR="0022695C" w:rsidRPr="009807E5">
        <w:t xml:space="preserve">Part </w:t>
      </w:r>
      <w:proofErr w:type="spellStart"/>
      <w:r w:rsidR="0022695C" w:rsidRPr="009807E5">
        <w:t>IIAA</w:t>
      </w:r>
      <w:proofErr w:type="spellEnd"/>
      <w:r w:rsidR="0022695C" w:rsidRPr="009807E5">
        <w:t xml:space="preserve"> of the Banking Act,</w:t>
      </w:r>
      <w:r w:rsidR="00080E6F" w:rsidRPr="009807E5">
        <w:t xml:space="preserve"> and where it does so</w:t>
      </w:r>
      <w:r w:rsidR="0022695C" w:rsidRPr="009807E5">
        <w:t xml:space="preserve"> the </w:t>
      </w:r>
      <w:r w:rsidR="00475B54" w:rsidRPr="009807E5">
        <w:t>P</w:t>
      </w:r>
      <w:r w:rsidR="0022695C" w:rsidRPr="009807E5">
        <w:t xml:space="preserve">art referred to is the </w:t>
      </w:r>
      <w:r w:rsidR="00D96CB9" w:rsidRPr="009807E5">
        <w:t>P</w:t>
      </w:r>
      <w:r w:rsidR="001D6ECC" w:rsidRPr="009807E5">
        <w:t xml:space="preserve">art which </w:t>
      </w:r>
      <w:r w:rsidR="00A05122" w:rsidRPr="009807E5">
        <w:t xml:space="preserve">is </w:t>
      </w:r>
      <w:r w:rsidR="001A6E80" w:rsidRPr="009807E5">
        <w:t>in force immediately before the banking start time</w:t>
      </w:r>
      <w:r w:rsidR="0022695C" w:rsidRPr="009807E5">
        <w:t>.</w:t>
      </w:r>
    </w:p>
    <w:p w14:paraId="3DB9374C" w14:textId="385D0D69" w:rsidR="0022695C" w:rsidRPr="009807E5" w:rsidRDefault="00CB556F" w:rsidP="00B51043">
      <w:pPr>
        <w:pStyle w:val="LI-BodyTextNumbered"/>
        <w:numPr>
          <w:ilvl w:val="0"/>
          <w:numId w:val="0"/>
        </w:numPr>
        <w:ind w:left="567" w:hanging="567"/>
      </w:pPr>
      <w:r w:rsidRPr="009807E5">
        <w:t>1</w:t>
      </w:r>
      <w:r w:rsidR="000726C0" w:rsidRPr="009807E5">
        <w:t>7</w:t>
      </w:r>
      <w:r w:rsidRPr="009807E5">
        <w:t xml:space="preserve">. </w:t>
      </w:r>
      <w:r w:rsidRPr="009807E5">
        <w:tab/>
      </w:r>
      <w:r w:rsidR="0022695C" w:rsidRPr="009807E5">
        <w:t xml:space="preserve">All </w:t>
      </w:r>
      <w:r w:rsidR="00080E6F" w:rsidRPr="009807E5">
        <w:t xml:space="preserve">statutes referred to </w:t>
      </w:r>
      <w:r w:rsidR="00102E5B" w:rsidRPr="009807E5">
        <w:t xml:space="preserve">in the instrument as specified in paragraphs 15 and 16 above </w:t>
      </w:r>
      <w:r w:rsidR="0022695C" w:rsidRPr="009807E5">
        <w:t>are available on the Federal Register of Legislation at www.legislation.gov.au.</w:t>
      </w:r>
    </w:p>
    <w:p w14:paraId="00750107" w14:textId="5D92117E" w:rsidR="009C087D" w:rsidRPr="009807E5" w:rsidRDefault="009C087D" w:rsidP="00B51043">
      <w:pPr>
        <w:pStyle w:val="LI-BodyTextNumbered"/>
        <w:numPr>
          <w:ilvl w:val="0"/>
          <w:numId w:val="0"/>
        </w:numPr>
        <w:ind w:left="567" w:hanging="567"/>
        <w:rPr>
          <w:b/>
          <w:bCs/>
        </w:rPr>
      </w:pPr>
      <w:r w:rsidRPr="009807E5">
        <w:rPr>
          <w:b/>
          <w:bCs/>
        </w:rPr>
        <w:t>Consultation</w:t>
      </w:r>
    </w:p>
    <w:p w14:paraId="2DD1E9DF" w14:textId="27DCE718" w:rsidR="009C087D" w:rsidRPr="009807E5" w:rsidRDefault="00EF2614" w:rsidP="00C61FE8">
      <w:pPr>
        <w:pStyle w:val="LI-BodyTextNumbered"/>
        <w:numPr>
          <w:ilvl w:val="0"/>
          <w:numId w:val="0"/>
        </w:numPr>
        <w:ind w:left="567" w:hanging="567"/>
      </w:pPr>
      <w:r w:rsidRPr="009807E5">
        <w:t>1</w:t>
      </w:r>
      <w:r w:rsidR="000726C0" w:rsidRPr="009807E5">
        <w:t>8</w:t>
      </w:r>
      <w:r w:rsidR="003247FE" w:rsidRPr="009807E5">
        <w:t>.</w:t>
      </w:r>
      <w:r w:rsidRPr="009807E5">
        <w:tab/>
      </w:r>
      <w:r w:rsidR="00E67BCF" w:rsidRPr="009807E5">
        <w:t xml:space="preserve">In making the instrument, </w:t>
      </w:r>
      <w:r w:rsidR="00631EF0" w:rsidRPr="009807E5">
        <w:t xml:space="preserve">the Regulators </w:t>
      </w:r>
      <w:r w:rsidR="00E67BCF" w:rsidRPr="009807E5">
        <w:t>undertook a public consultation</w:t>
      </w:r>
      <w:r w:rsidRPr="009807E5">
        <w:t xml:space="preserve"> between July</w:t>
      </w:r>
      <w:r w:rsidR="00150960" w:rsidRPr="009807E5">
        <w:t xml:space="preserve"> 2023</w:t>
      </w:r>
      <w:r w:rsidRPr="009807E5">
        <w:t xml:space="preserve"> and August 2023</w:t>
      </w:r>
      <w:r w:rsidR="00E67BCF" w:rsidRPr="009807E5">
        <w:t xml:space="preserve">. </w:t>
      </w:r>
      <w:r w:rsidR="0087060A" w:rsidRPr="009807E5">
        <w:t>The instrument was amended where appropriate to reflect the f</w:t>
      </w:r>
      <w:r w:rsidR="00C61FE8" w:rsidRPr="009807E5">
        <w:t>eedback received during the consultation</w:t>
      </w:r>
      <w:r w:rsidR="0087060A" w:rsidRPr="009807E5">
        <w:t>.</w:t>
      </w:r>
    </w:p>
    <w:p w14:paraId="106D33D4" w14:textId="6A0CCE14" w:rsidR="00682BCC" w:rsidRPr="009807E5" w:rsidRDefault="00533F9D" w:rsidP="009E2A42">
      <w:pPr>
        <w:pStyle w:val="LI-Heading2"/>
      </w:pPr>
      <w:r w:rsidRPr="009807E5">
        <w:lastRenderedPageBreak/>
        <w:t>Impact Analysis</w:t>
      </w:r>
      <w:r w:rsidR="00767FCF" w:rsidRPr="009807E5">
        <w:t xml:space="preserve"> </w:t>
      </w:r>
    </w:p>
    <w:p w14:paraId="4869FB4C" w14:textId="261C8DA1" w:rsidR="00682BCC" w:rsidRPr="009807E5" w:rsidRDefault="00CB2E85" w:rsidP="009E2A42">
      <w:pPr>
        <w:pStyle w:val="LI-BodyTextNumbered"/>
        <w:numPr>
          <w:ilvl w:val="0"/>
          <w:numId w:val="0"/>
        </w:numPr>
        <w:ind w:left="567" w:hanging="567"/>
      </w:pPr>
      <w:r w:rsidRPr="009807E5">
        <w:t>1</w:t>
      </w:r>
      <w:r w:rsidR="000726C0" w:rsidRPr="009807E5">
        <w:t>9</w:t>
      </w:r>
      <w:r w:rsidRPr="009807E5">
        <w:t xml:space="preserve">. </w:t>
      </w:r>
      <w:r w:rsidRPr="009807E5">
        <w:tab/>
      </w:r>
      <w:r w:rsidR="00682BCC" w:rsidRPr="009807E5">
        <w:t>The</w:t>
      </w:r>
      <w:r w:rsidR="00533F9D" w:rsidRPr="009807E5">
        <w:t xml:space="preserve"> Office of Best Practice Regulation (now known as</w:t>
      </w:r>
      <w:r w:rsidR="00682BCC" w:rsidRPr="009807E5">
        <w:t xml:space="preserve"> </w:t>
      </w:r>
      <w:r w:rsidR="00911131" w:rsidRPr="009807E5">
        <w:t>Office of Impact Analysis</w:t>
      </w:r>
      <w:r w:rsidR="00533F9D" w:rsidRPr="009807E5">
        <w:t>)</w:t>
      </w:r>
      <w:r w:rsidR="00911131" w:rsidRPr="009807E5">
        <w:t xml:space="preserve"> advised that a Regulation Impact Statement</w:t>
      </w:r>
      <w:r w:rsidR="00533F9D" w:rsidRPr="009807E5">
        <w:t xml:space="preserve"> (now known as Impact Analysis)</w:t>
      </w:r>
      <w:r w:rsidR="00911131" w:rsidRPr="009807E5">
        <w:t xml:space="preserve"> is not required for this legislative instrument</w:t>
      </w:r>
      <w:r w:rsidR="00682BCC" w:rsidRPr="009807E5">
        <w:t xml:space="preserve">. </w:t>
      </w:r>
    </w:p>
    <w:p w14:paraId="47195FE5" w14:textId="084ACDD4" w:rsidR="00C70807" w:rsidRPr="009807E5" w:rsidRDefault="00C70807" w:rsidP="009E2A42">
      <w:pPr>
        <w:pStyle w:val="LI-Heading2"/>
        <w:ind w:left="0" w:firstLine="0"/>
      </w:pPr>
      <w:r w:rsidRPr="009807E5">
        <w:t xml:space="preserve">Statement of Compatibility </w:t>
      </w:r>
      <w:r w:rsidR="00E1405F" w:rsidRPr="009807E5">
        <w:t xml:space="preserve">prepared in accordance </w:t>
      </w:r>
      <w:r w:rsidRPr="009807E5">
        <w:t xml:space="preserve">with </w:t>
      </w:r>
      <w:r w:rsidR="005C6679" w:rsidRPr="009807E5">
        <w:t xml:space="preserve">Part 3 of the </w:t>
      </w:r>
      <w:r w:rsidRPr="009807E5">
        <w:rPr>
          <w:i/>
        </w:rPr>
        <w:t>Human</w:t>
      </w:r>
      <w:r w:rsidR="003247FE" w:rsidRPr="009807E5">
        <w:rPr>
          <w:i/>
        </w:rPr>
        <w:t xml:space="preserve"> </w:t>
      </w:r>
      <w:r w:rsidRPr="009807E5">
        <w:rPr>
          <w:i/>
        </w:rPr>
        <w:t xml:space="preserve">Rights </w:t>
      </w:r>
      <w:r w:rsidR="00D57F96" w:rsidRPr="009807E5">
        <w:rPr>
          <w:i/>
        </w:rPr>
        <w:t>(Parliamentary Scrutiny) Act 2011</w:t>
      </w:r>
    </w:p>
    <w:p w14:paraId="3380BA05" w14:textId="23B5A267" w:rsidR="00C70807" w:rsidRPr="009807E5" w:rsidRDefault="000726C0" w:rsidP="009E2A42">
      <w:pPr>
        <w:pStyle w:val="LI-BodyTextNumbered"/>
        <w:numPr>
          <w:ilvl w:val="0"/>
          <w:numId w:val="0"/>
        </w:numPr>
        <w:ind w:left="567" w:hanging="567"/>
      </w:pPr>
      <w:r w:rsidRPr="009807E5">
        <w:t>20</w:t>
      </w:r>
      <w:r w:rsidR="00E67BCF" w:rsidRPr="009807E5">
        <w:t>.</w:t>
      </w:r>
      <w:r w:rsidR="00E67BCF" w:rsidRPr="009807E5">
        <w:tab/>
      </w:r>
      <w:r w:rsidR="00650F5B" w:rsidRPr="009807E5">
        <w:t>A</w:t>
      </w:r>
      <w:r w:rsidR="00C70807" w:rsidRPr="009807E5">
        <w:t xml:space="preserve"> Statement of Compatibility </w:t>
      </w:r>
      <w:r w:rsidR="00C33BA7" w:rsidRPr="009807E5">
        <w:t xml:space="preserve">prepared in accordance </w:t>
      </w:r>
      <w:r w:rsidR="00C70807" w:rsidRPr="009807E5">
        <w:t xml:space="preserve">with </w:t>
      </w:r>
      <w:r w:rsidR="00C33BA7" w:rsidRPr="009807E5">
        <w:t>Part 3</w:t>
      </w:r>
      <w:r w:rsidR="00C70807" w:rsidRPr="009807E5">
        <w:t xml:space="preserve"> of the </w:t>
      </w:r>
      <w:r w:rsidR="00C70807" w:rsidRPr="009807E5">
        <w:rPr>
          <w:i/>
          <w:iCs/>
        </w:rPr>
        <w:t>Human Rights (Parliamentary Scrutiny) Act 2011</w:t>
      </w:r>
      <w:r w:rsidR="00C70807" w:rsidRPr="009807E5">
        <w:t xml:space="preserve"> is </w:t>
      </w:r>
      <w:r w:rsidR="00FE437D" w:rsidRPr="009807E5">
        <w:t>provided at</w:t>
      </w:r>
      <w:r w:rsidR="00C70807" w:rsidRPr="009807E5">
        <w:t xml:space="preserve"> </w:t>
      </w:r>
      <w:r w:rsidR="00C70807" w:rsidRPr="009807E5">
        <w:rPr>
          <w:u w:val="single"/>
        </w:rPr>
        <w:t>Attachment</w:t>
      </w:r>
      <w:r w:rsidR="00566420" w:rsidRPr="009807E5">
        <w:rPr>
          <w:u w:val="single"/>
        </w:rPr>
        <w:t xml:space="preserve"> </w:t>
      </w:r>
      <w:r w:rsidR="00925A24" w:rsidRPr="009807E5">
        <w:rPr>
          <w:u w:val="single"/>
        </w:rPr>
        <w:t>A</w:t>
      </w:r>
      <w:r w:rsidR="00FE437D" w:rsidRPr="009807E5">
        <w:rPr>
          <w:u w:val="single"/>
        </w:rPr>
        <w:t xml:space="preserve"> </w:t>
      </w:r>
      <w:r w:rsidR="00604549" w:rsidRPr="009807E5">
        <w:rPr>
          <w:u w:val="single"/>
        </w:rPr>
        <w:t>to this Explanatory Statement</w:t>
      </w:r>
      <w:r w:rsidR="00C70807" w:rsidRPr="009807E5">
        <w:t xml:space="preserve">. </w:t>
      </w:r>
    </w:p>
    <w:p w14:paraId="749AD6F9" w14:textId="7336127A" w:rsidR="00566420" w:rsidRPr="009807E5" w:rsidRDefault="00566420" w:rsidP="00566420">
      <w:pPr>
        <w:pStyle w:val="LI-BodyTextNumbered"/>
        <w:numPr>
          <w:ilvl w:val="0"/>
          <w:numId w:val="0"/>
        </w:numPr>
        <w:ind w:left="709" w:hanging="567"/>
      </w:pPr>
    </w:p>
    <w:p w14:paraId="6C6D25E2" w14:textId="0E1F6A80" w:rsidR="00C70807" w:rsidRPr="00EA17A6" w:rsidRDefault="00566420" w:rsidP="009E2A42">
      <w:pPr>
        <w:jc w:val="right"/>
        <w:rPr>
          <w:u w:val="single"/>
        </w:rPr>
      </w:pPr>
      <w:r>
        <w:rPr>
          <w:highlight w:val="yellow"/>
        </w:rPr>
        <w:br w:type="page"/>
      </w:r>
      <w:r w:rsidR="00C70807" w:rsidRPr="00EA17A6">
        <w:rPr>
          <w:u w:val="single"/>
        </w:rPr>
        <w:lastRenderedPageBreak/>
        <w:t xml:space="preserve">Attachment </w:t>
      </w:r>
      <w:r w:rsidR="00925A24">
        <w:rPr>
          <w:u w:val="single"/>
        </w:rPr>
        <w:t>A</w:t>
      </w:r>
    </w:p>
    <w:p w14:paraId="325347AA" w14:textId="77777777" w:rsidR="00C70807" w:rsidRPr="00EA17A6" w:rsidRDefault="00C70807" w:rsidP="00C70807">
      <w:pPr>
        <w:pStyle w:val="LI-BodyTextParaa"/>
        <w:ind w:left="567"/>
        <w:jc w:val="center"/>
        <w:rPr>
          <w:b/>
          <w:sz w:val="28"/>
          <w:szCs w:val="28"/>
        </w:rPr>
      </w:pPr>
      <w:r w:rsidRPr="00EA17A6">
        <w:rPr>
          <w:b/>
          <w:sz w:val="28"/>
          <w:szCs w:val="28"/>
        </w:rPr>
        <w:t>Statement of Compatibility with Human Rights</w:t>
      </w:r>
    </w:p>
    <w:p w14:paraId="19C15BF9" w14:textId="06BD04E8" w:rsidR="00E67BCF" w:rsidRPr="00EA17A6" w:rsidRDefault="00260D0B" w:rsidP="009E2A42">
      <w:pPr>
        <w:pStyle w:val="LI-BodyTextNumbered"/>
        <w:numPr>
          <w:ilvl w:val="0"/>
          <w:numId w:val="0"/>
        </w:numPr>
      </w:pPr>
      <w:bookmarkStart w:id="2" w:name="_Hlk534286677"/>
      <w:r>
        <w:t>P</w:t>
      </w:r>
      <w:r w:rsidR="00C70807">
        <w:t xml:space="preserve">repared in accordance with Part 3 of </w:t>
      </w:r>
      <w:bookmarkStart w:id="3" w:name="_Hlk4054932"/>
      <w:r w:rsidR="00C70807">
        <w:t xml:space="preserve">the </w:t>
      </w:r>
      <w:r w:rsidR="00C70807" w:rsidRPr="4677B86D">
        <w:rPr>
          <w:i/>
          <w:iCs/>
        </w:rPr>
        <w:t>Human Rights (Parliamentary Scrutiny) Act 2011</w:t>
      </w:r>
      <w:bookmarkEnd w:id="3"/>
      <w:r w:rsidR="008B2E3C">
        <w:rPr>
          <w:i/>
          <w:iCs/>
        </w:rPr>
        <w:t xml:space="preserve"> </w:t>
      </w:r>
      <w:r w:rsidR="008B2E3C" w:rsidRPr="00AE0B51">
        <w:t>(</w:t>
      </w:r>
      <w:proofErr w:type="spellStart"/>
      <w:r w:rsidR="008B2E3C" w:rsidRPr="007D2D6F">
        <w:rPr>
          <w:b/>
          <w:i/>
        </w:rPr>
        <w:t>HRPS</w:t>
      </w:r>
      <w:proofErr w:type="spellEnd"/>
      <w:r w:rsidR="008B2E3C" w:rsidRPr="007D2D6F">
        <w:rPr>
          <w:b/>
          <w:i/>
        </w:rPr>
        <w:t xml:space="preserve"> Act</w:t>
      </w:r>
      <w:r w:rsidR="008B2E3C" w:rsidRPr="00AE0B51">
        <w:t>)</w:t>
      </w:r>
      <w:r w:rsidR="00C70807">
        <w:t xml:space="preserve">. </w:t>
      </w:r>
    </w:p>
    <w:p w14:paraId="0164D948" w14:textId="1F730ACE" w:rsidR="00AE0B51" w:rsidRPr="00AE0B51" w:rsidRDefault="006E2425" w:rsidP="009E2A42">
      <w:pPr>
        <w:pStyle w:val="LI-BodyTextNumbered"/>
        <w:numPr>
          <w:ilvl w:val="0"/>
          <w:numId w:val="0"/>
        </w:numPr>
        <w:rPr>
          <w:highlight w:val="yellow"/>
        </w:rPr>
      </w:pPr>
      <w:r>
        <w:t xml:space="preserve">The </w:t>
      </w:r>
      <w:r w:rsidRPr="11C32942">
        <w:rPr>
          <w:i/>
          <w:iCs/>
        </w:rPr>
        <w:t>Financial Accountability Regime (Consequential Amendments) Transitional Rules 2</w:t>
      </w:r>
      <w:r w:rsidR="315EA535" w:rsidRPr="11C32942">
        <w:rPr>
          <w:i/>
          <w:iCs/>
        </w:rPr>
        <w:t xml:space="preserve">024 </w:t>
      </w:r>
      <w:r>
        <w:t>(</w:t>
      </w:r>
      <w:r w:rsidRPr="11C32942">
        <w:rPr>
          <w:b/>
          <w:bCs/>
          <w:i/>
          <w:iCs/>
        </w:rPr>
        <w:t xml:space="preserve">the </w:t>
      </w:r>
      <w:r w:rsidR="00260D0B" w:rsidRPr="11C32942">
        <w:rPr>
          <w:b/>
          <w:bCs/>
          <w:i/>
          <w:iCs/>
        </w:rPr>
        <w:t>l</w:t>
      </w:r>
      <w:r w:rsidR="00AE0B51" w:rsidRPr="11C32942">
        <w:rPr>
          <w:b/>
          <w:bCs/>
          <w:i/>
          <w:iCs/>
        </w:rPr>
        <w:t xml:space="preserve">egislative </w:t>
      </w:r>
      <w:r w:rsidR="00260D0B" w:rsidRPr="11C32942">
        <w:rPr>
          <w:b/>
          <w:bCs/>
          <w:i/>
          <w:iCs/>
        </w:rPr>
        <w:t>i</w:t>
      </w:r>
      <w:r w:rsidR="00AE0B51" w:rsidRPr="11C32942">
        <w:rPr>
          <w:b/>
          <w:bCs/>
          <w:i/>
          <w:iCs/>
        </w:rPr>
        <w:t>nstrument</w:t>
      </w:r>
      <w:r>
        <w:t>)</w:t>
      </w:r>
      <w:r w:rsidR="00AE0B51">
        <w:t xml:space="preserve"> is compatible with the human rights and freedoms recognised or declared in the international instruments listed in section 3 of the </w:t>
      </w:r>
      <w:proofErr w:type="spellStart"/>
      <w:r w:rsidR="008B2E3C">
        <w:t>HRPS</w:t>
      </w:r>
      <w:proofErr w:type="spellEnd"/>
      <w:r w:rsidR="008B2E3C">
        <w:t xml:space="preserve"> Act</w:t>
      </w:r>
      <w:r w:rsidR="00AE0B51">
        <w:t>.</w:t>
      </w:r>
    </w:p>
    <w:p w14:paraId="0AEB2D56" w14:textId="5EFDCBBF" w:rsidR="00C70807" w:rsidRPr="00EA17A6" w:rsidRDefault="00C70807" w:rsidP="00C70807">
      <w:pPr>
        <w:pStyle w:val="LI-Heading2"/>
      </w:pPr>
      <w:r w:rsidRPr="00EA17A6">
        <w:t>Overview</w:t>
      </w:r>
      <w:r w:rsidR="00A14D63">
        <w:t xml:space="preserve"> of the Legislative Instrument </w:t>
      </w:r>
    </w:p>
    <w:p w14:paraId="098A85D5" w14:textId="2FC518B5" w:rsidR="002B47FC" w:rsidRPr="005E2E65" w:rsidRDefault="002B47FC" w:rsidP="009E2A42">
      <w:pPr>
        <w:pStyle w:val="LI-BodyTextNumbered"/>
        <w:numPr>
          <w:ilvl w:val="0"/>
          <w:numId w:val="14"/>
        </w:numPr>
        <w:ind w:left="567" w:hanging="567"/>
      </w:pPr>
      <w:bookmarkStart w:id="4" w:name="_Hlk534286807"/>
      <w:bookmarkEnd w:id="2"/>
      <w:r>
        <w:t xml:space="preserve">Item 34(1) of Schedule 2 </w:t>
      </w:r>
      <w:r w:rsidRPr="000E4FD7">
        <w:t xml:space="preserve">of the </w:t>
      </w:r>
      <w:r w:rsidRPr="000E4FD7">
        <w:rPr>
          <w:i/>
          <w:iCs/>
        </w:rPr>
        <w:t>Financial Accountability Regime (Consequential Amendments) Act 2023</w:t>
      </w:r>
      <w:r w:rsidRPr="000E4FD7">
        <w:t xml:space="preserve"> (</w:t>
      </w:r>
      <w:r w:rsidRPr="000E4FD7">
        <w:rPr>
          <w:b/>
          <w:bCs/>
          <w:i/>
          <w:iCs/>
        </w:rPr>
        <w:t>the Act</w:t>
      </w:r>
      <w:r w:rsidRPr="000E4FD7">
        <w:t>) provides that the APRA and ASIC (</w:t>
      </w:r>
      <w:r w:rsidRPr="000E4FD7">
        <w:rPr>
          <w:b/>
          <w:bCs/>
          <w:i/>
          <w:iCs/>
        </w:rPr>
        <w:t>the Regulators</w:t>
      </w:r>
      <w:r w:rsidRPr="000E4FD7">
        <w:t xml:space="preserve">) may jointly, by legislative instrument, make rules prescribing matters of a transitional nature (including prescribing any saving or application provisions) relating to the amendments or repeals made by the Act or the enactment of the Act or the </w:t>
      </w:r>
      <w:r w:rsidRPr="000E4FD7">
        <w:rPr>
          <w:i/>
          <w:iCs/>
        </w:rPr>
        <w:t>Financial Accountability Regime Act 202</w:t>
      </w:r>
      <w:r w:rsidR="009E2A42" w:rsidRPr="000E4FD7">
        <w:rPr>
          <w:i/>
          <w:iCs/>
        </w:rPr>
        <w:t>3</w:t>
      </w:r>
      <w:r w:rsidRPr="000E4FD7">
        <w:t xml:space="preserve"> (</w:t>
      </w:r>
      <w:r w:rsidRPr="000E4FD7">
        <w:rPr>
          <w:b/>
          <w:bCs/>
          <w:i/>
          <w:iCs/>
        </w:rPr>
        <w:t xml:space="preserve">the FAR </w:t>
      </w:r>
      <w:r w:rsidRPr="005E2E65">
        <w:rPr>
          <w:b/>
          <w:bCs/>
          <w:i/>
          <w:iCs/>
        </w:rPr>
        <w:t>Act</w:t>
      </w:r>
      <w:r w:rsidRPr="005E2E65">
        <w:t>)</w:t>
      </w:r>
      <w:r w:rsidRPr="005E2E65">
        <w:rPr>
          <w:i/>
          <w:iCs/>
        </w:rPr>
        <w:t xml:space="preserve">. </w:t>
      </w:r>
    </w:p>
    <w:p w14:paraId="223CFDF1" w14:textId="4A89E0A5" w:rsidR="002B47FC" w:rsidRPr="005E2E65" w:rsidRDefault="002B47FC" w:rsidP="009E2A42">
      <w:pPr>
        <w:pStyle w:val="LI-BodyTextNumbered"/>
        <w:numPr>
          <w:ilvl w:val="0"/>
          <w:numId w:val="14"/>
        </w:numPr>
        <w:ind w:left="567" w:hanging="567"/>
      </w:pPr>
      <w:r w:rsidRPr="005E2E65">
        <w:t>Th</w:t>
      </w:r>
      <w:r w:rsidR="00DC71C7" w:rsidRPr="005E2E65">
        <w:t>is legislative instrument</w:t>
      </w:r>
      <w:r w:rsidRPr="005E2E65">
        <w:t xml:space="preserve"> support</w:t>
      </w:r>
      <w:r w:rsidR="009E2A42" w:rsidRPr="005E2E65">
        <w:t>s</w:t>
      </w:r>
      <w:r w:rsidRPr="005E2E65">
        <w:t xml:space="preserve"> the establishment of the Financial Accountability Regime (</w:t>
      </w:r>
      <w:r w:rsidRPr="00B51043">
        <w:rPr>
          <w:b/>
          <w:i/>
        </w:rPr>
        <w:t>the FAR</w:t>
      </w:r>
      <w:r w:rsidRPr="005E2E65">
        <w:t>) by prescribing:</w:t>
      </w:r>
    </w:p>
    <w:p w14:paraId="18E6DDEB" w14:textId="1EAF07EA" w:rsidR="002B47FC" w:rsidRPr="005E2E65" w:rsidRDefault="00DC71C7" w:rsidP="002B47FC">
      <w:pPr>
        <w:pStyle w:val="LI-BodyTextNumbered"/>
        <w:numPr>
          <w:ilvl w:val="0"/>
          <w:numId w:val="13"/>
        </w:numPr>
      </w:pPr>
      <w:r w:rsidRPr="005E2E65">
        <w:t>that</w:t>
      </w:r>
      <w:r w:rsidR="002B47FC" w:rsidRPr="005E2E65">
        <w:t xml:space="preserve"> </w:t>
      </w:r>
      <w:r w:rsidRPr="005E2E65">
        <w:t xml:space="preserve">certain </w:t>
      </w:r>
      <w:r w:rsidR="002B47FC" w:rsidRPr="005E2E65">
        <w:t xml:space="preserve">information </w:t>
      </w:r>
      <w:r w:rsidRPr="005E2E65">
        <w:t>must be provided to the Regulators by</w:t>
      </w:r>
      <w:r w:rsidR="005E2E65">
        <w:t xml:space="preserve"> authorised deposit-taking institutions </w:t>
      </w:r>
      <w:r w:rsidR="0018433B">
        <w:t>(</w:t>
      </w:r>
      <w:proofErr w:type="spellStart"/>
      <w:r w:rsidR="0018433B" w:rsidRPr="0018433B">
        <w:rPr>
          <w:b/>
          <w:i/>
        </w:rPr>
        <w:t>ADIs</w:t>
      </w:r>
      <w:proofErr w:type="spellEnd"/>
      <w:r w:rsidR="0018433B">
        <w:t xml:space="preserve">) </w:t>
      </w:r>
      <w:r w:rsidR="005E2E65">
        <w:t>which are subject to the Banking Executive Accountability Regime (</w:t>
      </w:r>
      <w:r w:rsidR="005E2E65">
        <w:rPr>
          <w:b/>
          <w:i/>
        </w:rPr>
        <w:t xml:space="preserve">the </w:t>
      </w:r>
      <w:r w:rsidR="005E2E65" w:rsidRPr="005E2E65">
        <w:rPr>
          <w:b/>
          <w:i/>
        </w:rPr>
        <w:t>BEAR</w:t>
      </w:r>
      <w:proofErr w:type="gramStart"/>
      <w:r w:rsidR="005E2E65">
        <w:t>)</w:t>
      </w:r>
      <w:proofErr w:type="gramEnd"/>
      <w:r w:rsidR="005E2E65">
        <w:t xml:space="preserve"> and which become accountable entities under the FAR Act,</w:t>
      </w:r>
      <w:r w:rsidR="002B47FC" w:rsidRPr="005E2E65">
        <w:t xml:space="preserve"> to facilitate </w:t>
      </w:r>
      <w:r w:rsidR="005E2E65">
        <w:t xml:space="preserve">the </w:t>
      </w:r>
      <w:r w:rsidR="002B47FC" w:rsidRPr="005E2E65">
        <w:t xml:space="preserve">transition </w:t>
      </w:r>
      <w:r w:rsidR="005E2E65">
        <w:t xml:space="preserve">of such </w:t>
      </w:r>
      <w:proofErr w:type="spellStart"/>
      <w:r w:rsidR="0018433B">
        <w:t>ADIs</w:t>
      </w:r>
      <w:proofErr w:type="spellEnd"/>
      <w:r w:rsidR="005E2E65">
        <w:t xml:space="preserve"> </w:t>
      </w:r>
      <w:r w:rsidR="002B47FC" w:rsidRPr="005E2E65">
        <w:t xml:space="preserve">from the </w:t>
      </w:r>
      <w:r w:rsidR="005E2E65">
        <w:t>BEAR</w:t>
      </w:r>
      <w:r w:rsidR="002B47FC" w:rsidRPr="005E2E65">
        <w:t xml:space="preserve"> to the FAR;</w:t>
      </w:r>
    </w:p>
    <w:p w14:paraId="6BDC5244" w14:textId="77777777" w:rsidR="002B47FC" w:rsidRPr="005E2E65" w:rsidRDefault="002B47FC" w:rsidP="002B47FC">
      <w:pPr>
        <w:pStyle w:val="LI-BodyTextNumbered"/>
        <w:numPr>
          <w:ilvl w:val="0"/>
          <w:numId w:val="13"/>
        </w:numPr>
      </w:pPr>
      <w:r w:rsidRPr="005E2E65">
        <w:t xml:space="preserve">the required timeframe for submission of that information; and </w:t>
      </w:r>
    </w:p>
    <w:p w14:paraId="7E4CE8FE" w14:textId="77777777" w:rsidR="002B47FC" w:rsidRDefault="002B47FC" w:rsidP="002B47FC">
      <w:pPr>
        <w:pStyle w:val="LI-BodyTextNumbered"/>
        <w:numPr>
          <w:ilvl w:val="0"/>
          <w:numId w:val="13"/>
        </w:numPr>
      </w:pPr>
      <w:r w:rsidRPr="005E2E65">
        <w:t xml:space="preserve">the method of submission of that information. </w:t>
      </w:r>
    </w:p>
    <w:p w14:paraId="16E11195" w14:textId="27612CCC" w:rsidR="002D71FE" w:rsidRDefault="00AF40F0" w:rsidP="00EB43AB">
      <w:pPr>
        <w:pStyle w:val="LI-BodyTextNumbered"/>
        <w:numPr>
          <w:ilvl w:val="0"/>
          <w:numId w:val="14"/>
        </w:numPr>
      </w:pPr>
      <w:r>
        <w:t>Paragraphs 6(2)(a)-(h) of Part 2 of the legislative instrument prescribe as information which must be provided: specific personal information, employment status information, reporting line information and responsibilities information</w:t>
      </w:r>
      <w:r w:rsidR="000D696D">
        <w:t>.</w:t>
      </w:r>
    </w:p>
    <w:p w14:paraId="673E2078" w14:textId="65851A36" w:rsidR="000D696D" w:rsidRPr="005E2E65" w:rsidRDefault="000D696D" w:rsidP="004116DE">
      <w:pPr>
        <w:pStyle w:val="LI-BodyTextNumbered"/>
        <w:numPr>
          <w:ilvl w:val="0"/>
          <w:numId w:val="14"/>
        </w:numPr>
      </w:pPr>
      <w:r>
        <w:t>Paragraphs 6(2)(</w:t>
      </w:r>
      <w:proofErr w:type="spellStart"/>
      <w:r>
        <w:t>i</w:t>
      </w:r>
      <w:proofErr w:type="spellEnd"/>
      <w:r>
        <w:t xml:space="preserve">) – (j) of Part 2 of the </w:t>
      </w:r>
      <w:r w:rsidR="00E566D2">
        <w:t xml:space="preserve">legislative </w:t>
      </w:r>
      <w:r>
        <w:t>instrument prescribe as information which must be provided to the Regulators each ADI Key Function (if any) of an accountable person and the date the accountable person assumed responsibility for each ADI Key Function (if applicable).</w:t>
      </w:r>
    </w:p>
    <w:p w14:paraId="600CDA16" w14:textId="71982A03" w:rsidR="00C70807" w:rsidRPr="00EA17A6" w:rsidRDefault="00AF554A" w:rsidP="00C70807">
      <w:pPr>
        <w:pStyle w:val="LI-Heading2"/>
      </w:pPr>
      <w:r>
        <w:t>H</w:t>
      </w:r>
      <w:r w:rsidR="00C70807" w:rsidRPr="00EA17A6">
        <w:t>uman rights implications</w:t>
      </w:r>
    </w:p>
    <w:bookmarkEnd w:id="4"/>
    <w:p w14:paraId="1569F177" w14:textId="4D7B0F5F" w:rsidR="00AC6322" w:rsidRDefault="00AC6322" w:rsidP="009E2A42">
      <w:pPr>
        <w:pStyle w:val="LI-BodyTextNumbered"/>
        <w:numPr>
          <w:ilvl w:val="0"/>
          <w:numId w:val="14"/>
        </w:numPr>
        <w:ind w:left="567" w:hanging="567"/>
      </w:pPr>
      <w:r>
        <w:t xml:space="preserve">The legislative instrument </w:t>
      </w:r>
      <w:r w:rsidR="00E94B7C">
        <w:t xml:space="preserve">may engage the right to protection </w:t>
      </w:r>
      <w:r w:rsidR="00740331">
        <w:t xml:space="preserve">from unlawful or arbitrary interference with privacy under Article 17 of the International Covenant on Civil and Political </w:t>
      </w:r>
      <w:r w:rsidR="00E27803">
        <w:t>R</w:t>
      </w:r>
      <w:r w:rsidR="00740331">
        <w:t>ights (</w:t>
      </w:r>
      <w:r w:rsidR="00740331" w:rsidRPr="00D144BB">
        <w:rPr>
          <w:b/>
          <w:bCs/>
          <w:i/>
        </w:rPr>
        <w:t>ICCPR</w:t>
      </w:r>
      <w:r w:rsidR="00740331">
        <w:t xml:space="preserve">), as it requires the provision of personal information </w:t>
      </w:r>
      <w:r w:rsidR="005B5E36">
        <w:t>to the Regulator</w:t>
      </w:r>
      <w:r w:rsidR="007E2569">
        <w:t>s</w:t>
      </w:r>
      <w:r w:rsidR="005B5E36">
        <w:t xml:space="preserve">.  </w:t>
      </w:r>
    </w:p>
    <w:p w14:paraId="58E9A8F0" w14:textId="513038B9" w:rsidR="005B5E36" w:rsidRDefault="00EC7427" w:rsidP="009E2A42">
      <w:pPr>
        <w:pStyle w:val="LI-BodyTextNumbered"/>
        <w:numPr>
          <w:ilvl w:val="0"/>
          <w:numId w:val="14"/>
        </w:numPr>
        <w:ind w:left="567" w:hanging="567"/>
      </w:pPr>
      <w:r>
        <w:lastRenderedPageBreak/>
        <w:t>‘</w:t>
      </w:r>
      <w:r w:rsidR="008A3632">
        <w:t xml:space="preserve">Personal information’ is defined in the </w:t>
      </w:r>
      <w:r w:rsidR="008A3632">
        <w:rPr>
          <w:i/>
          <w:iCs/>
        </w:rPr>
        <w:t>Privacy Act 1988</w:t>
      </w:r>
      <w:r w:rsidR="008A3632">
        <w:t xml:space="preserve"> as </w:t>
      </w:r>
      <w:r w:rsidR="008A3632" w:rsidRPr="006B4B7B">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31640795" w14:textId="77777777" w:rsidR="000B0902" w:rsidRDefault="000B0902" w:rsidP="00475B54">
      <w:pPr>
        <w:pStyle w:val="LI-BodyTextNumbered"/>
        <w:numPr>
          <w:ilvl w:val="0"/>
          <w:numId w:val="14"/>
        </w:numPr>
        <w:ind w:left="567" w:hanging="567"/>
      </w:pPr>
      <w:r>
        <w:t>The right in Article 17 may be subject to permissible limitations, where these limitations are authorised by law and are not arbitrary. In order for the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6FE443E3" w14:textId="008D4561" w:rsidR="000B0902" w:rsidRDefault="007E2569" w:rsidP="009E2A42">
      <w:pPr>
        <w:pStyle w:val="LI-BodyTextNumbered"/>
        <w:numPr>
          <w:ilvl w:val="0"/>
          <w:numId w:val="14"/>
        </w:numPr>
        <w:ind w:left="567" w:hanging="567"/>
      </w:pPr>
      <w:r>
        <w:t xml:space="preserve">The provision of personal information to the Regulators </w:t>
      </w:r>
      <w:r w:rsidR="00362EEA">
        <w:t xml:space="preserve">is </w:t>
      </w:r>
      <w:r w:rsidR="00362EEA" w:rsidRPr="002476A1">
        <w:t xml:space="preserve">compatible with the rights recognised in Article 17 of the ICCPR </w:t>
      </w:r>
      <w:r w:rsidR="00362EEA">
        <w:t xml:space="preserve">as it is proportional to the ends sought and is necessary in the circumstances to </w:t>
      </w:r>
      <w:r w:rsidR="009B18B0">
        <w:t xml:space="preserve">ensure the </w:t>
      </w:r>
      <w:r w:rsidR="00EF0ADE">
        <w:t xml:space="preserve">transition from BEAR to </w:t>
      </w:r>
      <w:r w:rsidR="009B18B0">
        <w:t xml:space="preserve">FAR </w:t>
      </w:r>
      <w:r w:rsidR="007B218A">
        <w:t xml:space="preserve">achieves its </w:t>
      </w:r>
      <w:r w:rsidR="003A134C">
        <w:t>broader</w:t>
      </w:r>
      <w:r w:rsidR="00F625B0">
        <w:t xml:space="preserve"> </w:t>
      </w:r>
      <w:r w:rsidR="00F5568D">
        <w:t>le</w:t>
      </w:r>
      <w:r w:rsidR="00681B79">
        <w:t xml:space="preserve">gislative </w:t>
      </w:r>
      <w:r w:rsidR="00F625B0">
        <w:t>purpose</w:t>
      </w:r>
      <w:r w:rsidR="00681B79">
        <w:t xml:space="preserve"> of </w:t>
      </w:r>
      <w:r w:rsidR="00F21307">
        <w:t>improving the operating culture</w:t>
      </w:r>
      <w:r w:rsidR="00681B79">
        <w:t xml:space="preserve"> and increasing transparency and accountability</w:t>
      </w:r>
      <w:r w:rsidR="00F21307">
        <w:t xml:space="preserve"> o</w:t>
      </w:r>
      <w:r w:rsidR="00E2070A">
        <w:t xml:space="preserve">f </w:t>
      </w:r>
      <w:r w:rsidR="00681B79">
        <w:t>entities making that transition</w:t>
      </w:r>
      <w:r w:rsidR="00F16A57">
        <w:t>.</w:t>
      </w:r>
    </w:p>
    <w:p w14:paraId="3E2477BB" w14:textId="133D06E6" w:rsidR="00097AF6" w:rsidRDefault="00097AF6" w:rsidP="00EC7427">
      <w:pPr>
        <w:pStyle w:val="LI-Heading2"/>
        <w:ind w:left="0" w:firstLine="0"/>
      </w:pPr>
      <w:r w:rsidRPr="00EA17A6">
        <w:t>Conclusion</w:t>
      </w:r>
    </w:p>
    <w:p w14:paraId="68177AAC" w14:textId="0F884ACA" w:rsidR="00C70807" w:rsidRPr="00EA17A6" w:rsidRDefault="00934E66" w:rsidP="009E2A42">
      <w:pPr>
        <w:pStyle w:val="LI-BodyTextNumbered"/>
        <w:numPr>
          <w:ilvl w:val="0"/>
          <w:numId w:val="14"/>
        </w:numPr>
        <w:ind w:left="567" w:hanging="567"/>
      </w:pPr>
      <w:r>
        <w:t>Accordingly, to the extent that th</w:t>
      </w:r>
      <w:r w:rsidR="00097AF6">
        <w:t>e legislative</w:t>
      </w:r>
      <w:r w:rsidRPr="00EA17A6">
        <w:t xml:space="preserve"> instrument </w:t>
      </w:r>
      <w:r>
        <w:t xml:space="preserve">may engage rights under Article 17 of the </w:t>
      </w:r>
      <w:r w:rsidR="001C6E9E">
        <w:t>ICCPR</w:t>
      </w:r>
      <w:r>
        <w:t xml:space="preserve">, it </w:t>
      </w:r>
      <w:r w:rsidRPr="00EA17A6">
        <w:t>is compatible with the human rights and freedoms recognised or declared in the international instruments listed in section</w:t>
      </w:r>
      <w:r w:rsidR="001C6E9E">
        <w:t xml:space="preserve"> </w:t>
      </w:r>
      <w:r w:rsidRPr="00EA17A6">
        <w:t xml:space="preserve">3 of </w:t>
      </w:r>
      <w:r w:rsidRPr="00EA17A6">
        <w:rPr>
          <w:iCs/>
        </w:rPr>
        <w:t xml:space="preserve">the </w:t>
      </w:r>
      <w:proofErr w:type="spellStart"/>
      <w:r w:rsidR="00EC7427" w:rsidRPr="00D144BB">
        <w:rPr>
          <w:iCs/>
        </w:rPr>
        <w:t>HRPS</w:t>
      </w:r>
      <w:proofErr w:type="spellEnd"/>
      <w:r w:rsidR="00EC7427" w:rsidRPr="00D144BB">
        <w:rPr>
          <w:iCs/>
        </w:rPr>
        <w:t xml:space="preserve"> Act</w:t>
      </w:r>
      <w:r>
        <w:t xml:space="preserve"> as the limitations are appropriate, proportionate and achieve a legitimate objective</w:t>
      </w:r>
      <w:r w:rsidR="00261C08">
        <w:t>.</w:t>
      </w:r>
    </w:p>
    <w:p w14:paraId="18103F8E" w14:textId="77777777" w:rsidR="005C58F6" w:rsidRDefault="005C58F6"/>
    <w:sectPr w:rsidR="005C58F6" w:rsidSect="00143BC0">
      <w:headerReference w:type="even" r:id="rId14"/>
      <w:headerReference w:type="default" r:id="rId15"/>
      <w:footerReference w:type="even" r:id="rId16"/>
      <w:footerReference w:type="default" r:id="rId17"/>
      <w:headerReference w:type="first" r:id="rId18"/>
      <w:footerReference w:type="first" r:id="rId19"/>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7A99" w14:textId="77777777" w:rsidR="00EA136E" w:rsidRDefault="00EA136E">
      <w:pPr>
        <w:spacing w:line="240" w:lineRule="auto"/>
      </w:pPr>
      <w:r>
        <w:separator/>
      </w:r>
    </w:p>
  </w:endnote>
  <w:endnote w:type="continuationSeparator" w:id="0">
    <w:p w14:paraId="1E245D77" w14:textId="77777777" w:rsidR="00EA136E" w:rsidRDefault="00EA136E">
      <w:pPr>
        <w:spacing w:line="240" w:lineRule="auto"/>
      </w:pPr>
      <w:r>
        <w:continuationSeparator/>
      </w:r>
    </w:p>
  </w:endnote>
  <w:endnote w:type="continuationNotice" w:id="1">
    <w:p w14:paraId="67965108" w14:textId="77777777" w:rsidR="00EA136E" w:rsidRDefault="00EA13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A5BC" w14:textId="77777777" w:rsidR="00753483" w:rsidRDefault="00753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E3BF" w14:textId="77777777" w:rsidR="00143BC0" w:rsidRDefault="00C623D2">
    <w:pPr>
      <w:pStyle w:val="Footer"/>
      <w:jc w:val="center"/>
    </w:pPr>
    <w:r>
      <w:fldChar w:fldCharType="begin"/>
    </w:r>
    <w:r>
      <w:instrText xml:space="preserve"> PAGE   \* MERGEFORMAT </w:instrText>
    </w:r>
    <w:r>
      <w:fldChar w:fldCharType="separate"/>
    </w:r>
    <w:r>
      <w:rPr>
        <w:noProof/>
      </w:rPr>
      <w:t>2</w:t>
    </w:r>
    <w:r>
      <w:rPr>
        <w:noProof/>
      </w:rPr>
      <w:fldChar w:fldCharType="end"/>
    </w:r>
  </w:p>
  <w:p w14:paraId="7422C896" w14:textId="77777777" w:rsidR="00143BC0" w:rsidRDefault="00143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4CE1" w14:textId="77777777" w:rsidR="00753483" w:rsidRDefault="00753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9797" w14:textId="77777777" w:rsidR="00EA136E" w:rsidRDefault="00EA136E">
      <w:pPr>
        <w:spacing w:line="240" w:lineRule="auto"/>
      </w:pPr>
      <w:r>
        <w:separator/>
      </w:r>
    </w:p>
  </w:footnote>
  <w:footnote w:type="continuationSeparator" w:id="0">
    <w:p w14:paraId="0D3C9955" w14:textId="77777777" w:rsidR="00EA136E" w:rsidRDefault="00EA136E">
      <w:pPr>
        <w:spacing w:line="240" w:lineRule="auto"/>
      </w:pPr>
      <w:r>
        <w:continuationSeparator/>
      </w:r>
    </w:p>
  </w:footnote>
  <w:footnote w:type="continuationNotice" w:id="1">
    <w:p w14:paraId="05D6FF53" w14:textId="77777777" w:rsidR="00EA136E" w:rsidRDefault="00EA13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B3DF" w14:textId="7311C659" w:rsidR="00143BC0" w:rsidRPr="00243EC0" w:rsidRDefault="00A6737F" w:rsidP="00143BC0">
    <w:pPr>
      <w:pStyle w:val="LI-Footer"/>
      <w:pBdr>
        <w:top w:val="none" w:sz="0" w:space="0" w:color="auto"/>
        <w:bottom w:val="single" w:sz="4" w:space="1" w:color="auto"/>
      </w:pBdr>
    </w:pPr>
    <w:r>
      <w:rPr>
        <w:noProof/>
      </w:rPr>
      <mc:AlternateContent>
        <mc:Choice Requires="wps">
          <w:drawing>
            <wp:anchor distT="0" distB="0" distL="114300" distR="114300" simplePos="0" relativeHeight="251661322" behindDoc="0" locked="1" layoutInCell="0" allowOverlap="1" wp14:anchorId="0BF34596" wp14:editId="58298619">
              <wp:simplePos x="0" y="0"/>
              <wp:positionH relativeFrom="margin">
                <wp:align>center</wp:align>
              </wp:positionH>
              <wp:positionV relativeFrom="topMargin">
                <wp:align>center</wp:align>
              </wp:positionV>
              <wp:extent cx="1654175" cy="273050"/>
              <wp:effectExtent l="0" t="0" r="0" b="0"/>
              <wp:wrapNone/>
              <wp:docPr id="15" name="janusSEAL SC H_EvenPage"/>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66702" w14:textId="18EF5099" w:rsidR="00A6737F" w:rsidRPr="00A6737F" w:rsidRDefault="00A6737F" w:rsidP="00A6737F">
                          <w:pPr>
                            <w:jc w:val="center"/>
                            <w:rPr>
                              <w:rFonts w:ascii="Arial" w:hAnsi="Arial" w:cs="Arial"/>
                              <w:b/>
                              <w:color w:val="FF0000"/>
                              <w:sz w:val="24"/>
                            </w:rPr>
                          </w:pPr>
                          <w:r w:rsidRPr="00A6737F">
                            <w:rPr>
                              <w:rFonts w:ascii="Arial" w:hAnsi="Arial" w:cs="Arial"/>
                              <w:b/>
                              <w:color w:val="FF0000"/>
                              <w:sz w:val="24"/>
                            </w:rPr>
                            <w:fldChar w:fldCharType="begin"/>
                          </w:r>
                          <w:r w:rsidRPr="00A6737F">
                            <w:rPr>
                              <w:rFonts w:ascii="Arial" w:hAnsi="Arial" w:cs="Arial"/>
                              <w:b/>
                              <w:color w:val="FF0000"/>
                              <w:sz w:val="24"/>
                            </w:rPr>
                            <w:instrText xml:space="preserve"> DOCPROPERTY PM_ProtectiveMarkingValue_Header \* MERGEFORMAT </w:instrText>
                          </w:r>
                          <w:r w:rsidRPr="00A6737F">
                            <w:rPr>
                              <w:rFonts w:ascii="Arial" w:hAnsi="Arial" w:cs="Arial"/>
                              <w:b/>
                              <w:color w:val="FF0000"/>
                              <w:sz w:val="24"/>
                            </w:rPr>
                            <w:fldChar w:fldCharType="separate"/>
                          </w:r>
                          <w:r w:rsidR="00753483">
                            <w:rPr>
                              <w:rFonts w:ascii="Arial" w:hAnsi="Arial" w:cs="Arial"/>
                              <w:b/>
                              <w:color w:val="FF0000"/>
                              <w:sz w:val="24"/>
                            </w:rPr>
                            <w:t>OFFICIAL: Sensitive</w:t>
                          </w:r>
                          <w:r w:rsidRPr="00A6737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w:pict w14:anchorId="3BB7CA4B">
            <v:shapetype id="_x0000_t202" coordsize="21600,21600" o:spt="202" path="m,l,21600r21600,l21600,xe" w14:anchorId="0BF34596">
              <v:stroke joinstyle="miter"/>
              <v:path gradientshapeok="t" o:connecttype="rect"/>
            </v:shapetype>
            <v:shape id="janusSEAL SC H_EvenPage" style="position:absolute;margin-left:0;margin-top:0;width:130.25pt;height:21.5pt;z-index:251661322;visibility:visible;mso-wrap-style:none;mso-wrap-distance-left:9pt;mso-wrap-distance-top:0;mso-wrap-distance-right:9pt;mso-wrap-distance-bottom:0;mso-position-horizontal:center;mso-position-horizontal-relative:margin;mso-position-vertical:center;mso-position-vertical-relative:top-margin-area;v-text-anchor:top"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">
              <v:textbox style="mso-fit-shape-to-text:t">
                <w:txbxContent>
                  <w:p w:rsidRPr="00A6737F" w:rsidR="00A6737F" w:rsidP="00A6737F" w:rsidRDefault="00A6737F" w14:paraId="71A3569D" w14:textId="18EF5099">
                    <w:pPr>
                      <w:jc w:val="center"/>
                      <w:rPr>
                        <w:rFonts w:ascii="Arial" w:hAnsi="Arial" w:cs="Arial"/>
                        <w:b/>
                        <w:color w:val="FF0000"/>
                        <w:sz w:val="24"/>
                      </w:rPr>
                    </w:pPr>
                    <w:r w:rsidRPr="00A6737F">
                      <w:rPr>
                        <w:rFonts w:ascii="Arial" w:hAnsi="Arial" w:cs="Arial"/>
                        <w:b/>
                        <w:color w:val="FF0000"/>
                        <w:sz w:val="24"/>
                      </w:rPr>
                      <w:fldChar w:fldCharType="begin"/>
                    </w:r>
                    <w:r w:rsidRPr="00A6737F">
                      <w:rPr>
                        <w:rFonts w:ascii="Arial" w:hAnsi="Arial" w:cs="Arial"/>
                        <w:b/>
                        <w:color w:val="FF0000"/>
                        <w:sz w:val="24"/>
                      </w:rPr>
                      <w:instrText xml:space="preserve"> DOCPROPERTY PM_ProtectiveMarkingValue_Header \* MERGEFORMAT </w:instrText>
                    </w:r>
                    <w:r w:rsidRPr="00A6737F">
                      <w:rPr>
                        <w:rFonts w:ascii="Arial" w:hAnsi="Arial" w:cs="Arial"/>
                        <w:b/>
                        <w:color w:val="FF0000"/>
                        <w:sz w:val="24"/>
                      </w:rPr>
                      <w:fldChar w:fldCharType="separate"/>
                    </w:r>
                    <w:r w:rsidR="00753483">
                      <w:rPr>
                        <w:rFonts w:ascii="Arial" w:hAnsi="Arial" w:cs="Arial"/>
                        <w:b/>
                        <w:color w:val="FF0000"/>
                        <w:sz w:val="24"/>
                      </w:rPr>
                      <w:t>OFFICIAL: Sensitive</w:t>
                    </w:r>
                    <w:r w:rsidRPr="00A6737F">
                      <w:rPr>
                        <w:rFonts w:ascii="Arial" w:hAnsi="Arial" w:cs="Arial"/>
                        <w:b/>
                        <w:color w:val="FF0000"/>
                        <w:sz w:val="24"/>
                      </w:rPr>
                      <w:fldChar w:fldCharType="end"/>
                    </w:r>
                  </w:p>
                </w:txbxContent>
              </v:textbox>
              <w10:wrap anchorx="margin" anchory="margin"/>
              <w10:anchorlock/>
            </v:shape>
          </w:pict>
        </mc:Fallback>
      </mc:AlternateContent>
    </w:r>
    <w:r w:rsidR="004116DE">
      <w:rPr>
        <w:noProof/>
      </w:rPr>
      <mc:AlternateContent>
        <mc:Choice Requires="wps">
          <w:drawing>
            <wp:anchor distT="0" distB="0" distL="114300" distR="114300" simplePos="0" relativeHeight="251658250" behindDoc="0" locked="1" layoutInCell="0" allowOverlap="1" wp14:anchorId="77FC3211" wp14:editId="278D8DFF">
              <wp:simplePos x="0" y="0"/>
              <wp:positionH relativeFrom="margin">
                <wp:align>center</wp:align>
              </wp:positionH>
              <wp:positionV relativeFrom="topMargin">
                <wp:align>center</wp:align>
              </wp:positionV>
              <wp:extent cx="1654175" cy="273050"/>
              <wp:effectExtent l="0" t="0" r="22225" b="12700"/>
              <wp:wrapNone/>
              <wp:docPr id="12" name="Text Box 12"/>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solidFill>
                          <a:prstClr val="black"/>
                        </a:solidFill>
                      </a:ln>
                    </wps:spPr>
                    <wps:txbx>
                      <w:txbxContent>
                        <w:p w14:paraId="5FBEB997" w14:textId="609A4BF3" w:rsidR="004116DE" w:rsidRPr="00CF0B37" w:rsidRDefault="004116DE">
                          <w:pPr>
                            <w:jc w:val="center"/>
                            <w:rPr>
                              <w:rFonts w:ascii="Arial" w:hAnsi="Arial" w:cs="Arial"/>
                              <w:b/>
                              <w:color w:val="FF0000"/>
                              <w:sz w:val="24"/>
                            </w:rPr>
                          </w:pPr>
                          <w:r w:rsidRPr="0035060E">
                            <w:rPr>
                              <w:rFonts w:ascii="Arial" w:hAnsi="Arial" w:cs="Arial"/>
                              <w:b/>
                              <w:color w:val="FF0000"/>
                              <w:sz w:val="24"/>
                            </w:rPr>
                            <w:fldChar w:fldCharType="begin"/>
                          </w:r>
                          <w:r w:rsidRPr="00CF0B37">
                            <w:rPr>
                              <w:rFonts w:ascii="Arial" w:hAnsi="Arial" w:cs="Arial"/>
                              <w:b/>
                              <w:color w:val="FF0000"/>
                              <w:sz w:val="24"/>
                            </w:rPr>
                            <w:instrText xml:space="preserve"> DOCPROPERTY PM_ProtectiveMarkingValue_Header \* MERGEFORMAT </w:instrText>
                          </w:r>
                          <w:r w:rsidRPr="0035060E">
                            <w:rPr>
                              <w:rFonts w:ascii="Arial" w:hAnsi="Arial" w:cs="Arial"/>
                              <w:b/>
                              <w:color w:val="FF0000"/>
                              <w:sz w:val="24"/>
                            </w:rPr>
                            <w:fldChar w:fldCharType="separate"/>
                          </w:r>
                          <w:r w:rsidR="00CF0B37">
                            <w:rPr>
                              <w:rFonts w:ascii="Arial" w:hAnsi="Arial" w:cs="Arial"/>
                              <w:b/>
                              <w:color w:val="FF0000"/>
                              <w:sz w:val="24"/>
                            </w:rPr>
                            <w:t>OFFICIAL: Sensitive</w:t>
                          </w:r>
                          <w:r w:rsidRPr="0035060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w:pict w14:anchorId="1082EBEE">
            <v:shapetype id="_x0000_t202" coordsize="21600,21600" o:spt="202" path="m,l,21600r21600,l21600,xe" w14:anchorId="77FC3211">
              <v:stroke joinstyle="miter"/>
              <v:path gradientshapeok="t" o:connecttype="rect"/>
            </v:shapetype>
            <v:shape id="Text Box 12" style="position:absolute;margin-left:0;margin-top:0;width:130.25pt;height:21.5pt;z-index:251658250;visibility:visible;mso-wrap-style:none;mso-wrap-distance-left:9pt;mso-wrap-distance-top:0;mso-wrap-distance-right:9pt;mso-wrap-distance-bottom:0;mso-position-horizontal:center;mso-position-horizontal-relative:margin;mso-position-vertical:center;mso-position-vertical-relative:top-margin-area;v-text-anchor:top" o:spid="_x0000_s1027" o:allowincell="f"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">
              <v:textbox style="mso-fit-shape-to-text:t">
                <w:txbxContent>
                  <w:p w:rsidRPr="00CF0B37" w:rsidR="004116DE" w:rsidRDefault="004116DE" w14:paraId="4BF80997" w14:textId="609A4BF3">
                    <w:pPr>
                      <w:jc w:val="center"/>
                      <w:rPr>
                        <w:rFonts w:ascii="Arial" w:hAnsi="Arial" w:cs="Arial"/>
                        <w:b/>
                        <w:color w:val="FF0000"/>
                        <w:sz w:val="24"/>
                      </w:rPr>
                    </w:pPr>
                    <w:r w:rsidRPr="0035060E">
                      <w:rPr>
                        <w:rFonts w:ascii="Arial" w:hAnsi="Arial" w:cs="Arial"/>
                        <w:b/>
                        <w:color w:val="FF0000"/>
                        <w:sz w:val="24"/>
                      </w:rPr>
                      <w:fldChar w:fldCharType="begin"/>
                    </w:r>
                    <w:r w:rsidRPr="00CF0B37">
                      <w:rPr>
                        <w:rFonts w:ascii="Arial" w:hAnsi="Arial" w:cs="Arial"/>
                        <w:b/>
                        <w:color w:val="FF0000"/>
                        <w:sz w:val="24"/>
                      </w:rPr>
                      <w:instrText xml:space="preserve"> DOCPROPERTY PM_ProtectiveMarkingValue_Header \* MERGEFORMAT </w:instrText>
                    </w:r>
                    <w:r w:rsidRPr="0035060E">
                      <w:rPr>
                        <w:rFonts w:ascii="Arial" w:hAnsi="Arial" w:cs="Arial"/>
                        <w:b/>
                        <w:color w:val="FF0000"/>
                        <w:sz w:val="24"/>
                      </w:rPr>
                      <w:fldChar w:fldCharType="separate"/>
                    </w:r>
                    <w:r w:rsidR="00CF0B37">
                      <w:rPr>
                        <w:rFonts w:ascii="Arial" w:hAnsi="Arial" w:cs="Arial"/>
                        <w:b/>
                        <w:color w:val="FF0000"/>
                        <w:sz w:val="24"/>
                      </w:rPr>
                      <w:t>OFFICIAL: Sensitive</w:t>
                    </w:r>
                    <w:r w:rsidRPr="0035060E">
                      <w:rPr>
                        <w:rFonts w:ascii="Arial" w:hAnsi="Arial" w:cs="Arial"/>
                        <w:b/>
                        <w:color w:val="FF0000"/>
                        <w:sz w:val="24"/>
                      </w:rPr>
                      <w:fldChar w:fldCharType="end"/>
                    </w:r>
                  </w:p>
                </w:txbxContent>
              </v:textbox>
              <w10:wrap anchorx="margin" anchory="margin"/>
              <w10:anchorlock/>
            </v:shape>
          </w:pict>
        </mc:Fallback>
      </mc:AlternateContent>
    </w:r>
    <w:r w:rsidR="000E4FD7">
      <w:rPr>
        <w:noProof/>
      </w:rPr>
      <mc:AlternateContent>
        <mc:Choice Requires="wps">
          <w:drawing>
            <wp:anchor distT="0" distB="0" distL="114300" distR="114300" simplePos="0" relativeHeight="251658247" behindDoc="0" locked="1" layoutInCell="0" allowOverlap="1" wp14:anchorId="38481188" wp14:editId="3A26C8E5">
              <wp:simplePos x="0" y="0"/>
              <wp:positionH relativeFrom="margin">
                <wp:align>center</wp:align>
              </wp:positionH>
              <wp:positionV relativeFrom="topMargin">
                <wp:align>center</wp:align>
              </wp:positionV>
              <wp:extent cx="1654175" cy="2730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8E5D3" w14:textId="1A608704" w:rsidR="000E4FD7" w:rsidRPr="002160EA" w:rsidRDefault="000E4FD7">
                          <w:pPr>
                            <w:jc w:val="center"/>
                            <w:rPr>
                              <w:rFonts w:ascii="Arial" w:hAnsi="Arial" w:cs="Arial"/>
                              <w:b/>
                              <w:color w:val="FF0000"/>
                              <w:sz w:val="24"/>
                            </w:rPr>
                          </w:pPr>
                          <w:r w:rsidRPr="00B51043">
                            <w:rPr>
                              <w:rFonts w:ascii="Arial" w:hAnsi="Arial" w:cs="Arial"/>
                              <w:b/>
                              <w:color w:val="FF0000"/>
                              <w:sz w:val="24"/>
                            </w:rPr>
                            <w:fldChar w:fldCharType="begin"/>
                          </w:r>
                          <w:r w:rsidRPr="002160EA">
                            <w:rPr>
                              <w:rFonts w:ascii="Arial" w:hAnsi="Arial" w:cs="Arial"/>
                              <w:b/>
                              <w:color w:val="FF0000"/>
                              <w:sz w:val="24"/>
                            </w:rPr>
                            <w:instrText xml:space="preserve"> DOCPROPERTY PM_ProtectiveMarkingValue_Header \* MERGEFORMAT </w:instrText>
                          </w:r>
                          <w:r w:rsidRPr="00B51043">
                            <w:rPr>
                              <w:rFonts w:ascii="Arial" w:hAnsi="Arial" w:cs="Arial"/>
                              <w:b/>
                              <w:color w:val="FF0000"/>
                              <w:sz w:val="24"/>
                            </w:rPr>
                            <w:fldChar w:fldCharType="separate"/>
                          </w:r>
                          <w:r w:rsidR="002160EA">
                            <w:rPr>
                              <w:rFonts w:ascii="Arial" w:hAnsi="Arial" w:cs="Arial"/>
                              <w:b/>
                              <w:color w:val="FF0000"/>
                              <w:sz w:val="24"/>
                            </w:rPr>
                            <w:t>OFFICIAL: Sensitive</w:t>
                          </w:r>
                          <w:r w:rsidRPr="00B51043">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w:pict w14:anchorId="3A8D85BB">
            <v:shape id="Text Box 10" style="position:absolute;margin-left:0;margin-top:0;width:130.25pt;height:21.5pt;z-index:251658247;visibility:visible;mso-wrap-style:none;mso-wrap-distance-left:9pt;mso-wrap-distance-top:0;mso-wrap-distance-right:9pt;mso-wrap-distance-bottom:0;mso-position-horizontal:center;mso-position-horizontal-relative:margin;mso-position-vertical:center;mso-position-vertical-relative:top-margin-area;v-text-anchor:top"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mFi+xBcCAAAxBAAADgAAAAAAAAAAAAAAAAAuAgAAZHJzL2Uyb0RvYy54bWxQSwECLQAUAAYACAAA&#10;ACEAOa3hu9sAAAAEAQAADwAAAAAAAAAAAAAAAABxBAAAZHJzL2Rvd25yZXYueG1sUEsFBgAAAAAE&#10;AAQA8wAAAHkFAAAAAA==&#10;" w14:anchorId="38481188">
              <v:textbox style="mso-fit-shape-to-text:t">
                <w:txbxContent>
                  <w:p w:rsidRPr="002160EA" w:rsidR="000E4FD7" w:rsidRDefault="000E4FD7" w14:paraId="5A446D70" w14:textId="1A608704">
                    <w:pPr>
                      <w:jc w:val="center"/>
                      <w:rPr>
                        <w:rFonts w:ascii="Arial" w:hAnsi="Arial" w:cs="Arial"/>
                        <w:b/>
                        <w:color w:val="FF0000"/>
                        <w:sz w:val="24"/>
                      </w:rPr>
                    </w:pPr>
                    <w:r w:rsidRPr="00B51043">
                      <w:rPr>
                        <w:rFonts w:ascii="Arial" w:hAnsi="Arial" w:cs="Arial"/>
                        <w:b/>
                        <w:color w:val="FF0000"/>
                        <w:sz w:val="24"/>
                      </w:rPr>
                      <w:fldChar w:fldCharType="begin"/>
                    </w:r>
                    <w:r w:rsidRPr="002160EA">
                      <w:rPr>
                        <w:rFonts w:ascii="Arial" w:hAnsi="Arial" w:cs="Arial"/>
                        <w:b/>
                        <w:color w:val="FF0000"/>
                        <w:sz w:val="24"/>
                      </w:rPr>
                      <w:instrText xml:space="preserve"> DOCPROPERTY PM_ProtectiveMarkingValue_Header \* MERGEFORMAT </w:instrText>
                    </w:r>
                    <w:r w:rsidRPr="00B51043">
                      <w:rPr>
                        <w:rFonts w:ascii="Arial" w:hAnsi="Arial" w:cs="Arial"/>
                        <w:b/>
                        <w:color w:val="FF0000"/>
                        <w:sz w:val="24"/>
                      </w:rPr>
                      <w:fldChar w:fldCharType="separate"/>
                    </w:r>
                    <w:r w:rsidR="002160EA">
                      <w:rPr>
                        <w:rFonts w:ascii="Arial" w:hAnsi="Arial" w:cs="Arial"/>
                        <w:b/>
                        <w:color w:val="FF0000"/>
                        <w:sz w:val="24"/>
                      </w:rPr>
                      <w:t>OFFICIAL: Sensitive</w:t>
                    </w:r>
                    <w:r w:rsidRPr="00B51043">
                      <w:rPr>
                        <w:rFonts w:ascii="Arial" w:hAnsi="Arial" w:cs="Arial"/>
                        <w:b/>
                        <w:color w:val="FF0000"/>
                        <w:sz w:val="24"/>
                      </w:rPr>
                      <w:fldChar w:fldCharType="end"/>
                    </w:r>
                  </w:p>
                </w:txbxContent>
              </v:textbox>
              <w10:wrap anchorx="margin" anchory="margin"/>
              <w10:anchorlock/>
            </v:shape>
          </w:pict>
        </mc:Fallback>
      </mc:AlternateContent>
    </w:r>
    <w:r w:rsidR="003030A0">
      <w:rPr>
        <w:noProof/>
      </w:rPr>
      <mc:AlternateContent>
        <mc:Choice Requires="wps">
          <w:drawing>
            <wp:anchor distT="0" distB="0" distL="114300" distR="114300" simplePos="0" relativeHeight="251658245" behindDoc="0" locked="1" layoutInCell="0" allowOverlap="1" wp14:anchorId="1EAB4B59" wp14:editId="7F0DD6C5">
              <wp:simplePos x="0" y="0"/>
              <wp:positionH relativeFrom="margin">
                <wp:align>center</wp:align>
              </wp:positionH>
              <wp:positionV relativeFrom="topMargin">
                <wp:align>center</wp:align>
              </wp:positionV>
              <wp:extent cx="1654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59423F" w14:textId="306DEF93" w:rsidR="003030A0" w:rsidRPr="00925A24" w:rsidRDefault="003030A0">
                          <w:pPr>
                            <w:jc w:val="center"/>
                            <w:rPr>
                              <w:rFonts w:ascii="Arial" w:hAnsi="Arial" w:cs="Arial"/>
                              <w:b/>
                              <w:color w:val="FF0000"/>
                              <w:sz w:val="24"/>
                            </w:rPr>
                          </w:pPr>
                          <w:r w:rsidRPr="005E441E">
                            <w:rPr>
                              <w:rFonts w:ascii="Arial" w:hAnsi="Arial" w:cs="Arial"/>
                              <w:b/>
                              <w:color w:val="FF0000"/>
                              <w:sz w:val="24"/>
                            </w:rPr>
                            <w:fldChar w:fldCharType="begin"/>
                          </w:r>
                          <w:r w:rsidRPr="00925A24">
                            <w:rPr>
                              <w:rFonts w:ascii="Arial" w:hAnsi="Arial" w:cs="Arial"/>
                              <w:b/>
                              <w:color w:val="FF0000"/>
                              <w:sz w:val="24"/>
                            </w:rPr>
                            <w:instrText xml:space="preserve"> DOCPROPERTY PM_ProtectiveMarkingValue_Header \* MERGEFORMAT </w:instrText>
                          </w:r>
                          <w:r w:rsidRPr="005E441E">
                            <w:rPr>
                              <w:rFonts w:ascii="Arial" w:hAnsi="Arial" w:cs="Arial"/>
                              <w:b/>
                              <w:color w:val="FF0000"/>
                              <w:sz w:val="24"/>
                            </w:rPr>
                            <w:fldChar w:fldCharType="separate"/>
                          </w:r>
                          <w:r w:rsidR="00925A24">
                            <w:rPr>
                              <w:rFonts w:ascii="Arial" w:hAnsi="Arial" w:cs="Arial"/>
                              <w:b/>
                              <w:color w:val="FF0000"/>
                              <w:sz w:val="24"/>
                            </w:rPr>
                            <w:t>OFFICIAL: Sensitive</w:t>
                          </w:r>
                          <w:r w:rsidRPr="005E441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w:pict w14:anchorId="45F84676">
            <v:shape id="Text Box 7" style="position:absolute;margin-left:0;margin-top:0;width:130.25pt;height:21.5pt;z-index:251658245;visibility:visible;mso-wrap-style:none;mso-wrap-distance-left:9pt;mso-wrap-distance-top:0;mso-wrap-distance-right:9pt;mso-wrap-distance-bottom:0;mso-position-horizontal:center;mso-position-horizontal-relative:margin;mso-position-vertical:center;mso-position-vertical-relative:top-margin-area;v-text-anchor:top"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" w14:anchorId="1EAB4B59">
              <v:textbox style="mso-fit-shape-to-text:t">
                <w:txbxContent>
                  <w:p w:rsidRPr="00925A24" w:rsidR="003030A0" w:rsidRDefault="003030A0" w14:paraId="58568EED" w14:textId="306DEF93">
                    <w:pPr>
                      <w:jc w:val="center"/>
                      <w:rPr>
                        <w:rFonts w:ascii="Arial" w:hAnsi="Arial" w:cs="Arial"/>
                        <w:b/>
                        <w:color w:val="FF0000"/>
                        <w:sz w:val="24"/>
                      </w:rPr>
                    </w:pPr>
                    <w:r w:rsidRPr="005E441E">
                      <w:rPr>
                        <w:rFonts w:ascii="Arial" w:hAnsi="Arial" w:cs="Arial"/>
                        <w:b/>
                        <w:color w:val="FF0000"/>
                        <w:sz w:val="24"/>
                      </w:rPr>
                      <w:fldChar w:fldCharType="begin"/>
                    </w:r>
                    <w:r w:rsidRPr="00925A24">
                      <w:rPr>
                        <w:rFonts w:ascii="Arial" w:hAnsi="Arial" w:cs="Arial"/>
                        <w:b/>
                        <w:color w:val="FF0000"/>
                        <w:sz w:val="24"/>
                      </w:rPr>
                      <w:instrText xml:space="preserve"> DOCPROPERTY PM_ProtectiveMarkingValue_Header \* MERGEFORMAT </w:instrText>
                    </w:r>
                    <w:r w:rsidRPr="005E441E">
                      <w:rPr>
                        <w:rFonts w:ascii="Arial" w:hAnsi="Arial" w:cs="Arial"/>
                        <w:b/>
                        <w:color w:val="FF0000"/>
                        <w:sz w:val="24"/>
                      </w:rPr>
                      <w:fldChar w:fldCharType="separate"/>
                    </w:r>
                    <w:r w:rsidR="00925A24">
                      <w:rPr>
                        <w:rFonts w:ascii="Arial" w:hAnsi="Arial" w:cs="Arial"/>
                        <w:b/>
                        <w:color w:val="FF0000"/>
                        <w:sz w:val="24"/>
                      </w:rPr>
                      <w:t>OFFICIAL: Sensitive</w:t>
                    </w:r>
                    <w:r w:rsidRPr="005E441E">
                      <w:rPr>
                        <w:rFonts w:ascii="Arial" w:hAnsi="Arial" w:cs="Arial"/>
                        <w:b/>
                        <w:color w:val="FF0000"/>
                        <w:sz w:val="24"/>
                      </w:rPr>
                      <w:fldChar w:fldCharType="end"/>
                    </w:r>
                  </w:p>
                </w:txbxContent>
              </v:textbox>
              <w10:wrap anchorx="margin" anchory="margin"/>
              <w10:anchorlock/>
            </v:shape>
          </w:pict>
        </mc:Fallback>
      </mc:AlternateContent>
    </w:r>
    <w:r w:rsidR="00F917F7">
      <w:rPr>
        <w:noProof/>
      </w:rPr>
      <mc:AlternateContent>
        <mc:Choice Requires="wps">
          <w:drawing>
            <wp:anchor distT="0" distB="0" distL="114300" distR="114300" simplePos="0" relativeHeight="251658242" behindDoc="0" locked="1" layoutInCell="0" allowOverlap="1" wp14:anchorId="55933F89" wp14:editId="30CB6EB5">
              <wp:simplePos x="0" y="0"/>
              <wp:positionH relativeFrom="margin">
                <wp:align>center</wp:align>
              </wp:positionH>
              <wp:positionV relativeFrom="topMargin">
                <wp:align>center</wp:align>
              </wp:positionV>
              <wp:extent cx="1654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54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B20A6" w14:textId="21DBFCA4" w:rsidR="00F917F7" w:rsidRPr="00215302" w:rsidRDefault="00F917F7">
                          <w:pPr>
                            <w:jc w:val="center"/>
                            <w:rPr>
                              <w:rFonts w:ascii="Arial" w:hAnsi="Arial" w:cs="Arial"/>
                              <w:b/>
                              <w:color w:val="FF0000"/>
                              <w:sz w:val="24"/>
                            </w:rPr>
                          </w:pPr>
                          <w:r w:rsidRPr="00C34C2C">
                            <w:rPr>
                              <w:rFonts w:ascii="Arial" w:hAnsi="Arial" w:cs="Arial"/>
                              <w:b/>
                              <w:color w:val="FF0000"/>
                              <w:sz w:val="24"/>
                            </w:rPr>
                            <w:fldChar w:fldCharType="begin"/>
                          </w:r>
                          <w:r w:rsidRPr="00215302">
                            <w:rPr>
                              <w:rFonts w:ascii="Arial" w:hAnsi="Arial" w:cs="Arial"/>
                              <w:b/>
                              <w:color w:val="FF0000"/>
                              <w:sz w:val="24"/>
                            </w:rPr>
                            <w:instrText xml:space="preserve"> DOCPROPERTY PM_ProtectiveMarkingValue_Header \* MERGEFORMAT </w:instrText>
                          </w:r>
                          <w:r w:rsidRPr="00C34C2C">
                            <w:rPr>
                              <w:rFonts w:ascii="Arial" w:hAnsi="Arial" w:cs="Arial"/>
                              <w:b/>
                              <w:color w:val="FF0000"/>
                              <w:sz w:val="24"/>
                            </w:rPr>
                            <w:fldChar w:fldCharType="separate"/>
                          </w:r>
                          <w:r w:rsidR="00215302">
                            <w:rPr>
                              <w:rFonts w:ascii="Arial" w:hAnsi="Arial" w:cs="Arial"/>
                              <w:b/>
                              <w:color w:val="FF0000"/>
                              <w:sz w:val="24"/>
                            </w:rPr>
                            <w:t>OFFICIAL: Sensitive</w:t>
                          </w:r>
                          <w:r w:rsidRPr="00C34C2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w:pict w14:anchorId="7E9AFE85">
            <v:shape id="Text Box 4" style="position:absolute;margin-left:0;margin-top:0;width:130.2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" w14:anchorId="55933F89">
              <v:textbox style="mso-fit-shape-to-text:t">
                <w:txbxContent>
                  <w:p w:rsidRPr="00215302" w:rsidR="00F917F7" w:rsidRDefault="00F917F7" w14:paraId="087D8026" w14:textId="21DBFCA4">
                    <w:pPr>
                      <w:jc w:val="center"/>
                      <w:rPr>
                        <w:rFonts w:ascii="Arial" w:hAnsi="Arial" w:cs="Arial"/>
                        <w:b/>
                        <w:color w:val="FF0000"/>
                        <w:sz w:val="24"/>
                      </w:rPr>
                    </w:pPr>
                    <w:r w:rsidRPr="00C34C2C">
                      <w:rPr>
                        <w:rFonts w:ascii="Arial" w:hAnsi="Arial" w:cs="Arial"/>
                        <w:b/>
                        <w:color w:val="FF0000"/>
                        <w:sz w:val="24"/>
                      </w:rPr>
                      <w:fldChar w:fldCharType="begin"/>
                    </w:r>
                    <w:r w:rsidRPr="00215302">
                      <w:rPr>
                        <w:rFonts w:ascii="Arial" w:hAnsi="Arial" w:cs="Arial"/>
                        <w:b/>
                        <w:color w:val="FF0000"/>
                        <w:sz w:val="24"/>
                      </w:rPr>
                      <w:instrText xml:space="preserve"> DOCPROPERTY PM_ProtectiveMarkingValue_Header \* MERGEFORMAT </w:instrText>
                    </w:r>
                    <w:r w:rsidRPr="00C34C2C">
                      <w:rPr>
                        <w:rFonts w:ascii="Arial" w:hAnsi="Arial" w:cs="Arial"/>
                        <w:b/>
                        <w:color w:val="FF0000"/>
                        <w:sz w:val="24"/>
                      </w:rPr>
                      <w:fldChar w:fldCharType="separate"/>
                    </w:r>
                    <w:r w:rsidR="00215302">
                      <w:rPr>
                        <w:rFonts w:ascii="Arial" w:hAnsi="Arial" w:cs="Arial"/>
                        <w:b/>
                        <w:color w:val="FF0000"/>
                        <w:sz w:val="24"/>
                      </w:rPr>
                      <w:t>OFFICIAL: Sensitive</w:t>
                    </w:r>
                    <w:r w:rsidRPr="00C34C2C">
                      <w:rPr>
                        <w:rFonts w:ascii="Arial" w:hAnsi="Arial" w:cs="Arial"/>
                        <w:b/>
                        <w:color w:val="FF0000"/>
                        <w:sz w:val="24"/>
                      </w:rPr>
                      <w:fldChar w:fldCharType="end"/>
                    </w:r>
                  </w:p>
                </w:txbxContent>
              </v:textbox>
              <w10:wrap anchorx="margin" anchory="margin"/>
              <w10:anchorlock/>
            </v:shape>
          </w:pict>
        </mc:Fallback>
      </mc:AlternateContent>
    </w:r>
    <w:r w:rsidR="00C623D2" w:rsidRPr="00A52B0F">
      <w:t xml:space="preserve">ASIC Corporations / Superannuation / Credit </w:t>
    </w:r>
    <w:r w:rsidR="00C623D2" w:rsidRPr="00A52B0F">
      <w:rPr>
        <w:highlight w:val="yellow"/>
      </w:rPr>
      <w:t>(&lt;Short Narrative Name&gt;</w:t>
    </w:r>
    <w:r w:rsidR="00C623D2" w:rsidRPr="00A52B0F">
      <w:t xml:space="preserve">) Instrument </w:t>
    </w:r>
    <w:r w:rsidR="00C623D2" w:rsidRPr="00A52B0F">
      <w:rPr>
        <w:highlight w:val="yellow"/>
      </w:rPr>
      <w:t>&lt;Year&gt;</w:t>
    </w:r>
    <w:r w:rsidR="00C623D2">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F8AA" w14:textId="77777777" w:rsidR="00143BC0" w:rsidRPr="00F4215A" w:rsidRDefault="00143BC0" w:rsidP="00143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3D8A" w14:textId="6839BFCA" w:rsidR="00F917F7" w:rsidRDefault="00F91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288"/>
    <w:multiLevelType w:val="hybridMultilevel"/>
    <w:tmpl w:val="31A04238"/>
    <w:lvl w:ilvl="0" w:tplc="E398EC9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852864"/>
    <w:multiLevelType w:val="hybridMultilevel"/>
    <w:tmpl w:val="7F9AC1CE"/>
    <w:lvl w:ilvl="0" w:tplc="AA60C106">
      <w:start w:val="1"/>
      <w:numFmt w:val="bullet"/>
      <w:lvlText w:val=""/>
      <w:lvlJc w:val="left"/>
      <w:pPr>
        <w:ind w:left="1440" w:hanging="360"/>
      </w:pPr>
      <w:rPr>
        <w:rFonts w:ascii="Symbol" w:hAnsi="Symbol"/>
      </w:rPr>
    </w:lvl>
    <w:lvl w:ilvl="1" w:tplc="BF6886B4">
      <w:start w:val="1"/>
      <w:numFmt w:val="bullet"/>
      <w:lvlText w:val=""/>
      <w:lvlJc w:val="left"/>
      <w:pPr>
        <w:ind w:left="1440" w:hanging="360"/>
      </w:pPr>
      <w:rPr>
        <w:rFonts w:ascii="Symbol" w:hAnsi="Symbol"/>
      </w:rPr>
    </w:lvl>
    <w:lvl w:ilvl="2" w:tplc="2098BF12">
      <w:start w:val="1"/>
      <w:numFmt w:val="bullet"/>
      <w:lvlText w:val=""/>
      <w:lvlJc w:val="left"/>
      <w:pPr>
        <w:ind w:left="1440" w:hanging="360"/>
      </w:pPr>
      <w:rPr>
        <w:rFonts w:ascii="Symbol" w:hAnsi="Symbol"/>
      </w:rPr>
    </w:lvl>
    <w:lvl w:ilvl="3" w:tplc="A43AE074">
      <w:start w:val="1"/>
      <w:numFmt w:val="bullet"/>
      <w:lvlText w:val=""/>
      <w:lvlJc w:val="left"/>
      <w:pPr>
        <w:ind w:left="1440" w:hanging="360"/>
      </w:pPr>
      <w:rPr>
        <w:rFonts w:ascii="Symbol" w:hAnsi="Symbol"/>
      </w:rPr>
    </w:lvl>
    <w:lvl w:ilvl="4" w:tplc="3D2C447C">
      <w:start w:val="1"/>
      <w:numFmt w:val="bullet"/>
      <w:lvlText w:val=""/>
      <w:lvlJc w:val="left"/>
      <w:pPr>
        <w:ind w:left="1440" w:hanging="360"/>
      </w:pPr>
      <w:rPr>
        <w:rFonts w:ascii="Symbol" w:hAnsi="Symbol"/>
      </w:rPr>
    </w:lvl>
    <w:lvl w:ilvl="5" w:tplc="BBC04FA6">
      <w:start w:val="1"/>
      <w:numFmt w:val="bullet"/>
      <w:lvlText w:val=""/>
      <w:lvlJc w:val="left"/>
      <w:pPr>
        <w:ind w:left="1440" w:hanging="360"/>
      </w:pPr>
      <w:rPr>
        <w:rFonts w:ascii="Symbol" w:hAnsi="Symbol"/>
      </w:rPr>
    </w:lvl>
    <w:lvl w:ilvl="6" w:tplc="10585A8C">
      <w:start w:val="1"/>
      <w:numFmt w:val="bullet"/>
      <w:lvlText w:val=""/>
      <w:lvlJc w:val="left"/>
      <w:pPr>
        <w:ind w:left="1440" w:hanging="360"/>
      </w:pPr>
      <w:rPr>
        <w:rFonts w:ascii="Symbol" w:hAnsi="Symbol"/>
      </w:rPr>
    </w:lvl>
    <w:lvl w:ilvl="7" w:tplc="1346DC08">
      <w:start w:val="1"/>
      <w:numFmt w:val="bullet"/>
      <w:lvlText w:val=""/>
      <w:lvlJc w:val="left"/>
      <w:pPr>
        <w:ind w:left="1440" w:hanging="360"/>
      </w:pPr>
      <w:rPr>
        <w:rFonts w:ascii="Symbol" w:hAnsi="Symbol"/>
      </w:rPr>
    </w:lvl>
    <w:lvl w:ilvl="8" w:tplc="B1C6A480">
      <w:start w:val="1"/>
      <w:numFmt w:val="bullet"/>
      <w:lvlText w:val=""/>
      <w:lvlJc w:val="left"/>
      <w:pPr>
        <w:ind w:left="1440" w:hanging="360"/>
      </w:pPr>
      <w:rPr>
        <w:rFonts w:ascii="Symbol" w:hAnsi="Symbol"/>
      </w:rPr>
    </w:lvl>
  </w:abstractNum>
  <w:abstractNum w:abstractNumId="2" w15:restartNumberingAfterBreak="0">
    <w:nsid w:val="13CA64FE"/>
    <w:multiLevelType w:val="hybridMultilevel"/>
    <w:tmpl w:val="7BF4B0DC"/>
    <w:lvl w:ilvl="0" w:tplc="615EC1A6">
      <w:start w:val="2"/>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18261EC0"/>
    <w:multiLevelType w:val="hybridMultilevel"/>
    <w:tmpl w:val="ED7A284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C51C40"/>
    <w:multiLevelType w:val="hybridMultilevel"/>
    <w:tmpl w:val="E34435B0"/>
    <w:lvl w:ilvl="0" w:tplc="F868582C">
      <w:start w:val="1"/>
      <w:numFmt w:val="bullet"/>
      <w:lvlText w:val=""/>
      <w:lvlJc w:val="left"/>
      <w:pPr>
        <w:ind w:left="1440" w:hanging="360"/>
      </w:pPr>
      <w:rPr>
        <w:rFonts w:ascii="Symbol" w:hAnsi="Symbol"/>
      </w:rPr>
    </w:lvl>
    <w:lvl w:ilvl="1" w:tplc="013841B2">
      <w:start w:val="1"/>
      <w:numFmt w:val="bullet"/>
      <w:lvlText w:val=""/>
      <w:lvlJc w:val="left"/>
      <w:pPr>
        <w:ind w:left="1440" w:hanging="360"/>
      </w:pPr>
      <w:rPr>
        <w:rFonts w:ascii="Symbol" w:hAnsi="Symbol"/>
      </w:rPr>
    </w:lvl>
    <w:lvl w:ilvl="2" w:tplc="C3947C4A">
      <w:start w:val="1"/>
      <w:numFmt w:val="bullet"/>
      <w:lvlText w:val=""/>
      <w:lvlJc w:val="left"/>
      <w:pPr>
        <w:ind w:left="1440" w:hanging="360"/>
      </w:pPr>
      <w:rPr>
        <w:rFonts w:ascii="Symbol" w:hAnsi="Symbol"/>
      </w:rPr>
    </w:lvl>
    <w:lvl w:ilvl="3" w:tplc="BC745D48">
      <w:start w:val="1"/>
      <w:numFmt w:val="bullet"/>
      <w:lvlText w:val=""/>
      <w:lvlJc w:val="left"/>
      <w:pPr>
        <w:ind w:left="1440" w:hanging="360"/>
      </w:pPr>
      <w:rPr>
        <w:rFonts w:ascii="Symbol" w:hAnsi="Symbol"/>
      </w:rPr>
    </w:lvl>
    <w:lvl w:ilvl="4" w:tplc="FA8C9560">
      <w:start w:val="1"/>
      <w:numFmt w:val="bullet"/>
      <w:lvlText w:val=""/>
      <w:lvlJc w:val="left"/>
      <w:pPr>
        <w:ind w:left="1440" w:hanging="360"/>
      </w:pPr>
      <w:rPr>
        <w:rFonts w:ascii="Symbol" w:hAnsi="Symbol"/>
      </w:rPr>
    </w:lvl>
    <w:lvl w:ilvl="5" w:tplc="FE3A8932">
      <w:start w:val="1"/>
      <w:numFmt w:val="bullet"/>
      <w:lvlText w:val=""/>
      <w:lvlJc w:val="left"/>
      <w:pPr>
        <w:ind w:left="1440" w:hanging="360"/>
      </w:pPr>
      <w:rPr>
        <w:rFonts w:ascii="Symbol" w:hAnsi="Symbol"/>
      </w:rPr>
    </w:lvl>
    <w:lvl w:ilvl="6" w:tplc="B29ED654">
      <w:start w:val="1"/>
      <w:numFmt w:val="bullet"/>
      <w:lvlText w:val=""/>
      <w:lvlJc w:val="left"/>
      <w:pPr>
        <w:ind w:left="1440" w:hanging="360"/>
      </w:pPr>
      <w:rPr>
        <w:rFonts w:ascii="Symbol" w:hAnsi="Symbol"/>
      </w:rPr>
    </w:lvl>
    <w:lvl w:ilvl="7" w:tplc="F94EA9A6">
      <w:start w:val="1"/>
      <w:numFmt w:val="bullet"/>
      <w:lvlText w:val=""/>
      <w:lvlJc w:val="left"/>
      <w:pPr>
        <w:ind w:left="1440" w:hanging="360"/>
      </w:pPr>
      <w:rPr>
        <w:rFonts w:ascii="Symbol" w:hAnsi="Symbol"/>
      </w:rPr>
    </w:lvl>
    <w:lvl w:ilvl="8" w:tplc="B144EA74">
      <w:start w:val="1"/>
      <w:numFmt w:val="bullet"/>
      <w:lvlText w:val=""/>
      <w:lvlJc w:val="left"/>
      <w:pPr>
        <w:ind w:left="1440" w:hanging="360"/>
      </w:pPr>
      <w:rPr>
        <w:rFonts w:ascii="Symbol" w:hAnsi="Symbol"/>
      </w:rPr>
    </w:lvl>
  </w:abstractNum>
  <w:abstractNum w:abstractNumId="5" w15:restartNumberingAfterBreak="0">
    <w:nsid w:val="30876F7C"/>
    <w:multiLevelType w:val="hybridMultilevel"/>
    <w:tmpl w:val="0354F300"/>
    <w:lvl w:ilvl="0" w:tplc="10666B54">
      <w:start w:val="1"/>
      <w:numFmt w:val="decimal"/>
      <w:lvlText w:val="%1."/>
      <w:lvlJc w:val="left"/>
      <w:pPr>
        <w:ind w:left="360"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6F648F0"/>
    <w:multiLevelType w:val="hybridMultilevel"/>
    <w:tmpl w:val="E64A4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F72368"/>
    <w:multiLevelType w:val="hybridMultilevel"/>
    <w:tmpl w:val="F84E56E2"/>
    <w:lvl w:ilvl="0" w:tplc="A69882B0">
      <w:start w:val="1"/>
      <w:numFmt w:val="lowerLetter"/>
      <w:pStyle w:val="LI-BodyTextNumbered"/>
      <w:lvlText w:val="(%1)"/>
      <w:lvlJc w:val="left"/>
      <w:pPr>
        <w:ind w:left="1780" w:hanging="570"/>
      </w:pPr>
      <w:rPr>
        <w:rFonts w:ascii="Times New Roman" w:eastAsia="Times New Roman" w:hAnsi="Times New Roman" w:cs="Times New Roman"/>
        <w:i w:val="0"/>
        <w:iCs/>
      </w:rPr>
    </w:lvl>
    <w:lvl w:ilvl="1" w:tplc="519AD7E8">
      <w:start w:val="1"/>
      <w:numFmt w:val="lowerRoman"/>
      <w:pStyle w:val="LI-BodyTextSubparai"/>
      <w:lvlText w:val="(%2)"/>
      <w:lvlJc w:val="left"/>
      <w:pPr>
        <w:ind w:left="2290" w:hanging="360"/>
      </w:pPr>
      <w:rPr>
        <w:rFonts w:hint="default"/>
      </w:rPr>
    </w:lvl>
    <w:lvl w:ilvl="2" w:tplc="8656FBF4">
      <w:start w:val="1"/>
      <w:numFmt w:val="upperLetter"/>
      <w:pStyle w:val="LI-BodyTextSubsubparaA"/>
      <w:lvlText w:val="(%3)"/>
      <w:lvlJc w:val="right"/>
      <w:pPr>
        <w:ind w:left="3010" w:hanging="180"/>
      </w:pPr>
      <w:rPr>
        <w:rFonts w:hint="default"/>
      </w:r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8" w15:restartNumberingAfterBreak="0">
    <w:nsid w:val="46270C06"/>
    <w:multiLevelType w:val="hybridMultilevel"/>
    <w:tmpl w:val="AD88CC58"/>
    <w:lvl w:ilvl="0" w:tplc="732867D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CB16E5"/>
    <w:multiLevelType w:val="hybridMultilevel"/>
    <w:tmpl w:val="BDA63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E27D58"/>
    <w:multiLevelType w:val="hybridMultilevel"/>
    <w:tmpl w:val="00B69986"/>
    <w:lvl w:ilvl="0" w:tplc="4E42AD00">
      <w:start w:val="1"/>
      <w:numFmt w:val="lowerLetter"/>
      <w:lvlText w:val="(%1)"/>
      <w:lvlJc w:val="left"/>
      <w:pPr>
        <w:ind w:left="1069" w:hanging="360"/>
      </w:pPr>
      <w:rPr>
        <w:rFonts w:ascii="Times New Roman" w:eastAsia="Times New Roman" w:hAnsi="Times New Roman"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770F5898"/>
    <w:multiLevelType w:val="hybridMultilevel"/>
    <w:tmpl w:val="BDF4E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006FC5"/>
    <w:multiLevelType w:val="hybridMultilevel"/>
    <w:tmpl w:val="52D64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3368525">
    <w:abstractNumId w:val="7"/>
  </w:num>
  <w:num w:numId="2" w16cid:durableId="2078506932">
    <w:abstractNumId w:val="7"/>
    <w:lvlOverride w:ilvl="0">
      <w:startOverride w:val="1"/>
    </w:lvlOverride>
  </w:num>
  <w:num w:numId="3" w16cid:durableId="1766923361">
    <w:abstractNumId w:val="7"/>
    <w:lvlOverride w:ilvl="0">
      <w:startOverride w:val="1"/>
    </w:lvlOverride>
  </w:num>
  <w:num w:numId="4" w16cid:durableId="641155441">
    <w:abstractNumId w:val="3"/>
  </w:num>
  <w:num w:numId="5" w16cid:durableId="1110933305">
    <w:abstractNumId w:val="7"/>
    <w:lvlOverride w:ilvl="0">
      <w:startOverride w:val="1"/>
    </w:lvlOverride>
  </w:num>
  <w:num w:numId="6" w16cid:durableId="1991055794">
    <w:abstractNumId w:val="6"/>
  </w:num>
  <w:num w:numId="7" w16cid:durableId="2015690822">
    <w:abstractNumId w:val="4"/>
  </w:num>
  <w:num w:numId="8" w16cid:durableId="502280119">
    <w:abstractNumId w:val="1"/>
  </w:num>
  <w:num w:numId="9" w16cid:durableId="2036269634">
    <w:abstractNumId w:val="11"/>
  </w:num>
  <w:num w:numId="10" w16cid:durableId="386490071">
    <w:abstractNumId w:val="2"/>
  </w:num>
  <w:num w:numId="11" w16cid:durableId="1070809935">
    <w:abstractNumId w:val="9"/>
  </w:num>
  <w:num w:numId="12" w16cid:durableId="1742630003">
    <w:abstractNumId w:val="8"/>
  </w:num>
  <w:num w:numId="13" w16cid:durableId="889149682">
    <w:abstractNumId w:val="10"/>
  </w:num>
  <w:num w:numId="14" w16cid:durableId="1759211033">
    <w:abstractNumId w:val="5"/>
  </w:num>
  <w:num w:numId="15" w16cid:durableId="1106776060">
    <w:abstractNumId w:val="7"/>
  </w:num>
  <w:num w:numId="16" w16cid:durableId="1430616712">
    <w:abstractNumId w:val="7"/>
  </w:num>
  <w:num w:numId="17" w16cid:durableId="53242273">
    <w:abstractNumId w:val="7"/>
  </w:num>
  <w:num w:numId="18" w16cid:durableId="1865822655">
    <w:abstractNumId w:val="7"/>
  </w:num>
  <w:num w:numId="19" w16cid:durableId="2051416134">
    <w:abstractNumId w:val="7"/>
  </w:num>
  <w:num w:numId="20" w16cid:durableId="787040987">
    <w:abstractNumId w:val="0"/>
  </w:num>
  <w:num w:numId="21" w16cid:durableId="897397461">
    <w:abstractNumId w:val="7"/>
  </w:num>
  <w:num w:numId="22" w16cid:durableId="286207450">
    <w:abstractNumId w:val="7"/>
  </w:num>
  <w:num w:numId="23" w16cid:durableId="845553335">
    <w:abstractNumId w:val="7"/>
  </w:num>
  <w:num w:numId="24" w16cid:durableId="974569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07"/>
    <w:rsid w:val="00006213"/>
    <w:rsid w:val="000077E2"/>
    <w:rsid w:val="000155DB"/>
    <w:rsid w:val="0001618C"/>
    <w:rsid w:val="00020046"/>
    <w:rsid w:val="00022FC7"/>
    <w:rsid w:val="00030795"/>
    <w:rsid w:val="000440AC"/>
    <w:rsid w:val="00046714"/>
    <w:rsid w:val="000633AC"/>
    <w:rsid w:val="00064286"/>
    <w:rsid w:val="00066B0E"/>
    <w:rsid w:val="000726C0"/>
    <w:rsid w:val="000727D5"/>
    <w:rsid w:val="00077208"/>
    <w:rsid w:val="00080E6F"/>
    <w:rsid w:val="00081783"/>
    <w:rsid w:val="00090DEB"/>
    <w:rsid w:val="00091303"/>
    <w:rsid w:val="000975AF"/>
    <w:rsid w:val="00097AF6"/>
    <w:rsid w:val="000A5817"/>
    <w:rsid w:val="000B0902"/>
    <w:rsid w:val="000B3168"/>
    <w:rsid w:val="000B4059"/>
    <w:rsid w:val="000B57C7"/>
    <w:rsid w:val="000C2625"/>
    <w:rsid w:val="000C3C6A"/>
    <w:rsid w:val="000D6396"/>
    <w:rsid w:val="000D696D"/>
    <w:rsid w:val="000D6E0A"/>
    <w:rsid w:val="000D79F5"/>
    <w:rsid w:val="000E1F41"/>
    <w:rsid w:val="000E37E9"/>
    <w:rsid w:val="000E4CCF"/>
    <w:rsid w:val="000E4FD7"/>
    <w:rsid w:val="00102E5B"/>
    <w:rsid w:val="00104978"/>
    <w:rsid w:val="00112AD2"/>
    <w:rsid w:val="00121791"/>
    <w:rsid w:val="001232C0"/>
    <w:rsid w:val="00136250"/>
    <w:rsid w:val="00136262"/>
    <w:rsid w:val="00136EB8"/>
    <w:rsid w:val="00141090"/>
    <w:rsid w:val="001424A8"/>
    <w:rsid w:val="00143BC0"/>
    <w:rsid w:val="001503A5"/>
    <w:rsid w:val="00150960"/>
    <w:rsid w:val="00153130"/>
    <w:rsid w:val="001564BF"/>
    <w:rsid w:val="001612DC"/>
    <w:rsid w:val="00161FC6"/>
    <w:rsid w:val="00162CF2"/>
    <w:rsid w:val="001655B5"/>
    <w:rsid w:val="00166B09"/>
    <w:rsid w:val="0017118C"/>
    <w:rsid w:val="0018433B"/>
    <w:rsid w:val="00193F12"/>
    <w:rsid w:val="001A3247"/>
    <w:rsid w:val="001A6AF9"/>
    <w:rsid w:val="001A6E80"/>
    <w:rsid w:val="001B3FCE"/>
    <w:rsid w:val="001C0914"/>
    <w:rsid w:val="001C6E9E"/>
    <w:rsid w:val="001C7126"/>
    <w:rsid w:val="001D1966"/>
    <w:rsid w:val="001D1DC0"/>
    <w:rsid w:val="001D55B3"/>
    <w:rsid w:val="001D5992"/>
    <w:rsid w:val="001D6ECC"/>
    <w:rsid w:val="001D7752"/>
    <w:rsid w:val="001E2C99"/>
    <w:rsid w:val="001E3813"/>
    <w:rsid w:val="001E6264"/>
    <w:rsid w:val="001F6436"/>
    <w:rsid w:val="00210195"/>
    <w:rsid w:val="00215302"/>
    <w:rsid w:val="002160EA"/>
    <w:rsid w:val="00220043"/>
    <w:rsid w:val="00223E17"/>
    <w:rsid w:val="002256AF"/>
    <w:rsid w:val="0022695C"/>
    <w:rsid w:val="002364A0"/>
    <w:rsid w:val="002468B4"/>
    <w:rsid w:val="0025078D"/>
    <w:rsid w:val="0025427A"/>
    <w:rsid w:val="00254E5E"/>
    <w:rsid w:val="00260D0B"/>
    <w:rsid w:val="00261C08"/>
    <w:rsid w:val="0026424C"/>
    <w:rsid w:val="00271FC3"/>
    <w:rsid w:val="00273725"/>
    <w:rsid w:val="00274E1E"/>
    <w:rsid w:val="00290A7B"/>
    <w:rsid w:val="002A2640"/>
    <w:rsid w:val="002A38F1"/>
    <w:rsid w:val="002A4151"/>
    <w:rsid w:val="002B24BB"/>
    <w:rsid w:val="002B47FC"/>
    <w:rsid w:val="002C452A"/>
    <w:rsid w:val="002D71FE"/>
    <w:rsid w:val="002E5192"/>
    <w:rsid w:val="002F0D7F"/>
    <w:rsid w:val="002F20EF"/>
    <w:rsid w:val="0030043D"/>
    <w:rsid w:val="003017EE"/>
    <w:rsid w:val="00302F18"/>
    <w:rsid w:val="003030A0"/>
    <w:rsid w:val="003207F3"/>
    <w:rsid w:val="003247FE"/>
    <w:rsid w:val="00326222"/>
    <w:rsid w:val="00327206"/>
    <w:rsid w:val="00337155"/>
    <w:rsid w:val="0034401A"/>
    <w:rsid w:val="0035060E"/>
    <w:rsid w:val="00362EEA"/>
    <w:rsid w:val="0036605A"/>
    <w:rsid w:val="00366B7D"/>
    <w:rsid w:val="003717C3"/>
    <w:rsid w:val="00372AB4"/>
    <w:rsid w:val="00374993"/>
    <w:rsid w:val="00375543"/>
    <w:rsid w:val="00377E0D"/>
    <w:rsid w:val="00382123"/>
    <w:rsid w:val="0038229F"/>
    <w:rsid w:val="00383E70"/>
    <w:rsid w:val="003A134C"/>
    <w:rsid w:val="003B00F2"/>
    <w:rsid w:val="003C4C3D"/>
    <w:rsid w:val="003C5202"/>
    <w:rsid w:val="003C6717"/>
    <w:rsid w:val="003C6AD6"/>
    <w:rsid w:val="003D2319"/>
    <w:rsid w:val="003D6C6F"/>
    <w:rsid w:val="003E1E90"/>
    <w:rsid w:val="003E33F0"/>
    <w:rsid w:val="003E4A0B"/>
    <w:rsid w:val="003E63D5"/>
    <w:rsid w:val="003E70B2"/>
    <w:rsid w:val="003E7DC5"/>
    <w:rsid w:val="003F1291"/>
    <w:rsid w:val="003F72E4"/>
    <w:rsid w:val="004078DE"/>
    <w:rsid w:val="004116DE"/>
    <w:rsid w:val="0042161A"/>
    <w:rsid w:val="00426F20"/>
    <w:rsid w:val="00426F6E"/>
    <w:rsid w:val="004328D6"/>
    <w:rsid w:val="00432DCB"/>
    <w:rsid w:val="004366CB"/>
    <w:rsid w:val="00436CEB"/>
    <w:rsid w:val="004419BF"/>
    <w:rsid w:val="0045170D"/>
    <w:rsid w:val="0045191C"/>
    <w:rsid w:val="00464D26"/>
    <w:rsid w:val="00475B54"/>
    <w:rsid w:val="00486241"/>
    <w:rsid w:val="004904D4"/>
    <w:rsid w:val="004913AE"/>
    <w:rsid w:val="00495511"/>
    <w:rsid w:val="004A274C"/>
    <w:rsid w:val="004B1452"/>
    <w:rsid w:val="004B1A40"/>
    <w:rsid w:val="004B3AF1"/>
    <w:rsid w:val="004B7854"/>
    <w:rsid w:val="004D2155"/>
    <w:rsid w:val="004E3708"/>
    <w:rsid w:val="00514A75"/>
    <w:rsid w:val="0051515E"/>
    <w:rsid w:val="00515D48"/>
    <w:rsid w:val="00516833"/>
    <w:rsid w:val="00533F9D"/>
    <w:rsid w:val="00543187"/>
    <w:rsid w:val="00544A3A"/>
    <w:rsid w:val="00546ABE"/>
    <w:rsid w:val="00550C71"/>
    <w:rsid w:val="00557831"/>
    <w:rsid w:val="00566420"/>
    <w:rsid w:val="00581054"/>
    <w:rsid w:val="005B2E19"/>
    <w:rsid w:val="005B3360"/>
    <w:rsid w:val="005B37C7"/>
    <w:rsid w:val="005B5E36"/>
    <w:rsid w:val="005C49EE"/>
    <w:rsid w:val="005C4A20"/>
    <w:rsid w:val="005C58F6"/>
    <w:rsid w:val="005C6679"/>
    <w:rsid w:val="005D3531"/>
    <w:rsid w:val="005D6F90"/>
    <w:rsid w:val="005E2E65"/>
    <w:rsid w:val="005E33DE"/>
    <w:rsid w:val="005E441E"/>
    <w:rsid w:val="005F37E4"/>
    <w:rsid w:val="005F7504"/>
    <w:rsid w:val="005F793A"/>
    <w:rsid w:val="00600117"/>
    <w:rsid w:val="00604549"/>
    <w:rsid w:val="00605515"/>
    <w:rsid w:val="00607B54"/>
    <w:rsid w:val="00614FB3"/>
    <w:rsid w:val="00615096"/>
    <w:rsid w:val="00615A8D"/>
    <w:rsid w:val="0062161A"/>
    <w:rsid w:val="00630C68"/>
    <w:rsid w:val="00631EF0"/>
    <w:rsid w:val="006436EB"/>
    <w:rsid w:val="006438CF"/>
    <w:rsid w:val="0065069C"/>
    <w:rsid w:val="006509B6"/>
    <w:rsid w:val="00650F5B"/>
    <w:rsid w:val="006607AB"/>
    <w:rsid w:val="006611B4"/>
    <w:rsid w:val="00661EF0"/>
    <w:rsid w:val="00663C54"/>
    <w:rsid w:val="00667289"/>
    <w:rsid w:val="00675090"/>
    <w:rsid w:val="006760E3"/>
    <w:rsid w:val="006777B0"/>
    <w:rsid w:val="00681B79"/>
    <w:rsid w:val="00682BCC"/>
    <w:rsid w:val="00687C3E"/>
    <w:rsid w:val="00694C87"/>
    <w:rsid w:val="006A0AA4"/>
    <w:rsid w:val="006A7596"/>
    <w:rsid w:val="006B375C"/>
    <w:rsid w:val="006B4FBE"/>
    <w:rsid w:val="006B5F65"/>
    <w:rsid w:val="006B769A"/>
    <w:rsid w:val="006C4950"/>
    <w:rsid w:val="006D6B1A"/>
    <w:rsid w:val="006E2425"/>
    <w:rsid w:val="006E3C61"/>
    <w:rsid w:val="006E4735"/>
    <w:rsid w:val="006F7D5F"/>
    <w:rsid w:val="00701498"/>
    <w:rsid w:val="007079A5"/>
    <w:rsid w:val="007145FD"/>
    <w:rsid w:val="00716261"/>
    <w:rsid w:val="0072114E"/>
    <w:rsid w:val="00723E69"/>
    <w:rsid w:val="00725AB8"/>
    <w:rsid w:val="00732F0C"/>
    <w:rsid w:val="007340C4"/>
    <w:rsid w:val="00740331"/>
    <w:rsid w:val="00741884"/>
    <w:rsid w:val="00745369"/>
    <w:rsid w:val="007512BF"/>
    <w:rsid w:val="00753483"/>
    <w:rsid w:val="007557FA"/>
    <w:rsid w:val="007576B7"/>
    <w:rsid w:val="007611F6"/>
    <w:rsid w:val="007617C3"/>
    <w:rsid w:val="0076366F"/>
    <w:rsid w:val="00764494"/>
    <w:rsid w:val="007658DE"/>
    <w:rsid w:val="00767FCF"/>
    <w:rsid w:val="007700D6"/>
    <w:rsid w:val="00774F3C"/>
    <w:rsid w:val="00785C1E"/>
    <w:rsid w:val="00793010"/>
    <w:rsid w:val="00797F78"/>
    <w:rsid w:val="007B0E84"/>
    <w:rsid w:val="007B1EC2"/>
    <w:rsid w:val="007B1F80"/>
    <w:rsid w:val="007B218A"/>
    <w:rsid w:val="007B297D"/>
    <w:rsid w:val="007B66FD"/>
    <w:rsid w:val="007E2569"/>
    <w:rsid w:val="007E4497"/>
    <w:rsid w:val="007F3FFF"/>
    <w:rsid w:val="00804866"/>
    <w:rsid w:val="00813F40"/>
    <w:rsid w:val="00815C5F"/>
    <w:rsid w:val="00816129"/>
    <w:rsid w:val="0082375E"/>
    <w:rsid w:val="00830E7B"/>
    <w:rsid w:val="00832B94"/>
    <w:rsid w:val="00832CFF"/>
    <w:rsid w:val="008354D1"/>
    <w:rsid w:val="008374D1"/>
    <w:rsid w:val="00837A15"/>
    <w:rsid w:val="00837BD6"/>
    <w:rsid w:val="00841EBD"/>
    <w:rsid w:val="00852B6B"/>
    <w:rsid w:val="0085735F"/>
    <w:rsid w:val="00860758"/>
    <w:rsid w:val="00865E97"/>
    <w:rsid w:val="0087060A"/>
    <w:rsid w:val="008736DF"/>
    <w:rsid w:val="00876564"/>
    <w:rsid w:val="00876685"/>
    <w:rsid w:val="0087725B"/>
    <w:rsid w:val="0089049A"/>
    <w:rsid w:val="008A2DB0"/>
    <w:rsid w:val="008A2E43"/>
    <w:rsid w:val="008A33D8"/>
    <w:rsid w:val="008A350A"/>
    <w:rsid w:val="008A3632"/>
    <w:rsid w:val="008B00E6"/>
    <w:rsid w:val="008B2E3C"/>
    <w:rsid w:val="008C057E"/>
    <w:rsid w:val="008C3A40"/>
    <w:rsid w:val="008C7AEE"/>
    <w:rsid w:val="008E1533"/>
    <w:rsid w:val="008F016C"/>
    <w:rsid w:val="008F1235"/>
    <w:rsid w:val="008F28E8"/>
    <w:rsid w:val="009004AF"/>
    <w:rsid w:val="009033E0"/>
    <w:rsid w:val="00910A6D"/>
    <w:rsid w:val="00910B62"/>
    <w:rsid w:val="00911131"/>
    <w:rsid w:val="00912E10"/>
    <w:rsid w:val="00925A24"/>
    <w:rsid w:val="00926724"/>
    <w:rsid w:val="00930CC5"/>
    <w:rsid w:val="00932249"/>
    <w:rsid w:val="00934E66"/>
    <w:rsid w:val="009433A3"/>
    <w:rsid w:val="00945B68"/>
    <w:rsid w:val="00952165"/>
    <w:rsid w:val="00980442"/>
    <w:rsid w:val="009807E5"/>
    <w:rsid w:val="00981F3C"/>
    <w:rsid w:val="00996999"/>
    <w:rsid w:val="009A1788"/>
    <w:rsid w:val="009A52CA"/>
    <w:rsid w:val="009A58E9"/>
    <w:rsid w:val="009B18B0"/>
    <w:rsid w:val="009B2A9A"/>
    <w:rsid w:val="009B4C24"/>
    <w:rsid w:val="009B6F90"/>
    <w:rsid w:val="009B7DA4"/>
    <w:rsid w:val="009C087D"/>
    <w:rsid w:val="009C0B8F"/>
    <w:rsid w:val="009D01CB"/>
    <w:rsid w:val="009D0572"/>
    <w:rsid w:val="009D2062"/>
    <w:rsid w:val="009D2786"/>
    <w:rsid w:val="009E0C96"/>
    <w:rsid w:val="009E2A42"/>
    <w:rsid w:val="009F15DC"/>
    <w:rsid w:val="009F5C9E"/>
    <w:rsid w:val="00A05122"/>
    <w:rsid w:val="00A117C5"/>
    <w:rsid w:val="00A14D63"/>
    <w:rsid w:val="00A17285"/>
    <w:rsid w:val="00A178B2"/>
    <w:rsid w:val="00A219FC"/>
    <w:rsid w:val="00A3008A"/>
    <w:rsid w:val="00A32AFE"/>
    <w:rsid w:val="00A368C4"/>
    <w:rsid w:val="00A4329C"/>
    <w:rsid w:val="00A46876"/>
    <w:rsid w:val="00A517A9"/>
    <w:rsid w:val="00A543FD"/>
    <w:rsid w:val="00A626C3"/>
    <w:rsid w:val="00A63E50"/>
    <w:rsid w:val="00A6737F"/>
    <w:rsid w:val="00A71298"/>
    <w:rsid w:val="00A76150"/>
    <w:rsid w:val="00A80693"/>
    <w:rsid w:val="00A90ABA"/>
    <w:rsid w:val="00AA3935"/>
    <w:rsid w:val="00AB719A"/>
    <w:rsid w:val="00AC300A"/>
    <w:rsid w:val="00AC6322"/>
    <w:rsid w:val="00AC79F5"/>
    <w:rsid w:val="00AD2B6D"/>
    <w:rsid w:val="00AE0B51"/>
    <w:rsid w:val="00AE2E9D"/>
    <w:rsid w:val="00AE4609"/>
    <w:rsid w:val="00AF40F0"/>
    <w:rsid w:val="00AF554A"/>
    <w:rsid w:val="00AF5E87"/>
    <w:rsid w:val="00B05D9C"/>
    <w:rsid w:val="00B13002"/>
    <w:rsid w:val="00B15C2C"/>
    <w:rsid w:val="00B2098F"/>
    <w:rsid w:val="00B317A1"/>
    <w:rsid w:val="00B3213C"/>
    <w:rsid w:val="00B32A14"/>
    <w:rsid w:val="00B51043"/>
    <w:rsid w:val="00B617CB"/>
    <w:rsid w:val="00B62EA4"/>
    <w:rsid w:val="00B66BFC"/>
    <w:rsid w:val="00B675E0"/>
    <w:rsid w:val="00B76F55"/>
    <w:rsid w:val="00B778CA"/>
    <w:rsid w:val="00B87532"/>
    <w:rsid w:val="00BA0CFD"/>
    <w:rsid w:val="00BA51E2"/>
    <w:rsid w:val="00BC3C1A"/>
    <w:rsid w:val="00BC67D6"/>
    <w:rsid w:val="00BD039F"/>
    <w:rsid w:val="00BE20C6"/>
    <w:rsid w:val="00BE2536"/>
    <w:rsid w:val="00BE7E55"/>
    <w:rsid w:val="00BF1DE1"/>
    <w:rsid w:val="00C00863"/>
    <w:rsid w:val="00C050BE"/>
    <w:rsid w:val="00C122FA"/>
    <w:rsid w:val="00C224D9"/>
    <w:rsid w:val="00C312F7"/>
    <w:rsid w:val="00C33BA7"/>
    <w:rsid w:val="00C34C2C"/>
    <w:rsid w:val="00C3725B"/>
    <w:rsid w:val="00C453BF"/>
    <w:rsid w:val="00C45B7D"/>
    <w:rsid w:val="00C47FE2"/>
    <w:rsid w:val="00C52FC1"/>
    <w:rsid w:val="00C61FE8"/>
    <w:rsid w:val="00C623D2"/>
    <w:rsid w:val="00C6599C"/>
    <w:rsid w:val="00C70807"/>
    <w:rsid w:val="00C75ABD"/>
    <w:rsid w:val="00C763BB"/>
    <w:rsid w:val="00C77DDA"/>
    <w:rsid w:val="00C77FD2"/>
    <w:rsid w:val="00C845EA"/>
    <w:rsid w:val="00C93309"/>
    <w:rsid w:val="00CA0F12"/>
    <w:rsid w:val="00CA163A"/>
    <w:rsid w:val="00CA4816"/>
    <w:rsid w:val="00CB2CD5"/>
    <w:rsid w:val="00CB2E85"/>
    <w:rsid w:val="00CB331B"/>
    <w:rsid w:val="00CB556F"/>
    <w:rsid w:val="00CC6059"/>
    <w:rsid w:val="00CC6ACF"/>
    <w:rsid w:val="00CD06FA"/>
    <w:rsid w:val="00CD0798"/>
    <w:rsid w:val="00CD082E"/>
    <w:rsid w:val="00CD3ED4"/>
    <w:rsid w:val="00CD52E4"/>
    <w:rsid w:val="00CF0B37"/>
    <w:rsid w:val="00D049F3"/>
    <w:rsid w:val="00D100A2"/>
    <w:rsid w:val="00D1288B"/>
    <w:rsid w:val="00D144BB"/>
    <w:rsid w:val="00D2029A"/>
    <w:rsid w:val="00D3112F"/>
    <w:rsid w:val="00D51FB5"/>
    <w:rsid w:val="00D55C95"/>
    <w:rsid w:val="00D57734"/>
    <w:rsid w:val="00D57F96"/>
    <w:rsid w:val="00D603AA"/>
    <w:rsid w:val="00D85DFF"/>
    <w:rsid w:val="00D91E71"/>
    <w:rsid w:val="00D96CB9"/>
    <w:rsid w:val="00DB3D26"/>
    <w:rsid w:val="00DB44FF"/>
    <w:rsid w:val="00DB58E3"/>
    <w:rsid w:val="00DB75BB"/>
    <w:rsid w:val="00DC261A"/>
    <w:rsid w:val="00DC58E6"/>
    <w:rsid w:val="00DC71C7"/>
    <w:rsid w:val="00DE320D"/>
    <w:rsid w:val="00DF2356"/>
    <w:rsid w:val="00E01311"/>
    <w:rsid w:val="00E120A7"/>
    <w:rsid w:val="00E1405F"/>
    <w:rsid w:val="00E2070A"/>
    <w:rsid w:val="00E21844"/>
    <w:rsid w:val="00E224C3"/>
    <w:rsid w:val="00E2638B"/>
    <w:rsid w:val="00E27803"/>
    <w:rsid w:val="00E35569"/>
    <w:rsid w:val="00E47AE7"/>
    <w:rsid w:val="00E50422"/>
    <w:rsid w:val="00E566D2"/>
    <w:rsid w:val="00E56DD6"/>
    <w:rsid w:val="00E62F73"/>
    <w:rsid w:val="00E67B8D"/>
    <w:rsid w:val="00E67BCF"/>
    <w:rsid w:val="00E80D8C"/>
    <w:rsid w:val="00E81B5E"/>
    <w:rsid w:val="00E820FB"/>
    <w:rsid w:val="00E826F3"/>
    <w:rsid w:val="00E847DF"/>
    <w:rsid w:val="00E86F40"/>
    <w:rsid w:val="00E94B7C"/>
    <w:rsid w:val="00E97D8B"/>
    <w:rsid w:val="00EA136E"/>
    <w:rsid w:val="00EA23BB"/>
    <w:rsid w:val="00EB0CBD"/>
    <w:rsid w:val="00EB2079"/>
    <w:rsid w:val="00EB43AB"/>
    <w:rsid w:val="00EB47B8"/>
    <w:rsid w:val="00EC2024"/>
    <w:rsid w:val="00EC2462"/>
    <w:rsid w:val="00EC7427"/>
    <w:rsid w:val="00EF0ADE"/>
    <w:rsid w:val="00EF2614"/>
    <w:rsid w:val="00F0643D"/>
    <w:rsid w:val="00F16A57"/>
    <w:rsid w:val="00F16BCE"/>
    <w:rsid w:val="00F21307"/>
    <w:rsid w:val="00F21969"/>
    <w:rsid w:val="00F33264"/>
    <w:rsid w:val="00F42D4D"/>
    <w:rsid w:val="00F42EB8"/>
    <w:rsid w:val="00F44350"/>
    <w:rsid w:val="00F52114"/>
    <w:rsid w:val="00F532CE"/>
    <w:rsid w:val="00F5568D"/>
    <w:rsid w:val="00F57294"/>
    <w:rsid w:val="00F6018C"/>
    <w:rsid w:val="00F625B0"/>
    <w:rsid w:val="00F67228"/>
    <w:rsid w:val="00F76FD7"/>
    <w:rsid w:val="00F77312"/>
    <w:rsid w:val="00F917F7"/>
    <w:rsid w:val="00F965DB"/>
    <w:rsid w:val="00FA0792"/>
    <w:rsid w:val="00FA6681"/>
    <w:rsid w:val="00FB029B"/>
    <w:rsid w:val="00FB3C2C"/>
    <w:rsid w:val="00FB572F"/>
    <w:rsid w:val="00FC30C0"/>
    <w:rsid w:val="00FC498A"/>
    <w:rsid w:val="00FC4D26"/>
    <w:rsid w:val="00FC7932"/>
    <w:rsid w:val="00FD46B3"/>
    <w:rsid w:val="00FE437D"/>
    <w:rsid w:val="00FE571C"/>
    <w:rsid w:val="00FF2916"/>
    <w:rsid w:val="00FF48E2"/>
    <w:rsid w:val="00FF7823"/>
    <w:rsid w:val="019F291E"/>
    <w:rsid w:val="030057B1"/>
    <w:rsid w:val="03103CF6"/>
    <w:rsid w:val="05BD708F"/>
    <w:rsid w:val="064CD08B"/>
    <w:rsid w:val="06AF08CF"/>
    <w:rsid w:val="073EA2C7"/>
    <w:rsid w:val="0740168E"/>
    <w:rsid w:val="089A33D7"/>
    <w:rsid w:val="0A263DF4"/>
    <w:rsid w:val="0BDFE842"/>
    <w:rsid w:val="0CDC5708"/>
    <w:rsid w:val="106E9547"/>
    <w:rsid w:val="1153A8B9"/>
    <w:rsid w:val="11C32942"/>
    <w:rsid w:val="130DCFDB"/>
    <w:rsid w:val="135391A3"/>
    <w:rsid w:val="15B0EC2E"/>
    <w:rsid w:val="16130E70"/>
    <w:rsid w:val="167B24F3"/>
    <w:rsid w:val="1E75F3C0"/>
    <w:rsid w:val="1E8B5644"/>
    <w:rsid w:val="1F87432B"/>
    <w:rsid w:val="20D87C42"/>
    <w:rsid w:val="232AE411"/>
    <w:rsid w:val="243CACEB"/>
    <w:rsid w:val="25EA6A3F"/>
    <w:rsid w:val="2774C898"/>
    <w:rsid w:val="27A9E9D6"/>
    <w:rsid w:val="2B6A5615"/>
    <w:rsid w:val="2BA0CB2D"/>
    <w:rsid w:val="2C24FD4F"/>
    <w:rsid w:val="2CE665C5"/>
    <w:rsid w:val="2DE40A1C"/>
    <w:rsid w:val="2EC21951"/>
    <w:rsid w:val="30C6DF53"/>
    <w:rsid w:val="315EA535"/>
    <w:rsid w:val="333031AB"/>
    <w:rsid w:val="3443A8C0"/>
    <w:rsid w:val="35D5F3A4"/>
    <w:rsid w:val="3679B7B0"/>
    <w:rsid w:val="3770D2D8"/>
    <w:rsid w:val="39B43102"/>
    <w:rsid w:val="3A65D3F9"/>
    <w:rsid w:val="3C09297D"/>
    <w:rsid w:val="3C7A5666"/>
    <w:rsid w:val="3DF36A8B"/>
    <w:rsid w:val="3E828C8D"/>
    <w:rsid w:val="3EE027B7"/>
    <w:rsid w:val="3F6B05E4"/>
    <w:rsid w:val="4087FF32"/>
    <w:rsid w:val="41B66AA0"/>
    <w:rsid w:val="434EA227"/>
    <w:rsid w:val="4677B86D"/>
    <w:rsid w:val="4B1E2DE4"/>
    <w:rsid w:val="4B961E24"/>
    <w:rsid w:val="4C8840CE"/>
    <w:rsid w:val="4E935B66"/>
    <w:rsid w:val="4F1121E1"/>
    <w:rsid w:val="508E2F42"/>
    <w:rsid w:val="546E1245"/>
    <w:rsid w:val="568247B2"/>
    <w:rsid w:val="5720B0B7"/>
    <w:rsid w:val="58D77B31"/>
    <w:rsid w:val="5CEA7F21"/>
    <w:rsid w:val="5DBB83BD"/>
    <w:rsid w:val="62A05F38"/>
    <w:rsid w:val="6352DFE8"/>
    <w:rsid w:val="6798087B"/>
    <w:rsid w:val="68A8A4C8"/>
    <w:rsid w:val="69B1406B"/>
    <w:rsid w:val="6DFB3E1D"/>
    <w:rsid w:val="6E86703F"/>
    <w:rsid w:val="71EA2EE6"/>
    <w:rsid w:val="730C82AF"/>
    <w:rsid w:val="73814FB9"/>
    <w:rsid w:val="73E6AE81"/>
    <w:rsid w:val="74DAC7D9"/>
    <w:rsid w:val="7CE3D0A9"/>
    <w:rsid w:val="7F2E75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2A477"/>
  <w15:chartTrackingRefBased/>
  <w15:docId w15:val="{574487A8-6320-4E66-8A9E-39CD3C1D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0807"/>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C70807"/>
    <w:pPr>
      <w:pBdr>
        <w:top w:val="single" w:sz="4" w:space="1" w:color="auto"/>
      </w:pBdr>
      <w:spacing w:line="240" w:lineRule="auto"/>
    </w:pPr>
    <w:rPr>
      <w:rFonts w:eastAsia="Times New Roman"/>
      <w:b/>
      <w:sz w:val="40"/>
      <w:lang w:eastAsia="en-AU"/>
    </w:rPr>
  </w:style>
  <w:style w:type="paragraph" w:customStyle="1" w:styleId="LI-Heading2">
    <w:name w:val="LI - Heading 2"/>
    <w:basedOn w:val="Normal"/>
    <w:next w:val="Normal"/>
    <w:qFormat/>
    <w:rsid w:val="00C70807"/>
    <w:pPr>
      <w:keepNext/>
      <w:keepLines/>
      <w:spacing w:before="360" w:line="240" w:lineRule="auto"/>
      <w:ind w:left="567" w:hanging="567"/>
      <w:outlineLvl w:val="1"/>
    </w:pPr>
    <w:rPr>
      <w:rFonts w:eastAsia="Times New Roman"/>
      <w:b/>
      <w:kern w:val="28"/>
      <w:sz w:val="24"/>
      <w:lang w:eastAsia="en-AU"/>
    </w:rPr>
  </w:style>
  <w:style w:type="paragraph" w:styleId="Header">
    <w:name w:val="header"/>
    <w:basedOn w:val="Normal"/>
    <w:link w:val="HeaderChar"/>
    <w:unhideWhenUsed/>
    <w:rsid w:val="00C70807"/>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C70807"/>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C70807"/>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C7080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C70807"/>
    <w:rPr>
      <w:rFonts w:ascii="Times New Roman" w:eastAsia="Times New Roman" w:hAnsi="Times New Roman" w:cs="Times New Roman"/>
      <w:szCs w:val="24"/>
      <w:lang w:eastAsia="en-AU"/>
    </w:rPr>
  </w:style>
  <w:style w:type="paragraph" w:customStyle="1" w:styleId="LI-BodyTextSubparai">
    <w:name w:val="LI - Body Text Subpara (i)"/>
    <w:basedOn w:val="LI-BodyTextNumbered"/>
    <w:link w:val="LI-BodyTextSubparaiChar"/>
    <w:qFormat/>
    <w:rsid w:val="00C70807"/>
    <w:pPr>
      <w:numPr>
        <w:ilvl w:val="1"/>
      </w:numPr>
      <w:tabs>
        <w:tab w:val="num" w:pos="360"/>
      </w:tabs>
      <w:ind w:hanging="589"/>
    </w:pPr>
  </w:style>
  <w:style w:type="paragraph" w:customStyle="1" w:styleId="LI-BodyTextSubsubparaA">
    <w:name w:val="LI - Body Text Subsubpara (A)"/>
    <w:basedOn w:val="LI-BodyTextSubparai"/>
    <w:qFormat/>
    <w:rsid w:val="00C70807"/>
    <w:pPr>
      <w:numPr>
        <w:ilvl w:val="2"/>
      </w:numPr>
      <w:tabs>
        <w:tab w:val="num" w:pos="360"/>
      </w:tabs>
    </w:pPr>
  </w:style>
  <w:style w:type="character" w:customStyle="1" w:styleId="LI-BodyTextParaaChar">
    <w:name w:val="LI - Body Text Para (a) Char"/>
    <w:link w:val="LI-BodyTextParaa"/>
    <w:rsid w:val="00C70807"/>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C70807"/>
    <w:rPr>
      <w:rFonts w:ascii="Times New Roman" w:eastAsia="Times New Roman" w:hAnsi="Times New Roman" w:cs="Times New Roman"/>
      <w:sz w:val="24"/>
      <w:szCs w:val="24"/>
      <w:lang w:eastAsia="en-AU"/>
    </w:rPr>
  </w:style>
  <w:style w:type="paragraph" w:customStyle="1" w:styleId="LI-BodyTextNumbered">
    <w:name w:val="LI - Body Text Numbered"/>
    <w:basedOn w:val="LI-BodyTextParaa"/>
    <w:link w:val="LI-BodyTextNumberedChar"/>
    <w:qFormat/>
    <w:rsid w:val="00C70807"/>
    <w:pPr>
      <w:numPr>
        <w:numId w:val="1"/>
      </w:numPr>
    </w:pPr>
  </w:style>
  <w:style w:type="paragraph" w:customStyle="1" w:styleId="LI-Footer">
    <w:name w:val="LI - Footer"/>
    <w:basedOn w:val="Normal"/>
    <w:link w:val="LI-FooterChar"/>
    <w:qFormat/>
    <w:rsid w:val="00C70807"/>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C70807"/>
    <w:rPr>
      <w:rFonts w:ascii="Times New Roman" w:eastAsia="Times New Roman" w:hAnsi="Times New Roman" w:cs="Times New Roman"/>
      <w:sz w:val="24"/>
      <w:szCs w:val="24"/>
      <w:lang w:eastAsia="en-AU"/>
    </w:rPr>
  </w:style>
  <w:style w:type="character" w:customStyle="1" w:styleId="LI-FooterChar">
    <w:name w:val="LI - Footer Char"/>
    <w:link w:val="LI-Footer"/>
    <w:rsid w:val="00C70807"/>
    <w:rPr>
      <w:rFonts w:ascii="Times New Roman" w:eastAsia="Calibri" w:hAnsi="Times New Roman" w:cs="Times New Roman"/>
      <w:i/>
      <w:sz w:val="18"/>
      <w:szCs w:val="20"/>
    </w:rPr>
  </w:style>
  <w:style w:type="paragraph" w:customStyle="1" w:styleId="LI-Header">
    <w:name w:val="LI - Header"/>
    <w:basedOn w:val="LI-Footer"/>
    <w:link w:val="LI-HeaderChar"/>
    <w:qFormat/>
    <w:rsid w:val="00C70807"/>
    <w:pPr>
      <w:pBdr>
        <w:top w:val="none" w:sz="0" w:space="0" w:color="auto"/>
        <w:bottom w:val="single" w:sz="4" w:space="1" w:color="auto"/>
      </w:pBdr>
      <w:jc w:val="right"/>
    </w:pPr>
  </w:style>
  <w:style w:type="character" w:customStyle="1" w:styleId="LI-HeaderChar">
    <w:name w:val="LI - Header Char"/>
    <w:basedOn w:val="LI-FooterChar"/>
    <w:link w:val="LI-Header"/>
    <w:rsid w:val="00C70807"/>
    <w:rPr>
      <w:rFonts w:ascii="Times New Roman" w:eastAsia="Calibri" w:hAnsi="Times New Roman" w:cs="Times New Roman"/>
      <w:i/>
      <w:sz w:val="18"/>
      <w:szCs w:val="20"/>
    </w:rPr>
  </w:style>
  <w:style w:type="character" w:styleId="CommentReference">
    <w:name w:val="annotation reference"/>
    <w:basedOn w:val="DefaultParagraphFont"/>
    <w:uiPriority w:val="99"/>
    <w:semiHidden/>
    <w:unhideWhenUsed/>
    <w:rsid w:val="00E120A7"/>
    <w:rPr>
      <w:sz w:val="16"/>
      <w:szCs w:val="16"/>
    </w:rPr>
  </w:style>
  <w:style w:type="paragraph" w:styleId="CommentText">
    <w:name w:val="annotation text"/>
    <w:basedOn w:val="Normal"/>
    <w:link w:val="CommentTextChar"/>
    <w:uiPriority w:val="99"/>
    <w:unhideWhenUsed/>
    <w:rsid w:val="00E120A7"/>
    <w:pPr>
      <w:spacing w:line="240" w:lineRule="auto"/>
    </w:pPr>
    <w:rPr>
      <w:sz w:val="20"/>
    </w:rPr>
  </w:style>
  <w:style w:type="character" w:customStyle="1" w:styleId="CommentTextChar">
    <w:name w:val="Comment Text Char"/>
    <w:basedOn w:val="DefaultParagraphFont"/>
    <w:link w:val="CommentText"/>
    <w:uiPriority w:val="99"/>
    <w:rsid w:val="00E120A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0A7"/>
    <w:rPr>
      <w:b/>
      <w:bCs/>
    </w:rPr>
  </w:style>
  <w:style w:type="character" w:customStyle="1" w:styleId="CommentSubjectChar">
    <w:name w:val="Comment Subject Char"/>
    <w:basedOn w:val="CommentTextChar"/>
    <w:link w:val="CommentSubject"/>
    <w:uiPriority w:val="99"/>
    <w:semiHidden/>
    <w:rsid w:val="00E120A7"/>
    <w:rPr>
      <w:rFonts w:ascii="Times New Roman" w:eastAsia="Calibri" w:hAnsi="Times New Roman" w:cs="Times New Roman"/>
      <w:b/>
      <w:bCs/>
      <w:sz w:val="20"/>
      <w:szCs w:val="20"/>
    </w:rPr>
  </w:style>
  <w:style w:type="paragraph" w:styleId="Revision">
    <w:name w:val="Revision"/>
    <w:hidden/>
    <w:uiPriority w:val="99"/>
    <w:semiHidden/>
    <w:rsid w:val="009D01CB"/>
    <w:pPr>
      <w:spacing w:after="0" w:line="240" w:lineRule="auto"/>
    </w:pPr>
    <w:rPr>
      <w:rFonts w:ascii="Times New Roman" w:eastAsia="Calibri" w:hAnsi="Times New Roman" w:cs="Times New Roman"/>
      <w:szCs w:val="20"/>
    </w:rPr>
  </w:style>
  <w:style w:type="paragraph" w:styleId="NormalWeb">
    <w:name w:val="Normal (Web)"/>
    <w:basedOn w:val="Normal"/>
    <w:uiPriority w:val="99"/>
    <w:rsid w:val="0022695C"/>
    <w:pPr>
      <w:spacing w:after="240" w:line="240" w:lineRule="auto"/>
      <w:jc w:val="both"/>
    </w:pPr>
    <w:rPr>
      <w:rFonts w:asciiTheme="minorHAnsi" w:eastAsiaTheme="minorHAnsi" w:hAnsiTheme="minorHAnsi"/>
      <w:color w:val="000000"/>
      <w:szCs w:val="22"/>
    </w:rPr>
  </w:style>
  <w:style w:type="paragraph" w:styleId="ListParagraph">
    <w:name w:val="List Paragraph"/>
    <w:basedOn w:val="Normal"/>
    <w:uiPriority w:val="34"/>
    <w:qFormat/>
    <w:rsid w:val="00816129"/>
    <w:pPr>
      <w:ind w:left="720"/>
      <w:contextualSpacing/>
    </w:pPr>
  </w:style>
  <w:style w:type="character" w:styleId="Hyperlink">
    <w:name w:val="Hyperlink"/>
    <w:basedOn w:val="DefaultParagraphFont"/>
    <w:uiPriority w:val="99"/>
    <w:unhideWhenUsed/>
    <w:rsid w:val="00AC300A"/>
    <w:rPr>
      <w:color w:val="0563C1" w:themeColor="hyperlink"/>
      <w:u w:val="single"/>
    </w:rPr>
  </w:style>
  <w:style w:type="character" w:styleId="UnresolvedMention">
    <w:name w:val="Unresolved Mention"/>
    <w:basedOn w:val="DefaultParagraphFont"/>
    <w:uiPriority w:val="99"/>
    <w:semiHidden/>
    <w:unhideWhenUsed/>
    <w:rsid w:val="00AC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6549">
      <w:bodyDiv w:val="1"/>
      <w:marLeft w:val="0"/>
      <w:marRight w:val="0"/>
      <w:marTop w:val="0"/>
      <w:marBottom w:val="0"/>
      <w:divBdr>
        <w:top w:val="none" w:sz="0" w:space="0" w:color="auto"/>
        <w:left w:val="none" w:sz="0" w:space="0" w:color="auto"/>
        <w:bottom w:val="none" w:sz="0" w:space="0" w:color="auto"/>
        <w:right w:val="none" w:sz="0" w:space="0" w:color="auto"/>
      </w:divBdr>
      <w:divsChild>
        <w:div w:id="238368698">
          <w:marLeft w:val="0"/>
          <w:marRight w:val="0"/>
          <w:marTop w:val="0"/>
          <w:marBottom w:val="0"/>
          <w:divBdr>
            <w:top w:val="none" w:sz="0" w:space="0" w:color="auto"/>
            <w:left w:val="none" w:sz="0" w:space="0" w:color="auto"/>
            <w:bottom w:val="none" w:sz="0" w:space="0" w:color="auto"/>
            <w:right w:val="none" w:sz="0" w:space="0" w:color="auto"/>
          </w:divBdr>
        </w:div>
        <w:div w:id="361173752">
          <w:marLeft w:val="0"/>
          <w:marRight w:val="0"/>
          <w:marTop w:val="0"/>
          <w:marBottom w:val="0"/>
          <w:divBdr>
            <w:top w:val="none" w:sz="0" w:space="0" w:color="auto"/>
            <w:left w:val="none" w:sz="0" w:space="0" w:color="auto"/>
            <w:bottom w:val="none" w:sz="0" w:space="0" w:color="auto"/>
            <w:right w:val="none" w:sz="0" w:space="0" w:color="auto"/>
          </w:divBdr>
        </w:div>
        <w:div w:id="738671897">
          <w:marLeft w:val="0"/>
          <w:marRight w:val="0"/>
          <w:marTop w:val="0"/>
          <w:marBottom w:val="0"/>
          <w:divBdr>
            <w:top w:val="none" w:sz="0" w:space="0" w:color="auto"/>
            <w:left w:val="none" w:sz="0" w:space="0" w:color="auto"/>
            <w:bottom w:val="none" w:sz="0" w:space="0" w:color="auto"/>
            <w:right w:val="none" w:sz="0" w:space="0" w:color="auto"/>
          </w:divBdr>
        </w:div>
        <w:div w:id="2074502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518F170CB81ADC479D9D492B05421700" ma:contentTypeVersion="25" ma:contentTypeDescription="Create a new document." ma:contentTypeScope="" ma:versionID="631ab815b251f0ba2d6ab68fb3d5a7d5">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TaxCatchAll xmlns="db2b92ca-6ed0-4085-802d-4c686a2e8c3f">
      <Value>3</Value>
    </TaxCatchAll>
    <DocumentNotes xmlns="db2b92ca-6ed0-4085-802d-4c686a2e8c3f" xsi:nil="true"/>
    <NAPReason xmlns="db2b92ca-6ed0-4085-802d-4c686a2e8c3f" xsi:nil="true"/>
    <_dlc_DocId xmlns="6d01ba57-bcb9-4c1f-9f73-80759da4b854">010950-1918815623-384</_dlc_DocId>
    <_dlc_DocIdUrl xmlns="6d01ba57-bcb9-4c1f-9f73-80759da4b854">
      <Url>https://asiclink.sharepoint.com/teams/010950/_layouts/15/DocIdRedir.aspx?ID=010950-1918815623-384</Url>
      <Description>010950-1918815623-384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4C1779-A9C2-407B-9868-3453FB3AE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2E1CF-8795-4AFF-9CAC-15892F72F85A}">
  <ds:schemaRefs>
    <ds:schemaRef ds:uri="http://schemas.openxmlformats.org/officeDocument/2006/bibliography"/>
  </ds:schemaRefs>
</ds:datastoreItem>
</file>

<file path=customXml/itemProps3.xml><?xml version="1.0" encoding="utf-8"?>
<ds:datastoreItem xmlns:ds="http://schemas.openxmlformats.org/officeDocument/2006/customXml" ds:itemID="{AA271796-ABC7-44DC-A89F-30DC6A120441}">
  <ds:schemaRefs>
    <ds:schemaRef ds:uri="http://schemas.microsoft.com/sharepoint/v3/contenttype/forms"/>
  </ds:schemaRefs>
</ds:datastoreItem>
</file>

<file path=customXml/itemProps4.xml><?xml version="1.0" encoding="utf-8"?>
<ds:datastoreItem xmlns:ds="http://schemas.openxmlformats.org/officeDocument/2006/customXml" ds:itemID="{AA80A3CC-2041-49EA-843D-E8243F280687}">
  <ds:schemaRefs>
    <ds:schemaRef ds:uri="Microsoft.SharePoint.Taxonomy.ContentTypeSync"/>
  </ds:schemaRefs>
</ds:datastoreItem>
</file>

<file path=customXml/itemProps5.xml><?xml version="1.0" encoding="utf-8"?>
<ds:datastoreItem xmlns:ds="http://schemas.openxmlformats.org/officeDocument/2006/customXml" ds:itemID="{FE5989EB-306D-48A2-9EEB-A1F8150EA703}">
  <ds:schemaRefs>
    <ds:schemaRef ds:uri="http://schemas.microsoft.com/office/2006/metadata/properties"/>
    <ds:schemaRef ds:uri="http://schemas.microsoft.com/office/infopath/2007/PartnerControls"/>
    <ds:schemaRef ds:uri="9771dc8b-8bc6-4520-96d8-3838f96a9a1a"/>
    <ds:schemaRef ds:uri="4650dff6-ddc6-4229-ab61-5e1fec886f0b"/>
    <ds:schemaRef ds:uri="db2b92ca-6ed0-4085-802d-4c686a2e8c3f"/>
    <ds:schemaRef ds:uri="6d01ba57-bcb9-4c1f-9f73-80759da4b854"/>
  </ds:schemaRefs>
</ds:datastoreItem>
</file>

<file path=customXml/itemProps6.xml><?xml version="1.0" encoding="utf-8"?>
<ds:datastoreItem xmlns:ds="http://schemas.openxmlformats.org/officeDocument/2006/customXml" ds:itemID="{6914E5BA-15C2-41DE-AFA1-8C152D81A2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221220 - ES Regulator Rules - Review Copy</dc:title>
  <dc:subject/>
  <dc:creator>Anne Robertson</dc:creator>
  <cp:keywords>[SEC=OFFICIAL:Sensitive]</cp:keywords>
  <dc:description/>
  <cp:lastModifiedBy>Narelle Kane</cp:lastModifiedBy>
  <cp:revision>8</cp:revision>
  <dcterms:created xsi:type="dcterms:W3CDTF">2023-10-26T04:41:00Z</dcterms:created>
  <dcterms:modified xsi:type="dcterms:W3CDTF">2024-03-06T03:30:00Z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0x010100B5F685A1365F544391EF8C813B164F3A00518F170CB81ADC479D9D492B05421700</vt:lpwstr>
  </property>
  <property fmtid="{D5CDD505-2E9C-101B-9397-08002B2CF9AE}" pid="3" name="_dlc_DocIdItemGuid">
    <vt:lpwstr>d5cd9b94-1be7-424e-8fe7-90427e7574a5</vt:lpwstr>
  </property>
  <property fmtid="{D5CDD505-2E9C-101B-9397-08002B2CF9AE}" pid="4" name="StrategicPolicyProjectName">
    <vt:lpwstr/>
  </property>
  <property fmtid="{D5CDD505-2E9C-101B-9397-08002B2CF9AE}" pid="5" name="Order">
    <vt:r8>406000</vt:r8>
  </property>
  <property fmtid="{D5CDD505-2E9C-101B-9397-08002B2CF9AE}" pid="6" name="SecurityClassification">
    <vt:lpwstr>3;#OFFICIAL|cffd3088-7a74-4edb-8c9e-fbf79371a422</vt:lpwstr>
  </property>
  <property fmtid="{D5CDD505-2E9C-101B-9397-08002B2CF9AE}" pid="7" name="Policy_x002d_ProjectDocumentType">
    <vt:lpwstr/>
  </property>
  <property fmtid="{D5CDD505-2E9C-101B-9397-08002B2CF9AE}" pid="8" name="decba91418854b4b96d3eb9f506ea6b5">
    <vt:lpwstr/>
  </property>
  <property fmtid="{D5CDD505-2E9C-101B-9397-08002B2CF9AE}" pid="9" name="Policy-ProjectDocumentType">
    <vt:lpwstr/>
  </property>
  <property fmtid="{D5CDD505-2E9C-101B-9397-08002B2CF9AE}" pid="10" name="MSIP_Label_99f366a8-7720-4340-a6ff-ef1500b3ed99_Enabled">
    <vt:lpwstr>true</vt:lpwstr>
  </property>
  <property fmtid="{D5CDD505-2E9C-101B-9397-08002B2CF9AE}" pid="11" name="MSIP_Label_99f366a8-7720-4340-a6ff-ef1500b3ed99_SetDate">
    <vt:lpwstr>2023-04-17T23:50:10Z</vt:lpwstr>
  </property>
  <property fmtid="{D5CDD505-2E9C-101B-9397-08002B2CF9AE}" pid="12" name="MSIP_Label_99f366a8-7720-4340-a6ff-ef1500b3ed99_Method">
    <vt:lpwstr>Privileged</vt:lpwstr>
  </property>
  <property fmtid="{D5CDD505-2E9C-101B-9397-08002B2CF9AE}" pid="13" name="MSIP_Label_99f366a8-7720-4340-a6ff-ef1500b3ed99_Name">
    <vt:lpwstr>OFFICIAL:Sensitive</vt:lpwstr>
  </property>
  <property fmtid="{D5CDD505-2E9C-101B-9397-08002B2CF9AE}" pid="14" name="MSIP_Label_99f366a8-7720-4340-a6ff-ef1500b3ed99_SiteId">
    <vt:lpwstr>c05e3ffd-b491-4431-9809-e61d4dc78816</vt:lpwstr>
  </property>
  <property fmtid="{D5CDD505-2E9C-101B-9397-08002B2CF9AE}" pid="15" name="MSIP_Label_99f366a8-7720-4340-a6ff-ef1500b3ed99_ActionId">
    <vt:lpwstr>a45576fdb1f64f25891975089eda9f4c</vt:lpwstr>
  </property>
  <property fmtid="{D5CDD505-2E9C-101B-9397-08002B2CF9AE}" pid="16" name="MSIP_Label_99f366a8-7720-4340-a6ff-ef1500b3ed99_ContentBits">
    <vt:lpwstr>0</vt:lpwstr>
  </property>
  <property fmtid="{D5CDD505-2E9C-101B-9397-08002B2CF9AE}" pid="17" name="PM_InsertionValue">
    <vt:lpwstr>OFFICIAL: Sensitive</vt:lpwstr>
  </property>
  <property fmtid="{D5CDD505-2E9C-101B-9397-08002B2CF9AE}" pid="18" name="PM_ProtectiveMarkingValue_Header">
    <vt:lpwstr>OFFICIAL: Sensitive</vt:lpwstr>
  </property>
  <property fmtid="{D5CDD505-2E9C-101B-9397-08002B2CF9AE}" pid="19" name="PM_DisplayValueSecClassificationWithQualifier">
    <vt:lpwstr>OFFICIAL: Sensitive</vt:lpwstr>
  </property>
  <property fmtid="{D5CDD505-2E9C-101B-9397-08002B2CF9AE}" pid="20" name="PM_ProtectiveMarkingValue_Footer">
    <vt:lpwstr>OFFICIAL: Sensitive</vt:lpwstr>
  </property>
  <property fmtid="{D5CDD505-2E9C-101B-9397-08002B2CF9AE}" pid="21" name="PM_Display">
    <vt:lpwstr>OFFICIAL: Sensitive</vt:lpwstr>
  </property>
  <property fmtid="{D5CDD505-2E9C-101B-9397-08002B2CF9AE}" pid="22" name="PM_OriginationTimeStamp">
    <vt:lpwstr>2023-04-17T23:50:10Z</vt:lpwstr>
  </property>
  <property fmtid="{D5CDD505-2E9C-101B-9397-08002B2CF9AE}" pid="23" name="PM_Qualifier_Prev">
    <vt:lpwstr/>
  </property>
  <property fmtid="{D5CDD505-2E9C-101B-9397-08002B2CF9AE}" pid="24" name="PM_Originating_FileId">
    <vt:lpwstr>9BE6AEBE5F59469BB0BB3033BF8F76C1</vt:lpwstr>
  </property>
  <property fmtid="{D5CDD505-2E9C-101B-9397-08002B2CF9AE}" pid="25" name="PM_Caveats_Count">
    <vt:lpwstr>0</vt:lpwstr>
  </property>
  <property fmtid="{D5CDD505-2E9C-101B-9397-08002B2CF9AE}" pid="26" name="PM_Namespace">
    <vt:lpwstr>gov.au</vt:lpwstr>
  </property>
  <property fmtid="{D5CDD505-2E9C-101B-9397-08002B2CF9AE}" pid="27" name="PM_Version">
    <vt:lpwstr>2018.4</vt:lpwstr>
  </property>
  <property fmtid="{D5CDD505-2E9C-101B-9397-08002B2CF9AE}" pid="28" name="PM_SecurityClassification">
    <vt:lpwstr>OFFICIAL:Sensitive</vt:lpwstr>
  </property>
  <property fmtid="{D5CDD505-2E9C-101B-9397-08002B2CF9AE}" pid="29" name="PMHMAC">
    <vt:lpwstr>v=2022.1;a=SHA256;h=66E2C67C248AB9B323B1C797C3472144122A7248F1B3B85235EC413C6C69F234</vt:lpwstr>
  </property>
  <property fmtid="{D5CDD505-2E9C-101B-9397-08002B2CF9AE}" pid="30" name="PM_Qualifier">
    <vt:lpwstr/>
  </property>
  <property fmtid="{D5CDD505-2E9C-101B-9397-08002B2CF9AE}" pid="31" name="PM_Note">
    <vt:lpwstr/>
  </property>
  <property fmtid="{D5CDD505-2E9C-101B-9397-08002B2CF9AE}" pid="32" name="PM_Markers">
    <vt:lpwstr/>
  </property>
  <property fmtid="{D5CDD505-2E9C-101B-9397-08002B2CF9AE}" pid="33" name="PM_SecurityClassification_Prev">
    <vt:lpwstr>OFFICIAL:Sensitive</vt:lpwstr>
  </property>
  <property fmtid="{D5CDD505-2E9C-101B-9397-08002B2CF9AE}" pid="34" name="PM_Originator_Hash_SHA1">
    <vt:lpwstr>67319CCCCF6C0C8230371149208B6AE196A4F0E7</vt:lpwstr>
  </property>
  <property fmtid="{D5CDD505-2E9C-101B-9397-08002B2CF9AE}" pid="35" name="PM_ProtectiveMarkingImage_Header">
    <vt:lpwstr>C:\Program Files\Common Files\janusNET Shared\janusSEAL\Images\DocumentSlashBlue.png</vt:lpwstr>
  </property>
  <property fmtid="{D5CDD505-2E9C-101B-9397-08002B2CF9AE}" pid="36" name="PM_ProtectiveMarkingImage_Footer">
    <vt:lpwstr>C:\Program Files\Common Files\janusNET Shared\janusSEAL\Images\DocumentSlashBlue.png</vt:lpwstr>
  </property>
  <property fmtid="{D5CDD505-2E9C-101B-9397-08002B2CF9AE}" pid="37" name="PM_OriginatorUserAccountName_SHA256">
    <vt:lpwstr>40944DED62970E2E95F44AF0D346374B62C17AFBAF19D4006516830E75E48653</vt:lpwstr>
  </property>
  <property fmtid="{D5CDD505-2E9C-101B-9397-08002B2CF9AE}" pid="38" name="PM_OriginatorDomainName_SHA256">
    <vt:lpwstr>ECBDE2B44A971754412B3FB70606937A119CC0D4B6C1B658A40FBD41C30BE3EC</vt:lpwstr>
  </property>
  <property fmtid="{D5CDD505-2E9C-101B-9397-08002B2CF9AE}" pid="39" name="PMUuid">
    <vt:lpwstr>v=2022.2;d=gov.au;g=ABA70C08-925C-5FA3-8765-3178156983AC</vt:lpwstr>
  </property>
  <property fmtid="{D5CDD505-2E9C-101B-9397-08002B2CF9AE}" pid="40" name="PM_Hash_Version">
    <vt:lpwstr>2022.1</vt:lpwstr>
  </property>
  <property fmtid="{D5CDD505-2E9C-101B-9397-08002B2CF9AE}" pid="41" name="PM_Hash_Salt_Prev">
    <vt:lpwstr>3EB042C12DFABC9FD1D7B845CCA9A411</vt:lpwstr>
  </property>
  <property fmtid="{D5CDD505-2E9C-101B-9397-08002B2CF9AE}" pid="42" name="PM_Hash_Salt">
    <vt:lpwstr>29F570B07BDDD9BAD4BB5F0C37A0BBB4</vt:lpwstr>
  </property>
  <property fmtid="{D5CDD505-2E9C-101B-9397-08002B2CF9AE}" pid="43" name="PM_Hash_SHA1">
    <vt:lpwstr>056EC49895F2C4CDB980F7B22DD484531ED2A01C</vt:lpwstr>
  </property>
  <property fmtid="{D5CDD505-2E9C-101B-9397-08002B2CF9AE}" pid="44" name="MediaServiceImageTags">
    <vt:lpwstr/>
  </property>
  <property fmtid="{D5CDD505-2E9C-101B-9397-08002B2CF9AE}" pid="45" name="c90048a9da1e45a2932fa41dce6cff0b">
    <vt:lpwstr/>
  </property>
  <property fmtid="{D5CDD505-2E9C-101B-9397-08002B2CF9AE}" pid="46" name="MSIP_Label_a6aead41-07f8-4767-ac8e-ef1c9c793766_Enabled">
    <vt:lpwstr>true</vt:lpwstr>
  </property>
  <property fmtid="{D5CDD505-2E9C-101B-9397-08002B2CF9AE}" pid="47" name="MSIP_Label_a6aead41-07f8-4767-ac8e-ef1c9c793766_SetDate">
    <vt:lpwstr>2023-08-11T03:41:39Z</vt:lpwstr>
  </property>
  <property fmtid="{D5CDD505-2E9C-101B-9397-08002B2CF9AE}" pid="48" name="MSIP_Label_a6aead41-07f8-4767-ac8e-ef1c9c793766_Method">
    <vt:lpwstr>Standard</vt:lpwstr>
  </property>
  <property fmtid="{D5CDD505-2E9C-101B-9397-08002B2CF9AE}" pid="49" name="MSIP_Label_a6aead41-07f8-4767-ac8e-ef1c9c793766_Name">
    <vt:lpwstr>OFFICIAL</vt:lpwstr>
  </property>
  <property fmtid="{D5CDD505-2E9C-101B-9397-08002B2CF9AE}" pid="50" name="MSIP_Label_a6aead41-07f8-4767-ac8e-ef1c9c793766_SiteId">
    <vt:lpwstr>5f1de7c6-55cd-4bb2-902d-514c78cf10f4</vt:lpwstr>
  </property>
  <property fmtid="{D5CDD505-2E9C-101B-9397-08002B2CF9AE}" pid="51" name="MSIP_Label_a6aead41-07f8-4767-ac8e-ef1c9c793766_ActionId">
    <vt:lpwstr>dccd9e60-3893-4c3c-8b28-c42f8a361bd4</vt:lpwstr>
  </property>
  <property fmtid="{D5CDD505-2E9C-101B-9397-08002B2CF9AE}" pid="52" name="MSIP_Label_a6aead41-07f8-4767-ac8e-ef1c9c793766_ContentBits">
    <vt:lpwstr>0</vt:lpwstr>
  </property>
</Properties>
</file>