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35A59" w14:textId="77777777" w:rsidR="00D609F2" w:rsidRPr="00521029" w:rsidRDefault="00D609F2" w:rsidP="00D609F2">
      <w:pPr>
        <w:pStyle w:val="Heading1"/>
        <w:spacing w:before="0" w:after="0" w:line="240" w:lineRule="auto"/>
        <w:jc w:val="center"/>
        <w:rPr>
          <w:rFonts w:ascii="Times New Roman" w:hAnsi="Times New Roman"/>
          <w:b/>
          <w:sz w:val="24"/>
          <w:szCs w:val="24"/>
          <w:u w:val="single"/>
        </w:rPr>
      </w:pPr>
      <w:r>
        <w:rPr>
          <w:rFonts w:ascii="Times New Roman" w:hAnsi="Times New Roman"/>
          <w:b/>
          <w:sz w:val="24"/>
          <w:szCs w:val="24"/>
          <w:u w:val="single"/>
        </w:rPr>
        <w:t>iNSTRUMENTS uPDATE (AUTUMN 2024) rEGULATIONS 2024</w:t>
      </w:r>
    </w:p>
    <w:p w14:paraId="367DDAFB" w14:textId="77777777" w:rsidR="00D609F2" w:rsidRPr="00594807" w:rsidRDefault="00D609F2" w:rsidP="00D609F2"/>
    <w:p w14:paraId="15469013" w14:textId="77777777" w:rsidR="00D609F2" w:rsidRPr="00594807" w:rsidRDefault="00D609F2" w:rsidP="00D609F2">
      <w:pPr>
        <w:pStyle w:val="Heading1"/>
        <w:spacing w:before="0" w:after="0" w:line="240" w:lineRule="auto"/>
        <w:jc w:val="center"/>
        <w:rPr>
          <w:rFonts w:ascii="Times New Roman" w:hAnsi="Times New Roman"/>
          <w:b/>
          <w:sz w:val="24"/>
          <w:u w:val="single"/>
        </w:rPr>
      </w:pPr>
    </w:p>
    <w:p w14:paraId="4F11E7EB" w14:textId="77777777" w:rsidR="00D609F2" w:rsidRPr="00594807" w:rsidRDefault="00D609F2" w:rsidP="00D609F2">
      <w:pPr>
        <w:pStyle w:val="Heading1"/>
        <w:spacing w:before="0" w:after="0" w:line="240" w:lineRule="auto"/>
        <w:jc w:val="center"/>
        <w:rPr>
          <w:rFonts w:ascii="Times New Roman" w:hAnsi="Times New Roman"/>
          <w:b/>
          <w:sz w:val="24"/>
          <w:u w:val="single"/>
        </w:rPr>
      </w:pPr>
      <w:r w:rsidRPr="00594807">
        <w:rPr>
          <w:rFonts w:ascii="Times New Roman" w:hAnsi="Times New Roman"/>
          <w:b/>
          <w:sz w:val="24"/>
          <w:szCs w:val="24"/>
          <w:u w:val="single"/>
        </w:rPr>
        <w:t xml:space="preserve">EXPLANATORY STATEMENT </w:t>
      </w:r>
      <w:r w:rsidRPr="00594807">
        <w:br/>
      </w:r>
    </w:p>
    <w:p w14:paraId="7CFAF2FE" w14:textId="77777777" w:rsidR="00D609F2" w:rsidRPr="00594807" w:rsidRDefault="00D609F2" w:rsidP="00D609F2">
      <w:pPr>
        <w:spacing w:line="360" w:lineRule="auto"/>
        <w:jc w:val="center"/>
        <w:rPr>
          <w:rFonts w:cs="Times New Roman"/>
        </w:rPr>
      </w:pPr>
      <w:r w:rsidRPr="00594807">
        <w:rPr>
          <w:rFonts w:cs="Times New Roman"/>
        </w:rPr>
        <w:t>Issued by authority of the Attorney</w:t>
      </w:r>
      <w:r w:rsidRPr="00594807">
        <w:rPr>
          <w:rFonts w:cs="Times New Roman"/>
        </w:rPr>
        <w:noBreakHyphen/>
        <w:t>General</w:t>
      </w:r>
    </w:p>
    <w:p w14:paraId="4248E532" w14:textId="77777777" w:rsidR="00D609F2" w:rsidRPr="00594807" w:rsidRDefault="00D609F2" w:rsidP="00D609F2">
      <w:pPr>
        <w:spacing w:line="360" w:lineRule="auto"/>
        <w:jc w:val="center"/>
        <w:rPr>
          <w:rFonts w:cs="Times New Roman"/>
          <w:i/>
          <w:iCs/>
        </w:rPr>
      </w:pPr>
      <w:r w:rsidRPr="00594807">
        <w:rPr>
          <w:rFonts w:cs="Times New Roman"/>
        </w:rPr>
        <w:t xml:space="preserve">in compliance with section 15J of the </w:t>
      </w:r>
      <w:r w:rsidRPr="00594807">
        <w:rPr>
          <w:rFonts w:cs="Times New Roman"/>
          <w:i/>
          <w:iCs/>
        </w:rPr>
        <w:t>Legislation Act 2003</w:t>
      </w:r>
    </w:p>
    <w:p w14:paraId="018D90CD" w14:textId="77777777" w:rsidR="00D609F2" w:rsidRPr="00594807" w:rsidRDefault="00D609F2" w:rsidP="00D609F2">
      <w:pPr>
        <w:spacing w:line="360" w:lineRule="auto"/>
        <w:jc w:val="center"/>
        <w:rPr>
          <w:rFonts w:cs="Times New Roman"/>
        </w:rPr>
      </w:pPr>
    </w:p>
    <w:p w14:paraId="2EF8AF96" w14:textId="77777777" w:rsidR="00D609F2" w:rsidRDefault="00D609F2" w:rsidP="00D609F2">
      <w:pPr>
        <w:spacing w:line="360" w:lineRule="auto"/>
        <w:rPr>
          <w:rFonts w:cs="Times New Roman"/>
          <w:b/>
          <w:bCs/>
          <w:caps/>
          <w:sz w:val="24"/>
          <w:szCs w:val="24"/>
        </w:rPr>
      </w:pPr>
      <w:r w:rsidRPr="797FDF2D">
        <w:rPr>
          <w:rFonts w:cs="Times New Roman"/>
          <w:b/>
          <w:bCs/>
          <w:caps/>
          <w:sz w:val="24"/>
          <w:szCs w:val="24"/>
        </w:rPr>
        <w:t>Purpose and operation of the Instrument</w:t>
      </w:r>
    </w:p>
    <w:p w14:paraId="1574E04B" w14:textId="77777777" w:rsidR="00D609F2" w:rsidRDefault="00D609F2" w:rsidP="00D609F2">
      <w:pPr>
        <w:pStyle w:val="BodyNum"/>
        <w:numPr>
          <w:ilvl w:val="0"/>
          <w:numId w:val="16"/>
        </w:numPr>
      </w:pPr>
      <w:r>
        <w:t>This instrument m</w:t>
      </w:r>
      <w:r w:rsidRPr="00470401">
        <w:t>ake</w:t>
      </w:r>
      <w:r>
        <w:t>s</w:t>
      </w:r>
      <w:r w:rsidRPr="00470401">
        <w:t xml:space="preserve"> minor and technical amendments of</w:t>
      </w:r>
      <w:r>
        <w:t xml:space="preserve"> </w:t>
      </w:r>
      <w:r w:rsidRPr="00470401">
        <w:t>Commonwealth</w:t>
      </w:r>
      <w:r>
        <w:t xml:space="preserve"> instruments.</w:t>
      </w:r>
    </w:p>
    <w:p w14:paraId="3FCD5136" w14:textId="073D70BD" w:rsidR="00D609F2" w:rsidRPr="00BF5382" w:rsidRDefault="00D609F2" w:rsidP="00D609F2">
      <w:pPr>
        <w:pStyle w:val="BodyNum"/>
        <w:numPr>
          <w:ilvl w:val="0"/>
          <w:numId w:val="16"/>
        </w:numPr>
      </w:pPr>
      <w:r>
        <w:t>The main</w:t>
      </w:r>
      <w:r w:rsidRPr="00BF5382">
        <w:t xml:space="preserve"> purpose of Schedule </w:t>
      </w:r>
      <w:r>
        <w:t>1</w:t>
      </w:r>
      <w:r w:rsidRPr="00BF5382">
        <w:t xml:space="preserve"> is to update references in Commonwealth </w:t>
      </w:r>
      <w:r>
        <w:t>instruments</w:t>
      </w:r>
      <w:r w:rsidRPr="00BF5382">
        <w:t xml:space="preserve"> to Northern Territory Acts,</w:t>
      </w:r>
      <w:r w:rsidR="003C5743">
        <w:t xml:space="preserve"> for consistency with NT citation practices</w:t>
      </w:r>
      <w:r w:rsidRPr="00BF5382">
        <w:t>.</w:t>
      </w:r>
    </w:p>
    <w:p w14:paraId="42B14A0A" w14:textId="5B1AAFFE" w:rsidR="00D609F2" w:rsidRDefault="00D609F2" w:rsidP="00D609F2">
      <w:pPr>
        <w:pStyle w:val="BodyNum"/>
        <w:numPr>
          <w:ilvl w:val="0"/>
          <w:numId w:val="16"/>
        </w:numPr>
      </w:pPr>
      <w:r>
        <w:t xml:space="preserve">The main purpose of Schedule 2 is to correct technical errors that have occurred in instruments as a result of drafting and clerical mistakes. The amendments also enhance </w:t>
      </w:r>
      <w:r w:rsidR="00BC6C67">
        <w:t>usability, support</w:t>
      </w:r>
      <w:r>
        <w:t xml:space="preserve"> interpretation and administration, and promote consistency across the Commonwealth statute book.</w:t>
      </w:r>
    </w:p>
    <w:p w14:paraId="26723375" w14:textId="77777777" w:rsidR="00D609F2" w:rsidRDefault="00D609F2" w:rsidP="00D609F2">
      <w:pPr>
        <w:pStyle w:val="BodyNum"/>
        <w:numPr>
          <w:ilvl w:val="0"/>
          <w:numId w:val="16"/>
        </w:numPr>
      </w:pPr>
      <w:r>
        <w:t>The amendments are minor and technical in nature. The amendments either make no change or only minor changes to the substance of the law.</w:t>
      </w:r>
    </w:p>
    <w:p w14:paraId="062CD078" w14:textId="77777777" w:rsidR="00D609F2" w:rsidRDefault="00D609F2" w:rsidP="00D609F2">
      <w:pPr>
        <w:spacing w:before="240" w:line="360" w:lineRule="auto"/>
        <w:rPr>
          <w:rFonts w:cs="Times New Roman"/>
          <w:b/>
          <w:bCs/>
          <w:caps/>
          <w:sz w:val="24"/>
          <w:szCs w:val="24"/>
        </w:rPr>
      </w:pPr>
      <w:r w:rsidRPr="797FDF2D">
        <w:rPr>
          <w:rFonts w:cs="Times New Roman"/>
          <w:b/>
          <w:bCs/>
          <w:caps/>
          <w:sz w:val="24"/>
          <w:szCs w:val="24"/>
        </w:rPr>
        <w:t>Consultation</w:t>
      </w:r>
    </w:p>
    <w:p w14:paraId="00465195" w14:textId="0F802716" w:rsidR="00D609F2" w:rsidRPr="00507C2F" w:rsidRDefault="00D609F2" w:rsidP="00D609F2">
      <w:pPr>
        <w:pStyle w:val="BodyNum"/>
      </w:pPr>
      <w:r>
        <w:t xml:space="preserve">Before </w:t>
      </w:r>
      <w:r w:rsidRPr="00AC0464">
        <w:t>the</w:t>
      </w:r>
      <w:r>
        <w:t xml:space="preserve"> instrument was made</w:t>
      </w:r>
      <w:r w:rsidRPr="00AC0464">
        <w:t xml:space="preserve">, </w:t>
      </w:r>
      <w:r>
        <w:t xml:space="preserve">the </w:t>
      </w:r>
      <w:r w:rsidR="007A016D">
        <w:t>m</w:t>
      </w:r>
      <w:r w:rsidRPr="006A104C">
        <w:t xml:space="preserve">inisters responsible for administering regulations made under the Primary Acts considered the general obligation to consult </w:t>
      </w:r>
      <w:r>
        <w:t>required</w:t>
      </w:r>
      <w:r w:rsidRPr="006A104C">
        <w:t xml:space="preserve"> by section 17 of the </w:t>
      </w:r>
      <w:r w:rsidRPr="006A104C">
        <w:rPr>
          <w:i/>
        </w:rPr>
        <w:t>Legislation Act 200</w:t>
      </w:r>
      <w:r>
        <w:rPr>
          <w:i/>
        </w:rPr>
        <w:t>3.</w:t>
      </w:r>
    </w:p>
    <w:p w14:paraId="1D13BC38" w14:textId="29DE78FE" w:rsidR="00507C2F" w:rsidRDefault="00507C2F" w:rsidP="00507C2F">
      <w:pPr>
        <w:pStyle w:val="BodyNum"/>
      </w:pPr>
      <w:r>
        <w:t xml:space="preserve">The </w:t>
      </w:r>
      <w:r w:rsidR="00E0046C">
        <w:t>Department of Employment and Workplace Relations</w:t>
      </w:r>
      <w:r>
        <w:t xml:space="preserve"> consulted with state and territory government officials under the </w:t>
      </w:r>
      <w:r>
        <w:rPr>
          <w:i/>
          <w:iCs/>
        </w:rPr>
        <w:t>Inter-governmental Agreement for a National Workplace Relations System for the Private Sector</w:t>
      </w:r>
      <w:r>
        <w:t xml:space="preserve"> in relation to the instrument’s amendments of the </w:t>
      </w:r>
      <w:bookmarkStart w:id="0" w:name="_Toc153963298"/>
      <w:r>
        <w:rPr>
          <w:i/>
        </w:rPr>
        <w:t>Fair Work (Registered Organisations) Regulations 2009</w:t>
      </w:r>
      <w:bookmarkEnd w:id="0"/>
      <w:r>
        <w:t xml:space="preserve">, the </w:t>
      </w:r>
      <w:r>
        <w:rPr>
          <w:i/>
        </w:rPr>
        <w:t>Fair Work Regulations 2009</w:t>
      </w:r>
      <w:r>
        <w:t xml:space="preserve"> and the </w:t>
      </w:r>
      <w:bookmarkStart w:id="1" w:name="_Toc153963300"/>
      <w:r>
        <w:rPr>
          <w:i/>
        </w:rPr>
        <w:t>Fair Work (Transitional Provisions and Consequential Amendments) Regulations 2009</w:t>
      </w:r>
      <w:bookmarkEnd w:id="1"/>
      <w:r>
        <w:t>.</w:t>
      </w:r>
    </w:p>
    <w:p w14:paraId="24B46745" w14:textId="5FA8C9E8" w:rsidR="00D609F2" w:rsidRPr="001B7BCA" w:rsidRDefault="00F12FE6" w:rsidP="00D609F2">
      <w:pPr>
        <w:pStyle w:val="BodyNum"/>
      </w:pPr>
      <w:r>
        <w:rPr>
          <w:shd w:val="clear" w:color="auto" w:fill="FFFFFF"/>
        </w:rPr>
        <w:t>The Attorney-General’s Department extensively consulted with the department</w:t>
      </w:r>
      <w:r w:rsidR="00A24E0C">
        <w:rPr>
          <w:shd w:val="clear" w:color="auto" w:fill="FFFFFF"/>
        </w:rPr>
        <w:t>s</w:t>
      </w:r>
      <w:r>
        <w:rPr>
          <w:shd w:val="clear" w:color="auto" w:fill="FFFFFF"/>
        </w:rPr>
        <w:t xml:space="preserve"> administering the legislation being amended</w:t>
      </w:r>
      <w:r w:rsidR="00D609F2">
        <w:rPr>
          <w:shd w:val="clear" w:color="auto" w:fill="FFFFFF"/>
        </w:rPr>
        <w:t xml:space="preserve">. </w:t>
      </w:r>
      <w:r w:rsidR="00D609F2" w:rsidRPr="00DC6A9C">
        <w:rPr>
          <w:shd w:val="clear" w:color="auto" w:fill="FFFFFF"/>
        </w:rPr>
        <w:t xml:space="preserve">As the </w:t>
      </w:r>
      <w:r w:rsidR="00D609F2">
        <w:rPr>
          <w:shd w:val="clear" w:color="auto" w:fill="FFFFFF"/>
        </w:rPr>
        <w:t>instrument</w:t>
      </w:r>
      <w:r w:rsidR="00D609F2" w:rsidRPr="00DC6A9C">
        <w:rPr>
          <w:shd w:val="clear" w:color="auto" w:fill="FFFFFF"/>
        </w:rPr>
        <w:t xml:space="preserve"> only make</w:t>
      </w:r>
      <w:r w:rsidR="00D609F2">
        <w:rPr>
          <w:shd w:val="clear" w:color="auto" w:fill="FFFFFF"/>
        </w:rPr>
        <w:t>s</w:t>
      </w:r>
      <w:r w:rsidR="00D609F2" w:rsidRPr="00DC6A9C">
        <w:rPr>
          <w:shd w:val="clear" w:color="auto" w:fill="FFFFFF"/>
        </w:rPr>
        <w:t xml:space="preserve"> small technical changes to the text of the law and do</w:t>
      </w:r>
      <w:r w:rsidR="00D609F2">
        <w:rPr>
          <w:shd w:val="clear" w:color="auto" w:fill="FFFFFF"/>
        </w:rPr>
        <w:t xml:space="preserve">es </w:t>
      </w:r>
      <w:r w:rsidR="00D609F2" w:rsidRPr="00DC6A9C">
        <w:rPr>
          <w:shd w:val="clear" w:color="auto" w:fill="FFFFFF"/>
        </w:rPr>
        <w:t xml:space="preserve">not affect the interpretation of the law, it was not considered necessary to consult </w:t>
      </w:r>
      <w:r w:rsidR="00CD1198">
        <w:rPr>
          <w:shd w:val="clear" w:color="auto" w:fill="FFFFFF"/>
        </w:rPr>
        <w:t>further.</w:t>
      </w:r>
    </w:p>
    <w:p w14:paraId="37EA8701" w14:textId="77777777" w:rsidR="00D609F2" w:rsidRDefault="00D609F2" w:rsidP="00D609F2">
      <w:pPr>
        <w:spacing w:before="240" w:line="360" w:lineRule="auto"/>
        <w:rPr>
          <w:rFonts w:cs="Times New Roman"/>
          <w:b/>
          <w:bCs/>
          <w:caps/>
          <w:sz w:val="24"/>
          <w:szCs w:val="24"/>
        </w:rPr>
      </w:pPr>
      <w:r w:rsidRPr="797FDF2D">
        <w:rPr>
          <w:rFonts w:cs="Times New Roman"/>
          <w:b/>
          <w:bCs/>
          <w:caps/>
          <w:sz w:val="24"/>
          <w:szCs w:val="24"/>
        </w:rPr>
        <w:t>Policy Impact analysis</w:t>
      </w:r>
    </w:p>
    <w:p w14:paraId="3B49F76C" w14:textId="77777777" w:rsidR="00D609F2" w:rsidRPr="000307A7" w:rsidRDefault="00D609F2" w:rsidP="00D609F2">
      <w:pPr>
        <w:pStyle w:val="BodyNum"/>
        <w:rPr>
          <w:shd w:val="clear" w:color="auto" w:fill="FFFFFF"/>
        </w:rPr>
      </w:pPr>
      <w:r>
        <w:rPr>
          <w:shd w:val="clear" w:color="auto" w:fill="FFFFFF"/>
        </w:rPr>
        <w:t xml:space="preserve">Statute Update Regulations </w:t>
      </w:r>
      <w:r w:rsidRPr="000307A7">
        <w:rPr>
          <w:shd w:val="clear" w:color="auto" w:fill="FFFFFF"/>
        </w:rPr>
        <w:t xml:space="preserve">are machinery of government instruments, and are therefore not subject to the regulatory impact assessment requirements set out by the </w:t>
      </w:r>
      <w:r>
        <w:rPr>
          <w:shd w:val="clear" w:color="auto" w:fill="FFFFFF"/>
        </w:rPr>
        <w:t>Office of Impact Analysis</w:t>
      </w:r>
      <w:r w:rsidRPr="000307A7">
        <w:rPr>
          <w:shd w:val="clear" w:color="auto" w:fill="FFFFFF"/>
        </w:rPr>
        <w:t xml:space="preserve"> (</w:t>
      </w:r>
      <w:r>
        <w:rPr>
          <w:shd w:val="clear" w:color="auto" w:fill="FFFFFF"/>
        </w:rPr>
        <w:t>OIA</w:t>
      </w:r>
      <w:r w:rsidRPr="000307A7">
        <w:rPr>
          <w:shd w:val="clear" w:color="auto" w:fill="FFFFFF"/>
        </w:rPr>
        <w:t xml:space="preserve">). The </w:t>
      </w:r>
      <w:r>
        <w:rPr>
          <w:shd w:val="clear" w:color="auto" w:fill="FFFFFF"/>
        </w:rPr>
        <w:t>OIA</w:t>
      </w:r>
      <w:r w:rsidRPr="000307A7">
        <w:rPr>
          <w:shd w:val="clear" w:color="auto" w:fill="FFFFFF"/>
        </w:rPr>
        <w:t xml:space="preserve"> reference for this standing exemption is </w:t>
      </w:r>
      <w:r w:rsidRPr="004A6B07">
        <w:rPr>
          <w:shd w:val="clear" w:color="auto" w:fill="FFFFFF"/>
        </w:rPr>
        <w:t>OIA23-06091.</w:t>
      </w:r>
    </w:p>
    <w:p w14:paraId="1FA5BDB5" w14:textId="77777777" w:rsidR="00D609F2" w:rsidRPr="00521029" w:rsidRDefault="00D609F2" w:rsidP="00D609F2">
      <w:pPr>
        <w:pageBreakBefore/>
        <w:spacing w:line="360" w:lineRule="auto"/>
        <w:rPr>
          <w:rFonts w:cs="Times New Roman"/>
          <w:b/>
          <w:bCs/>
          <w:caps/>
          <w:sz w:val="24"/>
          <w:szCs w:val="24"/>
        </w:rPr>
      </w:pPr>
      <w:r w:rsidRPr="797FDF2D">
        <w:rPr>
          <w:rFonts w:cs="Times New Roman"/>
          <w:b/>
          <w:bCs/>
          <w:caps/>
          <w:sz w:val="24"/>
          <w:szCs w:val="24"/>
        </w:rPr>
        <w:lastRenderedPageBreak/>
        <w:t>Statement of Compatibility with Human Rights</w:t>
      </w:r>
    </w:p>
    <w:p w14:paraId="346B8991" w14:textId="77777777" w:rsidR="00D609F2" w:rsidRDefault="00D609F2" w:rsidP="00D609F2">
      <w:pPr>
        <w:spacing w:line="360" w:lineRule="auto"/>
        <w:rPr>
          <w:rFonts w:cs="Times New Roman"/>
          <w:i/>
          <w:iCs/>
          <w:color w:val="000000" w:themeColor="text1"/>
        </w:rPr>
      </w:pPr>
      <w:r w:rsidRPr="797FDF2D">
        <w:rPr>
          <w:rFonts w:cs="Times New Roman"/>
          <w:i/>
          <w:iCs/>
          <w:color w:val="000000" w:themeColor="text1"/>
        </w:rPr>
        <w:t xml:space="preserve">Prepared in accordance with </w:t>
      </w:r>
      <w:r>
        <w:rPr>
          <w:rFonts w:cs="Times New Roman"/>
          <w:i/>
          <w:iCs/>
          <w:color w:val="000000" w:themeColor="text1"/>
        </w:rPr>
        <w:t>Part 3</w:t>
      </w:r>
      <w:r w:rsidRPr="797FDF2D">
        <w:rPr>
          <w:rFonts w:cs="Times New Roman"/>
          <w:i/>
          <w:iCs/>
          <w:color w:val="000000" w:themeColor="text1"/>
        </w:rPr>
        <w:t xml:space="preserve"> of the Human Rights (Parliamentary Scrutiny) Act 2011</w:t>
      </w:r>
    </w:p>
    <w:p w14:paraId="1C895E17" w14:textId="77777777" w:rsidR="00D609F2" w:rsidRPr="00D219C3" w:rsidRDefault="00D609F2" w:rsidP="00D609F2">
      <w:pPr>
        <w:pStyle w:val="Head1"/>
        <w:rPr>
          <w:rFonts w:ascii="Times New Roman" w:hAnsi="Times New Roman"/>
          <w:sz w:val="24"/>
          <w:szCs w:val="24"/>
        </w:rPr>
      </w:pPr>
      <w:r>
        <w:rPr>
          <w:rFonts w:ascii="Times New Roman" w:hAnsi="Times New Roman"/>
          <w:sz w:val="24"/>
          <w:szCs w:val="24"/>
        </w:rPr>
        <w:t>Instruments Update (Autumn 2024)</w:t>
      </w:r>
      <w:r w:rsidRPr="00D219C3">
        <w:rPr>
          <w:rFonts w:ascii="Times New Roman" w:hAnsi="Times New Roman"/>
          <w:sz w:val="24"/>
          <w:szCs w:val="24"/>
        </w:rPr>
        <w:t xml:space="preserve"> </w:t>
      </w:r>
      <w:r>
        <w:rPr>
          <w:rFonts w:ascii="Times New Roman" w:hAnsi="Times New Roman"/>
          <w:sz w:val="24"/>
          <w:szCs w:val="24"/>
        </w:rPr>
        <w:t>Regulations</w:t>
      </w:r>
      <w:r w:rsidRPr="00D219C3">
        <w:rPr>
          <w:rFonts w:ascii="Times New Roman" w:hAnsi="Times New Roman"/>
          <w:sz w:val="24"/>
          <w:szCs w:val="24"/>
        </w:rPr>
        <w:t xml:space="preserve"> 202</w:t>
      </w:r>
      <w:r>
        <w:rPr>
          <w:rFonts w:ascii="Times New Roman" w:hAnsi="Times New Roman"/>
          <w:sz w:val="24"/>
          <w:szCs w:val="24"/>
        </w:rPr>
        <w:t>4</w:t>
      </w:r>
    </w:p>
    <w:p w14:paraId="5CEB46BC" w14:textId="77777777" w:rsidR="00D609F2" w:rsidRPr="00D219C3" w:rsidRDefault="00D609F2" w:rsidP="00D609F2">
      <w:pPr>
        <w:pStyle w:val="BodyNum"/>
        <w:numPr>
          <w:ilvl w:val="0"/>
          <w:numId w:val="16"/>
        </w:numPr>
      </w:pPr>
      <w:r w:rsidRPr="00D219C3">
        <w:t xml:space="preserve">This </w:t>
      </w:r>
      <w:r>
        <w:t>instrument</w:t>
      </w:r>
      <w:r w:rsidRPr="00D219C3">
        <w:t xml:space="preserve"> is compatible with the human rights and freedoms recognised or declared in the international instruments listed in section 3 of the </w:t>
      </w:r>
      <w:r w:rsidRPr="00D219C3">
        <w:rPr>
          <w:i/>
        </w:rPr>
        <w:t>Human Rights (Parliamentary Scrutiny) Act 2011</w:t>
      </w:r>
      <w:r w:rsidRPr="00D219C3">
        <w:t>.</w:t>
      </w:r>
    </w:p>
    <w:p w14:paraId="490584D8" w14:textId="77777777" w:rsidR="00D609F2" w:rsidRPr="00D219C3" w:rsidRDefault="00D609F2" w:rsidP="00D609F2">
      <w:pPr>
        <w:pStyle w:val="Head1"/>
        <w:rPr>
          <w:rFonts w:ascii="Times New Roman" w:hAnsi="Times New Roman"/>
          <w:sz w:val="24"/>
          <w:szCs w:val="24"/>
        </w:rPr>
      </w:pPr>
      <w:r>
        <w:rPr>
          <w:rFonts w:ascii="Times New Roman" w:hAnsi="Times New Roman"/>
          <w:sz w:val="24"/>
          <w:szCs w:val="24"/>
        </w:rPr>
        <w:t>Overview of the instrument</w:t>
      </w:r>
    </w:p>
    <w:p w14:paraId="73C6378B" w14:textId="77777777" w:rsidR="00D609F2" w:rsidRDefault="00D609F2" w:rsidP="00D609F2">
      <w:pPr>
        <w:pStyle w:val="BodyNum"/>
        <w:numPr>
          <w:ilvl w:val="0"/>
          <w:numId w:val="16"/>
        </w:numPr>
      </w:pPr>
      <w:r>
        <w:t>This instrument m</w:t>
      </w:r>
      <w:r w:rsidRPr="00470401">
        <w:t>ake</w:t>
      </w:r>
      <w:r>
        <w:t>s</w:t>
      </w:r>
      <w:r w:rsidRPr="00470401">
        <w:t xml:space="preserve"> minor and technical amendments of</w:t>
      </w:r>
      <w:r>
        <w:t xml:space="preserve"> </w:t>
      </w:r>
      <w:r w:rsidRPr="00470401">
        <w:t>Commonwealth</w:t>
      </w:r>
      <w:r>
        <w:t xml:space="preserve"> instruments.</w:t>
      </w:r>
    </w:p>
    <w:p w14:paraId="164DD0FA" w14:textId="42A78CC8" w:rsidR="00D609F2" w:rsidRPr="00BF5382" w:rsidRDefault="00D609F2" w:rsidP="00D609F2">
      <w:pPr>
        <w:pStyle w:val="BodyNum"/>
        <w:numPr>
          <w:ilvl w:val="0"/>
          <w:numId w:val="16"/>
        </w:numPr>
      </w:pPr>
      <w:r>
        <w:t>The main</w:t>
      </w:r>
      <w:r w:rsidRPr="00BF5382">
        <w:t xml:space="preserve"> purpose of Schedule </w:t>
      </w:r>
      <w:r>
        <w:t>1</w:t>
      </w:r>
      <w:r w:rsidRPr="00BF5382">
        <w:t xml:space="preserve"> is to update references in Commonwealth </w:t>
      </w:r>
      <w:r>
        <w:t>instruments</w:t>
      </w:r>
      <w:r w:rsidRPr="00BF5382">
        <w:t xml:space="preserve"> to Northern Territory Acts, </w:t>
      </w:r>
      <w:r w:rsidR="00153CED">
        <w:t>for consistency with NT citation practices</w:t>
      </w:r>
      <w:r w:rsidRPr="00BF5382">
        <w:t>.</w:t>
      </w:r>
    </w:p>
    <w:p w14:paraId="4256B580" w14:textId="30D0B5B1" w:rsidR="00D609F2" w:rsidRDefault="00D609F2" w:rsidP="00D609F2">
      <w:pPr>
        <w:pStyle w:val="BodyNum"/>
        <w:numPr>
          <w:ilvl w:val="0"/>
          <w:numId w:val="16"/>
        </w:numPr>
      </w:pPr>
      <w:r>
        <w:t xml:space="preserve">The main purpose of Schedule 2 is to correct technical errors that have occurred in instruments as a result of drafting and clerical mistakes. The amendments also enhance </w:t>
      </w:r>
      <w:r w:rsidR="0055471B">
        <w:t>usability, support</w:t>
      </w:r>
      <w:r>
        <w:t xml:space="preserve"> interpretation and administration, and promote consistency across the Commonwealth statute book.</w:t>
      </w:r>
    </w:p>
    <w:p w14:paraId="137DCF90" w14:textId="77777777" w:rsidR="00D609F2" w:rsidRDefault="00D609F2" w:rsidP="00D609F2">
      <w:pPr>
        <w:pStyle w:val="BodyNum"/>
        <w:numPr>
          <w:ilvl w:val="0"/>
          <w:numId w:val="16"/>
        </w:numPr>
      </w:pPr>
      <w:r>
        <w:t>The amendments are minor and technical in nature. The amendments either make no change or only minor changes to the substance of the law.</w:t>
      </w:r>
    </w:p>
    <w:p w14:paraId="5C90758B" w14:textId="77777777" w:rsidR="00D609F2" w:rsidRPr="00D219C3" w:rsidRDefault="00D609F2" w:rsidP="00D609F2">
      <w:pPr>
        <w:pStyle w:val="BodyNum"/>
        <w:numPr>
          <w:ilvl w:val="0"/>
          <w:numId w:val="0"/>
        </w:numPr>
        <w:rPr>
          <w:b/>
        </w:rPr>
      </w:pPr>
      <w:r w:rsidRPr="00D219C3">
        <w:rPr>
          <w:b/>
        </w:rPr>
        <w:t>Human rights implications</w:t>
      </w:r>
    </w:p>
    <w:p w14:paraId="2CFA321C" w14:textId="77777777" w:rsidR="00D609F2" w:rsidRPr="00BF5382" w:rsidRDefault="00D609F2" w:rsidP="00D609F2">
      <w:pPr>
        <w:pStyle w:val="BodyNum"/>
        <w:numPr>
          <w:ilvl w:val="0"/>
          <w:numId w:val="16"/>
        </w:numPr>
      </w:pPr>
      <w:r>
        <w:t>T</w:t>
      </w:r>
      <w:r w:rsidRPr="00BF5382">
        <w:t xml:space="preserve">his </w:t>
      </w:r>
      <w:r>
        <w:t>instrument</w:t>
      </w:r>
      <w:r w:rsidRPr="00BF5382">
        <w:t xml:space="preserve"> does not engage any human rights issues as it makes minor improvements and technical corrections to the statute book. It makes either no change or only minor changes to the substance of the law.</w:t>
      </w:r>
    </w:p>
    <w:p w14:paraId="15612322" w14:textId="77777777" w:rsidR="00D609F2" w:rsidRPr="00D219C3" w:rsidRDefault="00D609F2" w:rsidP="00D609F2">
      <w:pPr>
        <w:pStyle w:val="BodyNum"/>
        <w:numPr>
          <w:ilvl w:val="0"/>
          <w:numId w:val="0"/>
        </w:numPr>
        <w:rPr>
          <w:b/>
        </w:rPr>
      </w:pPr>
      <w:r w:rsidRPr="00D219C3">
        <w:rPr>
          <w:b/>
        </w:rPr>
        <w:t>Conclusion</w:t>
      </w:r>
    </w:p>
    <w:p w14:paraId="4A8D835A" w14:textId="77777777" w:rsidR="00D609F2" w:rsidRPr="00BF66DF" w:rsidRDefault="00D609F2" w:rsidP="00D609F2">
      <w:pPr>
        <w:pStyle w:val="BodyNum"/>
        <w:numPr>
          <w:ilvl w:val="0"/>
          <w:numId w:val="16"/>
        </w:numPr>
      </w:pPr>
      <w:r w:rsidRPr="00D219C3">
        <w:t xml:space="preserve">This </w:t>
      </w:r>
      <w:r>
        <w:t>instrument</w:t>
      </w:r>
      <w:r w:rsidRPr="00D219C3">
        <w:t xml:space="preserve"> is co</w:t>
      </w:r>
      <w:r w:rsidRPr="00BF66DF">
        <w:t>mpatible with human rights as it does not engage any human rights issues.</w:t>
      </w:r>
    </w:p>
    <w:p w14:paraId="31F4EFC9" w14:textId="77777777" w:rsidR="00D609F2" w:rsidRDefault="00D609F2" w:rsidP="00D609F2">
      <w:pPr>
        <w:pageBreakBefore/>
        <w:spacing w:line="360" w:lineRule="auto"/>
        <w:rPr>
          <w:rFonts w:cs="Times New Roman"/>
          <w:b/>
          <w:bCs/>
          <w:sz w:val="24"/>
          <w:szCs w:val="24"/>
        </w:rPr>
      </w:pPr>
      <w:r w:rsidRPr="797FDF2D">
        <w:rPr>
          <w:rFonts w:cs="Times New Roman"/>
          <w:b/>
          <w:bCs/>
          <w:sz w:val="24"/>
          <w:szCs w:val="24"/>
        </w:rPr>
        <w:lastRenderedPageBreak/>
        <w:t>NOTES ON SECTIONS</w:t>
      </w:r>
    </w:p>
    <w:p w14:paraId="1C9FAE90" w14:textId="77777777" w:rsidR="00D609F2" w:rsidRPr="00D219C3" w:rsidRDefault="00D609F2" w:rsidP="00D609F2">
      <w:pPr>
        <w:pStyle w:val="Head3"/>
        <w:rPr>
          <w:rFonts w:ascii="Times New Roman" w:hAnsi="Times New Roman"/>
          <w:sz w:val="24"/>
          <w:szCs w:val="24"/>
        </w:rPr>
      </w:pPr>
      <w:bookmarkStart w:id="2" w:name="_Toc476553964"/>
      <w:r>
        <w:rPr>
          <w:rFonts w:ascii="Times New Roman" w:hAnsi="Times New Roman"/>
          <w:sz w:val="24"/>
          <w:szCs w:val="24"/>
        </w:rPr>
        <w:t xml:space="preserve">Section </w:t>
      </w:r>
      <w:r w:rsidRPr="00D219C3">
        <w:rPr>
          <w:rFonts w:ascii="Times New Roman" w:hAnsi="Times New Roman"/>
          <w:sz w:val="24"/>
          <w:szCs w:val="24"/>
        </w:rPr>
        <w:t>1—Short title</w:t>
      </w:r>
      <w:bookmarkEnd w:id="2"/>
    </w:p>
    <w:p w14:paraId="34F89B29" w14:textId="287A3C89" w:rsidR="00D609F2" w:rsidRPr="00D219C3" w:rsidRDefault="00D609F2" w:rsidP="00D609F2">
      <w:pPr>
        <w:pStyle w:val="BodyNum"/>
        <w:numPr>
          <w:ilvl w:val="0"/>
          <w:numId w:val="16"/>
        </w:numPr>
      </w:pPr>
      <w:r>
        <w:t xml:space="preserve">Section </w:t>
      </w:r>
      <w:r w:rsidRPr="00D219C3">
        <w:t xml:space="preserve">1 provides </w:t>
      </w:r>
      <w:r>
        <w:t xml:space="preserve">that the </w:t>
      </w:r>
      <w:r w:rsidRPr="00D219C3">
        <w:t xml:space="preserve">title of the </w:t>
      </w:r>
      <w:r>
        <w:t>instrument</w:t>
      </w:r>
      <w:r w:rsidRPr="00D219C3">
        <w:t xml:space="preserve"> </w:t>
      </w:r>
      <w:r>
        <w:t>is</w:t>
      </w:r>
      <w:r w:rsidRPr="00D219C3">
        <w:t xml:space="preserve"> the </w:t>
      </w:r>
      <w:r w:rsidRPr="00867072">
        <w:rPr>
          <w:i/>
        </w:rPr>
        <w:t>Instruments Update</w:t>
      </w:r>
      <w:r>
        <w:rPr>
          <w:rFonts w:eastAsiaTheme="minorHAnsi"/>
          <w:i/>
        </w:rPr>
        <w:t xml:space="preserve"> (Autumn</w:t>
      </w:r>
      <w:r w:rsidR="00C90F99">
        <w:rPr>
          <w:rFonts w:eastAsiaTheme="minorHAnsi"/>
          <w:i/>
        </w:rPr>
        <w:t> </w:t>
      </w:r>
      <w:r>
        <w:rPr>
          <w:rFonts w:eastAsiaTheme="minorHAnsi"/>
          <w:i/>
        </w:rPr>
        <w:t>2024) Regulations</w:t>
      </w:r>
      <w:r w:rsidRPr="00937483">
        <w:rPr>
          <w:rFonts w:eastAsiaTheme="minorHAnsi"/>
          <w:i/>
        </w:rPr>
        <w:t xml:space="preserve"> 202</w:t>
      </w:r>
      <w:r>
        <w:rPr>
          <w:rFonts w:eastAsiaTheme="minorHAnsi"/>
          <w:i/>
        </w:rPr>
        <w:t>4</w:t>
      </w:r>
      <w:r w:rsidRPr="00D219C3">
        <w:t>.</w:t>
      </w:r>
    </w:p>
    <w:p w14:paraId="40654D5C" w14:textId="77777777" w:rsidR="00D609F2" w:rsidRPr="00D219C3" w:rsidRDefault="00D609F2" w:rsidP="00D609F2">
      <w:pPr>
        <w:pStyle w:val="Head3"/>
        <w:rPr>
          <w:rFonts w:ascii="Times New Roman" w:hAnsi="Times New Roman"/>
          <w:sz w:val="24"/>
          <w:szCs w:val="24"/>
        </w:rPr>
      </w:pPr>
      <w:r>
        <w:rPr>
          <w:rFonts w:ascii="Times New Roman" w:hAnsi="Times New Roman"/>
          <w:sz w:val="24"/>
          <w:szCs w:val="24"/>
        </w:rPr>
        <w:t>Section</w:t>
      </w:r>
      <w:r w:rsidRPr="00D219C3">
        <w:rPr>
          <w:rFonts w:ascii="Times New Roman" w:hAnsi="Times New Roman"/>
          <w:sz w:val="24"/>
          <w:szCs w:val="24"/>
        </w:rPr>
        <w:t xml:space="preserve"> 2—Commencement</w:t>
      </w:r>
    </w:p>
    <w:p w14:paraId="0955979E" w14:textId="77777777" w:rsidR="00D609F2" w:rsidRPr="00BF5382" w:rsidRDefault="00D609F2" w:rsidP="00D609F2">
      <w:pPr>
        <w:pStyle w:val="BodyNum"/>
        <w:numPr>
          <w:ilvl w:val="0"/>
          <w:numId w:val="16"/>
        </w:numPr>
      </w:pPr>
      <w:r w:rsidRPr="00D219C3">
        <w:t>S</w:t>
      </w:r>
      <w:r>
        <w:t xml:space="preserve">ection 2 provides that the instrument commences 28 days after it is registered under the </w:t>
      </w:r>
      <w:r>
        <w:rPr>
          <w:i/>
        </w:rPr>
        <w:t>Legislation Act 2003</w:t>
      </w:r>
      <w:r>
        <w:t>.</w:t>
      </w:r>
    </w:p>
    <w:p w14:paraId="33A65008" w14:textId="77777777" w:rsidR="00D609F2" w:rsidRDefault="00D609F2" w:rsidP="00D609F2">
      <w:pPr>
        <w:pStyle w:val="Head3"/>
        <w:rPr>
          <w:rFonts w:ascii="Times New Roman" w:hAnsi="Times New Roman"/>
          <w:sz w:val="24"/>
          <w:szCs w:val="24"/>
        </w:rPr>
      </w:pPr>
      <w:bookmarkStart w:id="3" w:name="_Toc476553966"/>
      <w:r>
        <w:rPr>
          <w:rFonts w:ascii="Times New Roman" w:hAnsi="Times New Roman"/>
          <w:sz w:val="24"/>
          <w:szCs w:val="24"/>
        </w:rPr>
        <w:t>Section 3</w:t>
      </w:r>
      <w:r w:rsidRPr="00D219C3">
        <w:rPr>
          <w:rFonts w:ascii="Times New Roman" w:hAnsi="Times New Roman"/>
          <w:sz w:val="24"/>
          <w:szCs w:val="24"/>
        </w:rPr>
        <w:t>—</w:t>
      </w:r>
      <w:r>
        <w:rPr>
          <w:rFonts w:ascii="Times New Roman" w:hAnsi="Times New Roman"/>
          <w:sz w:val="24"/>
          <w:szCs w:val="24"/>
        </w:rPr>
        <w:t>Authority</w:t>
      </w:r>
    </w:p>
    <w:p w14:paraId="0E590F43" w14:textId="77777777" w:rsidR="00D609F2" w:rsidRDefault="00D609F2" w:rsidP="00D609F2">
      <w:pPr>
        <w:pStyle w:val="BodyNum"/>
      </w:pPr>
      <w:r>
        <w:t>Section 3 states that the instrument is made under the following Acts:</w:t>
      </w:r>
    </w:p>
    <w:p w14:paraId="09AB3457" w14:textId="77777777" w:rsidR="00D609F2" w:rsidRDefault="00D609F2" w:rsidP="00D609F2">
      <w:pPr>
        <w:pStyle w:val="BodyPara"/>
        <w:numPr>
          <w:ilvl w:val="1"/>
          <w:numId w:val="18"/>
        </w:numPr>
      </w:pPr>
      <w:r>
        <w:t xml:space="preserve">the </w:t>
      </w:r>
      <w:r>
        <w:rPr>
          <w:i/>
        </w:rPr>
        <w:t>Aboriginal Land Rights (Northern Territory) Act 1976</w:t>
      </w:r>
      <w:r>
        <w:t>;</w:t>
      </w:r>
    </w:p>
    <w:p w14:paraId="0803AD86" w14:textId="77777777" w:rsidR="00D609F2" w:rsidRDefault="00D609F2" w:rsidP="00D609F2">
      <w:pPr>
        <w:pStyle w:val="BodyPara"/>
        <w:numPr>
          <w:ilvl w:val="1"/>
          <w:numId w:val="18"/>
        </w:numPr>
      </w:pPr>
      <w:r>
        <w:t xml:space="preserve">the </w:t>
      </w:r>
      <w:r>
        <w:rPr>
          <w:i/>
        </w:rPr>
        <w:t>Australian Crime Commission Act 2002</w:t>
      </w:r>
      <w:r>
        <w:t>;</w:t>
      </w:r>
    </w:p>
    <w:p w14:paraId="10249ED6" w14:textId="77777777" w:rsidR="00D609F2" w:rsidRDefault="00D609F2" w:rsidP="00D609F2">
      <w:pPr>
        <w:pStyle w:val="BodyPara"/>
        <w:numPr>
          <w:ilvl w:val="1"/>
          <w:numId w:val="18"/>
        </w:numPr>
      </w:pPr>
      <w:r>
        <w:t xml:space="preserve">the </w:t>
      </w:r>
      <w:r w:rsidRPr="00A43820">
        <w:rPr>
          <w:i/>
        </w:rPr>
        <w:t>Civil Aviation Act 1988</w:t>
      </w:r>
      <w:r>
        <w:t>;</w:t>
      </w:r>
    </w:p>
    <w:p w14:paraId="67EE3136" w14:textId="77777777" w:rsidR="00D609F2" w:rsidRDefault="00D609F2" w:rsidP="00D609F2">
      <w:pPr>
        <w:pStyle w:val="BodyPara"/>
        <w:numPr>
          <w:ilvl w:val="1"/>
          <w:numId w:val="18"/>
        </w:numPr>
      </w:pPr>
      <w:r>
        <w:t xml:space="preserve">the </w:t>
      </w:r>
      <w:r w:rsidRPr="00EF1CA5">
        <w:rPr>
          <w:i/>
        </w:rPr>
        <w:t>Commonwealth Electoral Act 1918</w:t>
      </w:r>
      <w:r>
        <w:t>;</w:t>
      </w:r>
    </w:p>
    <w:p w14:paraId="37E2CAAC" w14:textId="77777777" w:rsidR="00D609F2" w:rsidRDefault="00D609F2" w:rsidP="00D609F2">
      <w:pPr>
        <w:pStyle w:val="BodyPara"/>
        <w:numPr>
          <w:ilvl w:val="1"/>
          <w:numId w:val="18"/>
        </w:numPr>
      </w:pPr>
      <w:r>
        <w:t xml:space="preserve">the </w:t>
      </w:r>
      <w:r w:rsidRPr="00A43820">
        <w:rPr>
          <w:i/>
        </w:rPr>
        <w:t>Corporations (Aboriginal and Torres Strait Islander) Act 2006</w:t>
      </w:r>
      <w:r>
        <w:t>;</w:t>
      </w:r>
    </w:p>
    <w:p w14:paraId="1285EB19" w14:textId="77777777" w:rsidR="00D609F2" w:rsidRDefault="00D609F2" w:rsidP="00D609F2">
      <w:pPr>
        <w:pStyle w:val="BodyPara"/>
        <w:numPr>
          <w:ilvl w:val="1"/>
          <w:numId w:val="18"/>
        </w:numPr>
      </w:pPr>
      <w:r>
        <w:t xml:space="preserve">the </w:t>
      </w:r>
      <w:r w:rsidRPr="00EF1CA5">
        <w:rPr>
          <w:i/>
        </w:rPr>
        <w:t>Customs Act 1901</w:t>
      </w:r>
      <w:r>
        <w:t>;</w:t>
      </w:r>
    </w:p>
    <w:p w14:paraId="3698E3EB" w14:textId="77777777" w:rsidR="00D609F2" w:rsidRDefault="00D609F2" w:rsidP="00D609F2">
      <w:pPr>
        <w:pStyle w:val="BodyPara"/>
        <w:numPr>
          <w:ilvl w:val="1"/>
          <w:numId w:val="18"/>
        </w:numPr>
      </w:pPr>
      <w:r>
        <w:t xml:space="preserve">the </w:t>
      </w:r>
      <w:r w:rsidRPr="0097466A">
        <w:rPr>
          <w:i/>
        </w:rPr>
        <w:t>Environment Protection and Biodiversity Conservation Act 1999</w:t>
      </w:r>
      <w:r>
        <w:t>;</w:t>
      </w:r>
    </w:p>
    <w:p w14:paraId="226C6CF0" w14:textId="77777777" w:rsidR="00D609F2" w:rsidRDefault="00D609F2" w:rsidP="00D609F2">
      <w:pPr>
        <w:pStyle w:val="BodyPara"/>
        <w:numPr>
          <w:ilvl w:val="1"/>
          <w:numId w:val="18"/>
        </w:numPr>
      </w:pPr>
      <w:r>
        <w:t xml:space="preserve">the </w:t>
      </w:r>
      <w:r w:rsidRPr="0097466A">
        <w:rPr>
          <w:i/>
        </w:rPr>
        <w:t>Explosives Act 1961</w:t>
      </w:r>
      <w:r>
        <w:t>;</w:t>
      </w:r>
    </w:p>
    <w:p w14:paraId="349C005D" w14:textId="77777777" w:rsidR="00D609F2" w:rsidRDefault="00D609F2" w:rsidP="00D609F2">
      <w:pPr>
        <w:pStyle w:val="BodyPara"/>
        <w:numPr>
          <w:ilvl w:val="1"/>
          <w:numId w:val="18"/>
        </w:numPr>
      </w:pPr>
      <w:r>
        <w:t xml:space="preserve">the </w:t>
      </w:r>
      <w:r w:rsidRPr="00BD6A8D">
        <w:rPr>
          <w:i/>
        </w:rPr>
        <w:t>Extradition Act 1988</w:t>
      </w:r>
      <w:r>
        <w:t>;</w:t>
      </w:r>
    </w:p>
    <w:p w14:paraId="5FC6CD12" w14:textId="77777777" w:rsidR="00D609F2" w:rsidRDefault="00D609F2" w:rsidP="00D609F2">
      <w:pPr>
        <w:pStyle w:val="BodyPara"/>
        <w:numPr>
          <w:ilvl w:val="1"/>
          <w:numId w:val="18"/>
        </w:numPr>
      </w:pPr>
      <w:r>
        <w:t xml:space="preserve">the </w:t>
      </w:r>
      <w:r w:rsidRPr="00C05CAE">
        <w:rPr>
          <w:i/>
        </w:rPr>
        <w:t>Fair Work Act 2009</w:t>
      </w:r>
      <w:r>
        <w:t>;</w:t>
      </w:r>
    </w:p>
    <w:p w14:paraId="68B60AD8" w14:textId="77777777" w:rsidR="00D609F2" w:rsidRDefault="00D609F2" w:rsidP="00D609F2">
      <w:pPr>
        <w:pStyle w:val="BodyPara"/>
        <w:numPr>
          <w:ilvl w:val="1"/>
          <w:numId w:val="18"/>
        </w:numPr>
      </w:pPr>
      <w:r>
        <w:t xml:space="preserve">the </w:t>
      </w:r>
      <w:r w:rsidRPr="00BD6A8D">
        <w:rPr>
          <w:i/>
        </w:rPr>
        <w:t>Fair Work (Registered Organisations) Act 2009</w:t>
      </w:r>
      <w:r>
        <w:t>;</w:t>
      </w:r>
    </w:p>
    <w:p w14:paraId="2ACB0279" w14:textId="33519DF8" w:rsidR="00D609F2" w:rsidRDefault="00D609F2" w:rsidP="00D609F2">
      <w:pPr>
        <w:pStyle w:val="BodyPara"/>
        <w:numPr>
          <w:ilvl w:val="1"/>
          <w:numId w:val="18"/>
        </w:numPr>
      </w:pPr>
      <w:r>
        <w:t xml:space="preserve">the </w:t>
      </w:r>
      <w:r w:rsidRPr="00BD6A8D">
        <w:rPr>
          <w:i/>
        </w:rPr>
        <w:t>Fair Work (Transitional Provisions and Consequential Amendments) Act</w:t>
      </w:r>
      <w:r w:rsidR="00C90F99">
        <w:rPr>
          <w:i/>
        </w:rPr>
        <w:t> </w:t>
      </w:r>
      <w:r w:rsidRPr="00BD6A8D">
        <w:rPr>
          <w:i/>
        </w:rPr>
        <w:t>2009</w:t>
      </w:r>
      <w:r>
        <w:t>;</w:t>
      </w:r>
    </w:p>
    <w:p w14:paraId="492A950D" w14:textId="77777777" w:rsidR="00D609F2" w:rsidRDefault="00D609F2" w:rsidP="00D609F2">
      <w:pPr>
        <w:pStyle w:val="BodyPara"/>
        <w:numPr>
          <w:ilvl w:val="1"/>
          <w:numId w:val="18"/>
        </w:numPr>
      </w:pPr>
      <w:r>
        <w:t xml:space="preserve">the </w:t>
      </w:r>
      <w:r w:rsidRPr="000A5C11">
        <w:rPr>
          <w:i/>
        </w:rPr>
        <w:t>Family Law Act 1975</w:t>
      </w:r>
      <w:r>
        <w:t>;</w:t>
      </w:r>
    </w:p>
    <w:p w14:paraId="01A4FD4D" w14:textId="77777777" w:rsidR="00D609F2" w:rsidRDefault="00D609F2" w:rsidP="00D609F2">
      <w:pPr>
        <w:pStyle w:val="BodyPara"/>
        <w:numPr>
          <w:ilvl w:val="1"/>
          <w:numId w:val="18"/>
        </w:numPr>
      </w:pPr>
      <w:r>
        <w:t xml:space="preserve">the </w:t>
      </w:r>
      <w:r w:rsidRPr="000A5C11">
        <w:rPr>
          <w:i/>
        </w:rPr>
        <w:t>Foreign Evidence Act 1994</w:t>
      </w:r>
      <w:r>
        <w:t>;</w:t>
      </w:r>
    </w:p>
    <w:p w14:paraId="319623D4" w14:textId="77777777" w:rsidR="00D609F2" w:rsidRDefault="00D609F2" w:rsidP="00D609F2">
      <w:pPr>
        <w:pStyle w:val="BodyPara"/>
        <w:numPr>
          <w:ilvl w:val="1"/>
          <w:numId w:val="18"/>
        </w:numPr>
      </w:pPr>
      <w:r>
        <w:t xml:space="preserve">the </w:t>
      </w:r>
      <w:r w:rsidRPr="00A53A33">
        <w:rPr>
          <w:i/>
        </w:rPr>
        <w:t>Foreign States Immunities Act 1985</w:t>
      </w:r>
      <w:r>
        <w:t>;</w:t>
      </w:r>
    </w:p>
    <w:p w14:paraId="67E93FFA" w14:textId="77777777" w:rsidR="00D609F2" w:rsidRDefault="00D609F2" w:rsidP="00D609F2">
      <w:pPr>
        <w:pStyle w:val="BodyPara"/>
        <w:numPr>
          <w:ilvl w:val="1"/>
          <w:numId w:val="18"/>
        </w:numPr>
      </w:pPr>
      <w:r w:rsidRPr="00A53A33">
        <w:t xml:space="preserve">the </w:t>
      </w:r>
      <w:r w:rsidRPr="00A53A33">
        <w:rPr>
          <w:i/>
        </w:rPr>
        <w:t>Independent Contractors Act 2006</w:t>
      </w:r>
      <w:r>
        <w:t>;</w:t>
      </w:r>
    </w:p>
    <w:p w14:paraId="7A48357E" w14:textId="77777777" w:rsidR="00D609F2" w:rsidRDefault="00D609F2" w:rsidP="00D609F2">
      <w:pPr>
        <w:pStyle w:val="BodyPara"/>
        <w:numPr>
          <w:ilvl w:val="1"/>
          <w:numId w:val="18"/>
        </w:numPr>
      </w:pPr>
      <w:r>
        <w:t xml:space="preserve">the </w:t>
      </w:r>
      <w:r w:rsidRPr="00AA6B94">
        <w:rPr>
          <w:i/>
        </w:rPr>
        <w:t>Migration Act 1958</w:t>
      </w:r>
      <w:r>
        <w:t>;</w:t>
      </w:r>
    </w:p>
    <w:p w14:paraId="3F3918DC" w14:textId="77777777" w:rsidR="00D609F2" w:rsidRDefault="00D609F2" w:rsidP="00D609F2">
      <w:pPr>
        <w:pStyle w:val="BodyPara"/>
        <w:numPr>
          <w:ilvl w:val="1"/>
          <w:numId w:val="18"/>
        </w:numPr>
      </w:pPr>
      <w:r>
        <w:t xml:space="preserve">the </w:t>
      </w:r>
      <w:r w:rsidRPr="00AA6B94">
        <w:rPr>
          <w:i/>
        </w:rPr>
        <w:t>National Transport Commission</w:t>
      </w:r>
      <w:r>
        <w:rPr>
          <w:i/>
        </w:rPr>
        <w:t xml:space="preserve"> Act</w:t>
      </w:r>
      <w:r w:rsidRPr="00AA6B94">
        <w:rPr>
          <w:i/>
        </w:rPr>
        <w:t xml:space="preserve"> 2003</w:t>
      </w:r>
      <w:r>
        <w:t>;</w:t>
      </w:r>
    </w:p>
    <w:p w14:paraId="0C7B93F4" w14:textId="77777777" w:rsidR="00D609F2" w:rsidRDefault="00D609F2" w:rsidP="00D609F2">
      <w:pPr>
        <w:pStyle w:val="BodyPara"/>
        <w:numPr>
          <w:ilvl w:val="1"/>
          <w:numId w:val="18"/>
        </w:numPr>
      </w:pPr>
      <w:r>
        <w:lastRenderedPageBreak/>
        <w:t xml:space="preserve">the </w:t>
      </w:r>
      <w:r w:rsidRPr="00C05CAE">
        <w:rPr>
          <w:i/>
        </w:rPr>
        <w:t>Offshore Petroleum and Greenhouse Gas Storage Act 2006</w:t>
      </w:r>
      <w:r>
        <w:t>;</w:t>
      </w:r>
    </w:p>
    <w:p w14:paraId="7BE7BDEC" w14:textId="77777777" w:rsidR="00D609F2" w:rsidRDefault="00D609F2" w:rsidP="00D609F2">
      <w:pPr>
        <w:pStyle w:val="BodyPara"/>
        <w:numPr>
          <w:ilvl w:val="1"/>
          <w:numId w:val="18"/>
        </w:numPr>
      </w:pPr>
      <w:r>
        <w:t xml:space="preserve">the </w:t>
      </w:r>
      <w:r w:rsidRPr="007915D9">
        <w:rPr>
          <w:i/>
        </w:rPr>
        <w:t>Primary Industries (Excise) Levies Act 1999</w:t>
      </w:r>
      <w:r>
        <w:t>;</w:t>
      </w:r>
    </w:p>
    <w:p w14:paraId="046DEF1D" w14:textId="77777777" w:rsidR="00D609F2" w:rsidRDefault="00D609F2" w:rsidP="00D609F2">
      <w:pPr>
        <w:pStyle w:val="BodyPara"/>
        <w:numPr>
          <w:ilvl w:val="1"/>
          <w:numId w:val="18"/>
        </w:numPr>
      </w:pPr>
      <w:r>
        <w:t xml:space="preserve">the </w:t>
      </w:r>
      <w:r w:rsidRPr="006C2503">
        <w:rPr>
          <w:i/>
        </w:rPr>
        <w:t>Primary Industries Levies and Charges Collection Act 1991</w:t>
      </w:r>
      <w:r>
        <w:t>;</w:t>
      </w:r>
    </w:p>
    <w:p w14:paraId="087AE010" w14:textId="77777777" w:rsidR="00D609F2" w:rsidRDefault="00D609F2" w:rsidP="00D609F2">
      <w:pPr>
        <w:pStyle w:val="BodyPara"/>
        <w:numPr>
          <w:ilvl w:val="1"/>
          <w:numId w:val="18"/>
        </w:numPr>
      </w:pPr>
      <w:r>
        <w:t xml:space="preserve">the </w:t>
      </w:r>
      <w:r w:rsidRPr="006C2503">
        <w:rPr>
          <w:i/>
        </w:rPr>
        <w:t>Renewable Energy (Electricity) Act 2000</w:t>
      </w:r>
      <w:r>
        <w:t>;</w:t>
      </w:r>
    </w:p>
    <w:p w14:paraId="6CF285F3" w14:textId="77777777" w:rsidR="00D609F2" w:rsidRDefault="00D609F2" w:rsidP="00D609F2">
      <w:pPr>
        <w:pStyle w:val="BodyPara"/>
        <w:numPr>
          <w:ilvl w:val="1"/>
          <w:numId w:val="18"/>
        </w:numPr>
      </w:pPr>
      <w:r>
        <w:t xml:space="preserve">the </w:t>
      </w:r>
      <w:r w:rsidRPr="00BF6B12">
        <w:rPr>
          <w:i/>
        </w:rPr>
        <w:t>Service and Execution of Process Act 1992</w:t>
      </w:r>
      <w:r>
        <w:t>;</w:t>
      </w:r>
    </w:p>
    <w:p w14:paraId="2F09A7B3" w14:textId="77777777" w:rsidR="00D609F2" w:rsidRDefault="00D609F2" w:rsidP="00D609F2">
      <w:pPr>
        <w:pStyle w:val="BodyPara"/>
        <w:numPr>
          <w:ilvl w:val="1"/>
          <w:numId w:val="18"/>
        </w:numPr>
      </w:pPr>
      <w:r>
        <w:t xml:space="preserve">the </w:t>
      </w:r>
      <w:r w:rsidRPr="006C2503">
        <w:rPr>
          <w:i/>
        </w:rPr>
        <w:t>Trade Marks Act 1995</w:t>
      </w:r>
      <w:r>
        <w:t>;</w:t>
      </w:r>
    </w:p>
    <w:p w14:paraId="20735193" w14:textId="77777777" w:rsidR="00D609F2" w:rsidRDefault="00D609F2" w:rsidP="00D609F2">
      <w:pPr>
        <w:pStyle w:val="BodyPara"/>
        <w:numPr>
          <w:ilvl w:val="1"/>
          <w:numId w:val="18"/>
        </w:numPr>
      </w:pPr>
      <w:r>
        <w:t xml:space="preserve">the </w:t>
      </w:r>
      <w:r w:rsidRPr="006C2503">
        <w:rPr>
          <w:i/>
        </w:rPr>
        <w:t>Trans-Tasman Proceedings Act 2010</w:t>
      </w:r>
      <w:r>
        <w:t>;</w:t>
      </w:r>
    </w:p>
    <w:p w14:paraId="030D3C30" w14:textId="77777777" w:rsidR="00D609F2" w:rsidRDefault="00D609F2" w:rsidP="00D609F2">
      <w:pPr>
        <w:pStyle w:val="BodyPara"/>
        <w:numPr>
          <w:ilvl w:val="1"/>
          <w:numId w:val="18"/>
        </w:numPr>
      </w:pPr>
      <w:r>
        <w:t xml:space="preserve">the </w:t>
      </w:r>
      <w:r w:rsidRPr="006C2503">
        <w:rPr>
          <w:i/>
        </w:rPr>
        <w:t>Water Act 2007</w:t>
      </w:r>
      <w:r>
        <w:t>;</w:t>
      </w:r>
    </w:p>
    <w:p w14:paraId="2DCAB15D" w14:textId="77777777" w:rsidR="00D609F2" w:rsidRPr="004E61B1" w:rsidRDefault="00D609F2" w:rsidP="00D609F2">
      <w:pPr>
        <w:pStyle w:val="BodyPara"/>
        <w:numPr>
          <w:ilvl w:val="1"/>
          <w:numId w:val="18"/>
        </w:numPr>
      </w:pPr>
      <w:r>
        <w:t xml:space="preserve">the </w:t>
      </w:r>
      <w:r w:rsidRPr="00C05CAE">
        <w:rPr>
          <w:i/>
        </w:rPr>
        <w:t>Work Health and Safety Act 2011</w:t>
      </w:r>
      <w:r>
        <w:t>.</w:t>
      </w:r>
    </w:p>
    <w:p w14:paraId="540311E8" w14:textId="77777777" w:rsidR="00D609F2" w:rsidRPr="00EF7783" w:rsidRDefault="00D609F2" w:rsidP="00D609F2">
      <w:pPr>
        <w:pStyle w:val="BodyNum"/>
        <w:numPr>
          <w:ilvl w:val="0"/>
          <w:numId w:val="18"/>
        </w:numPr>
        <w:rPr>
          <w:color w:val="000000"/>
          <w:shd w:val="clear" w:color="auto" w:fill="FFFFFF"/>
        </w:rPr>
      </w:pPr>
      <w:r w:rsidRPr="00D41AFF">
        <w:rPr>
          <w:color w:val="000000"/>
          <w:shd w:val="clear" w:color="auto" w:fill="FFFFFF"/>
        </w:rPr>
        <w:t xml:space="preserve">Subsection 33(3) of the </w:t>
      </w:r>
      <w:r w:rsidRPr="00D41AFF">
        <w:rPr>
          <w:i/>
          <w:color w:val="000000"/>
          <w:shd w:val="clear" w:color="auto" w:fill="FFFFFF"/>
        </w:rPr>
        <w:t>Acts Interpretation Act 1901</w:t>
      </w:r>
      <w:r w:rsidRPr="00D41AFF">
        <w:rPr>
          <w:color w:val="000000"/>
          <w:shd w:val="clear" w:color="auto" w:fill="FFFFFF"/>
        </w:rPr>
        <w:t xml:space="preserve"> provides that a power conferred by those Acts to make regulations includes a power exercisable in the like manner and subject to the like conditions (if any) to repeal, rescind, revoke, amend or vary the regulations.</w:t>
      </w:r>
    </w:p>
    <w:p w14:paraId="14D2C8F3" w14:textId="77777777" w:rsidR="00D609F2" w:rsidRDefault="00D609F2" w:rsidP="00D609F2">
      <w:pPr>
        <w:pStyle w:val="Head3"/>
        <w:rPr>
          <w:rFonts w:ascii="Times New Roman" w:hAnsi="Times New Roman"/>
          <w:sz w:val="24"/>
          <w:szCs w:val="24"/>
        </w:rPr>
      </w:pPr>
      <w:r>
        <w:rPr>
          <w:rFonts w:ascii="Times New Roman" w:hAnsi="Times New Roman"/>
          <w:sz w:val="24"/>
          <w:szCs w:val="24"/>
        </w:rPr>
        <w:t>Section 4</w:t>
      </w:r>
      <w:r w:rsidRPr="00D219C3">
        <w:rPr>
          <w:rFonts w:ascii="Times New Roman" w:hAnsi="Times New Roman"/>
          <w:sz w:val="24"/>
          <w:szCs w:val="24"/>
        </w:rPr>
        <w:t>—Schedules</w:t>
      </w:r>
      <w:bookmarkEnd w:id="3"/>
    </w:p>
    <w:p w14:paraId="7573D9AE" w14:textId="77777777" w:rsidR="00D609F2" w:rsidRPr="00D219C3" w:rsidRDefault="00D609F2" w:rsidP="00D609F2">
      <w:pPr>
        <w:pStyle w:val="BodyNum"/>
        <w:numPr>
          <w:ilvl w:val="0"/>
          <w:numId w:val="18"/>
        </w:numPr>
      </w:pPr>
      <w:r w:rsidRPr="004A0070">
        <w:rPr>
          <w:color w:val="000000"/>
          <w:shd w:val="clear" w:color="auto" w:fill="FFFFFF"/>
        </w:rPr>
        <w:t>Section 4 provides that the in</w:t>
      </w:r>
      <w:r>
        <w:rPr>
          <w:color w:val="000000"/>
          <w:shd w:val="clear" w:color="auto" w:fill="FFFFFF"/>
        </w:rPr>
        <w:t>s</w:t>
      </w:r>
      <w:r w:rsidRPr="004A0070">
        <w:rPr>
          <w:color w:val="000000"/>
          <w:shd w:val="clear" w:color="auto" w:fill="FFFFFF"/>
        </w:rPr>
        <w:t>truments set out Schedules</w:t>
      </w:r>
      <w:r>
        <w:rPr>
          <w:color w:val="000000"/>
          <w:shd w:val="clear" w:color="auto" w:fill="FFFFFF"/>
        </w:rPr>
        <w:t xml:space="preserve"> 1 and 2</w:t>
      </w:r>
      <w:r w:rsidRPr="004A0070">
        <w:rPr>
          <w:color w:val="000000"/>
          <w:shd w:val="clear" w:color="auto" w:fill="FFFFFF"/>
        </w:rPr>
        <w:t xml:space="preserve"> are amended as set out in </w:t>
      </w:r>
      <w:r>
        <w:rPr>
          <w:color w:val="000000"/>
          <w:shd w:val="clear" w:color="auto" w:fill="FFFFFF"/>
        </w:rPr>
        <w:t xml:space="preserve">the </w:t>
      </w:r>
      <w:r w:rsidRPr="004A0070">
        <w:rPr>
          <w:color w:val="000000"/>
          <w:shd w:val="clear" w:color="auto" w:fill="FFFFFF"/>
        </w:rPr>
        <w:t xml:space="preserve">Schedules </w:t>
      </w:r>
      <w:r w:rsidRPr="00D219C3">
        <w:t>and any other item in a Schedule has effect according to its terms. This is a technical provision to give operational effect to the amendments contained in the Schedules.</w:t>
      </w:r>
    </w:p>
    <w:p w14:paraId="7872EC62" w14:textId="77777777" w:rsidR="00D609F2" w:rsidRPr="00D219C3" w:rsidRDefault="00D609F2" w:rsidP="00D609F2">
      <w:pPr>
        <w:pStyle w:val="Head2"/>
        <w:rPr>
          <w:rFonts w:ascii="Times New Roman" w:hAnsi="Times New Roman"/>
          <w:sz w:val="24"/>
          <w:szCs w:val="24"/>
        </w:rPr>
      </w:pPr>
      <w:bookmarkStart w:id="4" w:name="_Toc476553967"/>
      <w:r>
        <w:rPr>
          <w:rFonts w:ascii="Times New Roman" w:hAnsi="Times New Roman"/>
          <w:sz w:val="24"/>
          <w:szCs w:val="24"/>
        </w:rPr>
        <w:t>Schedule 1</w:t>
      </w:r>
      <w:r w:rsidRPr="00D219C3">
        <w:rPr>
          <w:rFonts w:ascii="Times New Roman" w:hAnsi="Times New Roman"/>
          <w:sz w:val="24"/>
          <w:szCs w:val="24"/>
        </w:rPr>
        <w:t>—</w:t>
      </w:r>
      <w:bookmarkEnd w:id="4"/>
      <w:r>
        <w:rPr>
          <w:rFonts w:ascii="Times New Roman" w:hAnsi="Times New Roman"/>
          <w:sz w:val="24"/>
          <w:szCs w:val="24"/>
        </w:rPr>
        <w:t>Updating references to Northern Territory legislation</w:t>
      </w:r>
    </w:p>
    <w:p w14:paraId="6BE35553" w14:textId="77777777" w:rsidR="00D609F2" w:rsidRDefault="00D609F2" w:rsidP="00D609F2">
      <w:pPr>
        <w:pStyle w:val="BodyNum"/>
      </w:pPr>
      <w:r w:rsidRPr="00EB789A">
        <w:t xml:space="preserve">The </w:t>
      </w:r>
      <w:r w:rsidRPr="00B23BDE">
        <w:rPr>
          <w:i/>
        </w:rPr>
        <w:t>Interpretation Legislation Amendment Act 2018</w:t>
      </w:r>
      <w:r w:rsidRPr="00EB789A">
        <w:t xml:space="preserve"> (NT) amended section 49 of the </w:t>
      </w:r>
      <w:r w:rsidRPr="00B23BDE">
        <w:rPr>
          <w:i/>
        </w:rPr>
        <w:t>Interpretation Act 1978</w:t>
      </w:r>
      <w:r w:rsidRPr="00EB789A">
        <w:t xml:space="preserve"> (NT) to change the way Northern Territory legislation may be cited. The new method of citation requires the year of enactment or making to be included in the short title of the legislation.</w:t>
      </w:r>
    </w:p>
    <w:p w14:paraId="0B4D3662" w14:textId="77777777" w:rsidR="00D609F2" w:rsidRPr="00EB789A" w:rsidRDefault="00D609F2" w:rsidP="00D609F2">
      <w:pPr>
        <w:pStyle w:val="BodyNum"/>
      </w:pPr>
      <w:r w:rsidRPr="00EB789A">
        <w:t xml:space="preserve">The items in </w:t>
      </w:r>
      <w:r>
        <w:t>Schedule 1 to this instrument</w:t>
      </w:r>
      <w:r w:rsidRPr="00EB789A">
        <w:t xml:space="preserve"> update references in the following Commonwealth instruments consistently with this new scheme for citing Northern Territory legislation</w:t>
      </w:r>
      <w:r>
        <w:t xml:space="preserve"> and with other recent changes in the Northern Territory’s statute book</w:t>
      </w:r>
      <w:r w:rsidRPr="00EB789A">
        <w:t>:</w:t>
      </w:r>
    </w:p>
    <w:p w14:paraId="2C2C105D" w14:textId="77777777" w:rsidR="00D609F2" w:rsidRPr="009C0187" w:rsidRDefault="00D609F2" w:rsidP="00D609F2">
      <w:pPr>
        <w:pStyle w:val="BodyPara"/>
      </w:pPr>
      <w:r w:rsidRPr="009C0187">
        <w:t xml:space="preserve">the </w:t>
      </w:r>
      <w:r w:rsidRPr="00B23BDE">
        <w:rPr>
          <w:i/>
        </w:rPr>
        <w:t>Aboriginal Land Rights (Northern Territory) Regulations 2007</w:t>
      </w:r>
      <w:r w:rsidRPr="009C0187">
        <w:t>;</w:t>
      </w:r>
    </w:p>
    <w:p w14:paraId="317C938E" w14:textId="77777777" w:rsidR="00D609F2" w:rsidRPr="009C0187" w:rsidRDefault="00D609F2" w:rsidP="00D609F2">
      <w:pPr>
        <w:pStyle w:val="BodyPara"/>
      </w:pPr>
      <w:r w:rsidRPr="009C0187">
        <w:t xml:space="preserve">the </w:t>
      </w:r>
      <w:r w:rsidRPr="00B23BDE">
        <w:rPr>
          <w:i/>
        </w:rPr>
        <w:t>Australian Crime Commission Regulations 2018</w:t>
      </w:r>
      <w:r w:rsidRPr="009C0187">
        <w:t>;</w:t>
      </w:r>
    </w:p>
    <w:p w14:paraId="13358B46" w14:textId="77777777" w:rsidR="00D609F2" w:rsidRPr="009C0187" w:rsidRDefault="00D609F2" w:rsidP="00D609F2">
      <w:pPr>
        <w:pStyle w:val="BodyPara"/>
      </w:pPr>
      <w:r w:rsidRPr="009C0187">
        <w:t xml:space="preserve">the </w:t>
      </w:r>
      <w:r w:rsidRPr="00B23BDE">
        <w:rPr>
          <w:i/>
        </w:rPr>
        <w:t>Environment Protection and Biodiversity Conservation Regulations 2000</w:t>
      </w:r>
      <w:r w:rsidRPr="009C0187">
        <w:t>;</w:t>
      </w:r>
    </w:p>
    <w:p w14:paraId="082CCA5C" w14:textId="77777777" w:rsidR="00D609F2" w:rsidRPr="009C0187" w:rsidRDefault="00D609F2" w:rsidP="00D609F2">
      <w:pPr>
        <w:pStyle w:val="BodyPara"/>
      </w:pPr>
      <w:r w:rsidRPr="009C0187">
        <w:t xml:space="preserve">the </w:t>
      </w:r>
      <w:r w:rsidRPr="00B23BDE">
        <w:rPr>
          <w:i/>
        </w:rPr>
        <w:t>Explosives Transport Regulations 2002</w:t>
      </w:r>
      <w:r w:rsidRPr="009C0187">
        <w:t>;</w:t>
      </w:r>
    </w:p>
    <w:p w14:paraId="395BDB4D" w14:textId="77777777" w:rsidR="00D609F2" w:rsidRPr="009C0187" w:rsidRDefault="00D609F2" w:rsidP="00D609F2">
      <w:pPr>
        <w:pStyle w:val="BodyPara"/>
      </w:pPr>
      <w:r w:rsidRPr="009C0187">
        <w:t xml:space="preserve">the </w:t>
      </w:r>
      <w:r w:rsidRPr="00B23BDE">
        <w:rPr>
          <w:i/>
        </w:rPr>
        <w:t>Fair Work Regulations 2009</w:t>
      </w:r>
      <w:r w:rsidRPr="009C0187">
        <w:t>;</w:t>
      </w:r>
    </w:p>
    <w:p w14:paraId="13F8F570" w14:textId="77777777" w:rsidR="00D609F2" w:rsidRPr="009C0187" w:rsidRDefault="00D609F2" w:rsidP="00D609F2">
      <w:pPr>
        <w:pStyle w:val="BodyPara"/>
      </w:pPr>
      <w:r w:rsidRPr="009C0187">
        <w:t xml:space="preserve">the </w:t>
      </w:r>
      <w:r w:rsidRPr="00B23BDE">
        <w:rPr>
          <w:i/>
        </w:rPr>
        <w:t>Family Law (Child Protection Convention) Regulations 2003</w:t>
      </w:r>
      <w:r w:rsidRPr="009C0187">
        <w:t>;</w:t>
      </w:r>
    </w:p>
    <w:p w14:paraId="50EC82B5" w14:textId="77777777" w:rsidR="00D609F2" w:rsidRPr="009C0187" w:rsidRDefault="00D609F2" w:rsidP="00D609F2">
      <w:pPr>
        <w:pStyle w:val="BodyPara"/>
      </w:pPr>
      <w:r w:rsidRPr="009C0187">
        <w:lastRenderedPageBreak/>
        <w:t xml:space="preserve">the </w:t>
      </w:r>
      <w:r w:rsidRPr="00B23BDE">
        <w:rPr>
          <w:i/>
        </w:rPr>
        <w:t>Foreign Evidence (Foreign Material—Criminal and Related Civil Proceedings) Regulations 2018</w:t>
      </w:r>
      <w:r w:rsidRPr="009C0187">
        <w:t>;</w:t>
      </w:r>
    </w:p>
    <w:p w14:paraId="1C5F3C5D" w14:textId="77777777" w:rsidR="00D609F2" w:rsidRPr="009C0187" w:rsidRDefault="00D609F2" w:rsidP="00D609F2">
      <w:pPr>
        <w:pStyle w:val="BodyPara"/>
      </w:pPr>
      <w:r w:rsidRPr="009C0187">
        <w:t xml:space="preserve">the </w:t>
      </w:r>
      <w:r w:rsidRPr="00B23BDE">
        <w:rPr>
          <w:i/>
        </w:rPr>
        <w:t>Foreign States Immunities (Taxation) Regulations 2018</w:t>
      </w:r>
      <w:r w:rsidRPr="009C0187">
        <w:t>;</w:t>
      </w:r>
    </w:p>
    <w:p w14:paraId="0C9B70C3" w14:textId="77777777" w:rsidR="00D609F2" w:rsidRPr="009C0187" w:rsidRDefault="00D609F2" w:rsidP="00D609F2">
      <w:pPr>
        <w:pStyle w:val="BodyPara"/>
      </w:pPr>
      <w:r w:rsidRPr="009C0187">
        <w:t xml:space="preserve">the </w:t>
      </w:r>
      <w:r w:rsidRPr="00B23BDE">
        <w:rPr>
          <w:i/>
        </w:rPr>
        <w:t>Independent Contractors Regulation 2016</w:t>
      </w:r>
      <w:r w:rsidRPr="009C0187">
        <w:t>;</w:t>
      </w:r>
    </w:p>
    <w:p w14:paraId="4241AC6D" w14:textId="77777777" w:rsidR="00D609F2" w:rsidRPr="009C0187" w:rsidRDefault="00D609F2" w:rsidP="00D609F2">
      <w:pPr>
        <w:pStyle w:val="BodyPara"/>
      </w:pPr>
      <w:r w:rsidRPr="009C0187">
        <w:t xml:space="preserve">the </w:t>
      </w:r>
      <w:r w:rsidRPr="00B23BDE">
        <w:rPr>
          <w:i/>
        </w:rPr>
        <w:t>Offshore Petroleum and Greenhouse Gas Storage (Safety) Regulations 2009</w:t>
      </w:r>
      <w:r w:rsidRPr="009C0187">
        <w:t>;</w:t>
      </w:r>
    </w:p>
    <w:p w14:paraId="6C80A54A" w14:textId="77777777" w:rsidR="00D609F2" w:rsidRPr="009C0187" w:rsidRDefault="00D609F2" w:rsidP="00D609F2">
      <w:pPr>
        <w:pStyle w:val="BodyPara"/>
      </w:pPr>
      <w:r w:rsidRPr="009C0187">
        <w:t xml:space="preserve">the </w:t>
      </w:r>
      <w:r w:rsidRPr="00E12C94">
        <w:rPr>
          <w:i/>
        </w:rPr>
        <w:t>Service and Execution of Process Regulations 2018</w:t>
      </w:r>
      <w:r w:rsidRPr="009C0187">
        <w:t>.</w:t>
      </w:r>
    </w:p>
    <w:p w14:paraId="1E5203F7" w14:textId="77777777" w:rsidR="00D609F2" w:rsidRPr="00D219C3" w:rsidRDefault="00D609F2" w:rsidP="00D609F2">
      <w:pPr>
        <w:pStyle w:val="Head2"/>
        <w:rPr>
          <w:rFonts w:ascii="Times New Roman" w:hAnsi="Times New Roman"/>
          <w:sz w:val="24"/>
          <w:szCs w:val="24"/>
        </w:rPr>
      </w:pPr>
      <w:r w:rsidRPr="00D219C3">
        <w:rPr>
          <w:rFonts w:ascii="Times New Roman" w:hAnsi="Times New Roman"/>
          <w:sz w:val="24"/>
          <w:szCs w:val="24"/>
        </w:rPr>
        <w:t>Schedule </w:t>
      </w:r>
      <w:r>
        <w:rPr>
          <w:rFonts w:ascii="Times New Roman" w:hAnsi="Times New Roman"/>
          <w:sz w:val="24"/>
          <w:szCs w:val="24"/>
        </w:rPr>
        <w:t>2</w:t>
      </w:r>
      <w:r w:rsidRPr="00D219C3">
        <w:rPr>
          <w:rFonts w:ascii="Times New Roman" w:hAnsi="Times New Roman"/>
          <w:sz w:val="24"/>
          <w:szCs w:val="24"/>
        </w:rPr>
        <w:t>—</w:t>
      </w:r>
      <w:r>
        <w:rPr>
          <w:rFonts w:ascii="Times New Roman" w:hAnsi="Times New Roman"/>
          <w:sz w:val="24"/>
          <w:szCs w:val="24"/>
        </w:rPr>
        <w:t>Other amendments</w:t>
      </w:r>
    </w:p>
    <w:p w14:paraId="4B6EECC7" w14:textId="77777777" w:rsidR="00D609F2" w:rsidRPr="00D219C3"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1</w:t>
      </w:r>
    </w:p>
    <w:p w14:paraId="797E6428" w14:textId="6956B5ED" w:rsidR="00D609F2" w:rsidRPr="00EB789A" w:rsidRDefault="00D609F2" w:rsidP="00D609F2">
      <w:pPr>
        <w:pStyle w:val="BodyNum"/>
      </w:pPr>
      <w:r w:rsidRPr="00EB789A">
        <w:t xml:space="preserve">Subsection 2(15) of </w:t>
      </w:r>
      <w:r>
        <w:t>Part 2</w:t>
      </w:r>
      <w:r w:rsidRPr="00EB789A">
        <w:t xml:space="preserve"> of Schedule 5 to the </w:t>
      </w:r>
      <w:r w:rsidRPr="00B23BDE">
        <w:rPr>
          <w:i/>
        </w:rPr>
        <w:t>Civil Aviation Regulations 1988</w:t>
      </w:r>
      <w:r w:rsidRPr="00EB789A">
        <w:t xml:space="preserve"> contains a spelling error</w:t>
      </w:r>
      <w:r w:rsidR="00C919BB">
        <w:t>:</w:t>
      </w:r>
      <w:r w:rsidRPr="00EB789A">
        <w:t xml:space="preserve"> “</w:t>
      </w:r>
      <w:proofErr w:type="spellStart"/>
      <w:r w:rsidRPr="00EB789A">
        <w:t>manuracturer’s</w:t>
      </w:r>
      <w:proofErr w:type="spellEnd"/>
      <w:r w:rsidRPr="00EB789A">
        <w:t>” should be “</w:t>
      </w:r>
      <w:proofErr w:type="gramStart"/>
      <w:r w:rsidRPr="00EB789A">
        <w:t>manufacturer’s”</w:t>
      </w:r>
      <w:proofErr w:type="gramEnd"/>
      <w:r w:rsidRPr="00EB789A">
        <w:t xml:space="preserve">. Item </w:t>
      </w:r>
      <w:r>
        <w:t>1</w:t>
      </w:r>
      <w:r w:rsidRPr="00EB789A">
        <w:t xml:space="preserve"> corrects this spelling error.</w:t>
      </w:r>
    </w:p>
    <w:p w14:paraId="00D558E2" w14:textId="77777777" w:rsidR="00D609F2" w:rsidRPr="00D219C3"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2</w:t>
      </w:r>
    </w:p>
    <w:p w14:paraId="13BF7D71" w14:textId="77777777" w:rsidR="00D609F2" w:rsidRPr="00EB789A" w:rsidRDefault="00D609F2" w:rsidP="00D609F2">
      <w:pPr>
        <w:pStyle w:val="BodyNum"/>
      </w:pPr>
      <w:r w:rsidRPr="00EB789A">
        <w:t xml:space="preserve">Item </w:t>
      </w:r>
      <w:r>
        <w:t>2</w:t>
      </w:r>
      <w:r w:rsidRPr="00EB789A">
        <w:t xml:space="preserve"> repeals the redundant Subdivision 202.AJ.1.C of the </w:t>
      </w:r>
      <w:r w:rsidRPr="00B23BDE">
        <w:rPr>
          <w:i/>
        </w:rPr>
        <w:t>Civil Aviation Safety Regulations 1998</w:t>
      </w:r>
      <w:r w:rsidRPr="00EB789A">
        <w:t xml:space="preserve">. That Subdivision is redundant as the only regulation in the Subdivision was regulation 202.052A. Under </w:t>
      </w:r>
      <w:proofErr w:type="spellStart"/>
      <w:r w:rsidRPr="00EB789A">
        <w:t>subregulation</w:t>
      </w:r>
      <w:proofErr w:type="spellEnd"/>
      <w:r w:rsidRPr="00EB789A">
        <w:t> 202.052</w:t>
      </w:r>
      <w:proofErr w:type="gramStart"/>
      <w:r w:rsidRPr="00EB789A">
        <w:t>A(</w:t>
      </w:r>
      <w:proofErr w:type="gramEnd"/>
      <w:r w:rsidRPr="00EB789A">
        <w:t>5), that regulation expired at the end of 1 March 2017.</w:t>
      </w:r>
    </w:p>
    <w:p w14:paraId="343C1964"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3</w:t>
      </w:r>
    </w:p>
    <w:p w14:paraId="00A6DF4C" w14:textId="77777777" w:rsidR="00D609F2" w:rsidRPr="00EB789A" w:rsidRDefault="00D609F2" w:rsidP="00D609F2">
      <w:pPr>
        <w:pStyle w:val="BodyNum"/>
      </w:pPr>
      <w:r w:rsidRPr="00EB789A">
        <w:t xml:space="preserve">The </w:t>
      </w:r>
      <w:r w:rsidRPr="00B23BDE">
        <w:rPr>
          <w:i/>
        </w:rPr>
        <w:t>Civil Aviation Safety Regulations 1998</w:t>
      </w:r>
      <w:r w:rsidRPr="00EB789A">
        <w:t xml:space="preserve"> contains 2 regulations numbered 202.220. Item </w:t>
      </w:r>
      <w:r>
        <w:t>3</w:t>
      </w:r>
      <w:r w:rsidRPr="00EB789A">
        <w:t xml:space="preserve"> renumbers one of those regulations as regulation 202.217 to remove the duplication.</w:t>
      </w:r>
    </w:p>
    <w:p w14:paraId="1CD106CB"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4</w:t>
      </w:r>
    </w:p>
    <w:p w14:paraId="19FE60F8" w14:textId="77777777" w:rsidR="00D609F2" w:rsidRDefault="00D609F2" w:rsidP="00D609F2">
      <w:pPr>
        <w:pStyle w:val="BodyNum"/>
      </w:pPr>
      <w:r w:rsidRPr="00EB789A">
        <w:t xml:space="preserve">Item </w:t>
      </w:r>
      <w:r>
        <w:t>4</w:t>
      </w:r>
      <w:r w:rsidRPr="00EB789A">
        <w:t xml:space="preserve"> inserts notes under the heading </w:t>
      </w:r>
      <w:r>
        <w:t xml:space="preserve">to </w:t>
      </w:r>
      <w:r w:rsidRPr="00EB789A">
        <w:t xml:space="preserve">Subpart 202.FR of the </w:t>
      </w:r>
      <w:r w:rsidRPr="00B23BDE">
        <w:rPr>
          <w:i/>
        </w:rPr>
        <w:t>Civil Aviation Safety Regulations 1998</w:t>
      </w:r>
      <w:r>
        <w:t>:</w:t>
      </w:r>
    </w:p>
    <w:p w14:paraId="4EDACECD" w14:textId="77777777" w:rsidR="00D609F2" w:rsidRDefault="00D609F2" w:rsidP="00D609F2">
      <w:pPr>
        <w:pStyle w:val="BodyPara"/>
      </w:pPr>
      <w:r w:rsidRPr="00EB789A">
        <w:t>explaining why the heading is retained despite the Subpart currently containing no regulations</w:t>
      </w:r>
      <w:r>
        <w:t>;</w:t>
      </w:r>
      <w:r w:rsidRPr="00EB789A">
        <w:t xml:space="preserve"> and</w:t>
      </w:r>
    </w:p>
    <w:p w14:paraId="3B3C7DF7" w14:textId="77777777" w:rsidR="00D609F2" w:rsidRPr="00EB789A" w:rsidRDefault="00D609F2" w:rsidP="00D609F2">
      <w:pPr>
        <w:pStyle w:val="BodyPara"/>
      </w:pPr>
      <w:r w:rsidRPr="00EB789A">
        <w:t>stating the regulation numbers reserved for use in that Subpart.</w:t>
      </w:r>
    </w:p>
    <w:p w14:paraId="1AB9515D"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5</w:t>
      </w:r>
    </w:p>
    <w:p w14:paraId="52730E16" w14:textId="77777777" w:rsidR="00D609F2" w:rsidRPr="00EB789A" w:rsidRDefault="00D609F2" w:rsidP="00D609F2">
      <w:pPr>
        <w:pStyle w:val="BodyNum"/>
      </w:pPr>
      <w:r w:rsidRPr="00EB789A">
        <w:t xml:space="preserve">The Dictionary to the </w:t>
      </w:r>
      <w:r w:rsidRPr="00B23BDE">
        <w:rPr>
          <w:i/>
        </w:rPr>
        <w:t>Civil Aviation Safety Regulations 1998</w:t>
      </w:r>
      <w:r w:rsidRPr="00EB789A">
        <w:t xml:space="preserve"> currently contains 2 definitions of </w:t>
      </w:r>
      <w:r w:rsidRPr="00B23BDE">
        <w:rPr>
          <w:b/>
          <w:i/>
        </w:rPr>
        <w:t>certificate of validation</w:t>
      </w:r>
      <w:r w:rsidRPr="00EB789A">
        <w:t xml:space="preserve">, one inserted by item 449 of </w:t>
      </w:r>
      <w:r>
        <w:t>Schedule 1</w:t>
      </w:r>
      <w:r w:rsidRPr="00EB789A">
        <w:t xml:space="preserve"> to the </w:t>
      </w:r>
      <w:r w:rsidRPr="00B23BDE">
        <w:rPr>
          <w:i/>
          <w:iCs/>
        </w:rPr>
        <w:t>Civil Aviation Legislation Amendment (Flight Crew Licensing and Other Matters) Regulation 2013</w:t>
      </w:r>
      <w:r w:rsidRPr="00EB789A">
        <w:rPr>
          <w:iCs/>
        </w:rPr>
        <w:t xml:space="preserve"> and the other by </w:t>
      </w:r>
      <w:r w:rsidRPr="00EB789A">
        <w:t xml:space="preserve">item 48 of </w:t>
      </w:r>
      <w:r>
        <w:t>Schedule 1</w:t>
      </w:r>
      <w:r w:rsidRPr="00EB789A">
        <w:t xml:space="preserve"> to the </w:t>
      </w:r>
      <w:r w:rsidRPr="00B23BDE">
        <w:rPr>
          <w:i/>
          <w:iCs/>
        </w:rPr>
        <w:t>Civil Aviation Legislation Amendment Regulation 2013</w:t>
      </w:r>
      <w:r>
        <w:rPr>
          <w:i/>
          <w:iCs/>
        </w:rPr>
        <w:t xml:space="preserve"> (No. 1)</w:t>
      </w:r>
      <w:r w:rsidRPr="00EB789A">
        <w:t>. The definitions are the same in substance and simply point to regulation 6</w:t>
      </w:r>
      <w:r>
        <w:t>1</w:t>
      </w:r>
      <w:r w:rsidRPr="00EB789A">
        <w:t>.01</w:t>
      </w:r>
      <w:r>
        <w:t>0</w:t>
      </w:r>
      <w:r w:rsidRPr="00EB789A">
        <w:t>.</w:t>
      </w:r>
    </w:p>
    <w:p w14:paraId="22F04FC4" w14:textId="77777777" w:rsidR="00D609F2" w:rsidRPr="00EB789A" w:rsidRDefault="00D609F2" w:rsidP="00D609F2">
      <w:pPr>
        <w:pStyle w:val="BodyNum"/>
      </w:pPr>
      <w:r w:rsidRPr="00EB789A">
        <w:t xml:space="preserve">Item </w:t>
      </w:r>
      <w:r>
        <w:t>5</w:t>
      </w:r>
      <w:r w:rsidRPr="00EB789A">
        <w:t xml:space="preserve"> repeals one of the definitions.</w:t>
      </w:r>
    </w:p>
    <w:p w14:paraId="7830C9A6"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lastRenderedPageBreak/>
        <w:t>Item</w:t>
      </w:r>
      <w:r>
        <w:rPr>
          <w:rFonts w:ascii="Times New Roman" w:hAnsi="Times New Roman"/>
          <w:sz w:val="24"/>
          <w:szCs w:val="24"/>
        </w:rPr>
        <w:t xml:space="preserve"> 6</w:t>
      </w:r>
    </w:p>
    <w:p w14:paraId="02B4CF08" w14:textId="40AA0718" w:rsidR="00D609F2" w:rsidRDefault="00D609F2" w:rsidP="00D609F2">
      <w:pPr>
        <w:pStyle w:val="BodyNum"/>
      </w:pPr>
      <w:r w:rsidRPr="00EB789A">
        <w:t xml:space="preserve">Schedule 4 </w:t>
      </w:r>
      <w:r>
        <w:t>to</w:t>
      </w:r>
      <w:r w:rsidRPr="00EB789A">
        <w:t xml:space="preserve"> the </w:t>
      </w:r>
      <w:r w:rsidRPr="00B23BDE">
        <w:rPr>
          <w:i/>
        </w:rPr>
        <w:t>Corporations (Aboriginal and Torres Strait Islander) Regulations 2017</w:t>
      </w:r>
      <w:r w:rsidRPr="00EB789A">
        <w:t xml:space="preserve"> sets out modifications of applied </w:t>
      </w:r>
      <w:r w:rsidR="00814441">
        <w:rPr>
          <w:i/>
        </w:rPr>
        <w:t>Corporations Act 2001</w:t>
      </w:r>
      <w:r w:rsidRPr="00EB789A">
        <w:t xml:space="preserve"> provisions. It is relevant to sections 49, 50, 51, 51A and 53 of the Regulations. However, the note to the heading of the Schedule does not refer to section 51A.</w:t>
      </w:r>
    </w:p>
    <w:p w14:paraId="6D7724C5" w14:textId="77777777" w:rsidR="00D609F2" w:rsidRPr="00EB789A" w:rsidRDefault="00D609F2" w:rsidP="00D609F2">
      <w:pPr>
        <w:pStyle w:val="BodyNum"/>
      </w:pPr>
      <w:r w:rsidRPr="00EB789A">
        <w:t xml:space="preserve">Item </w:t>
      </w:r>
      <w:r>
        <w:t>6</w:t>
      </w:r>
      <w:r w:rsidRPr="00EB789A">
        <w:t xml:space="preserve"> corrects this omission.</w:t>
      </w:r>
    </w:p>
    <w:p w14:paraId="0ECA829F"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7</w:t>
      </w:r>
    </w:p>
    <w:p w14:paraId="0A01CB48" w14:textId="77777777" w:rsidR="00D609F2" w:rsidRDefault="00D609F2" w:rsidP="00D609F2">
      <w:pPr>
        <w:pStyle w:val="BodyNum"/>
      </w:pPr>
      <w:r w:rsidRPr="0019500F">
        <w:t xml:space="preserve">The note to </w:t>
      </w:r>
      <w:proofErr w:type="spellStart"/>
      <w:r w:rsidRPr="0019500F">
        <w:t>subregulation</w:t>
      </w:r>
      <w:proofErr w:type="spellEnd"/>
      <w:r w:rsidRPr="0019500F">
        <w:t xml:space="preserve"> 8</w:t>
      </w:r>
      <w:proofErr w:type="gramStart"/>
      <w:r w:rsidRPr="0019500F">
        <w:t>A(</w:t>
      </w:r>
      <w:proofErr w:type="gramEnd"/>
      <w:r w:rsidRPr="0019500F">
        <w:t xml:space="preserve">1) of the </w:t>
      </w:r>
      <w:r w:rsidRPr="0019500F">
        <w:rPr>
          <w:i/>
        </w:rPr>
        <w:t>Customs (Prohibited Exports) Regulations 1958</w:t>
      </w:r>
      <w:r w:rsidRPr="0019500F">
        <w:t xml:space="preserve"> refers to the </w:t>
      </w:r>
      <w:proofErr w:type="spellStart"/>
      <w:r w:rsidRPr="0019500F">
        <w:t>ComLaw</w:t>
      </w:r>
      <w:proofErr w:type="spellEnd"/>
      <w:r w:rsidRPr="0019500F">
        <w:t xml:space="preserve"> website.</w:t>
      </w:r>
    </w:p>
    <w:p w14:paraId="01E04182" w14:textId="14B1A231" w:rsidR="00D609F2" w:rsidRPr="00EB789A" w:rsidRDefault="00D609F2" w:rsidP="00D609F2">
      <w:pPr>
        <w:pStyle w:val="BodyNum"/>
      </w:pPr>
      <w:r w:rsidRPr="00EB789A">
        <w:t xml:space="preserve">The </w:t>
      </w:r>
      <w:r w:rsidRPr="00B23BDE">
        <w:rPr>
          <w:i/>
        </w:rPr>
        <w:t>Acts and Instruments (Framework Reform) Act 2015</w:t>
      </w:r>
      <w:r w:rsidRPr="00EB789A">
        <w:t xml:space="preserve"> commenced on 5 March</w:t>
      </w:r>
      <w:r w:rsidR="00C90F99">
        <w:t> </w:t>
      </w:r>
      <w:r w:rsidRPr="00EB789A">
        <w:t>2016</w:t>
      </w:r>
      <w:r w:rsidR="00814441">
        <w:t xml:space="preserve">. It </w:t>
      </w:r>
      <w:r w:rsidRPr="00EB789A">
        <w:t xml:space="preserve">replaced the Federal Register of Legislative Instruments and the Acts database established under the </w:t>
      </w:r>
      <w:r w:rsidRPr="00B23BDE">
        <w:rPr>
          <w:i/>
        </w:rPr>
        <w:t>Acts Publication Act 1905</w:t>
      </w:r>
      <w:r w:rsidRPr="00EB789A">
        <w:t xml:space="preserve"> (accessible via </w:t>
      </w:r>
      <w:proofErr w:type="spellStart"/>
      <w:r w:rsidRPr="00EB789A">
        <w:t>ComLaw</w:t>
      </w:r>
      <w:proofErr w:type="spellEnd"/>
      <w:r w:rsidRPr="00EB789A">
        <w:t xml:space="preserve">) with the </w:t>
      </w:r>
      <w:r>
        <w:t>Federal Register of Legislation</w:t>
      </w:r>
      <w:r w:rsidRPr="00EB789A">
        <w:t xml:space="preserve"> website.</w:t>
      </w:r>
    </w:p>
    <w:p w14:paraId="133DBC1F" w14:textId="77777777" w:rsidR="00D609F2" w:rsidRPr="00EB789A" w:rsidRDefault="00D609F2" w:rsidP="00D609F2">
      <w:pPr>
        <w:pStyle w:val="BodyNum"/>
      </w:pPr>
      <w:r w:rsidRPr="00EB789A">
        <w:t xml:space="preserve">Item </w:t>
      </w:r>
      <w:r>
        <w:t>7</w:t>
      </w:r>
      <w:r w:rsidRPr="00EB789A">
        <w:t xml:space="preserve"> removes </w:t>
      </w:r>
      <w:r>
        <w:t>the</w:t>
      </w:r>
      <w:r w:rsidRPr="00EB789A">
        <w:t xml:space="preserve"> obsolete reference to the </w:t>
      </w:r>
      <w:proofErr w:type="spellStart"/>
      <w:r w:rsidRPr="00EB789A">
        <w:t>ComLaw</w:t>
      </w:r>
      <w:proofErr w:type="spellEnd"/>
      <w:r w:rsidRPr="00EB789A">
        <w:t xml:space="preserve"> website </w:t>
      </w:r>
      <w:r>
        <w:t xml:space="preserve">by repealing the </w:t>
      </w:r>
      <w:r w:rsidRPr="00EB789A">
        <w:t xml:space="preserve">note to </w:t>
      </w:r>
      <w:proofErr w:type="spellStart"/>
      <w:r w:rsidRPr="00EB789A">
        <w:t>subregulation</w:t>
      </w:r>
      <w:proofErr w:type="spellEnd"/>
      <w:r w:rsidRPr="00EB789A">
        <w:t> 8</w:t>
      </w:r>
      <w:proofErr w:type="gramStart"/>
      <w:r w:rsidRPr="00EB789A">
        <w:t>A(</w:t>
      </w:r>
      <w:proofErr w:type="gramEnd"/>
      <w:r w:rsidRPr="00EB789A">
        <w:t xml:space="preserve">1) of the </w:t>
      </w:r>
      <w:r w:rsidRPr="00B23BDE">
        <w:rPr>
          <w:i/>
        </w:rPr>
        <w:t>Customs (Prohibited Exports) Regulations 1958</w:t>
      </w:r>
      <w:r w:rsidRPr="00EB789A">
        <w:t>.</w:t>
      </w:r>
    </w:p>
    <w:p w14:paraId="4266A4F7" w14:textId="77777777" w:rsidR="00D609F2" w:rsidRDefault="00D609F2" w:rsidP="00D609F2">
      <w:pPr>
        <w:pStyle w:val="Head3"/>
        <w:rPr>
          <w:rFonts w:ascii="Times New Roman" w:hAnsi="Times New Roman"/>
          <w:sz w:val="24"/>
          <w:szCs w:val="24"/>
        </w:rPr>
      </w:pPr>
      <w:r>
        <w:rPr>
          <w:rFonts w:ascii="Times New Roman" w:hAnsi="Times New Roman"/>
          <w:sz w:val="24"/>
          <w:szCs w:val="24"/>
        </w:rPr>
        <w:t>Items 8, 9 and 11</w:t>
      </w:r>
    </w:p>
    <w:p w14:paraId="76D36EF2" w14:textId="77777777" w:rsidR="00D609F2" w:rsidRPr="00225F97" w:rsidRDefault="00D609F2" w:rsidP="00D609F2">
      <w:pPr>
        <w:pStyle w:val="BodyNum"/>
      </w:pPr>
      <w:r w:rsidRPr="00225F97">
        <w:t>Items 8, 9 and 11 are related.</w:t>
      </w:r>
    </w:p>
    <w:p w14:paraId="2854243D" w14:textId="30BCBC4E" w:rsidR="00D609F2" w:rsidRPr="00225F97" w:rsidRDefault="00D609F2" w:rsidP="00D609F2">
      <w:pPr>
        <w:pStyle w:val="BodyNum"/>
      </w:pPr>
      <w:r w:rsidRPr="00225F97">
        <w:t xml:space="preserve">The definition of </w:t>
      </w:r>
      <w:r w:rsidRPr="00225F97">
        <w:rPr>
          <w:b/>
          <w:i/>
        </w:rPr>
        <w:t>Australia’s Foreign Investment Framework</w:t>
      </w:r>
      <w:r w:rsidRPr="00225F97">
        <w:t xml:space="preserve"> in section 5 of the </w:t>
      </w:r>
      <w:r w:rsidRPr="00225F97">
        <w:rPr>
          <w:i/>
        </w:rPr>
        <w:t>Electoral and Referendum Regulation 2016</w:t>
      </w:r>
      <w:r w:rsidRPr="00225F97">
        <w:t xml:space="preserve">, and clause 1 of Schedule 1 to that Regulation, refer to the </w:t>
      </w:r>
      <w:r w:rsidRPr="00225F97">
        <w:rPr>
          <w:i/>
        </w:rPr>
        <w:t>Register of Foreign Ownership of Agricultural Land Act 2015</w:t>
      </w:r>
      <w:r w:rsidR="00814441">
        <w:rPr>
          <w:i/>
        </w:rPr>
        <w:t xml:space="preserve">. </w:t>
      </w:r>
      <w:r w:rsidR="00814441">
        <w:t>That Act</w:t>
      </w:r>
      <w:r w:rsidRPr="00225F97">
        <w:t xml:space="preserve"> was renamed in 2016 as the </w:t>
      </w:r>
      <w:bookmarkStart w:id="5" w:name="_Hlk144481304"/>
      <w:r w:rsidRPr="00225F97">
        <w:rPr>
          <w:i/>
        </w:rPr>
        <w:t>Register of Foreign Ownership of Water or Agricultural Land Act</w:t>
      </w:r>
      <w:r w:rsidR="00C90F99">
        <w:rPr>
          <w:i/>
        </w:rPr>
        <w:t> </w:t>
      </w:r>
      <w:r w:rsidRPr="00225F97">
        <w:rPr>
          <w:i/>
        </w:rPr>
        <w:t>2015</w:t>
      </w:r>
      <w:bookmarkEnd w:id="5"/>
      <w:r w:rsidRPr="00225F97">
        <w:t xml:space="preserve">. Item 14 of Schedule 3 to the </w:t>
      </w:r>
      <w:r w:rsidRPr="00225F97">
        <w:rPr>
          <w:i/>
        </w:rPr>
        <w:t>Foreign Investment Reform (Protecting Australia’s National Security) Act 2020</w:t>
      </w:r>
      <w:r w:rsidRPr="00225F97">
        <w:t xml:space="preserve"> repealed the </w:t>
      </w:r>
      <w:r w:rsidRPr="00225F97">
        <w:rPr>
          <w:i/>
        </w:rPr>
        <w:t>Register of Foreign Ownership of Water or Agricultural Land Act 2015</w:t>
      </w:r>
      <w:r w:rsidRPr="00225F97">
        <w:t xml:space="preserve"> on 1 July 20</w:t>
      </w:r>
      <w:r>
        <w:t>2</w:t>
      </w:r>
      <w:r w:rsidRPr="00225F97">
        <w:t>3.</w:t>
      </w:r>
    </w:p>
    <w:p w14:paraId="3EFF0869" w14:textId="77777777" w:rsidR="00D609F2" w:rsidRPr="00225F97" w:rsidRDefault="00D609F2" w:rsidP="00D609F2">
      <w:pPr>
        <w:pStyle w:val="BodyNum"/>
      </w:pPr>
      <w:r w:rsidRPr="00225F97">
        <w:t xml:space="preserve">Items </w:t>
      </w:r>
      <w:r>
        <w:t>9</w:t>
      </w:r>
      <w:r w:rsidRPr="00225F97">
        <w:t xml:space="preserve"> and 11 remove the references to the repealed Act. Item </w:t>
      </w:r>
      <w:r>
        <w:t>8</w:t>
      </w:r>
      <w:r w:rsidRPr="00225F97">
        <w:t xml:space="preserve"> makes an amendment that is consequential on the amendment made by item </w:t>
      </w:r>
      <w:r>
        <w:t>9</w:t>
      </w:r>
      <w:r w:rsidRPr="00225F97">
        <w:t>.</w:t>
      </w:r>
    </w:p>
    <w:p w14:paraId="58F26C39" w14:textId="77777777" w:rsidR="00D609F2" w:rsidRPr="00D219C3"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10</w:t>
      </w:r>
    </w:p>
    <w:p w14:paraId="672EBCDE" w14:textId="76475016" w:rsidR="00D609F2" w:rsidRDefault="00D609F2" w:rsidP="00D609F2">
      <w:pPr>
        <w:pStyle w:val="BodyNum"/>
      </w:pPr>
      <w:r w:rsidRPr="00EB789A">
        <w:t xml:space="preserve">Table item 13 of clause 1 of </w:t>
      </w:r>
      <w:r>
        <w:t>Schedule 1</w:t>
      </w:r>
      <w:r w:rsidRPr="00EB789A">
        <w:t xml:space="preserve"> to the </w:t>
      </w:r>
      <w:r w:rsidRPr="00B23BDE">
        <w:rPr>
          <w:i/>
        </w:rPr>
        <w:t>Electoral and Referendum Regulation 2016</w:t>
      </w:r>
      <w:r w:rsidRPr="00EB789A">
        <w:t xml:space="preserve"> contains an incorrect cross</w:t>
      </w:r>
      <w:r>
        <w:noBreakHyphen/>
      </w:r>
      <w:r w:rsidRPr="00EB789A">
        <w:t xml:space="preserve">reference as it refers to the </w:t>
      </w:r>
      <w:r w:rsidRPr="00B23BDE">
        <w:rPr>
          <w:i/>
        </w:rPr>
        <w:t>Quarantine Act 1908</w:t>
      </w:r>
      <w:r w:rsidRPr="00EB789A">
        <w:t xml:space="preserve">. That Act was repealed by item 1 of </w:t>
      </w:r>
      <w:r>
        <w:t>Schedule 1</w:t>
      </w:r>
      <w:r w:rsidRPr="00EB789A">
        <w:t xml:space="preserve"> to the </w:t>
      </w:r>
      <w:r w:rsidRPr="00B23BDE">
        <w:rPr>
          <w:i/>
        </w:rPr>
        <w:t>Biosecurity (Consequential Amendments and Transitional Provisions) Act 2015</w:t>
      </w:r>
      <w:r w:rsidRPr="00EB789A">
        <w:t xml:space="preserve"> and replaced by the </w:t>
      </w:r>
      <w:r w:rsidRPr="00B23BDE">
        <w:rPr>
          <w:i/>
        </w:rPr>
        <w:t>Biosecurity Act</w:t>
      </w:r>
      <w:r w:rsidR="00C90F99">
        <w:rPr>
          <w:i/>
        </w:rPr>
        <w:t> </w:t>
      </w:r>
      <w:r w:rsidRPr="00B23BDE">
        <w:rPr>
          <w:i/>
        </w:rPr>
        <w:t>2015</w:t>
      </w:r>
      <w:r w:rsidRPr="00EB789A">
        <w:t>.</w:t>
      </w:r>
    </w:p>
    <w:p w14:paraId="07107BA6" w14:textId="77777777" w:rsidR="00D609F2" w:rsidRPr="00EB789A" w:rsidRDefault="00D609F2" w:rsidP="00D609F2">
      <w:pPr>
        <w:pStyle w:val="BodyNum"/>
      </w:pPr>
      <w:r w:rsidRPr="00EB789A">
        <w:t xml:space="preserve">Item </w:t>
      </w:r>
      <w:r>
        <w:t>10</w:t>
      </w:r>
      <w:r w:rsidRPr="00EB789A">
        <w:t xml:space="preserve"> updates the cross</w:t>
      </w:r>
      <w:r>
        <w:noBreakHyphen/>
      </w:r>
      <w:r w:rsidRPr="00EB789A">
        <w:t xml:space="preserve">reference to refer to the </w:t>
      </w:r>
      <w:r w:rsidRPr="00B23BDE">
        <w:rPr>
          <w:i/>
        </w:rPr>
        <w:t>Biosecurity Act 2015</w:t>
      </w:r>
      <w:r w:rsidRPr="00EB789A">
        <w:t>.</w:t>
      </w:r>
    </w:p>
    <w:p w14:paraId="1E645178"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12</w:t>
      </w:r>
    </w:p>
    <w:p w14:paraId="09962AFC" w14:textId="78B1CC69" w:rsidR="00D609F2" w:rsidRDefault="00D609F2" w:rsidP="00D609F2">
      <w:pPr>
        <w:pStyle w:val="BodyNum"/>
      </w:pPr>
      <w:r>
        <w:t xml:space="preserve">Paragraph (b) of note 2 to regulation 3 of the </w:t>
      </w:r>
      <w:r w:rsidRPr="00B23BDE">
        <w:rPr>
          <w:i/>
        </w:rPr>
        <w:t>Explosives Transport Regulations 2002</w:t>
      </w:r>
      <w:r>
        <w:t xml:space="preserve"> (</w:t>
      </w:r>
      <w:proofErr w:type="spellStart"/>
      <w:r>
        <w:t>Cth</w:t>
      </w:r>
      <w:proofErr w:type="spellEnd"/>
      <w:r>
        <w:t xml:space="preserve">) refers to the </w:t>
      </w:r>
      <w:r w:rsidRPr="00FF0181">
        <w:rPr>
          <w:b/>
        </w:rPr>
        <w:t>Dangerous Goods Act 1985 (Vic)</w:t>
      </w:r>
      <w:r>
        <w:t xml:space="preserve">. The Regulations’ citation of the Victorian Act is in bold, consistent with section 1 of the Victorian Act. Item 12 changes the </w:t>
      </w:r>
      <w:r>
        <w:lastRenderedPageBreak/>
        <w:t xml:space="preserve">reference to </w:t>
      </w:r>
      <w:r w:rsidRPr="00B23BDE">
        <w:rPr>
          <w:i/>
        </w:rPr>
        <w:t>Dangerous Goods Act 1985</w:t>
      </w:r>
      <w:r>
        <w:t xml:space="preserve"> (Vic.). This makes the appearance of the citation consistent with the other paragraphs of the note and current Commonwealth drafting practice and is provided for by subsection 10(2AA) of the </w:t>
      </w:r>
      <w:r w:rsidRPr="00B23BDE">
        <w:rPr>
          <w:i/>
        </w:rPr>
        <w:t>Interpretation of Legislation Act 1984</w:t>
      </w:r>
      <w:r>
        <w:t xml:space="preserve"> (Vic.)</w:t>
      </w:r>
      <w:r w:rsidR="00B20EF5">
        <w:t xml:space="preserve">. Subsection 10(2AA) </w:t>
      </w:r>
      <w:r w:rsidR="005659AD">
        <w:t>provides that a “citation of an Act by the title appearing before the enacting words or, if there is a preamble, before the preamble, being a citation that is in italics without bolding, is sufficient for the purposes [of citing Acts]”</w:t>
      </w:r>
      <w:r>
        <w:t>.</w:t>
      </w:r>
    </w:p>
    <w:p w14:paraId="60FBB679"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13</w:t>
      </w:r>
    </w:p>
    <w:p w14:paraId="33943140" w14:textId="77777777" w:rsidR="00D609F2" w:rsidRPr="00EB789A" w:rsidRDefault="00D609F2" w:rsidP="00D609F2">
      <w:pPr>
        <w:pStyle w:val="BodyNum"/>
      </w:pPr>
      <w:r>
        <w:t>On 5 March 2016 the</w:t>
      </w:r>
      <w:r w:rsidRPr="00EB789A">
        <w:t xml:space="preserve"> </w:t>
      </w:r>
      <w:r w:rsidRPr="00B23BDE">
        <w:rPr>
          <w:i/>
        </w:rPr>
        <w:t>Acts and Instruments (Framework Reform) Act 2015</w:t>
      </w:r>
      <w:r w:rsidRPr="00EB789A">
        <w:t xml:space="preserve"> replaced the Federal Register of Legislative Instruments and the Acts database established under the </w:t>
      </w:r>
      <w:r w:rsidRPr="00B23BDE">
        <w:rPr>
          <w:i/>
        </w:rPr>
        <w:t>Acts Publication Act 1905</w:t>
      </w:r>
      <w:r w:rsidRPr="00EB789A">
        <w:t xml:space="preserve"> (accessible via </w:t>
      </w:r>
      <w:proofErr w:type="spellStart"/>
      <w:r w:rsidRPr="00EB789A">
        <w:t>ComLaw</w:t>
      </w:r>
      <w:proofErr w:type="spellEnd"/>
      <w:r w:rsidRPr="00EB789A">
        <w:t xml:space="preserve">) with the </w:t>
      </w:r>
      <w:r>
        <w:t>Federal Register of Legislation</w:t>
      </w:r>
      <w:r w:rsidRPr="00EB789A">
        <w:t xml:space="preserve"> website.</w:t>
      </w:r>
    </w:p>
    <w:p w14:paraId="5732304D" w14:textId="77777777" w:rsidR="00D609F2" w:rsidRPr="00EB789A" w:rsidRDefault="00D609F2" w:rsidP="00D609F2">
      <w:pPr>
        <w:pStyle w:val="BodyNum"/>
      </w:pPr>
      <w:r w:rsidRPr="00EB789A">
        <w:t xml:space="preserve">Item </w:t>
      </w:r>
      <w:r>
        <w:t>13</w:t>
      </w:r>
      <w:r w:rsidRPr="00EB789A">
        <w:t xml:space="preserve"> removes an obsolete reference to the </w:t>
      </w:r>
      <w:proofErr w:type="spellStart"/>
      <w:r w:rsidRPr="00EB789A">
        <w:t>ComLaw</w:t>
      </w:r>
      <w:proofErr w:type="spellEnd"/>
      <w:r w:rsidRPr="00EB789A">
        <w:t xml:space="preserve"> website from the note to </w:t>
      </w:r>
      <w:proofErr w:type="spellStart"/>
      <w:r>
        <w:t>subregulation</w:t>
      </w:r>
      <w:proofErr w:type="spellEnd"/>
      <w:r>
        <w:t> 1</w:t>
      </w:r>
      <w:r w:rsidRPr="00EB789A">
        <w:t xml:space="preserve">6(4) of the </w:t>
      </w:r>
      <w:r w:rsidRPr="00B23BDE">
        <w:rPr>
          <w:i/>
        </w:rPr>
        <w:t>Explosives Transport Regulations 2002</w:t>
      </w:r>
      <w:r w:rsidRPr="00EB789A">
        <w:t>.</w:t>
      </w:r>
    </w:p>
    <w:p w14:paraId="3B73E1D3"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14</w:t>
      </w:r>
    </w:p>
    <w:p w14:paraId="67AB2C0C" w14:textId="77777777" w:rsidR="00D609F2" w:rsidRPr="00EB789A" w:rsidRDefault="00D609F2" w:rsidP="00D609F2">
      <w:pPr>
        <w:pStyle w:val="BodyNum"/>
      </w:pPr>
      <w:r w:rsidRPr="00EB789A">
        <w:t xml:space="preserve">Forms 12A and 16 in the Schedule to the </w:t>
      </w:r>
      <w:r w:rsidRPr="00B23BDE">
        <w:rPr>
          <w:i/>
        </w:rPr>
        <w:t>Extradition Regulations 1988</w:t>
      </w:r>
      <w:r w:rsidRPr="00EB789A">
        <w:t xml:space="preserve"> contain asterisked words. This asterisking indicates that the words are to be omitted if they are not applicable. However, unlike other forms in the Schedule, Forms 12A and 16 do not include an explicit statement to this effect.</w:t>
      </w:r>
    </w:p>
    <w:p w14:paraId="2CC5C4BE" w14:textId="77777777" w:rsidR="00D609F2" w:rsidRPr="00EB789A" w:rsidRDefault="00D609F2" w:rsidP="00D609F2">
      <w:pPr>
        <w:pStyle w:val="BodyNum"/>
      </w:pPr>
      <w:r w:rsidRPr="00EB789A">
        <w:t xml:space="preserve">Item </w:t>
      </w:r>
      <w:r>
        <w:t>14</w:t>
      </w:r>
      <w:r w:rsidRPr="00EB789A">
        <w:t xml:space="preserve"> adds a note at the end of Forms 12A and 16 explaining the significance of the asterisking in the forms.</w:t>
      </w:r>
    </w:p>
    <w:p w14:paraId="3A197495" w14:textId="77777777" w:rsidR="00D609F2" w:rsidRPr="00D219C3"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15</w:t>
      </w:r>
    </w:p>
    <w:p w14:paraId="7D9A3D82" w14:textId="77777777" w:rsidR="00D609F2" w:rsidRDefault="00D609F2" w:rsidP="00D609F2">
      <w:pPr>
        <w:pStyle w:val="BodyNum"/>
      </w:pPr>
      <w:r w:rsidRPr="00EB789A">
        <w:t xml:space="preserve">Item 37 of </w:t>
      </w:r>
      <w:r>
        <w:t>Schedule 1</w:t>
      </w:r>
      <w:r w:rsidRPr="00EB789A">
        <w:t xml:space="preserve"> to the </w:t>
      </w:r>
      <w:r w:rsidRPr="002E1074">
        <w:rPr>
          <w:i/>
        </w:rPr>
        <w:t>Workplace Relations (Registration and Accountability of Organisations) Amendment Regulations 2009 (No. 1)</w:t>
      </w:r>
      <w:r w:rsidRPr="00EB789A">
        <w:t xml:space="preserve"> purported to amend </w:t>
      </w:r>
      <w:r>
        <w:t>paragraph 3</w:t>
      </w:r>
      <w:r w:rsidRPr="00EB789A">
        <w:t xml:space="preserve">2(3)(b) of the </w:t>
      </w:r>
      <w:r w:rsidRPr="002E1074">
        <w:rPr>
          <w:i/>
        </w:rPr>
        <w:t>Fair Work (Registered Organisations) Regulations 2009</w:t>
      </w:r>
      <w:r w:rsidRPr="00EB789A">
        <w:t xml:space="preserve"> (then known as the </w:t>
      </w:r>
      <w:r w:rsidRPr="002E1074">
        <w:rPr>
          <w:i/>
        </w:rPr>
        <w:t>Workplace Relations (Registration and Accountability of Organisations) Regulations 2003</w:t>
      </w:r>
      <w:r w:rsidRPr="00EB789A">
        <w:t>) to omit “the Registrar”</w:t>
      </w:r>
      <w:r>
        <w:t xml:space="preserve"> and</w:t>
      </w:r>
      <w:r w:rsidRPr="00EB789A">
        <w:t xml:space="preserve"> substitute “the General Manager”. The amendment was misdescribed as the paragraph refers to “a Registrar”, not “the Registrar”.</w:t>
      </w:r>
    </w:p>
    <w:p w14:paraId="2136AC13" w14:textId="154F94F8" w:rsidR="00D609F2" w:rsidRPr="00EB789A" w:rsidRDefault="00D609F2" w:rsidP="00D609F2">
      <w:pPr>
        <w:pStyle w:val="BodyNum"/>
      </w:pPr>
      <w:r>
        <w:t>I</w:t>
      </w:r>
      <w:r w:rsidRPr="00EB789A">
        <w:t xml:space="preserve">tem </w:t>
      </w:r>
      <w:r>
        <w:t>15</w:t>
      </w:r>
      <w:r w:rsidRPr="00EB789A">
        <w:t xml:space="preserve"> makes the amendment</w:t>
      </w:r>
      <w:r w:rsidR="00DB43AF">
        <w:t xml:space="preserve"> to insert “the Registrar”</w:t>
      </w:r>
      <w:r w:rsidRPr="00EB789A">
        <w:t>.</w:t>
      </w:r>
    </w:p>
    <w:p w14:paraId="49741484"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16</w:t>
      </w:r>
    </w:p>
    <w:p w14:paraId="0543EDF7" w14:textId="77777777" w:rsidR="00D609F2" w:rsidRPr="00EB789A" w:rsidRDefault="00D609F2" w:rsidP="00D609F2">
      <w:pPr>
        <w:pStyle w:val="BodyNum"/>
      </w:pPr>
      <w:r w:rsidRPr="00EB789A">
        <w:t xml:space="preserve">Item </w:t>
      </w:r>
      <w:r>
        <w:t>16</w:t>
      </w:r>
      <w:r w:rsidRPr="00EB789A">
        <w:t xml:space="preserve"> omits a duplication of the word “the” in regulation 108 of the </w:t>
      </w:r>
      <w:r w:rsidRPr="002E1074">
        <w:rPr>
          <w:i/>
        </w:rPr>
        <w:t>Fair Work (Registered Organisations) Regulations 2009</w:t>
      </w:r>
      <w:r w:rsidRPr="00EB789A">
        <w:t>.</w:t>
      </w:r>
    </w:p>
    <w:p w14:paraId="1A0CC053"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17</w:t>
      </w:r>
    </w:p>
    <w:p w14:paraId="763AEE57" w14:textId="77777777" w:rsidR="00D609F2" w:rsidRDefault="00D609F2" w:rsidP="00D609F2">
      <w:pPr>
        <w:pStyle w:val="BodyNum"/>
      </w:pPr>
      <w:r w:rsidRPr="00EB789A">
        <w:t xml:space="preserve">Form 8 in Schedule 3 to the </w:t>
      </w:r>
      <w:r w:rsidRPr="002E1074">
        <w:rPr>
          <w:i/>
        </w:rPr>
        <w:t>Fair Work (Registered Organisations) Regulations 2009</w:t>
      </w:r>
      <w:r w:rsidRPr="00EB789A">
        <w:t xml:space="preserve"> contains a typographical error as the words “COMMONWEALTH OF AUSTRALIA” appear in bold.</w:t>
      </w:r>
      <w:r>
        <w:t xml:space="preserve"> There is no reason for these words to appear in bold.</w:t>
      </w:r>
    </w:p>
    <w:p w14:paraId="4DD676AA" w14:textId="77777777" w:rsidR="00D609F2" w:rsidRPr="00EB789A" w:rsidRDefault="00D609F2" w:rsidP="00D609F2">
      <w:pPr>
        <w:pStyle w:val="BodyNum"/>
      </w:pPr>
      <w:r w:rsidRPr="00EB789A">
        <w:t xml:space="preserve">Item </w:t>
      </w:r>
      <w:r>
        <w:t>17</w:t>
      </w:r>
      <w:r w:rsidRPr="00EB789A">
        <w:t xml:space="preserve"> corrects that typographical error.</w:t>
      </w:r>
    </w:p>
    <w:p w14:paraId="379349B9"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lastRenderedPageBreak/>
        <w:t>Item</w:t>
      </w:r>
      <w:r>
        <w:rPr>
          <w:rFonts w:ascii="Times New Roman" w:hAnsi="Times New Roman"/>
          <w:sz w:val="24"/>
          <w:szCs w:val="24"/>
        </w:rPr>
        <w:t xml:space="preserve"> 18</w:t>
      </w:r>
    </w:p>
    <w:p w14:paraId="2880229D" w14:textId="77777777" w:rsidR="00D609F2" w:rsidRDefault="00D609F2" w:rsidP="00D609F2">
      <w:pPr>
        <w:pStyle w:val="BodyNum"/>
      </w:pPr>
      <w:r>
        <w:t>Schedule 2</w:t>
      </w:r>
      <w:r w:rsidRPr="00EB789A">
        <w:t xml:space="preserve">.1 to the </w:t>
      </w:r>
      <w:r w:rsidRPr="002E1074">
        <w:rPr>
          <w:i/>
        </w:rPr>
        <w:t>Fair Work Regulations 2009</w:t>
      </w:r>
      <w:r w:rsidRPr="00EB789A">
        <w:t xml:space="preserve"> contains a grammatical error. The word “the” is missing before a reference to the Fair Work Commission.</w:t>
      </w:r>
    </w:p>
    <w:p w14:paraId="56BCA3CC" w14:textId="77777777" w:rsidR="00D609F2" w:rsidRPr="00EB789A" w:rsidRDefault="00D609F2" w:rsidP="00D609F2">
      <w:pPr>
        <w:pStyle w:val="BodyNum"/>
      </w:pPr>
      <w:r w:rsidRPr="00EB789A">
        <w:t xml:space="preserve">Item </w:t>
      </w:r>
      <w:r>
        <w:t>18</w:t>
      </w:r>
      <w:r w:rsidRPr="00EB789A">
        <w:t xml:space="preserve"> corrects this grammatical error.</w:t>
      </w:r>
    </w:p>
    <w:p w14:paraId="1DE49CE2"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19</w:t>
      </w:r>
    </w:p>
    <w:p w14:paraId="6663406C" w14:textId="3E8E2D79" w:rsidR="00D609F2" w:rsidRPr="00AE1929" w:rsidRDefault="00D609F2" w:rsidP="00D609F2">
      <w:pPr>
        <w:pStyle w:val="BodyNum"/>
      </w:pPr>
      <w:r>
        <w:t>Schedule 1</w:t>
      </w:r>
      <w:r w:rsidRPr="00EB789A">
        <w:t xml:space="preserve">A to the </w:t>
      </w:r>
      <w:r w:rsidRPr="00AE1929">
        <w:rPr>
          <w:i/>
        </w:rPr>
        <w:t>Fair Work (Transitional Provisions and Consequential Amendments) Regulations 2009</w:t>
      </w:r>
      <w:r w:rsidRPr="00EB789A">
        <w:t xml:space="preserve"> contains a spelling error</w:t>
      </w:r>
      <w:r w:rsidR="00C919BB">
        <w:t>:</w:t>
      </w:r>
      <w:r w:rsidRPr="00EB789A">
        <w:t xml:space="preserve"> </w:t>
      </w:r>
      <w:r w:rsidRPr="00AE1929">
        <w:t>“accommodation” is misspelt as “</w:t>
      </w:r>
      <w:proofErr w:type="spellStart"/>
      <w:r w:rsidRPr="00AE1929">
        <w:t>accommodaton</w:t>
      </w:r>
      <w:proofErr w:type="spellEnd"/>
      <w:r w:rsidRPr="00AE1929">
        <w:t>”.</w:t>
      </w:r>
    </w:p>
    <w:p w14:paraId="08AB6387" w14:textId="77777777" w:rsidR="00D609F2" w:rsidRDefault="00D609F2" w:rsidP="00D609F2">
      <w:pPr>
        <w:pStyle w:val="BodyNum"/>
      </w:pPr>
      <w:r w:rsidRPr="00EB789A">
        <w:t xml:space="preserve">Item </w:t>
      </w:r>
      <w:r>
        <w:t>19</w:t>
      </w:r>
      <w:r w:rsidRPr="00EB789A">
        <w:t xml:space="preserve"> corrects this spelling error.</w:t>
      </w:r>
    </w:p>
    <w:p w14:paraId="3215E1EC"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20</w:t>
      </w:r>
    </w:p>
    <w:p w14:paraId="0C88F733" w14:textId="77777777" w:rsidR="00D609F2" w:rsidRDefault="00D609F2" w:rsidP="00D609F2">
      <w:pPr>
        <w:pStyle w:val="BodyNum"/>
      </w:pPr>
      <w:r w:rsidRPr="00EB789A">
        <w:t xml:space="preserve">The note to subsection 32(3) of the </w:t>
      </w:r>
      <w:r w:rsidRPr="001E5D6A">
        <w:rPr>
          <w:i/>
        </w:rPr>
        <w:t>Migration (Migration Agents Code of Conduct) Regulations 2021</w:t>
      </w:r>
      <w:r w:rsidRPr="00EB789A">
        <w:t xml:space="preserve"> contains an error. There is a redundant parenthesis at the end of the reference to subsection 56(9).</w:t>
      </w:r>
    </w:p>
    <w:p w14:paraId="7D80188B" w14:textId="77777777" w:rsidR="00D609F2" w:rsidRPr="00EB789A" w:rsidRDefault="00D609F2" w:rsidP="00D609F2">
      <w:pPr>
        <w:pStyle w:val="BodyNum"/>
      </w:pPr>
      <w:r w:rsidRPr="00EB789A">
        <w:t xml:space="preserve">Item </w:t>
      </w:r>
      <w:r>
        <w:t>20</w:t>
      </w:r>
      <w:r w:rsidRPr="00EB789A">
        <w:t xml:space="preserve"> corrects this error.</w:t>
      </w:r>
    </w:p>
    <w:p w14:paraId="363A9577" w14:textId="77777777" w:rsidR="00D609F2" w:rsidRPr="00D219C3"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21</w:t>
      </w:r>
    </w:p>
    <w:p w14:paraId="0084D192" w14:textId="77777777" w:rsidR="00D609F2" w:rsidRPr="00EB789A" w:rsidRDefault="00D609F2" w:rsidP="00D609F2">
      <w:pPr>
        <w:pStyle w:val="BodyNum"/>
      </w:pPr>
      <w:r w:rsidRPr="00EB789A">
        <w:t xml:space="preserve">Item </w:t>
      </w:r>
      <w:r>
        <w:t>21</w:t>
      </w:r>
      <w:r w:rsidRPr="00EB789A">
        <w:t xml:space="preserve"> omits a duplication of the word “the” in paragraph 1.1.8(1)(a) of </w:t>
      </w:r>
      <w:r>
        <w:t>Schedule 2</w:t>
      </w:r>
      <w:r w:rsidRPr="00EB789A">
        <w:t xml:space="preserve"> to the </w:t>
      </w:r>
      <w:r w:rsidRPr="002E1074">
        <w:rPr>
          <w:i/>
        </w:rPr>
        <w:t>National Transport Commission (Model Legislation—Transport of Dangerous Goods by Road or Rail) Regulations 2007</w:t>
      </w:r>
      <w:r w:rsidRPr="00EB789A">
        <w:t>.</w:t>
      </w:r>
    </w:p>
    <w:p w14:paraId="026891A1"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s 22</w:t>
      </w:r>
    </w:p>
    <w:p w14:paraId="00A77AD3" w14:textId="77777777" w:rsidR="00D609F2" w:rsidRDefault="00D609F2" w:rsidP="00D609F2">
      <w:pPr>
        <w:pStyle w:val="BodyNum"/>
      </w:pPr>
      <w:proofErr w:type="spellStart"/>
      <w:r>
        <w:t>Subregulation</w:t>
      </w:r>
      <w:proofErr w:type="spellEnd"/>
      <w:r>
        <w:t xml:space="preserve"> 3.32(1) of the </w:t>
      </w:r>
      <w:r w:rsidRPr="002E1074">
        <w:rPr>
          <w:i/>
        </w:rPr>
        <w:t>Offshore Petroleum and Greenhouse Gas Storage (Safety) Regulations 2009</w:t>
      </w:r>
      <w:r>
        <w:t xml:space="preserve"> states that it prescribes certain State laws for section 89 of the </w:t>
      </w:r>
      <w:r w:rsidRPr="002E1074">
        <w:rPr>
          <w:i/>
        </w:rPr>
        <w:t>Offshore Petroleum and Greenhouse Gas Storage Act 2006</w:t>
      </w:r>
      <w:r>
        <w:t>.</w:t>
      </w:r>
    </w:p>
    <w:p w14:paraId="341FAB82" w14:textId="3C45FAA8" w:rsidR="00D609F2" w:rsidRDefault="00D609F2" w:rsidP="00D609F2">
      <w:pPr>
        <w:pStyle w:val="BodyNum"/>
      </w:pPr>
      <w:r>
        <w:t>Item 22 updates the reference for consistency with the amendments made by items 23, 25 and 28</w:t>
      </w:r>
      <w:r w:rsidR="007D413F">
        <w:t xml:space="preserve"> by omitting “For subsection 80(1)” and substituting “For the purposes of subsection 89(1)”</w:t>
      </w:r>
      <w:r>
        <w:t>.</w:t>
      </w:r>
    </w:p>
    <w:p w14:paraId="3E0363ED"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23</w:t>
      </w:r>
    </w:p>
    <w:p w14:paraId="231D5E31" w14:textId="77777777" w:rsidR="00D609F2" w:rsidRDefault="00D609F2" w:rsidP="00D609F2">
      <w:pPr>
        <w:pStyle w:val="BodyNum"/>
      </w:pPr>
      <w:proofErr w:type="spellStart"/>
      <w:r>
        <w:t>Subregulation</w:t>
      </w:r>
      <w:proofErr w:type="spellEnd"/>
      <w:r>
        <w:t xml:space="preserve"> 3.32(2) of the </w:t>
      </w:r>
      <w:r w:rsidRPr="002E1074">
        <w:rPr>
          <w:i/>
        </w:rPr>
        <w:t>Offshore Petroleum and Greenhouse Gas Storage (Safety) Regulations 2009</w:t>
      </w:r>
      <w:r>
        <w:t xml:space="preserve"> states that it prescribes certain Northern Territory laws for subsection 80(1) of the </w:t>
      </w:r>
      <w:r w:rsidRPr="002E1074">
        <w:rPr>
          <w:i/>
        </w:rPr>
        <w:t>Offshore Petroleum and Greenhouse Gas Storage Act 2006</w:t>
      </w:r>
      <w:r>
        <w:t xml:space="preserve">. That subsection does not refer to regulations. </w:t>
      </w:r>
      <w:proofErr w:type="spellStart"/>
      <w:r>
        <w:t>Subregulation</w:t>
      </w:r>
      <w:proofErr w:type="spellEnd"/>
      <w:r>
        <w:t> 3.32(2) is in fact prescribing laws for the purposes of subsection 89(1) of the Act.</w:t>
      </w:r>
    </w:p>
    <w:p w14:paraId="38B34CED" w14:textId="7FA6C7A5" w:rsidR="00D609F2" w:rsidRDefault="00D609F2" w:rsidP="00D609F2">
      <w:pPr>
        <w:pStyle w:val="BodyNum"/>
      </w:pPr>
      <w:r>
        <w:t>Item 23 corrects this reference</w:t>
      </w:r>
      <w:r w:rsidR="007D413F">
        <w:t xml:space="preserve"> by omitting “For subsection 80(1)” and substituting “For the purposes of subsection 89(1)”</w:t>
      </w:r>
      <w:r>
        <w:t>.</w:t>
      </w:r>
    </w:p>
    <w:p w14:paraId="519AF2BE"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lastRenderedPageBreak/>
        <w:t>Item</w:t>
      </w:r>
      <w:r>
        <w:rPr>
          <w:rFonts w:ascii="Times New Roman" w:hAnsi="Times New Roman"/>
          <w:sz w:val="24"/>
          <w:szCs w:val="24"/>
        </w:rPr>
        <w:t xml:space="preserve"> 24</w:t>
      </w:r>
    </w:p>
    <w:p w14:paraId="405F4A46" w14:textId="77777777" w:rsidR="00D609F2" w:rsidRDefault="00D609F2" w:rsidP="00D609F2">
      <w:pPr>
        <w:pStyle w:val="BodyNum"/>
      </w:pPr>
      <w:r>
        <w:t>Paragraph 3</w:t>
      </w:r>
      <w:r w:rsidRPr="00496EDA">
        <w:t xml:space="preserve">.32(2)(c) of the </w:t>
      </w:r>
      <w:r w:rsidRPr="00B23BDE">
        <w:rPr>
          <w:i/>
        </w:rPr>
        <w:t>Offshore Petroleum and Greenhouse Gas Storage (Safety) Regulations 2009</w:t>
      </w:r>
      <w:r w:rsidRPr="00496EDA">
        <w:t xml:space="preserve"> prescribes </w:t>
      </w:r>
      <w:r>
        <w:t>Part I</w:t>
      </w:r>
      <w:r w:rsidRPr="00496EDA">
        <w:t xml:space="preserve">IIA of the </w:t>
      </w:r>
      <w:r w:rsidRPr="00B23BDE">
        <w:rPr>
          <w:i/>
        </w:rPr>
        <w:t>Petroleum Act</w:t>
      </w:r>
      <w:r w:rsidRPr="00496EDA">
        <w:t xml:space="preserve"> (NT). That Part was repealed on </w:t>
      </w:r>
      <w:r>
        <w:t>1 July 2010</w:t>
      </w:r>
      <w:r w:rsidRPr="00496EDA">
        <w:t xml:space="preserve"> by </w:t>
      </w:r>
      <w:r>
        <w:t>section 1</w:t>
      </w:r>
      <w:r w:rsidRPr="00496EDA">
        <w:t xml:space="preserve">2 of the </w:t>
      </w:r>
      <w:r w:rsidRPr="00B23BDE">
        <w:rPr>
          <w:i/>
        </w:rPr>
        <w:t>Petroleum Amendment and Related Matters Act 2010</w:t>
      </w:r>
      <w:r>
        <w:t xml:space="preserve"> (NT)</w:t>
      </w:r>
      <w:r w:rsidRPr="00496EDA">
        <w:t>.</w:t>
      </w:r>
    </w:p>
    <w:p w14:paraId="22B144CF" w14:textId="77777777" w:rsidR="00D609F2" w:rsidRPr="00496EDA" w:rsidRDefault="00D609F2" w:rsidP="00D609F2">
      <w:pPr>
        <w:pStyle w:val="BodyNum"/>
      </w:pPr>
      <w:r w:rsidRPr="00496EDA">
        <w:t xml:space="preserve">Item </w:t>
      </w:r>
      <w:r>
        <w:t>24</w:t>
      </w:r>
      <w:r w:rsidRPr="00496EDA">
        <w:t xml:space="preserve"> repeals the reference to </w:t>
      </w:r>
      <w:r>
        <w:t xml:space="preserve">the </w:t>
      </w:r>
      <w:r w:rsidRPr="00496EDA">
        <w:t>repealed Part.</w:t>
      </w:r>
    </w:p>
    <w:p w14:paraId="05A989D3"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s 25 and 28</w:t>
      </w:r>
    </w:p>
    <w:p w14:paraId="54192836" w14:textId="77777777" w:rsidR="00D609F2" w:rsidRDefault="00D609F2" w:rsidP="00D609F2">
      <w:pPr>
        <w:pStyle w:val="BodyNum"/>
      </w:pPr>
      <w:r>
        <w:t>Items 25 and 28 are related.</w:t>
      </w:r>
    </w:p>
    <w:p w14:paraId="6428812C" w14:textId="2C8BAC2B" w:rsidR="00D609F2" w:rsidRDefault="00D609F2" w:rsidP="00D609F2">
      <w:pPr>
        <w:pStyle w:val="BodyNum"/>
      </w:pPr>
      <w:proofErr w:type="spellStart"/>
      <w:r>
        <w:t>Subregulations</w:t>
      </w:r>
      <w:proofErr w:type="spellEnd"/>
      <w:r>
        <w:t xml:space="preserve"> 3.32(3) and (4) of the </w:t>
      </w:r>
      <w:r w:rsidRPr="002E1074">
        <w:rPr>
          <w:i/>
        </w:rPr>
        <w:t>Offshore Petroleum and Greenhouse Gas Storage (Safety) Regulations 2009</w:t>
      </w:r>
      <w:r>
        <w:t xml:space="preserve"> state that they prescribe certain State and Territory laws for the purposes</w:t>
      </w:r>
      <w:r w:rsidR="00C919BB">
        <w:t xml:space="preserve"> of</w:t>
      </w:r>
      <w:r>
        <w:t xml:space="preserve"> subsection 80(4) of the </w:t>
      </w:r>
      <w:r w:rsidRPr="002E1074">
        <w:rPr>
          <w:i/>
        </w:rPr>
        <w:t>Offshore Petroleum and Greenhouse Gas Storage Act 2006</w:t>
      </w:r>
      <w:r>
        <w:t xml:space="preserve">. That subsection does not refer to regulations. </w:t>
      </w:r>
      <w:proofErr w:type="spellStart"/>
      <w:r>
        <w:t>Subregulations</w:t>
      </w:r>
      <w:proofErr w:type="spellEnd"/>
      <w:r>
        <w:t> 3.32(3) and (4) are in fact prescribing laws for the purposes of subsection 89(4) of the Act.</w:t>
      </w:r>
    </w:p>
    <w:p w14:paraId="00F061DC" w14:textId="376AE170" w:rsidR="00D609F2" w:rsidRDefault="00D609F2" w:rsidP="00D609F2">
      <w:pPr>
        <w:pStyle w:val="BodyNum"/>
      </w:pPr>
      <w:r>
        <w:t>Items 25 and 28 correct these references</w:t>
      </w:r>
      <w:r w:rsidR="007D413F">
        <w:t xml:space="preserve"> by omitting “For subsection 80(4)” and substituting “For the purposes of subsection 89(4)” in </w:t>
      </w:r>
      <w:proofErr w:type="spellStart"/>
      <w:r w:rsidR="007D413F">
        <w:t>s</w:t>
      </w:r>
      <w:r w:rsidR="007D413F" w:rsidRPr="00B328AD">
        <w:t>ubregulations</w:t>
      </w:r>
      <w:proofErr w:type="spellEnd"/>
      <w:r w:rsidR="007D413F" w:rsidRPr="00B328AD">
        <w:t> 3.32(3) and (4)</w:t>
      </w:r>
      <w:r>
        <w:t>.</w:t>
      </w:r>
    </w:p>
    <w:p w14:paraId="20E6E57A"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s 26 and 27</w:t>
      </w:r>
    </w:p>
    <w:p w14:paraId="54FE47C5" w14:textId="77777777" w:rsidR="00D609F2" w:rsidRDefault="00D609F2" w:rsidP="00D609F2">
      <w:pPr>
        <w:pStyle w:val="BodyNum"/>
      </w:pPr>
      <w:r>
        <w:t>Items 26 and 27 are related.</w:t>
      </w:r>
    </w:p>
    <w:p w14:paraId="3A143CBA" w14:textId="77777777" w:rsidR="00D609F2" w:rsidRDefault="00D609F2" w:rsidP="00D609F2">
      <w:pPr>
        <w:pStyle w:val="BodyNum"/>
      </w:pPr>
      <w:proofErr w:type="spellStart"/>
      <w:r>
        <w:t>Subregulation</w:t>
      </w:r>
      <w:proofErr w:type="spellEnd"/>
      <w:r>
        <w:t xml:space="preserve"> 3.32(3) of the </w:t>
      </w:r>
      <w:r w:rsidRPr="002E1074">
        <w:rPr>
          <w:i/>
        </w:rPr>
        <w:t>Offshore Petroleum and Greenhouse Gas Storage (Safety) Regulations 2009</w:t>
      </w:r>
      <w:r>
        <w:t xml:space="preserve"> refers to laws mentioned in column 3 of the table in </w:t>
      </w:r>
      <w:proofErr w:type="spellStart"/>
      <w:r>
        <w:t>subregulation</w:t>
      </w:r>
      <w:proofErr w:type="spellEnd"/>
      <w:r>
        <w:t xml:space="preserve"> 3.32(1), and States mentioned in column 2 of that table. </w:t>
      </w:r>
      <w:proofErr w:type="spellStart"/>
      <w:r>
        <w:t>Subregulation</w:t>
      </w:r>
      <w:proofErr w:type="spellEnd"/>
      <w:r>
        <w:t> 3.32(1) refers to the same columns as column 2 and column 1 respectively.</w:t>
      </w:r>
    </w:p>
    <w:p w14:paraId="356A79CC" w14:textId="77777777" w:rsidR="00D609F2" w:rsidRDefault="00D609F2" w:rsidP="00D609F2">
      <w:pPr>
        <w:pStyle w:val="BodyNum"/>
      </w:pPr>
      <w:r>
        <w:t xml:space="preserve">Items 26 and 27 correct the references in </w:t>
      </w:r>
      <w:proofErr w:type="spellStart"/>
      <w:r>
        <w:t>subregulation</w:t>
      </w:r>
      <w:proofErr w:type="spellEnd"/>
      <w:r>
        <w:t> 3.32(3).</w:t>
      </w:r>
    </w:p>
    <w:p w14:paraId="50CF52DC"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29</w:t>
      </w:r>
    </w:p>
    <w:p w14:paraId="3CAAB443" w14:textId="77777777" w:rsidR="00D609F2" w:rsidRDefault="00D609F2" w:rsidP="00D609F2">
      <w:pPr>
        <w:pStyle w:val="BodyNum"/>
      </w:pPr>
      <w:r>
        <w:t>Paragraph 3</w:t>
      </w:r>
      <w:r w:rsidRPr="00EB789A">
        <w:t xml:space="preserve">.4(d) of </w:t>
      </w:r>
      <w:r>
        <w:t>Schedule 1</w:t>
      </w:r>
      <w:r w:rsidRPr="00EB789A">
        <w:t xml:space="preserve">5 to the </w:t>
      </w:r>
      <w:r w:rsidRPr="002E1074">
        <w:rPr>
          <w:i/>
        </w:rPr>
        <w:t>Primary Industries (Excise) Levies Regulations 1999</w:t>
      </w:r>
      <w:r w:rsidRPr="00EB789A">
        <w:t xml:space="preserve"> is about the rate of levy for juicing pears, but it refers to a weight of apples.</w:t>
      </w:r>
    </w:p>
    <w:p w14:paraId="7BD24F38" w14:textId="77777777" w:rsidR="00D609F2" w:rsidRPr="00EB789A" w:rsidRDefault="00D609F2" w:rsidP="00D609F2">
      <w:pPr>
        <w:pStyle w:val="BodyNum"/>
      </w:pPr>
      <w:r w:rsidRPr="00EB789A">
        <w:t xml:space="preserve">Item </w:t>
      </w:r>
      <w:r>
        <w:t>29</w:t>
      </w:r>
      <w:r w:rsidRPr="00EB789A">
        <w:t xml:space="preserve"> corrects this error.</w:t>
      </w:r>
    </w:p>
    <w:p w14:paraId="4E36123A"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30</w:t>
      </w:r>
    </w:p>
    <w:p w14:paraId="0B6610B8" w14:textId="77777777" w:rsidR="00D609F2" w:rsidRDefault="00D609F2" w:rsidP="00D609F2">
      <w:pPr>
        <w:pStyle w:val="BodyNum"/>
      </w:pPr>
      <w:r>
        <w:t>Schedule 1</w:t>
      </w:r>
      <w:r w:rsidRPr="00EB789A">
        <w:t xml:space="preserve"> to the </w:t>
      </w:r>
      <w:r w:rsidRPr="002E1074">
        <w:rPr>
          <w:i/>
        </w:rPr>
        <w:t>Primary Industries Levies and Charges Collection Regulations 1991</w:t>
      </w:r>
      <w:r w:rsidRPr="00EB789A">
        <w:t xml:space="preserve"> sets out a form of a warrant. The form provides for the date to include a year starting with “19”.</w:t>
      </w:r>
    </w:p>
    <w:p w14:paraId="659C078F" w14:textId="77777777" w:rsidR="00D609F2" w:rsidRPr="00EB789A" w:rsidRDefault="00D609F2" w:rsidP="00D609F2">
      <w:pPr>
        <w:pStyle w:val="BodyNum"/>
      </w:pPr>
      <w:r w:rsidRPr="00EB789A">
        <w:t xml:space="preserve">Item </w:t>
      </w:r>
      <w:r>
        <w:t>30</w:t>
      </w:r>
      <w:r w:rsidRPr="00EB789A">
        <w:t xml:space="preserve"> removes this aspect of the form.</w:t>
      </w:r>
    </w:p>
    <w:p w14:paraId="2DDAD2F1"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31</w:t>
      </w:r>
    </w:p>
    <w:p w14:paraId="3EDB20CC" w14:textId="0DA68F50" w:rsidR="00D609F2" w:rsidRDefault="00D609F2" w:rsidP="00D609F2">
      <w:pPr>
        <w:pStyle w:val="BodyNum"/>
      </w:pPr>
      <w:r w:rsidRPr="00EB789A">
        <w:t xml:space="preserve">The note to </w:t>
      </w:r>
      <w:proofErr w:type="spellStart"/>
      <w:r>
        <w:t>subregulation</w:t>
      </w:r>
      <w:proofErr w:type="spellEnd"/>
      <w:r>
        <w:t> 3</w:t>
      </w:r>
      <w:r w:rsidRPr="00EB789A">
        <w:t xml:space="preserve">3(3) of the </w:t>
      </w:r>
      <w:r w:rsidRPr="002E1074">
        <w:rPr>
          <w:i/>
        </w:rPr>
        <w:t>Renewable Energy (Electricity) Regulations 2001</w:t>
      </w:r>
      <w:r w:rsidRPr="00EB789A">
        <w:t xml:space="preserve"> refers to section 70 of the </w:t>
      </w:r>
      <w:r w:rsidRPr="002E1074">
        <w:rPr>
          <w:i/>
        </w:rPr>
        <w:t>Crimes Act 1914</w:t>
      </w:r>
      <w:r w:rsidRPr="00EB789A">
        <w:t>. That section was repealed in</w:t>
      </w:r>
      <w:r w:rsidR="00C90F99">
        <w:t> </w:t>
      </w:r>
      <w:r w:rsidRPr="00EB789A">
        <w:t>2018.</w:t>
      </w:r>
    </w:p>
    <w:p w14:paraId="77860341" w14:textId="77777777" w:rsidR="00D609F2" w:rsidRPr="00EB789A" w:rsidRDefault="00D609F2" w:rsidP="00D609F2">
      <w:pPr>
        <w:pStyle w:val="BodyNum"/>
      </w:pPr>
      <w:r w:rsidRPr="00EB789A">
        <w:lastRenderedPageBreak/>
        <w:t xml:space="preserve">Item </w:t>
      </w:r>
      <w:r>
        <w:t>31</w:t>
      </w:r>
      <w:r w:rsidRPr="00EB789A">
        <w:t xml:space="preserve"> omits the redundant reference.</w:t>
      </w:r>
    </w:p>
    <w:p w14:paraId="6B37C9F3"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32, 33, 37, 38, 39, 40 and 41</w:t>
      </w:r>
    </w:p>
    <w:p w14:paraId="564B5A80" w14:textId="77777777" w:rsidR="00D609F2" w:rsidRPr="00EB789A" w:rsidRDefault="00D609F2" w:rsidP="00D609F2">
      <w:pPr>
        <w:pStyle w:val="BodyNum"/>
      </w:pPr>
      <w:r w:rsidRPr="00EB789A">
        <w:t>Item</w:t>
      </w:r>
      <w:bookmarkStart w:id="6" w:name="_Hlk144291184"/>
      <w:r w:rsidRPr="00EB789A">
        <w:t xml:space="preserve">s </w:t>
      </w:r>
      <w:r>
        <w:t>32</w:t>
      </w:r>
      <w:r w:rsidRPr="00EB789A">
        <w:t xml:space="preserve">, </w:t>
      </w:r>
      <w:r>
        <w:t>33</w:t>
      </w:r>
      <w:r w:rsidRPr="00EB789A">
        <w:t xml:space="preserve">, </w:t>
      </w:r>
      <w:r>
        <w:t>37</w:t>
      </w:r>
      <w:r w:rsidRPr="00EB789A">
        <w:t xml:space="preserve">, </w:t>
      </w:r>
      <w:r>
        <w:t>38</w:t>
      </w:r>
      <w:r w:rsidRPr="00EB789A">
        <w:t xml:space="preserve">, </w:t>
      </w:r>
      <w:r>
        <w:t>39</w:t>
      </w:r>
      <w:r w:rsidRPr="00EB789A">
        <w:t xml:space="preserve">, </w:t>
      </w:r>
      <w:r>
        <w:t>40</w:t>
      </w:r>
      <w:r w:rsidRPr="00EB789A">
        <w:t xml:space="preserve"> and </w:t>
      </w:r>
      <w:bookmarkEnd w:id="6"/>
      <w:r>
        <w:t>41</w:t>
      </w:r>
      <w:r w:rsidRPr="00EB789A">
        <w:t xml:space="preserve"> are related.</w:t>
      </w:r>
    </w:p>
    <w:p w14:paraId="23DBB7A5" w14:textId="77777777" w:rsidR="00D609F2" w:rsidRPr="00EB789A" w:rsidRDefault="00D609F2" w:rsidP="00D609F2">
      <w:pPr>
        <w:pStyle w:val="BodyNum"/>
      </w:pPr>
      <w:r w:rsidRPr="00EB789A">
        <w:t xml:space="preserve">Regulation 2.1 of the </w:t>
      </w:r>
      <w:r w:rsidRPr="002E1074">
        <w:rPr>
          <w:i/>
        </w:rPr>
        <w:t>Trade Marks Regulations 1995</w:t>
      </w:r>
      <w:r w:rsidRPr="00EB789A">
        <w:t xml:space="preserve"> defines </w:t>
      </w:r>
      <w:r w:rsidRPr="002E1074">
        <w:rPr>
          <w:b/>
          <w:i/>
        </w:rPr>
        <w:t>ACCC</w:t>
      </w:r>
      <w:r w:rsidRPr="00EB789A">
        <w:t xml:space="preserve">. That definition contains a citation error as it refers to the </w:t>
      </w:r>
      <w:r w:rsidRPr="002E1074">
        <w:rPr>
          <w:i/>
        </w:rPr>
        <w:t>Trade Practices Act 1974</w:t>
      </w:r>
      <w:r w:rsidRPr="00EB789A">
        <w:t xml:space="preserve">. The short title of that Act was changed to the </w:t>
      </w:r>
      <w:r w:rsidRPr="002E1074">
        <w:rPr>
          <w:i/>
        </w:rPr>
        <w:t>Competition and Consumer Act 2010</w:t>
      </w:r>
      <w:r w:rsidRPr="00EB789A">
        <w:t xml:space="preserve"> in 2010.</w:t>
      </w:r>
    </w:p>
    <w:p w14:paraId="3F20F1EF" w14:textId="77777777" w:rsidR="00D609F2" w:rsidRPr="002E1074" w:rsidRDefault="00D609F2" w:rsidP="00D609F2">
      <w:pPr>
        <w:pStyle w:val="BodyNum"/>
      </w:pPr>
      <w:r w:rsidRPr="002E1074">
        <w:t xml:space="preserve">Furthermore, the </w:t>
      </w:r>
      <w:r w:rsidRPr="002E1074">
        <w:rPr>
          <w:i/>
        </w:rPr>
        <w:t>Trade Marks Act 1995</w:t>
      </w:r>
      <w:r w:rsidRPr="002E1074">
        <w:t xml:space="preserve"> already defines an expression, </w:t>
      </w:r>
      <w:r w:rsidRPr="002E1074">
        <w:rPr>
          <w:b/>
          <w:i/>
        </w:rPr>
        <w:t>Commission</w:t>
      </w:r>
      <w:r w:rsidRPr="002E1074">
        <w:t>, for the purposes of referring to the Australian Competition and Consumer Commission.</w:t>
      </w:r>
    </w:p>
    <w:p w14:paraId="6DEE321E" w14:textId="77777777" w:rsidR="00D609F2" w:rsidRPr="002E1074" w:rsidRDefault="00D609F2" w:rsidP="00D609F2">
      <w:pPr>
        <w:pStyle w:val="BodyNum"/>
      </w:pPr>
      <w:r w:rsidRPr="002E1074">
        <w:t xml:space="preserve">Item </w:t>
      </w:r>
      <w:r>
        <w:t>32</w:t>
      </w:r>
      <w:r w:rsidRPr="002E1074">
        <w:t xml:space="preserve"> inserts a note to remind readers of the Regulations that a number of expressions used in the Regulations are defined in the Act, including the expression “Commission”.</w:t>
      </w:r>
    </w:p>
    <w:p w14:paraId="66058FFF" w14:textId="77777777" w:rsidR="00D609F2" w:rsidRPr="00EB789A" w:rsidRDefault="00D609F2" w:rsidP="00D609F2">
      <w:pPr>
        <w:pStyle w:val="BodyNum"/>
      </w:pPr>
      <w:r w:rsidRPr="00EB789A">
        <w:t xml:space="preserve">Item </w:t>
      </w:r>
      <w:r>
        <w:t>33</w:t>
      </w:r>
      <w:r w:rsidRPr="00EB789A">
        <w:t xml:space="preserve"> repeals the definition of </w:t>
      </w:r>
      <w:r w:rsidRPr="00006A7C">
        <w:t>ACCC</w:t>
      </w:r>
      <w:r w:rsidRPr="00EB789A">
        <w:t>.</w:t>
      </w:r>
    </w:p>
    <w:p w14:paraId="7E722770" w14:textId="77777777" w:rsidR="00D609F2" w:rsidRPr="002E1074" w:rsidRDefault="00D609F2" w:rsidP="00D609F2">
      <w:pPr>
        <w:pStyle w:val="BodyNum"/>
      </w:pPr>
      <w:r w:rsidRPr="00EB789A">
        <w:t xml:space="preserve">Items </w:t>
      </w:r>
      <w:r>
        <w:t>37</w:t>
      </w:r>
      <w:r w:rsidRPr="00EB789A">
        <w:t xml:space="preserve">, </w:t>
      </w:r>
      <w:r>
        <w:t>38</w:t>
      </w:r>
      <w:r w:rsidRPr="00EB789A">
        <w:t xml:space="preserve">, </w:t>
      </w:r>
      <w:r>
        <w:t>39</w:t>
      </w:r>
      <w:r w:rsidRPr="00EB789A">
        <w:t xml:space="preserve">, </w:t>
      </w:r>
      <w:r>
        <w:t>40</w:t>
      </w:r>
      <w:r w:rsidRPr="00EB789A">
        <w:t xml:space="preserve"> and </w:t>
      </w:r>
      <w:r>
        <w:t>41</w:t>
      </w:r>
      <w:r w:rsidRPr="00EB789A">
        <w:t xml:space="preserve"> replace reference</w:t>
      </w:r>
      <w:r>
        <w:t>s</w:t>
      </w:r>
      <w:r w:rsidRPr="00EB789A">
        <w:t xml:space="preserve"> to the ACCC with references to the Commission, for consistency.</w:t>
      </w:r>
    </w:p>
    <w:p w14:paraId="7C5FF2EA"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34</w:t>
      </w:r>
    </w:p>
    <w:p w14:paraId="07F6E556" w14:textId="77777777" w:rsidR="00D609F2" w:rsidRDefault="00D609F2" w:rsidP="00D609F2">
      <w:pPr>
        <w:pStyle w:val="BodyNum"/>
      </w:pPr>
      <w:r>
        <w:t>Paragraph 1</w:t>
      </w:r>
      <w:r w:rsidRPr="00EB789A">
        <w:t xml:space="preserve">6.6(a) of the </w:t>
      </w:r>
      <w:r w:rsidRPr="002E1074">
        <w:rPr>
          <w:i/>
        </w:rPr>
        <w:t>Trade Marks Regulations 1995</w:t>
      </w:r>
      <w:r w:rsidRPr="00EB789A">
        <w:t xml:space="preserve"> refers to the </w:t>
      </w:r>
      <w:r w:rsidRPr="002E1074">
        <w:rPr>
          <w:i/>
        </w:rPr>
        <w:t>Trade Practices Act 1974</w:t>
      </w:r>
      <w:r w:rsidRPr="00EB789A">
        <w:t xml:space="preserve">. The short title of that Act was changed in 2010 to the </w:t>
      </w:r>
      <w:r w:rsidRPr="002E1074">
        <w:rPr>
          <w:i/>
        </w:rPr>
        <w:t>Competition and Consumer Act 2010</w:t>
      </w:r>
      <w:r w:rsidRPr="00EB789A">
        <w:t>.</w:t>
      </w:r>
    </w:p>
    <w:p w14:paraId="25C8BE21" w14:textId="77777777" w:rsidR="00D609F2" w:rsidRDefault="00D609F2" w:rsidP="00D609F2">
      <w:pPr>
        <w:pStyle w:val="BodyNum"/>
      </w:pPr>
      <w:r w:rsidRPr="00EB789A">
        <w:t xml:space="preserve">Item </w:t>
      </w:r>
      <w:r>
        <w:t>34</w:t>
      </w:r>
      <w:r w:rsidRPr="00EB789A">
        <w:t xml:space="preserve"> updates the citation.</w:t>
      </w:r>
    </w:p>
    <w:p w14:paraId="2132C012" w14:textId="77777777" w:rsidR="00D609F2" w:rsidRPr="00D219C3"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35</w:t>
      </w:r>
    </w:p>
    <w:p w14:paraId="32FF4257" w14:textId="77777777" w:rsidR="00D609F2" w:rsidRDefault="00D609F2" w:rsidP="00D609F2">
      <w:pPr>
        <w:pStyle w:val="BodyNum"/>
      </w:pPr>
      <w:r>
        <w:t>Paragraph 1</w:t>
      </w:r>
      <w:r w:rsidRPr="00EB789A">
        <w:t>6.6(</w:t>
      </w:r>
      <w:r>
        <w:t>b</w:t>
      </w:r>
      <w:r w:rsidRPr="00EB789A">
        <w:t xml:space="preserve">) of the </w:t>
      </w:r>
      <w:r w:rsidRPr="00615C7C">
        <w:rPr>
          <w:i/>
        </w:rPr>
        <w:t>Trade Marks Regulations 1995</w:t>
      </w:r>
      <w:r w:rsidRPr="00EB789A">
        <w:t xml:space="preserve"> refers to </w:t>
      </w:r>
      <w:r>
        <w:t xml:space="preserve">Part IVA of </w:t>
      </w:r>
      <w:r w:rsidRPr="00EB789A">
        <w:t xml:space="preserve">the </w:t>
      </w:r>
      <w:r w:rsidRPr="00615C7C">
        <w:rPr>
          <w:i/>
        </w:rPr>
        <w:t>Trade Practices Act 1974</w:t>
      </w:r>
      <w:r w:rsidRPr="00EB789A">
        <w:t xml:space="preserve">. The short title of that Act was changed in 2010 to the </w:t>
      </w:r>
      <w:r w:rsidRPr="00615C7C">
        <w:rPr>
          <w:i/>
        </w:rPr>
        <w:t>Competition and Consumer Act 2010</w:t>
      </w:r>
      <w:r>
        <w:t>, and Part IVA has been replaced by Part 2</w:t>
      </w:r>
      <w:r>
        <w:noBreakHyphen/>
        <w:t>2 of the Australian Consumer Law (set out in Schedule 2 to that Act)</w:t>
      </w:r>
      <w:r w:rsidRPr="00EB789A">
        <w:t>.</w:t>
      </w:r>
    </w:p>
    <w:p w14:paraId="05A0C83E" w14:textId="77777777" w:rsidR="00D609F2" w:rsidRDefault="00D609F2" w:rsidP="00D609F2">
      <w:pPr>
        <w:pStyle w:val="BodyNum"/>
      </w:pPr>
      <w:r w:rsidRPr="00EB789A">
        <w:t xml:space="preserve">Item </w:t>
      </w:r>
      <w:r>
        <w:t>35</w:t>
      </w:r>
      <w:r w:rsidRPr="00EB789A">
        <w:t xml:space="preserve"> updates the citation.</w:t>
      </w:r>
    </w:p>
    <w:p w14:paraId="042EB4B0" w14:textId="77777777" w:rsidR="00D609F2" w:rsidRPr="00D219C3"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36</w:t>
      </w:r>
    </w:p>
    <w:p w14:paraId="0ED68654" w14:textId="77777777" w:rsidR="00D609F2" w:rsidRDefault="00D609F2" w:rsidP="00D609F2">
      <w:pPr>
        <w:pStyle w:val="BodyNum"/>
      </w:pPr>
      <w:r>
        <w:t>Paragraph 1</w:t>
      </w:r>
      <w:r w:rsidRPr="00EB789A">
        <w:t>6.6(</w:t>
      </w:r>
      <w:r>
        <w:t>c</w:t>
      </w:r>
      <w:r w:rsidRPr="00EB789A">
        <w:t xml:space="preserve">) of the </w:t>
      </w:r>
      <w:r w:rsidRPr="00615C7C">
        <w:rPr>
          <w:i/>
        </w:rPr>
        <w:t>Trade Marks Regulations 1995</w:t>
      </w:r>
      <w:r w:rsidRPr="00EB789A">
        <w:t xml:space="preserve"> refers to </w:t>
      </w:r>
      <w:r>
        <w:t xml:space="preserve">Part V of </w:t>
      </w:r>
      <w:r w:rsidRPr="00EB789A">
        <w:t xml:space="preserve">the </w:t>
      </w:r>
      <w:r w:rsidRPr="00615C7C">
        <w:rPr>
          <w:i/>
        </w:rPr>
        <w:t>Trade Practices Act 1974</w:t>
      </w:r>
      <w:r w:rsidRPr="00EB789A">
        <w:t xml:space="preserve">. The short title of that Act was changed in 2010 to the </w:t>
      </w:r>
      <w:r w:rsidRPr="00615C7C">
        <w:rPr>
          <w:i/>
        </w:rPr>
        <w:t>Competition and Consumer Act 2010</w:t>
      </w:r>
      <w:r>
        <w:t>, and Part V has been replaced by Parts 3</w:t>
      </w:r>
      <w:r>
        <w:noBreakHyphen/>
        <w:t>1, 3</w:t>
      </w:r>
      <w:r>
        <w:noBreakHyphen/>
        <w:t>3 and 3</w:t>
      </w:r>
      <w:r>
        <w:noBreakHyphen/>
        <w:t>4 of the Australian Consumer Law (set out in Schedule 2 to that Act)</w:t>
      </w:r>
      <w:r w:rsidRPr="00EB789A">
        <w:t>.</w:t>
      </w:r>
    </w:p>
    <w:p w14:paraId="56EBF571" w14:textId="77777777" w:rsidR="00D609F2" w:rsidRDefault="00D609F2" w:rsidP="00D609F2">
      <w:pPr>
        <w:pStyle w:val="BodyNum"/>
      </w:pPr>
      <w:r w:rsidRPr="00EB789A">
        <w:t xml:space="preserve">Item </w:t>
      </w:r>
      <w:r>
        <w:t>36</w:t>
      </w:r>
      <w:r w:rsidRPr="00EB789A">
        <w:t xml:space="preserve"> updates the citation.</w:t>
      </w:r>
    </w:p>
    <w:p w14:paraId="3533E158" w14:textId="77777777" w:rsidR="00D609F2" w:rsidRPr="00D219C3"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s 42, 43, 44, 45 and 46</w:t>
      </w:r>
    </w:p>
    <w:p w14:paraId="2258B906" w14:textId="77777777" w:rsidR="00D609F2" w:rsidRDefault="00D609F2" w:rsidP="00D609F2">
      <w:pPr>
        <w:pStyle w:val="BodyNum"/>
      </w:pPr>
      <w:r w:rsidRPr="00EB789A">
        <w:t xml:space="preserve">Items </w:t>
      </w:r>
      <w:r>
        <w:t>42</w:t>
      </w:r>
      <w:r w:rsidRPr="00EB789A">
        <w:t xml:space="preserve"> to </w:t>
      </w:r>
      <w:r>
        <w:t>46</w:t>
      </w:r>
      <w:r w:rsidRPr="00EB789A">
        <w:t xml:space="preserve"> are related.</w:t>
      </w:r>
    </w:p>
    <w:p w14:paraId="40BEDCAB" w14:textId="0F98BB0A" w:rsidR="00D609F2" w:rsidRDefault="00D609F2" w:rsidP="00D609F2">
      <w:pPr>
        <w:pStyle w:val="BodyNum"/>
      </w:pPr>
      <w:r w:rsidRPr="00EB789A">
        <w:lastRenderedPageBreak/>
        <w:t xml:space="preserve">Section 3 of the </w:t>
      </w:r>
      <w:r w:rsidRPr="00615C7C">
        <w:rPr>
          <w:i/>
        </w:rPr>
        <w:t>Trans</w:t>
      </w:r>
      <w:r>
        <w:rPr>
          <w:i/>
        </w:rPr>
        <w:noBreakHyphen/>
      </w:r>
      <w:r w:rsidRPr="00615C7C">
        <w:rPr>
          <w:i/>
        </w:rPr>
        <w:t>Tasman Proceedings Regulation 2012</w:t>
      </w:r>
      <w:r w:rsidRPr="00EB789A">
        <w:t xml:space="preserve"> contains an error as it defines </w:t>
      </w:r>
      <w:r w:rsidRPr="00615C7C">
        <w:rPr>
          <w:b/>
          <w:i/>
        </w:rPr>
        <w:t>registrable NZ judgement</w:t>
      </w:r>
      <w:r w:rsidRPr="00EB789A">
        <w:t xml:space="preserve"> as having the meaning given by section 66 of the </w:t>
      </w:r>
      <w:r w:rsidRPr="00615C7C">
        <w:rPr>
          <w:i/>
        </w:rPr>
        <w:t>Trans</w:t>
      </w:r>
      <w:r>
        <w:rPr>
          <w:i/>
        </w:rPr>
        <w:noBreakHyphen/>
      </w:r>
      <w:r w:rsidRPr="00615C7C">
        <w:rPr>
          <w:i/>
        </w:rPr>
        <w:t>Tasman Proceedings Act 2010</w:t>
      </w:r>
      <w:r w:rsidRPr="00EB789A">
        <w:t>. However,</w:t>
      </w:r>
      <w:r w:rsidR="00845EE9" w:rsidRPr="00845EE9">
        <w:t xml:space="preserve"> </w:t>
      </w:r>
      <w:r w:rsidR="00845EE9">
        <w:t>the spelling of the word “judgement” in the label of this definition incorrect as it does not align with the Trans-Tasman Proceedings Act, which instead spells the word as “judgment”. T</w:t>
      </w:r>
      <w:r w:rsidR="00845EE9" w:rsidRPr="004673D1">
        <w:t>here</w:t>
      </w:r>
      <w:r w:rsidRPr="00EB789A">
        <w:t xml:space="preserve"> is no reference in that Act to “registrable NZ jud</w:t>
      </w:r>
      <w:r w:rsidRPr="00EB789A">
        <w:rPr>
          <w:u w:val="single"/>
        </w:rPr>
        <w:t>ge</w:t>
      </w:r>
      <w:r w:rsidRPr="00EB789A">
        <w:t>ment”, instead there is a reference to “registrable NZ jud</w:t>
      </w:r>
      <w:r w:rsidRPr="00EB789A">
        <w:rPr>
          <w:u w:val="single"/>
        </w:rPr>
        <w:t>g</w:t>
      </w:r>
      <w:r w:rsidRPr="00EB789A">
        <w:t>ment”, which is defined in section 66 of the Act.</w:t>
      </w:r>
    </w:p>
    <w:p w14:paraId="75245C84" w14:textId="77777777" w:rsidR="00D609F2" w:rsidRDefault="00D609F2" w:rsidP="00D609F2">
      <w:pPr>
        <w:pStyle w:val="BodyNum"/>
      </w:pPr>
      <w:r w:rsidRPr="00EB789A">
        <w:t xml:space="preserve">Item </w:t>
      </w:r>
      <w:r>
        <w:t>43</w:t>
      </w:r>
      <w:r w:rsidRPr="00EB789A">
        <w:t xml:space="preserve"> omits the incorrectly labelled definition</w:t>
      </w:r>
      <w:r>
        <w:t xml:space="preserve"> and</w:t>
      </w:r>
      <w:r w:rsidRPr="00EB789A">
        <w:t xml:space="preserve"> item </w:t>
      </w:r>
      <w:r>
        <w:t>44</w:t>
      </w:r>
      <w:r w:rsidRPr="00EB789A">
        <w:t xml:space="preserve"> inserts the correctly labelled definition</w:t>
      </w:r>
      <w:r>
        <w:t>.</w:t>
      </w:r>
    </w:p>
    <w:p w14:paraId="0EFE3056" w14:textId="77777777" w:rsidR="00D609F2" w:rsidRDefault="00D609F2" w:rsidP="00D609F2">
      <w:pPr>
        <w:pStyle w:val="BodyNum"/>
      </w:pPr>
      <w:r>
        <w:t>I</w:t>
      </w:r>
      <w:r w:rsidRPr="00EB789A">
        <w:t xml:space="preserve">tem </w:t>
      </w:r>
      <w:r>
        <w:t>45</w:t>
      </w:r>
      <w:r w:rsidRPr="00EB789A">
        <w:t xml:space="preserve"> repeals the current note to section 3</w:t>
      </w:r>
      <w:r>
        <w:t xml:space="preserve"> and</w:t>
      </w:r>
      <w:r w:rsidRPr="00EB789A">
        <w:t xml:space="preserve"> item </w:t>
      </w:r>
      <w:r>
        <w:t>42</w:t>
      </w:r>
      <w:r w:rsidRPr="00EB789A">
        <w:t xml:space="preserve"> replaces the omitted note in a location consistent with current Commonwealth drafting practice</w:t>
      </w:r>
      <w:r>
        <w:t>.</w:t>
      </w:r>
    </w:p>
    <w:p w14:paraId="48911ACC" w14:textId="77777777" w:rsidR="00D609F2" w:rsidRPr="00EB789A" w:rsidRDefault="00D609F2" w:rsidP="00D609F2">
      <w:pPr>
        <w:pStyle w:val="BodyNum"/>
      </w:pPr>
      <w:r>
        <w:t>I</w:t>
      </w:r>
      <w:r w:rsidRPr="00EB789A">
        <w:t xml:space="preserve">tem </w:t>
      </w:r>
      <w:r>
        <w:t>46</w:t>
      </w:r>
      <w:r w:rsidRPr="00EB789A">
        <w:t xml:space="preserve"> fixes the spelling of “judgment” across the rest of the Regulation.</w:t>
      </w:r>
    </w:p>
    <w:p w14:paraId="01BDEFDC" w14:textId="77777777" w:rsidR="00D609F2"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 xml:space="preserve"> 47</w:t>
      </w:r>
    </w:p>
    <w:p w14:paraId="6EA7860A" w14:textId="77777777" w:rsidR="00D609F2" w:rsidRDefault="00D609F2" w:rsidP="00D609F2">
      <w:pPr>
        <w:pStyle w:val="BodyNum"/>
      </w:pPr>
      <w:r w:rsidRPr="00EB789A">
        <w:t xml:space="preserve">Schedule 5 to the </w:t>
      </w:r>
      <w:r w:rsidRPr="00615C7C">
        <w:rPr>
          <w:i/>
        </w:rPr>
        <w:t>Water Regulations 2008</w:t>
      </w:r>
      <w:r w:rsidRPr="00EB789A">
        <w:t xml:space="preserve"> contains a typographical error. In item 5A of the table in clause 1AA of </w:t>
      </w:r>
      <w:r>
        <w:t xml:space="preserve">Part 1 of </w:t>
      </w:r>
      <w:r w:rsidRPr="00EB789A">
        <w:t>that Schedule, “</w:t>
      </w:r>
      <w:r w:rsidRPr="00615C7C">
        <w:rPr>
          <w:i/>
        </w:rPr>
        <w:t>(NSW)</w:t>
      </w:r>
      <w:r w:rsidRPr="00EB789A">
        <w:t>” is italicised. This formatting is inconsistent with the other items of that table.</w:t>
      </w:r>
    </w:p>
    <w:p w14:paraId="2BCE138A" w14:textId="77777777" w:rsidR="00D609F2" w:rsidRPr="00EB789A" w:rsidRDefault="00D609F2" w:rsidP="00D609F2">
      <w:pPr>
        <w:pStyle w:val="BodyNum"/>
      </w:pPr>
      <w:r w:rsidRPr="00EB789A">
        <w:t xml:space="preserve">Item </w:t>
      </w:r>
      <w:r>
        <w:t>47</w:t>
      </w:r>
      <w:r w:rsidRPr="00EB789A">
        <w:t xml:space="preserve"> corrects this formatting.</w:t>
      </w:r>
    </w:p>
    <w:p w14:paraId="1BD060E3" w14:textId="77777777" w:rsidR="00D609F2" w:rsidRPr="00D219C3" w:rsidRDefault="00D609F2" w:rsidP="00D609F2">
      <w:pPr>
        <w:pStyle w:val="Head3"/>
        <w:rPr>
          <w:rFonts w:ascii="Times New Roman" w:hAnsi="Times New Roman"/>
          <w:sz w:val="24"/>
          <w:szCs w:val="24"/>
        </w:rPr>
      </w:pPr>
      <w:r w:rsidRPr="00D219C3">
        <w:rPr>
          <w:rFonts w:ascii="Times New Roman" w:hAnsi="Times New Roman"/>
          <w:sz w:val="24"/>
          <w:szCs w:val="24"/>
        </w:rPr>
        <w:t>Item</w:t>
      </w:r>
      <w:r>
        <w:rPr>
          <w:rFonts w:ascii="Times New Roman" w:hAnsi="Times New Roman"/>
          <w:sz w:val="24"/>
          <w:szCs w:val="24"/>
        </w:rPr>
        <w:t>s 48 and 49</w:t>
      </w:r>
    </w:p>
    <w:p w14:paraId="2421B072" w14:textId="77777777" w:rsidR="00D609F2" w:rsidRPr="00EB789A" w:rsidRDefault="00D609F2" w:rsidP="00D609F2">
      <w:pPr>
        <w:pStyle w:val="BodyNum"/>
      </w:pPr>
      <w:r w:rsidRPr="00EB789A">
        <w:t>Items</w:t>
      </w:r>
      <w:r>
        <w:t xml:space="preserve"> 48</w:t>
      </w:r>
      <w:r w:rsidRPr="00EB789A">
        <w:t xml:space="preserve"> and </w:t>
      </w:r>
      <w:r>
        <w:t>49</w:t>
      </w:r>
      <w:r w:rsidRPr="00EB789A">
        <w:t xml:space="preserve"> are related.</w:t>
      </w:r>
    </w:p>
    <w:p w14:paraId="3B7ABFEF" w14:textId="77777777" w:rsidR="00D609F2" w:rsidRPr="00615C7C" w:rsidRDefault="00D609F2" w:rsidP="00D609F2">
      <w:pPr>
        <w:pStyle w:val="BodyNum"/>
      </w:pPr>
      <w:r w:rsidRPr="00EB789A">
        <w:t xml:space="preserve">Item </w:t>
      </w:r>
      <w:r>
        <w:t>48</w:t>
      </w:r>
      <w:r w:rsidRPr="00EB789A">
        <w:t xml:space="preserve"> repeals the redundant </w:t>
      </w:r>
      <w:r>
        <w:t>n</w:t>
      </w:r>
      <w:r w:rsidRPr="00EB789A">
        <w:t xml:space="preserve">ote 1 to </w:t>
      </w:r>
      <w:proofErr w:type="spellStart"/>
      <w:r>
        <w:t>subregulation</w:t>
      </w:r>
      <w:proofErr w:type="spellEnd"/>
      <w:r>
        <w:t> 1</w:t>
      </w:r>
      <w:r w:rsidRPr="00EB789A">
        <w:t>64</w:t>
      </w:r>
      <w:r>
        <w:t>(4)</w:t>
      </w:r>
      <w:r w:rsidRPr="00EB789A">
        <w:t xml:space="preserve"> of the </w:t>
      </w:r>
      <w:r w:rsidRPr="00615C7C">
        <w:rPr>
          <w:i/>
        </w:rPr>
        <w:t>Work Health and Safety Regulations 2011</w:t>
      </w:r>
      <w:r w:rsidRPr="00615C7C">
        <w:t xml:space="preserve">. That note is redundant as it relates to the operation of </w:t>
      </w:r>
      <w:proofErr w:type="spellStart"/>
      <w:r w:rsidRPr="00615C7C">
        <w:t>subregulation</w:t>
      </w:r>
      <w:proofErr w:type="spellEnd"/>
      <w:r w:rsidRPr="00615C7C">
        <w:t xml:space="preserve"> 2(2). Regulation 2 was repealed by section 48D of the </w:t>
      </w:r>
      <w:r w:rsidRPr="00615C7C">
        <w:rPr>
          <w:i/>
        </w:rPr>
        <w:t>Legislation Act 2003</w:t>
      </w:r>
      <w:r w:rsidRPr="00615C7C">
        <w:t>.</w:t>
      </w:r>
    </w:p>
    <w:p w14:paraId="6F220857" w14:textId="77777777" w:rsidR="00D609F2" w:rsidRPr="009C0187" w:rsidRDefault="00D609F2" w:rsidP="00D609F2">
      <w:pPr>
        <w:pStyle w:val="BodyNum"/>
      </w:pPr>
      <w:r w:rsidRPr="00615C7C">
        <w:t xml:space="preserve">As a consequence of the repeal of note 1 by item </w:t>
      </w:r>
      <w:r>
        <w:t>48</w:t>
      </w:r>
      <w:r w:rsidRPr="00615C7C">
        <w:t xml:space="preserve">, there is now only one note to </w:t>
      </w:r>
      <w:proofErr w:type="spellStart"/>
      <w:r w:rsidRPr="00615C7C">
        <w:t>subregulation</w:t>
      </w:r>
      <w:proofErr w:type="spellEnd"/>
      <w:r w:rsidRPr="00615C7C">
        <w:t xml:space="preserve"> 164, and as such the remaining note does not need to be numbered. Item </w:t>
      </w:r>
      <w:r>
        <w:t>49</w:t>
      </w:r>
      <w:r w:rsidRPr="00615C7C">
        <w:t xml:space="preserve"> removes th</w:t>
      </w:r>
      <w:r>
        <w:t>e “2” from n</w:t>
      </w:r>
      <w:r w:rsidRPr="00EB789A">
        <w:t>ote 2</w:t>
      </w:r>
      <w:r>
        <w:t>.</w:t>
      </w:r>
    </w:p>
    <w:p w14:paraId="65263FA5" w14:textId="3A8C728D" w:rsidR="009C0187" w:rsidRPr="00D609F2" w:rsidRDefault="009C0187" w:rsidP="00D609F2">
      <w:bookmarkStart w:id="7" w:name="_GoBack"/>
      <w:bookmarkEnd w:id="7"/>
    </w:p>
    <w:sectPr w:rsidR="009C0187" w:rsidRPr="00D609F2" w:rsidSect="008E17F3">
      <w:headerReference w:type="default" r:id="rId10"/>
      <w:footerReference w:type="even" r:id="rId11"/>
      <w:footerReference w:type="defaul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6B415" w14:textId="77777777" w:rsidR="009C0187" w:rsidRDefault="009C0187" w:rsidP="008E17F3">
      <w:pPr>
        <w:spacing w:line="240" w:lineRule="auto"/>
      </w:pPr>
      <w:r>
        <w:separator/>
      </w:r>
    </w:p>
  </w:endnote>
  <w:endnote w:type="continuationSeparator" w:id="0">
    <w:p w14:paraId="3CF736F6" w14:textId="77777777" w:rsidR="009C0187" w:rsidRDefault="009C0187"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2D0C"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594807">
      <w:rPr>
        <w:rStyle w:val="PageNumber"/>
        <w:noProof/>
      </w:rPr>
      <w:t>10</w:t>
    </w:r>
    <w:r>
      <w:rPr>
        <w:rStyle w:val="PageNumber"/>
      </w:rPr>
      <w:fldChar w:fldCharType="end"/>
    </w:r>
  </w:p>
  <w:p w14:paraId="0C52F490" w14:textId="77777777" w:rsidR="008E17F3" w:rsidRDefault="008E17F3" w:rsidP="008E1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D672" w14:textId="77777777" w:rsidR="008E17F3" w:rsidRDefault="009C0187" w:rsidP="008E17F3">
    <w:pPr>
      <w:pStyle w:val="Footer"/>
      <w:tabs>
        <w:tab w:val="clear" w:pos="4153"/>
        <w:tab w:val="clear" w:pos="8306"/>
        <w:tab w:val="left" w:pos="7680"/>
      </w:tabs>
      <w:ind w:right="27"/>
      <w:rPr>
        <w:sz w:val="16"/>
      </w:rPr>
    </w:pPr>
    <w:r w:rsidRPr="009C0187">
      <w:rPr>
        <w:b/>
        <w:noProof/>
        <w:sz w:val="16"/>
        <w:lang w:val="en-US"/>
      </w:rPr>
      <mc:AlternateContent>
        <mc:Choice Requires="wps">
          <w:drawing>
            <wp:anchor distT="0" distB="0" distL="114300" distR="114300" simplePos="0" relativeHeight="251658240" behindDoc="1" locked="1" layoutInCell="1" allowOverlap="1" wp14:anchorId="6B8B2007" wp14:editId="5358A015">
              <wp:simplePos x="0" y="0"/>
              <wp:positionH relativeFrom="page">
                <wp:align>center</wp:align>
              </wp:positionH>
              <wp:positionV relativeFrom="paragraph">
                <wp:posOffset>0</wp:posOffset>
              </wp:positionV>
              <wp:extent cx="5773003" cy="395785"/>
              <wp:effectExtent l="0" t="0" r="0" b="4445"/>
              <wp:wrapNone/>
              <wp:docPr id="1" name="Text Box 1"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8C8E80" w14:textId="77777777" w:rsidR="009C0187" w:rsidRPr="00324EB0" w:rsidRDefault="009C0187" w:rsidP="00271A4F">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8B2007" id="_x0000_t202" coordsize="21600,21600" o:spt="202" path="m,l,21600r21600,l21600,xe">
              <v:stroke joinstyle="miter"/>
              <v:path gradientshapeok="t" o:connecttype="rect"/>
            </v:shapetype>
            <v:shape id="Text Box 1" o:spid="_x0000_s1027" type="#_x0000_t202" alt="Sec-Footerprimary" style="position:absolute;margin-left:0;margin-top:0;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" stroked="f" strokeweight=".5pt">
              <v:textbox>
                <w:txbxContent>
                  <w:p w14:paraId="788C8E80" w14:textId="77777777" w:rsidR="009C0187" w:rsidRPr="00324EB0" w:rsidRDefault="009C0187" w:rsidP="00271A4F">
                    <w:pPr>
                      <w:jc w:val="center"/>
                      <w:rPr>
                        <w:rFonts w:ascii="Arial" w:hAnsi="Arial" w:cs="Arial"/>
                        <w:b/>
                        <w:sz w:val="40"/>
                      </w:rPr>
                    </w:pPr>
                  </w:p>
                </w:txbxContent>
              </v:textbox>
              <w10:wrap anchorx="page"/>
              <w10:anchorlock/>
            </v:shape>
          </w:pict>
        </mc:Fallback>
      </mc:AlternateContent>
    </w:r>
    <w:r w:rsidR="008E17F3">
      <w:rPr>
        <w:sz w:val="16"/>
      </w:rPr>
      <w:tab/>
    </w:r>
    <w:r w:rsidR="008E17F3">
      <w:rPr>
        <w:sz w:val="16"/>
      </w:rPr>
      <w:tab/>
    </w:r>
    <w:r w:rsidR="008E17F3">
      <w:t xml:space="preserve">Page  </w:t>
    </w:r>
    <w:r w:rsidR="005327A0">
      <w:fldChar w:fldCharType="begin"/>
    </w:r>
    <w:r w:rsidR="005327A0">
      <w:instrText xml:space="preserve"> PAGE  \* MERGEFORMAT </w:instrText>
    </w:r>
    <w:r w:rsidR="005327A0">
      <w:fldChar w:fldCharType="separate"/>
    </w:r>
    <w:r w:rsidR="00174846">
      <w:rPr>
        <w:noProof/>
      </w:rPr>
      <w:t>1</w:t>
    </w:r>
    <w:r w:rsidR="005327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3CE4B" w14:textId="77777777" w:rsidR="009C0187" w:rsidRDefault="009C0187" w:rsidP="008E17F3">
      <w:pPr>
        <w:spacing w:line="240" w:lineRule="auto"/>
      </w:pPr>
      <w:r>
        <w:separator/>
      </w:r>
    </w:p>
  </w:footnote>
  <w:footnote w:type="continuationSeparator" w:id="0">
    <w:p w14:paraId="1B4DEE96" w14:textId="77777777" w:rsidR="009C0187" w:rsidRDefault="009C0187"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C55B" w14:textId="77777777" w:rsidR="009C0187" w:rsidRDefault="009C0187">
    <w:pPr>
      <w:pStyle w:val="Header"/>
    </w:pPr>
    <w:r w:rsidRPr="00324EB0">
      <w:rPr>
        <w:b/>
        <w:noProof/>
        <w:lang w:val="en-US"/>
      </w:rPr>
      <mc:AlternateContent>
        <mc:Choice Requires="wps">
          <w:drawing>
            <wp:anchor distT="0" distB="0" distL="114300" distR="114300" simplePos="0" relativeHeight="251657216" behindDoc="1" locked="1" layoutInCell="1" allowOverlap="1" wp14:anchorId="4792B170" wp14:editId="61AE01E2">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B8CF03" w14:textId="77777777" w:rsidR="009C0187" w:rsidRPr="00324EB0" w:rsidRDefault="009C0187" w:rsidP="00271A4F">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92B170" id="_x0000_t202" coordsize="21600,21600" o:spt="202" path="m,l,21600r21600,l21600,xe">
              <v:stroke joinstyle="miter"/>
              <v:path gradientshapeok="t" o:connecttype="rect"/>
            </v:shapetype>
            <v:shape id="Text Box 107" o:spid="_x0000_s1026" type="#_x0000_t202" alt="Sec-Headerprimary" style="position:absolute;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" stroked="f" strokeweight=".5pt">
              <v:textbox>
                <w:txbxContent>
                  <w:p w14:paraId="01B8CF03" w14:textId="77777777" w:rsidR="009C0187" w:rsidRPr="00324EB0" w:rsidRDefault="009C0187" w:rsidP="00271A4F">
                    <w:pPr>
                      <w:jc w:val="center"/>
                      <w:rPr>
                        <w:rFonts w:ascii="Arial" w:hAnsi="Arial" w:cs="Arial"/>
                        <w:b/>
                        <w:sz w:val="40"/>
                      </w:rPr>
                    </w:pP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888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DAB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D6E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6F9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08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4"/>
  </w:num>
  <w:num w:numId="15">
    <w:abstractNumId w:val="12"/>
  </w:num>
  <w:num w:numId="1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 w:ilvl="0">
        <w:start w:val="1"/>
        <w:numFmt w:val="decimal"/>
        <w:pStyle w:val="BodyNum"/>
        <w:lvlText w:val="%1"/>
        <w:lvlJc w:val="left"/>
        <w:pPr>
          <w:tabs>
            <w:tab w:val="num" w:pos="720"/>
          </w:tabs>
          <w:ind w:left="0" w:firstLine="0"/>
        </w:pPr>
        <w:rPr>
          <w:rFonts w:hint="default"/>
        </w:rPr>
      </w:lvl>
    </w:lvlOverride>
    <w:lvlOverride w:ilvl="1">
      <w:lvl w:ilvl="1">
        <w:start w:val="1"/>
        <w:numFmt w:val="lowerLetter"/>
        <w:pStyle w:val="BodyPara"/>
        <w:lvlText w:val="(%2)"/>
        <w:lvlJc w:val="left"/>
        <w:pPr>
          <w:tabs>
            <w:tab w:val="num" w:pos="1440"/>
          </w:tabs>
          <w:ind w:left="1440" w:hanging="720"/>
        </w:pPr>
        <w:rPr>
          <w:rFonts w:hint="default"/>
        </w:rPr>
      </w:lvl>
    </w:lvlOverride>
    <w:lvlOverride w:ilvl="2">
      <w:lvl w:ilvl="2">
        <w:start w:val="1"/>
        <w:numFmt w:val="bullet"/>
        <w:pStyle w:val="BodyParaBullet"/>
        <w:lvlText w:val=""/>
        <w:lvlJc w:val="left"/>
        <w:pPr>
          <w:tabs>
            <w:tab w:val="num" w:pos="1440"/>
          </w:tabs>
          <w:ind w:left="1440" w:hanging="720"/>
        </w:pPr>
        <w:rPr>
          <w:rFonts w:ascii="Symbol" w:hAnsi="Symbol" w:hint="default"/>
        </w:rPr>
      </w:lvl>
    </w:lvlOverride>
    <w:lvlOverride w:ilvl="3">
      <w:lvl w:ilvl="3">
        <w:start w:val="1"/>
        <w:numFmt w:val="lowerRoman"/>
        <w:pStyle w:val="BodySubPara"/>
        <w:lvlText w:val="(%4)"/>
        <w:lvlJc w:val="left"/>
        <w:pPr>
          <w:tabs>
            <w:tab w:val="num" w:pos="2160"/>
          </w:tabs>
          <w:ind w:left="2160" w:hanging="72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0"/>
  </w:num>
  <w:num w:numId="20">
    <w:abstractNumId w:val="10"/>
  </w:num>
  <w:num w:numId="21">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87"/>
    <w:rsid w:val="00006A7C"/>
    <w:rsid w:val="000136AF"/>
    <w:rsid w:val="0001547F"/>
    <w:rsid w:val="00022B7E"/>
    <w:rsid w:val="000307A7"/>
    <w:rsid w:val="000357C4"/>
    <w:rsid w:val="00036B0B"/>
    <w:rsid w:val="00056743"/>
    <w:rsid w:val="000614BF"/>
    <w:rsid w:val="00075BA5"/>
    <w:rsid w:val="000A5C11"/>
    <w:rsid w:val="000C024D"/>
    <w:rsid w:val="000C1E1F"/>
    <w:rsid w:val="000C604C"/>
    <w:rsid w:val="000D05EF"/>
    <w:rsid w:val="000D14D8"/>
    <w:rsid w:val="000F2AF5"/>
    <w:rsid w:val="0010745C"/>
    <w:rsid w:val="00140B12"/>
    <w:rsid w:val="001472EF"/>
    <w:rsid w:val="00153CED"/>
    <w:rsid w:val="00166C2F"/>
    <w:rsid w:val="00171ADA"/>
    <w:rsid w:val="00174846"/>
    <w:rsid w:val="001863F4"/>
    <w:rsid w:val="001939E1"/>
    <w:rsid w:val="0019500F"/>
    <w:rsid w:val="00195382"/>
    <w:rsid w:val="001B7BCA"/>
    <w:rsid w:val="001C69C4"/>
    <w:rsid w:val="001E3590"/>
    <w:rsid w:val="001E5D6A"/>
    <w:rsid w:val="001E7407"/>
    <w:rsid w:val="001F7088"/>
    <w:rsid w:val="00212A97"/>
    <w:rsid w:val="00215292"/>
    <w:rsid w:val="00225CB7"/>
    <w:rsid w:val="00225F97"/>
    <w:rsid w:val="00253D1B"/>
    <w:rsid w:val="00295FBA"/>
    <w:rsid w:val="002970D7"/>
    <w:rsid w:val="00297ECB"/>
    <w:rsid w:val="002D043A"/>
    <w:rsid w:val="002D6A8E"/>
    <w:rsid w:val="002E1074"/>
    <w:rsid w:val="00311448"/>
    <w:rsid w:val="00327C36"/>
    <w:rsid w:val="00346973"/>
    <w:rsid w:val="00350EC1"/>
    <w:rsid w:val="00352B0F"/>
    <w:rsid w:val="00360FB0"/>
    <w:rsid w:val="003A7597"/>
    <w:rsid w:val="003B5735"/>
    <w:rsid w:val="003C5743"/>
    <w:rsid w:val="003D0BFE"/>
    <w:rsid w:val="003D5700"/>
    <w:rsid w:val="003D6D7B"/>
    <w:rsid w:val="003D6F8A"/>
    <w:rsid w:val="003E4160"/>
    <w:rsid w:val="003F455E"/>
    <w:rsid w:val="0040465D"/>
    <w:rsid w:val="004071E9"/>
    <w:rsid w:val="004116CD"/>
    <w:rsid w:val="00412D86"/>
    <w:rsid w:val="00415069"/>
    <w:rsid w:val="00424CA9"/>
    <w:rsid w:val="0044291A"/>
    <w:rsid w:val="00450A86"/>
    <w:rsid w:val="004560FB"/>
    <w:rsid w:val="004653F8"/>
    <w:rsid w:val="00485EBC"/>
    <w:rsid w:val="00490FBD"/>
    <w:rsid w:val="00496F97"/>
    <w:rsid w:val="004A0070"/>
    <w:rsid w:val="004A6B07"/>
    <w:rsid w:val="004C58D4"/>
    <w:rsid w:val="004D626D"/>
    <w:rsid w:val="004E4FC6"/>
    <w:rsid w:val="00507C2F"/>
    <w:rsid w:val="00516B8D"/>
    <w:rsid w:val="0052549B"/>
    <w:rsid w:val="005327A0"/>
    <w:rsid w:val="00537FBC"/>
    <w:rsid w:val="0055471B"/>
    <w:rsid w:val="0056371E"/>
    <w:rsid w:val="005659AD"/>
    <w:rsid w:val="00575145"/>
    <w:rsid w:val="0058360A"/>
    <w:rsid w:val="00584811"/>
    <w:rsid w:val="00594161"/>
    <w:rsid w:val="00594749"/>
    <w:rsid w:val="00594807"/>
    <w:rsid w:val="005E753C"/>
    <w:rsid w:val="00600219"/>
    <w:rsid w:val="00610491"/>
    <w:rsid w:val="00615C7C"/>
    <w:rsid w:val="006207A3"/>
    <w:rsid w:val="006279B8"/>
    <w:rsid w:val="00645367"/>
    <w:rsid w:val="00677CC2"/>
    <w:rsid w:val="00680F77"/>
    <w:rsid w:val="0069207B"/>
    <w:rsid w:val="006A104C"/>
    <w:rsid w:val="006C2503"/>
    <w:rsid w:val="006C7052"/>
    <w:rsid w:val="006C7F8C"/>
    <w:rsid w:val="006D7019"/>
    <w:rsid w:val="006D77BA"/>
    <w:rsid w:val="006E2E9F"/>
    <w:rsid w:val="00704A73"/>
    <w:rsid w:val="007257E5"/>
    <w:rsid w:val="007276BC"/>
    <w:rsid w:val="00731E00"/>
    <w:rsid w:val="00733990"/>
    <w:rsid w:val="0073526A"/>
    <w:rsid w:val="007408D6"/>
    <w:rsid w:val="00760AA8"/>
    <w:rsid w:val="00766393"/>
    <w:rsid w:val="007715C9"/>
    <w:rsid w:val="00774EDD"/>
    <w:rsid w:val="00775577"/>
    <w:rsid w:val="007757EC"/>
    <w:rsid w:val="007915D9"/>
    <w:rsid w:val="00796508"/>
    <w:rsid w:val="007A016D"/>
    <w:rsid w:val="007C565F"/>
    <w:rsid w:val="007D39F1"/>
    <w:rsid w:val="007D413F"/>
    <w:rsid w:val="007E081F"/>
    <w:rsid w:val="007E6122"/>
    <w:rsid w:val="008006B2"/>
    <w:rsid w:val="0080266C"/>
    <w:rsid w:val="00814441"/>
    <w:rsid w:val="00845EE9"/>
    <w:rsid w:val="00856A31"/>
    <w:rsid w:val="00861C14"/>
    <w:rsid w:val="00867072"/>
    <w:rsid w:val="008754D0"/>
    <w:rsid w:val="0089342D"/>
    <w:rsid w:val="008B7058"/>
    <w:rsid w:val="008D4EDF"/>
    <w:rsid w:val="008E17F3"/>
    <w:rsid w:val="008E3B8C"/>
    <w:rsid w:val="008F5AD3"/>
    <w:rsid w:val="0094622F"/>
    <w:rsid w:val="0097466A"/>
    <w:rsid w:val="0098638B"/>
    <w:rsid w:val="00992FD6"/>
    <w:rsid w:val="0099567B"/>
    <w:rsid w:val="009C0187"/>
    <w:rsid w:val="009C263D"/>
    <w:rsid w:val="009D6A3E"/>
    <w:rsid w:val="009E4D44"/>
    <w:rsid w:val="00A1590E"/>
    <w:rsid w:val="00A231E2"/>
    <w:rsid w:val="00A24E0C"/>
    <w:rsid w:val="00A27EC0"/>
    <w:rsid w:val="00A43820"/>
    <w:rsid w:val="00A53A33"/>
    <w:rsid w:val="00A64912"/>
    <w:rsid w:val="00A662AD"/>
    <w:rsid w:val="00A70A74"/>
    <w:rsid w:val="00A91B5C"/>
    <w:rsid w:val="00A91DB8"/>
    <w:rsid w:val="00A925B5"/>
    <w:rsid w:val="00AA6B94"/>
    <w:rsid w:val="00AB51BF"/>
    <w:rsid w:val="00AC0464"/>
    <w:rsid w:val="00AD5641"/>
    <w:rsid w:val="00AE1929"/>
    <w:rsid w:val="00B115F4"/>
    <w:rsid w:val="00B20EF5"/>
    <w:rsid w:val="00B23BDE"/>
    <w:rsid w:val="00B33B3C"/>
    <w:rsid w:val="00B54829"/>
    <w:rsid w:val="00B6277F"/>
    <w:rsid w:val="00B62C9C"/>
    <w:rsid w:val="00B8241C"/>
    <w:rsid w:val="00B96FBD"/>
    <w:rsid w:val="00B9774E"/>
    <w:rsid w:val="00BB33C6"/>
    <w:rsid w:val="00BC6C67"/>
    <w:rsid w:val="00BD6A8D"/>
    <w:rsid w:val="00BE719A"/>
    <w:rsid w:val="00BE720A"/>
    <w:rsid w:val="00BF66DF"/>
    <w:rsid w:val="00BF6B12"/>
    <w:rsid w:val="00C22DF4"/>
    <w:rsid w:val="00C24C62"/>
    <w:rsid w:val="00C42BF8"/>
    <w:rsid w:val="00C47FDE"/>
    <w:rsid w:val="00C50043"/>
    <w:rsid w:val="00C511B3"/>
    <w:rsid w:val="00C56493"/>
    <w:rsid w:val="00C61CDD"/>
    <w:rsid w:val="00C737B9"/>
    <w:rsid w:val="00C7573B"/>
    <w:rsid w:val="00C82967"/>
    <w:rsid w:val="00C83868"/>
    <w:rsid w:val="00C90F99"/>
    <w:rsid w:val="00C919BB"/>
    <w:rsid w:val="00CA5BD8"/>
    <w:rsid w:val="00CA65A1"/>
    <w:rsid w:val="00CB3D6B"/>
    <w:rsid w:val="00CB48D8"/>
    <w:rsid w:val="00CD1198"/>
    <w:rsid w:val="00CE3EB9"/>
    <w:rsid w:val="00CE4481"/>
    <w:rsid w:val="00CF0BB2"/>
    <w:rsid w:val="00CF1AD0"/>
    <w:rsid w:val="00D13441"/>
    <w:rsid w:val="00D2183A"/>
    <w:rsid w:val="00D33DEF"/>
    <w:rsid w:val="00D41282"/>
    <w:rsid w:val="00D41AFF"/>
    <w:rsid w:val="00D609F2"/>
    <w:rsid w:val="00D70DFB"/>
    <w:rsid w:val="00D766DF"/>
    <w:rsid w:val="00DB3CFE"/>
    <w:rsid w:val="00DB43AF"/>
    <w:rsid w:val="00DB43D1"/>
    <w:rsid w:val="00DC092F"/>
    <w:rsid w:val="00DC6A9C"/>
    <w:rsid w:val="00DE49CB"/>
    <w:rsid w:val="00DE6C8F"/>
    <w:rsid w:val="00DE7073"/>
    <w:rsid w:val="00E0046C"/>
    <w:rsid w:val="00E031D8"/>
    <w:rsid w:val="00E12C94"/>
    <w:rsid w:val="00E35801"/>
    <w:rsid w:val="00E71653"/>
    <w:rsid w:val="00E74DC7"/>
    <w:rsid w:val="00EB35D9"/>
    <w:rsid w:val="00ED0C49"/>
    <w:rsid w:val="00EE6680"/>
    <w:rsid w:val="00EF1CA5"/>
    <w:rsid w:val="00EF200C"/>
    <w:rsid w:val="00EF2E3A"/>
    <w:rsid w:val="00EF7783"/>
    <w:rsid w:val="00F04811"/>
    <w:rsid w:val="00F078DC"/>
    <w:rsid w:val="00F12FE6"/>
    <w:rsid w:val="00F23E5F"/>
    <w:rsid w:val="00F40304"/>
    <w:rsid w:val="00F51269"/>
    <w:rsid w:val="00F6037D"/>
    <w:rsid w:val="00FC1D83"/>
    <w:rsid w:val="00FC32C1"/>
    <w:rsid w:val="00FD456C"/>
    <w:rsid w:val="00FE091B"/>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47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C1E1F"/>
    <w:pPr>
      <w:spacing w:line="260" w:lineRule="atLeast"/>
    </w:pPr>
    <w:rPr>
      <w:sz w:val="22"/>
    </w:rPr>
  </w:style>
  <w:style w:type="paragraph" w:styleId="Heading1">
    <w:name w:val="heading 1"/>
    <w:basedOn w:val="Normal"/>
    <w:next w:val="Normal"/>
    <w:link w:val="Heading1Char"/>
    <w:uiPriority w:val="9"/>
    <w:qFormat/>
    <w:rsid w:val="009C0187"/>
    <w:pPr>
      <w:keepNext/>
      <w:spacing w:before="240" w:after="60" w:line="276" w:lineRule="auto"/>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C1E1F"/>
  </w:style>
  <w:style w:type="paragraph" w:customStyle="1" w:styleId="OPCParaBase">
    <w:name w:val="OPCParaBase"/>
    <w:qFormat/>
    <w:rsid w:val="000C1E1F"/>
    <w:pPr>
      <w:spacing w:line="260" w:lineRule="atLeast"/>
    </w:pPr>
    <w:rPr>
      <w:rFonts w:eastAsia="Times New Roman" w:cs="Times New Roman"/>
      <w:sz w:val="22"/>
      <w:lang w:eastAsia="en-AU"/>
    </w:rPr>
  </w:style>
  <w:style w:type="paragraph" w:customStyle="1" w:styleId="ShortT">
    <w:name w:val="ShortT"/>
    <w:basedOn w:val="OPCParaBase"/>
    <w:next w:val="Normal"/>
    <w:qFormat/>
    <w:rsid w:val="000C1E1F"/>
    <w:pPr>
      <w:spacing w:line="240" w:lineRule="auto"/>
    </w:pPr>
    <w:rPr>
      <w:b/>
      <w:sz w:val="40"/>
    </w:rPr>
  </w:style>
  <w:style w:type="paragraph" w:customStyle="1" w:styleId="ActHead1">
    <w:name w:val="ActHead 1"/>
    <w:aliases w:val="c"/>
    <w:basedOn w:val="OPCParaBase"/>
    <w:next w:val="Normal"/>
    <w:qFormat/>
    <w:rsid w:val="000C1E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1E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1E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1E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C1E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1E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1E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1E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1E1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C1E1F"/>
  </w:style>
  <w:style w:type="paragraph" w:customStyle="1" w:styleId="Blocks">
    <w:name w:val="Blocks"/>
    <w:aliases w:val="bb"/>
    <w:basedOn w:val="OPCParaBase"/>
    <w:qFormat/>
    <w:rsid w:val="000C1E1F"/>
    <w:pPr>
      <w:spacing w:line="240" w:lineRule="auto"/>
    </w:pPr>
    <w:rPr>
      <w:sz w:val="24"/>
    </w:rPr>
  </w:style>
  <w:style w:type="paragraph" w:customStyle="1" w:styleId="BoxText">
    <w:name w:val="BoxText"/>
    <w:aliases w:val="bt"/>
    <w:basedOn w:val="OPCParaBase"/>
    <w:rsid w:val="000C1E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1E1F"/>
    <w:rPr>
      <w:b/>
    </w:rPr>
  </w:style>
  <w:style w:type="paragraph" w:customStyle="1" w:styleId="BoxHeadItalic">
    <w:name w:val="BoxHeadItalic"/>
    <w:aliases w:val="bhi"/>
    <w:basedOn w:val="BoxText"/>
    <w:next w:val="Normal"/>
    <w:qFormat/>
    <w:rsid w:val="000C1E1F"/>
    <w:rPr>
      <w:i/>
    </w:rPr>
  </w:style>
  <w:style w:type="paragraph" w:customStyle="1" w:styleId="BoxList">
    <w:name w:val="BoxList"/>
    <w:aliases w:val="bl"/>
    <w:basedOn w:val="BoxText"/>
    <w:qFormat/>
    <w:rsid w:val="000C1E1F"/>
    <w:pPr>
      <w:ind w:left="1559" w:hanging="425"/>
    </w:pPr>
  </w:style>
  <w:style w:type="paragraph" w:customStyle="1" w:styleId="BoxNote">
    <w:name w:val="BoxNote"/>
    <w:aliases w:val="bn"/>
    <w:basedOn w:val="BoxText"/>
    <w:qFormat/>
    <w:rsid w:val="000C1E1F"/>
    <w:pPr>
      <w:tabs>
        <w:tab w:val="left" w:pos="1985"/>
      </w:tabs>
      <w:spacing w:before="122" w:line="198" w:lineRule="exact"/>
      <w:ind w:left="2948" w:hanging="1814"/>
    </w:pPr>
    <w:rPr>
      <w:sz w:val="18"/>
    </w:rPr>
  </w:style>
  <w:style w:type="paragraph" w:customStyle="1" w:styleId="BoxPara">
    <w:name w:val="BoxPara"/>
    <w:aliases w:val="bp"/>
    <w:basedOn w:val="BoxText"/>
    <w:qFormat/>
    <w:rsid w:val="000C1E1F"/>
    <w:pPr>
      <w:tabs>
        <w:tab w:val="right" w:pos="2268"/>
      </w:tabs>
      <w:ind w:left="2552" w:hanging="1418"/>
    </w:pPr>
  </w:style>
  <w:style w:type="paragraph" w:customStyle="1" w:styleId="BoxStep">
    <w:name w:val="BoxStep"/>
    <w:aliases w:val="bs"/>
    <w:basedOn w:val="BoxText"/>
    <w:qFormat/>
    <w:rsid w:val="000C1E1F"/>
    <w:pPr>
      <w:ind w:left="1985" w:hanging="851"/>
    </w:pPr>
  </w:style>
  <w:style w:type="character" w:customStyle="1" w:styleId="CharAmPartNo">
    <w:name w:val="CharAmPartNo"/>
    <w:basedOn w:val="OPCCharBase"/>
    <w:uiPriority w:val="1"/>
    <w:qFormat/>
    <w:rsid w:val="000C1E1F"/>
  </w:style>
  <w:style w:type="character" w:customStyle="1" w:styleId="CharAmPartText">
    <w:name w:val="CharAmPartText"/>
    <w:basedOn w:val="OPCCharBase"/>
    <w:uiPriority w:val="1"/>
    <w:qFormat/>
    <w:rsid w:val="000C1E1F"/>
  </w:style>
  <w:style w:type="character" w:customStyle="1" w:styleId="CharAmSchNo">
    <w:name w:val="CharAmSchNo"/>
    <w:basedOn w:val="OPCCharBase"/>
    <w:uiPriority w:val="1"/>
    <w:qFormat/>
    <w:rsid w:val="000C1E1F"/>
  </w:style>
  <w:style w:type="character" w:customStyle="1" w:styleId="CharAmSchText">
    <w:name w:val="CharAmSchText"/>
    <w:basedOn w:val="OPCCharBase"/>
    <w:uiPriority w:val="1"/>
    <w:qFormat/>
    <w:rsid w:val="000C1E1F"/>
  </w:style>
  <w:style w:type="character" w:customStyle="1" w:styleId="CharBoldItalic">
    <w:name w:val="CharBoldItalic"/>
    <w:basedOn w:val="OPCCharBase"/>
    <w:uiPriority w:val="1"/>
    <w:qFormat/>
    <w:rsid w:val="000C1E1F"/>
    <w:rPr>
      <w:b/>
      <w:i/>
    </w:rPr>
  </w:style>
  <w:style w:type="character" w:customStyle="1" w:styleId="CharChapNo">
    <w:name w:val="CharChapNo"/>
    <w:basedOn w:val="OPCCharBase"/>
    <w:uiPriority w:val="1"/>
    <w:qFormat/>
    <w:rsid w:val="000C1E1F"/>
  </w:style>
  <w:style w:type="character" w:customStyle="1" w:styleId="CharChapText">
    <w:name w:val="CharChapText"/>
    <w:basedOn w:val="OPCCharBase"/>
    <w:uiPriority w:val="1"/>
    <w:qFormat/>
    <w:rsid w:val="000C1E1F"/>
  </w:style>
  <w:style w:type="character" w:customStyle="1" w:styleId="CharDivNo">
    <w:name w:val="CharDivNo"/>
    <w:basedOn w:val="OPCCharBase"/>
    <w:uiPriority w:val="1"/>
    <w:qFormat/>
    <w:rsid w:val="000C1E1F"/>
  </w:style>
  <w:style w:type="character" w:customStyle="1" w:styleId="CharDivText">
    <w:name w:val="CharDivText"/>
    <w:basedOn w:val="OPCCharBase"/>
    <w:uiPriority w:val="1"/>
    <w:qFormat/>
    <w:rsid w:val="000C1E1F"/>
  </w:style>
  <w:style w:type="character" w:customStyle="1" w:styleId="CharItalic">
    <w:name w:val="CharItalic"/>
    <w:basedOn w:val="OPCCharBase"/>
    <w:uiPriority w:val="1"/>
    <w:qFormat/>
    <w:rsid w:val="000C1E1F"/>
    <w:rPr>
      <w:i/>
    </w:rPr>
  </w:style>
  <w:style w:type="character" w:customStyle="1" w:styleId="CharPartNo">
    <w:name w:val="CharPartNo"/>
    <w:basedOn w:val="OPCCharBase"/>
    <w:uiPriority w:val="1"/>
    <w:qFormat/>
    <w:rsid w:val="000C1E1F"/>
  </w:style>
  <w:style w:type="character" w:customStyle="1" w:styleId="CharPartText">
    <w:name w:val="CharPartText"/>
    <w:basedOn w:val="OPCCharBase"/>
    <w:uiPriority w:val="1"/>
    <w:qFormat/>
    <w:rsid w:val="000C1E1F"/>
  </w:style>
  <w:style w:type="character" w:customStyle="1" w:styleId="CharSectno">
    <w:name w:val="CharSectno"/>
    <w:basedOn w:val="OPCCharBase"/>
    <w:uiPriority w:val="1"/>
    <w:qFormat/>
    <w:rsid w:val="000C1E1F"/>
  </w:style>
  <w:style w:type="character" w:customStyle="1" w:styleId="CharSubdNo">
    <w:name w:val="CharSubdNo"/>
    <w:basedOn w:val="OPCCharBase"/>
    <w:uiPriority w:val="1"/>
    <w:qFormat/>
    <w:rsid w:val="000C1E1F"/>
  </w:style>
  <w:style w:type="character" w:customStyle="1" w:styleId="CharSubdText">
    <w:name w:val="CharSubdText"/>
    <w:basedOn w:val="OPCCharBase"/>
    <w:uiPriority w:val="1"/>
    <w:qFormat/>
    <w:rsid w:val="000C1E1F"/>
  </w:style>
  <w:style w:type="paragraph" w:customStyle="1" w:styleId="CTA--">
    <w:name w:val="CTA --"/>
    <w:basedOn w:val="OPCParaBase"/>
    <w:next w:val="Normal"/>
    <w:rsid w:val="000C1E1F"/>
    <w:pPr>
      <w:spacing w:before="60" w:line="240" w:lineRule="atLeast"/>
      <w:ind w:left="142" w:hanging="142"/>
    </w:pPr>
    <w:rPr>
      <w:sz w:val="20"/>
    </w:rPr>
  </w:style>
  <w:style w:type="paragraph" w:customStyle="1" w:styleId="CTA-">
    <w:name w:val="CTA -"/>
    <w:basedOn w:val="OPCParaBase"/>
    <w:rsid w:val="000C1E1F"/>
    <w:pPr>
      <w:spacing w:before="60" w:line="240" w:lineRule="atLeast"/>
      <w:ind w:left="85" w:hanging="85"/>
    </w:pPr>
    <w:rPr>
      <w:sz w:val="20"/>
    </w:rPr>
  </w:style>
  <w:style w:type="paragraph" w:customStyle="1" w:styleId="CTA---">
    <w:name w:val="CTA ---"/>
    <w:basedOn w:val="OPCParaBase"/>
    <w:next w:val="Normal"/>
    <w:rsid w:val="000C1E1F"/>
    <w:pPr>
      <w:spacing w:before="60" w:line="240" w:lineRule="atLeast"/>
      <w:ind w:left="198" w:hanging="198"/>
    </w:pPr>
    <w:rPr>
      <w:sz w:val="20"/>
    </w:rPr>
  </w:style>
  <w:style w:type="paragraph" w:customStyle="1" w:styleId="CTA----">
    <w:name w:val="CTA ----"/>
    <w:basedOn w:val="OPCParaBase"/>
    <w:next w:val="Normal"/>
    <w:rsid w:val="000C1E1F"/>
    <w:pPr>
      <w:spacing w:before="60" w:line="240" w:lineRule="atLeast"/>
      <w:ind w:left="255" w:hanging="255"/>
    </w:pPr>
    <w:rPr>
      <w:sz w:val="20"/>
    </w:rPr>
  </w:style>
  <w:style w:type="paragraph" w:customStyle="1" w:styleId="CTA1a">
    <w:name w:val="CTA 1(a)"/>
    <w:basedOn w:val="OPCParaBase"/>
    <w:rsid w:val="000C1E1F"/>
    <w:pPr>
      <w:tabs>
        <w:tab w:val="right" w:pos="414"/>
      </w:tabs>
      <w:spacing w:before="40" w:line="240" w:lineRule="atLeast"/>
      <w:ind w:left="675" w:hanging="675"/>
    </w:pPr>
    <w:rPr>
      <w:sz w:val="20"/>
    </w:rPr>
  </w:style>
  <w:style w:type="paragraph" w:customStyle="1" w:styleId="CTA1ai">
    <w:name w:val="CTA 1(a)(i)"/>
    <w:basedOn w:val="OPCParaBase"/>
    <w:rsid w:val="000C1E1F"/>
    <w:pPr>
      <w:tabs>
        <w:tab w:val="right" w:pos="1004"/>
      </w:tabs>
      <w:spacing w:before="40" w:line="240" w:lineRule="atLeast"/>
      <w:ind w:left="1253" w:hanging="1253"/>
    </w:pPr>
    <w:rPr>
      <w:sz w:val="20"/>
    </w:rPr>
  </w:style>
  <w:style w:type="paragraph" w:customStyle="1" w:styleId="CTA2a">
    <w:name w:val="CTA 2(a)"/>
    <w:basedOn w:val="OPCParaBase"/>
    <w:rsid w:val="000C1E1F"/>
    <w:pPr>
      <w:tabs>
        <w:tab w:val="right" w:pos="482"/>
      </w:tabs>
      <w:spacing w:before="40" w:line="240" w:lineRule="atLeast"/>
      <w:ind w:left="748" w:hanging="748"/>
    </w:pPr>
    <w:rPr>
      <w:sz w:val="20"/>
    </w:rPr>
  </w:style>
  <w:style w:type="paragraph" w:customStyle="1" w:styleId="CTA2ai">
    <w:name w:val="CTA 2(a)(i)"/>
    <w:basedOn w:val="OPCParaBase"/>
    <w:rsid w:val="000C1E1F"/>
    <w:pPr>
      <w:tabs>
        <w:tab w:val="right" w:pos="1089"/>
      </w:tabs>
      <w:spacing w:before="40" w:line="240" w:lineRule="atLeast"/>
      <w:ind w:left="1327" w:hanging="1327"/>
    </w:pPr>
    <w:rPr>
      <w:sz w:val="20"/>
    </w:rPr>
  </w:style>
  <w:style w:type="paragraph" w:customStyle="1" w:styleId="CTA3a">
    <w:name w:val="CTA 3(a)"/>
    <w:basedOn w:val="OPCParaBase"/>
    <w:rsid w:val="000C1E1F"/>
    <w:pPr>
      <w:tabs>
        <w:tab w:val="right" w:pos="556"/>
      </w:tabs>
      <w:spacing w:before="40" w:line="240" w:lineRule="atLeast"/>
      <w:ind w:left="805" w:hanging="805"/>
    </w:pPr>
    <w:rPr>
      <w:sz w:val="20"/>
    </w:rPr>
  </w:style>
  <w:style w:type="paragraph" w:customStyle="1" w:styleId="CTA3ai">
    <w:name w:val="CTA 3(a)(i)"/>
    <w:basedOn w:val="OPCParaBase"/>
    <w:rsid w:val="000C1E1F"/>
    <w:pPr>
      <w:tabs>
        <w:tab w:val="right" w:pos="1140"/>
      </w:tabs>
      <w:spacing w:before="40" w:line="240" w:lineRule="atLeast"/>
      <w:ind w:left="1361" w:hanging="1361"/>
    </w:pPr>
    <w:rPr>
      <w:sz w:val="20"/>
    </w:rPr>
  </w:style>
  <w:style w:type="paragraph" w:customStyle="1" w:styleId="CTA4a">
    <w:name w:val="CTA 4(a)"/>
    <w:basedOn w:val="OPCParaBase"/>
    <w:rsid w:val="000C1E1F"/>
    <w:pPr>
      <w:tabs>
        <w:tab w:val="right" w:pos="624"/>
      </w:tabs>
      <w:spacing w:before="40" w:line="240" w:lineRule="atLeast"/>
      <w:ind w:left="873" w:hanging="873"/>
    </w:pPr>
    <w:rPr>
      <w:sz w:val="20"/>
    </w:rPr>
  </w:style>
  <w:style w:type="paragraph" w:customStyle="1" w:styleId="CTA4ai">
    <w:name w:val="CTA 4(a)(i)"/>
    <w:basedOn w:val="OPCParaBase"/>
    <w:rsid w:val="000C1E1F"/>
    <w:pPr>
      <w:tabs>
        <w:tab w:val="right" w:pos="1213"/>
      </w:tabs>
      <w:spacing w:before="40" w:line="240" w:lineRule="atLeast"/>
      <w:ind w:left="1452" w:hanging="1452"/>
    </w:pPr>
    <w:rPr>
      <w:sz w:val="20"/>
    </w:rPr>
  </w:style>
  <w:style w:type="paragraph" w:customStyle="1" w:styleId="CTACAPS">
    <w:name w:val="CTA CAPS"/>
    <w:basedOn w:val="OPCParaBase"/>
    <w:rsid w:val="000C1E1F"/>
    <w:pPr>
      <w:spacing w:before="60" w:line="240" w:lineRule="atLeast"/>
    </w:pPr>
    <w:rPr>
      <w:sz w:val="20"/>
    </w:rPr>
  </w:style>
  <w:style w:type="paragraph" w:customStyle="1" w:styleId="CTAright">
    <w:name w:val="CTA right"/>
    <w:basedOn w:val="OPCParaBase"/>
    <w:rsid w:val="000C1E1F"/>
    <w:pPr>
      <w:spacing w:before="60" w:line="240" w:lineRule="auto"/>
      <w:jc w:val="right"/>
    </w:pPr>
    <w:rPr>
      <w:sz w:val="20"/>
    </w:rPr>
  </w:style>
  <w:style w:type="paragraph" w:customStyle="1" w:styleId="subsection">
    <w:name w:val="subsection"/>
    <w:aliases w:val="ss"/>
    <w:basedOn w:val="OPCParaBase"/>
    <w:rsid w:val="000C1E1F"/>
    <w:pPr>
      <w:tabs>
        <w:tab w:val="right" w:pos="1021"/>
      </w:tabs>
      <w:spacing w:before="180" w:line="240" w:lineRule="auto"/>
      <w:ind w:left="1134" w:hanging="1134"/>
    </w:pPr>
  </w:style>
  <w:style w:type="paragraph" w:customStyle="1" w:styleId="Definition">
    <w:name w:val="Definition"/>
    <w:aliases w:val="dd"/>
    <w:basedOn w:val="OPCParaBase"/>
    <w:rsid w:val="000C1E1F"/>
    <w:pPr>
      <w:spacing w:before="180" w:line="240" w:lineRule="auto"/>
      <w:ind w:left="1134"/>
    </w:pPr>
  </w:style>
  <w:style w:type="paragraph" w:customStyle="1" w:styleId="ETAsubitem">
    <w:name w:val="ETA(subitem)"/>
    <w:basedOn w:val="OPCParaBase"/>
    <w:rsid w:val="000C1E1F"/>
    <w:pPr>
      <w:tabs>
        <w:tab w:val="right" w:pos="340"/>
      </w:tabs>
      <w:spacing w:before="60" w:line="240" w:lineRule="auto"/>
      <w:ind w:left="454" w:hanging="454"/>
    </w:pPr>
    <w:rPr>
      <w:sz w:val="20"/>
    </w:rPr>
  </w:style>
  <w:style w:type="paragraph" w:customStyle="1" w:styleId="ETApara">
    <w:name w:val="ETA(para)"/>
    <w:basedOn w:val="OPCParaBase"/>
    <w:rsid w:val="000C1E1F"/>
    <w:pPr>
      <w:tabs>
        <w:tab w:val="right" w:pos="754"/>
      </w:tabs>
      <w:spacing w:before="60" w:line="240" w:lineRule="auto"/>
      <w:ind w:left="828" w:hanging="828"/>
    </w:pPr>
    <w:rPr>
      <w:sz w:val="20"/>
    </w:rPr>
  </w:style>
  <w:style w:type="paragraph" w:customStyle="1" w:styleId="ETAsubpara">
    <w:name w:val="ETA(subpara)"/>
    <w:basedOn w:val="OPCParaBase"/>
    <w:rsid w:val="000C1E1F"/>
    <w:pPr>
      <w:tabs>
        <w:tab w:val="right" w:pos="1083"/>
      </w:tabs>
      <w:spacing w:before="60" w:line="240" w:lineRule="auto"/>
      <w:ind w:left="1191" w:hanging="1191"/>
    </w:pPr>
    <w:rPr>
      <w:sz w:val="20"/>
    </w:rPr>
  </w:style>
  <w:style w:type="paragraph" w:customStyle="1" w:styleId="ETAsub-subpara">
    <w:name w:val="ETA(sub-subpara)"/>
    <w:basedOn w:val="OPCParaBase"/>
    <w:rsid w:val="000C1E1F"/>
    <w:pPr>
      <w:tabs>
        <w:tab w:val="right" w:pos="1412"/>
      </w:tabs>
      <w:spacing w:before="60" w:line="240" w:lineRule="auto"/>
      <w:ind w:left="1525" w:hanging="1525"/>
    </w:pPr>
    <w:rPr>
      <w:sz w:val="20"/>
    </w:rPr>
  </w:style>
  <w:style w:type="paragraph" w:customStyle="1" w:styleId="Formula">
    <w:name w:val="Formula"/>
    <w:basedOn w:val="OPCParaBase"/>
    <w:rsid w:val="000C1E1F"/>
    <w:pPr>
      <w:spacing w:line="240" w:lineRule="auto"/>
      <w:ind w:left="1134"/>
    </w:pPr>
    <w:rPr>
      <w:sz w:val="20"/>
    </w:rPr>
  </w:style>
  <w:style w:type="paragraph" w:styleId="Header">
    <w:name w:val="header"/>
    <w:basedOn w:val="OPCParaBase"/>
    <w:link w:val="HeaderChar"/>
    <w:unhideWhenUsed/>
    <w:rsid w:val="000C1E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1E1F"/>
    <w:rPr>
      <w:rFonts w:eastAsia="Times New Roman" w:cs="Times New Roman"/>
      <w:sz w:val="16"/>
      <w:lang w:eastAsia="en-AU"/>
    </w:rPr>
  </w:style>
  <w:style w:type="paragraph" w:customStyle="1" w:styleId="House">
    <w:name w:val="House"/>
    <w:basedOn w:val="OPCParaBase"/>
    <w:rsid w:val="000C1E1F"/>
    <w:pPr>
      <w:spacing w:line="240" w:lineRule="auto"/>
    </w:pPr>
    <w:rPr>
      <w:sz w:val="28"/>
    </w:rPr>
  </w:style>
  <w:style w:type="paragraph" w:customStyle="1" w:styleId="Item">
    <w:name w:val="Item"/>
    <w:aliases w:val="i"/>
    <w:basedOn w:val="OPCParaBase"/>
    <w:next w:val="ItemHead"/>
    <w:rsid w:val="000C1E1F"/>
    <w:pPr>
      <w:keepLines/>
      <w:spacing w:before="80" w:line="240" w:lineRule="auto"/>
      <w:ind w:left="709"/>
    </w:pPr>
  </w:style>
  <w:style w:type="paragraph" w:customStyle="1" w:styleId="ItemHead">
    <w:name w:val="ItemHead"/>
    <w:aliases w:val="ih"/>
    <w:basedOn w:val="OPCParaBase"/>
    <w:next w:val="Item"/>
    <w:rsid w:val="000C1E1F"/>
    <w:pPr>
      <w:keepLines/>
      <w:spacing w:before="220" w:line="240" w:lineRule="auto"/>
      <w:ind w:left="709" w:hanging="709"/>
    </w:pPr>
    <w:rPr>
      <w:rFonts w:ascii="Arial" w:hAnsi="Arial"/>
      <w:b/>
      <w:kern w:val="28"/>
      <w:sz w:val="24"/>
    </w:rPr>
  </w:style>
  <w:style w:type="paragraph" w:customStyle="1" w:styleId="LongT">
    <w:name w:val="LongT"/>
    <w:basedOn w:val="OPCParaBase"/>
    <w:rsid w:val="000C1E1F"/>
    <w:pPr>
      <w:spacing w:line="240" w:lineRule="auto"/>
    </w:pPr>
    <w:rPr>
      <w:b/>
      <w:sz w:val="32"/>
    </w:rPr>
  </w:style>
  <w:style w:type="paragraph" w:customStyle="1" w:styleId="notedraft">
    <w:name w:val="note(draft)"/>
    <w:aliases w:val="nd"/>
    <w:basedOn w:val="OPCParaBase"/>
    <w:rsid w:val="000C1E1F"/>
    <w:pPr>
      <w:spacing w:before="240" w:line="240" w:lineRule="auto"/>
      <w:ind w:left="284" w:hanging="284"/>
    </w:pPr>
    <w:rPr>
      <w:i/>
      <w:sz w:val="24"/>
    </w:rPr>
  </w:style>
  <w:style w:type="paragraph" w:customStyle="1" w:styleId="notemargin">
    <w:name w:val="note(margin)"/>
    <w:aliases w:val="nm"/>
    <w:basedOn w:val="OPCParaBase"/>
    <w:rsid w:val="000C1E1F"/>
    <w:pPr>
      <w:tabs>
        <w:tab w:val="left" w:pos="709"/>
      </w:tabs>
      <w:spacing w:before="122" w:line="198" w:lineRule="exact"/>
      <w:ind w:left="709" w:hanging="709"/>
    </w:pPr>
    <w:rPr>
      <w:sz w:val="18"/>
    </w:rPr>
  </w:style>
  <w:style w:type="paragraph" w:customStyle="1" w:styleId="notepara">
    <w:name w:val="note(para)"/>
    <w:aliases w:val="na"/>
    <w:basedOn w:val="OPCParaBase"/>
    <w:rsid w:val="000C1E1F"/>
    <w:pPr>
      <w:spacing w:before="40" w:line="198" w:lineRule="exact"/>
      <w:ind w:left="2354" w:hanging="369"/>
    </w:pPr>
    <w:rPr>
      <w:sz w:val="18"/>
    </w:rPr>
  </w:style>
  <w:style w:type="paragraph" w:customStyle="1" w:styleId="noteParlAmend">
    <w:name w:val="note(ParlAmend)"/>
    <w:aliases w:val="npp"/>
    <w:basedOn w:val="OPCParaBase"/>
    <w:next w:val="ParlAmend"/>
    <w:rsid w:val="000C1E1F"/>
    <w:pPr>
      <w:spacing w:line="240" w:lineRule="auto"/>
      <w:jc w:val="right"/>
    </w:pPr>
    <w:rPr>
      <w:rFonts w:ascii="Arial" w:hAnsi="Arial"/>
      <w:b/>
      <w:i/>
    </w:rPr>
  </w:style>
  <w:style w:type="paragraph" w:customStyle="1" w:styleId="Page1">
    <w:name w:val="Page1"/>
    <w:basedOn w:val="OPCParaBase"/>
    <w:rsid w:val="000C1E1F"/>
    <w:pPr>
      <w:spacing w:before="5600" w:line="240" w:lineRule="auto"/>
    </w:pPr>
    <w:rPr>
      <w:b/>
      <w:sz w:val="32"/>
    </w:rPr>
  </w:style>
  <w:style w:type="paragraph" w:customStyle="1" w:styleId="PageBreak">
    <w:name w:val="PageBreak"/>
    <w:aliases w:val="pb"/>
    <w:basedOn w:val="OPCParaBase"/>
    <w:rsid w:val="000C1E1F"/>
    <w:pPr>
      <w:spacing w:line="240" w:lineRule="auto"/>
    </w:pPr>
    <w:rPr>
      <w:sz w:val="10"/>
    </w:rPr>
  </w:style>
  <w:style w:type="paragraph" w:customStyle="1" w:styleId="paragraphsub">
    <w:name w:val="paragraph(sub)"/>
    <w:aliases w:val="aa"/>
    <w:basedOn w:val="OPCParaBase"/>
    <w:rsid w:val="000C1E1F"/>
    <w:pPr>
      <w:tabs>
        <w:tab w:val="right" w:pos="1985"/>
      </w:tabs>
      <w:spacing w:before="40" w:line="240" w:lineRule="auto"/>
      <w:ind w:left="2098" w:hanging="2098"/>
    </w:pPr>
  </w:style>
  <w:style w:type="paragraph" w:customStyle="1" w:styleId="paragraphsub-sub">
    <w:name w:val="paragraph(sub-sub)"/>
    <w:aliases w:val="aaa"/>
    <w:basedOn w:val="OPCParaBase"/>
    <w:rsid w:val="000C1E1F"/>
    <w:pPr>
      <w:tabs>
        <w:tab w:val="right" w:pos="2722"/>
      </w:tabs>
      <w:spacing w:before="40" w:line="240" w:lineRule="auto"/>
      <w:ind w:left="2835" w:hanging="2835"/>
    </w:pPr>
  </w:style>
  <w:style w:type="paragraph" w:customStyle="1" w:styleId="paragraph">
    <w:name w:val="paragraph"/>
    <w:aliases w:val="a"/>
    <w:basedOn w:val="OPCParaBase"/>
    <w:rsid w:val="000C1E1F"/>
    <w:pPr>
      <w:tabs>
        <w:tab w:val="right" w:pos="1531"/>
      </w:tabs>
      <w:spacing w:before="40" w:line="240" w:lineRule="auto"/>
      <w:ind w:left="1644" w:hanging="1644"/>
    </w:pPr>
  </w:style>
  <w:style w:type="paragraph" w:customStyle="1" w:styleId="ParlAmend">
    <w:name w:val="ParlAmend"/>
    <w:aliases w:val="pp"/>
    <w:basedOn w:val="OPCParaBase"/>
    <w:rsid w:val="000C1E1F"/>
    <w:pPr>
      <w:spacing w:before="240" w:line="240" w:lineRule="atLeast"/>
      <w:ind w:hanging="567"/>
    </w:pPr>
    <w:rPr>
      <w:sz w:val="24"/>
    </w:rPr>
  </w:style>
  <w:style w:type="paragraph" w:customStyle="1" w:styleId="Penalty">
    <w:name w:val="Penalty"/>
    <w:basedOn w:val="OPCParaBase"/>
    <w:rsid w:val="000C1E1F"/>
    <w:pPr>
      <w:tabs>
        <w:tab w:val="left" w:pos="2977"/>
      </w:tabs>
      <w:spacing w:before="180" w:line="240" w:lineRule="auto"/>
      <w:ind w:left="1985" w:hanging="851"/>
    </w:pPr>
  </w:style>
  <w:style w:type="paragraph" w:customStyle="1" w:styleId="Portfolio">
    <w:name w:val="Portfolio"/>
    <w:basedOn w:val="OPCParaBase"/>
    <w:rsid w:val="000C1E1F"/>
    <w:pPr>
      <w:spacing w:line="240" w:lineRule="auto"/>
    </w:pPr>
    <w:rPr>
      <w:i/>
      <w:sz w:val="20"/>
    </w:rPr>
  </w:style>
  <w:style w:type="paragraph" w:customStyle="1" w:styleId="Preamble">
    <w:name w:val="Preamble"/>
    <w:basedOn w:val="OPCParaBase"/>
    <w:next w:val="Normal"/>
    <w:rsid w:val="000C1E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1E1F"/>
    <w:pPr>
      <w:spacing w:line="240" w:lineRule="auto"/>
    </w:pPr>
    <w:rPr>
      <w:i/>
      <w:sz w:val="20"/>
    </w:rPr>
  </w:style>
  <w:style w:type="paragraph" w:customStyle="1" w:styleId="Session">
    <w:name w:val="Session"/>
    <w:basedOn w:val="OPCParaBase"/>
    <w:rsid w:val="000C1E1F"/>
    <w:pPr>
      <w:spacing w:line="240" w:lineRule="auto"/>
    </w:pPr>
    <w:rPr>
      <w:sz w:val="28"/>
    </w:rPr>
  </w:style>
  <w:style w:type="paragraph" w:customStyle="1" w:styleId="Sponsor">
    <w:name w:val="Sponsor"/>
    <w:basedOn w:val="OPCParaBase"/>
    <w:rsid w:val="000C1E1F"/>
    <w:pPr>
      <w:spacing w:line="240" w:lineRule="auto"/>
    </w:pPr>
    <w:rPr>
      <w:i/>
    </w:rPr>
  </w:style>
  <w:style w:type="paragraph" w:customStyle="1" w:styleId="Subitem">
    <w:name w:val="Subitem"/>
    <w:aliases w:val="iss"/>
    <w:basedOn w:val="OPCParaBase"/>
    <w:rsid w:val="000C1E1F"/>
    <w:pPr>
      <w:spacing w:before="180" w:line="240" w:lineRule="auto"/>
      <w:ind w:left="709" w:hanging="709"/>
    </w:pPr>
  </w:style>
  <w:style w:type="paragraph" w:customStyle="1" w:styleId="SubitemHead">
    <w:name w:val="SubitemHead"/>
    <w:aliases w:val="issh"/>
    <w:basedOn w:val="OPCParaBase"/>
    <w:rsid w:val="000C1E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1E1F"/>
    <w:pPr>
      <w:spacing w:before="40" w:line="240" w:lineRule="auto"/>
      <w:ind w:left="1134"/>
    </w:pPr>
  </w:style>
  <w:style w:type="paragraph" w:customStyle="1" w:styleId="SubsectionHead">
    <w:name w:val="SubsectionHead"/>
    <w:aliases w:val="ssh"/>
    <w:basedOn w:val="OPCParaBase"/>
    <w:next w:val="subsection"/>
    <w:rsid w:val="000C1E1F"/>
    <w:pPr>
      <w:keepNext/>
      <w:keepLines/>
      <w:spacing w:before="240" w:line="240" w:lineRule="auto"/>
      <w:ind w:left="1134"/>
    </w:pPr>
    <w:rPr>
      <w:i/>
    </w:rPr>
  </w:style>
  <w:style w:type="paragraph" w:customStyle="1" w:styleId="Tablea">
    <w:name w:val="Table(a)"/>
    <w:aliases w:val="ta"/>
    <w:basedOn w:val="OPCParaBase"/>
    <w:rsid w:val="000C1E1F"/>
    <w:pPr>
      <w:spacing w:before="60" w:line="240" w:lineRule="auto"/>
      <w:ind w:left="284" w:hanging="284"/>
    </w:pPr>
    <w:rPr>
      <w:sz w:val="20"/>
    </w:rPr>
  </w:style>
  <w:style w:type="paragraph" w:customStyle="1" w:styleId="TableAA">
    <w:name w:val="Table(AA)"/>
    <w:aliases w:val="taaa"/>
    <w:basedOn w:val="OPCParaBase"/>
    <w:rsid w:val="000C1E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1E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1E1F"/>
    <w:pPr>
      <w:spacing w:before="60" w:line="240" w:lineRule="atLeast"/>
    </w:pPr>
    <w:rPr>
      <w:sz w:val="20"/>
    </w:rPr>
  </w:style>
  <w:style w:type="paragraph" w:customStyle="1" w:styleId="TLPBoxTextnote">
    <w:name w:val="TLPBoxText(note"/>
    <w:aliases w:val="right)"/>
    <w:basedOn w:val="OPCParaBase"/>
    <w:rsid w:val="000C1E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1E1F"/>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0C1E1F"/>
    <w:pPr>
      <w:spacing w:before="122" w:line="198" w:lineRule="exact"/>
      <w:ind w:left="1985" w:hanging="851"/>
      <w:jc w:val="right"/>
    </w:pPr>
    <w:rPr>
      <w:sz w:val="18"/>
    </w:rPr>
  </w:style>
  <w:style w:type="paragraph" w:customStyle="1" w:styleId="TLPTableBullet">
    <w:name w:val="TLPTableBullet"/>
    <w:aliases w:val="ttb"/>
    <w:basedOn w:val="OPCParaBase"/>
    <w:rsid w:val="000C1E1F"/>
    <w:pPr>
      <w:spacing w:line="240" w:lineRule="exact"/>
      <w:ind w:left="284" w:hanging="284"/>
    </w:pPr>
    <w:rPr>
      <w:sz w:val="20"/>
    </w:rPr>
  </w:style>
  <w:style w:type="paragraph" w:styleId="TOC1">
    <w:name w:val="toc 1"/>
    <w:basedOn w:val="OPCParaBase"/>
    <w:next w:val="Normal"/>
    <w:uiPriority w:val="39"/>
    <w:unhideWhenUsed/>
    <w:rsid w:val="000C1E1F"/>
    <w:pPr>
      <w:spacing w:line="240" w:lineRule="auto"/>
    </w:pPr>
    <w:rPr>
      <w:sz w:val="24"/>
    </w:rPr>
  </w:style>
  <w:style w:type="paragraph" w:styleId="TOC2">
    <w:name w:val="toc 2"/>
    <w:basedOn w:val="OPCParaBase"/>
    <w:next w:val="Normal"/>
    <w:uiPriority w:val="39"/>
    <w:unhideWhenUsed/>
    <w:rsid w:val="000C1E1F"/>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0C1E1F"/>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0C1E1F"/>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0C1E1F"/>
    <w:pPr>
      <w:spacing w:line="240" w:lineRule="auto"/>
      <w:ind w:left="958"/>
    </w:pPr>
    <w:rPr>
      <w:sz w:val="24"/>
    </w:rPr>
  </w:style>
  <w:style w:type="paragraph" w:styleId="TOC6">
    <w:name w:val="toc 6"/>
    <w:basedOn w:val="OPCParaBase"/>
    <w:next w:val="Normal"/>
    <w:uiPriority w:val="39"/>
    <w:semiHidden/>
    <w:unhideWhenUsed/>
    <w:rsid w:val="000C1E1F"/>
    <w:pPr>
      <w:spacing w:line="240" w:lineRule="auto"/>
      <w:ind w:left="1202"/>
    </w:pPr>
    <w:rPr>
      <w:sz w:val="24"/>
    </w:rPr>
  </w:style>
  <w:style w:type="paragraph" w:styleId="TOC7">
    <w:name w:val="toc 7"/>
    <w:basedOn w:val="OPCParaBase"/>
    <w:next w:val="Normal"/>
    <w:uiPriority w:val="39"/>
    <w:semiHidden/>
    <w:unhideWhenUsed/>
    <w:rsid w:val="000C1E1F"/>
    <w:pPr>
      <w:spacing w:line="240" w:lineRule="auto"/>
      <w:ind w:left="1440"/>
    </w:pPr>
    <w:rPr>
      <w:sz w:val="24"/>
    </w:rPr>
  </w:style>
  <w:style w:type="paragraph" w:styleId="TOC8">
    <w:name w:val="toc 8"/>
    <w:basedOn w:val="OPCParaBase"/>
    <w:next w:val="Normal"/>
    <w:uiPriority w:val="39"/>
    <w:semiHidden/>
    <w:unhideWhenUsed/>
    <w:rsid w:val="000C1E1F"/>
    <w:pPr>
      <w:spacing w:line="240" w:lineRule="auto"/>
      <w:ind w:left="1678"/>
    </w:pPr>
    <w:rPr>
      <w:sz w:val="24"/>
    </w:rPr>
  </w:style>
  <w:style w:type="paragraph" w:styleId="TOC9">
    <w:name w:val="toc 9"/>
    <w:basedOn w:val="OPCParaBase"/>
    <w:next w:val="Normal"/>
    <w:uiPriority w:val="39"/>
    <w:unhideWhenUsed/>
    <w:rsid w:val="000C1E1F"/>
    <w:pPr>
      <w:spacing w:line="240" w:lineRule="auto"/>
      <w:ind w:left="1922"/>
    </w:pPr>
    <w:rPr>
      <w:sz w:val="24"/>
    </w:rPr>
  </w:style>
  <w:style w:type="paragraph" w:customStyle="1" w:styleId="TofSectsGroupHeading">
    <w:name w:val="TofSects(GroupHeading)"/>
    <w:basedOn w:val="OPCParaBase"/>
    <w:next w:val="TofSectsSection"/>
    <w:rsid w:val="000C1E1F"/>
    <w:pPr>
      <w:keepLines/>
      <w:spacing w:before="240" w:after="120" w:line="240" w:lineRule="auto"/>
      <w:ind w:left="794"/>
    </w:pPr>
    <w:rPr>
      <w:b/>
      <w:kern w:val="28"/>
      <w:sz w:val="20"/>
    </w:rPr>
  </w:style>
  <w:style w:type="paragraph" w:customStyle="1" w:styleId="TofSectsHeading">
    <w:name w:val="TofSects(Heading)"/>
    <w:basedOn w:val="OPCParaBase"/>
    <w:rsid w:val="000C1E1F"/>
    <w:pPr>
      <w:spacing w:before="240" w:after="120" w:line="240" w:lineRule="auto"/>
    </w:pPr>
    <w:rPr>
      <w:b/>
      <w:sz w:val="24"/>
    </w:rPr>
  </w:style>
  <w:style w:type="paragraph" w:customStyle="1" w:styleId="TofSectsSection">
    <w:name w:val="TofSects(Section)"/>
    <w:basedOn w:val="OPCParaBase"/>
    <w:rsid w:val="000C1E1F"/>
    <w:pPr>
      <w:keepLines/>
      <w:spacing w:before="40" w:line="240" w:lineRule="auto"/>
      <w:ind w:left="1588" w:hanging="794"/>
    </w:pPr>
    <w:rPr>
      <w:kern w:val="28"/>
      <w:sz w:val="18"/>
    </w:rPr>
  </w:style>
  <w:style w:type="paragraph" w:customStyle="1" w:styleId="TofSectsSubdiv">
    <w:name w:val="TofSects(Subdiv)"/>
    <w:basedOn w:val="OPCParaBase"/>
    <w:rsid w:val="000C1E1F"/>
    <w:pPr>
      <w:keepLines/>
      <w:spacing w:before="80" w:line="240" w:lineRule="auto"/>
      <w:ind w:left="1588" w:hanging="794"/>
    </w:pPr>
    <w:rPr>
      <w:kern w:val="28"/>
    </w:rPr>
  </w:style>
  <w:style w:type="paragraph" w:customStyle="1" w:styleId="WRStyle">
    <w:name w:val="WR Style"/>
    <w:aliases w:val="WR"/>
    <w:basedOn w:val="OPCParaBase"/>
    <w:rsid w:val="000C1E1F"/>
    <w:pPr>
      <w:spacing w:before="240" w:line="240" w:lineRule="auto"/>
      <w:ind w:left="284" w:hanging="284"/>
    </w:pPr>
    <w:rPr>
      <w:b/>
      <w:i/>
      <w:kern w:val="28"/>
      <w:sz w:val="24"/>
    </w:rPr>
  </w:style>
  <w:style w:type="paragraph" w:customStyle="1" w:styleId="Body">
    <w:name w:val="Body"/>
    <w:aliases w:val="b"/>
    <w:basedOn w:val="OPCParaBase"/>
    <w:rsid w:val="000C1E1F"/>
    <w:pPr>
      <w:spacing w:before="240" w:line="240" w:lineRule="auto"/>
    </w:pPr>
    <w:rPr>
      <w:sz w:val="24"/>
    </w:rPr>
  </w:style>
  <w:style w:type="paragraph" w:customStyle="1" w:styleId="BodyNum">
    <w:name w:val="BodyNum"/>
    <w:aliases w:val="b1"/>
    <w:basedOn w:val="OPCParaBase"/>
    <w:rsid w:val="000C1E1F"/>
    <w:pPr>
      <w:numPr>
        <w:numId w:val="13"/>
      </w:numPr>
      <w:spacing w:before="240" w:line="240" w:lineRule="auto"/>
    </w:pPr>
    <w:rPr>
      <w:sz w:val="24"/>
    </w:rPr>
  </w:style>
  <w:style w:type="paragraph" w:customStyle="1" w:styleId="BodyPara">
    <w:name w:val="BodyPara"/>
    <w:aliases w:val="ba"/>
    <w:basedOn w:val="OPCParaBase"/>
    <w:rsid w:val="000C1E1F"/>
    <w:pPr>
      <w:numPr>
        <w:ilvl w:val="1"/>
        <w:numId w:val="13"/>
      </w:numPr>
      <w:spacing w:before="240" w:line="240" w:lineRule="auto"/>
    </w:pPr>
    <w:rPr>
      <w:sz w:val="24"/>
    </w:rPr>
  </w:style>
  <w:style w:type="paragraph" w:customStyle="1" w:styleId="BodyParaBullet">
    <w:name w:val="BodyParaBullet"/>
    <w:aliases w:val="bpb"/>
    <w:basedOn w:val="OPCParaBase"/>
    <w:rsid w:val="000C1E1F"/>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0C1E1F"/>
    <w:pPr>
      <w:numPr>
        <w:ilvl w:val="3"/>
        <w:numId w:val="13"/>
      </w:numPr>
      <w:spacing w:before="240" w:line="240" w:lineRule="auto"/>
    </w:pPr>
    <w:rPr>
      <w:sz w:val="24"/>
    </w:rPr>
  </w:style>
  <w:style w:type="numbering" w:customStyle="1" w:styleId="OPCBodyList">
    <w:name w:val="OPCBodyList"/>
    <w:uiPriority w:val="99"/>
    <w:rsid w:val="000C1E1F"/>
    <w:pPr>
      <w:numPr>
        <w:numId w:val="13"/>
      </w:numPr>
    </w:pPr>
  </w:style>
  <w:style w:type="paragraph" w:customStyle="1" w:styleId="Head1">
    <w:name w:val="Head 1"/>
    <w:aliases w:val="1"/>
    <w:basedOn w:val="OPCParaBase"/>
    <w:next w:val="BodyNum"/>
    <w:rsid w:val="000C1E1F"/>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0C1E1F"/>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0C1E1F"/>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0C1E1F"/>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0C1E1F"/>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0C1E1F"/>
    <w:pPr>
      <w:spacing w:before="122" w:line="198" w:lineRule="exact"/>
      <w:ind w:left="2353" w:hanging="709"/>
    </w:pPr>
    <w:rPr>
      <w:sz w:val="18"/>
    </w:rPr>
  </w:style>
  <w:style w:type="paragraph" w:styleId="Footer">
    <w:name w:val="footer"/>
    <w:link w:val="FooterChar"/>
    <w:rsid w:val="000C1E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1E1F"/>
    <w:rPr>
      <w:rFonts w:eastAsia="Times New Roman" w:cs="Times New Roman"/>
      <w:sz w:val="22"/>
      <w:szCs w:val="24"/>
      <w:lang w:eastAsia="en-AU"/>
    </w:rPr>
  </w:style>
  <w:style w:type="character" w:styleId="PageNumber">
    <w:name w:val="page number"/>
    <w:basedOn w:val="DefaultParagraphFont"/>
    <w:rsid w:val="000C1E1F"/>
  </w:style>
  <w:style w:type="paragraph" w:styleId="BalloonText">
    <w:name w:val="Balloon Text"/>
    <w:basedOn w:val="Normal"/>
    <w:link w:val="BalloonTextChar"/>
    <w:uiPriority w:val="99"/>
    <w:semiHidden/>
    <w:unhideWhenUsed/>
    <w:rsid w:val="000C1E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E1F"/>
    <w:rPr>
      <w:rFonts w:ascii="Tahoma" w:hAnsi="Tahoma" w:cs="Tahoma"/>
      <w:sz w:val="16"/>
      <w:szCs w:val="16"/>
    </w:rPr>
  </w:style>
  <w:style w:type="paragraph" w:customStyle="1" w:styleId="MessShortTitle">
    <w:name w:val="MessShortTitle"/>
    <w:basedOn w:val="Head2"/>
    <w:rsid w:val="000C1E1F"/>
  </w:style>
  <w:style w:type="paragraph" w:customStyle="1" w:styleId="notetext">
    <w:name w:val="note(text)"/>
    <w:aliases w:val="n"/>
    <w:basedOn w:val="OPCParaBase"/>
    <w:rsid w:val="000C1E1F"/>
    <w:pPr>
      <w:spacing w:before="122" w:line="240" w:lineRule="auto"/>
      <w:ind w:left="1985" w:hanging="851"/>
    </w:pPr>
    <w:rPr>
      <w:sz w:val="18"/>
    </w:rPr>
  </w:style>
  <w:style w:type="paragraph" w:customStyle="1" w:styleId="FreeForm">
    <w:name w:val="FreeForm"/>
    <w:rsid w:val="000C1E1F"/>
    <w:rPr>
      <w:rFonts w:ascii="Arial" w:hAnsi="Arial"/>
      <w:sz w:val="22"/>
    </w:rPr>
  </w:style>
  <w:style w:type="paragraph" w:customStyle="1" w:styleId="SOTextNote">
    <w:name w:val="SO TextNote"/>
    <w:aliases w:val="sont"/>
    <w:basedOn w:val="Normal"/>
    <w:qFormat/>
    <w:rsid w:val="000C1E1F"/>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0C1E1F"/>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0C1E1F"/>
    <w:rPr>
      <w:sz w:val="22"/>
    </w:rPr>
  </w:style>
  <w:style w:type="paragraph" w:customStyle="1" w:styleId="SOHeadItalic">
    <w:name w:val="SO HeadItalic"/>
    <w:aliases w:val="sohi"/>
    <w:basedOn w:val="Normal"/>
    <w:next w:val="Normal"/>
    <w:link w:val="SOHeadItalicChar"/>
    <w:qFormat/>
    <w:rsid w:val="000C1E1F"/>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0C1E1F"/>
    <w:rPr>
      <w:i/>
      <w:sz w:val="22"/>
    </w:rPr>
  </w:style>
  <w:style w:type="paragraph" w:customStyle="1" w:styleId="SOHeadBold">
    <w:name w:val="SO HeadBold"/>
    <w:aliases w:val="sohb"/>
    <w:basedOn w:val="Normal"/>
    <w:next w:val="Normal"/>
    <w:link w:val="SOHeadBoldChar"/>
    <w:qFormat/>
    <w:rsid w:val="000C1E1F"/>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0C1E1F"/>
    <w:rPr>
      <w:b/>
      <w:sz w:val="22"/>
    </w:rPr>
  </w:style>
  <w:style w:type="paragraph" w:customStyle="1" w:styleId="SOBulletNote">
    <w:name w:val="SO BulletNote"/>
    <w:aliases w:val="sonb"/>
    <w:basedOn w:val="SOTextNote"/>
    <w:link w:val="SOBulletNoteChar"/>
    <w:qFormat/>
    <w:rsid w:val="000C1E1F"/>
    <w:pPr>
      <w:tabs>
        <w:tab w:val="left" w:pos="1560"/>
      </w:tabs>
      <w:ind w:left="2268" w:hanging="1134"/>
    </w:pPr>
  </w:style>
  <w:style w:type="character" w:customStyle="1" w:styleId="SOBulletNoteChar">
    <w:name w:val="SO BulletNote Char"/>
    <w:aliases w:val="sonb Char"/>
    <w:basedOn w:val="DefaultParagraphFont"/>
    <w:link w:val="SOBulletNote"/>
    <w:rsid w:val="000C1E1F"/>
    <w:rPr>
      <w:sz w:val="18"/>
    </w:rPr>
  </w:style>
  <w:style w:type="paragraph" w:customStyle="1" w:styleId="SOBullet">
    <w:name w:val="SO Bullet"/>
    <w:aliases w:val="sotb"/>
    <w:basedOn w:val="Normal"/>
    <w:link w:val="SOBulletChar"/>
    <w:qFormat/>
    <w:rsid w:val="000C1E1F"/>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0C1E1F"/>
    <w:rPr>
      <w:sz w:val="22"/>
    </w:rPr>
  </w:style>
  <w:style w:type="paragraph" w:customStyle="1" w:styleId="TableHeading">
    <w:name w:val="TableHeading"/>
    <w:aliases w:val="th"/>
    <w:basedOn w:val="OPCParaBase"/>
    <w:next w:val="Tabletext"/>
    <w:rsid w:val="000C1E1F"/>
    <w:pPr>
      <w:keepNext/>
      <w:spacing w:before="60" w:line="240" w:lineRule="atLeast"/>
    </w:pPr>
    <w:rPr>
      <w:b/>
      <w:sz w:val="20"/>
    </w:rPr>
  </w:style>
  <w:style w:type="paragraph" w:customStyle="1" w:styleId="SubPartCASA">
    <w:name w:val="SubPart(CASA)"/>
    <w:aliases w:val="csp"/>
    <w:basedOn w:val="OPCParaBase"/>
    <w:next w:val="ActHead3"/>
    <w:rsid w:val="000C1E1F"/>
    <w:pPr>
      <w:keepNext/>
      <w:keepLines/>
      <w:spacing w:before="280"/>
      <w:ind w:left="1134" w:hanging="1134"/>
      <w:outlineLvl w:val="1"/>
    </w:pPr>
    <w:rPr>
      <w:b/>
      <w:kern w:val="28"/>
      <w:sz w:val="32"/>
    </w:rPr>
  </w:style>
  <w:style w:type="paragraph" w:customStyle="1" w:styleId="SundryBoxBullet">
    <w:name w:val="SundryBoxBullet"/>
    <w:aliases w:val="sbb"/>
    <w:basedOn w:val="Normal"/>
    <w:rsid w:val="000C1E1F"/>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0C1E1F"/>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 w:type="character" w:customStyle="1" w:styleId="Heading1Char">
    <w:name w:val="Heading 1 Char"/>
    <w:basedOn w:val="DefaultParagraphFont"/>
    <w:link w:val="Heading1"/>
    <w:uiPriority w:val="9"/>
    <w:rsid w:val="009C0187"/>
    <w:rPr>
      <w:rFonts w:ascii="Cambria" w:eastAsia="Times New Roman" w:hAnsi="Cambria" w:cs="Times New Roman"/>
      <w:bCs/>
      <w:caps/>
      <w:kern w:val="32"/>
      <w:sz w:val="32"/>
      <w:szCs w:val="32"/>
    </w:rPr>
  </w:style>
  <w:style w:type="paragraph" w:styleId="ListParagraph">
    <w:name w:val="List Paragraph"/>
    <w:basedOn w:val="Normal"/>
    <w:uiPriority w:val="34"/>
    <w:qFormat/>
    <w:rsid w:val="009C0187"/>
    <w:pPr>
      <w:spacing w:after="200" w:line="276" w:lineRule="auto"/>
      <w:ind w:left="720"/>
      <w:contextualSpacing/>
    </w:pPr>
    <w:rPr>
      <w:rFonts w:asciiTheme="minorHAnsi" w:hAnsiTheme="minorHAnsi"/>
      <w:szCs w:val="22"/>
    </w:rPr>
  </w:style>
  <w:style w:type="character" w:styleId="Hyperlink">
    <w:name w:val="Hyperlink"/>
    <w:basedOn w:val="DefaultParagraphFont"/>
    <w:uiPriority w:val="99"/>
    <w:unhideWhenUsed/>
    <w:rsid w:val="009C0187"/>
    <w:rPr>
      <w:color w:val="0000FF" w:themeColor="hyperlink"/>
      <w:u w:val="single"/>
    </w:rPr>
  </w:style>
  <w:style w:type="paragraph" w:customStyle="1" w:styleId="Default">
    <w:name w:val="Default"/>
    <w:rsid w:val="009C0187"/>
    <w:pPr>
      <w:autoSpaceDE w:val="0"/>
      <w:autoSpaceDN w:val="0"/>
      <w:adjustRightInd w:val="0"/>
    </w:pPr>
    <w:rPr>
      <w:rFonts w:cs="Times New Roman"/>
      <w:color w:val="000000"/>
      <w:sz w:val="24"/>
      <w:szCs w:val="24"/>
    </w:rPr>
  </w:style>
  <w:style w:type="paragraph" w:customStyle="1" w:styleId="body0">
    <w:name w:val="body"/>
    <w:basedOn w:val="Normal"/>
    <w:rsid w:val="00DC6A9C"/>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610491"/>
    <w:rPr>
      <w:sz w:val="16"/>
      <w:szCs w:val="16"/>
    </w:rPr>
  </w:style>
  <w:style w:type="paragraph" w:styleId="CommentText">
    <w:name w:val="annotation text"/>
    <w:basedOn w:val="Normal"/>
    <w:link w:val="CommentTextChar"/>
    <w:uiPriority w:val="99"/>
    <w:semiHidden/>
    <w:unhideWhenUsed/>
    <w:rsid w:val="00610491"/>
    <w:pPr>
      <w:spacing w:line="240" w:lineRule="auto"/>
    </w:pPr>
    <w:rPr>
      <w:sz w:val="20"/>
    </w:rPr>
  </w:style>
  <w:style w:type="character" w:customStyle="1" w:styleId="CommentTextChar">
    <w:name w:val="Comment Text Char"/>
    <w:basedOn w:val="DefaultParagraphFont"/>
    <w:link w:val="CommentText"/>
    <w:uiPriority w:val="99"/>
    <w:semiHidden/>
    <w:rsid w:val="00610491"/>
  </w:style>
  <w:style w:type="paragraph" w:styleId="CommentSubject">
    <w:name w:val="annotation subject"/>
    <w:basedOn w:val="CommentText"/>
    <w:next w:val="CommentText"/>
    <w:link w:val="CommentSubjectChar"/>
    <w:uiPriority w:val="99"/>
    <w:semiHidden/>
    <w:unhideWhenUsed/>
    <w:rsid w:val="00610491"/>
    <w:rPr>
      <w:b/>
      <w:bCs/>
    </w:rPr>
  </w:style>
  <w:style w:type="character" w:customStyle="1" w:styleId="CommentSubjectChar">
    <w:name w:val="Comment Subject Char"/>
    <w:basedOn w:val="CommentTextChar"/>
    <w:link w:val="CommentSubject"/>
    <w:uiPriority w:val="99"/>
    <w:semiHidden/>
    <w:rsid w:val="00610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36391">
      <w:bodyDiv w:val="1"/>
      <w:marLeft w:val="0"/>
      <w:marRight w:val="0"/>
      <w:marTop w:val="0"/>
      <w:marBottom w:val="0"/>
      <w:divBdr>
        <w:top w:val="none" w:sz="0" w:space="0" w:color="auto"/>
        <w:left w:val="none" w:sz="0" w:space="0" w:color="auto"/>
        <w:bottom w:val="none" w:sz="0" w:space="0" w:color="auto"/>
        <w:right w:val="none" w:sz="0" w:space="0" w:color="auto"/>
      </w:divBdr>
    </w:div>
    <w:div w:id="1324620255">
      <w:bodyDiv w:val="1"/>
      <w:marLeft w:val="0"/>
      <w:marRight w:val="0"/>
      <w:marTop w:val="0"/>
      <w:marBottom w:val="0"/>
      <w:divBdr>
        <w:top w:val="none" w:sz="0" w:space="0" w:color="auto"/>
        <w:left w:val="none" w:sz="0" w:space="0" w:color="auto"/>
        <w:bottom w:val="none" w:sz="0" w:space="0" w:color="auto"/>
        <w:right w:val="none" w:sz="0" w:space="0" w:color="auto"/>
      </w:divBdr>
    </w:div>
    <w:div w:id="1394619569">
      <w:bodyDiv w:val="1"/>
      <w:marLeft w:val="0"/>
      <w:marRight w:val="0"/>
      <w:marTop w:val="0"/>
      <w:marBottom w:val="0"/>
      <w:divBdr>
        <w:top w:val="none" w:sz="0" w:space="0" w:color="auto"/>
        <w:left w:val="none" w:sz="0" w:space="0" w:color="auto"/>
        <w:bottom w:val="none" w:sz="0" w:space="0" w:color="auto"/>
        <w:right w:val="none" w:sz="0" w:space="0" w:color="auto"/>
      </w:divBdr>
    </w:div>
    <w:div w:id="163849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95E2C9BE3B1A438CBEC29F572712C4" ma:contentTypeVersion="" ma:contentTypeDescription="PDMS Document Site Content Type" ma:contentTypeScope="" ma:versionID="274f3ec047ac8045eff5d9c85beff4dc">
  <xsd:schema xmlns:xsd="http://www.w3.org/2001/XMLSchema" xmlns:xs="http://www.w3.org/2001/XMLSchema" xmlns:p="http://schemas.microsoft.com/office/2006/metadata/properties" xmlns:ns2="CAF74ECF-E915-4538-BE7C-3315142F07F9" targetNamespace="http://schemas.microsoft.com/office/2006/metadata/properties" ma:root="true" ma:fieldsID="ab0fee38913a9017176cc4c18002ce6e" ns2:_="">
    <xsd:import namespace="CAF74ECF-E915-4538-BE7C-3315142F07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4ECF-E915-4538-BE7C-3315142F07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AF74ECF-E915-4538-BE7C-3315142F07F9" xsi:nil="true"/>
  </documentManagement>
</p:properties>
</file>

<file path=customXml/itemProps1.xml><?xml version="1.0" encoding="utf-8"?>
<ds:datastoreItem xmlns:ds="http://schemas.openxmlformats.org/officeDocument/2006/customXml" ds:itemID="{AA669668-3190-469C-85CA-D6DD84263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4ECF-E915-4538-BE7C-3315142F0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5B807-85E7-4CC4-B178-00CA44A4B63B}">
  <ds:schemaRefs>
    <ds:schemaRef ds:uri="http://schemas.microsoft.com/sharepoint/v3/contenttype/forms"/>
  </ds:schemaRefs>
</ds:datastoreItem>
</file>

<file path=customXml/itemProps3.xml><?xml version="1.0" encoding="utf-8"?>
<ds:datastoreItem xmlns:ds="http://schemas.openxmlformats.org/officeDocument/2006/customXml" ds:itemID="{2FB23605-1AA8-4DFB-B7BE-1C32449AB618}">
  <ds:schemaRefs>
    <ds:schemaRef ds:uri="CAF74ECF-E915-4538-BE7C-3315142F07F9"/>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3035</Words>
  <Characters>17304</Characters>
  <Application>Microsoft Office Word</Application>
  <DocSecurity>0</DocSecurity>
  <PresentationFormat/>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2023-10-23T01:41:00Z</cp:lastPrinted>
  <dcterms:created xsi:type="dcterms:W3CDTF">2023-12-05T08:41:00Z</dcterms:created>
  <dcterms:modified xsi:type="dcterms:W3CDTF">2024-03-08T04:18:00Z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 Sensitive</vt:lpwstr>
  </property>
  <property fmtid="{D5CDD505-2E9C-101B-9397-08002B2CF9AE}" pid="3" name="DLM">
    <vt:lpwstr>Legal Privilege</vt:lpwstr>
  </property>
  <property fmtid="{D5CDD505-2E9C-101B-9397-08002B2CF9AE}" pid="4" name="ShortT">
    <vt:lpwstr/>
  </property>
  <property fmtid="{D5CDD505-2E9C-101B-9397-08002B2CF9AE}" pid="5" name="DoNotAsk">
    <vt:lpwstr>0</vt:lpwstr>
  </property>
  <property fmtid="{D5CDD505-2E9C-101B-9397-08002B2CF9AE}" pid="6" name="ChangedTitle">
    <vt:lpwstr/>
  </property>
  <property fmtid="{D5CDD505-2E9C-101B-9397-08002B2CF9AE}" pid="7" name="ContentTypeId">
    <vt:lpwstr>0x010100266966F133664895A6EE3632470D45F500FA95E2C9BE3B1A438CBEC29F572712C4</vt:lpwstr>
  </property>
</Properties>
</file>