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EC0326" w:rsidRDefault="00A31D73" w:rsidP="00850F56">
      <w:pPr>
        <w:spacing w:after="600"/>
        <w:rPr>
          <w:sz w:val="28"/>
        </w:rPr>
      </w:pPr>
      <w:r w:rsidRPr="00EC0326">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08F989E1" w:rsidR="00243EC0" w:rsidRPr="00EC0326" w:rsidRDefault="00447DB4" w:rsidP="00E84F46">
      <w:pPr>
        <w:pStyle w:val="LI-Title"/>
        <w:pBdr>
          <w:top w:val="none" w:sz="0" w:space="0" w:color="auto"/>
        </w:pBdr>
      </w:pPr>
      <w:r w:rsidRPr="00EC0326">
        <w:t>A</w:t>
      </w:r>
      <w:r w:rsidR="00327DDF" w:rsidRPr="00EC0326">
        <w:t xml:space="preserve">SIC </w:t>
      </w:r>
      <w:r w:rsidR="00A03A8A" w:rsidRPr="00EC0326">
        <w:t>Derivative Transaction Rules (Reporting) 2024</w:t>
      </w:r>
      <w:r w:rsidR="00044596" w:rsidRPr="00EC0326">
        <w:t xml:space="preserve"> </w:t>
      </w:r>
      <w:r w:rsidR="008E290E" w:rsidRPr="00EC0326">
        <w:t>Amendment</w:t>
      </w:r>
      <w:r w:rsidR="00DA41D5" w:rsidRPr="00EC0326">
        <w:t xml:space="preserve"> </w:t>
      </w:r>
      <w:r w:rsidR="00C11452" w:rsidRPr="00EC0326">
        <w:t xml:space="preserve">Instrument </w:t>
      </w:r>
      <w:r w:rsidR="00044596" w:rsidRPr="00EC0326">
        <w:t>2024/</w:t>
      </w:r>
      <w:r w:rsidR="003370C2" w:rsidRPr="00EC0326">
        <w:t>1</w:t>
      </w:r>
    </w:p>
    <w:p w14:paraId="697340CA" w14:textId="3B3C6DED" w:rsidR="005E142B" w:rsidRPr="00FE3E0A" w:rsidRDefault="005E142B" w:rsidP="005E142B">
      <w:pPr>
        <w:pStyle w:val="LI-Fronttext"/>
        <w:spacing w:after="960"/>
      </w:pPr>
      <w:r w:rsidRPr="00FE3E0A">
        <w:t xml:space="preserve">made under </w:t>
      </w:r>
      <w:r w:rsidR="00C83E38" w:rsidRPr="00520CEC">
        <w:rPr>
          <w:szCs w:val="24"/>
        </w:rPr>
        <w:t xml:space="preserve">section 901M of the </w:t>
      </w:r>
      <w:r w:rsidR="00C83E38" w:rsidRPr="00520CEC">
        <w:rPr>
          <w:i/>
          <w:szCs w:val="24"/>
        </w:rPr>
        <w:t>Corporations Act 2001</w:t>
      </w:r>
    </w:p>
    <w:p w14:paraId="3F9B6C9E" w14:textId="77777777" w:rsidR="00C83E38" w:rsidRDefault="005E142B" w:rsidP="005E142B">
      <w:pPr>
        <w:pStyle w:val="LI-Fronttext"/>
        <w:ind w:left="3260" w:hanging="3260"/>
        <w:rPr>
          <w:b/>
          <w:sz w:val="32"/>
          <w:szCs w:val="32"/>
        </w:rPr>
      </w:pPr>
      <w:r w:rsidRPr="002F20EC">
        <w:rPr>
          <w:b/>
          <w:sz w:val="32"/>
          <w:szCs w:val="32"/>
        </w:rPr>
        <w:t>Compilation No. </w:t>
      </w:r>
      <w:r w:rsidR="00C83E38">
        <w:rPr>
          <w:b/>
          <w:sz w:val="32"/>
          <w:szCs w:val="32"/>
        </w:rPr>
        <w:t>1</w:t>
      </w:r>
    </w:p>
    <w:p w14:paraId="681FEC54" w14:textId="77777777" w:rsidR="00C83E38" w:rsidRDefault="005E142B" w:rsidP="005E142B">
      <w:pPr>
        <w:pStyle w:val="LI-Fronttext"/>
        <w:ind w:left="3260" w:hanging="3260"/>
      </w:pPr>
      <w:r w:rsidRPr="002F20EC">
        <w:rPr>
          <w:b/>
        </w:rPr>
        <w:t>Compilation date:</w:t>
      </w:r>
      <w:r w:rsidRPr="002F20EC">
        <w:tab/>
      </w:r>
      <w:r w:rsidR="00C83E38" w:rsidRPr="00C83E38">
        <w:rPr>
          <w:b/>
          <w:bCs/>
        </w:rPr>
        <w:t>21/10/2024</w:t>
      </w:r>
    </w:p>
    <w:p w14:paraId="0B51A222" w14:textId="16620EB4" w:rsidR="00737E98" w:rsidRDefault="005E142B" w:rsidP="005E142B">
      <w:pPr>
        <w:pStyle w:val="LI-Fronttext"/>
        <w:ind w:left="3260" w:hanging="3260"/>
        <w:rPr>
          <w:b/>
          <w:bCs/>
        </w:rPr>
      </w:pPr>
      <w:r w:rsidRPr="002F20EC">
        <w:rPr>
          <w:b/>
        </w:rPr>
        <w:t>Includes amendments up to:</w:t>
      </w:r>
      <w:r w:rsidRPr="002F20EC">
        <w:tab/>
      </w:r>
      <w:r w:rsidR="00E136D8" w:rsidRPr="00E136D8">
        <w:rPr>
          <w:b/>
          <w:bCs/>
        </w:rPr>
        <w:t>ASIC Derivative Transaction Rules (Reporting and Clearing) Amendment Instrument 2024/</w:t>
      </w:r>
      <w:proofErr w:type="gramStart"/>
      <w:r w:rsidR="00E136D8" w:rsidRPr="00E136D8">
        <w:rPr>
          <w:b/>
          <w:bCs/>
        </w:rPr>
        <w:t>416  [</w:t>
      </w:r>
      <w:proofErr w:type="gramEnd"/>
      <w:r w:rsidR="00E136D8" w:rsidRPr="00E136D8">
        <w:rPr>
          <w:b/>
          <w:bCs/>
        </w:rPr>
        <w:t>F2024L01032]</w:t>
      </w:r>
    </w:p>
    <w:p w14:paraId="4ADABEAC" w14:textId="77777777" w:rsidR="00737E98" w:rsidRDefault="00737E98">
      <w:pPr>
        <w:spacing w:line="240" w:lineRule="auto"/>
        <w:rPr>
          <w:rFonts w:eastAsia="Times New Roman"/>
          <w:b/>
          <w:bCs/>
          <w:lang w:eastAsia="en-AU"/>
        </w:rPr>
      </w:pPr>
      <w:r>
        <w:rPr>
          <w:b/>
          <w:bCs/>
        </w:rPr>
        <w:br w:type="page"/>
      </w:r>
    </w:p>
    <w:p w14:paraId="2E21E7AC" w14:textId="77777777" w:rsidR="00D70959" w:rsidRPr="00124396" w:rsidRDefault="00D70959" w:rsidP="00D70959">
      <w:pPr>
        <w:pStyle w:val="LI-Fronttextheading1"/>
        <w:outlineLvl w:val="9"/>
      </w:pPr>
      <w:r w:rsidRPr="00124396">
        <w:lastRenderedPageBreak/>
        <w:t>About this compilation</w:t>
      </w:r>
    </w:p>
    <w:p w14:paraId="65C1852D" w14:textId="77777777" w:rsidR="00D70959" w:rsidRPr="008D6E8D" w:rsidRDefault="00D70959" w:rsidP="00D70959">
      <w:pPr>
        <w:pStyle w:val="LI-Fronttextheading2"/>
        <w:outlineLvl w:val="9"/>
      </w:pPr>
      <w:r w:rsidRPr="008D6E8D">
        <w:t xml:space="preserve">This </w:t>
      </w:r>
      <w:r w:rsidRPr="002E0D2E">
        <w:t>compilation</w:t>
      </w:r>
    </w:p>
    <w:p w14:paraId="4C1F0B6E" w14:textId="27476869" w:rsidR="00D70959" w:rsidRPr="00042EA7" w:rsidRDefault="00D70959" w:rsidP="00D70959">
      <w:pPr>
        <w:pStyle w:val="LI-Fronttext"/>
      </w:pPr>
      <w:r w:rsidRPr="00042EA7">
        <w:t>This is a compilation of the</w:t>
      </w:r>
      <w:r>
        <w:t xml:space="preserve"> </w:t>
      </w:r>
      <w:r w:rsidRPr="00D70959">
        <w:rPr>
          <w:i/>
          <w:iCs/>
        </w:rPr>
        <w:t>ASIC Derivative Transaction Rules (Reporting) 2024 Amendment Instrument 2024/1</w:t>
      </w:r>
      <w:r w:rsidRPr="00E71C9C">
        <w:rPr>
          <w:i/>
          <w:iCs/>
        </w:rPr>
        <w:t xml:space="preserve"> </w:t>
      </w:r>
      <w:r w:rsidRPr="00042EA7">
        <w:t xml:space="preserve">that shows the text of the law as amended and in force on </w:t>
      </w:r>
      <w:r w:rsidR="001E2C4B">
        <w:t>21/10/2024</w:t>
      </w:r>
      <w:r w:rsidRPr="00042EA7">
        <w:t xml:space="preserve"> (the </w:t>
      </w:r>
      <w:r w:rsidRPr="00E71C9C">
        <w:rPr>
          <w:b/>
          <w:i/>
          <w:iCs/>
        </w:rPr>
        <w:t>compilation date</w:t>
      </w:r>
      <w:r w:rsidRPr="00E71C9C">
        <w:t>).</w:t>
      </w:r>
    </w:p>
    <w:p w14:paraId="5E064D02" w14:textId="77777777" w:rsidR="00D70959" w:rsidRPr="00042EA7" w:rsidRDefault="00D70959" w:rsidP="00D70959">
      <w:pPr>
        <w:pStyle w:val="LI-Fronttext"/>
      </w:pPr>
      <w:r w:rsidRPr="00042EA7">
        <w:t xml:space="preserve">The notes at the end of this compilation (the </w:t>
      </w:r>
      <w:r w:rsidRPr="00D74BE7">
        <w:rPr>
          <w:b/>
          <w:bCs/>
          <w:i/>
        </w:rPr>
        <w:t>endnotes</w:t>
      </w:r>
      <w:r w:rsidRPr="00042EA7">
        <w:t>) include information about amending laws and the amendment history of provisions of the compiled law.</w:t>
      </w:r>
    </w:p>
    <w:p w14:paraId="32C51B98" w14:textId="77777777" w:rsidR="00D70959" w:rsidRPr="002E0D2E" w:rsidRDefault="00D70959" w:rsidP="00D70959">
      <w:pPr>
        <w:pStyle w:val="LI-Fronttextheading2"/>
        <w:outlineLvl w:val="9"/>
      </w:pPr>
      <w:proofErr w:type="spellStart"/>
      <w:r w:rsidRPr="008D6E8D">
        <w:t>Uncommenced</w:t>
      </w:r>
      <w:proofErr w:type="spellEnd"/>
      <w:r w:rsidRPr="008D6E8D">
        <w:t xml:space="preserve"> amendments</w:t>
      </w:r>
    </w:p>
    <w:p w14:paraId="4EC07634" w14:textId="77777777" w:rsidR="00D70959" w:rsidRPr="00042EA7" w:rsidRDefault="00D70959" w:rsidP="00D70959">
      <w:pPr>
        <w:pStyle w:val="LI-Fronttext"/>
      </w:pPr>
      <w:r w:rsidRPr="00042EA7">
        <w:t xml:space="preserve">The effect of </w:t>
      </w:r>
      <w:proofErr w:type="spellStart"/>
      <w:r w:rsidRPr="00042EA7">
        <w:t>uncommenced</w:t>
      </w:r>
      <w:proofErr w:type="spellEnd"/>
      <w:r w:rsidRPr="00042EA7">
        <w:t xml:space="preserve"> amendments is not shown in the text of the compiled law. Any </w:t>
      </w:r>
      <w:proofErr w:type="spellStart"/>
      <w:r w:rsidRPr="00042EA7">
        <w:t>uncommenced</w:t>
      </w:r>
      <w:proofErr w:type="spellEnd"/>
      <w:r w:rsidRPr="00042EA7">
        <w:t xml:space="preserve"> amendments affecting the law are accessible on </w:t>
      </w:r>
      <w:r>
        <w:t>the Register</w:t>
      </w:r>
      <w:r w:rsidRPr="00042EA7">
        <w:t xml:space="preserve"> (www.</w:t>
      </w:r>
      <w:r>
        <w:t>legislation</w:t>
      </w:r>
      <w:r w:rsidRPr="00042EA7">
        <w:t xml:space="preserve">.gov.au). The details of amendments made up to, but not commenced at, the compilation date </w:t>
      </w:r>
      <w:proofErr w:type="gramStart"/>
      <w:r w:rsidRPr="00042EA7">
        <w:t>are</w:t>
      </w:r>
      <w:proofErr w:type="gramEnd"/>
      <w:r w:rsidRPr="00042EA7">
        <w:t xml:space="preserve"> underlined in the endnotes. For more information on any </w:t>
      </w:r>
      <w:proofErr w:type="spellStart"/>
      <w:r w:rsidRPr="00042EA7">
        <w:t>uncommenced</w:t>
      </w:r>
      <w:proofErr w:type="spellEnd"/>
      <w:r w:rsidRPr="00042EA7">
        <w:t xml:space="preserve"> amendments, see the </w:t>
      </w:r>
      <w:r>
        <w:t>Register</w:t>
      </w:r>
      <w:r w:rsidRPr="00042EA7">
        <w:t xml:space="preserve"> for the compiled law.</w:t>
      </w:r>
    </w:p>
    <w:p w14:paraId="48837684" w14:textId="77777777" w:rsidR="00D70959" w:rsidRPr="008B4058" w:rsidRDefault="00D70959" w:rsidP="00D70959">
      <w:pPr>
        <w:pStyle w:val="LI-Fronttextheading2"/>
        <w:outlineLvl w:val="9"/>
      </w:pPr>
      <w:r w:rsidRPr="008D6E8D">
        <w:t xml:space="preserve">Application, saving and transitional provisions for provisions and </w:t>
      </w:r>
      <w:proofErr w:type="gramStart"/>
      <w:r w:rsidRPr="008D6E8D">
        <w:t>amendments</w:t>
      </w:r>
      <w:proofErr w:type="gramEnd"/>
    </w:p>
    <w:p w14:paraId="766686AF" w14:textId="77777777" w:rsidR="00D70959" w:rsidRPr="00042EA7" w:rsidRDefault="00D70959" w:rsidP="00D70959">
      <w:pPr>
        <w:pStyle w:val="LI-Fronttext"/>
      </w:pPr>
      <w:r w:rsidRPr="00042EA7">
        <w:t>If the operation of a provision or amendment of the compiled law is affected by an application, saving or transitional provision that is not included in this compilation, details are included in the endnotes.</w:t>
      </w:r>
    </w:p>
    <w:p w14:paraId="5649D485" w14:textId="77777777" w:rsidR="00D70959" w:rsidRPr="008B4058" w:rsidRDefault="00D70959" w:rsidP="00D70959">
      <w:pPr>
        <w:pStyle w:val="LI-Fronttextheading2"/>
        <w:outlineLvl w:val="9"/>
      </w:pPr>
      <w:r w:rsidRPr="008D6E8D">
        <w:t>Modifications</w:t>
      </w:r>
    </w:p>
    <w:p w14:paraId="696AD059" w14:textId="77777777" w:rsidR="00D70959" w:rsidRPr="00042EA7" w:rsidRDefault="00D70959" w:rsidP="00D70959">
      <w:pPr>
        <w:pStyle w:val="LI-Fronttext"/>
      </w:pPr>
      <w:r w:rsidRPr="00042EA7">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t>Register</w:t>
      </w:r>
      <w:r w:rsidRPr="00042EA7">
        <w:t xml:space="preserve"> for the compiled law.</w:t>
      </w:r>
    </w:p>
    <w:p w14:paraId="41C7E4F6" w14:textId="77777777" w:rsidR="00D70959" w:rsidRPr="008B30F4" w:rsidRDefault="00D70959" w:rsidP="00D70959">
      <w:pPr>
        <w:pStyle w:val="LI-Fronttextheading2"/>
        <w:outlineLvl w:val="9"/>
      </w:pPr>
      <w:r w:rsidRPr="008D6E8D">
        <w:t>Self</w:t>
      </w:r>
      <w:r w:rsidRPr="008D6E8D">
        <w:noBreakHyphen/>
        <w:t>repealing provisions</w:t>
      </w:r>
    </w:p>
    <w:p w14:paraId="2CA78A29" w14:textId="77777777" w:rsidR="00D70959" w:rsidRDefault="00D70959" w:rsidP="00D70959">
      <w:pPr>
        <w:pStyle w:val="LI-Fronttext"/>
      </w:pPr>
      <w:r w:rsidRPr="00042EA7">
        <w:t>If a provision of the compiled law has been repealed in accordance with a provision of the law, details are included in the endnotes.</w:t>
      </w:r>
    </w:p>
    <w:p w14:paraId="28386406" w14:textId="77777777" w:rsidR="005E142B" w:rsidRPr="0030751C" w:rsidRDefault="005E142B" w:rsidP="005E142B">
      <w:pPr>
        <w:pStyle w:val="LI-Fronttext"/>
        <w:ind w:left="3260" w:hanging="3260"/>
      </w:pPr>
    </w:p>
    <w:p w14:paraId="118D0130" w14:textId="77777777" w:rsidR="005E142B" w:rsidRPr="00EC0326" w:rsidRDefault="005E142B" w:rsidP="00715914">
      <w:pPr>
        <w:pStyle w:val="Header"/>
        <w:tabs>
          <w:tab w:val="clear" w:pos="4150"/>
          <w:tab w:val="clear" w:pos="8307"/>
        </w:tabs>
      </w:pPr>
    </w:p>
    <w:p w14:paraId="75B9A220" w14:textId="77777777" w:rsidR="00715914" w:rsidRPr="00EC0326" w:rsidRDefault="00715914" w:rsidP="00715914">
      <w:pPr>
        <w:sectPr w:rsidR="00715914" w:rsidRPr="00EC0326" w:rsidSect="008945E0">
          <w:headerReference w:type="even"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14:paraId="6D8D9D95" w14:textId="77777777" w:rsidR="00F67BCA" w:rsidRPr="00EC0326" w:rsidRDefault="00715914" w:rsidP="00E2168B">
      <w:pPr>
        <w:spacing w:before="280" w:after="240"/>
        <w:rPr>
          <w:sz w:val="36"/>
        </w:rPr>
      </w:pPr>
      <w:r w:rsidRPr="00EC0326">
        <w:rPr>
          <w:b/>
          <w:sz w:val="32"/>
          <w:szCs w:val="32"/>
        </w:rPr>
        <w:lastRenderedPageBreak/>
        <w:t>Contents</w:t>
      </w:r>
    </w:p>
    <w:p w14:paraId="7D94F01A" w14:textId="0DE3D0DE" w:rsidR="005F692D" w:rsidRPr="004F669C" w:rsidRDefault="005F692D" w:rsidP="004F669C">
      <w:pPr>
        <w:pStyle w:val="TOC2"/>
        <w:keepNext w:val="0"/>
        <w:keepLines w:val="0"/>
        <w:tabs>
          <w:tab w:val="clear" w:pos="8278"/>
          <w:tab w:val="left" w:leader="dot" w:pos="2694"/>
          <w:tab w:val="left" w:pos="3748"/>
          <w:tab w:val="right" w:leader="dot" w:pos="9072"/>
        </w:tabs>
        <w:spacing w:before="20"/>
        <w:ind w:left="0" w:right="284" w:firstLine="0"/>
        <w:rPr>
          <w:b/>
          <w:bCs/>
          <w:noProof/>
          <w:spacing w:val="-4"/>
          <w:kern w:val="0"/>
          <w:szCs w:val="24"/>
        </w:rPr>
      </w:pPr>
      <w:bookmarkStart w:id="0" w:name="BKCheck15B_2"/>
      <w:bookmarkEnd w:id="0"/>
      <w:r w:rsidRPr="004F669C">
        <w:rPr>
          <w:b/>
          <w:bCs/>
          <w:noProof/>
          <w:spacing w:val="-4"/>
          <w:kern w:val="0"/>
          <w:szCs w:val="24"/>
        </w:rPr>
        <w:t>Part 1—Preliminary</w:t>
      </w:r>
      <w:r w:rsidR="00A35D0A">
        <w:rPr>
          <w:b/>
          <w:bCs/>
          <w:noProof/>
          <w:spacing w:val="-4"/>
          <w:kern w:val="0"/>
          <w:szCs w:val="24"/>
        </w:rPr>
        <w:tab/>
        <w:t>...................</w:t>
      </w:r>
      <w:r w:rsidRPr="004F669C">
        <w:rPr>
          <w:b/>
          <w:bCs/>
          <w:noProof/>
          <w:spacing w:val="-4"/>
          <w:kern w:val="0"/>
          <w:szCs w:val="24"/>
        </w:rPr>
        <w:tab/>
        <w:t>4</w:t>
      </w:r>
    </w:p>
    <w:p w14:paraId="55CC07DC" w14:textId="35EFBD7A" w:rsidR="005F692D" w:rsidRPr="004F669C" w:rsidRDefault="005F692D" w:rsidP="004F669C">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4F669C">
        <w:rPr>
          <w:noProof/>
          <w:spacing w:val="-4"/>
          <w:kern w:val="0"/>
          <w:szCs w:val="24"/>
        </w:rPr>
        <w:t>1</w:t>
      </w:r>
      <w:r w:rsidR="00A35D0A">
        <w:rPr>
          <w:noProof/>
          <w:spacing w:val="-4"/>
          <w:kern w:val="0"/>
          <w:szCs w:val="24"/>
        </w:rPr>
        <w:t xml:space="preserve"> </w:t>
      </w:r>
      <w:r w:rsidRPr="004F669C">
        <w:rPr>
          <w:noProof/>
          <w:spacing w:val="-4"/>
          <w:kern w:val="0"/>
          <w:szCs w:val="24"/>
        </w:rPr>
        <w:t>Name of legislative instrument</w:t>
      </w:r>
      <w:r w:rsidR="00DF4551">
        <w:rPr>
          <w:noProof/>
          <w:spacing w:val="-4"/>
          <w:kern w:val="0"/>
          <w:szCs w:val="24"/>
        </w:rPr>
        <w:t xml:space="preserve"> .....</w:t>
      </w:r>
      <w:r w:rsidRPr="004F669C">
        <w:rPr>
          <w:noProof/>
          <w:spacing w:val="-4"/>
          <w:kern w:val="0"/>
          <w:szCs w:val="24"/>
        </w:rPr>
        <w:tab/>
        <w:t>4</w:t>
      </w:r>
    </w:p>
    <w:p w14:paraId="0F566ADA" w14:textId="5930F140" w:rsidR="005F692D" w:rsidRPr="004F669C" w:rsidRDefault="005F692D" w:rsidP="004F669C">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4F669C">
        <w:rPr>
          <w:noProof/>
          <w:spacing w:val="-4"/>
          <w:kern w:val="0"/>
          <w:szCs w:val="24"/>
        </w:rPr>
        <w:t>3</w:t>
      </w:r>
      <w:r w:rsidR="00A35D0A">
        <w:rPr>
          <w:noProof/>
          <w:spacing w:val="-4"/>
          <w:kern w:val="0"/>
          <w:szCs w:val="24"/>
        </w:rPr>
        <w:t xml:space="preserve"> </w:t>
      </w:r>
      <w:r w:rsidRPr="004F669C">
        <w:rPr>
          <w:noProof/>
          <w:spacing w:val="-4"/>
          <w:kern w:val="0"/>
          <w:szCs w:val="24"/>
        </w:rPr>
        <w:t>Authority</w:t>
      </w:r>
      <w:r w:rsidR="00D6365D">
        <w:rPr>
          <w:noProof/>
          <w:spacing w:val="-4"/>
          <w:kern w:val="0"/>
          <w:szCs w:val="24"/>
        </w:rPr>
        <w:t xml:space="preserve"> .........................................</w:t>
      </w:r>
      <w:r w:rsidRPr="004F669C">
        <w:rPr>
          <w:noProof/>
          <w:spacing w:val="-4"/>
          <w:kern w:val="0"/>
          <w:szCs w:val="24"/>
        </w:rPr>
        <w:tab/>
        <w:t>4</w:t>
      </w:r>
    </w:p>
    <w:p w14:paraId="014DDE34" w14:textId="5FEEF436" w:rsidR="005F692D" w:rsidRPr="004F669C" w:rsidRDefault="005F692D" w:rsidP="004F669C">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4F669C">
        <w:rPr>
          <w:noProof/>
          <w:spacing w:val="-4"/>
          <w:kern w:val="0"/>
          <w:szCs w:val="24"/>
        </w:rPr>
        <w:t>4</w:t>
      </w:r>
      <w:r w:rsidR="00A35D0A">
        <w:rPr>
          <w:noProof/>
          <w:spacing w:val="-4"/>
          <w:kern w:val="0"/>
          <w:szCs w:val="24"/>
        </w:rPr>
        <w:t xml:space="preserve"> </w:t>
      </w:r>
      <w:r w:rsidRPr="004F669C">
        <w:rPr>
          <w:noProof/>
          <w:spacing w:val="-4"/>
          <w:kern w:val="0"/>
          <w:szCs w:val="24"/>
        </w:rPr>
        <w:t>Schedules</w:t>
      </w:r>
      <w:r w:rsidR="003031E7">
        <w:rPr>
          <w:noProof/>
          <w:spacing w:val="-4"/>
          <w:kern w:val="0"/>
          <w:szCs w:val="24"/>
        </w:rPr>
        <w:t xml:space="preserve"> .......................................</w:t>
      </w:r>
      <w:r w:rsidRPr="004F669C">
        <w:rPr>
          <w:noProof/>
          <w:spacing w:val="-4"/>
          <w:kern w:val="0"/>
          <w:szCs w:val="24"/>
        </w:rPr>
        <w:tab/>
        <w:t>4</w:t>
      </w:r>
    </w:p>
    <w:p w14:paraId="23521C6D" w14:textId="20135CDE"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0" w:right="284" w:firstLine="0"/>
        <w:rPr>
          <w:b/>
          <w:bCs/>
          <w:noProof/>
          <w:spacing w:val="-4"/>
          <w:kern w:val="0"/>
          <w:szCs w:val="24"/>
        </w:rPr>
      </w:pPr>
      <w:r w:rsidRPr="00DF4551">
        <w:rPr>
          <w:b/>
          <w:bCs/>
          <w:noProof/>
          <w:spacing w:val="-4"/>
          <w:kern w:val="0"/>
          <w:szCs w:val="24"/>
        </w:rPr>
        <w:t>Schedule 1—Amendments</w:t>
      </w:r>
      <w:r w:rsidR="00E4363D">
        <w:rPr>
          <w:b/>
          <w:bCs/>
          <w:noProof/>
          <w:spacing w:val="-4"/>
          <w:kern w:val="0"/>
          <w:szCs w:val="24"/>
        </w:rPr>
        <w:t xml:space="preserve"> ....................</w:t>
      </w:r>
      <w:r w:rsidRPr="00DF4551">
        <w:rPr>
          <w:b/>
          <w:bCs/>
          <w:noProof/>
          <w:spacing w:val="-4"/>
          <w:kern w:val="0"/>
          <w:szCs w:val="24"/>
        </w:rPr>
        <w:tab/>
        <w:t>5</w:t>
      </w:r>
    </w:p>
    <w:p w14:paraId="20194988" w14:textId="77777777"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ASIC Derivative Transaction Rules (Reporting) 2024</w:t>
      </w:r>
      <w:r w:rsidRPr="00DF4551">
        <w:rPr>
          <w:noProof/>
          <w:spacing w:val="-4"/>
          <w:kern w:val="0"/>
          <w:szCs w:val="24"/>
        </w:rPr>
        <w:tab/>
        <w:t>5</w:t>
      </w:r>
    </w:p>
    <w:p w14:paraId="0526B3C6" w14:textId="49501430"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0" w:right="284" w:firstLine="0"/>
        <w:rPr>
          <w:b/>
          <w:bCs/>
          <w:noProof/>
          <w:spacing w:val="-4"/>
          <w:kern w:val="0"/>
          <w:szCs w:val="24"/>
        </w:rPr>
      </w:pPr>
      <w:r w:rsidRPr="00DF4551">
        <w:rPr>
          <w:b/>
          <w:bCs/>
          <w:noProof/>
          <w:spacing w:val="-4"/>
          <w:kern w:val="0"/>
          <w:szCs w:val="24"/>
        </w:rPr>
        <w:t>Schedule 2—Amendments</w:t>
      </w:r>
      <w:r w:rsidR="00E4363D">
        <w:rPr>
          <w:b/>
          <w:bCs/>
          <w:noProof/>
          <w:spacing w:val="-4"/>
          <w:kern w:val="0"/>
          <w:szCs w:val="24"/>
        </w:rPr>
        <w:t xml:space="preserve"> ....................</w:t>
      </w:r>
      <w:r w:rsidRPr="00DF4551">
        <w:rPr>
          <w:b/>
          <w:bCs/>
          <w:noProof/>
          <w:spacing w:val="-4"/>
          <w:kern w:val="0"/>
          <w:szCs w:val="24"/>
        </w:rPr>
        <w:tab/>
        <w:t>13</w:t>
      </w:r>
    </w:p>
    <w:p w14:paraId="38CB6818" w14:textId="77777777"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ASIC Derivative Transaction Rules (Reporting) 2024</w:t>
      </w:r>
      <w:r w:rsidRPr="00DF4551">
        <w:rPr>
          <w:noProof/>
          <w:spacing w:val="-4"/>
          <w:kern w:val="0"/>
          <w:szCs w:val="24"/>
        </w:rPr>
        <w:tab/>
        <w:t>13</w:t>
      </w:r>
    </w:p>
    <w:p w14:paraId="6E65228A" w14:textId="2B9AC876"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0" w:right="284" w:firstLine="0"/>
        <w:rPr>
          <w:b/>
          <w:bCs/>
          <w:noProof/>
          <w:spacing w:val="-4"/>
          <w:kern w:val="0"/>
          <w:szCs w:val="24"/>
        </w:rPr>
      </w:pPr>
      <w:r w:rsidRPr="00DF4551">
        <w:rPr>
          <w:b/>
          <w:bCs/>
          <w:noProof/>
          <w:spacing w:val="-4"/>
          <w:kern w:val="0"/>
          <w:szCs w:val="24"/>
        </w:rPr>
        <w:t>Endnotes</w:t>
      </w:r>
      <w:r w:rsidR="00E4363D">
        <w:rPr>
          <w:b/>
          <w:bCs/>
          <w:noProof/>
          <w:spacing w:val="-4"/>
          <w:kern w:val="0"/>
          <w:szCs w:val="24"/>
        </w:rPr>
        <w:t xml:space="preserve"> ..................................................</w:t>
      </w:r>
      <w:r w:rsidRPr="00DF4551">
        <w:rPr>
          <w:b/>
          <w:bCs/>
          <w:noProof/>
          <w:spacing w:val="-4"/>
          <w:kern w:val="0"/>
          <w:szCs w:val="24"/>
        </w:rPr>
        <w:tab/>
        <w:t>21</w:t>
      </w:r>
    </w:p>
    <w:p w14:paraId="38EB0B1C" w14:textId="32489148"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Endnote 1—About the endnotes</w:t>
      </w:r>
      <w:r w:rsidR="00956663">
        <w:rPr>
          <w:noProof/>
          <w:spacing w:val="-4"/>
          <w:kern w:val="0"/>
          <w:szCs w:val="24"/>
        </w:rPr>
        <w:t xml:space="preserve"> ......</w:t>
      </w:r>
      <w:r w:rsidRPr="00DF4551">
        <w:rPr>
          <w:noProof/>
          <w:spacing w:val="-4"/>
          <w:kern w:val="0"/>
          <w:szCs w:val="24"/>
        </w:rPr>
        <w:tab/>
        <w:t>21</w:t>
      </w:r>
    </w:p>
    <w:p w14:paraId="2C15F821" w14:textId="1DC4E557"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Endnote 2—Abbreviation key</w:t>
      </w:r>
      <w:r w:rsidR="00956663">
        <w:rPr>
          <w:noProof/>
          <w:spacing w:val="-4"/>
          <w:kern w:val="0"/>
          <w:szCs w:val="24"/>
        </w:rPr>
        <w:t xml:space="preserve"> .........</w:t>
      </w:r>
      <w:r w:rsidRPr="00DF4551">
        <w:rPr>
          <w:noProof/>
          <w:spacing w:val="-4"/>
          <w:kern w:val="0"/>
          <w:szCs w:val="24"/>
        </w:rPr>
        <w:tab/>
        <w:t>22</w:t>
      </w:r>
    </w:p>
    <w:p w14:paraId="61DCE45A" w14:textId="3D7C215E"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Endnote 3—Legislation history</w:t>
      </w:r>
      <w:r w:rsidR="00956663">
        <w:rPr>
          <w:noProof/>
          <w:spacing w:val="-4"/>
          <w:kern w:val="0"/>
          <w:szCs w:val="24"/>
        </w:rPr>
        <w:t xml:space="preserve"> .......</w:t>
      </w:r>
      <w:r w:rsidRPr="00DF4551">
        <w:rPr>
          <w:noProof/>
          <w:spacing w:val="-4"/>
          <w:kern w:val="0"/>
          <w:szCs w:val="24"/>
        </w:rPr>
        <w:tab/>
        <w:t>23</w:t>
      </w:r>
    </w:p>
    <w:p w14:paraId="72312CC8" w14:textId="2B027E4F" w:rsidR="005F692D" w:rsidRPr="00DF4551" w:rsidRDefault="005F692D" w:rsidP="00DF4551">
      <w:pPr>
        <w:pStyle w:val="TOC2"/>
        <w:keepNext w:val="0"/>
        <w:keepLines w:val="0"/>
        <w:tabs>
          <w:tab w:val="clear" w:pos="8278"/>
          <w:tab w:val="left" w:leader="dot" w:pos="2694"/>
          <w:tab w:val="left" w:pos="3748"/>
          <w:tab w:val="right" w:leader="dot" w:pos="9072"/>
        </w:tabs>
        <w:spacing w:before="20"/>
        <w:ind w:left="425" w:right="284" w:firstLine="0"/>
        <w:rPr>
          <w:noProof/>
          <w:spacing w:val="-4"/>
          <w:kern w:val="0"/>
          <w:szCs w:val="24"/>
        </w:rPr>
      </w:pPr>
      <w:r w:rsidRPr="00DF4551">
        <w:rPr>
          <w:noProof/>
          <w:spacing w:val="-4"/>
          <w:kern w:val="0"/>
          <w:szCs w:val="24"/>
        </w:rPr>
        <w:t>Endnote 4—Amendment history</w:t>
      </w:r>
      <w:r w:rsidR="00956663">
        <w:rPr>
          <w:noProof/>
          <w:spacing w:val="-4"/>
          <w:kern w:val="0"/>
          <w:szCs w:val="24"/>
        </w:rPr>
        <w:t xml:space="preserve"> .....</w:t>
      </w:r>
      <w:r w:rsidRPr="00DF4551">
        <w:rPr>
          <w:noProof/>
          <w:spacing w:val="-4"/>
          <w:kern w:val="0"/>
          <w:szCs w:val="24"/>
        </w:rPr>
        <w:tab/>
        <w:t>24</w:t>
      </w:r>
    </w:p>
    <w:p w14:paraId="167D5695" w14:textId="77777777" w:rsidR="00DF3084" w:rsidRDefault="00DF3084" w:rsidP="00715914">
      <w:pPr>
        <w:rPr>
          <w:rFonts w:eastAsia="Times New Roman"/>
          <w:kern w:val="28"/>
          <w:sz w:val="28"/>
          <w:lang w:eastAsia="en-AU"/>
        </w:rPr>
      </w:pPr>
    </w:p>
    <w:p w14:paraId="03EB8D24" w14:textId="77777777" w:rsidR="00DF3084" w:rsidRPr="00520CEC" w:rsidRDefault="00DF3084" w:rsidP="00715914"/>
    <w:p w14:paraId="3114ACB1" w14:textId="77777777" w:rsidR="00670EA1" w:rsidRPr="00520CEC" w:rsidRDefault="00670EA1" w:rsidP="00715914">
      <w:pPr>
        <w:sectPr w:rsidR="00670EA1" w:rsidRPr="00520CEC" w:rsidSect="00F4215A">
          <w:headerReference w:type="even" r:id="rId15"/>
          <w:headerReference w:type="default" r:id="rId16"/>
          <w:footerReference w:type="even" r:id="rId17"/>
          <w:footerReference w:type="default" r:id="rId18"/>
          <w:headerReference w:type="first" r:id="rId19"/>
          <w:pgSz w:w="11907" w:h="16839"/>
          <w:pgMar w:top="1098" w:right="1797" w:bottom="1440" w:left="1797" w:header="720" w:footer="709" w:gutter="0"/>
          <w:pgNumType w:fmt="lowerRoman"/>
          <w:cols w:space="708"/>
          <w:docGrid w:linePitch="360"/>
        </w:sectPr>
      </w:pPr>
    </w:p>
    <w:p w14:paraId="0131CB23" w14:textId="77777777" w:rsidR="00FA31DE" w:rsidRPr="00520CEC" w:rsidRDefault="00FA31DE" w:rsidP="006554FF">
      <w:pPr>
        <w:pStyle w:val="LI-Heading1"/>
      </w:pPr>
      <w:bookmarkStart w:id="1" w:name="BK_S3P1L1C1"/>
      <w:bookmarkStart w:id="2" w:name="_Toc182823308"/>
      <w:bookmarkEnd w:id="1"/>
      <w:r w:rsidRPr="00520CEC">
        <w:lastRenderedPageBreak/>
        <w:t>Part</w:t>
      </w:r>
      <w:r w:rsidR="00F61B09" w:rsidRPr="00520CEC">
        <w:t> </w:t>
      </w:r>
      <w:r w:rsidRPr="00520CEC">
        <w:t>1—Preliminary</w:t>
      </w:r>
      <w:bookmarkEnd w:id="2"/>
    </w:p>
    <w:p w14:paraId="6E4AA01B" w14:textId="77777777" w:rsidR="00FA31DE" w:rsidRPr="00520CEC" w:rsidRDefault="00FA31DE" w:rsidP="00C11452">
      <w:pPr>
        <w:pStyle w:val="LI-Heading2"/>
        <w:rPr>
          <w:szCs w:val="24"/>
        </w:rPr>
      </w:pPr>
      <w:bookmarkStart w:id="3" w:name="_Toc182823309"/>
      <w:r w:rsidRPr="00520CEC">
        <w:rPr>
          <w:szCs w:val="24"/>
        </w:rPr>
        <w:t>1</w:t>
      </w:r>
      <w:r w:rsidR="00FC3EB8" w:rsidRPr="00520CEC">
        <w:rPr>
          <w:szCs w:val="24"/>
        </w:rPr>
        <w:tab/>
      </w:r>
      <w:r w:rsidRPr="00520CEC">
        <w:rPr>
          <w:szCs w:val="24"/>
        </w:rPr>
        <w:t xml:space="preserve">Name of </w:t>
      </w:r>
      <w:r w:rsidR="008C0F29" w:rsidRPr="00520CEC">
        <w:rPr>
          <w:szCs w:val="24"/>
        </w:rPr>
        <w:t>legislative instrument</w:t>
      </w:r>
      <w:bookmarkEnd w:id="3"/>
    </w:p>
    <w:p w14:paraId="3FED13F6" w14:textId="12BA8395" w:rsidR="00FA31DE" w:rsidRPr="00520CEC" w:rsidRDefault="00FA31DE" w:rsidP="00BA2950">
      <w:pPr>
        <w:pStyle w:val="LI-BodyTextUnnumbered"/>
        <w:rPr>
          <w:szCs w:val="24"/>
        </w:rPr>
      </w:pPr>
      <w:r w:rsidRPr="00520CEC">
        <w:rPr>
          <w:szCs w:val="24"/>
        </w:rPr>
        <w:t xml:space="preserve">This </w:t>
      </w:r>
      <w:r w:rsidR="008C0F29" w:rsidRPr="00520CEC">
        <w:rPr>
          <w:szCs w:val="24"/>
        </w:rPr>
        <w:t>is</w:t>
      </w:r>
      <w:r w:rsidR="00C36A52" w:rsidRPr="00520CEC">
        <w:rPr>
          <w:szCs w:val="24"/>
        </w:rPr>
        <w:t xml:space="preserve"> the</w:t>
      </w:r>
      <w:r w:rsidR="008C0F29" w:rsidRPr="00520CEC">
        <w:rPr>
          <w:szCs w:val="24"/>
        </w:rPr>
        <w:t xml:space="preserve"> </w:t>
      </w:r>
      <w:r w:rsidR="00987EDD" w:rsidRPr="00520CEC">
        <w:rPr>
          <w:i/>
          <w:iCs/>
        </w:rPr>
        <w:t>ASIC Derivative Transaction Rules (Reporting) 2024 Amendment Instrument 2024/</w:t>
      </w:r>
      <w:r w:rsidR="00F73856" w:rsidRPr="00520CEC">
        <w:rPr>
          <w:i/>
          <w:iCs/>
        </w:rPr>
        <w:t>1</w:t>
      </w:r>
      <w:r w:rsidRPr="00520CEC">
        <w:rPr>
          <w:szCs w:val="24"/>
        </w:rPr>
        <w:t>.</w:t>
      </w:r>
    </w:p>
    <w:p w14:paraId="33C4A3ED" w14:textId="77777777" w:rsidR="00FA31DE" w:rsidRPr="00520CEC" w:rsidRDefault="00FA31DE" w:rsidP="00EC4757">
      <w:pPr>
        <w:pStyle w:val="LI-Heading2"/>
        <w:spacing w:before="240"/>
        <w:rPr>
          <w:szCs w:val="24"/>
        </w:rPr>
      </w:pPr>
      <w:bookmarkStart w:id="4" w:name="_Toc182823310"/>
      <w:r w:rsidRPr="00520CEC">
        <w:rPr>
          <w:szCs w:val="24"/>
        </w:rPr>
        <w:t>3</w:t>
      </w:r>
      <w:r w:rsidR="00FC3EB8" w:rsidRPr="00520CEC">
        <w:rPr>
          <w:szCs w:val="24"/>
        </w:rPr>
        <w:tab/>
      </w:r>
      <w:r w:rsidRPr="00520CEC">
        <w:rPr>
          <w:szCs w:val="24"/>
        </w:rPr>
        <w:t>Authority</w:t>
      </w:r>
      <w:bookmarkEnd w:id="4"/>
    </w:p>
    <w:p w14:paraId="19D191A4" w14:textId="1856A2CE" w:rsidR="00FA31DE" w:rsidRPr="00520CEC" w:rsidRDefault="00FA31DE" w:rsidP="00EC4757">
      <w:pPr>
        <w:pStyle w:val="LI-BodyTextUnnumbered"/>
        <w:rPr>
          <w:szCs w:val="24"/>
        </w:rPr>
      </w:pPr>
      <w:r w:rsidRPr="00520CEC">
        <w:rPr>
          <w:szCs w:val="24"/>
        </w:rPr>
        <w:t xml:space="preserve">This </w:t>
      </w:r>
      <w:r w:rsidR="008C0F29" w:rsidRPr="00520CEC">
        <w:rPr>
          <w:szCs w:val="24"/>
        </w:rPr>
        <w:t xml:space="preserve">instrument </w:t>
      </w:r>
      <w:r w:rsidRPr="00520CEC">
        <w:rPr>
          <w:szCs w:val="24"/>
        </w:rPr>
        <w:t xml:space="preserve">is made under </w:t>
      </w:r>
      <w:r w:rsidR="00882402" w:rsidRPr="00520CEC">
        <w:rPr>
          <w:szCs w:val="24"/>
        </w:rPr>
        <w:t>section 901</w:t>
      </w:r>
      <w:r w:rsidR="00C77D96" w:rsidRPr="00520CEC">
        <w:rPr>
          <w:szCs w:val="24"/>
        </w:rPr>
        <w:t>M</w:t>
      </w:r>
      <w:r w:rsidR="00882402" w:rsidRPr="00520CEC">
        <w:rPr>
          <w:szCs w:val="24"/>
        </w:rPr>
        <w:t xml:space="preserve"> of the </w:t>
      </w:r>
      <w:r w:rsidR="00D927B2" w:rsidRPr="00520CEC">
        <w:rPr>
          <w:i/>
          <w:szCs w:val="24"/>
        </w:rPr>
        <w:t>Corporations Act 2001</w:t>
      </w:r>
      <w:r w:rsidRPr="00520CEC">
        <w:rPr>
          <w:szCs w:val="24"/>
        </w:rPr>
        <w:t>.</w:t>
      </w:r>
    </w:p>
    <w:p w14:paraId="17CD128D" w14:textId="77777777" w:rsidR="00FA31DE" w:rsidRPr="00520CEC" w:rsidRDefault="008C0F29" w:rsidP="00EC4757">
      <w:pPr>
        <w:pStyle w:val="LI-Heading2"/>
        <w:spacing w:before="240"/>
        <w:rPr>
          <w:szCs w:val="24"/>
        </w:rPr>
      </w:pPr>
      <w:bookmarkStart w:id="5" w:name="_Toc182823311"/>
      <w:r w:rsidRPr="00520CEC">
        <w:rPr>
          <w:szCs w:val="24"/>
        </w:rPr>
        <w:t>4</w:t>
      </w:r>
      <w:r w:rsidR="00FC3EB8" w:rsidRPr="00520CEC">
        <w:rPr>
          <w:szCs w:val="24"/>
        </w:rPr>
        <w:tab/>
      </w:r>
      <w:r w:rsidR="009B69D4" w:rsidRPr="00520CEC">
        <w:rPr>
          <w:szCs w:val="24"/>
        </w:rPr>
        <w:t>Schedules</w:t>
      </w:r>
      <w:bookmarkEnd w:id="5"/>
    </w:p>
    <w:p w14:paraId="314D7A20" w14:textId="77777777" w:rsidR="0040053F" w:rsidRPr="00520CEC" w:rsidRDefault="009B69D4" w:rsidP="009B69D4">
      <w:pPr>
        <w:pStyle w:val="LI-BodyTextUnnumbered"/>
      </w:pPr>
      <w:r w:rsidRPr="00520CEC">
        <w:t>Each instrument that is specified in a Schedule to this instrument is amended or repealed as set out in the applicable items in the Schedule concerned, and any other item in a Schedule to this instrument has effect according to its terms</w:t>
      </w:r>
      <w:r w:rsidR="00BB208C" w:rsidRPr="00520CEC">
        <w:t>.</w:t>
      </w:r>
    </w:p>
    <w:p w14:paraId="2109C918" w14:textId="77777777" w:rsidR="00AC1F70" w:rsidRPr="00520CEC" w:rsidRDefault="00AC1F70" w:rsidP="005C1C22">
      <w:pPr>
        <w:pStyle w:val="LI-BodyTextUnnumbered"/>
        <w:ind w:left="1701" w:hanging="567"/>
      </w:pPr>
    </w:p>
    <w:p w14:paraId="0F746787" w14:textId="77777777" w:rsidR="00AC1F70" w:rsidRPr="00520CEC" w:rsidRDefault="00AC1F70" w:rsidP="005C1C22">
      <w:pPr>
        <w:pStyle w:val="LI-BodyTextUnnumbered"/>
        <w:ind w:left="1701" w:hanging="567"/>
        <w:sectPr w:rsidR="00AC1F70" w:rsidRPr="00520CEC" w:rsidSect="007D230B">
          <w:headerReference w:type="even" r:id="rId20"/>
          <w:headerReference w:type="default" r:id="rId21"/>
          <w:footerReference w:type="even" r:id="rId22"/>
          <w:headerReference w:type="first" r:id="rId23"/>
          <w:footerReference w:type="first" r:id="rId24"/>
          <w:pgSz w:w="11907" w:h="16839" w:code="9"/>
          <w:pgMar w:top="1534" w:right="1797" w:bottom="1440" w:left="1797" w:header="720" w:footer="709" w:gutter="0"/>
          <w:cols w:space="708"/>
          <w:docGrid w:linePitch="360"/>
        </w:sectPr>
      </w:pPr>
    </w:p>
    <w:p w14:paraId="7FB4564B" w14:textId="77777777" w:rsidR="00FA31DE" w:rsidRPr="00520CEC" w:rsidRDefault="009B69D4" w:rsidP="006554FF">
      <w:pPr>
        <w:pStyle w:val="LI-Heading1"/>
      </w:pPr>
      <w:bookmarkStart w:id="6" w:name="_Toc182823312"/>
      <w:r w:rsidRPr="00520CEC">
        <w:lastRenderedPageBreak/>
        <w:t>Schedule 1</w:t>
      </w:r>
      <w:r w:rsidR="00FA31DE" w:rsidRPr="00520CEC">
        <w:t>—</w:t>
      </w:r>
      <w:r w:rsidR="008E290E" w:rsidRPr="00520CEC">
        <w:t>Amendment</w:t>
      </w:r>
      <w:r w:rsidR="00102307" w:rsidRPr="00520CEC">
        <w:t>s</w:t>
      </w:r>
      <w:bookmarkEnd w:id="6"/>
    </w:p>
    <w:p w14:paraId="669B870D" w14:textId="5467E1AE" w:rsidR="0058749E" w:rsidRPr="00520CEC" w:rsidRDefault="0058749E" w:rsidP="0058749E">
      <w:pPr>
        <w:pStyle w:val="LI-Heading2"/>
        <w:rPr>
          <w:i/>
          <w:iCs/>
          <w:sz w:val="28"/>
          <w:szCs w:val="28"/>
        </w:rPr>
      </w:pPr>
      <w:bookmarkStart w:id="7" w:name="_Toc145925689"/>
      <w:bookmarkStart w:id="8" w:name="_Toc182823313"/>
      <w:r w:rsidRPr="00520CEC">
        <w:rPr>
          <w:i/>
          <w:iCs/>
          <w:sz w:val="28"/>
          <w:szCs w:val="28"/>
        </w:rPr>
        <w:t>ASIC Derivative Transaction Rules (Reporting) 2024</w:t>
      </w:r>
      <w:bookmarkEnd w:id="7"/>
      <w:bookmarkEnd w:id="8"/>
    </w:p>
    <w:p w14:paraId="1DED3E14" w14:textId="299B9BA6" w:rsidR="001E0BF5" w:rsidRPr="00520CEC" w:rsidRDefault="001E0BF5" w:rsidP="00CA3A25">
      <w:pPr>
        <w:pStyle w:val="LI-BodyTextNumbered"/>
        <w:ind w:left="567"/>
        <w:rPr>
          <w:b/>
          <w:i/>
          <w:iCs/>
        </w:rPr>
      </w:pPr>
      <w:r w:rsidRPr="00520CEC">
        <w:rPr>
          <w:b/>
        </w:rPr>
        <w:t>1</w:t>
      </w:r>
      <w:r w:rsidRPr="00520CEC">
        <w:rPr>
          <w:b/>
        </w:rPr>
        <w:tab/>
      </w:r>
      <w:r w:rsidR="00A90A8E" w:rsidRPr="00520CEC">
        <w:rPr>
          <w:b/>
        </w:rPr>
        <w:t>Rule 1.2.3</w:t>
      </w:r>
      <w:r w:rsidR="000E0924" w:rsidRPr="00520CEC">
        <w:rPr>
          <w:b/>
        </w:rPr>
        <w:t xml:space="preserve"> (</w:t>
      </w:r>
      <w:r w:rsidR="00894F91" w:rsidRPr="00520CEC">
        <w:rPr>
          <w:b/>
        </w:rPr>
        <w:t xml:space="preserve">definition of </w:t>
      </w:r>
      <w:r w:rsidR="000E0924" w:rsidRPr="00520CEC">
        <w:rPr>
          <w:b/>
          <w:i/>
          <w:iCs/>
        </w:rPr>
        <w:t>AFS Licence)</w:t>
      </w:r>
    </w:p>
    <w:p w14:paraId="31734A5A" w14:textId="48C5423E" w:rsidR="001E0BF5" w:rsidRPr="00520CEC" w:rsidRDefault="001E0BF5" w:rsidP="001E0BF5">
      <w:pPr>
        <w:pStyle w:val="LI-BodyTextNumbered"/>
      </w:pPr>
      <w:r w:rsidRPr="00520CEC">
        <w:t>Omit “</w:t>
      </w:r>
      <w:r w:rsidR="00E81EB1" w:rsidRPr="00520CEC">
        <w:t>section 761A”, substitute “section 9”</w:t>
      </w:r>
      <w:r w:rsidRPr="00520CEC">
        <w:t>.</w:t>
      </w:r>
    </w:p>
    <w:p w14:paraId="4DADA4CE" w14:textId="55A14C53" w:rsidR="00141FE7" w:rsidRPr="00520CEC" w:rsidRDefault="00141FE7" w:rsidP="00141FE7">
      <w:pPr>
        <w:pStyle w:val="LI-BodyTextNumbered"/>
        <w:ind w:left="567"/>
        <w:rPr>
          <w:b/>
          <w:i/>
          <w:iCs/>
        </w:rPr>
      </w:pPr>
      <w:r w:rsidRPr="00520CEC">
        <w:rPr>
          <w:b/>
        </w:rPr>
        <w:t>2</w:t>
      </w:r>
      <w:r w:rsidRPr="00520CEC">
        <w:rPr>
          <w:b/>
        </w:rPr>
        <w:tab/>
        <w:t>Rule 1.2.3 (</w:t>
      </w:r>
      <w:r w:rsidR="00894F91" w:rsidRPr="00520CEC">
        <w:rPr>
          <w:b/>
        </w:rPr>
        <w:t xml:space="preserve">definition of </w:t>
      </w:r>
      <w:r w:rsidRPr="00520CEC">
        <w:rPr>
          <w:b/>
          <w:i/>
          <w:iCs/>
        </w:rPr>
        <w:t>C</w:t>
      </w:r>
      <w:r w:rsidR="00954464" w:rsidRPr="00520CEC">
        <w:rPr>
          <w:b/>
          <w:i/>
          <w:iCs/>
        </w:rPr>
        <w:t>S Facility Licensee</w:t>
      </w:r>
      <w:r w:rsidRPr="00520CEC">
        <w:rPr>
          <w:b/>
          <w:i/>
          <w:iCs/>
        </w:rPr>
        <w:t>)</w:t>
      </w:r>
    </w:p>
    <w:p w14:paraId="199861A8" w14:textId="77AC3F87" w:rsidR="00141FE7" w:rsidRPr="00520CEC" w:rsidRDefault="00141FE7" w:rsidP="00141FE7">
      <w:pPr>
        <w:pStyle w:val="LI-BodyTextNumbered"/>
      </w:pPr>
      <w:r w:rsidRPr="00520CEC">
        <w:t>Omit “section 761A”, substitute “section 9”.</w:t>
      </w:r>
    </w:p>
    <w:p w14:paraId="561AD688" w14:textId="461B27D9" w:rsidR="00954464" w:rsidRPr="00520CEC" w:rsidRDefault="00954464" w:rsidP="00954464">
      <w:pPr>
        <w:pStyle w:val="LI-BodyTextNumbered"/>
        <w:ind w:left="567"/>
        <w:rPr>
          <w:b/>
          <w:i/>
          <w:iCs/>
        </w:rPr>
      </w:pPr>
      <w:r w:rsidRPr="00520CEC">
        <w:rPr>
          <w:b/>
        </w:rPr>
        <w:t>3</w:t>
      </w:r>
      <w:r w:rsidRPr="00520CEC">
        <w:rPr>
          <w:b/>
        </w:rPr>
        <w:tab/>
        <w:t>Rule 1.2.3 (</w:t>
      </w:r>
      <w:r w:rsidR="00E51C73" w:rsidRPr="00520CEC">
        <w:rPr>
          <w:b/>
        </w:rPr>
        <w:t xml:space="preserve">definition of </w:t>
      </w:r>
      <w:r w:rsidRPr="00520CEC">
        <w:rPr>
          <w:b/>
          <w:i/>
          <w:iCs/>
        </w:rPr>
        <w:t>Derivative Trade Repository)</w:t>
      </w:r>
    </w:p>
    <w:p w14:paraId="5EA511D2" w14:textId="6F23B635" w:rsidR="00954464" w:rsidRPr="00520CEC" w:rsidRDefault="00954464" w:rsidP="00954464">
      <w:pPr>
        <w:pStyle w:val="LI-BodyTextNumbered"/>
      </w:pPr>
      <w:r w:rsidRPr="00520CEC">
        <w:t>Omit “section 761A”, substitute “section 9”.</w:t>
      </w:r>
    </w:p>
    <w:p w14:paraId="5BEB1662" w14:textId="5C866766" w:rsidR="00495E42" w:rsidRPr="00520CEC" w:rsidRDefault="00495E42" w:rsidP="00495E42">
      <w:pPr>
        <w:pStyle w:val="LI-BodyTextNumbered"/>
        <w:ind w:left="567"/>
        <w:rPr>
          <w:b/>
          <w:i/>
          <w:iCs/>
        </w:rPr>
      </w:pPr>
      <w:r w:rsidRPr="00520CEC">
        <w:rPr>
          <w:b/>
        </w:rPr>
        <w:t>4</w:t>
      </w:r>
      <w:r w:rsidRPr="00520CEC">
        <w:rPr>
          <w:b/>
        </w:rPr>
        <w:tab/>
        <w:t>Rule 1.2.3 (</w:t>
      </w:r>
      <w:r w:rsidR="00E51C73" w:rsidRPr="00520CEC">
        <w:rPr>
          <w:b/>
        </w:rPr>
        <w:t xml:space="preserve">definition of </w:t>
      </w:r>
      <w:r w:rsidRPr="00520CEC">
        <w:rPr>
          <w:b/>
          <w:i/>
          <w:iCs/>
        </w:rPr>
        <w:t>Derivative Transaction)</w:t>
      </w:r>
    </w:p>
    <w:p w14:paraId="64C6875D" w14:textId="0E98E61D" w:rsidR="00495E42" w:rsidRPr="00520CEC" w:rsidRDefault="00495E42" w:rsidP="00495E42">
      <w:pPr>
        <w:pStyle w:val="LI-BodyTextNumbered"/>
      </w:pPr>
      <w:r w:rsidRPr="00520CEC">
        <w:t>Omit “section 761A”, substitute “section 9”.</w:t>
      </w:r>
    </w:p>
    <w:p w14:paraId="22DF172C" w14:textId="2C20BD13" w:rsidR="00495E42" w:rsidRPr="00520CEC" w:rsidRDefault="00A0466B" w:rsidP="00495E42">
      <w:pPr>
        <w:pStyle w:val="LI-BodyTextNumbered"/>
        <w:ind w:left="567"/>
        <w:rPr>
          <w:b/>
          <w:i/>
          <w:iCs/>
        </w:rPr>
      </w:pPr>
      <w:r w:rsidRPr="00520CEC">
        <w:rPr>
          <w:b/>
        </w:rPr>
        <w:t>5</w:t>
      </w:r>
      <w:r w:rsidR="00495E42" w:rsidRPr="00520CEC">
        <w:rPr>
          <w:b/>
        </w:rPr>
        <w:tab/>
        <w:t>Rule 1.2.3 (</w:t>
      </w:r>
      <w:r w:rsidR="002F20EC" w:rsidRPr="00520CEC">
        <w:rPr>
          <w:b/>
        </w:rPr>
        <w:t xml:space="preserve">definition of </w:t>
      </w:r>
      <w:r w:rsidRPr="00520CEC">
        <w:rPr>
          <w:b/>
          <w:i/>
          <w:iCs/>
        </w:rPr>
        <w:t>Licence</w:t>
      </w:r>
      <w:r w:rsidR="00495E42" w:rsidRPr="00520CEC">
        <w:rPr>
          <w:b/>
          <w:i/>
          <w:iCs/>
        </w:rPr>
        <w:t>)</w:t>
      </w:r>
    </w:p>
    <w:p w14:paraId="6388AA48" w14:textId="03FB393B" w:rsidR="00495E42" w:rsidRPr="00520CEC" w:rsidRDefault="00495E42" w:rsidP="00495E42">
      <w:pPr>
        <w:pStyle w:val="LI-BodyTextNumbered"/>
      </w:pPr>
      <w:r w:rsidRPr="00520CEC">
        <w:t>Omit “section 761A”, substitute “section 9”.</w:t>
      </w:r>
    </w:p>
    <w:p w14:paraId="091259EA" w14:textId="6219D1E1" w:rsidR="00A0466B" w:rsidRPr="00520CEC" w:rsidRDefault="00A0466B" w:rsidP="00A0466B">
      <w:pPr>
        <w:pStyle w:val="LI-BodyTextNumbered"/>
        <w:ind w:left="567"/>
        <w:rPr>
          <w:b/>
          <w:i/>
          <w:iCs/>
        </w:rPr>
      </w:pPr>
      <w:r w:rsidRPr="00520CEC">
        <w:rPr>
          <w:b/>
        </w:rPr>
        <w:t>6</w:t>
      </w:r>
      <w:r w:rsidRPr="00520CEC">
        <w:rPr>
          <w:b/>
        </w:rPr>
        <w:tab/>
        <w:t>Rule 1.2.3 (</w:t>
      </w:r>
      <w:r w:rsidR="002F20EC" w:rsidRPr="00520CEC">
        <w:rPr>
          <w:b/>
        </w:rPr>
        <w:t xml:space="preserve">definition of </w:t>
      </w:r>
      <w:r w:rsidR="00387A12" w:rsidRPr="00520CEC">
        <w:rPr>
          <w:b/>
          <w:i/>
          <w:iCs/>
        </w:rPr>
        <w:t>Licensed CS Facility</w:t>
      </w:r>
      <w:r w:rsidRPr="00520CEC">
        <w:rPr>
          <w:b/>
          <w:i/>
          <w:iCs/>
        </w:rPr>
        <w:t>)</w:t>
      </w:r>
    </w:p>
    <w:p w14:paraId="20102087" w14:textId="735CE286" w:rsidR="00A0466B" w:rsidRPr="00520CEC" w:rsidRDefault="00A0466B" w:rsidP="00A0466B">
      <w:pPr>
        <w:pStyle w:val="LI-BodyTextNumbered"/>
      </w:pPr>
      <w:r w:rsidRPr="00520CEC">
        <w:t>Omit “section 761A”, substitute “section 9”.</w:t>
      </w:r>
    </w:p>
    <w:p w14:paraId="099DED42" w14:textId="4852A28C" w:rsidR="0006202F" w:rsidRPr="00520CEC" w:rsidRDefault="0006202F" w:rsidP="0006202F">
      <w:pPr>
        <w:pStyle w:val="LI-BodyTextNumbered"/>
        <w:ind w:left="567"/>
        <w:rPr>
          <w:b/>
          <w:i/>
          <w:iCs/>
        </w:rPr>
      </w:pPr>
      <w:r w:rsidRPr="00520CEC">
        <w:rPr>
          <w:b/>
        </w:rPr>
        <w:t>7</w:t>
      </w:r>
      <w:r w:rsidRPr="00520CEC">
        <w:rPr>
          <w:b/>
        </w:rPr>
        <w:tab/>
        <w:t>Rule 1.2.3 (</w:t>
      </w:r>
      <w:r w:rsidR="002F20EC" w:rsidRPr="00520CEC">
        <w:rPr>
          <w:b/>
        </w:rPr>
        <w:t xml:space="preserve">definition of </w:t>
      </w:r>
      <w:r w:rsidR="00387A12" w:rsidRPr="00520CEC">
        <w:rPr>
          <w:b/>
          <w:i/>
          <w:iCs/>
        </w:rPr>
        <w:t>Operating Rules</w:t>
      </w:r>
      <w:r w:rsidRPr="00520CEC">
        <w:rPr>
          <w:b/>
          <w:i/>
          <w:iCs/>
        </w:rPr>
        <w:t>)</w:t>
      </w:r>
    </w:p>
    <w:p w14:paraId="0AA3B806" w14:textId="5FBCB322" w:rsidR="0006202F" w:rsidRPr="00520CEC" w:rsidRDefault="0006202F" w:rsidP="0006202F">
      <w:pPr>
        <w:pStyle w:val="LI-BodyTextNumbered"/>
      </w:pPr>
      <w:r w:rsidRPr="00520CEC">
        <w:t>Omit “section 761A”, substitute “section 9”.</w:t>
      </w:r>
    </w:p>
    <w:p w14:paraId="760BA436" w14:textId="3F569BB9" w:rsidR="00387A12" w:rsidRPr="00520CEC" w:rsidRDefault="00387A12" w:rsidP="00387A12">
      <w:pPr>
        <w:pStyle w:val="LI-BodyTextNumbered"/>
        <w:ind w:left="567"/>
        <w:rPr>
          <w:b/>
          <w:i/>
          <w:iCs/>
        </w:rPr>
      </w:pPr>
      <w:r w:rsidRPr="00520CEC">
        <w:rPr>
          <w:b/>
        </w:rPr>
        <w:t>8</w:t>
      </w:r>
      <w:r w:rsidRPr="00520CEC">
        <w:rPr>
          <w:b/>
        </w:rPr>
        <w:tab/>
        <w:t>Rule 1.2.3 (</w:t>
      </w:r>
      <w:r w:rsidR="00CD69B9" w:rsidRPr="00520CEC">
        <w:rPr>
          <w:b/>
        </w:rPr>
        <w:t xml:space="preserve">definition of </w:t>
      </w:r>
      <w:r w:rsidR="00AE530D" w:rsidRPr="00520CEC">
        <w:rPr>
          <w:b/>
          <w:i/>
          <w:iCs/>
        </w:rPr>
        <w:t>Prescribed Repository</w:t>
      </w:r>
      <w:r w:rsidRPr="00520CEC">
        <w:rPr>
          <w:b/>
          <w:i/>
          <w:iCs/>
        </w:rPr>
        <w:t>)</w:t>
      </w:r>
    </w:p>
    <w:p w14:paraId="37A7A620" w14:textId="1DE75DEA" w:rsidR="00387A12" w:rsidRPr="00520CEC" w:rsidRDefault="00387A12" w:rsidP="00387A12">
      <w:pPr>
        <w:pStyle w:val="LI-BodyTextNumbered"/>
      </w:pPr>
      <w:r w:rsidRPr="00520CEC">
        <w:t>Omit “section 761A”, substitute “section 9”.</w:t>
      </w:r>
    </w:p>
    <w:p w14:paraId="2EF8244E" w14:textId="023CB7EA" w:rsidR="001E0BF5" w:rsidRPr="00520CEC" w:rsidRDefault="00D16CAC" w:rsidP="00CA3A25">
      <w:pPr>
        <w:pStyle w:val="LI-BodyTextNumbered"/>
        <w:ind w:left="567"/>
        <w:rPr>
          <w:b/>
        </w:rPr>
      </w:pPr>
      <w:r w:rsidRPr="00520CEC">
        <w:rPr>
          <w:b/>
        </w:rPr>
        <w:t>9</w:t>
      </w:r>
      <w:r w:rsidR="001E0BF5" w:rsidRPr="00520CEC">
        <w:rPr>
          <w:b/>
        </w:rPr>
        <w:tab/>
      </w:r>
      <w:r w:rsidRPr="00520CEC">
        <w:rPr>
          <w:b/>
        </w:rPr>
        <w:t>Paragraph 1.2.4(</w:t>
      </w:r>
      <w:r w:rsidR="002B4C94" w:rsidRPr="00520CEC">
        <w:rPr>
          <w:b/>
        </w:rPr>
        <w:t>2)(a)</w:t>
      </w:r>
    </w:p>
    <w:p w14:paraId="39C35DEC" w14:textId="11691285" w:rsidR="002B4C94" w:rsidRPr="00520CEC" w:rsidRDefault="002B4C94" w:rsidP="002B4C94">
      <w:pPr>
        <w:pStyle w:val="LI-BodyTextNumbered"/>
      </w:pPr>
      <w:r w:rsidRPr="00520CEC">
        <w:t>Omit “section 761A”, substitute “section 9”.</w:t>
      </w:r>
    </w:p>
    <w:p w14:paraId="2C62FD68" w14:textId="2B8DB80C" w:rsidR="00DD4C87" w:rsidRPr="00520CEC" w:rsidRDefault="00DD4C87" w:rsidP="00DD4C87">
      <w:pPr>
        <w:pStyle w:val="LI-BodyTextNumbered"/>
        <w:ind w:left="567"/>
        <w:rPr>
          <w:b/>
        </w:rPr>
      </w:pPr>
      <w:r w:rsidRPr="00520CEC">
        <w:rPr>
          <w:b/>
        </w:rPr>
        <w:t>10</w:t>
      </w:r>
      <w:r w:rsidRPr="00520CEC">
        <w:rPr>
          <w:b/>
        </w:rPr>
        <w:tab/>
        <w:t>Paragraph 1.2.4(5)(b)</w:t>
      </w:r>
      <w:r w:rsidR="00A57911" w:rsidRPr="00520CEC">
        <w:rPr>
          <w:b/>
        </w:rPr>
        <w:t xml:space="preserve"> (Note 2)</w:t>
      </w:r>
    </w:p>
    <w:p w14:paraId="6CA03DDE" w14:textId="00BF4144" w:rsidR="00DD4C87" w:rsidRPr="00520CEC" w:rsidRDefault="00DD4C87" w:rsidP="00DA7A6E">
      <w:pPr>
        <w:pStyle w:val="LI-BodyTextNumbered"/>
        <w:ind w:left="567" w:firstLine="0"/>
      </w:pPr>
      <w:r w:rsidRPr="00520CEC">
        <w:t xml:space="preserve">Omit </w:t>
      </w:r>
      <w:r w:rsidR="00F04CF8" w:rsidRPr="00520CEC">
        <w:t>“</w:t>
      </w:r>
      <w:r w:rsidR="001A1F2E" w:rsidRPr="00520CEC">
        <w:t xml:space="preserve">Federal Register of Legislative Instruments (FRLI) and take effect under the </w:t>
      </w:r>
      <w:r w:rsidR="001A1F2E" w:rsidRPr="00520CEC">
        <w:rPr>
          <w:i/>
          <w:iCs/>
        </w:rPr>
        <w:t>Legislative Instruments Act 2003</w:t>
      </w:r>
      <w:r w:rsidR="00F04CF8" w:rsidRPr="00520CEC">
        <w:t xml:space="preserve">”, substitute “Federal Register of </w:t>
      </w:r>
      <w:r w:rsidR="001A2385" w:rsidRPr="00520CEC">
        <w:t>Legislation</w:t>
      </w:r>
      <w:r w:rsidR="00F04CF8" w:rsidRPr="00520CEC">
        <w:t xml:space="preserve"> (FR</w:t>
      </w:r>
      <w:r w:rsidR="00DA7A6E" w:rsidRPr="00520CEC">
        <w:t>L</w:t>
      </w:r>
      <w:r w:rsidR="00F04CF8" w:rsidRPr="00520CEC">
        <w:t xml:space="preserve">) and take effect under the </w:t>
      </w:r>
      <w:r w:rsidR="00DA7A6E" w:rsidRPr="00520CEC">
        <w:rPr>
          <w:i/>
          <w:iCs/>
        </w:rPr>
        <w:t>Legislation</w:t>
      </w:r>
      <w:r w:rsidR="00F04CF8" w:rsidRPr="00520CEC">
        <w:rPr>
          <w:i/>
          <w:iCs/>
        </w:rPr>
        <w:t xml:space="preserve"> Act 2003</w:t>
      </w:r>
      <w:r w:rsidR="00F04CF8" w:rsidRPr="00520CEC">
        <w:t>”</w:t>
      </w:r>
      <w:r w:rsidRPr="00520CEC">
        <w:t xml:space="preserve">. </w:t>
      </w:r>
    </w:p>
    <w:p w14:paraId="056966F7" w14:textId="0A366FF6" w:rsidR="001E0BF5" w:rsidRPr="00520CEC" w:rsidRDefault="007A1989" w:rsidP="00CA3A25">
      <w:pPr>
        <w:pStyle w:val="LI-BodyTextNumbered"/>
        <w:ind w:left="567"/>
        <w:rPr>
          <w:b/>
        </w:rPr>
      </w:pPr>
      <w:r w:rsidRPr="00520CEC">
        <w:rPr>
          <w:b/>
        </w:rPr>
        <w:t>1</w:t>
      </w:r>
      <w:r w:rsidR="002F3CAA" w:rsidRPr="00520CEC">
        <w:rPr>
          <w:b/>
        </w:rPr>
        <w:t>1</w:t>
      </w:r>
      <w:r w:rsidR="001E0BF5" w:rsidRPr="00520CEC">
        <w:rPr>
          <w:b/>
        </w:rPr>
        <w:tab/>
      </w:r>
      <w:r w:rsidR="000E474E" w:rsidRPr="00520CEC">
        <w:rPr>
          <w:b/>
        </w:rPr>
        <w:t xml:space="preserve">Subrule </w:t>
      </w:r>
      <w:r w:rsidR="006515C1" w:rsidRPr="00520CEC">
        <w:rPr>
          <w:b/>
        </w:rPr>
        <w:t>2.2.1(1)</w:t>
      </w:r>
    </w:p>
    <w:p w14:paraId="379FC788" w14:textId="3BDFAA59" w:rsidR="001E0BF5" w:rsidRPr="00520CEC" w:rsidRDefault="00DF3032" w:rsidP="001E0BF5">
      <w:pPr>
        <w:pStyle w:val="LI-BodyTextNumbered"/>
      </w:pPr>
      <w:r w:rsidRPr="00520CEC">
        <w:t xml:space="preserve">Omit </w:t>
      </w:r>
      <w:r w:rsidR="001E0BF5" w:rsidRPr="00520CEC">
        <w:t>“</w:t>
      </w:r>
      <w:r w:rsidRPr="00520CEC">
        <w:t>and (3)</w:t>
      </w:r>
      <w:r w:rsidR="001E0BF5" w:rsidRPr="00520CEC">
        <w:t xml:space="preserve">”, </w:t>
      </w:r>
      <w:r w:rsidRPr="00520CEC">
        <w:t xml:space="preserve">substitute </w:t>
      </w:r>
      <w:r w:rsidR="001E0BF5" w:rsidRPr="00520CEC">
        <w:t>“</w:t>
      </w:r>
      <w:r w:rsidRPr="00520CEC">
        <w:t>to (4)</w:t>
      </w:r>
      <w:r w:rsidR="001E0BF5" w:rsidRPr="00520CEC">
        <w:t>”.</w:t>
      </w:r>
    </w:p>
    <w:p w14:paraId="793A4E4C" w14:textId="77777777" w:rsidR="001928DE" w:rsidRPr="00520CEC" w:rsidRDefault="001928DE" w:rsidP="001E0BF5">
      <w:pPr>
        <w:pStyle w:val="LI-BodyTextNumbered"/>
      </w:pPr>
    </w:p>
    <w:p w14:paraId="07B67B6B" w14:textId="6571ED35" w:rsidR="00FA31DE" w:rsidRPr="00520CEC" w:rsidRDefault="00E71560" w:rsidP="00CA3A25">
      <w:pPr>
        <w:pStyle w:val="LI-BodyTextNumbered"/>
        <w:ind w:left="567"/>
        <w:rPr>
          <w:b/>
        </w:rPr>
      </w:pPr>
      <w:r w:rsidRPr="00520CEC">
        <w:rPr>
          <w:b/>
        </w:rPr>
        <w:lastRenderedPageBreak/>
        <w:t>1</w:t>
      </w:r>
      <w:r w:rsidR="002F3CAA" w:rsidRPr="00520CEC">
        <w:rPr>
          <w:b/>
        </w:rPr>
        <w:t>2</w:t>
      </w:r>
      <w:r w:rsidR="00FC3EB8" w:rsidRPr="00520CEC">
        <w:rPr>
          <w:b/>
        </w:rPr>
        <w:tab/>
      </w:r>
      <w:r w:rsidR="00D84B1B" w:rsidRPr="00520CEC">
        <w:rPr>
          <w:b/>
        </w:rPr>
        <w:t xml:space="preserve">After </w:t>
      </w:r>
      <w:r w:rsidR="00F37390" w:rsidRPr="00520CEC">
        <w:rPr>
          <w:b/>
        </w:rPr>
        <w:t>s</w:t>
      </w:r>
      <w:r w:rsidR="00D84B1B" w:rsidRPr="00520CEC">
        <w:rPr>
          <w:b/>
        </w:rPr>
        <w:t>ubr</w:t>
      </w:r>
      <w:r w:rsidR="00C91E23" w:rsidRPr="00520CEC">
        <w:rPr>
          <w:b/>
        </w:rPr>
        <w:t>ule 2.2.1</w:t>
      </w:r>
      <w:r w:rsidR="00D84B1B" w:rsidRPr="00520CEC">
        <w:rPr>
          <w:b/>
        </w:rPr>
        <w:t>(3)</w:t>
      </w:r>
    </w:p>
    <w:p w14:paraId="7EA96546" w14:textId="3FDDA72B" w:rsidR="00647598" w:rsidRPr="00520CEC" w:rsidRDefault="00F37390" w:rsidP="00850F56">
      <w:pPr>
        <w:pStyle w:val="LI-BodyTextNumbered"/>
      </w:pPr>
      <w:r w:rsidRPr="00520CEC">
        <w:t>I</w:t>
      </w:r>
      <w:r w:rsidR="00BC0113" w:rsidRPr="00520CEC">
        <w:t>nsert</w:t>
      </w:r>
      <w:r w:rsidRPr="00520CEC">
        <w:t>:</w:t>
      </w:r>
    </w:p>
    <w:p w14:paraId="13FB16EB" w14:textId="23AC015A" w:rsidR="00F52127" w:rsidRPr="00520CEC" w:rsidRDefault="00F52127" w:rsidP="00FA020B">
      <w:pPr>
        <w:pStyle w:val="LI-BodyTextNumbered"/>
        <w:ind w:firstLine="0"/>
        <w:rPr>
          <w:rFonts w:ascii="Arial" w:hAnsi="Arial" w:cs="Arial"/>
          <w:b/>
          <w:bCs/>
          <w:sz w:val="20"/>
          <w:szCs w:val="20"/>
        </w:rPr>
      </w:pPr>
      <w:r w:rsidRPr="00520CEC">
        <w:rPr>
          <w:rFonts w:ascii="Arial" w:hAnsi="Arial" w:cs="Arial"/>
          <w:b/>
          <w:bCs/>
          <w:sz w:val="20"/>
          <w:szCs w:val="20"/>
        </w:rPr>
        <w:t>Exception for incomplete ISO 20022 message definition</w:t>
      </w:r>
      <w:r w:rsidR="00C27CB7">
        <w:rPr>
          <w:rFonts w:ascii="Arial" w:hAnsi="Arial" w:cs="Arial"/>
          <w:b/>
          <w:bCs/>
          <w:sz w:val="20"/>
          <w:szCs w:val="20"/>
        </w:rPr>
        <w:t xml:space="preserve">, delay </w:t>
      </w:r>
      <w:r w:rsidR="00E673CA" w:rsidRPr="00E673CA">
        <w:rPr>
          <w:rFonts w:ascii="Arial" w:hAnsi="Arial" w:cs="Arial"/>
          <w:b/>
          <w:bCs/>
          <w:sz w:val="20"/>
          <w:szCs w:val="20"/>
        </w:rPr>
        <w:t xml:space="preserve">for changed message </w:t>
      </w:r>
      <w:proofErr w:type="gramStart"/>
      <w:r w:rsidR="00E673CA" w:rsidRPr="00E673CA">
        <w:rPr>
          <w:rFonts w:ascii="Arial" w:hAnsi="Arial" w:cs="Arial"/>
          <w:b/>
          <w:bCs/>
          <w:sz w:val="20"/>
          <w:szCs w:val="20"/>
        </w:rPr>
        <w:t>definition</w:t>
      </w:r>
      <w:proofErr w:type="gramEnd"/>
    </w:p>
    <w:p w14:paraId="1C0234AB" w14:textId="331C0829" w:rsidR="00BC0113" w:rsidRDefault="00F52127" w:rsidP="0011587F">
      <w:pPr>
        <w:pStyle w:val="LI-BodyTextNumbered"/>
        <w:spacing w:before="200" w:line="300" w:lineRule="atLeast"/>
        <w:ind w:firstLine="0"/>
        <w:rPr>
          <w:sz w:val="22"/>
          <w:szCs w:val="22"/>
        </w:rPr>
      </w:pPr>
      <w:r w:rsidRPr="00520CEC">
        <w:rPr>
          <w:sz w:val="22"/>
          <w:szCs w:val="22"/>
        </w:rPr>
        <w:t>(4) A Reporting Entity is not required to comply with the requirements of subrule (1) and this Part that would otherwise apply to the Reporting Entity in relation to one or more items of Derivative Transaction Information set out in Part S1.3 of Schedule 1 about a Reportable Transaction</w:t>
      </w:r>
      <w:r w:rsidR="00EE20D7">
        <w:rPr>
          <w:sz w:val="22"/>
          <w:szCs w:val="22"/>
        </w:rPr>
        <w:t>:</w:t>
      </w:r>
    </w:p>
    <w:p w14:paraId="5A4D1E10" w14:textId="203F958E" w:rsidR="00EE20D7" w:rsidRPr="00BF10EA" w:rsidRDefault="00EE20D7" w:rsidP="00BF10EA">
      <w:pPr>
        <w:pStyle w:val="LI-BodyTextSubparai"/>
        <w:ind w:left="1560" w:hanging="426"/>
        <w:rPr>
          <w:sz w:val="22"/>
          <w:szCs w:val="22"/>
        </w:rPr>
      </w:pPr>
      <w:r w:rsidRPr="00BF10EA">
        <w:rPr>
          <w:sz w:val="22"/>
          <w:szCs w:val="22"/>
        </w:rPr>
        <w:t>(a)</w:t>
      </w:r>
      <w:r w:rsidR="00BF10EA">
        <w:rPr>
          <w:sz w:val="22"/>
          <w:szCs w:val="22"/>
        </w:rPr>
        <w:tab/>
      </w:r>
      <w:r w:rsidRPr="00BF10EA">
        <w:rPr>
          <w:sz w:val="22"/>
          <w:szCs w:val="22"/>
        </w:rPr>
        <w:t xml:space="preserve">if at the time the Reporting Entity is required to comply with the requirements, the ISO 20022 message definition used in accordance with subrule 2.2.4(2) does not include those items of Derivative Transaction </w:t>
      </w:r>
      <w:proofErr w:type="gramStart"/>
      <w:r w:rsidRPr="00BF10EA">
        <w:rPr>
          <w:sz w:val="22"/>
          <w:szCs w:val="22"/>
        </w:rPr>
        <w:t>Information;</w:t>
      </w:r>
      <w:proofErr w:type="gramEnd"/>
      <w:r w:rsidRPr="00BF10EA">
        <w:rPr>
          <w:sz w:val="22"/>
          <w:szCs w:val="22"/>
        </w:rPr>
        <w:t xml:space="preserve"> or</w:t>
      </w:r>
    </w:p>
    <w:p w14:paraId="5B874100" w14:textId="4FB3A21B" w:rsidR="00EE20D7" w:rsidRDefault="00EE20D7" w:rsidP="00171088">
      <w:pPr>
        <w:pStyle w:val="LI-BodyTextSubparai"/>
        <w:ind w:left="1560" w:hanging="426"/>
        <w:rPr>
          <w:sz w:val="22"/>
          <w:szCs w:val="22"/>
        </w:rPr>
      </w:pPr>
      <w:r w:rsidRPr="002A6207">
        <w:rPr>
          <w:sz w:val="22"/>
          <w:szCs w:val="22"/>
        </w:rPr>
        <w:t>(b)</w:t>
      </w:r>
      <w:r w:rsidR="00BF10EA">
        <w:rPr>
          <w:sz w:val="22"/>
          <w:szCs w:val="22"/>
        </w:rPr>
        <w:tab/>
      </w:r>
      <w:r w:rsidRPr="004A70D8">
        <w:rPr>
          <w:sz w:val="22"/>
          <w:szCs w:val="22"/>
        </w:rPr>
        <w:t>until the first Monday that occurs 7 months after the date of an approved change to the ISO 20022 message definition, if at the time the reporting entity is required to comply with the requirements, the changed ISO 20022 message definition has been in effect for a period of less than 7 months.</w:t>
      </w:r>
    </w:p>
    <w:p w14:paraId="439F317B" w14:textId="5EA5F6F9" w:rsidR="00850F56" w:rsidRPr="00520CEC" w:rsidRDefault="002851A6" w:rsidP="00CA3A25">
      <w:pPr>
        <w:pStyle w:val="LI-BodyTextNumbered"/>
        <w:ind w:left="567"/>
        <w:rPr>
          <w:b/>
        </w:rPr>
      </w:pPr>
      <w:r w:rsidRPr="00520CEC">
        <w:rPr>
          <w:b/>
        </w:rPr>
        <w:t>1</w:t>
      </w:r>
      <w:r w:rsidR="00785DEA" w:rsidRPr="00520CEC">
        <w:rPr>
          <w:b/>
        </w:rPr>
        <w:t>3</w:t>
      </w:r>
      <w:r w:rsidR="00850F56" w:rsidRPr="00520CEC">
        <w:rPr>
          <w:b/>
        </w:rPr>
        <w:tab/>
      </w:r>
      <w:r w:rsidRPr="00520CEC">
        <w:rPr>
          <w:b/>
        </w:rPr>
        <w:t>Paragraph 2.2.4(2)(b)</w:t>
      </w:r>
    </w:p>
    <w:p w14:paraId="46925BC9" w14:textId="20009DCE" w:rsidR="00850F56" w:rsidRPr="00520CEC" w:rsidRDefault="00321083" w:rsidP="00850F56">
      <w:pPr>
        <w:pStyle w:val="LI-BodyTextNumbered"/>
      </w:pPr>
      <w:r w:rsidRPr="00520CEC">
        <w:t xml:space="preserve">Before </w:t>
      </w:r>
      <w:r w:rsidR="00C82D8E" w:rsidRPr="00520CEC">
        <w:t>“in</w:t>
      </w:r>
      <w:r w:rsidR="006E40F5" w:rsidRPr="00520CEC">
        <w:t xml:space="preserve"> accordance</w:t>
      </w:r>
      <w:r w:rsidR="00C82D8E" w:rsidRPr="00520CEC">
        <w:t>”</w:t>
      </w:r>
      <w:r w:rsidR="00CC1067" w:rsidRPr="00520CEC">
        <w:t>, insert “subject to subrule 2.2.1(4)</w:t>
      </w:r>
      <w:r w:rsidR="00A940C6" w:rsidRPr="00520CEC">
        <w:t>,”</w:t>
      </w:r>
      <w:r w:rsidR="00316F66" w:rsidRPr="00520CEC">
        <w:t>.</w:t>
      </w:r>
    </w:p>
    <w:p w14:paraId="6F7C4E00" w14:textId="52B2982A" w:rsidR="00A940C6" w:rsidRPr="00520CEC" w:rsidRDefault="00A940C6" w:rsidP="00A940C6">
      <w:pPr>
        <w:pStyle w:val="LI-BodyTextNumbered"/>
        <w:ind w:left="567"/>
        <w:rPr>
          <w:b/>
        </w:rPr>
      </w:pPr>
      <w:r w:rsidRPr="00520CEC">
        <w:rPr>
          <w:b/>
        </w:rPr>
        <w:t>1</w:t>
      </w:r>
      <w:r w:rsidR="00785DEA" w:rsidRPr="00520CEC">
        <w:rPr>
          <w:b/>
        </w:rPr>
        <w:t>4</w:t>
      </w:r>
      <w:r w:rsidRPr="00520CEC">
        <w:rPr>
          <w:b/>
        </w:rPr>
        <w:tab/>
        <w:t>Paragraph 2.2.4(2)(b)</w:t>
      </w:r>
    </w:p>
    <w:p w14:paraId="0EC93CBB" w14:textId="6CC8FC80" w:rsidR="00A940C6" w:rsidRPr="00520CEC" w:rsidRDefault="00A940C6" w:rsidP="00A940C6">
      <w:pPr>
        <w:pStyle w:val="LI-BodyTextNumbered"/>
      </w:pPr>
      <w:r w:rsidRPr="00520CEC">
        <w:t>Omit “all of”</w:t>
      </w:r>
      <w:r w:rsidR="00D67041" w:rsidRPr="00520CEC">
        <w:t>.</w:t>
      </w:r>
    </w:p>
    <w:p w14:paraId="712643E7" w14:textId="79DD2F46" w:rsidR="00117F41" w:rsidRPr="00520CEC" w:rsidRDefault="00A30E61" w:rsidP="00117F41">
      <w:pPr>
        <w:pStyle w:val="LI-BodyTextNumbered"/>
        <w:ind w:left="567"/>
        <w:rPr>
          <w:b/>
        </w:rPr>
      </w:pPr>
      <w:r w:rsidRPr="00520CEC">
        <w:rPr>
          <w:b/>
        </w:rPr>
        <w:t>1</w:t>
      </w:r>
      <w:r w:rsidR="00785DEA" w:rsidRPr="00520CEC">
        <w:rPr>
          <w:b/>
        </w:rPr>
        <w:t>6</w:t>
      </w:r>
      <w:r w:rsidRPr="00520CEC">
        <w:rPr>
          <w:b/>
        </w:rPr>
        <w:tab/>
      </w:r>
      <w:r w:rsidR="00ED166C" w:rsidRPr="00520CEC">
        <w:rPr>
          <w:b/>
        </w:rPr>
        <w:t xml:space="preserve">Rule S1.3.1 </w:t>
      </w:r>
      <w:r w:rsidR="00E64A4E" w:rsidRPr="00520CEC">
        <w:rPr>
          <w:b/>
        </w:rPr>
        <w:t>(Table S1.1(1): Transaction information</w:t>
      </w:r>
      <w:r w:rsidR="00413E3F" w:rsidRPr="00520CEC">
        <w:rPr>
          <w:b/>
        </w:rPr>
        <w:t>, cell at</w:t>
      </w:r>
      <w:r w:rsidR="00760AF1" w:rsidRPr="00520CEC">
        <w:rPr>
          <w:b/>
        </w:rPr>
        <w:t xml:space="preserve"> item 1, </w:t>
      </w:r>
      <w:r w:rsidR="00B27C45" w:rsidRPr="00520CEC">
        <w:rPr>
          <w:b/>
        </w:rPr>
        <w:t>column headed “3. Derivative Transaction Information”</w:t>
      </w:r>
      <w:r w:rsidR="00D17E95" w:rsidRPr="00520CEC">
        <w:rPr>
          <w:b/>
        </w:rPr>
        <w:t>)</w:t>
      </w:r>
    </w:p>
    <w:p w14:paraId="151B0C31" w14:textId="4BCFB18F" w:rsidR="00A41D51" w:rsidRPr="00520CEC" w:rsidRDefault="00031C80" w:rsidP="003926A1">
      <w:pPr>
        <w:pStyle w:val="LI-BodyTextNumbered"/>
      </w:pPr>
      <w:r w:rsidRPr="00520CEC">
        <w:t>Before “</w:t>
      </w:r>
      <w:r w:rsidR="00EC46A9" w:rsidRPr="00520CEC">
        <w:t>1.2.5(1)(b)(</w:t>
      </w:r>
      <w:proofErr w:type="spellStart"/>
      <w:r w:rsidR="00EC46A9" w:rsidRPr="00520CEC">
        <w:t>i</w:t>
      </w:r>
      <w:proofErr w:type="spellEnd"/>
      <w:r w:rsidR="00EC46A9" w:rsidRPr="00520CEC">
        <w:t>)”, insert “subparagraph”.</w:t>
      </w:r>
    </w:p>
    <w:p w14:paraId="40B11924" w14:textId="356B9BA6" w:rsidR="00A41D51" w:rsidRPr="00520CEC" w:rsidRDefault="008626F8" w:rsidP="00AA274B">
      <w:pPr>
        <w:pStyle w:val="LI-BodyTextNumbered"/>
        <w:ind w:left="567"/>
        <w:rPr>
          <w:b/>
        </w:rPr>
      </w:pPr>
      <w:r w:rsidRPr="00520CEC">
        <w:rPr>
          <w:b/>
        </w:rPr>
        <w:t>1</w:t>
      </w:r>
      <w:r w:rsidR="000A0574" w:rsidRPr="00520CEC">
        <w:rPr>
          <w:b/>
        </w:rPr>
        <w:t>7</w:t>
      </w:r>
      <w:r w:rsidRPr="00520CEC">
        <w:rPr>
          <w:b/>
        </w:rPr>
        <w:tab/>
      </w:r>
      <w:r w:rsidR="00A41D51" w:rsidRPr="00520CEC">
        <w:rPr>
          <w:b/>
        </w:rPr>
        <w:t>Rule S1.3.1 (Table S1.1(1): Transaction information, cell at item 1, column headed “3. Derivative Transaction Information”)</w:t>
      </w:r>
    </w:p>
    <w:p w14:paraId="2A8EB272" w14:textId="544F3DD5" w:rsidR="00EC46A9" w:rsidRPr="00520CEC" w:rsidRDefault="005F3FAB" w:rsidP="001A6B76">
      <w:pPr>
        <w:pStyle w:val="LI-BodyTextNumbered"/>
      </w:pPr>
      <w:r w:rsidRPr="00520CEC">
        <w:t>Omit “subrule 2.2.2(2)(c)</w:t>
      </w:r>
      <w:r w:rsidR="002E49DE" w:rsidRPr="00520CEC">
        <w:t>”, substitute “paragraph 2.2.2(2)(c)”.</w:t>
      </w:r>
    </w:p>
    <w:p w14:paraId="3FCB3EFB" w14:textId="7C3EF5A9" w:rsidR="00A41D51" w:rsidRPr="00520CEC" w:rsidRDefault="00A41D51" w:rsidP="00AA274B">
      <w:pPr>
        <w:pStyle w:val="LI-BodyTextNumbered"/>
        <w:ind w:left="567"/>
        <w:rPr>
          <w:b/>
        </w:rPr>
      </w:pPr>
      <w:r w:rsidRPr="00520CEC">
        <w:rPr>
          <w:b/>
        </w:rPr>
        <w:t>1</w:t>
      </w:r>
      <w:r w:rsidR="000A0574" w:rsidRPr="00520CEC">
        <w:rPr>
          <w:b/>
        </w:rPr>
        <w:t>8</w:t>
      </w:r>
      <w:r w:rsidRPr="00520CEC">
        <w:rPr>
          <w:b/>
        </w:rPr>
        <w:tab/>
        <w:t>Rule S1.3.1 (Table S1.1(1): Transaction information, cell at item 1, column headed “3. Derivative Transaction Information”)</w:t>
      </w:r>
    </w:p>
    <w:p w14:paraId="4FA3587D" w14:textId="166343BE" w:rsidR="002E49DE" w:rsidRPr="00520CEC" w:rsidRDefault="002E49DE" w:rsidP="00380993">
      <w:pPr>
        <w:pStyle w:val="LI-BodyTextNumbered"/>
        <w:ind w:left="567" w:firstLine="0"/>
      </w:pPr>
      <w:r w:rsidRPr="00520CEC">
        <w:t>Omit</w:t>
      </w:r>
      <w:r w:rsidR="0061733F" w:rsidRPr="00520CEC">
        <w:t xml:space="preserve"> the paragraph beginning</w:t>
      </w:r>
      <w:r w:rsidR="00A32DE3" w:rsidRPr="00520CEC">
        <w:t xml:space="preserve"> </w:t>
      </w:r>
      <w:r w:rsidR="00647C14" w:rsidRPr="00520CEC">
        <w:t>“</w:t>
      </w:r>
      <w:r w:rsidR="0095359C" w:rsidRPr="00520CEC">
        <w:t>For a Reportable Transaction of the kind referred to in 1.2.5(1)(b)(ii)</w:t>
      </w:r>
      <w:r w:rsidR="00FE0704" w:rsidRPr="00520CEC">
        <w:t>”</w:t>
      </w:r>
      <w:r w:rsidR="0095359C" w:rsidRPr="00520CEC">
        <w:t xml:space="preserve"> (including paragraphs (a) and (b)</w:t>
      </w:r>
      <w:r w:rsidR="00380993" w:rsidRPr="00520CEC">
        <w:t xml:space="preserve"> of that paragraph</w:t>
      </w:r>
      <w:r w:rsidR="0095359C" w:rsidRPr="00520CEC">
        <w:t>)</w:t>
      </w:r>
      <w:r w:rsidR="00647C14" w:rsidRPr="00520CEC">
        <w:t>, substitute:</w:t>
      </w:r>
    </w:p>
    <w:p w14:paraId="005FD8B3" w14:textId="6421E33B" w:rsidR="00DD5738" w:rsidRPr="00520CEC" w:rsidRDefault="00DD5738" w:rsidP="000F3B6C">
      <w:pPr>
        <w:pStyle w:val="LI-BodyTextNumbered"/>
        <w:ind w:right="2501" w:firstLine="0"/>
        <w:rPr>
          <w:rFonts w:ascii="Arial" w:hAnsi="Arial" w:cs="Arial"/>
          <w:sz w:val="18"/>
          <w:szCs w:val="18"/>
        </w:rPr>
      </w:pPr>
      <w:r w:rsidRPr="00520CEC">
        <w:rPr>
          <w:rFonts w:ascii="Arial" w:hAnsi="Arial" w:cs="Arial"/>
          <w:sz w:val="18"/>
          <w:szCs w:val="18"/>
        </w:rPr>
        <w:t>For a Reportable Transaction of the kind referred to in subparagraph 1.2.5(1)(b)(ii) in relation to an OTC Derivative or for a report made under paragraph 2.2.2(2)(a) or (b) or Rule 2.4.1 in relation to an OTC Derivative:</w:t>
      </w:r>
    </w:p>
    <w:p w14:paraId="78090ACA" w14:textId="77777777" w:rsidR="00DD5738" w:rsidRPr="00520CEC" w:rsidRDefault="00DD5738" w:rsidP="000F3B6C">
      <w:pPr>
        <w:pStyle w:val="tbltext"/>
        <w:numPr>
          <w:ilvl w:val="0"/>
          <w:numId w:val="33"/>
        </w:numPr>
        <w:ind w:left="1701" w:right="2501" w:hanging="567"/>
      </w:pPr>
      <w:r w:rsidRPr="00520CEC">
        <w:t xml:space="preserve">if a UTI was reported for the initial Reportable Transaction in relation to the OTC Derivative—that </w:t>
      </w:r>
      <w:r w:rsidRPr="00520CEC">
        <w:lastRenderedPageBreak/>
        <w:t>UTI; and</w:t>
      </w:r>
    </w:p>
    <w:p w14:paraId="0DEFD755" w14:textId="77777777" w:rsidR="00DD5738" w:rsidRPr="00520CEC" w:rsidRDefault="00DD5738" w:rsidP="000F3B6C">
      <w:pPr>
        <w:pStyle w:val="tbltext"/>
        <w:numPr>
          <w:ilvl w:val="0"/>
          <w:numId w:val="33"/>
        </w:numPr>
        <w:ind w:left="1701" w:right="2501" w:hanging="567"/>
      </w:pPr>
      <w:r w:rsidRPr="00520CEC">
        <w:t>if a UTI was not reported for the initial Reportable Transaction—a transaction identifier that was reported for the initial Reportable Transaction.</w:t>
      </w:r>
    </w:p>
    <w:p w14:paraId="263D660C" w14:textId="031728BA" w:rsidR="008626F8" w:rsidRPr="00520CEC" w:rsidRDefault="00915988" w:rsidP="00AA274B">
      <w:pPr>
        <w:pStyle w:val="LI-BodyTextNumbered"/>
        <w:ind w:left="567"/>
        <w:rPr>
          <w:b/>
        </w:rPr>
      </w:pPr>
      <w:r w:rsidRPr="00520CEC">
        <w:rPr>
          <w:b/>
        </w:rPr>
        <w:t>19</w:t>
      </w:r>
      <w:r w:rsidR="00DD5738" w:rsidRPr="00520CEC">
        <w:rPr>
          <w:b/>
        </w:rPr>
        <w:tab/>
      </w:r>
      <w:r w:rsidR="008626F8" w:rsidRPr="00520CEC">
        <w:rPr>
          <w:b/>
        </w:rPr>
        <w:t>Rule S1.3.1 (Table S1.1(1): Transaction information</w:t>
      </w:r>
      <w:r w:rsidR="00B01511" w:rsidRPr="00520CEC">
        <w:rPr>
          <w:b/>
        </w:rPr>
        <w:t xml:space="preserve">, cell at item 1, column headed “4. </w:t>
      </w:r>
      <w:r w:rsidR="004A093D" w:rsidRPr="00520CEC">
        <w:rPr>
          <w:b/>
        </w:rPr>
        <w:t>Format”</w:t>
      </w:r>
      <w:r w:rsidR="008626F8" w:rsidRPr="00520CEC">
        <w:rPr>
          <w:b/>
        </w:rPr>
        <w:t>)</w:t>
      </w:r>
    </w:p>
    <w:p w14:paraId="1C80AAAF" w14:textId="47ED1E8A" w:rsidR="008626F8" w:rsidRPr="00520CEC" w:rsidRDefault="004A093D" w:rsidP="001D36AD">
      <w:pPr>
        <w:pStyle w:val="LI-BodyTextNumbered"/>
        <w:ind w:left="567" w:firstLine="0"/>
      </w:pPr>
      <w:r w:rsidRPr="00520CEC">
        <w:t>O</w:t>
      </w:r>
      <w:r w:rsidR="008626F8" w:rsidRPr="00520CEC">
        <w:t xml:space="preserve">mit </w:t>
      </w:r>
      <w:r w:rsidR="00F649BE" w:rsidRPr="00520CEC">
        <w:t xml:space="preserve">“no format is specified”, </w:t>
      </w:r>
      <w:r w:rsidR="008626F8" w:rsidRPr="00520CEC">
        <w:t>substitute</w:t>
      </w:r>
      <w:r w:rsidR="00F649BE" w:rsidRPr="00520CEC">
        <w:t xml:space="preserve"> “an alphanum</w:t>
      </w:r>
      <w:r w:rsidR="00DD5738" w:rsidRPr="00520CEC">
        <w:t>eric</w:t>
      </w:r>
      <w:r w:rsidR="00F649BE" w:rsidRPr="00520CEC">
        <w:t xml:space="preserve"> code </w:t>
      </w:r>
      <w:r w:rsidR="001D36AD" w:rsidRPr="00520CEC">
        <w:t>of not more than 72 characters”.</w:t>
      </w:r>
    </w:p>
    <w:p w14:paraId="7830C928" w14:textId="720802C5" w:rsidR="00094279" w:rsidRPr="00520CEC" w:rsidRDefault="00094279" w:rsidP="00094279">
      <w:pPr>
        <w:pStyle w:val="LI-BodyTextNumbered"/>
        <w:ind w:left="567"/>
        <w:rPr>
          <w:b/>
        </w:rPr>
      </w:pPr>
      <w:r w:rsidRPr="00520CEC">
        <w:rPr>
          <w:b/>
        </w:rPr>
        <w:t>2</w:t>
      </w:r>
      <w:r w:rsidR="007273CF" w:rsidRPr="00520CEC">
        <w:rPr>
          <w:b/>
        </w:rPr>
        <w:t>0</w:t>
      </w:r>
      <w:r w:rsidRPr="00520CEC">
        <w:rPr>
          <w:b/>
        </w:rPr>
        <w:tab/>
        <w:t>Rule S1.3.1 (Table S1.1(1): Transaction information</w:t>
      </w:r>
      <w:r w:rsidR="007070A7" w:rsidRPr="00520CEC">
        <w:rPr>
          <w:b/>
        </w:rPr>
        <w:t xml:space="preserve">, cell at item 13, column headed </w:t>
      </w:r>
      <w:r w:rsidR="007C5A2C" w:rsidRPr="00520CEC">
        <w:rPr>
          <w:b/>
        </w:rPr>
        <w:t>“2. Label”</w:t>
      </w:r>
      <w:r w:rsidRPr="00520CEC">
        <w:rPr>
          <w:b/>
        </w:rPr>
        <w:t>)</w:t>
      </w:r>
    </w:p>
    <w:p w14:paraId="02A20097" w14:textId="24E41951" w:rsidR="00094279" w:rsidRPr="00520CEC" w:rsidRDefault="007C5A2C" w:rsidP="00094279">
      <w:pPr>
        <w:pStyle w:val="LI-BodyTextNumbered"/>
      </w:pPr>
      <w:r w:rsidRPr="00520CEC">
        <w:t>O</w:t>
      </w:r>
      <w:r w:rsidR="00094279" w:rsidRPr="00520CEC">
        <w:t xml:space="preserve">mit </w:t>
      </w:r>
      <w:r w:rsidR="00C04246" w:rsidRPr="00520CEC">
        <w:t>“the</w:t>
      </w:r>
      <w:r w:rsidRPr="00520CEC">
        <w:t>”</w:t>
      </w:r>
      <w:r w:rsidR="00C04246" w:rsidRPr="00520CEC">
        <w:t>.</w:t>
      </w:r>
    </w:p>
    <w:p w14:paraId="43A9D898" w14:textId="370D521C" w:rsidR="0067623E" w:rsidRPr="00520CEC" w:rsidRDefault="0067623E" w:rsidP="0067623E">
      <w:pPr>
        <w:pStyle w:val="LI-BodyTextNumbered"/>
        <w:ind w:left="567"/>
        <w:rPr>
          <w:b/>
        </w:rPr>
      </w:pPr>
      <w:r w:rsidRPr="00520CEC">
        <w:rPr>
          <w:b/>
        </w:rPr>
        <w:t>2</w:t>
      </w:r>
      <w:r w:rsidR="007273CF" w:rsidRPr="00520CEC">
        <w:rPr>
          <w:b/>
        </w:rPr>
        <w:t>1</w:t>
      </w:r>
      <w:r w:rsidRPr="00520CEC">
        <w:rPr>
          <w:b/>
        </w:rPr>
        <w:tab/>
        <w:t>Rule S1.3.1 (Table S1.1(1): Transaction information</w:t>
      </w:r>
      <w:r w:rsidR="00894450" w:rsidRPr="00520CEC">
        <w:rPr>
          <w:b/>
        </w:rPr>
        <w:t>, item 25</w:t>
      </w:r>
      <w:r w:rsidR="000920E7" w:rsidRPr="00520CEC">
        <w:rPr>
          <w:b/>
        </w:rPr>
        <w:t>, column headed “3. Derivative Transaction Information”</w:t>
      </w:r>
      <w:r w:rsidRPr="00520CEC">
        <w:rPr>
          <w:b/>
        </w:rPr>
        <w:t>)</w:t>
      </w:r>
    </w:p>
    <w:p w14:paraId="65E719F4" w14:textId="5A656AF7" w:rsidR="0067623E" w:rsidRPr="00520CEC" w:rsidRDefault="00894450" w:rsidP="00CE2032">
      <w:pPr>
        <w:pStyle w:val="LI-BodyTextNumbered"/>
        <w:ind w:left="567" w:firstLine="0"/>
      </w:pPr>
      <w:r w:rsidRPr="00520CEC">
        <w:t>O</w:t>
      </w:r>
      <w:r w:rsidR="0067623E" w:rsidRPr="00520CEC">
        <w:t>mit “</w:t>
      </w:r>
      <w:r w:rsidR="003E06D1" w:rsidRPr="00520CEC">
        <w:t>facility</w:t>
      </w:r>
      <w:r w:rsidR="00DD6158" w:rsidRPr="00520CEC">
        <w:t>”</w:t>
      </w:r>
      <w:r w:rsidR="00BD78A1" w:rsidRPr="00520CEC">
        <w:t xml:space="preserve"> (wherever occurring)</w:t>
      </w:r>
      <w:r w:rsidR="003E06D1" w:rsidRPr="00520CEC">
        <w:t>, substitute</w:t>
      </w:r>
      <w:r w:rsidR="00CE2032" w:rsidRPr="00520CEC">
        <w:t xml:space="preserve"> “financial market”.</w:t>
      </w:r>
    </w:p>
    <w:p w14:paraId="45F7246A" w14:textId="3276C256" w:rsidR="009020FA" w:rsidRPr="00520CEC" w:rsidRDefault="009020FA" w:rsidP="009020FA">
      <w:pPr>
        <w:pStyle w:val="LI-BodyTextNumbered"/>
        <w:ind w:left="567"/>
        <w:rPr>
          <w:b/>
        </w:rPr>
      </w:pPr>
      <w:r w:rsidRPr="00520CEC">
        <w:rPr>
          <w:b/>
        </w:rPr>
        <w:t>22</w:t>
      </w:r>
      <w:r w:rsidRPr="00520CEC">
        <w:rPr>
          <w:b/>
        </w:rPr>
        <w:tab/>
        <w:t>Rule S1.3.1 (Table S1.1(1): Transaction information, item 25, column headed “5. Allowable Values”)</w:t>
      </w:r>
    </w:p>
    <w:p w14:paraId="041DF7BC" w14:textId="6DE8C3C1" w:rsidR="009020FA" w:rsidRPr="00520CEC" w:rsidRDefault="009020FA" w:rsidP="009020FA">
      <w:pPr>
        <w:pStyle w:val="LI-BodyTextNumbered"/>
        <w:ind w:left="567" w:firstLine="0"/>
      </w:pPr>
      <w:r w:rsidRPr="00520CEC">
        <w:t>Omit “facility” (wherever occurring), substitute “financial market”.</w:t>
      </w:r>
    </w:p>
    <w:p w14:paraId="11F4B7AF" w14:textId="0E879985" w:rsidR="000E3581" w:rsidRPr="00520CEC" w:rsidRDefault="000E3581" w:rsidP="000E3581">
      <w:pPr>
        <w:pStyle w:val="LI-BodyTextNumbered"/>
        <w:ind w:left="567"/>
        <w:rPr>
          <w:b/>
        </w:rPr>
      </w:pPr>
      <w:r w:rsidRPr="00520CEC">
        <w:rPr>
          <w:b/>
        </w:rPr>
        <w:t>2</w:t>
      </w:r>
      <w:r w:rsidR="0084764B" w:rsidRPr="00520CEC">
        <w:rPr>
          <w:b/>
        </w:rPr>
        <w:t>3</w:t>
      </w:r>
      <w:r w:rsidRPr="00520CEC">
        <w:rPr>
          <w:b/>
        </w:rPr>
        <w:tab/>
        <w:t>Rule S1.3.1 (Table S1.1(1): Transaction information</w:t>
      </w:r>
      <w:r w:rsidR="00E43091" w:rsidRPr="00520CEC">
        <w:rPr>
          <w:b/>
        </w:rPr>
        <w:t xml:space="preserve">, </w:t>
      </w:r>
      <w:r w:rsidR="008F6CEE" w:rsidRPr="00520CEC">
        <w:rPr>
          <w:b/>
        </w:rPr>
        <w:t xml:space="preserve">cell at </w:t>
      </w:r>
      <w:r w:rsidR="00E43091" w:rsidRPr="00520CEC">
        <w:rPr>
          <w:b/>
        </w:rPr>
        <w:t xml:space="preserve">item 26, </w:t>
      </w:r>
      <w:r w:rsidR="00481B83" w:rsidRPr="00520CEC">
        <w:rPr>
          <w:b/>
        </w:rPr>
        <w:t xml:space="preserve">column headed </w:t>
      </w:r>
      <w:r w:rsidR="00AB6F93" w:rsidRPr="00520CEC">
        <w:rPr>
          <w:b/>
        </w:rPr>
        <w:t>“3. Derivative Transaction Information”</w:t>
      </w:r>
      <w:r w:rsidRPr="00520CEC">
        <w:rPr>
          <w:b/>
        </w:rPr>
        <w:t>)</w:t>
      </w:r>
    </w:p>
    <w:p w14:paraId="38B67B7D" w14:textId="05B56051" w:rsidR="004038C9" w:rsidRPr="00520CEC" w:rsidRDefault="00AB6F93" w:rsidP="000E3581">
      <w:pPr>
        <w:pStyle w:val="LI-BodyTextNumbered"/>
        <w:ind w:left="567" w:firstLine="0"/>
      </w:pPr>
      <w:r w:rsidRPr="00520CEC">
        <w:t>O</w:t>
      </w:r>
      <w:r w:rsidR="000E3581" w:rsidRPr="00520CEC">
        <w:t>mit</w:t>
      </w:r>
      <w:r w:rsidR="00C9541B" w:rsidRPr="00520CEC">
        <w:t xml:space="preserve"> “</w:t>
      </w:r>
      <w:r w:rsidR="004123E7" w:rsidRPr="00520CEC">
        <w:t>The notional amount</w:t>
      </w:r>
      <w:r w:rsidR="00DF25EB" w:rsidRPr="00520CEC">
        <w:t xml:space="preserve"> </w:t>
      </w:r>
      <w:r w:rsidR="004123E7" w:rsidRPr="00520CEC">
        <w:t>taken from</w:t>
      </w:r>
      <w:r w:rsidR="00DF25EB" w:rsidRPr="00520CEC">
        <w:t xml:space="preserve"> </w:t>
      </w:r>
      <w:r w:rsidR="004123E7" w:rsidRPr="00520CEC">
        <w:t>the trade confirmation of the Reportable Transaction</w:t>
      </w:r>
      <w:r w:rsidR="00DE03E6" w:rsidRPr="00520CEC">
        <w:t>.</w:t>
      </w:r>
      <w:r w:rsidR="00C9541B" w:rsidRPr="00520CEC">
        <w:t>”, substitute:</w:t>
      </w:r>
    </w:p>
    <w:p w14:paraId="74377FE0" w14:textId="49B7FEDA" w:rsidR="000E3581" w:rsidRPr="00520CEC" w:rsidRDefault="004123E7" w:rsidP="00365EB4">
      <w:pPr>
        <w:pStyle w:val="LI-BodyTextNumbered"/>
        <w:ind w:right="2501" w:firstLine="0"/>
        <w:rPr>
          <w:rFonts w:ascii="Arial" w:hAnsi="Arial" w:cs="Arial"/>
          <w:sz w:val="18"/>
          <w:szCs w:val="18"/>
        </w:rPr>
      </w:pPr>
      <w:r w:rsidRPr="00520CEC">
        <w:rPr>
          <w:rFonts w:ascii="Arial" w:hAnsi="Arial" w:cs="Arial"/>
          <w:sz w:val="18"/>
          <w:szCs w:val="18"/>
        </w:rPr>
        <w:t>The notional amount, or payout where a single fixed payment is made based on certain conditions being met during the term of the OTC Derivative the subject of the Reportable Transaction, taken from, or determined in accordance with, the trade confirmation of the Reportable Transaction.</w:t>
      </w:r>
    </w:p>
    <w:p w14:paraId="519D2657" w14:textId="305F38F2" w:rsidR="00DD64C7" w:rsidRPr="00520CEC" w:rsidRDefault="00666EA8" w:rsidP="00DD64C7">
      <w:pPr>
        <w:pStyle w:val="LI-BodyTextNumbered"/>
        <w:ind w:left="567"/>
        <w:rPr>
          <w:b/>
        </w:rPr>
      </w:pPr>
      <w:r w:rsidRPr="00520CEC">
        <w:rPr>
          <w:b/>
        </w:rPr>
        <w:t>2</w:t>
      </w:r>
      <w:r w:rsidR="0084764B" w:rsidRPr="00520CEC">
        <w:rPr>
          <w:b/>
        </w:rPr>
        <w:t>4</w:t>
      </w:r>
      <w:r w:rsidR="00DD64C7" w:rsidRPr="00520CEC">
        <w:rPr>
          <w:b/>
        </w:rPr>
        <w:tab/>
        <w:t>Rule S1.3.1 (Table S1.1(1): Transaction information</w:t>
      </w:r>
      <w:r w:rsidR="007A60EE" w:rsidRPr="00520CEC">
        <w:rPr>
          <w:b/>
        </w:rPr>
        <w:t xml:space="preserve">, </w:t>
      </w:r>
      <w:r w:rsidR="008F6CEE" w:rsidRPr="00520CEC">
        <w:rPr>
          <w:b/>
        </w:rPr>
        <w:t xml:space="preserve">cell at </w:t>
      </w:r>
      <w:r w:rsidR="007A60EE" w:rsidRPr="00520CEC">
        <w:rPr>
          <w:b/>
        </w:rPr>
        <w:t>item 26, column headed “3. Derivative Transaction Information”</w:t>
      </w:r>
      <w:r w:rsidR="00DD64C7" w:rsidRPr="00520CEC">
        <w:rPr>
          <w:b/>
        </w:rPr>
        <w:t>)</w:t>
      </w:r>
    </w:p>
    <w:p w14:paraId="14D4B498" w14:textId="78524680" w:rsidR="00DD64C7" w:rsidRPr="00520CEC" w:rsidRDefault="00D32A74" w:rsidP="00DD64C7">
      <w:pPr>
        <w:pStyle w:val="LI-BodyTextNumbered"/>
        <w:ind w:left="567" w:firstLine="0"/>
      </w:pPr>
      <w:r w:rsidRPr="00520CEC">
        <w:t>After</w:t>
      </w:r>
      <w:r w:rsidR="00DD64C7" w:rsidRPr="00520CEC">
        <w:t xml:space="preserve"> “</w:t>
      </w:r>
      <w:r w:rsidR="009B6508" w:rsidRPr="00520CEC">
        <w:t>If no notional amount is specified in</w:t>
      </w:r>
      <w:r w:rsidRPr="00520CEC">
        <w:t>”, insert “</w:t>
      </w:r>
      <w:r w:rsidR="009B6508" w:rsidRPr="00520CEC">
        <w:t>, or determinable in accordance with,</w:t>
      </w:r>
      <w:r w:rsidRPr="00520CEC">
        <w:t>”.</w:t>
      </w:r>
    </w:p>
    <w:p w14:paraId="1DC87064" w14:textId="371BD1FE" w:rsidR="003C2FC2" w:rsidRPr="00520CEC" w:rsidRDefault="00666EA8" w:rsidP="003C2FC2">
      <w:pPr>
        <w:pStyle w:val="LI-BodyTextNumbered"/>
        <w:ind w:left="567"/>
        <w:rPr>
          <w:b/>
        </w:rPr>
      </w:pPr>
      <w:r w:rsidRPr="00520CEC">
        <w:rPr>
          <w:b/>
        </w:rPr>
        <w:t>2</w:t>
      </w:r>
      <w:r w:rsidR="0084764B" w:rsidRPr="00520CEC">
        <w:rPr>
          <w:b/>
        </w:rPr>
        <w:t>5</w:t>
      </w:r>
      <w:r w:rsidR="003C2FC2" w:rsidRPr="00520CEC">
        <w:rPr>
          <w:b/>
        </w:rPr>
        <w:tab/>
        <w:t>Rule S1.3.1 (Table S1.1(1): Transaction information</w:t>
      </w:r>
      <w:r w:rsidR="00D32A74" w:rsidRPr="00520CEC">
        <w:rPr>
          <w:b/>
        </w:rPr>
        <w:t xml:space="preserve">, </w:t>
      </w:r>
      <w:r w:rsidR="008F6CEE" w:rsidRPr="00520CEC">
        <w:rPr>
          <w:b/>
        </w:rPr>
        <w:t xml:space="preserve">cell at </w:t>
      </w:r>
      <w:r w:rsidR="00D32A74" w:rsidRPr="00520CEC">
        <w:rPr>
          <w:b/>
        </w:rPr>
        <w:t>item 26, column headed “5. Allowable Values”</w:t>
      </w:r>
      <w:r w:rsidR="003C2FC2" w:rsidRPr="00520CEC">
        <w:rPr>
          <w:b/>
        </w:rPr>
        <w:t>)</w:t>
      </w:r>
    </w:p>
    <w:p w14:paraId="2D8C6A12" w14:textId="5A303D2D" w:rsidR="003C2FC2" w:rsidRPr="00520CEC" w:rsidRDefault="00F26DB4" w:rsidP="003C2FC2">
      <w:pPr>
        <w:pStyle w:val="LI-BodyTextNumbered"/>
      </w:pPr>
      <w:r w:rsidRPr="00520CEC">
        <w:t xml:space="preserve">Repeal the cell, </w:t>
      </w:r>
      <w:r w:rsidR="003C2FC2" w:rsidRPr="00520CEC">
        <w:t>substitute:</w:t>
      </w:r>
    </w:p>
    <w:p w14:paraId="4510D103" w14:textId="39F01F48"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ECE01C9" w14:textId="6C510072" w:rsidR="003C2FC2"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lastRenderedPageBreak/>
        <w:t>For Reportable Transactions that are not commodity derivatives, any numeric value greater than or equal to zero.</w:t>
      </w:r>
    </w:p>
    <w:p w14:paraId="64E1C250" w14:textId="1A45CCA0" w:rsidR="007B5E9C" w:rsidRPr="00520CEC" w:rsidRDefault="00666EA8" w:rsidP="007B5E9C">
      <w:pPr>
        <w:pStyle w:val="LI-BodyTextNumbered"/>
        <w:ind w:left="567"/>
        <w:rPr>
          <w:b/>
        </w:rPr>
      </w:pPr>
      <w:r w:rsidRPr="00520CEC">
        <w:rPr>
          <w:b/>
        </w:rPr>
        <w:t>2</w:t>
      </w:r>
      <w:r w:rsidR="0084764B" w:rsidRPr="00520CEC">
        <w:rPr>
          <w:b/>
        </w:rPr>
        <w:t>6</w:t>
      </w:r>
      <w:r w:rsidR="007B5E9C" w:rsidRPr="00520CEC">
        <w:rPr>
          <w:b/>
        </w:rPr>
        <w:tab/>
        <w:t>Rule S1.3.1 (Table S1.1(1): Transaction information</w:t>
      </w:r>
      <w:r w:rsidR="00F26DB4" w:rsidRPr="00520CEC">
        <w:rPr>
          <w:b/>
        </w:rPr>
        <w:t xml:space="preserve">, </w:t>
      </w:r>
      <w:r w:rsidR="008F6CEE" w:rsidRPr="00520CEC">
        <w:rPr>
          <w:b/>
        </w:rPr>
        <w:t xml:space="preserve">cell at </w:t>
      </w:r>
      <w:r w:rsidR="00E259F4" w:rsidRPr="00520CEC">
        <w:rPr>
          <w:b/>
        </w:rPr>
        <w:t>item 27, column headed “5. Allowable Values”</w:t>
      </w:r>
      <w:r w:rsidR="007B5E9C" w:rsidRPr="00520CEC">
        <w:rPr>
          <w:b/>
        </w:rPr>
        <w:t>)</w:t>
      </w:r>
    </w:p>
    <w:p w14:paraId="43E87312" w14:textId="0571216D" w:rsidR="007B5E9C" w:rsidRPr="00520CEC" w:rsidRDefault="00E259F4" w:rsidP="007B5E9C">
      <w:pPr>
        <w:pStyle w:val="LI-BodyTextNumbered"/>
      </w:pPr>
      <w:r w:rsidRPr="00520CEC">
        <w:t>Repeal the cell,</w:t>
      </w:r>
      <w:r w:rsidR="007B5E9C" w:rsidRPr="00520CEC">
        <w:t xml:space="preserve"> substitute:</w:t>
      </w:r>
    </w:p>
    <w:p w14:paraId="4793449E" w14:textId="64B0EF89"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7BC3B62" w14:textId="575F647E"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p>
    <w:p w14:paraId="76C430A5" w14:textId="0983BCCA" w:rsidR="009C364E" w:rsidRPr="00520CEC" w:rsidRDefault="00666EA8" w:rsidP="009C364E">
      <w:pPr>
        <w:pStyle w:val="LI-BodyTextNumbered"/>
        <w:ind w:left="567"/>
        <w:rPr>
          <w:b/>
        </w:rPr>
      </w:pPr>
      <w:r w:rsidRPr="00520CEC">
        <w:rPr>
          <w:b/>
        </w:rPr>
        <w:t>2</w:t>
      </w:r>
      <w:r w:rsidR="0084764B" w:rsidRPr="00520CEC">
        <w:rPr>
          <w:b/>
        </w:rPr>
        <w:t>7</w:t>
      </w:r>
      <w:r w:rsidR="009C364E" w:rsidRPr="00520CEC">
        <w:rPr>
          <w:b/>
        </w:rPr>
        <w:tab/>
        <w:t>Rule S1.3.1 (Table S1.1(1): Transaction information</w:t>
      </w:r>
      <w:r w:rsidR="00E259F4" w:rsidRPr="00520CEC">
        <w:rPr>
          <w:b/>
        </w:rPr>
        <w:t xml:space="preserve">, </w:t>
      </w:r>
      <w:r w:rsidR="008F6CEE" w:rsidRPr="00520CEC">
        <w:rPr>
          <w:b/>
        </w:rPr>
        <w:t xml:space="preserve">cell at </w:t>
      </w:r>
      <w:r w:rsidR="00E259F4" w:rsidRPr="00520CEC">
        <w:rPr>
          <w:b/>
        </w:rPr>
        <w:t>item 32</w:t>
      </w:r>
      <w:r w:rsidR="00C50DFC" w:rsidRPr="00520CEC">
        <w:rPr>
          <w:b/>
        </w:rPr>
        <w:t>, column headed “3. Derivative Transaction Information”</w:t>
      </w:r>
      <w:r w:rsidR="009C364E" w:rsidRPr="00520CEC">
        <w:rPr>
          <w:b/>
        </w:rPr>
        <w:t>)</w:t>
      </w:r>
    </w:p>
    <w:p w14:paraId="5F8B2978" w14:textId="45D9BD4F" w:rsidR="009C364E" w:rsidRPr="00520CEC" w:rsidRDefault="00B97303" w:rsidP="002357E0">
      <w:pPr>
        <w:pStyle w:val="LI-BodyTextNumbered"/>
        <w:ind w:left="567" w:firstLine="0"/>
      </w:pPr>
      <w:r w:rsidRPr="00520CEC">
        <w:t>A</w:t>
      </w:r>
      <w:r w:rsidR="009C364E" w:rsidRPr="00520CEC">
        <w:t>fter</w:t>
      </w:r>
      <w:r w:rsidR="008A099A" w:rsidRPr="00520CEC">
        <w:t xml:space="preserve"> “foreign exchange option</w:t>
      </w:r>
      <w:r w:rsidRPr="00520CEC">
        <w:t>”</w:t>
      </w:r>
      <w:r w:rsidR="008A099A" w:rsidRPr="00520CEC">
        <w:t>, insert “</w:t>
      </w:r>
      <w:r w:rsidR="004468DD" w:rsidRPr="00520CEC">
        <w:t>and the UPI that is reported for Unique product identifier (item 2 above) is not a UPI for a digital option”</w:t>
      </w:r>
      <w:r w:rsidR="002357E0" w:rsidRPr="00520CEC">
        <w:t>.</w:t>
      </w:r>
    </w:p>
    <w:p w14:paraId="09D5D53E" w14:textId="2F8526AA" w:rsidR="002357E0" w:rsidRPr="00520CEC" w:rsidRDefault="00666EA8" w:rsidP="002357E0">
      <w:pPr>
        <w:pStyle w:val="LI-BodyTextNumbered"/>
        <w:ind w:left="567"/>
        <w:rPr>
          <w:b/>
        </w:rPr>
      </w:pPr>
      <w:r w:rsidRPr="00520CEC">
        <w:rPr>
          <w:b/>
        </w:rPr>
        <w:t>2</w:t>
      </w:r>
      <w:r w:rsidR="0084764B" w:rsidRPr="00520CEC">
        <w:rPr>
          <w:b/>
        </w:rPr>
        <w:t>8</w:t>
      </w:r>
      <w:r w:rsidR="002357E0" w:rsidRPr="00520CEC">
        <w:rPr>
          <w:b/>
        </w:rPr>
        <w:tab/>
        <w:t>Rule S1.3.1 (Table S1.1(1): Transaction information</w:t>
      </w:r>
      <w:r w:rsidR="00A67FEA" w:rsidRPr="00520CEC">
        <w:rPr>
          <w:b/>
        </w:rPr>
        <w:t xml:space="preserve">, </w:t>
      </w:r>
      <w:r w:rsidR="008F6CEE" w:rsidRPr="00520CEC">
        <w:rPr>
          <w:b/>
        </w:rPr>
        <w:t xml:space="preserve">cell at </w:t>
      </w:r>
      <w:r w:rsidR="00A67FEA" w:rsidRPr="00520CEC">
        <w:rPr>
          <w:b/>
        </w:rPr>
        <w:t>item 33, column headed “3. Derivative Transaction Information”</w:t>
      </w:r>
      <w:r w:rsidR="002357E0" w:rsidRPr="00520CEC">
        <w:rPr>
          <w:b/>
        </w:rPr>
        <w:t>)</w:t>
      </w:r>
    </w:p>
    <w:p w14:paraId="6B6272C7" w14:textId="52C2B720" w:rsidR="002357E0" w:rsidRPr="00520CEC" w:rsidRDefault="00D22AC4" w:rsidP="002357E0">
      <w:pPr>
        <w:pStyle w:val="LI-BodyTextNumbered"/>
        <w:ind w:left="567" w:firstLine="0"/>
      </w:pPr>
      <w:r w:rsidRPr="00520CEC">
        <w:t>A</w:t>
      </w:r>
      <w:r w:rsidR="002357E0" w:rsidRPr="00520CEC">
        <w:t>fter “foreign exchange option</w:t>
      </w:r>
      <w:r w:rsidRPr="00520CEC">
        <w:t>”</w:t>
      </w:r>
      <w:r w:rsidR="002357E0" w:rsidRPr="00520CEC">
        <w:t>, insert “and the UPI that is reported for Unique product identifier (item 2 above) is not a UPI for a digital option”.</w:t>
      </w:r>
    </w:p>
    <w:p w14:paraId="35F6EB42" w14:textId="4BE6D9AC" w:rsidR="00C8716F" w:rsidRPr="00520CEC" w:rsidRDefault="00666EA8" w:rsidP="00C8716F">
      <w:pPr>
        <w:pStyle w:val="LI-BodyTextNumbered"/>
        <w:ind w:left="567"/>
        <w:rPr>
          <w:b/>
        </w:rPr>
      </w:pPr>
      <w:r w:rsidRPr="00520CEC">
        <w:rPr>
          <w:b/>
        </w:rPr>
        <w:t>2</w:t>
      </w:r>
      <w:r w:rsidR="0084764B" w:rsidRPr="00520CEC">
        <w:rPr>
          <w:b/>
        </w:rPr>
        <w:t>9</w:t>
      </w:r>
      <w:r w:rsidR="00C8716F" w:rsidRPr="00520CEC">
        <w:rPr>
          <w:b/>
        </w:rPr>
        <w:tab/>
        <w:t>Rule S1.3.1 (Table S1.1(1): Transaction information</w:t>
      </w:r>
      <w:r w:rsidR="00D22AC4" w:rsidRPr="00520CEC">
        <w:rPr>
          <w:b/>
        </w:rPr>
        <w:t xml:space="preserve">, </w:t>
      </w:r>
      <w:r w:rsidR="008F6CEE" w:rsidRPr="00520CEC">
        <w:rPr>
          <w:b/>
        </w:rPr>
        <w:t xml:space="preserve">cell at </w:t>
      </w:r>
      <w:r w:rsidR="00D22AC4" w:rsidRPr="00520CEC">
        <w:rPr>
          <w:b/>
        </w:rPr>
        <w:t>item 42, column headed “5. Allowable Values”</w:t>
      </w:r>
      <w:r w:rsidR="00C8716F" w:rsidRPr="00520CEC">
        <w:rPr>
          <w:b/>
        </w:rPr>
        <w:t>)</w:t>
      </w:r>
    </w:p>
    <w:p w14:paraId="5CAC1253" w14:textId="2103D99A" w:rsidR="00C8716F" w:rsidRPr="00520CEC" w:rsidRDefault="004230E2" w:rsidP="00C8716F">
      <w:pPr>
        <w:pStyle w:val="LI-BodyTextNumbered"/>
      </w:pPr>
      <w:r w:rsidRPr="00520CEC">
        <w:t>Repeal the cell</w:t>
      </w:r>
      <w:r w:rsidR="00C8716F" w:rsidRPr="00520CEC">
        <w:t>, substitute:</w:t>
      </w:r>
    </w:p>
    <w:p w14:paraId="5047E1B4" w14:textId="67E8B798" w:rsidR="00C8716F" w:rsidRPr="00520CEC" w:rsidRDefault="00C8716F"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0AA9147" w14:textId="6A023DC7" w:rsidR="00C8716F" w:rsidRPr="00520CEC" w:rsidRDefault="00C8716F"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r w:rsidR="008A2357" w:rsidRPr="00520CEC">
        <w:rPr>
          <w:rFonts w:ascii="Arial" w:hAnsi="Arial" w:cs="Arial"/>
          <w:sz w:val="18"/>
          <w:szCs w:val="18"/>
        </w:rPr>
        <w:t xml:space="preserve"> for each value</w:t>
      </w:r>
      <w:r w:rsidRPr="00520CEC">
        <w:rPr>
          <w:rFonts w:ascii="Arial" w:hAnsi="Arial" w:cs="Arial"/>
          <w:sz w:val="18"/>
          <w:szCs w:val="18"/>
        </w:rPr>
        <w:t>.</w:t>
      </w:r>
    </w:p>
    <w:p w14:paraId="3355BAE0" w14:textId="317700C4" w:rsidR="0052711C" w:rsidRPr="00520CEC" w:rsidRDefault="0084764B" w:rsidP="0052711C">
      <w:pPr>
        <w:pStyle w:val="LI-BodyTextNumbered"/>
        <w:ind w:left="567"/>
        <w:rPr>
          <w:b/>
        </w:rPr>
      </w:pPr>
      <w:r w:rsidRPr="00520CEC">
        <w:rPr>
          <w:b/>
        </w:rPr>
        <w:t>30</w:t>
      </w:r>
      <w:r w:rsidR="0052711C" w:rsidRPr="00520CEC">
        <w:rPr>
          <w:b/>
        </w:rPr>
        <w:tab/>
        <w:t>Rule S1.3.1 (Table S1.1(1): Transaction information</w:t>
      </w:r>
      <w:r w:rsidR="008A2357" w:rsidRPr="00520CEC">
        <w:rPr>
          <w:b/>
        </w:rPr>
        <w:t xml:space="preserve">, </w:t>
      </w:r>
      <w:r w:rsidR="008F6CEE" w:rsidRPr="00520CEC">
        <w:rPr>
          <w:b/>
        </w:rPr>
        <w:t xml:space="preserve">cell at </w:t>
      </w:r>
      <w:r w:rsidR="008A2357" w:rsidRPr="00520CEC">
        <w:rPr>
          <w:b/>
        </w:rPr>
        <w:t>item 45, column headed “5. Allowable Values”</w:t>
      </w:r>
      <w:r w:rsidR="0052711C" w:rsidRPr="00520CEC">
        <w:rPr>
          <w:b/>
        </w:rPr>
        <w:t>)</w:t>
      </w:r>
    </w:p>
    <w:p w14:paraId="7AEEE921" w14:textId="29EB943C" w:rsidR="0052711C" w:rsidRPr="00520CEC" w:rsidRDefault="008A2357" w:rsidP="0052711C">
      <w:pPr>
        <w:pStyle w:val="LI-BodyTextNumbered"/>
      </w:pPr>
      <w:r w:rsidRPr="00520CEC">
        <w:t>Repeal the cell</w:t>
      </w:r>
      <w:r w:rsidR="0052711C" w:rsidRPr="00520CEC">
        <w:t>, substitute:</w:t>
      </w:r>
    </w:p>
    <w:p w14:paraId="3A729B50" w14:textId="1976ADB9" w:rsidR="0052711C" w:rsidRPr="00520CEC" w:rsidRDefault="0052711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59BD1D82" w14:textId="2FE2386E" w:rsidR="0052711C" w:rsidRPr="00520CEC" w:rsidRDefault="0052711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r w:rsidR="008F6CEE" w:rsidRPr="00520CEC">
        <w:rPr>
          <w:rFonts w:ascii="Arial" w:hAnsi="Arial" w:cs="Arial"/>
          <w:sz w:val="18"/>
          <w:szCs w:val="18"/>
        </w:rPr>
        <w:t xml:space="preserve"> for each value</w:t>
      </w:r>
      <w:r w:rsidRPr="00520CEC">
        <w:rPr>
          <w:rFonts w:ascii="Arial" w:hAnsi="Arial" w:cs="Arial"/>
          <w:sz w:val="18"/>
          <w:szCs w:val="18"/>
        </w:rPr>
        <w:t>.</w:t>
      </w:r>
    </w:p>
    <w:p w14:paraId="7E998C01" w14:textId="77777777" w:rsidR="00533A50" w:rsidRPr="00520CEC" w:rsidRDefault="00533A50" w:rsidP="00332903">
      <w:pPr>
        <w:pStyle w:val="LI-BodyTextNumbered"/>
        <w:ind w:left="567"/>
        <w:rPr>
          <w:bCs/>
        </w:rPr>
      </w:pPr>
    </w:p>
    <w:p w14:paraId="6DB5EC81" w14:textId="4995458A" w:rsidR="00332903" w:rsidRPr="00520CEC" w:rsidRDefault="0061356F" w:rsidP="00332903">
      <w:pPr>
        <w:pStyle w:val="LI-BodyTextNumbered"/>
        <w:ind w:left="567"/>
        <w:rPr>
          <w:b/>
        </w:rPr>
      </w:pPr>
      <w:r w:rsidRPr="00520CEC">
        <w:rPr>
          <w:b/>
        </w:rPr>
        <w:t>3</w:t>
      </w:r>
      <w:r w:rsidR="0084764B" w:rsidRPr="00520CEC">
        <w:rPr>
          <w:b/>
        </w:rPr>
        <w:t>1</w:t>
      </w:r>
      <w:r w:rsidR="00332903" w:rsidRPr="00520CEC">
        <w:rPr>
          <w:b/>
        </w:rPr>
        <w:tab/>
        <w:t>Rule S1.3.1 (Table S1.1(1): Transaction information</w:t>
      </w:r>
      <w:r w:rsidR="00B364C3" w:rsidRPr="00520CEC">
        <w:rPr>
          <w:b/>
        </w:rPr>
        <w:t xml:space="preserve">, </w:t>
      </w:r>
      <w:r w:rsidR="004770C0" w:rsidRPr="00520CEC">
        <w:rPr>
          <w:b/>
        </w:rPr>
        <w:t xml:space="preserve">cell at </w:t>
      </w:r>
      <w:r w:rsidR="00B364C3" w:rsidRPr="00520CEC">
        <w:rPr>
          <w:b/>
        </w:rPr>
        <w:t>item 59</w:t>
      </w:r>
      <w:r w:rsidR="004770C0" w:rsidRPr="00520CEC">
        <w:rPr>
          <w:b/>
        </w:rPr>
        <w:t>, column headed “4. Format”</w:t>
      </w:r>
      <w:r w:rsidR="00332903" w:rsidRPr="00520CEC">
        <w:rPr>
          <w:b/>
        </w:rPr>
        <w:t>)</w:t>
      </w:r>
    </w:p>
    <w:p w14:paraId="773F0D2B" w14:textId="7FCA0F19" w:rsidR="00332903" w:rsidRPr="00520CEC" w:rsidRDefault="00DB2E0B" w:rsidP="00332903">
      <w:pPr>
        <w:pStyle w:val="LI-BodyTextNumbered"/>
        <w:ind w:left="567" w:firstLine="0"/>
      </w:pPr>
      <w:r w:rsidRPr="00520CEC">
        <w:t>A</w:t>
      </w:r>
      <w:r w:rsidR="006F796A" w:rsidRPr="00520CEC">
        <w:t>fter</w:t>
      </w:r>
      <w:r w:rsidR="00332903" w:rsidRPr="00520CEC">
        <w:t xml:space="preserve"> “</w:t>
      </w:r>
      <w:r w:rsidR="006F796A" w:rsidRPr="00520CEC">
        <w:t>Strike price notation</w:t>
      </w:r>
      <w:r w:rsidR="007957CE" w:rsidRPr="00520CEC">
        <w:t>” (wherever occurring)</w:t>
      </w:r>
      <w:r w:rsidR="00332903" w:rsidRPr="00520CEC">
        <w:t xml:space="preserve">, </w:t>
      </w:r>
      <w:r w:rsidR="00E25B30" w:rsidRPr="00520CEC">
        <w:t xml:space="preserve">insert </w:t>
      </w:r>
      <w:r w:rsidRPr="00520CEC">
        <w:t>“</w:t>
      </w:r>
      <w:r w:rsidR="00E25B30" w:rsidRPr="00520CEC">
        <w:t>(item 58 above)</w:t>
      </w:r>
      <w:r w:rsidRPr="00520CEC">
        <w:t>”</w:t>
      </w:r>
      <w:r w:rsidR="00214397" w:rsidRPr="00520CEC">
        <w:t>.</w:t>
      </w:r>
    </w:p>
    <w:p w14:paraId="605CEF1B" w14:textId="57C61E5B" w:rsidR="00AD1D96" w:rsidRPr="00520CEC" w:rsidRDefault="001A1302" w:rsidP="00AD1D96">
      <w:pPr>
        <w:pStyle w:val="LI-BodyTextNumbered"/>
        <w:ind w:left="567"/>
        <w:rPr>
          <w:b/>
        </w:rPr>
      </w:pPr>
      <w:r w:rsidRPr="00520CEC">
        <w:rPr>
          <w:b/>
        </w:rPr>
        <w:t>3</w:t>
      </w:r>
      <w:r w:rsidR="0084764B" w:rsidRPr="00520CEC">
        <w:rPr>
          <w:b/>
        </w:rPr>
        <w:t>2</w:t>
      </w:r>
      <w:r w:rsidR="00AD1D96" w:rsidRPr="00520CEC">
        <w:rPr>
          <w:b/>
        </w:rPr>
        <w:tab/>
        <w:t>Rule S1.3.1 (Table S1.1(1): Transaction information</w:t>
      </w:r>
      <w:r w:rsidR="00E3189E" w:rsidRPr="00520CEC">
        <w:rPr>
          <w:b/>
        </w:rPr>
        <w:t>, cell at item 75, column headed “</w:t>
      </w:r>
      <w:r w:rsidR="00D70731" w:rsidRPr="00520CEC">
        <w:rPr>
          <w:b/>
        </w:rPr>
        <w:t>3. Derivative Transaction Information”, paragraph (b)</w:t>
      </w:r>
      <w:r w:rsidR="00AD1D96" w:rsidRPr="00520CEC">
        <w:rPr>
          <w:b/>
        </w:rPr>
        <w:t>)</w:t>
      </w:r>
    </w:p>
    <w:p w14:paraId="684DD50B" w14:textId="5A20EA07" w:rsidR="00AD1D96" w:rsidRPr="00520CEC" w:rsidRDefault="00D70731" w:rsidP="00C61B12">
      <w:pPr>
        <w:pStyle w:val="LI-BodyTextNumbered"/>
        <w:ind w:left="567" w:firstLine="0"/>
      </w:pPr>
      <w:r w:rsidRPr="00520CEC">
        <w:t>O</w:t>
      </w:r>
      <w:r w:rsidR="007F2714" w:rsidRPr="00520CEC">
        <w:t>mit</w:t>
      </w:r>
      <w:r w:rsidR="00AD1D96" w:rsidRPr="00520CEC">
        <w:t xml:space="preserve"> “</w:t>
      </w:r>
      <w:r w:rsidR="003E3305" w:rsidRPr="00520CEC">
        <w:t>the</w:t>
      </w:r>
      <w:r w:rsidR="00F476C7" w:rsidRPr="00520CEC">
        <w:t>”, substitute “a partial or full</w:t>
      </w:r>
      <w:r w:rsidR="00AD1D96" w:rsidRPr="00520CEC">
        <w:t>”</w:t>
      </w:r>
      <w:r w:rsidR="00C61B12" w:rsidRPr="00520CEC">
        <w:t>.</w:t>
      </w:r>
    </w:p>
    <w:p w14:paraId="7CDDEAF8" w14:textId="74D91AFA" w:rsidR="00C61B12" w:rsidRPr="00520CEC" w:rsidRDefault="001A1302" w:rsidP="00C61B12">
      <w:pPr>
        <w:pStyle w:val="LI-BodyTextNumbered"/>
        <w:ind w:left="567"/>
        <w:rPr>
          <w:b/>
        </w:rPr>
      </w:pPr>
      <w:r w:rsidRPr="00520CEC">
        <w:rPr>
          <w:b/>
        </w:rPr>
        <w:t>3</w:t>
      </w:r>
      <w:r w:rsidR="0084764B" w:rsidRPr="00520CEC">
        <w:rPr>
          <w:b/>
        </w:rPr>
        <w:t>3</w:t>
      </w:r>
      <w:r w:rsidR="00C61B12" w:rsidRPr="00520CEC">
        <w:rPr>
          <w:b/>
        </w:rPr>
        <w:tab/>
        <w:t>Rule S1.3.1 (Table S1.1(1): Transaction information</w:t>
      </w:r>
      <w:r w:rsidR="00140F52" w:rsidRPr="00520CEC">
        <w:rPr>
          <w:b/>
        </w:rPr>
        <w:t>, cell at item 75, column headed “5. Allowable Values”, paragraph (b)</w:t>
      </w:r>
      <w:r w:rsidR="00C61B12" w:rsidRPr="00520CEC">
        <w:rPr>
          <w:b/>
        </w:rPr>
        <w:t>)</w:t>
      </w:r>
    </w:p>
    <w:p w14:paraId="688C27F3" w14:textId="19014122" w:rsidR="00C61B12" w:rsidRPr="00520CEC" w:rsidRDefault="006621AB" w:rsidP="00C61B12">
      <w:pPr>
        <w:pStyle w:val="LI-BodyTextNumbered"/>
        <w:ind w:left="567" w:firstLine="0"/>
      </w:pPr>
      <w:r w:rsidRPr="00520CEC">
        <w:t>O</w:t>
      </w:r>
      <w:r w:rsidR="00C61B12" w:rsidRPr="00520CEC">
        <w:t>mit “</w:t>
      </w:r>
      <w:r w:rsidR="005B364B" w:rsidRPr="00520CEC">
        <w:t>the</w:t>
      </w:r>
      <w:r w:rsidR="00C61B12" w:rsidRPr="00520CEC">
        <w:t>”, substitute “a partial or full”.</w:t>
      </w:r>
    </w:p>
    <w:p w14:paraId="1EF239C1" w14:textId="066FCF57" w:rsidR="00180BD0" w:rsidRPr="00520CEC" w:rsidRDefault="001A1302" w:rsidP="00180BD0">
      <w:pPr>
        <w:pStyle w:val="LI-BodyTextNumbered"/>
        <w:ind w:left="567"/>
        <w:rPr>
          <w:b/>
        </w:rPr>
      </w:pPr>
      <w:r w:rsidRPr="00520CEC">
        <w:rPr>
          <w:b/>
        </w:rPr>
        <w:t>3</w:t>
      </w:r>
      <w:r w:rsidR="0084764B" w:rsidRPr="00520CEC">
        <w:rPr>
          <w:b/>
        </w:rPr>
        <w:t>4</w:t>
      </w:r>
      <w:r w:rsidR="00180BD0" w:rsidRPr="00520CEC">
        <w:rPr>
          <w:b/>
        </w:rPr>
        <w:tab/>
        <w:t>Rule S1.3.1 (Table S1.1(1): Transaction information</w:t>
      </w:r>
      <w:r w:rsidR="00C033CF" w:rsidRPr="00520CEC">
        <w:rPr>
          <w:b/>
        </w:rPr>
        <w:t>, after item 79</w:t>
      </w:r>
      <w:r w:rsidR="00180BD0" w:rsidRPr="00520CEC">
        <w:rPr>
          <w:b/>
        </w:rPr>
        <w:t>)</w:t>
      </w:r>
    </w:p>
    <w:p w14:paraId="7F879617" w14:textId="1FBB8303" w:rsidR="008E1A6D" w:rsidRPr="00520CEC" w:rsidRDefault="00FD2FF3" w:rsidP="00180BD0">
      <w:pPr>
        <w:pStyle w:val="LI-BodyTextNumbered"/>
        <w:ind w:left="567" w:firstLine="0"/>
      </w:pPr>
      <w:r w:rsidRPr="00520CEC">
        <w:t>I</w:t>
      </w:r>
      <w:r w:rsidR="008E1A6D" w:rsidRPr="00520CEC">
        <w:t>nse</w:t>
      </w:r>
      <w:r w:rsidR="00C26328" w:rsidRPr="00520CEC">
        <w:t>rt</w:t>
      </w:r>
      <w:r w:rsidR="00766639" w:rsidRPr="00520CEC">
        <w:t xml:space="preserve"> as a</w:t>
      </w:r>
      <w:r w:rsidRPr="00520CEC">
        <w:t xml:space="preserve"> subheading</w:t>
      </w:r>
      <w:r w:rsidR="008E1A6D" w:rsidRPr="00520CEC">
        <w:t>:</w:t>
      </w:r>
    </w:p>
    <w:p w14:paraId="273F3301" w14:textId="3EB4B57A" w:rsidR="00BB02AF" w:rsidRPr="00520CEC" w:rsidRDefault="001073A4" w:rsidP="00180BD0">
      <w:pPr>
        <w:pStyle w:val="LI-BodyTextNumbered"/>
        <w:ind w:left="567" w:firstLine="0"/>
      </w:pPr>
      <w:r w:rsidRPr="00520CEC">
        <w:rPr>
          <w:rFonts w:ascii="Arial" w:hAnsi="Arial" w:cs="Arial"/>
          <w:b/>
          <w:bCs/>
          <w:sz w:val="18"/>
          <w:szCs w:val="18"/>
        </w:rPr>
        <w:t>Data elements related to underliers</w:t>
      </w:r>
    </w:p>
    <w:p w14:paraId="34C845D3" w14:textId="5AF3FBA9" w:rsidR="00BB02AF" w:rsidRPr="00520CEC" w:rsidRDefault="001A1302" w:rsidP="00BB02AF">
      <w:pPr>
        <w:pStyle w:val="LI-BodyTextNumbered"/>
        <w:ind w:left="567"/>
        <w:rPr>
          <w:b/>
        </w:rPr>
      </w:pPr>
      <w:r w:rsidRPr="00520CEC">
        <w:rPr>
          <w:b/>
        </w:rPr>
        <w:t>3</w:t>
      </w:r>
      <w:r w:rsidR="0084764B" w:rsidRPr="00520CEC">
        <w:rPr>
          <w:b/>
        </w:rPr>
        <w:t>5</w:t>
      </w:r>
      <w:r w:rsidR="00BB02AF" w:rsidRPr="00520CEC">
        <w:rPr>
          <w:b/>
        </w:rPr>
        <w:tab/>
        <w:t>Rule S1.3.1 (Table S1.1(1): Transaction information</w:t>
      </w:r>
      <w:r w:rsidR="00E76C21" w:rsidRPr="00520CEC">
        <w:rPr>
          <w:b/>
        </w:rPr>
        <w:t>, cell at item 80, column headed “3. Derivative Transaction Information”</w:t>
      </w:r>
      <w:r w:rsidR="00BB02AF" w:rsidRPr="00520CEC">
        <w:rPr>
          <w:b/>
        </w:rPr>
        <w:t>)</w:t>
      </w:r>
    </w:p>
    <w:p w14:paraId="022B90FD" w14:textId="4CA2861B" w:rsidR="00BB02AF" w:rsidRPr="00520CEC" w:rsidRDefault="001513AB" w:rsidP="00BB02AF">
      <w:pPr>
        <w:pStyle w:val="LI-BodyTextNumbered"/>
        <w:ind w:left="567" w:firstLine="0"/>
      </w:pPr>
      <w:r w:rsidRPr="00520CEC">
        <w:t>O</w:t>
      </w:r>
      <w:r w:rsidR="00764891" w:rsidRPr="00520CEC">
        <w:t xml:space="preserve">mit </w:t>
      </w:r>
      <w:r w:rsidR="000E299F" w:rsidRPr="00520CEC">
        <w:t>“</w:t>
      </w:r>
      <w:r w:rsidR="00317601" w:rsidRPr="00520CEC">
        <w:t xml:space="preserve">not </w:t>
      </w:r>
      <w:r w:rsidR="000E299F" w:rsidRPr="00520CEC">
        <w:t>a UPI with a specific</w:t>
      </w:r>
      <w:r w:rsidR="006D5D8C" w:rsidRPr="00520CEC">
        <w:t xml:space="preserve"> </w:t>
      </w:r>
      <w:r w:rsidR="000E299F" w:rsidRPr="00520CEC">
        <w:t>underlier or code of</w:t>
      </w:r>
      <w:r w:rsidR="0079545F" w:rsidRPr="00520CEC">
        <w:t xml:space="preserve"> </w:t>
      </w:r>
      <w:r w:rsidR="000E299F" w:rsidRPr="00520CEC">
        <w:t>a specific basket as a reference data element</w:t>
      </w:r>
      <w:r w:rsidR="00317601" w:rsidRPr="00520CEC">
        <w:t>”</w:t>
      </w:r>
      <w:r w:rsidR="000E299F" w:rsidRPr="00520CEC">
        <w:t>, substi</w:t>
      </w:r>
      <w:r w:rsidR="0024289A" w:rsidRPr="00520CEC">
        <w:t>tute “a UPI which identifies that the underlier is a custom basket”.</w:t>
      </w:r>
    </w:p>
    <w:p w14:paraId="5A68C47F" w14:textId="6FFC3EB5" w:rsidR="00DC60BE" w:rsidRPr="00520CEC" w:rsidRDefault="001A1302" w:rsidP="00DC60BE">
      <w:pPr>
        <w:pStyle w:val="LI-BodyTextNumbered"/>
        <w:ind w:left="567"/>
        <w:rPr>
          <w:b/>
        </w:rPr>
      </w:pPr>
      <w:r w:rsidRPr="00520CEC">
        <w:rPr>
          <w:b/>
        </w:rPr>
        <w:t>3</w:t>
      </w:r>
      <w:r w:rsidR="0084764B" w:rsidRPr="00520CEC">
        <w:rPr>
          <w:b/>
        </w:rPr>
        <w:t>6</w:t>
      </w:r>
      <w:r w:rsidR="00DC60BE" w:rsidRPr="00520CEC">
        <w:rPr>
          <w:b/>
        </w:rPr>
        <w:tab/>
        <w:t>Rule S1.3.1 (Table S1.1(1): Transaction information</w:t>
      </w:r>
      <w:r w:rsidR="00323957" w:rsidRPr="00520CEC">
        <w:rPr>
          <w:b/>
        </w:rPr>
        <w:t>, cell at item 80, column headed “3. Derivative Transaction Information”</w:t>
      </w:r>
      <w:r w:rsidR="00026727" w:rsidRPr="00520CEC">
        <w:rPr>
          <w:b/>
        </w:rPr>
        <w:t>, paragraph (b)</w:t>
      </w:r>
      <w:r w:rsidR="00DC60BE" w:rsidRPr="00520CEC">
        <w:rPr>
          <w:b/>
        </w:rPr>
        <w:t>)</w:t>
      </w:r>
    </w:p>
    <w:p w14:paraId="004711A2" w14:textId="165FE537" w:rsidR="00DC60BE" w:rsidRPr="00520CEC" w:rsidRDefault="00026727" w:rsidP="00DC60BE">
      <w:pPr>
        <w:pStyle w:val="LI-BodyTextNumbered"/>
        <w:ind w:left="567" w:firstLine="0"/>
      </w:pPr>
      <w:r w:rsidRPr="00520CEC">
        <w:t>O</w:t>
      </w:r>
      <w:r w:rsidR="00DC60BE" w:rsidRPr="00520CEC">
        <w:t>mit “</w:t>
      </w:r>
      <w:r w:rsidR="0035296F" w:rsidRPr="00520CEC">
        <w:t xml:space="preserve">the </w:t>
      </w:r>
      <w:r w:rsidR="00135958" w:rsidRPr="00520CEC">
        <w:t>Custom basket</w:t>
      </w:r>
      <w:r w:rsidR="00586D11" w:rsidRPr="00520CEC">
        <w:t xml:space="preserve"> code</w:t>
      </w:r>
      <w:r w:rsidR="00FF607C" w:rsidRPr="00520CEC">
        <w:t>”</w:t>
      </w:r>
      <w:r w:rsidR="000C4740" w:rsidRPr="00520CEC">
        <w:t xml:space="preserve"> </w:t>
      </w:r>
      <w:r w:rsidR="006852EA" w:rsidRPr="00520CEC">
        <w:t>(first occurring)</w:t>
      </w:r>
      <w:r w:rsidR="00FF607C" w:rsidRPr="00520CEC">
        <w:t>, substitute “</w:t>
      </w:r>
      <w:r w:rsidR="00586D11" w:rsidRPr="00520CEC">
        <w:t xml:space="preserve">the </w:t>
      </w:r>
      <w:r w:rsidR="00FF607C" w:rsidRPr="00520CEC">
        <w:t>unique</w:t>
      </w:r>
      <w:r w:rsidR="00586D11" w:rsidRPr="00520CEC">
        <w:t xml:space="preserve"> code</w:t>
      </w:r>
      <w:r w:rsidR="00D975A7" w:rsidRPr="00520CEC">
        <w:t>”.</w:t>
      </w:r>
    </w:p>
    <w:p w14:paraId="49749EB5" w14:textId="37640DA3" w:rsidR="00D975A7" w:rsidRPr="00520CEC" w:rsidRDefault="001A1302" w:rsidP="00D975A7">
      <w:pPr>
        <w:pStyle w:val="LI-BodyTextNumbered"/>
        <w:ind w:left="567"/>
        <w:rPr>
          <w:b/>
        </w:rPr>
      </w:pPr>
      <w:r w:rsidRPr="00520CEC">
        <w:rPr>
          <w:b/>
        </w:rPr>
        <w:t>3</w:t>
      </w:r>
      <w:r w:rsidR="0084764B" w:rsidRPr="00520CEC">
        <w:rPr>
          <w:b/>
        </w:rPr>
        <w:t>7</w:t>
      </w:r>
      <w:r w:rsidR="00D975A7" w:rsidRPr="00520CEC">
        <w:rPr>
          <w:b/>
        </w:rPr>
        <w:tab/>
        <w:t>Rule S1.3.1 (Table S1.1(1): Transaction information</w:t>
      </w:r>
      <w:r w:rsidR="00586D11" w:rsidRPr="00520CEC">
        <w:rPr>
          <w:b/>
        </w:rPr>
        <w:t>,</w:t>
      </w:r>
      <w:r w:rsidR="00B35D98" w:rsidRPr="00520CEC">
        <w:rPr>
          <w:b/>
        </w:rPr>
        <w:t xml:space="preserve"> cell at item 80, column headed “3. Derivative Transaction Information”, paragraph (b)</w:t>
      </w:r>
      <w:r w:rsidR="00D975A7" w:rsidRPr="00520CEC">
        <w:rPr>
          <w:b/>
        </w:rPr>
        <w:t>)</w:t>
      </w:r>
    </w:p>
    <w:p w14:paraId="19F972DA" w14:textId="0BB2E8A3" w:rsidR="00D975A7" w:rsidRPr="00520CEC" w:rsidRDefault="002C319E" w:rsidP="00D975A7">
      <w:pPr>
        <w:pStyle w:val="LI-BodyTextNumbered"/>
        <w:ind w:left="567" w:firstLine="0"/>
      </w:pPr>
      <w:r w:rsidRPr="00520CEC">
        <w:t>O</w:t>
      </w:r>
      <w:r w:rsidR="00D975A7" w:rsidRPr="00520CEC">
        <w:t xml:space="preserve">mit “the </w:t>
      </w:r>
      <w:r w:rsidR="00B41376" w:rsidRPr="00520CEC">
        <w:t>c</w:t>
      </w:r>
      <w:r w:rsidR="00D975A7" w:rsidRPr="00520CEC">
        <w:t>ustom basket code”, substitute “</w:t>
      </w:r>
      <w:r w:rsidR="00772121" w:rsidRPr="00520CEC">
        <w:t>that code</w:t>
      </w:r>
      <w:r w:rsidR="00D975A7" w:rsidRPr="00520CEC">
        <w:t>”.</w:t>
      </w:r>
    </w:p>
    <w:p w14:paraId="17DE927F" w14:textId="589FEA94" w:rsidR="00C65684" w:rsidRPr="00520CEC" w:rsidRDefault="001A1302" w:rsidP="00C65684">
      <w:pPr>
        <w:pStyle w:val="LI-BodyTextNumbered"/>
        <w:ind w:left="567"/>
        <w:rPr>
          <w:b/>
        </w:rPr>
      </w:pPr>
      <w:r w:rsidRPr="00520CEC">
        <w:rPr>
          <w:b/>
        </w:rPr>
        <w:t>3</w:t>
      </w:r>
      <w:r w:rsidR="0084764B" w:rsidRPr="00520CEC">
        <w:rPr>
          <w:b/>
        </w:rPr>
        <w:t>8</w:t>
      </w:r>
      <w:r w:rsidR="00C65684" w:rsidRPr="00520CEC">
        <w:rPr>
          <w:b/>
        </w:rPr>
        <w:tab/>
        <w:t>Rule S1.3.1 (Table S1.1(1): Transaction information</w:t>
      </w:r>
      <w:r w:rsidR="00586D11" w:rsidRPr="00520CEC">
        <w:rPr>
          <w:b/>
        </w:rPr>
        <w:t>, cell at item 80, column headed “3. Derivative Transaction Information”, subparagraph (b)(ii)</w:t>
      </w:r>
      <w:r w:rsidR="00C65684" w:rsidRPr="00520CEC">
        <w:rPr>
          <w:b/>
        </w:rPr>
        <w:t>)</w:t>
      </w:r>
    </w:p>
    <w:p w14:paraId="50A6DCFD" w14:textId="332FE61F" w:rsidR="00C65684" w:rsidRPr="00520CEC" w:rsidRDefault="00883788" w:rsidP="00C65684">
      <w:pPr>
        <w:pStyle w:val="LI-BodyTextNumbered"/>
        <w:ind w:left="567" w:firstLine="0"/>
      </w:pPr>
      <w:r w:rsidRPr="00520CEC">
        <w:t>O</w:t>
      </w:r>
      <w:r w:rsidR="00C65684" w:rsidRPr="00520CEC">
        <w:t>mit “the code B”, substitute “the value B”.</w:t>
      </w:r>
    </w:p>
    <w:p w14:paraId="223481C1" w14:textId="14A729B2" w:rsidR="005754D6" w:rsidRPr="00520CEC" w:rsidRDefault="00585612" w:rsidP="005754D6">
      <w:pPr>
        <w:pStyle w:val="LI-BodyTextNumbered"/>
        <w:ind w:left="567"/>
        <w:rPr>
          <w:b/>
        </w:rPr>
      </w:pPr>
      <w:r w:rsidRPr="00520CEC">
        <w:rPr>
          <w:b/>
        </w:rPr>
        <w:t>3</w:t>
      </w:r>
      <w:r w:rsidR="0084764B" w:rsidRPr="00520CEC">
        <w:rPr>
          <w:b/>
        </w:rPr>
        <w:t>9</w:t>
      </w:r>
      <w:r w:rsidR="005754D6" w:rsidRPr="00520CEC">
        <w:rPr>
          <w:b/>
        </w:rPr>
        <w:tab/>
        <w:t>Rule S1.3.1 (Table S1.1(1): Transaction information</w:t>
      </w:r>
      <w:r w:rsidR="00883788" w:rsidRPr="00520CEC">
        <w:rPr>
          <w:b/>
        </w:rPr>
        <w:t>, cell at item 81, column headed “2. Label”</w:t>
      </w:r>
      <w:r w:rsidR="005754D6" w:rsidRPr="00520CEC">
        <w:rPr>
          <w:b/>
        </w:rPr>
        <w:t>)</w:t>
      </w:r>
    </w:p>
    <w:p w14:paraId="5362867B" w14:textId="29AD92C3" w:rsidR="005754D6" w:rsidRPr="00520CEC" w:rsidRDefault="0049529E" w:rsidP="005754D6">
      <w:pPr>
        <w:pStyle w:val="LI-BodyTextNumbered"/>
        <w:ind w:left="567" w:firstLine="0"/>
      </w:pPr>
      <w:r w:rsidRPr="00520CEC">
        <w:t>Repeal the cell</w:t>
      </w:r>
      <w:r w:rsidR="000C7418" w:rsidRPr="00520CEC">
        <w:t xml:space="preserve">, </w:t>
      </w:r>
      <w:r w:rsidR="005754D6" w:rsidRPr="00520CEC">
        <w:t>substitute</w:t>
      </w:r>
    </w:p>
    <w:p w14:paraId="5020491A" w14:textId="62375DB7" w:rsidR="00D55124" w:rsidRPr="00520CEC" w:rsidRDefault="00A35B5A" w:rsidP="0011587F">
      <w:pPr>
        <w:pStyle w:val="LI-BodyTextNumbered"/>
        <w:ind w:right="4536" w:firstLine="0"/>
        <w:rPr>
          <w:rFonts w:ascii="Arial" w:hAnsi="Arial" w:cs="Arial"/>
          <w:sz w:val="18"/>
          <w:szCs w:val="18"/>
        </w:rPr>
      </w:pPr>
      <w:r w:rsidRPr="00520CEC">
        <w:rPr>
          <w:rFonts w:ascii="Arial" w:hAnsi="Arial" w:cs="Arial"/>
          <w:sz w:val="18"/>
          <w:szCs w:val="18"/>
        </w:rPr>
        <w:t xml:space="preserve">Basket constituent </w:t>
      </w:r>
      <w:r w:rsidR="00FE0EDD" w:rsidRPr="00520CEC">
        <w:rPr>
          <w:rFonts w:ascii="Arial" w:hAnsi="Arial" w:cs="Arial"/>
          <w:sz w:val="18"/>
          <w:szCs w:val="18"/>
        </w:rPr>
        <w:br/>
      </w:r>
      <w:proofErr w:type="spellStart"/>
      <w:r w:rsidRPr="00520CEC">
        <w:rPr>
          <w:rFonts w:ascii="Arial" w:hAnsi="Arial" w:cs="Arial"/>
          <w:sz w:val="18"/>
          <w:szCs w:val="18"/>
        </w:rPr>
        <w:t>ident</w:t>
      </w:r>
      <w:r w:rsidR="002E5BB5" w:rsidRPr="00520CEC">
        <w:rPr>
          <w:rFonts w:ascii="Arial" w:hAnsi="Arial" w:cs="Arial"/>
          <w:sz w:val="18"/>
          <w:szCs w:val="18"/>
        </w:rPr>
        <w:t>iers</w:t>
      </w:r>
      <w:proofErr w:type="spellEnd"/>
    </w:p>
    <w:p w14:paraId="065957B2" w14:textId="77777777" w:rsidR="00533A50" w:rsidRPr="00520CEC" w:rsidRDefault="00533A50" w:rsidP="0068402D">
      <w:pPr>
        <w:pStyle w:val="LI-BodyTextNumbered"/>
        <w:ind w:left="567"/>
        <w:rPr>
          <w:bCs/>
        </w:rPr>
      </w:pPr>
    </w:p>
    <w:p w14:paraId="424D4753" w14:textId="5686A449" w:rsidR="0068402D" w:rsidRPr="00520CEC" w:rsidRDefault="0084764B" w:rsidP="0068402D">
      <w:pPr>
        <w:pStyle w:val="LI-BodyTextNumbered"/>
        <w:ind w:left="567"/>
        <w:rPr>
          <w:b/>
        </w:rPr>
      </w:pPr>
      <w:r w:rsidRPr="00520CEC">
        <w:rPr>
          <w:b/>
        </w:rPr>
        <w:t>40</w:t>
      </w:r>
      <w:r w:rsidR="0068402D" w:rsidRPr="00520CEC">
        <w:rPr>
          <w:b/>
        </w:rPr>
        <w:tab/>
        <w:t>Rule S1.3.1 (Table S1.1(1): Transaction information</w:t>
      </w:r>
      <w:r w:rsidR="00382085" w:rsidRPr="00520CEC">
        <w:rPr>
          <w:b/>
        </w:rPr>
        <w:t>, cell at item 82, column headed “</w:t>
      </w:r>
      <w:r w:rsidR="008477D9" w:rsidRPr="00520CEC">
        <w:rPr>
          <w:b/>
        </w:rPr>
        <w:t>3. Derivative Transaction Information”</w:t>
      </w:r>
      <w:r w:rsidR="0068402D" w:rsidRPr="00520CEC">
        <w:rPr>
          <w:b/>
        </w:rPr>
        <w:t>)</w:t>
      </w:r>
    </w:p>
    <w:p w14:paraId="29B612AC" w14:textId="046F77FF" w:rsidR="0068402D" w:rsidRPr="00520CEC" w:rsidRDefault="008477D9" w:rsidP="0068402D">
      <w:pPr>
        <w:pStyle w:val="LI-BodyTextNumbered"/>
        <w:ind w:left="567" w:firstLine="0"/>
      </w:pPr>
      <w:r w:rsidRPr="00520CEC">
        <w:t>O</w:t>
      </w:r>
      <w:r w:rsidR="0068402D" w:rsidRPr="00520CEC">
        <w:t>mit “Identifiers of the basket’s constituents”, substitute “Basket constituent identifiers”.</w:t>
      </w:r>
    </w:p>
    <w:p w14:paraId="09E88CB4" w14:textId="71DEE7A7" w:rsidR="00D94823" w:rsidRPr="00520CEC" w:rsidRDefault="001A1302" w:rsidP="00D94823">
      <w:pPr>
        <w:pStyle w:val="LI-BodyTextNumbered"/>
        <w:ind w:left="567"/>
        <w:rPr>
          <w:b/>
        </w:rPr>
      </w:pPr>
      <w:r w:rsidRPr="00520CEC">
        <w:rPr>
          <w:b/>
        </w:rPr>
        <w:t>4</w:t>
      </w:r>
      <w:r w:rsidR="0084764B" w:rsidRPr="00520CEC">
        <w:rPr>
          <w:b/>
        </w:rPr>
        <w:t>1</w:t>
      </w:r>
      <w:r w:rsidR="00D94823" w:rsidRPr="00520CEC">
        <w:rPr>
          <w:b/>
        </w:rPr>
        <w:tab/>
        <w:t>Rule S1.3.1 (Table S1.1(1): Transaction information</w:t>
      </w:r>
      <w:r w:rsidR="007E2EBB" w:rsidRPr="00520CEC">
        <w:rPr>
          <w:b/>
        </w:rPr>
        <w:t>, cell at item 82, column headed “5. Allowable Values”</w:t>
      </w:r>
      <w:r w:rsidR="00D94823" w:rsidRPr="00520CEC">
        <w:rPr>
          <w:b/>
        </w:rPr>
        <w:t>)</w:t>
      </w:r>
    </w:p>
    <w:p w14:paraId="396A93A8" w14:textId="44D236AD" w:rsidR="00D94823" w:rsidRPr="00520CEC" w:rsidRDefault="006374B8" w:rsidP="00D94823">
      <w:pPr>
        <w:pStyle w:val="LI-BodyTextNumbered"/>
        <w:ind w:left="567" w:firstLine="0"/>
      </w:pPr>
      <w:r w:rsidRPr="00520CEC">
        <w:t>O</w:t>
      </w:r>
      <w:r w:rsidR="00D94823" w:rsidRPr="00520CEC">
        <w:t>mit “Identifiers of the basket’s constituents”</w:t>
      </w:r>
      <w:r w:rsidR="00310572" w:rsidRPr="00520CEC">
        <w:t xml:space="preserve"> (wherever occurring)</w:t>
      </w:r>
      <w:r w:rsidR="00D94823" w:rsidRPr="00520CEC">
        <w:t>, substitute “Basket constituent identifiers”.</w:t>
      </w:r>
    </w:p>
    <w:p w14:paraId="585CD0A1" w14:textId="20E0B042" w:rsidR="00E9566F" w:rsidRPr="00520CEC" w:rsidRDefault="001A1302" w:rsidP="00E9566F">
      <w:pPr>
        <w:pStyle w:val="LI-BodyTextNumbered"/>
        <w:ind w:left="567"/>
        <w:rPr>
          <w:b/>
        </w:rPr>
      </w:pPr>
      <w:r w:rsidRPr="00520CEC">
        <w:rPr>
          <w:b/>
        </w:rPr>
        <w:t>4</w:t>
      </w:r>
      <w:r w:rsidR="00D0434A" w:rsidRPr="00520CEC">
        <w:rPr>
          <w:b/>
        </w:rPr>
        <w:t>2</w:t>
      </w:r>
      <w:r w:rsidR="00E9566F" w:rsidRPr="00520CEC">
        <w:rPr>
          <w:b/>
        </w:rPr>
        <w:tab/>
        <w:t>Rule S1.3.1 (Table S1.1(1): Transaction information</w:t>
      </w:r>
      <w:r w:rsidR="00EC324E" w:rsidRPr="00520CEC">
        <w:rPr>
          <w:b/>
        </w:rPr>
        <w:t xml:space="preserve">, </w:t>
      </w:r>
      <w:r w:rsidR="00F47EE9" w:rsidRPr="00520CEC">
        <w:rPr>
          <w:b/>
        </w:rPr>
        <w:t>cell at item 83, column headed “3. Derivative Transaction Information”</w:t>
      </w:r>
      <w:r w:rsidR="00E9566F" w:rsidRPr="00520CEC">
        <w:rPr>
          <w:b/>
        </w:rPr>
        <w:t>)</w:t>
      </w:r>
    </w:p>
    <w:p w14:paraId="5302E9B9" w14:textId="1ACC328B" w:rsidR="00E9566F" w:rsidRPr="00520CEC" w:rsidRDefault="00F47EE9" w:rsidP="00E9566F">
      <w:pPr>
        <w:pStyle w:val="LI-BodyTextNumbered"/>
        <w:ind w:left="567" w:firstLine="0"/>
      </w:pPr>
      <w:r w:rsidRPr="00520CEC">
        <w:t>Repeal the cell</w:t>
      </w:r>
      <w:r w:rsidR="00E9566F" w:rsidRPr="00520CEC">
        <w:t>, substitute:</w:t>
      </w:r>
    </w:p>
    <w:p w14:paraId="68E214BC" w14:textId="708FF0E9" w:rsidR="00232B24" w:rsidRPr="00520CEC" w:rsidRDefault="00232B24" w:rsidP="0011587F">
      <w:pPr>
        <w:pStyle w:val="tbltext"/>
        <w:ind w:left="1134" w:right="2552"/>
      </w:pPr>
      <w:r w:rsidRPr="00520CEC">
        <w:t>Where the UPI that is reported for Unique product identifier (item 2 above) is a UPI which does not identify the specific underlier for the OTC Derivative and Custom basket code (item 80) does not apply, an identifier which identifies the specific underlier.</w:t>
      </w:r>
    </w:p>
    <w:p w14:paraId="7BBC9C28" w14:textId="66D695E9" w:rsidR="00E9566F" w:rsidRPr="00520CEC" w:rsidRDefault="00232B24" w:rsidP="0011587F">
      <w:pPr>
        <w:pStyle w:val="tbltext"/>
        <w:ind w:left="1134" w:right="2552"/>
      </w:pPr>
      <w:r w:rsidRPr="00520CEC">
        <w:t>Otherwise, the identifier of the specific underlier may be, but is not required to be, reported for this item.</w:t>
      </w:r>
    </w:p>
    <w:p w14:paraId="095C2CDA" w14:textId="6DBAEEB1" w:rsidR="00234F88" w:rsidRPr="00520CEC" w:rsidRDefault="001A1302" w:rsidP="00234F88">
      <w:pPr>
        <w:pStyle w:val="LI-BodyTextNumbered"/>
        <w:ind w:left="567"/>
        <w:rPr>
          <w:b/>
        </w:rPr>
      </w:pPr>
      <w:r w:rsidRPr="00520CEC">
        <w:rPr>
          <w:b/>
        </w:rPr>
        <w:t>4</w:t>
      </w:r>
      <w:r w:rsidR="007565ED" w:rsidRPr="00520CEC">
        <w:rPr>
          <w:b/>
        </w:rPr>
        <w:t>3</w:t>
      </w:r>
      <w:r w:rsidR="00234F88" w:rsidRPr="00520CEC">
        <w:rPr>
          <w:b/>
        </w:rPr>
        <w:tab/>
        <w:t>Rule S1.3.1 (Table S1.1(1): Transaction information</w:t>
      </w:r>
      <w:r w:rsidR="003B0EE2" w:rsidRPr="00520CEC">
        <w:rPr>
          <w:b/>
        </w:rPr>
        <w:t>, cell at item 85, column headed “3. Derivative Transaction Information”</w:t>
      </w:r>
      <w:r w:rsidR="00234F88" w:rsidRPr="00520CEC">
        <w:rPr>
          <w:b/>
        </w:rPr>
        <w:t>)</w:t>
      </w:r>
    </w:p>
    <w:p w14:paraId="3031508F" w14:textId="4C214951" w:rsidR="00234F88" w:rsidRPr="00520CEC" w:rsidRDefault="003B0EE2" w:rsidP="00234F88">
      <w:pPr>
        <w:pStyle w:val="LI-BodyTextNumbered"/>
        <w:ind w:left="567" w:firstLine="0"/>
      </w:pPr>
      <w:r w:rsidRPr="00520CEC">
        <w:t>Repeal the cell</w:t>
      </w:r>
      <w:r w:rsidR="00234F88" w:rsidRPr="00520CEC">
        <w:t>, substitute:</w:t>
      </w:r>
    </w:p>
    <w:p w14:paraId="77B7E2AE" w14:textId="5534F779" w:rsidR="00234F88" w:rsidRPr="00520CEC" w:rsidRDefault="000E3EF6" w:rsidP="0011587F">
      <w:pPr>
        <w:pStyle w:val="tbltext"/>
        <w:ind w:left="1134" w:right="2665"/>
      </w:pPr>
      <w:r w:rsidRPr="00520CEC">
        <w:t>Where Contract type (item 4 above) is reported as SWPT, the unadjusted date of the expiration date of the swap that is the underlier to the option.</w:t>
      </w:r>
    </w:p>
    <w:p w14:paraId="2B9CE7E6" w14:textId="51F5510D" w:rsidR="007127F1" w:rsidRPr="00520CEC" w:rsidRDefault="001A1302" w:rsidP="007127F1">
      <w:pPr>
        <w:pStyle w:val="LI-BodyTextNumbered"/>
        <w:ind w:left="567"/>
        <w:rPr>
          <w:b/>
        </w:rPr>
      </w:pPr>
      <w:r w:rsidRPr="00520CEC">
        <w:rPr>
          <w:b/>
        </w:rPr>
        <w:t>4</w:t>
      </w:r>
      <w:r w:rsidR="007565ED" w:rsidRPr="00520CEC">
        <w:rPr>
          <w:b/>
        </w:rPr>
        <w:t>4</w:t>
      </w:r>
      <w:r w:rsidR="007127F1" w:rsidRPr="00520CEC">
        <w:rPr>
          <w:b/>
        </w:rPr>
        <w:tab/>
        <w:t>Rule S1.3.1 (Table S1.1(1): Transaction information</w:t>
      </w:r>
      <w:r w:rsidR="0054340C" w:rsidRPr="00520CEC">
        <w:rPr>
          <w:b/>
        </w:rPr>
        <w:t>, cell at item 86, column headed “</w:t>
      </w:r>
      <w:r w:rsidR="00227108" w:rsidRPr="00520CEC">
        <w:rPr>
          <w:b/>
        </w:rPr>
        <w:t>2. Label”</w:t>
      </w:r>
      <w:r w:rsidR="007127F1" w:rsidRPr="00520CEC">
        <w:rPr>
          <w:b/>
        </w:rPr>
        <w:t>)</w:t>
      </w:r>
    </w:p>
    <w:p w14:paraId="3D791AD4" w14:textId="63684A1A" w:rsidR="007127F1" w:rsidRPr="00520CEC" w:rsidRDefault="00227108" w:rsidP="007127F1">
      <w:pPr>
        <w:pStyle w:val="LI-BodyTextNumbered"/>
        <w:ind w:left="567" w:firstLine="0"/>
      </w:pPr>
      <w:r w:rsidRPr="00520CEC">
        <w:t>O</w:t>
      </w:r>
      <w:r w:rsidR="007127F1" w:rsidRPr="00520CEC">
        <w:t>mit “Identifier”, substitute “Indicator”.</w:t>
      </w:r>
    </w:p>
    <w:p w14:paraId="5BDE4688" w14:textId="5F22C0B4" w:rsidR="000C4ED8" w:rsidRPr="00520CEC" w:rsidRDefault="001A1302" w:rsidP="000C4ED8">
      <w:pPr>
        <w:pStyle w:val="LI-BodyTextNumbered"/>
        <w:ind w:left="567"/>
        <w:rPr>
          <w:b/>
        </w:rPr>
      </w:pPr>
      <w:r w:rsidRPr="00520CEC">
        <w:rPr>
          <w:b/>
        </w:rPr>
        <w:t>4</w:t>
      </w:r>
      <w:r w:rsidR="007565ED" w:rsidRPr="00520CEC">
        <w:rPr>
          <w:b/>
        </w:rPr>
        <w:t>5</w:t>
      </w:r>
      <w:r w:rsidR="000C4ED8" w:rsidRPr="00520CEC">
        <w:rPr>
          <w:b/>
        </w:rPr>
        <w:tab/>
        <w:t>Rule S1.3.1 (Table S1.1(1): Transaction information</w:t>
      </w:r>
      <w:r w:rsidR="00227108" w:rsidRPr="00520CEC">
        <w:rPr>
          <w:b/>
        </w:rPr>
        <w:t>, cell at item 86, column headed “3. Derivative Transaction Information”</w:t>
      </w:r>
      <w:r w:rsidR="000C4ED8" w:rsidRPr="00520CEC">
        <w:rPr>
          <w:b/>
        </w:rPr>
        <w:t>)</w:t>
      </w:r>
    </w:p>
    <w:p w14:paraId="7944A6FF" w14:textId="0C5DAA16" w:rsidR="000C4ED8" w:rsidRPr="00520CEC" w:rsidRDefault="00456F41" w:rsidP="000C4ED8">
      <w:pPr>
        <w:pStyle w:val="LI-BodyTextNumbered"/>
        <w:ind w:left="567" w:firstLine="0"/>
      </w:pPr>
      <w:r w:rsidRPr="00520CEC">
        <w:t>O</w:t>
      </w:r>
      <w:r w:rsidR="000C4ED8" w:rsidRPr="00520CEC">
        <w:t>mit “</w:t>
      </w:r>
      <w:r w:rsidRPr="00520CEC">
        <w:t>i</w:t>
      </w:r>
      <w:r w:rsidR="000C4ED8" w:rsidRPr="00520CEC">
        <w:t>dentifier”, substitute “</w:t>
      </w:r>
      <w:r w:rsidRPr="00520CEC">
        <w:t>i</w:t>
      </w:r>
      <w:r w:rsidR="000C4ED8" w:rsidRPr="00520CEC">
        <w:t>ndicator”.</w:t>
      </w:r>
    </w:p>
    <w:p w14:paraId="13A2B1AD" w14:textId="7555434B" w:rsidR="000C4ED8" w:rsidRPr="00520CEC" w:rsidRDefault="001A1302" w:rsidP="000C4ED8">
      <w:pPr>
        <w:pStyle w:val="LI-BodyTextNumbered"/>
        <w:ind w:left="567"/>
        <w:rPr>
          <w:b/>
        </w:rPr>
      </w:pPr>
      <w:r w:rsidRPr="00520CEC">
        <w:rPr>
          <w:b/>
        </w:rPr>
        <w:t>4</w:t>
      </w:r>
      <w:r w:rsidR="007565ED" w:rsidRPr="00520CEC">
        <w:rPr>
          <w:b/>
        </w:rPr>
        <w:t>6</w:t>
      </w:r>
      <w:r w:rsidR="000C4ED8" w:rsidRPr="00520CEC">
        <w:rPr>
          <w:b/>
        </w:rPr>
        <w:tab/>
        <w:t>Rule S1.3.1 (Table S1.1(1): Transaction information</w:t>
      </w:r>
      <w:r w:rsidR="00456F41" w:rsidRPr="00520CEC">
        <w:rPr>
          <w:b/>
        </w:rPr>
        <w:t>, cell at item 87, column headed “3. Derivative Transaction Information”</w:t>
      </w:r>
      <w:r w:rsidR="000C4ED8" w:rsidRPr="00520CEC">
        <w:rPr>
          <w:b/>
        </w:rPr>
        <w:t>)</w:t>
      </w:r>
    </w:p>
    <w:p w14:paraId="6386E348" w14:textId="5412715E" w:rsidR="000C4ED8" w:rsidRPr="00520CEC" w:rsidRDefault="00F93A11" w:rsidP="000C4ED8">
      <w:pPr>
        <w:pStyle w:val="LI-BodyTextNumbered"/>
        <w:ind w:left="567" w:firstLine="0"/>
      </w:pPr>
      <w:r w:rsidRPr="00520CEC">
        <w:t>O</w:t>
      </w:r>
      <w:r w:rsidR="000C4ED8" w:rsidRPr="00520CEC">
        <w:t>mit “Identifier”, substitute “Indicator”.</w:t>
      </w:r>
    </w:p>
    <w:p w14:paraId="50CB4967" w14:textId="5E5DF1FF" w:rsidR="000C4ED8" w:rsidRPr="00520CEC" w:rsidRDefault="001A1302" w:rsidP="00FD7526">
      <w:pPr>
        <w:pStyle w:val="LI-BodyTextNumbered"/>
        <w:keepNext/>
        <w:ind w:left="567"/>
        <w:rPr>
          <w:b/>
        </w:rPr>
      </w:pPr>
      <w:r w:rsidRPr="00520CEC">
        <w:rPr>
          <w:b/>
        </w:rPr>
        <w:lastRenderedPageBreak/>
        <w:t>4</w:t>
      </w:r>
      <w:r w:rsidR="007565ED" w:rsidRPr="00520CEC">
        <w:rPr>
          <w:b/>
        </w:rPr>
        <w:t>7</w:t>
      </w:r>
      <w:r w:rsidR="000C4ED8" w:rsidRPr="00520CEC">
        <w:rPr>
          <w:b/>
        </w:rPr>
        <w:tab/>
        <w:t>Rule S1.3.1 (Table S1.1(1): Transaction information</w:t>
      </w:r>
      <w:r w:rsidR="00F93A11" w:rsidRPr="00520CEC">
        <w:rPr>
          <w:b/>
        </w:rPr>
        <w:t>, cell at item 88, column headed “3. Derivative Transaction Information”</w:t>
      </w:r>
      <w:r w:rsidR="000C4ED8" w:rsidRPr="00520CEC">
        <w:rPr>
          <w:b/>
        </w:rPr>
        <w:t>)</w:t>
      </w:r>
    </w:p>
    <w:p w14:paraId="21CBDDEB" w14:textId="57C2800E" w:rsidR="000C4ED8" w:rsidRPr="00520CEC" w:rsidRDefault="00F93A11" w:rsidP="000C4ED8">
      <w:pPr>
        <w:pStyle w:val="LI-BodyTextNumbered"/>
        <w:ind w:left="567" w:firstLine="0"/>
      </w:pPr>
      <w:r w:rsidRPr="00520CEC">
        <w:t>O</w:t>
      </w:r>
      <w:r w:rsidR="000C4ED8" w:rsidRPr="00520CEC">
        <w:t>mit “Identifier”, substitute “Indicator”.</w:t>
      </w:r>
    </w:p>
    <w:p w14:paraId="0E46F3D0" w14:textId="50DD63D5" w:rsidR="00D24053" w:rsidRPr="00520CEC" w:rsidRDefault="001A1302" w:rsidP="00D24053">
      <w:pPr>
        <w:pStyle w:val="LI-BodyTextNumbered"/>
        <w:ind w:left="567"/>
        <w:rPr>
          <w:b/>
        </w:rPr>
      </w:pPr>
      <w:r w:rsidRPr="00520CEC">
        <w:rPr>
          <w:b/>
        </w:rPr>
        <w:t>4</w:t>
      </w:r>
      <w:r w:rsidR="007565ED" w:rsidRPr="00520CEC">
        <w:rPr>
          <w:b/>
        </w:rPr>
        <w:t>8</w:t>
      </w:r>
      <w:r w:rsidR="00EC55FC" w:rsidRPr="00520CEC">
        <w:rPr>
          <w:b/>
        </w:rPr>
        <w:tab/>
      </w:r>
      <w:r w:rsidR="00D24053" w:rsidRPr="00520CEC">
        <w:rPr>
          <w:b/>
        </w:rPr>
        <w:t>Rule S1.3.1 (Table S1.1(1): Transaction information</w:t>
      </w:r>
      <w:r w:rsidR="00C21D7D" w:rsidRPr="00520CEC">
        <w:rPr>
          <w:b/>
        </w:rPr>
        <w:t>, cell at item 99, column headed “3. Derivative Transaction Information”</w:t>
      </w:r>
      <w:r w:rsidR="00D24053" w:rsidRPr="00520CEC">
        <w:rPr>
          <w:b/>
        </w:rPr>
        <w:t>)</w:t>
      </w:r>
    </w:p>
    <w:p w14:paraId="1CA5EBA2" w14:textId="597A5F45" w:rsidR="002850AE" w:rsidRPr="00520CEC" w:rsidRDefault="00302622" w:rsidP="00D24053">
      <w:pPr>
        <w:pStyle w:val="LI-BodyTextNumbered"/>
        <w:ind w:left="567" w:firstLine="0"/>
        <w:rPr>
          <w:rFonts w:ascii="Arial" w:hAnsi="Arial" w:cs="Arial"/>
          <w:color w:val="000000"/>
          <w:sz w:val="18"/>
          <w:szCs w:val="18"/>
        </w:rPr>
      </w:pPr>
      <w:r w:rsidRPr="00520CEC">
        <w:t>Omit</w:t>
      </w:r>
      <w:r w:rsidR="00E2092E" w:rsidRPr="00520CEC">
        <w:t xml:space="preserve"> </w:t>
      </w:r>
      <w:r w:rsidR="000D23D7" w:rsidRPr="00520CEC">
        <w:t>the paragraph beginning</w:t>
      </w:r>
      <w:r w:rsidR="00B42C17" w:rsidRPr="00520CEC">
        <w:t xml:space="preserve"> </w:t>
      </w:r>
      <w:r w:rsidR="00996565" w:rsidRPr="00520CEC">
        <w:t xml:space="preserve">“For a </w:t>
      </w:r>
      <w:r w:rsidR="00863F29" w:rsidRPr="00520CEC">
        <w:t>Reportable Transaction that arises</w:t>
      </w:r>
      <w:r w:rsidR="00996565" w:rsidRPr="00520CEC">
        <w:t xml:space="preserve">”, substitute: </w:t>
      </w:r>
    </w:p>
    <w:p w14:paraId="09D39185" w14:textId="77777777" w:rsidR="007F3F78" w:rsidRPr="00520CEC" w:rsidRDefault="007F3F78" w:rsidP="0011587F">
      <w:pPr>
        <w:pStyle w:val="tbltext"/>
        <w:ind w:left="1134" w:right="2608"/>
      </w:pPr>
      <w:r w:rsidRPr="00520CEC">
        <w:t xml:space="preserve">For a Reportable Transaction that arises due to a lifecycle event on a single predecessor OTC Derivative, and </w:t>
      </w:r>
    </w:p>
    <w:p w14:paraId="14824AAD" w14:textId="77777777" w:rsidR="007F3F78" w:rsidRPr="00520CEC" w:rsidRDefault="007F3F78" w:rsidP="0011587F">
      <w:pPr>
        <w:pStyle w:val="tbltext"/>
        <w:numPr>
          <w:ilvl w:val="0"/>
          <w:numId w:val="32"/>
        </w:numPr>
        <w:ind w:left="1491" w:right="2608" w:hanging="357"/>
      </w:pPr>
      <w:r w:rsidRPr="00520CEC">
        <w:t>Reporting Entity (item 5 above) was reported as Reporting Entity for that predecessor OTC Derivative;</w:t>
      </w:r>
    </w:p>
    <w:p w14:paraId="65778608" w14:textId="77777777" w:rsidR="007F3F78" w:rsidRPr="00520CEC" w:rsidRDefault="007F3F78" w:rsidP="0011587F">
      <w:pPr>
        <w:pStyle w:val="tbltext"/>
        <w:numPr>
          <w:ilvl w:val="0"/>
          <w:numId w:val="32"/>
        </w:numPr>
        <w:ind w:left="1491" w:right="2608" w:hanging="357"/>
      </w:pPr>
      <w:r w:rsidRPr="00520CEC">
        <w:t>Counterparty 1 (item 6 above) was reported as Counterparty 1 for that predecessor OTC Derivative; or</w:t>
      </w:r>
    </w:p>
    <w:p w14:paraId="355DC56C" w14:textId="6D41227E" w:rsidR="007F3F78" w:rsidRPr="00520CEC" w:rsidRDefault="007F3F78" w:rsidP="0011587F">
      <w:pPr>
        <w:pStyle w:val="tbltext"/>
        <w:numPr>
          <w:ilvl w:val="0"/>
          <w:numId w:val="32"/>
        </w:numPr>
        <w:ind w:left="1491" w:right="2608" w:hanging="357"/>
      </w:pPr>
      <w:r w:rsidRPr="00520CEC">
        <w:t>Event type (item 102 below) is reported as ALOC</w:t>
      </w:r>
      <w:r w:rsidR="00C4762D" w:rsidRPr="00520CEC">
        <w:t>;</w:t>
      </w:r>
    </w:p>
    <w:p w14:paraId="696BA097" w14:textId="77777777" w:rsidR="007F3F78" w:rsidRPr="00520CEC" w:rsidRDefault="007F3F78" w:rsidP="0011587F">
      <w:pPr>
        <w:pStyle w:val="tbltext"/>
        <w:ind w:left="1134" w:right="2608"/>
      </w:pPr>
      <w:r w:rsidRPr="00520CEC">
        <w:t>the transaction identifier of that single predecessor OTC Derivative.</w:t>
      </w:r>
    </w:p>
    <w:p w14:paraId="3DF86661" w14:textId="11D4907A" w:rsidR="00044222" w:rsidRPr="00520CEC" w:rsidRDefault="003658B7" w:rsidP="00724F7A">
      <w:pPr>
        <w:pStyle w:val="LI-BodyTextNumbered"/>
        <w:ind w:left="567"/>
        <w:rPr>
          <w:b/>
        </w:rPr>
      </w:pPr>
      <w:r w:rsidRPr="00520CEC">
        <w:rPr>
          <w:b/>
        </w:rPr>
        <w:t>49</w:t>
      </w:r>
      <w:r w:rsidR="00724F7A" w:rsidRPr="00520CEC">
        <w:rPr>
          <w:b/>
        </w:rPr>
        <w:tab/>
      </w:r>
      <w:r w:rsidR="00044222" w:rsidRPr="00520CEC">
        <w:rPr>
          <w:b/>
        </w:rPr>
        <w:t>Rule S1.3.1 (Table S1.1(1): Transaction information</w:t>
      </w:r>
      <w:r w:rsidR="00880512" w:rsidRPr="00520CEC">
        <w:rPr>
          <w:b/>
        </w:rPr>
        <w:t>, cell at item 99, column headed “3. Derivative Transaction Information”</w:t>
      </w:r>
      <w:r w:rsidR="00044222" w:rsidRPr="00520CEC">
        <w:rPr>
          <w:b/>
        </w:rPr>
        <w:t>)</w:t>
      </w:r>
    </w:p>
    <w:p w14:paraId="7D7C7066" w14:textId="3D7381DE" w:rsidR="00044222" w:rsidRPr="00520CEC" w:rsidRDefault="00880512" w:rsidP="00272ACA">
      <w:pPr>
        <w:pStyle w:val="LI-BodyTextNumbered"/>
        <w:ind w:left="567" w:firstLine="0"/>
      </w:pPr>
      <w:r w:rsidRPr="00520CEC">
        <w:t>O</w:t>
      </w:r>
      <w:r w:rsidR="001677FF" w:rsidRPr="00520CEC">
        <w:t>mit “subrule 2.2.2(2)(c)”, substitute</w:t>
      </w:r>
      <w:r w:rsidR="00044222" w:rsidRPr="00520CEC">
        <w:t xml:space="preserve"> “</w:t>
      </w:r>
      <w:r w:rsidR="00272ACA" w:rsidRPr="00520CEC">
        <w:t>paragraph</w:t>
      </w:r>
      <w:r w:rsidR="00044222" w:rsidRPr="00520CEC">
        <w:t xml:space="preserve"> </w:t>
      </w:r>
      <w:r w:rsidR="00272ACA" w:rsidRPr="00520CEC">
        <w:t>2.2.2(2)(c)”.</w:t>
      </w:r>
    </w:p>
    <w:p w14:paraId="4430621C" w14:textId="5C35D604" w:rsidR="00C66D18" w:rsidRPr="00520CEC" w:rsidRDefault="006927EC" w:rsidP="00C66D18">
      <w:pPr>
        <w:pStyle w:val="LI-BodyTextNumbered"/>
        <w:ind w:left="567"/>
        <w:rPr>
          <w:b/>
        </w:rPr>
      </w:pPr>
      <w:r w:rsidRPr="00520CEC">
        <w:rPr>
          <w:b/>
        </w:rPr>
        <w:t>5</w:t>
      </w:r>
      <w:r w:rsidR="003658B7" w:rsidRPr="00520CEC">
        <w:rPr>
          <w:b/>
        </w:rPr>
        <w:t>0</w:t>
      </w:r>
      <w:r w:rsidR="00C66D18" w:rsidRPr="00520CEC">
        <w:rPr>
          <w:b/>
        </w:rPr>
        <w:tab/>
        <w:t xml:space="preserve">Rule S1.3.1 (Table S1.1(2): </w:t>
      </w:r>
      <w:r w:rsidR="00DC2C4C" w:rsidRPr="00520CEC">
        <w:rPr>
          <w:b/>
        </w:rPr>
        <w:t>Valuation</w:t>
      </w:r>
      <w:r w:rsidR="00C66D18" w:rsidRPr="00520CEC">
        <w:rPr>
          <w:b/>
        </w:rPr>
        <w:t xml:space="preserve"> information</w:t>
      </w:r>
      <w:r w:rsidR="002E6B0B" w:rsidRPr="00520CEC">
        <w:rPr>
          <w:b/>
        </w:rPr>
        <w:t>, cell at item 1, column headed “</w:t>
      </w:r>
      <w:r w:rsidR="00FD4197" w:rsidRPr="00520CEC">
        <w:rPr>
          <w:b/>
        </w:rPr>
        <w:t>3. Derivative Transaction Information”</w:t>
      </w:r>
      <w:r w:rsidR="00C66D18" w:rsidRPr="00520CEC">
        <w:rPr>
          <w:b/>
        </w:rPr>
        <w:t>)</w:t>
      </w:r>
    </w:p>
    <w:p w14:paraId="0F309B13" w14:textId="1333A76E" w:rsidR="00C66D18" w:rsidRPr="00520CEC" w:rsidRDefault="00FD4197" w:rsidP="00C66D18">
      <w:pPr>
        <w:pStyle w:val="LI-BodyTextNumbered"/>
        <w:ind w:left="567" w:firstLine="0"/>
      </w:pPr>
      <w:r w:rsidRPr="00520CEC">
        <w:t>Repeal the cell</w:t>
      </w:r>
      <w:r w:rsidR="00C66D18" w:rsidRPr="00520CEC">
        <w:t>, substitute:</w:t>
      </w:r>
    </w:p>
    <w:p w14:paraId="29FDE3F1" w14:textId="4CE9477F" w:rsidR="00067F87" w:rsidRPr="00520CEC" w:rsidRDefault="00067F87" w:rsidP="0011587F">
      <w:pPr>
        <w:pStyle w:val="tbltext"/>
        <w:ind w:left="1134" w:right="2608"/>
      </w:pPr>
      <w:r w:rsidRPr="00520CEC">
        <w:t>For a report made under Rule 2.2.2:</w:t>
      </w:r>
    </w:p>
    <w:p w14:paraId="0C1E68C6" w14:textId="77777777" w:rsidR="00067F87" w:rsidRPr="00520CEC" w:rsidRDefault="00067F87" w:rsidP="0011587F">
      <w:pPr>
        <w:pStyle w:val="tbltext"/>
        <w:numPr>
          <w:ilvl w:val="0"/>
          <w:numId w:val="24"/>
        </w:numPr>
        <w:ind w:left="1491" w:right="2608" w:hanging="357"/>
        <w:rPr>
          <w:color w:val="000000" w:themeColor="text1"/>
        </w:rPr>
      </w:pPr>
      <w:r w:rsidRPr="00520CEC">
        <w:rPr>
          <w:color w:val="000000" w:themeColor="text1"/>
        </w:rPr>
        <w:t>if a UTI was reported for the initial Reportable Transaction for the OTC Derivative—that UTI; or</w:t>
      </w:r>
    </w:p>
    <w:p w14:paraId="34ABB832" w14:textId="39D0C35B" w:rsidR="00C66D18" w:rsidRPr="00520CEC" w:rsidRDefault="00067F87" w:rsidP="0011587F">
      <w:pPr>
        <w:pStyle w:val="tbltext"/>
        <w:numPr>
          <w:ilvl w:val="0"/>
          <w:numId w:val="24"/>
        </w:numPr>
        <w:ind w:left="1491" w:right="2608" w:hanging="357"/>
      </w:pPr>
      <w:r w:rsidRPr="00520CEC">
        <w:rPr>
          <w:color w:val="000000" w:themeColor="text1"/>
        </w:rPr>
        <w:t>if a UTI was not reported for the initial Reportable Transaction—a transaction identifier that was reported for the initial Reportable Transaction.</w:t>
      </w:r>
    </w:p>
    <w:p w14:paraId="20D7B4CD" w14:textId="2D6B7A76" w:rsidR="008E51AE" w:rsidRPr="00520CEC" w:rsidRDefault="006927EC" w:rsidP="008E51AE">
      <w:pPr>
        <w:pStyle w:val="LI-BodyTextNumbered"/>
        <w:ind w:left="567"/>
        <w:rPr>
          <w:b/>
        </w:rPr>
      </w:pPr>
      <w:r w:rsidRPr="00520CEC">
        <w:rPr>
          <w:b/>
        </w:rPr>
        <w:t>5</w:t>
      </w:r>
      <w:r w:rsidR="003658B7" w:rsidRPr="00520CEC">
        <w:rPr>
          <w:b/>
        </w:rPr>
        <w:t>1</w:t>
      </w:r>
      <w:r w:rsidR="008E51AE" w:rsidRPr="00520CEC">
        <w:rPr>
          <w:b/>
        </w:rPr>
        <w:tab/>
        <w:t>Rule S1.3.1 (Table S1.1(2): Valuation information</w:t>
      </w:r>
      <w:r w:rsidR="00665BA2" w:rsidRPr="00520CEC">
        <w:rPr>
          <w:b/>
        </w:rPr>
        <w:t>, cell at item 1, column headed “</w:t>
      </w:r>
      <w:r w:rsidR="00A47850" w:rsidRPr="00520CEC">
        <w:rPr>
          <w:b/>
        </w:rPr>
        <w:t>4. Format”</w:t>
      </w:r>
      <w:r w:rsidR="008E51AE" w:rsidRPr="00520CEC">
        <w:rPr>
          <w:b/>
        </w:rPr>
        <w:t>)</w:t>
      </w:r>
    </w:p>
    <w:p w14:paraId="0E3FDD70" w14:textId="7F5CF8D6" w:rsidR="008E51AE" w:rsidRPr="00520CEC" w:rsidRDefault="00A47850" w:rsidP="00322E18">
      <w:pPr>
        <w:pStyle w:val="LI-BodyTextNumbered"/>
        <w:ind w:left="567" w:firstLine="0"/>
      </w:pPr>
      <w:r w:rsidRPr="00520CEC">
        <w:t>O</w:t>
      </w:r>
      <w:r w:rsidR="008E51AE" w:rsidRPr="00520CEC">
        <w:t>mit “no format is specified”, substitute “an alphanum</w:t>
      </w:r>
      <w:r w:rsidR="009202D5" w:rsidRPr="00520CEC">
        <w:t>eric</w:t>
      </w:r>
      <w:r w:rsidR="008E51AE" w:rsidRPr="00520CEC">
        <w:t xml:space="preserve"> code of not more than 72 characters”.</w:t>
      </w:r>
    </w:p>
    <w:p w14:paraId="05C56812" w14:textId="4059C6DB" w:rsidR="00644A98" w:rsidRPr="00520CEC" w:rsidRDefault="00951E4E" w:rsidP="00644A98">
      <w:pPr>
        <w:pStyle w:val="LI-BodyTextNumbered"/>
        <w:ind w:left="567"/>
        <w:rPr>
          <w:b/>
        </w:rPr>
      </w:pPr>
      <w:r w:rsidRPr="00520CEC">
        <w:rPr>
          <w:b/>
        </w:rPr>
        <w:t>5</w:t>
      </w:r>
      <w:r w:rsidR="001023A4" w:rsidRPr="00520CEC">
        <w:rPr>
          <w:b/>
        </w:rPr>
        <w:t>2</w:t>
      </w:r>
      <w:r w:rsidR="00644A98" w:rsidRPr="00520CEC">
        <w:rPr>
          <w:b/>
        </w:rPr>
        <w:tab/>
        <w:t>Rule S1.3.1 (Table S1.1(3): Collateral information</w:t>
      </w:r>
      <w:r w:rsidR="00A65A1A" w:rsidRPr="00520CEC">
        <w:rPr>
          <w:b/>
        </w:rPr>
        <w:t>, cell at item 10, column headed “3. Derivative Transaction Information”</w:t>
      </w:r>
      <w:r w:rsidR="00644A98" w:rsidRPr="00520CEC">
        <w:rPr>
          <w:b/>
        </w:rPr>
        <w:t>)</w:t>
      </w:r>
    </w:p>
    <w:p w14:paraId="367F53A8" w14:textId="1F8CC9E9" w:rsidR="0086109D" w:rsidRPr="00520CEC" w:rsidRDefault="00633645" w:rsidP="00644A98">
      <w:pPr>
        <w:pStyle w:val="LI-BodyTextNumbered"/>
        <w:ind w:left="567" w:firstLine="0"/>
      </w:pPr>
      <w:r w:rsidRPr="00520CEC">
        <w:t>O</w:t>
      </w:r>
      <w:r w:rsidR="00644A98" w:rsidRPr="00520CEC">
        <w:t>mit</w:t>
      </w:r>
      <w:r w:rsidR="00596064" w:rsidRPr="00520CEC">
        <w:t xml:space="preserve"> </w:t>
      </w:r>
      <w:r w:rsidR="00681C3A" w:rsidRPr="00520CEC">
        <w:t xml:space="preserve">the paragraph beginning </w:t>
      </w:r>
      <w:r w:rsidR="00D45E5D" w:rsidRPr="00520CEC">
        <w:t>“If there is only one collateral portfolio”</w:t>
      </w:r>
      <w:r w:rsidR="00665C0F" w:rsidRPr="00520CEC">
        <w:t>, substitute</w:t>
      </w:r>
      <w:r w:rsidR="00792EFB" w:rsidRPr="00520CEC">
        <w:t>:</w:t>
      </w:r>
    </w:p>
    <w:p w14:paraId="22E24041" w14:textId="6F0C0523" w:rsidR="00792EFB" w:rsidRPr="00520CEC" w:rsidRDefault="00BA4BE9" w:rsidP="0011587F">
      <w:pPr>
        <w:pStyle w:val="LI-BodyTextNumbered"/>
        <w:ind w:right="2552" w:firstLine="0"/>
      </w:pPr>
      <w:r w:rsidRPr="00520CEC">
        <w:rPr>
          <w:rFonts w:ascii="Arial" w:hAnsi="Arial" w:cs="Arial"/>
          <w:sz w:val="18"/>
          <w:szCs w:val="18"/>
        </w:rPr>
        <w:lastRenderedPageBreak/>
        <w:t>This data element is not reported if there is only one collateral portfolio of amounts of margin that does not distinguish between margin that is initial margin and margin that is variation margin, and the collateral portfolio code of the collateral portfolio is reported as Collateral portfolio code (</w:t>
      </w:r>
      <w:r w:rsidR="005B7A5C" w:rsidRPr="00520CEC">
        <w:rPr>
          <w:rFonts w:ascii="Arial" w:hAnsi="Arial" w:cs="Arial"/>
          <w:sz w:val="18"/>
          <w:szCs w:val="18"/>
        </w:rPr>
        <w:t>variation</w:t>
      </w:r>
      <w:r w:rsidRPr="00520CEC">
        <w:rPr>
          <w:rFonts w:ascii="Arial" w:hAnsi="Arial" w:cs="Arial"/>
          <w:sz w:val="18"/>
          <w:szCs w:val="18"/>
        </w:rPr>
        <w:t xml:space="preserve"> margin) (item 1</w:t>
      </w:r>
      <w:r w:rsidR="0068729D" w:rsidRPr="00520CEC">
        <w:rPr>
          <w:rFonts w:ascii="Arial" w:hAnsi="Arial" w:cs="Arial"/>
          <w:sz w:val="18"/>
          <w:szCs w:val="18"/>
        </w:rPr>
        <w:t>1</w:t>
      </w:r>
      <w:r w:rsidRPr="00520CEC">
        <w:rPr>
          <w:rFonts w:ascii="Arial" w:hAnsi="Arial" w:cs="Arial"/>
          <w:sz w:val="18"/>
          <w:szCs w:val="18"/>
        </w:rPr>
        <w:t xml:space="preserve"> </w:t>
      </w:r>
      <w:r w:rsidR="0068729D" w:rsidRPr="00520CEC">
        <w:rPr>
          <w:rFonts w:ascii="Arial" w:hAnsi="Arial" w:cs="Arial"/>
          <w:sz w:val="18"/>
          <w:szCs w:val="18"/>
        </w:rPr>
        <w:t>below</w:t>
      </w:r>
      <w:r w:rsidRPr="00520CEC">
        <w:rPr>
          <w:rFonts w:ascii="Arial" w:hAnsi="Arial" w:cs="Arial"/>
          <w:sz w:val="18"/>
          <w:szCs w:val="18"/>
        </w:rPr>
        <w:t>).</w:t>
      </w:r>
    </w:p>
    <w:p w14:paraId="6382566A" w14:textId="6CD7529C" w:rsidR="00F33956" w:rsidRPr="00520CEC" w:rsidRDefault="00951E4E" w:rsidP="00F33956">
      <w:pPr>
        <w:pStyle w:val="LI-BodyTextNumbered"/>
        <w:ind w:left="567"/>
        <w:rPr>
          <w:b/>
        </w:rPr>
      </w:pPr>
      <w:r w:rsidRPr="00520CEC">
        <w:rPr>
          <w:b/>
        </w:rPr>
        <w:t>5</w:t>
      </w:r>
      <w:r w:rsidR="001023A4" w:rsidRPr="00520CEC">
        <w:rPr>
          <w:b/>
        </w:rPr>
        <w:t>3</w:t>
      </w:r>
      <w:r w:rsidR="00F33956" w:rsidRPr="00520CEC">
        <w:rPr>
          <w:b/>
        </w:rPr>
        <w:tab/>
        <w:t>Rule S1.3.1 (Table S1.1(3): Collateral information</w:t>
      </w:r>
      <w:r w:rsidR="00BD518E" w:rsidRPr="00520CEC">
        <w:rPr>
          <w:b/>
        </w:rPr>
        <w:t xml:space="preserve">, </w:t>
      </w:r>
      <w:r w:rsidR="0084109D" w:rsidRPr="00520CEC">
        <w:rPr>
          <w:b/>
        </w:rPr>
        <w:t xml:space="preserve">cell at item 11, column headed “3. Derivative Transaction Information”) </w:t>
      </w:r>
    </w:p>
    <w:p w14:paraId="1A3A0045" w14:textId="3FC47382" w:rsidR="00F33956" w:rsidRPr="00520CEC" w:rsidRDefault="0084109D" w:rsidP="00F33956">
      <w:pPr>
        <w:pStyle w:val="LI-BodyTextNumbered"/>
        <w:ind w:left="567" w:firstLine="0"/>
      </w:pPr>
      <w:r w:rsidRPr="00520CEC">
        <w:t>O</w:t>
      </w:r>
      <w:r w:rsidR="00F33956" w:rsidRPr="00520CEC">
        <w:t>mit</w:t>
      </w:r>
      <w:r w:rsidR="00125A67" w:rsidRPr="00520CEC">
        <w:t xml:space="preserve"> </w:t>
      </w:r>
      <w:r w:rsidR="001755A8" w:rsidRPr="00520CEC">
        <w:t xml:space="preserve">the paragraph </w:t>
      </w:r>
      <w:r w:rsidR="007700F8" w:rsidRPr="00520CEC">
        <w:t xml:space="preserve">beginning </w:t>
      </w:r>
      <w:r w:rsidR="00125A67" w:rsidRPr="00520CEC">
        <w:t>“</w:t>
      </w:r>
      <w:r w:rsidR="007700F8" w:rsidRPr="00520CEC">
        <w:t xml:space="preserve">This data element is </w:t>
      </w:r>
      <w:r w:rsidR="005D773F" w:rsidRPr="00520CEC">
        <w:t>not reported”</w:t>
      </w:r>
      <w:r w:rsidR="00163B2C" w:rsidRPr="00520CEC">
        <w:t>, substitute</w:t>
      </w:r>
      <w:r w:rsidR="00F33956" w:rsidRPr="00520CEC">
        <w:t>:</w:t>
      </w:r>
    </w:p>
    <w:p w14:paraId="1010436A" w14:textId="716BCB2D" w:rsidR="00C75268" w:rsidRPr="00520CEC" w:rsidRDefault="004E7386" w:rsidP="0011587F">
      <w:pPr>
        <w:pStyle w:val="LI-BodyTextNumbered"/>
        <w:ind w:right="2722" w:firstLine="0"/>
        <w:rPr>
          <w:rFonts w:ascii="Arial" w:hAnsi="Arial" w:cs="Arial"/>
          <w:sz w:val="18"/>
          <w:szCs w:val="18"/>
        </w:rPr>
      </w:pPr>
      <w:r w:rsidRPr="00520CEC">
        <w:rPr>
          <w:rFonts w:ascii="Arial" w:hAnsi="Arial" w:cs="Arial"/>
          <w:sz w:val="18"/>
          <w:szCs w:val="18"/>
        </w:rPr>
        <w:t>If there is only one collateral portfolio of amounts of margin that does not distinguish between margin that is initial margin and margin that is variation margin, the unique code is of that portfolio.</w:t>
      </w:r>
    </w:p>
    <w:p w14:paraId="2CCC675C" w14:textId="2DF253C5" w:rsidR="00F33956" w:rsidRPr="00520CEC" w:rsidRDefault="00772B7A" w:rsidP="0011587F">
      <w:pPr>
        <w:pStyle w:val="LI-BodyTextNumbered"/>
        <w:ind w:right="2665" w:firstLine="0"/>
      </w:pPr>
      <w:r w:rsidRPr="00520CEC">
        <w:rPr>
          <w:rFonts w:ascii="Arial" w:hAnsi="Arial" w:cs="Arial"/>
          <w:sz w:val="18"/>
          <w:szCs w:val="18"/>
        </w:rPr>
        <w:t>This data element is reported as the same code as Collateral portfolio code (initial margin) (item 10 above) if there is only one collateral portfolio and the amounts of initial and variation margin are distinguished within that portfolio.</w:t>
      </w:r>
    </w:p>
    <w:p w14:paraId="192FBE2C" w14:textId="77777777" w:rsidR="00F33956" w:rsidRPr="00520CEC" w:rsidRDefault="00F33956" w:rsidP="00BA4BE9">
      <w:pPr>
        <w:pStyle w:val="LI-BodyTextNumbered"/>
        <w:ind w:left="567" w:firstLine="0"/>
      </w:pPr>
    </w:p>
    <w:p w14:paraId="0F672CE1" w14:textId="77777777" w:rsidR="00B34A96" w:rsidRPr="00520CEC" w:rsidRDefault="00B34A96" w:rsidP="00BA4BE9">
      <w:pPr>
        <w:pStyle w:val="LI-BodyTextNumbered"/>
        <w:ind w:left="567" w:firstLine="0"/>
        <w:sectPr w:rsidR="00B34A96" w:rsidRPr="00520CEC" w:rsidSect="0040053F">
          <w:headerReference w:type="even" r:id="rId25"/>
          <w:headerReference w:type="default" r:id="rId26"/>
          <w:pgSz w:w="11907" w:h="16839" w:code="9"/>
          <w:pgMar w:top="1534" w:right="1797" w:bottom="1440" w:left="1797" w:header="720" w:footer="709" w:gutter="0"/>
          <w:cols w:space="708"/>
          <w:docGrid w:linePitch="360"/>
        </w:sectPr>
      </w:pPr>
    </w:p>
    <w:p w14:paraId="59A3096D" w14:textId="793BE7C6" w:rsidR="00002994" w:rsidRPr="00520CEC" w:rsidRDefault="00002994" w:rsidP="00002994">
      <w:pPr>
        <w:pStyle w:val="LI-Heading1"/>
      </w:pPr>
      <w:bookmarkStart w:id="9" w:name="_Toc182823314"/>
      <w:r w:rsidRPr="00520CEC">
        <w:lastRenderedPageBreak/>
        <w:t>Schedule 2—Amendments</w:t>
      </w:r>
      <w:bookmarkEnd w:id="9"/>
    </w:p>
    <w:p w14:paraId="5EAD8452" w14:textId="77777777" w:rsidR="00002994" w:rsidRPr="00520CEC" w:rsidRDefault="00002994" w:rsidP="00002994">
      <w:pPr>
        <w:pStyle w:val="LI-Heading2"/>
        <w:rPr>
          <w:i/>
          <w:iCs/>
          <w:sz w:val="28"/>
          <w:szCs w:val="28"/>
        </w:rPr>
      </w:pPr>
      <w:bookmarkStart w:id="10" w:name="_Toc182823315"/>
      <w:r w:rsidRPr="00520CEC">
        <w:rPr>
          <w:i/>
          <w:iCs/>
          <w:sz w:val="28"/>
          <w:szCs w:val="28"/>
        </w:rPr>
        <w:t>ASIC Derivative Transaction Rules (Reporting) 2024</w:t>
      </w:r>
      <w:bookmarkEnd w:id="10"/>
    </w:p>
    <w:p w14:paraId="0514054B" w14:textId="2A2EB59E" w:rsidR="00586AE0" w:rsidRPr="00520CEC" w:rsidRDefault="00586AE0" w:rsidP="00586AE0">
      <w:pPr>
        <w:pStyle w:val="LI-BodyTextNumbered"/>
        <w:ind w:left="567"/>
        <w:rPr>
          <w:b/>
        </w:rPr>
      </w:pPr>
      <w:r w:rsidRPr="00520CEC">
        <w:rPr>
          <w:b/>
        </w:rPr>
        <w:t>1</w:t>
      </w:r>
      <w:r w:rsidRPr="00520CEC">
        <w:rPr>
          <w:b/>
        </w:rPr>
        <w:tab/>
        <w:t>Rule S1.3.1 (Table S1.1(1): Transaction information, after item 1)</w:t>
      </w:r>
    </w:p>
    <w:p w14:paraId="6C1BCAB6" w14:textId="77777777" w:rsidR="00586AE0" w:rsidRPr="00520CEC" w:rsidRDefault="00586AE0" w:rsidP="00586AE0">
      <w:pPr>
        <w:pStyle w:val="LI-BodyTextNumbered"/>
        <w:spacing w:after="240"/>
        <w:ind w:left="567" w:firstLine="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9670AA" w:rsidRPr="00520CEC" w14:paraId="374082D7" w14:textId="77777777" w:rsidTr="0011587F">
        <w:trPr>
          <w:cantSplit/>
          <w:trHeight w:val="850"/>
        </w:trPr>
        <w:tc>
          <w:tcPr>
            <w:tcW w:w="935" w:type="dxa"/>
            <w:shd w:val="clear" w:color="auto" w:fill="auto"/>
          </w:tcPr>
          <w:p w14:paraId="013C985D" w14:textId="77777777" w:rsidR="00586AE0" w:rsidRPr="00520CEC" w:rsidRDefault="00586AE0">
            <w:pPr>
              <w:pStyle w:val="tbltext"/>
            </w:pPr>
            <w:r w:rsidRPr="00520CEC">
              <w:t>1a</w:t>
            </w:r>
          </w:p>
        </w:tc>
        <w:tc>
          <w:tcPr>
            <w:tcW w:w="2126" w:type="dxa"/>
          </w:tcPr>
          <w:p w14:paraId="0CADDF29" w14:textId="77777777" w:rsidR="00586AE0" w:rsidRPr="00520CEC" w:rsidRDefault="00586AE0">
            <w:pPr>
              <w:pStyle w:val="tbltext"/>
            </w:pPr>
            <w:r w:rsidRPr="00520CEC">
              <w:t>Secondary transaction identifier</w:t>
            </w:r>
          </w:p>
        </w:tc>
        <w:tc>
          <w:tcPr>
            <w:tcW w:w="4819" w:type="dxa"/>
          </w:tcPr>
          <w:p w14:paraId="0556E44B" w14:textId="77777777" w:rsidR="00586AE0" w:rsidRPr="00520CEC" w:rsidRDefault="00586AE0">
            <w:pPr>
              <w:pStyle w:val="tbltext"/>
              <w:ind w:left="37"/>
            </w:pPr>
            <w:r w:rsidRPr="00520CEC">
              <w:t>A secondary transaction identifier that may be, but is not required to be, reported at this item.</w:t>
            </w:r>
          </w:p>
        </w:tc>
        <w:tc>
          <w:tcPr>
            <w:tcW w:w="2863" w:type="dxa"/>
          </w:tcPr>
          <w:p w14:paraId="7180B94B" w14:textId="77777777" w:rsidR="00586AE0" w:rsidRPr="00520CEC" w:rsidRDefault="00586AE0">
            <w:pPr>
              <w:pStyle w:val="tbltext"/>
            </w:pPr>
            <w:r w:rsidRPr="00520CEC">
              <w:t>An alphanumeric code of not more than 72 characters.</w:t>
            </w:r>
          </w:p>
        </w:tc>
        <w:tc>
          <w:tcPr>
            <w:tcW w:w="3061" w:type="dxa"/>
          </w:tcPr>
          <w:p w14:paraId="72516299" w14:textId="77777777" w:rsidR="00586AE0" w:rsidRPr="00520CEC" w:rsidRDefault="00586AE0">
            <w:pPr>
              <w:pStyle w:val="tbltext"/>
            </w:pPr>
            <w:r w:rsidRPr="00520CEC">
              <w:t>The value of the secondary transaction identifier.</w:t>
            </w:r>
          </w:p>
        </w:tc>
      </w:tr>
    </w:tbl>
    <w:p w14:paraId="40E8444D" w14:textId="12C08570" w:rsidR="00586AE0" w:rsidRPr="00520CEC" w:rsidRDefault="00586AE0" w:rsidP="00586AE0">
      <w:pPr>
        <w:pStyle w:val="LI-BodyTextNumbered"/>
        <w:ind w:left="567"/>
        <w:rPr>
          <w:b/>
        </w:rPr>
      </w:pPr>
      <w:r w:rsidRPr="00520CEC">
        <w:rPr>
          <w:b/>
        </w:rPr>
        <w:t>2</w:t>
      </w:r>
      <w:r w:rsidRPr="00520CEC">
        <w:rPr>
          <w:b/>
        </w:rPr>
        <w:tab/>
        <w:t>Rule S1.3.1 (Table S1.1(1): Transaction information, after item 7)</w:t>
      </w:r>
    </w:p>
    <w:p w14:paraId="299121C7" w14:textId="77777777" w:rsidR="00586AE0" w:rsidRPr="00520CEC" w:rsidRDefault="00586AE0" w:rsidP="00586AE0">
      <w:pPr>
        <w:pStyle w:val="LI-BodyTextNumbered"/>
        <w:spacing w:after="240"/>
        <w:ind w:left="567" w:firstLine="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586AE0" w:rsidRPr="00520CEC" w14:paraId="2F2F301A" w14:textId="77777777" w:rsidTr="0011587F">
        <w:trPr>
          <w:cantSplit/>
        </w:trPr>
        <w:tc>
          <w:tcPr>
            <w:tcW w:w="935" w:type="dxa"/>
            <w:shd w:val="clear" w:color="auto" w:fill="auto"/>
          </w:tcPr>
          <w:p w14:paraId="3FC9A709" w14:textId="77777777" w:rsidR="00586AE0" w:rsidRPr="00520CEC" w:rsidRDefault="00586AE0">
            <w:pPr>
              <w:pStyle w:val="tbltext"/>
            </w:pPr>
            <w:r w:rsidRPr="00520CEC">
              <w:t>7a</w:t>
            </w:r>
          </w:p>
        </w:tc>
        <w:tc>
          <w:tcPr>
            <w:tcW w:w="2126" w:type="dxa"/>
          </w:tcPr>
          <w:p w14:paraId="3619D2A5" w14:textId="77777777" w:rsidR="00586AE0" w:rsidRPr="00520CEC" w:rsidRDefault="00586AE0">
            <w:pPr>
              <w:pStyle w:val="tbltext"/>
            </w:pPr>
            <w:r w:rsidRPr="00520CEC">
              <w:t>Counterparty 2 name</w:t>
            </w:r>
          </w:p>
        </w:tc>
        <w:tc>
          <w:tcPr>
            <w:tcW w:w="4819" w:type="dxa"/>
          </w:tcPr>
          <w:p w14:paraId="17B2DDA2" w14:textId="77777777" w:rsidR="00586AE0" w:rsidRPr="00520CEC" w:rsidRDefault="00586AE0">
            <w:pPr>
              <w:pStyle w:val="tbltext"/>
            </w:pPr>
            <w:r w:rsidRPr="00520CEC">
              <w:t>If the identifier reported for Counterparty 2 (item 7 above) is not an LEI, a Designated Business Identifier or the value ANON, the legal name of Counterparty 2.</w:t>
            </w:r>
          </w:p>
        </w:tc>
        <w:tc>
          <w:tcPr>
            <w:tcW w:w="2863" w:type="dxa"/>
          </w:tcPr>
          <w:p w14:paraId="43ED5396" w14:textId="77777777" w:rsidR="00586AE0" w:rsidRPr="00520CEC" w:rsidRDefault="00586AE0">
            <w:pPr>
              <w:pStyle w:val="tbltext"/>
            </w:pPr>
            <w:r w:rsidRPr="00520CEC">
              <w:t>An alphanumeric code of not more than 105 characters.</w:t>
            </w:r>
          </w:p>
        </w:tc>
        <w:tc>
          <w:tcPr>
            <w:tcW w:w="3061" w:type="dxa"/>
          </w:tcPr>
          <w:p w14:paraId="02AC8321" w14:textId="77777777" w:rsidR="00586AE0" w:rsidRPr="00520CEC" w:rsidRDefault="00586AE0">
            <w:pPr>
              <w:pStyle w:val="tbltext"/>
            </w:pPr>
            <w:r w:rsidRPr="00520CEC">
              <w:t>The value of the legal name.</w:t>
            </w:r>
          </w:p>
        </w:tc>
      </w:tr>
    </w:tbl>
    <w:p w14:paraId="4F03DD5E" w14:textId="532E1FCE" w:rsidR="00131DC0" w:rsidRPr="00520CEC" w:rsidRDefault="00131DC0" w:rsidP="00A42AEE">
      <w:pPr>
        <w:pStyle w:val="LI-BodyTextNumbered"/>
        <w:keepNext/>
        <w:ind w:left="567"/>
      </w:pPr>
      <w:r w:rsidRPr="00520CEC">
        <w:rPr>
          <w:b/>
        </w:rPr>
        <w:t>3</w:t>
      </w:r>
      <w:r w:rsidRPr="00520CEC">
        <w:rPr>
          <w:b/>
        </w:rPr>
        <w:tab/>
        <w:t>Rule S1.3.1 (Table S1.1(1): Transaction information, item 47)</w:t>
      </w:r>
    </w:p>
    <w:p w14:paraId="62504BB8" w14:textId="2B87075E" w:rsidR="00131DC0" w:rsidRPr="00520CEC" w:rsidRDefault="00131DC0" w:rsidP="00A42AEE">
      <w:pPr>
        <w:pStyle w:val="LI-BodyTextNumbered"/>
        <w:keepNext/>
        <w:ind w:left="567" w:firstLine="0"/>
      </w:pPr>
      <w:r w:rsidRPr="00520CEC">
        <w:t xml:space="preserve">Repeal the </w:t>
      </w:r>
      <w:r w:rsidR="004715B6" w:rsidRPr="00520CEC">
        <w:t>item</w:t>
      </w:r>
      <w:r w:rsidRPr="00520CEC">
        <w:t>, substitute:</w:t>
      </w:r>
    </w:p>
    <w:p w14:paraId="757149C7" w14:textId="77777777" w:rsidR="00AC756B" w:rsidRPr="00520CEC" w:rsidRDefault="00AC756B" w:rsidP="00131DC0">
      <w:pPr>
        <w:pStyle w:val="LI-BodyTextNumbered"/>
        <w:ind w:left="567" w:firstLine="0"/>
      </w:pPr>
    </w:p>
    <w:tbl>
      <w:tblPr>
        <w:tblW w:w="13799" w:type="dxa"/>
        <w:tblInd w:w="567"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933"/>
        <w:gridCol w:w="2126"/>
        <w:gridCol w:w="4816"/>
        <w:gridCol w:w="2863"/>
        <w:gridCol w:w="3061"/>
      </w:tblGrid>
      <w:tr w:rsidR="00AC756B" w:rsidRPr="00520CEC" w14:paraId="739C1C8D" w14:textId="77777777" w:rsidTr="00465281">
        <w:trPr>
          <w:cantSplit/>
        </w:trPr>
        <w:tc>
          <w:tcPr>
            <w:tcW w:w="933" w:type="dxa"/>
            <w:tcBorders>
              <w:top w:val="nil"/>
              <w:bottom w:val="nil"/>
            </w:tcBorders>
          </w:tcPr>
          <w:p w14:paraId="7BA276DC" w14:textId="77777777" w:rsidR="00AC756B" w:rsidRPr="00520CEC" w:rsidRDefault="00AC756B">
            <w:pPr>
              <w:pStyle w:val="tbltext"/>
            </w:pPr>
            <w:r w:rsidRPr="00520CEC">
              <w:lastRenderedPageBreak/>
              <w:t>47</w:t>
            </w:r>
          </w:p>
        </w:tc>
        <w:tc>
          <w:tcPr>
            <w:tcW w:w="2126" w:type="dxa"/>
            <w:tcBorders>
              <w:top w:val="nil"/>
              <w:bottom w:val="nil"/>
            </w:tcBorders>
          </w:tcPr>
          <w:p w14:paraId="22B6D66D" w14:textId="77777777" w:rsidR="00AC756B" w:rsidRPr="00520CEC" w:rsidRDefault="00AC756B">
            <w:pPr>
              <w:pStyle w:val="tbltext"/>
            </w:pPr>
            <w:r w:rsidRPr="00520CEC">
              <w:t>Price</w:t>
            </w:r>
          </w:p>
        </w:tc>
        <w:tc>
          <w:tcPr>
            <w:tcW w:w="4816" w:type="dxa"/>
            <w:tcBorders>
              <w:top w:val="nil"/>
              <w:bottom w:val="nil"/>
            </w:tcBorders>
          </w:tcPr>
          <w:p w14:paraId="5B4CDADA" w14:textId="77777777" w:rsidR="00AC756B" w:rsidRPr="00520CEC" w:rsidRDefault="00AC756B">
            <w:pPr>
              <w:pStyle w:val="tbltext"/>
            </w:pPr>
            <w:r w:rsidRPr="00520CEC">
              <w:t>The price taken from the trade confirmation of the Reportable Transaction, not including fees, taxes or commissions.</w:t>
            </w:r>
          </w:p>
        </w:tc>
        <w:tc>
          <w:tcPr>
            <w:tcW w:w="2863" w:type="dxa"/>
            <w:tcBorders>
              <w:top w:val="nil"/>
              <w:bottom w:val="nil"/>
            </w:tcBorders>
          </w:tcPr>
          <w:p w14:paraId="2E74D36F" w14:textId="77777777" w:rsidR="00AC756B" w:rsidRPr="00520CEC" w:rsidRDefault="00AC756B">
            <w:pPr>
              <w:pStyle w:val="tbltext"/>
            </w:pPr>
            <w:r w:rsidRPr="00520CEC">
              <w:t>This data element must be:</w:t>
            </w:r>
          </w:p>
          <w:p w14:paraId="52E014ED" w14:textId="77777777" w:rsidR="00AC756B" w:rsidRPr="00520CEC" w:rsidRDefault="00AC756B">
            <w:pPr>
              <w:pStyle w:val="tbltext"/>
              <w:ind w:left="357" w:hanging="357"/>
            </w:pPr>
            <w:r w:rsidRPr="00520CEC">
              <w:t>(a)</w:t>
            </w:r>
            <w:r w:rsidRPr="00520CEC">
              <w:tab/>
              <w:t>reported as a monetary amount; or</w:t>
            </w:r>
          </w:p>
          <w:p w14:paraId="798FAC80" w14:textId="77777777" w:rsidR="00AC756B" w:rsidRPr="00520CEC" w:rsidRDefault="00AC756B">
            <w:pPr>
              <w:pStyle w:val="tbltext"/>
              <w:ind w:left="357" w:hanging="357"/>
            </w:pPr>
            <w:r w:rsidRPr="00520CEC">
              <w:t>(b)</w:t>
            </w:r>
            <w:r w:rsidRPr="00520CEC">
              <w:tab/>
              <w:t>reported as a decimal.</w:t>
            </w:r>
          </w:p>
          <w:p w14:paraId="17D993A1" w14:textId="77777777" w:rsidR="00AC756B" w:rsidRPr="00520CEC" w:rsidRDefault="00AC756B">
            <w:pPr>
              <w:pStyle w:val="tbltext"/>
            </w:pPr>
            <w:r w:rsidRPr="00520CEC">
              <w:t>If Price notation (item 46 above) is reported as 1, a number of not more than 18 numerals, with no more than 13 numerals after the decimal point.</w:t>
            </w:r>
          </w:p>
          <w:p w14:paraId="110134F9" w14:textId="77777777" w:rsidR="00AC756B" w:rsidRPr="00520CEC" w:rsidRDefault="00AC756B">
            <w:pPr>
              <w:pStyle w:val="tbltext"/>
            </w:pPr>
            <w:r w:rsidRPr="00520CEC">
              <w:t>If Price notation (item 46 above) is reported as 3, a number of not more than 11 numerals, with no more than 10 numerals after the decimal point.</w:t>
            </w:r>
          </w:p>
        </w:tc>
        <w:tc>
          <w:tcPr>
            <w:tcW w:w="3061" w:type="dxa"/>
            <w:tcBorders>
              <w:top w:val="nil"/>
              <w:bottom w:val="nil"/>
            </w:tcBorders>
          </w:tcPr>
          <w:p w14:paraId="7659F1BF" w14:textId="77777777" w:rsidR="00AC756B" w:rsidRPr="00520CEC" w:rsidRDefault="00AC756B">
            <w:pPr>
              <w:pStyle w:val="tbltext"/>
            </w:pPr>
            <w:r w:rsidRPr="00520CEC">
              <w:t>Any numeric value.</w:t>
            </w:r>
          </w:p>
        </w:tc>
      </w:tr>
      <w:tr w:rsidR="00AC756B" w:rsidRPr="00520CEC" w14:paraId="67F934BA" w14:textId="77777777" w:rsidTr="00465281">
        <w:trPr>
          <w:cantSplit/>
        </w:trPr>
        <w:tc>
          <w:tcPr>
            <w:tcW w:w="933" w:type="dxa"/>
            <w:tcBorders>
              <w:top w:val="nil"/>
              <w:bottom w:val="nil"/>
            </w:tcBorders>
          </w:tcPr>
          <w:p w14:paraId="47004A47" w14:textId="77777777" w:rsidR="00AC756B" w:rsidRPr="00520CEC" w:rsidRDefault="00AC756B">
            <w:pPr>
              <w:pStyle w:val="tbltext"/>
            </w:pPr>
          </w:p>
        </w:tc>
        <w:tc>
          <w:tcPr>
            <w:tcW w:w="2126" w:type="dxa"/>
            <w:tcBorders>
              <w:top w:val="nil"/>
              <w:bottom w:val="nil"/>
            </w:tcBorders>
          </w:tcPr>
          <w:p w14:paraId="712E65C6" w14:textId="77777777" w:rsidR="00AC756B" w:rsidRPr="00520CEC" w:rsidRDefault="00AC756B">
            <w:pPr>
              <w:pStyle w:val="tbltext"/>
            </w:pPr>
          </w:p>
        </w:tc>
        <w:tc>
          <w:tcPr>
            <w:tcW w:w="10740" w:type="dxa"/>
            <w:gridSpan w:val="3"/>
            <w:tcBorders>
              <w:top w:val="nil"/>
              <w:bottom w:val="nil"/>
            </w:tcBorders>
          </w:tcPr>
          <w:p w14:paraId="1C0350EC" w14:textId="77777777" w:rsidR="00AC756B" w:rsidRPr="00520CEC" w:rsidRDefault="00AC756B">
            <w:pPr>
              <w:pStyle w:val="tbltext"/>
            </w:pPr>
            <w:r w:rsidRPr="00520CEC">
              <w:t>This data element is required for OTC Derivatives:</w:t>
            </w:r>
          </w:p>
          <w:p w14:paraId="4644281A" w14:textId="77777777" w:rsidR="00AC756B" w:rsidRPr="00520CEC" w:rsidRDefault="00AC756B" w:rsidP="00AC756B">
            <w:pPr>
              <w:pStyle w:val="tbltext"/>
              <w:numPr>
                <w:ilvl w:val="0"/>
                <w:numId w:val="34"/>
              </w:numPr>
              <w:ind w:left="357" w:hanging="357"/>
            </w:pPr>
            <w:r w:rsidRPr="00520CEC">
              <w:t>that are contracts for difference (other than foreign exchange derivatives);</w:t>
            </w:r>
          </w:p>
          <w:p w14:paraId="3FC35A64" w14:textId="77777777" w:rsidR="00AC756B" w:rsidRPr="00520CEC" w:rsidRDefault="00AC756B" w:rsidP="00AC756B">
            <w:pPr>
              <w:pStyle w:val="tbltext"/>
              <w:numPr>
                <w:ilvl w:val="0"/>
                <w:numId w:val="34"/>
              </w:numPr>
              <w:ind w:left="357" w:hanging="357"/>
            </w:pPr>
            <w:r w:rsidRPr="00520CEC">
              <w:t>that are commodity derivatives or equity derivatives where:</w:t>
            </w:r>
          </w:p>
          <w:p w14:paraId="446F8C37" w14:textId="77777777" w:rsidR="00AC756B" w:rsidRPr="00520CEC" w:rsidRDefault="00AC756B" w:rsidP="00AC756B">
            <w:pPr>
              <w:pStyle w:val="tbltext"/>
              <w:numPr>
                <w:ilvl w:val="0"/>
                <w:numId w:val="35"/>
              </w:numPr>
              <w:ind w:left="714" w:hanging="357"/>
            </w:pPr>
            <w:r w:rsidRPr="00520CEC">
              <w:t>the UPI that is reported is for an instrument type that is a forward; or</w:t>
            </w:r>
          </w:p>
          <w:p w14:paraId="0662E450" w14:textId="77777777" w:rsidR="00AC756B" w:rsidRPr="00520CEC" w:rsidRDefault="00AC756B" w:rsidP="00AC756B">
            <w:pPr>
              <w:pStyle w:val="tbltext"/>
              <w:numPr>
                <w:ilvl w:val="0"/>
                <w:numId w:val="35"/>
              </w:numPr>
              <w:ind w:left="714" w:hanging="357"/>
            </w:pPr>
            <w:r w:rsidRPr="00520CEC">
              <w:t>the UPI that is reported is for an instrument type that is a swap and the OTC Derivative includes a term that is, or is equivalent to, a fixed price or initial price; or</w:t>
            </w:r>
          </w:p>
          <w:p w14:paraId="1ADD8BBC" w14:textId="77777777" w:rsidR="00AC756B" w:rsidRPr="00520CEC" w:rsidRDefault="00AC756B" w:rsidP="00AC756B">
            <w:pPr>
              <w:pStyle w:val="tbltext"/>
              <w:numPr>
                <w:ilvl w:val="0"/>
                <w:numId w:val="34"/>
              </w:numPr>
              <w:ind w:left="357" w:hanging="357"/>
            </w:pPr>
            <w:r w:rsidRPr="00520CEC">
              <w:t>where a value is not reported for all of the following: Fixed rate—Leg 1 (item 50 below), Fixed rate—Leg 2 (item 51 below), Spread—Leg 1 (item 53 below), Spread—Leg 2 (item 55 below), Strike price (item 59 below), Option premium amount (item 61 below) and Exchange rate (item 64 below), and, for OTC Derivatives that are credit derivatives, a value of UFRO is not reported for Other payment type (item 75 below).</w:t>
            </w:r>
          </w:p>
          <w:p w14:paraId="40466764" w14:textId="76325957" w:rsidR="00AC756B" w:rsidRPr="00520CEC" w:rsidRDefault="00AC756B">
            <w:pPr>
              <w:pStyle w:val="tbltext"/>
            </w:pPr>
            <w:r w:rsidRPr="00520CEC">
              <w:rPr>
                <w:sz w:val="16"/>
                <w:szCs w:val="16"/>
              </w:rPr>
              <w:t>Note: The items referred to in paragraph (c) above are items where one or more of them is required to be reported for options, interest rate swaps, forward rate agreements, commodity basis swaps, credit default swaps, credit total return swaps, foreign exchange derivatives and similar products. Where at least one of the items is reported, this item Price is not reported.</w:t>
            </w:r>
          </w:p>
        </w:tc>
      </w:tr>
    </w:tbl>
    <w:p w14:paraId="6EEFFB0D" w14:textId="48317202" w:rsidR="00197E80" w:rsidRPr="00520CEC" w:rsidRDefault="00197E80" w:rsidP="00197E80">
      <w:pPr>
        <w:pStyle w:val="LI-BodyTextNumbered"/>
        <w:ind w:left="567"/>
        <w:rPr>
          <w:b/>
        </w:rPr>
      </w:pPr>
      <w:r w:rsidRPr="00520CEC">
        <w:rPr>
          <w:b/>
        </w:rPr>
        <w:lastRenderedPageBreak/>
        <w:t>4</w:t>
      </w:r>
      <w:r w:rsidRPr="00520CEC">
        <w:rPr>
          <w:b/>
        </w:rPr>
        <w:tab/>
        <w:t>Rule S1.3.1 (Table S1.1(1): Transaction information, after item 58)</w:t>
      </w:r>
    </w:p>
    <w:p w14:paraId="077F2108" w14:textId="77777777" w:rsidR="00197E80" w:rsidRPr="00520CEC" w:rsidRDefault="00197E80" w:rsidP="00197E80">
      <w:pPr>
        <w:pStyle w:val="LI-BodyTextNumbered"/>
        <w:spacing w:after="240"/>
        <w:ind w:left="567" w:firstLine="0"/>
      </w:pPr>
      <w:r w:rsidRPr="00520CEC">
        <w:t>Insert:</w:t>
      </w:r>
    </w:p>
    <w:tbl>
      <w:tblPr>
        <w:tblW w:w="13804" w:type="dxa"/>
        <w:tblInd w:w="567" w:type="dxa"/>
        <w:tblBorders>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197E80" w:rsidRPr="00520CEC" w14:paraId="14AEBDED" w14:textId="77777777" w:rsidTr="0011587F">
        <w:trPr>
          <w:cantSplit/>
        </w:trPr>
        <w:tc>
          <w:tcPr>
            <w:tcW w:w="935" w:type="dxa"/>
            <w:shd w:val="clear" w:color="auto" w:fill="auto"/>
          </w:tcPr>
          <w:p w14:paraId="3322D466" w14:textId="77777777" w:rsidR="00197E80" w:rsidRPr="00520CEC" w:rsidRDefault="00197E80">
            <w:pPr>
              <w:pStyle w:val="tbltext"/>
            </w:pPr>
            <w:r w:rsidRPr="00520CEC">
              <w:t>58a</w:t>
            </w:r>
          </w:p>
        </w:tc>
        <w:tc>
          <w:tcPr>
            <w:tcW w:w="2126" w:type="dxa"/>
          </w:tcPr>
          <w:p w14:paraId="5A3B1223" w14:textId="77777777" w:rsidR="00197E80" w:rsidRPr="00520CEC" w:rsidRDefault="00197E80">
            <w:pPr>
              <w:pStyle w:val="tbltext"/>
            </w:pPr>
            <w:r w:rsidRPr="00520CEC">
              <w:t>Lower or only barrier price notation</w:t>
            </w:r>
          </w:p>
        </w:tc>
        <w:tc>
          <w:tcPr>
            <w:tcW w:w="4819" w:type="dxa"/>
          </w:tcPr>
          <w:p w14:paraId="2733B4B0" w14:textId="77777777" w:rsidR="00197E80" w:rsidRPr="00520CEC" w:rsidRDefault="00197E80">
            <w:pPr>
              <w:pStyle w:val="tbltext"/>
              <w:ind w:left="37"/>
            </w:pPr>
            <w:r w:rsidRPr="00520CEC">
              <w:t>An indicator of the type of units in which Lower or only barrier price (item 59a below) is reported.</w:t>
            </w:r>
          </w:p>
        </w:tc>
        <w:tc>
          <w:tcPr>
            <w:tcW w:w="2863" w:type="dxa"/>
          </w:tcPr>
          <w:p w14:paraId="05A793F7" w14:textId="77777777" w:rsidR="00197E80" w:rsidRPr="00520CEC" w:rsidRDefault="00197E80">
            <w:pPr>
              <w:pStyle w:val="tbltext"/>
            </w:pPr>
            <w:r w:rsidRPr="00520CEC">
              <w:t>As specified in the applicable paragraph of column 5 of this item.</w:t>
            </w:r>
          </w:p>
        </w:tc>
        <w:tc>
          <w:tcPr>
            <w:tcW w:w="3061" w:type="dxa"/>
          </w:tcPr>
          <w:p w14:paraId="08E41DE9" w14:textId="77777777" w:rsidR="00197E80" w:rsidRPr="00520CEC" w:rsidRDefault="00197E80" w:rsidP="0011587F">
            <w:pPr>
              <w:pStyle w:val="tbltext"/>
              <w:numPr>
                <w:ilvl w:val="0"/>
                <w:numId w:val="20"/>
              </w:numPr>
              <w:ind w:left="357" w:hanging="357"/>
            </w:pPr>
            <w:r w:rsidRPr="00520CEC">
              <w:t>1</w:t>
            </w:r>
            <w:r w:rsidRPr="00520CEC">
              <w:rPr>
                <w:rFonts w:ascii="Calibri" w:hAnsi="Calibri"/>
              </w:rPr>
              <w:t>—</w:t>
            </w:r>
            <w:r w:rsidRPr="00520CEC">
              <w:t>if Lower or only barrier price (item 59a below) is reported as a monetary amount; or</w:t>
            </w:r>
          </w:p>
          <w:p w14:paraId="325C2972" w14:textId="77777777" w:rsidR="00197E80" w:rsidRPr="00520CEC" w:rsidRDefault="00197E80" w:rsidP="0011587F">
            <w:pPr>
              <w:pStyle w:val="tbltext"/>
              <w:numPr>
                <w:ilvl w:val="0"/>
                <w:numId w:val="20"/>
              </w:numPr>
              <w:ind w:left="357" w:hanging="357"/>
            </w:pPr>
            <w:r w:rsidRPr="00520CEC">
              <w:t>3</w:t>
            </w:r>
            <w:r w:rsidRPr="00520CEC">
              <w:rPr>
                <w:rFonts w:ascii="Calibri" w:hAnsi="Calibri"/>
              </w:rPr>
              <w:t>—</w:t>
            </w:r>
            <w:r w:rsidRPr="00520CEC">
              <w:t>if Lower or only barrier price (item 59a below) is reported as a decimal.</w:t>
            </w:r>
          </w:p>
        </w:tc>
      </w:tr>
      <w:tr w:rsidR="00197E80" w:rsidRPr="00520CEC" w14:paraId="174EC48C" w14:textId="77777777" w:rsidTr="0011587F">
        <w:trPr>
          <w:cantSplit/>
        </w:trPr>
        <w:tc>
          <w:tcPr>
            <w:tcW w:w="935" w:type="dxa"/>
            <w:shd w:val="clear" w:color="auto" w:fill="auto"/>
          </w:tcPr>
          <w:p w14:paraId="0EB8F9D4" w14:textId="77777777" w:rsidR="00197E80" w:rsidRPr="00520CEC" w:rsidRDefault="00197E80">
            <w:pPr>
              <w:pStyle w:val="tbltext"/>
            </w:pPr>
            <w:r w:rsidRPr="00520CEC">
              <w:t>58b</w:t>
            </w:r>
          </w:p>
        </w:tc>
        <w:tc>
          <w:tcPr>
            <w:tcW w:w="2126" w:type="dxa"/>
          </w:tcPr>
          <w:p w14:paraId="6954ED7D" w14:textId="77777777" w:rsidR="00197E80" w:rsidRPr="00520CEC" w:rsidRDefault="00197E80">
            <w:pPr>
              <w:pStyle w:val="tbltext"/>
            </w:pPr>
            <w:r w:rsidRPr="00520CEC">
              <w:t>Upper barrier price notation</w:t>
            </w:r>
          </w:p>
        </w:tc>
        <w:tc>
          <w:tcPr>
            <w:tcW w:w="4819" w:type="dxa"/>
          </w:tcPr>
          <w:p w14:paraId="7A27CC71" w14:textId="77777777" w:rsidR="00197E80" w:rsidRPr="00520CEC" w:rsidRDefault="00197E80">
            <w:pPr>
              <w:pStyle w:val="tbltext"/>
              <w:ind w:left="37"/>
            </w:pPr>
            <w:r w:rsidRPr="00520CEC">
              <w:t>An indicator of the type of units in which Upper barrier price (item 59b below) is reported.</w:t>
            </w:r>
          </w:p>
        </w:tc>
        <w:tc>
          <w:tcPr>
            <w:tcW w:w="2863" w:type="dxa"/>
          </w:tcPr>
          <w:p w14:paraId="63DB0ACD" w14:textId="77777777" w:rsidR="00197E80" w:rsidRPr="00520CEC" w:rsidRDefault="00197E80">
            <w:pPr>
              <w:pStyle w:val="tbltext"/>
            </w:pPr>
            <w:r w:rsidRPr="00520CEC">
              <w:t>As specified in the applicable paragraph of column 5 of this item.</w:t>
            </w:r>
          </w:p>
        </w:tc>
        <w:tc>
          <w:tcPr>
            <w:tcW w:w="3061" w:type="dxa"/>
          </w:tcPr>
          <w:p w14:paraId="653A4F22" w14:textId="77777777" w:rsidR="00197E80" w:rsidRPr="00520CEC" w:rsidRDefault="00197E80" w:rsidP="0011587F">
            <w:pPr>
              <w:pStyle w:val="tbltext"/>
              <w:numPr>
                <w:ilvl w:val="0"/>
                <w:numId w:val="30"/>
              </w:numPr>
              <w:ind w:left="357" w:hanging="357"/>
            </w:pPr>
            <w:r w:rsidRPr="00520CEC">
              <w:t>1</w:t>
            </w:r>
            <w:r w:rsidRPr="00520CEC">
              <w:rPr>
                <w:rFonts w:ascii="Calibri" w:hAnsi="Calibri"/>
              </w:rPr>
              <w:t>—</w:t>
            </w:r>
            <w:r w:rsidRPr="00520CEC">
              <w:t>if Upper barrier price (item 59b below) is reported as a monetary amount; or</w:t>
            </w:r>
          </w:p>
          <w:p w14:paraId="08FAC470" w14:textId="77777777" w:rsidR="00197E80" w:rsidRPr="00520CEC" w:rsidRDefault="00197E80" w:rsidP="0011587F">
            <w:pPr>
              <w:pStyle w:val="tbltext"/>
              <w:numPr>
                <w:ilvl w:val="0"/>
                <w:numId w:val="30"/>
              </w:numPr>
              <w:ind w:left="357" w:hanging="357"/>
            </w:pPr>
            <w:r w:rsidRPr="00520CEC">
              <w:t>3</w:t>
            </w:r>
            <w:r w:rsidRPr="00520CEC">
              <w:rPr>
                <w:rFonts w:ascii="Calibri" w:hAnsi="Calibri"/>
              </w:rPr>
              <w:t>—</w:t>
            </w:r>
            <w:r w:rsidRPr="00520CEC">
              <w:t>if Upper barrier price (item 59b below) is reported as a decimal.</w:t>
            </w:r>
          </w:p>
        </w:tc>
      </w:tr>
    </w:tbl>
    <w:p w14:paraId="10E2CE8B" w14:textId="4DD091F6" w:rsidR="0061356F" w:rsidRPr="00520CEC" w:rsidRDefault="0061356F" w:rsidP="00A42AEE">
      <w:pPr>
        <w:pStyle w:val="LI-BodyTextNumbered"/>
        <w:keepNext/>
        <w:ind w:left="567"/>
        <w:rPr>
          <w:b/>
        </w:rPr>
      </w:pPr>
      <w:r w:rsidRPr="00520CEC">
        <w:rPr>
          <w:b/>
        </w:rPr>
        <w:lastRenderedPageBreak/>
        <w:t>5</w:t>
      </w:r>
      <w:r w:rsidRPr="00520CEC">
        <w:rPr>
          <w:b/>
        </w:rPr>
        <w:tab/>
        <w:t>Rule S1.3.1 (Table S1.1(1): Transaction information, after item 59)</w:t>
      </w:r>
    </w:p>
    <w:p w14:paraId="681A69E2" w14:textId="77777777" w:rsidR="0061356F" w:rsidRPr="00520CEC" w:rsidRDefault="0061356F" w:rsidP="00A42AEE">
      <w:pPr>
        <w:pStyle w:val="LI-BodyTextNumbered"/>
        <w:keepNext/>
        <w:spacing w:after="240"/>
        <w:ind w:left="567" w:firstLine="0"/>
      </w:pPr>
      <w:r w:rsidRPr="00520CEC">
        <w:t>Insert:</w:t>
      </w:r>
    </w:p>
    <w:tbl>
      <w:tblPr>
        <w:tblW w:w="13804" w:type="dxa"/>
        <w:tblInd w:w="567" w:type="dxa"/>
        <w:tblBorders>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61356F" w:rsidRPr="00520CEC" w14:paraId="2DA5DA49" w14:textId="77777777" w:rsidTr="0011587F">
        <w:trPr>
          <w:cantSplit/>
        </w:trPr>
        <w:tc>
          <w:tcPr>
            <w:tcW w:w="935" w:type="dxa"/>
            <w:tcBorders>
              <w:top w:val="nil"/>
              <w:bottom w:val="single" w:sz="4" w:space="0" w:color="auto"/>
            </w:tcBorders>
            <w:shd w:val="clear" w:color="auto" w:fill="auto"/>
          </w:tcPr>
          <w:p w14:paraId="585CF691" w14:textId="77777777" w:rsidR="0061356F" w:rsidRPr="00520CEC" w:rsidRDefault="0061356F">
            <w:pPr>
              <w:pStyle w:val="tbltext"/>
            </w:pPr>
            <w:r w:rsidRPr="00520CEC">
              <w:t>59a</w:t>
            </w:r>
          </w:p>
        </w:tc>
        <w:tc>
          <w:tcPr>
            <w:tcW w:w="2126" w:type="dxa"/>
            <w:tcBorders>
              <w:top w:val="nil"/>
              <w:bottom w:val="single" w:sz="4" w:space="0" w:color="auto"/>
            </w:tcBorders>
          </w:tcPr>
          <w:p w14:paraId="016BEEFF" w14:textId="77777777" w:rsidR="0061356F" w:rsidRPr="00520CEC" w:rsidRDefault="0061356F">
            <w:pPr>
              <w:pStyle w:val="tbltext"/>
            </w:pPr>
            <w:r w:rsidRPr="00520CEC">
              <w:t>Lower or only barrier price</w:t>
            </w:r>
          </w:p>
        </w:tc>
        <w:tc>
          <w:tcPr>
            <w:tcW w:w="4819" w:type="dxa"/>
            <w:tcBorders>
              <w:top w:val="nil"/>
              <w:bottom w:val="single" w:sz="4" w:space="0" w:color="auto"/>
            </w:tcBorders>
          </w:tcPr>
          <w:p w14:paraId="24BC69B5" w14:textId="77777777" w:rsidR="0061356F" w:rsidRPr="00520CEC" w:rsidRDefault="0061356F">
            <w:pPr>
              <w:pStyle w:val="tbltext"/>
              <w:ind w:left="37"/>
            </w:pPr>
            <w:r w:rsidRPr="00520CEC">
              <w:t>If the OTC Derivative the subject of the Reportable Transaction is an option and the UPI that is reported for Unique product identifier (item 2 above) is a UPI for a barrier option, the value of the lower or only barrier price of the option.</w:t>
            </w:r>
          </w:p>
        </w:tc>
        <w:tc>
          <w:tcPr>
            <w:tcW w:w="2863" w:type="dxa"/>
            <w:tcBorders>
              <w:top w:val="nil"/>
              <w:bottom w:val="single" w:sz="4" w:space="0" w:color="auto"/>
            </w:tcBorders>
          </w:tcPr>
          <w:p w14:paraId="6B2FF9A7" w14:textId="77777777" w:rsidR="0061356F" w:rsidRPr="00520CEC" w:rsidRDefault="0061356F">
            <w:pPr>
              <w:pStyle w:val="tbltext"/>
            </w:pPr>
            <w:r w:rsidRPr="00520CEC">
              <w:t>This data element must be:</w:t>
            </w:r>
          </w:p>
          <w:p w14:paraId="2A896A27" w14:textId="77777777" w:rsidR="0061356F" w:rsidRPr="00520CEC" w:rsidRDefault="0061356F" w:rsidP="0011587F">
            <w:pPr>
              <w:pStyle w:val="tbltext"/>
              <w:numPr>
                <w:ilvl w:val="0"/>
                <w:numId w:val="21"/>
              </w:numPr>
              <w:ind w:left="357" w:hanging="357"/>
            </w:pPr>
            <w:r w:rsidRPr="00520CEC">
              <w:t>reported as a monetary amount; or</w:t>
            </w:r>
          </w:p>
          <w:p w14:paraId="74BA1A61" w14:textId="77777777" w:rsidR="0061356F" w:rsidRPr="00520CEC" w:rsidRDefault="0061356F" w:rsidP="0011587F">
            <w:pPr>
              <w:pStyle w:val="tbltext"/>
              <w:numPr>
                <w:ilvl w:val="0"/>
                <w:numId w:val="21"/>
              </w:numPr>
              <w:ind w:left="357" w:hanging="357"/>
            </w:pPr>
            <w:r w:rsidRPr="00520CEC">
              <w:t>reported as a decimal.</w:t>
            </w:r>
          </w:p>
          <w:p w14:paraId="2292EEA1" w14:textId="77777777" w:rsidR="0061356F" w:rsidRPr="00520CEC" w:rsidRDefault="0061356F">
            <w:pPr>
              <w:pStyle w:val="tbltext"/>
            </w:pPr>
            <w:r w:rsidRPr="00520CEC">
              <w:t>If Lower or only barrier price notation (item 58a above) is reported as 1, a number of not more than 18 numerals, with no more than 13 numerals after the decimal point.</w:t>
            </w:r>
          </w:p>
          <w:p w14:paraId="79D965D6" w14:textId="77777777" w:rsidR="0061356F" w:rsidRPr="00520CEC" w:rsidRDefault="0061356F">
            <w:pPr>
              <w:pStyle w:val="tbltext"/>
            </w:pPr>
            <w:r w:rsidRPr="00520CEC">
              <w:t>If Lower or only barrier price notation (item 58a above) is reported as 3, a number of not more than 11 numerals, with no more than 10 numerals after the decimal point.</w:t>
            </w:r>
          </w:p>
        </w:tc>
        <w:tc>
          <w:tcPr>
            <w:tcW w:w="3061" w:type="dxa"/>
            <w:tcBorders>
              <w:top w:val="nil"/>
              <w:bottom w:val="single" w:sz="4" w:space="0" w:color="auto"/>
            </w:tcBorders>
          </w:tcPr>
          <w:p w14:paraId="2424AA4C" w14:textId="77777777" w:rsidR="0061356F" w:rsidRPr="00520CEC" w:rsidRDefault="0061356F">
            <w:pPr>
              <w:pStyle w:val="tbltext"/>
            </w:pPr>
            <w:r w:rsidRPr="00520CEC">
              <w:t>Any numeric value.</w:t>
            </w:r>
          </w:p>
        </w:tc>
      </w:tr>
      <w:tr w:rsidR="0061356F" w:rsidRPr="00520CEC" w14:paraId="5D6509DD" w14:textId="77777777" w:rsidTr="0011587F">
        <w:trPr>
          <w:cantSplit/>
        </w:trPr>
        <w:tc>
          <w:tcPr>
            <w:tcW w:w="935" w:type="dxa"/>
            <w:tcBorders>
              <w:top w:val="single" w:sz="4" w:space="0" w:color="auto"/>
            </w:tcBorders>
            <w:shd w:val="clear" w:color="auto" w:fill="auto"/>
          </w:tcPr>
          <w:p w14:paraId="4EB3F098" w14:textId="77777777" w:rsidR="0061356F" w:rsidRPr="00520CEC" w:rsidRDefault="0061356F">
            <w:pPr>
              <w:pStyle w:val="tbltext"/>
            </w:pPr>
            <w:r w:rsidRPr="00520CEC">
              <w:lastRenderedPageBreak/>
              <w:t>59b</w:t>
            </w:r>
          </w:p>
        </w:tc>
        <w:tc>
          <w:tcPr>
            <w:tcW w:w="2126" w:type="dxa"/>
            <w:tcBorders>
              <w:top w:val="single" w:sz="4" w:space="0" w:color="auto"/>
            </w:tcBorders>
          </w:tcPr>
          <w:p w14:paraId="6821DB65" w14:textId="77777777" w:rsidR="0061356F" w:rsidRPr="00520CEC" w:rsidRDefault="0061356F">
            <w:pPr>
              <w:pStyle w:val="tbltext"/>
            </w:pPr>
            <w:r w:rsidRPr="00520CEC">
              <w:t>Upper barrier price</w:t>
            </w:r>
          </w:p>
        </w:tc>
        <w:tc>
          <w:tcPr>
            <w:tcW w:w="4819" w:type="dxa"/>
            <w:tcBorders>
              <w:top w:val="single" w:sz="4" w:space="0" w:color="auto"/>
            </w:tcBorders>
          </w:tcPr>
          <w:p w14:paraId="75EAAC45" w14:textId="77777777" w:rsidR="0061356F" w:rsidRPr="00520CEC" w:rsidRDefault="0061356F">
            <w:pPr>
              <w:pStyle w:val="tbltext"/>
              <w:ind w:left="37"/>
            </w:pPr>
            <w:r w:rsidRPr="00520CEC">
              <w:t>If the OTC Derivative the subject of the Reportable Transaction is an option and the UPI that is reported for Unique product identifier (item 2 above) is a UPI for a barrier option, the value of the upper barrier price, if applicable, of the option.</w:t>
            </w:r>
          </w:p>
        </w:tc>
        <w:tc>
          <w:tcPr>
            <w:tcW w:w="2863" w:type="dxa"/>
            <w:tcBorders>
              <w:top w:val="single" w:sz="4" w:space="0" w:color="auto"/>
            </w:tcBorders>
          </w:tcPr>
          <w:p w14:paraId="46DFD990" w14:textId="77777777" w:rsidR="0061356F" w:rsidRPr="00520CEC" w:rsidRDefault="0061356F">
            <w:pPr>
              <w:pStyle w:val="tbltext"/>
            </w:pPr>
            <w:r w:rsidRPr="00520CEC">
              <w:t>This data element must be:</w:t>
            </w:r>
          </w:p>
          <w:p w14:paraId="14AA44F4" w14:textId="77777777" w:rsidR="0061356F" w:rsidRPr="00520CEC" w:rsidRDefault="0061356F" w:rsidP="0011587F">
            <w:pPr>
              <w:pStyle w:val="tbltext"/>
              <w:numPr>
                <w:ilvl w:val="0"/>
                <w:numId w:val="22"/>
              </w:numPr>
              <w:ind w:left="357" w:hanging="357"/>
            </w:pPr>
            <w:r w:rsidRPr="00520CEC">
              <w:t>reported as a monetary amount; or</w:t>
            </w:r>
          </w:p>
          <w:p w14:paraId="6323FDBC" w14:textId="77777777" w:rsidR="0061356F" w:rsidRPr="00520CEC" w:rsidRDefault="0061356F" w:rsidP="0011587F">
            <w:pPr>
              <w:pStyle w:val="tbltext"/>
              <w:numPr>
                <w:ilvl w:val="0"/>
                <w:numId w:val="22"/>
              </w:numPr>
              <w:ind w:left="357" w:hanging="357"/>
            </w:pPr>
            <w:r w:rsidRPr="00520CEC">
              <w:t>reported as a decimal.</w:t>
            </w:r>
          </w:p>
          <w:p w14:paraId="76C9FEDE" w14:textId="77777777" w:rsidR="0061356F" w:rsidRPr="00520CEC" w:rsidRDefault="0061356F">
            <w:pPr>
              <w:pStyle w:val="tbltext"/>
            </w:pPr>
            <w:r w:rsidRPr="00520CEC">
              <w:t>If Upper barrier price notation (item 58b above) is reported as 1, a number of not more than 18 numerals, with no more than 13 numerals after the decimal point.</w:t>
            </w:r>
          </w:p>
          <w:p w14:paraId="3E43883B" w14:textId="77777777" w:rsidR="0061356F" w:rsidRPr="00520CEC" w:rsidRDefault="0061356F">
            <w:pPr>
              <w:pStyle w:val="tbltext"/>
            </w:pPr>
            <w:r w:rsidRPr="00520CEC">
              <w:t>If Lower or only barrier price notation (item 58b above) is reported as 3, a number of not more than 11 numerals, with no more than 10 numerals after the decimal point.</w:t>
            </w:r>
          </w:p>
        </w:tc>
        <w:tc>
          <w:tcPr>
            <w:tcW w:w="3061" w:type="dxa"/>
            <w:tcBorders>
              <w:top w:val="single" w:sz="4" w:space="0" w:color="auto"/>
            </w:tcBorders>
          </w:tcPr>
          <w:p w14:paraId="3FCE0365" w14:textId="77777777" w:rsidR="0061356F" w:rsidRPr="00520CEC" w:rsidRDefault="0061356F">
            <w:pPr>
              <w:pStyle w:val="tbltext"/>
            </w:pPr>
            <w:r w:rsidRPr="00520CEC">
              <w:t>Any numeric value.</w:t>
            </w:r>
          </w:p>
        </w:tc>
      </w:tr>
    </w:tbl>
    <w:p w14:paraId="0508759F" w14:textId="31BB74EE" w:rsidR="00F2673F" w:rsidRPr="00520CEC" w:rsidRDefault="00F2673F" w:rsidP="00F2673F">
      <w:pPr>
        <w:pStyle w:val="LI-BodyTextNumbered"/>
        <w:ind w:left="567"/>
        <w:rPr>
          <w:b/>
        </w:rPr>
      </w:pPr>
      <w:r w:rsidRPr="00520CEC">
        <w:rPr>
          <w:b/>
        </w:rPr>
        <w:t>6</w:t>
      </w:r>
      <w:r w:rsidRPr="00520CEC">
        <w:rPr>
          <w:b/>
        </w:rPr>
        <w:tab/>
        <w:t>Rule S1.3.1 (Table S1.1(1): Transaction information, after item 104)</w:t>
      </w:r>
    </w:p>
    <w:p w14:paraId="309517D3" w14:textId="77777777" w:rsidR="00F2673F" w:rsidRPr="00520CEC" w:rsidRDefault="00F2673F" w:rsidP="00F2673F">
      <w:pPr>
        <w:pStyle w:val="LI-BodyTextNumbered"/>
        <w:spacing w:after="24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D30E90" w:rsidRPr="00520CEC" w14:paraId="659F8654" w14:textId="77777777" w:rsidTr="0011587F">
        <w:trPr>
          <w:cantSplit/>
        </w:trPr>
        <w:tc>
          <w:tcPr>
            <w:tcW w:w="935" w:type="dxa"/>
            <w:shd w:val="clear" w:color="auto" w:fill="auto"/>
          </w:tcPr>
          <w:p w14:paraId="62BFC2EE" w14:textId="77777777" w:rsidR="00F2673F" w:rsidRPr="00520CEC" w:rsidRDefault="00F2673F">
            <w:pPr>
              <w:pStyle w:val="tbltext"/>
            </w:pPr>
            <w:r w:rsidRPr="00520CEC">
              <w:t>105</w:t>
            </w:r>
          </w:p>
        </w:tc>
        <w:tc>
          <w:tcPr>
            <w:tcW w:w="2126" w:type="dxa"/>
          </w:tcPr>
          <w:p w14:paraId="71A61706" w14:textId="77777777" w:rsidR="00F2673F" w:rsidRPr="00520CEC" w:rsidRDefault="00F2673F">
            <w:pPr>
              <w:pStyle w:val="tbltext"/>
              <w:ind w:left="-108" w:right="-169"/>
            </w:pPr>
            <w:r w:rsidRPr="00520CEC">
              <w:t>New Derivative Trade Repository</w:t>
            </w:r>
          </w:p>
        </w:tc>
        <w:tc>
          <w:tcPr>
            <w:tcW w:w="4819" w:type="dxa"/>
          </w:tcPr>
          <w:p w14:paraId="0BCE36F8" w14:textId="77777777" w:rsidR="00F2673F" w:rsidRPr="00520CEC" w:rsidRDefault="00F2673F" w:rsidP="0011587F">
            <w:pPr>
              <w:pStyle w:val="tbltext"/>
              <w:ind w:left="37"/>
            </w:pPr>
            <w:r w:rsidRPr="00520CEC">
              <w:t>Where a value of PRTO is reported for Action type (item 101 above), the current LEI of the Derivative Trade Repository to which the Reportable Transaction is being transferred.</w:t>
            </w:r>
          </w:p>
        </w:tc>
        <w:tc>
          <w:tcPr>
            <w:tcW w:w="2863" w:type="dxa"/>
          </w:tcPr>
          <w:p w14:paraId="011F9041" w14:textId="10233617" w:rsidR="00F2673F" w:rsidRPr="00520CEC" w:rsidRDefault="00F2673F" w:rsidP="0011587F">
            <w:pPr>
              <w:pStyle w:val="tbltext"/>
            </w:pPr>
            <w:r w:rsidRPr="00520CEC">
              <w:t>As specified in ISO 17442.</w:t>
            </w:r>
          </w:p>
        </w:tc>
        <w:tc>
          <w:tcPr>
            <w:tcW w:w="3061" w:type="dxa"/>
          </w:tcPr>
          <w:p w14:paraId="32EDBE05" w14:textId="0BE43078" w:rsidR="00F2673F" w:rsidRPr="00520CEC" w:rsidRDefault="00F2673F" w:rsidP="0011587F">
            <w:pPr>
              <w:pStyle w:val="tbltext"/>
            </w:pPr>
            <w:r w:rsidRPr="00520CEC">
              <w:t>The value of the current LEI.</w:t>
            </w:r>
          </w:p>
        </w:tc>
      </w:tr>
    </w:tbl>
    <w:p w14:paraId="078927DE" w14:textId="0B1C5BCC" w:rsidR="003332BC" w:rsidRPr="00520CEC" w:rsidRDefault="003332BC" w:rsidP="00A42AEE">
      <w:pPr>
        <w:pStyle w:val="LI-BodyTextNumbered"/>
        <w:keepNext/>
        <w:ind w:left="567"/>
        <w:rPr>
          <w:b/>
        </w:rPr>
      </w:pPr>
      <w:r w:rsidRPr="00520CEC">
        <w:rPr>
          <w:b/>
        </w:rPr>
        <w:lastRenderedPageBreak/>
        <w:t>7</w:t>
      </w:r>
      <w:r w:rsidRPr="00520CEC">
        <w:rPr>
          <w:b/>
        </w:rPr>
        <w:tab/>
        <w:t>Rule S1.3.1 (Table S1.1(2): Valuation information, item 7</w:t>
      </w:r>
      <w:r w:rsidR="0060291B" w:rsidRPr="00520CEC">
        <w:rPr>
          <w:b/>
        </w:rPr>
        <w:t>)</w:t>
      </w:r>
    </w:p>
    <w:p w14:paraId="6F2D4795" w14:textId="14945442" w:rsidR="002E0ECA" w:rsidRPr="00520CEC" w:rsidRDefault="00977CD8" w:rsidP="00A42AEE">
      <w:pPr>
        <w:pStyle w:val="LI-BodyTextNumbered"/>
        <w:keepNext/>
        <w:spacing w:after="240"/>
      </w:pPr>
      <w:r w:rsidRPr="00520CEC">
        <w:t>Repeal the item</w:t>
      </w:r>
      <w:r w:rsidR="0091090F" w:rsidRPr="00520CEC">
        <w:t>,</w:t>
      </w:r>
      <w:r w:rsidRPr="00520CEC">
        <w:t xml:space="preserve"> substitute:</w:t>
      </w:r>
    </w:p>
    <w:tbl>
      <w:tblPr>
        <w:tblW w:w="13804" w:type="dxa"/>
        <w:tblInd w:w="567"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0307E9" w:rsidRPr="00520CEC" w14:paraId="45F9517B" w14:textId="77777777" w:rsidTr="0011587F">
        <w:trPr>
          <w:cantSplit/>
        </w:trPr>
        <w:tc>
          <w:tcPr>
            <w:tcW w:w="935" w:type="dxa"/>
            <w:tcBorders>
              <w:top w:val="nil"/>
              <w:bottom w:val="nil"/>
            </w:tcBorders>
            <w:shd w:val="clear" w:color="auto" w:fill="auto"/>
          </w:tcPr>
          <w:p w14:paraId="4419D1D3" w14:textId="77777777" w:rsidR="000307E9" w:rsidRPr="00520CEC" w:rsidRDefault="000307E9">
            <w:pPr>
              <w:pStyle w:val="tbltext"/>
              <w:rPr>
                <w:color w:val="000000" w:themeColor="text1"/>
              </w:rPr>
            </w:pPr>
            <w:r w:rsidRPr="00520CEC">
              <w:rPr>
                <w:color w:val="000000" w:themeColor="text1"/>
              </w:rPr>
              <w:t>7</w:t>
            </w:r>
          </w:p>
        </w:tc>
        <w:tc>
          <w:tcPr>
            <w:tcW w:w="2126" w:type="dxa"/>
            <w:tcBorders>
              <w:top w:val="nil"/>
              <w:bottom w:val="nil"/>
            </w:tcBorders>
          </w:tcPr>
          <w:p w14:paraId="2D9353CF" w14:textId="77777777" w:rsidR="000307E9" w:rsidRPr="00520CEC" w:rsidRDefault="000307E9">
            <w:pPr>
              <w:pStyle w:val="tbltext"/>
              <w:rPr>
                <w:color w:val="000000" w:themeColor="text1"/>
              </w:rPr>
            </w:pPr>
            <w:r w:rsidRPr="00520CEC">
              <w:rPr>
                <w:color w:val="000000" w:themeColor="text1"/>
              </w:rPr>
              <w:t>Valuation amount</w:t>
            </w:r>
          </w:p>
        </w:tc>
        <w:tc>
          <w:tcPr>
            <w:tcW w:w="4819" w:type="dxa"/>
            <w:tcBorders>
              <w:top w:val="nil"/>
              <w:bottom w:val="nil"/>
            </w:tcBorders>
          </w:tcPr>
          <w:p w14:paraId="080302F8" w14:textId="77777777" w:rsidR="000307E9" w:rsidRPr="00520CEC" w:rsidRDefault="000307E9">
            <w:pPr>
              <w:pStyle w:val="tbltext"/>
              <w:rPr>
                <w:color w:val="000000" w:themeColor="text1"/>
              </w:rPr>
            </w:pPr>
            <w:r w:rsidRPr="00520CEC">
              <w:rPr>
                <w:color w:val="000000" w:themeColor="text1"/>
              </w:rPr>
              <w:t>The unadjusted value of the OTC Derivative the subject of the Reportable Transaction, calculated as the amount that would be paid to terminate the OTC Derivative in an orderly market on the valuation date.</w:t>
            </w:r>
          </w:p>
        </w:tc>
        <w:tc>
          <w:tcPr>
            <w:tcW w:w="2863" w:type="dxa"/>
            <w:tcBorders>
              <w:top w:val="nil"/>
              <w:bottom w:val="nil"/>
            </w:tcBorders>
          </w:tcPr>
          <w:p w14:paraId="7695A49B" w14:textId="77777777" w:rsidR="000307E9" w:rsidRPr="00520CEC" w:rsidRDefault="000307E9">
            <w:pPr>
              <w:pStyle w:val="tbltext"/>
              <w:rPr>
                <w:color w:val="000000" w:themeColor="text1"/>
              </w:rPr>
            </w:pPr>
            <w:r w:rsidRPr="00520CEC">
              <w:rPr>
                <w:color w:val="000000" w:themeColor="text1"/>
              </w:rPr>
              <w:t>A number of not more than 25 numerals, with no more than 5 numerals after the decimal point.</w:t>
            </w:r>
          </w:p>
        </w:tc>
        <w:tc>
          <w:tcPr>
            <w:tcW w:w="3061" w:type="dxa"/>
            <w:tcBorders>
              <w:top w:val="nil"/>
              <w:bottom w:val="nil"/>
            </w:tcBorders>
          </w:tcPr>
          <w:p w14:paraId="65D8B735" w14:textId="77777777" w:rsidR="000307E9" w:rsidRPr="00520CEC" w:rsidRDefault="000307E9">
            <w:pPr>
              <w:pStyle w:val="tbltext"/>
              <w:rPr>
                <w:color w:val="000000" w:themeColor="text1"/>
              </w:rPr>
            </w:pPr>
            <w:r w:rsidRPr="00520CEC">
              <w:rPr>
                <w:color w:val="000000" w:themeColor="text1"/>
              </w:rPr>
              <w:t>Any numeric value.</w:t>
            </w:r>
          </w:p>
        </w:tc>
      </w:tr>
      <w:tr w:rsidR="000307E9" w:rsidRPr="00520CEC" w14:paraId="28E87812" w14:textId="77777777" w:rsidTr="0011587F">
        <w:trPr>
          <w:cantSplit/>
        </w:trPr>
        <w:tc>
          <w:tcPr>
            <w:tcW w:w="935" w:type="dxa"/>
            <w:tcBorders>
              <w:top w:val="nil"/>
              <w:bottom w:val="nil"/>
            </w:tcBorders>
            <w:shd w:val="clear" w:color="auto" w:fill="auto"/>
          </w:tcPr>
          <w:p w14:paraId="08B7C4BD" w14:textId="77777777" w:rsidR="000307E9" w:rsidRPr="00520CEC" w:rsidRDefault="000307E9">
            <w:pPr>
              <w:pStyle w:val="tbltext"/>
              <w:rPr>
                <w:color w:val="000000" w:themeColor="text1"/>
              </w:rPr>
            </w:pPr>
          </w:p>
        </w:tc>
        <w:tc>
          <w:tcPr>
            <w:tcW w:w="2126" w:type="dxa"/>
            <w:tcBorders>
              <w:top w:val="nil"/>
              <w:bottom w:val="nil"/>
            </w:tcBorders>
          </w:tcPr>
          <w:p w14:paraId="0D032D1A" w14:textId="77777777" w:rsidR="000307E9" w:rsidRPr="00520CEC" w:rsidRDefault="000307E9">
            <w:pPr>
              <w:pStyle w:val="tbltext"/>
              <w:rPr>
                <w:color w:val="000000" w:themeColor="text1"/>
              </w:rPr>
            </w:pPr>
          </w:p>
        </w:tc>
        <w:tc>
          <w:tcPr>
            <w:tcW w:w="10743" w:type="dxa"/>
            <w:gridSpan w:val="3"/>
            <w:tcBorders>
              <w:top w:val="nil"/>
              <w:bottom w:val="nil"/>
            </w:tcBorders>
          </w:tcPr>
          <w:p w14:paraId="4DE5F8E4" w14:textId="77777777" w:rsidR="000307E9" w:rsidRPr="00520CEC" w:rsidRDefault="000307E9">
            <w:pPr>
              <w:pStyle w:val="tbltext"/>
              <w:rPr>
                <w:color w:val="000000" w:themeColor="text1"/>
              </w:rPr>
            </w:pPr>
            <w:r w:rsidRPr="00520CEC">
              <w:rPr>
                <w:color w:val="000000" w:themeColor="text1"/>
              </w:rPr>
              <w:t>A value greater than zero is reported if the amount would be paid by Counterparty 2 to Counterparty 1.</w:t>
            </w:r>
          </w:p>
          <w:p w14:paraId="0A8A1062" w14:textId="77777777" w:rsidR="000307E9" w:rsidRPr="00520CEC" w:rsidRDefault="000307E9">
            <w:pPr>
              <w:pStyle w:val="tbltext"/>
              <w:rPr>
                <w:color w:val="000000" w:themeColor="text1"/>
              </w:rPr>
            </w:pPr>
            <w:r w:rsidRPr="00520CEC">
              <w:rPr>
                <w:color w:val="000000" w:themeColor="text1"/>
              </w:rPr>
              <w:t>A value less than zero is reported if the amount would be paid by Counterparty 1 to Counterparty 2.</w:t>
            </w:r>
          </w:p>
          <w:p w14:paraId="6DA33300" w14:textId="77777777" w:rsidR="000307E9" w:rsidRPr="00520CEC" w:rsidRDefault="000307E9">
            <w:pPr>
              <w:pStyle w:val="tbltext"/>
              <w:rPr>
                <w:color w:val="000000" w:themeColor="text1"/>
              </w:rPr>
            </w:pPr>
            <w:r w:rsidRPr="00520CEC">
              <w:rPr>
                <w:color w:val="000000" w:themeColor="text1"/>
              </w:rPr>
              <w:t>A value of zero is reported if no amount would be paid by either Counterparty 1 or Counterparty 2.</w:t>
            </w:r>
          </w:p>
        </w:tc>
      </w:tr>
    </w:tbl>
    <w:p w14:paraId="4CFA9951" w14:textId="29F09BBB" w:rsidR="0058432E" w:rsidRPr="00520CEC" w:rsidRDefault="0058432E" w:rsidP="00FD7526">
      <w:pPr>
        <w:pStyle w:val="LI-BodyTextNumbered"/>
        <w:keepNext/>
        <w:ind w:left="567"/>
        <w:rPr>
          <w:b/>
        </w:rPr>
      </w:pPr>
      <w:r w:rsidRPr="00520CEC">
        <w:rPr>
          <w:b/>
        </w:rPr>
        <w:lastRenderedPageBreak/>
        <w:t>8</w:t>
      </w:r>
      <w:r w:rsidRPr="00520CEC">
        <w:rPr>
          <w:b/>
        </w:rPr>
        <w:tab/>
        <w:t>Rule S1.3.1 (Table S1.1(3): Collateral information, item 1)</w:t>
      </w:r>
    </w:p>
    <w:p w14:paraId="519D361F" w14:textId="28E967BC" w:rsidR="00977CD8" w:rsidRPr="00520CEC" w:rsidRDefault="005558EA" w:rsidP="00FD7526">
      <w:pPr>
        <w:pStyle w:val="LI-BodyTextNumbered"/>
        <w:keepNext/>
        <w:spacing w:after="240"/>
      </w:pPr>
      <w:r w:rsidRPr="00520CEC">
        <w:t>Repeal the item, substitute:</w:t>
      </w:r>
    </w:p>
    <w:tbl>
      <w:tblPr>
        <w:tblW w:w="13804" w:type="dxa"/>
        <w:tblInd w:w="567"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935"/>
        <w:gridCol w:w="2126"/>
        <w:gridCol w:w="4819"/>
        <w:gridCol w:w="2863"/>
        <w:gridCol w:w="3050"/>
        <w:gridCol w:w="11"/>
      </w:tblGrid>
      <w:tr w:rsidR="00BF65DE" w:rsidRPr="003A0061" w14:paraId="74884FDD" w14:textId="77777777" w:rsidTr="0011587F">
        <w:trPr>
          <w:cantSplit/>
        </w:trPr>
        <w:tc>
          <w:tcPr>
            <w:tcW w:w="935" w:type="dxa"/>
            <w:tcBorders>
              <w:top w:val="nil"/>
              <w:bottom w:val="nil"/>
            </w:tcBorders>
            <w:shd w:val="clear" w:color="auto" w:fill="auto"/>
          </w:tcPr>
          <w:p w14:paraId="0FB07468" w14:textId="77777777" w:rsidR="00BF65DE" w:rsidRPr="00520CEC" w:rsidRDefault="00BF65DE" w:rsidP="00FD7526">
            <w:pPr>
              <w:pStyle w:val="tbltext"/>
              <w:keepNext/>
            </w:pPr>
            <w:r w:rsidRPr="00520CEC">
              <w:t>1</w:t>
            </w:r>
          </w:p>
        </w:tc>
        <w:tc>
          <w:tcPr>
            <w:tcW w:w="2126" w:type="dxa"/>
            <w:tcBorders>
              <w:top w:val="nil"/>
              <w:bottom w:val="nil"/>
            </w:tcBorders>
          </w:tcPr>
          <w:p w14:paraId="7F6E6C0E" w14:textId="77777777" w:rsidR="00BF65DE" w:rsidRPr="00520CEC" w:rsidRDefault="00BF65DE" w:rsidP="00FD7526">
            <w:pPr>
              <w:pStyle w:val="tbltext"/>
              <w:keepNext/>
            </w:pPr>
            <w:r w:rsidRPr="00520CEC">
              <w:t>Unique transaction identifier</w:t>
            </w:r>
          </w:p>
        </w:tc>
        <w:tc>
          <w:tcPr>
            <w:tcW w:w="4819" w:type="dxa"/>
            <w:tcBorders>
              <w:top w:val="nil"/>
              <w:bottom w:val="nil"/>
            </w:tcBorders>
          </w:tcPr>
          <w:p w14:paraId="4A3450B8" w14:textId="77777777" w:rsidR="00BF65DE" w:rsidRPr="00520CEC" w:rsidRDefault="00BF65DE" w:rsidP="00FD7526">
            <w:pPr>
              <w:pStyle w:val="tbltext"/>
              <w:keepNext/>
              <w:rPr>
                <w:color w:val="000000" w:themeColor="text1"/>
              </w:rPr>
            </w:pPr>
            <w:r w:rsidRPr="00520CEC">
              <w:rPr>
                <w:color w:val="000000" w:themeColor="text1"/>
              </w:rPr>
              <w:t>For a report made under Rule 2.2.2:</w:t>
            </w:r>
          </w:p>
          <w:p w14:paraId="54097198" w14:textId="77777777" w:rsidR="00BF65DE" w:rsidRPr="00520CEC" w:rsidRDefault="00BF65DE" w:rsidP="00FD7526">
            <w:pPr>
              <w:pStyle w:val="tbltext"/>
              <w:keepNext/>
              <w:numPr>
                <w:ilvl w:val="0"/>
                <w:numId w:val="36"/>
              </w:numPr>
              <w:rPr>
                <w:color w:val="000000" w:themeColor="text1"/>
              </w:rPr>
            </w:pPr>
            <w:r w:rsidRPr="00520CEC">
              <w:rPr>
                <w:color w:val="000000" w:themeColor="text1"/>
              </w:rPr>
              <w:t>if a UTI was reported for the initial Reportable Transaction for the OTC Derivative—that UTI; or</w:t>
            </w:r>
          </w:p>
          <w:p w14:paraId="0957AA64" w14:textId="77777777" w:rsidR="00BF65DE" w:rsidRPr="00520CEC" w:rsidRDefault="00BF65DE" w:rsidP="00FD7526">
            <w:pPr>
              <w:pStyle w:val="tbltext"/>
              <w:keepNext/>
              <w:numPr>
                <w:ilvl w:val="0"/>
                <w:numId w:val="36"/>
              </w:numPr>
              <w:rPr>
                <w:color w:val="000000" w:themeColor="text1"/>
              </w:rPr>
            </w:pPr>
            <w:r w:rsidRPr="00520CEC">
              <w:rPr>
                <w:color w:val="000000" w:themeColor="text1"/>
              </w:rPr>
              <w:t>if a UTI was not reported for the initial Reportable Transaction—a transaction identifier that was reported for the initial Reportable Transaction.</w:t>
            </w:r>
          </w:p>
        </w:tc>
        <w:tc>
          <w:tcPr>
            <w:tcW w:w="2863" w:type="dxa"/>
            <w:tcBorders>
              <w:top w:val="nil"/>
              <w:bottom w:val="nil"/>
            </w:tcBorders>
          </w:tcPr>
          <w:p w14:paraId="03306D76" w14:textId="77777777" w:rsidR="00BF65DE" w:rsidRPr="00520CEC" w:rsidRDefault="00BF65DE" w:rsidP="00FD7526">
            <w:pPr>
              <w:pStyle w:val="tbltext"/>
              <w:keepNext/>
            </w:pPr>
            <w:r w:rsidRPr="00520CEC">
              <w:t>If the transaction identifier is a UTI as referred to in Rule 2.2.9, as specified in ISO 23897.</w:t>
            </w:r>
          </w:p>
          <w:p w14:paraId="73E40501" w14:textId="77777777" w:rsidR="00BF65DE" w:rsidRPr="00520CEC" w:rsidRDefault="00BF65DE" w:rsidP="00FD7526">
            <w:pPr>
              <w:pStyle w:val="tbltext"/>
              <w:keepNext/>
            </w:pPr>
            <w:r w:rsidRPr="00520CEC">
              <w:t>For any other kind of transaction identifier, an alphanumeric code of not more than 72 characters.</w:t>
            </w:r>
          </w:p>
        </w:tc>
        <w:tc>
          <w:tcPr>
            <w:tcW w:w="3061" w:type="dxa"/>
            <w:gridSpan w:val="2"/>
            <w:tcBorders>
              <w:top w:val="nil"/>
              <w:bottom w:val="nil"/>
            </w:tcBorders>
          </w:tcPr>
          <w:p w14:paraId="0DA0FFF7" w14:textId="77777777" w:rsidR="00BF65DE" w:rsidRPr="003A0061" w:rsidRDefault="00BF65DE" w:rsidP="00FD7526">
            <w:pPr>
              <w:pStyle w:val="tbltext"/>
              <w:keepNext/>
            </w:pPr>
            <w:r w:rsidRPr="00520CEC">
              <w:t>The value of the transaction identifier of the Reportable Transaction about which the report is made.</w:t>
            </w:r>
          </w:p>
        </w:tc>
      </w:tr>
      <w:tr w:rsidR="00BF65DE" w:rsidRPr="003A0061" w14:paraId="1E02B75E" w14:textId="77777777" w:rsidTr="0011587F">
        <w:trPr>
          <w:gridAfter w:val="1"/>
          <w:wAfter w:w="11" w:type="dxa"/>
          <w:cantSplit/>
        </w:trPr>
        <w:tc>
          <w:tcPr>
            <w:tcW w:w="935" w:type="dxa"/>
            <w:tcBorders>
              <w:top w:val="nil"/>
              <w:bottom w:val="nil"/>
            </w:tcBorders>
            <w:shd w:val="clear" w:color="auto" w:fill="auto"/>
          </w:tcPr>
          <w:p w14:paraId="2C6CC6C6" w14:textId="77777777" w:rsidR="00BF65DE" w:rsidRPr="003A0061" w:rsidRDefault="00BF65DE">
            <w:pPr>
              <w:pStyle w:val="tbltext"/>
            </w:pPr>
          </w:p>
        </w:tc>
        <w:tc>
          <w:tcPr>
            <w:tcW w:w="2126" w:type="dxa"/>
            <w:tcBorders>
              <w:top w:val="nil"/>
              <w:bottom w:val="nil"/>
            </w:tcBorders>
          </w:tcPr>
          <w:p w14:paraId="64126C93" w14:textId="77777777" w:rsidR="00BF65DE" w:rsidRPr="003A0061" w:rsidRDefault="00BF65DE">
            <w:pPr>
              <w:pStyle w:val="tbltext"/>
              <w:rPr>
                <w:highlight w:val="yellow"/>
              </w:rPr>
            </w:pPr>
          </w:p>
        </w:tc>
        <w:tc>
          <w:tcPr>
            <w:tcW w:w="10732" w:type="dxa"/>
            <w:gridSpan w:val="3"/>
            <w:tcBorders>
              <w:top w:val="nil"/>
              <w:bottom w:val="nil"/>
            </w:tcBorders>
          </w:tcPr>
          <w:p w14:paraId="31DC2AA8" w14:textId="77777777" w:rsidR="00BF65DE" w:rsidRPr="008E5AF5" w:rsidRDefault="00BF65DE">
            <w:pPr>
              <w:pStyle w:val="tbltext"/>
            </w:pPr>
            <w:r w:rsidRPr="008E5AF5">
              <w:t xml:space="preserve">This data element is required </w:t>
            </w:r>
            <w:r>
              <w:t>in a report about:</w:t>
            </w:r>
          </w:p>
          <w:p w14:paraId="665D2E0B" w14:textId="77777777" w:rsidR="00BF65DE" w:rsidRDefault="00BF65DE" w:rsidP="00BF65DE">
            <w:pPr>
              <w:pStyle w:val="tbltext"/>
              <w:numPr>
                <w:ilvl w:val="0"/>
                <w:numId w:val="26"/>
              </w:numPr>
              <w:ind w:left="357" w:hanging="357"/>
            </w:pPr>
            <w:r>
              <w:t>if the Reportable Transaction is collateralised in a portfolio, the collateral portfolio code(s) of the collateral portfolio(s)—</w:t>
            </w:r>
            <w:r w:rsidRPr="003A0061">
              <w:t>Collateral portfolio code (initial margin)</w:t>
            </w:r>
            <w:r>
              <w:t xml:space="preserve"> (item 10 below) and, if applicable, </w:t>
            </w:r>
            <w:r w:rsidRPr="003A0061">
              <w:t>Collateral portfolio code (variation margin)</w:t>
            </w:r>
            <w:r>
              <w:t xml:space="preserve"> (item 11 below); or</w:t>
            </w:r>
          </w:p>
          <w:p w14:paraId="1FBC52FC" w14:textId="77777777" w:rsidR="00BF65DE" w:rsidRDefault="00BF65DE" w:rsidP="00BF65DE">
            <w:pPr>
              <w:pStyle w:val="tbltext"/>
              <w:numPr>
                <w:ilvl w:val="0"/>
                <w:numId w:val="26"/>
              </w:numPr>
              <w:ind w:left="357" w:hanging="357"/>
            </w:pPr>
            <w:r>
              <w:t>if the Reportable Transaction is collateralised but not in a portfolio, the applicable collateral information in items 4 and 6-21 below.</w:t>
            </w:r>
          </w:p>
          <w:p w14:paraId="16C8521C" w14:textId="77777777" w:rsidR="00BF65DE" w:rsidRPr="003A0061" w:rsidRDefault="00BF65DE">
            <w:pPr>
              <w:pStyle w:val="tbltext"/>
            </w:pPr>
            <w:r w:rsidRPr="00D82FA8">
              <w:rPr>
                <w:sz w:val="16"/>
                <w:szCs w:val="16"/>
              </w:rPr>
              <w:t xml:space="preserve">Note: </w:t>
            </w:r>
            <w:r>
              <w:rPr>
                <w:sz w:val="16"/>
                <w:szCs w:val="16"/>
              </w:rPr>
              <w:t>A Derivative Trade Repository’s requirements for an ISO 20022 XML message under Rule 2.2.4 may include that this data element is required to be reported to indicate for a Reportable Transaction that there is no code for a collateral portfolio or a collateral portfolio is not applicable, including for Reportable Transactions that are not collateralised.</w:t>
            </w:r>
          </w:p>
        </w:tc>
      </w:tr>
    </w:tbl>
    <w:p w14:paraId="5723D4BA" w14:textId="1ED55354" w:rsidR="00F52F84" w:rsidRPr="00CA3A25" w:rsidRDefault="00F52F84" w:rsidP="00A42AEE">
      <w:pPr>
        <w:pStyle w:val="LI-BodyTextNumbered"/>
        <w:keepNext/>
        <w:ind w:left="567"/>
        <w:rPr>
          <w:b/>
        </w:rPr>
      </w:pPr>
      <w:r>
        <w:rPr>
          <w:b/>
        </w:rPr>
        <w:lastRenderedPageBreak/>
        <w:t>9</w:t>
      </w:r>
      <w:r w:rsidRPr="00CA3A25">
        <w:rPr>
          <w:b/>
        </w:rPr>
        <w:tab/>
      </w:r>
      <w:r>
        <w:rPr>
          <w:b/>
        </w:rPr>
        <w:t>Rule S1.3.1 (Table S1.1(3): Collateral information, item 22</w:t>
      </w:r>
      <w:r w:rsidR="00ED1046">
        <w:rPr>
          <w:b/>
        </w:rPr>
        <w:t>)</w:t>
      </w:r>
    </w:p>
    <w:p w14:paraId="14A4C0C9" w14:textId="77777777" w:rsidR="00F52F84" w:rsidRDefault="00F52F84" w:rsidP="00A42AEE">
      <w:pPr>
        <w:pStyle w:val="LI-BodyTextNumbered"/>
        <w:keepNext/>
        <w:spacing w:after="240"/>
        <w:ind w:left="567" w:firstLine="0"/>
      </w:pPr>
      <w:r>
        <w:t>Repeal the item, substitute:</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A12DAD" w:rsidRPr="008E5AF5" w14:paraId="40C0D786" w14:textId="77777777" w:rsidTr="00A12DAD">
        <w:trPr>
          <w:cantSplit/>
        </w:trPr>
        <w:tc>
          <w:tcPr>
            <w:tcW w:w="935" w:type="dxa"/>
            <w:shd w:val="clear" w:color="auto" w:fill="auto"/>
          </w:tcPr>
          <w:p w14:paraId="0F849100" w14:textId="77777777" w:rsidR="00F52F84" w:rsidRPr="008E5AF5" w:rsidRDefault="00F52F84">
            <w:pPr>
              <w:pStyle w:val="tbltext"/>
            </w:pPr>
            <w:r w:rsidRPr="003A0061">
              <w:t>22</w:t>
            </w:r>
          </w:p>
        </w:tc>
        <w:tc>
          <w:tcPr>
            <w:tcW w:w="2126" w:type="dxa"/>
          </w:tcPr>
          <w:p w14:paraId="6BBB6665" w14:textId="77777777" w:rsidR="00F52F84" w:rsidRPr="008E5AF5" w:rsidRDefault="00F52F84">
            <w:pPr>
              <w:pStyle w:val="tbltext"/>
            </w:pPr>
            <w:r w:rsidRPr="003A0061">
              <w:t>Action type</w:t>
            </w:r>
          </w:p>
        </w:tc>
        <w:tc>
          <w:tcPr>
            <w:tcW w:w="4819" w:type="dxa"/>
          </w:tcPr>
          <w:p w14:paraId="0F540FC7" w14:textId="77777777" w:rsidR="00F52F84" w:rsidRPr="008E5AF5" w:rsidRDefault="00F52F84">
            <w:pPr>
              <w:pStyle w:val="tbltext"/>
            </w:pPr>
            <w:r w:rsidRPr="008E5AF5">
              <w:t>An indicator of whether the report being made relates to:</w:t>
            </w:r>
          </w:p>
          <w:p w14:paraId="26EE0C1A" w14:textId="77777777" w:rsidR="00F52F84" w:rsidRDefault="00F52F84">
            <w:pPr>
              <w:pStyle w:val="tbltext"/>
              <w:numPr>
                <w:ilvl w:val="0"/>
                <w:numId w:val="27"/>
              </w:numPr>
              <w:ind w:left="357" w:hanging="357"/>
            </w:pPr>
            <w:r>
              <w:t>reporting collateral arrangements information in a Reportable Transaction that is the entry into an OTC Derivative;</w:t>
            </w:r>
          </w:p>
          <w:p w14:paraId="15530DE0" w14:textId="77777777" w:rsidR="00F52F84" w:rsidRDefault="00F52F84">
            <w:pPr>
              <w:pStyle w:val="tbltext"/>
              <w:numPr>
                <w:ilvl w:val="0"/>
                <w:numId w:val="27"/>
              </w:numPr>
              <w:ind w:left="357" w:hanging="357"/>
            </w:pPr>
            <w:r>
              <w:t>the modification of collateral arrangements information in a report previously made;</w:t>
            </w:r>
          </w:p>
          <w:p w14:paraId="2E480858" w14:textId="77777777" w:rsidR="00F52F84" w:rsidRDefault="00F52F84">
            <w:pPr>
              <w:pStyle w:val="tbltext"/>
              <w:numPr>
                <w:ilvl w:val="0"/>
                <w:numId w:val="27"/>
              </w:numPr>
              <w:ind w:left="357" w:hanging="357"/>
            </w:pPr>
            <w:r>
              <w:t>an update of collateral amounts information</w:t>
            </w:r>
            <w:r w:rsidRPr="008E5AF5">
              <w:t>;</w:t>
            </w:r>
            <w:r>
              <w:t xml:space="preserve"> or</w:t>
            </w:r>
          </w:p>
          <w:p w14:paraId="1C74D3C4" w14:textId="77777777" w:rsidR="00F52F84" w:rsidRPr="008E5AF5" w:rsidRDefault="00F52F84">
            <w:pPr>
              <w:pStyle w:val="tbltext"/>
              <w:numPr>
                <w:ilvl w:val="0"/>
                <w:numId w:val="27"/>
              </w:numPr>
              <w:ind w:left="357" w:hanging="357"/>
            </w:pPr>
            <w:r w:rsidRPr="008E5AF5">
              <w:t xml:space="preserve">a correction to </w:t>
            </w:r>
            <w:r>
              <w:t xml:space="preserve">collateral arrangements information or collateral amounts </w:t>
            </w:r>
            <w:r w:rsidRPr="008E5AF5">
              <w:t>information in a report previously made</w:t>
            </w:r>
            <w:r>
              <w:t>.</w:t>
            </w:r>
          </w:p>
        </w:tc>
        <w:tc>
          <w:tcPr>
            <w:tcW w:w="2863" w:type="dxa"/>
          </w:tcPr>
          <w:p w14:paraId="48ECB7BB" w14:textId="77777777" w:rsidR="00F52F84" w:rsidRPr="008E5AF5" w:rsidRDefault="00F52F84">
            <w:pPr>
              <w:pStyle w:val="tbltext"/>
            </w:pPr>
            <w:r w:rsidRPr="008E5AF5">
              <w:t>As set out in the applicable paragraph of column 5 of this item.</w:t>
            </w:r>
          </w:p>
        </w:tc>
        <w:tc>
          <w:tcPr>
            <w:tcW w:w="3061" w:type="dxa"/>
          </w:tcPr>
          <w:p w14:paraId="3C515D3F" w14:textId="77777777" w:rsidR="00F52F84" w:rsidRPr="00D243C7" w:rsidRDefault="00F52F84">
            <w:pPr>
              <w:pStyle w:val="tbltext"/>
              <w:numPr>
                <w:ilvl w:val="1"/>
                <w:numId w:val="28"/>
              </w:numPr>
              <w:ind w:left="357" w:hanging="357"/>
            </w:pPr>
            <w:r w:rsidRPr="00D243C7">
              <w:t>NEWT—for reporting collateral arrangements information of items 8, 10 and 11 above in a Reportable Transaction that is the entry into an OTC Derivative;</w:t>
            </w:r>
          </w:p>
          <w:p w14:paraId="18730B56" w14:textId="77777777" w:rsidR="00F52F84" w:rsidRPr="00D243C7" w:rsidRDefault="00F52F84">
            <w:pPr>
              <w:pStyle w:val="tbltext"/>
              <w:numPr>
                <w:ilvl w:val="1"/>
                <w:numId w:val="28"/>
              </w:numPr>
              <w:ind w:left="357" w:hanging="357"/>
            </w:pPr>
            <w:r w:rsidRPr="00D243C7">
              <w:t>MODI—for the modification of collateral arrangements information of items 8, 10 and 11 above in a report previously made;</w:t>
            </w:r>
          </w:p>
          <w:p w14:paraId="1086A6BB" w14:textId="77777777" w:rsidR="00F52F84" w:rsidRDefault="00F52F84">
            <w:pPr>
              <w:pStyle w:val="tbltext"/>
              <w:numPr>
                <w:ilvl w:val="1"/>
                <w:numId w:val="28"/>
              </w:numPr>
              <w:ind w:left="357" w:hanging="357"/>
            </w:pPr>
            <w:r w:rsidRPr="00D243C7">
              <w:t>MARU—for an update of collateral amounts information; or</w:t>
            </w:r>
          </w:p>
          <w:p w14:paraId="18B70829" w14:textId="77777777" w:rsidR="00F52F84" w:rsidRPr="008E5AF5" w:rsidRDefault="00F52F84">
            <w:pPr>
              <w:pStyle w:val="tbltext"/>
              <w:numPr>
                <w:ilvl w:val="1"/>
                <w:numId w:val="28"/>
              </w:numPr>
              <w:ind w:left="357" w:hanging="357"/>
            </w:pPr>
            <w:r w:rsidRPr="00D243C7">
              <w:t>CORR—for a correction to collateral arrangements information or collateral amounts information in a report previously made.</w:t>
            </w:r>
          </w:p>
        </w:tc>
      </w:tr>
    </w:tbl>
    <w:p w14:paraId="56449BDD" w14:textId="77777777" w:rsidR="007114E5" w:rsidRDefault="007114E5" w:rsidP="00BA4BE9">
      <w:pPr>
        <w:pStyle w:val="LI-BodyTextNumbered"/>
        <w:ind w:left="567" w:firstLine="0"/>
        <w:sectPr w:rsidR="007114E5" w:rsidSect="0011587F">
          <w:headerReference w:type="default" r:id="rId27"/>
          <w:footerReference w:type="default" r:id="rId28"/>
          <w:pgSz w:w="16839" w:h="11907" w:orient="landscape" w:code="9"/>
          <w:pgMar w:top="1797" w:right="1534" w:bottom="1797" w:left="1440" w:header="720" w:footer="709" w:gutter="0"/>
          <w:cols w:space="708"/>
          <w:docGrid w:linePitch="360"/>
        </w:sectPr>
      </w:pPr>
    </w:p>
    <w:p w14:paraId="32D3F00E" w14:textId="77777777" w:rsidR="001A4E8B" w:rsidRPr="001778F8" w:rsidRDefault="001A4E8B" w:rsidP="001A4E8B">
      <w:pPr>
        <w:pStyle w:val="LI-Heading1"/>
      </w:pPr>
      <w:bookmarkStart w:id="11" w:name="_Toc148601159"/>
      <w:bookmarkStart w:id="12" w:name="_Toc182823316"/>
      <w:r w:rsidRPr="00D678F8">
        <w:lastRenderedPageBreak/>
        <w:t>Endnotes</w:t>
      </w:r>
      <w:bookmarkEnd w:id="11"/>
      <w:bookmarkEnd w:id="12"/>
    </w:p>
    <w:p w14:paraId="07AD1FDB" w14:textId="77777777" w:rsidR="001A4E8B" w:rsidRPr="00BC57F4" w:rsidRDefault="001A4E8B" w:rsidP="001A4E8B">
      <w:pPr>
        <w:pStyle w:val="LI-Heading2"/>
      </w:pPr>
      <w:bookmarkStart w:id="13" w:name="_Toc148601160"/>
      <w:bookmarkStart w:id="14" w:name="_Toc182823317"/>
      <w:r w:rsidRPr="00BC57F4">
        <w:t>Endnote 1—About the endnotes</w:t>
      </w:r>
      <w:bookmarkEnd w:id="13"/>
      <w:bookmarkEnd w:id="14"/>
    </w:p>
    <w:p w14:paraId="17ABD513" w14:textId="77777777" w:rsidR="001A4E8B" w:rsidRPr="00042EA7" w:rsidRDefault="001A4E8B" w:rsidP="001A4E8B">
      <w:pPr>
        <w:pStyle w:val="LI-Endnotetext"/>
      </w:pPr>
      <w:r w:rsidRPr="00042EA7">
        <w:t xml:space="preserve">The endnotes provide </w:t>
      </w:r>
      <w:r w:rsidRPr="00A07EB6">
        <w:t>information</w:t>
      </w:r>
      <w:r w:rsidRPr="00042EA7">
        <w:t xml:space="preserve"> about this compilation and the compiled law.</w:t>
      </w:r>
    </w:p>
    <w:p w14:paraId="3619FC71" w14:textId="77777777" w:rsidR="001A4E8B" w:rsidRPr="00042EA7" w:rsidRDefault="001A4E8B" w:rsidP="001A4E8B">
      <w:pPr>
        <w:pStyle w:val="LI-Endnotetext"/>
      </w:pPr>
      <w:r w:rsidRPr="00042EA7">
        <w:t>The following endnotes are included in every compilation:</w:t>
      </w:r>
    </w:p>
    <w:p w14:paraId="1DF639EB" w14:textId="77777777" w:rsidR="001A4E8B" w:rsidRPr="00042EA7" w:rsidRDefault="001A4E8B" w:rsidP="001A4E8B">
      <w:pPr>
        <w:pStyle w:val="LI-Endnotetext"/>
        <w:spacing w:before="0"/>
        <w:ind w:firstLine="720"/>
      </w:pPr>
      <w:r w:rsidRPr="00042EA7">
        <w:t>Endnote 1—About the endnotes</w:t>
      </w:r>
    </w:p>
    <w:p w14:paraId="0A18AF10" w14:textId="77777777" w:rsidR="001A4E8B" w:rsidRPr="00042EA7" w:rsidRDefault="001A4E8B" w:rsidP="001A4E8B">
      <w:pPr>
        <w:pStyle w:val="LI-Endnotetext"/>
        <w:spacing w:before="0"/>
        <w:ind w:firstLine="720"/>
      </w:pPr>
      <w:r w:rsidRPr="00042EA7">
        <w:t>Endnote 2—Abbreviation key</w:t>
      </w:r>
    </w:p>
    <w:p w14:paraId="70009F40" w14:textId="77777777" w:rsidR="001A4E8B" w:rsidRPr="00042EA7" w:rsidRDefault="001A4E8B" w:rsidP="001A4E8B">
      <w:pPr>
        <w:pStyle w:val="LI-Endnotetext"/>
        <w:spacing w:before="0"/>
        <w:ind w:firstLine="720"/>
      </w:pPr>
      <w:r w:rsidRPr="00042EA7">
        <w:t>Endnote 3—Legislation history</w:t>
      </w:r>
    </w:p>
    <w:p w14:paraId="62EA3B0E" w14:textId="77777777" w:rsidR="001A4E8B" w:rsidRPr="00042EA7" w:rsidRDefault="001A4E8B" w:rsidP="001A4E8B">
      <w:pPr>
        <w:pStyle w:val="LI-Endnotetext"/>
        <w:spacing w:before="0"/>
        <w:ind w:firstLine="720"/>
      </w:pPr>
      <w:r w:rsidRPr="00042EA7">
        <w:t>Endnote 4—Amendment history</w:t>
      </w:r>
    </w:p>
    <w:p w14:paraId="4EE87C00" w14:textId="77777777" w:rsidR="001A4E8B" w:rsidRPr="00D51D44" w:rsidRDefault="001A4E8B" w:rsidP="001A4E8B">
      <w:pPr>
        <w:pStyle w:val="LI-Endnotetext"/>
        <w:rPr>
          <w:b/>
          <w:bCs/>
        </w:rPr>
      </w:pPr>
      <w:r w:rsidRPr="00D51D44">
        <w:rPr>
          <w:b/>
          <w:bCs/>
        </w:rPr>
        <w:t>Abbreviation key—Endnote 2</w:t>
      </w:r>
    </w:p>
    <w:p w14:paraId="47E9E5C4" w14:textId="77777777" w:rsidR="001A4E8B" w:rsidRPr="00042EA7" w:rsidRDefault="001A4E8B" w:rsidP="001A4E8B">
      <w:pPr>
        <w:pStyle w:val="LI-Endnotetext"/>
        <w:spacing w:before="0" w:after="220"/>
      </w:pPr>
      <w:r w:rsidRPr="00042EA7">
        <w:t>The abbreviation key sets out abbreviations that may be used in the endnotes.</w:t>
      </w:r>
    </w:p>
    <w:p w14:paraId="73205AE7" w14:textId="77777777" w:rsidR="001A4E8B" w:rsidRPr="00D51D44" w:rsidRDefault="001A4E8B" w:rsidP="001A4E8B">
      <w:pPr>
        <w:pStyle w:val="LI-Endnotetext"/>
        <w:rPr>
          <w:b/>
          <w:bCs/>
        </w:rPr>
      </w:pPr>
      <w:r w:rsidRPr="00D51D44">
        <w:rPr>
          <w:b/>
          <w:bCs/>
        </w:rPr>
        <w:t>Legislation history and amendment history—Endnotes 3 and 4</w:t>
      </w:r>
    </w:p>
    <w:p w14:paraId="3B4C53CB" w14:textId="77777777" w:rsidR="001A4E8B" w:rsidRPr="00042EA7" w:rsidRDefault="001A4E8B" w:rsidP="001A4E8B">
      <w:pPr>
        <w:pStyle w:val="LI-Endnotetext"/>
        <w:spacing w:before="0" w:after="220"/>
      </w:pPr>
      <w:r w:rsidRPr="00042EA7">
        <w:t>Amending laws are annotated in the legislation history and amendment history.</w:t>
      </w:r>
    </w:p>
    <w:p w14:paraId="7A376098" w14:textId="77777777" w:rsidR="001A4E8B" w:rsidRPr="00042EA7" w:rsidRDefault="001A4E8B" w:rsidP="001A4E8B">
      <w:pPr>
        <w:pStyle w:val="LI-Endnotetext"/>
        <w:spacing w:before="0" w:after="2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9819CDB" w14:textId="77777777" w:rsidR="001A4E8B" w:rsidRPr="00042EA7" w:rsidRDefault="001A4E8B" w:rsidP="001A4E8B">
      <w:pPr>
        <w:pStyle w:val="LI-Endnotetext"/>
        <w:spacing w:before="0" w:after="2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C6B5E4B" w14:textId="77777777" w:rsidR="001A4E8B" w:rsidRPr="00D51D44" w:rsidRDefault="001A4E8B" w:rsidP="001A4E8B">
      <w:pPr>
        <w:pStyle w:val="LI-Endnotetext"/>
        <w:rPr>
          <w:b/>
          <w:bCs/>
        </w:rPr>
      </w:pPr>
      <w:r w:rsidRPr="00D51D44">
        <w:rPr>
          <w:b/>
          <w:bCs/>
        </w:rPr>
        <w:t>Misdescribed amendments</w:t>
      </w:r>
    </w:p>
    <w:p w14:paraId="7E0D29D3" w14:textId="77777777" w:rsidR="001A4E8B" w:rsidRPr="00042EA7" w:rsidRDefault="001A4E8B" w:rsidP="001A4E8B">
      <w:pPr>
        <w:pStyle w:val="LI-Endnotetext"/>
        <w:spacing w:before="0" w:after="2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A31D53">
        <w:rPr>
          <w:i/>
          <w:iCs/>
        </w:rPr>
        <w:t>Legislation Act 2003</w:t>
      </w:r>
      <w:r>
        <w:t>.</w:t>
      </w:r>
    </w:p>
    <w:p w14:paraId="5A0A87E6" w14:textId="77777777" w:rsidR="001A4E8B" w:rsidRPr="00164D8F" w:rsidRDefault="001A4E8B" w:rsidP="001A4E8B">
      <w:pPr>
        <w:pStyle w:val="LI-Endnotetext"/>
        <w:spacing w:before="0" w:after="220"/>
      </w:pPr>
      <w:r>
        <w:t>If a misdescribed amendment cannot be given effect as intended, the amendment is not incorporated and “(md not incorp)” is added to the amendment history.</w:t>
      </w:r>
    </w:p>
    <w:p w14:paraId="1B117C7D" w14:textId="55760C52" w:rsidR="004345D6" w:rsidRDefault="004345D6">
      <w:pPr>
        <w:spacing w:line="240" w:lineRule="auto"/>
        <w:rPr>
          <w:rFonts w:eastAsia="Times New Roman"/>
          <w:sz w:val="24"/>
          <w:szCs w:val="24"/>
          <w:lang w:eastAsia="en-AU"/>
        </w:rPr>
      </w:pPr>
      <w:r>
        <w:br w:type="page"/>
      </w:r>
    </w:p>
    <w:p w14:paraId="2147EFDD" w14:textId="77777777" w:rsidR="00886021" w:rsidRPr="00611862" w:rsidRDefault="00886021" w:rsidP="00886021">
      <w:pPr>
        <w:pStyle w:val="LI-Heading2"/>
        <w:pageBreakBefore/>
        <w:spacing w:after="480"/>
      </w:pPr>
      <w:bookmarkStart w:id="15" w:name="_Toc148601161"/>
      <w:bookmarkStart w:id="16" w:name="_Toc182823318"/>
      <w:r w:rsidRPr="00611862">
        <w:lastRenderedPageBreak/>
        <w:t>Endnote 2—Abbreviation key</w:t>
      </w:r>
      <w:bookmarkEnd w:id="15"/>
      <w:bookmarkEnd w:id="16"/>
    </w:p>
    <w:tbl>
      <w:tblPr>
        <w:tblW w:w="5000" w:type="pct"/>
        <w:tblLook w:val="0000" w:firstRow="0" w:lastRow="0" w:firstColumn="0" w:lastColumn="0" w:noHBand="0" w:noVBand="0"/>
      </w:tblPr>
      <w:tblGrid>
        <w:gridCol w:w="4454"/>
        <w:gridCol w:w="3859"/>
      </w:tblGrid>
      <w:tr w:rsidR="00886021" w:rsidRPr="00164D8F" w14:paraId="539AD8D6" w14:textId="77777777" w:rsidTr="00A871B7">
        <w:tc>
          <w:tcPr>
            <w:tcW w:w="2679" w:type="pct"/>
            <w:shd w:val="clear" w:color="auto" w:fill="auto"/>
          </w:tcPr>
          <w:p w14:paraId="5FC9A37C" w14:textId="77777777" w:rsidR="00886021" w:rsidRPr="00C67852" w:rsidRDefault="00886021" w:rsidP="00A871B7">
            <w:pPr>
              <w:pStyle w:val="LI-Tabletext"/>
            </w:pPr>
            <w:r w:rsidRPr="00C67852">
              <w:t>ad = added or inserted</w:t>
            </w:r>
          </w:p>
        </w:tc>
        <w:tc>
          <w:tcPr>
            <w:tcW w:w="2321" w:type="pct"/>
            <w:shd w:val="clear" w:color="auto" w:fill="auto"/>
          </w:tcPr>
          <w:p w14:paraId="5591C0B6" w14:textId="77777777" w:rsidR="00886021" w:rsidRPr="00C67852" w:rsidRDefault="00886021" w:rsidP="00A871B7">
            <w:pPr>
              <w:pStyle w:val="LI-Tabletext"/>
            </w:pPr>
            <w:proofErr w:type="spellStart"/>
            <w:r w:rsidRPr="00C67852">
              <w:t>orig</w:t>
            </w:r>
            <w:proofErr w:type="spellEnd"/>
            <w:r w:rsidRPr="00C67852">
              <w:t xml:space="preserve"> = original</w:t>
            </w:r>
          </w:p>
        </w:tc>
      </w:tr>
      <w:tr w:rsidR="00886021" w:rsidRPr="00164D8F" w14:paraId="50C84046" w14:textId="77777777" w:rsidTr="00A871B7">
        <w:tc>
          <w:tcPr>
            <w:tcW w:w="2679" w:type="pct"/>
            <w:shd w:val="clear" w:color="auto" w:fill="auto"/>
          </w:tcPr>
          <w:p w14:paraId="767D77F5" w14:textId="77777777" w:rsidR="00886021" w:rsidRPr="00C67852" w:rsidRDefault="00886021" w:rsidP="00A871B7">
            <w:pPr>
              <w:pStyle w:val="LI-Tabletext"/>
            </w:pPr>
            <w:r w:rsidRPr="00C67852">
              <w:t>am = amended</w:t>
            </w:r>
          </w:p>
        </w:tc>
        <w:tc>
          <w:tcPr>
            <w:tcW w:w="2321" w:type="pct"/>
            <w:shd w:val="clear" w:color="auto" w:fill="auto"/>
          </w:tcPr>
          <w:p w14:paraId="466FF9A0" w14:textId="77777777" w:rsidR="00886021" w:rsidRPr="00C67852" w:rsidRDefault="00886021" w:rsidP="00A871B7">
            <w:pPr>
              <w:pStyle w:val="LI-Tabletext"/>
            </w:pPr>
            <w:r w:rsidRPr="00C67852">
              <w:t>par = paragraph(s)/subparagraph(s)</w:t>
            </w:r>
          </w:p>
        </w:tc>
      </w:tr>
      <w:tr w:rsidR="00886021" w:rsidRPr="00164D8F" w14:paraId="1C1848E8" w14:textId="77777777" w:rsidTr="00A871B7">
        <w:tc>
          <w:tcPr>
            <w:tcW w:w="2679" w:type="pct"/>
            <w:shd w:val="clear" w:color="auto" w:fill="auto"/>
          </w:tcPr>
          <w:p w14:paraId="2D568C68" w14:textId="77777777" w:rsidR="00886021" w:rsidRPr="00C67852" w:rsidRDefault="00886021" w:rsidP="00A871B7">
            <w:pPr>
              <w:pStyle w:val="LI-Tabletext"/>
            </w:pPr>
            <w:proofErr w:type="spellStart"/>
            <w:r w:rsidRPr="00C67852">
              <w:t>amdt</w:t>
            </w:r>
            <w:proofErr w:type="spellEnd"/>
            <w:r w:rsidRPr="00C67852">
              <w:t xml:space="preserve"> = amendment</w:t>
            </w:r>
          </w:p>
        </w:tc>
        <w:tc>
          <w:tcPr>
            <w:tcW w:w="2321" w:type="pct"/>
            <w:shd w:val="clear" w:color="auto" w:fill="auto"/>
          </w:tcPr>
          <w:p w14:paraId="6C55367D" w14:textId="77777777" w:rsidR="00886021" w:rsidRPr="00C67852" w:rsidRDefault="00886021" w:rsidP="00A871B7">
            <w:pPr>
              <w:pStyle w:val="LI-Tabletext"/>
            </w:pPr>
            <w:r w:rsidRPr="00C67852">
              <w:t>/</w:t>
            </w:r>
            <w:proofErr w:type="gramStart"/>
            <w:r w:rsidRPr="00C67852">
              <w:t>sub</w:t>
            </w:r>
            <w:proofErr w:type="gramEnd"/>
            <w:r w:rsidRPr="00C67852">
              <w:noBreakHyphen/>
              <w:t>subparagraph(s)</w:t>
            </w:r>
          </w:p>
        </w:tc>
      </w:tr>
      <w:tr w:rsidR="00886021" w:rsidRPr="00164D8F" w14:paraId="4196C673" w14:textId="77777777" w:rsidTr="00A871B7">
        <w:tc>
          <w:tcPr>
            <w:tcW w:w="2679" w:type="pct"/>
            <w:shd w:val="clear" w:color="auto" w:fill="auto"/>
          </w:tcPr>
          <w:p w14:paraId="6AB1AA8B" w14:textId="77777777" w:rsidR="00886021" w:rsidRPr="00C67852" w:rsidRDefault="00886021" w:rsidP="00A871B7">
            <w:pPr>
              <w:pStyle w:val="LI-Tabletext"/>
            </w:pPr>
            <w:r w:rsidRPr="00C67852">
              <w:t>c = clause(s)</w:t>
            </w:r>
          </w:p>
        </w:tc>
        <w:tc>
          <w:tcPr>
            <w:tcW w:w="2321" w:type="pct"/>
            <w:shd w:val="clear" w:color="auto" w:fill="auto"/>
          </w:tcPr>
          <w:p w14:paraId="3CE89487" w14:textId="77777777" w:rsidR="00886021" w:rsidRPr="00C67852" w:rsidRDefault="00886021" w:rsidP="00A871B7">
            <w:pPr>
              <w:pStyle w:val="LI-Tabletext"/>
            </w:pPr>
            <w:proofErr w:type="spellStart"/>
            <w:r w:rsidRPr="00C67852">
              <w:t>pres</w:t>
            </w:r>
            <w:proofErr w:type="spellEnd"/>
            <w:r w:rsidRPr="00C67852">
              <w:t xml:space="preserve"> = present</w:t>
            </w:r>
          </w:p>
        </w:tc>
      </w:tr>
      <w:tr w:rsidR="00886021" w:rsidRPr="00164D8F" w14:paraId="2680F623" w14:textId="77777777" w:rsidTr="00A871B7">
        <w:tc>
          <w:tcPr>
            <w:tcW w:w="2679" w:type="pct"/>
            <w:shd w:val="clear" w:color="auto" w:fill="auto"/>
          </w:tcPr>
          <w:p w14:paraId="50480796" w14:textId="77777777" w:rsidR="00886021" w:rsidRPr="00C67852" w:rsidRDefault="00886021" w:rsidP="00A871B7">
            <w:pPr>
              <w:pStyle w:val="LI-Tabletext"/>
            </w:pPr>
            <w:r w:rsidRPr="00C67852">
              <w:t>C[x] = Compilation No. x</w:t>
            </w:r>
          </w:p>
        </w:tc>
        <w:tc>
          <w:tcPr>
            <w:tcW w:w="2321" w:type="pct"/>
            <w:shd w:val="clear" w:color="auto" w:fill="auto"/>
          </w:tcPr>
          <w:p w14:paraId="7657EF37" w14:textId="77777777" w:rsidR="00886021" w:rsidRPr="00C67852" w:rsidRDefault="00886021" w:rsidP="00A871B7">
            <w:pPr>
              <w:pStyle w:val="LI-Tabletext"/>
            </w:pPr>
            <w:proofErr w:type="spellStart"/>
            <w:r w:rsidRPr="00C67852">
              <w:t>prev</w:t>
            </w:r>
            <w:proofErr w:type="spellEnd"/>
            <w:r w:rsidRPr="00C67852">
              <w:t xml:space="preserve"> = previous</w:t>
            </w:r>
          </w:p>
        </w:tc>
      </w:tr>
      <w:tr w:rsidR="00886021" w:rsidRPr="00164D8F" w14:paraId="7FCC0419" w14:textId="77777777" w:rsidTr="00A871B7">
        <w:tc>
          <w:tcPr>
            <w:tcW w:w="2679" w:type="pct"/>
            <w:shd w:val="clear" w:color="auto" w:fill="auto"/>
          </w:tcPr>
          <w:p w14:paraId="3C6F5895" w14:textId="77777777" w:rsidR="00886021" w:rsidRPr="00C67852" w:rsidRDefault="00886021" w:rsidP="00A871B7">
            <w:pPr>
              <w:pStyle w:val="LI-Tabletext"/>
            </w:pPr>
            <w:r w:rsidRPr="00C67852">
              <w:t>Ch = Chapter(s)</w:t>
            </w:r>
          </w:p>
        </w:tc>
        <w:tc>
          <w:tcPr>
            <w:tcW w:w="2321" w:type="pct"/>
            <w:shd w:val="clear" w:color="auto" w:fill="auto"/>
          </w:tcPr>
          <w:p w14:paraId="16A62AFE" w14:textId="77777777" w:rsidR="00886021" w:rsidRPr="00C67852" w:rsidRDefault="00886021" w:rsidP="00A871B7">
            <w:pPr>
              <w:pStyle w:val="LI-Tabletext"/>
            </w:pPr>
            <w:r w:rsidRPr="00C67852">
              <w:t>(</w:t>
            </w:r>
            <w:proofErr w:type="spellStart"/>
            <w:r w:rsidRPr="00C67852">
              <w:t>prev</w:t>
            </w:r>
            <w:proofErr w:type="spellEnd"/>
            <w:r w:rsidRPr="00C67852">
              <w:t>…) = previously</w:t>
            </w:r>
          </w:p>
        </w:tc>
      </w:tr>
      <w:tr w:rsidR="00886021" w:rsidRPr="00164D8F" w14:paraId="2E5873E4" w14:textId="77777777" w:rsidTr="00A871B7">
        <w:tc>
          <w:tcPr>
            <w:tcW w:w="2679" w:type="pct"/>
            <w:shd w:val="clear" w:color="auto" w:fill="auto"/>
          </w:tcPr>
          <w:p w14:paraId="50C62B44" w14:textId="77777777" w:rsidR="00886021" w:rsidRPr="00C67852" w:rsidRDefault="00886021" w:rsidP="00A871B7">
            <w:pPr>
              <w:pStyle w:val="LI-Tabletext"/>
            </w:pPr>
            <w:r w:rsidRPr="00C67852">
              <w:t>def = definition(s)</w:t>
            </w:r>
          </w:p>
        </w:tc>
        <w:tc>
          <w:tcPr>
            <w:tcW w:w="2321" w:type="pct"/>
            <w:shd w:val="clear" w:color="auto" w:fill="auto"/>
          </w:tcPr>
          <w:p w14:paraId="5D76B707" w14:textId="77777777" w:rsidR="00886021" w:rsidRPr="00C67852" w:rsidRDefault="00886021" w:rsidP="00A871B7">
            <w:pPr>
              <w:pStyle w:val="LI-Tabletext"/>
            </w:pPr>
            <w:r w:rsidRPr="00C67852">
              <w:t>Pt = Part(s)</w:t>
            </w:r>
          </w:p>
        </w:tc>
      </w:tr>
      <w:tr w:rsidR="00886021" w:rsidRPr="00164D8F" w14:paraId="54631499" w14:textId="77777777" w:rsidTr="00A871B7">
        <w:tc>
          <w:tcPr>
            <w:tcW w:w="2679" w:type="pct"/>
            <w:shd w:val="clear" w:color="auto" w:fill="auto"/>
          </w:tcPr>
          <w:p w14:paraId="1262BE55" w14:textId="77777777" w:rsidR="00886021" w:rsidRPr="00C67852" w:rsidRDefault="00886021" w:rsidP="00A871B7">
            <w:pPr>
              <w:pStyle w:val="LI-Tabletext"/>
            </w:pPr>
            <w:proofErr w:type="spellStart"/>
            <w:r w:rsidRPr="00C67852">
              <w:t>Dict</w:t>
            </w:r>
            <w:proofErr w:type="spellEnd"/>
            <w:r w:rsidRPr="00C67852">
              <w:t xml:space="preserve"> = Dictionary</w:t>
            </w:r>
          </w:p>
        </w:tc>
        <w:tc>
          <w:tcPr>
            <w:tcW w:w="2321" w:type="pct"/>
            <w:shd w:val="clear" w:color="auto" w:fill="auto"/>
          </w:tcPr>
          <w:p w14:paraId="712C87CF" w14:textId="77777777" w:rsidR="00886021" w:rsidRPr="00C67852" w:rsidRDefault="00886021" w:rsidP="00A871B7">
            <w:pPr>
              <w:pStyle w:val="LI-Tabletext"/>
            </w:pPr>
            <w:r w:rsidRPr="00C67852">
              <w:t>r = regulation(s)/rule(s)</w:t>
            </w:r>
          </w:p>
        </w:tc>
      </w:tr>
      <w:tr w:rsidR="00886021" w:rsidRPr="00164D8F" w14:paraId="60C9FB01" w14:textId="77777777" w:rsidTr="00A871B7">
        <w:tc>
          <w:tcPr>
            <w:tcW w:w="2679" w:type="pct"/>
            <w:shd w:val="clear" w:color="auto" w:fill="auto"/>
          </w:tcPr>
          <w:p w14:paraId="781A09EB" w14:textId="77777777" w:rsidR="00886021" w:rsidRPr="00C67852" w:rsidRDefault="00886021" w:rsidP="00A871B7">
            <w:pPr>
              <w:pStyle w:val="LI-Tabletext"/>
            </w:pPr>
            <w:r w:rsidRPr="00C67852">
              <w:t>disallowed = disallowed by Parliament</w:t>
            </w:r>
          </w:p>
        </w:tc>
        <w:tc>
          <w:tcPr>
            <w:tcW w:w="2321" w:type="pct"/>
            <w:shd w:val="clear" w:color="auto" w:fill="auto"/>
          </w:tcPr>
          <w:p w14:paraId="19FB827F" w14:textId="77777777" w:rsidR="00886021" w:rsidRPr="00C67852" w:rsidRDefault="00886021" w:rsidP="00A871B7">
            <w:pPr>
              <w:pStyle w:val="LI-Tabletext"/>
            </w:pPr>
            <w:proofErr w:type="spellStart"/>
            <w:r w:rsidRPr="00C67852">
              <w:t>reloc</w:t>
            </w:r>
            <w:proofErr w:type="spellEnd"/>
            <w:r w:rsidRPr="00C67852">
              <w:t xml:space="preserve"> = relocated</w:t>
            </w:r>
          </w:p>
        </w:tc>
      </w:tr>
      <w:tr w:rsidR="00886021" w:rsidRPr="00164D8F" w14:paraId="3BDF3E44" w14:textId="77777777" w:rsidTr="00A871B7">
        <w:tc>
          <w:tcPr>
            <w:tcW w:w="2679" w:type="pct"/>
            <w:shd w:val="clear" w:color="auto" w:fill="auto"/>
          </w:tcPr>
          <w:p w14:paraId="3FAF5065" w14:textId="77777777" w:rsidR="00886021" w:rsidRPr="00C67852" w:rsidRDefault="00886021" w:rsidP="00A871B7">
            <w:pPr>
              <w:pStyle w:val="LI-Tabletext"/>
            </w:pPr>
            <w:r w:rsidRPr="00C67852">
              <w:t>Div = Division(s)</w:t>
            </w:r>
          </w:p>
        </w:tc>
        <w:tc>
          <w:tcPr>
            <w:tcW w:w="2321" w:type="pct"/>
            <w:shd w:val="clear" w:color="auto" w:fill="auto"/>
          </w:tcPr>
          <w:p w14:paraId="43AC1645" w14:textId="77777777" w:rsidR="00886021" w:rsidRPr="00C67852" w:rsidRDefault="00886021" w:rsidP="00A871B7">
            <w:pPr>
              <w:pStyle w:val="LI-Tabletext"/>
            </w:pPr>
            <w:proofErr w:type="spellStart"/>
            <w:r w:rsidRPr="00C67852">
              <w:t>renum</w:t>
            </w:r>
            <w:proofErr w:type="spellEnd"/>
            <w:r w:rsidRPr="00C67852">
              <w:t xml:space="preserve"> = renumbered</w:t>
            </w:r>
          </w:p>
        </w:tc>
      </w:tr>
      <w:tr w:rsidR="00886021" w:rsidRPr="00164D8F" w14:paraId="0B829FDA" w14:textId="77777777" w:rsidTr="00A871B7">
        <w:tc>
          <w:tcPr>
            <w:tcW w:w="2679" w:type="pct"/>
            <w:shd w:val="clear" w:color="auto" w:fill="auto"/>
          </w:tcPr>
          <w:p w14:paraId="7E649170" w14:textId="77777777" w:rsidR="00886021" w:rsidRPr="00C67852" w:rsidRDefault="00886021" w:rsidP="00A871B7">
            <w:pPr>
              <w:pStyle w:val="LI-Tabletext"/>
            </w:pPr>
            <w:r w:rsidRPr="00C67852">
              <w:t>exp = expires/expired or ceases/ceased to have</w:t>
            </w:r>
          </w:p>
        </w:tc>
        <w:tc>
          <w:tcPr>
            <w:tcW w:w="2321" w:type="pct"/>
            <w:shd w:val="clear" w:color="auto" w:fill="auto"/>
          </w:tcPr>
          <w:p w14:paraId="732C749D" w14:textId="77777777" w:rsidR="00886021" w:rsidRPr="00C67852" w:rsidRDefault="00886021" w:rsidP="00A871B7">
            <w:pPr>
              <w:pStyle w:val="LI-Tabletext"/>
            </w:pPr>
            <w:r w:rsidRPr="00C67852">
              <w:t>rep = repealed</w:t>
            </w:r>
          </w:p>
        </w:tc>
      </w:tr>
      <w:tr w:rsidR="00886021" w:rsidRPr="00164D8F" w14:paraId="1DC006DD" w14:textId="77777777" w:rsidTr="00A871B7">
        <w:tc>
          <w:tcPr>
            <w:tcW w:w="2679" w:type="pct"/>
            <w:shd w:val="clear" w:color="auto" w:fill="auto"/>
          </w:tcPr>
          <w:p w14:paraId="2D3B2891" w14:textId="77777777" w:rsidR="00886021" w:rsidRPr="00C67852" w:rsidRDefault="00886021" w:rsidP="00A871B7">
            <w:pPr>
              <w:pStyle w:val="LI-Tabletext"/>
            </w:pPr>
            <w:r w:rsidRPr="00C67852">
              <w:t>Effect</w:t>
            </w:r>
          </w:p>
        </w:tc>
        <w:tc>
          <w:tcPr>
            <w:tcW w:w="2321" w:type="pct"/>
            <w:shd w:val="clear" w:color="auto" w:fill="auto"/>
          </w:tcPr>
          <w:p w14:paraId="51900942" w14:textId="77777777" w:rsidR="00886021" w:rsidRPr="00C67852" w:rsidRDefault="00886021" w:rsidP="00A871B7">
            <w:pPr>
              <w:pStyle w:val="LI-Tabletext"/>
            </w:pPr>
            <w:proofErr w:type="spellStart"/>
            <w:r w:rsidRPr="00C67852">
              <w:t>rs</w:t>
            </w:r>
            <w:proofErr w:type="spellEnd"/>
            <w:r w:rsidRPr="00C67852">
              <w:t xml:space="preserve"> = repealed and substituted</w:t>
            </w:r>
          </w:p>
        </w:tc>
      </w:tr>
      <w:tr w:rsidR="00886021" w:rsidRPr="00164D8F" w14:paraId="3D7C7CB5" w14:textId="77777777" w:rsidTr="00A871B7">
        <w:tc>
          <w:tcPr>
            <w:tcW w:w="2679" w:type="pct"/>
            <w:shd w:val="clear" w:color="auto" w:fill="auto"/>
          </w:tcPr>
          <w:p w14:paraId="6AD4169D" w14:textId="77777777" w:rsidR="00886021" w:rsidRPr="00C67852" w:rsidRDefault="00886021" w:rsidP="00A871B7">
            <w:pPr>
              <w:pStyle w:val="LI-Tabletext"/>
            </w:pPr>
            <w:r w:rsidRPr="00C67852">
              <w:t>F = Federal Register of Legislation</w:t>
            </w:r>
          </w:p>
        </w:tc>
        <w:tc>
          <w:tcPr>
            <w:tcW w:w="2321" w:type="pct"/>
            <w:shd w:val="clear" w:color="auto" w:fill="auto"/>
          </w:tcPr>
          <w:p w14:paraId="65746611" w14:textId="77777777" w:rsidR="00886021" w:rsidRPr="00C67852" w:rsidRDefault="00886021" w:rsidP="00A871B7">
            <w:pPr>
              <w:pStyle w:val="LI-Tabletext"/>
            </w:pPr>
            <w:r w:rsidRPr="00C67852">
              <w:t>s = section(s)/subsection(s)</w:t>
            </w:r>
          </w:p>
        </w:tc>
      </w:tr>
      <w:tr w:rsidR="00886021" w:rsidRPr="00164D8F" w14:paraId="121EF747" w14:textId="77777777" w:rsidTr="00A871B7">
        <w:tc>
          <w:tcPr>
            <w:tcW w:w="2679" w:type="pct"/>
            <w:shd w:val="clear" w:color="auto" w:fill="auto"/>
          </w:tcPr>
          <w:p w14:paraId="6BC9001F" w14:textId="77777777" w:rsidR="00886021" w:rsidRPr="00C67852" w:rsidRDefault="00886021" w:rsidP="00A871B7">
            <w:pPr>
              <w:pStyle w:val="LI-Tabletext"/>
            </w:pPr>
            <w:proofErr w:type="spellStart"/>
            <w:r w:rsidRPr="00C67852">
              <w:t>gaz</w:t>
            </w:r>
            <w:proofErr w:type="spellEnd"/>
            <w:r w:rsidRPr="00C67852">
              <w:t xml:space="preserve"> = gazette</w:t>
            </w:r>
          </w:p>
        </w:tc>
        <w:tc>
          <w:tcPr>
            <w:tcW w:w="2321" w:type="pct"/>
            <w:shd w:val="clear" w:color="auto" w:fill="auto"/>
          </w:tcPr>
          <w:p w14:paraId="19169356" w14:textId="77777777" w:rsidR="00886021" w:rsidRPr="00C67852" w:rsidRDefault="00886021" w:rsidP="00A871B7">
            <w:pPr>
              <w:pStyle w:val="LI-Tabletext"/>
            </w:pPr>
            <w:r w:rsidRPr="00C67852">
              <w:t>Sch = Schedule(s)</w:t>
            </w:r>
          </w:p>
        </w:tc>
      </w:tr>
      <w:tr w:rsidR="00886021" w:rsidRPr="00164D8F" w14:paraId="0A04FEC2" w14:textId="77777777" w:rsidTr="00A871B7">
        <w:tc>
          <w:tcPr>
            <w:tcW w:w="2679" w:type="pct"/>
            <w:shd w:val="clear" w:color="auto" w:fill="auto"/>
          </w:tcPr>
          <w:p w14:paraId="490118A3" w14:textId="77777777" w:rsidR="00886021" w:rsidRPr="00C67852" w:rsidRDefault="00886021" w:rsidP="00A871B7">
            <w:pPr>
              <w:pStyle w:val="LI-Tabletext"/>
            </w:pPr>
            <w:r w:rsidRPr="00C67852">
              <w:t xml:space="preserve">LA = </w:t>
            </w:r>
            <w:r w:rsidRPr="00336D47">
              <w:t>Legislation Act 2003</w:t>
            </w:r>
          </w:p>
        </w:tc>
        <w:tc>
          <w:tcPr>
            <w:tcW w:w="2321" w:type="pct"/>
            <w:shd w:val="clear" w:color="auto" w:fill="auto"/>
          </w:tcPr>
          <w:p w14:paraId="4A1B07BF" w14:textId="77777777" w:rsidR="00886021" w:rsidRPr="00C67852" w:rsidRDefault="00886021" w:rsidP="00A871B7">
            <w:pPr>
              <w:pStyle w:val="LI-Tabletext"/>
            </w:pPr>
            <w:proofErr w:type="spellStart"/>
            <w:r w:rsidRPr="00C67852">
              <w:t>Sdiv</w:t>
            </w:r>
            <w:proofErr w:type="spellEnd"/>
            <w:r w:rsidRPr="00C67852">
              <w:t xml:space="preserve"> = Subdivision(s)</w:t>
            </w:r>
          </w:p>
        </w:tc>
      </w:tr>
      <w:tr w:rsidR="00886021" w:rsidRPr="00164D8F" w14:paraId="369EC1EF" w14:textId="77777777" w:rsidTr="00A871B7">
        <w:tc>
          <w:tcPr>
            <w:tcW w:w="2679" w:type="pct"/>
            <w:shd w:val="clear" w:color="auto" w:fill="auto"/>
          </w:tcPr>
          <w:p w14:paraId="7CAE202E" w14:textId="77777777" w:rsidR="00886021" w:rsidRPr="00C67852" w:rsidRDefault="00886021" w:rsidP="00A871B7">
            <w:pPr>
              <w:pStyle w:val="LI-Tabletext"/>
            </w:pPr>
            <w:r w:rsidRPr="00C67852">
              <w:t xml:space="preserve">LIA = </w:t>
            </w:r>
            <w:r w:rsidRPr="00336D47">
              <w:t>Legislative Instruments Act 2003</w:t>
            </w:r>
          </w:p>
        </w:tc>
        <w:tc>
          <w:tcPr>
            <w:tcW w:w="2321" w:type="pct"/>
            <w:shd w:val="clear" w:color="auto" w:fill="auto"/>
          </w:tcPr>
          <w:p w14:paraId="3F157E65" w14:textId="77777777" w:rsidR="00886021" w:rsidRPr="00C67852" w:rsidRDefault="00886021" w:rsidP="00A871B7">
            <w:pPr>
              <w:pStyle w:val="LI-Tabletext"/>
            </w:pPr>
            <w:r w:rsidRPr="00C67852">
              <w:t>SLI = Select Legislative Instrument</w:t>
            </w:r>
          </w:p>
        </w:tc>
      </w:tr>
      <w:tr w:rsidR="00886021" w:rsidRPr="00164D8F" w14:paraId="0AF6C6A3" w14:textId="77777777" w:rsidTr="00A871B7">
        <w:tc>
          <w:tcPr>
            <w:tcW w:w="2679" w:type="pct"/>
            <w:shd w:val="clear" w:color="auto" w:fill="auto"/>
          </w:tcPr>
          <w:p w14:paraId="0382AE1E" w14:textId="77777777" w:rsidR="00886021" w:rsidRPr="00C67852" w:rsidRDefault="00886021" w:rsidP="00A871B7">
            <w:pPr>
              <w:pStyle w:val="LI-Tabletext"/>
            </w:pPr>
            <w:r w:rsidRPr="00C67852">
              <w:t>(md not incorp) = misdescribed amendment</w:t>
            </w:r>
          </w:p>
        </w:tc>
        <w:tc>
          <w:tcPr>
            <w:tcW w:w="2321" w:type="pct"/>
            <w:shd w:val="clear" w:color="auto" w:fill="auto"/>
          </w:tcPr>
          <w:p w14:paraId="475E6288" w14:textId="77777777" w:rsidR="00886021" w:rsidRPr="00C67852" w:rsidRDefault="00886021" w:rsidP="00A871B7">
            <w:pPr>
              <w:pStyle w:val="LI-Tabletext"/>
            </w:pPr>
            <w:r w:rsidRPr="00C67852">
              <w:t>SR = Statutory Rules</w:t>
            </w:r>
          </w:p>
        </w:tc>
      </w:tr>
      <w:tr w:rsidR="00886021" w:rsidRPr="00164D8F" w14:paraId="1764864B" w14:textId="77777777" w:rsidTr="00A871B7">
        <w:tc>
          <w:tcPr>
            <w:tcW w:w="2679" w:type="pct"/>
            <w:shd w:val="clear" w:color="auto" w:fill="auto"/>
          </w:tcPr>
          <w:p w14:paraId="382F1CC7" w14:textId="77777777" w:rsidR="00886021" w:rsidRPr="00C67852" w:rsidRDefault="00886021" w:rsidP="00A871B7">
            <w:pPr>
              <w:pStyle w:val="LI-Tabletext"/>
            </w:pPr>
            <w:r w:rsidRPr="00C67852">
              <w:t>cannot be given effect</w:t>
            </w:r>
          </w:p>
        </w:tc>
        <w:tc>
          <w:tcPr>
            <w:tcW w:w="2321" w:type="pct"/>
            <w:shd w:val="clear" w:color="auto" w:fill="auto"/>
          </w:tcPr>
          <w:p w14:paraId="026FD5AA" w14:textId="77777777" w:rsidR="00886021" w:rsidRPr="00C67852" w:rsidRDefault="00886021" w:rsidP="00A871B7">
            <w:pPr>
              <w:pStyle w:val="LI-Tabletext"/>
            </w:pPr>
            <w:r w:rsidRPr="00C67852">
              <w:t>Sub</w:t>
            </w:r>
            <w:r w:rsidRPr="00C67852">
              <w:noBreakHyphen/>
              <w:t>Ch = Sub</w:t>
            </w:r>
            <w:r w:rsidRPr="00C67852">
              <w:noBreakHyphen/>
              <w:t>Chapter(s)</w:t>
            </w:r>
          </w:p>
        </w:tc>
      </w:tr>
      <w:tr w:rsidR="00886021" w:rsidRPr="00164D8F" w14:paraId="0B902594" w14:textId="77777777" w:rsidTr="00A871B7">
        <w:tc>
          <w:tcPr>
            <w:tcW w:w="2679" w:type="pct"/>
            <w:shd w:val="clear" w:color="auto" w:fill="auto"/>
          </w:tcPr>
          <w:p w14:paraId="0680B32F" w14:textId="77777777" w:rsidR="00886021" w:rsidRPr="00C67852" w:rsidRDefault="00886021" w:rsidP="00A871B7">
            <w:pPr>
              <w:pStyle w:val="LI-Tabletext"/>
            </w:pPr>
            <w:r w:rsidRPr="00C67852">
              <w:t>mod = modified/modification</w:t>
            </w:r>
          </w:p>
        </w:tc>
        <w:tc>
          <w:tcPr>
            <w:tcW w:w="2321" w:type="pct"/>
            <w:shd w:val="clear" w:color="auto" w:fill="auto"/>
          </w:tcPr>
          <w:p w14:paraId="1266C494" w14:textId="77777777" w:rsidR="00886021" w:rsidRPr="00C67852" w:rsidRDefault="00886021" w:rsidP="00A871B7">
            <w:pPr>
              <w:pStyle w:val="LI-Tabletext"/>
            </w:pPr>
            <w:proofErr w:type="spellStart"/>
            <w:r w:rsidRPr="00C67852">
              <w:t>SubPt</w:t>
            </w:r>
            <w:proofErr w:type="spellEnd"/>
            <w:r w:rsidRPr="00C67852">
              <w:t xml:space="preserve"> = Subpart(s)</w:t>
            </w:r>
          </w:p>
        </w:tc>
      </w:tr>
      <w:tr w:rsidR="00886021" w:rsidRPr="00164D8F" w14:paraId="59AC6203" w14:textId="77777777" w:rsidTr="00A871B7">
        <w:tc>
          <w:tcPr>
            <w:tcW w:w="2679" w:type="pct"/>
            <w:shd w:val="clear" w:color="auto" w:fill="auto"/>
          </w:tcPr>
          <w:p w14:paraId="33FE6101" w14:textId="77777777" w:rsidR="00886021" w:rsidRPr="00C67852" w:rsidRDefault="00886021" w:rsidP="00A871B7">
            <w:pPr>
              <w:pStyle w:val="LI-Tabletext"/>
            </w:pPr>
            <w:r w:rsidRPr="00C67852">
              <w:t>No. = Number(s)</w:t>
            </w:r>
          </w:p>
        </w:tc>
        <w:tc>
          <w:tcPr>
            <w:tcW w:w="2321" w:type="pct"/>
            <w:shd w:val="clear" w:color="auto" w:fill="auto"/>
          </w:tcPr>
          <w:p w14:paraId="40DC2CB8" w14:textId="77777777" w:rsidR="00886021" w:rsidRPr="00C67852" w:rsidRDefault="00886021" w:rsidP="00A871B7">
            <w:pPr>
              <w:pStyle w:val="LI-Tabletext"/>
            </w:pPr>
            <w:r w:rsidRPr="00C67852">
              <w:t>underlining = whole or part not</w:t>
            </w:r>
          </w:p>
        </w:tc>
      </w:tr>
      <w:tr w:rsidR="00886021" w:rsidRPr="00164D8F" w14:paraId="1F091CF9" w14:textId="77777777" w:rsidTr="00A871B7">
        <w:tc>
          <w:tcPr>
            <w:tcW w:w="2679" w:type="pct"/>
            <w:shd w:val="clear" w:color="auto" w:fill="auto"/>
          </w:tcPr>
          <w:p w14:paraId="4538FEC2" w14:textId="77777777" w:rsidR="00886021" w:rsidRPr="00C67852" w:rsidRDefault="00886021" w:rsidP="00A871B7">
            <w:pPr>
              <w:pStyle w:val="LI-Tabletext"/>
            </w:pPr>
            <w:r w:rsidRPr="00C67852">
              <w:t>o = order(s)</w:t>
            </w:r>
          </w:p>
        </w:tc>
        <w:tc>
          <w:tcPr>
            <w:tcW w:w="2321" w:type="pct"/>
            <w:shd w:val="clear" w:color="auto" w:fill="auto"/>
          </w:tcPr>
          <w:p w14:paraId="36922102" w14:textId="77777777" w:rsidR="00886021" w:rsidRPr="00C67852" w:rsidRDefault="00886021" w:rsidP="00A871B7">
            <w:pPr>
              <w:pStyle w:val="LI-Tabletext"/>
            </w:pPr>
            <w:r w:rsidRPr="00C67852">
              <w:t>commenced or to be commenced</w:t>
            </w:r>
          </w:p>
        </w:tc>
      </w:tr>
      <w:tr w:rsidR="00886021" w:rsidRPr="00164D8F" w14:paraId="0F6BA398" w14:textId="77777777" w:rsidTr="00A871B7">
        <w:tc>
          <w:tcPr>
            <w:tcW w:w="2679" w:type="pct"/>
            <w:shd w:val="clear" w:color="auto" w:fill="auto"/>
          </w:tcPr>
          <w:p w14:paraId="3BA94EBB" w14:textId="77777777" w:rsidR="00886021" w:rsidRPr="00C67852" w:rsidRDefault="00886021" w:rsidP="00A871B7">
            <w:pPr>
              <w:pStyle w:val="LI-Tabletext"/>
            </w:pPr>
            <w:r w:rsidRPr="00C67852">
              <w:t>Ord = Ordinance</w:t>
            </w:r>
          </w:p>
        </w:tc>
        <w:tc>
          <w:tcPr>
            <w:tcW w:w="2321" w:type="pct"/>
            <w:shd w:val="clear" w:color="auto" w:fill="auto"/>
          </w:tcPr>
          <w:p w14:paraId="693E2057" w14:textId="77777777" w:rsidR="00886021" w:rsidRPr="00C67852" w:rsidRDefault="00886021" w:rsidP="00A871B7">
            <w:pPr>
              <w:pStyle w:val="LI-Tabletext"/>
            </w:pPr>
          </w:p>
        </w:tc>
      </w:tr>
    </w:tbl>
    <w:p w14:paraId="2CC37716" w14:textId="16966EFF" w:rsidR="00886021" w:rsidRDefault="00886021" w:rsidP="00BA4BE9">
      <w:pPr>
        <w:pStyle w:val="LI-BodyTextNumbered"/>
        <w:ind w:left="567" w:firstLine="0"/>
      </w:pPr>
    </w:p>
    <w:p w14:paraId="242CEBCE" w14:textId="77777777" w:rsidR="00886021" w:rsidRDefault="00886021">
      <w:pPr>
        <w:spacing w:line="240" w:lineRule="auto"/>
        <w:rPr>
          <w:rFonts w:eastAsia="Times New Roman"/>
          <w:sz w:val="24"/>
          <w:szCs w:val="24"/>
          <w:lang w:eastAsia="en-AU"/>
        </w:rPr>
      </w:pPr>
      <w:r>
        <w:br w:type="page"/>
      </w:r>
    </w:p>
    <w:p w14:paraId="557A1482" w14:textId="77777777" w:rsidR="009B5967" w:rsidRPr="00EF0259" w:rsidRDefault="009B5967" w:rsidP="009B5967">
      <w:pPr>
        <w:pStyle w:val="LI-Heading2"/>
        <w:pageBreakBefore/>
        <w:spacing w:after="480"/>
      </w:pPr>
      <w:bookmarkStart w:id="17" w:name="_Toc148601162"/>
      <w:bookmarkStart w:id="18" w:name="_Toc182823319"/>
      <w:r w:rsidRPr="00EF0259">
        <w:lastRenderedPageBreak/>
        <w:t>Endnote 3—Legislation history</w:t>
      </w:r>
      <w:bookmarkEnd w:id="17"/>
      <w:bookmarkEnd w:id="18"/>
    </w:p>
    <w:tbl>
      <w:tblPr>
        <w:tblW w:w="830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82"/>
        <w:gridCol w:w="1275"/>
        <w:gridCol w:w="1560"/>
        <w:gridCol w:w="1191"/>
      </w:tblGrid>
      <w:tr w:rsidR="00E87752" w:rsidRPr="00884601" w14:paraId="72D023FE" w14:textId="77777777" w:rsidTr="00EF0259">
        <w:trPr>
          <w:cantSplit/>
          <w:tblHeader/>
        </w:trPr>
        <w:tc>
          <w:tcPr>
            <w:tcW w:w="4282" w:type="dxa"/>
            <w:tcBorders>
              <w:top w:val="single" w:sz="12" w:space="0" w:color="auto"/>
              <w:bottom w:val="single" w:sz="12" w:space="0" w:color="auto"/>
            </w:tcBorders>
            <w:shd w:val="clear" w:color="auto" w:fill="auto"/>
          </w:tcPr>
          <w:p w14:paraId="4EE463F1" w14:textId="77777777" w:rsidR="00C406E5" w:rsidRPr="00884601" w:rsidRDefault="00C406E5" w:rsidP="00524F03">
            <w:pPr>
              <w:pStyle w:val="ENoteTableHeading"/>
              <w:rPr>
                <w:rFonts w:ascii="Times New Roman" w:hAnsi="Times New Roman"/>
                <w:sz w:val="18"/>
                <w:szCs w:val="18"/>
              </w:rPr>
            </w:pPr>
            <w:r w:rsidRPr="00884601">
              <w:rPr>
                <w:rFonts w:ascii="Times New Roman" w:hAnsi="Times New Roman"/>
                <w:sz w:val="18"/>
                <w:szCs w:val="18"/>
              </w:rPr>
              <w:t>Name</w:t>
            </w:r>
          </w:p>
        </w:tc>
        <w:tc>
          <w:tcPr>
            <w:tcW w:w="1275" w:type="dxa"/>
            <w:tcBorders>
              <w:top w:val="single" w:sz="12" w:space="0" w:color="auto"/>
              <w:bottom w:val="single" w:sz="12" w:space="0" w:color="auto"/>
            </w:tcBorders>
            <w:shd w:val="clear" w:color="auto" w:fill="auto"/>
          </w:tcPr>
          <w:p w14:paraId="2ADAFA61" w14:textId="77777777" w:rsidR="00C406E5" w:rsidRPr="00884601" w:rsidRDefault="00C406E5" w:rsidP="00524F03">
            <w:pPr>
              <w:pStyle w:val="ENoteTableHeading"/>
              <w:rPr>
                <w:rFonts w:ascii="Times New Roman" w:hAnsi="Times New Roman"/>
                <w:sz w:val="18"/>
                <w:szCs w:val="18"/>
              </w:rPr>
            </w:pPr>
            <w:r w:rsidRPr="00884601">
              <w:rPr>
                <w:rFonts w:ascii="Times New Roman" w:hAnsi="Times New Roman"/>
                <w:sz w:val="18"/>
                <w:szCs w:val="18"/>
              </w:rPr>
              <w:t>Registration</w:t>
            </w:r>
          </w:p>
        </w:tc>
        <w:tc>
          <w:tcPr>
            <w:tcW w:w="1560" w:type="dxa"/>
            <w:tcBorders>
              <w:top w:val="single" w:sz="12" w:space="0" w:color="auto"/>
              <w:bottom w:val="single" w:sz="12" w:space="0" w:color="auto"/>
            </w:tcBorders>
            <w:shd w:val="clear" w:color="auto" w:fill="auto"/>
          </w:tcPr>
          <w:p w14:paraId="2DC42F4F" w14:textId="77777777" w:rsidR="00C406E5" w:rsidRPr="00884601" w:rsidRDefault="00C406E5" w:rsidP="00524F03">
            <w:pPr>
              <w:pStyle w:val="ENoteTableHeading"/>
              <w:rPr>
                <w:rFonts w:ascii="Times New Roman" w:hAnsi="Times New Roman"/>
                <w:sz w:val="18"/>
                <w:szCs w:val="18"/>
              </w:rPr>
            </w:pPr>
            <w:r w:rsidRPr="00884601">
              <w:rPr>
                <w:rFonts w:ascii="Times New Roman" w:hAnsi="Times New Roman"/>
                <w:sz w:val="18"/>
                <w:szCs w:val="18"/>
              </w:rPr>
              <w:t>Commencement</w:t>
            </w:r>
          </w:p>
        </w:tc>
        <w:tc>
          <w:tcPr>
            <w:tcW w:w="1191" w:type="dxa"/>
            <w:tcBorders>
              <w:top w:val="single" w:sz="12" w:space="0" w:color="auto"/>
              <w:bottom w:val="single" w:sz="12" w:space="0" w:color="auto"/>
            </w:tcBorders>
            <w:shd w:val="clear" w:color="auto" w:fill="auto"/>
          </w:tcPr>
          <w:p w14:paraId="5A57BBE5" w14:textId="77777777" w:rsidR="00C406E5" w:rsidRPr="00884601" w:rsidRDefault="00C406E5" w:rsidP="00524F03">
            <w:pPr>
              <w:pStyle w:val="ENoteTableHeading"/>
              <w:rPr>
                <w:rFonts w:ascii="Times New Roman" w:hAnsi="Times New Roman"/>
                <w:sz w:val="18"/>
                <w:szCs w:val="18"/>
              </w:rPr>
            </w:pPr>
            <w:r w:rsidRPr="00884601">
              <w:rPr>
                <w:rFonts w:ascii="Times New Roman" w:hAnsi="Times New Roman"/>
                <w:sz w:val="18"/>
                <w:szCs w:val="18"/>
              </w:rPr>
              <w:t>Application, saving and transitional provisions</w:t>
            </w:r>
          </w:p>
        </w:tc>
      </w:tr>
      <w:tr w:rsidR="005B7276" w:rsidRPr="00884601" w14:paraId="68238285" w14:textId="77777777" w:rsidTr="00EF0259">
        <w:trPr>
          <w:cantSplit/>
        </w:trPr>
        <w:tc>
          <w:tcPr>
            <w:tcW w:w="4282" w:type="dxa"/>
            <w:shd w:val="clear" w:color="auto" w:fill="auto"/>
          </w:tcPr>
          <w:p w14:paraId="57CB1322" w14:textId="02B78FFA" w:rsidR="005B7276" w:rsidRPr="00B2343D" w:rsidRDefault="005B7276" w:rsidP="00B2343D">
            <w:pPr>
              <w:pStyle w:val="LI-Tabletext"/>
              <w:rPr>
                <w:rFonts w:cs="Times New Roman"/>
                <w:i/>
                <w:iCs/>
              </w:rPr>
            </w:pPr>
            <w:r w:rsidRPr="00884601">
              <w:rPr>
                <w:rFonts w:cs="Times New Roman"/>
                <w:i/>
                <w:iCs/>
              </w:rPr>
              <w:t>ASIC Derivative Transaction Rules (Reporting) 2024 Amendment Instrument 2024/1</w:t>
            </w:r>
          </w:p>
        </w:tc>
        <w:tc>
          <w:tcPr>
            <w:tcW w:w="1275" w:type="dxa"/>
            <w:shd w:val="clear" w:color="auto" w:fill="auto"/>
          </w:tcPr>
          <w:p w14:paraId="4469FBF4" w14:textId="692C3EDD" w:rsidR="005B7276" w:rsidRPr="00884601" w:rsidRDefault="005B7276" w:rsidP="00B2343D">
            <w:pPr>
              <w:pStyle w:val="LI-Tabletext"/>
              <w:rPr>
                <w:rFonts w:cs="Times New Roman"/>
              </w:rPr>
            </w:pPr>
            <w:r w:rsidRPr="00884601">
              <w:rPr>
                <w:rFonts w:cs="Times New Roman"/>
              </w:rPr>
              <w:t>13/03/2024</w:t>
            </w:r>
            <w:r w:rsidRPr="00884601">
              <w:rPr>
                <w:rFonts w:cs="Times New Roman"/>
              </w:rPr>
              <w:br/>
              <w:t xml:space="preserve">(F2024L00298) </w:t>
            </w:r>
          </w:p>
        </w:tc>
        <w:tc>
          <w:tcPr>
            <w:tcW w:w="1560" w:type="dxa"/>
            <w:shd w:val="clear" w:color="auto" w:fill="auto"/>
          </w:tcPr>
          <w:p w14:paraId="30F3A0F9" w14:textId="77777777" w:rsidR="005B7276" w:rsidRPr="00884601" w:rsidRDefault="005B7276" w:rsidP="00524F03">
            <w:pPr>
              <w:pStyle w:val="LI-Tabletext"/>
              <w:rPr>
                <w:rFonts w:cs="Times New Roman"/>
              </w:rPr>
            </w:pPr>
            <w:r w:rsidRPr="00884601">
              <w:rPr>
                <w:rFonts w:cs="Times New Roman"/>
              </w:rPr>
              <w:t>21/10/2024</w:t>
            </w:r>
          </w:p>
          <w:p w14:paraId="2907A748" w14:textId="7E25CFB6" w:rsidR="005B7276" w:rsidRPr="00884601" w:rsidRDefault="005B7276" w:rsidP="00524F03">
            <w:pPr>
              <w:pStyle w:val="LI-Tabletext"/>
              <w:rPr>
                <w:rFonts w:cs="Times New Roman"/>
              </w:rPr>
            </w:pPr>
          </w:p>
        </w:tc>
        <w:tc>
          <w:tcPr>
            <w:tcW w:w="1191" w:type="dxa"/>
            <w:shd w:val="clear" w:color="auto" w:fill="auto"/>
          </w:tcPr>
          <w:p w14:paraId="25A93A04" w14:textId="77777777" w:rsidR="005B7276" w:rsidRPr="00884601" w:rsidRDefault="005B7276" w:rsidP="00524F03">
            <w:pPr>
              <w:pStyle w:val="LI-Tabletext"/>
              <w:rPr>
                <w:rFonts w:cs="Times New Roman"/>
              </w:rPr>
            </w:pPr>
          </w:p>
        </w:tc>
      </w:tr>
      <w:tr w:rsidR="009B5967" w:rsidRPr="00884601" w14:paraId="042CA3CA" w14:textId="77777777" w:rsidTr="00EF0259">
        <w:trPr>
          <w:cantSplit/>
        </w:trPr>
        <w:tc>
          <w:tcPr>
            <w:tcW w:w="4282" w:type="dxa"/>
            <w:tcBorders>
              <w:bottom w:val="single" w:sz="12" w:space="0" w:color="auto"/>
            </w:tcBorders>
            <w:shd w:val="clear" w:color="auto" w:fill="auto"/>
          </w:tcPr>
          <w:p w14:paraId="2C36F20C" w14:textId="18A1397E" w:rsidR="009B5967" w:rsidRPr="00884601" w:rsidRDefault="00CF6891" w:rsidP="00A871B7">
            <w:pPr>
              <w:pStyle w:val="LI-Tabletext"/>
              <w:rPr>
                <w:rFonts w:cs="Times New Roman"/>
              </w:rPr>
            </w:pPr>
            <w:r w:rsidRPr="00884601">
              <w:rPr>
                <w:rFonts w:cs="Times New Roman"/>
                <w:i/>
                <w:iCs/>
              </w:rPr>
              <w:t>ASIC Derivative Transaction Rules (Reporting and Clearing) Amendment Instrument 2024/416</w:t>
            </w:r>
          </w:p>
        </w:tc>
        <w:tc>
          <w:tcPr>
            <w:tcW w:w="1275" w:type="dxa"/>
            <w:tcBorders>
              <w:bottom w:val="single" w:sz="12" w:space="0" w:color="auto"/>
            </w:tcBorders>
            <w:shd w:val="clear" w:color="auto" w:fill="auto"/>
          </w:tcPr>
          <w:p w14:paraId="52F07838" w14:textId="1E1EE504" w:rsidR="009B5967" w:rsidRPr="00884601" w:rsidRDefault="003015CB" w:rsidP="00A871B7">
            <w:pPr>
              <w:pStyle w:val="LI-Tabletext"/>
              <w:rPr>
                <w:rFonts w:cs="Times New Roman"/>
              </w:rPr>
            </w:pPr>
            <w:r w:rsidRPr="00884601">
              <w:rPr>
                <w:rFonts w:cs="Times New Roman"/>
              </w:rPr>
              <w:t>21/08/2024</w:t>
            </w:r>
            <w:r w:rsidR="0002085F" w:rsidRPr="00884601">
              <w:rPr>
                <w:rFonts w:cs="Times New Roman"/>
              </w:rPr>
              <w:br/>
              <w:t>(F2024L01032)</w:t>
            </w:r>
          </w:p>
        </w:tc>
        <w:tc>
          <w:tcPr>
            <w:tcW w:w="1560" w:type="dxa"/>
            <w:tcBorders>
              <w:bottom w:val="single" w:sz="12" w:space="0" w:color="auto"/>
            </w:tcBorders>
            <w:shd w:val="clear" w:color="auto" w:fill="auto"/>
          </w:tcPr>
          <w:p w14:paraId="6E40EF95" w14:textId="1E713812" w:rsidR="009B5967" w:rsidRPr="00884601" w:rsidRDefault="003015CB" w:rsidP="00A871B7">
            <w:pPr>
              <w:pStyle w:val="LI-Tabletext"/>
              <w:rPr>
                <w:rFonts w:cs="Times New Roman"/>
              </w:rPr>
            </w:pPr>
            <w:r w:rsidRPr="00884601">
              <w:rPr>
                <w:rFonts w:cs="Times New Roman"/>
              </w:rPr>
              <w:t>Sch 1</w:t>
            </w:r>
            <w:r w:rsidR="00A8429C" w:rsidRPr="00884601">
              <w:rPr>
                <w:rFonts w:cs="Times New Roman"/>
              </w:rPr>
              <w:t>: 21/10/2024</w:t>
            </w:r>
          </w:p>
        </w:tc>
        <w:tc>
          <w:tcPr>
            <w:tcW w:w="1191" w:type="dxa"/>
            <w:tcBorders>
              <w:bottom w:val="single" w:sz="12" w:space="0" w:color="auto"/>
            </w:tcBorders>
            <w:shd w:val="clear" w:color="auto" w:fill="auto"/>
          </w:tcPr>
          <w:p w14:paraId="4C340EE7" w14:textId="77777777" w:rsidR="009B5967" w:rsidRPr="00884601" w:rsidRDefault="009B5967" w:rsidP="00A871B7">
            <w:pPr>
              <w:pStyle w:val="LI-Tabletext"/>
              <w:rPr>
                <w:rFonts w:cs="Times New Roman"/>
              </w:rPr>
            </w:pPr>
          </w:p>
        </w:tc>
      </w:tr>
    </w:tbl>
    <w:p w14:paraId="3F943720" w14:textId="77777777" w:rsidR="009B5967" w:rsidRPr="00EF0259" w:rsidRDefault="009B5967" w:rsidP="009B5967">
      <w:pPr>
        <w:pStyle w:val="Tabletext"/>
      </w:pPr>
    </w:p>
    <w:p w14:paraId="231FD0B5" w14:textId="26992441" w:rsidR="009B5967" w:rsidRDefault="009B5967">
      <w:pPr>
        <w:spacing w:line="240" w:lineRule="auto"/>
        <w:rPr>
          <w:rFonts w:eastAsia="Times New Roman"/>
          <w:sz w:val="24"/>
          <w:szCs w:val="24"/>
          <w:lang w:eastAsia="en-AU"/>
        </w:rPr>
      </w:pPr>
      <w:r>
        <w:br w:type="page"/>
      </w:r>
    </w:p>
    <w:p w14:paraId="4B16B72F" w14:textId="77777777" w:rsidR="00852363" w:rsidRPr="00611862" w:rsidRDefault="00852363" w:rsidP="00852363">
      <w:pPr>
        <w:pStyle w:val="LI-Heading2"/>
        <w:pageBreakBefore/>
        <w:spacing w:after="480"/>
      </w:pPr>
      <w:bookmarkStart w:id="19" w:name="_Toc148601163"/>
      <w:bookmarkStart w:id="20" w:name="_Toc182823320"/>
      <w:r w:rsidRPr="00611862">
        <w:lastRenderedPageBreak/>
        <w:t>Endnote 4—Amendment history</w:t>
      </w:r>
      <w:bookmarkEnd w:id="19"/>
      <w:bookmarkEnd w:id="20"/>
    </w:p>
    <w:tbl>
      <w:tblPr>
        <w:tblW w:w="8359" w:type="dxa"/>
        <w:tblInd w:w="113" w:type="dxa"/>
        <w:tblLayout w:type="fixed"/>
        <w:tblLook w:val="0000" w:firstRow="0" w:lastRow="0" w:firstColumn="0" w:lastColumn="0" w:noHBand="0" w:noVBand="0"/>
      </w:tblPr>
      <w:tblGrid>
        <w:gridCol w:w="3856"/>
        <w:gridCol w:w="4503"/>
      </w:tblGrid>
      <w:tr w:rsidR="00852363" w:rsidRPr="0098546F" w14:paraId="1AAE0527" w14:textId="77777777" w:rsidTr="00C24AA9">
        <w:trPr>
          <w:cantSplit/>
          <w:tblHeader/>
        </w:trPr>
        <w:tc>
          <w:tcPr>
            <w:tcW w:w="3856" w:type="dxa"/>
            <w:tcBorders>
              <w:top w:val="single" w:sz="12" w:space="0" w:color="auto"/>
              <w:bottom w:val="single" w:sz="12" w:space="0" w:color="auto"/>
            </w:tcBorders>
            <w:shd w:val="clear" w:color="auto" w:fill="auto"/>
          </w:tcPr>
          <w:p w14:paraId="417E6456" w14:textId="77777777" w:rsidR="00852363" w:rsidRPr="00E117A3" w:rsidRDefault="00852363" w:rsidP="00A871B7">
            <w:pPr>
              <w:pStyle w:val="LI-Tableheadingrow"/>
            </w:pPr>
            <w:r w:rsidRPr="00E117A3">
              <w:t>Provision affected</w:t>
            </w:r>
          </w:p>
        </w:tc>
        <w:tc>
          <w:tcPr>
            <w:tcW w:w="4503" w:type="dxa"/>
            <w:tcBorders>
              <w:top w:val="single" w:sz="12" w:space="0" w:color="auto"/>
              <w:bottom w:val="single" w:sz="12" w:space="0" w:color="auto"/>
            </w:tcBorders>
            <w:shd w:val="clear" w:color="auto" w:fill="auto"/>
          </w:tcPr>
          <w:p w14:paraId="28DBFE0D" w14:textId="77777777" w:rsidR="00852363" w:rsidRPr="00E117A3" w:rsidRDefault="00852363" w:rsidP="00A871B7">
            <w:pPr>
              <w:pStyle w:val="LI-Tableheadingrow"/>
            </w:pPr>
            <w:r w:rsidRPr="00E117A3">
              <w:t>How affected</w:t>
            </w:r>
          </w:p>
        </w:tc>
      </w:tr>
      <w:tr w:rsidR="00852363" w:rsidRPr="00143B0F" w14:paraId="1868041F" w14:textId="77777777" w:rsidTr="00C24AA9">
        <w:trPr>
          <w:cantSplit/>
        </w:trPr>
        <w:tc>
          <w:tcPr>
            <w:tcW w:w="3856" w:type="dxa"/>
            <w:tcBorders>
              <w:top w:val="single" w:sz="12" w:space="0" w:color="auto"/>
              <w:bottom w:val="single" w:sz="4" w:space="0" w:color="auto"/>
            </w:tcBorders>
            <w:shd w:val="clear" w:color="auto" w:fill="auto"/>
          </w:tcPr>
          <w:p w14:paraId="21086723" w14:textId="38600872" w:rsidR="00852363" w:rsidRPr="00321116" w:rsidRDefault="00765DB8" w:rsidP="00B91E67">
            <w:pPr>
              <w:pStyle w:val="LI-Tabletext"/>
              <w:ind w:left="0"/>
              <w:rPr>
                <w:szCs w:val="18"/>
              </w:rPr>
            </w:pPr>
            <w:r>
              <w:rPr>
                <w:szCs w:val="18"/>
              </w:rPr>
              <w:t>Section 2</w:t>
            </w:r>
          </w:p>
        </w:tc>
        <w:tc>
          <w:tcPr>
            <w:tcW w:w="4503" w:type="dxa"/>
            <w:tcBorders>
              <w:top w:val="single" w:sz="12" w:space="0" w:color="auto"/>
              <w:bottom w:val="single" w:sz="4" w:space="0" w:color="auto"/>
            </w:tcBorders>
            <w:shd w:val="clear" w:color="auto" w:fill="auto"/>
          </w:tcPr>
          <w:p w14:paraId="5A696582" w14:textId="73B7FC12" w:rsidR="00852363" w:rsidRPr="00765DB8" w:rsidRDefault="00765DB8" w:rsidP="00A871B7">
            <w:pPr>
              <w:pStyle w:val="LI-Tabletext"/>
            </w:pPr>
            <w:r>
              <w:t>rep. s48D LA</w:t>
            </w:r>
          </w:p>
        </w:tc>
      </w:tr>
      <w:tr w:rsidR="00795941" w:rsidRPr="00765DB8" w14:paraId="6A4585F7" w14:textId="77777777" w:rsidTr="00284D09">
        <w:trPr>
          <w:cantSplit/>
          <w:trHeight w:val="193"/>
        </w:trPr>
        <w:tc>
          <w:tcPr>
            <w:tcW w:w="3856" w:type="dxa"/>
            <w:tcBorders>
              <w:top w:val="single" w:sz="4" w:space="0" w:color="auto"/>
              <w:bottom w:val="single" w:sz="4" w:space="0" w:color="auto"/>
            </w:tcBorders>
            <w:shd w:val="clear" w:color="auto" w:fill="auto"/>
          </w:tcPr>
          <w:p w14:paraId="1385C6EB" w14:textId="29E76D9B" w:rsidR="00795941" w:rsidRPr="00765DB8" w:rsidRDefault="00A2310B" w:rsidP="00A871B7">
            <w:pPr>
              <w:pStyle w:val="LI-Tabletext"/>
              <w:rPr>
                <w:i/>
                <w:iCs/>
              </w:rPr>
            </w:pPr>
            <w:r>
              <w:rPr>
                <w:color w:val="000000"/>
              </w:rPr>
              <w:t>Sch</w:t>
            </w:r>
            <w:r w:rsidR="00861B73">
              <w:rPr>
                <w:color w:val="000000"/>
              </w:rPr>
              <w:t xml:space="preserve"> </w:t>
            </w:r>
            <w:r w:rsidR="001E232F">
              <w:rPr>
                <w:color w:val="000000"/>
              </w:rPr>
              <w:t>1 i</w:t>
            </w:r>
            <w:r w:rsidR="00321116" w:rsidRPr="00765DB8">
              <w:rPr>
                <w:color w:val="000000"/>
              </w:rPr>
              <w:t xml:space="preserve">tem 12 </w:t>
            </w:r>
            <w:r w:rsidR="00C24AA9">
              <w:rPr>
                <w:color w:val="000000"/>
              </w:rPr>
              <w:t>(</w:t>
            </w:r>
            <w:r w:rsidR="001E232F">
              <w:rPr>
                <w:color w:val="000000"/>
              </w:rPr>
              <w:t>s</w:t>
            </w:r>
            <w:r w:rsidR="00321116" w:rsidRPr="00765DB8">
              <w:rPr>
                <w:color w:val="000000"/>
              </w:rPr>
              <w:t>ubrule 2.2.1(4) (heading)</w:t>
            </w:r>
            <w:r w:rsidR="00C24AA9">
              <w:rPr>
                <w:color w:val="000000"/>
              </w:rPr>
              <w:t>)</w:t>
            </w:r>
          </w:p>
        </w:tc>
        <w:tc>
          <w:tcPr>
            <w:tcW w:w="4503" w:type="dxa"/>
            <w:tcBorders>
              <w:top w:val="single" w:sz="4" w:space="0" w:color="auto"/>
              <w:bottom w:val="single" w:sz="4" w:space="0" w:color="auto"/>
            </w:tcBorders>
            <w:shd w:val="clear" w:color="auto" w:fill="auto"/>
          </w:tcPr>
          <w:p w14:paraId="0E2CDDCC" w14:textId="096459BD" w:rsidR="00795941" w:rsidRPr="00765DB8" w:rsidRDefault="00D3459C" w:rsidP="00A871B7">
            <w:pPr>
              <w:pStyle w:val="LI-Tabletext"/>
              <w:rPr>
                <w:i/>
                <w:iCs/>
              </w:rPr>
            </w:pPr>
            <w:r>
              <w:t xml:space="preserve">am. </w:t>
            </w:r>
            <w:r w:rsidR="001D251A">
              <w:t>F2024L01032</w:t>
            </w:r>
            <w:r w:rsidR="00861B73">
              <w:t>, Sch 1</w:t>
            </w:r>
            <w:r w:rsidR="001B36BF">
              <w:t>, item 1</w:t>
            </w:r>
          </w:p>
        </w:tc>
      </w:tr>
      <w:tr w:rsidR="00795941" w:rsidRPr="00296A98" w14:paraId="69DD5602" w14:textId="77777777" w:rsidTr="00284D09">
        <w:trPr>
          <w:cantSplit/>
          <w:trHeight w:val="193"/>
        </w:trPr>
        <w:tc>
          <w:tcPr>
            <w:tcW w:w="3856" w:type="dxa"/>
            <w:tcBorders>
              <w:top w:val="single" w:sz="4" w:space="0" w:color="auto"/>
              <w:bottom w:val="single" w:sz="4" w:space="0" w:color="auto"/>
            </w:tcBorders>
            <w:shd w:val="clear" w:color="auto" w:fill="auto"/>
          </w:tcPr>
          <w:p w14:paraId="1BBDC815" w14:textId="014D2C98" w:rsidR="00795941" w:rsidRPr="00296A98" w:rsidRDefault="00D57730" w:rsidP="00284D09">
            <w:pPr>
              <w:pStyle w:val="LI-Tabletext"/>
              <w:rPr>
                <w:color w:val="000000"/>
              </w:rPr>
            </w:pPr>
            <w:r>
              <w:rPr>
                <w:color w:val="000000"/>
              </w:rPr>
              <w:t>Sch</w:t>
            </w:r>
            <w:r w:rsidR="00861B73">
              <w:rPr>
                <w:color w:val="000000"/>
              </w:rPr>
              <w:t xml:space="preserve"> </w:t>
            </w:r>
            <w:r>
              <w:rPr>
                <w:color w:val="000000"/>
              </w:rPr>
              <w:t>1 i</w:t>
            </w:r>
            <w:r w:rsidRPr="00765DB8">
              <w:rPr>
                <w:color w:val="000000"/>
              </w:rPr>
              <w:t>tem 12</w:t>
            </w:r>
            <w:r w:rsidR="00296A98">
              <w:rPr>
                <w:color w:val="000000"/>
              </w:rPr>
              <w:t xml:space="preserve"> (s</w:t>
            </w:r>
            <w:r w:rsidR="00296A98" w:rsidRPr="00296A98">
              <w:rPr>
                <w:color w:val="000000"/>
              </w:rPr>
              <w:t>ubrule 2.2.1(4)</w:t>
            </w:r>
            <w:r w:rsidR="00296A98">
              <w:rPr>
                <w:color w:val="000000"/>
              </w:rPr>
              <w:t>)</w:t>
            </w:r>
          </w:p>
        </w:tc>
        <w:tc>
          <w:tcPr>
            <w:tcW w:w="4503" w:type="dxa"/>
            <w:tcBorders>
              <w:top w:val="single" w:sz="4" w:space="0" w:color="auto"/>
              <w:bottom w:val="single" w:sz="4" w:space="0" w:color="auto"/>
            </w:tcBorders>
            <w:shd w:val="clear" w:color="auto" w:fill="auto"/>
          </w:tcPr>
          <w:p w14:paraId="5AB1963C" w14:textId="3AC5CC71" w:rsidR="00795941" w:rsidRPr="00296A98" w:rsidRDefault="001B36BF" w:rsidP="00A871B7">
            <w:pPr>
              <w:pStyle w:val="LI-Tabletext"/>
              <w:rPr>
                <w:color w:val="000000"/>
              </w:rPr>
            </w:pPr>
            <w:r>
              <w:t>am. F2024L01032, Sch 1, item 2</w:t>
            </w:r>
          </w:p>
        </w:tc>
      </w:tr>
      <w:tr w:rsidR="00852363" w14:paraId="222FBFAC" w14:textId="77777777" w:rsidTr="00C24AA9">
        <w:trPr>
          <w:cantSplit/>
        </w:trPr>
        <w:tc>
          <w:tcPr>
            <w:tcW w:w="3856" w:type="dxa"/>
            <w:tcBorders>
              <w:bottom w:val="single" w:sz="12" w:space="0" w:color="auto"/>
            </w:tcBorders>
            <w:shd w:val="clear" w:color="auto" w:fill="auto"/>
          </w:tcPr>
          <w:p w14:paraId="1DFC3A23" w14:textId="7B5B7C69" w:rsidR="00852363" w:rsidRPr="00E117A3" w:rsidRDefault="00284D09" w:rsidP="00A871B7">
            <w:pPr>
              <w:pStyle w:val="LI-Tabletext"/>
            </w:pPr>
            <w:r>
              <w:t>Sch</w:t>
            </w:r>
            <w:r w:rsidR="00861B73">
              <w:t xml:space="preserve"> 1</w:t>
            </w:r>
            <w:r>
              <w:t xml:space="preserve"> item 15 (paragraph 2.2.4(2)(b))</w:t>
            </w:r>
          </w:p>
        </w:tc>
        <w:tc>
          <w:tcPr>
            <w:tcW w:w="4503" w:type="dxa"/>
            <w:tcBorders>
              <w:bottom w:val="single" w:sz="12" w:space="0" w:color="auto"/>
            </w:tcBorders>
            <w:shd w:val="clear" w:color="auto" w:fill="auto"/>
          </w:tcPr>
          <w:p w14:paraId="704F02EA" w14:textId="1DE62947" w:rsidR="00852363" w:rsidRPr="00E117A3" w:rsidRDefault="002B3197" w:rsidP="00A871B7">
            <w:pPr>
              <w:pStyle w:val="LI-Tabletext"/>
            </w:pPr>
            <w:r>
              <w:t>rep</w:t>
            </w:r>
            <w:r w:rsidR="001B36BF">
              <w:t>. F2024L01032, Sch 1, item 3</w:t>
            </w:r>
          </w:p>
        </w:tc>
      </w:tr>
    </w:tbl>
    <w:p w14:paraId="1CD8FC48" w14:textId="77777777" w:rsidR="00852363" w:rsidRPr="00152412" w:rsidRDefault="00852363" w:rsidP="00852363"/>
    <w:p w14:paraId="5C108A55" w14:textId="77777777" w:rsidR="005558EA" w:rsidRPr="0068729D" w:rsidRDefault="005558EA" w:rsidP="00BA4BE9">
      <w:pPr>
        <w:pStyle w:val="LI-BodyTextNumbered"/>
        <w:ind w:left="567" w:firstLine="0"/>
      </w:pPr>
    </w:p>
    <w:sectPr w:rsidR="005558EA" w:rsidRPr="0068729D" w:rsidSect="007114E5">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539E" w14:textId="77777777" w:rsidR="00314A8D" w:rsidRDefault="00314A8D" w:rsidP="00715914">
      <w:pPr>
        <w:spacing w:line="240" w:lineRule="auto"/>
      </w:pPr>
      <w:r>
        <w:separator/>
      </w:r>
    </w:p>
  </w:endnote>
  <w:endnote w:type="continuationSeparator" w:id="0">
    <w:p w14:paraId="78E28814" w14:textId="77777777" w:rsidR="00314A8D" w:rsidRDefault="00314A8D" w:rsidP="00715914">
      <w:pPr>
        <w:spacing w:line="240" w:lineRule="auto"/>
      </w:pPr>
      <w:r>
        <w:continuationSeparator/>
      </w:r>
    </w:p>
  </w:endnote>
  <w:endnote w:type="continuationNotice" w:id="1">
    <w:p w14:paraId="6F5260D2" w14:textId="77777777" w:rsidR="00314A8D" w:rsidRDefault="00314A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66C331B-2A75-4D41-85BF-1512FF3973F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34C9BBCF"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stroked="f">
                    <v:stroke joinstyle="round"/>
                    <v:path arrowok="t"/>
                    <v:textbox>
                      <w:txbxContent>
                        <w:p w14:paraId="44783770" w14:textId="34C9BBCF"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BA5E852" w:rsidR="00102CA6" w:rsidRDefault="00102CA6" w:rsidP="007500C8">
    <w:pPr>
      <w:pStyle w:val="Footer"/>
    </w:pP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57EE22FA" w:rsidR="00102CA6" w:rsidRPr="00ED79B6" w:rsidRDefault="00737E98" w:rsidP="00737E98">
    <w:pPr>
      <w:pStyle w:val="Footer"/>
      <w:tabs>
        <w:tab w:val="clear" w:pos="4153"/>
        <w:tab w:val="clear" w:pos="8306"/>
        <w:tab w:val="center" w:pos="4150"/>
        <w:tab w:val="right" w:pos="8307"/>
      </w:tabs>
    </w:pPr>
    <w:r>
      <w:t>Prepared by the Australian Securities and Investments Commission (ASIC)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2910A598"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784135">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14AD" w14:textId="39F6BAE7" w:rsidR="008541B0" w:rsidRPr="00E33C1C" w:rsidRDefault="008541B0" w:rsidP="00FE0DD7">
    <w:pPr>
      <w:pStyle w:val="LI-Footer"/>
      <w:tabs>
        <w:tab w:val="clear" w:pos="8313"/>
        <w:tab w:val="right" w:pos="13750"/>
      </w:tabs>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A997" w14:textId="77777777" w:rsidR="00314A8D" w:rsidRDefault="00314A8D" w:rsidP="00715914">
      <w:pPr>
        <w:spacing w:line="240" w:lineRule="auto"/>
      </w:pPr>
      <w:r>
        <w:separator/>
      </w:r>
    </w:p>
  </w:footnote>
  <w:footnote w:type="continuationSeparator" w:id="0">
    <w:p w14:paraId="169AAEEB" w14:textId="77777777" w:rsidR="00314A8D" w:rsidRDefault="00314A8D" w:rsidP="00715914">
      <w:pPr>
        <w:spacing w:line="240" w:lineRule="auto"/>
      </w:pPr>
      <w:r>
        <w:continuationSeparator/>
      </w:r>
    </w:p>
  </w:footnote>
  <w:footnote w:type="continuationNotice" w:id="1">
    <w:p w14:paraId="5DC3C4C9" w14:textId="77777777" w:rsidR="00314A8D" w:rsidRDefault="00314A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718C01C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718C01C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379"/>
      <w:gridCol w:w="1934"/>
    </w:tblGrid>
    <w:tr w:rsidR="00F4215A" w:rsidRPr="00E40FF8" w14:paraId="475DAE45" w14:textId="77777777" w:rsidTr="0011587F">
      <w:tc>
        <w:tcPr>
          <w:tcW w:w="6379" w:type="dxa"/>
          <w:shd w:val="clear" w:color="auto" w:fill="auto"/>
        </w:tcPr>
        <w:p w14:paraId="2F221026" w14:textId="0F9E4F6D" w:rsidR="00F4215A" w:rsidRDefault="00B2799D" w:rsidP="00E40FF8">
          <w:pPr>
            <w:pStyle w:val="LI-Header"/>
            <w:pBdr>
              <w:bottom w:val="none" w:sz="0" w:space="0" w:color="auto"/>
            </w:pBdr>
            <w:jc w:val="left"/>
          </w:pPr>
          <w:r>
            <w:fldChar w:fldCharType="begin"/>
          </w:r>
          <w:r>
            <w:instrText>STYLEREF  "LI - Title"</w:instrText>
          </w:r>
          <w:r>
            <w:fldChar w:fldCharType="separate"/>
          </w:r>
          <w:r w:rsidR="00B2343D">
            <w:rPr>
              <w:noProof/>
            </w:rPr>
            <w:t>ASIC Derivative Transaction Rules (Reporting) 2024 Amendment Instrument 2024/1</w:t>
          </w:r>
          <w:r>
            <w:fldChar w:fldCharType="end"/>
          </w:r>
        </w:p>
      </w:tc>
      <w:tc>
        <w:tcPr>
          <w:tcW w:w="1934" w:type="dxa"/>
          <w:shd w:val="clear" w:color="auto" w:fill="auto"/>
        </w:tcPr>
        <w:p w14:paraId="48D25041" w14:textId="5729A6BD" w:rsidR="00F4215A" w:rsidRDefault="00B2799D" w:rsidP="00E40FF8">
          <w:pPr>
            <w:pStyle w:val="LI-Header"/>
            <w:pBdr>
              <w:bottom w:val="none" w:sz="0" w:space="0" w:color="auto"/>
            </w:pBdr>
          </w:pPr>
          <w:r>
            <w:fldChar w:fldCharType="begin"/>
          </w:r>
          <w:r>
            <w:instrText>STYLEREF  "LI - Heading 1"</w:instrText>
          </w:r>
          <w:r>
            <w:fldChar w:fldCharType="separate"/>
          </w:r>
          <w:r w:rsidR="00B2343D">
            <w:rPr>
              <w:noProof/>
            </w:rPr>
            <w:t>Schedule 1—Amendments</w:t>
          </w:r>
          <w:r>
            <w:fldChar w:fldCharType="end"/>
          </w:r>
        </w:p>
      </w:tc>
    </w:tr>
  </w:tbl>
  <w:p w14:paraId="6FF3730B" w14:textId="77777777" w:rsidR="0040053F" w:rsidRPr="00F4215A" w:rsidRDefault="0040053F" w:rsidP="00F421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7654"/>
    </w:tblGrid>
    <w:tr w:rsidR="005D7909" w:rsidRPr="00E40FF8" w14:paraId="182123F4" w14:textId="77777777" w:rsidTr="0011587F">
      <w:tc>
        <w:tcPr>
          <w:tcW w:w="6663" w:type="dxa"/>
          <w:shd w:val="clear" w:color="auto" w:fill="auto"/>
        </w:tcPr>
        <w:p w14:paraId="2D8320EE" w14:textId="796AF007" w:rsidR="005D7909" w:rsidRDefault="005D7909" w:rsidP="00E40FF8">
          <w:pPr>
            <w:pStyle w:val="LI-Header"/>
            <w:pBdr>
              <w:bottom w:val="none" w:sz="0" w:space="0" w:color="auto"/>
            </w:pBdr>
            <w:jc w:val="left"/>
          </w:pPr>
          <w:r>
            <w:fldChar w:fldCharType="begin"/>
          </w:r>
          <w:r>
            <w:instrText>STYLEREF  "LI - Title"</w:instrText>
          </w:r>
          <w:r>
            <w:fldChar w:fldCharType="separate"/>
          </w:r>
          <w:r w:rsidR="00B2343D">
            <w:rPr>
              <w:noProof/>
            </w:rPr>
            <w:t>ASIC Derivative Transaction Rules (Reporting) 2024 Amendment Instrument 2024/1</w:t>
          </w:r>
          <w:r>
            <w:fldChar w:fldCharType="end"/>
          </w:r>
        </w:p>
      </w:tc>
      <w:tc>
        <w:tcPr>
          <w:tcW w:w="7654" w:type="dxa"/>
          <w:shd w:val="clear" w:color="auto" w:fill="auto"/>
        </w:tcPr>
        <w:p w14:paraId="1A93188A" w14:textId="5B46B32C" w:rsidR="005D7909" w:rsidRDefault="005D7909" w:rsidP="00E40FF8">
          <w:pPr>
            <w:pStyle w:val="LI-Header"/>
            <w:pBdr>
              <w:bottom w:val="none" w:sz="0" w:space="0" w:color="auto"/>
            </w:pBdr>
          </w:pPr>
          <w:r>
            <w:fldChar w:fldCharType="begin"/>
          </w:r>
          <w:r>
            <w:instrText>STYLEREF  "LI - Heading 1"</w:instrText>
          </w:r>
          <w:r>
            <w:fldChar w:fldCharType="separate"/>
          </w:r>
          <w:r w:rsidR="00B2343D">
            <w:rPr>
              <w:noProof/>
            </w:rPr>
            <w:t>Schedule 2—Amendments</w:t>
          </w:r>
          <w:r>
            <w:fldChar w:fldCharType="end"/>
          </w:r>
        </w:p>
      </w:tc>
    </w:tr>
  </w:tbl>
  <w:p w14:paraId="4A6CF57F" w14:textId="77777777" w:rsidR="005D7909" w:rsidRPr="00F4215A" w:rsidRDefault="005D7909" w:rsidP="00F421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701"/>
    </w:tblGrid>
    <w:tr w:rsidR="004345D6" w:rsidRPr="00E40FF8" w14:paraId="7EFC7A5B" w14:textId="77777777" w:rsidTr="00A00104">
      <w:tc>
        <w:tcPr>
          <w:tcW w:w="6663" w:type="dxa"/>
          <w:shd w:val="clear" w:color="auto" w:fill="auto"/>
        </w:tcPr>
        <w:p w14:paraId="7373C423" w14:textId="16A580F8" w:rsidR="004345D6" w:rsidRDefault="004345D6" w:rsidP="00E40FF8">
          <w:pPr>
            <w:pStyle w:val="LI-Header"/>
            <w:pBdr>
              <w:bottom w:val="none" w:sz="0" w:space="0" w:color="auto"/>
            </w:pBdr>
            <w:jc w:val="left"/>
          </w:pPr>
          <w:r>
            <w:fldChar w:fldCharType="begin"/>
          </w:r>
          <w:r>
            <w:instrText>STYLEREF  "LI - Title"</w:instrText>
          </w:r>
          <w:r>
            <w:fldChar w:fldCharType="separate"/>
          </w:r>
          <w:r w:rsidR="00B2343D">
            <w:rPr>
              <w:noProof/>
            </w:rPr>
            <w:t>ASIC Derivative Transaction Rules (Reporting) 2024 Amendment Instrument 2024/1</w:t>
          </w:r>
          <w:r>
            <w:fldChar w:fldCharType="end"/>
          </w:r>
        </w:p>
      </w:tc>
      <w:tc>
        <w:tcPr>
          <w:tcW w:w="1701" w:type="dxa"/>
          <w:shd w:val="clear" w:color="auto" w:fill="auto"/>
        </w:tcPr>
        <w:p w14:paraId="3B386EB9" w14:textId="5E81AD8A" w:rsidR="004345D6" w:rsidRDefault="004345D6" w:rsidP="00E40FF8">
          <w:pPr>
            <w:pStyle w:val="LI-Header"/>
            <w:pBdr>
              <w:bottom w:val="none" w:sz="0" w:space="0" w:color="auto"/>
            </w:pBdr>
          </w:pPr>
          <w:r>
            <w:fldChar w:fldCharType="begin"/>
          </w:r>
          <w:r>
            <w:instrText>STYLEREF  "LI - Heading 1"</w:instrText>
          </w:r>
          <w:r>
            <w:fldChar w:fldCharType="separate"/>
          </w:r>
          <w:r w:rsidR="00B2343D">
            <w:rPr>
              <w:noProof/>
            </w:rPr>
            <w:t>Endnotes</w:t>
          </w:r>
          <w:r>
            <w:fldChar w:fldCharType="end"/>
          </w:r>
        </w:p>
      </w:tc>
    </w:tr>
  </w:tbl>
  <w:p w14:paraId="36EEFC61" w14:textId="77777777" w:rsidR="004345D6" w:rsidRPr="00F4215A" w:rsidRDefault="004345D6"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7E92F9E8" w:rsidR="00F4215A" w:rsidRDefault="00B2799D" w:rsidP="00E40FF8">
          <w:pPr>
            <w:pStyle w:val="LI-Header"/>
            <w:pBdr>
              <w:bottom w:val="none" w:sz="0" w:space="0" w:color="auto"/>
            </w:pBdr>
            <w:jc w:val="left"/>
          </w:pPr>
          <w:r>
            <w:fldChar w:fldCharType="begin"/>
          </w:r>
          <w:r>
            <w:instrText>STYLEREF  "LI - Title"</w:instrText>
          </w:r>
          <w:r>
            <w:fldChar w:fldCharType="separate"/>
          </w:r>
          <w:r w:rsidR="00B2343D">
            <w:rPr>
              <w:noProof/>
            </w:rPr>
            <w:t>ASIC Derivative Transaction Rules (Reporting) 2024 Amendment Instrument 2024/1</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F73856">
      <w:trPr>
        <w:trHeight w:val="142"/>
      </w:trPr>
      <w:tc>
        <w:tcPr>
          <w:tcW w:w="6804" w:type="dxa"/>
          <w:shd w:val="clear" w:color="auto" w:fill="auto"/>
        </w:tcPr>
        <w:p w14:paraId="13A1663C" w14:textId="7D5C38CB" w:rsidR="00F4215A" w:rsidRDefault="00B2799D" w:rsidP="00E40FF8">
          <w:pPr>
            <w:pStyle w:val="LI-Header"/>
            <w:pBdr>
              <w:bottom w:val="none" w:sz="0" w:space="0" w:color="auto"/>
            </w:pBdr>
            <w:jc w:val="left"/>
          </w:pPr>
          <w:r>
            <w:fldChar w:fldCharType="begin"/>
          </w:r>
          <w:r>
            <w:instrText>STYLEREF  "LI - Title"</w:instrText>
          </w:r>
          <w:r>
            <w:fldChar w:fldCharType="separate"/>
          </w:r>
          <w:r w:rsidR="00B2343D">
            <w:rPr>
              <w:noProof/>
            </w:rPr>
            <w:t>ASIC Derivative Transaction Rules (Reporting) 2024 Amendment Instrument 2024/1</w:t>
          </w:r>
          <w:r>
            <w:fldChar w:fldCharType="end"/>
          </w:r>
        </w:p>
      </w:tc>
      <w:tc>
        <w:tcPr>
          <w:tcW w:w="1509" w:type="dxa"/>
          <w:shd w:val="clear" w:color="auto" w:fill="auto"/>
        </w:tcPr>
        <w:p w14:paraId="31DBBB61" w14:textId="36397F58" w:rsidR="00F4215A" w:rsidRDefault="00B2799D" w:rsidP="00E40FF8">
          <w:pPr>
            <w:pStyle w:val="LI-Header"/>
            <w:pBdr>
              <w:bottom w:val="none" w:sz="0" w:space="0" w:color="auto"/>
            </w:pBdr>
          </w:pPr>
          <w:r>
            <w:fldChar w:fldCharType="begin"/>
          </w:r>
          <w:r>
            <w:instrText>STYLEREF  "LI - Heading 1"</w:instrText>
          </w:r>
          <w:r>
            <w:fldChar w:fldCharType="separate"/>
          </w:r>
          <w:r w:rsidR="00B2343D">
            <w:rPr>
              <w:noProof/>
            </w:rPr>
            <w:t>Part 1—Preliminary</w:t>
          </w:r>
          <w:r>
            <w:fldChar w:fldCharType="end"/>
          </w:r>
        </w:p>
      </w:tc>
    </w:tr>
  </w:tbl>
  <w:p w14:paraId="6480E685" w14:textId="77777777" w:rsidR="00D341C4" w:rsidRPr="00F4215A" w:rsidRDefault="00D341C4"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C79"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C04DB"/>
    <w:multiLevelType w:val="hybridMultilevel"/>
    <w:tmpl w:val="7236018C"/>
    <w:lvl w:ilvl="0" w:tplc="FFFFFFFF">
      <w:start w:val="1"/>
      <w:numFmt w:val="lowerRoman"/>
      <w:lvlText w:val="(%1)"/>
      <w:lvlJc w:val="left"/>
      <w:pPr>
        <w:ind w:left="2415" w:hanging="360"/>
      </w:pPr>
      <w:rPr>
        <w:rFonts w:hint="default"/>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11" w15:restartNumberingAfterBreak="0">
    <w:nsid w:val="055A0796"/>
    <w:multiLevelType w:val="hybridMultilevel"/>
    <w:tmpl w:val="0AD04306"/>
    <w:lvl w:ilvl="0" w:tplc="26306D9E">
      <w:start w:val="1"/>
      <w:numFmt w:val="lowerLetter"/>
      <w:lvlText w:val="(%1)"/>
      <w:lvlJc w:val="left"/>
      <w:pPr>
        <w:ind w:left="376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DD209C"/>
    <w:multiLevelType w:val="hybridMultilevel"/>
    <w:tmpl w:val="BEF09F2E"/>
    <w:lvl w:ilvl="0" w:tplc="FFFFFFFF">
      <w:start w:val="1"/>
      <w:numFmt w:val="lowerLetter"/>
      <w:lvlText w:val="(%1)"/>
      <w:lvlJc w:val="left"/>
      <w:pPr>
        <w:ind w:left="3628" w:hanging="360"/>
      </w:pPr>
      <w:rPr>
        <w:rFonts w:hint="default"/>
      </w:rPr>
    </w:lvl>
    <w:lvl w:ilvl="1" w:tplc="FFFFFFFF">
      <w:start w:val="1"/>
      <w:numFmt w:val="lowerLetter"/>
      <w:lvlText w:val="%2."/>
      <w:lvlJc w:val="left"/>
      <w:pPr>
        <w:ind w:left="4348" w:hanging="360"/>
      </w:pPr>
    </w:lvl>
    <w:lvl w:ilvl="2" w:tplc="FFFFFFFF" w:tentative="1">
      <w:start w:val="1"/>
      <w:numFmt w:val="lowerRoman"/>
      <w:lvlText w:val="%3."/>
      <w:lvlJc w:val="right"/>
      <w:pPr>
        <w:ind w:left="5068" w:hanging="180"/>
      </w:pPr>
    </w:lvl>
    <w:lvl w:ilvl="3" w:tplc="FFFFFFFF" w:tentative="1">
      <w:start w:val="1"/>
      <w:numFmt w:val="decimal"/>
      <w:lvlText w:val="%4."/>
      <w:lvlJc w:val="left"/>
      <w:pPr>
        <w:ind w:left="5788" w:hanging="360"/>
      </w:pPr>
    </w:lvl>
    <w:lvl w:ilvl="4" w:tplc="FFFFFFFF" w:tentative="1">
      <w:start w:val="1"/>
      <w:numFmt w:val="lowerLetter"/>
      <w:lvlText w:val="%5."/>
      <w:lvlJc w:val="left"/>
      <w:pPr>
        <w:ind w:left="6508" w:hanging="360"/>
      </w:pPr>
    </w:lvl>
    <w:lvl w:ilvl="5" w:tplc="FFFFFFFF" w:tentative="1">
      <w:start w:val="1"/>
      <w:numFmt w:val="lowerRoman"/>
      <w:lvlText w:val="%6."/>
      <w:lvlJc w:val="right"/>
      <w:pPr>
        <w:ind w:left="7228" w:hanging="180"/>
      </w:pPr>
    </w:lvl>
    <w:lvl w:ilvl="6" w:tplc="FFFFFFFF" w:tentative="1">
      <w:start w:val="1"/>
      <w:numFmt w:val="decimal"/>
      <w:lvlText w:val="%7."/>
      <w:lvlJc w:val="left"/>
      <w:pPr>
        <w:ind w:left="7948" w:hanging="360"/>
      </w:pPr>
    </w:lvl>
    <w:lvl w:ilvl="7" w:tplc="FFFFFFFF" w:tentative="1">
      <w:start w:val="1"/>
      <w:numFmt w:val="lowerLetter"/>
      <w:lvlText w:val="%8."/>
      <w:lvlJc w:val="left"/>
      <w:pPr>
        <w:ind w:left="8668" w:hanging="360"/>
      </w:pPr>
    </w:lvl>
    <w:lvl w:ilvl="8" w:tplc="FFFFFFFF" w:tentative="1">
      <w:start w:val="1"/>
      <w:numFmt w:val="lowerRoman"/>
      <w:lvlText w:val="%9."/>
      <w:lvlJc w:val="right"/>
      <w:pPr>
        <w:ind w:left="9388" w:hanging="180"/>
      </w:pPr>
    </w:lvl>
  </w:abstractNum>
  <w:abstractNum w:abstractNumId="16" w15:restartNumberingAfterBreak="0">
    <w:nsid w:val="11F048C9"/>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3C5999"/>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1046BF"/>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2E0D6641"/>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7E1AD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EF1577"/>
    <w:multiLevelType w:val="hybridMultilevel"/>
    <w:tmpl w:val="9204272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0CC1D43"/>
    <w:multiLevelType w:val="hybridMultilevel"/>
    <w:tmpl w:val="34A61F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0A45B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521C4D48"/>
    <w:multiLevelType w:val="hybridMultilevel"/>
    <w:tmpl w:val="04F0A5AC"/>
    <w:lvl w:ilvl="0" w:tplc="26306D9E">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8" w15:restartNumberingAfterBreak="0">
    <w:nsid w:val="552077B8"/>
    <w:multiLevelType w:val="hybridMultilevel"/>
    <w:tmpl w:val="1F32128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5D217374"/>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7D11F0"/>
    <w:multiLevelType w:val="hybridMultilevel"/>
    <w:tmpl w:val="FF949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312DB2"/>
    <w:multiLevelType w:val="hybridMultilevel"/>
    <w:tmpl w:val="856E65CE"/>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547" w:hanging="360"/>
      </w:pPr>
    </w:lvl>
    <w:lvl w:ilvl="2" w:tplc="0C09001B" w:tentative="1">
      <w:start w:val="1"/>
      <w:numFmt w:val="lowerRoman"/>
      <w:lvlText w:val="%3."/>
      <w:lvlJc w:val="right"/>
      <w:pPr>
        <w:ind w:left="173" w:hanging="180"/>
      </w:pPr>
    </w:lvl>
    <w:lvl w:ilvl="3" w:tplc="0C09000F" w:tentative="1">
      <w:start w:val="1"/>
      <w:numFmt w:val="decimal"/>
      <w:lvlText w:val="%4."/>
      <w:lvlJc w:val="left"/>
      <w:pPr>
        <w:ind w:left="893" w:hanging="360"/>
      </w:pPr>
    </w:lvl>
    <w:lvl w:ilvl="4" w:tplc="0C090019" w:tentative="1">
      <w:start w:val="1"/>
      <w:numFmt w:val="lowerLetter"/>
      <w:lvlText w:val="%5."/>
      <w:lvlJc w:val="left"/>
      <w:pPr>
        <w:ind w:left="1613" w:hanging="360"/>
      </w:pPr>
    </w:lvl>
    <w:lvl w:ilvl="5" w:tplc="0C09001B" w:tentative="1">
      <w:start w:val="1"/>
      <w:numFmt w:val="lowerRoman"/>
      <w:lvlText w:val="%6."/>
      <w:lvlJc w:val="right"/>
      <w:pPr>
        <w:ind w:left="2333" w:hanging="180"/>
      </w:pPr>
    </w:lvl>
    <w:lvl w:ilvl="6" w:tplc="0C09000F" w:tentative="1">
      <w:start w:val="1"/>
      <w:numFmt w:val="decimal"/>
      <w:lvlText w:val="%7."/>
      <w:lvlJc w:val="left"/>
      <w:pPr>
        <w:ind w:left="3053" w:hanging="360"/>
      </w:pPr>
    </w:lvl>
    <w:lvl w:ilvl="7" w:tplc="0C090019" w:tentative="1">
      <w:start w:val="1"/>
      <w:numFmt w:val="lowerLetter"/>
      <w:lvlText w:val="%8."/>
      <w:lvlJc w:val="left"/>
      <w:pPr>
        <w:ind w:left="3773" w:hanging="360"/>
      </w:pPr>
    </w:lvl>
    <w:lvl w:ilvl="8" w:tplc="0C09001B" w:tentative="1">
      <w:start w:val="1"/>
      <w:numFmt w:val="lowerRoman"/>
      <w:lvlText w:val="%9."/>
      <w:lvlJc w:val="right"/>
      <w:pPr>
        <w:ind w:left="4493" w:hanging="180"/>
      </w:pPr>
    </w:lvl>
  </w:abstractNum>
  <w:abstractNum w:abstractNumId="32" w15:restartNumberingAfterBreak="0">
    <w:nsid w:val="7A58449E"/>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DC44CE"/>
    <w:multiLevelType w:val="hybridMultilevel"/>
    <w:tmpl w:val="8D846220"/>
    <w:lvl w:ilvl="0" w:tplc="C4823932">
      <w:start w:val="1"/>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530C7C"/>
    <w:multiLevelType w:val="hybridMultilevel"/>
    <w:tmpl w:val="92042724"/>
    <w:lvl w:ilvl="0" w:tplc="C48239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20"/>
  </w:num>
  <w:num w:numId="12" w16cid:durableId="2089618277">
    <w:abstractNumId w:val="12"/>
  </w:num>
  <w:num w:numId="13" w16cid:durableId="1931813894">
    <w:abstractNumId w:val="14"/>
  </w:num>
  <w:num w:numId="14" w16cid:durableId="1954708386">
    <w:abstractNumId w:val="24"/>
  </w:num>
  <w:num w:numId="15" w16cid:durableId="2122021755">
    <w:abstractNumId w:val="13"/>
  </w:num>
  <w:num w:numId="16" w16cid:durableId="1001471143">
    <w:abstractNumId w:val="26"/>
  </w:num>
  <w:num w:numId="17" w16cid:durableId="1811284141">
    <w:abstractNumId w:val="26"/>
  </w:num>
  <w:num w:numId="18" w16cid:durableId="1367221031">
    <w:abstractNumId w:val="34"/>
  </w:num>
  <w:num w:numId="19" w16cid:durableId="1967083637">
    <w:abstractNumId w:val="27"/>
  </w:num>
  <w:num w:numId="20" w16cid:durableId="444424679">
    <w:abstractNumId w:val="33"/>
  </w:num>
  <w:num w:numId="21" w16cid:durableId="1722249574">
    <w:abstractNumId w:val="29"/>
  </w:num>
  <w:num w:numId="22" w16cid:durableId="1010521975">
    <w:abstractNumId w:val="16"/>
  </w:num>
  <w:num w:numId="23" w16cid:durableId="120803491">
    <w:abstractNumId w:val="15"/>
  </w:num>
  <w:num w:numId="24" w16cid:durableId="774907803">
    <w:abstractNumId w:val="19"/>
  </w:num>
  <w:num w:numId="25" w16cid:durableId="1226448233">
    <w:abstractNumId w:val="21"/>
  </w:num>
  <w:num w:numId="26" w16cid:durableId="998121410">
    <w:abstractNumId w:val="23"/>
  </w:num>
  <w:num w:numId="27" w16cid:durableId="809443979">
    <w:abstractNumId w:val="30"/>
  </w:num>
  <w:num w:numId="28" w16cid:durableId="254479418">
    <w:abstractNumId w:val="18"/>
  </w:num>
  <w:num w:numId="29" w16cid:durableId="1120143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913635">
    <w:abstractNumId w:val="32"/>
  </w:num>
  <w:num w:numId="31" w16cid:durableId="463081133">
    <w:abstractNumId w:val="17"/>
  </w:num>
  <w:num w:numId="32" w16cid:durableId="980382340">
    <w:abstractNumId w:val="31"/>
  </w:num>
  <w:num w:numId="33" w16cid:durableId="947156006">
    <w:abstractNumId w:val="22"/>
  </w:num>
  <w:num w:numId="34" w16cid:durableId="1852912972">
    <w:abstractNumId w:val="11"/>
  </w:num>
  <w:num w:numId="35" w16cid:durableId="1755396567">
    <w:abstractNumId w:val="10"/>
  </w:num>
  <w:num w:numId="36" w16cid:durableId="1832523181">
    <w:abstractNumId w:val="25"/>
  </w:num>
  <w:num w:numId="37" w16cid:durableId="7207163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TrueTypeFonts/>
  <w:saveSubsetFonts/>
  <w:hideSpellingErrors/>
  <w:hideGrammaticalErrors/>
  <w:proofState w:spelling="clean" w:grammar="clean"/>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381"/>
    <w:rsid w:val="00002717"/>
    <w:rsid w:val="00002994"/>
    <w:rsid w:val="00004470"/>
    <w:rsid w:val="0000533E"/>
    <w:rsid w:val="00005446"/>
    <w:rsid w:val="000079B7"/>
    <w:rsid w:val="00012F97"/>
    <w:rsid w:val="0001309C"/>
    <w:rsid w:val="00013691"/>
    <w:rsid w:val="000136AF"/>
    <w:rsid w:val="00013941"/>
    <w:rsid w:val="00013B8D"/>
    <w:rsid w:val="00014991"/>
    <w:rsid w:val="000158F2"/>
    <w:rsid w:val="0002085F"/>
    <w:rsid w:val="000210C4"/>
    <w:rsid w:val="00021DFC"/>
    <w:rsid w:val="00023D53"/>
    <w:rsid w:val="00026727"/>
    <w:rsid w:val="000307E9"/>
    <w:rsid w:val="00031344"/>
    <w:rsid w:val="00031802"/>
    <w:rsid w:val="00031C80"/>
    <w:rsid w:val="0004059B"/>
    <w:rsid w:val="0004281A"/>
    <w:rsid w:val="000437C1"/>
    <w:rsid w:val="00044222"/>
    <w:rsid w:val="00044596"/>
    <w:rsid w:val="0004660F"/>
    <w:rsid w:val="000474ED"/>
    <w:rsid w:val="00051C94"/>
    <w:rsid w:val="00052886"/>
    <w:rsid w:val="00052D9C"/>
    <w:rsid w:val="00052E6C"/>
    <w:rsid w:val="0005365D"/>
    <w:rsid w:val="00053940"/>
    <w:rsid w:val="00054419"/>
    <w:rsid w:val="00054428"/>
    <w:rsid w:val="00054C70"/>
    <w:rsid w:val="000614BF"/>
    <w:rsid w:val="0006202F"/>
    <w:rsid w:val="0006250C"/>
    <w:rsid w:val="000628B3"/>
    <w:rsid w:val="00064831"/>
    <w:rsid w:val="00064D47"/>
    <w:rsid w:val="00067F87"/>
    <w:rsid w:val="00070F3E"/>
    <w:rsid w:val="00071FFA"/>
    <w:rsid w:val="0007290C"/>
    <w:rsid w:val="00073440"/>
    <w:rsid w:val="00073C95"/>
    <w:rsid w:val="00074F8C"/>
    <w:rsid w:val="00081794"/>
    <w:rsid w:val="00082193"/>
    <w:rsid w:val="000834C6"/>
    <w:rsid w:val="00083D16"/>
    <w:rsid w:val="000840B6"/>
    <w:rsid w:val="00086068"/>
    <w:rsid w:val="00086954"/>
    <w:rsid w:val="000920E7"/>
    <w:rsid w:val="00093497"/>
    <w:rsid w:val="00093D70"/>
    <w:rsid w:val="00094279"/>
    <w:rsid w:val="000A0574"/>
    <w:rsid w:val="000A0D6F"/>
    <w:rsid w:val="000A142F"/>
    <w:rsid w:val="000A1655"/>
    <w:rsid w:val="000A251D"/>
    <w:rsid w:val="000A35EC"/>
    <w:rsid w:val="000A63FC"/>
    <w:rsid w:val="000A6C39"/>
    <w:rsid w:val="000B227A"/>
    <w:rsid w:val="000B4635"/>
    <w:rsid w:val="000B58FA"/>
    <w:rsid w:val="000C1967"/>
    <w:rsid w:val="000C4740"/>
    <w:rsid w:val="000C4ED8"/>
    <w:rsid w:val="000C55A0"/>
    <w:rsid w:val="000C7418"/>
    <w:rsid w:val="000C7A0E"/>
    <w:rsid w:val="000D05EF"/>
    <w:rsid w:val="000D23D7"/>
    <w:rsid w:val="000D25AF"/>
    <w:rsid w:val="000D40A4"/>
    <w:rsid w:val="000D413D"/>
    <w:rsid w:val="000D461D"/>
    <w:rsid w:val="000E0924"/>
    <w:rsid w:val="000E2261"/>
    <w:rsid w:val="000E299F"/>
    <w:rsid w:val="000E3581"/>
    <w:rsid w:val="000E3C2E"/>
    <w:rsid w:val="000E3EF6"/>
    <w:rsid w:val="000E474E"/>
    <w:rsid w:val="000E4969"/>
    <w:rsid w:val="000E5B6E"/>
    <w:rsid w:val="000E5CDA"/>
    <w:rsid w:val="000E654B"/>
    <w:rsid w:val="000E6E2F"/>
    <w:rsid w:val="000E79B2"/>
    <w:rsid w:val="000F0C7B"/>
    <w:rsid w:val="000F21C1"/>
    <w:rsid w:val="000F3B6C"/>
    <w:rsid w:val="000F6D72"/>
    <w:rsid w:val="0010005A"/>
    <w:rsid w:val="001001BC"/>
    <w:rsid w:val="00102307"/>
    <w:rsid w:val="001023A4"/>
    <w:rsid w:val="00102CA6"/>
    <w:rsid w:val="00103480"/>
    <w:rsid w:val="00103F8E"/>
    <w:rsid w:val="00105935"/>
    <w:rsid w:val="001073A4"/>
    <w:rsid w:val="0010745C"/>
    <w:rsid w:val="001142E4"/>
    <w:rsid w:val="0011487D"/>
    <w:rsid w:val="0011587F"/>
    <w:rsid w:val="0011620F"/>
    <w:rsid w:val="00117CD4"/>
    <w:rsid w:val="00117F41"/>
    <w:rsid w:val="00120985"/>
    <w:rsid w:val="00124867"/>
    <w:rsid w:val="00125A67"/>
    <w:rsid w:val="00131DC0"/>
    <w:rsid w:val="001324FC"/>
    <w:rsid w:val="00132B7B"/>
    <w:rsid w:val="00132CEB"/>
    <w:rsid w:val="00134611"/>
    <w:rsid w:val="00134EDD"/>
    <w:rsid w:val="00135958"/>
    <w:rsid w:val="0014036F"/>
    <w:rsid w:val="001408A9"/>
    <w:rsid w:val="00140F52"/>
    <w:rsid w:val="00141FE7"/>
    <w:rsid w:val="00142B62"/>
    <w:rsid w:val="00144082"/>
    <w:rsid w:val="001446FC"/>
    <w:rsid w:val="0014786E"/>
    <w:rsid w:val="001513AB"/>
    <w:rsid w:val="001561E6"/>
    <w:rsid w:val="0015716E"/>
    <w:rsid w:val="001574CC"/>
    <w:rsid w:val="00157B8B"/>
    <w:rsid w:val="00157D51"/>
    <w:rsid w:val="001609F6"/>
    <w:rsid w:val="00163B2C"/>
    <w:rsid w:val="00166C2F"/>
    <w:rsid w:val="001677FF"/>
    <w:rsid w:val="00170209"/>
    <w:rsid w:val="00170CE8"/>
    <w:rsid w:val="00171088"/>
    <w:rsid w:val="0017146F"/>
    <w:rsid w:val="00171A6E"/>
    <w:rsid w:val="001720D2"/>
    <w:rsid w:val="001755A8"/>
    <w:rsid w:val="00176552"/>
    <w:rsid w:val="00176D80"/>
    <w:rsid w:val="001809D7"/>
    <w:rsid w:val="00180A96"/>
    <w:rsid w:val="00180AA6"/>
    <w:rsid w:val="00180BD0"/>
    <w:rsid w:val="00180DB1"/>
    <w:rsid w:val="001850D6"/>
    <w:rsid w:val="00186907"/>
    <w:rsid w:val="001877D9"/>
    <w:rsid w:val="001928DE"/>
    <w:rsid w:val="001939E1"/>
    <w:rsid w:val="00194580"/>
    <w:rsid w:val="00194C3E"/>
    <w:rsid w:val="00195382"/>
    <w:rsid w:val="00195770"/>
    <w:rsid w:val="00195BD4"/>
    <w:rsid w:val="00195F8A"/>
    <w:rsid w:val="0019749C"/>
    <w:rsid w:val="00197E80"/>
    <w:rsid w:val="00197F45"/>
    <w:rsid w:val="001A1302"/>
    <w:rsid w:val="001A1F2E"/>
    <w:rsid w:val="001A2385"/>
    <w:rsid w:val="001A38D6"/>
    <w:rsid w:val="001A4E8B"/>
    <w:rsid w:val="001A5AA7"/>
    <w:rsid w:val="001A6421"/>
    <w:rsid w:val="001A6B76"/>
    <w:rsid w:val="001B2864"/>
    <w:rsid w:val="001B36BF"/>
    <w:rsid w:val="001B5CD2"/>
    <w:rsid w:val="001C16C9"/>
    <w:rsid w:val="001C23EC"/>
    <w:rsid w:val="001C39FB"/>
    <w:rsid w:val="001C427F"/>
    <w:rsid w:val="001C5B0D"/>
    <w:rsid w:val="001C61C5"/>
    <w:rsid w:val="001C69C4"/>
    <w:rsid w:val="001C6ED6"/>
    <w:rsid w:val="001C7CD5"/>
    <w:rsid w:val="001D0CDA"/>
    <w:rsid w:val="001D1DD5"/>
    <w:rsid w:val="001D251A"/>
    <w:rsid w:val="001D36AD"/>
    <w:rsid w:val="001D37EF"/>
    <w:rsid w:val="001E0BF5"/>
    <w:rsid w:val="001E0DDF"/>
    <w:rsid w:val="001E232F"/>
    <w:rsid w:val="001E2C4B"/>
    <w:rsid w:val="001E3590"/>
    <w:rsid w:val="001E7407"/>
    <w:rsid w:val="001F03BC"/>
    <w:rsid w:val="001F2F1D"/>
    <w:rsid w:val="001F5115"/>
    <w:rsid w:val="001F5D5E"/>
    <w:rsid w:val="001F6219"/>
    <w:rsid w:val="001F6CD4"/>
    <w:rsid w:val="00204094"/>
    <w:rsid w:val="002063EC"/>
    <w:rsid w:val="00206C4D"/>
    <w:rsid w:val="00207247"/>
    <w:rsid w:val="0021053C"/>
    <w:rsid w:val="00214397"/>
    <w:rsid w:val="00215AF1"/>
    <w:rsid w:val="00217FF3"/>
    <w:rsid w:val="0022096F"/>
    <w:rsid w:val="00220D45"/>
    <w:rsid w:val="0022353D"/>
    <w:rsid w:val="00227108"/>
    <w:rsid w:val="00231793"/>
    <w:rsid w:val="002321E8"/>
    <w:rsid w:val="00232B24"/>
    <w:rsid w:val="00234F88"/>
    <w:rsid w:val="002357E0"/>
    <w:rsid w:val="00236068"/>
    <w:rsid w:val="00236D9E"/>
    <w:rsid w:val="00236EEC"/>
    <w:rsid w:val="0024010F"/>
    <w:rsid w:val="00240749"/>
    <w:rsid w:val="0024113F"/>
    <w:rsid w:val="0024289A"/>
    <w:rsid w:val="00243018"/>
    <w:rsid w:val="0024309A"/>
    <w:rsid w:val="00243EC0"/>
    <w:rsid w:val="00244742"/>
    <w:rsid w:val="00251BC9"/>
    <w:rsid w:val="00252C45"/>
    <w:rsid w:val="00254FDE"/>
    <w:rsid w:val="00255007"/>
    <w:rsid w:val="002564A4"/>
    <w:rsid w:val="002609C4"/>
    <w:rsid w:val="00264627"/>
    <w:rsid w:val="0026736C"/>
    <w:rsid w:val="00270B03"/>
    <w:rsid w:val="00271804"/>
    <w:rsid w:val="00272ACA"/>
    <w:rsid w:val="00275518"/>
    <w:rsid w:val="0027553B"/>
    <w:rsid w:val="00280944"/>
    <w:rsid w:val="00281308"/>
    <w:rsid w:val="00281716"/>
    <w:rsid w:val="00281813"/>
    <w:rsid w:val="00284719"/>
    <w:rsid w:val="00284D09"/>
    <w:rsid w:val="002850AE"/>
    <w:rsid w:val="002851A6"/>
    <w:rsid w:val="0028534A"/>
    <w:rsid w:val="00296A98"/>
    <w:rsid w:val="00297725"/>
    <w:rsid w:val="00297853"/>
    <w:rsid w:val="00297ECB"/>
    <w:rsid w:val="002A4D7A"/>
    <w:rsid w:val="002A6207"/>
    <w:rsid w:val="002A7BCF"/>
    <w:rsid w:val="002B0DE3"/>
    <w:rsid w:val="002B19F3"/>
    <w:rsid w:val="002B3197"/>
    <w:rsid w:val="002B375E"/>
    <w:rsid w:val="002B4A0D"/>
    <w:rsid w:val="002B4C94"/>
    <w:rsid w:val="002C18C7"/>
    <w:rsid w:val="002C319E"/>
    <w:rsid w:val="002C40C9"/>
    <w:rsid w:val="002C5294"/>
    <w:rsid w:val="002D043A"/>
    <w:rsid w:val="002D0C22"/>
    <w:rsid w:val="002D6224"/>
    <w:rsid w:val="002D7466"/>
    <w:rsid w:val="002E0ECA"/>
    <w:rsid w:val="002E3F4B"/>
    <w:rsid w:val="002E46A0"/>
    <w:rsid w:val="002E49DE"/>
    <w:rsid w:val="002E5BB5"/>
    <w:rsid w:val="002E6B0B"/>
    <w:rsid w:val="002F20EC"/>
    <w:rsid w:val="002F3CAA"/>
    <w:rsid w:val="002F4980"/>
    <w:rsid w:val="003015CB"/>
    <w:rsid w:val="003017B3"/>
    <w:rsid w:val="00302622"/>
    <w:rsid w:val="003031E7"/>
    <w:rsid w:val="00303CAB"/>
    <w:rsid w:val="0030496F"/>
    <w:rsid w:val="00304F8B"/>
    <w:rsid w:val="00310572"/>
    <w:rsid w:val="00311893"/>
    <w:rsid w:val="00313CB7"/>
    <w:rsid w:val="00314900"/>
    <w:rsid w:val="00314A8D"/>
    <w:rsid w:val="00316F66"/>
    <w:rsid w:val="00317370"/>
    <w:rsid w:val="00317591"/>
    <w:rsid w:val="00317601"/>
    <w:rsid w:val="003179A9"/>
    <w:rsid w:val="003201DD"/>
    <w:rsid w:val="00321083"/>
    <w:rsid w:val="00321116"/>
    <w:rsid w:val="00321C91"/>
    <w:rsid w:val="00322E18"/>
    <w:rsid w:val="00323957"/>
    <w:rsid w:val="00325E71"/>
    <w:rsid w:val="00326980"/>
    <w:rsid w:val="00327DDF"/>
    <w:rsid w:val="0033075F"/>
    <w:rsid w:val="00330AA0"/>
    <w:rsid w:val="00332903"/>
    <w:rsid w:val="003332BC"/>
    <w:rsid w:val="003354D2"/>
    <w:rsid w:val="00335BC6"/>
    <w:rsid w:val="00336878"/>
    <w:rsid w:val="00336CDA"/>
    <w:rsid w:val="003370C2"/>
    <w:rsid w:val="003415D3"/>
    <w:rsid w:val="0034388F"/>
    <w:rsid w:val="00344701"/>
    <w:rsid w:val="00346FC2"/>
    <w:rsid w:val="00347D51"/>
    <w:rsid w:val="003528DA"/>
    <w:rsid w:val="0035296F"/>
    <w:rsid w:val="00352B0F"/>
    <w:rsid w:val="003556D6"/>
    <w:rsid w:val="00356690"/>
    <w:rsid w:val="003578DA"/>
    <w:rsid w:val="00357FFE"/>
    <w:rsid w:val="00360459"/>
    <w:rsid w:val="00361626"/>
    <w:rsid w:val="00364F21"/>
    <w:rsid w:val="00365497"/>
    <w:rsid w:val="003658B7"/>
    <w:rsid w:val="00365EB4"/>
    <w:rsid w:val="003708CA"/>
    <w:rsid w:val="00372535"/>
    <w:rsid w:val="00374DDD"/>
    <w:rsid w:val="00380993"/>
    <w:rsid w:val="00381A5D"/>
    <w:rsid w:val="00382085"/>
    <w:rsid w:val="0038432E"/>
    <w:rsid w:val="00387A12"/>
    <w:rsid w:val="00387A96"/>
    <w:rsid w:val="00390800"/>
    <w:rsid w:val="00390A86"/>
    <w:rsid w:val="003910C9"/>
    <w:rsid w:val="003926A1"/>
    <w:rsid w:val="00395735"/>
    <w:rsid w:val="003A2A48"/>
    <w:rsid w:val="003A7AFE"/>
    <w:rsid w:val="003B0EE2"/>
    <w:rsid w:val="003B18B1"/>
    <w:rsid w:val="003B3B56"/>
    <w:rsid w:val="003B41AB"/>
    <w:rsid w:val="003B5223"/>
    <w:rsid w:val="003B6115"/>
    <w:rsid w:val="003B6DD2"/>
    <w:rsid w:val="003B732F"/>
    <w:rsid w:val="003C1DCF"/>
    <w:rsid w:val="003C2FC2"/>
    <w:rsid w:val="003C3D7D"/>
    <w:rsid w:val="003C4E23"/>
    <w:rsid w:val="003C6231"/>
    <w:rsid w:val="003D0BFE"/>
    <w:rsid w:val="003D3032"/>
    <w:rsid w:val="003D4B43"/>
    <w:rsid w:val="003D5700"/>
    <w:rsid w:val="003D57CA"/>
    <w:rsid w:val="003D7A53"/>
    <w:rsid w:val="003E06D1"/>
    <w:rsid w:val="003E0F99"/>
    <w:rsid w:val="003E3305"/>
    <w:rsid w:val="003E341B"/>
    <w:rsid w:val="003E39CB"/>
    <w:rsid w:val="003E3C63"/>
    <w:rsid w:val="003E6391"/>
    <w:rsid w:val="003E7D89"/>
    <w:rsid w:val="003F029C"/>
    <w:rsid w:val="003F131B"/>
    <w:rsid w:val="003F2296"/>
    <w:rsid w:val="003F6896"/>
    <w:rsid w:val="003F7E1B"/>
    <w:rsid w:val="0040053F"/>
    <w:rsid w:val="00401449"/>
    <w:rsid w:val="004038C9"/>
    <w:rsid w:val="00405488"/>
    <w:rsid w:val="00405CB5"/>
    <w:rsid w:val="0041018F"/>
    <w:rsid w:val="00410F89"/>
    <w:rsid w:val="004116CD"/>
    <w:rsid w:val="004123E7"/>
    <w:rsid w:val="00413E3F"/>
    <w:rsid w:val="004140AB"/>
    <w:rsid w:val="004144EC"/>
    <w:rsid w:val="00416C18"/>
    <w:rsid w:val="0041748B"/>
    <w:rsid w:val="0041748C"/>
    <w:rsid w:val="00417EB9"/>
    <w:rsid w:val="0042116C"/>
    <w:rsid w:val="0042159E"/>
    <w:rsid w:val="00421C4F"/>
    <w:rsid w:val="004230E2"/>
    <w:rsid w:val="00424CA9"/>
    <w:rsid w:val="00431C3B"/>
    <w:rsid w:val="00431E9B"/>
    <w:rsid w:val="004345D6"/>
    <w:rsid w:val="00436541"/>
    <w:rsid w:val="0043783C"/>
    <w:rsid w:val="004379E3"/>
    <w:rsid w:val="0044015E"/>
    <w:rsid w:val="0044291A"/>
    <w:rsid w:val="00444ABD"/>
    <w:rsid w:val="004468DD"/>
    <w:rsid w:val="00447DB4"/>
    <w:rsid w:val="004513DF"/>
    <w:rsid w:val="004539F1"/>
    <w:rsid w:val="00456F41"/>
    <w:rsid w:val="0046014C"/>
    <w:rsid w:val="00460F1D"/>
    <w:rsid w:val="00465281"/>
    <w:rsid w:val="00466B0D"/>
    <w:rsid w:val="00467661"/>
    <w:rsid w:val="004705B7"/>
    <w:rsid w:val="004715B6"/>
    <w:rsid w:val="00472DBE"/>
    <w:rsid w:val="00474A19"/>
    <w:rsid w:val="00476AFC"/>
    <w:rsid w:val="004770C0"/>
    <w:rsid w:val="00480F4F"/>
    <w:rsid w:val="00481B83"/>
    <w:rsid w:val="004823C0"/>
    <w:rsid w:val="0048276B"/>
    <w:rsid w:val="004832A8"/>
    <w:rsid w:val="004949EE"/>
    <w:rsid w:val="0049529E"/>
    <w:rsid w:val="00495E42"/>
    <w:rsid w:val="00496B5F"/>
    <w:rsid w:val="00496F97"/>
    <w:rsid w:val="004A093D"/>
    <w:rsid w:val="004A31C5"/>
    <w:rsid w:val="004A44FC"/>
    <w:rsid w:val="004A4BD8"/>
    <w:rsid w:val="004A5986"/>
    <w:rsid w:val="004A679A"/>
    <w:rsid w:val="004A70D8"/>
    <w:rsid w:val="004B3951"/>
    <w:rsid w:val="004B5808"/>
    <w:rsid w:val="004C205C"/>
    <w:rsid w:val="004C4678"/>
    <w:rsid w:val="004C4845"/>
    <w:rsid w:val="004D13BD"/>
    <w:rsid w:val="004D38DB"/>
    <w:rsid w:val="004D4456"/>
    <w:rsid w:val="004D4768"/>
    <w:rsid w:val="004E063A"/>
    <w:rsid w:val="004E1D03"/>
    <w:rsid w:val="004E5704"/>
    <w:rsid w:val="004E7386"/>
    <w:rsid w:val="004E77D9"/>
    <w:rsid w:val="004E7BEC"/>
    <w:rsid w:val="004F1829"/>
    <w:rsid w:val="004F2C34"/>
    <w:rsid w:val="004F4674"/>
    <w:rsid w:val="004F669C"/>
    <w:rsid w:val="004F7AE8"/>
    <w:rsid w:val="0050044F"/>
    <w:rsid w:val="00505D3D"/>
    <w:rsid w:val="00506AF6"/>
    <w:rsid w:val="0051448C"/>
    <w:rsid w:val="00514971"/>
    <w:rsid w:val="00516371"/>
    <w:rsid w:val="00516B8D"/>
    <w:rsid w:val="00517E56"/>
    <w:rsid w:val="00520886"/>
    <w:rsid w:val="00520CEC"/>
    <w:rsid w:val="005241DB"/>
    <w:rsid w:val="0052711C"/>
    <w:rsid w:val="00530968"/>
    <w:rsid w:val="00532049"/>
    <w:rsid w:val="0053296E"/>
    <w:rsid w:val="00533A50"/>
    <w:rsid w:val="005341FE"/>
    <w:rsid w:val="005356A7"/>
    <w:rsid w:val="00537600"/>
    <w:rsid w:val="00537FBC"/>
    <w:rsid w:val="00541544"/>
    <w:rsid w:val="0054340C"/>
    <w:rsid w:val="005452D3"/>
    <w:rsid w:val="005466AF"/>
    <w:rsid w:val="00547F35"/>
    <w:rsid w:val="00550C83"/>
    <w:rsid w:val="005520AE"/>
    <w:rsid w:val="005558EA"/>
    <w:rsid w:val="00557008"/>
    <w:rsid w:val="005574D1"/>
    <w:rsid w:val="00563A47"/>
    <w:rsid w:val="00564FD4"/>
    <w:rsid w:val="005657FE"/>
    <w:rsid w:val="00570210"/>
    <w:rsid w:val="0057042C"/>
    <w:rsid w:val="00572BB1"/>
    <w:rsid w:val="00574656"/>
    <w:rsid w:val="005754D6"/>
    <w:rsid w:val="005759CB"/>
    <w:rsid w:val="0058432E"/>
    <w:rsid w:val="00584811"/>
    <w:rsid w:val="00585612"/>
    <w:rsid w:val="00585784"/>
    <w:rsid w:val="00586AE0"/>
    <w:rsid w:val="00586D11"/>
    <w:rsid w:val="0058749E"/>
    <w:rsid w:val="00593AA6"/>
    <w:rsid w:val="00594161"/>
    <w:rsid w:val="0059440E"/>
    <w:rsid w:val="00594749"/>
    <w:rsid w:val="00596064"/>
    <w:rsid w:val="005961FF"/>
    <w:rsid w:val="005A0A09"/>
    <w:rsid w:val="005A1C6A"/>
    <w:rsid w:val="005A216C"/>
    <w:rsid w:val="005A5785"/>
    <w:rsid w:val="005A7C27"/>
    <w:rsid w:val="005B1D21"/>
    <w:rsid w:val="005B2D2F"/>
    <w:rsid w:val="005B364B"/>
    <w:rsid w:val="005B4067"/>
    <w:rsid w:val="005B5774"/>
    <w:rsid w:val="005B7006"/>
    <w:rsid w:val="005B7276"/>
    <w:rsid w:val="005B780C"/>
    <w:rsid w:val="005B7A5C"/>
    <w:rsid w:val="005C1C22"/>
    <w:rsid w:val="005C1F38"/>
    <w:rsid w:val="005C3F41"/>
    <w:rsid w:val="005D0489"/>
    <w:rsid w:val="005D0DD1"/>
    <w:rsid w:val="005D2D09"/>
    <w:rsid w:val="005D665E"/>
    <w:rsid w:val="005D773F"/>
    <w:rsid w:val="005D7909"/>
    <w:rsid w:val="005E142B"/>
    <w:rsid w:val="005E2CDA"/>
    <w:rsid w:val="005E4810"/>
    <w:rsid w:val="005F3FAB"/>
    <w:rsid w:val="005F43B4"/>
    <w:rsid w:val="005F65CD"/>
    <w:rsid w:val="005F692D"/>
    <w:rsid w:val="00600219"/>
    <w:rsid w:val="0060291B"/>
    <w:rsid w:val="00603DC4"/>
    <w:rsid w:val="00604E20"/>
    <w:rsid w:val="0060583D"/>
    <w:rsid w:val="00607569"/>
    <w:rsid w:val="00607A71"/>
    <w:rsid w:val="00610A64"/>
    <w:rsid w:val="0061356F"/>
    <w:rsid w:val="00614EC3"/>
    <w:rsid w:val="0061693F"/>
    <w:rsid w:val="0061733F"/>
    <w:rsid w:val="00620076"/>
    <w:rsid w:val="006252DD"/>
    <w:rsid w:val="00632AEB"/>
    <w:rsid w:val="00633645"/>
    <w:rsid w:val="006374B8"/>
    <w:rsid w:val="00640161"/>
    <w:rsid w:val="006415BB"/>
    <w:rsid w:val="00644A98"/>
    <w:rsid w:val="0064598B"/>
    <w:rsid w:val="00646010"/>
    <w:rsid w:val="00646AD5"/>
    <w:rsid w:val="00647598"/>
    <w:rsid w:val="00647AE2"/>
    <w:rsid w:val="00647C14"/>
    <w:rsid w:val="00650869"/>
    <w:rsid w:val="00650E03"/>
    <w:rsid w:val="006515C1"/>
    <w:rsid w:val="0065237A"/>
    <w:rsid w:val="00652769"/>
    <w:rsid w:val="0065542F"/>
    <w:rsid w:val="00655449"/>
    <w:rsid w:val="006554FF"/>
    <w:rsid w:val="00655874"/>
    <w:rsid w:val="00660853"/>
    <w:rsid w:val="0066141E"/>
    <w:rsid w:val="006621AB"/>
    <w:rsid w:val="006647AF"/>
    <w:rsid w:val="00665BA2"/>
    <w:rsid w:val="00665C0F"/>
    <w:rsid w:val="00666EA8"/>
    <w:rsid w:val="00667B49"/>
    <w:rsid w:val="0067066A"/>
    <w:rsid w:val="00670EA1"/>
    <w:rsid w:val="00675A63"/>
    <w:rsid w:val="00676069"/>
    <w:rsid w:val="0067623E"/>
    <w:rsid w:val="00676ACB"/>
    <w:rsid w:val="00677CC2"/>
    <w:rsid w:val="00677F99"/>
    <w:rsid w:val="00680BB9"/>
    <w:rsid w:val="00681C3A"/>
    <w:rsid w:val="0068402D"/>
    <w:rsid w:val="006852EA"/>
    <w:rsid w:val="0068729D"/>
    <w:rsid w:val="00687FEC"/>
    <w:rsid w:val="006905DE"/>
    <w:rsid w:val="0069207B"/>
    <w:rsid w:val="006925C3"/>
    <w:rsid w:val="006927EC"/>
    <w:rsid w:val="00692AD8"/>
    <w:rsid w:val="0069465D"/>
    <w:rsid w:val="006A0073"/>
    <w:rsid w:val="006A349E"/>
    <w:rsid w:val="006A64D9"/>
    <w:rsid w:val="006B02D7"/>
    <w:rsid w:val="006B047D"/>
    <w:rsid w:val="006B39A6"/>
    <w:rsid w:val="006B5789"/>
    <w:rsid w:val="006B5EC7"/>
    <w:rsid w:val="006B7676"/>
    <w:rsid w:val="006C27D4"/>
    <w:rsid w:val="006C30C5"/>
    <w:rsid w:val="006C48FA"/>
    <w:rsid w:val="006C50FA"/>
    <w:rsid w:val="006C7F8C"/>
    <w:rsid w:val="006D1C08"/>
    <w:rsid w:val="006D2D82"/>
    <w:rsid w:val="006D5D8C"/>
    <w:rsid w:val="006E1C8E"/>
    <w:rsid w:val="006E40F5"/>
    <w:rsid w:val="006E516D"/>
    <w:rsid w:val="006E5320"/>
    <w:rsid w:val="006E6246"/>
    <w:rsid w:val="006F00A7"/>
    <w:rsid w:val="006F08ED"/>
    <w:rsid w:val="006F0B70"/>
    <w:rsid w:val="006F16F1"/>
    <w:rsid w:val="006F2E01"/>
    <w:rsid w:val="006F318F"/>
    <w:rsid w:val="006F4226"/>
    <w:rsid w:val="006F6F6C"/>
    <w:rsid w:val="006F796A"/>
    <w:rsid w:val="0070017E"/>
    <w:rsid w:val="00700B2C"/>
    <w:rsid w:val="00701A9D"/>
    <w:rsid w:val="007050A2"/>
    <w:rsid w:val="007052B2"/>
    <w:rsid w:val="007070A7"/>
    <w:rsid w:val="007078C2"/>
    <w:rsid w:val="00710402"/>
    <w:rsid w:val="007114E5"/>
    <w:rsid w:val="007127F1"/>
    <w:rsid w:val="00713084"/>
    <w:rsid w:val="007137C9"/>
    <w:rsid w:val="00713DFD"/>
    <w:rsid w:val="00714F20"/>
    <w:rsid w:val="0071590F"/>
    <w:rsid w:val="00715914"/>
    <w:rsid w:val="007216A8"/>
    <w:rsid w:val="00722B95"/>
    <w:rsid w:val="0072332D"/>
    <w:rsid w:val="00723EAA"/>
    <w:rsid w:val="00724F7A"/>
    <w:rsid w:val="00725B0D"/>
    <w:rsid w:val="007273CF"/>
    <w:rsid w:val="00730186"/>
    <w:rsid w:val="00731BF9"/>
    <w:rsid w:val="00731E00"/>
    <w:rsid w:val="00735AA6"/>
    <w:rsid w:val="00737E98"/>
    <w:rsid w:val="00741EE8"/>
    <w:rsid w:val="007440B7"/>
    <w:rsid w:val="007442DB"/>
    <w:rsid w:val="007500C8"/>
    <w:rsid w:val="0075106E"/>
    <w:rsid w:val="00751154"/>
    <w:rsid w:val="00755BC9"/>
    <w:rsid w:val="00756272"/>
    <w:rsid w:val="007565ED"/>
    <w:rsid w:val="00760AF1"/>
    <w:rsid w:val="00764891"/>
    <w:rsid w:val="00765DB8"/>
    <w:rsid w:val="007660DF"/>
    <w:rsid w:val="007662B5"/>
    <w:rsid w:val="00766639"/>
    <w:rsid w:val="0076681A"/>
    <w:rsid w:val="00767957"/>
    <w:rsid w:val="007700F8"/>
    <w:rsid w:val="007715C9"/>
    <w:rsid w:val="00771613"/>
    <w:rsid w:val="00772121"/>
    <w:rsid w:val="00772B7A"/>
    <w:rsid w:val="00774EDD"/>
    <w:rsid w:val="007757EC"/>
    <w:rsid w:val="00775F63"/>
    <w:rsid w:val="00777535"/>
    <w:rsid w:val="00781A35"/>
    <w:rsid w:val="00783E89"/>
    <w:rsid w:val="00784135"/>
    <w:rsid w:val="00785A9E"/>
    <w:rsid w:val="00785DEA"/>
    <w:rsid w:val="0078746C"/>
    <w:rsid w:val="00792EFB"/>
    <w:rsid w:val="00793915"/>
    <w:rsid w:val="0079545F"/>
    <w:rsid w:val="007957CE"/>
    <w:rsid w:val="00795941"/>
    <w:rsid w:val="007A082E"/>
    <w:rsid w:val="007A1989"/>
    <w:rsid w:val="007A2CDE"/>
    <w:rsid w:val="007A2E6B"/>
    <w:rsid w:val="007A60EE"/>
    <w:rsid w:val="007B3702"/>
    <w:rsid w:val="007B4C4F"/>
    <w:rsid w:val="007B5E9C"/>
    <w:rsid w:val="007C14B5"/>
    <w:rsid w:val="007C2253"/>
    <w:rsid w:val="007C3444"/>
    <w:rsid w:val="007C4682"/>
    <w:rsid w:val="007C5A2C"/>
    <w:rsid w:val="007C61D2"/>
    <w:rsid w:val="007D230B"/>
    <w:rsid w:val="007E163D"/>
    <w:rsid w:val="007E16AD"/>
    <w:rsid w:val="007E2E25"/>
    <w:rsid w:val="007E2EBB"/>
    <w:rsid w:val="007E40B6"/>
    <w:rsid w:val="007E667A"/>
    <w:rsid w:val="007E7B4E"/>
    <w:rsid w:val="007F1491"/>
    <w:rsid w:val="007F1AA2"/>
    <w:rsid w:val="007F2714"/>
    <w:rsid w:val="007F28C9"/>
    <w:rsid w:val="007F3F78"/>
    <w:rsid w:val="007F6883"/>
    <w:rsid w:val="00801BAB"/>
    <w:rsid w:val="0080312D"/>
    <w:rsid w:val="00803587"/>
    <w:rsid w:val="008060E8"/>
    <w:rsid w:val="00810A67"/>
    <w:rsid w:val="008117E9"/>
    <w:rsid w:val="00815EE3"/>
    <w:rsid w:val="00816888"/>
    <w:rsid w:val="00821428"/>
    <w:rsid w:val="00824498"/>
    <w:rsid w:val="008262BD"/>
    <w:rsid w:val="0082759A"/>
    <w:rsid w:val="00832448"/>
    <w:rsid w:val="00832B5F"/>
    <w:rsid w:val="00840442"/>
    <w:rsid w:val="0084109D"/>
    <w:rsid w:val="00845C8C"/>
    <w:rsid w:val="0084764B"/>
    <w:rsid w:val="008477D9"/>
    <w:rsid w:val="00850F56"/>
    <w:rsid w:val="008510FA"/>
    <w:rsid w:val="00852363"/>
    <w:rsid w:val="008527C0"/>
    <w:rsid w:val="008541B0"/>
    <w:rsid w:val="00855E08"/>
    <w:rsid w:val="00856A31"/>
    <w:rsid w:val="00860B58"/>
    <w:rsid w:val="00860C89"/>
    <w:rsid w:val="0086109D"/>
    <w:rsid w:val="00861B73"/>
    <w:rsid w:val="008626F8"/>
    <w:rsid w:val="00863884"/>
    <w:rsid w:val="00863F29"/>
    <w:rsid w:val="00867B37"/>
    <w:rsid w:val="00875454"/>
    <w:rsid w:val="008754D0"/>
    <w:rsid w:val="00880512"/>
    <w:rsid w:val="008814C6"/>
    <w:rsid w:val="00882402"/>
    <w:rsid w:val="00883788"/>
    <w:rsid w:val="00884601"/>
    <w:rsid w:val="008855C9"/>
    <w:rsid w:val="00886021"/>
    <w:rsid w:val="00886456"/>
    <w:rsid w:val="00891A8F"/>
    <w:rsid w:val="00894450"/>
    <w:rsid w:val="008945E0"/>
    <w:rsid w:val="00894C89"/>
    <w:rsid w:val="00894F91"/>
    <w:rsid w:val="0089527F"/>
    <w:rsid w:val="00896134"/>
    <w:rsid w:val="008A099A"/>
    <w:rsid w:val="008A2357"/>
    <w:rsid w:val="008A362B"/>
    <w:rsid w:val="008A46E1"/>
    <w:rsid w:val="008A4F43"/>
    <w:rsid w:val="008B01EE"/>
    <w:rsid w:val="008B2706"/>
    <w:rsid w:val="008B4321"/>
    <w:rsid w:val="008B4B7F"/>
    <w:rsid w:val="008B58C5"/>
    <w:rsid w:val="008B6496"/>
    <w:rsid w:val="008B76F9"/>
    <w:rsid w:val="008C0F29"/>
    <w:rsid w:val="008D0EE0"/>
    <w:rsid w:val="008D1974"/>
    <w:rsid w:val="008D3422"/>
    <w:rsid w:val="008E0150"/>
    <w:rsid w:val="008E1A6D"/>
    <w:rsid w:val="008E290E"/>
    <w:rsid w:val="008E51AE"/>
    <w:rsid w:val="008E6067"/>
    <w:rsid w:val="008F54E7"/>
    <w:rsid w:val="008F6639"/>
    <w:rsid w:val="008F6654"/>
    <w:rsid w:val="008F6CEE"/>
    <w:rsid w:val="009020FA"/>
    <w:rsid w:val="00902B9E"/>
    <w:rsid w:val="00903422"/>
    <w:rsid w:val="00905728"/>
    <w:rsid w:val="009072E3"/>
    <w:rsid w:val="0091090F"/>
    <w:rsid w:val="00911652"/>
    <w:rsid w:val="00911C02"/>
    <w:rsid w:val="00915208"/>
    <w:rsid w:val="009157B9"/>
    <w:rsid w:val="00915988"/>
    <w:rsid w:val="00915DF9"/>
    <w:rsid w:val="00917794"/>
    <w:rsid w:val="009202D5"/>
    <w:rsid w:val="00920926"/>
    <w:rsid w:val="009232C9"/>
    <w:rsid w:val="009254C3"/>
    <w:rsid w:val="00926204"/>
    <w:rsid w:val="009268D9"/>
    <w:rsid w:val="00930A0A"/>
    <w:rsid w:val="00931078"/>
    <w:rsid w:val="00932377"/>
    <w:rsid w:val="00937A39"/>
    <w:rsid w:val="00942303"/>
    <w:rsid w:val="00946D93"/>
    <w:rsid w:val="00947D5A"/>
    <w:rsid w:val="00951E4E"/>
    <w:rsid w:val="009532A5"/>
    <w:rsid w:val="0095359C"/>
    <w:rsid w:val="00954464"/>
    <w:rsid w:val="009551BB"/>
    <w:rsid w:val="0095528E"/>
    <w:rsid w:val="00956663"/>
    <w:rsid w:val="00962120"/>
    <w:rsid w:val="00964261"/>
    <w:rsid w:val="0096563B"/>
    <w:rsid w:val="00965B6E"/>
    <w:rsid w:val="009670AA"/>
    <w:rsid w:val="0096753E"/>
    <w:rsid w:val="00967E7C"/>
    <w:rsid w:val="0097073E"/>
    <w:rsid w:val="00974BC6"/>
    <w:rsid w:val="00977CD8"/>
    <w:rsid w:val="00982242"/>
    <w:rsid w:val="00982958"/>
    <w:rsid w:val="00982F86"/>
    <w:rsid w:val="009868E9"/>
    <w:rsid w:val="00987EDD"/>
    <w:rsid w:val="00991552"/>
    <w:rsid w:val="00993E86"/>
    <w:rsid w:val="009944E6"/>
    <w:rsid w:val="0099528C"/>
    <w:rsid w:val="00995B6D"/>
    <w:rsid w:val="00996565"/>
    <w:rsid w:val="00997575"/>
    <w:rsid w:val="009A49C9"/>
    <w:rsid w:val="009B1CB8"/>
    <w:rsid w:val="009B41F6"/>
    <w:rsid w:val="009B4AC3"/>
    <w:rsid w:val="009B5967"/>
    <w:rsid w:val="009B6508"/>
    <w:rsid w:val="009B69D4"/>
    <w:rsid w:val="009B7656"/>
    <w:rsid w:val="009C14A0"/>
    <w:rsid w:val="009C364E"/>
    <w:rsid w:val="009D1648"/>
    <w:rsid w:val="009D1818"/>
    <w:rsid w:val="009D66E0"/>
    <w:rsid w:val="009E0B05"/>
    <w:rsid w:val="009E2005"/>
    <w:rsid w:val="009E5CFC"/>
    <w:rsid w:val="009F0047"/>
    <w:rsid w:val="009F00A7"/>
    <w:rsid w:val="00A00104"/>
    <w:rsid w:val="00A022B4"/>
    <w:rsid w:val="00A0322C"/>
    <w:rsid w:val="00A03A8A"/>
    <w:rsid w:val="00A0466B"/>
    <w:rsid w:val="00A06182"/>
    <w:rsid w:val="00A079CB"/>
    <w:rsid w:val="00A07ACD"/>
    <w:rsid w:val="00A11FD9"/>
    <w:rsid w:val="00A12128"/>
    <w:rsid w:val="00A12DAD"/>
    <w:rsid w:val="00A12E9A"/>
    <w:rsid w:val="00A12F48"/>
    <w:rsid w:val="00A15512"/>
    <w:rsid w:val="00A1748D"/>
    <w:rsid w:val="00A2023F"/>
    <w:rsid w:val="00A20FCE"/>
    <w:rsid w:val="00A22C98"/>
    <w:rsid w:val="00A2310B"/>
    <w:rsid w:val="00A231E2"/>
    <w:rsid w:val="00A23250"/>
    <w:rsid w:val="00A30E61"/>
    <w:rsid w:val="00A31A66"/>
    <w:rsid w:val="00A31D73"/>
    <w:rsid w:val="00A32DE3"/>
    <w:rsid w:val="00A33D55"/>
    <w:rsid w:val="00A35B5A"/>
    <w:rsid w:val="00A35D0A"/>
    <w:rsid w:val="00A35E7A"/>
    <w:rsid w:val="00A40424"/>
    <w:rsid w:val="00A41D51"/>
    <w:rsid w:val="00A42244"/>
    <w:rsid w:val="00A42AEE"/>
    <w:rsid w:val="00A46746"/>
    <w:rsid w:val="00A47282"/>
    <w:rsid w:val="00A47850"/>
    <w:rsid w:val="00A52B0F"/>
    <w:rsid w:val="00A537A2"/>
    <w:rsid w:val="00A53D45"/>
    <w:rsid w:val="00A54ABE"/>
    <w:rsid w:val="00A5632E"/>
    <w:rsid w:val="00A57911"/>
    <w:rsid w:val="00A62A62"/>
    <w:rsid w:val="00A6400A"/>
    <w:rsid w:val="00A64912"/>
    <w:rsid w:val="00A65A1A"/>
    <w:rsid w:val="00A67FEA"/>
    <w:rsid w:val="00A70A74"/>
    <w:rsid w:val="00A7340A"/>
    <w:rsid w:val="00A74878"/>
    <w:rsid w:val="00A75D88"/>
    <w:rsid w:val="00A76FAC"/>
    <w:rsid w:val="00A800A8"/>
    <w:rsid w:val="00A80E7A"/>
    <w:rsid w:val="00A82C16"/>
    <w:rsid w:val="00A8429C"/>
    <w:rsid w:val="00A90A8E"/>
    <w:rsid w:val="00A91966"/>
    <w:rsid w:val="00A9250D"/>
    <w:rsid w:val="00A940C6"/>
    <w:rsid w:val="00A954C9"/>
    <w:rsid w:val="00A96B6A"/>
    <w:rsid w:val="00AA274B"/>
    <w:rsid w:val="00AA40FC"/>
    <w:rsid w:val="00AA66AC"/>
    <w:rsid w:val="00AA671D"/>
    <w:rsid w:val="00AA78AD"/>
    <w:rsid w:val="00AB6F93"/>
    <w:rsid w:val="00AC0886"/>
    <w:rsid w:val="00AC1F70"/>
    <w:rsid w:val="00AC3E7B"/>
    <w:rsid w:val="00AC756B"/>
    <w:rsid w:val="00AD066C"/>
    <w:rsid w:val="00AD1D96"/>
    <w:rsid w:val="00AD4359"/>
    <w:rsid w:val="00AD5315"/>
    <w:rsid w:val="00AD5641"/>
    <w:rsid w:val="00AD6F7C"/>
    <w:rsid w:val="00AD7628"/>
    <w:rsid w:val="00AD7889"/>
    <w:rsid w:val="00AE4ABF"/>
    <w:rsid w:val="00AE530D"/>
    <w:rsid w:val="00AE648C"/>
    <w:rsid w:val="00AE7708"/>
    <w:rsid w:val="00AE7A76"/>
    <w:rsid w:val="00AF021B"/>
    <w:rsid w:val="00AF06CF"/>
    <w:rsid w:val="00B01511"/>
    <w:rsid w:val="00B067B5"/>
    <w:rsid w:val="00B0688F"/>
    <w:rsid w:val="00B07CDB"/>
    <w:rsid w:val="00B106A8"/>
    <w:rsid w:val="00B14E6D"/>
    <w:rsid w:val="00B156BC"/>
    <w:rsid w:val="00B16067"/>
    <w:rsid w:val="00B16A31"/>
    <w:rsid w:val="00B17DFD"/>
    <w:rsid w:val="00B229C0"/>
    <w:rsid w:val="00B2340C"/>
    <w:rsid w:val="00B2343D"/>
    <w:rsid w:val="00B25242"/>
    <w:rsid w:val="00B2799D"/>
    <w:rsid w:val="00B27C45"/>
    <w:rsid w:val="00B308FE"/>
    <w:rsid w:val="00B31CCC"/>
    <w:rsid w:val="00B33709"/>
    <w:rsid w:val="00B33B3C"/>
    <w:rsid w:val="00B34A96"/>
    <w:rsid w:val="00B35D97"/>
    <w:rsid w:val="00B35D98"/>
    <w:rsid w:val="00B364C3"/>
    <w:rsid w:val="00B36FBA"/>
    <w:rsid w:val="00B37C81"/>
    <w:rsid w:val="00B41376"/>
    <w:rsid w:val="00B420B3"/>
    <w:rsid w:val="00B42C17"/>
    <w:rsid w:val="00B42E9E"/>
    <w:rsid w:val="00B50ADC"/>
    <w:rsid w:val="00B566B1"/>
    <w:rsid w:val="00B57D29"/>
    <w:rsid w:val="00B60D0B"/>
    <w:rsid w:val="00B628DE"/>
    <w:rsid w:val="00B633A0"/>
    <w:rsid w:val="00B63834"/>
    <w:rsid w:val="00B63BE9"/>
    <w:rsid w:val="00B70B51"/>
    <w:rsid w:val="00B70E7B"/>
    <w:rsid w:val="00B72734"/>
    <w:rsid w:val="00B74C54"/>
    <w:rsid w:val="00B75A11"/>
    <w:rsid w:val="00B774AB"/>
    <w:rsid w:val="00B800C0"/>
    <w:rsid w:val="00B80199"/>
    <w:rsid w:val="00B82D81"/>
    <w:rsid w:val="00B83204"/>
    <w:rsid w:val="00B91E67"/>
    <w:rsid w:val="00B94368"/>
    <w:rsid w:val="00B97303"/>
    <w:rsid w:val="00BA0E23"/>
    <w:rsid w:val="00BA14B3"/>
    <w:rsid w:val="00BA220B"/>
    <w:rsid w:val="00BA2950"/>
    <w:rsid w:val="00BA2AA6"/>
    <w:rsid w:val="00BA3356"/>
    <w:rsid w:val="00BA3A57"/>
    <w:rsid w:val="00BA42AD"/>
    <w:rsid w:val="00BA4453"/>
    <w:rsid w:val="00BA4BE9"/>
    <w:rsid w:val="00BA5845"/>
    <w:rsid w:val="00BB02AF"/>
    <w:rsid w:val="00BB1F09"/>
    <w:rsid w:val="00BB208C"/>
    <w:rsid w:val="00BB4E1A"/>
    <w:rsid w:val="00BB5C17"/>
    <w:rsid w:val="00BB7688"/>
    <w:rsid w:val="00BB7F1B"/>
    <w:rsid w:val="00BC0113"/>
    <w:rsid w:val="00BC015E"/>
    <w:rsid w:val="00BC0ACC"/>
    <w:rsid w:val="00BC1CE2"/>
    <w:rsid w:val="00BC4CCE"/>
    <w:rsid w:val="00BC5883"/>
    <w:rsid w:val="00BC7183"/>
    <w:rsid w:val="00BC76AC"/>
    <w:rsid w:val="00BD0ECB"/>
    <w:rsid w:val="00BD27F5"/>
    <w:rsid w:val="00BD518E"/>
    <w:rsid w:val="00BD76CB"/>
    <w:rsid w:val="00BD78A1"/>
    <w:rsid w:val="00BE0B5F"/>
    <w:rsid w:val="00BE1B57"/>
    <w:rsid w:val="00BE2155"/>
    <w:rsid w:val="00BE2213"/>
    <w:rsid w:val="00BE4C0C"/>
    <w:rsid w:val="00BE4EA0"/>
    <w:rsid w:val="00BE719A"/>
    <w:rsid w:val="00BE720A"/>
    <w:rsid w:val="00BE7DA8"/>
    <w:rsid w:val="00BF09D5"/>
    <w:rsid w:val="00BF0D73"/>
    <w:rsid w:val="00BF10EA"/>
    <w:rsid w:val="00BF2465"/>
    <w:rsid w:val="00BF4084"/>
    <w:rsid w:val="00BF65DE"/>
    <w:rsid w:val="00BF75C9"/>
    <w:rsid w:val="00BF7F45"/>
    <w:rsid w:val="00C017CB"/>
    <w:rsid w:val="00C01C14"/>
    <w:rsid w:val="00C02D44"/>
    <w:rsid w:val="00C033CF"/>
    <w:rsid w:val="00C04246"/>
    <w:rsid w:val="00C04B0C"/>
    <w:rsid w:val="00C0544A"/>
    <w:rsid w:val="00C11452"/>
    <w:rsid w:val="00C21D7D"/>
    <w:rsid w:val="00C22264"/>
    <w:rsid w:val="00C236F1"/>
    <w:rsid w:val="00C24AA9"/>
    <w:rsid w:val="00C25E7F"/>
    <w:rsid w:val="00C26328"/>
    <w:rsid w:val="00C2746F"/>
    <w:rsid w:val="00C27CB7"/>
    <w:rsid w:val="00C30A3E"/>
    <w:rsid w:val="00C31816"/>
    <w:rsid w:val="00C31ED4"/>
    <w:rsid w:val="00C324A0"/>
    <w:rsid w:val="00C32F4D"/>
    <w:rsid w:val="00C3300F"/>
    <w:rsid w:val="00C35875"/>
    <w:rsid w:val="00C36A52"/>
    <w:rsid w:val="00C406E5"/>
    <w:rsid w:val="00C408C4"/>
    <w:rsid w:val="00C40BD7"/>
    <w:rsid w:val="00C42BF8"/>
    <w:rsid w:val="00C44BB6"/>
    <w:rsid w:val="00C45171"/>
    <w:rsid w:val="00C454B5"/>
    <w:rsid w:val="00C4762D"/>
    <w:rsid w:val="00C50043"/>
    <w:rsid w:val="00C50B97"/>
    <w:rsid w:val="00C50DFC"/>
    <w:rsid w:val="00C51297"/>
    <w:rsid w:val="00C54569"/>
    <w:rsid w:val="00C57BFB"/>
    <w:rsid w:val="00C61B12"/>
    <w:rsid w:val="00C6287C"/>
    <w:rsid w:val="00C6434E"/>
    <w:rsid w:val="00C65684"/>
    <w:rsid w:val="00C66D18"/>
    <w:rsid w:val="00C70CA8"/>
    <w:rsid w:val="00C74A65"/>
    <w:rsid w:val="00C75268"/>
    <w:rsid w:val="00C7573B"/>
    <w:rsid w:val="00C77D96"/>
    <w:rsid w:val="00C82861"/>
    <w:rsid w:val="00C82D8E"/>
    <w:rsid w:val="00C83E38"/>
    <w:rsid w:val="00C8716F"/>
    <w:rsid w:val="00C903D7"/>
    <w:rsid w:val="00C91E23"/>
    <w:rsid w:val="00C93C03"/>
    <w:rsid w:val="00C9489B"/>
    <w:rsid w:val="00C9541B"/>
    <w:rsid w:val="00C9730A"/>
    <w:rsid w:val="00CA3A25"/>
    <w:rsid w:val="00CA66DC"/>
    <w:rsid w:val="00CB0D0D"/>
    <w:rsid w:val="00CB2C8E"/>
    <w:rsid w:val="00CB4745"/>
    <w:rsid w:val="00CB602E"/>
    <w:rsid w:val="00CC0E71"/>
    <w:rsid w:val="00CC1067"/>
    <w:rsid w:val="00CC2FB3"/>
    <w:rsid w:val="00CD0B10"/>
    <w:rsid w:val="00CD1ED0"/>
    <w:rsid w:val="00CD2E90"/>
    <w:rsid w:val="00CD69B9"/>
    <w:rsid w:val="00CD6E4A"/>
    <w:rsid w:val="00CE051D"/>
    <w:rsid w:val="00CE0902"/>
    <w:rsid w:val="00CE1284"/>
    <w:rsid w:val="00CE1335"/>
    <w:rsid w:val="00CE2032"/>
    <w:rsid w:val="00CE3D2A"/>
    <w:rsid w:val="00CE493D"/>
    <w:rsid w:val="00CF07FA"/>
    <w:rsid w:val="00CF0BB2"/>
    <w:rsid w:val="00CF14CA"/>
    <w:rsid w:val="00CF3EE8"/>
    <w:rsid w:val="00CF4E4F"/>
    <w:rsid w:val="00CF6891"/>
    <w:rsid w:val="00D003F4"/>
    <w:rsid w:val="00D02259"/>
    <w:rsid w:val="00D02647"/>
    <w:rsid w:val="00D0434A"/>
    <w:rsid w:val="00D050E6"/>
    <w:rsid w:val="00D1164A"/>
    <w:rsid w:val="00D12614"/>
    <w:rsid w:val="00D13441"/>
    <w:rsid w:val="00D150E7"/>
    <w:rsid w:val="00D16CAC"/>
    <w:rsid w:val="00D17E95"/>
    <w:rsid w:val="00D20154"/>
    <w:rsid w:val="00D20511"/>
    <w:rsid w:val="00D22AC4"/>
    <w:rsid w:val="00D23303"/>
    <w:rsid w:val="00D24053"/>
    <w:rsid w:val="00D27231"/>
    <w:rsid w:val="00D27807"/>
    <w:rsid w:val="00D30E90"/>
    <w:rsid w:val="00D32A74"/>
    <w:rsid w:val="00D32F65"/>
    <w:rsid w:val="00D341C4"/>
    <w:rsid w:val="00D3459C"/>
    <w:rsid w:val="00D42079"/>
    <w:rsid w:val="00D42B89"/>
    <w:rsid w:val="00D43A03"/>
    <w:rsid w:val="00D45E5D"/>
    <w:rsid w:val="00D46112"/>
    <w:rsid w:val="00D476C7"/>
    <w:rsid w:val="00D477A1"/>
    <w:rsid w:val="00D52DC2"/>
    <w:rsid w:val="00D53BCC"/>
    <w:rsid w:val="00D54AB4"/>
    <w:rsid w:val="00D55124"/>
    <w:rsid w:val="00D5590B"/>
    <w:rsid w:val="00D56358"/>
    <w:rsid w:val="00D5678E"/>
    <w:rsid w:val="00D571A0"/>
    <w:rsid w:val="00D57730"/>
    <w:rsid w:val="00D57A75"/>
    <w:rsid w:val="00D57C07"/>
    <w:rsid w:val="00D61AB4"/>
    <w:rsid w:val="00D6365D"/>
    <w:rsid w:val="00D65D13"/>
    <w:rsid w:val="00D65E68"/>
    <w:rsid w:val="00D66303"/>
    <w:rsid w:val="00D66C38"/>
    <w:rsid w:val="00D67041"/>
    <w:rsid w:val="00D67BA9"/>
    <w:rsid w:val="00D702DE"/>
    <w:rsid w:val="00D70731"/>
    <w:rsid w:val="00D70959"/>
    <w:rsid w:val="00D70DFB"/>
    <w:rsid w:val="00D73C22"/>
    <w:rsid w:val="00D74710"/>
    <w:rsid w:val="00D7567C"/>
    <w:rsid w:val="00D766DF"/>
    <w:rsid w:val="00D84B1B"/>
    <w:rsid w:val="00D90017"/>
    <w:rsid w:val="00D927B2"/>
    <w:rsid w:val="00D92A0A"/>
    <w:rsid w:val="00D93801"/>
    <w:rsid w:val="00D93A70"/>
    <w:rsid w:val="00D94823"/>
    <w:rsid w:val="00D955A2"/>
    <w:rsid w:val="00D96484"/>
    <w:rsid w:val="00D9672C"/>
    <w:rsid w:val="00D975A7"/>
    <w:rsid w:val="00D97AFA"/>
    <w:rsid w:val="00DA0A9D"/>
    <w:rsid w:val="00DA15C0"/>
    <w:rsid w:val="00DA186E"/>
    <w:rsid w:val="00DA2B6D"/>
    <w:rsid w:val="00DA4116"/>
    <w:rsid w:val="00DA41D5"/>
    <w:rsid w:val="00DA5321"/>
    <w:rsid w:val="00DA7511"/>
    <w:rsid w:val="00DA7A6E"/>
    <w:rsid w:val="00DA7B63"/>
    <w:rsid w:val="00DB251C"/>
    <w:rsid w:val="00DB2E0B"/>
    <w:rsid w:val="00DB38AD"/>
    <w:rsid w:val="00DB45F1"/>
    <w:rsid w:val="00DB4630"/>
    <w:rsid w:val="00DB5B86"/>
    <w:rsid w:val="00DB6C7B"/>
    <w:rsid w:val="00DC2C4C"/>
    <w:rsid w:val="00DC40CB"/>
    <w:rsid w:val="00DC4445"/>
    <w:rsid w:val="00DC4F88"/>
    <w:rsid w:val="00DC60BE"/>
    <w:rsid w:val="00DD4C87"/>
    <w:rsid w:val="00DD5738"/>
    <w:rsid w:val="00DD5AE6"/>
    <w:rsid w:val="00DD6158"/>
    <w:rsid w:val="00DD64C7"/>
    <w:rsid w:val="00DE03A1"/>
    <w:rsid w:val="00DE03E6"/>
    <w:rsid w:val="00DE1958"/>
    <w:rsid w:val="00DE6964"/>
    <w:rsid w:val="00DE79F9"/>
    <w:rsid w:val="00DF25EB"/>
    <w:rsid w:val="00DF2A80"/>
    <w:rsid w:val="00DF3032"/>
    <w:rsid w:val="00DF3084"/>
    <w:rsid w:val="00DF4551"/>
    <w:rsid w:val="00DF55AB"/>
    <w:rsid w:val="00DF6CF5"/>
    <w:rsid w:val="00E018B2"/>
    <w:rsid w:val="00E03785"/>
    <w:rsid w:val="00E03D0C"/>
    <w:rsid w:val="00E05704"/>
    <w:rsid w:val="00E06CC3"/>
    <w:rsid w:val="00E073A3"/>
    <w:rsid w:val="00E10034"/>
    <w:rsid w:val="00E10EE3"/>
    <w:rsid w:val="00E11E44"/>
    <w:rsid w:val="00E1335A"/>
    <w:rsid w:val="00E136D8"/>
    <w:rsid w:val="00E13AFA"/>
    <w:rsid w:val="00E207D3"/>
    <w:rsid w:val="00E2092E"/>
    <w:rsid w:val="00E20F58"/>
    <w:rsid w:val="00E2168B"/>
    <w:rsid w:val="00E21F03"/>
    <w:rsid w:val="00E22015"/>
    <w:rsid w:val="00E230AF"/>
    <w:rsid w:val="00E259F4"/>
    <w:rsid w:val="00E25B30"/>
    <w:rsid w:val="00E3189E"/>
    <w:rsid w:val="00E31E82"/>
    <w:rsid w:val="00E31F63"/>
    <w:rsid w:val="00E320D9"/>
    <w:rsid w:val="00E338EF"/>
    <w:rsid w:val="00E40FF8"/>
    <w:rsid w:val="00E414B5"/>
    <w:rsid w:val="00E41EA5"/>
    <w:rsid w:val="00E43091"/>
    <w:rsid w:val="00E4363D"/>
    <w:rsid w:val="00E44D48"/>
    <w:rsid w:val="00E47464"/>
    <w:rsid w:val="00E50FCF"/>
    <w:rsid w:val="00E51C73"/>
    <w:rsid w:val="00E528A9"/>
    <w:rsid w:val="00E544BB"/>
    <w:rsid w:val="00E578EC"/>
    <w:rsid w:val="00E60423"/>
    <w:rsid w:val="00E613D1"/>
    <w:rsid w:val="00E61BB3"/>
    <w:rsid w:val="00E630C3"/>
    <w:rsid w:val="00E64578"/>
    <w:rsid w:val="00E64A4E"/>
    <w:rsid w:val="00E662CB"/>
    <w:rsid w:val="00E673CA"/>
    <w:rsid w:val="00E70F2D"/>
    <w:rsid w:val="00E71560"/>
    <w:rsid w:val="00E71838"/>
    <w:rsid w:val="00E7261B"/>
    <w:rsid w:val="00E74DC7"/>
    <w:rsid w:val="00E763DA"/>
    <w:rsid w:val="00E76C21"/>
    <w:rsid w:val="00E773A4"/>
    <w:rsid w:val="00E8075A"/>
    <w:rsid w:val="00E817B7"/>
    <w:rsid w:val="00E818A6"/>
    <w:rsid w:val="00E81EB1"/>
    <w:rsid w:val="00E84F46"/>
    <w:rsid w:val="00E8688D"/>
    <w:rsid w:val="00E86920"/>
    <w:rsid w:val="00E87752"/>
    <w:rsid w:val="00E90CB0"/>
    <w:rsid w:val="00E94D5E"/>
    <w:rsid w:val="00E9566F"/>
    <w:rsid w:val="00E95BB0"/>
    <w:rsid w:val="00E97F2D"/>
    <w:rsid w:val="00EA1445"/>
    <w:rsid w:val="00EA1447"/>
    <w:rsid w:val="00EA3992"/>
    <w:rsid w:val="00EA7100"/>
    <w:rsid w:val="00EA7F9F"/>
    <w:rsid w:val="00EB08ED"/>
    <w:rsid w:val="00EB1274"/>
    <w:rsid w:val="00EB7421"/>
    <w:rsid w:val="00EB74A9"/>
    <w:rsid w:val="00EC0326"/>
    <w:rsid w:val="00EC094F"/>
    <w:rsid w:val="00EC1BD6"/>
    <w:rsid w:val="00EC324E"/>
    <w:rsid w:val="00EC40B7"/>
    <w:rsid w:val="00EC46A9"/>
    <w:rsid w:val="00EC4757"/>
    <w:rsid w:val="00EC55FC"/>
    <w:rsid w:val="00EC78AA"/>
    <w:rsid w:val="00EC7E49"/>
    <w:rsid w:val="00EC7EDB"/>
    <w:rsid w:val="00ED0256"/>
    <w:rsid w:val="00ED1046"/>
    <w:rsid w:val="00ED166C"/>
    <w:rsid w:val="00ED27E6"/>
    <w:rsid w:val="00ED2BB6"/>
    <w:rsid w:val="00ED34E1"/>
    <w:rsid w:val="00ED3B8D"/>
    <w:rsid w:val="00EE20D7"/>
    <w:rsid w:val="00EE397F"/>
    <w:rsid w:val="00EE428A"/>
    <w:rsid w:val="00EE7856"/>
    <w:rsid w:val="00EF0259"/>
    <w:rsid w:val="00EF1EBA"/>
    <w:rsid w:val="00EF2E3A"/>
    <w:rsid w:val="00F02C67"/>
    <w:rsid w:val="00F02EF9"/>
    <w:rsid w:val="00F04049"/>
    <w:rsid w:val="00F041B6"/>
    <w:rsid w:val="00F04515"/>
    <w:rsid w:val="00F04CF8"/>
    <w:rsid w:val="00F0555A"/>
    <w:rsid w:val="00F05CE1"/>
    <w:rsid w:val="00F072A7"/>
    <w:rsid w:val="00F078DC"/>
    <w:rsid w:val="00F07F06"/>
    <w:rsid w:val="00F10F93"/>
    <w:rsid w:val="00F112E3"/>
    <w:rsid w:val="00F14593"/>
    <w:rsid w:val="00F164CF"/>
    <w:rsid w:val="00F171A1"/>
    <w:rsid w:val="00F226ED"/>
    <w:rsid w:val="00F23451"/>
    <w:rsid w:val="00F2673F"/>
    <w:rsid w:val="00F26DB4"/>
    <w:rsid w:val="00F32BA8"/>
    <w:rsid w:val="00F33956"/>
    <w:rsid w:val="00F349F1"/>
    <w:rsid w:val="00F35D83"/>
    <w:rsid w:val="00F37390"/>
    <w:rsid w:val="00F4215A"/>
    <w:rsid w:val="00F4350D"/>
    <w:rsid w:val="00F476C7"/>
    <w:rsid w:val="00F478CD"/>
    <w:rsid w:val="00F47E5F"/>
    <w:rsid w:val="00F47EE9"/>
    <w:rsid w:val="00F50532"/>
    <w:rsid w:val="00F51DB6"/>
    <w:rsid w:val="00F52127"/>
    <w:rsid w:val="00F52F84"/>
    <w:rsid w:val="00F53320"/>
    <w:rsid w:val="00F53584"/>
    <w:rsid w:val="00F55E96"/>
    <w:rsid w:val="00F567F7"/>
    <w:rsid w:val="00F579DD"/>
    <w:rsid w:val="00F60F2F"/>
    <w:rsid w:val="00F61879"/>
    <w:rsid w:val="00F61B09"/>
    <w:rsid w:val="00F62036"/>
    <w:rsid w:val="00F63682"/>
    <w:rsid w:val="00F649BE"/>
    <w:rsid w:val="00F65B52"/>
    <w:rsid w:val="00F66EBA"/>
    <w:rsid w:val="00F67BCA"/>
    <w:rsid w:val="00F710F2"/>
    <w:rsid w:val="00F73856"/>
    <w:rsid w:val="00F73BD6"/>
    <w:rsid w:val="00F83989"/>
    <w:rsid w:val="00F84982"/>
    <w:rsid w:val="00F85099"/>
    <w:rsid w:val="00F86B70"/>
    <w:rsid w:val="00F9379C"/>
    <w:rsid w:val="00F93A11"/>
    <w:rsid w:val="00F9469F"/>
    <w:rsid w:val="00F955A9"/>
    <w:rsid w:val="00F9632C"/>
    <w:rsid w:val="00FA020B"/>
    <w:rsid w:val="00FA1E52"/>
    <w:rsid w:val="00FA31DE"/>
    <w:rsid w:val="00FA44F9"/>
    <w:rsid w:val="00FA5C23"/>
    <w:rsid w:val="00FA7D17"/>
    <w:rsid w:val="00FB0292"/>
    <w:rsid w:val="00FB35B5"/>
    <w:rsid w:val="00FB3A5C"/>
    <w:rsid w:val="00FB411F"/>
    <w:rsid w:val="00FC3395"/>
    <w:rsid w:val="00FC3EB8"/>
    <w:rsid w:val="00FC79B3"/>
    <w:rsid w:val="00FC7D25"/>
    <w:rsid w:val="00FD2FF3"/>
    <w:rsid w:val="00FD4197"/>
    <w:rsid w:val="00FD6F56"/>
    <w:rsid w:val="00FD7526"/>
    <w:rsid w:val="00FE0704"/>
    <w:rsid w:val="00FE0DD7"/>
    <w:rsid w:val="00FE0EDD"/>
    <w:rsid w:val="00FE4688"/>
    <w:rsid w:val="00FE4BD0"/>
    <w:rsid w:val="00FE72D6"/>
    <w:rsid w:val="00FE79D0"/>
    <w:rsid w:val="00FF1918"/>
    <w:rsid w:val="00FF1F92"/>
    <w:rsid w:val="00FF2A38"/>
    <w:rsid w:val="00FF5636"/>
    <w:rsid w:val="00FF5909"/>
    <w:rsid w:val="00FF5A13"/>
    <w:rsid w:val="00FF6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tbltext">
    <w:name w:val="tbl text"/>
    <w:basedOn w:val="Normal"/>
    <w:link w:val="tbltextChar"/>
    <w:rsid w:val="004E77D9"/>
    <w:pPr>
      <w:widowControl w:val="0"/>
      <w:spacing w:before="120" w:line="240" w:lineRule="atLeast"/>
    </w:pPr>
    <w:rPr>
      <w:rFonts w:ascii="Arial" w:eastAsia="Times New Roman" w:hAnsi="Arial" w:cs="Arial"/>
      <w:sz w:val="18"/>
      <w:szCs w:val="18"/>
      <w:lang w:eastAsia="en-AU"/>
    </w:rPr>
  </w:style>
  <w:style w:type="character" w:customStyle="1" w:styleId="tbltextChar">
    <w:name w:val="tbl text Char"/>
    <w:basedOn w:val="DefaultParagraphFont"/>
    <w:link w:val="tbltext"/>
    <w:rsid w:val="004E77D9"/>
    <w:rPr>
      <w:rFonts w:ascii="Arial" w:eastAsia="Times New Roman" w:hAnsi="Arial" w:cs="Arial"/>
      <w:sz w:val="18"/>
      <w:szCs w:val="18"/>
    </w:rPr>
  </w:style>
  <w:style w:type="paragraph" w:styleId="Revision">
    <w:name w:val="Revision"/>
    <w:hidden/>
    <w:uiPriority w:val="99"/>
    <w:semiHidden/>
    <w:rsid w:val="00CE0902"/>
    <w:rPr>
      <w:sz w:val="22"/>
      <w:lang w:eastAsia="en-US"/>
    </w:rPr>
  </w:style>
  <w:style w:type="character" w:styleId="UnresolvedMention">
    <w:name w:val="Unresolved Mention"/>
    <w:basedOn w:val="DefaultParagraphFont"/>
    <w:uiPriority w:val="99"/>
    <w:semiHidden/>
    <w:unhideWhenUsed/>
    <w:rsid w:val="00F51DB6"/>
    <w:rPr>
      <w:color w:val="605E5C"/>
      <w:shd w:val="clear" w:color="auto" w:fill="E1DFDD"/>
    </w:rPr>
  </w:style>
  <w:style w:type="paragraph" w:customStyle="1" w:styleId="LI-Fronttextheading1">
    <w:name w:val="LI - Front text heading 1"/>
    <w:basedOn w:val="LI-Heading1"/>
    <w:rsid w:val="00D70959"/>
    <w:pPr>
      <w:pageBreakBefore/>
    </w:pPr>
  </w:style>
  <w:style w:type="paragraph" w:customStyle="1" w:styleId="LI-Fronttextheading2">
    <w:name w:val="LI - Front text heading 2"/>
    <w:basedOn w:val="LI-Heading2"/>
    <w:rsid w:val="00D70959"/>
    <w:pPr>
      <w:spacing w:after="60"/>
    </w:pPr>
  </w:style>
  <w:style w:type="paragraph" w:customStyle="1" w:styleId="LI-Endnotetext">
    <w:name w:val="LI - Endnote text"/>
    <w:basedOn w:val="OPCParaBase"/>
    <w:next w:val="Normal"/>
    <w:rsid w:val="001A4E8B"/>
    <w:pPr>
      <w:spacing w:before="220"/>
    </w:pPr>
    <w:rPr>
      <w:szCs w:val="24"/>
    </w:rPr>
  </w:style>
  <w:style w:type="paragraph" w:customStyle="1" w:styleId="LI-Tabletext">
    <w:name w:val="LI - Table text"/>
    <w:basedOn w:val="Normal"/>
    <w:rsid w:val="00886021"/>
    <w:pPr>
      <w:spacing w:before="60"/>
      <w:ind w:left="34"/>
    </w:pPr>
    <w:rPr>
      <w:rFonts w:eastAsiaTheme="minorHAnsi" w:cstheme="minorBidi"/>
      <w:sz w:val="16"/>
      <w:szCs w:val="16"/>
    </w:rPr>
  </w:style>
  <w:style w:type="paragraph" w:customStyle="1" w:styleId="LI-Tableheadingrow">
    <w:name w:val="LI - Table heading row"/>
    <w:basedOn w:val="ENoteTableHeading"/>
    <w:rsid w:val="009B5967"/>
    <w:pPr>
      <w:spacing w:after="60"/>
    </w:pPr>
  </w:style>
  <w:style w:type="paragraph" w:customStyle="1" w:styleId="mirsubpara">
    <w:name w:val="mirsubpara"/>
    <w:basedOn w:val="Normal"/>
    <w:rsid w:val="00EE20D7"/>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591">
      <w:bodyDiv w:val="1"/>
      <w:marLeft w:val="0"/>
      <w:marRight w:val="0"/>
      <w:marTop w:val="0"/>
      <w:marBottom w:val="0"/>
      <w:divBdr>
        <w:top w:val="none" w:sz="0" w:space="0" w:color="auto"/>
        <w:left w:val="none" w:sz="0" w:space="0" w:color="auto"/>
        <w:bottom w:val="none" w:sz="0" w:space="0" w:color="auto"/>
        <w:right w:val="none" w:sz="0" w:space="0" w:color="auto"/>
      </w:divBdr>
    </w:div>
    <w:div w:id="834490113">
      <w:bodyDiv w:val="1"/>
      <w:marLeft w:val="0"/>
      <w:marRight w:val="0"/>
      <w:marTop w:val="0"/>
      <w:marBottom w:val="0"/>
      <w:divBdr>
        <w:top w:val="none" w:sz="0" w:space="0" w:color="auto"/>
        <w:left w:val="none" w:sz="0" w:space="0" w:color="auto"/>
        <w:bottom w:val="none" w:sz="0" w:space="0" w:color="auto"/>
        <w:right w:val="none" w:sz="0" w:space="0" w:color="auto"/>
      </w:divBdr>
    </w:div>
    <w:div w:id="1118790348">
      <w:bodyDiv w:val="1"/>
      <w:marLeft w:val="0"/>
      <w:marRight w:val="0"/>
      <w:marTop w:val="0"/>
      <w:marBottom w:val="0"/>
      <w:divBdr>
        <w:top w:val="none" w:sz="0" w:space="0" w:color="auto"/>
        <w:left w:val="none" w:sz="0" w:space="0" w:color="auto"/>
        <w:bottom w:val="none" w:sz="0" w:space="0" w:color="auto"/>
        <w:right w:val="none" w:sz="0" w:space="0" w:color="auto"/>
      </w:divBdr>
    </w:div>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 w:id="1529836309">
      <w:bodyDiv w:val="1"/>
      <w:marLeft w:val="0"/>
      <w:marRight w:val="0"/>
      <w:marTop w:val="0"/>
      <w:marBottom w:val="0"/>
      <w:divBdr>
        <w:top w:val="none" w:sz="0" w:space="0" w:color="auto"/>
        <w:left w:val="none" w:sz="0" w:space="0" w:color="auto"/>
        <w:bottom w:val="none" w:sz="0" w:space="0" w:color="auto"/>
        <w:right w:val="none" w:sz="0" w:space="0" w:color="auto"/>
      </w:divBdr>
    </w:div>
    <w:div w:id="18727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customXml/itemProps2.xml><?xml version="1.0" encoding="utf-8"?>
<ds:datastoreItem xmlns:ds="http://schemas.openxmlformats.org/officeDocument/2006/customXml" ds:itemID="{3DABB042-F2E9-4003-BC90-328991AC2D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4164</Words>
  <Characters>23739</Characters>
  <Application>Microsoft Office Word</Application>
  <DocSecurity>0</DocSecurity>
  <PresentationFormat/>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Base/>
  <HLinks>
    <vt:vector size="78" baseType="variant">
      <vt:variant>
        <vt:i4>1376318</vt:i4>
      </vt:variant>
      <vt:variant>
        <vt:i4>74</vt:i4>
      </vt:variant>
      <vt:variant>
        <vt:i4>0</vt:i4>
      </vt:variant>
      <vt:variant>
        <vt:i4>5</vt:i4>
      </vt:variant>
      <vt:variant>
        <vt:lpwstr/>
      </vt:variant>
      <vt:variant>
        <vt:lpwstr>_Toc182488568</vt:lpwstr>
      </vt:variant>
      <vt:variant>
        <vt:i4>1376318</vt:i4>
      </vt:variant>
      <vt:variant>
        <vt:i4>68</vt:i4>
      </vt:variant>
      <vt:variant>
        <vt:i4>0</vt:i4>
      </vt:variant>
      <vt:variant>
        <vt:i4>5</vt:i4>
      </vt:variant>
      <vt:variant>
        <vt:lpwstr/>
      </vt:variant>
      <vt:variant>
        <vt:lpwstr>_Toc182488567</vt:lpwstr>
      </vt:variant>
      <vt:variant>
        <vt:i4>1376318</vt:i4>
      </vt:variant>
      <vt:variant>
        <vt:i4>62</vt:i4>
      </vt:variant>
      <vt:variant>
        <vt:i4>0</vt:i4>
      </vt:variant>
      <vt:variant>
        <vt:i4>5</vt:i4>
      </vt:variant>
      <vt:variant>
        <vt:lpwstr/>
      </vt:variant>
      <vt:variant>
        <vt:lpwstr>_Toc182488566</vt:lpwstr>
      </vt:variant>
      <vt:variant>
        <vt:i4>1376318</vt:i4>
      </vt:variant>
      <vt:variant>
        <vt:i4>56</vt:i4>
      </vt:variant>
      <vt:variant>
        <vt:i4>0</vt:i4>
      </vt:variant>
      <vt:variant>
        <vt:i4>5</vt:i4>
      </vt:variant>
      <vt:variant>
        <vt:lpwstr/>
      </vt:variant>
      <vt:variant>
        <vt:lpwstr>_Toc182488565</vt:lpwstr>
      </vt:variant>
      <vt:variant>
        <vt:i4>1376318</vt:i4>
      </vt:variant>
      <vt:variant>
        <vt:i4>50</vt:i4>
      </vt:variant>
      <vt:variant>
        <vt:i4>0</vt:i4>
      </vt:variant>
      <vt:variant>
        <vt:i4>5</vt:i4>
      </vt:variant>
      <vt:variant>
        <vt:lpwstr/>
      </vt:variant>
      <vt:variant>
        <vt:lpwstr>_Toc182488564</vt:lpwstr>
      </vt:variant>
      <vt:variant>
        <vt:i4>1376318</vt:i4>
      </vt:variant>
      <vt:variant>
        <vt:i4>44</vt:i4>
      </vt:variant>
      <vt:variant>
        <vt:i4>0</vt:i4>
      </vt:variant>
      <vt:variant>
        <vt:i4>5</vt:i4>
      </vt:variant>
      <vt:variant>
        <vt:lpwstr/>
      </vt:variant>
      <vt:variant>
        <vt:lpwstr>_Toc182488563</vt:lpwstr>
      </vt:variant>
      <vt:variant>
        <vt:i4>1376318</vt:i4>
      </vt:variant>
      <vt:variant>
        <vt:i4>38</vt:i4>
      </vt:variant>
      <vt:variant>
        <vt:i4>0</vt:i4>
      </vt:variant>
      <vt:variant>
        <vt:i4>5</vt:i4>
      </vt:variant>
      <vt:variant>
        <vt:lpwstr/>
      </vt:variant>
      <vt:variant>
        <vt:lpwstr>_Toc182488562</vt:lpwstr>
      </vt:variant>
      <vt:variant>
        <vt:i4>1376318</vt:i4>
      </vt:variant>
      <vt:variant>
        <vt:i4>32</vt:i4>
      </vt:variant>
      <vt:variant>
        <vt:i4>0</vt:i4>
      </vt:variant>
      <vt:variant>
        <vt:i4>5</vt:i4>
      </vt:variant>
      <vt:variant>
        <vt:lpwstr/>
      </vt:variant>
      <vt:variant>
        <vt:lpwstr>_Toc182488561</vt:lpwstr>
      </vt:variant>
      <vt:variant>
        <vt:i4>1376318</vt:i4>
      </vt:variant>
      <vt:variant>
        <vt:i4>26</vt:i4>
      </vt:variant>
      <vt:variant>
        <vt:i4>0</vt:i4>
      </vt:variant>
      <vt:variant>
        <vt:i4>5</vt:i4>
      </vt:variant>
      <vt:variant>
        <vt:lpwstr/>
      </vt:variant>
      <vt:variant>
        <vt:lpwstr>_Toc182488560</vt:lpwstr>
      </vt:variant>
      <vt:variant>
        <vt:i4>1441854</vt:i4>
      </vt:variant>
      <vt:variant>
        <vt:i4>20</vt:i4>
      </vt:variant>
      <vt:variant>
        <vt:i4>0</vt:i4>
      </vt:variant>
      <vt:variant>
        <vt:i4>5</vt:i4>
      </vt:variant>
      <vt:variant>
        <vt:lpwstr/>
      </vt:variant>
      <vt:variant>
        <vt:lpwstr>_Toc182488559</vt:lpwstr>
      </vt:variant>
      <vt:variant>
        <vt:i4>1441854</vt:i4>
      </vt:variant>
      <vt:variant>
        <vt:i4>14</vt:i4>
      </vt:variant>
      <vt:variant>
        <vt:i4>0</vt:i4>
      </vt:variant>
      <vt:variant>
        <vt:i4>5</vt:i4>
      </vt:variant>
      <vt:variant>
        <vt:lpwstr/>
      </vt:variant>
      <vt:variant>
        <vt:lpwstr>_Toc182488558</vt:lpwstr>
      </vt:variant>
      <vt:variant>
        <vt:i4>1441854</vt:i4>
      </vt:variant>
      <vt:variant>
        <vt:i4>8</vt:i4>
      </vt:variant>
      <vt:variant>
        <vt:i4>0</vt:i4>
      </vt:variant>
      <vt:variant>
        <vt:i4>5</vt:i4>
      </vt:variant>
      <vt:variant>
        <vt:lpwstr/>
      </vt:variant>
      <vt:variant>
        <vt:lpwstr>_Toc182488557</vt:lpwstr>
      </vt:variant>
      <vt:variant>
        <vt:i4>1441854</vt:i4>
      </vt:variant>
      <vt:variant>
        <vt:i4>2</vt:i4>
      </vt:variant>
      <vt:variant>
        <vt:i4>0</vt:i4>
      </vt:variant>
      <vt:variant>
        <vt:i4>5</vt:i4>
      </vt:variant>
      <vt:variant>
        <vt:lpwstr/>
      </vt:variant>
      <vt:variant>
        <vt:lpwstr>_Toc182488556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2024-11-18T01:04:00Z</dcterms:created>
  <dcterms:modified xsi:type="dcterms:W3CDTF">2024-11-20T22:22:00Z</dcterms:modified>
  <dc:language/>
  <cp:version/>
</cp:coreProperties>
</file>