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1B4F" w14:textId="77777777" w:rsidR="001F2A16" w:rsidRPr="00D57FC5" w:rsidRDefault="001F2A16" w:rsidP="009C6A4C">
      <w:pPr>
        <w:pStyle w:val="Header"/>
        <w:pBdr>
          <w:top w:val="single" w:sz="4" w:space="1" w:color="auto"/>
          <w:bottom w:val="single" w:sz="4" w:space="1" w:color="auto"/>
        </w:pBdr>
        <w:tabs>
          <w:tab w:val="clear" w:pos="4153"/>
          <w:tab w:val="clear" w:pos="8306"/>
        </w:tabs>
        <w:spacing w:after="360"/>
        <w:jc w:val="center"/>
        <w:rPr>
          <w:rFonts w:ascii="Arial" w:hAnsi="Arial" w:cs="Arial"/>
          <w:sz w:val="34"/>
          <w:szCs w:val="34"/>
        </w:rPr>
      </w:pPr>
      <w:r w:rsidRPr="00D57FC5">
        <w:rPr>
          <w:rFonts w:ascii="Arial" w:hAnsi="Arial" w:cs="Arial"/>
          <w:sz w:val="34"/>
          <w:szCs w:val="34"/>
        </w:rPr>
        <w:t>Explanatory Statement</w:t>
      </w:r>
    </w:p>
    <w:p w14:paraId="3EDBFA52" w14:textId="72D6BE73" w:rsidR="00456C75" w:rsidRPr="00D57FC5" w:rsidRDefault="00CC7F0E" w:rsidP="009C6A4C">
      <w:pPr>
        <w:pStyle w:val="Header"/>
        <w:pBdr>
          <w:top w:val="single" w:sz="4" w:space="1" w:color="auto"/>
          <w:bottom w:val="single" w:sz="4" w:space="1" w:color="auto"/>
        </w:pBdr>
        <w:tabs>
          <w:tab w:val="clear" w:pos="4153"/>
          <w:tab w:val="clear" w:pos="8306"/>
        </w:tabs>
        <w:jc w:val="center"/>
        <w:rPr>
          <w:rFonts w:ascii="Arial" w:hAnsi="Arial" w:cs="Arial"/>
          <w:sz w:val="34"/>
          <w:szCs w:val="34"/>
        </w:rPr>
      </w:pPr>
      <w:bookmarkStart w:id="0" w:name="_Hlk126311582"/>
      <w:r w:rsidRPr="00D57FC5">
        <w:rPr>
          <w:rFonts w:ascii="Arial" w:hAnsi="Arial" w:cs="Arial"/>
          <w:sz w:val="34"/>
          <w:szCs w:val="34"/>
        </w:rPr>
        <w:t xml:space="preserve">Fringe Benefits Tax Assessment </w:t>
      </w:r>
      <w:r w:rsidR="00B836F7" w:rsidRPr="00D57FC5">
        <w:rPr>
          <w:rFonts w:ascii="Arial" w:hAnsi="Arial" w:cs="Arial"/>
          <w:sz w:val="34"/>
          <w:szCs w:val="34"/>
        </w:rPr>
        <w:t>(</w:t>
      </w:r>
      <w:r w:rsidRPr="00D57FC5">
        <w:rPr>
          <w:rFonts w:ascii="Arial" w:hAnsi="Arial" w:cs="Arial"/>
          <w:sz w:val="34"/>
          <w:szCs w:val="34"/>
        </w:rPr>
        <w:t>Adequate Alternative Records</w:t>
      </w:r>
      <w:r w:rsidR="00842D94" w:rsidRPr="00D57FC5">
        <w:rPr>
          <w:rFonts w:ascii="Arial" w:hAnsi="Arial" w:cs="Arial"/>
          <w:sz w:val="34"/>
          <w:szCs w:val="34"/>
        </w:rPr>
        <w:t xml:space="preserve"> </w:t>
      </w:r>
      <w:bookmarkStart w:id="1" w:name="_Hlk121409009"/>
      <w:r w:rsidR="00842D94" w:rsidRPr="00D57FC5">
        <w:rPr>
          <w:rFonts w:ascii="Arial" w:hAnsi="Arial" w:cs="Arial"/>
          <w:sz w:val="34"/>
          <w:szCs w:val="34"/>
        </w:rPr>
        <w:t>–</w:t>
      </w:r>
      <w:r w:rsidR="00B836F7" w:rsidRPr="00D57FC5">
        <w:rPr>
          <w:rFonts w:ascii="Arial" w:hAnsi="Arial" w:cs="Arial"/>
          <w:sz w:val="34"/>
          <w:szCs w:val="34"/>
        </w:rPr>
        <w:t xml:space="preserve"> </w:t>
      </w:r>
      <w:r w:rsidRPr="00D57FC5">
        <w:rPr>
          <w:rFonts w:ascii="Arial" w:hAnsi="Arial" w:cs="Arial"/>
          <w:sz w:val="34"/>
          <w:szCs w:val="34"/>
        </w:rPr>
        <w:t>Temporary Accommodation Relating to Relocation</w:t>
      </w:r>
      <w:bookmarkEnd w:id="1"/>
      <w:r w:rsidRPr="00D57FC5">
        <w:rPr>
          <w:rFonts w:ascii="Arial" w:hAnsi="Arial" w:cs="Arial"/>
          <w:sz w:val="34"/>
          <w:szCs w:val="34"/>
        </w:rPr>
        <w:t xml:space="preserve">) </w:t>
      </w:r>
      <w:r w:rsidR="00B836F7" w:rsidRPr="00D57FC5">
        <w:rPr>
          <w:rFonts w:ascii="Arial" w:hAnsi="Arial" w:cs="Arial"/>
          <w:sz w:val="34"/>
          <w:szCs w:val="34"/>
        </w:rPr>
        <w:t>Determination</w:t>
      </w:r>
      <w:r w:rsidRPr="00D57FC5">
        <w:rPr>
          <w:rFonts w:ascii="Arial" w:hAnsi="Arial" w:cs="Arial"/>
          <w:sz w:val="34"/>
          <w:szCs w:val="34"/>
        </w:rPr>
        <w:t xml:space="preserve"> 202</w:t>
      </w:r>
      <w:r w:rsidR="00BE38DD" w:rsidRPr="00D57FC5">
        <w:rPr>
          <w:rFonts w:ascii="Arial" w:hAnsi="Arial" w:cs="Arial"/>
          <w:sz w:val="34"/>
          <w:szCs w:val="34"/>
        </w:rPr>
        <w:t>4</w:t>
      </w:r>
      <w:bookmarkEnd w:id="0"/>
    </w:p>
    <w:p w14:paraId="15AC1B52" w14:textId="5B65CDA8" w:rsidR="0099555F" w:rsidRPr="00D57FC5" w:rsidRDefault="0099555F" w:rsidP="00C1605F">
      <w:pPr>
        <w:rPr>
          <w:rFonts w:ascii="Arial" w:hAnsi="Arial" w:cs="Arial"/>
        </w:rPr>
      </w:pPr>
    </w:p>
    <w:p w14:paraId="141ACAAB" w14:textId="77777777" w:rsidR="009C6A4C" w:rsidRPr="00D57FC5" w:rsidRDefault="009C6A4C" w:rsidP="00C1605F">
      <w:pPr>
        <w:rPr>
          <w:rFonts w:ascii="Arial" w:hAnsi="Arial" w:cs="Arial"/>
        </w:rPr>
      </w:pPr>
    </w:p>
    <w:p w14:paraId="1A36E676" w14:textId="5466D903" w:rsidR="00C61B35" w:rsidRPr="00D57FC5" w:rsidRDefault="00486653" w:rsidP="00D57FC5">
      <w:pPr>
        <w:pStyle w:val="Heading2"/>
        <w:keepNext w:val="0"/>
      </w:pPr>
      <w:r w:rsidRPr="00D57FC5">
        <w:t xml:space="preserve">General </w:t>
      </w:r>
      <w:r w:rsidR="00C620E9" w:rsidRPr="00D57FC5">
        <w:t>o</w:t>
      </w:r>
      <w:r w:rsidRPr="00D57FC5">
        <w:t xml:space="preserve">utline of </w:t>
      </w:r>
      <w:r w:rsidR="00C620E9" w:rsidRPr="00D57FC5">
        <w:t>i</w:t>
      </w:r>
      <w:r w:rsidRPr="00D57FC5">
        <w:t>nstrument</w:t>
      </w:r>
    </w:p>
    <w:p w14:paraId="500E8DB2" w14:textId="73A001BD" w:rsidR="00A46C1D" w:rsidRPr="00D57FC5" w:rsidRDefault="00C61B35" w:rsidP="00D57FC5">
      <w:pPr>
        <w:numPr>
          <w:ilvl w:val="0"/>
          <w:numId w:val="1"/>
        </w:numPr>
        <w:tabs>
          <w:tab w:val="clear" w:pos="360"/>
        </w:tabs>
        <w:spacing w:after="120"/>
        <w:ind w:left="0" w:firstLine="0"/>
        <w:rPr>
          <w:rFonts w:ascii="Arial" w:hAnsi="Arial" w:cs="Arial"/>
          <w:sz w:val="22"/>
          <w:szCs w:val="22"/>
        </w:rPr>
      </w:pPr>
      <w:r w:rsidRPr="00D57FC5">
        <w:rPr>
          <w:rFonts w:ascii="Arial" w:hAnsi="Arial" w:cs="Arial"/>
          <w:sz w:val="22"/>
          <w:szCs w:val="22"/>
        </w:rPr>
        <w:t xml:space="preserve">This instrument is made under section 123AA of the </w:t>
      </w:r>
      <w:r w:rsidRPr="00D57FC5">
        <w:rPr>
          <w:rFonts w:ascii="Arial" w:hAnsi="Arial" w:cs="Arial"/>
          <w:i/>
          <w:iCs/>
          <w:sz w:val="22"/>
          <w:szCs w:val="22"/>
        </w:rPr>
        <w:t>Fringe Benefits Tax Assessment Act</w:t>
      </w:r>
      <w:r w:rsidR="009C6A4C" w:rsidRPr="00D57FC5">
        <w:rPr>
          <w:rFonts w:ascii="Arial" w:hAnsi="Arial" w:cs="Arial"/>
          <w:i/>
          <w:iCs/>
          <w:sz w:val="22"/>
          <w:szCs w:val="22"/>
        </w:rPr>
        <w:t> </w:t>
      </w:r>
      <w:r w:rsidRPr="00D57FC5">
        <w:rPr>
          <w:rFonts w:ascii="Arial" w:hAnsi="Arial" w:cs="Arial"/>
          <w:i/>
          <w:iCs/>
          <w:sz w:val="22"/>
          <w:szCs w:val="22"/>
        </w:rPr>
        <w:t>1986</w:t>
      </w:r>
      <w:r w:rsidRPr="00D57FC5">
        <w:rPr>
          <w:rFonts w:ascii="Arial" w:hAnsi="Arial" w:cs="Arial"/>
          <w:sz w:val="22"/>
          <w:szCs w:val="22"/>
        </w:rPr>
        <w:t xml:space="preserve"> (FBTAA).</w:t>
      </w:r>
    </w:p>
    <w:p w14:paraId="67D4BF4D" w14:textId="2CB4A95F" w:rsidR="00A23F33" w:rsidRPr="00D57FC5" w:rsidRDefault="00A23F33" w:rsidP="00D57FC5">
      <w:pPr>
        <w:numPr>
          <w:ilvl w:val="0"/>
          <w:numId w:val="1"/>
        </w:numPr>
        <w:tabs>
          <w:tab w:val="clear" w:pos="360"/>
        </w:tabs>
        <w:spacing w:after="120"/>
        <w:ind w:left="0" w:firstLine="0"/>
        <w:rPr>
          <w:rFonts w:ascii="Arial" w:hAnsi="Arial" w:cs="Arial"/>
          <w:sz w:val="22"/>
          <w:szCs w:val="22"/>
        </w:rPr>
      </w:pPr>
      <w:r w:rsidRPr="00D57FC5">
        <w:rPr>
          <w:rFonts w:ascii="Arial" w:hAnsi="Arial" w:cs="Arial"/>
          <w:sz w:val="22"/>
          <w:szCs w:val="22"/>
        </w:rPr>
        <w:t>The instrument specifies records the Commissioner of Taxation will accept as an alternative to an employee declaration in respect of expense payment fringe benefits, hous</w:t>
      </w:r>
      <w:r w:rsidR="00B0120D" w:rsidRPr="00D57FC5">
        <w:rPr>
          <w:rFonts w:ascii="Arial" w:hAnsi="Arial" w:cs="Arial"/>
          <w:sz w:val="22"/>
          <w:szCs w:val="22"/>
        </w:rPr>
        <w:t>ing</w:t>
      </w:r>
      <w:r w:rsidRPr="00D57FC5">
        <w:rPr>
          <w:rFonts w:ascii="Arial" w:hAnsi="Arial" w:cs="Arial"/>
          <w:sz w:val="22"/>
          <w:szCs w:val="22"/>
        </w:rPr>
        <w:t xml:space="preserve"> fringe benefits or residual fringe benefits where:</w:t>
      </w:r>
    </w:p>
    <w:p w14:paraId="595ECB57" w14:textId="6C5A85FC" w:rsidR="00A46C1D" w:rsidRPr="00D57FC5" w:rsidRDefault="00A23F33" w:rsidP="00D57FC5">
      <w:pPr>
        <w:pStyle w:val="ListParagraph"/>
        <w:numPr>
          <w:ilvl w:val="0"/>
          <w:numId w:val="7"/>
        </w:numPr>
        <w:spacing w:after="120" w:line="240" w:lineRule="auto"/>
        <w:ind w:left="1418" w:hanging="709"/>
        <w:rPr>
          <w:rFonts w:ascii="Arial" w:hAnsi="Arial" w:cs="Arial"/>
        </w:rPr>
      </w:pPr>
      <w:bookmarkStart w:id="2" w:name="_Hlk126241131"/>
      <w:r w:rsidRPr="00D57FC5">
        <w:rPr>
          <w:rFonts w:ascii="Arial" w:hAnsi="Arial" w:cs="Arial"/>
        </w:rPr>
        <w:t xml:space="preserve">the employer seeks to reduce the taxable value of a benefit in </w:t>
      </w:r>
      <w:r w:rsidR="00C93A8D" w:rsidRPr="00D57FC5">
        <w:rPr>
          <w:rFonts w:ascii="Arial" w:hAnsi="Arial" w:cs="Arial"/>
        </w:rPr>
        <w:t xml:space="preserve">respect of providing temporary accommodation </w:t>
      </w:r>
      <w:r w:rsidR="00675D12" w:rsidRPr="00D57FC5">
        <w:rPr>
          <w:rFonts w:ascii="Arial" w:hAnsi="Arial" w:cs="Arial"/>
        </w:rPr>
        <w:t>or</w:t>
      </w:r>
      <w:r w:rsidR="00C93A8D" w:rsidRPr="00D57FC5">
        <w:rPr>
          <w:rFonts w:ascii="Arial" w:hAnsi="Arial" w:cs="Arial"/>
        </w:rPr>
        <w:t xml:space="preserve"> </w:t>
      </w:r>
      <w:r w:rsidR="00675D12" w:rsidRPr="00D57FC5">
        <w:rPr>
          <w:rFonts w:ascii="Arial" w:hAnsi="Arial" w:cs="Arial"/>
        </w:rPr>
        <w:t>temporary</w:t>
      </w:r>
      <w:r w:rsidR="00C93A8D" w:rsidRPr="00D57FC5">
        <w:rPr>
          <w:rFonts w:ascii="Arial" w:hAnsi="Arial" w:cs="Arial"/>
        </w:rPr>
        <w:t xml:space="preserve"> hir</w:t>
      </w:r>
      <w:r w:rsidR="00675D12" w:rsidRPr="00D57FC5">
        <w:rPr>
          <w:rFonts w:ascii="Arial" w:hAnsi="Arial" w:cs="Arial"/>
        </w:rPr>
        <w:t>e of</w:t>
      </w:r>
      <w:r w:rsidR="00C93A8D" w:rsidRPr="00D57FC5">
        <w:rPr>
          <w:rFonts w:ascii="Arial" w:hAnsi="Arial" w:cs="Arial"/>
        </w:rPr>
        <w:t xml:space="preserve"> household goods to an employee</w:t>
      </w:r>
      <w:r w:rsidR="00A85661" w:rsidRPr="00D57FC5">
        <w:rPr>
          <w:rFonts w:ascii="Arial" w:hAnsi="Arial" w:cs="Arial"/>
        </w:rPr>
        <w:t xml:space="preserve"> and their family members</w:t>
      </w:r>
      <w:r w:rsidR="00C93A8D" w:rsidRPr="00D57FC5">
        <w:rPr>
          <w:rFonts w:ascii="Arial" w:hAnsi="Arial" w:cs="Arial"/>
        </w:rPr>
        <w:t xml:space="preserve"> </w:t>
      </w:r>
      <w:r w:rsidRPr="00D57FC5">
        <w:rPr>
          <w:rFonts w:ascii="Arial" w:hAnsi="Arial" w:cs="Arial"/>
        </w:rPr>
        <w:t>(</w:t>
      </w:r>
      <w:r w:rsidR="000B7968" w:rsidRPr="00D57FC5">
        <w:rPr>
          <w:rFonts w:ascii="Arial" w:hAnsi="Arial" w:cs="Arial"/>
        </w:rPr>
        <w:t xml:space="preserve">under </w:t>
      </w:r>
      <w:r w:rsidRPr="00D57FC5">
        <w:rPr>
          <w:rFonts w:ascii="Arial" w:hAnsi="Arial" w:cs="Arial"/>
        </w:rPr>
        <w:t>section 61</w:t>
      </w:r>
      <w:r w:rsidR="00763E46" w:rsidRPr="00D57FC5">
        <w:rPr>
          <w:rFonts w:ascii="Arial" w:hAnsi="Arial" w:cs="Arial"/>
        </w:rPr>
        <w:t>C</w:t>
      </w:r>
      <w:r w:rsidRPr="00D57FC5">
        <w:rPr>
          <w:rFonts w:ascii="Arial" w:hAnsi="Arial" w:cs="Arial"/>
        </w:rPr>
        <w:t xml:space="preserve"> of the FBTAA)</w:t>
      </w:r>
      <w:r w:rsidR="00C12993" w:rsidRPr="00D57FC5">
        <w:rPr>
          <w:rFonts w:ascii="Arial" w:hAnsi="Arial" w:cs="Arial"/>
        </w:rPr>
        <w:t>,</w:t>
      </w:r>
      <w:r w:rsidRPr="00D57FC5">
        <w:rPr>
          <w:rFonts w:ascii="Arial" w:hAnsi="Arial" w:cs="Arial"/>
        </w:rPr>
        <w:t xml:space="preserve"> </w:t>
      </w:r>
      <w:r w:rsidR="00C93A8D" w:rsidRPr="00D57FC5">
        <w:rPr>
          <w:rFonts w:ascii="Arial" w:hAnsi="Arial" w:cs="Arial"/>
        </w:rPr>
        <w:t>and</w:t>
      </w:r>
      <w:bookmarkEnd w:id="2"/>
    </w:p>
    <w:p w14:paraId="24ABB51B" w14:textId="281BB357" w:rsidR="00A46C1D" w:rsidRPr="00D57FC5" w:rsidRDefault="00763E46" w:rsidP="00D57FC5">
      <w:pPr>
        <w:pStyle w:val="ListParagraph"/>
        <w:numPr>
          <w:ilvl w:val="0"/>
          <w:numId w:val="7"/>
        </w:numPr>
        <w:spacing w:after="120" w:line="240" w:lineRule="auto"/>
        <w:ind w:left="1418" w:hanging="709"/>
        <w:rPr>
          <w:rFonts w:ascii="Arial" w:hAnsi="Arial" w:cs="Arial"/>
        </w:rPr>
      </w:pPr>
      <w:r w:rsidRPr="00D57FC5">
        <w:rPr>
          <w:rFonts w:ascii="Arial" w:hAnsi="Arial" w:cs="Arial"/>
        </w:rPr>
        <w:t xml:space="preserve">the temporary accommodation is required solely because the employee is required to change </w:t>
      </w:r>
      <w:r w:rsidR="000B7968" w:rsidRPr="00D57FC5">
        <w:rPr>
          <w:rFonts w:ascii="Arial" w:hAnsi="Arial" w:cs="Arial"/>
        </w:rPr>
        <w:t xml:space="preserve">their </w:t>
      </w:r>
      <w:r w:rsidRPr="00D57FC5">
        <w:rPr>
          <w:rFonts w:ascii="Arial" w:hAnsi="Arial" w:cs="Arial"/>
        </w:rPr>
        <w:t xml:space="preserve">usual place of residence in order to perform the duties of </w:t>
      </w:r>
      <w:r w:rsidR="00F4235E" w:rsidRPr="00D57FC5">
        <w:rPr>
          <w:rFonts w:ascii="Arial" w:hAnsi="Arial" w:cs="Arial"/>
        </w:rPr>
        <w:t xml:space="preserve">their </w:t>
      </w:r>
      <w:r w:rsidRPr="00D57FC5">
        <w:rPr>
          <w:rFonts w:ascii="Arial" w:hAnsi="Arial" w:cs="Arial"/>
        </w:rPr>
        <w:t>employment</w:t>
      </w:r>
      <w:r w:rsidR="00A23F33" w:rsidRPr="00D57FC5">
        <w:rPr>
          <w:rFonts w:ascii="Arial" w:hAnsi="Arial" w:cs="Arial"/>
        </w:rPr>
        <w:t>.</w:t>
      </w:r>
    </w:p>
    <w:p w14:paraId="7DF60A08" w14:textId="72873693" w:rsidR="008609C6" w:rsidRPr="00D57FC5" w:rsidRDefault="006D74B0" w:rsidP="00D57FC5">
      <w:pPr>
        <w:numPr>
          <w:ilvl w:val="0"/>
          <w:numId w:val="1"/>
        </w:numPr>
        <w:tabs>
          <w:tab w:val="clear" w:pos="360"/>
        </w:tabs>
        <w:spacing w:after="120"/>
        <w:ind w:left="0" w:firstLine="0"/>
        <w:rPr>
          <w:rFonts w:ascii="Arial" w:hAnsi="Arial" w:cs="Arial"/>
          <w:sz w:val="22"/>
          <w:szCs w:val="22"/>
        </w:rPr>
      </w:pPr>
      <w:r w:rsidRPr="00D57FC5">
        <w:rPr>
          <w:rFonts w:ascii="Arial" w:hAnsi="Arial" w:cs="Arial"/>
          <w:sz w:val="22"/>
          <w:szCs w:val="22"/>
        </w:rPr>
        <w:t xml:space="preserve">The instrument is a legislative instrument for the purposes of the </w:t>
      </w:r>
      <w:r w:rsidRPr="00D57FC5">
        <w:rPr>
          <w:rFonts w:ascii="Arial" w:hAnsi="Arial" w:cs="Arial"/>
          <w:i/>
          <w:sz w:val="22"/>
          <w:szCs w:val="22"/>
        </w:rPr>
        <w:t>Legislation Act 2003</w:t>
      </w:r>
      <w:r w:rsidRPr="00D57FC5">
        <w:rPr>
          <w:rFonts w:ascii="Arial" w:hAnsi="Arial" w:cs="Arial"/>
          <w:sz w:val="22"/>
          <w:szCs w:val="22"/>
        </w:rPr>
        <w:t>.</w:t>
      </w:r>
    </w:p>
    <w:p w14:paraId="15AC1B62" w14:textId="77777777" w:rsidR="006302F7" w:rsidRPr="00D57FC5" w:rsidRDefault="006302F7" w:rsidP="00D57FC5">
      <w:pPr>
        <w:spacing w:after="120"/>
        <w:rPr>
          <w:rFonts w:ascii="Arial" w:hAnsi="Arial" w:cs="Arial"/>
          <w:sz w:val="22"/>
          <w:szCs w:val="22"/>
        </w:rPr>
      </w:pPr>
    </w:p>
    <w:p w14:paraId="15AC1B63" w14:textId="77777777" w:rsidR="001D02E6" w:rsidRPr="00D57FC5" w:rsidRDefault="001D02E6" w:rsidP="00D57FC5">
      <w:pPr>
        <w:pStyle w:val="Heading2"/>
        <w:keepNext w:val="0"/>
      </w:pPr>
      <w:r w:rsidRPr="00D57FC5">
        <w:t>Date of effect</w:t>
      </w:r>
    </w:p>
    <w:p w14:paraId="0EF4AC16" w14:textId="77777777" w:rsidR="009C6A4C" w:rsidRPr="00D57FC5" w:rsidRDefault="00E76E9C" w:rsidP="00D57FC5">
      <w:pPr>
        <w:numPr>
          <w:ilvl w:val="0"/>
          <w:numId w:val="1"/>
        </w:numPr>
        <w:tabs>
          <w:tab w:val="clear" w:pos="360"/>
        </w:tabs>
        <w:spacing w:after="120"/>
        <w:ind w:left="0" w:firstLine="0"/>
        <w:rPr>
          <w:rFonts w:ascii="Arial" w:eastAsia="Calibri" w:hAnsi="Arial" w:cs="Arial"/>
          <w:sz w:val="22"/>
          <w:szCs w:val="22"/>
          <w:lang w:eastAsia="en-US"/>
        </w:rPr>
      </w:pPr>
      <w:r w:rsidRPr="00D57FC5">
        <w:rPr>
          <w:rFonts w:ascii="Arial" w:eastAsia="Calibri" w:hAnsi="Arial" w:cs="Arial"/>
          <w:sz w:val="22"/>
          <w:szCs w:val="22"/>
          <w:lang w:eastAsia="en-US"/>
        </w:rPr>
        <w:t>This instrument commences on 1 April 2024.</w:t>
      </w:r>
    </w:p>
    <w:p w14:paraId="040E3C74" w14:textId="19F9606B" w:rsidR="006D74B0" w:rsidRPr="00D57FC5" w:rsidRDefault="006D74B0" w:rsidP="00D57FC5">
      <w:pPr>
        <w:spacing w:after="120"/>
        <w:rPr>
          <w:rFonts w:ascii="Arial" w:hAnsi="Arial" w:cs="Arial"/>
          <w:sz w:val="22"/>
          <w:szCs w:val="22"/>
        </w:rPr>
      </w:pPr>
    </w:p>
    <w:p w14:paraId="52916FFC" w14:textId="3FBE56A1" w:rsidR="00565CBB" w:rsidRPr="00D57FC5" w:rsidRDefault="00565CBB" w:rsidP="00D57FC5">
      <w:pPr>
        <w:pStyle w:val="Heading2"/>
        <w:keepNext w:val="0"/>
      </w:pPr>
      <w:r w:rsidRPr="00D57FC5">
        <w:t>Effect of this instrument</w:t>
      </w:r>
    </w:p>
    <w:p w14:paraId="0FBC54C5" w14:textId="29D26194" w:rsidR="006D74B0" w:rsidRPr="00D57FC5" w:rsidRDefault="006D74B0" w:rsidP="00D57FC5">
      <w:pPr>
        <w:numPr>
          <w:ilvl w:val="0"/>
          <w:numId w:val="1"/>
        </w:numPr>
        <w:tabs>
          <w:tab w:val="clear" w:pos="360"/>
        </w:tabs>
        <w:spacing w:after="120"/>
        <w:ind w:left="0" w:firstLine="0"/>
        <w:rPr>
          <w:rFonts w:ascii="Arial" w:hAnsi="Arial" w:cs="Arial"/>
          <w:sz w:val="22"/>
          <w:szCs w:val="22"/>
        </w:rPr>
      </w:pPr>
      <w:r w:rsidRPr="00D57FC5">
        <w:rPr>
          <w:rFonts w:ascii="Arial" w:hAnsi="Arial" w:cs="Arial"/>
          <w:sz w:val="22"/>
          <w:szCs w:val="22"/>
        </w:rPr>
        <w:t xml:space="preserve">This instrument </w:t>
      </w:r>
      <w:r w:rsidR="007F62C3" w:rsidRPr="00D57FC5">
        <w:rPr>
          <w:rFonts w:ascii="Arial" w:hAnsi="Arial" w:cs="Arial"/>
          <w:sz w:val="22"/>
          <w:szCs w:val="22"/>
        </w:rPr>
        <w:t>may</w:t>
      </w:r>
      <w:r w:rsidRPr="00D57FC5">
        <w:rPr>
          <w:rFonts w:ascii="Arial" w:hAnsi="Arial" w:cs="Arial"/>
          <w:sz w:val="22"/>
          <w:szCs w:val="22"/>
        </w:rPr>
        <w:t xml:space="preserve"> reduce compliance costs for employers by allowing them to rely on adequate alternative records (rather than employee declarations) to meet their FBT record keeping obligations.</w:t>
      </w:r>
    </w:p>
    <w:p w14:paraId="271EEB4B" w14:textId="43E82518" w:rsidR="00A46C1D" w:rsidRPr="00D57FC5" w:rsidRDefault="00222FAB" w:rsidP="00D57FC5">
      <w:pPr>
        <w:numPr>
          <w:ilvl w:val="0"/>
          <w:numId w:val="1"/>
        </w:numPr>
        <w:tabs>
          <w:tab w:val="clear" w:pos="360"/>
        </w:tabs>
        <w:spacing w:after="120"/>
        <w:ind w:left="0" w:firstLine="0"/>
        <w:rPr>
          <w:rFonts w:ascii="Arial" w:hAnsi="Arial" w:cs="Arial"/>
          <w:sz w:val="22"/>
          <w:szCs w:val="22"/>
        </w:rPr>
      </w:pPr>
      <w:r w:rsidRPr="00D57FC5">
        <w:rPr>
          <w:rFonts w:ascii="Arial" w:hAnsi="Arial" w:cs="Arial"/>
          <w:sz w:val="22"/>
          <w:szCs w:val="22"/>
        </w:rPr>
        <w:t>Section 123AA of the FBTAA allows the Commissioner to make a legislative instrument that specifies alternative records that employers can rely on, in lieu of statutory evidentiary documents, for FBT record keeping purposes.</w:t>
      </w:r>
    </w:p>
    <w:p w14:paraId="3776DDB2" w14:textId="77777777" w:rsidR="00D57FC5" w:rsidRPr="00D57FC5" w:rsidRDefault="00222FAB" w:rsidP="00D57FC5">
      <w:pPr>
        <w:numPr>
          <w:ilvl w:val="0"/>
          <w:numId w:val="1"/>
        </w:numPr>
        <w:tabs>
          <w:tab w:val="clear" w:pos="360"/>
        </w:tabs>
        <w:spacing w:after="120"/>
        <w:ind w:left="0" w:firstLine="0"/>
        <w:rPr>
          <w:rFonts w:ascii="Arial" w:hAnsi="Arial" w:cs="Arial"/>
          <w:sz w:val="22"/>
          <w:szCs w:val="22"/>
        </w:rPr>
      </w:pPr>
      <w:r w:rsidRPr="00D57FC5">
        <w:rPr>
          <w:rFonts w:ascii="Arial" w:hAnsi="Arial" w:cs="Arial"/>
          <w:sz w:val="22"/>
          <w:szCs w:val="22"/>
        </w:rPr>
        <w:t xml:space="preserve">The instrument applies for the FBT year ending 31 March </w:t>
      </w:r>
      <w:r w:rsidR="003412BF" w:rsidRPr="00D57FC5">
        <w:rPr>
          <w:rFonts w:ascii="Arial" w:hAnsi="Arial" w:cs="Arial"/>
          <w:sz w:val="22"/>
          <w:szCs w:val="22"/>
        </w:rPr>
        <w:t>2025</w:t>
      </w:r>
      <w:r w:rsidRPr="00D57FC5">
        <w:rPr>
          <w:rFonts w:ascii="Arial" w:hAnsi="Arial" w:cs="Arial"/>
          <w:sz w:val="22"/>
          <w:szCs w:val="22"/>
        </w:rPr>
        <w:t>, and all subsequent FBT</w:t>
      </w:r>
      <w:r w:rsidR="009C6A4C" w:rsidRPr="00D57FC5">
        <w:rPr>
          <w:rFonts w:ascii="Arial" w:hAnsi="Arial" w:cs="Arial"/>
          <w:sz w:val="22"/>
          <w:szCs w:val="22"/>
        </w:rPr>
        <w:t xml:space="preserve"> </w:t>
      </w:r>
      <w:r w:rsidRPr="00D57FC5">
        <w:rPr>
          <w:rFonts w:ascii="Arial" w:hAnsi="Arial" w:cs="Arial"/>
          <w:sz w:val="22"/>
          <w:szCs w:val="22"/>
        </w:rPr>
        <w:t>years</w:t>
      </w:r>
      <w:r w:rsidR="00057B61" w:rsidRPr="00D57FC5">
        <w:rPr>
          <w:rFonts w:ascii="Arial" w:hAnsi="Arial" w:cs="Arial"/>
          <w:sz w:val="22"/>
          <w:szCs w:val="22"/>
        </w:rPr>
        <w:t> </w:t>
      </w:r>
      <w:r w:rsidRPr="00D57FC5">
        <w:rPr>
          <w:rFonts w:ascii="Arial" w:hAnsi="Arial" w:cs="Arial"/>
          <w:sz w:val="22"/>
          <w:szCs w:val="22"/>
        </w:rPr>
        <w:t>(paragraph 5(1)(a)</w:t>
      </w:r>
      <w:r w:rsidR="007F62C3" w:rsidRPr="00D57FC5">
        <w:rPr>
          <w:rFonts w:ascii="Arial" w:hAnsi="Arial" w:cs="Arial"/>
          <w:sz w:val="22"/>
          <w:szCs w:val="22"/>
        </w:rPr>
        <w:t xml:space="preserve"> of the instrument</w:t>
      </w:r>
      <w:r w:rsidRPr="00D57FC5">
        <w:rPr>
          <w:rFonts w:ascii="Arial" w:hAnsi="Arial" w:cs="Arial"/>
          <w:sz w:val="22"/>
          <w:szCs w:val="22"/>
        </w:rPr>
        <w:t xml:space="preserve">). It allows an employer to which the instrument applies to accept adequate alternative records instead of a declaration referred to in </w:t>
      </w:r>
      <w:r w:rsidR="0018255A" w:rsidRPr="00D57FC5">
        <w:rPr>
          <w:rFonts w:ascii="Arial" w:hAnsi="Arial" w:cs="Arial"/>
          <w:sz w:val="22"/>
          <w:szCs w:val="22"/>
        </w:rPr>
        <w:t>sub</w:t>
      </w:r>
      <w:r w:rsidRPr="00D57FC5">
        <w:rPr>
          <w:rFonts w:ascii="Arial" w:hAnsi="Arial" w:cs="Arial"/>
          <w:sz w:val="22"/>
          <w:szCs w:val="22"/>
        </w:rPr>
        <w:t>paragraph</w:t>
      </w:r>
      <w:r w:rsidR="00057B61" w:rsidRPr="00D57FC5">
        <w:rPr>
          <w:rFonts w:ascii="Arial" w:hAnsi="Arial" w:cs="Arial"/>
          <w:sz w:val="22"/>
          <w:szCs w:val="22"/>
        </w:rPr>
        <w:t> </w:t>
      </w:r>
      <w:r w:rsidRPr="00D57FC5">
        <w:rPr>
          <w:rFonts w:ascii="Arial" w:hAnsi="Arial" w:cs="Arial"/>
          <w:sz w:val="22"/>
          <w:szCs w:val="22"/>
        </w:rPr>
        <w:t>61C(3)(b)</w:t>
      </w:r>
      <w:r w:rsidR="0018255A" w:rsidRPr="00D57FC5">
        <w:rPr>
          <w:rFonts w:ascii="Arial" w:hAnsi="Arial" w:cs="Arial"/>
          <w:sz w:val="22"/>
          <w:szCs w:val="22"/>
        </w:rPr>
        <w:t>(ii)</w:t>
      </w:r>
      <w:r w:rsidRPr="00D57FC5">
        <w:rPr>
          <w:rFonts w:ascii="Arial" w:hAnsi="Arial" w:cs="Arial"/>
          <w:sz w:val="22"/>
          <w:szCs w:val="22"/>
        </w:rPr>
        <w:t xml:space="preserve"> of the FBTAA.</w:t>
      </w:r>
    </w:p>
    <w:p w14:paraId="047AE0CC" w14:textId="7F3F38E6" w:rsidR="009C6A4C" w:rsidRPr="00D57FC5" w:rsidRDefault="00222FAB" w:rsidP="00D57FC5">
      <w:pPr>
        <w:numPr>
          <w:ilvl w:val="0"/>
          <w:numId w:val="1"/>
        </w:numPr>
        <w:tabs>
          <w:tab w:val="clear" w:pos="360"/>
        </w:tabs>
        <w:spacing w:after="120"/>
        <w:ind w:left="0" w:firstLine="0"/>
        <w:rPr>
          <w:rFonts w:ascii="Arial" w:hAnsi="Arial" w:cs="Arial"/>
          <w:sz w:val="22"/>
          <w:szCs w:val="22"/>
        </w:rPr>
      </w:pPr>
      <w:r w:rsidRPr="00D57FC5">
        <w:rPr>
          <w:rFonts w:ascii="Arial" w:hAnsi="Arial" w:cs="Arial"/>
          <w:sz w:val="22"/>
          <w:szCs w:val="22"/>
        </w:rPr>
        <w:t>The instrument applies to the class of employers specified in subsection</w:t>
      </w:r>
      <w:r w:rsidR="009C6A4C" w:rsidRPr="00D57FC5">
        <w:rPr>
          <w:rFonts w:ascii="Arial" w:hAnsi="Arial" w:cs="Arial"/>
          <w:sz w:val="22"/>
          <w:szCs w:val="22"/>
        </w:rPr>
        <w:t xml:space="preserve"> </w:t>
      </w:r>
      <w:r w:rsidRPr="00D57FC5">
        <w:rPr>
          <w:rFonts w:ascii="Arial" w:hAnsi="Arial" w:cs="Arial"/>
          <w:sz w:val="22"/>
          <w:szCs w:val="22"/>
        </w:rPr>
        <w:t>5(2)</w:t>
      </w:r>
      <w:r w:rsidR="009C6A4C" w:rsidRPr="00D57FC5">
        <w:rPr>
          <w:rFonts w:ascii="Arial" w:hAnsi="Arial" w:cs="Arial"/>
          <w:sz w:val="22"/>
          <w:szCs w:val="22"/>
        </w:rPr>
        <w:t xml:space="preserve"> </w:t>
      </w:r>
      <w:r w:rsidRPr="00D57FC5">
        <w:rPr>
          <w:rFonts w:ascii="Arial" w:hAnsi="Arial" w:cs="Arial"/>
          <w:sz w:val="22"/>
          <w:szCs w:val="22"/>
        </w:rPr>
        <w:t>–</w:t>
      </w:r>
      <w:r w:rsidR="009C6A4C" w:rsidRPr="00D57FC5">
        <w:rPr>
          <w:rFonts w:ascii="Arial" w:hAnsi="Arial" w:cs="Arial"/>
          <w:sz w:val="22"/>
          <w:szCs w:val="22"/>
        </w:rPr>
        <w:t xml:space="preserve"> </w:t>
      </w:r>
      <w:r w:rsidRPr="00D57FC5">
        <w:rPr>
          <w:rFonts w:ascii="Arial" w:hAnsi="Arial" w:cs="Arial"/>
          <w:sz w:val="22"/>
          <w:szCs w:val="22"/>
        </w:rPr>
        <w:t>that is, employers reducing the taxable value of an expense payment fringe benefit, housing fringe benefit or residual fringe benefit described in section 61C of the FBTAA, in certain circumstances.</w:t>
      </w:r>
    </w:p>
    <w:p w14:paraId="6F1F3440" w14:textId="6096D3DB" w:rsidR="00222FAB" w:rsidRPr="00D57FC5" w:rsidRDefault="00222FAB" w:rsidP="00D57FC5">
      <w:pPr>
        <w:numPr>
          <w:ilvl w:val="0"/>
          <w:numId w:val="1"/>
        </w:numPr>
        <w:tabs>
          <w:tab w:val="clear" w:pos="360"/>
        </w:tabs>
        <w:spacing w:after="120"/>
        <w:ind w:left="0" w:firstLine="0"/>
        <w:rPr>
          <w:rFonts w:ascii="Arial" w:hAnsi="Arial" w:cs="Arial"/>
          <w:sz w:val="22"/>
          <w:szCs w:val="22"/>
        </w:rPr>
      </w:pPr>
      <w:r w:rsidRPr="00D57FC5">
        <w:rPr>
          <w:rFonts w:ascii="Arial" w:hAnsi="Arial" w:cs="Arial"/>
          <w:sz w:val="22"/>
          <w:szCs w:val="22"/>
        </w:rPr>
        <w:t xml:space="preserve">Section 6 </w:t>
      </w:r>
      <w:r w:rsidR="007F62C3" w:rsidRPr="00D57FC5">
        <w:rPr>
          <w:rFonts w:ascii="Arial" w:hAnsi="Arial" w:cs="Arial"/>
          <w:sz w:val="22"/>
          <w:szCs w:val="22"/>
        </w:rPr>
        <w:t xml:space="preserve">of the instrument </w:t>
      </w:r>
      <w:r w:rsidRPr="00D57FC5">
        <w:rPr>
          <w:rFonts w:ascii="Arial" w:hAnsi="Arial" w:cs="Arial"/>
          <w:sz w:val="22"/>
          <w:szCs w:val="22"/>
        </w:rPr>
        <w:t>sets out what records are adequate alternative records that can be accepted instead of a relevant employee declaration. It stipulates that the alternative records must be written in English and contain, at a minimum, the following information:</w:t>
      </w:r>
    </w:p>
    <w:p w14:paraId="0469B5BB" w14:textId="77777777" w:rsidR="00D57FC5" w:rsidRPr="00D57FC5" w:rsidRDefault="00F8309F" w:rsidP="00D57FC5">
      <w:pPr>
        <w:pStyle w:val="ListParagraph"/>
        <w:numPr>
          <w:ilvl w:val="0"/>
          <w:numId w:val="25"/>
        </w:numPr>
        <w:spacing w:after="120" w:line="240" w:lineRule="auto"/>
        <w:ind w:left="1418" w:hanging="709"/>
        <w:rPr>
          <w:rFonts w:ascii="Arial" w:hAnsi="Arial" w:cs="Arial"/>
        </w:rPr>
      </w:pPr>
      <w:r w:rsidRPr="00D57FC5">
        <w:rPr>
          <w:rFonts w:ascii="Arial" w:hAnsi="Arial" w:cs="Arial"/>
        </w:rPr>
        <w:t>the name of the employee who received the benefit</w:t>
      </w:r>
      <w:r w:rsidR="004C58AD" w:rsidRPr="00D57FC5">
        <w:rPr>
          <w:rFonts w:ascii="Arial" w:hAnsi="Arial" w:cs="Arial"/>
        </w:rPr>
        <w:t>,</w:t>
      </w:r>
    </w:p>
    <w:p w14:paraId="460FC0C0" w14:textId="77777777" w:rsidR="00D57FC5" w:rsidRPr="00D57FC5" w:rsidRDefault="00F8309F" w:rsidP="00D57FC5">
      <w:pPr>
        <w:pStyle w:val="ListParagraph"/>
        <w:numPr>
          <w:ilvl w:val="0"/>
          <w:numId w:val="25"/>
        </w:numPr>
        <w:spacing w:after="120" w:line="240" w:lineRule="auto"/>
        <w:ind w:left="1418" w:hanging="709"/>
        <w:rPr>
          <w:rFonts w:ascii="Arial" w:hAnsi="Arial" w:cs="Arial"/>
        </w:rPr>
      </w:pPr>
      <w:bookmarkStart w:id="3" w:name="_Hlk79676497"/>
      <w:r w:rsidRPr="00D57FC5">
        <w:rPr>
          <w:rFonts w:ascii="Arial" w:hAnsi="Arial" w:cs="Arial"/>
        </w:rPr>
        <w:lastRenderedPageBreak/>
        <w:t>the address of the temporary accommodation</w:t>
      </w:r>
      <w:bookmarkEnd w:id="3"/>
      <w:r w:rsidR="004C58AD" w:rsidRPr="00D57FC5">
        <w:rPr>
          <w:rFonts w:ascii="Arial" w:hAnsi="Arial" w:cs="Arial"/>
        </w:rPr>
        <w:t>,</w:t>
      </w:r>
    </w:p>
    <w:p w14:paraId="0BEE1F07" w14:textId="77777777" w:rsidR="00D57FC5" w:rsidRPr="00D57FC5" w:rsidRDefault="00F8309F" w:rsidP="00D57FC5">
      <w:pPr>
        <w:pStyle w:val="ListParagraph"/>
        <w:numPr>
          <w:ilvl w:val="0"/>
          <w:numId w:val="25"/>
        </w:numPr>
        <w:spacing w:after="120" w:line="240" w:lineRule="auto"/>
        <w:ind w:left="1418" w:hanging="709"/>
        <w:rPr>
          <w:rFonts w:ascii="Arial" w:hAnsi="Arial" w:cs="Arial"/>
        </w:rPr>
      </w:pPr>
      <w:r w:rsidRPr="00D57FC5">
        <w:rPr>
          <w:rFonts w:ascii="Arial" w:hAnsi="Arial" w:cs="Arial"/>
        </w:rPr>
        <w:t>the period during which the temporary accommodation was required</w:t>
      </w:r>
      <w:r w:rsidR="004C58AD" w:rsidRPr="00D57FC5">
        <w:rPr>
          <w:rFonts w:ascii="Arial" w:hAnsi="Arial" w:cs="Arial"/>
        </w:rPr>
        <w:t>,</w:t>
      </w:r>
    </w:p>
    <w:p w14:paraId="471A94D5" w14:textId="77777777" w:rsidR="00D57FC5" w:rsidRPr="00D57FC5" w:rsidRDefault="00F8309F" w:rsidP="00D57FC5">
      <w:pPr>
        <w:pStyle w:val="ListParagraph"/>
        <w:numPr>
          <w:ilvl w:val="0"/>
          <w:numId w:val="25"/>
        </w:numPr>
        <w:spacing w:after="120" w:line="240" w:lineRule="auto"/>
        <w:ind w:left="1418" w:hanging="709"/>
        <w:rPr>
          <w:rFonts w:ascii="Arial" w:hAnsi="Arial" w:cs="Arial"/>
        </w:rPr>
      </w:pPr>
      <w:r w:rsidRPr="00D57FC5">
        <w:rPr>
          <w:rFonts w:ascii="Arial" w:hAnsi="Arial" w:cs="Arial"/>
        </w:rPr>
        <w:t>the date the employee or an associate of the employee commenced sustained reasonable efforts to acquire a unit of accommodation intended to be a long-term place of residence</w:t>
      </w:r>
      <w:r w:rsidR="004C58AD" w:rsidRPr="00D57FC5">
        <w:rPr>
          <w:rFonts w:ascii="Arial" w:hAnsi="Arial" w:cs="Arial"/>
        </w:rPr>
        <w:t>,</w:t>
      </w:r>
    </w:p>
    <w:p w14:paraId="569495BE" w14:textId="49290E68" w:rsidR="00F8309F" w:rsidRPr="00D57FC5" w:rsidRDefault="00F8309F" w:rsidP="00D57FC5">
      <w:pPr>
        <w:pStyle w:val="ListParagraph"/>
        <w:numPr>
          <w:ilvl w:val="0"/>
          <w:numId w:val="25"/>
        </w:numPr>
        <w:spacing w:after="120" w:line="240" w:lineRule="auto"/>
        <w:ind w:left="1418" w:hanging="709"/>
        <w:rPr>
          <w:rFonts w:ascii="Arial" w:hAnsi="Arial" w:cs="Arial"/>
        </w:rPr>
      </w:pPr>
      <w:r w:rsidRPr="00D57FC5">
        <w:rPr>
          <w:rFonts w:ascii="Arial" w:hAnsi="Arial" w:cs="Arial"/>
        </w:rPr>
        <w:t xml:space="preserve">if the employee or an associate of the employee did not hold a relevant proprietary interest in the employee’s former usual place of residence, </w:t>
      </w:r>
      <w:r w:rsidR="00BF552C" w:rsidRPr="00D57FC5">
        <w:rPr>
          <w:rFonts w:ascii="Arial" w:hAnsi="Arial" w:cs="Arial"/>
        </w:rPr>
        <w:t>either</w:t>
      </w:r>
      <w:r w:rsidRPr="00D57FC5">
        <w:rPr>
          <w:rFonts w:ascii="Arial" w:hAnsi="Arial" w:cs="Arial"/>
        </w:rPr>
        <w:t>:</w:t>
      </w:r>
    </w:p>
    <w:p w14:paraId="30119B2C" w14:textId="2F798EE7" w:rsidR="00F8309F" w:rsidRPr="00D57FC5" w:rsidRDefault="00BF552C" w:rsidP="00D57FC5">
      <w:pPr>
        <w:pStyle w:val="ListParagraph"/>
        <w:numPr>
          <w:ilvl w:val="0"/>
          <w:numId w:val="26"/>
        </w:numPr>
        <w:spacing w:after="120" w:line="240" w:lineRule="auto"/>
        <w:ind w:left="2127" w:hanging="709"/>
        <w:rPr>
          <w:rFonts w:ascii="Arial" w:hAnsi="Arial" w:cs="Arial"/>
        </w:rPr>
      </w:pPr>
      <w:r w:rsidRPr="00D57FC5">
        <w:rPr>
          <w:rFonts w:ascii="Arial" w:hAnsi="Arial" w:cs="Arial"/>
        </w:rPr>
        <w:t>if the employee or associate entered into a contract for the occupation of long-term accommodation, the date the contract was entered into and the date the accommodation became occupied pursuant to the contract</w:t>
      </w:r>
      <w:r w:rsidR="00122EEA" w:rsidRPr="00D57FC5">
        <w:rPr>
          <w:rFonts w:ascii="Arial" w:hAnsi="Arial" w:cs="Arial"/>
        </w:rPr>
        <w:t>,</w:t>
      </w:r>
      <w:r w:rsidR="00F8309F" w:rsidRPr="00D57FC5">
        <w:rPr>
          <w:rFonts w:ascii="Arial" w:hAnsi="Arial" w:cs="Arial"/>
        </w:rPr>
        <w:t xml:space="preserve"> or</w:t>
      </w:r>
    </w:p>
    <w:p w14:paraId="40806DD9" w14:textId="77777777" w:rsidR="009C6A4C" w:rsidRPr="00D57FC5" w:rsidRDefault="00BF552C" w:rsidP="00D57FC5">
      <w:pPr>
        <w:pStyle w:val="ListParagraph"/>
        <w:numPr>
          <w:ilvl w:val="0"/>
          <w:numId w:val="26"/>
        </w:numPr>
        <w:spacing w:after="120" w:line="240" w:lineRule="auto"/>
        <w:ind w:left="2127" w:hanging="709"/>
        <w:rPr>
          <w:rFonts w:ascii="Arial" w:hAnsi="Arial" w:cs="Arial"/>
        </w:rPr>
      </w:pPr>
      <w:r w:rsidRPr="00D57FC5">
        <w:rPr>
          <w:rFonts w:ascii="Arial" w:hAnsi="Arial" w:cs="Arial"/>
        </w:rPr>
        <w:t>if the employee or associate were unable to locate long-term accommodation within 6 months of the date the efforts described in paragraph 6(1)(d) commenced, confirmation that long-term accommodation could not be located, despite sustained reasonable efforts, within that period</w:t>
      </w:r>
      <w:r w:rsidR="001B0555" w:rsidRPr="00D57FC5">
        <w:rPr>
          <w:rFonts w:ascii="Arial" w:hAnsi="Arial" w:cs="Arial"/>
        </w:rPr>
        <w:t>, and</w:t>
      </w:r>
    </w:p>
    <w:p w14:paraId="35DCB4FB" w14:textId="790E9BEB" w:rsidR="00F8309F" w:rsidRPr="00D57FC5" w:rsidRDefault="00F8309F" w:rsidP="00D57FC5">
      <w:pPr>
        <w:pStyle w:val="ListParagraph"/>
        <w:numPr>
          <w:ilvl w:val="0"/>
          <w:numId w:val="25"/>
        </w:numPr>
        <w:spacing w:after="120" w:line="240" w:lineRule="auto"/>
        <w:ind w:left="1418" w:hanging="709"/>
        <w:rPr>
          <w:rFonts w:ascii="Arial" w:hAnsi="Arial" w:cs="Arial"/>
        </w:rPr>
      </w:pPr>
      <w:r w:rsidRPr="00D57FC5">
        <w:rPr>
          <w:rFonts w:ascii="Arial" w:hAnsi="Arial" w:cs="Arial"/>
        </w:rPr>
        <w:t>if the employee or an associate of the employee held a relevant proprietary interest in the employee’s former usual place of residence</w:t>
      </w:r>
      <w:r w:rsidR="00BF552C" w:rsidRPr="00D57FC5">
        <w:rPr>
          <w:rFonts w:ascii="Arial" w:hAnsi="Arial" w:cs="Arial"/>
        </w:rPr>
        <w:t>, the date the employee or associate entered into a contract for the sale of that interest and either</w:t>
      </w:r>
      <w:r w:rsidRPr="00D57FC5">
        <w:rPr>
          <w:rFonts w:ascii="Arial" w:hAnsi="Arial" w:cs="Arial"/>
        </w:rPr>
        <w:t>:</w:t>
      </w:r>
    </w:p>
    <w:p w14:paraId="536256AD" w14:textId="44E1ACA1" w:rsidR="00F8309F" w:rsidRPr="00D57FC5" w:rsidRDefault="00BF552C" w:rsidP="00D57FC5">
      <w:pPr>
        <w:pStyle w:val="ListParagraph"/>
        <w:numPr>
          <w:ilvl w:val="0"/>
          <w:numId w:val="28"/>
        </w:numPr>
        <w:spacing w:after="120" w:line="240" w:lineRule="auto"/>
        <w:ind w:left="2127" w:hanging="709"/>
        <w:rPr>
          <w:rFonts w:ascii="Arial" w:hAnsi="Arial" w:cs="Arial"/>
        </w:rPr>
      </w:pPr>
      <w:r w:rsidRPr="00D57FC5">
        <w:rPr>
          <w:rFonts w:ascii="Arial" w:hAnsi="Arial" w:cs="Arial"/>
        </w:rPr>
        <w:t>the date the employee commenced occupying long-term accommodation</w:t>
      </w:r>
      <w:r w:rsidR="00122EEA" w:rsidRPr="00D57FC5">
        <w:rPr>
          <w:rFonts w:ascii="Arial" w:hAnsi="Arial" w:cs="Arial"/>
        </w:rPr>
        <w:t>,</w:t>
      </w:r>
      <w:r w:rsidR="00F8309F" w:rsidRPr="00D57FC5">
        <w:rPr>
          <w:rFonts w:ascii="Arial" w:hAnsi="Arial" w:cs="Arial"/>
        </w:rPr>
        <w:t xml:space="preserve"> or</w:t>
      </w:r>
    </w:p>
    <w:p w14:paraId="7EA403B6" w14:textId="6952B854" w:rsidR="00F8309F" w:rsidRPr="00D57FC5" w:rsidRDefault="00BF552C" w:rsidP="00D57FC5">
      <w:pPr>
        <w:pStyle w:val="ListParagraph"/>
        <w:numPr>
          <w:ilvl w:val="0"/>
          <w:numId w:val="28"/>
        </w:numPr>
        <w:spacing w:after="120" w:line="240" w:lineRule="auto"/>
        <w:ind w:left="2127" w:hanging="709"/>
        <w:rPr>
          <w:rFonts w:ascii="Arial" w:hAnsi="Arial" w:cs="Arial"/>
        </w:rPr>
      </w:pPr>
      <w:r w:rsidRPr="00D57FC5">
        <w:rPr>
          <w:rFonts w:ascii="Arial" w:hAnsi="Arial" w:cs="Arial"/>
        </w:rPr>
        <w:t>confirmation that long-term accommodation could not be located, despite sustained reasonable efforts, within 12 months of the date the efforts described in paragraph 6(1)(d) commenced</w:t>
      </w:r>
      <w:r w:rsidR="00F8309F" w:rsidRPr="00D57FC5">
        <w:rPr>
          <w:rFonts w:ascii="Arial" w:hAnsi="Arial" w:cs="Arial"/>
        </w:rPr>
        <w:t>.</w:t>
      </w:r>
    </w:p>
    <w:p w14:paraId="46C27C38" w14:textId="3E253C28" w:rsidR="00A46C1D" w:rsidRPr="00D57FC5" w:rsidRDefault="00222FAB" w:rsidP="00D57FC5">
      <w:pPr>
        <w:numPr>
          <w:ilvl w:val="0"/>
          <w:numId w:val="1"/>
        </w:numPr>
        <w:tabs>
          <w:tab w:val="clear" w:pos="360"/>
        </w:tabs>
        <w:spacing w:after="120"/>
        <w:ind w:left="0" w:firstLine="0"/>
        <w:rPr>
          <w:rFonts w:ascii="Arial" w:hAnsi="Arial" w:cs="Arial"/>
          <w:sz w:val="22"/>
          <w:szCs w:val="22"/>
        </w:rPr>
      </w:pPr>
      <w:r w:rsidRPr="00D57FC5">
        <w:rPr>
          <w:rFonts w:ascii="Arial" w:hAnsi="Arial" w:cs="Arial"/>
          <w:sz w:val="22"/>
          <w:szCs w:val="22"/>
        </w:rPr>
        <w:t xml:space="preserve">There is no limit on the number of records that may, in aggregate, meet the minimum information requirements. Further, there is no prescribed type or form of record </w:t>
      </w:r>
      <w:r w:rsidR="007F62C3" w:rsidRPr="00D57FC5">
        <w:rPr>
          <w:rFonts w:ascii="Arial" w:hAnsi="Arial" w:cs="Arial"/>
          <w:sz w:val="22"/>
          <w:szCs w:val="22"/>
        </w:rPr>
        <w:t>in which</w:t>
      </w:r>
      <w:r w:rsidRPr="00D57FC5">
        <w:rPr>
          <w:rFonts w:ascii="Arial" w:hAnsi="Arial" w:cs="Arial"/>
          <w:sz w:val="22"/>
          <w:szCs w:val="22"/>
        </w:rPr>
        <w:t xml:space="preserve"> the required information must be contained. If multiple different records collectively contain the minimum information when viewed together, the records will be accepted in aggregate as satisfying the requirements. For example, records can be stored electronically or in paper form, and the required information could be contained in various types of documents such as employment contracts, payroll records, job descriptions, employer and employee correspondence (for example, emails or text messages)</w:t>
      </w:r>
      <w:r w:rsidR="00970086" w:rsidRPr="00D57FC5">
        <w:rPr>
          <w:rFonts w:ascii="Arial" w:hAnsi="Arial" w:cs="Arial"/>
          <w:sz w:val="22"/>
          <w:szCs w:val="22"/>
        </w:rPr>
        <w:t xml:space="preserve"> and</w:t>
      </w:r>
      <w:r w:rsidRPr="00D57FC5">
        <w:rPr>
          <w:rFonts w:ascii="Arial" w:hAnsi="Arial" w:cs="Arial"/>
          <w:sz w:val="22"/>
          <w:szCs w:val="22"/>
        </w:rPr>
        <w:t xml:space="preserve"> </w:t>
      </w:r>
      <w:r w:rsidR="00277516" w:rsidRPr="00D57FC5">
        <w:rPr>
          <w:rFonts w:ascii="Arial" w:hAnsi="Arial" w:cs="Arial"/>
          <w:sz w:val="22"/>
          <w:szCs w:val="22"/>
        </w:rPr>
        <w:t>employer policies</w:t>
      </w:r>
      <w:r w:rsidR="00970086" w:rsidRPr="00D57FC5">
        <w:rPr>
          <w:rFonts w:ascii="Arial" w:hAnsi="Arial" w:cs="Arial"/>
          <w:sz w:val="22"/>
          <w:szCs w:val="22"/>
        </w:rPr>
        <w:t>.</w:t>
      </w:r>
    </w:p>
    <w:p w14:paraId="725512DF" w14:textId="0193C3EC" w:rsidR="00222FAB" w:rsidRPr="00D57FC5" w:rsidRDefault="00222FAB" w:rsidP="00D57FC5">
      <w:pPr>
        <w:numPr>
          <w:ilvl w:val="0"/>
          <w:numId w:val="1"/>
        </w:numPr>
        <w:tabs>
          <w:tab w:val="clear" w:pos="360"/>
        </w:tabs>
        <w:spacing w:after="120"/>
        <w:ind w:left="0" w:firstLine="0"/>
        <w:rPr>
          <w:rFonts w:ascii="Arial" w:hAnsi="Arial" w:cs="Arial"/>
          <w:sz w:val="22"/>
          <w:szCs w:val="22"/>
        </w:rPr>
      </w:pPr>
      <w:r w:rsidRPr="00D57FC5">
        <w:rPr>
          <w:rFonts w:ascii="Arial" w:hAnsi="Arial" w:cs="Arial"/>
          <w:sz w:val="22"/>
          <w:szCs w:val="22"/>
        </w:rPr>
        <w:t>Records can only be accepted as an alternative to the declaration if they are obtained and held by the employer by the employer’s declaration date</w:t>
      </w:r>
      <w:r w:rsidR="00030E91" w:rsidRPr="00D57FC5">
        <w:rPr>
          <w:rFonts w:ascii="Arial" w:hAnsi="Arial" w:cs="Arial"/>
          <w:sz w:val="22"/>
          <w:szCs w:val="22"/>
        </w:rPr>
        <w:t>.</w:t>
      </w:r>
      <w:r w:rsidRPr="00D57FC5">
        <w:rPr>
          <w:rFonts w:ascii="Arial" w:hAnsi="Arial" w:cs="Arial"/>
          <w:sz w:val="22"/>
          <w:szCs w:val="22"/>
        </w:rPr>
        <w:t xml:space="preserve"> </w:t>
      </w:r>
      <w:r w:rsidR="00030E91" w:rsidRPr="00D57FC5">
        <w:rPr>
          <w:rFonts w:ascii="Arial" w:hAnsi="Arial" w:cs="Arial"/>
          <w:sz w:val="22"/>
          <w:szCs w:val="22"/>
        </w:rPr>
        <w:t>T</w:t>
      </w:r>
      <w:r w:rsidRPr="00D57FC5">
        <w:rPr>
          <w:rFonts w:ascii="Arial" w:hAnsi="Arial" w:cs="Arial"/>
          <w:sz w:val="22"/>
          <w:szCs w:val="22"/>
        </w:rPr>
        <w:t xml:space="preserve">his is the date </w:t>
      </w:r>
      <w:r w:rsidR="007E6C88" w:rsidRPr="00D57FC5">
        <w:rPr>
          <w:rFonts w:ascii="Arial" w:hAnsi="Arial" w:cs="Arial"/>
          <w:sz w:val="22"/>
          <w:szCs w:val="22"/>
        </w:rPr>
        <w:t xml:space="preserve">of </w:t>
      </w:r>
      <w:r w:rsidRPr="00D57FC5">
        <w:rPr>
          <w:rFonts w:ascii="Arial" w:hAnsi="Arial" w:cs="Arial"/>
          <w:sz w:val="22"/>
          <w:szCs w:val="22"/>
        </w:rPr>
        <w:t xml:space="preserve">lodgment of their FBT return for the relevant </w:t>
      </w:r>
      <w:r w:rsidR="00512F98" w:rsidRPr="00D57FC5">
        <w:rPr>
          <w:rFonts w:ascii="Arial" w:hAnsi="Arial" w:cs="Arial"/>
          <w:sz w:val="22"/>
          <w:szCs w:val="22"/>
        </w:rPr>
        <w:t xml:space="preserve">FBT </w:t>
      </w:r>
      <w:r w:rsidRPr="00D57FC5">
        <w:rPr>
          <w:rFonts w:ascii="Arial" w:hAnsi="Arial" w:cs="Arial"/>
          <w:sz w:val="22"/>
          <w:szCs w:val="22"/>
        </w:rPr>
        <w:t>year</w:t>
      </w:r>
      <w:r w:rsidR="007E6C88" w:rsidRPr="00D57FC5">
        <w:rPr>
          <w:rFonts w:ascii="Arial" w:hAnsi="Arial" w:cs="Arial"/>
          <w:sz w:val="22"/>
          <w:szCs w:val="22"/>
        </w:rPr>
        <w:t>,</w:t>
      </w:r>
      <w:r w:rsidR="00030E91" w:rsidRPr="00D57FC5">
        <w:rPr>
          <w:rFonts w:ascii="Arial" w:hAnsi="Arial" w:cs="Arial"/>
          <w:sz w:val="22"/>
          <w:szCs w:val="22"/>
        </w:rPr>
        <w:t xml:space="preserve"> or such later </w:t>
      </w:r>
      <w:r w:rsidR="002047F2" w:rsidRPr="00D57FC5">
        <w:rPr>
          <w:rFonts w:ascii="Arial" w:hAnsi="Arial" w:cs="Arial"/>
          <w:sz w:val="22"/>
          <w:szCs w:val="22"/>
        </w:rPr>
        <w:t>d</w:t>
      </w:r>
      <w:r w:rsidR="00030E91" w:rsidRPr="00D57FC5">
        <w:rPr>
          <w:rFonts w:ascii="Arial" w:hAnsi="Arial" w:cs="Arial"/>
          <w:sz w:val="22"/>
          <w:szCs w:val="22"/>
        </w:rPr>
        <w:t>ate as the Commissioner allows</w:t>
      </w:r>
      <w:r w:rsidRPr="00D57FC5">
        <w:rPr>
          <w:rFonts w:ascii="Arial" w:hAnsi="Arial" w:cs="Arial"/>
          <w:sz w:val="22"/>
          <w:szCs w:val="22"/>
        </w:rPr>
        <w:t>. This is because section</w:t>
      </w:r>
      <w:r w:rsidR="009C6A4C" w:rsidRPr="00D57FC5">
        <w:rPr>
          <w:rFonts w:ascii="Arial" w:hAnsi="Arial" w:cs="Arial"/>
          <w:sz w:val="22"/>
          <w:szCs w:val="22"/>
        </w:rPr>
        <w:t xml:space="preserve"> </w:t>
      </w:r>
      <w:r w:rsidRPr="00D57FC5">
        <w:rPr>
          <w:rFonts w:ascii="Arial" w:hAnsi="Arial" w:cs="Arial"/>
          <w:sz w:val="22"/>
          <w:szCs w:val="22"/>
        </w:rPr>
        <w:t>123AA of the FBTAA deems the employee to have the declaration at the time that they hold the records, and the underlying declaration is required to be obtained by the declaration date.</w:t>
      </w:r>
    </w:p>
    <w:p w14:paraId="0D8FE6C6" w14:textId="77777777" w:rsidR="00A0393C" w:rsidRPr="00D57FC5" w:rsidRDefault="00A0393C" w:rsidP="00D57FC5">
      <w:pPr>
        <w:spacing w:after="120"/>
        <w:rPr>
          <w:rFonts w:ascii="Arial" w:hAnsi="Arial" w:cs="Arial"/>
          <w:sz w:val="22"/>
          <w:szCs w:val="22"/>
        </w:rPr>
      </w:pPr>
    </w:p>
    <w:p w14:paraId="2E245546" w14:textId="316F415F" w:rsidR="00A46C1D" w:rsidRPr="00D57FC5" w:rsidRDefault="00222FAB" w:rsidP="00D57FC5">
      <w:pPr>
        <w:pStyle w:val="Heading2"/>
        <w:keepNext w:val="0"/>
      </w:pPr>
      <w:r w:rsidRPr="00D57FC5">
        <w:t>Example</w:t>
      </w:r>
      <w:r w:rsidR="00F54FDC" w:rsidRPr="00D57FC5">
        <w:t xml:space="preserve"> 1</w:t>
      </w:r>
    </w:p>
    <w:p w14:paraId="42E82B9B" w14:textId="1709B2B8" w:rsidR="00A46C1D" w:rsidRPr="00D57FC5" w:rsidRDefault="006C1745" w:rsidP="00D57FC5">
      <w:pPr>
        <w:spacing w:after="120"/>
        <w:ind w:left="709"/>
        <w:rPr>
          <w:rFonts w:ascii="Arial" w:hAnsi="Arial" w:cs="Arial"/>
          <w:bCs/>
          <w:sz w:val="22"/>
          <w:szCs w:val="22"/>
        </w:rPr>
      </w:pPr>
      <w:r w:rsidRPr="00D57FC5">
        <w:rPr>
          <w:rFonts w:ascii="Arial" w:hAnsi="Arial" w:cs="Arial"/>
          <w:bCs/>
          <w:sz w:val="22"/>
          <w:szCs w:val="22"/>
        </w:rPr>
        <w:t xml:space="preserve">Andy </w:t>
      </w:r>
      <w:r w:rsidR="00C74A08" w:rsidRPr="00D57FC5">
        <w:rPr>
          <w:rFonts w:ascii="Arial" w:hAnsi="Arial" w:cs="Arial"/>
          <w:bCs/>
          <w:sz w:val="22"/>
          <w:szCs w:val="22"/>
        </w:rPr>
        <w:t xml:space="preserve">is </w:t>
      </w:r>
      <w:r w:rsidRPr="00D57FC5">
        <w:rPr>
          <w:rFonts w:ascii="Arial" w:hAnsi="Arial" w:cs="Arial"/>
          <w:bCs/>
          <w:sz w:val="22"/>
          <w:szCs w:val="22"/>
        </w:rPr>
        <w:t xml:space="preserve">an employee of ABC Co, </w:t>
      </w:r>
      <w:r w:rsidR="00C74A08" w:rsidRPr="00D57FC5">
        <w:rPr>
          <w:rFonts w:ascii="Arial" w:hAnsi="Arial" w:cs="Arial"/>
          <w:bCs/>
          <w:sz w:val="22"/>
          <w:szCs w:val="22"/>
        </w:rPr>
        <w:t xml:space="preserve">and </w:t>
      </w:r>
      <w:r w:rsidRPr="00D57FC5">
        <w:rPr>
          <w:rFonts w:ascii="Arial" w:hAnsi="Arial" w:cs="Arial"/>
          <w:bCs/>
          <w:sz w:val="22"/>
          <w:szCs w:val="22"/>
        </w:rPr>
        <w:t>reside</w:t>
      </w:r>
      <w:r w:rsidR="0099097A" w:rsidRPr="00D57FC5">
        <w:rPr>
          <w:rFonts w:ascii="Arial" w:hAnsi="Arial" w:cs="Arial"/>
          <w:bCs/>
          <w:sz w:val="22"/>
          <w:szCs w:val="22"/>
        </w:rPr>
        <w:t>s</w:t>
      </w:r>
      <w:r w:rsidRPr="00D57FC5">
        <w:rPr>
          <w:rFonts w:ascii="Arial" w:hAnsi="Arial" w:cs="Arial"/>
          <w:bCs/>
          <w:sz w:val="22"/>
          <w:szCs w:val="22"/>
        </w:rPr>
        <w:t xml:space="preserve"> in a rental property in Sydney</w:t>
      </w:r>
      <w:r w:rsidR="0099097A" w:rsidRPr="00D57FC5">
        <w:rPr>
          <w:rFonts w:ascii="Arial" w:hAnsi="Arial" w:cs="Arial"/>
          <w:bCs/>
          <w:sz w:val="22"/>
          <w:szCs w:val="22"/>
        </w:rPr>
        <w:t>, NSW</w:t>
      </w:r>
      <w:r w:rsidRPr="00D57FC5">
        <w:rPr>
          <w:rFonts w:ascii="Arial" w:hAnsi="Arial" w:cs="Arial"/>
          <w:bCs/>
          <w:sz w:val="22"/>
          <w:szCs w:val="22"/>
        </w:rPr>
        <w:t>. ABC Co offered Andy a promotion to manage a new warehouse in</w:t>
      </w:r>
      <w:r w:rsidR="0099097A" w:rsidRPr="00D57FC5">
        <w:rPr>
          <w:rFonts w:ascii="Arial" w:hAnsi="Arial" w:cs="Arial"/>
          <w:bCs/>
          <w:sz w:val="22"/>
          <w:szCs w:val="22"/>
        </w:rPr>
        <w:t xml:space="preserve"> Perth,</w:t>
      </w:r>
      <w:r w:rsidRPr="00D57FC5">
        <w:rPr>
          <w:rFonts w:ascii="Arial" w:hAnsi="Arial" w:cs="Arial"/>
          <w:bCs/>
          <w:sz w:val="22"/>
          <w:szCs w:val="22"/>
        </w:rPr>
        <w:t xml:space="preserve"> WA. Andy accepted the offer and moved to temporary accommodation located near the new warehouse in </w:t>
      </w:r>
      <w:r w:rsidR="0099097A" w:rsidRPr="00D57FC5">
        <w:rPr>
          <w:rFonts w:ascii="Arial" w:hAnsi="Arial" w:cs="Arial"/>
          <w:bCs/>
          <w:sz w:val="22"/>
          <w:szCs w:val="22"/>
        </w:rPr>
        <w:t>Perth</w:t>
      </w:r>
      <w:r w:rsidRPr="00D57FC5">
        <w:rPr>
          <w:rFonts w:ascii="Arial" w:hAnsi="Arial" w:cs="Arial"/>
          <w:bCs/>
          <w:sz w:val="22"/>
          <w:szCs w:val="22"/>
        </w:rPr>
        <w:t xml:space="preserve">. </w:t>
      </w:r>
      <w:r w:rsidR="002558E1" w:rsidRPr="00D57FC5">
        <w:rPr>
          <w:rFonts w:ascii="Arial" w:hAnsi="Arial" w:cs="Arial"/>
          <w:bCs/>
          <w:sz w:val="22"/>
          <w:szCs w:val="22"/>
        </w:rPr>
        <w:t>ABC Co</w:t>
      </w:r>
      <w:r w:rsidRPr="00D57FC5">
        <w:rPr>
          <w:rFonts w:ascii="Arial" w:hAnsi="Arial" w:cs="Arial"/>
          <w:bCs/>
          <w:sz w:val="22"/>
          <w:szCs w:val="22"/>
        </w:rPr>
        <w:t xml:space="preserve"> agreed to reimburse Andy for the temporary accommodation, which constitutes an expense </w:t>
      </w:r>
      <w:r w:rsidR="00C74A08" w:rsidRPr="00D57FC5">
        <w:rPr>
          <w:rFonts w:ascii="Arial" w:hAnsi="Arial" w:cs="Arial"/>
          <w:bCs/>
          <w:sz w:val="22"/>
          <w:szCs w:val="22"/>
        </w:rPr>
        <w:t xml:space="preserve">payment </w:t>
      </w:r>
      <w:r w:rsidRPr="00D57FC5">
        <w:rPr>
          <w:rFonts w:ascii="Arial" w:hAnsi="Arial" w:cs="Arial"/>
          <w:bCs/>
          <w:sz w:val="22"/>
          <w:szCs w:val="22"/>
        </w:rPr>
        <w:t xml:space="preserve">fringe benefit. Andy commenced his duties in </w:t>
      </w:r>
      <w:r w:rsidR="0099097A" w:rsidRPr="00D57FC5">
        <w:rPr>
          <w:rFonts w:ascii="Arial" w:hAnsi="Arial" w:cs="Arial"/>
          <w:bCs/>
          <w:sz w:val="22"/>
          <w:szCs w:val="22"/>
        </w:rPr>
        <w:t xml:space="preserve">Perth </w:t>
      </w:r>
      <w:r w:rsidRPr="00D57FC5">
        <w:rPr>
          <w:rFonts w:ascii="Arial" w:hAnsi="Arial" w:cs="Arial"/>
          <w:bCs/>
          <w:sz w:val="22"/>
          <w:szCs w:val="22"/>
        </w:rPr>
        <w:t xml:space="preserve">and </w:t>
      </w:r>
      <w:r w:rsidR="00C74A08" w:rsidRPr="00D57FC5">
        <w:rPr>
          <w:rFonts w:ascii="Arial" w:hAnsi="Arial" w:cs="Arial"/>
          <w:bCs/>
          <w:sz w:val="22"/>
          <w:szCs w:val="22"/>
        </w:rPr>
        <w:t xml:space="preserve">began </w:t>
      </w:r>
      <w:r w:rsidRPr="00D57FC5">
        <w:rPr>
          <w:rFonts w:ascii="Arial" w:hAnsi="Arial" w:cs="Arial"/>
          <w:bCs/>
          <w:sz w:val="22"/>
          <w:szCs w:val="22"/>
        </w:rPr>
        <w:t xml:space="preserve">actively seeking and applying for a rental property that would provide him a long-term place of residence in </w:t>
      </w:r>
      <w:r w:rsidR="0099097A" w:rsidRPr="00D57FC5">
        <w:rPr>
          <w:rFonts w:ascii="Arial" w:hAnsi="Arial" w:cs="Arial"/>
          <w:bCs/>
          <w:sz w:val="22"/>
          <w:szCs w:val="22"/>
        </w:rPr>
        <w:t>Perth</w:t>
      </w:r>
      <w:r w:rsidRPr="00D57FC5">
        <w:rPr>
          <w:rFonts w:ascii="Arial" w:hAnsi="Arial" w:cs="Arial"/>
          <w:bCs/>
          <w:sz w:val="22"/>
          <w:szCs w:val="22"/>
        </w:rPr>
        <w:t>.</w:t>
      </w:r>
    </w:p>
    <w:p w14:paraId="7CC4D184" w14:textId="77777777" w:rsidR="00D57FC5" w:rsidRPr="00D57FC5" w:rsidRDefault="006C1745" w:rsidP="00D57FC5">
      <w:pPr>
        <w:spacing w:after="120"/>
        <w:ind w:left="709"/>
        <w:rPr>
          <w:rFonts w:ascii="Arial" w:hAnsi="Arial" w:cs="Arial"/>
          <w:bCs/>
          <w:sz w:val="22"/>
          <w:szCs w:val="22"/>
        </w:rPr>
      </w:pPr>
      <w:r w:rsidRPr="00D57FC5">
        <w:rPr>
          <w:rFonts w:ascii="Arial" w:hAnsi="Arial" w:cs="Arial"/>
          <w:bCs/>
          <w:sz w:val="22"/>
          <w:szCs w:val="22"/>
        </w:rPr>
        <w:t xml:space="preserve">Andy sends </w:t>
      </w:r>
      <w:r w:rsidR="0058712C" w:rsidRPr="00D57FC5">
        <w:rPr>
          <w:rFonts w:ascii="Arial" w:hAnsi="Arial" w:cs="Arial"/>
          <w:bCs/>
          <w:sz w:val="22"/>
          <w:szCs w:val="22"/>
        </w:rPr>
        <w:t>ABC Co</w:t>
      </w:r>
      <w:r w:rsidRPr="00D57FC5">
        <w:rPr>
          <w:rFonts w:ascii="Arial" w:hAnsi="Arial" w:cs="Arial"/>
          <w:bCs/>
          <w:sz w:val="22"/>
          <w:szCs w:val="22"/>
        </w:rPr>
        <w:t xml:space="preserve"> an email outlining the dates </w:t>
      </w:r>
      <w:r w:rsidR="00E10E04" w:rsidRPr="00D57FC5">
        <w:rPr>
          <w:rFonts w:ascii="Arial" w:hAnsi="Arial" w:cs="Arial"/>
          <w:bCs/>
          <w:sz w:val="22"/>
          <w:szCs w:val="22"/>
        </w:rPr>
        <w:t>for</w:t>
      </w:r>
      <w:r w:rsidRPr="00D57FC5">
        <w:rPr>
          <w:rFonts w:ascii="Arial" w:hAnsi="Arial" w:cs="Arial"/>
          <w:bCs/>
          <w:sz w:val="22"/>
          <w:szCs w:val="22"/>
        </w:rPr>
        <w:t xml:space="preserve"> which he will initially require temporary accommodation in </w:t>
      </w:r>
      <w:r w:rsidR="002558E1" w:rsidRPr="00D57FC5">
        <w:rPr>
          <w:rFonts w:ascii="Arial" w:hAnsi="Arial" w:cs="Arial"/>
          <w:bCs/>
          <w:sz w:val="22"/>
          <w:szCs w:val="22"/>
        </w:rPr>
        <w:t>Perth</w:t>
      </w:r>
      <w:r w:rsidR="002B298B" w:rsidRPr="00D57FC5">
        <w:rPr>
          <w:rFonts w:ascii="Arial" w:hAnsi="Arial" w:cs="Arial"/>
          <w:bCs/>
          <w:sz w:val="22"/>
          <w:szCs w:val="22"/>
        </w:rPr>
        <w:t>.</w:t>
      </w:r>
      <w:r w:rsidR="00C32538" w:rsidRPr="00D57FC5">
        <w:rPr>
          <w:rFonts w:ascii="Arial" w:hAnsi="Arial" w:cs="Arial"/>
          <w:bCs/>
          <w:sz w:val="22"/>
          <w:szCs w:val="22"/>
        </w:rPr>
        <w:t xml:space="preserve"> </w:t>
      </w:r>
      <w:r w:rsidR="00F94184" w:rsidRPr="00D57FC5">
        <w:rPr>
          <w:rFonts w:ascii="Arial" w:hAnsi="Arial" w:cs="Arial"/>
          <w:bCs/>
          <w:sz w:val="22"/>
          <w:szCs w:val="22"/>
        </w:rPr>
        <w:t>He</w:t>
      </w:r>
      <w:r w:rsidRPr="00D57FC5">
        <w:rPr>
          <w:rFonts w:ascii="Arial" w:hAnsi="Arial" w:cs="Arial"/>
          <w:bCs/>
          <w:sz w:val="22"/>
          <w:szCs w:val="22"/>
        </w:rPr>
        <w:t xml:space="preserve"> continues to update </w:t>
      </w:r>
      <w:r w:rsidR="002558E1" w:rsidRPr="00D57FC5">
        <w:rPr>
          <w:rFonts w:ascii="Arial" w:hAnsi="Arial" w:cs="Arial"/>
          <w:bCs/>
          <w:sz w:val="22"/>
          <w:szCs w:val="22"/>
        </w:rPr>
        <w:t>ABC Co</w:t>
      </w:r>
      <w:r w:rsidRPr="00D57FC5">
        <w:rPr>
          <w:rFonts w:ascii="Arial" w:hAnsi="Arial" w:cs="Arial"/>
          <w:bCs/>
          <w:sz w:val="22"/>
          <w:szCs w:val="22"/>
        </w:rPr>
        <w:t xml:space="preserve"> </w:t>
      </w:r>
      <w:r w:rsidR="00F87C99" w:rsidRPr="00D57FC5">
        <w:rPr>
          <w:rFonts w:ascii="Arial" w:hAnsi="Arial" w:cs="Arial"/>
          <w:bCs/>
          <w:sz w:val="22"/>
          <w:szCs w:val="22"/>
        </w:rPr>
        <w:t xml:space="preserve">monthly </w:t>
      </w:r>
      <w:r w:rsidRPr="00D57FC5">
        <w:rPr>
          <w:rFonts w:ascii="Arial" w:hAnsi="Arial" w:cs="Arial"/>
          <w:bCs/>
          <w:sz w:val="22"/>
          <w:szCs w:val="22"/>
        </w:rPr>
        <w:t>on his requirement for temporary accommodation and his progress in applying for long-term accommodation which included the date he commenced actively seeking long</w:t>
      </w:r>
      <w:r w:rsidR="007C6553" w:rsidRPr="00D57FC5">
        <w:rPr>
          <w:rFonts w:ascii="Arial" w:hAnsi="Arial" w:cs="Arial"/>
          <w:bCs/>
          <w:sz w:val="22"/>
          <w:szCs w:val="22"/>
        </w:rPr>
        <w:t>-</w:t>
      </w:r>
      <w:r w:rsidRPr="00D57FC5">
        <w:rPr>
          <w:rFonts w:ascii="Arial" w:hAnsi="Arial" w:cs="Arial"/>
          <w:bCs/>
          <w:sz w:val="22"/>
          <w:szCs w:val="22"/>
        </w:rPr>
        <w:t>term</w:t>
      </w:r>
      <w:r w:rsidR="007C6553" w:rsidRPr="00D57FC5">
        <w:rPr>
          <w:rFonts w:ascii="Arial" w:hAnsi="Arial" w:cs="Arial"/>
          <w:bCs/>
          <w:sz w:val="22"/>
          <w:szCs w:val="22"/>
        </w:rPr>
        <w:t xml:space="preserve"> </w:t>
      </w:r>
      <w:r w:rsidRPr="00D57FC5">
        <w:rPr>
          <w:rFonts w:ascii="Arial" w:hAnsi="Arial" w:cs="Arial"/>
          <w:bCs/>
          <w:sz w:val="22"/>
          <w:szCs w:val="22"/>
        </w:rPr>
        <w:t>accommodation.</w:t>
      </w:r>
    </w:p>
    <w:p w14:paraId="3FAD76FF" w14:textId="61CC7C2E" w:rsidR="006C1745" w:rsidRPr="00D57FC5" w:rsidRDefault="00C74A08" w:rsidP="00D57FC5">
      <w:pPr>
        <w:spacing w:after="120"/>
        <w:ind w:left="709"/>
        <w:rPr>
          <w:rFonts w:ascii="Arial" w:hAnsi="Arial" w:cs="Arial"/>
          <w:bCs/>
          <w:sz w:val="22"/>
          <w:szCs w:val="22"/>
        </w:rPr>
      </w:pPr>
      <w:r w:rsidRPr="00D57FC5">
        <w:rPr>
          <w:rFonts w:ascii="Arial" w:hAnsi="Arial" w:cs="Arial"/>
          <w:bCs/>
          <w:sz w:val="22"/>
          <w:szCs w:val="22"/>
        </w:rPr>
        <w:lastRenderedPageBreak/>
        <w:t>Andy submits a payroll expense reimbursement form</w:t>
      </w:r>
      <w:r w:rsidR="006C1745" w:rsidRPr="00D57FC5">
        <w:rPr>
          <w:rFonts w:ascii="Arial" w:hAnsi="Arial" w:cs="Arial"/>
          <w:bCs/>
          <w:sz w:val="22"/>
          <w:szCs w:val="22"/>
        </w:rPr>
        <w:t xml:space="preserve"> </w:t>
      </w:r>
      <w:r w:rsidRPr="00D57FC5">
        <w:rPr>
          <w:rFonts w:ascii="Arial" w:hAnsi="Arial" w:cs="Arial"/>
          <w:bCs/>
          <w:sz w:val="22"/>
          <w:szCs w:val="22"/>
        </w:rPr>
        <w:t xml:space="preserve">for the cost of the temporary accommodation. </w:t>
      </w:r>
      <w:r w:rsidR="00A70535" w:rsidRPr="00D57FC5">
        <w:rPr>
          <w:rFonts w:ascii="Arial" w:hAnsi="Arial" w:cs="Arial"/>
          <w:bCs/>
          <w:sz w:val="22"/>
          <w:szCs w:val="22"/>
        </w:rPr>
        <w:t>A</w:t>
      </w:r>
      <w:r w:rsidR="002558E1" w:rsidRPr="00D57FC5">
        <w:rPr>
          <w:rFonts w:ascii="Arial" w:hAnsi="Arial" w:cs="Arial"/>
          <w:bCs/>
          <w:sz w:val="22"/>
          <w:szCs w:val="22"/>
        </w:rPr>
        <w:t>BC Co</w:t>
      </w:r>
      <w:r w:rsidR="006C1745" w:rsidRPr="00D57FC5">
        <w:rPr>
          <w:rFonts w:ascii="Arial" w:hAnsi="Arial" w:cs="Arial"/>
          <w:bCs/>
          <w:sz w:val="22"/>
          <w:szCs w:val="22"/>
        </w:rPr>
        <w:t xml:space="preserve"> uses this information to reimburse Andy for the temporary accommodation.</w:t>
      </w:r>
    </w:p>
    <w:p w14:paraId="5FDDB698" w14:textId="02283B94" w:rsidR="00A46C1D" w:rsidRPr="00D57FC5" w:rsidRDefault="006C1745" w:rsidP="00D57FC5">
      <w:pPr>
        <w:spacing w:after="120"/>
        <w:ind w:left="709"/>
        <w:rPr>
          <w:rFonts w:ascii="Arial" w:hAnsi="Arial" w:cs="Arial"/>
          <w:bCs/>
          <w:sz w:val="22"/>
          <w:szCs w:val="22"/>
        </w:rPr>
      </w:pPr>
      <w:r w:rsidRPr="00D57FC5">
        <w:rPr>
          <w:rFonts w:ascii="Arial" w:hAnsi="Arial" w:cs="Arial"/>
          <w:bCs/>
          <w:sz w:val="22"/>
          <w:szCs w:val="22"/>
        </w:rPr>
        <w:t xml:space="preserve">After </w:t>
      </w:r>
      <w:r w:rsidR="00CC371C" w:rsidRPr="00D57FC5">
        <w:rPr>
          <w:rFonts w:ascii="Arial" w:hAnsi="Arial" w:cs="Arial"/>
          <w:bCs/>
          <w:sz w:val="22"/>
          <w:szCs w:val="22"/>
        </w:rPr>
        <w:t>5</w:t>
      </w:r>
      <w:r w:rsidRPr="00D57FC5">
        <w:rPr>
          <w:rFonts w:ascii="Arial" w:hAnsi="Arial" w:cs="Arial"/>
          <w:bCs/>
          <w:sz w:val="22"/>
          <w:szCs w:val="22"/>
        </w:rPr>
        <w:t xml:space="preserve"> months Andy finds suitable long-term accommodation and signs a long-term lease for the provision of accommodation. Andy sends </w:t>
      </w:r>
      <w:r w:rsidR="002558E1" w:rsidRPr="00D57FC5">
        <w:rPr>
          <w:rFonts w:ascii="Arial" w:hAnsi="Arial" w:cs="Arial"/>
          <w:bCs/>
          <w:sz w:val="22"/>
          <w:szCs w:val="22"/>
        </w:rPr>
        <w:t>ABC Co</w:t>
      </w:r>
      <w:r w:rsidRPr="00D57FC5">
        <w:rPr>
          <w:rFonts w:ascii="Arial" w:hAnsi="Arial" w:cs="Arial"/>
          <w:bCs/>
          <w:sz w:val="22"/>
          <w:szCs w:val="22"/>
        </w:rPr>
        <w:t xml:space="preserve"> a copy of the lease which includes the date the lease contract was entered into</w:t>
      </w:r>
      <w:r w:rsidR="00ED742E" w:rsidRPr="00D57FC5">
        <w:rPr>
          <w:rFonts w:ascii="Arial" w:hAnsi="Arial" w:cs="Arial"/>
          <w:bCs/>
          <w:sz w:val="22"/>
          <w:szCs w:val="22"/>
        </w:rPr>
        <w:t xml:space="preserve"> and the date </w:t>
      </w:r>
      <w:r w:rsidR="00A8117F" w:rsidRPr="00D57FC5">
        <w:rPr>
          <w:rFonts w:ascii="Arial" w:hAnsi="Arial" w:cs="Arial"/>
          <w:bCs/>
          <w:sz w:val="22"/>
          <w:szCs w:val="22"/>
        </w:rPr>
        <w:t>he</w:t>
      </w:r>
      <w:r w:rsidR="00ED742E" w:rsidRPr="00D57FC5">
        <w:rPr>
          <w:rFonts w:ascii="Arial" w:hAnsi="Arial" w:cs="Arial"/>
          <w:bCs/>
          <w:sz w:val="22"/>
          <w:szCs w:val="22"/>
        </w:rPr>
        <w:t xml:space="preserve"> will start occupying that accommodation.</w:t>
      </w:r>
    </w:p>
    <w:p w14:paraId="2C63D896" w14:textId="53FA8FEA" w:rsidR="006C1745" w:rsidRPr="00D57FC5" w:rsidRDefault="006C1745" w:rsidP="00D57FC5">
      <w:pPr>
        <w:spacing w:after="120"/>
        <w:ind w:left="709"/>
        <w:rPr>
          <w:rFonts w:ascii="Arial" w:hAnsi="Arial" w:cs="Arial"/>
          <w:bCs/>
          <w:sz w:val="22"/>
          <w:szCs w:val="22"/>
        </w:rPr>
      </w:pPr>
      <w:r w:rsidRPr="00D57FC5">
        <w:rPr>
          <w:rFonts w:ascii="Arial" w:hAnsi="Arial" w:cs="Arial"/>
          <w:bCs/>
          <w:sz w:val="22"/>
          <w:szCs w:val="22"/>
        </w:rPr>
        <w:t xml:space="preserve">ABC Co determines that under section 61C of the FBTAA, ABC Co is entitled to reduce the taxable value of the </w:t>
      </w:r>
      <w:r w:rsidR="00C74A08" w:rsidRPr="00D57FC5">
        <w:rPr>
          <w:rFonts w:ascii="Arial" w:hAnsi="Arial" w:cs="Arial"/>
          <w:bCs/>
          <w:sz w:val="22"/>
          <w:szCs w:val="22"/>
        </w:rPr>
        <w:t xml:space="preserve">expense payment </w:t>
      </w:r>
      <w:r w:rsidRPr="00D57FC5">
        <w:rPr>
          <w:rFonts w:ascii="Arial" w:hAnsi="Arial" w:cs="Arial"/>
          <w:bCs/>
          <w:sz w:val="22"/>
          <w:szCs w:val="22"/>
        </w:rPr>
        <w:t xml:space="preserve">fringe benefit. Instead of obtaining the declaration from Andy as required by </w:t>
      </w:r>
      <w:r w:rsidR="00E94AF9" w:rsidRPr="00D57FC5">
        <w:rPr>
          <w:rFonts w:ascii="Arial" w:hAnsi="Arial" w:cs="Arial"/>
          <w:bCs/>
          <w:sz w:val="22"/>
          <w:szCs w:val="22"/>
        </w:rPr>
        <w:t>sub</w:t>
      </w:r>
      <w:r w:rsidRPr="00D57FC5">
        <w:rPr>
          <w:rFonts w:ascii="Arial" w:hAnsi="Arial" w:cs="Arial"/>
          <w:bCs/>
          <w:sz w:val="22"/>
          <w:szCs w:val="22"/>
        </w:rPr>
        <w:t>paragraph 61(3)(b)</w:t>
      </w:r>
      <w:r w:rsidR="004F567A" w:rsidRPr="00D57FC5">
        <w:rPr>
          <w:rFonts w:ascii="Arial" w:hAnsi="Arial" w:cs="Arial"/>
          <w:bCs/>
          <w:sz w:val="22"/>
          <w:szCs w:val="22"/>
        </w:rPr>
        <w:t>(iii)</w:t>
      </w:r>
      <w:r w:rsidRPr="00D57FC5">
        <w:rPr>
          <w:rFonts w:ascii="Arial" w:hAnsi="Arial" w:cs="Arial"/>
          <w:bCs/>
          <w:sz w:val="22"/>
          <w:szCs w:val="22"/>
        </w:rPr>
        <w:t>, ABC Co seeks to rely on section 123AA of the FBTAA.</w:t>
      </w:r>
    </w:p>
    <w:p w14:paraId="0D78BAF4" w14:textId="27C9A801" w:rsidR="006C1745" w:rsidRPr="00D57FC5" w:rsidRDefault="006C1745" w:rsidP="00D57FC5">
      <w:pPr>
        <w:spacing w:after="120"/>
        <w:ind w:left="709"/>
        <w:rPr>
          <w:rFonts w:ascii="Arial" w:hAnsi="Arial" w:cs="Arial"/>
          <w:bCs/>
          <w:sz w:val="22"/>
          <w:szCs w:val="22"/>
        </w:rPr>
      </w:pPr>
      <w:r w:rsidRPr="00D57FC5">
        <w:rPr>
          <w:rFonts w:ascii="Arial" w:hAnsi="Arial" w:cs="Arial"/>
          <w:bCs/>
          <w:sz w:val="22"/>
          <w:szCs w:val="22"/>
        </w:rPr>
        <w:t xml:space="preserve">In accordance with this </w:t>
      </w:r>
      <w:r w:rsidR="00F0495A" w:rsidRPr="00D57FC5">
        <w:rPr>
          <w:rFonts w:ascii="Arial" w:hAnsi="Arial" w:cs="Arial"/>
          <w:bCs/>
          <w:sz w:val="22"/>
          <w:szCs w:val="22"/>
        </w:rPr>
        <w:t>l</w:t>
      </w:r>
      <w:r w:rsidRPr="00D57FC5">
        <w:rPr>
          <w:rFonts w:ascii="Arial" w:hAnsi="Arial" w:cs="Arial"/>
          <w:bCs/>
          <w:sz w:val="22"/>
          <w:szCs w:val="22"/>
        </w:rPr>
        <w:t xml:space="preserve">egislative </w:t>
      </w:r>
      <w:r w:rsidR="00F0495A" w:rsidRPr="00D57FC5">
        <w:rPr>
          <w:rFonts w:ascii="Arial" w:hAnsi="Arial" w:cs="Arial"/>
          <w:bCs/>
          <w:sz w:val="22"/>
          <w:szCs w:val="22"/>
        </w:rPr>
        <w:t>i</w:t>
      </w:r>
      <w:r w:rsidRPr="00D57FC5">
        <w:rPr>
          <w:rFonts w:ascii="Arial" w:hAnsi="Arial" w:cs="Arial"/>
          <w:bCs/>
          <w:sz w:val="22"/>
          <w:szCs w:val="22"/>
        </w:rPr>
        <w:t xml:space="preserve">nstrument, ABC Co has obtained records containing, in aggregate, the minimum information to be relied upon as an alternative to the declaration. All of the required information was obtained and recorded </w:t>
      </w:r>
      <w:r w:rsidR="002558E1" w:rsidRPr="00D57FC5">
        <w:rPr>
          <w:rFonts w:ascii="Arial" w:hAnsi="Arial" w:cs="Arial"/>
          <w:bCs/>
          <w:sz w:val="22"/>
          <w:szCs w:val="22"/>
        </w:rPr>
        <w:t xml:space="preserve">by ABC Co </w:t>
      </w:r>
      <w:r w:rsidRPr="00D57FC5">
        <w:rPr>
          <w:rFonts w:ascii="Arial" w:hAnsi="Arial" w:cs="Arial"/>
          <w:bCs/>
          <w:sz w:val="22"/>
          <w:szCs w:val="22"/>
        </w:rPr>
        <w:t>before the due date for lodgment of ABC Co’s FBT return. The relevant records are as follows:</w:t>
      </w:r>
    </w:p>
    <w:p w14:paraId="771678A8" w14:textId="4B418F01" w:rsidR="00D57FC5" w:rsidRPr="00D57FC5" w:rsidRDefault="00D57FC5" w:rsidP="00D57FC5">
      <w:pPr>
        <w:spacing w:after="120"/>
        <w:ind w:left="709"/>
        <w:rPr>
          <w:rFonts w:ascii="Arial" w:hAnsi="Arial" w:cs="Arial"/>
          <w:sz w:val="22"/>
          <w:szCs w:val="22"/>
        </w:rPr>
      </w:pPr>
      <w:r w:rsidRPr="00D57FC5">
        <w:rPr>
          <w:rFonts w:ascii="Arial" w:hAnsi="Arial" w:cs="Arial"/>
          <w:sz w:val="22"/>
          <w:szCs w:val="22"/>
        </w:rPr>
        <w:t xml:space="preserve">Table </w:t>
      </w:r>
      <w:r w:rsidRPr="00D57FC5">
        <w:rPr>
          <w:rFonts w:ascii="Arial" w:hAnsi="Arial" w:cs="Arial"/>
          <w:sz w:val="22"/>
          <w:szCs w:val="22"/>
        </w:rPr>
        <w:fldChar w:fldCharType="begin"/>
      </w:r>
      <w:r w:rsidRPr="00D57FC5">
        <w:rPr>
          <w:rFonts w:ascii="Arial" w:hAnsi="Arial" w:cs="Arial"/>
          <w:sz w:val="22"/>
          <w:szCs w:val="22"/>
        </w:rPr>
        <w:instrText xml:space="preserve"> SEQ Table \* ARABIC </w:instrText>
      </w:r>
      <w:r w:rsidRPr="00D57FC5">
        <w:rPr>
          <w:rFonts w:ascii="Arial" w:hAnsi="Arial" w:cs="Arial"/>
          <w:sz w:val="22"/>
          <w:szCs w:val="22"/>
        </w:rPr>
        <w:fldChar w:fldCharType="separate"/>
      </w:r>
      <w:r>
        <w:rPr>
          <w:rFonts w:ascii="Arial" w:hAnsi="Arial" w:cs="Arial"/>
          <w:noProof/>
          <w:sz w:val="22"/>
          <w:szCs w:val="22"/>
        </w:rPr>
        <w:t>1</w:t>
      </w:r>
      <w:r w:rsidRPr="00D57FC5">
        <w:rPr>
          <w:rFonts w:ascii="Arial" w:hAnsi="Arial" w:cs="Arial"/>
          <w:sz w:val="22"/>
          <w:szCs w:val="22"/>
        </w:rPr>
        <w:fldChar w:fldCharType="end"/>
      </w:r>
      <w:r w:rsidRPr="00D57FC5">
        <w:rPr>
          <w:rFonts w:ascii="Arial" w:hAnsi="Arial" w:cs="Arial"/>
          <w:sz w:val="22"/>
          <w:szCs w:val="22"/>
        </w:rPr>
        <w:t xml:space="preserve">: </w:t>
      </w:r>
      <w:r w:rsidR="004E5920">
        <w:rPr>
          <w:rFonts w:ascii="Arial" w:hAnsi="Arial" w:cs="Arial"/>
          <w:sz w:val="22"/>
          <w:szCs w:val="22"/>
        </w:rPr>
        <w:t xml:space="preserve">ABC Co records that contain the required minimum information </w:t>
      </w:r>
    </w:p>
    <w:tbl>
      <w:tblPr>
        <w:tblStyle w:val="TableGrid"/>
        <w:tblW w:w="4639" w:type="pct"/>
        <w:tblInd w:w="704" w:type="dxa"/>
        <w:tblLook w:val="04A0" w:firstRow="1" w:lastRow="0" w:firstColumn="1" w:lastColumn="0" w:noHBand="0" w:noVBand="1"/>
      </w:tblPr>
      <w:tblGrid>
        <w:gridCol w:w="5281"/>
        <w:gridCol w:w="3784"/>
      </w:tblGrid>
      <w:tr w:rsidR="006C1745" w:rsidRPr="00D57FC5" w14:paraId="6211F24B" w14:textId="77777777" w:rsidTr="00D57FC5">
        <w:tc>
          <w:tcPr>
            <w:tcW w:w="2913" w:type="pct"/>
          </w:tcPr>
          <w:p w14:paraId="6BA8C88D" w14:textId="4A19E66C" w:rsidR="006C1745" w:rsidRPr="00D57FC5" w:rsidRDefault="006C1745" w:rsidP="00D57FC5">
            <w:pPr>
              <w:spacing w:before="60" w:after="60"/>
              <w:rPr>
                <w:rFonts w:ascii="Arial" w:hAnsi="Arial" w:cs="Arial"/>
                <w:b/>
                <w:bCs/>
                <w:sz w:val="20"/>
              </w:rPr>
            </w:pPr>
            <w:r w:rsidRPr="00D57FC5">
              <w:rPr>
                <w:rFonts w:ascii="Arial" w:hAnsi="Arial" w:cs="Arial"/>
                <w:b/>
                <w:bCs/>
                <w:sz w:val="20"/>
              </w:rPr>
              <w:t>Required minimum information</w:t>
            </w:r>
          </w:p>
        </w:tc>
        <w:tc>
          <w:tcPr>
            <w:tcW w:w="2087" w:type="pct"/>
          </w:tcPr>
          <w:p w14:paraId="4522C5FA" w14:textId="6B29F16D" w:rsidR="006C1745" w:rsidRPr="00D57FC5" w:rsidRDefault="006C1745" w:rsidP="00D57FC5">
            <w:pPr>
              <w:spacing w:before="60" w:after="60"/>
              <w:rPr>
                <w:rFonts w:ascii="Arial" w:hAnsi="Arial" w:cs="Arial"/>
                <w:b/>
                <w:bCs/>
                <w:sz w:val="20"/>
              </w:rPr>
            </w:pPr>
            <w:r w:rsidRPr="00D57FC5">
              <w:rPr>
                <w:rFonts w:ascii="Arial" w:hAnsi="Arial" w:cs="Arial"/>
                <w:b/>
                <w:bCs/>
                <w:sz w:val="20"/>
              </w:rPr>
              <w:t>Record</w:t>
            </w:r>
            <w:r w:rsidR="00970086" w:rsidRPr="00D57FC5">
              <w:rPr>
                <w:rFonts w:ascii="Arial" w:hAnsi="Arial" w:cs="Arial"/>
                <w:b/>
                <w:bCs/>
                <w:sz w:val="20"/>
              </w:rPr>
              <w:t>s</w:t>
            </w:r>
            <w:r w:rsidRPr="00D57FC5">
              <w:rPr>
                <w:rFonts w:ascii="Arial" w:hAnsi="Arial" w:cs="Arial"/>
                <w:b/>
                <w:bCs/>
                <w:sz w:val="20"/>
              </w:rPr>
              <w:t xml:space="preserve"> held by </w:t>
            </w:r>
            <w:r w:rsidR="00A7765D" w:rsidRPr="00D57FC5">
              <w:rPr>
                <w:rFonts w:ascii="Arial" w:hAnsi="Arial" w:cs="Arial"/>
                <w:b/>
                <w:bCs/>
                <w:sz w:val="20"/>
              </w:rPr>
              <w:t>ABC</w:t>
            </w:r>
            <w:r w:rsidRPr="00D57FC5">
              <w:rPr>
                <w:rFonts w:ascii="Arial" w:hAnsi="Arial" w:cs="Arial"/>
                <w:b/>
                <w:bCs/>
                <w:sz w:val="20"/>
              </w:rPr>
              <w:t xml:space="preserve"> Co</w:t>
            </w:r>
          </w:p>
        </w:tc>
      </w:tr>
      <w:tr w:rsidR="006C1745" w:rsidRPr="00D57FC5" w14:paraId="7F4B38E9" w14:textId="77777777" w:rsidTr="00D57FC5">
        <w:tc>
          <w:tcPr>
            <w:tcW w:w="2913" w:type="pct"/>
          </w:tcPr>
          <w:p w14:paraId="6589055B" w14:textId="76332637" w:rsidR="006C1745" w:rsidRPr="00D57FC5" w:rsidRDefault="006C1745" w:rsidP="00D57FC5">
            <w:pPr>
              <w:pStyle w:val="ListParagraph"/>
              <w:numPr>
                <w:ilvl w:val="0"/>
                <w:numId w:val="6"/>
              </w:numPr>
              <w:spacing w:before="60" w:after="60" w:line="240" w:lineRule="auto"/>
              <w:ind w:left="284" w:hanging="284"/>
              <w:rPr>
                <w:rFonts w:ascii="Arial" w:hAnsi="Arial" w:cs="Arial"/>
                <w:sz w:val="20"/>
                <w:szCs w:val="20"/>
              </w:rPr>
            </w:pPr>
            <w:r w:rsidRPr="00D57FC5">
              <w:rPr>
                <w:rFonts w:ascii="Arial" w:hAnsi="Arial" w:cs="Arial"/>
                <w:sz w:val="20"/>
                <w:szCs w:val="20"/>
              </w:rPr>
              <w:t xml:space="preserve">The name of the employee </w:t>
            </w:r>
            <w:r w:rsidR="00033DF2" w:rsidRPr="00D57FC5">
              <w:rPr>
                <w:rFonts w:ascii="Arial" w:hAnsi="Arial" w:cs="Arial"/>
                <w:sz w:val="20"/>
                <w:szCs w:val="20"/>
              </w:rPr>
              <w:t>who received the benefit</w:t>
            </w:r>
          </w:p>
        </w:tc>
        <w:tc>
          <w:tcPr>
            <w:tcW w:w="2087" w:type="pct"/>
          </w:tcPr>
          <w:p w14:paraId="549F534B" w14:textId="0B2290AC" w:rsidR="006C1745" w:rsidRPr="00D57FC5" w:rsidRDefault="005A5428" w:rsidP="00D57FC5">
            <w:pPr>
              <w:spacing w:before="60" w:after="60"/>
              <w:rPr>
                <w:rFonts w:ascii="Arial" w:hAnsi="Arial" w:cs="Arial"/>
                <w:sz w:val="20"/>
              </w:rPr>
            </w:pPr>
            <w:r w:rsidRPr="00D57FC5">
              <w:rPr>
                <w:rFonts w:ascii="Arial" w:hAnsi="Arial" w:cs="Arial"/>
                <w:sz w:val="20"/>
              </w:rPr>
              <w:t xml:space="preserve">Employer records </w:t>
            </w:r>
            <w:r w:rsidR="00D617DA" w:rsidRPr="00D57FC5">
              <w:rPr>
                <w:rFonts w:ascii="Arial" w:hAnsi="Arial" w:cs="Arial"/>
                <w:sz w:val="20"/>
              </w:rPr>
              <w:t>such as</w:t>
            </w:r>
            <w:r w:rsidRPr="00D57FC5">
              <w:rPr>
                <w:rFonts w:ascii="Arial" w:hAnsi="Arial" w:cs="Arial"/>
                <w:sz w:val="20"/>
              </w:rPr>
              <w:t xml:space="preserve"> p</w:t>
            </w:r>
            <w:r w:rsidR="006C1745" w:rsidRPr="00D57FC5">
              <w:rPr>
                <w:rFonts w:ascii="Arial" w:hAnsi="Arial" w:cs="Arial"/>
                <w:sz w:val="20"/>
              </w:rPr>
              <w:t>ayroll records</w:t>
            </w:r>
          </w:p>
        </w:tc>
      </w:tr>
      <w:tr w:rsidR="006C1745" w:rsidRPr="00D57FC5" w14:paraId="404CDF1B" w14:textId="77777777" w:rsidTr="00D57FC5">
        <w:tc>
          <w:tcPr>
            <w:tcW w:w="2913" w:type="pct"/>
          </w:tcPr>
          <w:p w14:paraId="03D34C97" w14:textId="77777777" w:rsidR="006C1745" w:rsidRPr="00D57FC5" w:rsidRDefault="006C1745" w:rsidP="00D57FC5">
            <w:pPr>
              <w:pStyle w:val="ListParagraph"/>
              <w:numPr>
                <w:ilvl w:val="0"/>
                <w:numId w:val="6"/>
              </w:numPr>
              <w:spacing w:before="60" w:after="60" w:line="240" w:lineRule="auto"/>
              <w:ind w:left="284" w:hanging="284"/>
              <w:rPr>
                <w:rFonts w:ascii="Arial" w:hAnsi="Arial" w:cs="Arial"/>
                <w:sz w:val="20"/>
                <w:szCs w:val="20"/>
              </w:rPr>
            </w:pPr>
            <w:r w:rsidRPr="00D57FC5">
              <w:rPr>
                <w:rFonts w:ascii="Arial" w:hAnsi="Arial" w:cs="Arial"/>
                <w:sz w:val="20"/>
                <w:szCs w:val="20"/>
              </w:rPr>
              <w:t>The address of the temporary accommodation</w:t>
            </w:r>
          </w:p>
          <w:p w14:paraId="5C2DFFC4" w14:textId="6FDADCDD" w:rsidR="006C1745" w:rsidRPr="00D57FC5" w:rsidRDefault="006C1745" w:rsidP="00D57FC5">
            <w:pPr>
              <w:pStyle w:val="ListParagraph"/>
              <w:numPr>
                <w:ilvl w:val="0"/>
                <w:numId w:val="6"/>
              </w:numPr>
              <w:spacing w:before="60" w:after="60" w:line="240" w:lineRule="auto"/>
              <w:ind w:left="284" w:hanging="284"/>
              <w:rPr>
                <w:rFonts w:ascii="Arial" w:hAnsi="Arial" w:cs="Arial"/>
                <w:sz w:val="20"/>
                <w:szCs w:val="20"/>
              </w:rPr>
            </w:pPr>
            <w:r w:rsidRPr="00D57FC5">
              <w:rPr>
                <w:rFonts w:ascii="Arial" w:hAnsi="Arial" w:cs="Arial"/>
                <w:sz w:val="20"/>
                <w:szCs w:val="20"/>
              </w:rPr>
              <w:t>The dates the temporary accommodation was</w:t>
            </w:r>
            <w:r w:rsidR="005A5428" w:rsidRPr="00D57FC5">
              <w:rPr>
                <w:rFonts w:ascii="Arial" w:hAnsi="Arial" w:cs="Arial"/>
                <w:sz w:val="20"/>
                <w:szCs w:val="20"/>
              </w:rPr>
              <w:t xml:space="preserve"> </w:t>
            </w:r>
            <w:r w:rsidRPr="00D57FC5">
              <w:rPr>
                <w:rFonts w:ascii="Arial" w:hAnsi="Arial" w:cs="Arial"/>
                <w:sz w:val="20"/>
                <w:szCs w:val="20"/>
              </w:rPr>
              <w:t>required</w:t>
            </w:r>
          </w:p>
          <w:p w14:paraId="6BB9E3E8" w14:textId="77777777" w:rsidR="006C1745" w:rsidRPr="00D57FC5" w:rsidRDefault="006C1745" w:rsidP="00D57FC5">
            <w:pPr>
              <w:pStyle w:val="ListParagraph"/>
              <w:numPr>
                <w:ilvl w:val="0"/>
                <w:numId w:val="6"/>
              </w:numPr>
              <w:spacing w:before="60" w:after="60" w:line="240" w:lineRule="auto"/>
              <w:ind w:left="284" w:hanging="284"/>
              <w:rPr>
                <w:rFonts w:ascii="Arial" w:hAnsi="Arial" w:cs="Arial"/>
                <w:sz w:val="20"/>
                <w:szCs w:val="20"/>
              </w:rPr>
            </w:pPr>
            <w:r w:rsidRPr="00D57FC5">
              <w:rPr>
                <w:rFonts w:ascii="Arial" w:hAnsi="Arial" w:cs="Arial"/>
                <w:sz w:val="20"/>
                <w:szCs w:val="20"/>
              </w:rPr>
              <w:t>The date the employee began actively searching for long-term accommodation</w:t>
            </w:r>
          </w:p>
        </w:tc>
        <w:tc>
          <w:tcPr>
            <w:tcW w:w="2087" w:type="pct"/>
          </w:tcPr>
          <w:p w14:paraId="3010B278" w14:textId="77777777" w:rsidR="006C1745" w:rsidRPr="00D57FC5" w:rsidRDefault="006C1745" w:rsidP="00D57FC5">
            <w:pPr>
              <w:spacing w:before="60" w:after="60"/>
              <w:rPr>
                <w:rFonts w:ascii="Arial" w:hAnsi="Arial" w:cs="Arial"/>
                <w:sz w:val="20"/>
              </w:rPr>
            </w:pPr>
            <w:r w:rsidRPr="00D57FC5">
              <w:rPr>
                <w:rFonts w:ascii="Arial" w:hAnsi="Arial" w:cs="Arial"/>
                <w:sz w:val="20"/>
              </w:rPr>
              <w:t xml:space="preserve">Emails sent by </w:t>
            </w:r>
            <w:r w:rsidR="00A7765D" w:rsidRPr="00D57FC5">
              <w:rPr>
                <w:rFonts w:ascii="Arial" w:hAnsi="Arial" w:cs="Arial"/>
                <w:sz w:val="20"/>
              </w:rPr>
              <w:t>Andy</w:t>
            </w:r>
          </w:p>
          <w:p w14:paraId="55693616" w14:textId="15A20A3C" w:rsidR="00C74A08" w:rsidRPr="00D57FC5" w:rsidRDefault="00C74A08" w:rsidP="00D57FC5">
            <w:pPr>
              <w:spacing w:before="60" w:after="60"/>
              <w:rPr>
                <w:rFonts w:ascii="Arial" w:hAnsi="Arial" w:cs="Arial"/>
                <w:sz w:val="20"/>
              </w:rPr>
            </w:pPr>
            <w:r w:rsidRPr="00D57FC5">
              <w:rPr>
                <w:rFonts w:ascii="Arial" w:hAnsi="Arial" w:cs="Arial"/>
                <w:sz w:val="20"/>
              </w:rPr>
              <w:t>Payroll expense reimbursement form</w:t>
            </w:r>
          </w:p>
        </w:tc>
      </w:tr>
      <w:tr w:rsidR="006C1745" w:rsidRPr="00D57FC5" w14:paraId="25BC8092" w14:textId="77777777" w:rsidTr="00D57FC5">
        <w:tc>
          <w:tcPr>
            <w:tcW w:w="2913" w:type="pct"/>
          </w:tcPr>
          <w:p w14:paraId="35AD819B" w14:textId="77777777" w:rsidR="006C1745" w:rsidRPr="00D57FC5" w:rsidRDefault="006C1745" w:rsidP="00D57FC5">
            <w:pPr>
              <w:pStyle w:val="ListParagraph"/>
              <w:numPr>
                <w:ilvl w:val="0"/>
                <w:numId w:val="6"/>
              </w:numPr>
              <w:spacing w:before="60" w:after="60" w:line="240" w:lineRule="auto"/>
              <w:ind w:left="284" w:hanging="284"/>
              <w:rPr>
                <w:rFonts w:ascii="Arial" w:hAnsi="Arial" w:cs="Arial"/>
                <w:sz w:val="20"/>
                <w:szCs w:val="20"/>
              </w:rPr>
            </w:pPr>
            <w:r w:rsidRPr="00D57FC5">
              <w:rPr>
                <w:rFonts w:ascii="Arial" w:hAnsi="Arial" w:cs="Arial"/>
                <w:sz w:val="20"/>
                <w:szCs w:val="20"/>
              </w:rPr>
              <w:t>The date the long-term accommodation lease contract was entered into</w:t>
            </w:r>
          </w:p>
          <w:p w14:paraId="6017E4F9" w14:textId="48439FE4" w:rsidR="00ED742E" w:rsidRPr="00D57FC5" w:rsidRDefault="00ED742E" w:rsidP="00D57FC5">
            <w:pPr>
              <w:pStyle w:val="ListParagraph"/>
              <w:numPr>
                <w:ilvl w:val="0"/>
                <w:numId w:val="6"/>
              </w:numPr>
              <w:spacing w:before="60" w:after="60" w:line="240" w:lineRule="auto"/>
              <w:ind w:left="284" w:hanging="284"/>
              <w:rPr>
                <w:rFonts w:ascii="Arial" w:hAnsi="Arial" w:cs="Arial"/>
                <w:sz w:val="20"/>
                <w:szCs w:val="20"/>
              </w:rPr>
            </w:pPr>
            <w:r w:rsidRPr="00D57FC5">
              <w:rPr>
                <w:rFonts w:ascii="Arial" w:hAnsi="Arial" w:cs="Arial"/>
                <w:sz w:val="20"/>
                <w:szCs w:val="20"/>
              </w:rPr>
              <w:t>The date the employee start</w:t>
            </w:r>
            <w:r w:rsidR="009314A1" w:rsidRPr="00D57FC5">
              <w:rPr>
                <w:rFonts w:ascii="Arial" w:hAnsi="Arial" w:cs="Arial"/>
                <w:sz w:val="20"/>
                <w:szCs w:val="20"/>
              </w:rPr>
              <w:t>ed</w:t>
            </w:r>
            <w:r w:rsidRPr="00D57FC5">
              <w:rPr>
                <w:rFonts w:ascii="Arial" w:hAnsi="Arial" w:cs="Arial"/>
                <w:sz w:val="20"/>
                <w:szCs w:val="20"/>
              </w:rPr>
              <w:t xml:space="preserve"> to occupy the long-term accommodation</w:t>
            </w:r>
          </w:p>
        </w:tc>
        <w:tc>
          <w:tcPr>
            <w:tcW w:w="2087" w:type="pct"/>
          </w:tcPr>
          <w:p w14:paraId="0FB82051" w14:textId="5EA9A8E8" w:rsidR="006C1745" w:rsidRPr="00D57FC5" w:rsidRDefault="006C1745" w:rsidP="00D57FC5">
            <w:pPr>
              <w:spacing w:before="60" w:after="60"/>
              <w:rPr>
                <w:rFonts w:ascii="Arial" w:hAnsi="Arial" w:cs="Arial"/>
                <w:sz w:val="20"/>
              </w:rPr>
            </w:pPr>
            <w:r w:rsidRPr="00D57FC5">
              <w:rPr>
                <w:rFonts w:ascii="Arial" w:hAnsi="Arial" w:cs="Arial"/>
                <w:sz w:val="20"/>
              </w:rPr>
              <w:t>Copy of long-term lease contract</w:t>
            </w:r>
          </w:p>
        </w:tc>
      </w:tr>
    </w:tbl>
    <w:p w14:paraId="4B9D1CE8" w14:textId="77777777" w:rsidR="006C1745" w:rsidRPr="00D57FC5" w:rsidRDefault="006C1745" w:rsidP="00D57FC5">
      <w:pPr>
        <w:spacing w:after="120"/>
        <w:rPr>
          <w:rFonts w:ascii="Arial" w:hAnsi="Arial" w:cs="Arial"/>
          <w:sz w:val="22"/>
          <w:szCs w:val="22"/>
        </w:rPr>
      </w:pPr>
    </w:p>
    <w:p w14:paraId="656ACF23" w14:textId="4373B3F7" w:rsidR="006C1745" w:rsidRPr="00D57FC5" w:rsidRDefault="006C1745" w:rsidP="00D57FC5">
      <w:pPr>
        <w:spacing w:after="120"/>
        <w:ind w:left="709"/>
        <w:rPr>
          <w:rFonts w:ascii="Arial" w:hAnsi="Arial" w:cs="Arial"/>
          <w:bCs/>
          <w:sz w:val="22"/>
          <w:szCs w:val="22"/>
        </w:rPr>
      </w:pPr>
      <w:r w:rsidRPr="00D57FC5">
        <w:rPr>
          <w:rFonts w:ascii="Arial" w:hAnsi="Arial" w:cs="Arial"/>
          <w:bCs/>
          <w:sz w:val="22"/>
          <w:szCs w:val="22"/>
        </w:rPr>
        <w:t xml:space="preserve">ABC Co can reduce the taxable value of the expense payment fringe benefit in accordance with section 61C of the FBTAA. Due to the operation of subsection 123AA(1) of the FBTAA, ABC Co is taken to have kept and retained the relevant declaration and accordingly has satisfied the requirement in </w:t>
      </w:r>
      <w:r w:rsidR="00B17C52" w:rsidRPr="00D57FC5">
        <w:rPr>
          <w:rFonts w:ascii="Arial" w:hAnsi="Arial" w:cs="Arial"/>
          <w:bCs/>
          <w:sz w:val="22"/>
          <w:szCs w:val="22"/>
        </w:rPr>
        <w:t>sub</w:t>
      </w:r>
      <w:r w:rsidRPr="00D57FC5">
        <w:rPr>
          <w:rFonts w:ascii="Arial" w:hAnsi="Arial" w:cs="Arial"/>
          <w:bCs/>
          <w:sz w:val="22"/>
          <w:szCs w:val="22"/>
        </w:rPr>
        <w:t>paragraph 61C(3)(b)</w:t>
      </w:r>
      <w:r w:rsidR="008233D6" w:rsidRPr="00D57FC5">
        <w:rPr>
          <w:rFonts w:ascii="Arial" w:hAnsi="Arial" w:cs="Arial"/>
          <w:bCs/>
          <w:sz w:val="22"/>
          <w:szCs w:val="22"/>
        </w:rPr>
        <w:t>(iii)</w:t>
      </w:r>
      <w:r w:rsidRPr="00D57FC5">
        <w:rPr>
          <w:rFonts w:ascii="Arial" w:hAnsi="Arial" w:cs="Arial"/>
          <w:bCs/>
          <w:sz w:val="22"/>
          <w:szCs w:val="22"/>
        </w:rPr>
        <w:t>.</w:t>
      </w:r>
    </w:p>
    <w:p w14:paraId="270FADBC" w14:textId="77777777" w:rsidR="00C1605F" w:rsidRPr="00D57FC5" w:rsidRDefault="00C1605F" w:rsidP="00D57FC5">
      <w:pPr>
        <w:spacing w:after="120"/>
        <w:rPr>
          <w:rFonts w:ascii="Arial" w:hAnsi="Arial" w:cs="Arial"/>
          <w:sz w:val="22"/>
          <w:szCs w:val="22"/>
        </w:rPr>
      </w:pPr>
    </w:p>
    <w:p w14:paraId="05A9267E" w14:textId="77777777" w:rsidR="00D57FC5" w:rsidRPr="00D57FC5" w:rsidRDefault="000741A0" w:rsidP="00D57FC5">
      <w:pPr>
        <w:spacing w:after="120"/>
        <w:rPr>
          <w:rFonts w:ascii="Arial" w:hAnsi="Arial" w:cs="Arial"/>
          <w:b/>
          <w:sz w:val="22"/>
          <w:szCs w:val="22"/>
        </w:rPr>
      </w:pPr>
      <w:r w:rsidRPr="00D57FC5">
        <w:rPr>
          <w:rFonts w:ascii="Arial" w:hAnsi="Arial" w:cs="Arial"/>
          <w:b/>
          <w:sz w:val="22"/>
          <w:szCs w:val="22"/>
        </w:rPr>
        <w:t>Example 2</w:t>
      </w:r>
    </w:p>
    <w:p w14:paraId="657439F4" w14:textId="25A6A8DE" w:rsidR="00784437" w:rsidRPr="00D57FC5" w:rsidRDefault="00C53FCC" w:rsidP="00D57FC5">
      <w:pPr>
        <w:spacing w:after="120"/>
        <w:ind w:left="709"/>
        <w:rPr>
          <w:rFonts w:ascii="Arial" w:hAnsi="Arial" w:cs="Arial"/>
          <w:bCs/>
          <w:sz w:val="22"/>
          <w:szCs w:val="22"/>
        </w:rPr>
      </w:pPr>
      <w:r w:rsidRPr="00D57FC5">
        <w:rPr>
          <w:rFonts w:ascii="Arial" w:hAnsi="Arial" w:cs="Arial"/>
          <w:bCs/>
          <w:sz w:val="22"/>
          <w:szCs w:val="22"/>
        </w:rPr>
        <w:t xml:space="preserve">Fiona is an employee of </w:t>
      </w:r>
      <w:r w:rsidR="0043767A" w:rsidRPr="00D57FC5">
        <w:rPr>
          <w:rFonts w:ascii="Arial" w:hAnsi="Arial" w:cs="Arial"/>
          <w:bCs/>
          <w:sz w:val="22"/>
          <w:szCs w:val="22"/>
        </w:rPr>
        <w:t>DDD</w:t>
      </w:r>
      <w:r w:rsidRPr="00D57FC5">
        <w:rPr>
          <w:rFonts w:ascii="Arial" w:hAnsi="Arial" w:cs="Arial"/>
          <w:bCs/>
          <w:sz w:val="22"/>
          <w:szCs w:val="22"/>
        </w:rPr>
        <w:t xml:space="preserve"> Co, and lives in a house she owns in Brisbane. </w:t>
      </w:r>
      <w:r w:rsidR="00091068" w:rsidRPr="00D57FC5">
        <w:rPr>
          <w:rFonts w:ascii="Arial" w:hAnsi="Arial" w:cs="Arial"/>
          <w:bCs/>
          <w:sz w:val="22"/>
          <w:szCs w:val="22"/>
        </w:rPr>
        <w:t>She</w:t>
      </w:r>
      <w:r w:rsidRPr="00D57FC5">
        <w:rPr>
          <w:rFonts w:ascii="Arial" w:hAnsi="Arial" w:cs="Arial"/>
          <w:bCs/>
          <w:sz w:val="22"/>
          <w:szCs w:val="22"/>
        </w:rPr>
        <w:t xml:space="preserve"> is offered a promotion to work in a different branch of </w:t>
      </w:r>
      <w:r w:rsidR="0043767A" w:rsidRPr="00D57FC5">
        <w:rPr>
          <w:rFonts w:ascii="Arial" w:hAnsi="Arial" w:cs="Arial"/>
          <w:bCs/>
          <w:sz w:val="22"/>
          <w:szCs w:val="22"/>
        </w:rPr>
        <w:t>DDD</w:t>
      </w:r>
      <w:r w:rsidRPr="00D57FC5">
        <w:rPr>
          <w:rFonts w:ascii="Arial" w:hAnsi="Arial" w:cs="Arial"/>
          <w:bCs/>
          <w:sz w:val="22"/>
          <w:szCs w:val="22"/>
        </w:rPr>
        <w:t xml:space="preserve"> Co, in Canberra. Fiona accepted the offer and moved to temporary accommodation near </w:t>
      </w:r>
      <w:r w:rsidR="001065F6" w:rsidRPr="00D57FC5">
        <w:rPr>
          <w:rFonts w:ascii="Arial" w:hAnsi="Arial" w:cs="Arial"/>
          <w:bCs/>
          <w:sz w:val="22"/>
          <w:szCs w:val="22"/>
        </w:rPr>
        <w:t>Civic, Canberra’s city centre</w:t>
      </w:r>
      <w:r w:rsidRPr="00D57FC5">
        <w:rPr>
          <w:rFonts w:ascii="Arial" w:hAnsi="Arial" w:cs="Arial"/>
          <w:bCs/>
          <w:sz w:val="22"/>
          <w:szCs w:val="22"/>
        </w:rPr>
        <w:t xml:space="preserve">. </w:t>
      </w:r>
      <w:r w:rsidR="0043767A" w:rsidRPr="00D57FC5">
        <w:rPr>
          <w:rFonts w:ascii="Arial" w:hAnsi="Arial" w:cs="Arial"/>
          <w:bCs/>
          <w:sz w:val="22"/>
          <w:szCs w:val="22"/>
        </w:rPr>
        <w:t>DDD</w:t>
      </w:r>
      <w:r w:rsidRPr="00D57FC5">
        <w:rPr>
          <w:rFonts w:ascii="Arial" w:hAnsi="Arial" w:cs="Arial"/>
          <w:bCs/>
          <w:sz w:val="22"/>
          <w:szCs w:val="22"/>
        </w:rPr>
        <w:t xml:space="preserve"> Co agrees to </w:t>
      </w:r>
      <w:r w:rsidR="005A0188" w:rsidRPr="00D57FC5">
        <w:rPr>
          <w:rFonts w:ascii="Arial" w:hAnsi="Arial" w:cs="Arial"/>
          <w:bCs/>
          <w:sz w:val="22"/>
          <w:szCs w:val="22"/>
        </w:rPr>
        <w:t>pay for the temporary accommodation on Fiona’s behalf</w:t>
      </w:r>
      <w:r w:rsidRPr="00D57FC5">
        <w:rPr>
          <w:rFonts w:ascii="Arial" w:hAnsi="Arial" w:cs="Arial"/>
          <w:bCs/>
          <w:sz w:val="22"/>
          <w:szCs w:val="22"/>
        </w:rPr>
        <w:t>, which is an expense payment fringe benefit.</w:t>
      </w:r>
    </w:p>
    <w:p w14:paraId="51510E05" w14:textId="77777777" w:rsidR="00D57FC5" w:rsidRPr="00D57FC5" w:rsidRDefault="005A0188" w:rsidP="00D57FC5">
      <w:pPr>
        <w:spacing w:after="120"/>
        <w:ind w:left="709"/>
        <w:rPr>
          <w:rFonts w:ascii="Arial" w:hAnsi="Arial" w:cs="Arial"/>
          <w:bCs/>
          <w:sz w:val="22"/>
          <w:szCs w:val="22"/>
        </w:rPr>
      </w:pPr>
      <w:r w:rsidRPr="00D57FC5">
        <w:rPr>
          <w:rFonts w:ascii="Arial" w:hAnsi="Arial" w:cs="Arial"/>
          <w:bCs/>
          <w:sz w:val="22"/>
          <w:szCs w:val="22"/>
        </w:rPr>
        <w:t xml:space="preserve">Fiona sends </w:t>
      </w:r>
      <w:r w:rsidR="0043767A" w:rsidRPr="00D57FC5">
        <w:rPr>
          <w:rFonts w:ascii="Arial" w:hAnsi="Arial" w:cs="Arial"/>
          <w:bCs/>
          <w:sz w:val="22"/>
          <w:szCs w:val="22"/>
        </w:rPr>
        <w:t>DDD</w:t>
      </w:r>
      <w:r w:rsidRPr="00D57FC5">
        <w:rPr>
          <w:rFonts w:ascii="Arial" w:hAnsi="Arial" w:cs="Arial"/>
          <w:bCs/>
          <w:sz w:val="22"/>
          <w:szCs w:val="22"/>
        </w:rPr>
        <w:t xml:space="preserve"> Co an email outlining the dates she will initially require temporary accommodation in Canberra. Fiona and </w:t>
      </w:r>
      <w:r w:rsidR="0043767A" w:rsidRPr="00D57FC5">
        <w:rPr>
          <w:rFonts w:ascii="Arial" w:hAnsi="Arial" w:cs="Arial"/>
          <w:bCs/>
          <w:sz w:val="22"/>
          <w:szCs w:val="22"/>
        </w:rPr>
        <w:t>DDD</w:t>
      </w:r>
      <w:r w:rsidRPr="00D57FC5">
        <w:rPr>
          <w:rFonts w:ascii="Arial" w:hAnsi="Arial" w:cs="Arial"/>
          <w:bCs/>
          <w:sz w:val="22"/>
          <w:szCs w:val="22"/>
        </w:rPr>
        <w:t xml:space="preserve"> Co wo</w:t>
      </w:r>
      <w:r w:rsidR="004E547F" w:rsidRPr="00D57FC5">
        <w:rPr>
          <w:rFonts w:ascii="Arial" w:hAnsi="Arial" w:cs="Arial"/>
          <w:bCs/>
          <w:sz w:val="22"/>
          <w:szCs w:val="22"/>
        </w:rPr>
        <w:t>rk</w:t>
      </w:r>
      <w:r w:rsidRPr="00D57FC5">
        <w:rPr>
          <w:rFonts w:ascii="Arial" w:hAnsi="Arial" w:cs="Arial"/>
          <w:bCs/>
          <w:sz w:val="22"/>
          <w:szCs w:val="22"/>
        </w:rPr>
        <w:t xml:space="preserve"> out a timeframe for Fiona to provide regular updates on her search for long-term accommodation.</w:t>
      </w:r>
    </w:p>
    <w:p w14:paraId="140905C0" w14:textId="77777777" w:rsidR="00D57FC5" w:rsidRPr="00D57FC5" w:rsidRDefault="00784437" w:rsidP="00D57FC5">
      <w:pPr>
        <w:spacing w:after="120"/>
        <w:ind w:left="709"/>
        <w:rPr>
          <w:rFonts w:ascii="Arial" w:hAnsi="Arial" w:cs="Arial"/>
          <w:bCs/>
          <w:sz w:val="22"/>
          <w:szCs w:val="22"/>
        </w:rPr>
      </w:pPr>
      <w:r w:rsidRPr="00D57FC5">
        <w:rPr>
          <w:rFonts w:ascii="Arial" w:hAnsi="Arial" w:cs="Arial"/>
          <w:bCs/>
          <w:sz w:val="22"/>
          <w:szCs w:val="22"/>
        </w:rPr>
        <w:t xml:space="preserve">Fiona completes a payroll form to have her temporary accommodation in Canberra paid for by </w:t>
      </w:r>
      <w:r w:rsidR="0043767A" w:rsidRPr="00D57FC5">
        <w:rPr>
          <w:rFonts w:ascii="Arial" w:hAnsi="Arial" w:cs="Arial"/>
          <w:bCs/>
          <w:sz w:val="22"/>
          <w:szCs w:val="22"/>
        </w:rPr>
        <w:t>DDD</w:t>
      </w:r>
      <w:r w:rsidRPr="00D57FC5">
        <w:rPr>
          <w:rFonts w:ascii="Arial" w:hAnsi="Arial" w:cs="Arial"/>
          <w:bCs/>
          <w:sz w:val="22"/>
          <w:szCs w:val="22"/>
        </w:rPr>
        <w:t xml:space="preserve"> Co.</w:t>
      </w:r>
    </w:p>
    <w:p w14:paraId="4A65A13A" w14:textId="2D93A40B" w:rsidR="00784437" w:rsidRPr="00D57FC5" w:rsidRDefault="00784437" w:rsidP="00D57FC5">
      <w:pPr>
        <w:spacing w:after="120"/>
        <w:ind w:left="709"/>
        <w:rPr>
          <w:rFonts w:ascii="Arial" w:hAnsi="Arial" w:cs="Arial"/>
          <w:bCs/>
          <w:sz w:val="22"/>
          <w:szCs w:val="22"/>
        </w:rPr>
      </w:pPr>
      <w:r w:rsidRPr="00D57FC5">
        <w:rPr>
          <w:rFonts w:ascii="Arial" w:hAnsi="Arial" w:cs="Arial"/>
          <w:bCs/>
          <w:sz w:val="22"/>
          <w:szCs w:val="22"/>
        </w:rPr>
        <w:lastRenderedPageBreak/>
        <w:t xml:space="preserve">Fiona </w:t>
      </w:r>
      <w:r w:rsidR="006A60FE" w:rsidRPr="00D57FC5">
        <w:rPr>
          <w:rFonts w:ascii="Arial" w:hAnsi="Arial" w:cs="Arial"/>
          <w:bCs/>
          <w:sz w:val="22"/>
          <w:szCs w:val="22"/>
        </w:rPr>
        <w:t>put</w:t>
      </w:r>
      <w:r w:rsidR="00565A07" w:rsidRPr="00D57FC5">
        <w:rPr>
          <w:rFonts w:ascii="Arial" w:hAnsi="Arial" w:cs="Arial"/>
          <w:bCs/>
          <w:sz w:val="22"/>
          <w:szCs w:val="22"/>
        </w:rPr>
        <w:t>s</w:t>
      </w:r>
      <w:r w:rsidRPr="00D57FC5">
        <w:rPr>
          <w:rFonts w:ascii="Arial" w:hAnsi="Arial" w:cs="Arial"/>
          <w:bCs/>
          <w:sz w:val="22"/>
          <w:szCs w:val="22"/>
        </w:rPr>
        <w:t xml:space="preserve"> her house</w:t>
      </w:r>
      <w:r w:rsidR="006A60FE" w:rsidRPr="00D57FC5">
        <w:rPr>
          <w:rFonts w:ascii="Arial" w:hAnsi="Arial" w:cs="Arial"/>
          <w:bCs/>
          <w:sz w:val="22"/>
          <w:szCs w:val="22"/>
        </w:rPr>
        <w:t xml:space="preserve"> up for sale</w:t>
      </w:r>
      <w:r w:rsidRPr="00D57FC5">
        <w:rPr>
          <w:rFonts w:ascii="Arial" w:hAnsi="Arial" w:cs="Arial"/>
          <w:bCs/>
          <w:sz w:val="22"/>
          <w:szCs w:val="22"/>
        </w:rPr>
        <w:t xml:space="preserve"> in Brisbane, commence</w:t>
      </w:r>
      <w:r w:rsidR="00565A07" w:rsidRPr="00D57FC5">
        <w:rPr>
          <w:rFonts w:ascii="Arial" w:hAnsi="Arial" w:cs="Arial"/>
          <w:bCs/>
          <w:sz w:val="22"/>
          <w:szCs w:val="22"/>
        </w:rPr>
        <w:t>s</w:t>
      </w:r>
      <w:r w:rsidRPr="00D57FC5">
        <w:rPr>
          <w:rFonts w:ascii="Arial" w:hAnsi="Arial" w:cs="Arial"/>
          <w:bCs/>
          <w:sz w:val="22"/>
          <w:szCs w:val="22"/>
        </w:rPr>
        <w:t xml:space="preserve"> her duties in Canberra, and beg</w:t>
      </w:r>
      <w:r w:rsidR="00565A07" w:rsidRPr="00D57FC5">
        <w:rPr>
          <w:rFonts w:ascii="Arial" w:hAnsi="Arial" w:cs="Arial"/>
          <w:bCs/>
          <w:sz w:val="22"/>
          <w:szCs w:val="22"/>
        </w:rPr>
        <w:t>i</w:t>
      </w:r>
      <w:r w:rsidRPr="00D57FC5">
        <w:rPr>
          <w:rFonts w:ascii="Arial" w:hAnsi="Arial" w:cs="Arial"/>
          <w:bCs/>
          <w:sz w:val="22"/>
          <w:szCs w:val="22"/>
        </w:rPr>
        <w:t>n</w:t>
      </w:r>
      <w:r w:rsidR="00565A07" w:rsidRPr="00D57FC5">
        <w:rPr>
          <w:rFonts w:ascii="Arial" w:hAnsi="Arial" w:cs="Arial"/>
          <w:bCs/>
          <w:sz w:val="22"/>
          <w:szCs w:val="22"/>
        </w:rPr>
        <w:t>s</w:t>
      </w:r>
      <w:r w:rsidRPr="00D57FC5">
        <w:rPr>
          <w:rFonts w:ascii="Arial" w:hAnsi="Arial" w:cs="Arial"/>
          <w:bCs/>
          <w:sz w:val="22"/>
          <w:szCs w:val="22"/>
        </w:rPr>
        <w:t xml:space="preserve"> actively searching for a house to buy in Canberra. </w:t>
      </w:r>
      <w:r w:rsidR="006A60FE" w:rsidRPr="00D57FC5">
        <w:rPr>
          <w:rFonts w:ascii="Arial" w:hAnsi="Arial" w:cs="Arial"/>
          <w:bCs/>
          <w:sz w:val="22"/>
          <w:szCs w:val="22"/>
        </w:rPr>
        <w:t>Fiona’s house in Brisbane sells after 4 months</w:t>
      </w:r>
      <w:r w:rsidR="001065F6" w:rsidRPr="00D57FC5">
        <w:rPr>
          <w:rFonts w:ascii="Arial" w:hAnsi="Arial" w:cs="Arial"/>
          <w:bCs/>
          <w:sz w:val="22"/>
          <w:szCs w:val="22"/>
        </w:rPr>
        <w:t xml:space="preserve"> and </w:t>
      </w:r>
      <w:r w:rsidR="00091068" w:rsidRPr="00D57FC5">
        <w:rPr>
          <w:rFonts w:ascii="Arial" w:hAnsi="Arial" w:cs="Arial"/>
          <w:bCs/>
          <w:sz w:val="22"/>
          <w:szCs w:val="22"/>
        </w:rPr>
        <w:t>she</w:t>
      </w:r>
      <w:r w:rsidR="001065F6" w:rsidRPr="00D57FC5">
        <w:rPr>
          <w:rFonts w:ascii="Arial" w:hAnsi="Arial" w:cs="Arial"/>
          <w:bCs/>
          <w:sz w:val="22"/>
          <w:szCs w:val="22"/>
        </w:rPr>
        <w:t xml:space="preserve"> advises </w:t>
      </w:r>
      <w:r w:rsidR="0043767A" w:rsidRPr="00D57FC5">
        <w:rPr>
          <w:rFonts w:ascii="Arial" w:hAnsi="Arial" w:cs="Arial"/>
          <w:bCs/>
          <w:sz w:val="22"/>
          <w:szCs w:val="22"/>
        </w:rPr>
        <w:t>DDD</w:t>
      </w:r>
      <w:r w:rsidR="001065F6" w:rsidRPr="00D57FC5">
        <w:rPr>
          <w:rFonts w:ascii="Arial" w:hAnsi="Arial" w:cs="Arial"/>
          <w:bCs/>
          <w:sz w:val="22"/>
          <w:szCs w:val="22"/>
        </w:rPr>
        <w:t xml:space="preserve"> Co via email of the date her house was sold</w:t>
      </w:r>
      <w:r w:rsidR="006A60FE" w:rsidRPr="00D57FC5">
        <w:rPr>
          <w:rFonts w:ascii="Arial" w:hAnsi="Arial" w:cs="Arial"/>
          <w:bCs/>
          <w:sz w:val="22"/>
          <w:szCs w:val="22"/>
        </w:rPr>
        <w:t>.</w:t>
      </w:r>
    </w:p>
    <w:p w14:paraId="1B01C51B" w14:textId="77777777" w:rsidR="00784437" w:rsidRPr="00D57FC5" w:rsidRDefault="00784437" w:rsidP="00D57FC5">
      <w:pPr>
        <w:spacing w:after="120"/>
        <w:ind w:left="709"/>
        <w:rPr>
          <w:rFonts w:ascii="Arial" w:hAnsi="Arial" w:cs="Arial"/>
          <w:bCs/>
          <w:sz w:val="22"/>
          <w:szCs w:val="22"/>
        </w:rPr>
      </w:pPr>
    </w:p>
    <w:p w14:paraId="13F095C5" w14:textId="4227F30F" w:rsidR="004E547F" w:rsidRPr="00D57FC5" w:rsidRDefault="005A0188" w:rsidP="00D57FC5">
      <w:pPr>
        <w:spacing w:after="120"/>
        <w:ind w:left="709"/>
        <w:rPr>
          <w:rFonts w:ascii="Arial" w:hAnsi="Arial" w:cs="Arial"/>
          <w:bCs/>
          <w:sz w:val="22"/>
          <w:szCs w:val="22"/>
        </w:rPr>
      </w:pPr>
      <w:r w:rsidRPr="00D57FC5">
        <w:rPr>
          <w:rFonts w:ascii="Arial" w:hAnsi="Arial" w:cs="Arial"/>
          <w:bCs/>
          <w:sz w:val="22"/>
          <w:szCs w:val="22"/>
        </w:rPr>
        <w:t xml:space="preserve">It quickly becomes clear to Fiona and </w:t>
      </w:r>
      <w:r w:rsidR="0043767A" w:rsidRPr="00D57FC5">
        <w:rPr>
          <w:rFonts w:ascii="Arial" w:hAnsi="Arial" w:cs="Arial"/>
          <w:bCs/>
          <w:sz w:val="22"/>
          <w:szCs w:val="22"/>
        </w:rPr>
        <w:t>DDD</w:t>
      </w:r>
      <w:r w:rsidRPr="00D57FC5">
        <w:rPr>
          <w:rFonts w:ascii="Arial" w:hAnsi="Arial" w:cs="Arial"/>
          <w:bCs/>
          <w:sz w:val="22"/>
          <w:szCs w:val="22"/>
        </w:rPr>
        <w:t xml:space="preserve"> Co that the housing market in Canberra is </w:t>
      </w:r>
      <w:r w:rsidR="004E547F" w:rsidRPr="00D57FC5">
        <w:rPr>
          <w:rFonts w:ascii="Arial" w:hAnsi="Arial" w:cs="Arial"/>
          <w:bCs/>
          <w:sz w:val="22"/>
          <w:szCs w:val="22"/>
        </w:rPr>
        <w:t xml:space="preserve">very competitive and finding suitable long-term accommodation may take longer than initially thought. </w:t>
      </w:r>
      <w:r w:rsidR="0043767A" w:rsidRPr="00D57FC5">
        <w:rPr>
          <w:rFonts w:ascii="Arial" w:hAnsi="Arial" w:cs="Arial"/>
          <w:bCs/>
          <w:sz w:val="22"/>
          <w:szCs w:val="22"/>
        </w:rPr>
        <w:t>DDD</w:t>
      </w:r>
      <w:r w:rsidR="004E547F" w:rsidRPr="00D57FC5">
        <w:rPr>
          <w:rFonts w:ascii="Arial" w:hAnsi="Arial" w:cs="Arial"/>
          <w:bCs/>
          <w:sz w:val="22"/>
          <w:szCs w:val="22"/>
        </w:rPr>
        <w:t xml:space="preserve"> Co agrees to continue paying for temporary accommodation until Fiona is able to purchase suitable long-term accommodation. It takes Fiona 13 months </w:t>
      </w:r>
      <w:r w:rsidR="00784437" w:rsidRPr="00D57FC5">
        <w:rPr>
          <w:rFonts w:ascii="Arial" w:hAnsi="Arial" w:cs="Arial"/>
          <w:bCs/>
          <w:sz w:val="22"/>
          <w:szCs w:val="22"/>
        </w:rPr>
        <w:t xml:space="preserve">from the date she started actively searching </w:t>
      </w:r>
      <w:r w:rsidR="004E547F" w:rsidRPr="00D57FC5">
        <w:rPr>
          <w:rFonts w:ascii="Arial" w:hAnsi="Arial" w:cs="Arial"/>
          <w:bCs/>
          <w:sz w:val="22"/>
          <w:szCs w:val="22"/>
        </w:rPr>
        <w:t>to purchase suitable long-term accommodation.</w:t>
      </w:r>
    </w:p>
    <w:p w14:paraId="69D2517E" w14:textId="68A8D94E" w:rsidR="005A0188" w:rsidRPr="00D57FC5" w:rsidRDefault="004E547F" w:rsidP="00D57FC5">
      <w:pPr>
        <w:spacing w:after="120"/>
        <w:ind w:left="709"/>
        <w:rPr>
          <w:rFonts w:ascii="Arial" w:hAnsi="Arial" w:cs="Arial"/>
          <w:bCs/>
          <w:sz w:val="22"/>
          <w:szCs w:val="22"/>
        </w:rPr>
      </w:pPr>
      <w:r w:rsidRPr="00D57FC5">
        <w:rPr>
          <w:rFonts w:ascii="Arial" w:hAnsi="Arial" w:cs="Arial"/>
          <w:bCs/>
          <w:sz w:val="22"/>
          <w:szCs w:val="22"/>
        </w:rPr>
        <w:t xml:space="preserve">As evidence of her </w:t>
      </w:r>
      <w:r w:rsidR="007E7A9D" w:rsidRPr="00D57FC5">
        <w:rPr>
          <w:rFonts w:ascii="Arial" w:hAnsi="Arial" w:cs="Arial"/>
          <w:bCs/>
          <w:sz w:val="22"/>
          <w:szCs w:val="22"/>
        </w:rPr>
        <w:t xml:space="preserve">continued search for suitable long-term accommodation over the 13 months, Fiona </w:t>
      </w:r>
      <w:r w:rsidR="001065F6" w:rsidRPr="00D57FC5">
        <w:rPr>
          <w:rFonts w:ascii="Arial" w:hAnsi="Arial" w:cs="Arial"/>
          <w:bCs/>
          <w:sz w:val="22"/>
          <w:szCs w:val="22"/>
        </w:rPr>
        <w:t>emails</w:t>
      </w:r>
      <w:r w:rsidR="007E7A9D" w:rsidRPr="00D57FC5">
        <w:rPr>
          <w:rFonts w:ascii="Arial" w:hAnsi="Arial" w:cs="Arial"/>
          <w:bCs/>
          <w:sz w:val="22"/>
          <w:szCs w:val="22"/>
        </w:rPr>
        <w:t xml:space="preserve"> her employer with</w:t>
      </w:r>
      <w:r w:rsidR="00A97D3A" w:rsidRPr="00D57FC5">
        <w:rPr>
          <w:rFonts w:ascii="Arial" w:hAnsi="Arial" w:cs="Arial"/>
          <w:bCs/>
          <w:sz w:val="22"/>
          <w:szCs w:val="22"/>
        </w:rPr>
        <w:t xml:space="preserve"> evidence of her securing finance, a list of properties she inspected and the dates of inspection, emails between Fiona and real estate agents about the type of home Fiona is looking for and houses that are for sale, follow up correspondence between Fiona and the real estate agents</w:t>
      </w:r>
      <w:r w:rsidR="004C58AD" w:rsidRPr="00D57FC5">
        <w:rPr>
          <w:rFonts w:ascii="Arial" w:hAnsi="Arial" w:cs="Arial"/>
          <w:bCs/>
          <w:sz w:val="22"/>
          <w:szCs w:val="22"/>
        </w:rPr>
        <w:t>,</w:t>
      </w:r>
      <w:r w:rsidR="00A97D3A" w:rsidRPr="00D57FC5">
        <w:rPr>
          <w:rFonts w:ascii="Arial" w:hAnsi="Arial" w:cs="Arial"/>
          <w:bCs/>
          <w:sz w:val="22"/>
          <w:szCs w:val="22"/>
        </w:rPr>
        <w:t xml:space="preserve"> and copies of emails of offers and negotiations.</w:t>
      </w:r>
    </w:p>
    <w:p w14:paraId="02D809B7" w14:textId="56935158" w:rsidR="00784437" w:rsidRPr="00D57FC5" w:rsidRDefault="0043767A" w:rsidP="00D57FC5">
      <w:pPr>
        <w:spacing w:after="120"/>
        <w:ind w:left="709"/>
        <w:rPr>
          <w:rFonts w:ascii="Arial" w:hAnsi="Arial" w:cs="Arial"/>
          <w:bCs/>
          <w:sz w:val="22"/>
          <w:szCs w:val="22"/>
        </w:rPr>
      </w:pPr>
      <w:r w:rsidRPr="00D57FC5">
        <w:rPr>
          <w:rFonts w:ascii="Arial" w:hAnsi="Arial" w:cs="Arial"/>
          <w:bCs/>
          <w:sz w:val="22"/>
          <w:szCs w:val="22"/>
        </w:rPr>
        <w:t>DDD</w:t>
      </w:r>
      <w:r w:rsidR="00784437" w:rsidRPr="00D57FC5">
        <w:rPr>
          <w:rFonts w:ascii="Arial" w:hAnsi="Arial" w:cs="Arial"/>
          <w:bCs/>
          <w:sz w:val="22"/>
          <w:szCs w:val="22"/>
        </w:rPr>
        <w:t xml:space="preserve"> Co determines that under section 61C of the FBTAA, </w:t>
      </w:r>
      <w:r w:rsidR="00091068" w:rsidRPr="00D57FC5">
        <w:rPr>
          <w:rFonts w:ascii="Arial" w:hAnsi="Arial" w:cs="Arial"/>
          <w:bCs/>
          <w:sz w:val="22"/>
          <w:szCs w:val="22"/>
        </w:rPr>
        <w:t>it</w:t>
      </w:r>
      <w:r w:rsidR="00784437" w:rsidRPr="00D57FC5">
        <w:rPr>
          <w:rFonts w:ascii="Arial" w:hAnsi="Arial" w:cs="Arial"/>
          <w:bCs/>
          <w:sz w:val="22"/>
          <w:szCs w:val="22"/>
        </w:rPr>
        <w:t xml:space="preserve"> is entitled to reduce the taxable value of the expense payment fringe benefit. Instead of obtaining the declaration from </w:t>
      </w:r>
      <w:r w:rsidR="004E1944" w:rsidRPr="00D57FC5">
        <w:rPr>
          <w:rFonts w:ascii="Arial" w:hAnsi="Arial" w:cs="Arial"/>
          <w:bCs/>
          <w:sz w:val="22"/>
          <w:szCs w:val="22"/>
        </w:rPr>
        <w:t>Fiona</w:t>
      </w:r>
      <w:r w:rsidR="00784437" w:rsidRPr="00D57FC5">
        <w:rPr>
          <w:rFonts w:ascii="Arial" w:hAnsi="Arial" w:cs="Arial"/>
          <w:bCs/>
          <w:sz w:val="22"/>
          <w:szCs w:val="22"/>
        </w:rPr>
        <w:t xml:space="preserve"> as required by subparagraph 61(3)(b)(iii), </w:t>
      </w:r>
      <w:r w:rsidRPr="00D57FC5">
        <w:rPr>
          <w:rFonts w:ascii="Arial" w:hAnsi="Arial" w:cs="Arial"/>
          <w:bCs/>
          <w:sz w:val="22"/>
          <w:szCs w:val="22"/>
        </w:rPr>
        <w:t>DDD</w:t>
      </w:r>
      <w:r w:rsidR="00784437" w:rsidRPr="00D57FC5">
        <w:rPr>
          <w:rFonts w:ascii="Arial" w:hAnsi="Arial" w:cs="Arial"/>
          <w:bCs/>
          <w:sz w:val="22"/>
          <w:szCs w:val="22"/>
        </w:rPr>
        <w:t xml:space="preserve"> Co seeks to rely on section 123AA of the FBTAA.</w:t>
      </w:r>
    </w:p>
    <w:p w14:paraId="34F964CF" w14:textId="5C4A9A33" w:rsidR="00784437" w:rsidRPr="00D57FC5" w:rsidRDefault="00784437" w:rsidP="00D57FC5">
      <w:pPr>
        <w:spacing w:after="120"/>
        <w:ind w:left="709"/>
        <w:rPr>
          <w:rFonts w:ascii="Arial" w:hAnsi="Arial" w:cs="Arial"/>
          <w:bCs/>
          <w:sz w:val="22"/>
          <w:szCs w:val="22"/>
        </w:rPr>
      </w:pPr>
      <w:r w:rsidRPr="00D57FC5">
        <w:rPr>
          <w:rFonts w:ascii="Arial" w:hAnsi="Arial" w:cs="Arial"/>
          <w:bCs/>
          <w:sz w:val="22"/>
          <w:szCs w:val="22"/>
        </w:rPr>
        <w:t xml:space="preserve">In accordance with this legislative instrument, </w:t>
      </w:r>
      <w:r w:rsidR="0043767A" w:rsidRPr="00D57FC5">
        <w:rPr>
          <w:rFonts w:ascii="Arial" w:hAnsi="Arial" w:cs="Arial"/>
          <w:bCs/>
          <w:sz w:val="22"/>
          <w:szCs w:val="22"/>
        </w:rPr>
        <w:t>DDD</w:t>
      </w:r>
      <w:r w:rsidRPr="00D57FC5">
        <w:rPr>
          <w:rFonts w:ascii="Arial" w:hAnsi="Arial" w:cs="Arial"/>
          <w:bCs/>
          <w:sz w:val="22"/>
          <w:szCs w:val="22"/>
        </w:rPr>
        <w:t xml:space="preserve"> Co has obtained records containing, in aggregate, the minimum information </w:t>
      </w:r>
      <w:r w:rsidR="00565A07" w:rsidRPr="00D57FC5">
        <w:rPr>
          <w:rFonts w:ascii="Arial" w:hAnsi="Arial" w:cs="Arial"/>
          <w:bCs/>
          <w:sz w:val="22"/>
          <w:szCs w:val="22"/>
        </w:rPr>
        <w:t>that can</w:t>
      </w:r>
      <w:r w:rsidRPr="00D57FC5">
        <w:rPr>
          <w:rFonts w:ascii="Arial" w:hAnsi="Arial" w:cs="Arial"/>
          <w:bCs/>
          <w:sz w:val="22"/>
          <w:szCs w:val="22"/>
        </w:rPr>
        <w:t xml:space="preserve"> be relied on as an alternative to the declaration. All the required information was obtained and recorded by </w:t>
      </w:r>
      <w:r w:rsidR="0043767A" w:rsidRPr="00D57FC5">
        <w:rPr>
          <w:rFonts w:ascii="Arial" w:hAnsi="Arial" w:cs="Arial"/>
          <w:bCs/>
          <w:sz w:val="22"/>
          <w:szCs w:val="22"/>
        </w:rPr>
        <w:t>DDD</w:t>
      </w:r>
      <w:r w:rsidRPr="00D57FC5">
        <w:rPr>
          <w:rFonts w:ascii="Arial" w:hAnsi="Arial" w:cs="Arial"/>
          <w:bCs/>
          <w:sz w:val="22"/>
          <w:szCs w:val="22"/>
        </w:rPr>
        <w:t xml:space="preserve"> Co before the due date for lodgment of </w:t>
      </w:r>
      <w:r w:rsidR="0043767A" w:rsidRPr="00D57FC5">
        <w:rPr>
          <w:rFonts w:ascii="Arial" w:hAnsi="Arial" w:cs="Arial"/>
          <w:bCs/>
          <w:sz w:val="22"/>
          <w:szCs w:val="22"/>
        </w:rPr>
        <w:t>DDD</w:t>
      </w:r>
      <w:r w:rsidRPr="00D57FC5">
        <w:rPr>
          <w:rFonts w:ascii="Arial" w:hAnsi="Arial" w:cs="Arial"/>
          <w:bCs/>
          <w:sz w:val="22"/>
          <w:szCs w:val="22"/>
        </w:rPr>
        <w:t xml:space="preserve"> Co’s FBT return. The relevant records are as follows:</w:t>
      </w:r>
    </w:p>
    <w:p w14:paraId="13CB032D" w14:textId="578CA64F" w:rsidR="00D57FC5" w:rsidRPr="00D57FC5" w:rsidRDefault="00D57FC5" w:rsidP="00D57FC5">
      <w:pPr>
        <w:spacing w:after="120"/>
        <w:ind w:left="709"/>
        <w:rPr>
          <w:rFonts w:ascii="Arial" w:hAnsi="Arial" w:cs="Arial"/>
          <w:sz w:val="22"/>
          <w:szCs w:val="22"/>
        </w:rPr>
      </w:pPr>
      <w:r w:rsidRPr="00D57FC5">
        <w:rPr>
          <w:rFonts w:ascii="Arial" w:hAnsi="Arial" w:cs="Arial"/>
          <w:sz w:val="22"/>
          <w:szCs w:val="22"/>
        </w:rPr>
        <w:t xml:space="preserve">Table </w:t>
      </w:r>
      <w:r w:rsidRPr="00D57FC5">
        <w:rPr>
          <w:rFonts w:ascii="Arial" w:hAnsi="Arial" w:cs="Arial"/>
          <w:sz w:val="22"/>
          <w:szCs w:val="22"/>
        </w:rPr>
        <w:fldChar w:fldCharType="begin"/>
      </w:r>
      <w:r w:rsidRPr="00D57FC5">
        <w:rPr>
          <w:rFonts w:ascii="Arial" w:hAnsi="Arial" w:cs="Arial"/>
          <w:sz w:val="22"/>
          <w:szCs w:val="22"/>
        </w:rPr>
        <w:instrText xml:space="preserve"> SEQ Table \* ARABIC </w:instrText>
      </w:r>
      <w:r w:rsidRPr="00D57FC5">
        <w:rPr>
          <w:rFonts w:ascii="Arial" w:hAnsi="Arial" w:cs="Arial"/>
          <w:sz w:val="22"/>
          <w:szCs w:val="22"/>
        </w:rPr>
        <w:fldChar w:fldCharType="separate"/>
      </w:r>
      <w:r w:rsidRPr="00D57FC5">
        <w:rPr>
          <w:rFonts w:ascii="Arial" w:hAnsi="Arial" w:cs="Arial"/>
          <w:sz w:val="22"/>
          <w:szCs w:val="22"/>
        </w:rPr>
        <w:t>2</w:t>
      </w:r>
      <w:r w:rsidRPr="00D57FC5">
        <w:rPr>
          <w:rFonts w:ascii="Arial" w:hAnsi="Arial" w:cs="Arial"/>
          <w:sz w:val="22"/>
          <w:szCs w:val="22"/>
        </w:rPr>
        <w:fldChar w:fldCharType="end"/>
      </w:r>
      <w:r w:rsidRPr="00D57FC5">
        <w:rPr>
          <w:rFonts w:ascii="Arial" w:hAnsi="Arial" w:cs="Arial"/>
          <w:sz w:val="22"/>
          <w:szCs w:val="22"/>
        </w:rPr>
        <w:t xml:space="preserve">: </w:t>
      </w:r>
      <w:r w:rsidR="004E5920">
        <w:rPr>
          <w:rFonts w:ascii="Arial" w:hAnsi="Arial" w:cs="Arial"/>
          <w:sz w:val="22"/>
          <w:szCs w:val="22"/>
        </w:rPr>
        <w:t xml:space="preserve">DDD Co records that contain the required minimum information </w:t>
      </w:r>
    </w:p>
    <w:tbl>
      <w:tblPr>
        <w:tblStyle w:val="TableGrid"/>
        <w:tblW w:w="4570" w:type="pct"/>
        <w:tblInd w:w="704" w:type="dxa"/>
        <w:tblLook w:val="04A0" w:firstRow="1" w:lastRow="0" w:firstColumn="1" w:lastColumn="0" w:noHBand="0" w:noVBand="1"/>
      </w:tblPr>
      <w:tblGrid>
        <w:gridCol w:w="5281"/>
        <w:gridCol w:w="3649"/>
      </w:tblGrid>
      <w:tr w:rsidR="00D834D0" w:rsidRPr="00D57FC5" w14:paraId="7932DC96" w14:textId="77777777" w:rsidTr="00D57FC5">
        <w:tc>
          <w:tcPr>
            <w:tcW w:w="2957" w:type="pct"/>
          </w:tcPr>
          <w:p w14:paraId="3E352035" w14:textId="77777777" w:rsidR="00D834D0" w:rsidRPr="00D57FC5" w:rsidRDefault="00D834D0" w:rsidP="00D57FC5">
            <w:pPr>
              <w:spacing w:before="60" w:after="60"/>
              <w:rPr>
                <w:rFonts w:ascii="Arial" w:hAnsi="Arial" w:cs="Arial"/>
                <w:b/>
                <w:bCs/>
                <w:sz w:val="20"/>
              </w:rPr>
            </w:pPr>
            <w:r w:rsidRPr="00D57FC5">
              <w:rPr>
                <w:rFonts w:ascii="Arial" w:hAnsi="Arial" w:cs="Arial"/>
                <w:b/>
                <w:bCs/>
                <w:sz w:val="20"/>
              </w:rPr>
              <w:t>Required minimum information</w:t>
            </w:r>
          </w:p>
        </w:tc>
        <w:tc>
          <w:tcPr>
            <w:tcW w:w="2043" w:type="pct"/>
          </w:tcPr>
          <w:p w14:paraId="17217283" w14:textId="715C8014" w:rsidR="00D834D0" w:rsidRPr="00D57FC5" w:rsidRDefault="00D834D0" w:rsidP="00D57FC5">
            <w:pPr>
              <w:spacing w:before="60" w:after="60"/>
              <w:rPr>
                <w:rFonts w:ascii="Arial" w:hAnsi="Arial" w:cs="Arial"/>
                <w:b/>
                <w:bCs/>
                <w:sz w:val="20"/>
              </w:rPr>
            </w:pPr>
            <w:r w:rsidRPr="00D57FC5">
              <w:rPr>
                <w:rFonts w:ascii="Arial" w:hAnsi="Arial" w:cs="Arial"/>
                <w:b/>
                <w:bCs/>
                <w:sz w:val="20"/>
              </w:rPr>
              <w:t xml:space="preserve">Records held by </w:t>
            </w:r>
            <w:r w:rsidR="0043767A" w:rsidRPr="00D57FC5">
              <w:rPr>
                <w:rFonts w:ascii="Arial" w:hAnsi="Arial" w:cs="Arial"/>
                <w:b/>
                <w:bCs/>
                <w:sz w:val="20"/>
              </w:rPr>
              <w:t>DDD</w:t>
            </w:r>
            <w:r w:rsidRPr="00D57FC5">
              <w:rPr>
                <w:rFonts w:ascii="Arial" w:hAnsi="Arial" w:cs="Arial"/>
                <w:b/>
                <w:bCs/>
                <w:sz w:val="20"/>
              </w:rPr>
              <w:t xml:space="preserve"> Co</w:t>
            </w:r>
          </w:p>
        </w:tc>
      </w:tr>
      <w:tr w:rsidR="00D834D0" w:rsidRPr="00D57FC5" w14:paraId="33E6AED3" w14:textId="77777777" w:rsidTr="00D57FC5">
        <w:tc>
          <w:tcPr>
            <w:tcW w:w="2957" w:type="pct"/>
          </w:tcPr>
          <w:p w14:paraId="2F454DE5" w14:textId="77777777" w:rsidR="00D834D0" w:rsidRPr="00D57FC5" w:rsidRDefault="00D834D0" w:rsidP="00D57FC5">
            <w:pPr>
              <w:pStyle w:val="ListParagraph"/>
              <w:numPr>
                <w:ilvl w:val="0"/>
                <w:numId w:val="6"/>
              </w:numPr>
              <w:spacing w:before="60" w:after="60" w:line="240" w:lineRule="auto"/>
              <w:ind w:left="284" w:hanging="284"/>
              <w:rPr>
                <w:rFonts w:ascii="Arial" w:hAnsi="Arial" w:cs="Arial"/>
                <w:sz w:val="20"/>
                <w:szCs w:val="20"/>
              </w:rPr>
            </w:pPr>
            <w:r w:rsidRPr="00D57FC5">
              <w:rPr>
                <w:rFonts w:ascii="Arial" w:hAnsi="Arial" w:cs="Arial"/>
                <w:sz w:val="20"/>
                <w:szCs w:val="20"/>
              </w:rPr>
              <w:t>The name of the employee who received the benefit</w:t>
            </w:r>
          </w:p>
        </w:tc>
        <w:tc>
          <w:tcPr>
            <w:tcW w:w="2043" w:type="pct"/>
          </w:tcPr>
          <w:p w14:paraId="10CA1725" w14:textId="04AA738F" w:rsidR="00D834D0" w:rsidRPr="00D57FC5" w:rsidRDefault="00D834D0" w:rsidP="00D57FC5">
            <w:pPr>
              <w:spacing w:before="60" w:after="60"/>
              <w:rPr>
                <w:rFonts w:ascii="Arial" w:hAnsi="Arial" w:cs="Arial"/>
                <w:sz w:val="20"/>
              </w:rPr>
            </w:pPr>
            <w:r w:rsidRPr="00D57FC5">
              <w:rPr>
                <w:rFonts w:ascii="Arial" w:hAnsi="Arial" w:cs="Arial"/>
                <w:sz w:val="20"/>
              </w:rPr>
              <w:t xml:space="preserve">Employer records </w:t>
            </w:r>
            <w:r w:rsidR="00565A07" w:rsidRPr="00D57FC5">
              <w:rPr>
                <w:rFonts w:ascii="Arial" w:hAnsi="Arial" w:cs="Arial"/>
                <w:sz w:val="20"/>
              </w:rPr>
              <w:t>such as</w:t>
            </w:r>
            <w:r w:rsidRPr="00D57FC5">
              <w:rPr>
                <w:rFonts w:ascii="Arial" w:hAnsi="Arial" w:cs="Arial"/>
                <w:sz w:val="20"/>
              </w:rPr>
              <w:t xml:space="preserve"> payroll records</w:t>
            </w:r>
          </w:p>
        </w:tc>
      </w:tr>
      <w:tr w:rsidR="00D834D0" w:rsidRPr="00D57FC5" w14:paraId="6764B50C" w14:textId="77777777" w:rsidTr="00D57FC5">
        <w:tc>
          <w:tcPr>
            <w:tcW w:w="2957" w:type="pct"/>
          </w:tcPr>
          <w:p w14:paraId="33CD99F6" w14:textId="77777777" w:rsidR="00D834D0" w:rsidRPr="00D57FC5" w:rsidRDefault="00D834D0" w:rsidP="00D57FC5">
            <w:pPr>
              <w:pStyle w:val="ListParagraph"/>
              <w:numPr>
                <w:ilvl w:val="0"/>
                <w:numId w:val="6"/>
              </w:numPr>
              <w:spacing w:before="60" w:after="60" w:line="240" w:lineRule="auto"/>
              <w:ind w:left="284" w:hanging="284"/>
              <w:rPr>
                <w:rFonts w:ascii="Arial" w:hAnsi="Arial" w:cs="Arial"/>
                <w:sz w:val="20"/>
                <w:szCs w:val="20"/>
              </w:rPr>
            </w:pPr>
            <w:r w:rsidRPr="00D57FC5">
              <w:rPr>
                <w:rFonts w:ascii="Arial" w:hAnsi="Arial" w:cs="Arial"/>
                <w:sz w:val="20"/>
                <w:szCs w:val="20"/>
              </w:rPr>
              <w:t>The address of the temporary accommodation</w:t>
            </w:r>
          </w:p>
          <w:p w14:paraId="71984CE1" w14:textId="77777777" w:rsidR="00D834D0" w:rsidRPr="00D57FC5" w:rsidRDefault="00D834D0" w:rsidP="00D57FC5">
            <w:pPr>
              <w:pStyle w:val="ListParagraph"/>
              <w:numPr>
                <w:ilvl w:val="0"/>
                <w:numId w:val="6"/>
              </w:numPr>
              <w:spacing w:before="60" w:after="60" w:line="240" w:lineRule="auto"/>
              <w:ind w:left="284" w:hanging="284"/>
              <w:rPr>
                <w:rFonts w:ascii="Arial" w:hAnsi="Arial" w:cs="Arial"/>
                <w:sz w:val="20"/>
                <w:szCs w:val="20"/>
              </w:rPr>
            </w:pPr>
            <w:r w:rsidRPr="00D57FC5">
              <w:rPr>
                <w:rFonts w:ascii="Arial" w:hAnsi="Arial" w:cs="Arial"/>
                <w:sz w:val="20"/>
                <w:szCs w:val="20"/>
              </w:rPr>
              <w:t>The dates the temporary accommodation was required</w:t>
            </w:r>
          </w:p>
          <w:p w14:paraId="7ACA3DC2" w14:textId="77777777" w:rsidR="00D834D0" w:rsidRPr="00D57FC5" w:rsidRDefault="00D834D0" w:rsidP="00D57FC5">
            <w:pPr>
              <w:pStyle w:val="ListParagraph"/>
              <w:numPr>
                <w:ilvl w:val="0"/>
                <w:numId w:val="6"/>
              </w:numPr>
              <w:spacing w:before="60" w:after="60" w:line="240" w:lineRule="auto"/>
              <w:ind w:left="284" w:hanging="284"/>
              <w:rPr>
                <w:rFonts w:ascii="Arial" w:hAnsi="Arial" w:cs="Arial"/>
                <w:sz w:val="20"/>
                <w:szCs w:val="20"/>
              </w:rPr>
            </w:pPr>
            <w:r w:rsidRPr="00D57FC5">
              <w:rPr>
                <w:rFonts w:ascii="Arial" w:hAnsi="Arial" w:cs="Arial"/>
                <w:sz w:val="20"/>
                <w:szCs w:val="20"/>
              </w:rPr>
              <w:t>The date the employee began actively searching for long-term accommodation</w:t>
            </w:r>
          </w:p>
        </w:tc>
        <w:tc>
          <w:tcPr>
            <w:tcW w:w="2043" w:type="pct"/>
          </w:tcPr>
          <w:p w14:paraId="3BB03C94" w14:textId="5AC61515" w:rsidR="00D834D0" w:rsidRPr="00D57FC5" w:rsidRDefault="00D834D0" w:rsidP="00D57FC5">
            <w:pPr>
              <w:spacing w:before="60" w:after="60"/>
              <w:rPr>
                <w:rFonts w:ascii="Arial" w:hAnsi="Arial" w:cs="Arial"/>
                <w:sz w:val="20"/>
              </w:rPr>
            </w:pPr>
            <w:r w:rsidRPr="00D57FC5">
              <w:rPr>
                <w:rFonts w:ascii="Arial" w:hAnsi="Arial" w:cs="Arial"/>
                <w:sz w:val="20"/>
              </w:rPr>
              <w:t xml:space="preserve">Emails sent by </w:t>
            </w:r>
            <w:r w:rsidR="006A60FE" w:rsidRPr="00D57FC5">
              <w:rPr>
                <w:rFonts w:ascii="Arial" w:hAnsi="Arial" w:cs="Arial"/>
                <w:sz w:val="20"/>
              </w:rPr>
              <w:t>Fiona</w:t>
            </w:r>
          </w:p>
          <w:p w14:paraId="7310D267" w14:textId="152A99EC" w:rsidR="00D834D0" w:rsidRPr="00D57FC5" w:rsidRDefault="00D834D0" w:rsidP="00D57FC5">
            <w:pPr>
              <w:spacing w:before="60" w:after="60"/>
              <w:rPr>
                <w:rFonts w:ascii="Arial" w:hAnsi="Arial" w:cs="Arial"/>
                <w:sz w:val="20"/>
              </w:rPr>
            </w:pPr>
            <w:r w:rsidRPr="00D57FC5">
              <w:rPr>
                <w:rFonts w:ascii="Arial" w:hAnsi="Arial" w:cs="Arial"/>
                <w:sz w:val="20"/>
              </w:rPr>
              <w:t xml:space="preserve">Payroll expense </w:t>
            </w:r>
            <w:r w:rsidR="006A60FE" w:rsidRPr="00D57FC5">
              <w:rPr>
                <w:rFonts w:ascii="Arial" w:hAnsi="Arial" w:cs="Arial"/>
                <w:sz w:val="20"/>
              </w:rPr>
              <w:t>payment</w:t>
            </w:r>
            <w:r w:rsidRPr="00D57FC5">
              <w:rPr>
                <w:rFonts w:ascii="Arial" w:hAnsi="Arial" w:cs="Arial"/>
                <w:sz w:val="20"/>
              </w:rPr>
              <w:t xml:space="preserve"> form</w:t>
            </w:r>
          </w:p>
        </w:tc>
      </w:tr>
      <w:tr w:rsidR="001065F6" w:rsidRPr="00D57FC5" w14:paraId="3262724E" w14:textId="77777777" w:rsidTr="00D57FC5">
        <w:tc>
          <w:tcPr>
            <w:tcW w:w="2957" w:type="pct"/>
          </w:tcPr>
          <w:p w14:paraId="0D5BB906" w14:textId="0DC833A5" w:rsidR="001065F6" w:rsidRPr="00D57FC5" w:rsidRDefault="001065F6" w:rsidP="00D57FC5">
            <w:pPr>
              <w:pStyle w:val="ListParagraph"/>
              <w:numPr>
                <w:ilvl w:val="0"/>
                <w:numId w:val="6"/>
              </w:numPr>
              <w:spacing w:before="60" w:after="60" w:line="240" w:lineRule="auto"/>
              <w:ind w:left="284" w:hanging="284"/>
              <w:rPr>
                <w:rFonts w:ascii="Arial" w:hAnsi="Arial" w:cs="Arial"/>
                <w:sz w:val="20"/>
                <w:szCs w:val="20"/>
              </w:rPr>
            </w:pPr>
            <w:r w:rsidRPr="00D57FC5">
              <w:rPr>
                <w:rFonts w:ascii="Arial" w:hAnsi="Arial" w:cs="Arial"/>
                <w:sz w:val="20"/>
                <w:szCs w:val="20"/>
              </w:rPr>
              <w:t>The date the house</w:t>
            </w:r>
            <w:r w:rsidR="001209FF" w:rsidRPr="00D57FC5">
              <w:rPr>
                <w:rFonts w:ascii="Arial" w:hAnsi="Arial" w:cs="Arial"/>
                <w:sz w:val="20"/>
                <w:szCs w:val="20"/>
              </w:rPr>
              <w:t xml:space="preserve"> owned by the employee </w:t>
            </w:r>
            <w:r w:rsidRPr="00D57FC5">
              <w:rPr>
                <w:rFonts w:ascii="Arial" w:hAnsi="Arial" w:cs="Arial"/>
                <w:sz w:val="20"/>
                <w:szCs w:val="20"/>
              </w:rPr>
              <w:t>was sold</w:t>
            </w:r>
          </w:p>
        </w:tc>
        <w:tc>
          <w:tcPr>
            <w:tcW w:w="2043" w:type="pct"/>
          </w:tcPr>
          <w:p w14:paraId="12D5E297" w14:textId="0785127A" w:rsidR="001065F6" w:rsidRPr="00D57FC5" w:rsidRDefault="001065F6" w:rsidP="00D57FC5">
            <w:pPr>
              <w:spacing w:before="60" w:after="60"/>
              <w:rPr>
                <w:rFonts w:ascii="Arial" w:hAnsi="Arial" w:cs="Arial"/>
                <w:sz w:val="20"/>
              </w:rPr>
            </w:pPr>
            <w:r w:rsidRPr="00D57FC5">
              <w:rPr>
                <w:rFonts w:ascii="Arial" w:hAnsi="Arial" w:cs="Arial"/>
                <w:sz w:val="20"/>
              </w:rPr>
              <w:t>Email sent by Fiona</w:t>
            </w:r>
          </w:p>
        </w:tc>
      </w:tr>
      <w:tr w:rsidR="00D834D0" w:rsidRPr="00D57FC5" w14:paraId="6DE42167" w14:textId="77777777" w:rsidTr="00D57FC5">
        <w:tc>
          <w:tcPr>
            <w:tcW w:w="2957" w:type="pct"/>
          </w:tcPr>
          <w:p w14:paraId="32D43220" w14:textId="1D77BEF4" w:rsidR="00D834D0" w:rsidRPr="00D57FC5" w:rsidRDefault="001065F6" w:rsidP="00D57FC5">
            <w:pPr>
              <w:pStyle w:val="ListParagraph"/>
              <w:numPr>
                <w:ilvl w:val="0"/>
                <w:numId w:val="6"/>
              </w:numPr>
              <w:spacing w:before="60" w:after="60" w:line="240" w:lineRule="auto"/>
              <w:ind w:left="284" w:hanging="284"/>
              <w:rPr>
                <w:rFonts w:ascii="Arial" w:hAnsi="Arial" w:cs="Arial"/>
                <w:sz w:val="20"/>
                <w:szCs w:val="20"/>
              </w:rPr>
            </w:pPr>
            <w:r w:rsidRPr="00D57FC5">
              <w:rPr>
                <w:rFonts w:ascii="Arial" w:hAnsi="Arial" w:cs="Arial"/>
                <w:sz w:val="20"/>
                <w:szCs w:val="20"/>
              </w:rPr>
              <w:t>Confirmation that long-term accommodation could not be found with</w:t>
            </w:r>
            <w:r w:rsidR="002A5999" w:rsidRPr="00D57FC5">
              <w:rPr>
                <w:rFonts w:ascii="Arial" w:hAnsi="Arial" w:cs="Arial"/>
                <w:sz w:val="20"/>
                <w:szCs w:val="20"/>
              </w:rPr>
              <w:t>i</w:t>
            </w:r>
            <w:r w:rsidRPr="00D57FC5">
              <w:rPr>
                <w:rFonts w:ascii="Arial" w:hAnsi="Arial" w:cs="Arial"/>
                <w:sz w:val="20"/>
                <w:szCs w:val="20"/>
              </w:rPr>
              <w:t xml:space="preserve">n 12 months from </w:t>
            </w:r>
            <w:r w:rsidR="001209FF" w:rsidRPr="00D57FC5">
              <w:rPr>
                <w:rFonts w:ascii="Arial" w:hAnsi="Arial" w:cs="Arial"/>
                <w:sz w:val="20"/>
                <w:szCs w:val="20"/>
              </w:rPr>
              <w:t>the date the employee began actively searching for long-term accommodation</w:t>
            </w:r>
          </w:p>
        </w:tc>
        <w:tc>
          <w:tcPr>
            <w:tcW w:w="2043" w:type="pct"/>
          </w:tcPr>
          <w:p w14:paraId="1193CB1F" w14:textId="1A1FE4D5" w:rsidR="00D834D0" w:rsidRPr="00D57FC5" w:rsidRDefault="001065F6" w:rsidP="00D57FC5">
            <w:pPr>
              <w:spacing w:before="60" w:after="60"/>
              <w:rPr>
                <w:rFonts w:ascii="Arial" w:hAnsi="Arial" w:cs="Arial"/>
                <w:sz w:val="20"/>
              </w:rPr>
            </w:pPr>
            <w:r w:rsidRPr="00D57FC5">
              <w:rPr>
                <w:rFonts w:ascii="Arial" w:hAnsi="Arial" w:cs="Arial"/>
                <w:sz w:val="20"/>
              </w:rPr>
              <w:t>Email sent by Fiona with</w:t>
            </w:r>
            <w:r w:rsidR="001209FF" w:rsidRPr="00D57FC5">
              <w:rPr>
                <w:rFonts w:ascii="Arial" w:hAnsi="Arial" w:cs="Arial"/>
                <w:sz w:val="20"/>
              </w:rPr>
              <w:t xml:space="preserve"> evidence of her sustained search for long-term accommodation</w:t>
            </w:r>
          </w:p>
        </w:tc>
      </w:tr>
    </w:tbl>
    <w:p w14:paraId="63E24EA6" w14:textId="77777777" w:rsidR="00D834D0" w:rsidRPr="00D57FC5" w:rsidRDefault="00D834D0" w:rsidP="00D57FC5">
      <w:pPr>
        <w:spacing w:after="120"/>
        <w:rPr>
          <w:rFonts w:ascii="Arial" w:hAnsi="Arial" w:cs="Arial"/>
          <w:sz w:val="22"/>
          <w:szCs w:val="22"/>
        </w:rPr>
      </w:pPr>
    </w:p>
    <w:p w14:paraId="7BF0153C" w14:textId="08DC88FA" w:rsidR="00D834D0" w:rsidRPr="00D57FC5" w:rsidRDefault="0043767A" w:rsidP="00D57FC5">
      <w:pPr>
        <w:spacing w:after="120"/>
        <w:ind w:left="709"/>
        <w:rPr>
          <w:rFonts w:ascii="Arial" w:hAnsi="Arial" w:cs="Arial"/>
          <w:bCs/>
          <w:sz w:val="22"/>
          <w:szCs w:val="22"/>
        </w:rPr>
      </w:pPr>
      <w:r w:rsidRPr="00D57FC5">
        <w:rPr>
          <w:rFonts w:ascii="Arial" w:hAnsi="Arial" w:cs="Arial"/>
          <w:bCs/>
          <w:sz w:val="22"/>
          <w:szCs w:val="22"/>
        </w:rPr>
        <w:t>DDD</w:t>
      </w:r>
      <w:r w:rsidR="00D834D0" w:rsidRPr="00D57FC5">
        <w:rPr>
          <w:rFonts w:ascii="Arial" w:hAnsi="Arial" w:cs="Arial"/>
          <w:bCs/>
          <w:sz w:val="22"/>
          <w:szCs w:val="22"/>
        </w:rPr>
        <w:t xml:space="preserve"> Co can reduce the taxable value of the expense payment fringe benefit in accordance with section 61C of the FBTAA. Due to the operation of subsection 123AA(1) of the FBTAA, </w:t>
      </w:r>
      <w:r w:rsidRPr="00D57FC5">
        <w:rPr>
          <w:rFonts w:ascii="Arial" w:hAnsi="Arial" w:cs="Arial"/>
          <w:bCs/>
          <w:sz w:val="22"/>
          <w:szCs w:val="22"/>
        </w:rPr>
        <w:t>DDD</w:t>
      </w:r>
      <w:r w:rsidR="00D834D0" w:rsidRPr="00D57FC5">
        <w:rPr>
          <w:rFonts w:ascii="Arial" w:hAnsi="Arial" w:cs="Arial"/>
          <w:bCs/>
          <w:sz w:val="22"/>
          <w:szCs w:val="22"/>
        </w:rPr>
        <w:t xml:space="preserve"> Co is taken to have kept and retained the relevant declaration and accordingly has satisfied the requirement in subparagraph 61C(3)(b)(iii).</w:t>
      </w:r>
    </w:p>
    <w:p w14:paraId="392E62BA" w14:textId="77777777" w:rsidR="00D57FC5" w:rsidRPr="00D57FC5" w:rsidRDefault="00D57FC5" w:rsidP="00D57FC5">
      <w:pPr>
        <w:spacing w:after="120"/>
        <w:rPr>
          <w:rFonts w:ascii="Arial" w:hAnsi="Arial" w:cs="Arial"/>
          <w:sz w:val="22"/>
          <w:szCs w:val="22"/>
        </w:rPr>
      </w:pPr>
    </w:p>
    <w:p w14:paraId="528AF1A9" w14:textId="3067B547" w:rsidR="00C620E9" w:rsidRPr="00D57FC5" w:rsidRDefault="00640CC2" w:rsidP="00D57FC5">
      <w:pPr>
        <w:pStyle w:val="Heading2"/>
        <w:keepNext w:val="0"/>
      </w:pPr>
      <w:r w:rsidRPr="00D57FC5">
        <w:t>Compliance cost assessment</w:t>
      </w:r>
    </w:p>
    <w:p w14:paraId="48FB056A" w14:textId="40CF4ACC" w:rsidR="007F62C3" w:rsidRPr="00D57FC5" w:rsidRDefault="007F62C3" w:rsidP="00D57FC5">
      <w:pPr>
        <w:pStyle w:val="ListParagraph"/>
        <w:numPr>
          <w:ilvl w:val="0"/>
          <w:numId w:val="1"/>
        </w:numPr>
        <w:tabs>
          <w:tab w:val="clear" w:pos="360"/>
        </w:tabs>
        <w:autoSpaceDE w:val="0"/>
        <w:autoSpaceDN w:val="0"/>
        <w:adjustRightInd w:val="0"/>
        <w:spacing w:after="120" w:line="240" w:lineRule="auto"/>
        <w:ind w:left="0" w:firstLine="0"/>
        <w:rPr>
          <w:rFonts w:ascii="Arial" w:hAnsi="Arial" w:cs="Arial"/>
        </w:rPr>
      </w:pPr>
      <w:r w:rsidRPr="00D57FC5">
        <w:rPr>
          <w:rFonts w:ascii="Arial" w:eastAsia="Times New Roman" w:hAnsi="Arial" w:cs="Arial"/>
          <w:lang w:eastAsia="en-AU"/>
        </w:rPr>
        <w:t xml:space="preserve">Minor – </w:t>
      </w:r>
      <w:r w:rsidR="009B795B" w:rsidRPr="00D57FC5">
        <w:rPr>
          <w:rFonts w:ascii="Arial" w:eastAsia="Times New Roman" w:hAnsi="Arial" w:cs="Arial"/>
          <w:lang w:eastAsia="en-AU"/>
        </w:rPr>
        <w:t>t</w:t>
      </w:r>
      <w:r w:rsidRPr="00D57FC5">
        <w:rPr>
          <w:rFonts w:ascii="Arial" w:eastAsia="Times New Roman" w:hAnsi="Arial" w:cs="Arial"/>
          <w:lang w:eastAsia="en-AU"/>
        </w:rPr>
        <w:t xml:space="preserve">here will be no additional regulatory impacts as the instrument is minor and machinery in nature </w:t>
      </w:r>
      <w:r w:rsidRPr="00D57FC5">
        <w:rPr>
          <w:rFonts w:ascii="Arial" w:eastAsia="Times New Roman" w:hAnsi="Arial" w:cs="Arial"/>
          <w:color w:val="000000"/>
          <w:lang w:eastAsia="en-AU"/>
        </w:rPr>
        <w:t>(</w:t>
      </w:r>
      <w:bookmarkStart w:id="4" w:name="_Hlk151383731"/>
      <w:r w:rsidRPr="00D57FC5">
        <w:rPr>
          <w:rFonts w:ascii="Arial" w:hAnsi="Arial" w:cs="Arial"/>
        </w:rPr>
        <w:t xml:space="preserve">The Office of Impact Assessment reference: </w:t>
      </w:r>
      <w:bookmarkEnd w:id="4"/>
      <w:r w:rsidR="009B795B" w:rsidRPr="00D57FC5">
        <w:rPr>
          <w:rFonts w:ascii="Arial" w:hAnsi="Arial" w:cs="Arial"/>
        </w:rPr>
        <w:t>OIA</w:t>
      </w:r>
      <w:r w:rsidR="008E6BCB" w:rsidRPr="00D57FC5">
        <w:rPr>
          <w:rFonts w:ascii="Arial" w:eastAsia="Times New Roman" w:hAnsi="Arial" w:cs="Arial"/>
          <w:lang w:eastAsia="en-AU"/>
        </w:rPr>
        <w:t>23</w:t>
      </w:r>
      <w:r w:rsidR="009B795B" w:rsidRPr="00D57FC5">
        <w:rPr>
          <w:rFonts w:ascii="Arial" w:eastAsia="Times New Roman" w:hAnsi="Arial" w:cs="Arial"/>
          <w:lang w:eastAsia="en-AU"/>
        </w:rPr>
        <w:t>-</w:t>
      </w:r>
      <w:r w:rsidR="00F139CB" w:rsidRPr="00D57FC5">
        <w:rPr>
          <w:rFonts w:ascii="Arial" w:eastAsia="Times New Roman" w:hAnsi="Arial" w:cs="Arial"/>
          <w:lang w:eastAsia="en-AU"/>
        </w:rPr>
        <w:t>06206</w:t>
      </w:r>
      <w:r w:rsidRPr="00D57FC5">
        <w:rPr>
          <w:rFonts w:ascii="Arial" w:eastAsia="Times New Roman" w:hAnsi="Arial" w:cs="Arial"/>
          <w:lang w:eastAsia="en-AU"/>
        </w:rPr>
        <w:t>).</w:t>
      </w:r>
    </w:p>
    <w:p w14:paraId="3E56EA9A" w14:textId="77777777" w:rsidR="006F77D5" w:rsidRPr="00D57FC5" w:rsidRDefault="006F77D5" w:rsidP="00D57FC5">
      <w:pPr>
        <w:spacing w:after="120"/>
        <w:rPr>
          <w:rFonts w:ascii="Arial" w:hAnsi="Arial" w:cs="Arial"/>
          <w:sz w:val="22"/>
          <w:szCs w:val="22"/>
        </w:rPr>
      </w:pPr>
    </w:p>
    <w:p w14:paraId="15AC1B73" w14:textId="77777777" w:rsidR="00486653" w:rsidRPr="00D57FC5" w:rsidRDefault="00486653" w:rsidP="00D57FC5">
      <w:pPr>
        <w:pStyle w:val="Heading2"/>
        <w:keepNext w:val="0"/>
      </w:pPr>
      <w:r w:rsidRPr="00D57FC5">
        <w:lastRenderedPageBreak/>
        <w:t>Background</w:t>
      </w:r>
    </w:p>
    <w:p w14:paraId="57B2C487" w14:textId="185C5680" w:rsidR="00A46C1D" w:rsidRPr="00D57FC5" w:rsidRDefault="00CE7DB0" w:rsidP="00D57FC5">
      <w:pPr>
        <w:numPr>
          <w:ilvl w:val="0"/>
          <w:numId w:val="1"/>
        </w:numPr>
        <w:tabs>
          <w:tab w:val="clear" w:pos="360"/>
        </w:tabs>
        <w:spacing w:after="120"/>
        <w:ind w:left="0" w:firstLine="0"/>
        <w:rPr>
          <w:rFonts w:ascii="Arial" w:hAnsi="Arial" w:cs="Arial"/>
          <w:sz w:val="22"/>
          <w:szCs w:val="22"/>
        </w:rPr>
      </w:pPr>
      <w:r w:rsidRPr="00D57FC5">
        <w:rPr>
          <w:rFonts w:ascii="Arial" w:hAnsi="Arial" w:cs="Arial"/>
          <w:sz w:val="22"/>
          <w:szCs w:val="22"/>
        </w:rPr>
        <w:t>Section 61C of the FBTAA allows an employer to reduce the taxable value of certain expense payment fringe benefits, housing fringe benefits or residual fringe benefits that are provided in respect of providing temporary accommodation (including the costs of hiring household goods) to an employee</w:t>
      </w:r>
      <w:r w:rsidR="00020339" w:rsidRPr="00D57FC5">
        <w:rPr>
          <w:rFonts w:ascii="Arial" w:hAnsi="Arial" w:cs="Arial"/>
          <w:sz w:val="22"/>
          <w:szCs w:val="22"/>
        </w:rPr>
        <w:t xml:space="preserve"> and their family members</w:t>
      </w:r>
      <w:r w:rsidRPr="00D57FC5">
        <w:rPr>
          <w:rFonts w:ascii="Arial" w:hAnsi="Arial" w:cs="Arial"/>
          <w:sz w:val="22"/>
          <w:szCs w:val="22"/>
        </w:rPr>
        <w:t>. The reduction is available to the employer where:</w:t>
      </w:r>
    </w:p>
    <w:p w14:paraId="13196940" w14:textId="47504BD3" w:rsidR="00901EDB" w:rsidRPr="00D57FC5" w:rsidRDefault="00A1651E" w:rsidP="00D57FC5">
      <w:pPr>
        <w:pStyle w:val="ListParagraph"/>
        <w:numPr>
          <w:ilvl w:val="0"/>
          <w:numId w:val="19"/>
        </w:numPr>
        <w:spacing w:after="120" w:line="240" w:lineRule="auto"/>
        <w:ind w:left="1418" w:hanging="709"/>
        <w:rPr>
          <w:rFonts w:ascii="Arial" w:hAnsi="Arial" w:cs="Arial"/>
        </w:rPr>
      </w:pPr>
      <w:r w:rsidRPr="00D57FC5">
        <w:rPr>
          <w:rFonts w:ascii="Arial" w:hAnsi="Arial" w:cs="Arial"/>
        </w:rPr>
        <w:t>the employer provided an employee with</w:t>
      </w:r>
      <w:r w:rsidR="00962262" w:rsidRPr="00D57FC5">
        <w:rPr>
          <w:rFonts w:ascii="Arial" w:hAnsi="Arial" w:cs="Arial"/>
        </w:rPr>
        <w:t>:</w:t>
      </w:r>
    </w:p>
    <w:p w14:paraId="2D76AE40" w14:textId="6559C8F0" w:rsidR="00A1651E" w:rsidRPr="00D57FC5" w:rsidRDefault="00962262" w:rsidP="00D57FC5">
      <w:pPr>
        <w:pStyle w:val="ListParagraph"/>
        <w:numPr>
          <w:ilvl w:val="0"/>
          <w:numId w:val="27"/>
        </w:numPr>
        <w:spacing w:after="120" w:line="240" w:lineRule="auto"/>
        <w:ind w:left="2127" w:hanging="709"/>
        <w:rPr>
          <w:rFonts w:ascii="Arial" w:hAnsi="Arial" w:cs="Arial"/>
        </w:rPr>
      </w:pPr>
      <w:r w:rsidRPr="00D57FC5">
        <w:rPr>
          <w:rFonts w:ascii="Arial" w:hAnsi="Arial" w:cs="Arial"/>
        </w:rPr>
        <w:t>an expense payment, housing or residual fringe benefit in respect of a lease or licence for the temporary accommodation of family members</w:t>
      </w:r>
      <w:r w:rsidR="00512F98" w:rsidRPr="00D57FC5">
        <w:rPr>
          <w:rFonts w:ascii="Arial" w:hAnsi="Arial" w:cs="Arial"/>
        </w:rPr>
        <w:t>,</w:t>
      </w:r>
      <w:r w:rsidR="00E821EA" w:rsidRPr="00D57FC5">
        <w:rPr>
          <w:rFonts w:ascii="Arial" w:hAnsi="Arial" w:cs="Arial"/>
        </w:rPr>
        <w:t xml:space="preserve"> or</w:t>
      </w:r>
    </w:p>
    <w:p w14:paraId="4730E8A9" w14:textId="77777777" w:rsidR="00D57FC5" w:rsidRPr="00D57FC5" w:rsidRDefault="00962262" w:rsidP="00D57FC5">
      <w:pPr>
        <w:pStyle w:val="ListParagraph"/>
        <w:numPr>
          <w:ilvl w:val="0"/>
          <w:numId w:val="27"/>
        </w:numPr>
        <w:spacing w:after="120" w:line="240" w:lineRule="auto"/>
        <w:ind w:left="2127" w:hanging="709"/>
        <w:rPr>
          <w:rFonts w:ascii="Arial" w:hAnsi="Arial" w:cs="Arial"/>
        </w:rPr>
      </w:pPr>
      <w:r w:rsidRPr="00D57FC5">
        <w:rPr>
          <w:rFonts w:ascii="Arial" w:hAnsi="Arial" w:cs="Arial"/>
        </w:rPr>
        <w:t xml:space="preserve">an expense payment or residual fringe benefit in respect of </w:t>
      </w:r>
      <w:r w:rsidR="009C6701" w:rsidRPr="00D57FC5">
        <w:rPr>
          <w:rFonts w:ascii="Arial" w:hAnsi="Arial" w:cs="Arial"/>
        </w:rPr>
        <w:t xml:space="preserve">a lease or licence for </w:t>
      </w:r>
      <w:r w:rsidR="00A1651E" w:rsidRPr="00D57FC5">
        <w:rPr>
          <w:rFonts w:ascii="Arial" w:hAnsi="Arial" w:cs="Arial"/>
        </w:rPr>
        <w:t xml:space="preserve">household goods for use in the temporary accommodation of </w:t>
      </w:r>
      <w:r w:rsidR="00F86982" w:rsidRPr="00D57FC5">
        <w:rPr>
          <w:rFonts w:ascii="Arial" w:hAnsi="Arial" w:cs="Arial"/>
        </w:rPr>
        <w:t>family members</w:t>
      </w:r>
      <w:r w:rsidR="004C58AD" w:rsidRPr="00D57FC5">
        <w:rPr>
          <w:rFonts w:ascii="Arial" w:hAnsi="Arial" w:cs="Arial"/>
        </w:rPr>
        <w:t>,</w:t>
      </w:r>
    </w:p>
    <w:p w14:paraId="3AAF57B6" w14:textId="77777777" w:rsidR="00D57FC5" w:rsidRPr="00D57FC5" w:rsidRDefault="00874E96" w:rsidP="00D57FC5">
      <w:pPr>
        <w:pStyle w:val="ListParagraph"/>
        <w:numPr>
          <w:ilvl w:val="0"/>
          <w:numId w:val="19"/>
        </w:numPr>
        <w:spacing w:after="120" w:line="240" w:lineRule="auto"/>
        <w:ind w:left="1418" w:hanging="709"/>
        <w:rPr>
          <w:rFonts w:ascii="Arial" w:hAnsi="Arial" w:cs="Arial"/>
        </w:rPr>
      </w:pPr>
      <w:r w:rsidRPr="00D57FC5">
        <w:rPr>
          <w:rFonts w:ascii="Arial" w:hAnsi="Arial" w:cs="Arial"/>
        </w:rPr>
        <w:t xml:space="preserve">the temporary accommodation is required solely because the employee is required to change </w:t>
      </w:r>
      <w:r w:rsidR="00962262" w:rsidRPr="00D57FC5">
        <w:rPr>
          <w:rFonts w:ascii="Arial" w:hAnsi="Arial" w:cs="Arial"/>
        </w:rPr>
        <w:t xml:space="preserve">their </w:t>
      </w:r>
      <w:r w:rsidRPr="00D57FC5">
        <w:rPr>
          <w:rFonts w:ascii="Arial" w:hAnsi="Arial" w:cs="Arial"/>
        </w:rPr>
        <w:t>usual place of residence in order to perform the duties of th</w:t>
      </w:r>
      <w:r w:rsidR="009049AD" w:rsidRPr="00D57FC5">
        <w:rPr>
          <w:rFonts w:ascii="Arial" w:hAnsi="Arial" w:cs="Arial"/>
        </w:rPr>
        <w:t>eir</w:t>
      </w:r>
      <w:r w:rsidRPr="00D57FC5">
        <w:rPr>
          <w:rFonts w:ascii="Arial" w:hAnsi="Arial" w:cs="Arial"/>
        </w:rPr>
        <w:t xml:space="preserve"> employment</w:t>
      </w:r>
      <w:r w:rsidR="009049AD" w:rsidRPr="00D57FC5">
        <w:rPr>
          <w:rFonts w:ascii="Arial" w:hAnsi="Arial" w:cs="Arial"/>
        </w:rPr>
        <w:t xml:space="preserve"> </w:t>
      </w:r>
      <w:r w:rsidR="001568F4" w:rsidRPr="00D57FC5">
        <w:rPr>
          <w:rFonts w:ascii="Arial" w:hAnsi="Arial" w:cs="Arial"/>
        </w:rPr>
        <w:t>(</w:t>
      </w:r>
      <w:r w:rsidR="009049AD" w:rsidRPr="00D57FC5">
        <w:rPr>
          <w:rFonts w:ascii="Arial" w:hAnsi="Arial" w:cs="Arial"/>
        </w:rPr>
        <w:t>being th</w:t>
      </w:r>
      <w:r w:rsidR="001568F4" w:rsidRPr="00D57FC5">
        <w:rPr>
          <w:rFonts w:ascii="Arial" w:hAnsi="Arial" w:cs="Arial"/>
        </w:rPr>
        <w:t>e</w:t>
      </w:r>
      <w:r w:rsidR="009049AD" w:rsidRPr="00D57FC5">
        <w:rPr>
          <w:rFonts w:ascii="Arial" w:hAnsi="Arial" w:cs="Arial"/>
        </w:rPr>
        <w:t xml:space="preserve"> specific employment which required the employee to change their usual place of residence</w:t>
      </w:r>
      <w:r w:rsidR="001568F4" w:rsidRPr="00D57FC5">
        <w:rPr>
          <w:rFonts w:ascii="Arial" w:hAnsi="Arial" w:cs="Arial"/>
        </w:rPr>
        <w:t>)</w:t>
      </w:r>
      <w:r w:rsidR="004C58AD" w:rsidRPr="00D57FC5">
        <w:rPr>
          <w:rFonts w:ascii="Arial" w:hAnsi="Arial" w:cs="Arial"/>
        </w:rPr>
        <w:t>,</w:t>
      </w:r>
    </w:p>
    <w:p w14:paraId="5D4ADA6A" w14:textId="77777777" w:rsidR="00D57FC5" w:rsidRPr="00D57FC5" w:rsidRDefault="001B763B" w:rsidP="00D57FC5">
      <w:pPr>
        <w:pStyle w:val="ListParagraph"/>
        <w:numPr>
          <w:ilvl w:val="0"/>
          <w:numId w:val="19"/>
        </w:numPr>
        <w:spacing w:after="120" w:line="240" w:lineRule="auto"/>
        <w:ind w:left="1418" w:hanging="709"/>
        <w:rPr>
          <w:rFonts w:ascii="Arial" w:hAnsi="Arial" w:cs="Arial"/>
        </w:rPr>
      </w:pPr>
      <w:r w:rsidRPr="00D57FC5">
        <w:rPr>
          <w:rFonts w:ascii="Arial" w:hAnsi="Arial" w:cs="Arial"/>
        </w:rPr>
        <w:t>the temporary accommodation is located at or near the employee’s new place of employment</w:t>
      </w:r>
      <w:r w:rsidR="004C58AD" w:rsidRPr="00D57FC5">
        <w:rPr>
          <w:rFonts w:ascii="Arial" w:hAnsi="Arial" w:cs="Arial"/>
        </w:rPr>
        <w:t>,</w:t>
      </w:r>
    </w:p>
    <w:p w14:paraId="20440040" w14:textId="73C4BB1A" w:rsidR="00962262" w:rsidRPr="00D57FC5" w:rsidRDefault="001B763B" w:rsidP="00D57FC5">
      <w:pPr>
        <w:pStyle w:val="ListParagraph"/>
        <w:numPr>
          <w:ilvl w:val="0"/>
          <w:numId w:val="19"/>
        </w:numPr>
        <w:spacing w:after="120" w:line="240" w:lineRule="auto"/>
        <w:ind w:left="1418" w:hanging="709"/>
        <w:rPr>
          <w:rFonts w:ascii="Arial" w:hAnsi="Arial" w:cs="Arial"/>
        </w:rPr>
      </w:pPr>
      <w:r w:rsidRPr="00D57FC5">
        <w:rPr>
          <w:rFonts w:ascii="Arial" w:hAnsi="Arial" w:cs="Arial"/>
        </w:rPr>
        <w:t xml:space="preserve">the requirements </w:t>
      </w:r>
      <w:r w:rsidR="000E0C89" w:rsidRPr="00D57FC5">
        <w:rPr>
          <w:rFonts w:ascii="Arial" w:hAnsi="Arial" w:cs="Arial"/>
        </w:rPr>
        <w:t>in</w:t>
      </w:r>
      <w:r w:rsidRPr="00D57FC5">
        <w:rPr>
          <w:rFonts w:ascii="Arial" w:hAnsi="Arial" w:cs="Arial"/>
        </w:rPr>
        <w:t xml:space="preserve"> paragraph 61C(1)(d) of the </w:t>
      </w:r>
      <w:r w:rsidR="000E0C89" w:rsidRPr="00D57FC5">
        <w:rPr>
          <w:rFonts w:ascii="Arial" w:hAnsi="Arial" w:cs="Arial"/>
        </w:rPr>
        <w:t>FBTAA are met</w:t>
      </w:r>
      <w:r w:rsidR="00D203FD" w:rsidRPr="00D57FC5">
        <w:rPr>
          <w:rFonts w:ascii="Arial" w:hAnsi="Arial" w:cs="Arial"/>
        </w:rPr>
        <w:t>,</w:t>
      </w:r>
      <w:r w:rsidR="009C6701" w:rsidRPr="00D57FC5">
        <w:rPr>
          <w:rFonts w:ascii="Arial" w:hAnsi="Arial" w:cs="Arial"/>
        </w:rPr>
        <w:t xml:space="preserve"> and</w:t>
      </w:r>
    </w:p>
    <w:p w14:paraId="43963C0D" w14:textId="1B302FB4" w:rsidR="001B763B" w:rsidRPr="00D57FC5" w:rsidRDefault="005C04E8" w:rsidP="00D57FC5">
      <w:pPr>
        <w:pStyle w:val="ListParagraph"/>
        <w:numPr>
          <w:ilvl w:val="0"/>
          <w:numId w:val="19"/>
        </w:numPr>
        <w:spacing w:after="120" w:line="240" w:lineRule="auto"/>
        <w:ind w:left="1418" w:hanging="709"/>
        <w:rPr>
          <w:rFonts w:ascii="Arial" w:hAnsi="Arial" w:cs="Arial"/>
        </w:rPr>
      </w:pPr>
      <w:r w:rsidRPr="00D57FC5">
        <w:rPr>
          <w:rFonts w:ascii="Arial" w:hAnsi="Arial" w:cs="Arial"/>
        </w:rPr>
        <w:t>the fringe benefit is not provided under a non-arm’s length arrangement</w:t>
      </w:r>
      <w:r w:rsidR="009C6701" w:rsidRPr="00D57FC5">
        <w:rPr>
          <w:rFonts w:ascii="Arial" w:hAnsi="Arial" w:cs="Arial"/>
        </w:rPr>
        <w:t>.</w:t>
      </w:r>
    </w:p>
    <w:p w14:paraId="4BFCEE83" w14:textId="724B123C" w:rsidR="00874E96" w:rsidRPr="00D57FC5" w:rsidRDefault="00874E96" w:rsidP="00D57FC5">
      <w:pPr>
        <w:numPr>
          <w:ilvl w:val="0"/>
          <w:numId w:val="1"/>
        </w:numPr>
        <w:tabs>
          <w:tab w:val="clear" w:pos="360"/>
        </w:tabs>
        <w:spacing w:after="120"/>
        <w:ind w:left="0" w:firstLine="0"/>
        <w:rPr>
          <w:rFonts w:ascii="Arial" w:hAnsi="Arial" w:cs="Arial"/>
          <w:sz w:val="22"/>
          <w:szCs w:val="22"/>
        </w:rPr>
      </w:pPr>
      <w:bookmarkStart w:id="5" w:name="_Hlk80086760"/>
      <w:r w:rsidRPr="00D57FC5">
        <w:rPr>
          <w:rFonts w:ascii="Arial" w:hAnsi="Arial" w:cs="Arial"/>
          <w:sz w:val="22"/>
          <w:szCs w:val="22"/>
        </w:rPr>
        <w:t xml:space="preserve">In accordance with paragraph </w:t>
      </w:r>
      <w:r w:rsidR="00074795" w:rsidRPr="00D57FC5">
        <w:rPr>
          <w:rFonts w:ascii="Arial" w:hAnsi="Arial" w:cs="Arial"/>
          <w:sz w:val="22"/>
          <w:szCs w:val="22"/>
        </w:rPr>
        <w:t xml:space="preserve">61C(3)(b) </w:t>
      </w:r>
      <w:r w:rsidRPr="00D57FC5">
        <w:rPr>
          <w:rFonts w:ascii="Arial" w:hAnsi="Arial" w:cs="Arial"/>
          <w:sz w:val="22"/>
          <w:szCs w:val="22"/>
        </w:rPr>
        <w:t xml:space="preserve">of the FBTAA, the employer </w:t>
      </w:r>
      <w:r w:rsidR="00F0495A" w:rsidRPr="00D57FC5">
        <w:rPr>
          <w:rFonts w:ascii="Arial" w:hAnsi="Arial" w:cs="Arial"/>
          <w:sz w:val="22"/>
          <w:szCs w:val="22"/>
        </w:rPr>
        <w:t xml:space="preserve">ordinarily also </w:t>
      </w:r>
      <w:r w:rsidRPr="00D57FC5">
        <w:rPr>
          <w:rFonts w:ascii="Arial" w:hAnsi="Arial" w:cs="Arial"/>
          <w:sz w:val="22"/>
          <w:szCs w:val="22"/>
        </w:rPr>
        <w:t>needs to obtain a signed employee declaration in the approved form by the declaration date to reduce the taxable value</w:t>
      </w:r>
      <w:r w:rsidR="008911AF" w:rsidRPr="00D57FC5">
        <w:rPr>
          <w:rFonts w:ascii="Arial" w:hAnsi="Arial" w:cs="Arial"/>
          <w:sz w:val="22"/>
          <w:szCs w:val="22"/>
        </w:rPr>
        <w:t xml:space="preserve"> where the employee has not started to live in a long-term unit of accommodation within 4 months of relocation</w:t>
      </w:r>
      <w:r w:rsidRPr="00D57FC5">
        <w:rPr>
          <w:rFonts w:ascii="Arial" w:hAnsi="Arial" w:cs="Arial"/>
          <w:sz w:val="22"/>
          <w:szCs w:val="22"/>
        </w:rPr>
        <w:t xml:space="preserve">. This instrument prescribes alternative records </w:t>
      </w:r>
      <w:r w:rsidR="00202073" w:rsidRPr="00D57FC5">
        <w:rPr>
          <w:rFonts w:ascii="Arial" w:hAnsi="Arial" w:cs="Arial"/>
          <w:sz w:val="22"/>
          <w:szCs w:val="22"/>
        </w:rPr>
        <w:t xml:space="preserve">the </w:t>
      </w:r>
      <w:r w:rsidRPr="00D57FC5">
        <w:rPr>
          <w:rFonts w:ascii="Arial" w:hAnsi="Arial" w:cs="Arial"/>
          <w:sz w:val="22"/>
          <w:szCs w:val="22"/>
        </w:rPr>
        <w:t xml:space="preserve">employer can use instead of the </w:t>
      </w:r>
      <w:r w:rsidR="00202073" w:rsidRPr="00D57FC5">
        <w:rPr>
          <w:rFonts w:ascii="Arial" w:hAnsi="Arial" w:cs="Arial"/>
          <w:sz w:val="22"/>
          <w:szCs w:val="22"/>
        </w:rPr>
        <w:t xml:space="preserve">employee </w:t>
      </w:r>
      <w:r w:rsidRPr="00D57FC5">
        <w:rPr>
          <w:rFonts w:ascii="Arial" w:hAnsi="Arial" w:cs="Arial"/>
          <w:sz w:val="22"/>
          <w:szCs w:val="22"/>
        </w:rPr>
        <w:t>declaration to reduce the taxable value for the relevant FBT year.</w:t>
      </w:r>
    </w:p>
    <w:bookmarkEnd w:id="5"/>
    <w:p w14:paraId="7E78C34A" w14:textId="77777777" w:rsidR="000B3168" w:rsidRPr="00D57FC5" w:rsidRDefault="000B3168" w:rsidP="00D57FC5">
      <w:pPr>
        <w:spacing w:after="120"/>
        <w:rPr>
          <w:rFonts w:ascii="Arial" w:hAnsi="Arial" w:cs="Arial"/>
          <w:sz w:val="22"/>
          <w:szCs w:val="22"/>
        </w:rPr>
      </w:pPr>
    </w:p>
    <w:p w14:paraId="0E553168" w14:textId="77777777" w:rsidR="00E11A1E" w:rsidRPr="00D57FC5" w:rsidRDefault="00E11A1E" w:rsidP="00D57FC5">
      <w:pPr>
        <w:pStyle w:val="Heading2"/>
        <w:keepNext w:val="0"/>
      </w:pPr>
      <w:r w:rsidRPr="00D57FC5">
        <w:t>Consultation</w:t>
      </w:r>
    </w:p>
    <w:p w14:paraId="2BF18A14" w14:textId="666738A9" w:rsidR="005F1E71" w:rsidRPr="00D57FC5" w:rsidRDefault="005F1E71" w:rsidP="00D57FC5">
      <w:pPr>
        <w:numPr>
          <w:ilvl w:val="0"/>
          <w:numId w:val="1"/>
        </w:numPr>
        <w:tabs>
          <w:tab w:val="clear" w:pos="360"/>
        </w:tabs>
        <w:spacing w:after="120"/>
        <w:ind w:left="0" w:firstLine="0"/>
        <w:rPr>
          <w:rFonts w:ascii="Arial" w:hAnsi="Arial" w:cs="Arial"/>
          <w:sz w:val="22"/>
          <w:szCs w:val="22"/>
        </w:rPr>
      </w:pPr>
      <w:r w:rsidRPr="00D57FC5">
        <w:rPr>
          <w:rFonts w:ascii="Arial" w:hAnsi="Arial" w:cs="Arial"/>
          <w:sz w:val="22"/>
          <w:szCs w:val="22"/>
        </w:rPr>
        <w:t xml:space="preserve">Subsection 17(1) of the </w:t>
      </w:r>
      <w:r w:rsidRPr="00D57FC5">
        <w:rPr>
          <w:rFonts w:ascii="Arial" w:hAnsi="Arial" w:cs="Arial"/>
          <w:i/>
          <w:iCs/>
          <w:sz w:val="22"/>
          <w:szCs w:val="22"/>
        </w:rPr>
        <w:t>Legislation Act 2003</w:t>
      </w:r>
      <w:r w:rsidRPr="00D57FC5">
        <w:rPr>
          <w:rFonts w:ascii="Arial" w:hAnsi="Arial" w:cs="Arial"/>
          <w:sz w:val="22"/>
          <w:szCs w:val="22"/>
        </w:rPr>
        <w:t xml:space="preserve"> requires that the Commissioner undertake</w:t>
      </w:r>
      <w:r w:rsidR="00495D1C" w:rsidRPr="00D57FC5">
        <w:rPr>
          <w:rFonts w:ascii="Arial" w:hAnsi="Arial" w:cs="Arial"/>
          <w:sz w:val="22"/>
          <w:szCs w:val="22"/>
        </w:rPr>
        <w:t xml:space="preserve"> </w:t>
      </w:r>
      <w:r w:rsidRPr="00D57FC5">
        <w:rPr>
          <w:rFonts w:ascii="Arial" w:hAnsi="Arial" w:cs="Arial"/>
          <w:sz w:val="22"/>
          <w:szCs w:val="22"/>
        </w:rPr>
        <w:t xml:space="preserve">appropriate </w:t>
      </w:r>
      <w:r w:rsidR="00495D1C" w:rsidRPr="00D57FC5">
        <w:rPr>
          <w:rFonts w:ascii="Arial" w:hAnsi="Arial" w:cs="Arial"/>
          <w:sz w:val="22"/>
          <w:szCs w:val="22"/>
        </w:rPr>
        <w:t>and</w:t>
      </w:r>
      <w:r w:rsidRPr="00D57FC5">
        <w:rPr>
          <w:rFonts w:ascii="Arial" w:hAnsi="Arial" w:cs="Arial"/>
          <w:sz w:val="22"/>
          <w:szCs w:val="22"/>
        </w:rPr>
        <w:t xml:space="preserve"> reasonably practicable</w:t>
      </w:r>
      <w:r w:rsidR="00495D1C" w:rsidRPr="00D57FC5">
        <w:rPr>
          <w:rFonts w:ascii="Arial" w:hAnsi="Arial" w:cs="Arial"/>
          <w:sz w:val="22"/>
          <w:szCs w:val="22"/>
        </w:rPr>
        <w:t xml:space="preserve"> consultation</w:t>
      </w:r>
      <w:r w:rsidRPr="00D57FC5">
        <w:rPr>
          <w:rFonts w:ascii="Arial" w:hAnsi="Arial" w:cs="Arial"/>
          <w:sz w:val="22"/>
          <w:szCs w:val="22"/>
        </w:rPr>
        <w:t xml:space="preserve"> before making a legislative instrument.</w:t>
      </w:r>
    </w:p>
    <w:p w14:paraId="6C4ADC4F" w14:textId="20F5A0CF" w:rsidR="005F1E71" w:rsidRPr="00D57FC5" w:rsidRDefault="005F1E71" w:rsidP="00D57FC5">
      <w:pPr>
        <w:numPr>
          <w:ilvl w:val="0"/>
          <w:numId w:val="30"/>
        </w:numPr>
        <w:tabs>
          <w:tab w:val="clear" w:pos="360"/>
        </w:tabs>
        <w:spacing w:after="120"/>
        <w:ind w:left="0" w:firstLine="0"/>
        <w:rPr>
          <w:rFonts w:ascii="Arial" w:hAnsi="Arial" w:cs="Arial"/>
          <w:sz w:val="22"/>
          <w:szCs w:val="22"/>
        </w:rPr>
      </w:pPr>
      <w:r w:rsidRPr="00D57FC5">
        <w:rPr>
          <w:rFonts w:ascii="Arial" w:hAnsi="Arial" w:cs="Arial"/>
          <w:sz w:val="22"/>
          <w:szCs w:val="22"/>
        </w:rPr>
        <w:t xml:space="preserve">For this instrument, broad public consultation was undertaken from </w:t>
      </w:r>
      <w:r w:rsidR="008B5487" w:rsidRPr="00D57FC5">
        <w:rPr>
          <w:rFonts w:ascii="Arial" w:hAnsi="Arial" w:cs="Arial"/>
          <w:sz w:val="22"/>
          <w:szCs w:val="22"/>
        </w:rPr>
        <w:t>12 October</w:t>
      </w:r>
      <w:r w:rsidRPr="00D57FC5">
        <w:rPr>
          <w:rFonts w:ascii="Arial" w:hAnsi="Arial" w:cs="Arial"/>
          <w:sz w:val="22"/>
          <w:szCs w:val="22"/>
        </w:rPr>
        <w:t xml:space="preserve"> 2023 to </w:t>
      </w:r>
      <w:r w:rsidR="008B5487" w:rsidRPr="00D57FC5">
        <w:rPr>
          <w:rFonts w:ascii="Arial" w:hAnsi="Arial" w:cs="Arial"/>
          <w:sz w:val="22"/>
          <w:szCs w:val="22"/>
        </w:rPr>
        <w:t>9</w:t>
      </w:r>
      <w:r w:rsidR="00495D1C" w:rsidRPr="00D57FC5">
        <w:rPr>
          <w:rFonts w:ascii="Arial" w:hAnsi="Arial" w:cs="Arial"/>
          <w:sz w:val="22"/>
          <w:szCs w:val="22"/>
        </w:rPr>
        <w:t> </w:t>
      </w:r>
      <w:r w:rsidR="008B5487" w:rsidRPr="00D57FC5">
        <w:rPr>
          <w:rFonts w:ascii="Arial" w:hAnsi="Arial" w:cs="Arial"/>
          <w:sz w:val="22"/>
          <w:szCs w:val="22"/>
        </w:rPr>
        <w:t>November</w:t>
      </w:r>
      <w:r w:rsidRPr="00D57FC5">
        <w:rPr>
          <w:rFonts w:ascii="Arial" w:hAnsi="Arial" w:cs="Arial"/>
          <w:sz w:val="22"/>
          <w:szCs w:val="22"/>
        </w:rPr>
        <w:t xml:space="preserve"> 2023.</w:t>
      </w:r>
    </w:p>
    <w:p w14:paraId="0EF2A1A3" w14:textId="12F3ACC0" w:rsidR="005F1E71" w:rsidRPr="00D57FC5" w:rsidRDefault="00C844D0" w:rsidP="00D57FC5">
      <w:pPr>
        <w:numPr>
          <w:ilvl w:val="0"/>
          <w:numId w:val="30"/>
        </w:numPr>
        <w:tabs>
          <w:tab w:val="clear" w:pos="360"/>
        </w:tabs>
        <w:spacing w:after="120"/>
        <w:ind w:left="0" w:firstLine="0"/>
        <w:rPr>
          <w:rFonts w:ascii="Arial" w:hAnsi="Arial" w:cs="Arial"/>
          <w:sz w:val="22"/>
          <w:szCs w:val="22"/>
        </w:rPr>
      </w:pPr>
      <w:r w:rsidRPr="00D57FC5">
        <w:rPr>
          <w:rFonts w:ascii="Arial" w:hAnsi="Arial" w:cs="Arial"/>
          <w:sz w:val="22"/>
          <w:szCs w:val="22"/>
        </w:rPr>
        <w:t>T</w:t>
      </w:r>
      <w:r w:rsidR="005F1E71" w:rsidRPr="00D57FC5">
        <w:rPr>
          <w:rFonts w:ascii="Arial" w:hAnsi="Arial" w:cs="Arial"/>
          <w:sz w:val="22"/>
          <w:szCs w:val="22"/>
        </w:rPr>
        <w:t>he draft instrument and draft explanatory statement were published to the ATO Legal database on the ‘What’s new’ page. They were also advertised on the ato.gov.au website on the ‘Open Consultation’ page. Major tax and superannuation publishers and associations monitor these pages and include the details in the daily and weekly alerts and newsletters to their subscribers and members.</w:t>
      </w:r>
    </w:p>
    <w:p w14:paraId="4C9D0DA2" w14:textId="192DAF42" w:rsidR="00C844D0" w:rsidRPr="00D57FC5" w:rsidRDefault="00C424BF" w:rsidP="00D57FC5">
      <w:pPr>
        <w:numPr>
          <w:ilvl w:val="0"/>
          <w:numId w:val="30"/>
        </w:numPr>
        <w:tabs>
          <w:tab w:val="clear" w:pos="360"/>
        </w:tabs>
        <w:spacing w:after="120"/>
        <w:ind w:left="0" w:firstLine="0"/>
        <w:rPr>
          <w:rFonts w:ascii="Arial" w:eastAsia="Calibri" w:hAnsi="Arial" w:cs="Arial"/>
          <w:sz w:val="22"/>
          <w:szCs w:val="22"/>
          <w:lang w:eastAsia="en-US"/>
        </w:rPr>
      </w:pPr>
      <w:r w:rsidRPr="00D57FC5">
        <w:rPr>
          <w:rFonts w:ascii="Arial" w:eastAsia="Calibri" w:hAnsi="Arial" w:cs="Arial"/>
          <w:sz w:val="22"/>
          <w:szCs w:val="22"/>
          <w:lang w:eastAsia="en-US"/>
        </w:rPr>
        <w:t>As a result of feedback received</w:t>
      </w:r>
      <w:r w:rsidR="00C844D0" w:rsidRPr="00D57FC5">
        <w:rPr>
          <w:rFonts w:ascii="Arial" w:eastAsia="Calibri" w:hAnsi="Arial" w:cs="Arial"/>
          <w:sz w:val="22"/>
          <w:szCs w:val="22"/>
          <w:lang w:eastAsia="en-US"/>
        </w:rPr>
        <w:t xml:space="preserve"> </w:t>
      </w:r>
      <w:r w:rsidR="00C844D0" w:rsidRPr="00D57FC5">
        <w:rPr>
          <w:rFonts w:ascii="Arial" w:hAnsi="Arial" w:cs="Arial"/>
          <w:color w:val="000000"/>
          <w:sz w:val="22"/>
          <w:szCs w:val="22"/>
        </w:rPr>
        <w:t>during consultation</w:t>
      </w:r>
      <w:r w:rsidRPr="00D57FC5">
        <w:rPr>
          <w:rFonts w:ascii="Arial" w:eastAsia="Calibri" w:hAnsi="Arial" w:cs="Arial"/>
          <w:sz w:val="22"/>
          <w:szCs w:val="22"/>
          <w:lang w:eastAsia="en-US"/>
        </w:rPr>
        <w:t xml:space="preserve">, the explanatory statement </w:t>
      </w:r>
      <w:r w:rsidR="00C844D0" w:rsidRPr="00D57FC5">
        <w:rPr>
          <w:rFonts w:ascii="Arial" w:eastAsia="Calibri" w:hAnsi="Arial" w:cs="Arial"/>
          <w:sz w:val="22"/>
          <w:szCs w:val="22"/>
          <w:lang w:eastAsia="en-US"/>
        </w:rPr>
        <w:t xml:space="preserve">was amended </w:t>
      </w:r>
      <w:r w:rsidRPr="00D57FC5">
        <w:rPr>
          <w:rFonts w:ascii="Arial" w:eastAsia="Calibri" w:hAnsi="Arial" w:cs="Arial"/>
          <w:sz w:val="22"/>
          <w:szCs w:val="22"/>
          <w:lang w:eastAsia="en-US"/>
        </w:rPr>
        <w:t xml:space="preserve">to improve </w:t>
      </w:r>
      <w:r w:rsidR="00DF53CA" w:rsidRPr="00D57FC5">
        <w:rPr>
          <w:rFonts w:ascii="Arial" w:eastAsia="Calibri" w:hAnsi="Arial" w:cs="Arial"/>
          <w:sz w:val="22"/>
          <w:szCs w:val="22"/>
          <w:lang w:eastAsia="en-US"/>
        </w:rPr>
        <w:t xml:space="preserve">its </w:t>
      </w:r>
      <w:r w:rsidRPr="00D57FC5">
        <w:rPr>
          <w:rFonts w:ascii="Arial" w:eastAsia="Calibri" w:hAnsi="Arial" w:cs="Arial"/>
          <w:sz w:val="22"/>
          <w:szCs w:val="22"/>
          <w:lang w:eastAsia="en-US"/>
        </w:rPr>
        <w:t>clarity.</w:t>
      </w:r>
    </w:p>
    <w:p w14:paraId="5F2FDA65" w14:textId="6118E09E" w:rsidR="00D57FC5" w:rsidRDefault="00D57FC5" w:rsidP="00D57FC5">
      <w:pPr>
        <w:spacing w:after="120"/>
        <w:rPr>
          <w:rFonts w:ascii="Arial" w:hAnsi="Arial" w:cs="Arial"/>
          <w:sz w:val="22"/>
          <w:szCs w:val="22"/>
        </w:rPr>
      </w:pPr>
    </w:p>
    <w:p w14:paraId="126E08BC" w14:textId="77777777" w:rsidR="00D57FC5" w:rsidRPr="00D57FC5" w:rsidRDefault="00D57FC5" w:rsidP="00D57FC5">
      <w:pPr>
        <w:spacing w:after="120"/>
        <w:rPr>
          <w:rFonts w:ascii="Arial" w:hAnsi="Arial" w:cs="Arial"/>
          <w:sz w:val="22"/>
          <w:szCs w:val="22"/>
        </w:rPr>
      </w:pPr>
    </w:p>
    <w:p w14:paraId="53741ADA" w14:textId="77777777" w:rsidR="00D57FC5" w:rsidRPr="00D57FC5" w:rsidRDefault="00D57FC5" w:rsidP="00D57FC5">
      <w:pPr>
        <w:spacing w:after="120"/>
        <w:rPr>
          <w:rFonts w:ascii="Arial" w:hAnsi="Arial" w:cs="Arial"/>
          <w:sz w:val="22"/>
          <w:szCs w:val="22"/>
        </w:rPr>
      </w:pPr>
    </w:p>
    <w:p w14:paraId="69FE8C27" w14:textId="77777777" w:rsidR="009371D0" w:rsidRPr="00D57FC5" w:rsidRDefault="007E0A01" w:rsidP="00D57FC5">
      <w:pPr>
        <w:pStyle w:val="Heading3"/>
        <w:keepNext w:val="0"/>
        <w:spacing w:before="0"/>
        <w:rPr>
          <w:i/>
          <w:sz w:val="20"/>
          <w:szCs w:val="20"/>
        </w:rPr>
      </w:pPr>
      <w:r w:rsidRPr="00D57FC5">
        <w:rPr>
          <w:i/>
          <w:sz w:val="20"/>
          <w:szCs w:val="20"/>
        </w:rPr>
        <w:t>Legislative references</w:t>
      </w:r>
    </w:p>
    <w:p w14:paraId="05E01CE4" w14:textId="1539749F" w:rsidR="00E11A1E" w:rsidRPr="00D57FC5" w:rsidRDefault="00E11A1E" w:rsidP="00D57FC5">
      <w:pPr>
        <w:rPr>
          <w:rFonts w:ascii="Arial" w:hAnsi="Arial" w:cs="Arial"/>
          <w:i/>
          <w:iCs/>
          <w:sz w:val="20"/>
        </w:rPr>
      </w:pPr>
      <w:r w:rsidRPr="00D57FC5">
        <w:rPr>
          <w:rFonts w:ascii="Arial" w:hAnsi="Arial" w:cs="Arial"/>
          <w:i/>
          <w:iCs/>
          <w:sz w:val="20"/>
        </w:rPr>
        <w:t>Acts Interpretation Act 1901</w:t>
      </w:r>
    </w:p>
    <w:p w14:paraId="36E612C8" w14:textId="3D0B84D3" w:rsidR="00910595" w:rsidRPr="00D57FC5" w:rsidRDefault="00E11A1E" w:rsidP="00D57FC5">
      <w:pPr>
        <w:rPr>
          <w:rFonts w:ascii="Arial" w:hAnsi="Arial" w:cs="Arial"/>
          <w:i/>
          <w:iCs/>
          <w:sz w:val="20"/>
        </w:rPr>
      </w:pPr>
      <w:r w:rsidRPr="00D57FC5">
        <w:rPr>
          <w:rFonts w:ascii="Arial" w:hAnsi="Arial" w:cs="Arial"/>
          <w:i/>
          <w:iCs/>
          <w:sz w:val="20"/>
        </w:rPr>
        <w:t>Fringe Benefits Tax Assessment Act 1986</w:t>
      </w:r>
    </w:p>
    <w:p w14:paraId="4BBE247F" w14:textId="49A29F4F" w:rsidR="00804F7F" w:rsidRPr="00D57FC5" w:rsidRDefault="00804F7F" w:rsidP="00D57FC5">
      <w:pPr>
        <w:rPr>
          <w:rFonts w:ascii="Arial" w:hAnsi="Arial" w:cs="Arial"/>
          <w:i/>
          <w:iCs/>
          <w:sz w:val="20"/>
        </w:rPr>
      </w:pPr>
      <w:r w:rsidRPr="00D57FC5">
        <w:rPr>
          <w:rFonts w:ascii="Arial" w:hAnsi="Arial" w:cs="Arial"/>
          <w:i/>
          <w:iCs/>
          <w:sz w:val="20"/>
        </w:rPr>
        <w:t>Human Rights (Parliamentary Scrutiny) Act</w:t>
      </w:r>
      <w:r w:rsidR="001B5374" w:rsidRPr="00D57FC5">
        <w:rPr>
          <w:rFonts w:ascii="Arial" w:hAnsi="Arial" w:cs="Arial"/>
          <w:i/>
          <w:iCs/>
          <w:sz w:val="20"/>
        </w:rPr>
        <w:t xml:space="preserve"> </w:t>
      </w:r>
      <w:r w:rsidRPr="00D57FC5">
        <w:rPr>
          <w:rFonts w:ascii="Arial" w:hAnsi="Arial" w:cs="Arial"/>
          <w:i/>
          <w:iCs/>
          <w:sz w:val="20"/>
        </w:rPr>
        <w:t>2011</w:t>
      </w:r>
    </w:p>
    <w:p w14:paraId="7DF35A0E" w14:textId="452F8996" w:rsidR="005270F6" w:rsidRPr="00D57FC5" w:rsidRDefault="005270F6" w:rsidP="00D57FC5">
      <w:pPr>
        <w:rPr>
          <w:rFonts w:ascii="Arial" w:hAnsi="Arial" w:cs="Arial"/>
          <w:i/>
          <w:iCs/>
          <w:sz w:val="20"/>
        </w:rPr>
      </w:pPr>
      <w:r w:rsidRPr="00D57FC5">
        <w:rPr>
          <w:rFonts w:ascii="Arial" w:hAnsi="Arial" w:cs="Arial"/>
          <w:i/>
          <w:iCs/>
          <w:sz w:val="20"/>
        </w:rPr>
        <w:t>Legislation Act 2003</w:t>
      </w:r>
    </w:p>
    <w:p w14:paraId="15AC1BA6" w14:textId="071C8BC4" w:rsidR="00101CD5" w:rsidRPr="00D57FC5" w:rsidRDefault="00101CD5" w:rsidP="00D57FC5">
      <w:pPr>
        <w:spacing w:after="120"/>
        <w:rPr>
          <w:rFonts w:ascii="Arial" w:hAnsi="Arial" w:cs="Arial"/>
          <w:sz w:val="22"/>
          <w:szCs w:val="22"/>
        </w:rPr>
      </w:pPr>
      <w:r w:rsidRPr="00D57FC5">
        <w:rPr>
          <w:rFonts w:ascii="Arial" w:hAnsi="Arial" w:cs="Arial"/>
          <w:sz w:val="22"/>
          <w:szCs w:val="22"/>
        </w:rPr>
        <w:br w:type="page"/>
      </w:r>
    </w:p>
    <w:p w14:paraId="15AC1BAC" w14:textId="0D11DAC2" w:rsidR="00333567" w:rsidRPr="00D57FC5" w:rsidRDefault="00E53399" w:rsidP="00D57FC5">
      <w:pPr>
        <w:pStyle w:val="Heading3"/>
        <w:keepNext w:val="0"/>
        <w:spacing w:before="0" w:after="120"/>
        <w:jc w:val="center"/>
        <w:rPr>
          <w:sz w:val="22"/>
          <w:szCs w:val="22"/>
        </w:rPr>
      </w:pPr>
      <w:r w:rsidRPr="00D57FC5">
        <w:rPr>
          <w:sz w:val="22"/>
          <w:szCs w:val="22"/>
        </w:rPr>
        <w:lastRenderedPageBreak/>
        <w:t xml:space="preserve">Statement of compatibility </w:t>
      </w:r>
      <w:r w:rsidR="00C11D03" w:rsidRPr="00D57FC5">
        <w:rPr>
          <w:sz w:val="22"/>
          <w:szCs w:val="22"/>
        </w:rPr>
        <w:t xml:space="preserve">with </w:t>
      </w:r>
      <w:r w:rsidR="00F0495A" w:rsidRPr="00D57FC5">
        <w:rPr>
          <w:sz w:val="22"/>
          <w:szCs w:val="22"/>
        </w:rPr>
        <w:t>h</w:t>
      </w:r>
      <w:r w:rsidR="00C11D03" w:rsidRPr="00D57FC5">
        <w:rPr>
          <w:sz w:val="22"/>
          <w:szCs w:val="22"/>
        </w:rPr>
        <w:t xml:space="preserve">uman </w:t>
      </w:r>
      <w:r w:rsidR="00F0495A" w:rsidRPr="00D57FC5">
        <w:rPr>
          <w:sz w:val="22"/>
          <w:szCs w:val="22"/>
        </w:rPr>
        <w:t>r</w:t>
      </w:r>
      <w:r w:rsidR="00C11D03" w:rsidRPr="00D57FC5">
        <w:rPr>
          <w:sz w:val="22"/>
          <w:szCs w:val="22"/>
        </w:rPr>
        <w:t>ights</w:t>
      </w:r>
    </w:p>
    <w:p w14:paraId="15AC1BAD" w14:textId="4AD858FB" w:rsidR="00E53399" w:rsidRPr="00D57FC5" w:rsidRDefault="004F5EB1" w:rsidP="00D57FC5">
      <w:pPr>
        <w:autoSpaceDE w:val="0"/>
        <w:autoSpaceDN w:val="0"/>
        <w:adjustRightInd w:val="0"/>
        <w:spacing w:after="120"/>
        <w:rPr>
          <w:rFonts w:ascii="Arial" w:hAnsi="Arial" w:cs="Arial"/>
          <w:sz w:val="22"/>
          <w:szCs w:val="22"/>
        </w:rPr>
      </w:pPr>
      <w:r w:rsidRPr="00D57FC5">
        <w:rPr>
          <w:rFonts w:ascii="Arial" w:hAnsi="Arial" w:cs="Arial"/>
          <w:sz w:val="22"/>
          <w:szCs w:val="22"/>
        </w:rPr>
        <w:t>P</w:t>
      </w:r>
      <w:r w:rsidR="00E53399" w:rsidRPr="00D57FC5">
        <w:rPr>
          <w:rFonts w:ascii="Arial" w:hAnsi="Arial" w:cs="Arial"/>
          <w:sz w:val="22"/>
          <w:szCs w:val="22"/>
        </w:rPr>
        <w:t xml:space="preserve">repared in accordance with Part 3 of the </w:t>
      </w:r>
      <w:r w:rsidR="00E53399" w:rsidRPr="00D57FC5">
        <w:rPr>
          <w:rFonts w:ascii="Arial" w:hAnsi="Arial" w:cs="Arial"/>
          <w:i/>
          <w:sz w:val="22"/>
          <w:szCs w:val="22"/>
        </w:rPr>
        <w:t>Human Rights (Parliamentary Scrutiny) Act 2011</w:t>
      </w:r>
    </w:p>
    <w:p w14:paraId="15AC1BAE" w14:textId="68DA81E7" w:rsidR="00D77015" w:rsidRPr="00D57FC5" w:rsidRDefault="00D77015" w:rsidP="00D57FC5">
      <w:pPr>
        <w:spacing w:after="120"/>
        <w:rPr>
          <w:rFonts w:ascii="Arial" w:hAnsi="Arial" w:cs="Arial"/>
          <w:sz w:val="22"/>
          <w:szCs w:val="22"/>
        </w:rPr>
      </w:pPr>
    </w:p>
    <w:p w14:paraId="3E8DCFFD" w14:textId="3B883A18" w:rsidR="00E11A1E" w:rsidRPr="00D57FC5" w:rsidRDefault="00E11A1E" w:rsidP="00D57FC5">
      <w:pPr>
        <w:autoSpaceDE w:val="0"/>
        <w:autoSpaceDN w:val="0"/>
        <w:adjustRightInd w:val="0"/>
        <w:spacing w:after="120"/>
        <w:jc w:val="center"/>
        <w:rPr>
          <w:rFonts w:ascii="Arial" w:hAnsi="Arial" w:cs="Arial"/>
          <w:b/>
          <w:sz w:val="22"/>
          <w:szCs w:val="22"/>
        </w:rPr>
      </w:pPr>
      <w:r w:rsidRPr="00D57FC5">
        <w:rPr>
          <w:rFonts w:ascii="Arial" w:hAnsi="Arial" w:cs="Arial"/>
          <w:b/>
          <w:sz w:val="22"/>
          <w:szCs w:val="22"/>
        </w:rPr>
        <w:t xml:space="preserve">Fringe Benefits Tax Assessment (Adequate Alternative Records </w:t>
      </w:r>
      <w:r w:rsidR="00BC69DA" w:rsidRPr="00D57FC5">
        <w:rPr>
          <w:rFonts w:ascii="Arial" w:hAnsi="Arial" w:cs="Arial"/>
          <w:b/>
          <w:sz w:val="22"/>
          <w:szCs w:val="22"/>
        </w:rPr>
        <w:t xml:space="preserve">– </w:t>
      </w:r>
      <w:r w:rsidRPr="00D57FC5">
        <w:rPr>
          <w:rFonts w:ascii="Arial" w:hAnsi="Arial" w:cs="Arial"/>
          <w:b/>
          <w:sz w:val="22"/>
          <w:szCs w:val="22"/>
        </w:rPr>
        <w:t>Temporary Accommodation Relating to Relocation) Determination 202</w:t>
      </w:r>
      <w:r w:rsidR="00CE6A40" w:rsidRPr="00D57FC5">
        <w:rPr>
          <w:rFonts w:ascii="Arial" w:hAnsi="Arial" w:cs="Arial"/>
          <w:b/>
          <w:sz w:val="22"/>
          <w:szCs w:val="22"/>
        </w:rPr>
        <w:t>4</w:t>
      </w:r>
    </w:p>
    <w:p w14:paraId="15AC1BB2" w14:textId="742972DF" w:rsidR="00075B58" w:rsidRPr="00D57FC5" w:rsidRDefault="00E11A1E" w:rsidP="00D57FC5">
      <w:pPr>
        <w:autoSpaceDE w:val="0"/>
        <w:autoSpaceDN w:val="0"/>
        <w:adjustRightInd w:val="0"/>
        <w:spacing w:after="120"/>
        <w:rPr>
          <w:rFonts w:ascii="Arial" w:hAnsi="Arial" w:cs="Arial"/>
          <w:i/>
          <w:sz w:val="22"/>
          <w:szCs w:val="22"/>
        </w:rPr>
      </w:pPr>
      <w:r w:rsidRPr="00D57FC5">
        <w:rPr>
          <w:rFonts w:ascii="Arial" w:hAnsi="Arial" w:cs="Arial"/>
          <w:sz w:val="22"/>
          <w:szCs w:val="22"/>
        </w:rPr>
        <w:t xml:space="preserve">This legislative instrument is compatible with the human rights and freedoms recognised or declared in the international instruments listed in section 3 of the </w:t>
      </w:r>
      <w:r w:rsidRPr="00D57FC5">
        <w:rPr>
          <w:rFonts w:ascii="Arial" w:hAnsi="Arial" w:cs="Arial"/>
          <w:i/>
          <w:sz w:val="22"/>
          <w:szCs w:val="22"/>
        </w:rPr>
        <w:t>Human Rights (Parliamentary Scrutiny) Act</w:t>
      </w:r>
      <w:r w:rsidR="00CE6A40" w:rsidRPr="00D57FC5">
        <w:rPr>
          <w:rFonts w:ascii="Arial" w:hAnsi="Arial" w:cs="Arial"/>
          <w:i/>
          <w:sz w:val="22"/>
          <w:szCs w:val="22"/>
        </w:rPr>
        <w:t> </w:t>
      </w:r>
      <w:r w:rsidRPr="00D57FC5">
        <w:rPr>
          <w:rFonts w:ascii="Arial" w:hAnsi="Arial" w:cs="Arial"/>
          <w:i/>
          <w:sz w:val="22"/>
          <w:szCs w:val="22"/>
        </w:rPr>
        <w:t>2011.</w:t>
      </w:r>
    </w:p>
    <w:p w14:paraId="26812EAB" w14:textId="77777777" w:rsidR="009B74EB" w:rsidRPr="00D57FC5" w:rsidRDefault="009B74EB" w:rsidP="00D57FC5">
      <w:pPr>
        <w:spacing w:after="120"/>
        <w:rPr>
          <w:rFonts w:ascii="Arial" w:hAnsi="Arial" w:cs="Arial"/>
          <w:sz w:val="22"/>
          <w:szCs w:val="22"/>
        </w:rPr>
      </w:pPr>
    </w:p>
    <w:p w14:paraId="15AC1BB3" w14:textId="750861F1" w:rsidR="00075B58" w:rsidRPr="00D57FC5" w:rsidRDefault="00075B58" w:rsidP="00D57FC5">
      <w:pPr>
        <w:pStyle w:val="Heading2"/>
        <w:keepNext w:val="0"/>
      </w:pPr>
      <w:r w:rsidRPr="00D57FC5">
        <w:t xml:space="preserve">Overview of </w:t>
      </w:r>
      <w:r w:rsidR="007E0A01" w:rsidRPr="00D57FC5">
        <w:t xml:space="preserve">the </w:t>
      </w:r>
      <w:r w:rsidR="00033DF2" w:rsidRPr="00D57FC5">
        <w:t>l</w:t>
      </w:r>
      <w:r w:rsidRPr="00D57FC5">
        <w:t xml:space="preserve">egislative </w:t>
      </w:r>
      <w:r w:rsidR="00033DF2" w:rsidRPr="00D57FC5">
        <w:t>i</w:t>
      </w:r>
      <w:r w:rsidRPr="00D57FC5">
        <w:t>nstrument</w:t>
      </w:r>
    </w:p>
    <w:p w14:paraId="697A3F63" w14:textId="27778EA9" w:rsidR="009B74EB" w:rsidRPr="00D57FC5" w:rsidRDefault="00E11A1E" w:rsidP="00D57FC5">
      <w:pPr>
        <w:spacing w:after="120"/>
        <w:rPr>
          <w:rFonts w:ascii="Arial" w:hAnsi="Arial" w:cs="Arial"/>
          <w:sz w:val="22"/>
          <w:szCs w:val="22"/>
        </w:rPr>
      </w:pPr>
      <w:r w:rsidRPr="00D57FC5">
        <w:rPr>
          <w:rFonts w:ascii="Arial" w:hAnsi="Arial" w:cs="Arial"/>
          <w:bCs/>
          <w:sz w:val="22"/>
          <w:szCs w:val="22"/>
        </w:rPr>
        <w:t>The instrument specifies records that the Commissioner of Taxation will accept from an employer, in certain circumstances, as an alternative to an employee providing a declaration for an expense payment fringe benefit</w:t>
      </w:r>
      <w:r w:rsidR="00E9139C" w:rsidRPr="00D57FC5">
        <w:rPr>
          <w:rFonts w:ascii="Arial" w:hAnsi="Arial" w:cs="Arial"/>
          <w:bCs/>
          <w:sz w:val="22"/>
          <w:szCs w:val="22"/>
        </w:rPr>
        <w:t>, housing fringe benefit or residual fringe benefit</w:t>
      </w:r>
      <w:r w:rsidRPr="00D57FC5">
        <w:rPr>
          <w:rFonts w:ascii="Arial" w:hAnsi="Arial" w:cs="Arial"/>
          <w:bCs/>
          <w:sz w:val="22"/>
          <w:szCs w:val="22"/>
        </w:rPr>
        <w:t xml:space="preserve"> in respect of </w:t>
      </w:r>
      <w:r w:rsidR="00B0120D" w:rsidRPr="00D57FC5">
        <w:rPr>
          <w:rFonts w:ascii="Arial" w:hAnsi="Arial" w:cs="Arial"/>
          <w:bCs/>
          <w:sz w:val="22"/>
          <w:szCs w:val="22"/>
        </w:rPr>
        <w:t>providing</w:t>
      </w:r>
      <w:r w:rsidR="00E9139C" w:rsidRPr="00D57FC5">
        <w:rPr>
          <w:rFonts w:ascii="Arial" w:hAnsi="Arial" w:cs="Arial"/>
          <w:bCs/>
          <w:sz w:val="22"/>
          <w:szCs w:val="22"/>
        </w:rPr>
        <w:t xml:space="preserve"> temporary accommodation </w:t>
      </w:r>
      <w:r w:rsidR="00B0120D" w:rsidRPr="00D57FC5">
        <w:rPr>
          <w:rFonts w:ascii="Arial" w:hAnsi="Arial" w:cs="Arial"/>
          <w:bCs/>
          <w:sz w:val="22"/>
          <w:szCs w:val="22"/>
        </w:rPr>
        <w:t>or</w:t>
      </w:r>
      <w:r w:rsidR="00E9139C" w:rsidRPr="00D57FC5">
        <w:rPr>
          <w:rFonts w:ascii="Arial" w:hAnsi="Arial" w:cs="Arial"/>
          <w:bCs/>
          <w:sz w:val="22"/>
          <w:szCs w:val="22"/>
        </w:rPr>
        <w:t xml:space="preserve"> </w:t>
      </w:r>
      <w:r w:rsidR="00B0120D" w:rsidRPr="00D57FC5">
        <w:rPr>
          <w:rFonts w:ascii="Arial" w:hAnsi="Arial" w:cs="Arial"/>
          <w:bCs/>
          <w:sz w:val="22"/>
          <w:szCs w:val="22"/>
        </w:rPr>
        <w:t>temporary hire of</w:t>
      </w:r>
      <w:r w:rsidR="00E9139C" w:rsidRPr="00D57FC5">
        <w:rPr>
          <w:rFonts w:ascii="Arial" w:hAnsi="Arial" w:cs="Arial"/>
          <w:bCs/>
          <w:sz w:val="22"/>
          <w:szCs w:val="22"/>
        </w:rPr>
        <w:t xml:space="preserve"> household goods</w:t>
      </w:r>
      <w:r w:rsidR="00B0120D" w:rsidRPr="00D57FC5">
        <w:rPr>
          <w:rFonts w:ascii="Arial" w:hAnsi="Arial" w:cs="Arial"/>
          <w:bCs/>
          <w:sz w:val="22"/>
          <w:szCs w:val="22"/>
        </w:rPr>
        <w:t xml:space="preserve"> to</w:t>
      </w:r>
      <w:r w:rsidR="00E9139C" w:rsidRPr="00D57FC5">
        <w:rPr>
          <w:rFonts w:ascii="Arial" w:hAnsi="Arial" w:cs="Arial"/>
          <w:bCs/>
          <w:sz w:val="22"/>
          <w:szCs w:val="22"/>
        </w:rPr>
        <w:t xml:space="preserve"> </w:t>
      </w:r>
      <w:r w:rsidRPr="00D57FC5">
        <w:rPr>
          <w:rFonts w:ascii="Arial" w:hAnsi="Arial" w:cs="Arial"/>
          <w:bCs/>
          <w:sz w:val="22"/>
          <w:szCs w:val="22"/>
        </w:rPr>
        <w:t>an employee</w:t>
      </w:r>
      <w:r w:rsidR="00E9139C" w:rsidRPr="00D57FC5">
        <w:rPr>
          <w:rFonts w:ascii="Arial" w:hAnsi="Arial" w:cs="Arial"/>
          <w:bCs/>
          <w:sz w:val="22"/>
          <w:szCs w:val="22"/>
        </w:rPr>
        <w:t xml:space="preserve"> and their family</w:t>
      </w:r>
      <w:r w:rsidR="009979BD" w:rsidRPr="00D57FC5">
        <w:rPr>
          <w:rFonts w:ascii="Arial" w:hAnsi="Arial" w:cs="Arial"/>
          <w:bCs/>
          <w:sz w:val="22"/>
          <w:szCs w:val="22"/>
        </w:rPr>
        <w:t xml:space="preserve"> members</w:t>
      </w:r>
      <w:r w:rsidRPr="00D57FC5">
        <w:rPr>
          <w:rFonts w:ascii="Arial" w:hAnsi="Arial" w:cs="Arial"/>
          <w:bCs/>
          <w:sz w:val="22"/>
          <w:szCs w:val="22"/>
        </w:rPr>
        <w:t>.</w:t>
      </w:r>
    </w:p>
    <w:p w14:paraId="002A4AAF" w14:textId="77777777" w:rsidR="00A46C1D" w:rsidRPr="00D57FC5" w:rsidRDefault="00A46C1D" w:rsidP="00D57FC5">
      <w:pPr>
        <w:spacing w:after="120"/>
        <w:rPr>
          <w:rFonts w:ascii="Arial" w:hAnsi="Arial" w:cs="Arial"/>
          <w:sz w:val="22"/>
          <w:szCs w:val="22"/>
        </w:rPr>
      </w:pPr>
    </w:p>
    <w:p w14:paraId="15AC1BB6" w14:textId="77777777" w:rsidR="00075B58" w:rsidRPr="00D57FC5" w:rsidRDefault="00075B58" w:rsidP="00D57FC5">
      <w:pPr>
        <w:pStyle w:val="Heading2"/>
        <w:keepNext w:val="0"/>
      </w:pPr>
      <w:r w:rsidRPr="00D57FC5">
        <w:t>Human rights implications</w:t>
      </w:r>
    </w:p>
    <w:p w14:paraId="6D212D24" w14:textId="13E8920E" w:rsidR="009B74EB" w:rsidRPr="00D57FC5" w:rsidRDefault="00E11A1E" w:rsidP="00D57FC5">
      <w:pPr>
        <w:spacing w:after="120"/>
        <w:rPr>
          <w:rFonts w:ascii="Arial" w:hAnsi="Arial" w:cs="Arial"/>
          <w:bCs/>
          <w:sz w:val="22"/>
          <w:szCs w:val="22"/>
        </w:rPr>
      </w:pPr>
      <w:r w:rsidRPr="00D57FC5">
        <w:rPr>
          <w:rFonts w:ascii="Arial" w:hAnsi="Arial" w:cs="Arial"/>
          <w:sz w:val="22"/>
          <w:szCs w:val="22"/>
        </w:rPr>
        <w:t xml:space="preserve">This legislative instrument does not engage any of the applicable rights or freedoms because it merely provides employers with an option to use acceptable alternative records instead of an employee declaration. Importantly, it will help reduce employers’ record keeping compliance costs </w:t>
      </w:r>
      <w:r w:rsidR="00586E1A" w:rsidRPr="00D57FC5">
        <w:rPr>
          <w:rFonts w:ascii="Arial" w:hAnsi="Arial" w:cs="Arial"/>
          <w:sz w:val="22"/>
          <w:szCs w:val="22"/>
        </w:rPr>
        <w:t xml:space="preserve">in relation to </w:t>
      </w:r>
      <w:r w:rsidR="00F0495A" w:rsidRPr="00D57FC5">
        <w:rPr>
          <w:rFonts w:ascii="Arial" w:hAnsi="Arial" w:cs="Arial"/>
          <w:sz w:val="22"/>
          <w:szCs w:val="22"/>
        </w:rPr>
        <w:t xml:space="preserve">the fringe benefits tax law </w:t>
      </w:r>
      <w:r w:rsidRPr="00D57FC5">
        <w:rPr>
          <w:rFonts w:ascii="Arial" w:hAnsi="Arial" w:cs="Arial"/>
          <w:sz w:val="22"/>
          <w:szCs w:val="22"/>
        </w:rPr>
        <w:t>and provide them with certainty regarding their record keeping obligations.</w:t>
      </w:r>
    </w:p>
    <w:p w14:paraId="717FD4AB" w14:textId="77777777" w:rsidR="00A46C1D" w:rsidRPr="00D57FC5" w:rsidRDefault="00A46C1D" w:rsidP="00D57FC5">
      <w:pPr>
        <w:spacing w:after="120"/>
        <w:rPr>
          <w:rFonts w:ascii="Arial" w:hAnsi="Arial" w:cs="Arial"/>
          <w:sz w:val="22"/>
          <w:szCs w:val="22"/>
        </w:rPr>
      </w:pPr>
    </w:p>
    <w:p w14:paraId="15AC1BB9" w14:textId="77777777" w:rsidR="00075B58" w:rsidRPr="00D57FC5" w:rsidRDefault="00075B58" w:rsidP="00D57FC5">
      <w:pPr>
        <w:pStyle w:val="Heading2"/>
        <w:keepNext w:val="0"/>
      </w:pPr>
      <w:r w:rsidRPr="00D57FC5">
        <w:t>Conclusion</w:t>
      </w:r>
    </w:p>
    <w:p w14:paraId="19DB01FC" w14:textId="46292AEC" w:rsidR="00101CD5" w:rsidRPr="00D57FC5" w:rsidRDefault="00075B58" w:rsidP="00D57FC5">
      <w:pPr>
        <w:spacing w:after="120"/>
        <w:rPr>
          <w:rFonts w:ascii="Arial" w:hAnsi="Arial" w:cs="Arial"/>
          <w:sz w:val="22"/>
          <w:szCs w:val="22"/>
        </w:rPr>
      </w:pPr>
      <w:r w:rsidRPr="00D57FC5">
        <w:rPr>
          <w:rFonts w:ascii="Arial" w:hAnsi="Arial" w:cs="Arial"/>
          <w:sz w:val="22"/>
          <w:szCs w:val="22"/>
        </w:rPr>
        <w:t xml:space="preserve">This </w:t>
      </w:r>
      <w:r w:rsidR="004B25CF" w:rsidRPr="00D57FC5">
        <w:rPr>
          <w:rFonts w:ascii="Arial" w:hAnsi="Arial" w:cs="Arial"/>
          <w:sz w:val="22"/>
          <w:szCs w:val="22"/>
        </w:rPr>
        <w:t>l</w:t>
      </w:r>
      <w:r w:rsidRPr="00D57FC5">
        <w:rPr>
          <w:rFonts w:ascii="Arial" w:hAnsi="Arial" w:cs="Arial"/>
          <w:sz w:val="22"/>
          <w:szCs w:val="22"/>
        </w:rPr>
        <w:t xml:space="preserve">egislative </w:t>
      </w:r>
      <w:r w:rsidR="004B25CF" w:rsidRPr="00D57FC5">
        <w:rPr>
          <w:rFonts w:ascii="Arial" w:hAnsi="Arial" w:cs="Arial"/>
          <w:sz w:val="22"/>
          <w:szCs w:val="22"/>
        </w:rPr>
        <w:t>i</w:t>
      </w:r>
      <w:r w:rsidRPr="00D57FC5">
        <w:rPr>
          <w:rFonts w:ascii="Arial" w:hAnsi="Arial" w:cs="Arial"/>
          <w:sz w:val="22"/>
          <w:szCs w:val="22"/>
        </w:rPr>
        <w:t>nstrument is compatible with human rights as it does not raise any human rights issues.</w:t>
      </w:r>
    </w:p>
    <w:sectPr w:rsidR="00101CD5" w:rsidRPr="00D57FC5" w:rsidSect="00081520">
      <w:headerReference w:type="default" r:id="rId8"/>
      <w:headerReference w:type="first" r:id="rId9"/>
      <w:pgSz w:w="11906" w:h="16838" w:code="9"/>
      <w:pgMar w:top="1440" w:right="1133" w:bottom="1358" w:left="99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AC73" w14:textId="77777777" w:rsidR="003F0971" w:rsidRDefault="003F0971">
      <w:r>
        <w:separator/>
      </w:r>
    </w:p>
  </w:endnote>
  <w:endnote w:type="continuationSeparator" w:id="0">
    <w:p w14:paraId="09AFAE8C" w14:textId="77777777" w:rsidR="003F0971" w:rsidRDefault="003F0971">
      <w:r>
        <w:continuationSeparator/>
      </w:r>
    </w:p>
  </w:endnote>
  <w:endnote w:type="continuationNotice" w:id="1">
    <w:p w14:paraId="17BA7B78" w14:textId="77777777" w:rsidR="003F0971" w:rsidRDefault="003F0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3D0E" w14:textId="77777777" w:rsidR="003F0971" w:rsidRDefault="003F0971">
      <w:r>
        <w:separator/>
      </w:r>
    </w:p>
  </w:footnote>
  <w:footnote w:type="continuationSeparator" w:id="0">
    <w:p w14:paraId="1FD31014" w14:textId="77777777" w:rsidR="003F0971" w:rsidRDefault="003F0971">
      <w:r>
        <w:continuationSeparator/>
      </w:r>
    </w:p>
  </w:footnote>
  <w:footnote w:type="continuationNotice" w:id="1">
    <w:p w14:paraId="086B0FAD" w14:textId="77777777" w:rsidR="003F0971" w:rsidRDefault="003F0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BCD" w14:textId="0EAA66FC" w:rsidR="00587C50" w:rsidRDefault="00587C50" w:rsidP="001828A4">
    <w:pPr>
      <w:pStyle w:val="Header"/>
      <w:tabs>
        <w:tab w:val="clear" w:pos="4153"/>
        <w:tab w:val="clear" w:pos="8306"/>
        <w:tab w:val="center" w:pos="1418"/>
        <w:tab w:val="right" w:pos="87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BCF" w14:textId="77777777" w:rsidR="00587C50" w:rsidRDefault="003D0CBA" w:rsidP="001828A4">
    <w:pPr>
      <w:pStyle w:val="Header"/>
      <w:tabs>
        <w:tab w:val="clear" w:pos="4153"/>
        <w:tab w:val="clear" w:pos="8306"/>
      </w:tabs>
      <w:rPr>
        <w:rFonts w:ascii="Arial" w:hAnsi="Arial" w:cs="Arial"/>
        <w:sz w:val="20"/>
      </w:rPr>
    </w:pPr>
    <w:r>
      <w:rPr>
        <w:noProof/>
      </w:rPr>
      <w:drawing>
        <wp:inline distT="0" distB="0" distL="0" distR="0" wp14:anchorId="15AC1BD1" wp14:editId="7E403F57">
          <wp:extent cx="2413635" cy="701675"/>
          <wp:effectExtent l="0" t="0" r="5715" b="3175"/>
          <wp:docPr id="3" name="Picture 1" descr="The ATO logo containing the Federal Government crest and the words Australian Tax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he ATO logo containing the Federal Government crest and the words Australian Taxation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15AC1BD0" w14:textId="5DB7F291" w:rsidR="00CC1833" w:rsidRPr="001A6644" w:rsidRDefault="00CC1833" w:rsidP="00767CE8">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55A7"/>
    <w:multiLevelType w:val="hybridMultilevel"/>
    <w:tmpl w:val="53F4446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B7EC8BD2">
      <w:start w:val="1"/>
      <w:numFmt w:val="decimal"/>
      <w:lvlText w:val="(%4)"/>
      <w:lvlJc w:val="lef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0D39725F"/>
    <w:multiLevelType w:val="hybridMultilevel"/>
    <w:tmpl w:val="12ACB94E"/>
    <w:lvl w:ilvl="0" w:tplc="B19AF8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6B383F"/>
    <w:multiLevelType w:val="hybridMultilevel"/>
    <w:tmpl w:val="CF301F88"/>
    <w:lvl w:ilvl="0" w:tplc="FFFFFFFF">
      <w:start w:val="1"/>
      <w:numFmt w:val="lowerRoman"/>
      <w:lvlText w:val="(%1)"/>
      <w:lvlJc w:val="left"/>
      <w:pPr>
        <w:ind w:left="21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A26E09"/>
    <w:multiLevelType w:val="hybridMultilevel"/>
    <w:tmpl w:val="1CA8BA64"/>
    <w:lvl w:ilvl="0" w:tplc="4B3CBEB0">
      <w:start w:val="5"/>
      <w:numFmt w:val="decimal"/>
      <w:lvlText w:val="%1."/>
      <w:lvlJc w:val="left"/>
      <w:pPr>
        <w:ind w:left="360" w:hanging="360"/>
      </w:pPr>
      <w:rPr>
        <w:rFonts w:ascii="Arial" w:hAnsi="Arial" w:hint="default"/>
        <w:i w:val="0"/>
        <w:iCs w:val="0"/>
        <w:color w:val="auto"/>
        <w:sz w:val="22"/>
        <w:szCs w:val="22"/>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15:restartNumberingAfterBreak="0">
    <w:nsid w:val="11540000"/>
    <w:multiLevelType w:val="hybridMultilevel"/>
    <w:tmpl w:val="59DA8422"/>
    <w:lvl w:ilvl="0" w:tplc="964A1A10">
      <w:start w:val="15"/>
      <w:numFmt w:val="decimal"/>
      <w:lvlText w:val="%1."/>
      <w:lvlJc w:val="left"/>
      <w:pPr>
        <w:tabs>
          <w:tab w:val="num" w:pos="360"/>
        </w:tabs>
        <w:ind w:left="360" w:hanging="360"/>
      </w:pPr>
      <w:rPr>
        <w:rFonts w:ascii="Arial" w:hAnsi="Arial" w:hint="default"/>
        <w:i w:val="0"/>
        <w:iCs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FA53E0"/>
    <w:multiLevelType w:val="hybridMultilevel"/>
    <w:tmpl w:val="E6B20098"/>
    <w:lvl w:ilvl="0" w:tplc="F53CCA10">
      <w:start w:val="16"/>
      <w:numFmt w:val="decimal"/>
      <w:lvlText w:val="%1."/>
      <w:lvlJc w:val="left"/>
      <w:pPr>
        <w:tabs>
          <w:tab w:val="num" w:pos="360"/>
        </w:tabs>
        <w:ind w:left="360" w:hanging="360"/>
      </w:pPr>
      <w:rPr>
        <w:rFonts w:ascii="Arial" w:hAnsi="Arial" w:cs="Arial" w:hint="default"/>
        <w:i w:val="0"/>
        <w:iCs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F44928"/>
    <w:multiLevelType w:val="hybridMultilevel"/>
    <w:tmpl w:val="88A6EA7C"/>
    <w:lvl w:ilvl="0" w:tplc="A4D4EF94">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7F1820"/>
    <w:multiLevelType w:val="hybridMultilevel"/>
    <w:tmpl w:val="8E0AA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5F0745"/>
    <w:multiLevelType w:val="multilevel"/>
    <w:tmpl w:val="0D6AE01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9F124F"/>
    <w:multiLevelType w:val="hybridMultilevel"/>
    <w:tmpl w:val="B8DEA852"/>
    <w:lvl w:ilvl="0" w:tplc="70A611CA">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8A04E03"/>
    <w:multiLevelType w:val="hybridMultilevel"/>
    <w:tmpl w:val="5DFCEC36"/>
    <w:lvl w:ilvl="0" w:tplc="10CEEA5A">
      <w:start w:val="1"/>
      <w:numFmt w:val="lowerRoman"/>
      <w:lvlText w:val="(%1)"/>
      <w:lvlJc w:val="left"/>
      <w:pPr>
        <w:ind w:left="1440" w:hanging="360"/>
      </w:pPr>
      <w:rPr>
        <w:rFonts w:hint="default"/>
      </w:rPr>
    </w:lvl>
    <w:lvl w:ilvl="1" w:tplc="10CEEA5A">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A0A6C64"/>
    <w:multiLevelType w:val="hybridMultilevel"/>
    <w:tmpl w:val="F96C6C2C"/>
    <w:lvl w:ilvl="0" w:tplc="FA10D81E">
      <w:start w:val="6"/>
      <w:numFmt w:val="decimal"/>
      <w:lvlText w:val="%1."/>
      <w:lvlJc w:val="left"/>
      <w:pPr>
        <w:ind w:left="360" w:hanging="360"/>
      </w:pPr>
      <w:rPr>
        <w:rFonts w:ascii="Arial" w:hAnsi="Arial" w:hint="default"/>
        <w:i w:val="0"/>
        <w:iCs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A510EC9"/>
    <w:multiLevelType w:val="hybridMultilevel"/>
    <w:tmpl w:val="CF301F88"/>
    <w:lvl w:ilvl="0" w:tplc="10CEEA5A">
      <w:start w:val="1"/>
      <w:numFmt w:val="lowerRoman"/>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0A4596"/>
    <w:multiLevelType w:val="hybridMultilevel"/>
    <w:tmpl w:val="488C740C"/>
    <w:lvl w:ilvl="0" w:tplc="7AEE79CE">
      <w:start w:val="1"/>
      <w:numFmt w:val="upp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4" w15:restartNumberingAfterBreak="0">
    <w:nsid w:val="2EA246D6"/>
    <w:multiLevelType w:val="hybridMultilevel"/>
    <w:tmpl w:val="CF301F88"/>
    <w:lvl w:ilvl="0" w:tplc="FFFFFFFF">
      <w:start w:val="1"/>
      <w:numFmt w:val="lowerRoman"/>
      <w:lvlText w:val="(%1)"/>
      <w:lvlJc w:val="left"/>
      <w:pPr>
        <w:ind w:left="21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D5200B"/>
    <w:multiLevelType w:val="hybridMultilevel"/>
    <w:tmpl w:val="75C2EF00"/>
    <w:lvl w:ilvl="0" w:tplc="56EE68EE">
      <w:start w:val="7"/>
      <w:numFmt w:val="decimal"/>
      <w:lvlText w:val="%1."/>
      <w:lvlJc w:val="left"/>
      <w:pPr>
        <w:tabs>
          <w:tab w:val="num" w:pos="360"/>
        </w:tabs>
        <w:ind w:left="360" w:hanging="360"/>
      </w:pPr>
      <w:rPr>
        <w:rFonts w:ascii="Arial" w:hAnsi="Arial" w:hint="default"/>
        <w:i w:val="0"/>
        <w:iCs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CC3903"/>
    <w:multiLevelType w:val="hybridMultilevel"/>
    <w:tmpl w:val="64CA0692"/>
    <w:lvl w:ilvl="0" w:tplc="8B3C02EA">
      <w:start w:val="1"/>
      <w:numFmt w:val="decimal"/>
      <w:lvlText w:val="%1."/>
      <w:lvlJc w:val="left"/>
      <w:pPr>
        <w:tabs>
          <w:tab w:val="num" w:pos="360"/>
        </w:tabs>
        <w:ind w:left="360" w:hanging="360"/>
      </w:pPr>
      <w:rPr>
        <w:rFonts w:ascii="Arial" w:hAnsi="Arial" w:cs="Arial" w:hint="default"/>
        <w:i w:val="0"/>
        <w:iCs w:val="0"/>
        <w:color w:val="auto"/>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89F4ECD"/>
    <w:multiLevelType w:val="hybridMultilevel"/>
    <w:tmpl w:val="020611C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9D660F2"/>
    <w:multiLevelType w:val="hybridMultilevel"/>
    <w:tmpl w:val="BECC1DEE"/>
    <w:lvl w:ilvl="0" w:tplc="94D41576">
      <w:start w:val="16"/>
      <w:numFmt w:val="decimal"/>
      <w:lvlText w:val="%1."/>
      <w:lvlJc w:val="left"/>
      <w:pPr>
        <w:tabs>
          <w:tab w:val="num" w:pos="360"/>
        </w:tabs>
        <w:ind w:left="360" w:hanging="360"/>
      </w:pPr>
      <w:rPr>
        <w:rFonts w:ascii="Arial" w:hAnsi="Arial" w:hint="default"/>
        <w:i w:val="0"/>
        <w:iCs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246F36"/>
    <w:multiLevelType w:val="hybridMultilevel"/>
    <w:tmpl w:val="815287A6"/>
    <w:lvl w:ilvl="0" w:tplc="FA10D81E">
      <w:start w:val="6"/>
      <w:numFmt w:val="decimal"/>
      <w:lvlText w:val="%1."/>
      <w:lvlJc w:val="left"/>
      <w:pPr>
        <w:ind w:left="360" w:hanging="360"/>
      </w:pPr>
      <w:rPr>
        <w:rFonts w:ascii="Arial" w:hAnsi="Arial" w:hint="default"/>
        <w:i w:val="0"/>
        <w:iCs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CA8178D"/>
    <w:multiLevelType w:val="hybridMultilevel"/>
    <w:tmpl w:val="768C5DE4"/>
    <w:lvl w:ilvl="0" w:tplc="02224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732179"/>
    <w:multiLevelType w:val="hybridMultilevel"/>
    <w:tmpl w:val="9DBCC21C"/>
    <w:lvl w:ilvl="0" w:tplc="049E874A">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2" w15:restartNumberingAfterBreak="0">
    <w:nsid w:val="5A387025"/>
    <w:multiLevelType w:val="hybridMultilevel"/>
    <w:tmpl w:val="2E42FB7E"/>
    <w:lvl w:ilvl="0" w:tplc="FA10D81E">
      <w:start w:val="6"/>
      <w:numFmt w:val="decimal"/>
      <w:lvlText w:val="%1."/>
      <w:lvlJc w:val="left"/>
      <w:pPr>
        <w:tabs>
          <w:tab w:val="num" w:pos="360"/>
        </w:tabs>
        <w:ind w:left="360" w:hanging="360"/>
      </w:pPr>
      <w:rPr>
        <w:rFonts w:ascii="Arial" w:hAnsi="Arial" w:hint="default"/>
        <w:i w:val="0"/>
        <w:iCs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8B0B8A"/>
    <w:multiLevelType w:val="multilevel"/>
    <w:tmpl w:val="C7C6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0A7D7E"/>
    <w:multiLevelType w:val="hybridMultilevel"/>
    <w:tmpl w:val="FE48C81A"/>
    <w:lvl w:ilvl="0" w:tplc="FFFFFFFF">
      <w:start w:val="1"/>
      <w:numFmt w:val="lowerLetter"/>
      <w:lvlText w:val="(%1)"/>
      <w:lvlJc w:val="left"/>
      <w:pPr>
        <w:ind w:left="1429" w:hanging="360"/>
      </w:pPr>
      <w:rPr>
        <w:rFonts w:hint="default"/>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65832594"/>
    <w:multiLevelType w:val="hybridMultilevel"/>
    <w:tmpl w:val="FE48C81A"/>
    <w:lvl w:ilvl="0" w:tplc="C2ACD91E">
      <w:start w:val="1"/>
      <w:numFmt w:val="lowerLetter"/>
      <w:lvlText w:val="(%1)"/>
      <w:lvlJc w:val="left"/>
      <w:pPr>
        <w:ind w:left="1429" w:hanging="360"/>
      </w:pPr>
      <w:rPr>
        <w:rFonts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6" w15:restartNumberingAfterBreak="0">
    <w:nsid w:val="6FCE7205"/>
    <w:multiLevelType w:val="hybridMultilevel"/>
    <w:tmpl w:val="9D7E9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5F50B74"/>
    <w:multiLevelType w:val="hybridMultilevel"/>
    <w:tmpl w:val="405EA4BA"/>
    <w:lvl w:ilvl="0" w:tplc="C2ACD9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AC03A3"/>
    <w:multiLevelType w:val="hybridMultilevel"/>
    <w:tmpl w:val="40B6DDB2"/>
    <w:lvl w:ilvl="0" w:tplc="AA02B486">
      <w:start w:val="7"/>
      <w:numFmt w:val="lowerLetter"/>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B9E200B"/>
    <w:multiLevelType w:val="hybridMultilevel"/>
    <w:tmpl w:val="C716176A"/>
    <w:lvl w:ilvl="0" w:tplc="90E068DE">
      <w:start w:val="1"/>
      <w:numFmt w:val="lowerLetter"/>
      <w:lvlText w:val="%1)"/>
      <w:lvlJc w:val="left"/>
      <w:pPr>
        <w:ind w:left="1931" w:hanging="720"/>
      </w:pPr>
      <w:rPr>
        <w:rFonts w:hint="default"/>
        <w:b w:val="0"/>
        <w:bCs/>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16cid:durableId="2047176809">
    <w:abstractNumId w:val="16"/>
  </w:num>
  <w:num w:numId="2" w16cid:durableId="1147160652">
    <w:abstractNumId w:val="20"/>
  </w:num>
  <w:num w:numId="3" w16cid:durableId="1162544481">
    <w:abstractNumId w:val="0"/>
  </w:num>
  <w:num w:numId="4" w16cid:durableId="355695016">
    <w:abstractNumId w:val="29"/>
  </w:num>
  <w:num w:numId="5" w16cid:durableId="586809350">
    <w:abstractNumId w:val="21"/>
  </w:num>
  <w:num w:numId="6" w16cid:durableId="788354230">
    <w:abstractNumId w:val="7"/>
  </w:num>
  <w:num w:numId="7" w16cid:durableId="1971083117">
    <w:abstractNumId w:val="25"/>
  </w:num>
  <w:num w:numId="8" w16cid:durableId="2121800311">
    <w:abstractNumId w:val="17"/>
  </w:num>
  <w:num w:numId="9" w16cid:durableId="1585530279">
    <w:abstractNumId w:val="22"/>
  </w:num>
  <w:num w:numId="10" w16cid:durableId="1701852188">
    <w:abstractNumId w:val="6"/>
  </w:num>
  <w:num w:numId="11" w16cid:durableId="1648247133">
    <w:abstractNumId w:val="19"/>
  </w:num>
  <w:num w:numId="12" w16cid:durableId="1244534166">
    <w:abstractNumId w:val="9"/>
  </w:num>
  <w:num w:numId="13" w16cid:durableId="1322465629">
    <w:abstractNumId w:val="11"/>
  </w:num>
  <w:num w:numId="14" w16cid:durableId="1789547618">
    <w:abstractNumId w:val="3"/>
  </w:num>
  <w:num w:numId="15" w16cid:durableId="1874150126">
    <w:abstractNumId w:val="8"/>
  </w:num>
  <w:num w:numId="16" w16cid:durableId="1071149326">
    <w:abstractNumId w:val="1"/>
  </w:num>
  <w:num w:numId="17" w16cid:durableId="1088579308">
    <w:abstractNumId w:val="28"/>
  </w:num>
  <w:num w:numId="18" w16cid:durableId="329916103">
    <w:abstractNumId w:val="15"/>
  </w:num>
  <w:num w:numId="19" w16cid:durableId="220333281">
    <w:abstractNumId w:val="27"/>
  </w:num>
  <w:num w:numId="20" w16cid:durableId="584343092">
    <w:abstractNumId w:val="18"/>
  </w:num>
  <w:num w:numId="21" w16cid:durableId="432676968">
    <w:abstractNumId w:val="4"/>
  </w:num>
  <w:num w:numId="22" w16cid:durableId="1852181474">
    <w:abstractNumId w:val="10"/>
  </w:num>
  <w:num w:numId="23" w16cid:durableId="2054499942">
    <w:abstractNumId w:val="26"/>
  </w:num>
  <w:num w:numId="24" w16cid:durableId="2092116776">
    <w:abstractNumId w:val="13"/>
  </w:num>
  <w:num w:numId="25" w16cid:durableId="94062171">
    <w:abstractNumId w:val="24"/>
  </w:num>
  <w:num w:numId="26" w16cid:durableId="985203222">
    <w:abstractNumId w:val="12"/>
  </w:num>
  <w:num w:numId="27" w16cid:durableId="794177907">
    <w:abstractNumId w:val="2"/>
  </w:num>
  <w:num w:numId="28" w16cid:durableId="1926378503">
    <w:abstractNumId w:val="14"/>
  </w:num>
  <w:num w:numId="29" w16cid:durableId="1779718110">
    <w:abstractNumId w:val="23"/>
  </w:num>
  <w:num w:numId="30" w16cid:durableId="82589893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18"/>
    <w:rsid w:val="00000B9F"/>
    <w:rsid w:val="000117B2"/>
    <w:rsid w:val="0001796D"/>
    <w:rsid w:val="00017BF0"/>
    <w:rsid w:val="00020339"/>
    <w:rsid w:val="000222DA"/>
    <w:rsid w:val="00024707"/>
    <w:rsid w:val="0002568B"/>
    <w:rsid w:val="00030E91"/>
    <w:rsid w:val="00033DF2"/>
    <w:rsid w:val="00035526"/>
    <w:rsid w:val="00042553"/>
    <w:rsid w:val="000433B1"/>
    <w:rsid w:val="00043FA7"/>
    <w:rsid w:val="00044383"/>
    <w:rsid w:val="00044E58"/>
    <w:rsid w:val="000552E8"/>
    <w:rsid w:val="00056585"/>
    <w:rsid w:val="0005674F"/>
    <w:rsid w:val="00057B61"/>
    <w:rsid w:val="00064490"/>
    <w:rsid w:val="00065C6E"/>
    <w:rsid w:val="000674CF"/>
    <w:rsid w:val="00072E6E"/>
    <w:rsid w:val="00073F1B"/>
    <w:rsid w:val="000741A0"/>
    <w:rsid w:val="00074795"/>
    <w:rsid w:val="00075B58"/>
    <w:rsid w:val="00081520"/>
    <w:rsid w:val="00083A2F"/>
    <w:rsid w:val="000856BB"/>
    <w:rsid w:val="00086111"/>
    <w:rsid w:val="00091068"/>
    <w:rsid w:val="00091D5E"/>
    <w:rsid w:val="000A38A6"/>
    <w:rsid w:val="000B11DD"/>
    <w:rsid w:val="000B1785"/>
    <w:rsid w:val="000B3168"/>
    <w:rsid w:val="000B7968"/>
    <w:rsid w:val="000C327C"/>
    <w:rsid w:val="000C390A"/>
    <w:rsid w:val="000C77DD"/>
    <w:rsid w:val="000D1325"/>
    <w:rsid w:val="000E0C89"/>
    <w:rsid w:val="000E295B"/>
    <w:rsid w:val="000E45A0"/>
    <w:rsid w:val="000E5FCB"/>
    <w:rsid w:val="000F1217"/>
    <w:rsid w:val="000F2AAB"/>
    <w:rsid w:val="000F311C"/>
    <w:rsid w:val="00101CD5"/>
    <w:rsid w:val="001065F6"/>
    <w:rsid w:val="001069E8"/>
    <w:rsid w:val="00107460"/>
    <w:rsid w:val="00112415"/>
    <w:rsid w:val="00114EC9"/>
    <w:rsid w:val="001209FF"/>
    <w:rsid w:val="00122EEA"/>
    <w:rsid w:val="0013678D"/>
    <w:rsid w:val="0014008E"/>
    <w:rsid w:val="00140A34"/>
    <w:rsid w:val="00145A3D"/>
    <w:rsid w:val="00146ED8"/>
    <w:rsid w:val="001568F4"/>
    <w:rsid w:val="001578B5"/>
    <w:rsid w:val="001622B1"/>
    <w:rsid w:val="0016255C"/>
    <w:rsid w:val="00164753"/>
    <w:rsid w:val="00165A47"/>
    <w:rsid w:val="00167202"/>
    <w:rsid w:val="001758DF"/>
    <w:rsid w:val="0018255A"/>
    <w:rsid w:val="001828A4"/>
    <w:rsid w:val="00187B9E"/>
    <w:rsid w:val="00191E38"/>
    <w:rsid w:val="001A3BE2"/>
    <w:rsid w:val="001B0555"/>
    <w:rsid w:val="001B5374"/>
    <w:rsid w:val="001B763B"/>
    <w:rsid w:val="001C0EE5"/>
    <w:rsid w:val="001C35E7"/>
    <w:rsid w:val="001C3AAC"/>
    <w:rsid w:val="001C4578"/>
    <w:rsid w:val="001D02E6"/>
    <w:rsid w:val="001D4C7C"/>
    <w:rsid w:val="001E299C"/>
    <w:rsid w:val="001F0184"/>
    <w:rsid w:val="001F28A6"/>
    <w:rsid w:val="001F2A16"/>
    <w:rsid w:val="001F5292"/>
    <w:rsid w:val="001F6921"/>
    <w:rsid w:val="001F7C3E"/>
    <w:rsid w:val="00201969"/>
    <w:rsid w:val="00202073"/>
    <w:rsid w:val="002047F2"/>
    <w:rsid w:val="0021222C"/>
    <w:rsid w:val="00213745"/>
    <w:rsid w:val="00213FA5"/>
    <w:rsid w:val="0021496E"/>
    <w:rsid w:val="00222AFB"/>
    <w:rsid w:val="00222FAB"/>
    <w:rsid w:val="00227DDA"/>
    <w:rsid w:val="0023733A"/>
    <w:rsid w:val="0024044F"/>
    <w:rsid w:val="00240CFB"/>
    <w:rsid w:val="00244E71"/>
    <w:rsid w:val="00245D00"/>
    <w:rsid w:val="002541BA"/>
    <w:rsid w:val="002558E1"/>
    <w:rsid w:val="00257F2D"/>
    <w:rsid w:val="00262F9F"/>
    <w:rsid w:val="00266D2D"/>
    <w:rsid w:val="0027331F"/>
    <w:rsid w:val="00277516"/>
    <w:rsid w:val="00282498"/>
    <w:rsid w:val="0028367C"/>
    <w:rsid w:val="00284498"/>
    <w:rsid w:val="00285E76"/>
    <w:rsid w:val="002860EC"/>
    <w:rsid w:val="002870A0"/>
    <w:rsid w:val="002873FE"/>
    <w:rsid w:val="002949C3"/>
    <w:rsid w:val="002A10A4"/>
    <w:rsid w:val="002A26FE"/>
    <w:rsid w:val="002A5999"/>
    <w:rsid w:val="002B1423"/>
    <w:rsid w:val="002B298B"/>
    <w:rsid w:val="002C63A0"/>
    <w:rsid w:val="002E43D4"/>
    <w:rsid w:val="002F1257"/>
    <w:rsid w:val="00310C61"/>
    <w:rsid w:val="003131A3"/>
    <w:rsid w:val="003171B3"/>
    <w:rsid w:val="0032559D"/>
    <w:rsid w:val="00331616"/>
    <w:rsid w:val="003324A2"/>
    <w:rsid w:val="00333567"/>
    <w:rsid w:val="003412BF"/>
    <w:rsid w:val="003412E1"/>
    <w:rsid w:val="00343433"/>
    <w:rsid w:val="00344575"/>
    <w:rsid w:val="0034661B"/>
    <w:rsid w:val="00347B73"/>
    <w:rsid w:val="0035113C"/>
    <w:rsid w:val="00354525"/>
    <w:rsid w:val="00364CD1"/>
    <w:rsid w:val="00374385"/>
    <w:rsid w:val="00375321"/>
    <w:rsid w:val="003758E2"/>
    <w:rsid w:val="00380CC4"/>
    <w:rsid w:val="00395D39"/>
    <w:rsid w:val="003A3BE9"/>
    <w:rsid w:val="003A5D2B"/>
    <w:rsid w:val="003B5626"/>
    <w:rsid w:val="003C0686"/>
    <w:rsid w:val="003D08CF"/>
    <w:rsid w:val="003D0CBA"/>
    <w:rsid w:val="003D0F6A"/>
    <w:rsid w:val="003D42B3"/>
    <w:rsid w:val="003D4BA8"/>
    <w:rsid w:val="003E2F16"/>
    <w:rsid w:val="003E5269"/>
    <w:rsid w:val="003E5DBA"/>
    <w:rsid w:val="003F0971"/>
    <w:rsid w:val="003F2234"/>
    <w:rsid w:val="00405394"/>
    <w:rsid w:val="004066E4"/>
    <w:rsid w:val="0040680B"/>
    <w:rsid w:val="004068F9"/>
    <w:rsid w:val="00407361"/>
    <w:rsid w:val="00417C55"/>
    <w:rsid w:val="00420D46"/>
    <w:rsid w:val="00424A7B"/>
    <w:rsid w:val="00426692"/>
    <w:rsid w:val="00436297"/>
    <w:rsid w:val="0043767A"/>
    <w:rsid w:val="004445D2"/>
    <w:rsid w:val="004447C1"/>
    <w:rsid w:val="0044526F"/>
    <w:rsid w:val="00446AA8"/>
    <w:rsid w:val="0045590D"/>
    <w:rsid w:val="00456C75"/>
    <w:rsid w:val="004608B3"/>
    <w:rsid w:val="0046211F"/>
    <w:rsid w:val="00462718"/>
    <w:rsid w:val="00463320"/>
    <w:rsid w:val="0046598E"/>
    <w:rsid w:val="00466EC4"/>
    <w:rsid w:val="0046787B"/>
    <w:rsid w:val="00473234"/>
    <w:rsid w:val="00473B91"/>
    <w:rsid w:val="00480D4F"/>
    <w:rsid w:val="00483ABD"/>
    <w:rsid w:val="00485C07"/>
    <w:rsid w:val="00486653"/>
    <w:rsid w:val="00493CA7"/>
    <w:rsid w:val="00495D1C"/>
    <w:rsid w:val="004966DF"/>
    <w:rsid w:val="004A5FDA"/>
    <w:rsid w:val="004B03D7"/>
    <w:rsid w:val="004B25CF"/>
    <w:rsid w:val="004B371C"/>
    <w:rsid w:val="004C58AD"/>
    <w:rsid w:val="004D098C"/>
    <w:rsid w:val="004D24A9"/>
    <w:rsid w:val="004D41FE"/>
    <w:rsid w:val="004D6FE1"/>
    <w:rsid w:val="004E1944"/>
    <w:rsid w:val="004E5357"/>
    <w:rsid w:val="004E547F"/>
    <w:rsid w:val="004E5920"/>
    <w:rsid w:val="004F025E"/>
    <w:rsid w:val="004F4A07"/>
    <w:rsid w:val="004F567A"/>
    <w:rsid w:val="004F5EB1"/>
    <w:rsid w:val="004F6887"/>
    <w:rsid w:val="005030AD"/>
    <w:rsid w:val="00512087"/>
    <w:rsid w:val="00512328"/>
    <w:rsid w:val="0051249C"/>
    <w:rsid w:val="00512F98"/>
    <w:rsid w:val="005176E7"/>
    <w:rsid w:val="00520330"/>
    <w:rsid w:val="00524B6B"/>
    <w:rsid w:val="00526403"/>
    <w:rsid w:val="005270F6"/>
    <w:rsid w:val="00533778"/>
    <w:rsid w:val="00534FB5"/>
    <w:rsid w:val="005413EE"/>
    <w:rsid w:val="0055267C"/>
    <w:rsid w:val="00563CBB"/>
    <w:rsid w:val="00565A07"/>
    <w:rsid w:val="00565CBB"/>
    <w:rsid w:val="005719A0"/>
    <w:rsid w:val="0058210C"/>
    <w:rsid w:val="00586E1A"/>
    <w:rsid w:val="0058712C"/>
    <w:rsid w:val="00587443"/>
    <w:rsid w:val="00587C50"/>
    <w:rsid w:val="005917F3"/>
    <w:rsid w:val="0059612A"/>
    <w:rsid w:val="005A0188"/>
    <w:rsid w:val="005A0270"/>
    <w:rsid w:val="005A5428"/>
    <w:rsid w:val="005B0ACD"/>
    <w:rsid w:val="005B19BA"/>
    <w:rsid w:val="005B23FE"/>
    <w:rsid w:val="005B50A2"/>
    <w:rsid w:val="005C04E8"/>
    <w:rsid w:val="005C3408"/>
    <w:rsid w:val="005D611B"/>
    <w:rsid w:val="005E23EF"/>
    <w:rsid w:val="005F032B"/>
    <w:rsid w:val="005F1ACE"/>
    <w:rsid w:val="005F1E71"/>
    <w:rsid w:val="005F256D"/>
    <w:rsid w:val="0060183A"/>
    <w:rsid w:val="00602030"/>
    <w:rsid w:val="00603110"/>
    <w:rsid w:val="006067EA"/>
    <w:rsid w:val="006101E8"/>
    <w:rsid w:val="00611C8E"/>
    <w:rsid w:val="00624954"/>
    <w:rsid w:val="006302F7"/>
    <w:rsid w:val="00631F30"/>
    <w:rsid w:val="0063382A"/>
    <w:rsid w:val="00640CC2"/>
    <w:rsid w:val="00641DBC"/>
    <w:rsid w:val="00642420"/>
    <w:rsid w:val="00646158"/>
    <w:rsid w:val="006513F4"/>
    <w:rsid w:val="006549D2"/>
    <w:rsid w:val="0066622C"/>
    <w:rsid w:val="00666487"/>
    <w:rsid w:val="00670AF1"/>
    <w:rsid w:val="00673B37"/>
    <w:rsid w:val="00675D12"/>
    <w:rsid w:val="00677FA2"/>
    <w:rsid w:val="0068385B"/>
    <w:rsid w:val="006945EA"/>
    <w:rsid w:val="006A254D"/>
    <w:rsid w:val="006A60FE"/>
    <w:rsid w:val="006B5470"/>
    <w:rsid w:val="006C0427"/>
    <w:rsid w:val="006C1745"/>
    <w:rsid w:val="006D0138"/>
    <w:rsid w:val="006D6F52"/>
    <w:rsid w:val="006D74B0"/>
    <w:rsid w:val="006F1197"/>
    <w:rsid w:val="006F77D5"/>
    <w:rsid w:val="00701718"/>
    <w:rsid w:val="00703E75"/>
    <w:rsid w:val="00710359"/>
    <w:rsid w:val="00712FFF"/>
    <w:rsid w:val="00722DBF"/>
    <w:rsid w:val="00735157"/>
    <w:rsid w:val="007540EE"/>
    <w:rsid w:val="0076271C"/>
    <w:rsid w:val="00763E46"/>
    <w:rsid w:val="00767CE8"/>
    <w:rsid w:val="0077233C"/>
    <w:rsid w:val="00775490"/>
    <w:rsid w:val="00776879"/>
    <w:rsid w:val="00776E92"/>
    <w:rsid w:val="00784437"/>
    <w:rsid w:val="00786C04"/>
    <w:rsid w:val="00795D0C"/>
    <w:rsid w:val="00797F42"/>
    <w:rsid w:val="007A0A96"/>
    <w:rsid w:val="007A55BA"/>
    <w:rsid w:val="007B17D5"/>
    <w:rsid w:val="007C1FBD"/>
    <w:rsid w:val="007C54B3"/>
    <w:rsid w:val="007C5C8E"/>
    <w:rsid w:val="007C6553"/>
    <w:rsid w:val="007D2230"/>
    <w:rsid w:val="007E05DA"/>
    <w:rsid w:val="007E0A01"/>
    <w:rsid w:val="007E22F5"/>
    <w:rsid w:val="007E3B9F"/>
    <w:rsid w:val="007E6C88"/>
    <w:rsid w:val="007E7A9D"/>
    <w:rsid w:val="007F25F3"/>
    <w:rsid w:val="007F4901"/>
    <w:rsid w:val="007F62C3"/>
    <w:rsid w:val="00804F7F"/>
    <w:rsid w:val="00815586"/>
    <w:rsid w:val="008233D6"/>
    <w:rsid w:val="00826DEB"/>
    <w:rsid w:val="00832A78"/>
    <w:rsid w:val="008366AE"/>
    <w:rsid w:val="00836B02"/>
    <w:rsid w:val="00842D94"/>
    <w:rsid w:val="00846661"/>
    <w:rsid w:val="008467D4"/>
    <w:rsid w:val="00850FB0"/>
    <w:rsid w:val="0085238E"/>
    <w:rsid w:val="00852BED"/>
    <w:rsid w:val="008532E2"/>
    <w:rsid w:val="00853428"/>
    <w:rsid w:val="008540EA"/>
    <w:rsid w:val="008609C6"/>
    <w:rsid w:val="008642DC"/>
    <w:rsid w:val="008668BF"/>
    <w:rsid w:val="00866A00"/>
    <w:rsid w:val="008702A6"/>
    <w:rsid w:val="00873997"/>
    <w:rsid w:val="008749D1"/>
    <w:rsid w:val="00874E96"/>
    <w:rsid w:val="008757CE"/>
    <w:rsid w:val="00877456"/>
    <w:rsid w:val="00877A49"/>
    <w:rsid w:val="0088392C"/>
    <w:rsid w:val="008858D0"/>
    <w:rsid w:val="008911AF"/>
    <w:rsid w:val="00897C0E"/>
    <w:rsid w:val="00897E31"/>
    <w:rsid w:val="008A046F"/>
    <w:rsid w:val="008A405A"/>
    <w:rsid w:val="008A6A6A"/>
    <w:rsid w:val="008A6EF3"/>
    <w:rsid w:val="008B5487"/>
    <w:rsid w:val="008B650A"/>
    <w:rsid w:val="008B787C"/>
    <w:rsid w:val="008C3898"/>
    <w:rsid w:val="008C66CC"/>
    <w:rsid w:val="008D0402"/>
    <w:rsid w:val="008E46B5"/>
    <w:rsid w:val="008E6BCB"/>
    <w:rsid w:val="008F3C59"/>
    <w:rsid w:val="008F483C"/>
    <w:rsid w:val="00901EDB"/>
    <w:rsid w:val="00903AF8"/>
    <w:rsid w:val="009049AD"/>
    <w:rsid w:val="00910595"/>
    <w:rsid w:val="00910756"/>
    <w:rsid w:val="00912C8A"/>
    <w:rsid w:val="00912D61"/>
    <w:rsid w:val="00913780"/>
    <w:rsid w:val="009314A1"/>
    <w:rsid w:val="009322D7"/>
    <w:rsid w:val="00932BDE"/>
    <w:rsid w:val="00937031"/>
    <w:rsid w:val="009371D0"/>
    <w:rsid w:val="00952589"/>
    <w:rsid w:val="00962262"/>
    <w:rsid w:val="00967725"/>
    <w:rsid w:val="00970086"/>
    <w:rsid w:val="00980F1F"/>
    <w:rsid w:val="0098195F"/>
    <w:rsid w:val="00984764"/>
    <w:rsid w:val="009902F8"/>
    <w:rsid w:val="0099097A"/>
    <w:rsid w:val="00993BB8"/>
    <w:rsid w:val="0099555F"/>
    <w:rsid w:val="009979BD"/>
    <w:rsid w:val="009A22A1"/>
    <w:rsid w:val="009A2B0E"/>
    <w:rsid w:val="009B3A1B"/>
    <w:rsid w:val="009B6332"/>
    <w:rsid w:val="009B74EB"/>
    <w:rsid w:val="009B795B"/>
    <w:rsid w:val="009C0912"/>
    <w:rsid w:val="009C6701"/>
    <w:rsid w:val="009C6A4C"/>
    <w:rsid w:val="009C7443"/>
    <w:rsid w:val="009D6694"/>
    <w:rsid w:val="009F0300"/>
    <w:rsid w:val="009F78E7"/>
    <w:rsid w:val="00A0393C"/>
    <w:rsid w:val="00A162A4"/>
    <w:rsid w:val="00A1651E"/>
    <w:rsid w:val="00A167A8"/>
    <w:rsid w:val="00A17C39"/>
    <w:rsid w:val="00A21F0A"/>
    <w:rsid w:val="00A23F33"/>
    <w:rsid w:val="00A26011"/>
    <w:rsid w:val="00A415B0"/>
    <w:rsid w:val="00A41C30"/>
    <w:rsid w:val="00A46C1D"/>
    <w:rsid w:val="00A506C2"/>
    <w:rsid w:val="00A547C3"/>
    <w:rsid w:val="00A57CA4"/>
    <w:rsid w:val="00A62886"/>
    <w:rsid w:val="00A67246"/>
    <w:rsid w:val="00A70535"/>
    <w:rsid w:val="00A74C38"/>
    <w:rsid w:val="00A7765D"/>
    <w:rsid w:val="00A77D24"/>
    <w:rsid w:val="00A8117F"/>
    <w:rsid w:val="00A85661"/>
    <w:rsid w:val="00A8572F"/>
    <w:rsid w:val="00A93E07"/>
    <w:rsid w:val="00A942C2"/>
    <w:rsid w:val="00A953A5"/>
    <w:rsid w:val="00A979CF"/>
    <w:rsid w:val="00A97D3A"/>
    <w:rsid w:val="00AA4DF8"/>
    <w:rsid w:val="00AA61BA"/>
    <w:rsid w:val="00AB5489"/>
    <w:rsid w:val="00AB780C"/>
    <w:rsid w:val="00AC2448"/>
    <w:rsid w:val="00AC2DB2"/>
    <w:rsid w:val="00AD0B0B"/>
    <w:rsid w:val="00AD5ADE"/>
    <w:rsid w:val="00AE590F"/>
    <w:rsid w:val="00AE7138"/>
    <w:rsid w:val="00AF1E30"/>
    <w:rsid w:val="00AF4CAF"/>
    <w:rsid w:val="00B00613"/>
    <w:rsid w:val="00B0120D"/>
    <w:rsid w:val="00B01DB3"/>
    <w:rsid w:val="00B117BA"/>
    <w:rsid w:val="00B15F23"/>
    <w:rsid w:val="00B16508"/>
    <w:rsid w:val="00B17C52"/>
    <w:rsid w:val="00B20C4C"/>
    <w:rsid w:val="00B20D87"/>
    <w:rsid w:val="00B21BCC"/>
    <w:rsid w:val="00B24053"/>
    <w:rsid w:val="00B27B5C"/>
    <w:rsid w:val="00B31550"/>
    <w:rsid w:val="00B33977"/>
    <w:rsid w:val="00B566DC"/>
    <w:rsid w:val="00B578AC"/>
    <w:rsid w:val="00B62F06"/>
    <w:rsid w:val="00B6306C"/>
    <w:rsid w:val="00B6433F"/>
    <w:rsid w:val="00B64CF5"/>
    <w:rsid w:val="00B76C9B"/>
    <w:rsid w:val="00B823A1"/>
    <w:rsid w:val="00B836F7"/>
    <w:rsid w:val="00B8428B"/>
    <w:rsid w:val="00B90BB1"/>
    <w:rsid w:val="00B91DAE"/>
    <w:rsid w:val="00B9236E"/>
    <w:rsid w:val="00B951CC"/>
    <w:rsid w:val="00B97E32"/>
    <w:rsid w:val="00BA41F5"/>
    <w:rsid w:val="00BA481F"/>
    <w:rsid w:val="00BB3C9C"/>
    <w:rsid w:val="00BC52AF"/>
    <w:rsid w:val="00BC69DA"/>
    <w:rsid w:val="00BC77A2"/>
    <w:rsid w:val="00BE1268"/>
    <w:rsid w:val="00BE1B94"/>
    <w:rsid w:val="00BE38DD"/>
    <w:rsid w:val="00BE4D9A"/>
    <w:rsid w:val="00BF0713"/>
    <w:rsid w:val="00BF4822"/>
    <w:rsid w:val="00BF552C"/>
    <w:rsid w:val="00C01D22"/>
    <w:rsid w:val="00C046BD"/>
    <w:rsid w:val="00C06F00"/>
    <w:rsid w:val="00C104B6"/>
    <w:rsid w:val="00C10F02"/>
    <w:rsid w:val="00C114F4"/>
    <w:rsid w:val="00C11D03"/>
    <w:rsid w:val="00C12993"/>
    <w:rsid w:val="00C1605F"/>
    <w:rsid w:val="00C17700"/>
    <w:rsid w:val="00C259D8"/>
    <w:rsid w:val="00C31967"/>
    <w:rsid w:val="00C32538"/>
    <w:rsid w:val="00C33A40"/>
    <w:rsid w:val="00C34289"/>
    <w:rsid w:val="00C34C96"/>
    <w:rsid w:val="00C371DE"/>
    <w:rsid w:val="00C409AE"/>
    <w:rsid w:val="00C4143E"/>
    <w:rsid w:val="00C424BF"/>
    <w:rsid w:val="00C42BA7"/>
    <w:rsid w:val="00C42D50"/>
    <w:rsid w:val="00C53FCC"/>
    <w:rsid w:val="00C54DF8"/>
    <w:rsid w:val="00C60B49"/>
    <w:rsid w:val="00C61B35"/>
    <w:rsid w:val="00C620E9"/>
    <w:rsid w:val="00C65DE8"/>
    <w:rsid w:val="00C67A1B"/>
    <w:rsid w:val="00C7440A"/>
    <w:rsid w:val="00C74A08"/>
    <w:rsid w:val="00C844D0"/>
    <w:rsid w:val="00C865ED"/>
    <w:rsid w:val="00C8775A"/>
    <w:rsid w:val="00C93A8D"/>
    <w:rsid w:val="00CA0877"/>
    <w:rsid w:val="00CA6B59"/>
    <w:rsid w:val="00CB3B6C"/>
    <w:rsid w:val="00CB75F1"/>
    <w:rsid w:val="00CC1833"/>
    <w:rsid w:val="00CC189F"/>
    <w:rsid w:val="00CC3368"/>
    <w:rsid w:val="00CC371C"/>
    <w:rsid w:val="00CC7F0E"/>
    <w:rsid w:val="00CD7488"/>
    <w:rsid w:val="00CE1F64"/>
    <w:rsid w:val="00CE6A40"/>
    <w:rsid w:val="00CE7DB0"/>
    <w:rsid w:val="00CF19C4"/>
    <w:rsid w:val="00CF2B0A"/>
    <w:rsid w:val="00CF5DA2"/>
    <w:rsid w:val="00CF6195"/>
    <w:rsid w:val="00D10CEF"/>
    <w:rsid w:val="00D13C04"/>
    <w:rsid w:val="00D203FD"/>
    <w:rsid w:val="00D20A78"/>
    <w:rsid w:val="00D25637"/>
    <w:rsid w:val="00D278BA"/>
    <w:rsid w:val="00D33286"/>
    <w:rsid w:val="00D40454"/>
    <w:rsid w:val="00D4059C"/>
    <w:rsid w:val="00D46199"/>
    <w:rsid w:val="00D53D8F"/>
    <w:rsid w:val="00D57FC5"/>
    <w:rsid w:val="00D617DA"/>
    <w:rsid w:val="00D61C76"/>
    <w:rsid w:val="00D67785"/>
    <w:rsid w:val="00D719F0"/>
    <w:rsid w:val="00D77015"/>
    <w:rsid w:val="00D834D0"/>
    <w:rsid w:val="00D8460A"/>
    <w:rsid w:val="00D92B48"/>
    <w:rsid w:val="00D95B1D"/>
    <w:rsid w:val="00D9690A"/>
    <w:rsid w:val="00DB01F6"/>
    <w:rsid w:val="00DB1693"/>
    <w:rsid w:val="00DB4B3A"/>
    <w:rsid w:val="00DB4BBF"/>
    <w:rsid w:val="00DD5B07"/>
    <w:rsid w:val="00DE5DFC"/>
    <w:rsid w:val="00DE6821"/>
    <w:rsid w:val="00DF2022"/>
    <w:rsid w:val="00DF34BE"/>
    <w:rsid w:val="00DF4D04"/>
    <w:rsid w:val="00DF53CA"/>
    <w:rsid w:val="00DF5D59"/>
    <w:rsid w:val="00DF68B5"/>
    <w:rsid w:val="00DF745B"/>
    <w:rsid w:val="00E0529B"/>
    <w:rsid w:val="00E06EA8"/>
    <w:rsid w:val="00E10B37"/>
    <w:rsid w:val="00E10E04"/>
    <w:rsid w:val="00E11A1E"/>
    <w:rsid w:val="00E14D34"/>
    <w:rsid w:val="00E14E9F"/>
    <w:rsid w:val="00E239E4"/>
    <w:rsid w:val="00E30BDA"/>
    <w:rsid w:val="00E32BB4"/>
    <w:rsid w:val="00E36A38"/>
    <w:rsid w:val="00E41A7D"/>
    <w:rsid w:val="00E43D3F"/>
    <w:rsid w:val="00E53399"/>
    <w:rsid w:val="00E5563C"/>
    <w:rsid w:val="00E567DC"/>
    <w:rsid w:val="00E62A75"/>
    <w:rsid w:val="00E76E9C"/>
    <w:rsid w:val="00E77995"/>
    <w:rsid w:val="00E821EA"/>
    <w:rsid w:val="00E87099"/>
    <w:rsid w:val="00E9139C"/>
    <w:rsid w:val="00E94AF9"/>
    <w:rsid w:val="00E975B6"/>
    <w:rsid w:val="00EA28E6"/>
    <w:rsid w:val="00EB50F2"/>
    <w:rsid w:val="00ED742E"/>
    <w:rsid w:val="00EE03A7"/>
    <w:rsid w:val="00EE54C7"/>
    <w:rsid w:val="00EF2700"/>
    <w:rsid w:val="00EF78C4"/>
    <w:rsid w:val="00F0495A"/>
    <w:rsid w:val="00F04CD7"/>
    <w:rsid w:val="00F133EE"/>
    <w:rsid w:val="00F138B4"/>
    <w:rsid w:val="00F139CB"/>
    <w:rsid w:val="00F213F5"/>
    <w:rsid w:val="00F23E15"/>
    <w:rsid w:val="00F244A2"/>
    <w:rsid w:val="00F35064"/>
    <w:rsid w:val="00F374D8"/>
    <w:rsid w:val="00F4235E"/>
    <w:rsid w:val="00F44C3E"/>
    <w:rsid w:val="00F4751F"/>
    <w:rsid w:val="00F53724"/>
    <w:rsid w:val="00F539FB"/>
    <w:rsid w:val="00F54FDC"/>
    <w:rsid w:val="00F5684D"/>
    <w:rsid w:val="00F57AB6"/>
    <w:rsid w:val="00F6480F"/>
    <w:rsid w:val="00F64868"/>
    <w:rsid w:val="00F70C2E"/>
    <w:rsid w:val="00F74FEF"/>
    <w:rsid w:val="00F8309F"/>
    <w:rsid w:val="00F84DF2"/>
    <w:rsid w:val="00F86713"/>
    <w:rsid w:val="00F86982"/>
    <w:rsid w:val="00F87C99"/>
    <w:rsid w:val="00F92691"/>
    <w:rsid w:val="00F932E0"/>
    <w:rsid w:val="00F94184"/>
    <w:rsid w:val="00F96B76"/>
    <w:rsid w:val="00FA76A6"/>
    <w:rsid w:val="00FB7701"/>
    <w:rsid w:val="00FC1073"/>
    <w:rsid w:val="00FC1422"/>
    <w:rsid w:val="00FC3D7D"/>
    <w:rsid w:val="00FC3F11"/>
    <w:rsid w:val="00FC40F0"/>
    <w:rsid w:val="00FC6D3B"/>
    <w:rsid w:val="00FD0129"/>
    <w:rsid w:val="00FD0AF2"/>
    <w:rsid w:val="00FE17ED"/>
    <w:rsid w:val="00FE1BAA"/>
    <w:rsid w:val="00FE4AED"/>
    <w:rsid w:val="00FE7EB8"/>
    <w:rsid w:val="00FF332F"/>
    <w:rsid w:val="00FF4315"/>
    <w:rsid w:val="00FF4F29"/>
    <w:rsid w:val="00FF6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C1B4F"/>
  <w15:docId w15:val="{A3C5FB59-492B-43E1-9062-1BA5B068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55F"/>
    <w:rPr>
      <w:sz w:val="24"/>
    </w:rPr>
  </w:style>
  <w:style w:type="paragraph" w:styleId="Heading2">
    <w:name w:val="heading 2"/>
    <w:basedOn w:val="Normal"/>
    <w:next w:val="Normal"/>
    <w:link w:val="Heading2Char"/>
    <w:qFormat/>
    <w:rsid w:val="00240CFB"/>
    <w:pPr>
      <w:keepNext/>
      <w:spacing w:after="120"/>
      <w:outlineLvl w:val="1"/>
    </w:pPr>
    <w:rPr>
      <w:rFonts w:ascii="Arial" w:hAnsi="Arial" w:cs="Arial"/>
      <w:b/>
      <w:sz w:val="22"/>
      <w:szCs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55F"/>
    <w:pPr>
      <w:tabs>
        <w:tab w:val="center" w:pos="4153"/>
        <w:tab w:val="right" w:pos="8306"/>
      </w:tabs>
    </w:pPr>
  </w:style>
  <w:style w:type="table" w:styleId="TableGrid">
    <w:name w:val="Table Grid"/>
    <w:basedOn w:val="TableNormal"/>
    <w:uiPriority w:val="39"/>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link w:val="FootnoteTextChar"/>
    <w:semiHidden/>
    <w:rsid w:val="00F35064"/>
    <w:rPr>
      <w:sz w:val="20"/>
    </w:rPr>
  </w:style>
  <w:style w:type="character" w:styleId="FootnoteReference">
    <w:name w:val="footnote reference"/>
    <w:basedOn w:val="DefaultParagraphFont"/>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semiHidden/>
    <w:rsid w:val="00A26011"/>
    <w:rPr>
      <w:sz w:val="16"/>
      <w:szCs w:val="16"/>
    </w:rPr>
  </w:style>
  <w:style w:type="paragraph" w:styleId="CommentText">
    <w:name w:val="annotation text"/>
    <w:basedOn w:val="Normal"/>
    <w:link w:val="CommentTextChar"/>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HeaderChar">
    <w:name w:val="Header Char"/>
    <w:basedOn w:val="DefaultParagraphFont"/>
    <w:link w:val="Header"/>
    <w:rsid w:val="00AC2448"/>
    <w:rPr>
      <w:sz w:val="24"/>
    </w:rPr>
  </w:style>
  <w:style w:type="character" w:customStyle="1" w:styleId="CommentTextChar">
    <w:name w:val="Comment Text Char"/>
    <w:basedOn w:val="DefaultParagraphFont"/>
    <w:link w:val="CommentText"/>
    <w:rsid w:val="00640CC2"/>
  </w:style>
  <w:style w:type="paragraph" w:customStyle="1" w:styleId="subsection">
    <w:name w:val="subsection"/>
    <w:aliases w:val="ss,Subsection"/>
    <w:basedOn w:val="Normal"/>
    <w:link w:val="subsectionChar"/>
    <w:rsid w:val="00AB5489"/>
    <w:pPr>
      <w:tabs>
        <w:tab w:val="right" w:pos="1021"/>
      </w:tabs>
      <w:spacing w:before="180"/>
      <w:ind w:left="1134" w:hanging="1134"/>
    </w:pPr>
    <w:rPr>
      <w:sz w:val="22"/>
    </w:rPr>
  </w:style>
  <w:style w:type="character" w:customStyle="1" w:styleId="subsectionChar">
    <w:name w:val="subsection Char"/>
    <w:aliases w:val="ss Char"/>
    <w:basedOn w:val="DefaultParagraphFont"/>
    <w:link w:val="subsection"/>
    <w:locked/>
    <w:rsid w:val="00AB5489"/>
    <w:rPr>
      <w:sz w:val="22"/>
    </w:rPr>
  </w:style>
  <w:style w:type="character" w:customStyle="1" w:styleId="FootnoteTextChar">
    <w:name w:val="Footnote Text Char"/>
    <w:basedOn w:val="DefaultParagraphFont"/>
    <w:link w:val="FootnoteText"/>
    <w:semiHidden/>
    <w:rsid w:val="00485C07"/>
  </w:style>
  <w:style w:type="paragraph" w:styleId="NoSpacing">
    <w:name w:val="No Spacing"/>
    <w:uiPriority w:val="1"/>
    <w:qFormat/>
    <w:rsid w:val="000B3168"/>
    <w:rPr>
      <w:sz w:val="24"/>
    </w:rPr>
  </w:style>
  <w:style w:type="paragraph" w:styleId="EndnoteText">
    <w:name w:val="endnote text"/>
    <w:basedOn w:val="Normal"/>
    <w:link w:val="EndnoteTextChar"/>
    <w:rsid w:val="000E5FCB"/>
    <w:rPr>
      <w:sz w:val="20"/>
    </w:rPr>
  </w:style>
  <w:style w:type="character" w:customStyle="1" w:styleId="EndnoteTextChar">
    <w:name w:val="Endnote Text Char"/>
    <w:basedOn w:val="DefaultParagraphFont"/>
    <w:link w:val="EndnoteText"/>
    <w:rsid w:val="000E5FCB"/>
  </w:style>
  <w:style w:type="character" w:styleId="EndnoteReference">
    <w:name w:val="endnote reference"/>
    <w:basedOn w:val="DefaultParagraphFont"/>
    <w:semiHidden/>
    <w:unhideWhenUsed/>
    <w:rsid w:val="000E5FCB"/>
    <w:rPr>
      <w:vertAlign w:val="superscript"/>
    </w:rPr>
  </w:style>
  <w:style w:type="character" w:customStyle="1" w:styleId="Heading2Char">
    <w:name w:val="Heading 2 Char"/>
    <w:basedOn w:val="DefaultParagraphFont"/>
    <w:link w:val="Heading2"/>
    <w:rsid w:val="00565CBB"/>
    <w:rPr>
      <w:rFonts w:ascii="Arial" w:hAnsi="Arial" w:cs="Arial"/>
      <w:b/>
      <w:sz w:val="22"/>
      <w:szCs w:val="22"/>
    </w:rPr>
  </w:style>
  <w:style w:type="character" w:styleId="UnresolvedMention">
    <w:name w:val="Unresolved Mention"/>
    <w:basedOn w:val="DefaultParagraphFont"/>
    <w:uiPriority w:val="99"/>
    <w:semiHidden/>
    <w:unhideWhenUsed/>
    <w:rsid w:val="000F311C"/>
    <w:rPr>
      <w:color w:val="605E5C"/>
      <w:shd w:val="clear" w:color="auto" w:fill="E1DFDD"/>
    </w:rPr>
  </w:style>
  <w:style w:type="character" w:customStyle="1" w:styleId="markedcontent">
    <w:name w:val="markedcontent"/>
    <w:basedOn w:val="DefaultParagraphFont"/>
    <w:rsid w:val="0016255C"/>
  </w:style>
  <w:style w:type="paragraph" w:customStyle="1" w:styleId="paragraph">
    <w:name w:val="paragraph"/>
    <w:aliases w:val="a"/>
    <w:basedOn w:val="Normal"/>
    <w:rsid w:val="00F8309F"/>
    <w:pPr>
      <w:tabs>
        <w:tab w:val="right" w:pos="1531"/>
      </w:tabs>
      <w:spacing w:before="40"/>
      <w:ind w:left="1644" w:hanging="1644"/>
    </w:pPr>
    <w:rPr>
      <w:sz w:val="22"/>
    </w:rPr>
  </w:style>
  <w:style w:type="paragraph" w:styleId="Revision">
    <w:name w:val="Revision"/>
    <w:hidden/>
    <w:uiPriority w:val="99"/>
    <w:semiHidden/>
    <w:rsid w:val="00A415B0"/>
    <w:rPr>
      <w:sz w:val="24"/>
    </w:rPr>
  </w:style>
  <w:style w:type="paragraph" w:styleId="Caption">
    <w:name w:val="caption"/>
    <w:basedOn w:val="Normal"/>
    <w:next w:val="Normal"/>
    <w:unhideWhenUsed/>
    <w:qFormat/>
    <w:rsid w:val="00D57FC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7416">
      <w:bodyDiv w:val="1"/>
      <w:marLeft w:val="0"/>
      <w:marRight w:val="0"/>
      <w:marTop w:val="0"/>
      <w:marBottom w:val="0"/>
      <w:divBdr>
        <w:top w:val="none" w:sz="0" w:space="0" w:color="auto"/>
        <w:left w:val="none" w:sz="0" w:space="0" w:color="auto"/>
        <w:bottom w:val="none" w:sz="0" w:space="0" w:color="auto"/>
        <w:right w:val="none" w:sz="0" w:space="0" w:color="auto"/>
      </w:divBdr>
    </w:div>
    <w:div w:id="115374119">
      <w:bodyDiv w:val="1"/>
      <w:marLeft w:val="0"/>
      <w:marRight w:val="0"/>
      <w:marTop w:val="0"/>
      <w:marBottom w:val="0"/>
      <w:divBdr>
        <w:top w:val="none" w:sz="0" w:space="0" w:color="auto"/>
        <w:left w:val="none" w:sz="0" w:space="0" w:color="auto"/>
        <w:bottom w:val="none" w:sz="0" w:space="0" w:color="auto"/>
        <w:right w:val="none" w:sz="0" w:space="0" w:color="auto"/>
      </w:divBdr>
    </w:div>
    <w:div w:id="984242822">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114254097">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4540-4688-4A8B-A2F6-C5AAB725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15789</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Rebecca Legh</cp:lastModifiedBy>
  <cp:revision>2</cp:revision>
  <dcterms:created xsi:type="dcterms:W3CDTF">2024-03-18T02:36:00Z</dcterms:created>
  <dcterms:modified xsi:type="dcterms:W3CDTF">2024-03-18T02:36:00Z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0x0101003476BE985E42DF45A4F88C1729A1833E00EB570E1B7CF71D4AAE1CCE80AB5AB89A</vt:lpwstr>
  </property>
  <property fmtid="{D5CDD505-2E9C-101B-9397-08002B2CF9AE}" pid="3" name="_dlc_DocIdItemGuid">
    <vt:lpwstr>98edc525-f7af-4a9c-80a1-f37d4b0193f2</vt:lpwstr>
  </property>
  <property fmtid="{D5CDD505-2E9C-101B-9397-08002B2CF9AE}" pid="4" name="Security Classification">
    <vt:lpwstr>1;#OFFICIAL|5d128361-bbb7-4b9a-ac60-b26612a0ec1b</vt:lpwstr>
  </property>
  <property fmtid="{D5CDD505-2E9C-101B-9397-08002B2CF9AE}" pid="5" name="IsABRSLetter">
    <vt:bool>false</vt:bool>
  </property>
  <property fmtid="{D5CDD505-2E9C-101B-9397-08002B2CF9AE}" pid="6" name="_dlc_policyId">
    <vt:lpwstr/>
  </property>
  <property fmtid="{D5CDD505-2E9C-101B-9397-08002B2CF9AE}" pid="7" name="ItemRetentionFormula">
    <vt:lpwstr/>
  </property>
</Properties>
</file>