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1B8B" w14:textId="77777777" w:rsidR="00F8406C" w:rsidRPr="009D5F48" w:rsidRDefault="0057002B" w:rsidP="00BB0CF2">
      <w:pPr>
        <w:pStyle w:val="ESTitleHeader"/>
        <w:rPr>
          <w:sz w:val="24"/>
          <w:szCs w:val="24"/>
        </w:rPr>
      </w:pPr>
      <w:r w:rsidRPr="009D5F48">
        <w:rPr>
          <w:sz w:val="24"/>
          <w:szCs w:val="24"/>
        </w:rPr>
        <w:t>EXPLANATORY STATEMENT</w:t>
      </w:r>
    </w:p>
    <w:p w14:paraId="07B68C2D" w14:textId="7038387E" w:rsidR="0057002B" w:rsidRPr="009D5F48" w:rsidRDefault="0057002B" w:rsidP="00BB0CF2">
      <w:pPr>
        <w:pStyle w:val="ESTitleDecisionMaker"/>
        <w:rPr>
          <w:sz w:val="24"/>
          <w:szCs w:val="24"/>
        </w:rPr>
      </w:pPr>
      <w:r w:rsidRPr="009D5F48">
        <w:rPr>
          <w:sz w:val="24"/>
          <w:szCs w:val="24"/>
        </w:rPr>
        <w:t xml:space="preserve">Issued by authority of the </w:t>
      </w:r>
      <w:r w:rsidR="00A72F06" w:rsidRPr="009D5F48">
        <w:rPr>
          <w:sz w:val="24"/>
          <w:szCs w:val="24"/>
        </w:rPr>
        <w:t xml:space="preserve">Minister for </w:t>
      </w:r>
      <w:r w:rsidR="00BA73BB" w:rsidRPr="009D5F48">
        <w:rPr>
          <w:sz w:val="24"/>
          <w:szCs w:val="24"/>
        </w:rPr>
        <w:t>Home</w:t>
      </w:r>
      <w:r w:rsidR="00A72F06" w:rsidRPr="009D5F48">
        <w:rPr>
          <w:sz w:val="24"/>
          <w:szCs w:val="24"/>
        </w:rPr>
        <w:t xml:space="preserve"> Affairs</w:t>
      </w:r>
    </w:p>
    <w:p w14:paraId="012C4450" w14:textId="6A1F22EF" w:rsidR="0057002B" w:rsidRPr="009D5F48" w:rsidRDefault="001D0430" w:rsidP="00BB0CF2">
      <w:pPr>
        <w:pStyle w:val="ESTitleEnablingLegislation"/>
        <w:rPr>
          <w:sz w:val="24"/>
          <w:szCs w:val="24"/>
        </w:rPr>
      </w:pPr>
      <w:r w:rsidRPr="009D5F48">
        <w:rPr>
          <w:sz w:val="24"/>
          <w:szCs w:val="24"/>
        </w:rPr>
        <w:t>Migration Regulations 1994</w:t>
      </w:r>
    </w:p>
    <w:p w14:paraId="1A4559C0" w14:textId="04241BED" w:rsidR="0057002B" w:rsidRPr="009D5F48" w:rsidRDefault="003F6E5B" w:rsidP="00BB0CF2">
      <w:pPr>
        <w:pStyle w:val="ESTitleInstrumentName"/>
        <w:rPr>
          <w:sz w:val="24"/>
          <w:szCs w:val="24"/>
        </w:rPr>
      </w:pPr>
      <w:r w:rsidRPr="009D5F48">
        <w:rPr>
          <w:sz w:val="24"/>
          <w:szCs w:val="24"/>
        </w:rPr>
        <w:t>Migration (</w:t>
      </w:r>
      <w:r w:rsidR="004D7993" w:rsidRPr="009D5F48">
        <w:rPr>
          <w:sz w:val="24"/>
          <w:szCs w:val="24"/>
        </w:rPr>
        <w:t xml:space="preserve">English Language </w:t>
      </w:r>
      <w:r w:rsidR="00650B05" w:rsidRPr="009D5F48">
        <w:rPr>
          <w:sz w:val="24"/>
          <w:szCs w:val="24"/>
        </w:rPr>
        <w:t>Tests</w:t>
      </w:r>
      <w:r w:rsidR="00265DC7" w:rsidRPr="009D5F48">
        <w:rPr>
          <w:sz w:val="24"/>
          <w:szCs w:val="24"/>
        </w:rPr>
        <w:t xml:space="preserve"> and Evidence Exemptions for Subclass 500 (Student) Visa)</w:t>
      </w:r>
      <w:r w:rsidR="00650B05" w:rsidRPr="009D5F48">
        <w:rPr>
          <w:sz w:val="24"/>
          <w:szCs w:val="24"/>
        </w:rPr>
        <w:t xml:space="preserve"> </w:t>
      </w:r>
      <w:r w:rsidRPr="009D5F48">
        <w:rPr>
          <w:sz w:val="24"/>
          <w:szCs w:val="24"/>
        </w:rPr>
        <w:t xml:space="preserve">Instrument </w:t>
      </w:r>
      <w:r w:rsidR="001D0430" w:rsidRPr="009D5F48">
        <w:rPr>
          <w:sz w:val="24"/>
          <w:szCs w:val="24"/>
        </w:rPr>
        <w:t>(LIN </w:t>
      </w:r>
      <w:r w:rsidRPr="009D5F48">
        <w:rPr>
          <w:sz w:val="24"/>
          <w:szCs w:val="24"/>
        </w:rPr>
        <w:t>2</w:t>
      </w:r>
      <w:r w:rsidR="004D7993" w:rsidRPr="009D5F48">
        <w:rPr>
          <w:sz w:val="24"/>
          <w:szCs w:val="24"/>
        </w:rPr>
        <w:t>4</w:t>
      </w:r>
      <w:r w:rsidRPr="009D5F48">
        <w:rPr>
          <w:sz w:val="24"/>
          <w:szCs w:val="24"/>
        </w:rPr>
        <w:t>/0</w:t>
      </w:r>
      <w:r w:rsidR="004D7993" w:rsidRPr="009D5F48">
        <w:rPr>
          <w:sz w:val="24"/>
          <w:szCs w:val="24"/>
        </w:rPr>
        <w:t>2</w:t>
      </w:r>
      <w:r w:rsidR="00CD18E1" w:rsidRPr="009D5F48">
        <w:rPr>
          <w:sz w:val="24"/>
          <w:szCs w:val="24"/>
        </w:rPr>
        <w:t>2</w:t>
      </w:r>
      <w:r w:rsidRPr="009D5F48">
        <w:rPr>
          <w:sz w:val="24"/>
          <w:szCs w:val="24"/>
        </w:rPr>
        <w:t>) 202</w:t>
      </w:r>
      <w:r w:rsidR="004D7993" w:rsidRPr="009D5F48">
        <w:rPr>
          <w:sz w:val="24"/>
          <w:szCs w:val="24"/>
        </w:rPr>
        <w:t xml:space="preserve">4 </w:t>
      </w:r>
    </w:p>
    <w:p w14:paraId="7190E66D" w14:textId="77065DE7" w:rsidR="0057002B" w:rsidRPr="009D5F48" w:rsidRDefault="0057002B" w:rsidP="002D167E">
      <w:pPr>
        <w:pStyle w:val="ESPara"/>
        <w:rPr>
          <w:sz w:val="24"/>
          <w:szCs w:val="24"/>
        </w:rPr>
      </w:pPr>
      <w:r w:rsidRPr="009D5F48">
        <w:rPr>
          <w:sz w:val="24"/>
          <w:szCs w:val="24"/>
        </w:rPr>
        <w:t>The instrument, Departmental reference LIN</w:t>
      </w:r>
      <w:r w:rsidR="001D0430" w:rsidRPr="009D5F48">
        <w:rPr>
          <w:sz w:val="24"/>
          <w:szCs w:val="24"/>
        </w:rPr>
        <w:t> </w:t>
      </w:r>
      <w:r w:rsidR="00D01F77" w:rsidRPr="009D5F48">
        <w:rPr>
          <w:sz w:val="24"/>
          <w:szCs w:val="24"/>
        </w:rPr>
        <w:t>2</w:t>
      </w:r>
      <w:r w:rsidR="007C02F8" w:rsidRPr="009D5F48">
        <w:rPr>
          <w:sz w:val="24"/>
          <w:szCs w:val="24"/>
        </w:rPr>
        <w:t>4</w:t>
      </w:r>
      <w:r w:rsidR="00D01F77" w:rsidRPr="009D5F48">
        <w:rPr>
          <w:sz w:val="24"/>
          <w:szCs w:val="24"/>
        </w:rPr>
        <w:t>/0</w:t>
      </w:r>
      <w:r w:rsidR="007C02F8" w:rsidRPr="009D5F48">
        <w:rPr>
          <w:sz w:val="24"/>
          <w:szCs w:val="24"/>
        </w:rPr>
        <w:t>2</w:t>
      </w:r>
      <w:r w:rsidR="00CD18E1" w:rsidRPr="009D5F48">
        <w:rPr>
          <w:sz w:val="24"/>
          <w:szCs w:val="24"/>
        </w:rPr>
        <w:t>2</w:t>
      </w:r>
      <w:r w:rsidRPr="009D5F48">
        <w:rPr>
          <w:sz w:val="24"/>
          <w:szCs w:val="24"/>
        </w:rPr>
        <w:t xml:space="preserve">, </w:t>
      </w:r>
      <w:proofErr w:type="gramStart"/>
      <w:r w:rsidRPr="009D5F48">
        <w:rPr>
          <w:sz w:val="24"/>
          <w:szCs w:val="24"/>
        </w:rPr>
        <w:t>is made</w:t>
      </w:r>
      <w:proofErr w:type="gramEnd"/>
      <w:r w:rsidRPr="009D5F48">
        <w:rPr>
          <w:sz w:val="24"/>
          <w:szCs w:val="24"/>
        </w:rPr>
        <w:t xml:space="preserve"> under </w:t>
      </w:r>
      <w:r w:rsidR="001D0430" w:rsidRPr="009D5F48">
        <w:rPr>
          <w:sz w:val="24"/>
          <w:szCs w:val="24"/>
        </w:rPr>
        <w:t>sub</w:t>
      </w:r>
      <w:r w:rsidR="009E3EA4" w:rsidRPr="009D5F48">
        <w:rPr>
          <w:sz w:val="24"/>
          <w:szCs w:val="24"/>
        </w:rPr>
        <w:t xml:space="preserve">clause </w:t>
      </w:r>
      <w:r w:rsidR="00CD18E1" w:rsidRPr="009D5F48">
        <w:rPr>
          <w:sz w:val="24"/>
          <w:szCs w:val="24"/>
        </w:rPr>
        <w:t>500</w:t>
      </w:r>
      <w:r w:rsidR="009E3EA4" w:rsidRPr="009D5F48">
        <w:rPr>
          <w:sz w:val="24"/>
          <w:szCs w:val="24"/>
        </w:rPr>
        <w:t>.</w:t>
      </w:r>
      <w:r w:rsidR="00CD18E1" w:rsidRPr="009D5F48">
        <w:rPr>
          <w:sz w:val="24"/>
          <w:szCs w:val="24"/>
        </w:rPr>
        <w:t>213</w:t>
      </w:r>
      <w:r w:rsidR="001D0430" w:rsidRPr="009D5F48">
        <w:rPr>
          <w:sz w:val="24"/>
          <w:szCs w:val="24"/>
        </w:rPr>
        <w:t>(3)</w:t>
      </w:r>
      <w:r w:rsidR="009E3EA4" w:rsidRPr="009D5F48">
        <w:rPr>
          <w:sz w:val="24"/>
          <w:szCs w:val="24"/>
        </w:rPr>
        <w:t xml:space="preserve"> </w:t>
      </w:r>
      <w:r w:rsidR="00C47937" w:rsidRPr="009D5F48">
        <w:rPr>
          <w:sz w:val="24"/>
          <w:szCs w:val="24"/>
        </w:rPr>
        <w:t>of Schedule 2</w:t>
      </w:r>
      <w:r w:rsidR="00F24D89" w:rsidRPr="009D5F48">
        <w:rPr>
          <w:sz w:val="24"/>
          <w:szCs w:val="24"/>
        </w:rPr>
        <w:t xml:space="preserve"> to</w:t>
      </w:r>
      <w:r w:rsidRPr="009D5F48">
        <w:rPr>
          <w:sz w:val="24"/>
          <w:szCs w:val="24"/>
        </w:rPr>
        <w:t xml:space="preserve"> the </w:t>
      </w:r>
      <w:r w:rsidRPr="009D5F48">
        <w:rPr>
          <w:i/>
          <w:sz w:val="24"/>
          <w:szCs w:val="24"/>
        </w:rPr>
        <w:t>Migration Regulations 1994</w:t>
      </w:r>
      <w:r w:rsidR="00A72F06" w:rsidRPr="009D5F48">
        <w:rPr>
          <w:sz w:val="24"/>
          <w:szCs w:val="24"/>
        </w:rPr>
        <w:t xml:space="preserve"> (the Migration Regulations)</w:t>
      </w:r>
      <w:r w:rsidR="00F638D3" w:rsidRPr="009D5F48">
        <w:rPr>
          <w:sz w:val="24"/>
          <w:szCs w:val="24"/>
        </w:rPr>
        <w:t>.</w:t>
      </w:r>
      <w:r w:rsidR="00A72F06" w:rsidRPr="009D5F48">
        <w:rPr>
          <w:sz w:val="24"/>
          <w:szCs w:val="24"/>
        </w:rPr>
        <w:t xml:space="preserve"> </w:t>
      </w:r>
    </w:p>
    <w:p w14:paraId="2FDF8015" w14:textId="78858E42" w:rsidR="001D0430" w:rsidRPr="009D5F48" w:rsidRDefault="001D0430" w:rsidP="001D0430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The instrument repeals </w:t>
      </w:r>
      <w:r w:rsidRPr="009D5F48">
        <w:rPr>
          <w:i/>
          <w:sz w:val="24"/>
          <w:szCs w:val="24"/>
          <w:shd w:val="clear" w:color="auto" w:fill="FFFFFF"/>
        </w:rPr>
        <w:t>Migration (IMMI 18/015: English Language Tests and Evidence Exemptions for Subclass 500 (Student) Visa) Instrument 2018</w:t>
      </w:r>
      <w:r w:rsidRPr="009D5F48">
        <w:rPr>
          <w:sz w:val="24"/>
          <w:szCs w:val="24"/>
        </w:rPr>
        <w:t xml:space="preserve"> (F2018C00474) in accordance with subsection 33(3) of the </w:t>
      </w:r>
      <w:r w:rsidRPr="009D5F48">
        <w:rPr>
          <w:i/>
          <w:sz w:val="24"/>
          <w:szCs w:val="24"/>
        </w:rPr>
        <w:t xml:space="preserve">Acts Interpretation Act 1901 </w:t>
      </w:r>
      <w:r w:rsidRPr="009D5F48">
        <w:rPr>
          <w:sz w:val="24"/>
          <w:szCs w:val="24"/>
        </w:rPr>
        <w:t xml:space="preserve">(the Acts Interpretation Act). That subsection provides that a power to make a legislative instrument </w:t>
      </w:r>
      <w:proofErr w:type="gramStart"/>
      <w:r w:rsidRPr="009D5F48">
        <w:rPr>
          <w:sz w:val="24"/>
          <w:szCs w:val="24"/>
        </w:rPr>
        <w:t>includes</w:t>
      </w:r>
      <w:proofErr w:type="gramEnd"/>
      <w:r w:rsidRPr="009D5F48">
        <w:rPr>
          <w:sz w:val="24"/>
          <w:szCs w:val="24"/>
        </w:rPr>
        <w:t xml:space="preserve"> a power to amend or repeal that instrument in the same manner, and subject to the same conditions, as the power to make the instrument.  </w:t>
      </w:r>
    </w:p>
    <w:p w14:paraId="747218AE" w14:textId="1116DD19" w:rsidR="001D0430" w:rsidRPr="009D5F48" w:rsidRDefault="001D0430" w:rsidP="001D0430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The instrument commences on 23 March 2024</w:t>
      </w:r>
      <w:r w:rsidR="00CA2A56" w:rsidRPr="009D5F48">
        <w:rPr>
          <w:sz w:val="24"/>
          <w:szCs w:val="24"/>
        </w:rPr>
        <w:t>. It</w:t>
      </w:r>
      <w:r w:rsidRPr="009D5F48">
        <w:rPr>
          <w:sz w:val="24"/>
          <w:szCs w:val="24"/>
        </w:rPr>
        <w:t xml:space="preserve"> is a legislative instrument for the </w:t>
      </w:r>
      <w:r w:rsidRPr="009D5F48">
        <w:rPr>
          <w:i/>
          <w:sz w:val="24"/>
          <w:szCs w:val="24"/>
        </w:rPr>
        <w:t>Legislation Act 2003</w:t>
      </w:r>
      <w:r w:rsidRPr="009D5F48">
        <w:rPr>
          <w:sz w:val="24"/>
          <w:szCs w:val="24"/>
        </w:rPr>
        <w:t xml:space="preserve"> (the Legislation Act). </w:t>
      </w:r>
    </w:p>
    <w:p w14:paraId="29729240" w14:textId="77777777" w:rsidR="00EA12C9" w:rsidRPr="009D5F48" w:rsidRDefault="00BD598E" w:rsidP="00100DFC">
      <w:pPr>
        <w:pStyle w:val="ESHeading"/>
        <w:rPr>
          <w:sz w:val="24"/>
          <w:szCs w:val="24"/>
        </w:rPr>
      </w:pPr>
      <w:r w:rsidRPr="009D5F48">
        <w:rPr>
          <w:sz w:val="24"/>
          <w:szCs w:val="24"/>
        </w:rPr>
        <w:t>Purpose</w:t>
      </w:r>
      <w:r w:rsidR="00BB0CF2" w:rsidRPr="009D5F48">
        <w:rPr>
          <w:sz w:val="24"/>
          <w:szCs w:val="24"/>
        </w:rPr>
        <w:t xml:space="preserve"> </w:t>
      </w:r>
    </w:p>
    <w:p w14:paraId="1410E667" w14:textId="5A52A372" w:rsidR="001D0430" w:rsidRPr="009D5F48" w:rsidRDefault="00F566E2" w:rsidP="00F8406C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The purpose of the instrument is to </w:t>
      </w:r>
      <w:r w:rsidR="008A5D04" w:rsidRPr="009D5F48">
        <w:rPr>
          <w:sz w:val="24"/>
          <w:szCs w:val="24"/>
        </w:rPr>
        <w:t>specify</w:t>
      </w:r>
      <w:r w:rsidR="001D0430" w:rsidRPr="009D5F48">
        <w:rPr>
          <w:sz w:val="24"/>
          <w:szCs w:val="24"/>
        </w:rPr>
        <w:t xml:space="preserve"> English language proficiency requirements to satisfy </w:t>
      </w:r>
      <w:r w:rsidR="00721394" w:rsidRPr="009D5F48">
        <w:rPr>
          <w:sz w:val="24"/>
          <w:szCs w:val="24"/>
        </w:rPr>
        <w:t>the criterion</w:t>
      </w:r>
      <w:r w:rsidR="001D0430" w:rsidRPr="009D5F48">
        <w:rPr>
          <w:sz w:val="24"/>
          <w:szCs w:val="24"/>
        </w:rPr>
        <w:t xml:space="preserve"> for </w:t>
      </w:r>
      <w:r w:rsidR="00536C80" w:rsidRPr="009D5F48">
        <w:rPr>
          <w:sz w:val="24"/>
          <w:szCs w:val="24"/>
        </w:rPr>
        <w:t xml:space="preserve">the </w:t>
      </w:r>
      <w:r w:rsidR="00A45ABF" w:rsidRPr="009D5F48">
        <w:rPr>
          <w:sz w:val="24"/>
          <w:szCs w:val="24"/>
        </w:rPr>
        <w:t xml:space="preserve">grant of </w:t>
      </w:r>
      <w:r w:rsidR="001D0430" w:rsidRPr="009D5F48">
        <w:rPr>
          <w:sz w:val="24"/>
          <w:szCs w:val="24"/>
        </w:rPr>
        <w:t>a Subclass 500 (Student) visa</w:t>
      </w:r>
      <w:r w:rsidR="004E284E" w:rsidRPr="009D5F48">
        <w:rPr>
          <w:sz w:val="24"/>
          <w:szCs w:val="24"/>
        </w:rPr>
        <w:t xml:space="preserve"> </w:t>
      </w:r>
      <w:r w:rsidR="00A45ABF" w:rsidRPr="009D5F48">
        <w:rPr>
          <w:sz w:val="24"/>
          <w:szCs w:val="24"/>
        </w:rPr>
        <w:t>in</w:t>
      </w:r>
      <w:r w:rsidR="004E284E" w:rsidRPr="009D5F48">
        <w:rPr>
          <w:sz w:val="24"/>
          <w:szCs w:val="24"/>
        </w:rPr>
        <w:t xml:space="preserve"> subclause 500.213(1)</w:t>
      </w:r>
      <w:r w:rsidR="001D0430" w:rsidRPr="009D5F48">
        <w:rPr>
          <w:sz w:val="24"/>
          <w:szCs w:val="24"/>
        </w:rPr>
        <w:t xml:space="preserve">. </w:t>
      </w:r>
      <w:r w:rsidR="003D5088" w:rsidRPr="009D5F48">
        <w:rPr>
          <w:sz w:val="24"/>
          <w:szCs w:val="24"/>
        </w:rPr>
        <w:t>The instrument operates to increase the required English language test scores</w:t>
      </w:r>
      <w:r w:rsidR="00011ABF" w:rsidRPr="009D5F48">
        <w:rPr>
          <w:sz w:val="24"/>
          <w:szCs w:val="24"/>
        </w:rPr>
        <w:t>,</w:t>
      </w:r>
      <w:r w:rsidR="003D5088" w:rsidRPr="009D5F48">
        <w:rPr>
          <w:sz w:val="24"/>
          <w:szCs w:val="24"/>
        </w:rPr>
        <w:t xml:space="preserve"> </w:t>
      </w:r>
      <w:r w:rsidR="00011ABF" w:rsidRPr="009D5F48">
        <w:rPr>
          <w:sz w:val="24"/>
          <w:szCs w:val="24"/>
        </w:rPr>
        <w:t xml:space="preserve">following the release of the Government’s Migration Strategy, </w:t>
      </w:r>
      <w:r w:rsidR="003D5088" w:rsidRPr="009D5F48">
        <w:rPr>
          <w:sz w:val="24"/>
          <w:szCs w:val="24"/>
        </w:rPr>
        <w:t xml:space="preserve">to improve the integrity of the student visa program. </w:t>
      </w:r>
      <w:r w:rsidR="001D0430" w:rsidRPr="009D5F48">
        <w:rPr>
          <w:sz w:val="24"/>
          <w:szCs w:val="24"/>
        </w:rPr>
        <w:t>The instrument also specifies the class of applicants to which English language requirements do not apply under subclause 500.213(2).</w:t>
      </w:r>
    </w:p>
    <w:p w14:paraId="6AE4082F" w14:textId="3280AC6A" w:rsidR="003D5088" w:rsidRPr="009D5F48" w:rsidRDefault="003D5088" w:rsidP="003D5088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9D5F48">
        <w:rPr>
          <w:b/>
          <w:i/>
          <w:sz w:val="24"/>
          <w:szCs w:val="24"/>
        </w:rPr>
        <w:t>Background</w:t>
      </w:r>
    </w:p>
    <w:p w14:paraId="720AC722" w14:textId="7B12426F" w:rsidR="001D0430" w:rsidRPr="009D5F48" w:rsidRDefault="003D5088" w:rsidP="001D0430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Under subclause 500.213(1), i</w:t>
      </w:r>
      <w:r w:rsidR="001D0430" w:rsidRPr="009D5F48">
        <w:rPr>
          <w:sz w:val="24"/>
          <w:szCs w:val="24"/>
        </w:rPr>
        <w:t xml:space="preserve">f required by the Minister, an applicant must provide evidence they have a level of English language proficiency that meets the requirements specified in a legislative instrument made by the Minister under </w:t>
      </w:r>
      <w:r w:rsidRPr="009D5F48">
        <w:rPr>
          <w:sz w:val="24"/>
          <w:szCs w:val="24"/>
        </w:rPr>
        <w:t>paragraph</w:t>
      </w:r>
      <w:r w:rsidR="001D0430" w:rsidRPr="009D5F48">
        <w:rPr>
          <w:sz w:val="24"/>
          <w:szCs w:val="24"/>
        </w:rPr>
        <w:t xml:space="preserve"> 500.213(3)</w:t>
      </w:r>
      <w:r w:rsidRPr="009D5F48">
        <w:rPr>
          <w:sz w:val="24"/>
          <w:szCs w:val="24"/>
        </w:rPr>
        <w:t>(a)</w:t>
      </w:r>
      <w:r w:rsidR="001D0430" w:rsidRPr="009D5F48">
        <w:rPr>
          <w:sz w:val="24"/>
          <w:szCs w:val="24"/>
        </w:rPr>
        <w:t xml:space="preserve">. </w:t>
      </w:r>
    </w:p>
    <w:p w14:paraId="4ABEFC1D" w14:textId="77777777" w:rsidR="0099281F" w:rsidRPr="009D5F48" w:rsidRDefault="0099281F" w:rsidP="001D0430">
      <w:pPr>
        <w:pStyle w:val="ESSubparaHeader"/>
        <w:rPr>
          <w:b/>
          <w:i/>
          <w:sz w:val="24"/>
          <w:szCs w:val="24"/>
        </w:rPr>
      </w:pPr>
      <w:r w:rsidRPr="009D5F48">
        <w:rPr>
          <w:sz w:val="24"/>
          <w:szCs w:val="24"/>
        </w:rPr>
        <w:t xml:space="preserve">LIN 24/022 specifies the following English language proficiency requirements: </w:t>
      </w:r>
    </w:p>
    <w:p w14:paraId="30170DF2" w14:textId="1C2D9930" w:rsidR="0099281F" w:rsidRPr="009D5F48" w:rsidRDefault="00CA2A56" w:rsidP="0099281F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>t</w:t>
      </w:r>
      <w:r w:rsidR="0099281F" w:rsidRPr="009D5F48">
        <w:rPr>
          <w:sz w:val="24"/>
          <w:szCs w:val="24"/>
        </w:rPr>
        <w:t>he applicant took an approved English language test</w:t>
      </w:r>
      <w:r w:rsidR="00217B76" w:rsidRPr="009D5F48">
        <w:rPr>
          <w:sz w:val="24"/>
          <w:szCs w:val="24"/>
        </w:rPr>
        <w:t>;</w:t>
      </w:r>
    </w:p>
    <w:p w14:paraId="6574DEE3" w14:textId="7ABF2BC0" w:rsidR="0099281F" w:rsidRPr="009D5F48" w:rsidRDefault="00CA2A56" w:rsidP="0099281F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>t</w:t>
      </w:r>
      <w:r w:rsidR="0099281F" w:rsidRPr="009D5F48">
        <w:rPr>
          <w:sz w:val="24"/>
          <w:szCs w:val="24"/>
        </w:rPr>
        <w:t xml:space="preserve">he applicant </w:t>
      </w:r>
      <w:r w:rsidR="00826F5E" w:rsidRPr="009D5F48">
        <w:rPr>
          <w:sz w:val="24"/>
          <w:szCs w:val="24"/>
        </w:rPr>
        <w:t>took</w:t>
      </w:r>
      <w:r w:rsidR="0099281F" w:rsidRPr="009D5F48">
        <w:rPr>
          <w:sz w:val="24"/>
          <w:szCs w:val="24"/>
        </w:rPr>
        <w:t xml:space="preserve"> the test within 2 years immediately before the application is made (or if evidence of the test is not provided at the time the visa application is made, 2 years immediately before a decision on the application is made);</w:t>
      </w:r>
    </w:p>
    <w:p w14:paraId="3883E802" w14:textId="158939AC" w:rsidR="0099281F" w:rsidRPr="009D5F48" w:rsidRDefault="00CA2A56" w:rsidP="0099281F">
      <w:pPr>
        <w:pStyle w:val="ESSubparaList"/>
        <w:rPr>
          <w:sz w:val="24"/>
          <w:szCs w:val="24"/>
        </w:rPr>
      </w:pPr>
      <w:proofErr w:type="gramStart"/>
      <w:r w:rsidRPr="009D5F48">
        <w:rPr>
          <w:sz w:val="24"/>
          <w:szCs w:val="24"/>
        </w:rPr>
        <w:lastRenderedPageBreak/>
        <w:t>t</w:t>
      </w:r>
      <w:r w:rsidR="0099281F" w:rsidRPr="009D5F48">
        <w:rPr>
          <w:sz w:val="24"/>
          <w:szCs w:val="24"/>
        </w:rPr>
        <w:t>he</w:t>
      </w:r>
      <w:proofErr w:type="gramEnd"/>
      <w:r w:rsidR="0099281F" w:rsidRPr="009D5F48">
        <w:rPr>
          <w:sz w:val="24"/>
          <w:szCs w:val="24"/>
        </w:rPr>
        <w:t xml:space="preserve"> applicant achieved the required English language test score </w:t>
      </w:r>
      <w:r w:rsidR="00721394" w:rsidRPr="009D5F48">
        <w:rPr>
          <w:sz w:val="24"/>
          <w:szCs w:val="24"/>
        </w:rPr>
        <w:t>specified in Schedule 1</w:t>
      </w:r>
      <w:r w:rsidR="00E968A6" w:rsidRPr="009D5F48">
        <w:rPr>
          <w:sz w:val="24"/>
          <w:szCs w:val="24"/>
        </w:rPr>
        <w:t xml:space="preserve"> </w:t>
      </w:r>
      <w:r w:rsidR="00721394" w:rsidRPr="009D5F48">
        <w:rPr>
          <w:sz w:val="24"/>
          <w:szCs w:val="24"/>
        </w:rPr>
        <w:t>and any associated requirements</w:t>
      </w:r>
      <w:r w:rsidR="0099281F" w:rsidRPr="009D5F48">
        <w:rPr>
          <w:sz w:val="24"/>
          <w:szCs w:val="24"/>
        </w:rPr>
        <w:t>.</w:t>
      </w:r>
    </w:p>
    <w:p w14:paraId="384A84F1" w14:textId="5A47E2BA" w:rsidR="00625B02" w:rsidRPr="009D5F48" w:rsidRDefault="003F5B52" w:rsidP="00625B02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The</w:t>
      </w:r>
      <w:r w:rsidR="00625B02" w:rsidRPr="009D5F48">
        <w:rPr>
          <w:sz w:val="24"/>
          <w:szCs w:val="24"/>
        </w:rPr>
        <w:t xml:space="preserve"> </w:t>
      </w:r>
      <w:r w:rsidR="00217B76" w:rsidRPr="009D5F48">
        <w:rPr>
          <w:sz w:val="24"/>
          <w:szCs w:val="24"/>
        </w:rPr>
        <w:t xml:space="preserve">required </w:t>
      </w:r>
      <w:r w:rsidR="00625B02" w:rsidRPr="009D5F48">
        <w:rPr>
          <w:sz w:val="24"/>
          <w:szCs w:val="24"/>
        </w:rPr>
        <w:t xml:space="preserve">English language test scores </w:t>
      </w:r>
      <w:r w:rsidR="00294042" w:rsidRPr="009D5F48">
        <w:rPr>
          <w:sz w:val="24"/>
          <w:szCs w:val="24"/>
        </w:rPr>
        <w:t xml:space="preserve">have </w:t>
      </w:r>
      <w:r w:rsidRPr="009D5F48">
        <w:rPr>
          <w:sz w:val="24"/>
          <w:szCs w:val="24"/>
        </w:rPr>
        <w:t xml:space="preserve">increased from those </w:t>
      </w:r>
      <w:r w:rsidR="00625B02" w:rsidRPr="009D5F48">
        <w:rPr>
          <w:sz w:val="24"/>
          <w:szCs w:val="24"/>
        </w:rPr>
        <w:t>previously specified</w:t>
      </w:r>
      <w:r w:rsidR="004E284E" w:rsidRPr="009D5F48">
        <w:rPr>
          <w:sz w:val="24"/>
          <w:szCs w:val="24"/>
        </w:rPr>
        <w:t xml:space="preserve"> in </w:t>
      </w:r>
      <w:r w:rsidR="003D5088" w:rsidRPr="009D5F48">
        <w:rPr>
          <w:i/>
          <w:sz w:val="24"/>
          <w:szCs w:val="24"/>
        </w:rPr>
        <w:t>Migration</w:t>
      </w:r>
      <w:r w:rsidR="003D5088" w:rsidRPr="009D5F48">
        <w:rPr>
          <w:sz w:val="24"/>
          <w:szCs w:val="24"/>
        </w:rPr>
        <w:t xml:space="preserve"> (</w:t>
      </w:r>
      <w:r w:rsidR="003D5088" w:rsidRPr="009D5F48">
        <w:rPr>
          <w:i/>
          <w:sz w:val="24"/>
          <w:szCs w:val="24"/>
        </w:rPr>
        <w:t>IMMI 18/015: English Language Tests and Evidence Exemptions for Subclass 500 (Student) Visa) Instrument 2018</w:t>
      </w:r>
      <w:r w:rsidR="00625B02" w:rsidRPr="009D5F48">
        <w:rPr>
          <w:sz w:val="24"/>
          <w:szCs w:val="24"/>
        </w:rPr>
        <w:t xml:space="preserve">. This is because </w:t>
      </w:r>
      <w:r w:rsidR="00E968A6" w:rsidRPr="009D5F48">
        <w:rPr>
          <w:sz w:val="24"/>
          <w:szCs w:val="24"/>
        </w:rPr>
        <w:t>higher English language requirements will help students succeed in their studies and engage in Australian life.</w:t>
      </w:r>
      <w:r w:rsidR="00625B02" w:rsidRPr="009D5F48">
        <w:rPr>
          <w:sz w:val="24"/>
          <w:szCs w:val="24"/>
        </w:rPr>
        <w:t xml:space="preserve"> </w:t>
      </w:r>
    </w:p>
    <w:p w14:paraId="4EB95DA6" w14:textId="72993C3A" w:rsidR="00625B02" w:rsidRPr="009D5F48" w:rsidRDefault="003F5B52" w:rsidP="003F5B52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Australia has a large student cohort as a proportion of the general population</w:t>
      </w:r>
      <w:r w:rsidR="00CA2A56" w:rsidRPr="009D5F48">
        <w:rPr>
          <w:sz w:val="24"/>
          <w:szCs w:val="24"/>
        </w:rPr>
        <w:t>,</w:t>
      </w:r>
      <w:r w:rsidRPr="009D5F48">
        <w:rPr>
          <w:sz w:val="24"/>
          <w:szCs w:val="24"/>
        </w:rPr>
        <w:t xml:space="preserve"> so it is important for Australia’s social cohesion for students to have the language skills necessary to </w:t>
      </w:r>
      <w:r w:rsidR="00731066" w:rsidRPr="009D5F48">
        <w:rPr>
          <w:sz w:val="24"/>
          <w:szCs w:val="24"/>
        </w:rPr>
        <w:t>live, study and engage in part time or casual work</w:t>
      </w:r>
      <w:r w:rsidRPr="009D5F48">
        <w:rPr>
          <w:sz w:val="24"/>
          <w:szCs w:val="24"/>
        </w:rPr>
        <w:t xml:space="preserve">. </w:t>
      </w:r>
      <w:r w:rsidR="00625B02" w:rsidRPr="009D5F48">
        <w:rPr>
          <w:sz w:val="24"/>
          <w:szCs w:val="24"/>
        </w:rPr>
        <w:t xml:space="preserve">Students with strong English language skills are </w:t>
      </w:r>
      <w:r w:rsidR="00731066" w:rsidRPr="009D5F48">
        <w:rPr>
          <w:sz w:val="24"/>
          <w:szCs w:val="24"/>
        </w:rPr>
        <w:t xml:space="preserve">less likely to experience workplace exploitation and </w:t>
      </w:r>
      <w:r w:rsidR="00625B02" w:rsidRPr="009D5F48">
        <w:rPr>
          <w:sz w:val="24"/>
          <w:szCs w:val="24"/>
        </w:rPr>
        <w:t>more likely to make the social and professional connections that will help them navigate the labour market</w:t>
      </w:r>
      <w:r w:rsidR="002D73E9" w:rsidRPr="009D5F48">
        <w:rPr>
          <w:sz w:val="24"/>
          <w:szCs w:val="24"/>
        </w:rPr>
        <w:t xml:space="preserve"> and gain skilled employment</w:t>
      </w:r>
      <w:r w:rsidR="00625B02" w:rsidRPr="009D5F48">
        <w:rPr>
          <w:sz w:val="24"/>
          <w:szCs w:val="24"/>
        </w:rPr>
        <w:t xml:space="preserve"> as graduates.</w:t>
      </w:r>
      <w:r w:rsidR="00B33F22" w:rsidRPr="009D5F48">
        <w:rPr>
          <w:sz w:val="24"/>
          <w:szCs w:val="24"/>
        </w:rPr>
        <w:t xml:space="preserve"> </w:t>
      </w:r>
      <w:r w:rsidR="00E968A6" w:rsidRPr="009D5F48">
        <w:rPr>
          <w:sz w:val="24"/>
          <w:szCs w:val="24"/>
        </w:rPr>
        <w:t xml:space="preserve">The increase to English language test scores also means Australia </w:t>
      </w:r>
      <w:proofErr w:type="gramStart"/>
      <w:r w:rsidR="00E968A6" w:rsidRPr="009D5F48">
        <w:rPr>
          <w:sz w:val="24"/>
          <w:szCs w:val="24"/>
        </w:rPr>
        <w:t>is more aligned</w:t>
      </w:r>
      <w:proofErr w:type="gramEnd"/>
      <w:r w:rsidR="00E968A6" w:rsidRPr="009D5F48">
        <w:rPr>
          <w:sz w:val="24"/>
          <w:szCs w:val="24"/>
        </w:rPr>
        <w:t xml:space="preserve"> with competitor countries.</w:t>
      </w:r>
    </w:p>
    <w:p w14:paraId="5AD3E1C6" w14:textId="184F39AB" w:rsidR="003F5B52" w:rsidRPr="009D5F48" w:rsidRDefault="003F5B52" w:rsidP="004E284E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Lower </w:t>
      </w:r>
      <w:r w:rsidR="00045C42" w:rsidRPr="009D5F48">
        <w:rPr>
          <w:sz w:val="24"/>
          <w:szCs w:val="24"/>
        </w:rPr>
        <w:t xml:space="preserve">test </w:t>
      </w:r>
      <w:r w:rsidRPr="009D5F48">
        <w:rPr>
          <w:sz w:val="24"/>
          <w:szCs w:val="24"/>
        </w:rPr>
        <w:t xml:space="preserve">scores are specified for applicants who </w:t>
      </w:r>
      <w:r w:rsidR="004E284E" w:rsidRPr="009D5F48">
        <w:rPr>
          <w:sz w:val="24"/>
          <w:szCs w:val="24"/>
        </w:rPr>
        <w:t xml:space="preserve">are unable to achieve a test score of IELTS 6.0 (or equivalent), if they </w:t>
      </w:r>
      <w:r w:rsidRPr="009D5F48">
        <w:rPr>
          <w:sz w:val="24"/>
          <w:szCs w:val="24"/>
        </w:rPr>
        <w:t xml:space="preserve">enrol in a registered course of at least 10 or 20 weeks of </w:t>
      </w:r>
      <w:r w:rsidR="00826F5E" w:rsidRPr="009D5F48">
        <w:rPr>
          <w:sz w:val="24"/>
          <w:szCs w:val="24"/>
        </w:rPr>
        <w:t xml:space="preserve">an </w:t>
      </w:r>
      <w:r w:rsidRPr="009D5F48">
        <w:rPr>
          <w:sz w:val="24"/>
          <w:szCs w:val="24"/>
        </w:rPr>
        <w:t>English Language Intensive Course for Overseas Students (ELICOS).</w:t>
      </w:r>
    </w:p>
    <w:p w14:paraId="754C782D" w14:textId="4EC318E8" w:rsidR="00122721" w:rsidRPr="009D5F48" w:rsidRDefault="00C551B7" w:rsidP="00D167E3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T</w:t>
      </w:r>
      <w:r w:rsidR="004E284E" w:rsidRPr="009D5F48">
        <w:rPr>
          <w:sz w:val="24"/>
          <w:szCs w:val="24"/>
        </w:rPr>
        <w:t xml:space="preserve">est scores </w:t>
      </w:r>
      <w:proofErr w:type="gramStart"/>
      <w:r w:rsidRPr="009D5F48">
        <w:rPr>
          <w:sz w:val="24"/>
          <w:szCs w:val="24"/>
        </w:rPr>
        <w:t>are maintained</w:t>
      </w:r>
      <w:proofErr w:type="gramEnd"/>
      <w:r w:rsidRPr="009D5F48">
        <w:rPr>
          <w:sz w:val="24"/>
          <w:szCs w:val="24"/>
        </w:rPr>
        <w:t xml:space="preserve"> at 5.5</w:t>
      </w:r>
      <w:r w:rsidR="004E284E" w:rsidRPr="009D5F48">
        <w:rPr>
          <w:sz w:val="24"/>
          <w:szCs w:val="24"/>
        </w:rPr>
        <w:t xml:space="preserve"> for applicants</w:t>
      </w:r>
      <w:r w:rsidR="00721394" w:rsidRPr="009D5F48">
        <w:rPr>
          <w:sz w:val="24"/>
          <w:szCs w:val="24"/>
        </w:rPr>
        <w:t xml:space="preserve"> enrolled in standard or extended </w:t>
      </w:r>
      <w:r w:rsidR="00DA2A9B" w:rsidRPr="009D5F48">
        <w:rPr>
          <w:sz w:val="24"/>
          <w:szCs w:val="24"/>
        </w:rPr>
        <w:t>foundation</w:t>
      </w:r>
      <w:r w:rsidR="004E284E" w:rsidRPr="009D5F48">
        <w:rPr>
          <w:sz w:val="24"/>
          <w:szCs w:val="24"/>
        </w:rPr>
        <w:t xml:space="preserve"> </w:t>
      </w:r>
      <w:r w:rsidRPr="009D5F48">
        <w:rPr>
          <w:sz w:val="24"/>
          <w:szCs w:val="24"/>
        </w:rPr>
        <w:t xml:space="preserve">programs </w:t>
      </w:r>
      <w:r w:rsidR="004E284E" w:rsidRPr="009D5F48">
        <w:rPr>
          <w:sz w:val="24"/>
          <w:szCs w:val="24"/>
        </w:rPr>
        <w:t xml:space="preserve">or </w:t>
      </w:r>
      <w:r w:rsidRPr="009D5F48">
        <w:rPr>
          <w:sz w:val="24"/>
          <w:szCs w:val="24"/>
        </w:rPr>
        <w:t xml:space="preserve">eligible </w:t>
      </w:r>
      <w:r w:rsidR="004E284E" w:rsidRPr="009D5F48">
        <w:rPr>
          <w:sz w:val="24"/>
          <w:szCs w:val="24"/>
        </w:rPr>
        <w:t>pathway program</w:t>
      </w:r>
      <w:r w:rsidR="00DA2A9B" w:rsidRPr="009D5F48">
        <w:rPr>
          <w:sz w:val="24"/>
          <w:szCs w:val="24"/>
        </w:rPr>
        <w:t>s</w:t>
      </w:r>
      <w:r w:rsidR="004E284E" w:rsidRPr="009D5F48">
        <w:rPr>
          <w:sz w:val="24"/>
          <w:szCs w:val="24"/>
        </w:rPr>
        <w:t xml:space="preserve">. </w:t>
      </w:r>
      <w:r w:rsidR="00ED4EE7" w:rsidRPr="009D5F48">
        <w:rPr>
          <w:sz w:val="24"/>
          <w:szCs w:val="24"/>
        </w:rPr>
        <w:t>F</w:t>
      </w:r>
      <w:r w:rsidR="00D167E3" w:rsidRPr="009D5F48">
        <w:rPr>
          <w:sz w:val="24"/>
          <w:szCs w:val="24"/>
        </w:rPr>
        <w:t xml:space="preserve">oundation </w:t>
      </w:r>
      <w:r w:rsidR="00ED4EE7" w:rsidRPr="009D5F48">
        <w:rPr>
          <w:sz w:val="24"/>
          <w:szCs w:val="24"/>
        </w:rPr>
        <w:t xml:space="preserve">and pathway programs are </w:t>
      </w:r>
      <w:r w:rsidR="00D167E3" w:rsidRPr="009D5F48">
        <w:rPr>
          <w:sz w:val="24"/>
          <w:szCs w:val="24"/>
        </w:rPr>
        <w:t>course</w:t>
      </w:r>
      <w:r w:rsidR="00ED4EE7" w:rsidRPr="009D5F48">
        <w:rPr>
          <w:sz w:val="24"/>
          <w:szCs w:val="24"/>
        </w:rPr>
        <w:t>s</w:t>
      </w:r>
      <w:r w:rsidR="00D167E3" w:rsidRPr="009D5F48">
        <w:rPr>
          <w:sz w:val="24"/>
          <w:szCs w:val="24"/>
        </w:rPr>
        <w:t xml:space="preserve"> for students who have not met the academic entry requirements for their intended </w:t>
      </w:r>
      <w:r w:rsidR="00DA2A9B" w:rsidRPr="009D5F48">
        <w:rPr>
          <w:sz w:val="24"/>
          <w:szCs w:val="24"/>
        </w:rPr>
        <w:t xml:space="preserve">Australian </w:t>
      </w:r>
      <w:r w:rsidR="00D167E3" w:rsidRPr="009D5F48">
        <w:rPr>
          <w:sz w:val="24"/>
          <w:szCs w:val="24"/>
        </w:rPr>
        <w:t xml:space="preserve">undergraduate university degree. Successful completion of </w:t>
      </w:r>
      <w:r w:rsidR="00ED4EE7" w:rsidRPr="009D5F48">
        <w:rPr>
          <w:sz w:val="24"/>
          <w:szCs w:val="24"/>
        </w:rPr>
        <w:t>a</w:t>
      </w:r>
      <w:r w:rsidR="00D167E3" w:rsidRPr="009D5F48">
        <w:rPr>
          <w:sz w:val="24"/>
          <w:szCs w:val="24"/>
        </w:rPr>
        <w:t xml:space="preserve"> foundation program provides an academic entry pathway to first year undergraduate study. A pathway program leads to a qualification recognised under the Australian Qualifications Framework and provides academic credit for </w:t>
      </w:r>
      <w:r w:rsidR="00DA2A9B" w:rsidRPr="009D5F48">
        <w:rPr>
          <w:sz w:val="24"/>
          <w:szCs w:val="24"/>
        </w:rPr>
        <w:t xml:space="preserve">and </w:t>
      </w:r>
      <w:r w:rsidR="00D167E3" w:rsidRPr="009D5F48">
        <w:rPr>
          <w:sz w:val="24"/>
          <w:szCs w:val="24"/>
        </w:rPr>
        <w:t xml:space="preserve">entry to second year undergraduate study. </w:t>
      </w:r>
    </w:p>
    <w:p w14:paraId="7ACE9DD8" w14:textId="11C86BF0" w:rsidR="00AC46FA" w:rsidRPr="009D5F48" w:rsidRDefault="00ED4EE7" w:rsidP="00F8406C">
      <w:pPr>
        <w:pStyle w:val="ESPara"/>
        <w:rPr>
          <w:sz w:val="24"/>
          <w:szCs w:val="24"/>
        </w:rPr>
      </w:pPr>
      <w:r w:rsidRPr="009D5F48">
        <w:rPr>
          <w:sz w:val="24"/>
          <w:szCs w:val="24"/>
        </w:rPr>
        <w:t>The</w:t>
      </w:r>
      <w:r w:rsidR="001C25D9" w:rsidRPr="009D5F48">
        <w:rPr>
          <w:sz w:val="24"/>
          <w:szCs w:val="24"/>
        </w:rPr>
        <w:t xml:space="preserve"> instrument </w:t>
      </w:r>
      <w:r w:rsidR="003F40DD" w:rsidRPr="009D5F48">
        <w:rPr>
          <w:sz w:val="24"/>
          <w:szCs w:val="24"/>
        </w:rPr>
        <w:t xml:space="preserve">also </w:t>
      </w:r>
      <w:r w:rsidR="001C25D9" w:rsidRPr="009D5F48">
        <w:rPr>
          <w:sz w:val="24"/>
          <w:szCs w:val="24"/>
        </w:rPr>
        <w:t>specif</w:t>
      </w:r>
      <w:r w:rsidR="00305653" w:rsidRPr="009D5F48">
        <w:rPr>
          <w:sz w:val="24"/>
          <w:szCs w:val="24"/>
        </w:rPr>
        <w:t>ies</w:t>
      </w:r>
      <w:r w:rsidRPr="009D5F48">
        <w:rPr>
          <w:sz w:val="24"/>
          <w:szCs w:val="24"/>
        </w:rPr>
        <w:t xml:space="preserve"> classes of applicants to which the English language test requirements do not apply</w:t>
      </w:r>
      <w:r w:rsidR="00197D5F" w:rsidRPr="009D5F48">
        <w:rPr>
          <w:sz w:val="24"/>
          <w:szCs w:val="24"/>
        </w:rPr>
        <w:t xml:space="preserve"> under s</w:t>
      </w:r>
      <w:r w:rsidR="003D5088" w:rsidRPr="009D5F48">
        <w:rPr>
          <w:sz w:val="24"/>
          <w:szCs w:val="24"/>
        </w:rPr>
        <w:t>ubclause 500.213(2)</w:t>
      </w:r>
      <w:r w:rsidR="00F8406C" w:rsidRPr="009D5F48">
        <w:rPr>
          <w:sz w:val="24"/>
          <w:szCs w:val="24"/>
        </w:rPr>
        <w:t>, which maintains existing settings</w:t>
      </w:r>
      <w:r w:rsidR="00197D5F" w:rsidRPr="009D5F48">
        <w:rPr>
          <w:sz w:val="24"/>
          <w:szCs w:val="24"/>
        </w:rPr>
        <w:t>.</w:t>
      </w:r>
    </w:p>
    <w:p w14:paraId="7802A786" w14:textId="4ADFC467" w:rsidR="008B24C8" w:rsidRPr="009D5F48" w:rsidRDefault="008B24C8" w:rsidP="00F8406C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9D5F48">
        <w:rPr>
          <w:b/>
          <w:i/>
          <w:sz w:val="24"/>
          <w:szCs w:val="24"/>
        </w:rPr>
        <w:t>Consultation</w:t>
      </w:r>
      <w:r w:rsidR="00021553" w:rsidRPr="009D5F48">
        <w:rPr>
          <w:b/>
          <w:i/>
          <w:sz w:val="24"/>
          <w:szCs w:val="24"/>
        </w:rPr>
        <w:t xml:space="preserve"> </w:t>
      </w:r>
    </w:p>
    <w:p w14:paraId="3758D0CE" w14:textId="32F45EF2" w:rsidR="00197D5F" w:rsidRPr="009D5F48" w:rsidRDefault="00197D5F" w:rsidP="00197D5F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Cross-Government consultation </w:t>
      </w:r>
      <w:proofErr w:type="gramStart"/>
      <w:r w:rsidRPr="009D5F48">
        <w:rPr>
          <w:sz w:val="24"/>
          <w:szCs w:val="24"/>
        </w:rPr>
        <w:t>was undertaken</w:t>
      </w:r>
      <w:proofErr w:type="gramEnd"/>
      <w:r w:rsidRPr="009D5F48">
        <w:rPr>
          <w:sz w:val="24"/>
          <w:szCs w:val="24"/>
        </w:rPr>
        <w:t xml:space="preserve"> in relation to the reforms to increase the English language test scores. Stakeholder views </w:t>
      </w:r>
      <w:proofErr w:type="gramStart"/>
      <w:r w:rsidRPr="009D5F48">
        <w:rPr>
          <w:sz w:val="24"/>
          <w:szCs w:val="24"/>
        </w:rPr>
        <w:t>were also sought</w:t>
      </w:r>
      <w:proofErr w:type="gramEnd"/>
      <w:r w:rsidRPr="009D5F48">
        <w:rPr>
          <w:sz w:val="24"/>
          <w:szCs w:val="24"/>
        </w:rPr>
        <w:t xml:space="preserve"> </w:t>
      </w:r>
      <w:r w:rsidR="008A6625" w:rsidRPr="009D5F48">
        <w:rPr>
          <w:sz w:val="24"/>
          <w:szCs w:val="24"/>
        </w:rPr>
        <w:t xml:space="preserve">through </w:t>
      </w:r>
      <w:r w:rsidRPr="009D5F48">
        <w:rPr>
          <w:sz w:val="24"/>
          <w:szCs w:val="24"/>
        </w:rPr>
        <w:t>the Education Visa Consultative Committee, the Council for International Education, and a range of individual meetings with</w:t>
      </w:r>
      <w:r w:rsidR="00DA2A9B" w:rsidRPr="009D5F48">
        <w:rPr>
          <w:sz w:val="24"/>
          <w:szCs w:val="24"/>
        </w:rPr>
        <w:t xml:space="preserve"> </w:t>
      </w:r>
      <w:r w:rsidR="00271DBD" w:rsidRPr="009D5F48">
        <w:rPr>
          <w:sz w:val="24"/>
          <w:szCs w:val="24"/>
        </w:rPr>
        <w:t>International education sector providers</w:t>
      </w:r>
      <w:r w:rsidRPr="009D5F48">
        <w:rPr>
          <w:sz w:val="24"/>
          <w:szCs w:val="24"/>
        </w:rPr>
        <w:t xml:space="preserve">. Stakeholders were broadly supportive of the proposal to increase English language proficiency requirements for student and graduate visas. </w:t>
      </w:r>
      <w:r w:rsidR="00E153B9" w:rsidRPr="009D5F48">
        <w:rPr>
          <w:rStyle w:val="ui-provider"/>
          <w:sz w:val="24"/>
          <w:szCs w:val="24"/>
        </w:rPr>
        <w:t xml:space="preserve">The Department has engaged closely with the ELICOS sector who expressed the </w:t>
      </w:r>
      <w:r w:rsidR="00E153B9" w:rsidRPr="009D5F48">
        <w:rPr>
          <w:rStyle w:val="ui-provider"/>
          <w:sz w:val="24"/>
          <w:szCs w:val="24"/>
        </w:rPr>
        <w:lastRenderedPageBreak/>
        <w:t xml:space="preserve">strongest concerns about the change. </w:t>
      </w:r>
      <w:r w:rsidRPr="009D5F48">
        <w:rPr>
          <w:sz w:val="24"/>
          <w:szCs w:val="24"/>
        </w:rPr>
        <w:t>This consultation accords with s 17(1) of the Legislation Act.</w:t>
      </w:r>
    </w:p>
    <w:p w14:paraId="654F315F" w14:textId="77777777" w:rsidR="00197D5F" w:rsidRPr="009D5F48" w:rsidRDefault="00197D5F" w:rsidP="00197D5F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The Office of Impact Analysis (OIA) was consulted and considered all impact analysis requirements </w:t>
      </w:r>
      <w:proofErr w:type="gramStart"/>
      <w:r w:rsidRPr="009D5F48">
        <w:rPr>
          <w:sz w:val="24"/>
          <w:szCs w:val="24"/>
        </w:rPr>
        <w:t>have been acquitted</w:t>
      </w:r>
      <w:proofErr w:type="gramEnd"/>
      <w:r w:rsidRPr="009D5F48">
        <w:rPr>
          <w:sz w:val="24"/>
          <w:szCs w:val="24"/>
        </w:rPr>
        <w:t xml:space="preserve">. No further impact analysis is required. The OIA reference number is OBPR23-04044. </w:t>
      </w:r>
    </w:p>
    <w:p w14:paraId="389AA08B" w14:textId="77777777" w:rsidR="00805BA1" w:rsidRPr="009D5F48" w:rsidRDefault="00805BA1" w:rsidP="00805BA1">
      <w:pPr>
        <w:pStyle w:val="ESSubparaList"/>
        <w:numPr>
          <w:ilvl w:val="0"/>
          <w:numId w:val="0"/>
        </w:numPr>
        <w:rPr>
          <w:b/>
          <w:i/>
          <w:sz w:val="24"/>
          <w:szCs w:val="24"/>
        </w:rPr>
      </w:pPr>
      <w:r w:rsidRPr="009D5F48">
        <w:rPr>
          <w:b/>
          <w:i/>
          <w:sz w:val="24"/>
          <w:szCs w:val="24"/>
        </w:rPr>
        <w:t xml:space="preserve">Details of the instrument </w:t>
      </w:r>
    </w:p>
    <w:p w14:paraId="1F0DCEA3" w14:textId="2BC0BB22" w:rsidR="00805BA1" w:rsidRPr="009D5F48" w:rsidRDefault="00805BA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Details of the instrument are set </w:t>
      </w:r>
      <w:r w:rsidR="00217B76" w:rsidRPr="009D5F48">
        <w:rPr>
          <w:sz w:val="24"/>
          <w:szCs w:val="24"/>
        </w:rPr>
        <w:t xml:space="preserve">out </w:t>
      </w:r>
      <w:r w:rsidRPr="009D5F48">
        <w:rPr>
          <w:sz w:val="24"/>
          <w:szCs w:val="24"/>
        </w:rPr>
        <w:t xml:space="preserve">in </w:t>
      </w:r>
      <w:r w:rsidRPr="009D5F48">
        <w:rPr>
          <w:sz w:val="24"/>
          <w:szCs w:val="24"/>
          <w:u w:val="single"/>
        </w:rPr>
        <w:t>Attachment A.</w:t>
      </w:r>
    </w:p>
    <w:p w14:paraId="51659275" w14:textId="4DC2BBD0" w:rsidR="00AA4557" w:rsidRPr="009D5F48" w:rsidRDefault="00AA4557" w:rsidP="00100DFC">
      <w:pPr>
        <w:pStyle w:val="ESHeading"/>
        <w:rPr>
          <w:sz w:val="24"/>
          <w:szCs w:val="24"/>
        </w:rPr>
      </w:pPr>
      <w:r w:rsidRPr="009D5F48">
        <w:rPr>
          <w:sz w:val="24"/>
          <w:szCs w:val="24"/>
        </w:rPr>
        <w:t xml:space="preserve">Parliamentary scrutiny etc. </w:t>
      </w:r>
    </w:p>
    <w:p w14:paraId="40B080A6" w14:textId="37EE1E51" w:rsidR="00E03DCC" w:rsidRPr="009D5F48" w:rsidRDefault="00AA4557" w:rsidP="002D167E">
      <w:pPr>
        <w:pStyle w:val="ESPara"/>
        <w:rPr>
          <w:sz w:val="24"/>
          <w:szCs w:val="24"/>
        </w:rPr>
      </w:pPr>
      <w:r w:rsidRPr="009D5F48">
        <w:rPr>
          <w:sz w:val="24"/>
          <w:szCs w:val="24"/>
        </w:rPr>
        <w:t xml:space="preserve">The instrument </w:t>
      </w:r>
      <w:r w:rsidR="00E03DCC" w:rsidRPr="009D5F48">
        <w:rPr>
          <w:sz w:val="24"/>
          <w:szCs w:val="24"/>
        </w:rPr>
        <w:t xml:space="preserve">is </w:t>
      </w:r>
      <w:r w:rsidR="00222847" w:rsidRPr="009D5F48">
        <w:rPr>
          <w:sz w:val="24"/>
          <w:szCs w:val="24"/>
        </w:rPr>
        <w:t>exempt</w:t>
      </w:r>
      <w:r w:rsidR="00222847" w:rsidRPr="009D5F48">
        <w:rPr>
          <w:b/>
          <w:sz w:val="24"/>
          <w:szCs w:val="24"/>
        </w:rPr>
        <w:t xml:space="preserve"> </w:t>
      </w:r>
      <w:r w:rsidR="00222847" w:rsidRPr="009D5F48">
        <w:rPr>
          <w:sz w:val="24"/>
          <w:szCs w:val="24"/>
        </w:rPr>
        <w:t>from</w:t>
      </w:r>
      <w:r w:rsidR="00E03DCC" w:rsidRPr="009D5F48">
        <w:rPr>
          <w:sz w:val="24"/>
          <w:szCs w:val="24"/>
        </w:rPr>
        <w:t xml:space="preserve"> disallowance under section</w:t>
      </w:r>
      <w:r w:rsidR="002F02AB" w:rsidRPr="009D5F48">
        <w:rPr>
          <w:sz w:val="24"/>
          <w:szCs w:val="24"/>
        </w:rPr>
        <w:t xml:space="preserve"> </w:t>
      </w:r>
      <w:r w:rsidR="00E03DCC" w:rsidRPr="009D5F48">
        <w:rPr>
          <w:sz w:val="24"/>
          <w:szCs w:val="24"/>
        </w:rPr>
        <w:t xml:space="preserve">42 of the Legislation Act. </w:t>
      </w:r>
      <w:r w:rsidR="00222847" w:rsidRPr="009D5F48">
        <w:rPr>
          <w:sz w:val="24"/>
          <w:szCs w:val="24"/>
        </w:rPr>
        <w:t xml:space="preserve">This is because instruments made under Schedule 2 </w:t>
      </w:r>
      <w:r w:rsidR="00217B76" w:rsidRPr="009D5F48">
        <w:rPr>
          <w:sz w:val="24"/>
          <w:szCs w:val="24"/>
        </w:rPr>
        <w:t>to</w:t>
      </w:r>
      <w:r w:rsidR="00222847" w:rsidRPr="009D5F48">
        <w:rPr>
          <w:sz w:val="24"/>
          <w:szCs w:val="24"/>
        </w:rPr>
        <w:t xml:space="preserve"> the Migration Regulations are prescribed as being exempt from disallowance under paragraph 44(2)(b) of the Migration Regulations</w:t>
      </w:r>
      <w:r w:rsidR="0006551E" w:rsidRPr="009D5F48">
        <w:rPr>
          <w:sz w:val="24"/>
          <w:szCs w:val="24"/>
        </w:rPr>
        <w:t xml:space="preserve">. See table item 20 in regulation 10 of the </w:t>
      </w:r>
      <w:r w:rsidR="0006551E" w:rsidRPr="009D5F48">
        <w:rPr>
          <w:i/>
          <w:sz w:val="24"/>
          <w:szCs w:val="24"/>
        </w:rPr>
        <w:t>Legislation (Exemptions and Other Matters) Regulations 2015</w:t>
      </w:r>
      <w:r w:rsidR="0006551E" w:rsidRPr="009D5F48">
        <w:rPr>
          <w:sz w:val="24"/>
          <w:szCs w:val="24"/>
        </w:rPr>
        <w:t xml:space="preserve">. As the instrument is exempt from disallowance, a Statement of Compatibility with Human Rights is not required. </w:t>
      </w:r>
    </w:p>
    <w:p w14:paraId="079B1E1A" w14:textId="77777777" w:rsidR="00805BA1" w:rsidRPr="009D5F48" w:rsidRDefault="00805BA1">
      <w:pPr>
        <w:rPr>
          <w:rFonts w:ascii="Times New Roman" w:hAnsi="Times New Roman" w:cs="Times New Roman"/>
          <w:sz w:val="24"/>
          <w:szCs w:val="24"/>
        </w:rPr>
      </w:pPr>
      <w:r w:rsidRPr="009D5F48">
        <w:rPr>
          <w:rFonts w:ascii="Times New Roman" w:hAnsi="Times New Roman" w:cs="Times New Roman"/>
          <w:sz w:val="24"/>
          <w:szCs w:val="24"/>
        </w:rPr>
        <w:br w:type="page"/>
      </w:r>
    </w:p>
    <w:p w14:paraId="6D717276" w14:textId="75AC4838" w:rsidR="00805BA1" w:rsidRPr="009D5F48" w:rsidRDefault="00805BA1" w:rsidP="00805BA1">
      <w:pPr>
        <w:pStyle w:val="ESSubparaList"/>
        <w:numPr>
          <w:ilvl w:val="0"/>
          <w:numId w:val="0"/>
        </w:numPr>
        <w:jc w:val="right"/>
        <w:rPr>
          <w:b/>
          <w:sz w:val="24"/>
          <w:szCs w:val="24"/>
          <w:u w:val="single"/>
        </w:rPr>
      </w:pPr>
      <w:r w:rsidRPr="009D5F48">
        <w:rPr>
          <w:b/>
          <w:sz w:val="24"/>
          <w:szCs w:val="24"/>
          <w:u w:val="single"/>
        </w:rPr>
        <w:lastRenderedPageBreak/>
        <w:t>Attachment A</w:t>
      </w:r>
    </w:p>
    <w:p w14:paraId="2E4C41AA" w14:textId="06D67C76" w:rsidR="00805BA1" w:rsidRPr="009D5F48" w:rsidRDefault="00805BA1" w:rsidP="00805BA1">
      <w:pPr>
        <w:pStyle w:val="ESSubparaList"/>
        <w:numPr>
          <w:ilvl w:val="0"/>
          <w:numId w:val="0"/>
        </w:numPr>
        <w:rPr>
          <w:b/>
          <w:i/>
          <w:sz w:val="24"/>
          <w:szCs w:val="24"/>
        </w:rPr>
      </w:pPr>
      <w:r w:rsidRPr="009D5F48">
        <w:rPr>
          <w:b/>
          <w:i/>
          <w:sz w:val="24"/>
          <w:szCs w:val="24"/>
        </w:rPr>
        <w:t xml:space="preserve">Details of the instrument </w:t>
      </w:r>
    </w:p>
    <w:p w14:paraId="4E044654" w14:textId="77777777" w:rsidR="00805BA1" w:rsidRPr="009D5F48" w:rsidRDefault="00805BA1" w:rsidP="00805BA1">
      <w:pPr>
        <w:pStyle w:val="ESSubparaHeader"/>
        <w:numPr>
          <w:ilvl w:val="0"/>
          <w:numId w:val="9"/>
        </w:numPr>
        <w:ind w:left="567" w:hanging="567"/>
        <w:rPr>
          <w:sz w:val="24"/>
          <w:szCs w:val="24"/>
        </w:rPr>
      </w:pPr>
      <w:r w:rsidRPr="009D5F48">
        <w:rPr>
          <w:sz w:val="24"/>
          <w:szCs w:val="24"/>
        </w:rPr>
        <w:t xml:space="preserve">Section 1 provides the name of the instrument is the </w:t>
      </w:r>
      <w:r w:rsidRPr="009D5F48">
        <w:rPr>
          <w:i/>
          <w:sz w:val="24"/>
          <w:szCs w:val="24"/>
        </w:rPr>
        <w:t>Migration (English Language Tests and Evidence Exemptions for Subclass 500 (Student) Visa) Instrument (LIN 24/022) 2024</w:t>
      </w:r>
      <w:r w:rsidRPr="009D5F48">
        <w:rPr>
          <w:sz w:val="24"/>
          <w:szCs w:val="24"/>
        </w:rPr>
        <w:t xml:space="preserve">. </w:t>
      </w:r>
    </w:p>
    <w:p w14:paraId="150AF476" w14:textId="77777777" w:rsidR="00805BA1" w:rsidRPr="009D5F48" w:rsidRDefault="00805BA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Section 2 provides the instrument </w:t>
      </w:r>
      <w:proofErr w:type="gramStart"/>
      <w:r w:rsidRPr="009D5F48">
        <w:rPr>
          <w:sz w:val="24"/>
          <w:szCs w:val="24"/>
        </w:rPr>
        <w:t>commences</w:t>
      </w:r>
      <w:proofErr w:type="gramEnd"/>
      <w:r w:rsidRPr="009D5F48">
        <w:rPr>
          <w:sz w:val="24"/>
          <w:szCs w:val="24"/>
        </w:rPr>
        <w:t xml:space="preserve"> on 23 March 2024. </w:t>
      </w:r>
    </w:p>
    <w:p w14:paraId="60511494" w14:textId="77777777" w:rsidR="00805BA1" w:rsidRPr="009D5F48" w:rsidRDefault="00805BA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Section 3 provides the instrument </w:t>
      </w:r>
      <w:proofErr w:type="gramStart"/>
      <w:r w:rsidRPr="009D5F48">
        <w:rPr>
          <w:sz w:val="24"/>
          <w:szCs w:val="24"/>
        </w:rPr>
        <w:t>is</w:t>
      </w:r>
      <w:proofErr w:type="gramEnd"/>
      <w:r w:rsidRPr="009D5F48">
        <w:rPr>
          <w:sz w:val="24"/>
          <w:szCs w:val="24"/>
        </w:rPr>
        <w:t xml:space="preserve"> made under subclause 500.213(3) of Schedule 2 to the </w:t>
      </w:r>
      <w:r w:rsidRPr="009D5F48">
        <w:rPr>
          <w:i/>
          <w:sz w:val="24"/>
          <w:szCs w:val="24"/>
        </w:rPr>
        <w:t xml:space="preserve">Migration Regulations 1994 </w:t>
      </w:r>
      <w:r w:rsidRPr="009D5F48">
        <w:rPr>
          <w:sz w:val="24"/>
          <w:szCs w:val="24"/>
        </w:rPr>
        <w:t xml:space="preserve">(the Migration Regulations). </w:t>
      </w:r>
    </w:p>
    <w:p w14:paraId="218F5712" w14:textId="04CFF41B" w:rsidR="00805BA1" w:rsidRPr="009D5F48" w:rsidRDefault="00805BA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Section </w:t>
      </w:r>
      <w:proofErr w:type="gramStart"/>
      <w:r w:rsidRPr="009D5F48">
        <w:rPr>
          <w:sz w:val="24"/>
          <w:szCs w:val="24"/>
        </w:rPr>
        <w:t>4</w:t>
      </w:r>
      <w:proofErr w:type="gramEnd"/>
      <w:r w:rsidRPr="009D5F48">
        <w:rPr>
          <w:sz w:val="24"/>
          <w:szCs w:val="24"/>
        </w:rPr>
        <w:t xml:space="preserve"> sets out the definitions of terms used in the instrument. The note to section 4 provides that a number of expressions used in </w:t>
      </w:r>
      <w:r w:rsidR="00217B76" w:rsidRPr="009D5F48">
        <w:rPr>
          <w:sz w:val="24"/>
          <w:szCs w:val="24"/>
        </w:rPr>
        <w:t>the</w:t>
      </w:r>
      <w:r w:rsidRPr="009D5F48">
        <w:rPr>
          <w:sz w:val="24"/>
          <w:szCs w:val="24"/>
        </w:rPr>
        <w:t xml:space="preserve"> instrument </w:t>
      </w:r>
      <w:proofErr w:type="gramStart"/>
      <w:r w:rsidRPr="009D5F48">
        <w:rPr>
          <w:sz w:val="24"/>
          <w:szCs w:val="24"/>
        </w:rPr>
        <w:t>are</w:t>
      </w:r>
      <w:proofErr w:type="gramEnd"/>
      <w:r w:rsidRPr="009D5F48">
        <w:rPr>
          <w:sz w:val="24"/>
          <w:szCs w:val="24"/>
        </w:rPr>
        <w:t xml:space="preserve"> defined in the Migration Regulations.</w:t>
      </w:r>
    </w:p>
    <w:p w14:paraId="130C1732" w14:textId="3D1330CE" w:rsidR="00805BA1" w:rsidRPr="009D5F48" w:rsidRDefault="00805BA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Section 5 specifies the English language test requirements</w:t>
      </w:r>
      <w:r w:rsidR="00721394" w:rsidRPr="009D5F48">
        <w:rPr>
          <w:sz w:val="24"/>
          <w:szCs w:val="24"/>
        </w:rPr>
        <w:t xml:space="preserve"> an applicant must meet:</w:t>
      </w:r>
      <w:r w:rsidRPr="009D5F48">
        <w:rPr>
          <w:sz w:val="24"/>
          <w:szCs w:val="24"/>
        </w:rPr>
        <w:t xml:space="preserve"> </w:t>
      </w:r>
    </w:p>
    <w:p w14:paraId="1CC831E1" w14:textId="0EC58727" w:rsidR="00721394" w:rsidRPr="009D5F48" w:rsidRDefault="00805BA1" w:rsidP="00805BA1">
      <w:pPr>
        <w:pStyle w:val="ESSubparaList"/>
        <w:rPr>
          <w:sz w:val="24"/>
          <w:szCs w:val="24"/>
        </w:rPr>
      </w:pPr>
      <w:proofErr w:type="gramStart"/>
      <w:r w:rsidRPr="009D5F48">
        <w:rPr>
          <w:sz w:val="24"/>
          <w:szCs w:val="24"/>
        </w:rPr>
        <w:t>subsection</w:t>
      </w:r>
      <w:proofErr w:type="gramEnd"/>
      <w:r w:rsidRPr="009D5F48">
        <w:rPr>
          <w:sz w:val="24"/>
          <w:szCs w:val="24"/>
        </w:rPr>
        <w:t xml:space="preserve"> 5(1) </w:t>
      </w:r>
      <w:r w:rsidR="00E201A1" w:rsidRPr="009D5F48">
        <w:rPr>
          <w:sz w:val="24"/>
          <w:szCs w:val="24"/>
        </w:rPr>
        <w:t>specifies the requirements</w:t>
      </w:r>
      <w:r w:rsidR="00721394" w:rsidRPr="009D5F48">
        <w:rPr>
          <w:sz w:val="24"/>
          <w:szCs w:val="24"/>
        </w:rPr>
        <w:t xml:space="preserve"> for the purpose of subclause 500.213(1) of Schedule 2 to the </w:t>
      </w:r>
      <w:r w:rsidR="00E201A1" w:rsidRPr="009D5F48">
        <w:rPr>
          <w:sz w:val="24"/>
          <w:szCs w:val="24"/>
        </w:rPr>
        <w:t>Migration Regulations</w:t>
      </w:r>
      <w:r w:rsidR="00721394" w:rsidRPr="009D5F48">
        <w:rPr>
          <w:sz w:val="24"/>
          <w:szCs w:val="24"/>
        </w:rPr>
        <w:t xml:space="preserve">. Subclause 500.213(1) provides, that if required by the Minister, the applicant </w:t>
      </w:r>
      <w:proofErr w:type="gramStart"/>
      <w:r w:rsidR="00721394" w:rsidRPr="009D5F48">
        <w:rPr>
          <w:sz w:val="24"/>
          <w:szCs w:val="24"/>
        </w:rPr>
        <w:t>gives</w:t>
      </w:r>
      <w:proofErr w:type="gramEnd"/>
      <w:r w:rsidR="00721394" w:rsidRPr="009D5F48">
        <w:rPr>
          <w:sz w:val="24"/>
          <w:szCs w:val="24"/>
        </w:rPr>
        <w:t xml:space="preserve"> evidence they have a level of English language proficiency that meets the requirements specified in a legislative instrument. The requirements specified for this purpose are:</w:t>
      </w:r>
    </w:p>
    <w:p w14:paraId="51E2A1D8" w14:textId="219DB98C" w:rsidR="00805BA1" w:rsidRPr="009D5F48" w:rsidRDefault="00E201A1" w:rsidP="00721394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the </w:t>
      </w:r>
      <w:r w:rsidR="00805BA1" w:rsidRPr="009D5F48">
        <w:rPr>
          <w:sz w:val="24"/>
          <w:szCs w:val="24"/>
        </w:rPr>
        <w:t xml:space="preserve">applicant took an approved English language test, which is defined in section 4 to mean: </w:t>
      </w:r>
    </w:p>
    <w:p w14:paraId="7E67BCA6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International English Language Testing System (the IELTS);</w:t>
      </w:r>
    </w:p>
    <w:p w14:paraId="6CBD1CB2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the Test of English as a Foreign Language internet based test (the TOEFL </w:t>
      </w:r>
      <w:proofErr w:type="spellStart"/>
      <w:r w:rsidRPr="009D5F48">
        <w:rPr>
          <w:sz w:val="24"/>
          <w:szCs w:val="24"/>
        </w:rPr>
        <w:t>iBT</w:t>
      </w:r>
      <w:proofErr w:type="spellEnd"/>
      <w:r w:rsidRPr="009D5F48">
        <w:rPr>
          <w:sz w:val="24"/>
          <w:szCs w:val="24"/>
        </w:rPr>
        <w:t>);</w:t>
      </w:r>
    </w:p>
    <w:p w14:paraId="2E02C430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Cambridge English: Advanced test (the CAE) (also known as Certificate in Advanced English);</w:t>
      </w:r>
    </w:p>
    <w:p w14:paraId="3B2D3217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Pearson Test of English Academic (the PTE);</w:t>
      </w:r>
    </w:p>
    <w:p w14:paraId="4FE76F3A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Occupational English Test (the OET);</w:t>
      </w:r>
    </w:p>
    <w:p w14:paraId="7CA2D9DC" w14:textId="565A426C" w:rsidR="00805BA1" w:rsidRPr="009D5F48" w:rsidRDefault="00805BA1" w:rsidP="00721394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the applicant </w:t>
      </w:r>
      <w:r w:rsidR="00826F5E" w:rsidRPr="009D5F48">
        <w:rPr>
          <w:sz w:val="24"/>
          <w:szCs w:val="24"/>
        </w:rPr>
        <w:t>took</w:t>
      </w:r>
      <w:r w:rsidRPr="009D5F48">
        <w:rPr>
          <w:sz w:val="24"/>
          <w:szCs w:val="24"/>
        </w:rPr>
        <w:t xml:space="preserve"> the test either:</w:t>
      </w:r>
    </w:p>
    <w:p w14:paraId="0E8CCC4E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within 2 years immediately before the application is made, if evidence of the test is provided at the time the application is made; or</w:t>
      </w:r>
    </w:p>
    <w:p w14:paraId="4A8677B8" w14:textId="77777777" w:rsidR="00805BA1" w:rsidRPr="009D5F48" w:rsidRDefault="00805BA1" w:rsidP="00721394">
      <w:pPr>
        <w:pStyle w:val="ESSubparaList"/>
        <w:numPr>
          <w:ilvl w:val="3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within 2 years immediately before a decision is made on the application, if evidence of the test is not provided at the time the visa application is made;</w:t>
      </w:r>
    </w:p>
    <w:p w14:paraId="5A77F72E" w14:textId="248A5510" w:rsidR="00721394" w:rsidRPr="009D5F48" w:rsidRDefault="00721394" w:rsidP="00721394">
      <w:pPr>
        <w:pStyle w:val="ESSubparaList"/>
        <w:numPr>
          <w:ilvl w:val="2"/>
          <w:numId w:val="1"/>
        </w:numPr>
        <w:rPr>
          <w:sz w:val="24"/>
          <w:szCs w:val="24"/>
        </w:rPr>
      </w:pPr>
      <w:proofErr w:type="gramStart"/>
      <w:r w:rsidRPr="009D5F48">
        <w:rPr>
          <w:sz w:val="24"/>
          <w:szCs w:val="24"/>
        </w:rPr>
        <w:lastRenderedPageBreak/>
        <w:t>the</w:t>
      </w:r>
      <w:proofErr w:type="gramEnd"/>
      <w:r w:rsidRPr="009D5F48">
        <w:rPr>
          <w:sz w:val="24"/>
          <w:szCs w:val="24"/>
        </w:rPr>
        <w:t xml:space="preserve"> applicant satisfie</w:t>
      </w:r>
      <w:r w:rsidR="007D6849" w:rsidRPr="009D5F48">
        <w:rPr>
          <w:sz w:val="24"/>
          <w:szCs w:val="24"/>
        </w:rPr>
        <w:t>d the</w:t>
      </w:r>
      <w:r w:rsidRPr="009D5F48">
        <w:rPr>
          <w:sz w:val="24"/>
          <w:szCs w:val="24"/>
        </w:rPr>
        <w:t xml:space="preserve"> English language test score requir</w:t>
      </w:r>
      <w:r w:rsidR="007D6849" w:rsidRPr="009D5F48">
        <w:rPr>
          <w:sz w:val="24"/>
          <w:szCs w:val="24"/>
        </w:rPr>
        <w:t xml:space="preserve">ements in subsections (2), (3) or </w:t>
      </w:r>
      <w:r w:rsidRPr="009D5F48">
        <w:rPr>
          <w:sz w:val="24"/>
          <w:szCs w:val="24"/>
        </w:rPr>
        <w:t>(4</w:t>
      </w:r>
      <w:r w:rsidR="007D6849" w:rsidRPr="009D5F48">
        <w:rPr>
          <w:sz w:val="24"/>
          <w:szCs w:val="24"/>
        </w:rPr>
        <w:t>)</w:t>
      </w:r>
      <w:r w:rsidRPr="009D5F48">
        <w:rPr>
          <w:sz w:val="24"/>
          <w:szCs w:val="24"/>
        </w:rPr>
        <w:t>.</w:t>
      </w:r>
      <w:r w:rsidR="007D6849" w:rsidRPr="009D5F48">
        <w:rPr>
          <w:sz w:val="24"/>
          <w:szCs w:val="24"/>
        </w:rPr>
        <w:t xml:space="preserve"> The applicant is</w:t>
      </w:r>
      <w:r w:rsidR="00E201A1" w:rsidRPr="009D5F48">
        <w:rPr>
          <w:sz w:val="24"/>
          <w:szCs w:val="24"/>
        </w:rPr>
        <w:t xml:space="preserve"> required to meet the requirements set out in </w:t>
      </w:r>
      <w:r w:rsidR="007D6849" w:rsidRPr="009D5F48">
        <w:rPr>
          <w:sz w:val="24"/>
          <w:szCs w:val="24"/>
        </w:rPr>
        <w:t xml:space="preserve">only </w:t>
      </w:r>
      <w:r w:rsidR="00E201A1" w:rsidRPr="009D5F48">
        <w:rPr>
          <w:sz w:val="24"/>
          <w:szCs w:val="24"/>
        </w:rPr>
        <w:t>one of these subsections. The required English language test scores are set out against each of the approved English language tests in Schedule 1.</w:t>
      </w:r>
    </w:p>
    <w:p w14:paraId="23ABAE34" w14:textId="017F3171" w:rsidR="00805BA1" w:rsidRPr="009D5F48" w:rsidRDefault="00721394" w:rsidP="00721394">
      <w:pPr>
        <w:pStyle w:val="ESSubparaList"/>
        <w:rPr>
          <w:sz w:val="24"/>
          <w:szCs w:val="24"/>
        </w:rPr>
      </w:pPr>
      <w:proofErr w:type="gramStart"/>
      <w:r w:rsidRPr="009D5F48">
        <w:rPr>
          <w:sz w:val="24"/>
          <w:szCs w:val="24"/>
        </w:rPr>
        <w:t>subsection</w:t>
      </w:r>
      <w:proofErr w:type="gramEnd"/>
      <w:r w:rsidRPr="009D5F48">
        <w:rPr>
          <w:sz w:val="24"/>
          <w:szCs w:val="24"/>
        </w:rPr>
        <w:t xml:space="preserve"> 5(2</w:t>
      </w:r>
      <w:r w:rsidR="00805BA1" w:rsidRPr="009D5F48">
        <w:rPr>
          <w:sz w:val="24"/>
          <w:szCs w:val="24"/>
        </w:rPr>
        <w:t>) provides</w:t>
      </w:r>
      <w:r w:rsidR="007D6849" w:rsidRPr="009D5F48">
        <w:rPr>
          <w:sz w:val="24"/>
          <w:szCs w:val="24"/>
        </w:rPr>
        <w:t xml:space="preserve"> that</w:t>
      </w:r>
      <w:r w:rsidR="00805BA1" w:rsidRPr="009D5F48">
        <w:rPr>
          <w:sz w:val="24"/>
          <w:szCs w:val="24"/>
        </w:rPr>
        <w:t xml:space="preserve"> </w:t>
      </w:r>
      <w:r w:rsidRPr="009D5F48">
        <w:rPr>
          <w:sz w:val="24"/>
          <w:szCs w:val="24"/>
        </w:rPr>
        <w:t xml:space="preserve">the applicant </w:t>
      </w:r>
      <w:r w:rsidR="00826F5E" w:rsidRPr="009D5F48">
        <w:rPr>
          <w:sz w:val="24"/>
          <w:szCs w:val="24"/>
        </w:rPr>
        <w:t xml:space="preserve">must have </w:t>
      </w:r>
      <w:r w:rsidRPr="009D5F48">
        <w:rPr>
          <w:sz w:val="24"/>
          <w:szCs w:val="24"/>
        </w:rPr>
        <w:t xml:space="preserve">achieved the required English language test score set out in Column 2 of Schedule 1. </w:t>
      </w:r>
      <w:r w:rsidR="00805BA1" w:rsidRPr="009D5F48">
        <w:rPr>
          <w:sz w:val="24"/>
          <w:szCs w:val="24"/>
        </w:rPr>
        <w:t xml:space="preserve">Column 2 sets out the new minimum test scores required to </w:t>
      </w:r>
      <w:proofErr w:type="gramStart"/>
      <w:r w:rsidR="00805BA1" w:rsidRPr="009D5F48">
        <w:rPr>
          <w:sz w:val="24"/>
          <w:szCs w:val="24"/>
        </w:rPr>
        <w:t>be achieved</w:t>
      </w:r>
      <w:proofErr w:type="gramEnd"/>
      <w:r w:rsidR="00805BA1" w:rsidRPr="009D5F48">
        <w:rPr>
          <w:sz w:val="24"/>
          <w:szCs w:val="24"/>
        </w:rPr>
        <w:t>.</w:t>
      </w:r>
      <w:r w:rsidR="007D5671" w:rsidRPr="009D5F48">
        <w:rPr>
          <w:sz w:val="24"/>
          <w:szCs w:val="24"/>
        </w:rPr>
        <w:t xml:space="preserve">  </w:t>
      </w:r>
    </w:p>
    <w:p w14:paraId="12E664C4" w14:textId="2CAC46EC" w:rsidR="00805BA1" w:rsidRPr="009D5F48" w:rsidRDefault="00805BA1" w:rsidP="00721394">
      <w:pPr>
        <w:pStyle w:val="ESSubparaList"/>
        <w:rPr>
          <w:sz w:val="24"/>
          <w:szCs w:val="24"/>
        </w:rPr>
      </w:pPr>
      <w:proofErr w:type="gramStart"/>
      <w:r w:rsidRPr="009D5F48">
        <w:rPr>
          <w:sz w:val="24"/>
          <w:szCs w:val="24"/>
        </w:rPr>
        <w:t>subsection 5(</w:t>
      </w:r>
      <w:r w:rsidR="00721394" w:rsidRPr="009D5F48">
        <w:rPr>
          <w:sz w:val="24"/>
          <w:szCs w:val="24"/>
        </w:rPr>
        <w:t>3</w:t>
      </w:r>
      <w:r w:rsidRPr="009D5F48">
        <w:rPr>
          <w:sz w:val="24"/>
          <w:szCs w:val="24"/>
        </w:rPr>
        <w:t xml:space="preserve">) provides </w:t>
      </w:r>
      <w:r w:rsidR="007D5671" w:rsidRPr="009D5F48">
        <w:rPr>
          <w:sz w:val="24"/>
          <w:szCs w:val="24"/>
        </w:rPr>
        <w:t xml:space="preserve">that, if the applicant has enrolled in at least 10 weeks of </w:t>
      </w:r>
      <w:r w:rsidR="00826F5E" w:rsidRPr="009D5F48">
        <w:rPr>
          <w:sz w:val="24"/>
          <w:szCs w:val="24"/>
        </w:rPr>
        <w:t xml:space="preserve">an </w:t>
      </w:r>
      <w:r w:rsidR="007D5671" w:rsidRPr="009D5F48">
        <w:rPr>
          <w:sz w:val="24"/>
          <w:szCs w:val="24"/>
        </w:rPr>
        <w:t xml:space="preserve">ELICOS in addition to their principal course, or has enrolled in </w:t>
      </w:r>
      <w:r w:rsidR="00826F5E" w:rsidRPr="009D5F48">
        <w:rPr>
          <w:sz w:val="24"/>
          <w:szCs w:val="24"/>
        </w:rPr>
        <w:t>a standard foundation program, an extended foundation program or an eligible pathway program</w:t>
      </w:r>
      <w:r w:rsidR="007D5671" w:rsidRPr="009D5F48">
        <w:rPr>
          <w:sz w:val="24"/>
          <w:szCs w:val="24"/>
        </w:rPr>
        <w:t xml:space="preserve">, </w:t>
      </w:r>
      <w:r w:rsidRPr="009D5F48">
        <w:rPr>
          <w:sz w:val="24"/>
          <w:szCs w:val="24"/>
        </w:rPr>
        <w:t xml:space="preserve">the applicant </w:t>
      </w:r>
      <w:r w:rsidR="00826F5E" w:rsidRPr="009D5F48">
        <w:rPr>
          <w:sz w:val="24"/>
          <w:szCs w:val="24"/>
        </w:rPr>
        <w:t xml:space="preserve">must have </w:t>
      </w:r>
      <w:r w:rsidRPr="009D5F48">
        <w:rPr>
          <w:sz w:val="24"/>
          <w:szCs w:val="24"/>
        </w:rPr>
        <w:t>achieve</w:t>
      </w:r>
      <w:r w:rsidR="00721394" w:rsidRPr="009D5F48">
        <w:rPr>
          <w:sz w:val="24"/>
          <w:szCs w:val="24"/>
        </w:rPr>
        <w:t>d</w:t>
      </w:r>
      <w:r w:rsidRPr="009D5F48">
        <w:rPr>
          <w:sz w:val="24"/>
          <w:szCs w:val="24"/>
        </w:rPr>
        <w:t xml:space="preserve"> the required English language test sc</w:t>
      </w:r>
      <w:r w:rsidR="00721394" w:rsidRPr="009D5F48">
        <w:rPr>
          <w:sz w:val="24"/>
          <w:szCs w:val="24"/>
        </w:rPr>
        <w:t xml:space="preserve">ore </w:t>
      </w:r>
      <w:r w:rsidR="00C775AB" w:rsidRPr="009D5F48">
        <w:rPr>
          <w:sz w:val="24"/>
          <w:szCs w:val="24"/>
        </w:rPr>
        <w:t>set out</w:t>
      </w:r>
      <w:r w:rsidR="00721394" w:rsidRPr="009D5F48">
        <w:rPr>
          <w:sz w:val="24"/>
          <w:szCs w:val="24"/>
        </w:rPr>
        <w:t xml:space="preserve"> in Column 3</w:t>
      </w:r>
      <w:r w:rsidR="00E201A1" w:rsidRPr="009D5F48">
        <w:rPr>
          <w:sz w:val="24"/>
          <w:szCs w:val="24"/>
        </w:rPr>
        <w:t xml:space="preserve"> of Schedule 1</w:t>
      </w:r>
      <w:r w:rsidR="007D5671" w:rsidRPr="009D5F48">
        <w:rPr>
          <w:sz w:val="24"/>
          <w:szCs w:val="24"/>
        </w:rPr>
        <w:t>, which is lower than the score required in Column 2.</w:t>
      </w:r>
      <w:proofErr w:type="gramEnd"/>
      <w:r w:rsidR="007D5671" w:rsidRPr="009D5F48">
        <w:rPr>
          <w:sz w:val="24"/>
          <w:szCs w:val="24"/>
        </w:rPr>
        <w:t xml:space="preserve"> </w:t>
      </w:r>
    </w:p>
    <w:p w14:paraId="0893A119" w14:textId="1554FA9B" w:rsidR="00C775AB" w:rsidRPr="009D5F48" w:rsidRDefault="00C775AB" w:rsidP="00C775AB">
      <w:pPr>
        <w:pStyle w:val="ESSubparaList"/>
        <w:rPr>
          <w:sz w:val="24"/>
          <w:szCs w:val="24"/>
        </w:rPr>
      </w:pPr>
      <w:proofErr w:type="gramStart"/>
      <w:r w:rsidRPr="009D5F48">
        <w:rPr>
          <w:sz w:val="24"/>
          <w:szCs w:val="24"/>
        </w:rPr>
        <w:t>subsection</w:t>
      </w:r>
      <w:proofErr w:type="gramEnd"/>
      <w:r w:rsidRPr="009D5F48">
        <w:rPr>
          <w:sz w:val="24"/>
          <w:szCs w:val="24"/>
        </w:rPr>
        <w:t xml:space="preserve"> 5(4) provides</w:t>
      </w:r>
      <w:r w:rsidR="007D5671" w:rsidRPr="009D5F48">
        <w:rPr>
          <w:sz w:val="24"/>
          <w:szCs w:val="24"/>
        </w:rPr>
        <w:t xml:space="preserve"> that,</w:t>
      </w:r>
      <w:r w:rsidRPr="009D5F48">
        <w:rPr>
          <w:sz w:val="24"/>
          <w:szCs w:val="24"/>
        </w:rPr>
        <w:t xml:space="preserve"> </w:t>
      </w:r>
      <w:r w:rsidR="007D5671" w:rsidRPr="009D5F48">
        <w:rPr>
          <w:sz w:val="24"/>
          <w:szCs w:val="24"/>
        </w:rPr>
        <w:t>if the applicant has enrolled in at least 20 weeks of ELICOS in addition to their principa</w:t>
      </w:r>
      <w:r w:rsidR="00826F5E" w:rsidRPr="009D5F48">
        <w:rPr>
          <w:sz w:val="24"/>
          <w:szCs w:val="24"/>
        </w:rPr>
        <w:t>l course,</w:t>
      </w:r>
      <w:r w:rsidR="007D5671" w:rsidRPr="009D5F48">
        <w:rPr>
          <w:sz w:val="24"/>
          <w:szCs w:val="24"/>
        </w:rPr>
        <w:t xml:space="preserve"> the applicant </w:t>
      </w:r>
      <w:r w:rsidR="00AC3497" w:rsidRPr="009D5F48">
        <w:rPr>
          <w:sz w:val="24"/>
          <w:szCs w:val="24"/>
        </w:rPr>
        <w:t xml:space="preserve">must have </w:t>
      </w:r>
      <w:r w:rsidR="007D5671" w:rsidRPr="009D5F48">
        <w:rPr>
          <w:sz w:val="24"/>
          <w:szCs w:val="24"/>
        </w:rPr>
        <w:t>achieved the required English language test score set out in Column 4 of Schedule 1, which is lower than the score required in Column 2</w:t>
      </w:r>
      <w:r w:rsidR="00AC3497" w:rsidRPr="009D5F48">
        <w:rPr>
          <w:sz w:val="24"/>
          <w:szCs w:val="24"/>
        </w:rPr>
        <w:t xml:space="preserve"> and 3</w:t>
      </w:r>
      <w:r w:rsidR="007D5671" w:rsidRPr="009D5F48">
        <w:rPr>
          <w:sz w:val="24"/>
          <w:szCs w:val="24"/>
        </w:rPr>
        <w:t>.</w:t>
      </w:r>
    </w:p>
    <w:p w14:paraId="45F8CEAC" w14:textId="21814D65" w:rsidR="00805BA1" w:rsidRPr="009D5F48" w:rsidRDefault="00805BA1" w:rsidP="00DA2A9B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Column 3 and Column 4 of Schedule 1 specify lower test scores for applicants who are unable to achieve the benchmark score of IELTS 6.0 (or equivalent)</w:t>
      </w:r>
      <w:r w:rsidR="007D5671" w:rsidRPr="009D5F48">
        <w:rPr>
          <w:sz w:val="24"/>
          <w:szCs w:val="24"/>
        </w:rPr>
        <w:t xml:space="preserve"> specified in Column 2</w:t>
      </w:r>
      <w:r w:rsidRPr="009D5F48">
        <w:rPr>
          <w:sz w:val="24"/>
          <w:szCs w:val="24"/>
        </w:rPr>
        <w:t xml:space="preserve">, provided the applicant also provides evidence of enrolment in at least 10 or 20 weeks of ELICOS. </w:t>
      </w:r>
      <w:r w:rsidR="0056483F" w:rsidRPr="009D5F48">
        <w:rPr>
          <w:sz w:val="24"/>
          <w:szCs w:val="24"/>
        </w:rPr>
        <w:t>Enrolment in t</w:t>
      </w:r>
      <w:r w:rsidRPr="009D5F48">
        <w:rPr>
          <w:sz w:val="24"/>
          <w:szCs w:val="24"/>
        </w:rPr>
        <w:t xml:space="preserve">he relevant period of ELICOS must </w:t>
      </w:r>
      <w:r w:rsidR="007D5671" w:rsidRPr="009D5F48">
        <w:rPr>
          <w:sz w:val="24"/>
          <w:szCs w:val="24"/>
        </w:rPr>
        <w:t xml:space="preserve">be in addition to the principal course of study and the ELICOS must commence after the Student visa </w:t>
      </w:r>
      <w:r w:rsidR="00B121CD" w:rsidRPr="009D5F48">
        <w:rPr>
          <w:sz w:val="24"/>
          <w:szCs w:val="24"/>
        </w:rPr>
        <w:t xml:space="preserve">application </w:t>
      </w:r>
      <w:proofErr w:type="gramStart"/>
      <w:r w:rsidR="00B121CD" w:rsidRPr="009D5F48">
        <w:rPr>
          <w:sz w:val="24"/>
          <w:szCs w:val="24"/>
        </w:rPr>
        <w:t>is made</w:t>
      </w:r>
      <w:proofErr w:type="gramEnd"/>
      <w:r w:rsidRPr="009D5F48">
        <w:rPr>
          <w:sz w:val="24"/>
          <w:szCs w:val="24"/>
        </w:rPr>
        <w:t>.</w:t>
      </w:r>
      <w:r w:rsidR="0056483F" w:rsidRPr="009D5F48">
        <w:rPr>
          <w:sz w:val="24"/>
          <w:szCs w:val="24"/>
        </w:rPr>
        <w:t xml:space="preserve"> </w:t>
      </w:r>
      <w:r w:rsidR="00B121CD" w:rsidRPr="009D5F48">
        <w:rPr>
          <w:sz w:val="24"/>
          <w:szCs w:val="24"/>
        </w:rPr>
        <w:t xml:space="preserve"> </w:t>
      </w:r>
      <w:r w:rsidR="00365376" w:rsidRPr="009D5F48">
        <w:rPr>
          <w:sz w:val="24"/>
          <w:szCs w:val="24"/>
        </w:rPr>
        <w:t xml:space="preserve">Evidence of </w:t>
      </w:r>
      <w:r w:rsidR="0056483F" w:rsidRPr="009D5F48">
        <w:rPr>
          <w:sz w:val="24"/>
          <w:szCs w:val="24"/>
        </w:rPr>
        <w:t xml:space="preserve">ELICOS undertaken prior to lodging a visa application will not be </w:t>
      </w:r>
      <w:r w:rsidR="00365376" w:rsidRPr="009D5F48">
        <w:rPr>
          <w:sz w:val="24"/>
          <w:szCs w:val="24"/>
        </w:rPr>
        <w:t>eligible for consideration</w:t>
      </w:r>
      <w:r w:rsidR="0056483F" w:rsidRPr="009D5F48">
        <w:rPr>
          <w:sz w:val="24"/>
          <w:szCs w:val="24"/>
        </w:rPr>
        <w:t>.</w:t>
      </w:r>
      <w:r w:rsidR="007D5671" w:rsidRPr="009D5F48">
        <w:rPr>
          <w:sz w:val="24"/>
          <w:szCs w:val="24"/>
        </w:rPr>
        <w:t xml:space="preserve"> </w:t>
      </w:r>
      <w:r w:rsidR="003760F4" w:rsidRPr="009D5F48">
        <w:rPr>
          <w:sz w:val="24"/>
          <w:szCs w:val="24"/>
        </w:rPr>
        <w:t xml:space="preserve"> This maintains the current setting that a lower score is available where a course </w:t>
      </w:r>
      <w:proofErr w:type="gramStart"/>
      <w:r w:rsidR="003760F4" w:rsidRPr="009D5F48">
        <w:rPr>
          <w:sz w:val="24"/>
          <w:szCs w:val="24"/>
        </w:rPr>
        <w:t>is packaged</w:t>
      </w:r>
      <w:proofErr w:type="gramEnd"/>
      <w:r w:rsidR="003760F4" w:rsidRPr="009D5F48">
        <w:rPr>
          <w:sz w:val="24"/>
          <w:szCs w:val="24"/>
        </w:rPr>
        <w:t xml:space="preserve"> with the required ELICOS study. </w:t>
      </w:r>
    </w:p>
    <w:p w14:paraId="108610F5" w14:textId="798218DA" w:rsidR="003760F4" w:rsidRPr="009D5F48" w:rsidRDefault="003760F4" w:rsidP="00C775AB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Column 3 of Schedule 1 also specifies a lower</w:t>
      </w:r>
      <w:r w:rsidR="00030C4B" w:rsidRPr="009D5F48">
        <w:rPr>
          <w:sz w:val="24"/>
          <w:szCs w:val="24"/>
        </w:rPr>
        <w:t xml:space="preserve"> score for the foundation and pathway programs. </w:t>
      </w:r>
      <w:r w:rsidRPr="009D5F48">
        <w:rPr>
          <w:sz w:val="24"/>
          <w:szCs w:val="24"/>
        </w:rPr>
        <w:t xml:space="preserve">This maintains the score of 5.5 (or equivalent) currently required for foundation and pathway programs. </w:t>
      </w:r>
    </w:p>
    <w:p w14:paraId="76E3F9E4" w14:textId="37A21148" w:rsidR="00805BA1" w:rsidRPr="009D5F48" w:rsidRDefault="00805BA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Section </w:t>
      </w:r>
      <w:proofErr w:type="gramStart"/>
      <w:r w:rsidRPr="009D5F48">
        <w:rPr>
          <w:sz w:val="24"/>
          <w:szCs w:val="24"/>
        </w:rPr>
        <w:t>6</w:t>
      </w:r>
      <w:proofErr w:type="gramEnd"/>
      <w:r w:rsidRPr="009D5F48">
        <w:rPr>
          <w:sz w:val="24"/>
          <w:szCs w:val="24"/>
        </w:rPr>
        <w:t xml:space="preserve"> sets out the classes of applicants to which subclause 500.213(1) of Schedule 2 to the Migration Regulations does not apply. Applicants within </w:t>
      </w:r>
      <w:r w:rsidR="00217B76" w:rsidRPr="009D5F48">
        <w:rPr>
          <w:sz w:val="24"/>
          <w:szCs w:val="24"/>
        </w:rPr>
        <w:t>the specified</w:t>
      </w:r>
      <w:r w:rsidRPr="009D5F48">
        <w:rPr>
          <w:sz w:val="24"/>
          <w:szCs w:val="24"/>
        </w:rPr>
        <w:t xml:space="preserve"> </w:t>
      </w:r>
      <w:r w:rsidR="00217B76" w:rsidRPr="009D5F48">
        <w:rPr>
          <w:sz w:val="24"/>
          <w:szCs w:val="24"/>
        </w:rPr>
        <w:t xml:space="preserve">class </w:t>
      </w:r>
      <w:r w:rsidRPr="009D5F48">
        <w:rPr>
          <w:sz w:val="24"/>
          <w:szCs w:val="24"/>
        </w:rPr>
        <w:t>are not required to meet the English language requirements specified for subclause 500.213(1).</w:t>
      </w:r>
    </w:p>
    <w:p w14:paraId="22F69A7D" w14:textId="6EA7CC51" w:rsidR="00805BA1" w:rsidRPr="009D5F48" w:rsidRDefault="00805BA1" w:rsidP="00805BA1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>paragraph 6(1)(a) provides the requirements of subclause 500.213(1) do not apply to an applicant who is a citizen of and who holds a valid passport issued by:</w:t>
      </w:r>
    </w:p>
    <w:p w14:paraId="69916E39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United Kingdom;</w:t>
      </w:r>
    </w:p>
    <w:p w14:paraId="0B3E5F1F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United States of America;</w:t>
      </w:r>
    </w:p>
    <w:p w14:paraId="72D3D6A4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lastRenderedPageBreak/>
        <w:t>Canada;</w:t>
      </w:r>
    </w:p>
    <w:p w14:paraId="43DE3C20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New Zealand; or</w:t>
      </w:r>
    </w:p>
    <w:p w14:paraId="3FB57CDA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the Republic of Ireland;</w:t>
      </w:r>
    </w:p>
    <w:p w14:paraId="3083A03F" w14:textId="09351D0F" w:rsidR="00805BA1" w:rsidRPr="009D5F48" w:rsidRDefault="00805BA1" w:rsidP="00805BA1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 xml:space="preserve">paragraph 6(1)(b) provides the requirements of subclause 500.213(1) do not apply to an applicant who is enrolled </w:t>
      </w:r>
      <w:r w:rsidR="001B06E6" w:rsidRPr="009D5F48">
        <w:rPr>
          <w:sz w:val="24"/>
          <w:szCs w:val="24"/>
        </w:rPr>
        <w:t>one of the following courses, where that is the only course being undertaken on the visa (</w:t>
      </w:r>
      <w:proofErr w:type="spellStart"/>
      <w:r w:rsidR="001B06E6" w:rsidRPr="009D5F48">
        <w:rPr>
          <w:sz w:val="24"/>
          <w:szCs w:val="24"/>
        </w:rPr>
        <w:t>ie</w:t>
      </w:r>
      <w:proofErr w:type="spellEnd"/>
      <w:r w:rsidR="001B06E6" w:rsidRPr="009D5F48">
        <w:rPr>
          <w:sz w:val="24"/>
          <w:szCs w:val="24"/>
        </w:rPr>
        <w:t>, is not part of a package of courses):</w:t>
      </w:r>
    </w:p>
    <w:p w14:paraId="44A75DB0" w14:textId="51507841" w:rsidR="00805BA1" w:rsidRPr="009D5F48" w:rsidRDefault="001B06E6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a course of study that is </w:t>
      </w:r>
      <w:r w:rsidR="00805BA1" w:rsidRPr="009D5F48">
        <w:rPr>
          <w:sz w:val="24"/>
          <w:szCs w:val="24"/>
        </w:rPr>
        <w:t>registered to be delivered in a language other than English;</w:t>
      </w:r>
    </w:p>
    <w:p w14:paraId="63C209BE" w14:textId="43FC2154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a</w:t>
      </w:r>
      <w:r w:rsidR="001B06E6" w:rsidRPr="009D5F48">
        <w:rPr>
          <w:sz w:val="24"/>
          <w:szCs w:val="24"/>
        </w:rPr>
        <w:t>n</w:t>
      </w:r>
      <w:r w:rsidRPr="009D5F48">
        <w:rPr>
          <w:sz w:val="24"/>
          <w:szCs w:val="24"/>
        </w:rPr>
        <w:t xml:space="preserve"> ELICOS;</w:t>
      </w:r>
    </w:p>
    <w:p w14:paraId="25FCB1F0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a registered school course; or </w:t>
      </w:r>
    </w:p>
    <w:p w14:paraId="6A431DF3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a registered post-graduate research course;</w:t>
      </w:r>
    </w:p>
    <w:p w14:paraId="2BE0E458" w14:textId="77777777" w:rsidR="00805BA1" w:rsidRPr="009D5F48" w:rsidRDefault="00805BA1" w:rsidP="00805BA1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>paragraph 6(1)(c) provides the requirements of subclause 500.213(1) do not apply to an applicant who is a:</w:t>
      </w:r>
    </w:p>
    <w:p w14:paraId="6DA4E17A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Foreign Affairs student;</w:t>
      </w:r>
    </w:p>
    <w:p w14:paraId="696AF988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>Defence student; or</w:t>
      </w:r>
    </w:p>
    <w:p w14:paraId="47F3CC1E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Secondary exchange student; </w:t>
      </w:r>
    </w:p>
    <w:p w14:paraId="6EEA8272" w14:textId="77777777" w:rsidR="00805BA1" w:rsidRPr="009D5F48" w:rsidRDefault="00805BA1" w:rsidP="00805BA1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>paragraph 6(1)(d) provides the requirements of subclause 500.213(1) do not apply to an applicant who in the 2 years before applying for a Subclass 500 (Student) visa, has successfully completed:</w:t>
      </w:r>
    </w:p>
    <w:p w14:paraId="359B50AB" w14:textId="06AE6A6B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the requirements for a Senior Secondary Certificate of Education conducted in Australia and in English; </w:t>
      </w:r>
      <w:r w:rsidR="00217B76" w:rsidRPr="009D5F48">
        <w:rPr>
          <w:sz w:val="24"/>
          <w:szCs w:val="24"/>
        </w:rPr>
        <w:t>or</w:t>
      </w:r>
    </w:p>
    <w:p w14:paraId="22727056" w14:textId="77777777" w:rsidR="00805BA1" w:rsidRPr="009D5F48" w:rsidRDefault="00805BA1" w:rsidP="00805BA1">
      <w:pPr>
        <w:pStyle w:val="ESSubparaList"/>
        <w:numPr>
          <w:ilvl w:val="2"/>
          <w:numId w:val="1"/>
        </w:numPr>
        <w:rPr>
          <w:sz w:val="24"/>
          <w:szCs w:val="24"/>
        </w:rPr>
      </w:pPr>
      <w:r w:rsidRPr="009D5F48">
        <w:rPr>
          <w:sz w:val="24"/>
          <w:szCs w:val="24"/>
        </w:rPr>
        <w:t xml:space="preserve">a substantial component of a course leading to a qualification from the Australian Qualifications Framework at the Certificate IV level or higher that was conducted in Australia and in English, while the applicant was holding a student visa; </w:t>
      </w:r>
    </w:p>
    <w:p w14:paraId="1B4C6045" w14:textId="77777777" w:rsidR="00805BA1" w:rsidRPr="009D5F48" w:rsidRDefault="00805BA1" w:rsidP="00805BA1">
      <w:pPr>
        <w:pStyle w:val="ESSubparaList"/>
        <w:rPr>
          <w:sz w:val="24"/>
          <w:szCs w:val="24"/>
        </w:rPr>
      </w:pPr>
      <w:r w:rsidRPr="009D5F48">
        <w:rPr>
          <w:sz w:val="24"/>
          <w:szCs w:val="24"/>
        </w:rPr>
        <w:t>paragraph 6(1)(e) provides the requirements of subclause 500.213(1) do not apply to an applicant who has successfully completed a minimum of 5 years of study in English undertaken in any of the following countries: Australia; Canada; New Zealand; South Africa; the Republic of Ireland; the United Kingdom; the United States of America.</w:t>
      </w:r>
    </w:p>
    <w:p w14:paraId="5C16066A" w14:textId="3899777B" w:rsidR="00805BA1" w:rsidRPr="009D5F48" w:rsidRDefault="00257EF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lastRenderedPageBreak/>
        <w:t>Section 7</w:t>
      </w:r>
      <w:r w:rsidR="00805BA1" w:rsidRPr="009D5F48">
        <w:rPr>
          <w:sz w:val="24"/>
          <w:szCs w:val="24"/>
        </w:rPr>
        <w:t xml:space="preserve"> provides this instrument </w:t>
      </w:r>
      <w:proofErr w:type="gramStart"/>
      <w:r w:rsidR="00805BA1" w:rsidRPr="009D5F48">
        <w:rPr>
          <w:sz w:val="24"/>
          <w:szCs w:val="24"/>
        </w:rPr>
        <w:t>applies</w:t>
      </w:r>
      <w:proofErr w:type="gramEnd"/>
      <w:r w:rsidR="00805BA1" w:rsidRPr="009D5F48">
        <w:rPr>
          <w:sz w:val="24"/>
          <w:szCs w:val="24"/>
        </w:rPr>
        <w:t xml:space="preserve"> to an application for a Subclass 500 (Student) visa made on or after the commencement of this instrument.</w:t>
      </w:r>
    </w:p>
    <w:p w14:paraId="5400F80F" w14:textId="19C8D089" w:rsidR="00805BA1" w:rsidRPr="009D5F48" w:rsidRDefault="00257EF1" w:rsidP="00805BA1">
      <w:pPr>
        <w:pStyle w:val="ESSubparaHeader"/>
        <w:rPr>
          <w:i/>
          <w:sz w:val="24"/>
          <w:szCs w:val="24"/>
        </w:rPr>
      </w:pPr>
      <w:r w:rsidRPr="009D5F48">
        <w:rPr>
          <w:sz w:val="24"/>
          <w:szCs w:val="24"/>
        </w:rPr>
        <w:t>Section 8</w:t>
      </w:r>
      <w:r w:rsidR="00805BA1" w:rsidRPr="009D5F48">
        <w:rPr>
          <w:sz w:val="24"/>
          <w:szCs w:val="24"/>
        </w:rPr>
        <w:t xml:space="preserve"> repeals the instrument </w:t>
      </w:r>
      <w:r w:rsidR="00805BA1" w:rsidRPr="009D5F48">
        <w:rPr>
          <w:i/>
          <w:sz w:val="24"/>
          <w:szCs w:val="24"/>
        </w:rPr>
        <w:t>Migration (IMMI 18/015: English Language Tests and Evidence Exemptions for Subclass 500 (Student) Visa) Instrument 2018.</w:t>
      </w:r>
    </w:p>
    <w:p w14:paraId="44393256" w14:textId="5CB45615" w:rsidR="00805BA1" w:rsidRPr="009D5F48" w:rsidRDefault="00257EF1" w:rsidP="00805BA1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>Section 9</w:t>
      </w:r>
      <w:r w:rsidR="00805BA1" w:rsidRPr="009D5F48">
        <w:rPr>
          <w:sz w:val="24"/>
          <w:szCs w:val="24"/>
        </w:rPr>
        <w:t xml:space="preserve"> continues the application of </w:t>
      </w:r>
      <w:r w:rsidR="00805BA1" w:rsidRPr="009D5F48">
        <w:rPr>
          <w:i/>
          <w:sz w:val="24"/>
          <w:szCs w:val="24"/>
        </w:rPr>
        <w:t xml:space="preserve">Migration (IMMI 18/015: English Language Tests and Evidence Exemptions for Subclass 500 (Student) Visa) Instrument 2018 </w:t>
      </w:r>
      <w:r w:rsidR="00805BA1" w:rsidRPr="009D5F48">
        <w:rPr>
          <w:sz w:val="24"/>
          <w:szCs w:val="24"/>
        </w:rPr>
        <w:t>in respect to applications for a Subclass 500 (Student) visa made</w:t>
      </w:r>
      <w:r w:rsidR="00217B76" w:rsidRPr="009D5F48">
        <w:rPr>
          <w:sz w:val="24"/>
          <w:szCs w:val="24"/>
        </w:rPr>
        <w:t>,</w:t>
      </w:r>
      <w:r w:rsidR="00805BA1" w:rsidRPr="009D5F48">
        <w:rPr>
          <w:sz w:val="24"/>
          <w:szCs w:val="24"/>
        </w:rPr>
        <w:t xml:space="preserve"> but not yet finally determined</w:t>
      </w:r>
      <w:r w:rsidR="00217B76" w:rsidRPr="009D5F48">
        <w:rPr>
          <w:sz w:val="24"/>
          <w:szCs w:val="24"/>
        </w:rPr>
        <w:t>,</w:t>
      </w:r>
      <w:r w:rsidR="00805BA1" w:rsidRPr="009D5F48">
        <w:rPr>
          <w:sz w:val="24"/>
          <w:szCs w:val="24"/>
        </w:rPr>
        <w:t xml:space="preserve"> before the date of commencement of this instrument.</w:t>
      </w:r>
    </w:p>
    <w:p w14:paraId="112FDF2C" w14:textId="3C72CD19" w:rsidR="009D5F48" w:rsidRDefault="00805BA1" w:rsidP="00C551B7">
      <w:pPr>
        <w:pStyle w:val="ESSubparaHeader"/>
        <w:rPr>
          <w:sz w:val="24"/>
          <w:szCs w:val="24"/>
        </w:rPr>
      </w:pPr>
      <w:r w:rsidRPr="009D5F48">
        <w:rPr>
          <w:sz w:val="24"/>
          <w:szCs w:val="24"/>
        </w:rPr>
        <w:t xml:space="preserve">Schedule 1 sets out the </w:t>
      </w:r>
      <w:r w:rsidR="00217B76" w:rsidRPr="009D5F48">
        <w:rPr>
          <w:sz w:val="24"/>
          <w:szCs w:val="24"/>
        </w:rPr>
        <w:t xml:space="preserve">minimum </w:t>
      </w:r>
      <w:r w:rsidRPr="009D5F48">
        <w:rPr>
          <w:sz w:val="24"/>
          <w:szCs w:val="24"/>
        </w:rPr>
        <w:t>English language test scores required in relation to each of the approved English language tests</w:t>
      </w:r>
      <w:r w:rsidR="00C551B7" w:rsidRPr="009D5F48">
        <w:rPr>
          <w:sz w:val="24"/>
          <w:szCs w:val="24"/>
        </w:rPr>
        <w:t>.</w:t>
      </w:r>
      <w:r w:rsidR="00257EF1" w:rsidRPr="009D5F48">
        <w:rPr>
          <w:sz w:val="24"/>
          <w:szCs w:val="24"/>
        </w:rPr>
        <w:t xml:space="preserve"> </w:t>
      </w:r>
    </w:p>
    <w:p w14:paraId="4D18D56D" w14:textId="77777777" w:rsidR="009D5F48" w:rsidRPr="009D5F48" w:rsidRDefault="009D5F48" w:rsidP="009D5F48"/>
    <w:p w14:paraId="1163B685" w14:textId="77777777" w:rsidR="009D5F48" w:rsidRPr="009D5F48" w:rsidRDefault="009D5F48" w:rsidP="009D5F48"/>
    <w:p w14:paraId="5D121ABA" w14:textId="77777777" w:rsidR="009D5F48" w:rsidRPr="009D5F48" w:rsidRDefault="009D5F48" w:rsidP="009D5F48"/>
    <w:p w14:paraId="5C475B7C" w14:textId="77777777" w:rsidR="009D5F48" w:rsidRPr="009D5F48" w:rsidRDefault="009D5F48" w:rsidP="009D5F48"/>
    <w:p w14:paraId="2A8D17D3" w14:textId="77777777" w:rsidR="009D5F48" w:rsidRPr="009D5F48" w:rsidRDefault="009D5F48" w:rsidP="009D5F48"/>
    <w:p w14:paraId="4C0246AD" w14:textId="77777777" w:rsidR="009D5F48" w:rsidRPr="009D5F48" w:rsidRDefault="009D5F48" w:rsidP="009D5F48"/>
    <w:p w14:paraId="4D85BEB8" w14:textId="77777777" w:rsidR="009D5F48" w:rsidRPr="009D5F48" w:rsidRDefault="009D5F48" w:rsidP="009D5F48"/>
    <w:p w14:paraId="54F2E315" w14:textId="77777777" w:rsidR="009D5F48" w:rsidRPr="009D5F48" w:rsidRDefault="009D5F48" w:rsidP="009D5F48"/>
    <w:p w14:paraId="1B32FBD2" w14:textId="408E5416" w:rsidR="009D5F48" w:rsidRDefault="009D5F48" w:rsidP="009D5F48"/>
    <w:p w14:paraId="2F3CAE07" w14:textId="564B801D" w:rsidR="007E4691" w:rsidRPr="009D5F48" w:rsidRDefault="009D5F48" w:rsidP="009D5F48">
      <w:pPr>
        <w:tabs>
          <w:tab w:val="left" w:pos="6012"/>
        </w:tabs>
      </w:pPr>
      <w:r>
        <w:tab/>
      </w:r>
      <w:bookmarkStart w:id="0" w:name="_GoBack"/>
      <w:bookmarkEnd w:id="0"/>
    </w:p>
    <w:sectPr w:rsidR="007E4691" w:rsidRPr="009D5F48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BA048" w14:textId="77777777" w:rsidR="001746C4" w:rsidRDefault="001746C4" w:rsidP="00472635">
      <w:pPr>
        <w:spacing w:after="0" w:line="240" w:lineRule="auto"/>
      </w:pPr>
      <w:r>
        <w:separator/>
      </w:r>
    </w:p>
  </w:endnote>
  <w:endnote w:type="continuationSeparator" w:id="0">
    <w:p w14:paraId="7EB4BF3B" w14:textId="77777777" w:rsidR="001746C4" w:rsidRDefault="001746C4" w:rsidP="0047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28F9" w14:textId="77777777" w:rsidR="0034485F" w:rsidRDefault="00344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48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B55F6" w14:textId="6BE0E06C" w:rsidR="00472635" w:rsidRDefault="004726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3ED5A0" w14:textId="77777777" w:rsidR="00472635" w:rsidRDefault="00472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FA08" w14:textId="77777777" w:rsidR="0034485F" w:rsidRDefault="00344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10B0" w14:textId="77777777" w:rsidR="001746C4" w:rsidRDefault="001746C4" w:rsidP="00472635">
      <w:pPr>
        <w:spacing w:after="0" w:line="240" w:lineRule="auto"/>
      </w:pPr>
      <w:r>
        <w:separator/>
      </w:r>
    </w:p>
  </w:footnote>
  <w:footnote w:type="continuationSeparator" w:id="0">
    <w:p w14:paraId="48E3BD49" w14:textId="77777777" w:rsidR="001746C4" w:rsidRDefault="001746C4" w:rsidP="0047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C9A0" w14:textId="77777777" w:rsidR="0034485F" w:rsidRDefault="00344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23CB" w14:textId="77777777" w:rsidR="0034485F" w:rsidRDefault="00344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A02B" w14:textId="77777777" w:rsidR="0034485F" w:rsidRDefault="00344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6C4"/>
    <w:multiLevelType w:val="hybridMultilevel"/>
    <w:tmpl w:val="6CA42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532A9"/>
    <w:multiLevelType w:val="hybridMultilevel"/>
    <w:tmpl w:val="73B68140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F709C"/>
    <w:multiLevelType w:val="hybridMultilevel"/>
    <w:tmpl w:val="ABA6831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2"/>
    <w:rsid w:val="0000764B"/>
    <w:rsid w:val="00011ABF"/>
    <w:rsid w:val="00021553"/>
    <w:rsid w:val="0002412C"/>
    <w:rsid w:val="00026D22"/>
    <w:rsid w:val="00030C4B"/>
    <w:rsid w:val="00035EEC"/>
    <w:rsid w:val="000409E2"/>
    <w:rsid w:val="00045A52"/>
    <w:rsid w:val="00045C42"/>
    <w:rsid w:val="00050373"/>
    <w:rsid w:val="00052817"/>
    <w:rsid w:val="0005452F"/>
    <w:rsid w:val="000613DC"/>
    <w:rsid w:val="0006551E"/>
    <w:rsid w:val="00070F78"/>
    <w:rsid w:val="00074291"/>
    <w:rsid w:val="0008041D"/>
    <w:rsid w:val="00080C44"/>
    <w:rsid w:val="0009222A"/>
    <w:rsid w:val="000A15AB"/>
    <w:rsid w:val="000B1AD5"/>
    <w:rsid w:val="000D014F"/>
    <w:rsid w:val="000E15A7"/>
    <w:rsid w:val="000F2906"/>
    <w:rsid w:val="000F4C08"/>
    <w:rsid w:val="00100DFC"/>
    <w:rsid w:val="00102CBA"/>
    <w:rsid w:val="00107EF2"/>
    <w:rsid w:val="00117BF1"/>
    <w:rsid w:val="00122721"/>
    <w:rsid w:val="00143E1B"/>
    <w:rsid w:val="001447DC"/>
    <w:rsid w:val="001502D3"/>
    <w:rsid w:val="00152932"/>
    <w:rsid w:val="00154BDE"/>
    <w:rsid w:val="0015525A"/>
    <w:rsid w:val="00157611"/>
    <w:rsid w:val="001652A3"/>
    <w:rsid w:val="00170350"/>
    <w:rsid w:val="0017209B"/>
    <w:rsid w:val="001746C4"/>
    <w:rsid w:val="00183991"/>
    <w:rsid w:val="0019164E"/>
    <w:rsid w:val="00192706"/>
    <w:rsid w:val="00197D5F"/>
    <w:rsid w:val="001A5343"/>
    <w:rsid w:val="001A7646"/>
    <w:rsid w:val="001B06E6"/>
    <w:rsid w:val="001C25D9"/>
    <w:rsid w:val="001C41A0"/>
    <w:rsid w:val="001C602A"/>
    <w:rsid w:val="001C63AA"/>
    <w:rsid w:val="001D0430"/>
    <w:rsid w:val="001E6B00"/>
    <w:rsid w:val="001E7EDA"/>
    <w:rsid w:val="001F1E94"/>
    <w:rsid w:val="001F328C"/>
    <w:rsid w:val="00211696"/>
    <w:rsid w:val="0021608A"/>
    <w:rsid w:val="00217B76"/>
    <w:rsid w:val="00222847"/>
    <w:rsid w:val="00223703"/>
    <w:rsid w:val="002247F0"/>
    <w:rsid w:val="00224D50"/>
    <w:rsid w:val="0022512D"/>
    <w:rsid w:val="002308A4"/>
    <w:rsid w:val="00232C3F"/>
    <w:rsid w:val="00235DC7"/>
    <w:rsid w:val="002402E0"/>
    <w:rsid w:val="00257EF1"/>
    <w:rsid w:val="0026544E"/>
    <w:rsid w:val="00265DC7"/>
    <w:rsid w:val="00265F19"/>
    <w:rsid w:val="0026634E"/>
    <w:rsid w:val="00266E66"/>
    <w:rsid w:val="00271DBD"/>
    <w:rsid w:val="00275E29"/>
    <w:rsid w:val="00286177"/>
    <w:rsid w:val="002877D5"/>
    <w:rsid w:val="00294042"/>
    <w:rsid w:val="002A5BB9"/>
    <w:rsid w:val="002B63D7"/>
    <w:rsid w:val="002C06A5"/>
    <w:rsid w:val="002C4D39"/>
    <w:rsid w:val="002C6549"/>
    <w:rsid w:val="002D1182"/>
    <w:rsid w:val="002D167E"/>
    <w:rsid w:val="002D2C54"/>
    <w:rsid w:val="002D5F1F"/>
    <w:rsid w:val="002D73E9"/>
    <w:rsid w:val="002E7C02"/>
    <w:rsid w:val="002F02AB"/>
    <w:rsid w:val="002F147C"/>
    <w:rsid w:val="00305653"/>
    <w:rsid w:val="0030666E"/>
    <w:rsid w:val="003110E3"/>
    <w:rsid w:val="00320D8D"/>
    <w:rsid w:val="003241F3"/>
    <w:rsid w:val="00331972"/>
    <w:rsid w:val="00331D0C"/>
    <w:rsid w:val="00332044"/>
    <w:rsid w:val="0034485F"/>
    <w:rsid w:val="00344C83"/>
    <w:rsid w:val="00347B4C"/>
    <w:rsid w:val="003534EB"/>
    <w:rsid w:val="00354DC6"/>
    <w:rsid w:val="00356130"/>
    <w:rsid w:val="00357072"/>
    <w:rsid w:val="0036337B"/>
    <w:rsid w:val="0036430E"/>
    <w:rsid w:val="00365376"/>
    <w:rsid w:val="003760F4"/>
    <w:rsid w:val="003868C8"/>
    <w:rsid w:val="00387DB1"/>
    <w:rsid w:val="00397D73"/>
    <w:rsid w:val="003A1791"/>
    <w:rsid w:val="003A2343"/>
    <w:rsid w:val="003B171D"/>
    <w:rsid w:val="003C684C"/>
    <w:rsid w:val="003D1095"/>
    <w:rsid w:val="003D3526"/>
    <w:rsid w:val="003D5088"/>
    <w:rsid w:val="003E1DB9"/>
    <w:rsid w:val="003E74CE"/>
    <w:rsid w:val="003F0B44"/>
    <w:rsid w:val="003F17FB"/>
    <w:rsid w:val="003F40DD"/>
    <w:rsid w:val="003F5B52"/>
    <w:rsid w:val="003F6E5B"/>
    <w:rsid w:val="00400990"/>
    <w:rsid w:val="004037F4"/>
    <w:rsid w:val="004220F1"/>
    <w:rsid w:val="004436B1"/>
    <w:rsid w:val="004443D4"/>
    <w:rsid w:val="00457D4A"/>
    <w:rsid w:val="00464080"/>
    <w:rsid w:val="00464B02"/>
    <w:rsid w:val="00470D10"/>
    <w:rsid w:val="00472635"/>
    <w:rsid w:val="00476D79"/>
    <w:rsid w:val="004802E6"/>
    <w:rsid w:val="00484E6F"/>
    <w:rsid w:val="0049215D"/>
    <w:rsid w:val="004A1949"/>
    <w:rsid w:val="004A4D8C"/>
    <w:rsid w:val="004B43C5"/>
    <w:rsid w:val="004B6A1C"/>
    <w:rsid w:val="004B7A96"/>
    <w:rsid w:val="004D4C5E"/>
    <w:rsid w:val="004D553D"/>
    <w:rsid w:val="004D5B18"/>
    <w:rsid w:val="004D7993"/>
    <w:rsid w:val="004E0A16"/>
    <w:rsid w:val="004E284E"/>
    <w:rsid w:val="004E4BD5"/>
    <w:rsid w:val="004E78C3"/>
    <w:rsid w:val="004E7BCF"/>
    <w:rsid w:val="004F5CE4"/>
    <w:rsid w:val="0051014E"/>
    <w:rsid w:val="00521C0B"/>
    <w:rsid w:val="00523AB4"/>
    <w:rsid w:val="00523E6F"/>
    <w:rsid w:val="00532DD6"/>
    <w:rsid w:val="00536C80"/>
    <w:rsid w:val="00545A0D"/>
    <w:rsid w:val="00560B24"/>
    <w:rsid w:val="00560ECE"/>
    <w:rsid w:val="00562C99"/>
    <w:rsid w:val="0056483F"/>
    <w:rsid w:val="005661E1"/>
    <w:rsid w:val="0057002B"/>
    <w:rsid w:val="00574B9D"/>
    <w:rsid w:val="00595ABC"/>
    <w:rsid w:val="005A2597"/>
    <w:rsid w:val="005A3733"/>
    <w:rsid w:val="005B53AF"/>
    <w:rsid w:val="005C4C6B"/>
    <w:rsid w:val="005C4E1D"/>
    <w:rsid w:val="005D0BC4"/>
    <w:rsid w:val="005D3F6B"/>
    <w:rsid w:val="005D4B27"/>
    <w:rsid w:val="00604E06"/>
    <w:rsid w:val="00605205"/>
    <w:rsid w:val="00606BE5"/>
    <w:rsid w:val="006218DE"/>
    <w:rsid w:val="00625B02"/>
    <w:rsid w:val="006345DA"/>
    <w:rsid w:val="006363DF"/>
    <w:rsid w:val="00637044"/>
    <w:rsid w:val="00640375"/>
    <w:rsid w:val="00640B25"/>
    <w:rsid w:val="00641FE9"/>
    <w:rsid w:val="00650B05"/>
    <w:rsid w:val="00656959"/>
    <w:rsid w:val="006666CC"/>
    <w:rsid w:val="00673956"/>
    <w:rsid w:val="00675578"/>
    <w:rsid w:val="00682042"/>
    <w:rsid w:val="006878EB"/>
    <w:rsid w:val="006B0C76"/>
    <w:rsid w:val="006B2B29"/>
    <w:rsid w:val="006B3326"/>
    <w:rsid w:val="006B5C10"/>
    <w:rsid w:val="006D4F84"/>
    <w:rsid w:val="006E29A6"/>
    <w:rsid w:val="007072B4"/>
    <w:rsid w:val="00720431"/>
    <w:rsid w:val="00721394"/>
    <w:rsid w:val="00724940"/>
    <w:rsid w:val="00730F1C"/>
    <w:rsid w:val="00731066"/>
    <w:rsid w:val="0073481B"/>
    <w:rsid w:val="0073491B"/>
    <w:rsid w:val="00740E32"/>
    <w:rsid w:val="00764251"/>
    <w:rsid w:val="0076522B"/>
    <w:rsid w:val="007746AE"/>
    <w:rsid w:val="007756AE"/>
    <w:rsid w:val="0078161D"/>
    <w:rsid w:val="00790F81"/>
    <w:rsid w:val="007951B0"/>
    <w:rsid w:val="007A3A20"/>
    <w:rsid w:val="007A61ED"/>
    <w:rsid w:val="007A6D2E"/>
    <w:rsid w:val="007B1599"/>
    <w:rsid w:val="007B5F2D"/>
    <w:rsid w:val="007C02F8"/>
    <w:rsid w:val="007C544C"/>
    <w:rsid w:val="007D5671"/>
    <w:rsid w:val="007D57DE"/>
    <w:rsid w:val="007D5FA1"/>
    <w:rsid w:val="007D6849"/>
    <w:rsid w:val="007E066A"/>
    <w:rsid w:val="007E28A8"/>
    <w:rsid w:val="007E4691"/>
    <w:rsid w:val="00800417"/>
    <w:rsid w:val="00805BA1"/>
    <w:rsid w:val="00805E14"/>
    <w:rsid w:val="00820C7B"/>
    <w:rsid w:val="0082455E"/>
    <w:rsid w:val="00826F5E"/>
    <w:rsid w:val="00845F3A"/>
    <w:rsid w:val="00851871"/>
    <w:rsid w:val="008649AE"/>
    <w:rsid w:val="0086616F"/>
    <w:rsid w:val="00874E32"/>
    <w:rsid w:val="008770ED"/>
    <w:rsid w:val="0088011C"/>
    <w:rsid w:val="0088407D"/>
    <w:rsid w:val="00886B84"/>
    <w:rsid w:val="00890D6F"/>
    <w:rsid w:val="0089769F"/>
    <w:rsid w:val="008A297C"/>
    <w:rsid w:val="008A3F57"/>
    <w:rsid w:val="008A5D04"/>
    <w:rsid w:val="008A6243"/>
    <w:rsid w:val="008A6625"/>
    <w:rsid w:val="008B24C8"/>
    <w:rsid w:val="008B75EE"/>
    <w:rsid w:val="008C23FD"/>
    <w:rsid w:val="008C55D3"/>
    <w:rsid w:val="009012E7"/>
    <w:rsid w:val="00901565"/>
    <w:rsid w:val="00903ABD"/>
    <w:rsid w:val="00907477"/>
    <w:rsid w:val="00914FE4"/>
    <w:rsid w:val="00915032"/>
    <w:rsid w:val="0091623C"/>
    <w:rsid w:val="00920A13"/>
    <w:rsid w:val="00935249"/>
    <w:rsid w:val="00954754"/>
    <w:rsid w:val="00970516"/>
    <w:rsid w:val="00970569"/>
    <w:rsid w:val="00971ECB"/>
    <w:rsid w:val="00982A7C"/>
    <w:rsid w:val="00985CDA"/>
    <w:rsid w:val="009868BC"/>
    <w:rsid w:val="0099281F"/>
    <w:rsid w:val="00996E54"/>
    <w:rsid w:val="009A3899"/>
    <w:rsid w:val="009A6EBC"/>
    <w:rsid w:val="009B0970"/>
    <w:rsid w:val="009B4B6E"/>
    <w:rsid w:val="009B66D5"/>
    <w:rsid w:val="009C2510"/>
    <w:rsid w:val="009C2B6F"/>
    <w:rsid w:val="009C6C40"/>
    <w:rsid w:val="009D2E47"/>
    <w:rsid w:val="009D5F48"/>
    <w:rsid w:val="009E1630"/>
    <w:rsid w:val="009E16C2"/>
    <w:rsid w:val="009E3EA4"/>
    <w:rsid w:val="009E5EB1"/>
    <w:rsid w:val="009F1A39"/>
    <w:rsid w:val="00A07D94"/>
    <w:rsid w:val="00A17B16"/>
    <w:rsid w:val="00A221C1"/>
    <w:rsid w:val="00A26E54"/>
    <w:rsid w:val="00A44084"/>
    <w:rsid w:val="00A459D7"/>
    <w:rsid w:val="00A45ABF"/>
    <w:rsid w:val="00A45E2B"/>
    <w:rsid w:val="00A5286F"/>
    <w:rsid w:val="00A62E25"/>
    <w:rsid w:val="00A72F06"/>
    <w:rsid w:val="00A73719"/>
    <w:rsid w:val="00A825FB"/>
    <w:rsid w:val="00AA10C6"/>
    <w:rsid w:val="00AA4557"/>
    <w:rsid w:val="00AA4F77"/>
    <w:rsid w:val="00AA6C61"/>
    <w:rsid w:val="00AC3497"/>
    <w:rsid w:val="00AC46FA"/>
    <w:rsid w:val="00AC6D3B"/>
    <w:rsid w:val="00AE0950"/>
    <w:rsid w:val="00AF6D89"/>
    <w:rsid w:val="00B00ED0"/>
    <w:rsid w:val="00B06127"/>
    <w:rsid w:val="00B121CD"/>
    <w:rsid w:val="00B245AF"/>
    <w:rsid w:val="00B33F22"/>
    <w:rsid w:val="00B345EA"/>
    <w:rsid w:val="00B445D9"/>
    <w:rsid w:val="00B54934"/>
    <w:rsid w:val="00B6074E"/>
    <w:rsid w:val="00B64BB9"/>
    <w:rsid w:val="00B65A06"/>
    <w:rsid w:val="00B65E9A"/>
    <w:rsid w:val="00B702C8"/>
    <w:rsid w:val="00B73406"/>
    <w:rsid w:val="00B75478"/>
    <w:rsid w:val="00B7671D"/>
    <w:rsid w:val="00B771E1"/>
    <w:rsid w:val="00B84A80"/>
    <w:rsid w:val="00B91233"/>
    <w:rsid w:val="00B933DF"/>
    <w:rsid w:val="00B97923"/>
    <w:rsid w:val="00BA73BB"/>
    <w:rsid w:val="00BB0CF2"/>
    <w:rsid w:val="00BD598E"/>
    <w:rsid w:val="00BE2899"/>
    <w:rsid w:val="00BE37D7"/>
    <w:rsid w:val="00BE3E7F"/>
    <w:rsid w:val="00BE6AC6"/>
    <w:rsid w:val="00C104CA"/>
    <w:rsid w:val="00C1758A"/>
    <w:rsid w:val="00C25E3D"/>
    <w:rsid w:val="00C2773B"/>
    <w:rsid w:val="00C4249F"/>
    <w:rsid w:val="00C4348B"/>
    <w:rsid w:val="00C4769E"/>
    <w:rsid w:val="00C47937"/>
    <w:rsid w:val="00C551B7"/>
    <w:rsid w:val="00C55EA7"/>
    <w:rsid w:val="00C60114"/>
    <w:rsid w:val="00C729DB"/>
    <w:rsid w:val="00C775AB"/>
    <w:rsid w:val="00C80652"/>
    <w:rsid w:val="00C818C4"/>
    <w:rsid w:val="00C81A5E"/>
    <w:rsid w:val="00C90A84"/>
    <w:rsid w:val="00C930F2"/>
    <w:rsid w:val="00C95B17"/>
    <w:rsid w:val="00CA2358"/>
    <w:rsid w:val="00CA2A56"/>
    <w:rsid w:val="00CA39B6"/>
    <w:rsid w:val="00CA5FDA"/>
    <w:rsid w:val="00CB781B"/>
    <w:rsid w:val="00CC75A4"/>
    <w:rsid w:val="00CD18E1"/>
    <w:rsid w:val="00CD6387"/>
    <w:rsid w:val="00CE6BDB"/>
    <w:rsid w:val="00CE6DEF"/>
    <w:rsid w:val="00CF0BF3"/>
    <w:rsid w:val="00CF3A28"/>
    <w:rsid w:val="00D01F66"/>
    <w:rsid w:val="00D01F77"/>
    <w:rsid w:val="00D02926"/>
    <w:rsid w:val="00D15C33"/>
    <w:rsid w:val="00D167E3"/>
    <w:rsid w:val="00D231E0"/>
    <w:rsid w:val="00D32DBC"/>
    <w:rsid w:val="00D40E1E"/>
    <w:rsid w:val="00D60665"/>
    <w:rsid w:val="00D7070B"/>
    <w:rsid w:val="00D76F75"/>
    <w:rsid w:val="00D8075F"/>
    <w:rsid w:val="00D80EE5"/>
    <w:rsid w:val="00D86D7C"/>
    <w:rsid w:val="00D916E0"/>
    <w:rsid w:val="00D9786D"/>
    <w:rsid w:val="00DA2084"/>
    <w:rsid w:val="00DA2A49"/>
    <w:rsid w:val="00DA2A9B"/>
    <w:rsid w:val="00DA44EE"/>
    <w:rsid w:val="00DA7C74"/>
    <w:rsid w:val="00DB406C"/>
    <w:rsid w:val="00DC018C"/>
    <w:rsid w:val="00DC5247"/>
    <w:rsid w:val="00DC5D65"/>
    <w:rsid w:val="00DE131B"/>
    <w:rsid w:val="00DE1A35"/>
    <w:rsid w:val="00E01703"/>
    <w:rsid w:val="00E03DCC"/>
    <w:rsid w:val="00E153B9"/>
    <w:rsid w:val="00E201A1"/>
    <w:rsid w:val="00E253FE"/>
    <w:rsid w:val="00E30411"/>
    <w:rsid w:val="00E3520F"/>
    <w:rsid w:val="00E45328"/>
    <w:rsid w:val="00E45FE2"/>
    <w:rsid w:val="00E46000"/>
    <w:rsid w:val="00E561C2"/>
    <w:rsid w:val="00E642D1"/>
    <w:rsid w:val="00E6749C"/>
    <w:rsid w:val="00E73963"/>
    <w:rsid w:val="00E8038D"/>
    <w:rsid w:val="00E82738"/>
    <w:rsid w:val="00E968A6"/>
    <w:rsid w:val="00EA12C9"/>
    <w:rsid w:val="00EA664B"/>
    <w:rsid w:val="00EB02A4"/>
    <w:rsid w:val="00EC0579"/>
    <w:rsid w:val="00EC0A55"/>
    <w:rsid w:val="00ED4EE7"/>
    <w:rsid w:val="00EE6A38"/>
    <w:rsid w:val="00EE77E5"/>
    <w:rsid w:val="00F05785"/>
    <w:rsid w:val="00F07491"/>
    <w:rsid w:val="00F17E28"/>
    <w:rsid w:val="00F22A8D"/>
    <w:rsid w:val="00F22B0B"/>
    <w:rsid w:val="00F24D89"/>
    <w:rsid w:val="00F3005F"/>
    <w:rsid w:val="00F32785"/>
    <w:rsid w:val="00F35CDC"/>
    <w:rsid w:val="00F529C2"/>
    <w:rsid w:val="00F566E2"/>
    <w:rsid w:val="00F608D2"/>
    <w:rsid w:val="00F6381D"/>
    <w:rsid w:val="00F638D3"/>
    <w:rsid w:val="00F66266"/>
    <w:rsid w:val="00F76B71"/>
    <w:rsid w:val="00F8406C"/>
    <w:rsid w:val="00F90C6A"/>
    <w:rsid w:val="00F96716"/>
    <w:rsid w:val="00FA3D90"/>
    <w:rsid w:val="00FB27D7"/>
    <w:rsid w:val="00FC3105"/>
    <w:rsid w:val="00FC53FB"/>
    <w:rsid w:val="00FD01B8"/>
    <w:rsid w:val="00FD1DE4"/>
    <w:rsid w:val="00FD2E80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D7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4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3E1DB9"/>
  </w:style>
  <w:style w:type="paragraph" w:customStyle="1" w:styleId="LDDescription">
    <w:name w:val="LD Description"/>
    <w:rsid w:val="00790F81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29DB"/>
  </w:style>
  <w:style w:type="paragraph" w:customStyle="1" w:styleId="default">
    <w:name w:val="default"/>
    <w:basedOn w:val="Normal"/>
    <w:rsid w:val="009E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7D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43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tentelement-indentone">
    <w:name w:val="contentelement-indentone"/>
    <w:basedOn w:val="Normal"/>
    <w:rsid w:val="001D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0430"/>
    <w:rPr>
      <w:b/>
      <w:bCs/>
    </w:rPr>
  </w:style>
  <w:style w:type="paragraph" w:customStyle="1" w:styleId="contentelement-indenttwo">
    <w:name w:val="contentelement-indenttwo"/>
    <w:basedOn w:val="Normal"/>
    <w:rsid w:val="001D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7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35"/>
  </w:style>
  <w:style w:type="paragraph" w:styleId="Footer">
    <w:name w:val="footer"/>
    <w:basedOn w:val="Normal"/>
    <w:link w:val="FooterChar"/>
    <w:uiPriority w:val="99"/>
    <w:unhideWhenUsed/>
    <w:rsid w:val="0047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7975-F8C1-41F4-A695-5890B3F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2024-03-21T01:50:00Z</dcterms:created>
  <dcterms:modified xsi:type="dcterms:W3CDTF">2024-03-21T01:51:00Z</dcterms:modified>
</cp:coreProperties>
</file>