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5FE9" w14:textId="77777777" w:rsidR="00715914" w:rsidRPr="00EA4F07" w:rsidRDefault="00AF5835" w:rsidP="00365E41">
      <w:pPr>
        <w:pStyle w:val="LDBodytext"/>
        <w:rPr>
          <w:sz w:val="28"/>
        </w:rPr>
      </w:pPr>
      <w:r w:rsidRPr="00EA4F07">
        <w:rPr>
          <w:rFonts w:ascii="Calibri" w:eastAsia="Calibri" w:hAnsi="Calibri"/>
          <w:noProof/>
          <w:sz w:val="22"/>
          <w:szCs w:val="22"/>
          <w:lang w:eastAsia="en-AU"/>
        </w:rPr>
        <w:drawing>
          <wp:inline distT="0" distB="0" distL="0" distR="0" wp14:anchorId="6AFEF307" wp14:editId="1F76AF06">
            <wp:extent cx="1247775" cy="914400"/>
            <wp:effectExtent l="0" t="0" r="9525" b="0"/>
            <wp:docPr id="2" name="Picture 2" descr="Commonwealth Coat of Arms of Australia" title="Federal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F5E7.C3E0A6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p w14:paraId="2B965306" w14:textId="167BCA05" w:rsidR="009E3D4E" w:rsidRPr="00EA4F07" w:rsidRDefault="009E3D4E" w:rsidP="00D90344">
      <w:pPr>
        <w:pStyle w:val="LDTitle"/>
        <w:tabs>
          <w:tab w:val="left" w:pos="5680"/>
        </w:tabs>
      </w:pPr>
      <w:bookmarkStart w:id="0" w:name="LIN"/>
      <w:r w:rsidRPr="00EA4F07">
        <w:t xml:space="preserve">LIN </w:t>
      </w:r>
      <w:r w:rsidR="00B16D41" w:rsidRPr="00EA4F07">
        <w:t>24</w:t>
      </w:r>
      <w:r w:rsidRPr="00EA4F07">
        <w:t>/</w:t>
      </w:r>
      <w:r w:rsidR="00B16D41" w:rsidRPr="00EA4F07">
        <w:t>022</w:t>
      </w:r>
      <w:r w:rsidR="00D613E7" w:rsidRPr="00EA4F07">
        <w:t xml:space="preserve"> </w:t>
      </w:r>
      <w:bookmarkEnd w:id="0"/>
      <w:r w:rsidR="00D90344">
        <w:tab/>
      </w:r>
    </w:p>
    <w:p w14:paraId="40FBDDCE" w14:textId="6A5EE1EA" w:rsidR="009228CB" w:rsidRPr="00EA4F07" w:rsidRDefault="005C2754" w:rsidP="009E3D4E">
      <w:pPr>
        <w:pStyle w:val="LDDescription"/>
      </w:pPr>
      <w:bookmarkStart w:id="1" w:name="Title"/>
      <w:r w:rsidRPr="00EA4F07">
        <w:t>Migration (</w:t>
      </w:r>
      <w:r w:rsidR="0034248F" w:rsidRPr="00EA4F07">
        <w:rPr>
          <w:bCs/>
        </w:rPr>
        <w:t xml:space="preserve">English Language Tests and Evidence Exemptions for Subclass 500 (Student) Visa) Instrument </w:t>
      </w:r>
      <w:r w:rsidRPr="00EA4F07">
        <w:rPr>
          <w:bCs/>
        </w:rPr>
        <w:t>(</w:t>
      </w:r>
      <w:r w:rsidRPr="00EA4F07">
        <w:t xml:space="preserve">LIN 24/022) </w:t>
      </w:r>
      <w:r w:rsidR="0034248F" w:rsidRPr="00EA4F07">
        <w:rPr>
          <w:bCs/>
        </w:rPr>
        <w:t>2024</w:t>
      </w:r>
      <w:bookmarkEnd w:id="1"/>
    </w:p>
    <w:p w14:paraId="1978EC66" w14:textId="4D00A560" w:rsidR="00554826" w:rsidRPr="00EA4F07" w:rsidRDefault="005C2754" w:rsidP="00365E41">
      <w:pPr>
        <w:pStyle w:val="LDBodytext"/>
      </w:pPr>
      <w:r w:rsidRPr="00EA4F07">
        <w:t xml:space="preserve">I, Clare O’Neil, Minister for Home Affairs, make this instrument </w:t>
      </w:r>
      <w:r w:rsidR="003B3646" w:rsidRPr="00EA4F07">
        <w:t xml:space="preserve">under </w:t>
      </w:r>
      <w:r w:rsidR="00113ED4" w:rsidRPr="00EA4F07">
        <w:t xml:space="preserve">subclause 500.213(3) of Schedule 2 to the </w:t>
      </w:r>
      <w:r w:rsidR="00113ED4" w:rsidRPr="00EA4F07">
        <w:rPr>
          <w:i/>
        </w:rPr>
        <w:t>Migration Regulations 1994</w:t>
      </w:r>
      <w:r w:rsidRPr="00EA4F07">
        <w:rPr>
          <w:i/>
        </w:rPr>
        <w:t>.</w:t>
      </w:r>
      <w:r w:rsidR="00BD08C0" w:rsidRPr="00EA4F07">
        <w:t xml:space="preserve"> </w:t>
      </w:r>
    </w:p>
    <w:p w14:paraId="4F11C03F" w14:textId="385379CF" w:rsidR="00554826" w:rsidRPr="00EA4F07" w:rsidRDefault="00554826" w:rsidP="00211284">
      <w:pPr>
        <w:pStyle w:val="LDDate"/>
        <w:tabs>
          <w:tab w:val="left" w:pos="1701"/>
        </w:tabs>
        <w:rPr>
          <w:szCs w:val="22"/>
        </w:rPr>
      </w:pPr>
      <w:r w:rsidRPr="00EA4F07">
        <w:t>Dated</w:t>
      </w:r>
      <w:r w:rsidR="000B14AD" w:rsidRPr="00EA4F07">
        <w:rPr>
          <w:szCs w:val="22"/>
        </w:rPr>
        <w:tab/>
      </w:r>
      <w:r w:rsidR="00211284">
        <w:rPr>
          <w:szCs w:val="22"/>
        </w:rPr>
        <w:t xml:space="preserve">21 March </w:t>
      </w:r>
      <w:r w:rsidR="00F56F6B">
        <w:rPr>
          <w:szCs w:val="22"/>
        </w:rPr>
        <w:t>2024</w:t>
      </w:r>
    </w:p>
    <w:p w14:paraId="77091DC1" w14:textId="2494BB32" w:rsidR="003B3646" w:rsidRPr="00EA4F07" w:rsidRDefault="003B3646" w:rsidP="000E7118">
      <w:pPr>
        <w:pStyle w:val="LDSign"/>
      </w:pPr>
    </w:p>
    <w:p w14:paraId="13836CC1" w14:textId="3ED3E461" w:rsidR="00E07920" w:rsidRDefault="00E07920" w:rsidP="00247AEF">
      <w:pPr>
        <w:pStyle w:val="LDBodytext"/>
      </w:pPr>
      <w:r>
        <w:t>Clare O’Neil</w:t>
      </w:r>
    </w:p>
    <w:p w14:paraId="33C77265" w14:textId="3DD445B8" w:rsidR="00247AEF" w:rsidRPr="00EA4F07" w:rsidRDefault="005C2754" w:rsidP="00247AEF">
      <w:pPr>
        <w:pStyle w:val="LDBodytext"/>
      </w:pPr>
      <w:r w:rsidRPr="00EA4F07">
        <w:t>Minister for Home Affairs</w:t>
      </w:r>
      <w:r w:rsidRPr="00EA4F07" w:rsidDel="005C2754">
        <w:t xml:space="preserve"> </w:t>
      </w:r>
      <w:r w:rsidR="00922BC7" w:rsidRPr="00EA4F07">
        <w:t xml:space="preserve"> </w:t>
      </w:r>
    </w:p>
    <w:p w14:paraId="057C5B25" w14:textId="7018E1B7" w:rsidR="00922BC7" w:rsidRPr="00EA4F07" w:rsidRDefault="00922BC7" w:rsidP="00922BC7">
      <w:pPr>
        <w:pStyle w:val="LDComment"/>
      </w:pPr>
    </w:p>
    <w:p w14:paraId="0EC154BD" w14:textId="77777777" w:rsidR="00554826" w:rsidRPr="00EA4F07" w:rsidRDefault="00554826" w:rsidP="00365E41">
      <w:pPr>
        <w:pStyle w:val="LDBodytext"/>
      </w:pPr>
    </w:p>
    <w:p w14:paraId="29DC9647" w14:textId="77777777" w:rsidR="00F6696E" w:rsidRPr="00EA4F07" w:rsidRDefault="00F6696E" w:rsidP="00365E41">
      <w:pPr>
        <w:pStyle w:val="LDBodytext"/>
        <w:sectPr w:rsidR="00F6696E" w:rsidRPr="00EA4F07" w:rsidSect="00861378">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61" w:right="1701" w:bottom="1361" w:left="1701" w:header="720" w:footer="720" w:gutter="0"/>
          <w:pgNumType w:start="1"/>
          <w:cols w:space="708"/>
          <w:titlePg/>
          <w:docGrid w:linePitch="360"/>
        </w:sectPr>
      </w:pPr>
    </w:p>
    <w:p w14:paraId="0E7DDD70" w14:textId="77777777" w:rsidR="00A06CA5" w:rsidRPr="00EA4F07" w:rsidRDefault="00A06CA5" w:rsidP="00A06CA5">
      <w:pPr>
        <w:pStyle w:val="LDBodytext"/>
        <w:rPr>
          <w:rStyle w:val="LDBold"/>
        </w:rPr>
      </w:pPr>
      <w:bookmarkStart w:id="2" w:name="_Toc23422564"/>
      <w:bookmarkStart w:id="3" w:name="_Toc454512513"/>
      <w:bookmarkStart w:id="4" w:name="_Toc454512517"/>
      <w:r w:rsidRPr="00EA4F07">
        <w:rPr>
          <w:rStyle w:val="LDBold"/>
        </w:rPr>
        <w:lastRenderedPageBreak/>
        <w:t>Contents</w:t>
      </w:r>
    </w:p>
    <w:p w14:paraId="4717E52D" w14:textId="370CA480" w:rsidR="00B44276" w:rsidRPr="00B44276" w:rsidRDefault="00B44276">
      <w:pPr>
        <w:pStyle w:val="TOC1"/>
        <w:rPr>
          <w:rFonts w:asciiTheme="minorHAnsi" w:eastAsiaTheme="minorEastAsia" w:hAnsiTheme="minorHAnsi" w:cstheme="minorBidi"/>
          <w:b w:val="0"/>
          <w:kern w:val="0"/>
          <w:sz w:val="22"/>
          <w:szCs w:val="22"/>
        </w:rPr>
      </w:pPr>
      <w:r w:rsidRPr="00B44276">
        <w:rPr>
          <w:rStyle w:val="Hyperlink"/>
          <w:color w:val="auto"/>
          <w:u w:val="none"/>
        </w:rPr>
        <w:t>Part 1</w:t>
      </w:r>
      <w:r w:rsidRPr="00B44276">
        <w:rPr>
          <w:rFonts w:asciiTheme="minorHAnsi" w:eastAsiaTheme="minorEastAsia" w:hAnsiTheme="minorHAnsi" w:cstheme="minorBidi"/>
          <w:b w:val="0"/>
          <w:kern w:val="0"/>
          <w:sz w:val="22"/>
          <w:szCs w:val="22"/>
        </w:rPr>
        <w:tab/>
      </w:r>
      <w:r w:rsidRPr="00B44276">
        <w:rPr>
          <w:rStyle w:val="Hyperlink"/>
          <w:color w:val="auto"/>
          <w:u w:val="none"/>
        </w:rPr>
        <w:t>Preliminary</w:t>
      </w:r>
      <w:r w:rsidRPr="00B44276">
        <w:rPr>
          <w:webHidden/>
        </w:rPr>
        <w:tab/>
        <w:t>3</w:t>
      </w:r>
    </w:p>
    <w:p w14:paraId="7ABFCA62" w14:textId="460940D2"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1</w:t>
      </w:r>
      <w:r w:rsidRPr="00B44276">
        <w:rPr>
          <w:rFonts w:asciiTheme="minorHAnsi" w:eastAsiaTheme="minorEastAsia" w:hAnsiTheme="minorHAnsi" w:cstheme="minorBidi"/>
          <w:spacing w:val="0"/>
          <w:kern w:val="0"/>
          <w:lang w:eastAsia="en-AU"/>
        </w:rPr>
        <w:tab/>
      </w:r>
      <w:r w:rsidRPr="00B44276">
        <w:rPr>
          <w:rStyle w:val="Hyperlink"/>
          <w:color w:val="auto"/>
          <w:u w:val="none"/>
        </w:rPr>
        <w:t>Name</w:t>
      </w:r>
      <w:r w:rsidRPr="00B44276">
        <w:rPr>
          <w:webHidden/>
        </w:rPr>
        <w:tab/>
        <w:t>3</w:t>
      </w:r>
    </w:p>
    <w:p w14:paraId="2AC4060B" w14:textId="688DFBCF"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2</w:t>
      </w:r>
      <w:r w:rsidRPr="00B44276">
        <w:rPr>
          <w:rFonts w:asciiTheme="minorHAnsi" w:eastAsiaTheme="minorEastAsia" w:hAnsiTheme="minorHAnsi" w:cstheme="minorBidi"/>
          <w:spacing w:val="0"/>
          <w:kern w:val="0"/>
          <w:lang w:eastAsia="en-AU"/>
        </w:rPr>
        <w:tab/>
      </w:r>
      <w:r w:rsidRPr="00B44276">
        <w:rPr>
          <w:rStyle w:val="Hyperlink"/>
          <w:color w:val="auto"/>
          <w:u w:val="none"/>
        </w:rPr>
        <w:t>Commencement</w:t>
      </w:r>
      <w:r w:rsidRPr="00B44276">
        <w:rPr>
          <w:webHidden/>
        </w:rPr>
        <w:tab/>
        <w:t>3</w:t>
      </w:r>
    </w:p>
    <w:p w14:paraId="3D2891F6" w14:textId="77CF2EF4"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3</w:t>
      </w:r>
      <w:r w:rsidRPr="00B44276">
        <w:rPr>
          <w:rFonts w:asciiTheme="minorHAnsi" w:eastAsiaTheme="minorEastAsia" w:hAnsiTheme="minorHAnsi" w:cstheme="minorBidi"/>
          <w:spacing w:val="0"/>
          <w:kern w:val="0"/>
          <w:lang w:eastAsia="en-AU"/>
        </w:rPr>
        <w:tab/>
      </w:r>
      <w:r w:rsidRPr="00B44276">
        <w:rPr>
          <w:rStyle w:val="Hyperlink"/>
          <w:color w:val="auto"/>
          <w:u w:val="none"/>
        </w:rPr>
        <w:t>Authority</w:t>
      </w:r>
      <w:r w:rsidRPr="00B44276">
        <w:rPr>
          <w:webHidden/>
        </w:rPr>
        <w:tab/>
        <w:t>3</w:t>
      </w:r>
    </w:p>
    <w:p w14:paraId="58746C86" w14:textId="29C073EA"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4</w:t>
      </w:r>
      <w:r w:rsidRPr="00B44276">
        <w:rPr>
          <w:rFonts w:asciiTheme="minorHAnsi" w:eastAsiaTheme="minorEastAsia" w:hAnsiTheme="minorHAnsi" w:cstheme="minorBidi"/>
          <w:spacing w:val="0"/>
          <w:kern w:val="0"/>
          <w:lang w:eastAsia="en-AU"/>
        </w:rPr>
        <w:tab/>
      </w:r>
      <w:r w:rsidRPr="00B44276">
        <w:rPr>
          <w:rStyle w:val="Hyperlink"/>
          <w:color w:val="auto"/>
          <w:u w:val="none"/>
        </w:rPr>
        <w:t>Definitions</w:t>
      </w:r>
      <w:r w:rsidRPr="00B44276">
        <w:rPr>
          <w:webHidden/>
        </w:rPr>
        <w:tab/>
        <w:t>3</w:t>
      </w:r>
    </w:p>
    <w:p w14:paraId="05742893" w14:textId="450C1352" w:rsidR="00B44276" w:rsidRPr="00B44276" w:rsidRDefault="00B44276">
      <w:pPr>
        <w:pStyle w:val="TOC1"/>
        <w:rPr>
          <w:rFonts w:asciiTheme="minorHAnsi" w:eastAsiaTheme="minorEastAsia" w:hAnsiTheme="minorHAnsi" w:cstheme="minorBidi"/>
          <w:b w:val="0"/>
          <w:kern w:val="0"/>
          <w:sz w:val="22"/>
          <w:szCs w:val="22"/>
        </w:rPr>
      </w:pPr>
      <w:r w:rsidRPr="00B44276">
        <w:rPr>
          <w:rStyle w:val="Hyperlink"/>
          <w:color w:val="auto"/>
          <w:u w:val="none"/>
        </w:rPr>
        <w:t>Part 2</w:t>
      </w:r>
      <w:r w:rsidRPr="00B44276">
        <w:rPr>
          <w:rFonts w:asciiTheme="minorHAnsi" w:eastAsiaTheme="minorEastAsia" w:hAnsiTheme="minorHAnsi" w:cstheme="minorBidi"/>
          <w:b w:val="0"/>
          <w:kern w:val="0"/>
          <w:sz w:val="22"/>
          <w:szCs w:val="22"/>
        </w:rPr>
        <w:tab/>
      </w:r>
      <w:r w:rsidRPr="00B44276">
        <w:rPr>
          <w:rStyle w:val="Hyperlink"/>
          <w:color w:val="auto"/>
          <w:u w:val="none"/>
        </w:rPr>
        <w:t xml:space="preserve">English </w:t>
      </w:r>
      <w:r w:rsidR="00C70F6A">
        <w:rPr>
          <w:rStyle w:val="Hyperlink"/>
          <w:color w:val="auto"/>
          <w:u w:val="none"/>
        </w:rPr>
        <w:t>l</w:t>
      </w:r>
      <w:r w:rsidR="00C70F6A" w:rsidRPr="00B44276">
        <w:rPr>
          <w:rStyle w:val="Hyperlink"/>
          <w:color w:val="auto"/>
          <w:u w:val="none"/>
        </w:rPr>
        <w:t xml:space="preserve">anguage </w:t>
      </w:r>
      <w:r w:rsidR="00C70F6A">
        <w:rPr>
          <w:rStyle w:val="Hyperlink"/>
          <w:color w:val="auto"/>
          <w:u w:val="none"/>
        </w:rPr>
        <w:t>r</w:t>
      </w:r>
      <w:r w:rsidR="00C70F6A" w:rsidRPr="00B44276">
        <w:rPr>
          <w:rStyle w:val="Hyperlink"/>
          <w:color w:val="auto"/>
          <w:u w:val="none"/>
        </w:rPr>
        <w:t xml:space="preserve">equirements </w:t>
      </w:r>
      <w:r w:rsidRPr="00B44276">
        <w:rPr>
          <w:rStyle w:val="Hyperlink"/>
          <w:color w:val="auto"/>
          <w:u w:val="none"/>
        </w:rPr>
        <w:t xml:space="preserve">for Subclass 500 (Student) </w:t>
      </w:r>
      <w:bookmarkStart w:id="5" w:name="_GoBack"/>
      <w:bookmarkEnd w:id="5"/>
      <w:r w:rsidRPr="00B44276">
        <w:rPr>
          <w:rStyle w:val="Hyperlink"/>
          <w:color w:val="auto"/>
          <w:u w:val="none"/>
        </w:rPr>
        <w:t>visa</w:t>
      </w:r>
      <w:r w:rsidRPr="00B44276">
        <w:rPr>
          <w:webHidden/>
        </w:rPr>
        <w:tab/>
        <w:t>4</w:t>
      </w:r>
    </w:p>
    <w:p w14:paraId="5445455A" w14:textId="044E5974"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5</w:t>
      </w:r>
      <w:r w:rsidRPr="00B44276">
        <w:rPr>
          <w:rFonts w:asciiTheme="minorHAnsi" w:eastAsiaTheme="minorEastAsia" w:hAnsiTheme="minorHAnsi" w:cstheme="minorBidi"/>
          <w:spacing w:val="0"/>
          <w:kern w:val="0"/>
          <w:lang w:eastAsia="en-AU"/>
        </w:rPr>
        <w:tab/>
      </w:r>
      <w:r w:rsidRPr="00B44276">
        <w:rPr>
          <w:rStyle w:val="Hyperlink"/>
          <w:color w:val="auto"/>
          <w:u w:val="none"/>
        </w:rPr>
        <w:t>English language test requirements</w:t>
      </w:r>
      <w:r w:rsidRPr="00B44276">
        <w:rPr>
          <w:webHidden/>
        </w:rPr>
        <w:tab/>
        <w:t>4</w:t>
      </w:r>
    </w:p>
    <w:p w14:paraId="00825F26" w14:textId="73F26D17"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6</w:t>
      </w:r>
      <w:r w:rsidRPr="00B44276">
        <w:rPr>
          <w:rFonts w:asciiTheme="minorHAnsi" w:eastAsiaTheme="minorEastAsia" w:hAnsiTheme="minorHAnsi" w:cstheme="minorBidi"/>
          <w:spacing w:val="0"/>
          <w:kern w:val="0"/>
          <w:lang w:eastAsia="en-AU"/>
        </w:rPr>
        <w:tab/>
      </w:r>
      <w:r w:rsidRPr="00B44276">
        <w:rPr>
          <w:rStyle w:val="Hyperlink"/>
          <w:color w:val="auto"/>
          <w:u w:val="none"/>
        </w:rPr>
        <w:t>English language test requirements do not apply</w:t>
      </w:r>
      <w:r w:rsidRPr="00B44276">
        <w:rPr>
          <w:webHidden/>
        </w:rPr>
        <w:tab/>
        <w:t>5</w:t>
      </w:r>
    </w:p>
    <w:p w14:paraId="2488D2EE" w14:textId="7809462E" w:rsidR="00B44276" w:rsidRPr="00B44276" w:rsidRDefault="00B44276">
      <w:pPr>
        <w:pStyle w:val="TOC1"/>
        <w:rPr>
          <w:rFonts w:asciiTheme="minorHAnsi" w:eastAsiaTheme="minorEastAsia" w:hAnsiTheme="minorHAnsi" w:cstheme="minorBidi"/>
          <w:b w:val="0"/>
          <w:kern w:val="0"/>
          <w:sz w:val="22"/>
          <w:szCs w:val="22"/>
        </w:rPr>
      </w:pPr>
      <w:r w:rsidRPr="00B44276">
        <w:rPr>
          <w:rStyle w:val="Hyperlink"/>
          <w:color w:val="auto"/>
          <w:u w:val="none"/>
        </w:rPr>
        <w:t>Part 3</w:t>
      </w:r>
      <w:r w:rsidRPr="00B44276">
        <w:rPr>
          <w:rFonts w:asciiTheme="minorHAnsi" w:eastAsiaTheme="minorEastAsia" w:hAnsiTheme="minorHAnsi" w:cstheme="minorBidi"/>
          <w:b w:val="0"/>
          <w:kern w:val="0"/>
          <w:sz w:val="22"/>
          <w:szCs w:val="22"/>
        </w:rPr>
        <w:tab/>
      </w:r>
      <w:r w:rsidRPr="00B44276">
        <w:rPr>
          <w:rStyle w:val="Hyperlink"/>
          <w:color w:val="auto"/>
          <w:u w:val="none"/>
        </w:rPr>
        <w:t>Application and repeals</w:t>
      </w:r>
      <w:r w:rsidRPr="00B44276">
        <w:rPr>
          <w:webHidden/>
        </w:rPr>
        <w:tab/>
        <w:t>6</w:t>
      </w:r>
    </w:p>
    <w:p w14:paraId="3010A8B0" w14:textId="6FE79679"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7</w:t>
      </w:r>
      <w:r w:rsidRPr="00B44276">
        <w:rPr>
          <w:rFonts w:asciiTheme="minorHAnsi" w:eastAsiaTheme="minorEastAsia" w:hAnsiTheme="minorHAnsi" w:cstheme="minorBidi"/>
          <w:spacing w:val="0"/>
          <w:kern w:val="0"/>
          <w:lang w:eastAsia="en-AU"/>
        </w:rPr>
        <w:tab/>
      </w:r>
      <w:r w:rsidRPr="00B44276">
        <w:rPr>
          <w:rStyle w:val="Hyperlink"/>
          <w:color w:val="auto"/>
          <w:u w:val="none"/>
        </w:rPr>
        <w:t>Application of this instrument</w:t>
      </w:r>
      <w:r w:rsidRPr="00B44276">
        <w:rPr>
          <w:webHidden/>
        </w:rPr>
        <w:tab/>
        <w:t>6</w:t>
      </w:r>
    </w:p>
    <w:p w14:paraId="0A243E12" w14:textId="68052495"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8</w:t>
      </w:r>
      <w:r w:rsidRPr="00B44276">
        <w:rPr>
          <w:rFonts w:asciiTheme="minorHAnsi" w:eastAsiaTheme="minorEastAsia" w:hAnsiTheme="minorHAnsi" w:cstheme="minorBidi"/>
          <w:spacing w:val="0"/>
          <w:kern w:val="0"/>
          <w:lang w:eastAsia="en-AU"/>
        </w:rPr>
        <w:tab/>
      </w:r>
      <w:r w:rsidRPr="00B44276">
        <w:rPr>
          <w:rStyle w:val="Hyperlink"/>
          <w:color w:val="auto"/>
          <w:u w:val="none"/>
        </w:rPr>
        <w:t>Repeal of IMMI 18/015</w:t>
      </w:r>
      <w:r w:rsidRPr="00B44276">
        <w:rPr>
          <w:webHidden/>
        </w:rPr>
        <w:tab/>
        <w:t>6</w:t>
      </w:r>
    </w:p>
    <w:p w14:paraId="2B6DF75E" w14:textId="56D310A2" w:rsidR="00B44276" w:rsidRPr="00B44276" w:rsidRDefault="00B44276">
      <w:pPr>
        <w:pStyle w:val="TOC4"/>
        <w:rPr>
          <w:rFonts w:asciiTheme="minorHAnsi" w:eastAsiaTheme="minorEastAsia" w:hAnsiTheme="minorHAnsi" w:cstheme="minorBidi"/>
          <w:spacing w:val="0"/>
          <w:kern w:val="0"/>
          <w:lang w:eastAsia="en-AU"/>
        </w:rPr>
      </w:pPr>
      <w:r w:rsidRPr="00B44276">
        <w:rPr>
          <w:rStyle w:val="Hyperlink"/>
          <w:color w:val="auto"/>
          <w:u w:val="none"/>
        </w:rPr>
        <w:t>9</w:t>
      </w:r>
      <w:r w:rsidRPr="00B44276">
        <w:rPr>
          <w:rFonts w:asciiTheme="minorHAnsi" w:eastAsiaTheme="minorEastAsia" w:hAnsiTheme="minorHAnsi" w:cstheme="minorBidi"/>
          <w:spacing w:val="0"/>
          <w:kern w:val="0"/>
          <w:lang w:eastAsia="en-AU"/>
        </w:rPr>
        <w:tab/>
      </w:r>
      <w:r w:rsidRPr="00B44276">
        <w:rPr>
          <w:rStyle w:val="Hyperlink"/>
          <w:color w:val="auto"/>
          <w:u w:val="none"/>
        </w:rPr>
        <w:t>Application of repeal</w:t>
      </w:r>
      <w:r w:rsidRPr="00B44276">
        <w:rPr>
          <w:webHidden/>
        </w:rPr>
        <w:tab/>
      </w:r>
      <w:r w:rsidR="00815C7A">
        <w:rPr>
          <w:webHidden/>
        </w:rPr>
        <w:t>6</w:t>
      </w:r>
    </w:p>
    <w:p w14:paraId="34B7A388" w14:textId="77526538" w:rsidR="00B44276" w:rsidRPr="00B44276" w:rsidRDefault="00B44276">
      <w:pPr>
        <w:pStyle w:val="TOC1"/>
        <w:rPr>
          <w:rFonts w:asciiTheme="minorHAnsi" w:eastAsiaTheme="minorEastAsia" w:hAnsiTheme="minorHAnsi" w:cstheme="minorBidi"/>
          <w:b w:val="0"/>
          <w:kern w:val="0"/>
          <w:sz w:val="22"/>
          <w:szCs w:val="22"/>
        </w:rPr>
      </w:pPr>
      <w:r w:rsidRPr="00B44276">
        <w:rPr>
          <w:rStyle w:val="Hyperlink"/>
          <w:color w:val="auto"/>
          <w:u w:val="none"/>
        </w:rPr>
        <w:t>Schedule 1</w:t>
      </w:r>
      <w:r w:rsidRPr="00B44276">
        <w:rPr>
          <w:rFonts w:asciiTheme="minorHAnsi" w:eastAsiaTheme="minorEastAsia" w:hAnsiTheme="minorHAnsi" w:cstheme="minorBidi"/>
          <w:b w:val="0"/>
          <w:kern w:val="0"/>
          <w:sz w:val="22"/>
          <w:szCs w:val="22"/>
        </w:rPr>
        <w:tab/>
      </w:r>
      <w:r w:rsidRPr="00B44276">
        <w:rPr>
          <w:rStyle w:val="Hyperlink"/>
          <w:color w:val="auto"/>
          <w:u w:val="none"/>
        </w:rPr>
        <w:t>Required English language test scores</w:t>
      </w:r>
      <w:r w:rsidRPr="00B44276">
        <w:rPr>
          <w:webHidden/>
        </w:rPr>
        <w:tab/>
      </w:r>
      <w:r w:rsidR="00815C7A">
        <w:rPr>
          <w:webHidden/>
        </w:rPr>
        <w:t>7</w:t>
      </w:r>
    </w:p>
    <w:p w14:paraId="33096241" w14:textId="2A73C9AC" w:rsidR="007A656F" w:rsidRPr="00EA4F07" w:rsidRDefault="007A656F" w:rsidP="006F1A00">
      <w:pPr>
        <w:pStyle w:val="LDBodytext"/>
        <w:sectPr w:rsidR="007A656F" w:rsidRPr="00EA4F07" w:rsidSect="00861378">
          <w:headerReference w:type="even" r:id="rId16"/>
          <w:headerReference w:type="default" r:id="rId17"/>
          <w:footerReference w:type="even" r:id="rId18"/>
          <w:footerReference w:type="default" r:id="rId19"/>
          <w:pgSz w:w="11907" w:h="16839" w:code="9"/>
          <w:pgMar w:top="1361" w:right="1701" w:bottom="1361" w:left="1701" w:header="720" w:footer="720" w:gutter="0"/>
          <w:cols w:space="708"/>
          <w:docGrid w:linePitch="360"/>
        </w:sectPr>
      </w:pPr>
    </w:p>
    <w:p w14:paraId="0A0B3281" w14:textId="42A84B53" w:rsidR="00CF0F68" w:rsidRPr="00EA4F07" w:rsidRDefault="00CF0F68" w:rsidP="00CF0F68">
      <w:pPr>
        <w:pStyle w:val="LDPartHead"/>
      </w:pPr>
      <w:bookmarkStart w:id="6" w:name="_Toc31201283"/>
      <w:bookmarkStart w:id="7" w:name="_Toc161324136"/>
      <w:r w:rsidRPr="00EA4F07">
        <w:lastRenderedPageBreak/>
        <w:t xml:space="preserve">Part </w:t>
      </w:r>
      <w:bookmarkStart w:id="8" w:name="PtPrelim"/>
      <w:r w:rsidR="004749E7" w:rsidRPr="00EA4F07">
        <w:rPr>
          <w:noProof/>
        </w:rPr>
        <w:t>1</w:t>
      </w:r>
      <w:bookmarkEnd w:id="8"/>
      <w:r w:rsidRPr="00EA4F07">
        <w:tab/>
      </w:r>
      <w:bookmarkEnd w:id="2"/>
      <w:bookmarkEnd w:id="6"/>
      <w:r w:rsidR="009E72D3" w:rsidRPr="00EA4F07">
        <w:t>Preliminary</w:t>
      </w:r>
      <w:bookmarkEnd w:id="7"/>
    </w:p>
    <w:p w14:paraId="6A9D3F00" w14:textId="6EC87828" w:rsidR="003B3646" w:rsidRPr="00EA4F07" w:rsidRDefault="004749E7" w:rsidP="000B14AD">
      <w:pPr>
        <w:pStyle w:val="LDSecHead"/>
      </w:pPr>
      <w:bookmarkStart w:id="9" w:name="_Toc31201286"/>
      <w:bookmarkStart w:id="10" w:name="_Toc161324137"/>
      <w:r w:rsidRPr="00EA4F07">
        <w:rPr>
          <w:noProof/>
        </w:rPr>
        <w:t>1</w:t>
      </w:r>
      <w:r w:rsidR="008C3379" w:rsidRPr="00EA4F07">
        <w:rPr>
          <w:noProof/>
        </w:rPr>
        <w:tab/>
      </w:r>
      <w:r w:rsidR="003B3646" w:rsidRPr="00EA4F07">
        <w:t>Name</w:t>
      </w:r>
      <w:bookmarkEnd w:id="3"/>
      <w:bookmarkEnd w:id="9"/>
      <w:bookmarkEnd w:id="10"/>
    </w:p>
    <w:p w14:paraId="2D86CF6C" w14:textId="00475DD7" w:rsidR="009E72D3" w:rsidRPr="00EA4F07" w:rsidRDefault="009E72D3" w:rsidP="00CB1095">
      <w:pPr>
        <w:pStyle w:val="LDSec1"/>
        <w:tabs>
          <w:tab w:val="clear" w:pos="454"/>
          <w:tab w:val="clear" w:pos="737"/>
        </w:tabs>
        <w:ind w:left="709" w:firstLine="0"/>
      </w:pPr>
      <w:r w:rsidRPr="00EA4F07">
        <w:t>This instrument is the</w:t>
      </w:r>
      <w:bookmarkStart w:id="11" w:name="BKCheck15B_3"/>
      <w:bookmarkEnd w:id="11"/>
      <w:r w:rsidRPr="00EA4F07">
        <w:t xml:space="preserve"> </w:t>
      </w:r>
      <w:r w:rsidR="005C2754" w:rsidRPr="00EA4F07">
        <w:rPr>
          <w:rStyle w:val="LDItal"/>
        </w:rPr>
        <w:t>Migration (English Language Tests and Evidence Exemptions for Subclass 500 (Student) Visa) Instrument (LIN 24/022) 2024</w:t>
      </w:r>
      <w:r w:rsidRPr="00EA4F07">
        <w:t>.</w:t>
      </w:r>
    </w:p>
    <w:p w14:paraId="79A92190" w14:textId="0CFFDC99" w:rsidR="003B3646" w:rsidRPr="00EA4F07" w:rsidRDefault="004749E7" w:rsidP="000B14AD">
      <w:pPr>
        <w:pStyle w:val="LDSecHead"/>
      </w:pPr>
      <w:bookmarkStart w:id="12" w:name="_Toc454512514"/>
      <w:bookmarkStart w:id="13" w:name="_Toc31201287"/>
      <w:bookmarkStart w:id="14" w:name="_Toc161324138"/>
      <w:r w:rsidRPr="00EA4F07">
        <w:rPr>
          <w:noProof/>
        </w:rPr>
        <w:t>2</w:t>
      </w:r>
      <w:r w:rsidR="000B14AD" w:rsidRPr="00EA4F07">
        <w:tab/>
      </w:r>
      <w:r w:rsidR="003B3646" w:rsidRPr="00EA4F07">
        <w:t>Commencement</w:t>
      </w:r>
      <w:bookmarkEnd w:id="12"/>
      <w:bookmarkEnd w:id="13"/>
      <w:bookmarkEnd w:id="14"/>
    </w:p>
    <w:p w14:paraId="68799615" w14:textId="29D3AFE0" w:rsidR="003B3646" w:rsidRPr="00EA4F07" w:rsidRDefault="000B14AD" w:rsidP="000B14AD">
      <w:pPr>
        <w:pStyle w:val="LDSec1"/>
      </w:pPr>
      <w:bookmarkStart w:id="15" w:name="_Toc454512515"/>
      <w:r w:rsidRPr="00EA4F07">
        <w:tab/>
      </w:r>
      <w:r w:rsidRPr="00EA4F07">
        <w:tab/>
      </w:r>
      <w:r w:rsidR="003B3646" w:rsidRPr="00EA4F07">
        <w:t xml:space="preserve">This instrument commences </w:t>
      </w:r>
      <w:r w:rsidR="00BD08C0" w:rsidRPr="00EA4F07">
        <w:t xml:space="preserve">on </w:t>
      </w:r>
      <w:r w:rsidR="00A027E5" w:rsidRPr="00EA4F07">
        <w:t>23 March 2024</w:t>
      </w:r>
      <w:r w:rsidR="003B3646" w:rsidRPr="00EA4F07">
        <w:t>.</w:t>
      </w:r>
    </w:p>
    <w:p w14:paraId="1B7F9EBD" w14:textId="72DE736E" w:rsidR="009E72D3" w:rsidRPr="00EA4F07" w:rsidRDefault="004749E7" w:rsidP="000B14AD">
      <w:pPr>
        <w:pStyle w:val="LDSecHead"/>
      </w:pPr>
      <w:bookmarkStart w:id="16" w:name="_Toc161324139"/>
      <w:bookmarkStart w:id="17" w:name="_Toc454512516"/>
      <w:bookmarkStart w:id="18" w:name="_Toc31201288"/>
      <w:bookmarkEnd w:id="15"/>
      <w:r w:rsidRPr="00EA4F07">
        <w:rPr>
          <w:noProof/>
        </w:rPr>
        <w:t>3</w:t>
      </w:r>
      <w:r w:rsidR="000B14AD" w:rsidRPr="00EA4F07">
        <w:tab/>
      </w:r>
      <w:r w:rsidR="009E72D3" w:rsidRPr="00EA4F07">
        <w:t>Authority</w:t>
      </w:r>
      <w:bookmarkEnd w:id="16"/>
    </w:p>
    <w:p w14:paraId="09F97CD9" w14:textId="3F4C48F7" w:rsidR="009E72D3" w:rsidRPr="00EA4F07" w:rsidRDefault="009E72D3" w:rsidP="009E72D3">
      <w:pPr>
        <w:pStyle w:val="LDSec1"/>
        <w:ind w:hanging="28"/>
      </w:pPr>
      <w:r w:rsidRPr="00EA4F07">
        <w:t xml:space="preserve">This instrument is made under subclause 500.213(3) of Schedule 2 to the </w:t>
      </w:r>
      <w:r w:rsidRPr="00EA4F07">
        <w:rPr>
          <w:i/>
        </w:rPr>
        <w:t>Migration Regulations 1994</w:t>
      </w:r>
      <w:r w:rsidR="00852010">
        <w:t xml:space="preserve"> (the Regulations). </w:t>
      </w:r>
    </w:p>
    <w:p w14:paraId="43374F8C" w14:textId="4FF86E3B" w:rsidR="003B3646" w:rsidRPr="00EA4F07" w:rsidRDefault="009E72D3" w:rsidP="000B14AD">
      <w:pPr>
        <w:pStyle w:val="LDSecHead"/>
      </w:pPr>
      <w:bookmarkStart w:id="19" w:name="_Toc161324140"/>
      <w:r w:rsidRPr="00EA4F07">
        <w:rPr>
          <w:noProof/>
        </w:rPr>
        <w:t>4</w:t>
      </w:r>
      <w:r w:rsidRPr="00EA4F07">
        <w:rPr>
          <w:noProof/>
        </w:rPr>
        <w:tab/>
      </w:r>
      <w:r w:rsidR="003B3646" w:rsidRPr="00EA4F07">
        <w:t>Definitions</w:t>
      </w:r>
      <w:bookmarkEnd w:id="17"/>
      <w:bookmarkEnd w:id="18"/>
      <w:bookmarkEnd w:id="19"/>
    </w:p>
    <w:p w14:paraId="32EC7B21" w14:textId="77777777" w:rsidR="009E72D3" w:rsidRPr="00EA4F07" w:rsidRDefault="009E72D3" w:rsidP="00D56285">
      <w:pPr>
        <w:pStyle w:val="subsection"/>
        <w:tabs>
          <w:tab w:val="clear" w:pos="1021"/>
        </w:tabs>
        <w:ind w:left="709" w:firstLine="0"/>
        <w:rPr>
          <w:sz w:val="24"/>
        </w:rPr>
      </w:pPr>
      <w:r w:rsidRPr="00EA4F07">
        <w:rPr>
          <w:sz w:val="24"/>
        </w:rPr>
        <w:t>In this instrument:</w:t>
      </w:r>
    </w:p>
    <w:p w14:paraId="2257FB12" w14:textId="0517AE03" w:rsidR="004A4231" w:rsidRPr="00EA4F07" w:rsidRDefault="004A4231" w:rsidP="00A928E3">
      <w:pPr>
        <w:pStyle w:val="subsection"/>
        <w:tabs>
          <w:tab w:val="clear" w:pos="1021"/>
        </w:tabs>
        <w:ind w:left="1418" w:firstLine="0"/>
        <w:rPr>
          <w:sz w:val="24"/>
          <w:szCs w:val="24"/>
        </w:rPr>
      </w:pPr>
      <w:r w:rsidRPr="00EA4F07">
        <w:rPr>
          <w:b/>
          <w:i/>
          <w:sz w:val="24"/>
          <w:szCs w:val="24"/>
        </w:rPr>
        <w:t xml:space="preserve">approved English language test </w:t>
      </w:r>
      <w:r w:rsidRPr="00EA4F07">
        <w:rPr>
          <w:sz w:val="24"/>
          <w:szCs w:val="24"/>
        </w:rPr>
        <w:t>means</w:t>
      </w:r>
      <w:r w:rsidR="00335456">
        <w:rPr>
          <w:sz w:val="24"/>
          <w:szCs w:val="24"/>
        </w:rPr>
        <w:t xml:space="preserve"> </w:t>
      </w:r>
      <w:r w:rsidR="00A9393E">
        <w:rPr>
          <w:sz w:val="24"/>
          <w:szCs w:val="24"/>
        </w:rPr>
        <w:t>an English language test that is specified in the requirement in paragraph 5(1)(a).</w:t>
      </w:r>
    </w:p>
    <w:p w14:paraId="542E0EDD" w14:textId="11DB40DC" w:rsidR="00880878" w:rsidRDefault="009E72D3" w:rsidP="00880878">
      <w:pPr>
        <w:pStyle w:val="subsection"/>
        <w:tabs>
          <w:tab w:val="clear" w:pos="1021"/>
          <w:tab w:val="right" w:pos="1418"/>
        </w:tabs>
        <w:spacing w:before="240"/>
        <w:ind w:left="1418" w:firstLine="0"/>
        <w:rPr>
          <w:i/>
          <w:sz w:val="24"/>
          <w:szCs w:val="24"/>
        </w:rPr>
      </w:pPr>
      <w:r w:rsidRPr="00EA4F07">
        <w:rPr>
          <w:b/>
          <w:i/>
          <w:sz w:val="24"/>
          <w:szCs w:val="24"/>
        </w:rPr>
        <w:t xml:space="preserve">Australian Qualifications Framework </w:t>
      </w:r>
      <w:r w:rsidRPr="00EA4F07">
        <w:rPr>
          <w:sz w:val="24"/>
          <w:szCs w:val="24"/>
        </w:rPr>
        <w:t>has the meaning given by the</w:t>
      </w:r>
      <w:r w:rsidRPr="00EA4F07">
        <w:rPr>
          <w:i/>
          <w:sz w:val="24"/>
          <w:szCs w:val="24"/>
        </w:rPr>
        <w:t xml:space="preserve"> Higher Education Support Act 2003. </w:t>
      </w:r>
    </w:p>
    <w:p w14:paraId="7B02DE49" w14:textId="77777777" w:rsidR="002E6440" w:rsidRPr="00EA4F07" w:rsidRDefault="002E6440" w:rsidP="002E6440">
      <w:pPr>
        <w:pStyle w:val="Definition"/>
        <w:spacing w:before="240"/>
        <w:ind w:left="1418"/>
        <w:rPr>
          <w:sz w:val="24"/>
          <w:szCs w:val="24"/>
        </w:rPr>
      </w:pPr>
      <w:r w:rsidRPr="00EA4F07">
        <w:rPr>
          <w:b/>
          <w:i/>
          <w:sz w:val="24"/>
          <w:szCs w:val="24"/>
        </w:rPr>
        <w:t>eligible pathway program</w:t>
      </w:r>
      <w:r w:rsidRPr="00EA4F07">
        <w:rPr>
          <w:sz w:val="24"/>
          <w:szCs w:val="24"/>
        </w:rPr>
        <w:t xml:space="preserve"> means a course</w:t>
      </w:r>
      <w:r w:rsidRPr="00EA4F07">
        <w:t xml:space="preserve">, </w:t>
      </w:r>
      <w:r w:rsidRPr="00EA4F07">
        <w:rPr>
          <w:sz w:val="24"/>
          <w:szCs w:val="24"/>
        </w:rPr>
        <w:t>which on successful completion, provides an academic entry pathway to second year Australian undergraduate study and has been identified by the Department as delivering reputable English language training.</w:t>
      </w:r>
    </w:p>
    <w:p w14:paraId="38167E5F" w14:textId="77777777" w:rsidR="002E6440" w:rsidRPr="00EA4F07" w:rsidRDefault="002E6440" w:rsidP="002E6440">
      <w:pPr>
        <w:pStyle w:val="notetext"/>
        <w:ind w:left="2269"/>
      </w:pPr>
      <w:r w:rsidRPr="00EA4F07">
        <w:t>Note:</w:t>
      </w:r>
      <w:r w:rsidRPr="00EA4F07">
        <w:tab/>
        <w:t xml:space="preserve">A pathway program is a course for students who have not met the academic entry requirements for their intended Australian undergraduate university degree. A pathway program leads to a qualification recognised under the Australian Qualifications Framework and provides academic credit and entry to second year undergraduate study. </w:t>
      </w:r>
    </w:p>
    <w:p w14:paraId="1C24697E" w14:textId="4AFCC33D" w:rsidR="008731A0" w:rsidRPr="00EA4F07" w:rsidRDefault="00D56285" w:rsidP="00880878">
      <w:pPr>
        <w:pStyle w:val="subsection"/>
        <w:tabs>
          <w:tab w:val="clear" w:pos="1021"/>
          <w:tab w:val="right" w:pos="1418"/>
        </w:tabs>
        <w:spacing w:before="240"/>
        <w:ind w:left="1418" w:firstLine="0"/>
        <w:rPr>
          <w:i/>
          <w:sz w:val="24"/>
          <w:szCs w:val="24"/>
        </w:rPr>
      </w:pPr>
      <w:r w:rsidRPr="00EA4F07">
        <w:rPr>
          <w:b/>
          <w:i/>
          <w:sz w:val="24"/>
          <w:szCs w:val="24"/>
        </w:rPr>
        <w:t xml:space="preserve">extended </w:t>
      </w:r>
      <w:r w:rsidR="001F5D32" w:rsidRPr="00EA4F07">
        <w:rPr>
          <w:b/>
          <w:i/>
          <w:sz w:val="24"/>
          <w:szCs w:val="24"/>
        </w:rPr>
        <w:t>f</w:t>
      </w:r>
      <w:r w:rsidR="008731A0" w:rsidRPr="00EA4F07">
        <w:rPr>
          <w:b/>
          <w:i/>
          <w:sz w:val="24"/>
          <w:szCs w:val="24"/>
        </w:rPr>
        <w:t xml:space="preserve">oundation program </w:t>
      </w:r>
      <w:r w:rsidR="00926D2B">
        <w:rPr>
          <w:sz w:val="24"/>
          <w:szCs w:val="24"/>
        </w:rPr>
        <w:t>has the meaning given by the</w:t>
      </w:r>
      <w:r w:rsidR="00AA2BBD" w:rsidRPr="00EA4F07">
        <w:rPr>
          <w:sz w:val="24"/>
          <w:szCs w:val="24"/>
        </w:rPr>
        <w:t xml:space="preserve"> </w:t>
      </w:r>
      <w:r w:rsidR="00F839A2" w:rsidRPr="00EA4F07">
        <w:rPr>
          <w:i/>
          <w:sz w:val="24"/>
          <w:szCs w:val="24"/>
        </w:rPr>
        <w:t>Education Services for Overseas Students (Foundation Program Standards) Instrument 2021</w:t>
      </w:r>
      <w:r w:rsidR="00DA64BC">
        <w:rPr>
          <w:sz w:val="24"/>
          <w:szCs w:val="24"/>
        </w:rPr>
        <w:t xml:space="preserve"> as in force from time to time.</w:t>
      </w:r>
      <w:r w:rsidR="00A97C65" w:rsidRPr="00EA4F07">
        <w:rPr>
          <w:i/>
          <w:sz w:val="24"/>
          <w:szCs w:val="24"/>
        </w:rPr>
        <w:t xml:space="preserve"> </w:t>
      </w:r>
    </w:p>
    <w:p w14:paraId="138F7620" w14:textId="610D4F15" w:rsidR="008731A0" w:rsidRDefault="008731A0" w:rsidP="00880878">
      <w:pPr>
        <w:pStyle w:val="notetext"/>
        <w:ind w:left="2269"/>
      </w:pPr>
      <w:r w:rsidRPr="00EA4F07">
        <w:t>Note:</w:t>
      </w:r>
      <w:r w:rsidRPr="00EA4F07">
        <w:tab/>
        <w:t xml:space="preserve">A foundation program is a </w:t>
      </w:r>
      <w:r w:rsidR="00A97C65" w:rsidRPr="00EA4F07">
        <w:t xml:space="preserve">nationally recognised </w:t>
      </w:r>
      <w:r w:rsidRPr="00EA4F07">
        <w:t>preparatory course for students who have not met the academic entry requirements for their</w:t>
      </w:r>
      <w:r w:rsidR="00A97C65" w:rsidRPr="00EA4F07">
        <w:t xml:space="preserve"> </w:t>
      </w:r>
      <w:r w:rsidR="00CF322E" w:rsidRPr="00EA4F07">
        <w:t xml:space="preserve">intended </w:t>
      </w:r>
      <w:r w:rsidR="00A97C65" w:rsidRPr="00EA4F07">
        <w:t xml:space="preserve">Australian </w:t>
      </w:r>
      <w:r w:rsidRPr="00EA4F07">
        <w:t xml:space="preserve">undergraduate </w:t>
      </w:r>
      <w:r w:rsidR="00CF322E" w:rsidRPr="00EA4F07">
        <w:t xml:space="preserve">university </w:t>
      </w:r>
      <w:r w:rsidRPr="00EA4F07">
        <w:t>degree.</w:t>
      </w:r>
      <w:r w:rsidR="00CF322E" w:rsidRPr="00EA4F07">
        <w:t xml:space="preserve"> Successful completion of the foundation program provides an academic entry pathway to first year undergraduate study.</w:t>
      </w:r>
      <w:r w:rsidRPr="00EA4F07">
        <w:t xml:space="preserve"> A foundation program can also be completed as an alternative to a</w:t>
      </w:r>
      <w:r w:rsidR="008D6853" w:rsidRPr="00EA4F07">
        <w:t>n</w:t>
      </w:r>
      <w:r w:rsidRPr="00EA4F07">
        <w:t xml:space="preserve"> </w:t>
      </w:r>
      <w:r w:rsidR="008D6853" w:rsidRPr="00EA4F07">
        <w:t xml:space="preserve">Australian </w:t>
      </w:r>
      <w:r w:rsidR="00CF322E" w:rsidRPr="00EA4F07">
        <w:t xml:space="preserve">Year 12 </w:t>
      </w:r>
      <w:r w:rsidRPr="00EA4F07">
        <w:t xml:space="preserve">certificate. </w:t>
      </w:r>
      <w:r w:rsidR="002E6440">
        <w:t>The extended foundation program is of longer duration than the standard foundation program.</w:t>
      </w:r>
    </w:p>
    <w:p w14:paraId="3A80281E" w14:textId="7C0A8DD1" w:rsidR="001B25F4" w:rsidRDefault="001B25F4" w:rsidP="001B25F4">
      <w:pPr>
        <w:pStyle w:val="subsection"/>
        <w:tabs>
          <w:tab w:val="clear" w:pos="1021"/>
          <w:tab w:val="right" w:pos="1418"/>
        </w:tabs>
        <w:spacing w:before="240"/>
        <w:ind w:left="1418" w:firstLine="0"/>
        <w:rPr>
          <w:sz w:val="24"/>
          <w:szCs w:val="24"/>
        </w:rPr>
      </w:pPr>
      <w:r w:rsidRPr="00EA4F07">
        <w:rPr>
          <w:b/>
          <w:i/>
          <w:sz w:val="24"/>
          <w:szCs w:val="24"/>
        </w:rPr>
        <w:t xml:space="preserve">principal course </w:t>
      </w:r>
      <w:r w:rsidRPr="00EA4F07">
        <w:rPr>
          <w:sz w:val="24"/>
          <w:szCs w:val="24"/>
        </w:rPr>
        <w:t>means</w:t>
      </w:r>
      <w:r>
        <w:rPr>
          <w:sz w:val="24"/>
          <w:szCs w:val="24"/>
        </w:rPr>
        <w:t xml:space="preserve">, where the student is enrolled in multiple courses for the purposes of the Subclass 500 (Student) visa, the course with the highest Australian Qualifications Framework level. </w:t>
      </w:r>
    </w:p>
    <w:p w14:paraId="62D20039" w14:textId="6D63BF13" w:rsidR="00510F3F" w:rsidRPr="00510F3F" w:rsidRDefault="00510F3F" w:rsidP="00815C7A">
      <w:pPr>
        <w:pStyle w:val="notetext"/>
        <w:ind w:left="2269"/>
      </w:pPr>
      <w:r w:rsidRPr="00510F3F">
        <w:t>Note:</w:t>
      </w:r>
      <w:r w:rsidRPr="00510F3F">
        <w:tab/>
        <w:t xml:space="preserve">A student may enrol in multiple registered courses for the purposes of a Subclass 500 (Student) visa. </w:t>
      </w:r>
    </w:p>
    <w:p w14:paraId="15B5888C" w14:textId="63E139CE" w:rsidR="004A4231" w:rsidRDefault="004A4231" w:rsidP="00880878">
      <w:pPr>
        <w:pStyle w:val="Definition"/>
        <w:spacing w:before="240"/>
        <w:ind w:left="1418"/>
        <w:rPr>
          <w:sz w:val="24"/>
          <w:szCs w:val="24"/>
        </w:rPr>
      </w:pPr>
      <w:r w:rsidRPr="00EA4F07">
        <w:rPr>
          <w:b/>
          <w:i/>
          <w:sz w:val="24"/>
          <w:szCs w:val="24"/>
        </w:rPr>
        <w:t>required English language test score</w:t>
      </w:r>
      <w:r w:rsidRPr="00EA4F07">
        <w:rPr>
          <w:sz w:val="24"/>
          <w:szCs w:val="24"/>
        </w:rPr>
        <w:t xml:space="preserve"> </w:t>
      </w:r>
      <w:r w:rsidR="00C133BA">
        <w:rPr>
          <w:sz w:val="24"/>
          <w:szCs w:val="24"/>
        </w:rPr>
        <w:t>is the score</w:t>
      </w:r>
      <w:r w:rsidR="003A590A">
        <w:rPr>
          <w:sz w:val="24"/>
          <w:szCs w:val="24"/>
        </w:rPr>
        <w:t xml:space="preserve"> specified, </w:t>
      </w:r>
      <w:r w:rsidR="00EA7D68">
        <w:rPr>
          <w:sz w:val="24"/>
          <w:szCs w:val="24"/>
        </w:rPr>
        <w:t>in relation to</w:t>
      </w:r>
      <w:r w:rsidR="00EA7D68" w:rsidRPr="00EA4F07">
        <w:rPr>
          <w:sz w:val="24"/>
          <w:szCs w:val="24"/>
        </w:rPr>
        <w:t xml:space="preserve"> </w:t>
      </w:r>
      <w:r w:rsidRPr="00EA4F07">
        <w:rPr>
          <w:sz w:val="24"/>
          <w:szCs w:val="24"/>
        </w:rPr>
        <w:t>an approved English language test</w:t>
      </w:r>
      <w:r w:rsidR="003A590A">
        <w:rPr>
          <w:sz w:val="24"/>
          <w:szCs w:val="24"/>
        </w:rPr>
        <w:t xml:space="preserve">, </w:t>
      </w:r>
      <w:r w:rsidR="005D23BE" w:rsidRPr="00EA4F07">
        <w:rPr>
          <w:sz w:val="24"/>
          <w:szCs w:val="24"/>
        </w:rPr>
        <w:t xml:space="preserve">in </w:t>
      </w:r>
      <w:r w:rsidR="00876D89">
        <w:rPr>
          <w:sz w:val="24"/>
          <w:szCs w:val="24"/>
        </w:rPr>
        <w:t xml:space="preserve">an item in </w:t>
      </w:r>
      <w:r w:rsidR="005D23BE" w:rsidRPr="00EA4F07">
        <w:rPr>
          <w:sz w:val="24"/>
          <w:szCs w:val="24"/>
        </w:rPr>
        <w:t>the table in Schedule 1</w:t>
      </w:r>
      <w:r w:rsidRPr="00EA4F07">
        <w:rPr>
          <w:sz w:val="24"/>
          <w:szCs w:val="24"/>
        </w:rPr>
        <w:t>.</w:t>
      </w:r>
    </w:p>
    <w:p w14:paraId="1D6A5C6D" w14:textId="77777777" w:rsidR="00852010" w:rsidRPr="00EA4F07" w:rsidRDefault="00852010" w:rsidP="00852010">
      <w:pPr>
        <w:pStyle w:val="subsection"/>
        <w:tabs>
          <w:tab w:val="clear" w:pos="1021"/>
          <w:tab w:val="right" w:pos="1418"/>
        </w:tabs>
        <w:spacing w:before="240"/>
        <w:ind w:left="1418" w:firstLine="0"/>
        <w:rPr>
          <w:i/>
          <w:sz w:val="24"/>
          <w:szCs w:val="24"/>
        </w:rPr>
      </w:pPr>
      <w:r w:rsidRPr="00EA4F07">
        <w:rPr>
          <w:b/>
          <w:i/>
          <w:sz w:val="24"/>
          <w:szCs w:val="24"/>
        </w:rPr>
        <w:lastRenderedPageBreak/>
        <w:t xml:space="preserve">standard foundation program </w:t>
      </w:r>
      <w:r>
        <w:rPr>
          <w:sz w:val="24"/>
          <w:szCs w:val="24"/>
        </w:rPr>
        <w:t xml:space="preserve">has the meaning given by </w:t>
      </w:r>
      <w:r w:rsidRPr="00EA4F07">
        <w:rPr>
          <w:sz w:val="24"/>
          <w:szCs w:val="24"/>
        </w:rPr>
        <w:t xml:space="preserve">the </w:t>
      </w:r>
      <w:r w:rsidRPr="00EA4F07">
        <w:rPr>
          <w:i/>
          <w:sz w:val="24"/>
          <w:szCs w:val="24"/>
        </w:rPr>
        <w:t>Education Services for Overseas Students (Foundation Program Standards) Instrument 2021</w:t>
      </w:r>
      <w:r>
        <w:rPr>
          <w:i/>
          <w:sz w:val="24"/>
          <w:szCs w:val="24"/>
        </w:rPr>
        <w:t xml:space="preserve"> </w:t>
      </w:r>
      <w:r w:rsidRPr="00460A34">
        <w:rPr>
          <w:sz w:val="24"/>
          <w:szCs w:val="24"/>
        </w:rPr>
        <w:t>as in force from time to time</w:t>
      </w:r>
      <w:r w:rsidRPr="00EA4F07">
        <w:rPr>
          <w:sz w:val="24"/>
          <w:szCs w:val="24"/>
        </w:rPr>
        <w:t>.</w:t>
      </w:r>
    </w:p>
    <w:p w14:paraId="146879DF" w14:textId="77777777" w:rsidR="00852010" w:rsidRPr="00EA4F07" w:rsidRDefault="00852010" w:rsidP="00852010">
      <w:pPr>
        <w:pStyle w:val="notetext"/>
        <w:ind w:left="2269"/>
      </w:pPr>
      <w:r w:rsidRPr="00EA4F07">
        <w:t>Note:</w:t>
      </w:r>
      <w:r w:rsidRPr="00EA4F07">
        <w:tab/>
        <w:t xml:space="preserve">A foundation program is a nationally recognised preparatory course for students who have not met the academic entry requirements for their intended Australian undergraduate university degree. Successful completion of the foundation program provides an academic entry pathway to first year undergraduate study. A foundation program can also be completed as an alternative to an Australian Year 12 certificate. </w:t>
      </w:r>
    </w:p>
    <w:p w14:paraId="4B291AC0" w14:textId="3191C128" w:rsidR="002C4E06" w:rsidRPr="00EA4F07" w:rsidRDefault="002C4E06" w:rsidP="00880878">
      <w:pPr>
        <w:pStyle w:val="Definition"/>
        <w:spacing w:before="240"/>
        <w:ind w:left="1418"/>
        <w:rPr>
          <w:sz w:val="24"/>
          <w:szCs w:val="24"/>
        </w:rPr>
      </w:pPr>
      <w:r w:rsidRPr="00EA4F07">
        <w:rPr>
          <w:b/>
          <w:i/>
          <w:sz w:val="24"/>
          <w:szCs w:val="24"/>
        </w:rPr>
        <w:t>test component</w:t>
      </w:r>
      <w:r w:rsidRPr="00EA4F07">
        <w:rPr>
          <w:sz w:val="24"/>
          <w:szCs w:val="24"/>
        </w:rPr>
        <w:t>: each of the following is a test component of an approved English language test:</w:t>
      </w:r>
    </w:p>
    <w:p w14:paraId="02F412CB" w14:textId="1DF87FE7" w:rsidR="002C4E06" w:rsidRPr="00EA4F07" w:rsidRDefault="002C4E06" w:rsidP="00A928E3">
      <w:pPr>
        <w:pStyle w:val="LDSec1"/>
        <w:tabs>
          <w:tab w:val="clear" w:pos="454"/>
          <w:tab w:val="clear" w:pos="737"/>
        </w:tabs>
        <w:ind w:left="2127" w:hanging="727"/>
      </w:pPr>
      <w:r w:rsidRPr="00EA4F07">
        <w:t>(a)</w:t>
      </w:r>
      <w:r w:rsidRPr="00EA4F07">
        <w:tab/>
        <w:t>listening;</w:t>
      </w:r>
    </w:p>
    <w:p w14:paraId="68819D75" w14:textId="7C2C58D4" w:rsidR="002C4E06" w:rsidRPr="00EA4F07" w:rsidRDefault="002C4E06" w:rsidP="00A928E3">
      <w:pPr>
        <w:pStyle w:val="LDSec1"/>
        <w:tabs>
          <w:tab w:val="clear" w:pos="454"/>
          <w:tab w:val="clear" w:pos="737"/>
        </w:tabs>
        <w:ind w:left="2127" w:hanging="727"/>
      </w:pPr>
      <w:r w:rsidRPr="00EA4F07">
        <w:t>(b)</w:t>
      </w:r>
      <w:r w:rsidRPr="00EA4F07">
        <w:tab/>
        <w:t>reading;</w:t>
      </w:r>
    </w:p>
    <w:p w14:paraId="4F8275AF" w14:textId="192AC8C7" w:rsidR="002C4E06" w:rsidRPr="00EA4F07" w:rsidRDefault="002C4E06" w:rsidP="00A928E3">
      <w:pPr>
        <w:pStyle w:val="LDSec1"/>
        <w:tabs>
          <w:tab w:val="clear" w:pos="454"/>
          <w:tab w:val="clear" w:pos="737"/>
        </w:tabs>
        <w:ind w:left="2127" w:hanging="727"/>
      </w:pPr>
      <w:r w:rsidRPr="00EA4F07">
        <w:t>(c)</w:t>
      </w:r>
      <w:r w:rsidRPr="00EA4F07">
        <w:tab/>
        <w:t>speaking;</w:t>
      </w:r>
    </w:p>
    <w:p w14:paraId="5AE9A5CC" w14:textId="175B6D28" w:rsidR="002C4E06" w:rsidRPr="00EA4F07" w:rsidRDefault="002C4E06" w:rsidP="00A928E3">
      <w:pPr>
        <w:pStyle w:val="LDSec1"/>
        <w:tabs>
          <w:tab w:val="clear" w:pos="454"/>
          <w:tab w:val="clear" w:pos="737"/>
        </w:tabs>
        <w:ind w:left="2127" w:hanging="727"/>
      </w:pPr>
      <w:r w:rsidRPr="00EA4F07">
        <w:t>(d)</w:t>
      </w:r>
      <w:r w:rsidRPr="00EA4F07">
        <w:tab/>
        <w:t>writing.</w:t>
      </w:r>
    </w:p>
    <w:p w14:paraId="4D3B6742" w14:textId="24F08ECF" w:rsidR="009E72D3" w:rsidRDefault="009E72D3">
      <w:pPr>
        <w:spacing w:line="240" w:lineRule="auto"/>
        <w:rPr>
          <w:rFonts w:eastAsia="Times New Roman" w:cs="Times New Roman"/>
          <w:sz w:val="24"/>
          <w:szCs w:val="24"/>
        </w:rPr>
      </w:pPr>
    </w:p>
    <w:p w14:paraId="47F5CEA9" w14:textId="77777777" w:rsidR="004947A2" w:rsidRPr="00EA4F07" w:rsidRDefault="004947A2" w:rsidP="004947A2">
      <w:pPr>
        <w:pStyle w:val="notetext"/>
      </w:pPr>
      <w:r w:rsidRPr="00EA4F07">
        <w:t>Note:</w:t>
      </w:r>
      <w:r w:rsidRPr="00EA4F07">
        <w:tab/>
        <w:t>A number of expressions used in this instrument are defined in definitions section of the Regulations, including the following:</w:t>
      </w:r>
    </w:p>
    <w:p w14:paraId="3C060901" w14:textId="77777777" w:rsidR="004947A2" w:rsidRPr="00EA4F07" w:rsidRDefault="004947A2" w:rsidP="004947A2">
      <w:pPr>
        <w:pStyle w:val="subsection"/>
        <w:tabs>
          <w:tab w:val="clear" w:pos="1021"/>
          <w:tab w:val="right" w:pos="1134"/>
          <w:tab w:val="left" w:pos="2552"/>
        </w:tabs>
        <w:spacing w:after="240"/>
        <w:ind w:left="2127" w:firstLine="0"/>
        <w:rPr>
          <w:sz w:val="18"/>
          <w:szCs w:val="18"/>
        </w:rPr>
      </w:pPr>
      <w:r w:rsidRPr="00EA4F07">
        <w:rPr>
          <w:sz w:val="18"/>
          <w:szCs w:val="18"/>
        </w:rPr>
        <w:t>(a)</w:t>
      </w:r>
      <w:r w:rsidRPr="00EA4F07">
        <w:rPr>
          <w:sz w:val="18"/>
          <w:szCs w:val="18"/>
        </w:rPr>
        <w:tab/>
      </w:r>
      <w:r w:rsidRPr="00EA4F07">
        <w:rPr>
          <w:b/>
          <w:i/>
          <w:sz w:val="18"/>
          <w:szCs w:val="18"/>
        </w:rPr>
        <w:t>Defence student</w:t>
      </w:r>
      <w:r w:rsidRPr="00EA4F07">
        <w:rPr>
          <w:i/>
          <w:sz w:val="18"/>
          <w:szCs w:val="18"/>
        </w:rPr>
        <w:t xml:space="preserve"> </w:t>
      </w:r>
      <w:r w:rsidRPr="00EA4F07">
        <w:rPr>
          <w:sz w:val="18"/>
          <w:szCs w:val="18"/>
        </w:rPr>
        <w:t>has the meaning specified in regulation 1.04B;</w:t>
      </w:r>
    </w:p>
    <w:p w14:paraId="4E943C83" w14:textId="77777777" w:rsidR="004947A2" w:rsidRPr="00EA4F07" w:rsidRDefault="004947A2" w:rsidP="004947A2">
      <w:pPr>
        <w:pStyle w:val="subsection"/>
        <w:tabs>
          <w:tab w:val="clear" w:pos="1021"/>
          <w:tab w:val="right" w:pos="1134"/>
          <w:tab w:val="left" w:pos="2552"/>
        </w:tabs>
        <w:spacing w:after="240"/>
        <w:ind w:left="2552" w:hanging="425"/>
        <w:rPr>
          <w:sz w:val="18"/>
          <w:szCs w:val="18"/>
        </w:rPr>
      </w:pPr>
      <w:r w:rsidRPr="00EA4F07">
        <w:rPr>
          <w:sz w:val="18"/>
          <w:szCs w:val="18"/>
        </w:rPr>
        <w:t>(b)</w:t>
      </w:r>
      <w:r w:rsidRPr="00EA4F07">
        <w:rPr>
          <w:b/>
          <w:i/>
          <w:sz w:val="18"/>
          <w:szCs w:val="18"/>
        </w:rPr>
        <w:tab/>
        <w:t>ELICOS</w:t>
      </w:r>
      <w:r w:rsidRPr="00EA4F07">
        <w:rPr>
          <w:sz w:val="18"/>
          <w:szCs w:val="18"/>
        </w:rPr>
        <w:t xml:space="preserve"> has the meaning specified in regulation 1.03;</w:t>
      </w:r>
    </w:p>
    <w:p w14:paraId="27E23C91" w14:textId="77777777" w:rsidR="004947A2" w:rsidRPr="00EA4F07" w:rsidRDefault="004947A2" w:rsidP="004947A2">
      <w:pPr>
        <w:pStyle w:val="subsection"/>
        <w:tabs>
          <w:tab w:val="clear" w:pos="1021"/>
          <w:tab w:val="right" w:pos="1134"/>
          <w:tab w:val="left" w:pos="2552"/>
        </w:tabs>
        <w:spacing w:after="240"/>
        <w:ind w:left="2552" w:hanging="425"/>
        <w:rPr>
          <w:sz w:val="18"/>
          <w:szCs w:val="18"/>
        </w:rPr>
      </w:pPr>
      <w:r w:rsidRPr="00EA4F07">
        <w:rPr>
          <w:sz w:val="18"/>
          <w:szCs w:val="18"/>
        </w:rPr>
        <w:t>(c)</w:t>
      </w:r>
      <w:r w:rsidRPr="00EA4F07">
        <w:rPr>
          <w:b/>
          <w:i/>
          <w:sz w:val="18"/>
          <w:szCs w:val="18"/>
        </w:rPr>
        <w:tab/>
        <w:t xml:space="preserve">Foreign Affairs student </w:t>
      </w:r>
      <w:r w:rsidRPr="00EA4F07">
        <w:rPr>
          <w:sz w:val="18"/>
          <w:szCs w:val="18"/>
        </w:rPr>
        <w:t xml:space="preserve">has the meaning specified in subregulation 1.04A(3); </w:t>
      </w:r>
    </w:p>
    <w:p w14:paraId="2D3A4B63" w14:textId="77777777" w:rsidR="004947A2" w:rsidRPr="00EA4F07" w:rsidRDefault="004947A2" w:rsidP="004947A2">
      <w:pPr>
        <w:pStyle w:val="subsection"/>
        <w:tabs>
          <w:tab w:val="clear" w:pos="1021"/>
          <w:tab w:val="right" w:pos="1134"/>
          <w:tab w:val="left" w:pos="2552"/>
        </w:tabs>
        <w:spacing w:after="240"/>
        <w:ind w:left="2552" w:hanging="425"/>
        <w:rPr>
          <w:sz w:val="18"/>
          <w:szCs w:val="18"/>
        </w:rPr>
      </w:pPr>
      <w:r w:rsidRPr="00EA4F07">
        <w:rPr>
          <w:rStyle w:val="normaltextrun"/>
          <w:bCs/>
          <w:iCs/>
          <w:color w:val="000000"/>
          <w:sz w:val="18"/>
          <w:szCs w:val="18"/>
          <w:shd w:val="clear" w:color="auto" w:fill="FFFFFF"/>
        </w:rPr>
        <w:t>(d)</w:t>
      </w:r>
      <w:r w:rsidRPr="00EA4F07">
        <w:rPr>
          <w:rStyle w:val="normaltextrun"/>
          <w:b/>
          <w:bCs/>
          <w:i/>
          <w:iCs/>
          <w:color w:val="000000"/>
          <w:sz w:val="18"/>
          <w:szCs w:val="18"/>
          <w:shd w:val="clear" w:color="auto" w:fill="FFFFFF"/>
        </w:rPr>
        <w:tab/>
      </w:r>
      <w:r w:rsidRPr="00EA4F07">
        <w:rPr>
          <w:rStyle w:val="normaltextrun"/>
          <w:b/>
          <w:bCs/>
          <w:i/>
          <w:iCs/>
          <w:sz w:val="18"/>
          <w:szCs w:val="18"/>
          <w:shd w:val="clear" w:color="auto" w:fill="FFFFFF"/>
        </w:rPr>
        <w:t>IELTS (or an International English Language Test System) test</w:t>
      </w:r>
      <w:r w:rsidRPr="00EA4F07">
        <w:rPr>
          <w:rStyle w:val="normaltextrun"/>
          <w:sz w:val="18"/>
          <w:szCs w:val="18"/>
          <w:shd w:val="clear" w:color="auto" w:fill="FFFFFF"/>
        </w:rPr>
        <w:t xml:space="preserve"> has the meaning specified in regulation 1.03; </w:t>
      </w:r>
      <w:r w:rsidRPr="00EA4F07">
        <w:rPr>
          <w:sz w:val="18"/>
          <w:szCs w:val="18"/>
        </w:rPr>
        <w:t xml:space="preserve">and </w:t>
      </w:r>
    </w:p>
    <w:p w14:paraId="306ADE19" w14:textId="77777777" w:rsidR="004947A2" w:rsidRPr="00EA4F07" w:rsidRDefault="004947A2" w:rsidP="004947A2">
      <w:pPr>
        <w:pStyle w:val="subsection"/>
        <w:tabs>
          <w:tab w:val="clear" w:pos="1021"/>
          <w:tab w:val="right" w:pos="1134"/>
          <w:tab w:val="left" w:pos="2552"/>
        </w:tabs>
        <w:spacing w:after="240"/>
        <w:ind w:left="2552" w:hanging="425"/>
        <w:rPr>
          <w:sz w:val="18"/>
          <w:szCs w:val="18"/>
        </w:rPr>
      </w:pPr>
      <w:r w:rsidRPr="00EA4F07">
        <w:rPr>
          <w:sz w:val="18"/>
          <w:szCs w:val="18"/>
        </w:rPr>
        <w:t>(e)</w:t>
      </w:r>
      <w:r w:rsidRPr="00EA4F07">
        <w:rPr>
          <w:b/>
          <w:i/>
          <w:sz w:val="18"/>
          <w:szCs w:val="18"/>
        </w:rPr>
        <w:tab/>
        <w:t>Secondary exchange student</w:t>
      </w:r>
      <w:r w:rsidRPr="00EA4F07">
        <w:t xml:space="preserve"> </w:t>
      </w:r>
      <w:r w:rsidRPr="00EA4F07">
        <w:rPr>
          <w:sz w:val="18"/>
          <w:szCs w:val="18"/>
        </w:rPr>
        <w:t>has the meaning specified in regulation 1.03.</w:t>
      </w:r>
    </w:p>
    <w:p w14:paraId="3BA36B00" w14:textId="77777777" w:rsidR="004947A2" w:rsidRPr="00EA4F07" w:rsidRDefault="004947A2">
      <w:pPr>
        <w:spacing w:line="240" w:lineRule="auto"/>
        <w:rPr>
          <w:rFonts w:eastAsia="Times New Roman" w:cs="Times New Roman"/>
          <w:sz w:val="24"/>
          <w:szCs w:val="24"/>
        </w:rPr>
      </w:pPr>
    </w:p>
    <w:p w14:paraId="7AF52C55" w14:textId="0F35D188" w:rsidR="009E72D3" w:rsidRPr="00EA4F07" w:rsidRDefault="009E72D3" w:rsidP="009E72D3">
      <w:pPr>
        <w:pStyle w:val="LDPartHead"/>
      </w:pPr>
      <w:bookmarkStart w:id="20" w:name="_Toc161324141"/>
      <w:bookmarkEnd w:id="4"/>
      <w:r w:rsidRPr="00EA4F07">
        <w:t xml:space="preserve">Part </w:t>
      </w:r>
      <w:r w:rsidRPr="00EA4F07">
        <w:rPr>
          <w:noProof/>
        </w:rPr>
        <w:t>2</w:t>
      </w:r>
      <w:r w:rsidRPr="00EA4F07">
        <w:tab/>
      </w:r>
      <w:r w:rsidR="005C2754" w:rsidRPr="00EA4F07">
        <w:t xml:space="preserve">English </w:t>
      </w:r>
      <w:r w:rsidR="00E07920">
        <w:t>l</w:t>
      </w:r>
      <w:r w:rsidR="005C2754" w:rsidRPr="00EA4F07">
        <w:t xml:space="preserve">anguage </w:t>
      </w:r>
      <w:r w:rsidR="00E07920">
        <w:t>r</w:t>
      </w:r>
      <w:r w:rsidRPr="00EA4F07">
        <w:t>equirements for Subclass 500 (Student) visa</w:t>
      </w:r>
      <w:bookmarkEnd w:id="20"/>
    </w:p>
    <w:p w14:paraId="2AB2C585" w14:textId="72C742D8" w:rsidR="007C343A" w:rsidRPr="00EA4F07" w:rsidRDefault="00CB1095" w:rsidP="00B05E22">
      <w:pPr>
        <w:pStyle w:val="LDSecHead"/>
      </w:pPr>
      <w:bookmarkStart w:id="21" w:name="_Toc31201290"/>
      <w:bookmarkStart w:id="22" w:name="_Toc161324142"/>
      <w:r w:rsidRPr="00EA4F07">
        <w:rPr>
          <w:noProof/>
        </w:rPr>
        <w:t>5</w:t>
      </w:r>
      <w:r w:rsidR="00B05E22" w:rsidRPr="00EA4F07">
        <w:tab/>
      </w:r>
      <w:bookmarkEnd w:id="21"/>
      <w:r w:rsidR="005C2754" w:rsidRPr="00EA4F07">
        <w:t xml:space="preserve">English </w:t>
      </w:r>
      <w:r w:rsidR="004A4231" w:rsidRPr="00EA4F07">
        <w:t>l</w:t>
      </w:r>
      <w:r w:rsidR="005C2754" w:rsidRPr="00EA4F07">
        <w:t xml:space="preserve">anguage </w:t>
      </w:r>
      <w:r w:rsidR="004A4231" w:rsidRPr="00EA4F07">
        <w:t>t</w:t>
      </w:r>
      <w:r w:rsidR="005C2754" w:rsidRPr="00EA4F07">
        <w:t>est</w:t>
      </w:r>
      <w:r w:rsidR="004A4231" w:rsidRPr="00EA4F07">
        <w:t xml:space="preserve"> requirement</w:t>
      </w:r>
      <w:r w:rsidR="005C2754" w:rsidRPr="00EA4F07">
        <w:t>s</w:t>
      </w:r>
      <w:bookmarkEnd w:id="22"/>
      <w:r w:rsidR="005C2754" w:rsidRPr="00EA4F07">
        <w:t xml:space="preserve"> </w:t>
      </w:r>
    </w:p>
    <w:p w14:paraId="226F1B66" w14:textId="2312C8F6" w:rsidR="006C3653" w:rsidRPr="00EA4F07" w:rsidRDefault="004A4231" w:rsidP="006C3653">
      <w:pPr>
        <w:pStyle w:val="LDSec1"/>
        <w:tabs>
          <w:tab w:val="clear" w:pos="737"/>
        </w:tabs>
        <w:ind w:left="1418" w:hanging="709"/>
      </w:pPr>
      <w:r w:rsidRPr="00EA4F07">
        <w:t>(1</w:t>
      </w:r>
      <w:r w:rsidR="009E72D3" w:rsidRPr="00EA4F07">
        <w:t>)</w:t>
      </w:r>
      <w:r w:rsidR="009E72D3" w:rsidRPr="00EA4F07">
        <w:tab/>
      </w:r>
      <w:r w:rsidR="006C3653" w:rsidRPr="00EA4F07">
        <w:t>For the purpose</w:t>
      </w:r>
      <w:r w:rsidR="00E07920">
        <w:t>s</w:t>
      </w:r>
      <w:r w:rsidR="006C3653" w:rsidRPr="00EA4F07">
        <w:t xml:space="preserve"> of subclause 500.213(1) of Schedule 2 to the Regulations, the following requirements are specified:</w:t>
      </w:r>
    </w:p>
    <w:p w14:paraId="51FB9F05" w14:textId="1C7DF360" w:rsidR="00A9393E" w:rsidRDefault="006C3653" w:rsidP="009F7A2F">
      <w:pPr>
        <w:pStyle w:val="LDSec1"/>
        <w:tabs>
          <w:tab w:val="clear" w:pos="454"/>
          <w:tab w:val="clear" w:pos="737"/>
        </w:tabs>
        <w:ind w:left="2127" w:hanging="727"/>
      </w:pPr>
      <w:r w:rsidRPr="00EA4F07">
        <w:t>(a)</w:t>
      </w:r>
      <w:r w:rsidRPr="00EA4F07">
        <w:tab/>
        <w:t>t</w:t>
      </w:r>
      <w:r w:rsidR="009E72D3" w:rsidRPr="00EA4F07">
        <w:t xml:space="preserve">he applicant </w:t>
      </w:r>
      <w:r w:rsidR="00E07920">
        <w:t>must undertake</w:t>
      </w:r>
      <w:r w:rsidR="003A4D1F">
        <w:t xml:space="preserve"> </w:t>
      </w:r>
      <w:r w:rsidR="00A9393E">
        <w:t>one of the following</w:t>
      </w:r>
      <w:r w:rsidR="004A4231" w:rsidRPr="00EA4F07">
        <w:t xml:space="preserve"> </w:t>
      </w:r>
      <w:r w:rsidR="009E72D3" w:rsidRPr="00EA4F07">
        <w:t>English language test</w:t>
      </w:r>
      <w:r w:rsidR="00A9393E">
        <w:t>s:</w:t>
      </w:r>
    </w:p>
    <w:p w14:paraId="67F7DD3B" w14:textId="10A6BD05" w:rsidR="00A9393E" w:rsidRPr="00EA4F07" w:rsidRDefault="00A9393E" w:rsidP="00A928E3">
      <w:pPr>
        <w:pStyle w:val="LDSec1"/>
        <w:ind w:left="2835" w:hanging="708"/>
      </w:pPr>
      <w:r>
        <w:t>(i)</w:t>
      </w:r>
      <w:r>
        <w:tab/>
      </w:r>
      <w:r w:rsidRPr="00EA4F07">
        <w:t xml:space="preserve">Cambridge English: Advanced test </w:t>
      </w:r>
      <w:r>
        <w:t>(</w:t>
      </w:r>
      <w:r w:rsidRPr="00A9393E">
        <w:rPr>
          <w:b/>
          <w:i/>
        </w:rPr>
        <w:t>CAE</w:t>
      </w:r>
      <w:r w:rsidRPr="00EA4F07">
        <w:t>) (also known as Certificate in Advanced English);</w:t>
      </w:r>
    </w:p>
    <w:p w14:paraId="2AEF1DA4" w14:textId="3B98EB2A" w:rsidR="00A9393E" w:rsidRDefault="00A9393E" w:rsidP="00A928E3">
      <w:pPr>
        <w:pStyle w:val="LDSec1"/>
        <w:ind w:left="2835" w:hanging="708"/>
      </w:pPr>
      <w:r>
        <w:t>(ii)</w:t>
      </w:r>
      <w:r>
        <w:tab/>
      </w:r>
      <w:r w:rsidRPr="00EA4F07">
        <w:t>International Engli</w:t>
      </w:r>
      <w:r>
        <w:t>sh Language Testing System (</w:t>
      </w:r>
      <w:r w:rsidRPr="00A9393E">
        <w:rPr>
          <w:b/>
          <w:i/>
        </w:rPr>
        <w:t>IELTS</w:t>
      </w:r>
      <w:r w:rsidRPr="00EA4F07">
        <w:t>);</w:t>
      </w:r>
    </w:p>
    <w:p w14:paraId="3250E410" w14:textId="4E52E161" w:rsidR="00A9393E" w:rsidRDefault="00A9393E" w:rsidP="00A928E3">
      <w:pPr>
        <w:pStyle w:val="LDSec1"/>
        <w:ind w:left="2835" w:hanging="708"/>
      </w:pPr>
      <w:r>
        <w:t>(iii)</w:t>
      </w:r>
      <w:r>
        <w:tab/>
        <w:t>Occupational English Test (</w:t>
      </w:r>
      <w:r w:rsidRPr="00A9393E">
        <w:rPr>
          <w:b/>
          <w:i/>
        </w:rPr>
        <w:t>OET</w:t>
      </w:r>
      <w:r>
        <w:t>);</w:t>
      </w:r>
    </w:p>
    <w:p w14:paraId="6449F83A" w14:textId="36C6B008" w:rsidR="00A9393E" w:rsidRPr="00EA4F07" w:rsidRDefault="00A9393E" w:rsidP="00A928E3">
      <w:pPr>
        <w:pStyle w:val="LDSec1"/>
        <w:ind w:left="2835" w:hanging="708"/>
      </w:pPr>
      <w:r>
        <w:t>(iv)</w:t>
      </w:r>
      <w:r>
        <w:tab/>
      </w:r>
      <w:r w:rsidRPr="00EA4F07">
        <w:t>Pears</w:t>
      </w:r>
      <w:r>
        <w:t>on Test of English Academic (</w:t>
      </w:r>
      <w:r w:rsidRPr="00A9393E">
        <w:rPr>
          <w:b/>
          <w:i/>
        </w:rPr>
        <w:t>PTE</w:t>
      </w:r>
      <w:r w:rsidRPr="00EA4F07">
        <w:t>);</w:t>
      </w:r>
      <w:r>
        <w:t xml:space="preserve"> </w:t>
      </w:r>
    </w:p>
    <w:p w14:paraId="5022E915" w14:textId="64B80EAB" w:rsidR="009E72D3" w:rsidRPr="00EA4F07" w:rsidRDefault="00A9393E" w:rsidP="00A928E3">
      <w:pPr>
        <w:pStyle w:val="LDSec1"/>
        <w:ind w:left="2835" w:hanging="708"/>
      </w:pPr>
      <w:r>
        <w:t>(v)</w:t>
      </w:r>
      <w:r>
        <w:tab/>
      </w:r>
      <w:r w:rsidRPr="00EA4F07">
        <w:t>Test of English as a Foreign La</w:t>
      </w:r>
      <w:r>
        <w:t>nguage internet</w:t>
      </w:r>
      <w:r>
        <w:noBreakHyphen/>
        <w:t>based test (</w:t>
      </w:r>
      <w:r w:rsidRPr="00A9393E">
        <w:rPr>
          <w:b/>
          <w:i/>
        </w:rPr>
        <w:t>TOEFL iBT</w:t>
      </w:r>
      <w:r w:rsidRPr="00EA4F07">
        <w:t>)</w:t>
      </w:r>
      <w:r w:rsidR="006C3653" w:rsidRPr="00EA4F07">
        <w:t>;</w:t>
      </w:r>
      <w:r w:rsidR="0053001C">
        <w:t xml:space="preserve"> and</w:t>
      </w:r>
    </w:p>
    <w:p w14:paraId="596CD34C" w14:textId="08D57B9B" w:rsidR="009E72D3" w:rsidRPr="00EA4F07" w:rsidRDefault="004A4231" w:rsidP="009F7A2F">
      <w:pPr>
        <w:pStyle w:val="LDSec1"/>
        <w:ind w:left="2127" w:hanging="727"/>
      </w:pPr>
      <w:r w:rsidRPr="00EA4F07">
        <w:t>(</w:t>
      </w:r>
      <w:r w:rsidR="006C3653" w:rsidRPr="00EA4F07">
        <w:t>b</w:t>
      </w:r>
      <w:r w:rsidR="009E72D3" w:rsidRPr="00EA4F07">
        <w:t>)</w:t>
      </w:r>
      <w:r w:rsidR="009E72D3" w:rsidRPr="00EA4F07">
        <w:tab/>
      </w:r>
      <w:r w:rsidR="006C3653" w:rsidRPr="00EA4F07">
        <w:t>t</w:t>
      </w:r>
      <w:r w:rsidR="009E72D3" w:rsidRPr="00EA4F07">
        <w:t xml:space="preserve">he applicant </w:t>
      </w:r>
      <w:r w:rsidR="00E07920">
        <w:t xml:space="preserve">must </w:t>
      </w:r>
      <w:r w:rsidR="00EA7D68">
        <w:t xml:space="preserve">have </w:t>
      </w:r>
      <w:r w:rsidR="00E07920">
        <w:t>undertake</w:t>
      </w:r>
      <w:r w:rsidR="00EA7D68">
        <w:t>n</w:t>
      </w:r>
      <w:r w:rsidR="00E07920" w:rsidRPr="00EA4F07">
        <w:t xml:space="preserve"> </w:t>
      </w:r>
      <w:r w:rsidR="009E72D3" w:rsidRPr="00EA4F07">
        <w:t>the test within the following period:</w:t>
      </w:r>
    </w:p>
    <w:p w14:paraId="3EF2F349" w14:textId="0BAF39AD" w:rsidR="009E72D3" w:rsidRPr="00EA4F07" w:rsidRDefault="004A4231" w:rsidP="006C3653">
      <w:pPr>
        <w:pStyle w:val="LDSec1"/>
        <w:tabs>
          <w:tab w:val="clear" w:pos="737"/>
        </w:tabs>
        <w:ind w:left="2835" w:hanging="709"/>
      </w:pPr>
      <w:r w:rsidRPr="00EA4F07">
        <w:t>(</w:t>
      </w:r>
      <w:r w:rsidR="006C3653" w:rsidRPr="00EA4F07">
        <w:t>i</w:t>
      </w:r>
      <w:r w:rsidR="009E72D3" w:rsidRPr="00EA4F07">
        <w:t>)</w:t>
      </w:r>
      <w:r w:rsidR="009E72D3" w:rsidRPr="00EA4F07">
        <w:tab/>
      </w:r>
      <w:r w:rsidR="00443148" w:rsidRPr="00EA4F07">
        <w:t>if evidence of the test is provided at the time the applicant makes an application for a Subclass 500 (Student) visa</w:t>
      </w:r>
      <w:r w:rsidR="003C7BD0" w:rsidRPr="00EA4F07">
        <w:t>—</w:t>
      </w:r>
      <w:r w:rsidR="00EF3AF1">
        <w:lastRenderedPageBreak/>
        <w:t xml:space="preserve">the </w:t>
      </w:r>
      <w:r w:rsidR="00B926EB" w:rsidRPr="00EA4F07">
        <w:t>2</w:t>
      </w:r>
      <w:r w:rsidR="00B824E9" w:rsidRPr="00EA4F07">
        <w:t xml:space="preserve"> year</w:t>
      </w:r>
      <w:r w:rsidR="00EF3AF1">
        <w:t xml:space="preserve"> period</w:t>
      </w:r>
      <w:r w:rsidR="00720E42" w:rsidRPr="00EA4F07">
        <w:t xml:space="preserve"> </w:t>
      </w:r>
      <w:r w:rsidR="00443148" w:rsidRPr="00EA4F07">
        <w:t xml:space="preserve">immediately </w:t>
      </w:r>
      <w:r w:rsidR="00720E42" w:rsidRPr="00EA4F07">
        <w:t xml:space="preserve">before the </w:t>
      </w:r>
      <w:r w:rsidR="00E07920" w:rsidRPr="00EA4F07">
        <w:t>da</w:t>
      </w:r>
      <w:r w:rsidR="00E07920">
        <w:t>y</w:t>
      </w:r>
      <w:r w:rsidR="00E07920" w:rsidRPr="00EA4F07">
        <w:t xml:space="preserve"> </w:t>
      </w:r>
      <w:r w:rsidR="00D20396">
        <w:t xml:space="preserve">on which </w:t>
      </w:r>
      <w:r w:rsidR="00443148" w:rsidRPr="00EA4F07">
        <w:t>the</w:t>
      </w:r>
      <w:r w:rsidR="00720E42" w:rsidRPr="00EA4F07">
        <w:t xml:space="preserve"> </w:t>
      </w:r>
      <w:r w:rsidR="005A7A15">
        <w:t xml:space="preserve">visa </w:t>
      </w:r>
      <w:r w:rsidR="00720E42" w:rsidRPr="00EA4F07">
        <w:t>application</w:t>
      </w:r>
      <w:r w:rsidR="00443148" w:rsidRPr="00EA4F07">
        <w:t xml:space="preserve"> is made</w:t>
      </w:r>
      <w:r w:rsidR="009E72D3" w:rsidRPr="00EA4F07">
        <w:t xml:space="preserve">; or </w:t>
      </w:r>
    </w:p>
    <w:p w14:paraId="7565D365" w14:textId="21FC7586" w:rsidR="00141F17" w:rsidRPr="00EA4F07" w:rsidRDefault="004A4231" w:rsidP="006C3653">
      <w:pPr>
        <w:pStyle w:val="LDSec1"/>
        <w:tabs>
          <w:tab w:val="clear" w:pos="737"/>
        </w:tabs>
        <w:ind w:left="2835" w:hanging="709"/>
        <w:rPr>
          <w:rFonts w:ascii="Arial" w:hAnsi="Arial" w:cs="Arial"/>
          <w:lang w:eastAsia="en-AU"/>
        </w:rPr>
      </w:pPr>
      <w:r w:rsidRPr="00EA4F07">
        <w:t>(</w:t>
      </w:r>
      <w:r w:rsidR="006C3653" w:rsidRPr="00EA4F07">
        <w:t>ii</w:t>
      </w:r>
      <w:r w:rsidR="009E72D3" w:rsidRPr="00EA4F07">
        <w:t>)</w:t>
      </w:r>
      <w:r w:rsidR="009E72D3" w:rsidRPr="00EA4F07">
        <w:tab/>
      </w:r>
      <w:r w:rsidR="00443148" w:rsidRPr="00EA4F07">
        <w:t>if evidence of the test is not provided at the time the visa application is made</w:t>
      </w:r>
      <w:r w:rsidR="003C7BD0" w:rsidRPr="00EA4F07">
        <w:t>—</w:t>
      </w:r>
      <w:r w:rsidR="00EF3AF1">
        <w:t xml:space="preserve">the </w:t>
      </w:r>
      <w:r w:rsidR="00B926EB" w:rsidRPr="00EA4F07">
        <w:t>2</w:t>
      </w:r>
      <w:r w:rsidR="00720E42" w:rsidRPr="00EA4F07">
        <w:t xml:space="preserve"> year</w:t>
      </w:r>
      <w:r w:rsidR="00EF3AF1">
        <w:t xml:space="preserve"> period</w:t>
      </w:r>
      <w:r w:rsidR="00443148" w:rsidRPr="00EA4F07">
        <w:t xml:space="preserve"> immediately</w:t>
      </w:r>
      <w:r w:rsidR="00720E42" w:rsidRPr="00EA4F07">
        <w:t xml:space="preserve"> </w:t>
      </w:r>
      <w:r w:rsidR="004B149E" w:rsidRPr="00EA4F07">
        <w:t>before</w:t>
      </w:r>
      <w:r w:rsidR="00E07920">
        <w:t xml:space="preserve"> the day </w:t>
      </w:r>
      <w:r w:rsidR="00D20396">
        <w:t>on which</w:t>
      </w:r>
      <w:r w:rsidR="004B149E" w:rsidRPr="00EA4F07">
        <w:t xml:space="preserve"> a decision to grant or refuse </w:t>
      </w:r>
      <w:r w:rsidR="00E07920">
        <w:t xml:space="preserve">to grant </w:t>
      </w:r>
      <w:r w:rsidR="004B149E" w:rsidRPr="00EA4F07">
        <w:t>the visa is made</w:t>
      </w:r>
      <w:r w:rsidR="006C3653" w:rsidRPr="00EA4F07">
        <w:t>;</w:t>
      </w:r>
      <w:r w:rsidR="0053001C">
        <w:t xml:space="preserve"> and</w:t>
      </w:r>
    </w:p>
    <w:p w14:paraId="2F035256" w14:textId="4E73157E" w:rsidR="00443148" w:rsidRDefault="004A4231" w:rsidP="00141F17">
      <w:pPr>
        <w:pStyle w:val="LDSec1"/>
        <w:tabs>
          <w:tab w:val="clear" w:pos="454"/>
          <w:tab w:val="clear" w:pos="737"/>
        </w:tabs>
        <w:spacing w:before="0" w:after="0"/>
        <w:ind w:left="2127" w:hanging="737"/>
      </w:pPr>
      <w:r w:rsidRPr="00EA4F07">
        <w:t>(</w:t>
      </w:r>
      <w:r w:rsidR="006C3653" w:rsidRPr="00EA4F07">
        <w:t>c</w:t>
      </w:r>
      <w:r w:rsidR="00443148" w:rsidRPr="00EA4F07">
        <w:t>)</w:t>
      </w:r>
      <w:r w:rsidR="00443148" w:rsidRPr="00EA4F07">
        <w:tab/>
      </w:r>
      <w:r w:rsidR="00FB18A5" w:rsidRPr="00EA4F07">
        <w:t>t</w:t>
      </w:r>
      <w:r w:rsidR="00443148" w:rsidRPr="00EA4F07">
        <w:t xml:space="preserve">he applicant </w:t>
      </w:r>
      <w:r w:rsidR="00EF3AF1">
        <w:t>meets the requirements in</w:t>
      </w:r>
      <w:r w:rsidR="00EF3AF1" w:rsidRPr="00EA4F07">
        <w:t xml:space="preserve"> </w:t>
      </w:r>
      <w:r w:rsidR="006C3653" w:rsidRPr="00EA4F07">
        <w:t>subsection (2), (3),</w:t>
      </w:r>
      <w:r w:rsidR="00D34832">
        <w:t xml:space="preserve"> or (4)</w:t>
      </w:r>
      <w:r w:rsidR="003A2D89" w:rsidRPr="00EA4F07">
        <w:t>.</w:t>
      </w:r>
    </w:p>
    <w:p w14:paraId="4270BCCD" w14:textId="5A4556F5" w:rsidR="00141F17" w:rsidRDefault="00526545" w:rsidP="009F7A2F">
      <w:pPr>
        <w:pStyle w:val="LDSec1"/>
        <w:tabs>
          <w:tab w:val="clear" w:pos="737"/>
        </w:tabs>
        <w:ind w:left="1418" w:hanging="709"/>
      </w:pPr>
      <w:r w:rsidRPr="00EA4F07">
        <w:t>(</w:t>
      </w:r>
      <w:r w:rsidR="006C3653" w:rsidRPr="00EA4F07">
        <w:t>2</w:t>
      </w:r>
      <w:r w:rsidRPr="00EA4F07">
        <w:t>)</w:t>
      </w:r>
      <w:r w:rsidRPr="00EA4F07">
        <w:tab/>
      </w:r>
      <w:r w:rsidR="006C3653" w:rsidRPr="00EA4F07">
        <w:t>The applicant achieved the required English language test score specified</w:t>
      </w:r>
      <w:r w:rsidR="0013534C">
        <w:t xml:space="preserve"> </w:t>
      </w:r>
      <w:r w:rsidR="006C3653" w:rsidRPr="00EA4F07">
        <w:t xml:space="preserve">in Column 2 of </w:t>
      </w:r>
      <w:r w:rsidR="00183CE4">
        <w:t xml:space="preserve">an item in the table in </w:t>
      </w:r>
      <w:r w:rsidR="006C3653" w:rsidRPr="00EA4F07">
        <w:t>Schedule 1.</w:t>
      </w:r>
    </w:p>
    <w:p w14:paraId="51D5A0D0" w14:textId="77777777" w:rsidR="00D34832" w:rsidRDefault="006C3653" w:rsidP="009F7A2F">
      <w:pPr>
        <w:pStyle w:val="LDSec1"/>
        <w:tabs>
          <w:tab w:val="clear" w:pos="737"/>
        </w:tabs>
        <w:ind w:left="1418" w:hanging="709"/>
      </w:pPr>
      <w:r w:rsidRPr="00EA4F07">
        <w:t>(3)</w:t>
      </w:r>
      <w:r w:rsidRPr="00EA4F07">
        <w:tab/>
      </w:r>
      <w:r w:rsidR="00D34832">
        <w:t>If the applicant is enrolled in:</w:t>
      </w:r>
    </w:p>
    <w:p w14:paraId="3AEA6338" w14:textId="0D1073C7" w:rsidR="00D34832" w:rsidRDefault="00D34832" w:rsidP="009F7A2F">
      <w:pPr>
        <w:pStyle w:val="LDSec1"/>
        <w:tabs>
          <w:tab w:val="clear" w:pos="454"/>
          <w:tab w:val="clear" w:pos="737"/>
        </w:tabs>
        <w:ind w:left="2127" w:hanging="727"/>
      </w:pPr>
      <w:r>
        <w:t>(a)</w:t>
      </w:r>
      <w:r>
        <w:tab/>
      </w:r>
      <w:r w:rsidRPr="00EA4F07">
        <w:t xml:space="preserve">at least 10 weeks of </w:t>
      </w:r>
      <w:r w:rsidR="00B47D8B">
        <w:t xml:space="preserve">an </w:t>
      </w:r>
      <w:r w:rsidRPr="00EA4F07">
        <w:t>ELICOS</w:t>
      </w:r>
      <w:r>
        <w:t xml:space="preserve"> t</w:t>
      </w:r>
      <w:r w:rsidR="000A24A9">
        <w:t xml:space="preserve">hat </w:t>
      </w:r>
      <w:r w:rsidR="00DC41BE">
        <w:t xml:space="preserve">accompanies </w:t>
      </w:r>
      <w:r w:rsidR="000A24A9">
        <w:t>a principal course</w:t>
      </w:r>
      <w:r w:rsidR="00A1726D">
        <w:t xml:space="preserve"> and that </w:t>
      </w:r>
      <w:r w:rsidR="00A913B4">
        <w:t>is intended to commence</w:t>
      </w:r>
      <w:r w:rsidR="00141F17">
        <w:t xml:space="preserve"> after the </w:t>
      </w:r>
      <w:r w:rsidR="00A1726D">
        <w:t xml:space="preserve">Subclass 500 </w:t>
      </w:r>
      <w:r w:rsidR="00815C7A">
        <w:t>(</w:t>
      </w:r>
      <w:r w:rsidR="00815C7A" w:rsidRPr="00EA4F07">
        <w:t xml:space="preserve">Student) </w:t>
      </w:r>
      <w:r w:rsidR="00A1726D">
        <w:t>visa application was</w:t>
      </w:r>
      <w:r w:rsidR="00141F17">
        <w:t xml:space="preserve"> made</w:t>
      </w:r>
      <w:r w:rsidR="00503EC6">
        <w:t>;</w:t>
      </w:r>
      <w:r>
        <w:t xml:space="preserve"> </w:t>
      </w:r>
      <w:r w:rsidR="00B4727F">
        <w:t>or</w:t>
      </w:r>
    </w:p>
    <w:p w14:paraId="36F6B5B8" w14:textId="2176B244" w:rsidR="003A4D1F" w:rsidRDefault="00D34832" w:rsidP="009F7A2F">
      <w:pPr>
        <w:pStyle w:val="LDSec1"/>
        <w:tabs>
          <w:tab w:val="clear" w:pos="454"/>
          <w:tab w:val="clear" w:pos="737"/>
        </w:tabs>
        <w:ind w:left="2127" w:hanging="727"/>
      </w:pPr>
      <w:r>
        <w:t>(b)</w:t>
      </w:r>
      <w:r>
        <w:tab/>
        <w:t>a</w:t>
      </w:r>
      <w:r w:rsidR="003A4D1F">
        <w:t xml:space="preserve"> standard foundation program; </w:t>
      </w:r>
      <w:r w:rsidR="00B4727F">
        <w:t>or</w:t>
      </w:r>
    </w:p>
    <w:p w14:paraId="4CED2765" w14:textId="0634EF26" w:rsidR="00D34832" w:rsidRPr="00EA4F07" w:rsidRDefault="003A4D1F" w:rsidP="009F7A2F">
      <w:pPr>
        <w:pStyle w:val="LDSec1"/>
        <w:tabs>
          <w:tab w:val="clear" w:pos="454"/>
          <w:tab w:val="clear" w:pos="737"/>
        </w:tabs>
        <w:ind w:left="2127" w:hanging="727"/>
      </w:pPr>
      <w:r>
        <w:t>(c)</w:t>
      </w:r>
      <w:r>
        <w:tab/>
      </w:r>
      <w:r w:rsidRPr="00EA4F07">
        <w:t>an extended foundation program</w:t>
      </w:r>
      <w:r>
        <w:t xml:space="preserve">; </w:t>
      </w:r>
      <w:r w:rsidR="003C2274">
        <w:t>or</w:t>
      </w:r>
    </w:p>
    <w:p w14:paraId="410D358B" w14:textId="0732D86D" w:rsidR="00D34832" w:rsidRPr="00EA4F07" w:rsidRDefault="003A4D1F" w:rsidP="009F7A2F">
      <w:pPr>
        <w:pStyle w:val="LDSec1"/>
        <w:tabs>
          <w:tab w:val="clear" w:pos="454"/>
          <w:tab w:val="clear" w:pos="737"/>
        </w:tabs>
        <w:ind w:left="2127" w:hanging="727"/>
      </w:pPr>
      <w:r>
        <w:t>(d</w:t>
      </w:r>
      <w:r w:rsidR="00D34832" w:rsidRPr="00EA4F07">
        <w:t>)</w:t>
      </w:r>
      <w:r w:rsidR="00D34832" w:rsidRPr="00EA4F07">
        <w:tab/>
      </w:r>
      <w:r w:rsidR="00D34832">
        <w:t xml:space="preserve">an </w:t>
      </w:r>
      <w:r w:rsidR="00D34832" w:rsidRPr="00EA4F07">
        <w:t>eligible pathway program;</w:t>
      </w:r>
    </w:p>
    <w:p w14:paraId="32CBE5E5" w14:textId="511A612B" w:rsidR="00D34832" w:rsidRDefault="00D34832" w:rsidP="009F7A2F">
      <w:pPr>
        <w:pStyle w:val="LDSec1"/>
        <w:tabs>
          <w:tab w:val="clear" w:pos="737"/>
        </w:tabs>
        <w:ind w:left="1418" w:firstLine="0"/>
      </w:pPr>
      <w:r w:rsidRPr="00EA4F07">
        <w:t xml:space="preserve">the applicant achieved the required English language test score specified in Column 3 </w:t>
      </w:r>
      <w:r w:rsidR="00183CE4">
        <w:t>of an item in the table in</w:t>
      </w:r>
      <w:r w:rsidRPr="00EA4F07">
        <w:t xml:space="preserve"> Schedule 1.</w:t>
      </w:r>
    </w:p>
    <w:p w14:paraId="3FD84532" w14:textId="74BF6E80" w:rsidR="000A0B19" w:rsidRDefault="006C3653" w:rsidP="009F7A2F">
      <w:pPr>
        <w:pStyle w:val="LDSec1"/>
        <w:tabs>
          <w:tab w:val="clear" w:pos="737"/>
        </w:tabs>
        <w:ind w:left="1418" w:hanging="709"/>
      </w:pPr>
      <w:r w:rsidRPr="00EA4F07">
        <w:t>(4)</w:t>
      </w:r>
      <w:r w:rsidRPr="00EA4F07">
        <w:tab/>
      </w:r>
      <w:r w:rsidR="006D142E">
        <w:t>If t</w:t>
      </w:r>
      <w:r w:rsidRPr="00EA4F07">
        <w:t>he applicant</w:t>
      </w:r>
      <w:r w:rsidR="006D142E">
        <w:t xml:space="preserve"> is enrolled in</w:t>
      </w:r>
      <w:r w:rsidR="003C2274">
        <w:t xml:space="preserve"> </w:t>
      </w:r>
      <w:r w:rsidR="00B12ED7" w:rsidRPr="00EA4F07">
        <w:t xml:space="preserve">at least </w:t>
      </w:r>
      <w:r w:rsidR="00B12ED7">
        <w:t>2</w:t>
      </w:r>
      <w:r w:rsidR="00B12ED7" w:rsidRPr="00EA4F07">
        <w:t xml:space="preserve">0 weeks of </w:t>
      </w:r>
      <w:r w:rsidR="00B12ED7">
        <w:t xml:space="preserve">an </w:t>
      </w:r>
      <w:r w:rsidR="00B12ED7" w:rsidRPr="00EA4F07">
        <w:t>ELICOS</w:t>
      </w:r>
      <w:r w:rsidR="00B12ED7">
        <w:t xml:space="preserve"> that accompanies a principal course</w:t>
      </w:r>
      <w:r w:rsidR="00094816">
        <w:t xml:space="preserve"> </w:t>
      </w:r>
      <w:r w:rsidR="00A1726D">
        <w:t xml:space="preserve">and that </w:t>
      </w:r>
      <w:r w:rsidR="00BD3E27">
        <w:t>is intended to commence</w:t>
      </w:r>
      <w:r w:rsidR="00094816">
        <w:t xml:space="preserve"> after the </w:t>
      </w:r>
      <w:r w:rsidR="00A1726D">
        <w:t xml:space="preserve">Subclass 500 </w:t>
      </w:r>
      <w:r w:rsidR="00815C7A">
        <w:t>(</w:t>
      </w:r>
      <w:r w:rsidR="00815C7A" w:rsidRPr="00EA4F07">
        <w:t xml:space="preserve">Student) </w:t>
      </w:r>
      <w:r w:rsidR="00A1726D">
        <w:t>visa application was</w:t>
      </w:r>
      <w:r w:rsidR="00094816">
        <w:t xml:space="preserve"> made</w:t>
      </w:r>
      <w:r w:rsidR="003C2274">
        <w:t xml:space="preserve">, </w:t>
      </w:r>
      <w:r w:rsidR="006D142E">
        <w:t xml:space="preserve">the applicant </w:t>
      </w:r>
      <w:r w:rsidR="006D142E" w:rsidRPr="00EA4F07">
        <w:t>achieved the required Englis</w:t>
      </w:r>
      <w:r w:rsidR="00D34832">
        <w:t xml:space="preserve">h language test score specified </w:t>
      </w:r>
      <w:r w:rsidR="006D142E">
        <w:t>in Column 4</w:t>
      </w:r>
      <w:r w:rsidR="006D142E" w:rsidRPr="00EA4F07">
        <w:t xml:space="preserve"> </w:t>
      </w:r>
      <w:r w:rsidR="00183CE4">
        <w:t>of an item in the table in</w:t>
      </w:r>
      <w:r w:rsidR="006D142E" w:rsidRPr="00EA4F07">
        <w:t xml:space="preserve"> Schedule 1</w:t>
      </w:r>
      <w:r w:rsidR="006D142E">
        <w:t>.</w:t>
      </w:r>
    </w:p>
    <w:p w14:paraId="380799B1" w14:textId="5B68BF2C" w:rsidR="004A4231" w:rsidRPr="00EA4F07" w:rsidRDefault="004A4231" w:rsidP="00142B7E">
      <w:pPr>
        <w:pStyle w:val="LDSecHead"/>
        <w:tabs>
          <w:tab w:val="clear" w:pos="737"/>
          <w:tab w:val="left" w:pos="709"/>
        </w:tabs>
      </w:pPr>
      <w:bookmarkStart w:id="23" w:name="_Toc161324143"/>
      <w:r w:rsidRPr="00EA4F07">
        <w:rPr>
          <w:noProof/>
        </w:rPr>
        <w:t>6</w:t>
      </w:r>
      <w:r w:rsidRPr="00EA4F07">
        <w:tab/>
        <w:t>English language test requirements do not apply</w:t>
      </w:r>
      <w:bookmarkEnd w:id="23"/>
    </w:p>
    <w:p w14:paraId="1075B885" w14:textId="1C385452" w:rsidR="009E72D3" w:rsidRPr="00EA4F07" w:rsidRDefault="004A4231" w:rsidP="009F7A2F">
      <w:pPr>
        <w:pStyle w:val="LDSec1"/>
        <w:tabs>
          <w:tab w:val="clear" w:pos="737"/>
        </w:tabs>
        <w:ind w:left="1418" w:hanging="709"/>
      </w:pPr>
      <w:r w:rsidRPr="00EA4F07">
        <w:t>(1</w:t>
      </w:r>
      <w:r w:rsidR="009E72D3" w:rsidRPr="00EA4F07">
        <w:t>)</w:t>
      </w:r>
      <w:r w:rsidR="009E72D3" w:rsidRPr="00EA4F07">
        <w:tab/>
        <w:t>For the purpose of subclause 500.213(2) of Schedule 2 to the Regulations, subclause 500.213(1) of Schedule 2 to the Regulations does not apply to the following classes of applicants:</w:t>
      </w:r>
    </w:p>
    <w:p w14:paraId="0F3491FF" w14:textId="12841BA3" w:rsidR="009E72D3" w:rsidRPr="00EA4F07" w:rsidRDefault="0071659B" w:rsidP="009F7A2F">
      <w:pPr>
        <w:pStyle w:val="LDSec1"/>
        <w:tabs>
          <w:tab w:val="clear" w:pos="454"/>
          <w:tab w:val="clear" w:pos="737"/>
        </w:tabs>
        <w:ind w:left="2127" w:hanging="727"/>
      </w:pPr>
      <w:r w:rsidRPr="00EA4F07">
        <w:t>(a)</w:t>
      </w:r>
      <w:r w:rsidRPr="00EA4F07">
        <w:tab/>
      </w:r>
      <w:r w:rsidR="009E72D3" w:rsidRPr="00EA4F07">
        <w:t>an applicant who is a citizen of, and who holds a valid passport issued by</w:t>
      </w:r>
      <w:r w:rsidR="00CF6488">
        <w:t>,</w:t>
      </w:r>
      <w:r w:rsidR="0022175C">
        <w:t xml:space="preserve"> one or more of the following countries</w:t>
      </w:r>
      <w:r w:rsidR="009E72D3" w:rsidRPr="00EA4F07">
        <w:t>:</w:t>
      </w:r>
    </w:p>
    <w:p w14:paraId="68A87AE8" w14:textId="53D1A0BC" w:rsidR="00C27239" w:rsidRDefault="0071659B" w:rsidP="009F7A2F">
      <w:pPr>
        <w:pStyle w:val="LDSec1"/>
        <w:ind w:left="2835" w:hanging="708"/>
      </w:pPr>
      <w:r w:rsidRPr="00EA4F07">
        <w:t>(i)</w:t>
      </w:r>
      <w:r w:rsidRPr="00EA4F07">
        <w:tab/>
      </w:r>
      <w:r w:rsidR="00C27239" w:rsidRPr="00EA4F07">
        <w:t>Canada</w:t>
      </w:r>
      <w:r w:rsidR="00C27239">
        <w:t>;</w:t>
      </w:r>
    </w:p>
    <w:p w14:paraId="03C1F5B9" w14:textId="249AAA50" w:rsidR="00C27239" w:rsidRDefault="00C27239" w:rsidP="009F7A2F">
      <w:pPr>
        <w:pStyle w:val="LDSec1"/>
        <w:ind w:left="2835" w:hanging="708"/>
      </w:pPr>
      <w:r>
        <w:t>(ii)</w:t>
      </w:r>
      <w:r>
        <w:tab/>
      </w:r>
      <w:r w:rsidRPr="00EA4F07">
        <w:t>New Zealand</w:t>
      </w:r>
      <w:r>
        <w:t>;</w:t>
      </w:r>
    </w:p>
    <w:p w14:paraId="5C848FC2" w14:textId="7619FF2C" w:rsidR="00C27239" w:rsidRDefault="00C27239" w:rsidP="009F7A2F">
      <w:pPr>
        <w:pStyle w:val="LDSec1"/>
        <w:ind w:left="2835" w:hanging="708"/>
      </w:pPr>
      <w:r>
        <w:t>(iii)</w:t>
      </w:r>
      <w:r>
        <w:tab/>
      </w:r>
      <w:r w:rsidRPr="00EA4F07">
        <w:t>the Republic of Ireland</w:t>
      </w:r>
    </w:p>
    <w:p w14:paraId="6ED1A8A5" w14:textId="47DF23F8" w:rsidR="009E72D3" w:rsidRPr="00EA4F07" w:rsidRDefault="00C27239" w:rsidP="00211284">
      <w:pPr>
        <w:pStyle w:val="LDSec1"/>
        <w:tabs>
          <w:tab w:val="clear" w:pos="454"/>
          <w:tab w:val="clear" w:pos="737"/>
        </w:tabs>
        <w:ind w:left="2835" w:hanging="708"/>
      </w:pPr>
      <w:r>
        <w:t>(</w:t>
      </w:r>
      <w:r w:rsidR="0022175C">
        <w:t>iv</w:t>
      </w:r>
      <w:r>
        <w:t>)</w:t>
      </w:r>
      <w:r>
        <w:tab/>
      </w:r>
      <w:r w:rsidR="009E72D3" w:rsidRPr="00EA4F07">
        <w:t>the United Kingdom;</w:t>
      </w:r>
    </w:p>
    <w:p w14:paraId="7C3FA6F1" w14:textId="68BBECF5" w:rsidR="009E72D3" w:rsidRPr="00EA4F07" w:rsidRDefault="0071659B" w:rsidP="009F7A2F">
      <w:pPr>
        <w:pStyle w:val="LDSec1"/>
        <w:ind w:left="2835" w:hanging="708"/>
      </w:pPr>
      <w:r w:rsidRPr="00EA4F07">
        <w:t>(</w:t>
      </w:r>
      <w:r w:rsidR="0022175C">
        <w:t>v</w:t>
      </w:r>
      <w:r w:rsidRPr="00EA4F07">
        <w:t>)</w:t>
      </w:r>
      <w:r w:rsidRPr="00EA4F07">
        <w:tab/>
      </w:r>
      <w:r w:rsidR="003064D8">
        <w:t>the United States of America</w:t>
      </w:r>
      <w:r w:rsidR="0022175C">
        <w:t>;</w:t>
      </w:r>
    </w:p>
    <w:p w14:paraId="0ED3B8DA" w14:textId="127CA9B4" w:rsidR="009E72D3" w:rsidRPr="00EA4F07" w:rsidRDefault="0071659B" w:rsidP="009F7A2F">
      <w:pPr>
        <w:pStyle w:val="LDSec1"/>
        <w:tabs>
          <w:tab w:val="clear" w:pos="454"/>
          <w:tab w:val="clear" w:pos="737"/>
        </w:tabs>
        <w:ind w:left="2127" w:hanging="727"/>
      </w:pPr>
      <w:r w:rsidRPr="00EA4F07">
        <w:t>(b)</w:t>
      </w:r>
      <w:r w:rsidRPr="00EA4F07">
        <w:tab/>
      </w:r>
      <w:r w:rsidR="009E72D3" w:rsidRPr="00EA4F07">
        <w:t xml:space="preserve">an applicant who is enrolled in </w:t>
      </w:r>
      <w:r w:rsidR="00995BC5">
        <w:t xml:space="preserve">one of the following courses, where that course is the only course of study enrolled in for the purposes of the Subclass 500 </w:t>
      </w:r>
      <w:r w:rsidR="00815C7A">
        <w:t xml:space="preserve">(Student) </w:t>
      </w:r>
      <w:r w:rsidR="00995BC5">
        <w:t>visa application:</w:t>
      </w:r>
    </w:p>
    <w:p w14:paraId="6B674E6C" w14:textId="710221AC" w:rsidR="009E72D3" w:rsidRPr="00EA4F07" w:rsidRDefault="0071659B" w:rsidP="009F7A2F">
      <w:pPr>
        <w:pStyle w:val="LDSec1"/>
        <w:ind w:left="2835" w:hanging="708"/>
      </w:pPr>
      <w:r w:rsidRPr="00EA4F07">
        <w:t>(i)</w:t>
      </w:r>
      <w:r w:rsidRPr="00EA4F07">
        <w:tab/>
      </w:r>
      <w:r w:rsidR="00995BC5">
        <w:t xml:space="preserve">a course of study that is </w:t>
      </w:r>
      <w:r w:rsidR="009E72D3" w:rsidRPr="00EA4F07">
        <w:t xml:space="preserve">registered to be delivered in a language other than English; </w:t>
      </w:r>
    </w:p>
    <w:p w14:paraId="6F41F844" w14:textId="6A65C0D6" w:rsidR="00995BC5" w:rsidRDefault="0071659B" w:rsidP="009F7A2F">
      <w:pPr>
        <w:pStyle w:val="LDSec1"/>
        <w:ind w:left="2835" w:hanging="708"/>
      </w:pPr>
      <w:r w:rsidRPr="00EA4F07">
        <w:t>(ii)</w:t>
      </w:r>
      <w:r w:rsidRPr="00EA4F07">
        <w:tab/>
      </w:r>
      <w:r w:rsidR="00995BC5">
        <w:t>an ELICOS</w:t>
      </w:r>
      <w:r w:rsidR="0022175C">
        <w:t>;</w:t>
      </w:r>
    </w:p>
    <w:p w14:paraId="10C09557" w14:textId="6809F1E8" w:rsidR="009E72D3" w:rsidRPr="00EA4F07" w:rsidRDefault="009F7A2F" w:rsidP="009F7A2F">
      <w:pPr>
        <w:pStyle w:val="LDSec1"/>
        <w:ind w:left="2835" w:hanging="708"/>
      </w:pPr>
      <w:r>
        <w:t>(iii)</w:t>
      </w:r>
      <w:r>
        <w:tab/>
      </w:r>
      <w:r w:rsidR="00135B50">
        <w:t xml:space="preserve">a registered school course; </w:t>
      </w:r>
    </w:p>
    <w:p w14:paraId="54503421" w14:textId="0D16C65F" w:rsidR="00135B50" w:rsidRDefault="009F7A2F" w:rsidP="009F7A2F">
      <w:pPr>
        <w:pStyle w:val="LDSec1"/>
        <w:ind w:left="2835" w:hanging="708"/>
      </w:pPr>
      <w:r>
        <w:t>(iv</w:t>
      </w:r>
      <w:r w:rsidR="0071659B" w:rsidRPr="00EA4F07">
        <w:t>)</w:t>
      </w:r>
      <w:r w:rsidR="0071659B" w:rsidRPr="00EA4F07">
        <w:tab/>
      </w:r>
      <w:r w:rsidR="009E72D3" w:rsidRPr="00EA4F07">
        <w:t>a registered post-graduate research course;</w:t>
      </w:r>
    </w:p>
    <w:p w14:paraId="458B1EDA" w14:textId="265B7926" w:rsidR="009E72D3" w:rsidRPr="00EA4F07" w:rsidRDefault="0071659B" w:rsidP="009F7A2F">
      <w:pPr>
        <w:pStyle w:val="LDSec1"/>
        <w:tabs>
          <w:tab w:val="clear" w:pos="454"/>
          <w:tab w:val="clear" w:pos="737"/>
        </w:tabs>
        <w:ind w:left="2127" w:hanging="727"/>
      </w:pPr>
      <w:r w:rsidRPr="00EA4F07">
        <w:t>(c)</w:t>
      </w:r>
      <w:r w:rsidRPr="00EA4F07">
        <w:tab/>
      </w:r>
      <w:r w:rsidR="009E72D3" w:rsidRPr="00EA4F07">
        <w:t>an applicant who is:</w:t>
      </w:r>
    </w:p>
    <w:p w14:paraId="052B75AE" w14:textId="78C0D3C6" w:rsidR="009E72D3" w:rsidRPr="00EA4F07" w:rsidRDefault="0071659B" w:rsidP="009F7A2F">
      <w:pPr>
        <w:pStyle w:val="LDSec1"/>
        <w:ind w:left="2835" w:hanging="708"/>
      </w:pPr>
      <w:r w:rsidRPr="00EA4F07">
        <w:t>(i)</w:t>
      </w:r>
      <w:r w:rsidRPr="00EA4F07">
        <w:tab/>
      </w:r>
      <w:r w:rsidR="0022175C">
        <w:t xml:space="preserve">a </w:t>
      </w:r>
      <w:r w:rsidR="009E72D3" w:rsidRPr="00EA4F07">
        <w:t xml:space="preserve">Foreign Affairs student; </w:t>
      </w:r>
      <w:r w:rsidR="0022175C">
        <w:t>or</w:t>
      </w:r>
    </w:p>
    <w:p w14:paraId="6F4E3793" w14:textId="282D571A" w:rsidR="009E72D3" w:rsidRPr="00EA4F07" w:rsidRDefault="0071659B" w:rsidP="009F7A2F">
      <w:pPr>
        <w:pStyle w:val="LDSec1"/>
        <w:ind w:left="2835" w:hanging="708"/>
      </w:pPr>
      <w:r w:rsidRPr="00EA4F07">
        <w:t>(ii)</w:t>
      </w:r>
      <w:r w:rsidRPr="00EA4F07">
        <w:tab/>
      </w:r>
      <w:r w:rsidR="0022175C">
        <w:t xml:space="preserve">a </w:t>
      </w:r>
      <w:r w:rsidR="009E72D3" w:rsidRPr="00EA4F07">
        <w:t>Defence Student; or</w:t>
      </w:r>
    </w:p>
    <w:p w14:paraId="26B6F86B" w14:textId="0336AD88" w:rsidR="009E72D3" w:rsidRPr="00EA4F07" w:rsidRDefault="0071659B" w:rsidP="009F7A2F">
      <w:pPr>
        <w:pStyle w:val="LDSec1"/>
        <w:ind w:left="2835" w:hanging="708"/>
      </w:pPr>
      <w:r w:rsidRPr="00EA4F07">
        <w:t>(iii)</w:t>
      </w:r>
      <w:r w:rsidRPr="00EA4F07">
        <w:tab/>
      </w:r>
      <w:r w:rsidR="0022175C">
        <w:t xml:space="preserve">a </w:t>
      </w:r>
      <w:r w:rsidR="009E72D3" w:rsidRPr="00EA4F07">
        <w:t>Secondary exchange student;</w:t>
      </w:r>
    </w:p>
    <w:p w14:paraId="5464D7A5" w14:textId="77777777" w:rsidR="009E72D3" w:rsidRPr="00EA4F07" w:rsidRDefault="0071659B" w:rsidP="009F7A2F">
      <w:pPr>
        <w:pStyle w:val="LDSec1"/>
        <w:tabs>
          <w:tab w:val="clear" w:pos="454"/>
          <w:tab w:val="clear" w:pos="737"/>
        </w:tabs>
        <w:ind w:left="2127" w:hanging="727"/>
      </w:pPr>
      <w:r w:rsidRPr="00EA4F07">
        <w:t>(d)</w:t>
      </w:r>
      <w:r w:rsidRPr="00EA4F07">
        <w:tab/>
      </w:r>
      <w:r w:rsidR="009E72D3" w:rsidRPr="00EA4F07">
        <w:t>an applicant, who, in the 2 years before applying for a Subclass 500 (Student) visa, has successfully completed:</w:t>
      </w:r>
    </w:p>
    <w:p w14:paraId="3BB1A650" w14:textId="77777777" w:rsidR="009E72D3" w:rsidRPr="00EA4F07" w:rsidRDefault="0071659B" w:rsidP="009F7A2F">
      <w:pPr>
        <w:pStyle w:val="LDSec1"/>
        <w:ind w:left="2835" w:hanging="708"/>
      </w:pPr>
      <w:r w:rsidRPr="00EA4F07">
        <w:t>(i)</w:t>
      </w:r>
      <w:r w:rsidRPr="00EA4F07">
        <w:tab/>
      </w:r>
      <w:r w:rsidR="009E72D3" w:rsidRPr="00EA4F07">
        <w:t>the requirements for a Senior Secondary Certificate of Education, in a course that was conducted in Australia and in English; or</w:t>
      </w:r>
    </w:p>
    <w:p w14:paraId="29462EF2" w14:textId="0297ABEB" w:rsidR="009E72D3" w:rsidRPr="00EA4F07" w:rsidRDefault="0071659B" w:rsidP="009F7A2F">
      <w:pPr>
        <w:pStyle w:val="LDSec1"/>
        <w:ind w:left="2835" w:hanging="708"/>
      </w:pPr>
      <w:r w:rsidRPr="00EA4F07">
        <w:t>(ii)</w:t>
      </w:r>
      <w:r w:rsidRPr="00EA4F07">
        <w:tab/>
      </w:r>
      <w:r w:rsidR="009E72D3" w:rsidRPr="00EA4F07">
        <w:t>a substantial component of a course leading to a qualification from the Australian Qualifications Framework at the Certificate IV level or higher that was conducted in Australia and in English, while the applicant was holding a student visa;</w:t>
      </w:r>
    </w:p>
    <w:p w14:paraId="0483B244" w14:textId="77777777" w:rsidR="009E72D3" w:rsidRPr="00EA4F07" w:rsidRDefault="0071659B" w:rsidP="009F7A2F">
      <w:pPr>
        <w:pStyle w:val="LDSec1"/>
        <w:tabs>
          <w:tab w:val="clear" w:pos="454"/>
          <w:tab w:val="clear" w:pos="737"/>
        </w:tabs>
        <w:ind w:left="2127" w:hanging="727"/>
      </w:pPr>
      <w:r w:rsidRPr="00EA4F07">
        <w:t>(e)</w:t>
      </w:r>
      <w:r w:rsidRPr="00EA4F07">
        <w:tab/>
      </w:r>
      <w:r w:rsidR="009E72D3" w:rsidRPr="00EA4F07">
        <w:t>an applicant who has successfully completed a minimum of 5 years of study in English undertaken in one or more of the following countries;</w:t>
      </w:r>
    </w:p>
    <w:p w14:paraId="4B5A7E98" w14:textId="77777777" w:rsidR="009E72D3" w:rsidRPr="00EA4F07" w:rsidRDefault="0071659B" w:rsidP="00D20396">
      <w:pPr>
        <w:pStyle w:val="LDSec1"/>
        <w:ind w:left="2835" w:hanging="708"/>
      </w:pPr>
      <w:r w:rsidRPr="00EA4F07">
        <w:t>(i)</w:t>
      </w:r>
      <w:r w:rsidRPr="00EA4F07">
        <w:tab/>
      </w:r>
      <w:r w:rsidR="009E72D3" w:rsidRPr="00EA4F07">
        <w:t xml:space="preserve">Australia; </w:t>
      </w:r>
    </w:p>
    <w:p w14:paraId="69B76748" w14:textId="77777777" w:rsidR="009E72D3" w:rsidRPr="00EA4F07" w:rsidRDefault="0071659B" w:rsidP="00D20396">
      <w:pPr>
        <w:pStyle w:val="LDSec1"/>
        <w:ind w:left="2835" w:hanging="708"/>
      </w:pPr>
      <w:r w:rsidRPr="00EA4F07">
        <w:t>(ii)</w:t>
      </w:r>
      <w:r w:rsidRPr="00EA4F07">
        <w:tab/>
      </w:r>
      <w:r w:rsidR="009E72D3" w:rsidRPr="00EA4F07">
        <w:t xml:space="preserve">Canada; </w:t>
      </w:r>
    </w:p>
    <w:p w14:paraId="3C021BBC" w14:textId="77777777" w:rsidR="009E72D3" w:rsidRPr="00EA4F07" w:rsidRDefault="0071659B" w:rsidP="00D20396">
      <w:pPr>
        <w:pStyle w:val="LDSec1"/>
        <w:ind w:left="2835" w:hanging="708"/>
      </w:pPr>
      <w:r w:rsidRPr="00EA4F07">
        <w:t>(iii)</w:t>
      </w:r>
      <w:r w:rsidRPr="00EA4F07">
        <w:tab/>
      </w:r>
      <w:r w:rsidR="009E72D3" w:rsidRPr="00EA4F07">
        <w:t xml:space="preserve">New Zealand; </w:t>
      </w:r>
    </w:p>
    <w:p w14:paraId="37EEC853" w14:textId="77777777" w:rsidR="009E72D3" w:rsidRPr="00EA4F07" w:rsidRDefault="0071659B" w:rsidP="00D20396">
      <w:pPr>
        <w:pStyle w:val="LDSec1"/>
        <w:ind w:left="2835" w:hanging="708"/>
      </w:pPr>
      <w:r w:rsidRPr="00EA4F07">
        <w:t>(iv)</w:t>
      </w:r>
      <w:r w:rsidRPr="00EA4F07">
        <w:tab/>
      </w:r>
      <w:r w:rsidR="009E72D3" w:rsidRPr="00EA4F07">
        <w:t xml:space="preserve">South Africa; </w:t>
      </w:r>
    </w:p>
    <w:p w14:paraId="5E87E780" w14:textId="77777777" w:rsidR="009E72D3" w:rsidRPr="00EA4F07" w:rsidRDefault="0071659B" w:rsidP="00D20396">
      <w:pPr>
        <w:pStyle w:val="LDSec1"/>
        <w:ind w:left="2835" w:hanging="708"/>
      </w:pPr>
      <w:r w:rsidRPr="00EA4F07">
        <w:t>(v)</w:t>
      </w:r>
      <w:r w:rsidRPr="00EA4F07">
        <w:tab/>
      </w:r>
      <w:r w:rsidR="009E72D3" w:rsidRPr="00EA4F07">
        <w:t xml:space="preserve">the Republic of Ireland; </w:t>
      </w:r>
    </w:p>
    <w:p w14:paraId="1EC9010E" w14:textId="77777777" w:rsidR="009E72D3" w:rsidRPr="00EA4F07" w:rsidRDefault="0071659B" w:rsidP="00D20396">
      <w:pPr>
        <w:pStyle w:val="LDSec1"/>
        <w:ind w:left="2835" w:hanging="708"/>
      </w:pPr>
      <w:r w:rsidRPr="00EA4F07">
        <w:t>(vi)</w:t>
      </w:r>
      <w:r w:rsidRPr="00EA4F07">
        <w:tab/>
      </w:r>
      <w:r w:rsidR="009E72D3" w:rsidRPr="00EA4F07">
        <w:t xml:space="preserve">the United Kingdom; </w:t>
      </w:r>
    </w:p>
    <w:p w14:paraId="203A2A9D" w14:textId="77777777" w:rsidR="009E72D3" w:rsidRPr="00EA4F07" w:rsidRDefault="0071659B" w:rsidP="00D20396">
      <w:pPr>
        <w:pStyle w:val="LDSec1"/>
        <w:ind w:left="2835" w:hanging="708"/>
      </w:pPr>
      <w:r w:rsidRPr="00EA4F07">
        <w:t>(vii)</w:t>
      </w:r>
      <w:r w:rsidRPr="00EA4F07">
        <w:tab/>
      </w:r>
      <w:r w:rsidR="009E72D3" w:rsidRPr="00EA4F07">
        <w:t>the United States of America.</w:t>
      </w:r>
    </w:p>
    <w:p w14:paraId="7281892C" w14:textId="77777777" w:rsidR="009E72D3" w:rsidRPr="00EA4F07" w:rsidRDefault="009E72D3" w:rsidP="009E72D3">
      <w:pPr>
        <w:pStyle w:val="LDSec1"/>
      </w:pPr>
    </w:p>
    <w:p w14:paraId="6E784967" w14:textId="07207213" w:rsidR="0071659B" w:rsidRPr="00EA4F07" w:rsidRDefault="0071659B" w:rsidP="0071659B">
      <w:pPr>
        <w:pStyle w:val="LDPartHead"/>
      </w:pPr>
      <w:bookmarkStart w:id="24" w:name="_Toc161324144"/>
      <w:r w:rsidRPr="00EA4F07">
        <w:t>Part 3</w:t>
      </w:r>
      <w:r w:rsidRPr="00EA4F07">
        <w:tab/>
      </w:r>
      <w:r w:rsidR="00CB1095" w:rsidRPr="00EA4F07">
        <w:t>Application and repeals</w:t>
      </w:r>
      <w:bookmarkEnd w:id="24"/>
    </w:p>
    <w:p w14:paraId="2D57D460" w14:textId="22E70A22" w:rsidR="0071659B" w:rsidRPr="00EA4F07" w:rsidRDefault="00B44276" w:rsidP="0071659B">
      <w:pPr>
        <w:pStyle w:val="LDSecHead"/>
      </w:pPr>
      <w:bookmarkStart w:id="25" w:name="_Toc161324145"/>
      <w:r>
        <w:rPr>
          <w:noProof/>
        </w:rPr>
        <w:t>7</w:t>
      </w:r>
      <w:r w:rsidR="0071659B" w:rsidRPr="00EA4F07">
        <w:tab/>
        <w:t>Application of this instrument</w:t>
      </w:r>
      <w:bookmarkEnd w:id="25"/>
    </w:p>
    <w:p w14:paraId="1D7B21C5" w14:textId="2608FBD5" w:rsidR="0071659B" w:rsidRPr="00EA4F07" w:rsidRDefault="0071659B" w:rsidP="0071659B">
      <w:pPr>
        <w:pStyle w:val="LDSec1"/>
        <w:tabs>
          <w:tab w:val="clear" w:pos="737"/>
        </w:tabs>
        <w:ind w:left="742" w:firstLine="0"/>
      </w:pPr>
      <w:r w:rsidRPr="00EA4F07">
        <w:t>This instrument applies</w:t>
      </w:r>
      <w:r w:rsidR="00E07920">
        <w:t xml:space="preserve"> in relation</w:t>
      </w:r>
      <w:r w:rsidRPr="00EA4F07">
        <w:t xml:space="preserve"> to an application for a Subclass 500 (Student) visa made on or after the commencement of this instrument. </w:t>
      </w:r>
    </w:p>
    <w:p w14:paraId="14BD5757" w14:textId="4E235113" w:rsidR="002D0A84" w:rsidRPr="00EA4F07" w:rsidRDefault="00B44276" w:rsidP="002D0A84">
      <w:pPr>
        <w:pStyle w:val="LDSecHead"/>
      </w:pPr>
      <w:bookmarkStart w:id="26" w:name="_Toc161324146"/>
      <w:r>
        <w:rPr>
          <w:noProof/>
        </w:rPr>
        <w:t>8</w:t>
      </w:r>
      <w:r w:rsidR="002D0A84" w:rsidRPr="00EA4F07">
        <w:tab/>
        <w:t>Repeal of IMMI 18/015</w:t>
      </w:r>
      <w:bookmarkEnd w:id="26"/>
    </w:p>
    <w:p w14:paraId="3ECC6CB0" w14:textId="6B37DC02" w:rsidR="002D0A84" w:rsidRPr="00EA4F07" w:rsidRDefault="002D0A84" w:rsidP="002D0A84">
      <w:pPr>
        <w:pStyle w:val="LDSec1"/>
        <w:tabs>
          <w:tab w:val="clear" w:pos="737"/>
        </w:tabs>
        <w:ind w:left="742" w:firstLine="0"/>
      </w:pPr>
      <w:r w:rsidRPr="00EA4F07">
        <w:t>The instrument</w:t>
      </w:r>
      <w:r w:rsidR="009B771B" w:rsidRPr="00EA4F07">
        <w:t xml:space="preserve"> </w:t>
      </w:r>
      <w:r w:rsidR="009B771B" w:rsidRPr="00EA4F07">
        <w:rPr>
          <w:i/>
        </w:rPr>
        <w:t>Migration (IMMI 18/015: English Language Tests and Evidence Exemptions for Subclass 500 (Student) Visa) Instrument 2018</w:t>
      </w:r>
      <w:r w:rsidRPr="00EA4F07">
        <w:t xml:space="preserve"> is repealed. </w:t>
      </w:r>
    </w:p>
    <w:p w14:paraId="6F2443BD" w14:textId="037F5CB5" w:rsidR="00F057D5" w:rsidRPr="00EA4F07" w:rsidRDefault="00B44276" w:rsidP="00F057D5">
      <w:pPr>
        <w:pStyle w:val="LDSecHead"/>
      </w:pPr>
      <w:bookmarkStart w:id="27" w:name="_Toc161324147"/>
      <w:r>
        <w:rPr>
          <w:noProof/>
        </w:rPr>
        <w:t>9</w:t>
      </w:r>
      <w:r w:rsidR="00F057D5" w:rsidRPr="00EA4F07">
        <w:tab/>
      </w:r>
      <w:r w:rsidR="009B771B" w:rsidRPr="00EA4F07">
        <w:t>Application of r</w:t>
      </w:r>
      <w:r w:rsidR="00F057D5" w:rsidRPr="00EA4F07">
        <w:t>epeal</w:t>
      </w:r>
      <w:bookmarkEnd w:id="27"/>
    </w:p>
    <w:p w14:paraId="2280B7D4" w14:textId="0CFF5CEF" w:rsidR="002D0A84" w:rsidRPr="00EA4F07" w:rsidRDefault="002D0A84" w:rsidP="002D0A84">
      <w:pPr>
        <w:pStyle w:val="Item"/>
        <w:rPr>
          <w:sz w:val="24"/>
          <w:szCs w:val="24"/>
        </w:rPr>
      </w:pPr>
      <w:r w:rsidRPr="00EA4F07">
        <w:rPr>
          <w:sz w:val="24"/>
          <w:szCs w:val="24"/>
        </w:rPr>
        <w:t xml:space="preserve">Despite the repeal of </w:t>
      </w:r>
      <w:r w:rsidR="009B771B" w:rsidRPr="00EA4F07">
        <w:rPr>
          <w:i/>
          <w:sz w:val="24"/>
          <w:szCs w:val="24"/>
        </w:rPr>
        <w:t>Migration (IMMI 18/015: English Language Tests and Evidence Exemptions for Subclass 500 (Student) Visa) Instrument 2018</w:t>
      </w:r>
      <w:r w:rsidRPr="00EA4F07">
        <w:rPr>
          <w:i/>
          <w:sz w:val="24"/>
          <w:szCs w:val="24"/>
        </w:rPr>
        <w:t xml:space="preserve"> </w:t>
      </w:r>
      <w:r w:rsidRPr="00EA4F07">
        <w:rPr>
          <w:sz w:val="24"/>
          <w:szCs w:val="24"/>
        </w:rPr>
        <w:t xml:space="preserve">by this </w:t>
      </w:r>
      <w:r w:rsidR="00F057D5" w:rsidRPr="00EA4F07">
        <w:rPr>
          <w:sz w:val="24"/>
          <w:szCs w:val="24"/>
        </w:rPr>
        <w:t>instrument</w:t>
      </w:r>
      <w:r w:rsidRPr="00EA4F07">
        <w:rPr>
          <w:sz w:val="24"/>
          <w:szCs w:val="24"/>
        </w:rPr>
        <w:t xml:space="preserve">, </w:t>
      </w:r>
      <w:r w:rsidR="009B771B" w:rsidRPr="00EA4F07">
        <w:rPr>
          <w:sz w:val="24"/>
          <w:szCs w:val="24"/>
        </w:rPr>
        <w:t>that</w:t>
      </w:r>
      <w:r w:rsidR="00F057D5" w:rsidRPr="00EA4F07">
        <w:rPr>
          <w:sz w:val="24"/>
          <w:szCs w:val="24"/>
        </w:rPr>
        <w:t xml:space="preserve"> instrument</w:t>
      </w:r>
      <w:r w:rsidRPr="00EA4F07">
        <w:rPr>
          <w:sz w:val="24"/>
          <w:szCs w:val="24"/>
        </w:rPr>
        <w:t>, as in force immediately before the commencement of th</w:t>
      </w:r>
      <w:r w:rsidR="00F057D5" w:rsidRPr="00EA4F07">
        <w:rPr>
          <w:sz w:val="24"/>
          <w:szCs w:val="24"/>
        </w:rPr>
        <w:t>is instrument</w:t>
      </w:r>
      <w:r w:rsidRPr="00EA4F07">
        <w:rPr>
          <w:sz w:val="24"/>
          <w:szCs w:val="24"/>
        </w:rPr>
        <w:t xml:space="preserve">, continues to apply in relation to an application for a Subclass 500 (Student) visa </w:t>
      </w:r>
      <w:r w:rsidR="00F057D5" w:rsidRPr="00EA4F07">
        <w:rPr>
          <w:sz w:val="24"/>
          <w:szCs w:val="24"/>
        </w:rPr>
        <w:t xml:space="preserve">made but not yet </w:t>
      </w:r>
      <w:r w:rsidRPr="00EA4F07">
        <w:rPr>
          <w:sz w:val="24"/>
          <w:szCs w:val="24"/>
        </w:rPr>
        <w:t xml:space="preserve">finally determined before the </w:t>
      </w:r>
      <w:r w:rsidR="00B0350B" w:rsidRPr="00EA4F07">
        <w:rPr>
          <w:sz w:val="24"/>
          <w:szCs w:val="24"/>
        </w:rPr>
        <w:t xml:space="preserve">date of </w:t>
      </w:r>
      <w:r w:rsidRPr="00EA4F07">
        <w:rPr>
          <w:sz w:val="24"/>
          <w:szCs w:val="24"/>
        </w:rPr>
        <w:t>commencement of this instrument.</w:t>
      </w:r>
    </w:p>
    <w:p w14:paraId="255FBF0E" w14:textId="77777777" w:rsidR="002D0A84" w:rsidRPr="00EA4F07" w:rsidRDefault="002D0A84" w:rsidP="0071659B">
      <w:pPr>
        <w:pStyle w:val="LDSec1"/>
        <w:tabs>
          <w:tab w:val="clear" w:pos="737"/>
        </w:tabs>
        <w:ind w:left="742" w:firstLine="0"/>
      </w:pPr>
    </w:p>
    <w:p w14:paraId="17CB5391" w14:textId="77777777" w:rsidR="00A252F1" w:rsidRPr="00EA4F07" w:rsidRDefault="0071659B" w:rsidP="0071659B">
      <w:pPr>
        <w:pStyle w:val="LDSec1"/>
      </w:pPr>
      <w:r w:rsidRPr="00EA4F07">
        <w:br w:type="page"/>
      </w:r>
    </w:p>
    <w:p w14:paraId="6E51A2B6" w14:textId="7F3EDE62" w:rsidR="00A252F1" w:rsidRPr="00EA4F07" w:rsidRDefault="00A252F1" w:rsidP="00247AEF">
      <w:pPr>
        <w:pStyle w:val="LDSchedule"/>
      </w:pPr>
      <w:bookmarkStart w:id="28" w:name="_Toc31201296"/>
      <w:bookmarkStart w:id="29" w:name="_Toc161324148"/>
      <w:r w:rsidRPr="00EA4F07">
        <w:t xml:space="preserve">Schedule </w:t>
      </w:r>
      <w:bookmarkStart w:id="30" w:name="SchedFirst"/>
      <w:r w:rsidR="004749E7" w:rsidRPr="00EA4F07">
        <w:t>1</w:t>
      </w:r>
      <w:bookmarkEnd w:id="30"/>
      <w:r w:rsidRPr="00EA4F07">
        <w:tab/>
      </w:r>
      <w:bookmarkEnd w:id="28"/>
      <w:r w:rsidR="005D23BE" w:rsidRPr="00EA4F07">
        <w:t xml:space="preserve">Required </w:t>
      </w:r>
      <w:r w:rsidR="0071659B" w:rsidRPr="00EA4F07">
        <w:t>English language test</w:t>
      </w:r>
      <w:r w:rsidR="005D23BE" w:rsidRPr="00EA4F07">
        <w:t xml:space="preserve"> </w:t>
      </w:r>
      <w:r w:rsidR="0071659B" w:rsidRPr="00EA4F07">
        <w:t>scores</w:t>
      </w:r>
      <w:bookmarkEnd w:id="29"/>
    </w:p>
    <w:p w14:paraId="4CDC136E" w14:textId="77777777" w:rsidR="00692BFD" w:rsidRPr="00EA4F07" w:rsidRDefault="00692BFD" w:rsidP="00692BFD">
      <w:pPr>
        <w:pStyle w:val="LDSec1"/>
      </w:pPr>
    </w:p>
    <w:tbl>
      <w:tblPr>
        <w:tblW w:w="8691" w:type="dxa"/>
        <w:tblInd w:w="93" w:type="dxa"/>
        <w:tblLayout w:type="fixed"/>
        <w:tblLook w:val="04A0" w:firstRow="1" w:lastRow="0" w:firstColumn="1" w:lastColumn="0" w:noHBand="0" w:noVBand="1"/>
      </w:tblPr>
      <w:tblGrid>
        <w:gridCol w:w="753"/>
        <w:gridCol w:w="1984"/>
        <w:gridCol w:w="1985"/>
        <w:gridCol w:w="1984"/>
        <w:gridCol w:w="1985"/>
      </w:tblGrid>
      <w:tr w:rsidR="00881140" w:rsidRPr="00EA4F07" w14:paraId="526831EF" w14:textId="7E0D4D8B" w:rsidTr="00CB1095">
        <w:trPr>
          <w:trHeight w:val="300"/>
          <w:tblHeader/>
        </w:trPr>
        <w:tc>
          <w:tcPr>
            <w:tcW w:w="869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64D018" w14:textId="7D48AA1F" w:rsidR="00881140" w:rsidRPr="00EA4F07" w:rsidRDefault="00881140" w:rsidP="00D20396">
            <w:pPr>
              <w:spacing w:before="120" w:after="120" w:line="240" w:lineRule="auto"/>
              <w:jc w:val="center"/>
              <w:rPr>
                <w:rFonts w:eastAsia="Times New Roman" w:cs="Times New Roman"/>
                <w:b/>
                <w:sz w:val="24"/>
                <w:szCs w:val="24"/>
                <w:lang w:eastAsia="en-AU"/>
              </w:rPr>
            </w:pPr>
            <w:r w:rsidRPr="00EA4F07">
              <w:rPr>
                <w:rFonts w:eastAsia="Times New Roman" w:cs="Times New Roman"/>
                <w:b/>
                <w:sz w:val="24"/>
                <w:szCs w:val="24"/>
                <w:lang w:eastAsia="en-AU"/>
              </w:rPr>
              <w:t>English language test</w:t>
            </w:r>
            <w:r w:rsidR="005D23BE" w:rsidRPr="00EA4F07">
              <w:rPr>
                <w:rFonts w:eastAsia="Times New Roman" w:cs="Times New Roman"/>
                <w:b/>
                <w:sz w:val="24"/>
                <w:szCs w:val="24"/>
                <w:lang w:eastAsia="en-AU"/>
              </w:rPr>
              <w:t xml:space="preserve"> </w:t>
            </w:r>
            <w:r w:rsidRPr="00EA4F07">
              <w:rPr>
                <w:rFonts w:eastAsia="Times New Roman" w:cs="Times New Roman"/>
                <w:b/>
                <w:sz w:val="24"/>
                <w:szCs w:val="24"/>
                <w:lang w:eastAsia="en-AU"/>
              </w:rPr>
              <w:t>s</w:t>
            </w:r>
            <w:r w:rsidR="005D23BE" w:rsidRPr="00EA4F07">
              <w:rPr>
                <w:rFonts w:eastAsia="Times New Roman" w:cs="Times New Roman"/>
                <w:b/>
                <w:sz w:val="24"/>
                <w:szCs w:val="24"/>
                <w:lang w:eastAsia="en-AU"/>
              </w:rPr>
              <w:t>cores</w:t>
            </w:r>
          </w:p>
        </w:tc>
      </w:tr>
      <w:tr w:rsidR="00BA3FED" w:rsidRPr="00EA4F07" w14:paraId="3D385146" w14:textId="77777777" w:rsidTr="00D20396">
        <w:trPr>
          <w:trHeight w:val="300"/>
          <w:tblHeader/>
        </w:trPr>
        <w:tc>
          <w:tcPr>
            <w:tcW w:w="753" w:type="dxa"/>
            <w:vMerge w:val="restart"/>
            <w:tcBorders>
              <w:top w:val="single" w:sz="4" w:space="0" w:color="auto"/>
              <w:left w:val="single" w:sz="4" w:space="0" w:color="auto"/>
              <w:right w:val="single" w:sz="4" w:space="0" w:color="auto"/>
            </w:tcBorders>
            <w:shd w:val="clear" w:color="auto" w:fill="F2F2F2" w:themeFill="background1" w:themeFillShade="F2"/>
            <w:noWrap/>
          </w:tcPr>
          <w:p w14:paraId="3E10CC05" w14:textId="010F108E" w:rsidR="00BA3FED" w:rsidRPr="00D20396" w:rsidRDefault="00BA3FED">
            <w:pPr>
              <w:spacing w:before="120" w:line="240" w:lineRule="auto"/>
              <w:rPr>
                <w:rFonts w:eastAsia="Times New Roman" w:cs="Times New Roman"/>
                <w:b/>
                <w:lang w:eastAsia="en-AU"/>
              </w:rPr>
            </w:pPr>
            <w:r w:rsidRPr="00D20396">
              <w:rPr>
                <w:rFonts w:eastAsia="Times New Roman" w:cs="Times New Roman"/>
                <w:b/>
                <w:lang w:eastAsia="en-AU"/>
              </w:rPr>
              <w:t>Item</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56FB522" w14:textId="5D0B67AE" w:rsidR="00BA3FED" w:rsidRPr="00D20396" w:rsidRDefault="00BA3FED" w:rsidP="00D20396">
            <w:pPr>
              <w:spacing w:before="120" w:after="120" w:line="240" w:lineRule="auto"/>
              <w:rPr>
                <w:rFonts w:eastAsia="Times New Roman" w:cs="Times New Roman"/>
                <w:b/>
                <w:lang w:eastAsia="en-AU"/>
              </w:rPr>
            </w:pPr>
            <w:r w:rsidRPr="00D20396">
              <w:rPr>
                <w:rFonts w:eastAsia="Times New Roman" w:cs="Times New Roman"/>
                <w:b/>
                <w:lang w:eastAsia="en-AU"/>
              </w:rPr>
              <w:t xml:space="preserve">Column 1: </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84A09C" w14:textId="1FF7B8C0" w:rsidR="00BA3FED" w:rsidRPr="00D20396" w:rsidRDefault="00BA3FED" w:rsidP="00D20396">
            <w:pPr>
              <w:spacing w:before="120" w:after="120" w:line="240" w:lineRule="auto"/>
              <w:rPr>
                <w:rFonts w:cs="Times New Roman"/>
                <w:b/>
              </w:rPr>
            </w:pPr>
            <w:r w:rsidRPr="00D20396">
              <w:rPr>
                <w:rFonts w:cs="Times New Roman"/>
                <w:b/>
              </w:rPr>
              <w:t>Column 2:</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012508D" w14:textId="2206E0D8" w:rsidR="00BA3FED" w:rsidRPr="00D20396" w:rsidRDefault="00BA3FED" w:rsidP="00D20396">
            <w:pPr>
              <w:spacing w:before="120" w:after="120" w:line="240" w:lineRule="auto"/>
              <w:rPr>
                <w:rFonts w:cs="Times New Roman"/>
                <w:b/>
              </w:rPr>
            </w:pPr>
            <w:r w:rsidRPr="00D20396">
              <w:rPr>
                <w:rFonts w:cs="Times New Roman"/>
                <w:b/>
              </w:rPr>
              <w:t>Column 3:</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A8D676" w14:textId="4E252311" w:rsidR="00BA3FED" w:rsidRPr="00D20396" w:rsidRDefault="00BA3FED" w:rsidP="00D20396">
            <w:pPr>
              <w:spacing w:before="120" w:after="120" w:line="240" w:lineRule="auto"/>
              <w:rPr>
                <w:rFonts w:cs="Times New Roman"/>
                <w:b/>
              </w:rPr>
            </w:pPr>
            <w:r w:rsidRPr="00D20396">
              <w:rPr>
                <w:rFonts w:cs="Times New Roman"/>
                <w:b/>
              </w:rPr>
              <w:t>Column 4:</w:t>
            </w:r>
          </w:p>
        </w:tc>
      </w:tr>
      <w:tr w:rsidR="00BA3FED" w:rsidRPr="00EA4F07" w14:paraId="648B880A" w14:textId="3A32887A" w:rsidTr="00322102">
        <w:trPr>
          <w:trHeight w:val="300"/>
          <w:tblHeader/>
        </w:trPr>
        <w:tc>
          <w:tcPr>
            <w:tcW w:w="753"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02507438" w14:textId="54ED7432" w:rsidR="00BA3FED" w:rsidRPr="00EA4F07" w:rsidRDefault="00BA3FED" w:rsidP="00142B7E">
            <w:pPr>
              <w:spacing w:before="120" w:line="240" w:lineRule="auto"/>
              <w:rPr>
                <w:rFonts w:eastAsia="Times New Roman" w:cs="Times New Roman"/>
                <w:lang w:eastAsia="en-AU"/>
              </w:rPr>
            </w:pP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89FC62" w14:textId="77777777" w:rsidR="00BA3FED" w:rsidRPr="00EA4F07" w:rsidRDefault="00BA3FED" w:rsidP="00142B7E">
            <w:pPr>
              <w:spacing w:before="120" w:line="240" w:lineRule="auto"/>
              <w:rPr>
                <w:rFonts w:eastAsia="Times New Roman" w:cs="Times New Roman"/>
                <w:lang w:eastAsia="en-AU"/>
              </w:rPr>
            </w:pPr>
            <w:r w:rsidRPr="00EA4F07">
              <w:rPr>
                <w:rFonts w:eastAsia="Times New Roman" w:cs="Times New Roman"/>
                <w:lang w:eastAsia="en-AU"/>
              </w:rPr>
              <w:t>Test name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F72BCF" w14:textId="0A4B33E2" w:rsidR="00BA3FED" w:rsidRPr="00EA4F07" w:rsidRDefault="00BA3FED" w:rsidP="00142B7E">
            <w:pPr>
              <w:spacing w:before="120" w:line="240" w:lineRule="auto"/>
              <w:rPr>
                <w:rFonts w:eastAsia="Times New Roman" w:cs="Times New Roman"/>
                <w:lang w:eastAsia="en-AU"/>
              </w:rPr>
            </w:pPr>
            <w:r w:rsidRPr="00EA4F07">
              <w:rPr>
                <w:rFonts w:cs="Times New Roman"/>
              </w:rPr>
              <w:t>Minimum test score</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F3023A" w14:textId="7F8F3A1C" w:rsidR="00BA3FED" w:rsidRPr="00E85112" w:rsidRDefault="00BA3FED" w:rsidP="00142B7E">
            <w:pPr>
              <w:spacing w:before="120" w:line="240" w:lineRule="auto"/>
              <w:rPr>
                <w:rFonts w:cs="Times New Roman"/>
              </w:rPr>
            </w:pPr>
            <w:r w:rsidRPr="00E85112">
              <w:rPr>
                <w:rFonts w:cs="Times New Roman"/>
              </w:rPr>
              <w:t>Minimum test score:</w:t>
            </w:r>
          </w:p>
          <w:p w14:paraId="07ED6071" w14:textId="3509552D" w:rsidR="00BA3FED" w:rsidRPr="00E85112" w:rsidRDefault="00BA3FED" w:rsidP="00142B7E">
            <w:pPr>
              <w:spacing w:before="120" w:line="240" w:lineRule="auto"/>
              <w:rPr>
                <w:rFonts w:cs="Times New Roman"/>
              </w:rPr>
            </w:pPr>
            <w:r w:rsidRPr="00E85112">
              <w:rPr>
                <w:rFonts w:cs="Times New Roman"/>
              </w:rPr>
              <w:t xml:space="preserve">if principal course is accompanied by at least 10 weeks of </w:t>
            </w:r>
            <w:r>
              <w:rPr>
                <w:rFonts w:cs="Times New Roman"/>
              </w:rPr>
              <w:t xml:space="preserve">an </w:t>
            </w:r>
            <w:r w:rsidRPr="00E85112">
              <w:rPr>
                <w:rFonts w:cs="Times New Roman"/>
              </w:rPr>
              <w:t xml:space="preserve">ELICOS; or </w:t>
            </w:r>
          </w:p>
          <w:p w14:paraId="6E3D5FC7" w14:textId="07830185" w:rsidR="00BA3FED" w:rsidRDefault="00BA3FED" w:rsidP="00142B7E">
            <w:pPr>
              <w:spacing w:before="120" w:line="240" w:lineRule="auto"/>
              <w:rPr>
                <w:rFonts w:cs="Times New Roman"/>
              </w:rPr>
            </w:pPr>
            <w:r w:rsidRPr="00E85112">
              <w:rPr>
                <w:rFonts w:cs="Times New Roman"/>
              </w:rPr>
              <w:t>if a standard foundation program; or</w:t>
            </w:r>
          </w:p>
          <w:p w14:paraId="47DDFC05" w14:textId="43023DBA" w:rsidR="00BA3FED" w:rsidRPr="00E85112" w:rsidRDefault="00BA3FED" w:rsidP="00142B7E">
            <w:pPr>
              <w:spacing w:before="120" w:line="240" w:lineRule="auto"/>
              <w:rPr>
                <w:rFonts w:cs="Times New Roman"/>
              </w:rPr>
            </w:pPr>
            <w:r w:rsidRPr="00E85112">
              <w:rPr>
                <w:rFonts w:cs="Times New Roman"/>
              </w:rPr>
              <w:t>if an extended foundation program</w:t>
            </w:r>
            <w:r>
              <w:rPr>
                <w:rFonts w:cs="Times New Roman"/>
              </w:rPr>
              <w:t>; or</w:t>
            </w:r>
          </w:p>
          <w:p w14:paraId="41047F11" w14:textId="6272EAAA" w:rsidR="00BA3FED" w:rsidRPr="00E85112" w:rsidRDefault="00BA3FED" w:rsidP="00E47824">
            <w:pPr>
              <w:spacing w:before="120" w:line="240" w:lineRule="auto"/>
              <w:rPr>
                <w:rFonts w:eastAsia="Times New Roman" w:cs="Times New Roman"/>
                <w:lang w:eastAsia="en-AU"/>
              </w:rPr>
            </w:pPr>
            <w:r w:rsidRPr="00E85112">
              <w:rPr>
                <w:rFonts w:cs="Times New Roman"/>
              </w:rPr>
              <w:t>if an eligible pathway program</w:t>
            </w:r>
            <w:r>
              <w:rPr>
                <w:rFonts w:cs="Times New Roman"/>
              </w:rPr>
              <w:t>.</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4566EF" w14:textId="751D2F0A" w:rsidR="00BA3FED" w:rsidRPr="00E85112" w:rsidRDefault="00BA3FED" w:rsidP="00142B7E">
            <w:pPr>
              <w:spacing w:before="120" w:line="240" w:lineRule="auto"/>
              <w:rPr>
                <w:rFonts w:cs="Times New Roman"/>
              </w:rPr>
            </w:pPr>
            <w:r w:rsidRPr="00E85112">
              <w:rPr>
                <w:rFonts w:cs="Times New Roman"/>
              </w:rPr>
              <w:t>Minimum test score:</w:t>
            </w:r>
          </w:p>
          <w:p w14:paraId="267D6FD4" w14:textId="12AFCF42" w:rsidR="00BA3FED" w:rsidRPr="00E85112" w:rsidRDefault="00BA3FED" w:rsidP="00142B7E">
            <w:pPr>
              <w:spacing w:before="120" w:line="240" w:lineRule="auto"/>
              <w:rPr>
                <w:rFonts w:cs="Times New Roman"/>
              </w:rPr>
            </w:pPr>
            <w:r w:rsidRPr="00E85112">
              <w:rPr>
                <w:rFonts w:cs="Times New Roman"/>
              </w:rPr>
              <w:t>if principal course is accompanied by at least 20 weeks of</w:t>
            </w:r>
            <w:r>
              <w:rPr>
                <w:rFonts w:cs="Times New Roman"/>
              </w:rPr>
              <w:t xml:space="preserve"> an ELICOS.</w:t>
            </w:r>
          </w:p>
          <w:p w14:paraId="76405BBC" w14:textId="24230C33" w:rsidR="00BA3FED" w:rsidRPr="00E85112" w:rsidRDefault="00BA3FED" w:rsidP="00F1289A">
            <w:pPr>
              <w:spacing w:before="120" w:line="240" w:lineRule="auto"/>
              <w:rPr>
                <w:rFonts w:cs="Times New Roman"/>
              </w:rPr>
            </w:pPr>
          </w:p>
        </w:tc>
      </w:tr>
      <w:tr w:rsidR="002E286D" w:rsidRPr="00EA4F07" w14:paraId="5D6EFBE9" w14:textId="77777777" w:rsidTr="00815C7A">
        <w:trPr>
          <w:trHeight w:val="300"/>
          <w:tblHeader/>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C7F8D" w14:textId="3065EE94" w:rsidR="002E286D" w:rsidRPr="00EA4F07" w:rsidRDefault="002E286D" w:rsidP="002E286D">
            <w:pPr>
              <w:spacing w:before="120" w:line="240" w:lineRule="auto"/>
              <w:rPr>
                <w:rFonts w:eastAsia="Times New Roman" w:cs="Times New Roman"/>
                <w:lang w:eastAsia="en-AU"/>
              </w:rPr>
            </w:pPr>
            <w:r>
              <w:rPr>
                <w:rFonts w:eastAsia="Times New Roman" w:cs="Times New Roman"/>
                <w:lang w:eastAsia="en-AU"/>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8063417" w14:textId="5263C387" w:rsidR="002E286D" w:rsidRPr="00EA4F07" w:rsidRDefault="002E286D" w:rsidP="002E286D">
            <w:pPr>
              <w:spacing w:before="120" w:line="240" w:lineRule="auto"/>
              <w:rPr>
                <w:rFonts w:eastAsia="Times New Roman" w:cs="Times New Roman"/>
                <w:lang w:eastAsia="en-AU"/>
              </w:rPr>
            </w:pPr>
            <w:r w:rsidRPr="00EA4F07">
              <w:rPr>
                <w:rFonts w:eastAsia="Times New Roman" w:cs="Times New Roman"/>
                <w:lang w:eastAsia="en-AU"/>
              </w:rPr>
              <w:t>Cambridge English: Advanced (CAE) test/ Certificate in Advanced English</w:t>
            </w:r>
          </w:p>
        </w:tc>
        <w:tc>
          <w:tcPr>
            <w:tcW w:w="1985" w:type="dxa"/>
            <w:tcBorders>
              <w:top w:val="single" w:sz="4" w:space="0" w:color="auto"/>
              <w:left w:val="nil"/>
              <w:bottom w:val="single" w:sz="4" w:space="0" w:color="auto"/>
              <w:right w:val="single" w:sz="4" w:space="0" w:color="auto"/>
            </w:tcBorders>
            <w:shd w:val="clear" w:color="auto" w:fill="auto"/>
            <w:noWrap/>
          </w:tcPr>
          <w:p w14:paraId="5850EDE7" w14:textId="77777777" w:rsidR="002E286D" w:rsidRPr="00EA4F07" w:rsidRDefault="002E286D" w:rsidP="002E286D">
            <w:pPr>
              <w:spacing w:before="120" w:line="240" w:lineRule="auto"/>
              <w:rPr>
                <w:rFonts w:cs="Times New Roman"/>
              </w:rPr>
            </w:pPr>
            <w:r w:rsidRPr="00EA4F07">
              <w:rPr>
                <w:rFonts w:cs="Times New Roman"/>
              </w:rPr>
              <w:t>169</w:t>
            </w:r>
          </w:p>
          <w:p w14:paraId="0109378B" w14:textId="77777777" w:rsidR="002E286D" w:rsidRPr="00EA4F07" w:rsidRDefault="002E286D" w:rsidP="002E286D">
            <w:pPr>
              <w:spacing w:before="120" w:line="240" w:lineRule="auto"/>
              <w:rPr>
                <w:rFonts w:cs="Times New Roman"/>
              </w:rPr>
            </w:pPr>
          </w:p>
        </w:tc>
        <w:tc>
          <w:tcPr>
            <w:tcW w:w="1984" w:type="dxa"/>
            <w:tcBorders>
              <w:top w:val="single" w:sz="4" w:space="0" w:color="auto"/>
              <w:left w:val="nil"/>
              <w:bottom w:val="single" w:sz="4" w:space="0" w:color="auto"/>
              <w:right w:val="single" w:sz="4" w:space="0" w:color="auto"/>
            </w:tcBorders>
            <w:shd w:val="clear" w:color="auto" w:fill="auto"/>
          </w:tcPr>
          <w:p w14:paraId="33C3AB48" w14:textId="77777777" w:rsidR="002E286D" w:rsidRPr="00EA4F07" w:rsidRDefault="002E286D" w:rsidP="002E286D">
            <w:pPr>
              <w:spacing w:before="120" w:line="240" w:lineRule="auto"/>
              <w:rPr>
                <w:rFonts w:cs="Times New Roman"/>
              </w:rPr>
            </w:pPr>
            <w:r w:rsidRPr="00EA4F07">
              <w:rPr>
                <w:rFonts w:cs="Times New Roman"/>
              </w:rPr>
              <w:t xml:space="preserve">162 </w:t>
            </w:r>
          </w:p>
          <w:p w14:paraId="59A47329" w14:textId="77777777" w:rsidR="002E286D" w:rsidRPr="00E85112" w:rsidRDefault="002E286D" w:rsidP="002E286D">
            <w:pPr>
              <w:spacing w:before="120" w:line="240" w:lineRule="auto"/>
              <w:rPr>
                <w:rFonts w:cs="Times New Roman"/>
              </w:rPr>
            </w:pPr>
          </w:p>
        </w:tc>
        <w:tc>
          <w:tcPr>
            <w:tcW w:w="1985" w:type="dxa"/>
            <w:tcBorders>
              <w:top w:val="single" w:sz="4" w:space="0" w:color="auto"/>
              <w:left w:val="nil"/>
              <w:bottom w:val="single" w:sz="4" w:space="0" w:color="auto"/>
              <w:right w:val="single" w:sz="4" w:space="0" w:color="auto"/>
            </w:tcBorders>
            <w:shd w:val="clear" w:color="auto" w:fill="auto"/>
          </w:tcPr>
          <w:p w14:paraId="14E2D76C" w14:textId="748EC65D" w:rsidR="002E286D" w:rsidRPr="00E85112" w:rsidRDefault="002E286D" w:rsidP="002E286D">
            <w:pPr>
              <w:spacing w:before="120" w:line="240" w:lineRule="auto"/>
              <w:rPr>
                <w:rFonts w:cs="Times New Roman"/>
              </w:rPr>
            </w:pPr>
            <w:r w:rsidRPr="00EA4F07">
              <w:rPr>
                <w:rFonts w:cs="Times New Roman"/>
              </w:rPr>
              <w:t>154</w:t>
            </w:r>
          </w:p>
        </w:tc>
      </w:tr>
      <w:tr w:rsidR="00325C0A" w:rsidRPr="00EA4F07" w14:paraId="022B2EF1" w14:textId="2A39A7C9" w:rsidTr="00325C0A">
        <w:trPr>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14:paraId="57EED1CE" w14:textId="56AA7C16" w:rsidR="00325C0A" w:rsidRPr="00EA4F07" w:rsidRDefault="002E286D" w:rsidP="00142B7E">
            <w:pPr>
              <w:spacing w:before="120" w:line="240" w:lineRule="auto"/>
              <w:rPr>
                <w:rFonts w:eastAsia="Times New Roman" w:cs="Times New Roman"/>
                <w:lang w:eastAsia="en-AU"/>
              </w:rPr>
            </w:pPr>
            <w:r>
              <w:rPr>
                <w:rFonts w:eastAsia="Times New Roman" w:cs="Times New Roman"/>
                <w:lang w:eastAsia="en-AU"/>
              </w:rPr>
              <w:t>2</w:t>
            </w:r>
          </w:p>
        </w:tc>
        <w:tc>
          <w:tcPr>
            <w:tcW w:w="1984" w:type="dxa"/>
            <w:tcBorders>
              <w:top w:val="nil"/>
              <w:left w:val="nil"/>
              <w:bottom w:val="single" w:sz="4" w:space="0" w:color="auto"/>
              <w:right w:val="single" w:sz="4" w:space="0" w:color="auto"/>
            </w:tcBorders>
            <w:shd w:val="clear" w:color="auto" w:fill="auto"/>
            <w:vAlign w:val="center"/>
          </w:tcPr>
          <w:p w14:paraId="7FF3B46F" w14:textId="0FC8462D" w:rsidR="00325C0A" w:rsidRPr="00EA4F07" w:rsidRDefault="00325C0A" w:rsidP="00142B7E">
            <w:pPr>
              <w:spacing w:before="120" w:line="240" w:lineRule="auto"/>
              <w:rPr>
                <w:rFonts w:eastAsia="Times New Roman" w:cs="Times New Roman"/>
                <w:lang w:eastAsia="en-AU"/>
              </w:rPr>
            </w:pPr>
            <w:r w:rsidRPr="00EA4F07">
              <w:rPr>
                <w:rFonts w:eastAsia="Times New Roman" w:cs="Times New Roman"/>
                <w:lang w:eastAsia="en-AU"/>
              </w:rPr>
              <w:t xml:space="preserve">International English Language Testing system (IELTS Test) </w:t>
            </w:r>
          </w:p>
        </w:tc>
        <w:tc>
          <w:tcPr>
            <w:tcW w:w="1985" w:type="dxa"/>
            <w:tcBorders>
              <w:top w:val="nil"/>
              <w:left w:val="nil"/>
              <w:bottom w:val="single" w:sz="4" w:space="0" w:color="auto"/>
              <w:right w:val="single" w:sz="4" w:space="0" w:color="auto"/>
            </w:tcBorders>
            <w:shd w:val="clear" w:color="auto" w:fill="auto"/>
          </w:tcPr>
          <w:p w14:paraId="435DF60B" w14:textId="68046E14" w:rsidR="00325C0A" w:rsidRPr="00EA4F07" w:rsidRDefault="00325C0A" w:rsidP="00142B7E">
            <w:pPr>
              <w:spacing w:before="120" w:line="240" w:lineRule="auto"/>
              <w:rPr>
                <w:rFonts w:eastAsia="Times New Roman" w:cs="Times New Roman"/>
                <w:lang w:eastAsia="en-AU"/>
              </w:rPr>
            </w:pPr>
            <w:r w:rsidRPr="00EA4F07">
              <w:rPr>
                <w:rFonts w:cs="Times New Roman"/>
              </w:rPr>
              <w:t xml:space="preserve">Overall band score 6.0 </w:t>
            </w:r>
          </w:p>
        </w:tc>
        <w:tc>
          <w:tcPr>
            <w:tcW w:w="1984" w:type="dxa"/>
            <w:tcBorders>
              <w:top w:val="nil"/>
              <w:left w:val="nil"/>
              <w:bottom w:val="single" w:sz="4" w:space="0" w:color="auto"/>
              <w:right w:val="single" w:sz="4" w:space="0" w:color="auto"/>
            </w:tcBorders>
          </w:tcPr>
          <w:p w14:paraId="6A135184" w14:textId="66BDDFA7" w:rsidR="00325C0A" w:rsidRPr="00EA4F07" w:rsidRDefault="00325C0A" w:rsidP="00142B7E">
            <w:pPr>
              <w:spacing w:before="120" w:line="240" w:lineRule="auto"/>
              <w:rPr>
                <w:rFonts w:eastAsia="Times New Roman"/>
                <w:lang w:eastAsia="en-AU"/>
              </w:rPr>
            </w:pPr>
            <w:r w:rsidRPr="00EA4F07">
              <w:rPr>
                <w:rFonts w:cs="Times New Roman"/>
              </w:rPr>
              <w:t>Overall band score of 5.5</w:t>
            </w:r>
          </w:p>
        </w:tc>
        <w:tc>
          <w:tcPr>
            <w:tcW w:w="1985" w:type="dxa"/>
            <w:tcBorders>
              <w:top w:val="single" w:sz="4" w:space="0" w:color="auto"/>
              <w:left w:val="nil"/>
              <w:bottom w:val="single" w:sz="4" w:space="0" w:color="auto"/>
              <w:right w:val="single" w:sz="4" w:space="0" w:color="auto"/>
            </w:tcBorders>
          </w:tcPr>
          <w:p w14:paraId="2DC5981B" w14:textId="292A97BF" w:rsidR="00325C0A" w:rsidRPr="00EA4F07" w:rsidRDefault="00325C0A" w:rsidP="00142B7E">
            <w:pPr>
              <w:spacing w:before="120" w:line="240" w:lineRule="auto"/>
              <w:ind w:left="29"/>
              <w:rPr>
                <w:rFonts w:eastAsia="Times New Roman" w:cs="Times New Roman"/>
                <w:lang w:eastAsia="en-AU"/>
              </w:rPr>
            </w:pPr>
            <w:r w:rsidRPr="00EA4F07">
              <w:rPr>
                <w:rFonts w:cs="Times New Roman"/>
              </w:rPr>
              <w:t>Overall band score of 5.0</w:t>
            </w:r>
          </w:p>
        </w:tc>
      </w:tr>
      <w:tr w:rsidR="002E286D" w:rsidRPr="00EA4F07" w14:paraId="1D5C3D22" w14:textId="77777777" w:rsidTr="00325C0A">
        <w:trPr>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14:paraId="1FE12314" w14:textId="584197FF" w:rsidR="002E286D" w:rsidRDefault="002E286D" w:rsidP="002E286D">
            <w:pPr>
              <w:spacing w:before="120" w:line="240" w:lineRule="auto"/>
              <w:rPr>
                <w:rFonts w:eastAsia="Times New Roman" w:cs="Times New Roman"/>
                <w:lang w:eastAsia="en-AU"/>
              </w:rPr>
            </w:pPr>
            <w:r>
              <w:rPr>
                <w:rFonts w:eastAsia="Times New Roman" w:cs="Times New Roman"/>
                <w:lang w:eastAsia="en-AU"/>
              </w:rPr>
              <w:t>3</w:t>
            </w:r>
          </w:p>
        </w:tc>
        <w:tc>
          <w:tcPr>
            <w:tcW w:w="1984" w:type="dxa"/>
            <w:tcBorders>
              <w:top w:val="nil"/>
              <w:left w:val="nil"/>
              <w:bottom w:val="single" w:sz="4" w:space="0" w:color="auto"/>
              <w:right w:val="single" w:sz="4" w:space="0" w:color="auto"/>
            </w:tcBorders>
            <w:shd w:val="clear" w:color="auto" w:fill="auto"/>
            <w:vAlign w:val="center"/>
          </w:tcPr>
          <w:p w14:paraId="1B0B7BA7" w14:textId="2E341971" w:rsidR="002E286D" w:rsidRPr="00EA4F07" w:rsidRDefault="002E286D" w:rsidP="002E286D">
            <w:pPr>
              <w:spacing w:before="120" w:line="240" w:lineRule="auto"/>
              <w:rPr>
                <w:rFonts w:eastAsia="Times New Roman" w:cs="Times New Roman"/>
                <w:lang w:eastAsia="en-AU"/>
              </w:rPr>
            </w:pPr>
            <w:r w:rsidRPr="00EA4F07">
              <w:rPr>
                <w:rFonts w:eastAsia="Times New Roman" w:cs="Times New Roman"/>
                <w:lang w:eastAsia="en-AU"/>
              </w:rPr>
              <w:t>Occupational English Test (OET)</w:t>
            </w:r>
          </w:p>
        </w:tc>
        <w:tc>
          <w:tcPr>
            <w:tcW w:w="1985" w:type="dxa"/>
            <w:tcBorders>
              <w:top w:val="nil"/>
              <w:left w:val="nil"/>
              <w:bottom w:val="single" w:sz="4" w:space="0" w:color="auto"/>
              <w:right w:val="single" w:sz="4" w:space="0" w:color="auto"/>
            </w:tcBorders>
            <w:shd w:val="clear" w:color="auto" w:fill="auto"/>
          </w:tcPr>
          <w:p w14:paraId="22937C4A" w14:textId="1FC0C3D1" w:rsidR="002E286D" w:rsidRPr="00EA4F07" w:rsidRDefault="002E286D" w:rsidP="002E286D">
            <w:pPr>
              <w:spacing w:before="120" w:line="240" w:lineRule="auto"/>
              <w:rPr>
                <w:rFonts w:cs="Times New Roman"/>
              </w:rPr>
            </w:pPr>
            <w:r w:rsidRPr="00EA4F07">
              <w:rPr>
                <w:rFonts w:cs="Times New Roman"/>
              </w:rPr>
              <w:t xml:space="preserve">a score of at least B for each test component </w:t>
            </w:r>
          </w:p>
        </w:tc>
        <w:tc>
          <w:tcPr>
            <w:tcW w:w="1984" w:type="dxa"/>
            <w:tcBorders>
              <w:top w:val="nil"/>
              <w:left w:val="nil"/>
              <w:bottom w:val="single" w:sz="4" w:space="0" w:color="auto"/>
              <w:right w:val="single" w:sz="4" w:space="0" w:color="auto"/>
            </w:tcBorders>
          </w:tcPr>
          <w:p w14:paraId="0F13F113" w14:textId="4124F281" w:rsidR="002E286D" w:rsidRPr="00EA4F07" w:rsidRDefault="002E286D" w:rsidP="002E286D">
            <w:pPr>
              <w:spacing w:before="120" w:line="240" w:lineRule="auto"/>
              <w:rPr>
                <w:rFonts w:cs="Times New Roman"/>
              </w:rPr>
            </w:pPr>
            <w:r w:rsidRPr="00EA4F07">
              <w:rPr>
                <w:rFonts w:cs="Times New Roman"/>
              </w:rPr>
              <w:t xml:space="preserve">a score of at least B for each test component </w:t>
            </w:r>
          </w:p>
        </w:tc>
        <w:tc>
          <w:tcPr>
            <w:tcW w:w="1985" w:type="dxa"/>
            <w:tcBorders>
              <w:top w:val="single" w:sz="4" w:space="0" w:color="auto"/>
              <w:left w:val="nil"/>
              <w:bottom w:val="single" w:sz="4" w:space="0" w:color="auto"/>
              <w:right w:val="single" w:sz="4" w:space="0" w:color="auto"/>
            </w:tcBorders>
          </w:tcPr>
          <w:p w14:paraId="0B141AFE" w14:textId="417826F0" w:rsidR="002E286D" w:rsidRPr="00EA4F07" w:rsidRDefault="002E286D" w:rsidP="002E286D">
            <w:pPr>
              <w:spacing w:before="120" w:line="240" w:lineRule="auto"/>
              <w:ind w:left="29"/>
              <w:rPr>
                <w:rFonts w:cs="Times New Roman"/>
              </w:rPr>
            </w:pPr>
            <w:r w:rsidRPr="00EA4F07">
              <w:rPr>
                <w:rFonts w:cs="Times New Roman"/>
              </w:rPr>
              <w:t>a score of at least B for each test component</w:t>
            </w:r>
            <w:r w:rsidRPr="003A07D8">
              <w:rPr>
                <w:rFonts w:cs="Times New Roman"/>
              </w:rPr>
              <w:t xml:space="preserve"> </w:t>
            </w:r>
          </w:p>
        </w:tc>
      </w:tr>
      <w:tr w:rsidR="002E286D" w:rsidRPr="00EA4F07" w14:paraId="06BE13CB" w14:textId="77777777" w:rsidTr="00325C0A">
        <w:trPr>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14:paraId="3643B45A" w14:textId="7D1B86C9" w:rsidR="002E286D" w:rsidRDefault="002E286D" w:rsidP="002E286D">
            <w:pPr>
              <w:spacing w:before="120" w:line="240" w:lineRule="auto"/>
              <w:rPr>
                <w:rFonts w:eastAsia="Times New Roman" w:cs="Times New Roman"/>
                <w:lang w:eastAsia="en-AU"/>
              </w:rPr>
            </w:pPr>
            <w:r w:rsidRPr="00EA4F07">
              <w:rPr>
                <w:rFonts w:eastAsia="Times New Roman" w:cs="Times New Roman"/>
                <w:lang w:eastAsia="en-AU"/>
              </w:rPr>
              <w:t>4</w:t>
            </w:r>
          </w:p>
        </w:tc>
        <w:tc>
          <w:tcPr>
            <w:tcW w:w="1984" w:type="dxa"/>
            <w:tcBorders>
              <w:top w:val="nil"/>
              <w:left w:val="nil"/>
              <w:bottom w:val="single" w:sz="4" w:space="0" w:color="auto"/>
              <w:right w:val="single" w:sz="4" w:space="0" w:color="auto"/>
            </w:tcBorders>
            <w:shd w:val="clear" w:color="auto" w:fill="auto"/>
            <w:vAlign w:val="center"/>
          </w:tcPr>
          <w:p w14:paraId="5E6AA33B" w14:textId="240EDA43" w:rsidR="002E286D" w:rsidRPr="00EA4F07" w:rsidRDefault="002E286D" w:rsidP="002E286D">
            <w:pPr>
              <w:spacing w:before="120" w:line="240" w:lineRule="auto"/>
              <w:rPr>
                <w:rFonts w:eastAsia="Times New Roman" w:cs="Times New Roman"/>
                <w:lang w:eastAsia="en-AU"/>
              </w:rPr>
            </w:pPr>
            <w:r w:rsidRPr="00EA4F07">
              <w:rPr>
                <w:rFonts w:eastAsia="Times New Roman" w:cs="Times New Roman"/>
                <w:lang w:eastAsia="en-AU"/>
              </w:rPr>
              <w:t>Pearson Test of English Academic (PTE)</w:t>
            </w:r>
          </w:p>
        </w:tc>
        <w:tc>
          <w:tcPr>
            <w:tcW w:w="1985" w:type="dxa"/>
            <w:tcBorders>
              <w:top w:val="nil"/>
              <w:left w:val="nil"/>
              <w:bottom w:val="single" w:sz="4" w:space="0" w:color="auto"/>
              <w:right w:val="single" w:sz="4" w:space="0" w:color="auto"/>
            </w:tcBorders>
            <w:shd w:val="clear" w:color="auto" w:fill="auto"/>
          </w:tcPr>
          <w:p w14:paraId="3C04F3AA" w14:textId="68D7FEF3" w:rsidR="002E286D" w:rsidRPr="00EA4F07" w:rsidRDefault="002E286D" w:rsidP="002E286D">
            <w:pPr>
              <w:spacing w:before="120" w:line="240" w:lineRule="auto"/>
              <w:rPr>
                <w:rFonts w:cs="Times New Roman"/>
              </w:rPr>
            </w:pPr>
            <w:r w:rsidRPr="00EA4F07">
              <w:rPr>
                <w:rFonts w:cs="Times New Roman"/>
              </w:rPr>
              <w:t xml:space="preserve">50 </w:t>
            </w:r>
          </w:p>
        </w:tc>
        <w:tc>
          <w:tcPr>
            <w:tcW w:w="1984" w:type="dxa"/>
            <w:tcBorders>
              <w:top w:val="nil"/>
              <w:left w:val="nil"/>
              <w:bottom w:val="single" w:sz="4" w:space="0" w:color="auto"/>
              <w:right w:val="single" w:sz="4" w:space="0" w:color="auto"/>
            </w:tcBorders>
          </w:tcPr>
          <w:p w14:paraId="25048372" w14:textId="415C9C79" w:rsidR="002E286D" w:rsidRPr="00EA4F07" w:rsidRDefault="002E286D" w:rsidP="002E286D">
            <w:pPr>
              <w:spacing w:before="120" w:line="240" w:lineRule="auto"/>
              <w:rPr>
                <w:rFonts w:cs="Times New Roman"/>
              </w:rPr>
            </w:pPr>
            <w:r w:rsidRPr="00EA4F07">
              <w:rPr>
                <w:rFonts w:cs="Times New Roman"/>
              </w:rPr>
              <w:t>42</w:t>
            </w:r>
          </w:p>
        </w:tc>
        <w:tc>
          <w:tcPr>
            <w:tcW w:w="1985" w:type="dxa"/>
            <w:tcBorders>
              <w:top w:val="single" w:sz="4" w:space="0" w:color="auto"/>
              <w:left w:val="nil"/>
              <w:bottom w:val="single" w:sz="4" w:space="0" w:color="auto"/>
              <w:right w:val="single" w:sz="4" w:space="0" w:color="auto"/>
            </w:tcBorders>
          </w:tcPr>
          <w:p w14:paraId="39337937" w14:textId="18EBB2E3" w:rsidR="002E286D" w:rsidRPr="00EA4F07" w:rsidRDefault="002E286D" w:rsidP="002E286D">
            <w:pPr>
              <w:spacing w:before="120" w:line="240" w:lineRule="auto"/>
              <w:ind w:left="29"/>
              <w:rPr>
                <w:rFonts w:cs="Times New Roman"/>
              </w:rPr>
            </w:pPr>
            <w:r w:rsidRPr="00EA4F07">
              <w:rPr>
                <w:rFonts w:cs="Times New Roman"/>
              </w:rPr>
              <w:t>36</w:t>
            </w:r>
          </w:p>
        </w:tc>
      </w:tr>
      <w:tr w:rsidR="002E286D" w:rsidRPr="00EA4F07" w14:paraId="75B01759" w14:textId="12D135E3" w:rsidTr="00325C0A">
        <w:trPr>
          <w:trHeight w:val="300"/>
        </w:trPr>
        <w:tc>
          <w:tcPr>
            <w:tcW w:w="753" w:type="dxa"/>
            <w:tcBorders>
              <w:top w:val="nil"/>
              <w:left w:val="single" w:sz="4" w:space="0" w:color="auto"/>
              <w:bottom w:val="single" w:sz="4" w:space="0" w:color="auto"/>
              <w:right w:val="single" w:sz="4" w:space="0" w:color="auto"/>
            </w:tcBorders>
            <w:shd w:val="clear" w:color="auto" w:fill="auto"/>
            <w:vAlign w:val="center"/>
          </w:tcPr>
          <w:p w14:paraId="4DB47BF0" w14:textId="48EAB192" w:rsidR="002E286D" w:rsidRPr="00EA4F07" w:rsidRDefault="002E286D" w:rsidP="002E286D">
            <w:pPr>
              <w:spacing w:before="120" w:line="240" w:lineRule="auto"/>
              <w:rPr>
                <w:rFonts w:eastAsia="Times New Roman" w:cs="Times New Roman"/>
                <w:lang w:eastAsia="en-AU"/>
              </w:rPr>
            </w:pPr>
            <w:r>
              <w:rPr>
                <w:rFonts w:eastAsia="Times New Roman" w:cs="Times New Roman"/>
                <w:lang w:eastAsia="en-AU"/>
              </w:rPr>
              <w:t>5</w:t>
            </w:r>
          </w:p>
        </w:tc>
        <w:tc>
          <w:tcPr>
            <w:tcW w:w="1984" w:type="dxa"/>
            <w:tcBorders>
              <w:top w:val="nil"/>
              <w:left w:val="nil"/>
              <w:bottom w:val="single" w:sz="4" w:space="0" w:color="auto"/>
              <w:right w:val="single" w:sz="4" w:space="0" w:color="auto"/>
            </w:tcBorders>
            <w:shd w:val="clear" w:color="auto" w:fill="auto"/>
            <w:vAlign w:val="center"/>
          </w:tcPr>
          <w:p w14:paraId="20037C5C" w14:textId="4660961E" w:rsidR="002E286D" w:rsidRPr="00EA4F07" w:rsidRDefault="002E286D" w:rsidP="002E286D">
            <w:pPr>
              <w:spacing w:before="120" w:line="240" w:lineRule="auto"/>
              <w:rPr>
                <w:rFonts w:eastAsia="Times New Roman" w:cs="Times New Roman"/>
                <w:lang w:eastAsia="en-AU"/>
              </w:rPr>
            </w:pPr>
            <w:r w:rsidRPr="00EA4F07">
              <w:rPr>
                <w:rFonts w:eastAsia="Times New Roman" w:cs="Times New Roman"/>
                <w:lang w:eastAsia="en-AU"/>
              </w:rPr>
              <w:t>Test of English as a Foreign Language internet-based test (TOEFL iBT)</w:t>
            </w:r>
          </w:p>
        </w:tc>
        <w:tc>
          <w:tcPr>
            <w:tcW w:w="1985" w:type="dxa"/>
            <w:tcBorders>
              <w:top w:val="nil"/>
              <w:left w:val="nil"/>
              <w:bottom w:val="single" w:sz="4" w:space="0" w:color="auto"/>
              <w:right w:val="single" w:sz="4" w:space="0" w:color="auto"/>
            </w:tcBorders>
            <w:shd w:val="clear" w:color="auto" w:fill="auto"/>
          </w:tcPr>
          <w:p w14:paraId="40C69B8E" w14:textId="63124201" w:rsidR="002E286D" w:rsidRPr="00EA4F07" w:rsidRDefault="002E286D" w:rsidP="002E286D">
            <w:pPr>
              <w:spacing w:before="120" w:line="240" w:lineRule="auto"/>
              <w:rPr>
                <w:rFonts w:eastAsia="Times New Roman" w:cs="Times New Roman"/>
                <w:lang w:eastAsia="en-AU"/>
              </w:rPr>
            </w:pPr>
            <w:r w:rsidRPr="00EA4F07">
              <w:rPr>
                <w:rFonts w:cs="Times New Roman"/>
              </w:rPr>
              <w:t>64</w:t>
            </w:r>
          </w:p>
        </w:tc>
        <w:tc>
          <w:tcPr>
            <w:tcW w:w="1984" w:type="dxa"/>
            <w:tcBorders>
              <w:top w:val="nil"/>
              <w:left w:val="nil"/>
              <w:bottom w:val="single" w:sz="4" w:space="0" w:color="auto"/>
              <w:right w:val="single" w:sz="4" w:space="0" w:color="auto"/>
            </w:tcBorders>
          </w:tcPr>
          <w:p w14:paraId="6631793C" w14:textId="77777777" w:rsidR="002E286D" w:rsidRPr="00EA4F07" w:rsidRDefault="002E286D" w:rsidP="002E286D">
            <w:pPr>
              <w:spacing w:before="120" w:line="240" w:lineRule="auto"/>
              <w:rPr>
                <w:rFonts w:eastAsia="Times New Roman" w:cs="Times New Roman"/>
                <w:lang w:eastAsia="en-AU"/>
              </w:rPr>
            </w:pPr>
            <w:r w:rsidRPr="00EA4F07">
              <w:rPr>
                <w:rFonts w:cs="Times New Roman"/>
              </w:rPr>
              <w:t>46</w:t>
            </w:r>
          </w:p>
          <w:p w14:paraId="07CD9A96" w14:textId="085A58BF" w:rsidR="002E286D" w:rsidRPr="00EA4F07" w:rsidRDefault="002E286D" w:rsidP="002E286D">
            <w:pPr>
              <w:spacing w:before="120" w:line="240" w:lineRule="auto"/>
              <w:rPr>
                <w:rFonts w:eastAsia="Times New Roman"/>
                <w:lang w:eastAsia="en-AU"/>
              </w:rPr>
            </w:pPr>
          </w:p>
        </w:tc>
        <w:tc>
          <w:tcPr>
            <w:tcW w:w="1985" w:type="dxa"/>
            <w:tcBorders>
              <w:top w:val="single" w:sz="4" w:space="0" w:color="auto"/>
              <w:left w:val="nil"/>
              <w:bottom w:val="single" w:sz="4" w:space="0" w:color="auto"/>
              <w:right w:val="single" w:sz="4" w:space="0" w:color="auto"/>
            </w:tcBorders>
          </w:tcPr>
          <w:p w14:paraId="698BF6E6" w14:textId="59D29C81" w:rsidR="002E286D" w:rsidRPr="00EA4F07" w:rsidRDefault="002E286D" w:rsidP="002E286D">
            <w:pPr>
              <w:pStyle w:val="ListParagraph"/>
              <w:spacing w:before="120" w:line="240" w:lineRule="auto"/>
              <w:ind w:left="0"/>
              <w:contextualSpacing w:val="0"/>
              <w:rPr>
                <w:rFonts w:cs="Times New Roman"/>
              </w:rPr>
            </w:pPr>
            <w:r w:rsidRPr="00EA4F07">
              <w:rPr>
                <w:rFonts w:cs="Times New Roman"/>
              </w:rPr>
              <w:t>35</w:t>
            </w:r>
          </w:p>
        </w:tc>
      </w:tr>
    </w:tbl>
    <w:p w14:paraId="339E4449" w14:textId="77777777" w:rsidR="00C562C7" w:rsidRDefault="00C562C7" w:rsidP="00C562C7">
      <w:pPr>
        <w:pStyle w:val="LDLine"/>
      </w:pPr>
    </w:p>
    <w:p w14:paraId="6033888F" w14:textId="77777777" w:rsidR="00F057D5" w:rsidRDefault="00F057D5" w:rsidP="00CB1095">
      <w:pPr>
        <w:spacing w:line="240" w:lineRule="auto"/>
      </w:pPr>
    </w:p>
    <w:p w14:paraId="3B0C8960" w14:textId="77777777" w:rsidR="0071659B" w:rsidRDefault="0071659B" w:rsidP="00CB1095">
      <w:pPr>
        <w:spacing w:line="240" w:lineRule="auto"/>
      </w:pPr>
    </w:p>
    <w:sectPr w:rsidR="0071659B" w:rsidSect="00861378">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49781" w14:textId="77777777" w:rsidR="00417532" w:rsidRDefault="00417532" w:rsidP="00715914">
      <w:pPr>
        <w:spacing w:line="240" w:lineRule="auto"/>
      </w:pPr>
      <w:r>
        <w:separator/>
      </w:r>
    </w:p>
    <w:p w14:paraId="7DA51E9B" w14:textId="77777777" w:rsidR="00417532" w:rsidRDefault="00417532"/>
    <w:p w14:paraId="42940C21" w14:textId="77777777" w:rsidR="00417532" w:rsidRDefault="00417532"/>
  </w:endnote>
  <w:endnote w:type="continuationSeparator" w:id="0">
    <w:p w14:paraId="1E122858" w14:textId="77777777" w:rsidR="00417532" w:rsidRDefault="00417532" w:rsidP="00715914">
      <w:pPr>
        <w:spacing w:line="240" w:lineRule="auto"/>
      </w:pPr>
      <w:r>
        <w:continuationSeparator/>
      </w:r>
    </w:p>
    <w:p w14:paraId="39A268E6" w14:textId="77777777" w:rsidR="00417532" w:rsidRDefault="00417532"/>
    <w:p w14:paraId="269F0A7C" w14:textId="77777777" w:rsidR="00417532" w:rsidRDefault="00417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AFC7" w14:textId="77777777" w:rsidR="000A0B19" w:rsidRPr="00E33C1C" w:rsidRDefault="000A0B1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0B19" w14:paraId="54BF4B3F" w14:textId="77777777" w:rsidTr="00B33709">
      <w:tc>
        <w:tcPr>
          <w:tcW w:w="709" w:type="dxa"/>
          <w:tcBorders>
            <w:top w:val="nil"/>
            <w:left w:val="nil"/>
            <w:bottom w:val="nil"/>
            <w:right w:val="nil"/>
          </w:tcBorders>
        </w:tcPr>
        <w:p w14:paraId="5C881146" w14:textId="77777777" w:rsidR="000A0B19" w:rsidRDefault="000A0B1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B0B9C2B" w14:textId="77777777" w:rsidR="000A0B19" w:rsidRPr="004E1307" w:rsidRDefault="000A0B1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b/>
              <w:bCs/>
              <w:i/>
              <w:noProof/>
              <w:sz w:val="18"/>
              <w:lang w:val="en-US"/>
            </w:rPr>
            <w:t>Error! Use the Home tab to apply ShortT to the text that you want to appear here.</w:t>
          </w:r>
          <w:r w:rsidRPr="004E1307">
            <w:rPr>
              <w:i/>
              <w:sz w:val="18"/>
            </w:rPr>
            <w:fldChar w:fldCharType="end"/>
          </w:r>
        </w:p>
      </w:tc>
      <w:tc>
        <w:tcPr>
          <w:tcW w:w="1383" w:type="dxa"/>
          <w:tcBorders>
            <w:top w:val="nil"/>
            <w:left w:val="nil"/>
            <w:bottom w:val="nil"/>
            <w:right w:val="nil"/>
          </w:tcBorders>
        </w:tcPr>
        <w:p w14:paraId="3773137C" w14:textId="77777777" w:rsidR="000A0B19" w:rsidRDefault="000A0B19" w:rsidP="00A369E3">
          <w:pPr>
            <w:spacing w:line="0" w:lineRule="atLeast"/>
            <w:jc w:val="right"/>
            <w:rPr>
              <w:sz w:val="18"/>
            </w:rPr>
          </w:pPr>
        </w:p>
      </w:tc>
    </w:tr>
    <w:tr w:rsidR="000A0B19" w14:paraId="7AC5D6A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B68980" w14:textId="77777777" w:rsidR="000A0B19" w:rsidRDefault="000A0B19" w:rsidP="00A369E3">
          <w:pPr>
            <w:jc w:val="right"/>
            <w:rPr>
              <w:sz w:val="18"/>
            </w:rPr>
          </w:pPr>
        </w:p>
      </w:tc>
    </w:tr>
  </w:tbl>
  <w:p w14:paraId="12C7C43E" w14:textId="77777777" w:rsidR="000A0B19" w:rsidRPr="00ED79B6" w:rsidRDefault="000A0B1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CF2F" w14:textId="77777777" w:rsidR="000A0B19" w:rsidRPr="00E33C1C" w:rsidRDefault="000A0B1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60"/>
      <w:gridCol w:w="6252"/>
      <w:gridCol w:w="701"/>
    </w:tblGrid>
    <w:tr w:rsidR="000A0B19" w14:paraId="7D6C3DCF" w14:textId="77777777" w:rsidTr="00A369E3">
      <w:tc>
        <w:tcPr>
          <w:tcW w:w="1384" w:type="dxa"/>
          <w:tcBorders>
            <w:top w:val="nil"/>
            <w:left w:val="nil"/>
            <w:bottom w:val="nil"/>
            <w:right w:val="nil"/>
          </w:tcBorders>
        </w:tcPr>
        <w:p w14:paraId="02441944" w14:textId="77777777" w:rsidR="000A0B19" w:rsidRDefault="000A0B19" w:rsidP="00A369E3">
          <w:pPr>
            <w:spacing w:line="0" w:lineRule="atLeast"/>
            <w:rPr>
              <w:sz w:val="18"/>
            </w:rPr>
          </w:pPr>
        </w:p>
      </w:tc>
      <w:tc>
        <w:tcPr>
          <w:tcW w:w="6379" w:type="dxa"/>
          <w:tcBorders>
            <w:top w:val="nil"/>
            <w:left w:val="nil"/>
            <w:bottom w:val="nil"/>
            <w:right w:val="nil"/>
          </w:tcBorders>
        </w:tcPr>
        <w:p w14:paraId="0989FB5B" w14:textId="77777777" w:rsidR="000A0B19" w:rsidRDefault="000A0B19" w:rsidP="00A369E3">
          <w:pPr>
            <w:spacing w:line="0" w:lineRule="atLeast"/>
            <w:jc w:val="center"/>
            <w:rPr>
              <w:sz w:val="18"/>
            </w:rPr>
          </w:pPr>
        </w:p>
      </w:tc>
      <w:tc>
        <w:tcPr>
          <w:tcW w:w="709" w:type="dxa"/>
          <w:tcBorders>
            <w:top w:val="nil"/>
            <w:left w:val="nil"/>
            <w:bottom w:val="nil"/>
            <w:right w:val="nil"/>
          </w:tcBorders>
        </w:tcPr>
        <w:p w14:paraId="0D7C87A3" w14:textId="77777777" w:rsidR="000A0B19" w:rsidRDefault="000A0B1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A0B19" w14:paraId="6ADB303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8C3BB4" w14:textId="77777777" w:rsidR="000A0B19" w:rsidRDefault="000A0B19" w:rsidP="00A369E3">
          <w:pPr>
            <w:rPr>
              <w:sz w:val="18"/>
            </w:rPr>
          </w:pPr>
        </w:p>
      </w:tc>
    </w:tr>
  </w:tbl>
  <w:p w14:paraId="75D6C224" w14:textId="77777777" w:rsidR="000A0B19" w:rsidRPr="00ED79B6" w:rsidRDefault="000A0B1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A1C2" w14:textId="77777777" w:rsidR="00491E2A" w:rsidRDefault="00491E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9F0F" w14:textId="77777777" w:rsidR="000A0B19" w:rsidRPr="002B0EA5" w:rsidRDefault="000A0B19" w:rsidP="003C7BD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A0B19" w14:paraId="3066591F" w14:textId="77777777" w:rsidTr="003C7BD0">
      <w:tc>
        <w:tcPr>
          <w:tcW w:w="365" w:type="pct"/>
        </w:tcPr>
        <w:p w14:paraId="4D62F3F7" w14:textId="77777777" w:rsidR="000A0B19" w:rsidRDefault="000A0B19"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68362BB0" w14:textId="77777777" w:rsidR="000A0B19" w:rsidRDefault="000A0B19"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Pr>
              <w:b/>
              <w:bCs/>
              <w:i/>
              <w:noProof/>
              <w:sz w:val="18"/>
              <w:szCs w:val="18"/>
              <w:lang w:val="en-US"/>
            </w:rPr>
            <w:t>Error! Use the Home tab to apply ShortT to the text that you want to appear here.</w:t>
          </w:r>
          <w:r w:rsidRPr="006504D5">
            <w:rPr>
              <w:i/>
              <w:sz w:val="18"/>
              <w:szCs w:val="18"/>
            </w:rPr>
            <w:fldChar w:fldCharType="end"/>
          </w:r>
        </w:p>
      </w:tc>
      <w:tc>
        <w:tcPr>
          <w:tcW w:w="947" w:type="pct"/>
        </w:tcPr>
        <w:p w14:paraId="0136DA6E" w14:textId="77777777" w:rsidR="000A0B19" w:rsidRDefault="000A0B19" w:rsidP="006504D5">
          <w:pPr>
            <w:spacing w:line="0" w:lineRule="atLeast"/>
            <w:jc w:val="right"/>
            <w:rPr>
              <w:sz w:val="18"/>
            </w:rPr>
          </w:pPr>
        </w:p>
      </w:tc>
    </w:tr>
    <w:tr w:rsidR="000A0B19" w14:paraId="7E2EDF72" w14:textId="77777777" w:rsidTr="003C7BD0">
      <w:tc>
        <w:tcPr>
          <w:tcW w:w="5000" w:type="pct"/>
          <w:gridSpan w:val="3"/>
        </w:tcPr>
        <w:p w14:paraId="6175C5B7" w14:textId="77777777" w:rsidR="000A0B19" w:rsidRDefault="000A0B19" w:rsidP="006504D5">
          <w:pPr>
            <w:jc w:val="right"/>
            <w:rPr>
              <w:sz w:val="18"/>
            </w:rPr>
          </w:pPr>
        </w:p>
      </w:tc>
    </w:tr>
  </w:tbl>
  <w:p w14:paraId="673F1864" w14:textId="77777777" w:rsidR="000A0B19" w:rsidRPr="00ED79B6" w:rsidRDefault="000A0B19" w:rsidP="003C7BD0">
    <w:pPr>
      <w:rPr>
        <w:i/>
        <w:sz w:val="18"/>
      </w:rPr>
    </w:pPr>
  </w:p>
  <w:p w14:paraId="7A979774" w14:textId="77777777" w:rsidR="000A0B19" w:rsidRDefault="000A0B19"/>
  <w:p w14:paraId="249A4942" w14:textId="77777777" w:rsidR="000A0B19" w:rsidRDefault="000A0B1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7D258" w14:textId="59A8ED76" w:rsidR="000A0B19" w:rsidRPr="00E91908" w:rsidRDefault="00D90344" w:rsidP="007C5FDD">
    <w:pPr>
      <w:pStyle w:val="LDFooter"/>
    </w:pPr>
    <w:r w:rsidRPr="00D90344">
      <w:rPr>
        <w:rStyle w:val="LDItal"/>
      </w:rPr>
      <w:t>Migration (English Language Tests and Evidence Exemptions for Subclass 500 (Student) Visa) Instrument (LIN</w:t>
    </w:r>
    <w:r w:rsidR="00B44276">
      <w:rPr>
        <w:rStyle w:val="LDItal"/>
      </w:rPr>
      <w:t> </w:t>
    </w:r>
    <w:r w:rsidRPr="00D90344">
      <w:rPr>
        <w:rStyle w:val="LDItal"/>
      </w:rPr>
      <w:t>24/022) 2024</w:t>
    </w:r>
  </w:p>
  <w:p w14:paraId="4C6D2FB1" w14:textId="4056F60E" w:rsidR="000A0B19" w:rsidRPr="007C5FDD" w:rsidRDefault="000A0B19" w:rsidP="00494305">
    <w:pPr>
      <w:pStyle w:val="LDFooter"/>
      <w:tabs>
        <w:tab w:val="right" w:pos="9639"/>
      </w:tabs>
    </w:pPr>
    <w:r>
      <w:tab/>
    </w:r>
    <w:r>
      <w:fldChar w:fldCharType="begin"/>
    </w:r>
    <w:r>
      <w:instrText xml:space="preserve"> PAGE  \* Arabic  \* MERGEFORMAT </w:instrText>
    </w:r>
    <w:r>
      <w:fldChar w:fldCharType="separate"/>
    </w:r>
    <w:r w:rsidR="002630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69446" w14:textId="77777777" w:rsidR="00417532" w:rsidRDefault="00417532" w:rsidP="00715914">
      <w:pPr>
        <w:spacing w:line="240" w:lineRule="auto"/>
      </w:pPr>
      <w:r>
        <w:separator/>
      </w:r>
    </w:p>
    <w:p w14:paraId="2ED30AA3" w14:textId="77777777" w:rsidR="00417532" w:rsidRDefault="00417532"/>
    <w:p w14:paraId="714BD472" w14:textId="77777777" w:rsidR="00417532" w:rsidRDefault="00417532"/>
  </w:footnote>
  <w:footnote w:type="continuationSeparator" w:id="0">
    <w:p w14:paraId="074C1F03" w14:textId="77777777" w:rsidR="00417532" w:rsidRDefault="00417532" w:rsidP="00715914">
      <w:pPr>
        <w:spacing w:line="240" w:lineRule="auto"/>
      </w:pPr>
      <w:r>
        <w:continuationSeparator/>
      </w:r>
    </w:p>
    <w:p w14:paraId="0E4E70FD" w14:textId="77777777" w:rsidR="00417532" w:rsidRDefault="00417532"/>
    <w:p w14:paraId="7251448B" w14:textId="77777777" w:rsidR="00417532" w:rsidRDefault="004175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A49E" w14:textId="77777777" w:rsidR="000A0B19" w:rsidRPr="005F1388" w:rsidRDefault="000A0B1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EB1D" w14:textId="77777777" w:rsidR="000A0B19" w:rsidRPr="005F1388" w:rsidRDefault="000A0B1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2DE7" w14:textId="77777777" w:rsidR="000A0B19" w:rsidRDefault="000A0B19" w:rsidP="00150195">
    <w:pPr>
      <w:pStyle w:val="Header"/>
      <w:keepNext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E4A9" w14:textId="77777777" w:rsidR="000A0B19" w:rsidRDefault="000A0B19" w:rsidP="00715914">
    <w:pPr>
      <w:rPr>
        <w:sz w:val="20"/>
      </w:rPr>
    </w:pPr>
  </w:p>
  <w:p w14:paraId="3B6527AC" w14:textId="77777777" w:rsidR="000A0B19" w:rsidRDefault="000A0B19" w:rsidP="00715914">
    <w:pPr>
      <w:rPr>
        <w:sz w:val="20"/>
      </w:rPr>
    </w:pPr>
  </w:p>
  <w:p w14:paraId="32AFCA20" w14:textId="77777777" w:rsidR="000A0B19" w:rsidRPr="007A1328" w:rsidRDefault="000A0B19" w:rsidP="00715914">
    <w:pPr>
      <w:rPr>
        <w:sz w:val="20"/>
      </w:rPr>
    </w:pPr>
  </w:p>
  <w:p w14:paraId="1CEA02E5" w14:textId="77777777" w:rsidR="000A0B19" w:rsidRPr="007A1328" w:rsidRDefault="000A0B19" w:rsidP="00715914">
    <w:pPr>
      <w:rPr>
        <w:b/>
        <w:sz w:val="24"/>
      </w:rPr>
    </w:pPr>
  </w:p>
  <w:p w14:paraId="587DD9CA" w14:textId="77777777" w:rsidR="000A0B19" w:rsidRPr="007A1328" w:rsidRDefault="000A0B19" w:rsidP="00D6537E">
    <w:pPr>
      <w:pBdr>
        <w:bottom w:val="single" w:sz="6" w:space="1" w:color="auto"/>
      </w:pBdr>
      <w:spacing w:after="120"/>
      <w:rPr>
        <w:sz w:val="24"/>
      </w:rPr>
    </w:pPr>
  </w:p>
  <w:p w14:paraId="6F1908F9" w14:textId="77777777" w:rsidR="000A0B19" w:rsidRDefault="000A0B19"/>
  <w:p w14:paraId="2E7A3C8F" w14:textId="77777777" w:rsidR="000A0B19" w:rsidRDefault="000A0B1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30C1" w14:textId="77777777" w:rsidR="000A0B19" w:rsidRPr="007A1328" w:rsidRDefault="000A0B19" w:rsidP="00150195">
    <w:pPr>
      <w:pStyle w:val="Header"/>
      <w:keepNext w:val="0"/>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01ABE"/>
    <w:multiLevelType w:val="hybridMultilevel"/>
    <w:tmpl w:val="587874F2"/>
    <w:lvl w:ilvl="0" w:tplc="A89625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C4259B"/>
    <w:multiLevelType w:val="hybridMultilevel"/>
    <w:tmpl w:val="E352685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BA5A9E"/>
    <w:multiLevelType w:val="hybridMultilevel"/>
    <w:tmpl w:val="34D889BA"/>
    <w:lvl w:ilvl="0" w:tplc="6A78109A">
      <w:start w:val="2"/>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2111A5"/>
    <w:multiLevelType w:val="hybridMultilevel"/>
    <w:tmpl w:val="4E3E252A"/>
    <w:lvl w:ilvl="0" w:tplc="FCCEF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5744E5"/>
    <w:multiLevelType w:val="hybridMultilevel"/>
    <w:tmpl w:val="1B4222EC"/>
    <w:lvl w:ilvl="0" w:tplc="A17A5B3C">
      <w:start w:val="1"/>
      <w:numFmt w:val="lowerRoman"/>
      <w:lvlText w:val="(%1)"/>
      <w:lvlJc w:val="right"/>
      <w:pPr>
        <w:ind w:left="5040" w:hanging="72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7F671D"/>
    <w:multiLevelType w:val="hybridMultilevel"/>
    <w:tmpl w:val="08585A2C"/>
    <w:lvl w:ilvl="0" w:tplc="DCD8D5F8">
      <w:start w:val="2"/>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76072C"/>
    <w:multiLevelType w:val="hybridMultilevel"/>
    <w:tmpl w:val="1B4222EC"/>
    <w:lvl w:ilvl="0" w:tplc="A17A5B3C">
      <w:start w:val="1"/>
      <w:numFmt w:val="lowerRoman"/>
      <w:lvlText w:val="(%1)"/>
      <w:lvlJc w:val="right"/>
      <w:pPr>
        <w:ind w:left="5040" w:hanging="72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9945C30"/>
    <w:multiLevelType w:val="hybridMultilevel"/>
    <w:tmpl w:val="B2DC0E70"/>
    <w:lvl w:ilvl="0" w:tplc="2E76BB08">
      <w:start w:val="1"/>
      <w:numFmt w:val="lowerLetter"/>
      <w:lvlText w:val="(%1)"/>
      <w:lvlJc w:val="left"/>
      <w:pPr>
        <w:ind w:left="2547" w:hanging="420"/>
      </w:pPr>
      <w:rPr>
        <w:rFonts w:hint="default"/>
        <w:color w:val="auto"/>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5" w15:restartNumberingAfterBreak="0">
    <w:nsid w:val="2AA00160"/>
    <w:multiLevelType w:val="hybridMultilevel"/>
    <w:tmpl w:val="9566D6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34234E99"/>
    <w:multiLevelType w:val="hybridMultilevel"/>
    <w:tmpl w:val="21AAB98E"/>
    <w:lvl w:ilvl="0" w:tplc="9FDEA6BA">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C1F31E3"/>
    <w:multiLevelType w:val="hybridMultilevel"/>
    <w:tmpl w:val="7F1CBB22"/>
    <w:lvl w:ilvl="0" w:tplc="441680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FC19DC"/>
    <w:multiLevelType w:val="multilevel"/>
    <w:tmpl w:val="743A5602"/>
    <w:lvl w:ilvl="0">
      <w:start w:val="1"/>
      <w:numFmt w:val="decimal"/>
      <w:lvlText w:val="%1."/>
      <w:lvlJc w:val="left"/>
      <w:pPr>
        <w:tabs>
          <w:tab w:val="num" w:pos="907"/>
        </w:tabs>
        <w:ind w:left="907" w:hanging="360"/>
      </w:pPr>
    </w:lvl>
    <w:lvl w:ilvl="1" w:tentative="1">
      <w:start w:val="1"/>
      <w:numFmt w:val="decimal"/>
      <w:lvlText w:val="%2."/>
      <w:lvlJc w:val="left"/>
      <w:pPr>
        <w:tabs>
          <w:tab w:val="num" w:pos="1627"/>
        </w:tabs>
        <w:ind w:left="1627" w:hanging="360"/>
      </w:pPr>
    </w:lvl>
    <w:lvl w:ilvl="2" w:tentative="1">
      <w:start w:val="1"/>
      <w:numFmt w:val="decimal"/>
      <w:lvlText w:val="%3."/>
      <w:lvlJc w:val="left"/>
      <w:pPr>
        <w:tabs>
          <w:tab w:val="num" w:pos="2347"/>
        </w:tabs>
        <w:ind w:left="2347" w:hanging="360"/>
      </w:pPr>
    </w:lvl>
    <w:lvl w:ilvl="3" w:tentative="1">
      <w:start w:val="1"/>
      <w:numFmt w:val="decimal"/>
      <w:lvlText w:val="%4."/>
      <w:lvlJc w:val="left"/>
      <w:pPr>
        <w:tabs>
          <w:tab w:val="num" w:pos="3067"/>
        </w:tabs>
        <w:ind w:left="3067" w:hanging="360"/>
      </w:pPr>
    </w:lvl>
    <w:lvl w:ilvl="4" w:tentative="1">
      <w:start w:val="1"/>
      <w:numFmt w:val="decimal"/>
      <w:lvlText w:val="%5."/>
      <w:lvlJc w:val="left"/>
      <w:pPr>
        <w:tabs>
          <w:tab w:val="num" w:pos="3787"/>
        </w:tabs>
        <w:ind w:left="3787" w:hanging="360"/>
      </w:pPr>
    </w:lvl>
    <w:lvl w:ilvl="5" w:tentative="1">
      <w:start w:val="1"/>
      <w:numFmt w:val="decimal"/>
      <w:lvlText w:val="%6."/>
      <w:lvlJc w:val="left"/>
      <w:pPr>
        <w:tabs>
          <w:tab w:val="num" w:pos="4507"/>
        </w:tabs>
        <w:ind w:left="4507" w:hanging="360"/>
      </w:pPr>
    </w:lvl>
    <w:lvl w:ilvl="6" w:tentative="1">
      <w:start w:val="1"/>
      <w:numFmt w:val="decimal"/>
      <w:lvlText w:val="%7."/>
      <w:lvlJc w:val="left"/>
      <w:pPr>
        <w:tabs>
          <w:tab w:val="num" w:pos="5227"/>
        </w:tabs>
        <w:ind w:left="5227" w:hanging="360"/>
      </w:pPr>
    </w:lvl>
    <w:lvl w:ilvl="7" w:tentative="1">
      <w:start w:val="1"/>
      <w:numFmt w:val="decimal"/>
      <w:lvlText w:val="%8."/>
      <w:lvlJc w:val="left"/>
      <w:pPr>
        <w:tabs>
          <w:tab w:val="num" w:pos="5947"/>
        </w:tabs>
        <w:ind w:left="5947" w:hanging="360"/>
      </w:pPr>
    </w:lvl>
    <w:lvl w:ilvl="8" w:tentative="1">
      <w:start w:val="1"/>
      <w:numFmt w:val="decimal"/>
      <w:lvlText w:val="%9."/>
      <w:lvlJc w:val="left"/>
      <w:pPr>
        <w:tabs>
          <w:tab w:val="num" w:pos="6667"/>
        </w:tabs>
        <w:ind w:left="6667" w:hanging="360"/>
      </w:pPr>
    </w:lvl>
  </w:abstractNum>
  <w:abstractNum w:abstractNumId="31"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4D207B2C"/>
    <w:multiLevelType w:val="hybridMultilevel"/>
    <w:tmpl w:val="1B4222EC"/>
    <w:lvl w:ilvl="0" w:tplc="A17A5B3C">
      <w:start w:val="1"/>
      <w:numFmt w:val="lowerRoman"/>
      <w:lvlText w:val="(%1)"/>
      <w:lvlJc w:val="right"/>
      <w:pPr>
        <w:ind w:left="5040" w:hanging="72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5" w15:restartNumberingAfterBreak="0">
    <w:nsid w:val="56F65995"/>
    <w:multiLevelType w:val="hybridMultilevel"/>
    <w:tmpl w:val="F8407250"/>
    <w:lvl w:ilvl="0" w:tplc="F8601576">
      <w:start w:val="1"/>
      <w:numFmt w:val="decimal"/>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5A315118"/>
    <w:multiLevelType w:val="hybridMultilevel"/>
    <w:tmpl w:val="977E2E3E"/>
    <w:lvl w:ilvl="0" w:tplc="5BE49AF8">
      <w:start w:val="1"/>
      <w:numFmt w:val="bullet"/>
      <w:pStyle w:val="LD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DEC006E"/>
    <w:multiLevelType w:val="hybridMultilevel"/>
    <w:tmpl w:val="259C577E"/>
    <w:lvl w:ilvl="0" w:tplc="87ECCA6C">
      <w:start w:val="1"/>
      <w:numFmt w:val="decimal"/>
      <w:lvlText w:val="(%1)"/>
      <w:lvlJc w:val="left"/>
      <w:pPr>
        <w:ind w:left="1125" w:hanging="40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5F9C3143"/>
    <w:multiLevelType w:val="hybridMultilevel"/>
    <w:tmpl w:val="8A6E1856"/>
    <w:lvl w:ilvl="0" w:tplc="6366CF3A">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40" w15:restartNumberingAfterBreak="0">
    <w:nsid w:val="64E56E12"/>
    <w:multiLevelType w:val="hybridMultilevel"/>
    <w:tmpl w:val="74CE8FF6"/>
    <w:lvl w:ilvl="0" w:tplc="81843F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FD2828"/>
    <w:multiLevelType w:val="hybridMultilevel"/>
    <w:tmpl w:val="A24474F4"/>
    <w:lvl w:ilvl="0" w:tplc="2E76BB08">
      <w:start w:val="1"/>
      <w:numFmt w:val="lowerLetter"/>
      <w:lvlText w:val="(%1)"/>
      <w:lvlJc w:val="left"/>
      <w:pPr>
        <w:ind w:left="3454" w:hanging="420"/>
      </w:pPr>
      <w:rPr>
        <w:rFonts w:hint="default"/>
        <w:color w:val="auto"/>
      </w:rPr>
    </w:lvl>
    <w:lvl w:ilvl="1" w:tplc="0C090019">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42"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43" w15:restartNumberingAfterBreak="0">
    <w:nsid w:val="694E338E"/>
    <w:multiLevelType w:val="hybridMultilevel"/>
    <w:tmpl w:val="1B4222EC"/>
    <w:lvl w:ilvl="0" w:tplc="A17A5B3C">
      <w:start w:val="1"/>
      <w:numFmt w:val="lowerRoman"/>
      <w:lvlText w:val="(%1)"/>
      <w:lvlJc w:val="right"/>
      <w:pPr>
        <w:ind w:left="5040" w:hanging="72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AD02D3"/>
    <w:multiLevelType w:val="hybridMultilevel"/>
    <w:tmpl w:val="1B4222EC"/>
    <w:lvl w:ilvl="0" w:tplc="A17A5B3C">
      <w:start w:val="1"/>
      <w:numFmt w:val="lowerRoman"/>
      <w:lvlText w:val="(%1)"/>
      <w:lvlJc w:val="right"/>
      <w:pPr>
        <w:ind w:left="5040" w:hanging="72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9B360F"/>
    <w:multiLevelType w:val="hybridMultilevel"/>
    <w:tmpl w:val="525612DE"/>
    <w:lvl w:ilvl="0" w:tplc="145C8E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47" w15:restartNumberingAfterBreak="0">
    <w:nsid w:val="7EDF781E"/>
    <w:multiLevelType w:val="hybridMultilevel"/>
    <w:tmpl w:val="45A2A618"/>
    <w:lvl w:ilvl="0" w:tplc="F8601576">
      <w:start w:val="1"/>
      <w:numFmt w:val="decimal"/>
      <w:lvlText w:val="(%1)"/>
      <w:lvlJc w:val="left"/>
      <w:pPr>
        <w:ind w:left="2550" w:hanging="390"/>
      </w:pPr>
      <w:rPr>
        <w:rFonts w:hint="default"/>
      </w:rPr>
    </w:lvl>
    <w:lvl w:ilvl="1" w:tplc="9FDEA6BA">
      <w:start w:val="1"/>
      <w:numFmt w:val="lowerLetter"/>
      <w:lvlText w:val="(%2)"/>
      <w:lvlJc w:val="left"/>
      <w:pPr>
        <w:ind w:left="1494" w:hanging="360"/>
      </w:pPr>
      <w:rPr>
        <w:rFonts w:hint="default"/>
      </w:rPr>
    </w:lvl>
    <w:lvl w:ilvl="2" w:tplc="A17A5B3C">
      <w:start w:val="1"/>
      <w:numFmt w:val="lowerRoman"/>
      <w:lvlText w:val="(%3)"/>
      <w:lvlJc w:val="right"/>
      <w:pPr>
        <w:ind w:left="3960" w:hanging="180"/>
      </w:pPr>
      <w:rPr>
        <w:rFonts w:ascii="Times New Roman" w:eastAsia="Times New Roman" w:hAnsi="Times New Roman" w:cs="Times New Roman"/>
      </w:rPr>
    </w:lvl>
    <w:lvl w:ilvl="3" w:tplc="A17A5B3C">
      <w:start w:val="1"/>
      <w:numFmt w:val="lowerRoman"/>
      <w:lvlText w:val="(%4)"/>
      <w:lvlJc w:val="right"/>
      <w:pPr>
        <w:ind w:left="5040" w:hanging="720"/>
      </w:pPr>
      <w:rPr>
        <w:rFonts w:ascii="Times New Roman" w:eastAsia="Times New Roman" w:hAnsi="Times New Roman" w:cs="Times New Roman"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3"/>
  </w:num>
  <w:num w:numId="13">
    <w:abstractNumId w:val="19"/>
  </w:num>
  <w:num w:numId="14">
    <w:abstractNumId w:val="22"/>
  </w:num>
  <w:num w:numId="15">
    <w:abstractNumId w:val="16"/>
  </w:num>
  <w:num w:numId="16">
    <w:abstractNumId w:val="21"/>
  </w:num>
  <w:num w:numId="17">
    <w:abstractNumId w:val="31"/>
  </w:num>
  <w:num w:numId="18">
    <w:abstractNumId w:val="34"/>
  </w:num>
  <w:num w:numId="19">
    <w:abstractNumId w:val="12"/>
  </w:num>
  <w:num w:numId="20">
    <w:abstractNumId w:val="46"/>
  </w:num>
  <w:num w:numId="21">
    <w:abstractNumId w:val="26"/>
  </w:num>
  <w:num w:numId="22">
    <w:abstractNumId w:val="33"/>
  </w:num>
  <w:num w:numId="23">
    <w:abstractNumId w:val="38"/>
  </w:num>
  <w:num w:numId="24">
    <w:abstractNumId w:val="42"/>
  </w:num>
  <w:num w:numId="25">
    <w:abstractNumId w:val="15"/>
  </w:num>
  <w:num w:numId="26">
    <w:abstractNumId w:val="36"/>
  </w:num>
  <w:num w:numId="27">
    <w:abstractNumId w:val="35"/>
  </w:num>
  <w:num w:numId="28">
    <w:abstractNumId w:val="39"/>
  </w:num>
  <w:num w:numId="29">
    <w:abstractNumId w:val="47"/>
  </w:num>
  <w:num w:numId="30">
    <w:abstractNumId w:val="27"/>
  </w:num>
  <w:num w:numId="31">
    <w:abstractNumId w:val="43"/>
  </w:num>
  <w:num w:numId="32">
    <w:abstractNumId w:val="44"/>
  </w:num>
  <w:num w:numId="33">
    <w:abstractNumId w:val="23"/>
  </w:num>
  <w:num w:numId="34">
    <w:abstractNumId w:val="32"/>
  </w:num>
  <w:num w:numId="35">
    <w:abstractNumId w:val="18"/>
  </w:num>
  <w:num w:numId="36">
    <w:abstractNumId w:val="20"/>
  </w:num>
  <w:num w:numId="37">
    <w:abstractNumId w:val="14"/>
  </w:num>
  <w:num w:numId="38">
    <w:abstractNumId w:val="40"/>
  </w:num>
  <w:num w:numId="39">
    <w:abstractNumId w:val="17"/>
  </w:num>
  <w:num w:numId="40">
    <w:abstractNumId w:val="29"/>
  </w:num>
  <w:num w:numId="41">
    <w:abstractNumId w:val="10"/>
  </w:num>
  <w:num w:numId="42">
    <w:abstractNumId w:val="45"/>
  </w:num>
  <w:num w:numId="43">
    <w:abstractNumId w:val="24"/>
  </w:num>
  <w:num w:numId="44">
    <w:abstractNumId w:val="30"/>
  </w:num>
  <w:num w:numId="45">
    <w:abstractNumId w:val="4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E7"/>
    <w:rsid w:val="00000F86"/>
    <w:rsid w:val="000028CB"/>
    <w:rsid w:val="00004174"/>
    <w:rsid w:val="00004470"/>
    <w:rsid w:val="00005421"/>
    <w:rsid w:val="000062DF"/>
    <w:rsid w:val="0000660A"/>
    <w:rsid w:val="000102EE"/>
    <w:rsid w:val="0001110E"/>
    <w:rsid w:val="000136AF"/>
    <w:rsid w:val="00013F49"/>
    <w:rsid w:val="00014524"/>
    <w:rsid w:val="000232E8"/>
    <w:rsid w:val="00024496"/>
    <w:rsid w:val="000258B1"/>
    <w:rsid w:val="00032C64"/>
    <w:rsid w:val="00033C36"/>
    <w:rsid w:val="000352C3"/>
    <w:rsid w:val="00037F5A"/>
    <w:rsid w:val="00040A89"/>
    <w:rsid w:val="000437C1"/>
    <w:rsid w:val="00044133"/>
    <w:rsid w:val="0004455A"/>
    <w:rsid w:val="00051588"/>
    <w:rsid w:val="0005365D"/>
    <w:rsid w:val="0005691F"/>
    <w:rsid w:val="00060FE0"/>
    <w:rsid w:val="000614BF"/>
    <w:rsid w:val="00066BD5"/>
    <w:rsid w:val="0006709C"/>
    <w:rsid w:val="00074376"/>
    <w:rsid w:val="00074D1B"/>
    <w:rsid w:val="0007722C"/>
    <w:rsid w:val="000853C1"/>
    <w:rsid w:val="00087212"/>
    <w:rsid w:val="000913B1"/>
    <w:rsid w:val="00094816"/>
    <w:rsid w:val="000978F5"/>
    <w:rsid w:val="000A0B19"/>
    <w:rsid w:val="000A24A9"/>
    <w:rsid w:val="000A3E46"/>
    <w:rsid w:val="000A49D3"/>
    <w:rsid w:val="000B14AD"/>
    <w:rsid w:val="000B15CD"/>
    <w:rsid w:val="000B35EB"/>
    <w:rsid w:val="000B3719"/>
    <w:rsid w:val="000B6E49"/>
    <w:rsid w:val="000C5F9F"/>
    <w:rsid w:val="000D033F"/>
    <w:rsid w:val="000D05EF"/>
    <w:rsid w:val="000D081D"/>
    <w:rsid w:val="000E0BC4"/>
    <w:rsid w:val="000E2261"/>
    <w:rsid w:val="000E7118"/>
    <w:rsid w:val="000E78B7"/>
    <w:rsid w:val="000F21C1"/>
    <w:rsid w:val="000F29C1"/>
    <w:rsid w:val="000F5B84"/>
    <w:rsid w:val="0010260D"/>
    <w:rsid w:val="001031F5"/>
    <w:rsid w:val="0010745C"/>
    <w:rsid w:val="0011242F"/>
    <w:rsid w:val="00113ED4"/>
    <w:rsid w:val="0012119D"/>
    <w:rsid w:val="001244DA"/>
    <w:rsid w:val="00132CEB"/>
    <w:rsid w:val="001339B0"/>
    <w:rsid w:val="00134429"/>
    <w:rsid w:val="0013534C"/>
    <w:rsid w:val="00135B50"/>
    <w:rsid w:val="0013795B"/>
    <w:rsid w:val="00141F17"/>
    <w:rsid w:val="00142B62"/>
    <w:rsid w:val="00142B7E"/>
    <w:rsid w:val="001441B7"/>
    <w:rsid w:val="001446F7"/>
    <w:rsid w:val="00146E96"/>
    <w:rsid w:val="00150195"/>
    <w:rsid w:val="001516CB"/>
    <w:rsid w:val="00152336"/>
    <w:rsid w:val="001523C4"/>
    <w:rsid w:val="00157B8B"/>
    <w:rsid w:val="00166C2F"/>
    <w:rsid w:val="00170592"/>
    <w:rsid w:val="001809D7"/>
    <w:rsid w:val="00182C05"/>
    <w:rsid w:val="00182EAC"/>
    <w:rsid w:val="00182FA4"/>
    <w:rsid w:val="00183CE4"/>
    <w:rsid w:val="00191881"/>
    <w:rsid w:val="001939E1"/>
    <w:rsid w:val="00194C3E"/>
    <w:rsid w:val="00195382"/>
    <w:rsid w:val="001979C7"/>
    <w:rsid w:val="001A591E"/>
    <w:rsid w:val="001A6F98"/>
    <w:rsid w:val="001B25F4"/>
    <w:rsid w:val="001B2CB6"/>
    <w:rsid w:val="001C1715"/>
    <w:rsid w:val="001C61C5"/>
    <w:rsid w:val="001C6494"/>
    <w:rsid w:val="001C69C4"/>
    <w:rsid w:val="001D1295"/>
    <w:rsid w:val="001D37EF"/>
    <w:rsid w:val="001D681A"/>
    <w:rsid w:val="001D729F"/>
    <w:rsid w:val="001E3590"/>
    <w:rsid w:val="001E3D8B"/>
    <w:rsid w:val="001E48E3"/>
    <w:rsid w:val="001E7407"/>
    <w:rsid w:val="001F5B44"/>
    <w:rsid w:val="001F5D32"/>
    <w:rsid w:val="001F5D5E"/>
    <w:rsid w:val="001F6219"/>
    <w:rsid w:val="001F6CD4"/>
    <w:rsid w:val="002029EE"/>
    <w:rsid w:val="00206C4D"/>
    <w:rsid w:val="002079B7"/>
    <w:rsid w:val="00211284"/>
    <w:rsid w:val="00215AF1"/>
    <w:rsid w:val="002200EA"/>
    <w:rsid w:val="0022175C"/>
    <w:rsid w:val="002321E8"/>
    <w:rsid w:val="00232984"/>
    <w:rsid w:val="00237C31"/>
    <w:rsid w:val="0024010F"/>
    <w:rsid w:val="00240749"/>
    <w:rsid w:val="00243018"/>
    <w:rsid w:val="00247AEF"/>
    <w:rsid w:val="00251ED2"/>
    <w:rsid w:val="002564A4"/>
    <w:rsid w:val="00256636"/>
    <w:rsid w:val="002630CA"/>
    <w:rsid w:val="0026736C"/>
    <w:rsid w:val="002707CD"/>
    <w:rsid w:val="0027325B"/>
    <w:rsid w:val="00281308"/>
    <w:rsid w:val="00281AEE"/>
    <w:rsid w:val="00284719"/>
    <w:rsid w:val="00297ECB"/>
    <w:rsid w:val="002A506E"/>
    <w:rsid w:val="002A7BCF"/>
    <w:rsid w:val="002C3FD1"/>
    <w:rsid w:val="002C4E06"/>
    <w:rsid w:val="002D043A"/>
    <w:rsid w:val="002D0A84"/>
    <w:rsid w:val="002D266B"/>
    <w:rsid w:val="002D3857"/>
    <w:rsid w:val="002D43A4"/>
    <w:rsid w:val="002D6224"/>
    <w:rsid w:val="002D67E8"/>
    <w:rsid w:val="002E0651"/>
    <w:rsid w:val="002E286D"/>
    <w:rsid w:val="002E6440"/>
    <w:rsid w:val="002F0667"/>
    <w:rsid w:val="002F186E"/>
    <w:rsid w:val="002F5727"/>
    <w:rsid w:val="00301AC8"/>
    <w:rsid w:val="00304F8B"/>
    <w:rsid w:val="0030640B"/>
    <w:rsid w:val="003064D8"/>
    <w:rsid w:val="00307512"/>
    <w:rsid w:val="00313EE4"/>
    <w:rsid w:val="00316348"/>
    <w:rsid w:val="003218F9"/>
    <w:rsid w:val="00325C0A"/>
    <w:rsid w:val="0033005C"/>
    <w:rsid w:val="00335456"/>
    <w:rsid w:val="00335BC6"/>
    <w:rsid w:val="003364C4"/>
    <w:rsid w:val="003415D3"/>
    <w:rsid w:val="0034248F"/>
    <w:rsid w:val="00343D01"/>
    <w:rsid w:val="00344338"/>
    <w:rsid w:val="00344701"/>
    <w:rsid w:val="00352B0F"/>
    <w:rsid w:val="003551C7"/>
    <w:rsid w:val="00355410"/>
    <w:rsid w:val="00360459"/>
    <w:rsid w:val="00364F0E"/>
    <w:rsid w:val="00365E41"/>
    <w:rsid w:val="003714EC"/>
    <w:rsid w:val="00377EB3"/>
    <w:rsid w:val="0038049F"/>
    <w:rsid w:val="0038691F"/>
    <w:rsid w:val="00391C0C"/>
    <w:rsid w:val="0039294F"/>
    <w:rsid w:val="003A2D89"/>
    <w:rsid w:val="003A4D1F"/>
    <w:rsid w:val="003A590A"/>
    <w:rsid w:val="003B3646"/>
    <w:rsid w:val="003C12FE"/>
    <w:rsid w:val="003C2274"/>
    <w:rsid w:val="003C6231"/>
    <w:rsid w:val="003C7BD0"/>
    <w:rsid w:val="003C7F9F"/>
    <w:rsid w:val="003D0BFE"/>
    <w:rsid w:val="003D3084"/>
    <w:rsid w:val="003D34D7"/>
    <w:rsid w:val="003D4259"/>
    <w:rsid w:val="003D5700"/>
    <w:rsid w:val="003E183E"/>
    <w:rsid w:val="003E341B"/>
    <w:rsid w:val="003E4D00"/>
    <w:rsid w:val="003F28BC"/>
    <w:rsid w:val="00410862"/>
    <w:rsid w:val="004116CD"/>
    <w:rsid w:val="00417532"/>
    <w:rsid w:val="00417EB9"/>
    <w:rsid w:val="004203CA"/>
    <w:rsid w:val="00424534"/>
    <w:rsid w:val="00424CA9"/>
    <w:rsid w:val="004276DF"/>
    <w:rsid w:val="00431E9B"/>
    <w:rsid w:val="004379E3"/>
    <w:rsid w:val="00437E87"/>
    <w:rsid w:val="0044015E"/>
    <w:rsid w:val="0044291A"/>
    <w:rsid w:val="00443148"/>
    <w:rsid w:val="00447809"/>
    <w:rsid w:val="00457979"/>
    <w:rsid w:val="00460A34"/>
    <w:rsid w:val="00467661"/>
    <w:rsid w:val="00472DBE"/>
    <w:rsid w:val="004749E7"/>
    <w:rsid w:val="00474A19"/>
    <w:rsid w:val="00477830"/>
    <w:rsid w:val="00480BB0"/>
    <w:rsid w:val="00487764"/>
    <w:rsid w:val="00490D54"/>
    <w:rsid w:val="00491E2A"/>
    <w:rsid w:val="00494305"/>
    <w:rsid w:val="004947A2"/>
    <w:rsid w:val="004951EF"/>
    <w:rsid w:val="00496F97"/>
    <w:rsid w:val="004A23DC"/>
    <w:rsid w:val="004A4231"/>
    <w:rsid w:val="004A78E0"/>
    <w:rsid w:val="004B149E"/>
    <w:rsid w:val="004B6C48"/>
    <w:rsid w:val="004C3385"/>
    <w:rsid w:val="004C4E59"/>
    <w:rsid w:val="004C6809"/>
    <w:rsid w:val="004D4B19"/>
    <w:rsid w:val="004D6E62"/>
    <w:rsid w:val="004E063A"/>
    <w:rsid w:val="004E1307"/>
    <w:rsid w:val="004E498B"/>
    <w:rsid w:val="004E530A"/>
    <w:rsid w:val="004E7BEC"/>
    <w:rsid w:val="004F3A8C"/>
    <w:rsid w:val="004F6038"/>
    <w:rsid w:val="00503EC6"/>
    <w:rsid w:val="00505D3D"/>
    <w:rsid w:val="00506AF6"/>
    <w:rsid w:val="00510F3F"/>
    <w:rsid w:val="0051232F"/>
    <w:rsid w:val="005150A7"/>
    <w:rsid w:val="00516B8D"/>
    <w:rsid w:val="005233AE"/>
    <w:rsid w:val="00525780"/>
    <w:rsid w:val="00526545"/>
    <w:rsid w:val="0053001C"/>
    <w:rsid w:val="005303C8"/>
    <w:rsid w:val="00536307"/>
    <w:rsid w:val="00537FBC"/>
    <w:rsid w:val="00541EBC"/>
    <w:rsid w:val="00550F30"/>
    <w:rsid w:val="00554826"/>
    <w:rsid w:val="00562877"/>
    <w:rsid w:val="00571E46"/>
    <w:rsid w:val="005734D4"/>
    <w:rsid w:val="00574257"/>
    <w:rsid w:val="005756C1"/>
    <w:rsid w:val="005801D9"/>
    <w:rsid w:val="00580C9B"/>
    <w:rsid w:val="0058192B"/>
    <w:rsid w:val="00584811"/>
    <w:rsid w:val="00585784"/>
    <w:rsid w:val="0058793E"/>
    <w:rsid w:val="0059049F"/>
    <w:rsid w:val="00591E31"/>
    <w:rsid w:val="0059331C"/>
    <w:rsid w:val="00593AA6"/>
    <w:rsid w:val="00594161"/>
    <w:rsid w:val="00594749"/>
    <w:rsid w:val="005A2ACC"/>
    <w:rsid w:val="005A3A8F"/>
    <w:rsid w:val="005A4438"/>
    <w:rsid w:val="005A65D5"/>
    <w:rsid w:val="005A6C1B"/>
    <w:rsid w:val="005A7A15"/>
    <w:rsid w:val="005B0937"/>
    <w:rsid w:val="005B4067"/>
    <w:rsid w:val="005C1178"/>
    <w:rsid w:val="005C2754"/>
    <w:rsid w:val="005C2C89"/>
    <w:rsid w:val="005C2D26"/>
    <w:rsid w:val="005C3F41"/>
    <w:rsid w:val="005C48B1"/>
    <w:rsid w:val="005D1D92"/>
    <w:rsid w:val="005D1DCD"/>
    <w:rsid w:val="005D23BE"/>
    <w:rsid w:val="005D2D09"/>
    <w:rsid w:val="005F06E8"/>
    <w:rsid w:val="005F4A81"/>
    <w:rsid w:val="00600219"/>
    <w:rsid w:val="00604F2A"/>
    <w:rsid w:val="00604F4A"/>
    <w:rsid w:val="00607C3E"/>
    <w:rsid w:val="00617472"/>
    <w:rsid w:val="00620076"/>
    <w:rsid w:val="006224B1"/>
    <w:rsid w:val="0062429D"/>
    <w:rsid w:val="0062438A"/>
    <w:rsid w:val="0062704E"/>
    <w:rsid w:val="006273BE"/>
    <w:rsid w:val="00627E0A"/>
    <w:rsid w:val="006303E3"/>
    <w:rsid w:val="00641388"/>
    <w:rsid w:val="00642010"/>
    <w:rsid w:val="0064530D"/>
    <w:rsid w:val="006504D5"/>
    <w:rsid w:val="0065488B"/>
    <w:rsid w:val="00655D3D"/>
    <w:rsid w:val="00665D78"/>
    <w:rsid w:val="006669D5"/>
    <w:rsid w:val="00666A09"/>
    <w:rsid w:val="00670062"/>
    <w:rsid w:val="006704B3"/>
    <w:rsid w:val="006707B2"/>
    <w:rsid w:val="00670EA1"/>
    <w:rsid w:val="006765D5"/>
    <w:rsid w:val="00677CC2"/>
    <w:rsid w:val="006814A8"/>
    <w:rsid w:val="006817F5"/>
    <w:rsid w:val="00681F8B"/>
    <w:rsid w:val="00684D78"/>
    <w:rsid w:val="0068744B"/>
    <w:rsid w:val="006905DE"/>
    <w:rsid w:val="00691E16"/>
    <w:rsid w:val="0069207B"/>
    <w:rsid w:val="00692BFD"/>
    <w:rsid w:val="0069408C"/>
    <w:rsid w:val="00694E6D"/>
    <w:rsid w:val="00695A3E"/>
    <w:rsid w:val="006A154F"/>
    <w:rsid w:val="006A437B"/>
    <w:rsid w:val="006B5789"/>
    <w:rsid w:val="006C30C5"/>
    <w:rsid w:val="006C3653"/>
    <w:rsid w:val="006C507A"/>
    <w:rsid w:val="006C5CDD"/>
    <w:rsid w:val="006C7F8C"/>
    <w:rsid w:val="006D142E"/>
    <w:rsid w:val="006E2E1C"/>
    <w:rsid w:val="006E6246"/>
    <w:rsid w:val="006E69C2"/>
    <w:rsid w:val="006E6DCC"/>
    <w:rsid w:val="006E6E00"/>
    <w:rsid w:val="006F1A00"/>
    <w:rsid w:val="006F318F"/>
    <w:rsid w:val="006F390D"/>
    <w:rsid w:val="006F45CA"/>
    <w:rsid w:val="006F595B"/>
    <w:rsid w:val="006F5D17"/>
    <w:rsid w:val="006F7361"/>
    <w:rsid w:val="006F7D48"/>
    <w:rsid w:val="0070017E"/>
    <w:rsid w:val="00700B2C"/>
    <w:rsid w:val="007050A2"/>
    <w:rsid w:val="00713084"/>
    <w:rsid w:val="0071448F"/>
    <w:rsid w:val="0071499E"/>
    <w:rsid w:val="00714F20"/>
    <w:rsid w:val="0071590F"/>
    <w:rsid w:val="00715914"/>
    <w:rsid w:val="00715D5E"/>
    <w:rsid w:val="0071659B"/>
    <w:rsid w:val="00720E42"/>
    <w:rsid w:val="0072147A"/>
    <w:rsid w:val="00723791"/>
    <w:rsid w:val="00730942"/>
    <w:rsid w:val="00731E00"/>
    <w:rsid w:val="007440B7"/>
    <w:rsid w:val="00745E80"/>
    <w:rsid w:val="00747C05"/>
    <w:rsid w:val="007500C8"/>
    <w:rsid w:val="00756272"/>
    <w:rsid w:val="00762D38"/>
    <w:rsid w:val="00763E1E"/>
    <w:rsid w:val="007661D8"/>
    <w:rsid w:val="007715C9"/>
    <w:rsid w:val="00771613"/>
    <w:rsid w:val="007716A8"/>
    <w:rsid w:val="00771A5E"/>
    <w:rsid w:val="00774EDD"/>
    <w:rsid w:val="007757EC"/>
    <w:rsid w:val="0078011C"/>
    <w:rsid w:val="007802AB"/>
    <w:rsid w:val="00783736"/>
    <w:rsid w:val="00783E89"/>
    <w:rsid w:val="00793263"/>
    <w:rsid w:val="00793915"/>
    <w:rsid w:val="00795866"/>
    <w:rsid w:val="007A656F"/>
    <w:rsid w:val="007A7B72"/>
    <w:rsid w:val="007B13E2"/>
    <w:rsid w:val="007B3652"/>
    <w:rsid w:val="007B3795"/>
    <w:rsid w:val="007B45B1"/>
    <w:rsid w:val="007B4C92"/>
    <w:rsid w:val="007B66E6"/>
    <w:rsid w:val="007C2253"/>
    <w:rsid w:val="007C343A"/>
    <w:rsid w:val="007C5FDD"/>
    <w:rsid w:val="007D1046"/>
    <w:rsid w:val="007D7671"/>
    <w:rsid w:val="007D7911"/>
    <w:rsid w:val="007E11B9"/>
    <w:rsid w:val="007E163D"/>
    <w:rsid w:val="007E3D73"/>
    <w:rsid w:val="007E667A"/>
    <w:rsid w:val="007F28C9"/>
    <w:rsid w:val="007F436B"/>
    <w:rsid w:val="007F51B2"/>
    <w:rsid w:val="007F7B0E"/>
    <w:rsid w:val="00802871"/>
    <w:rsid w:val="0080349D"/>
    <w:rsid w:val="0080359A"/>
    <w:rsid w:val="008040DD"/>
    <w:rsid w:val="00807D62"/>
    <w:rsid w:val="008117E9"/>
    <w:rsid w:val="0081340D"/>
    <w:rsid w:val="00813FCC"/>
    <w:rsid w:val="00815BC5"/>
    <w:rsid w:val="00815C7A"/>
    <w:rsid w:val="00824498"/>
    <w:rsid w:val="00825587"/>
    <w:rsid w:val="008260D7"/>
    <w:rsid w:val="00826BD1"/>
    <w:rsid w:val="00831B4B"/>
    <w:rsid w:val="00832267"/>
    <w:rsid w:val="00833B91"/>
    <w:rsid w:val="00834859"/>
    <w:rsid w:val="008365E5"/>
    <w:rsid w:val="0084208C"/>
    <w:rsid w:val="00850046"/>
    <w:rsid w:val="00852010"/>
    <w:rsid w:val="00854D0B"/>
    <w:rsid w:val="00856A31"/>
    <w:rsid w:val="00857039"/>
    <w:rsid w:val="00860B4E"/>
    <w:rsid w:val="00861378"/>
    <w:rsid w:val="00867B37"/>
    <w:rsid w:val="008731A0"/>
    <w:rsid w:val="008754D0"/>
    <w:rsid w:val="00875D13"/>
    <w:rsid w:val="00876D89"/>
    <w:rsid w:val="00880878"/>
    <w:rsid w:val="00881140"/>
    <w:rsid w:val="00881923"/>
    <w:rsid w:val="008855C9"/>
    <w:rsid w:val="00885BFB"/>
    <w:rsid w:val="00886456"/>
    <w:rsid w:val="0089029F"/>
    <w:rsid w:val="00896176"/>
    <w:rsid w:val="008A12F5"/>
    <w:rsid w:val="008A46E1"/>
    <w:rsid w:val="008A4F43"/>
    <w:rsid w:val="008A75B6"/>
    <w:rsid w:val="008B16EF"/>
    <w:rsid w:val="008B2706"/>
    <w:rsid w:val="008B4BA0"/>
    <w:rsid w:val="008C25AE"/>
    <w:rsid w:val="008C2EAC"/>
    <w:rsid w:val="008C3379"/>
    <w:rsid w:val="008C5A19"/>
    <w:rsid w:val="008D0EE0"/>
    <w:rsid w:val="008D6853"/>
    <w:rsid w:val="008E0027"/>
    <w:rsid w:val="008E31A1"/>
    <w:rsid w:val="008E6067"/>
    <w:rsid w:val="008E6610"/>
    <w:rsid w:val="008F3675"/>
    <w:rsid w:val="008F54E7"/>
    <w:rsid w:val="00902E57"/>
    <w:rsid w:val="00903422"/>
    <w:rsid w:val="00904002"/>
    <w:rsid w:val="00905A44"/>
    <w:rsid w:val="00906CEE"/>
    <w:rsid w:val="0091168B"/>
    <w:rsid w:val="00916E8D"/>
    <w:rsid w:val="009228CB"/>
    <w:rsid w:val="00922BC7"/>
    <w:rsid w:val="00923013"/>
    <w:rsid w:val="009254C3"/>
    <w:rsid w:val="00926D2B"/>
    <w:rsid w:val="00932377"/>
    <w:rsid w:val="00932CFA"/>
    <w:rsid w:val="00932D75"/>
    <w:rsid w:val="00935FDC"/>
    <w:rsid w:val="00941236"/>
    <w:rsid w:val="00942036"/>
    <w:rsid w:val="009420F1"/>
    <w:rsid w:val="00943FD5"/>
    <w:rsid w:val="009464C5"/>
    <w:rsid w:val="0094797D"/>
    <w:rsid w:val="00947D5A"/>
    <w:rsid w:val="00950B99"/>
    <w:rsid w:val="00951A87"/>
    <w:rsid w:val="009532A5"/>
    <w:rsid w:val="009545BD"/>
    <w:rsid w:val="00957ECA"/>
    <w:rsid w:val="009646D7"/>
    <w:rsid w:val="00964CF0"/>
    <w:rsid w:val="009713DE"/>
    <w:rsid w:val="00973DC6"/>
    <w:rsid w:val="00977806"/>
    <w:rsid w:val="00982242"/>
    <w:rsid w:val="0098609F"/>
    <w:rsid w:val="009868E9"/>
    <w:rsid w:val="009900A3"/>
    <w:rsid w:val="009941FE"/>
    <w:rsid w:val="00994EB3"/>
    <w:rsid w:val="00995247"/>
    <w:rsid w:val="00995433"/>
    <w:rsid w:val="00995BC5"/>
    <w:rsid w:val="009A4371"/>
    <w:rsid w:val="009A5AFA"/>
    <w:rsid w:val="009A7C1F"/>
    <w:rsid w:val="009B771B"/>
    <w:rsid w:val="009C215C"/>
    <w:rsid w:val="009C3413"/>
    <w:rsid w:val="009D0C05"/>
    <w:rsid w:val="009D3F63"/>
    <w:rsid w:val="009E3D4E"/>
    <w:rsid w:val="009E72D3"/>
    <w:rsid w:val="009F13F4"/>
    <w:rsid w:val="009F49B2"/>
    <w:rsid w:val="009F69F1"/>
    <w:rsid w:val="009F7A2F"/>
    <w:rsid w:val="00A027E5"/>
    <w:rsid w:val="00A0441E"/>
    <w:rsid w:val="00A06CA5"/>
    <w:rsid w:val="00A12128"/>
    <w:rsid w:val="00A127E7"/>
    <w:rsid w:val="00A1726D"/>
    <w:rsid w:val="00A21B5F"/>
    <w:rsid w:val="00A22C98"/>
    <w:rsid w:val="00A231E2"/>
    <w:rsid w:val="00A252F1"/>
    <w:rsid w:val="00A369E3"/>
    <w:rsid w:val="00A57600"/>
    <w:rsid w:val="00A64396"/>
    <w:rsid w:val="00A64912"/>
    <w:rsid w:val="00A70A74"/>
    <w:rsid w:val="00A72548"/>
    <w:rsid w:val="00A75A0B"/>
    <w:rsid w:val="00A75B54"/>
    <w:rsid w:val="00A75FE9"/>
    <w:rsid w:val="00A800DE"/>
    <w:rsid w:val="00A8241B"/>
    <w:rsid w:val="00A913B4"/>
    <w:rsid w:val="00A928E3"/>
    <w:rsid w:val="00A9393E"/>
    <w:rsid w:val="00A94216"/>
    <w:rsid w:val="00A97C65"/>
    <w:rsid w:val="00AA2BBD"/>
    <w:rsid w:val="00AA2CB1"/>
    <w:rsid w:val="00AA7A1C"/>
    <w:rsid w:val="00AC40D2"/>
    <w:rsid w:val="00AC73ED"/>
    <w:rsid w:val="00AC7B08"/>
    <w:rsid w:val="00AD53CC"/>
    <w:rsid w:val="00AD5641"/>
    <w:rsid w:val="00AD7A13"/>
    <w:rsid w:val="00AE669E"/>
    <w:rsid w:val="00AE6A5E"/>
    <w:rsid w:val="00AE7265"/>
    <w:rsid w:val="00AF06CF"/>
    <w:rsid w:val="00AF5835"/>
    <w:rsid w:val="00B02230"/>
    <w:rsid w:val="00B0350B"/>
    <w:rsid w:val="00B05E22"/>
    <w:rsid w:val="00B07CDB"/>
    <w:rsid w:val="00B12099"/>
    <w:rsid w:val="00B12ED7"/>
    <w:rsid w:val="00B14A2D"/>
    <w:rsid w:val="00B16A31"/>
    <w:rsid w:val="00B16C72"/>
    <w:rsid w:val="00B16D41"/>
    <w:rsid w:val="00B17DFD"/>
    <w:rsid w:val="00B21768"/>
    <w:rsid w:val="00B243AC"/>
    <w:rsid w:val="00B25306"/>
    <w:rsid w:val="00B272DF"/>
    <w:rsid w:val="00B27831"/>
    <w:rsid w:val="00B308FE"/>
    <w:rsid w:val="00B33709"/>
    <w:rsid w:val="00B33B3C"/>
    <w:rsid w:val="00B36392"/>
    <w:rsid w:val="00B3685A"/>
    <w:rsid w:val="00B418CB"/>
    <w:rsid w:val="00B44276"/>
    <w:rsid w:val="00B44F78"/>
    <w:rsid w:val="00B4644E"/>
    <w:rsid w:val="00B4727F"/>
    <w:rsid w:val="00B47444"/>
    <w:rsid w:val="00B47D8B"/>
    <w:rsid w:val="00B50ADC"/>
    <w:rsid w:val="00B528A6"/>
    <w:rsid w:val="00B54C0A"/>
    <w:rsid w:val="00B566B1"/>
    <w:rsid w:val="00B601A4"/>
    <w:rsid w:val="00B616DB"/>
    <w:rsid w:val="00B62662"/>
    <w:rsid w:val="00B63834"/>
    <w:rsid w:val="00B661D6"/>
    <w:rsid w:val="00B67071"/>
    <w:rsid w:val="00B714F2"/>
    <w:rsid w:val="00B73647"/>
    <w:rsid w:val="00B80199"/>
    <w:rsid w:val="00B81C2E"/>
    <w:rsid w:val="00B81DAD"/>
    <w:rsid w:val="00B824E9"/>
    <w:rsid w:val="00B83204"/>
    <w:rsid w:val="00B856E7"/>
    <w:rsid w:val="00B869EF"/>
    <w:rsid w:val="00B926EB"/>
    <w:rsid w:val="00B93212"/>
    <w:rsid w:val="00B93F53"/>
    <w:rsid w:val="00B97BDE"/>
    <w:rsid w:val="00BA220B"/>
    <w:rsid w:val="00BA3A57"/>
    <w:rsid w:val="00BA3FED"/>
    <w:rsid w:val="00BA5DFA"/>
    <w:rsid w:val="00BA712F"/>
    <w:rsid w:val="00BA72C4"/>
    <w:rsid w:val="00BB1533"/>
    <w:rsid w:val="00BB29D5"/>
    <w:rsid w:val="00BB4E1A"/>
    <w:rsid w:val="00BB6030"/>
    <w:rsid w:val="00BC015E"/>
    <w:rsid w:val="00BC76AC"/>
    <w:rsid w:val="00BD08C0"/>
    <w:rsid w:val="00BD0ECB"/>
    <w:rsid w:val="00BD3E27"/>
    <w:rsid w:val="00BE2155"/>
    <w:rsid w:val="00BE719A"/>
    <w:rsid w:val="00BE71AD"/>
    <w:rsid w:val="00BE720A"/>
    <w:rsid w:val="00BF0D73"/>
    <w:rsid w:val="00BF2465"/>
    <w:rsid w:val="00BF71C9"/>
    <w:rsid w:val="00BF7951"/>
    <w:rsid w:val="00C06FBA"/>
    <w:rsid w:val="00C12131"/>
    <w:rsid w:val="00C133BA"/>
    <w:rsid w:val="00C16619"/>
    <w:rsid w:val="00C218DD"/>
    <w:rsid w:val="00C25E7F"/>
    <w:rsid w:val="00C27239"/>
    <w:rsid w:val="00C2746F"/>
    <w:rsid w:val="00C2776D"/>
    <w:rsid w:val="00C323D6"/>
    <w:rsid w:val="00C324A0"/>
    <w:rsid w:val="00C33A88"/>
    <w:rsid w:val="00C42BF8"/>
    <w:rsid w:val="00C50043"/>
    <w:rsid w:val="00C52EE2"/>
    <w:rsid w:val="00C54CAA"/>
    <w:rsid w:val="00C562C7"/>
    <w:rsid w:val="00C64B32"/>
    <w:rsid w:val="00C64FCF"/>
    <w:rsid w:val="00C70F6A"/>
    <w:rsid w:val="00C72BEB"/>
    <w:rsid w:val="00C73B6F"/>
    <w:rsid w:val="00C7573B"/>
    <w:rsid w:val="00C92105"/>
    <w:rsid w:val="00C96D4F"/>
    <w:rsid w:val="00C97A54"/>
    <w:rsid w:val="00CA1EA4"/>
    <w:rsid w:val="00CA5B23"/>
    <w:rsid w:val="00CB1095"/>
    <w:rsid w:val="00CB3ACF"/>
    <w:rsid w:val="00CB43B5"/>
    <w:rsid w:val="00CB602E"/>
    <w:rsid w:val="00CB7E90"/>
    <w:rsid w:val="00CC6838"/>
    <w:rsid w:val="00CC77B2"/>
    <w:rsid w:val="00CD0A7C"/>
    <w:rsid w:val="00CD3A74"/>
    <w:rsid w:val="00CD757E"/>
    <w:rsid w:val="00CE051D"/>
    <w:rsid w:val="00CE1335"/>
    <w:rsid w:val="00CE1CF1"/>
    <w:rsid w:val="00CE493D"/>
    <w:rsid w:val="00CF07FA"/>
    <w:rsid w:val="00CF0BB2"/>
    <w:rsid w:val="00CF0CFA"/>
    <w:rsid w:val="00CF0F5C"/>
    <w:rsid w:val="00CF0F68"/>
    <w:rsid w:val="00CF269A"/>
    <w:rsid w:val="00CF322E"/>
    <w:rsid w:val="00CF3EE8"/>
    <w:rsid w:val="00CF6488"/>
    <w:rsid w:val="00CF7FE8"/>
    <w:rsid w:val="00D0669A"/>
    <w:rsid w:val="00D13441"/>
    <w:rsid w:val="00D150E7"/>
    <w:rsid w:val="00D20396"/>
    <w:rsid w:val="00D24190"/>
    <w:rsid w:val="00D32EA1"/>
    <w:rsid w:val="00D33EE5"/>
    <w:rsid w:val="00D34832"/>
    <w:rsid w:val="00D51A22"/>
    <w:rsid w:val="00D52DC2"/>
    <w:rsid w:val="00D53BCC"/>
    <w:rsid w:val="00D54C9E"/>
    <w:rsid w:val="00D56237"/>
    <w:rsid w:val="00D56285"/>
    <w:rsid w:val="00D56422"/>
    <w:rsid w:val="00D605EB"/>
    <w:rsid w:val="00D613E7"/>
    <w:rsid w:val="00D615A9"/>
    <w:rsid w:val="00D6537E"/>
    <w:rsid w:val="00D67DC3"/>
    <w:rsid w:val="00D70DFB"/>
    <w:rsid w:val="00D72646"/>
    <w:rsid w:val="00D766DF"/>
    <w:rsid w:val="00D8206C"/>
    <w:rsid w:val="00D84508"/>
    <w:rsid w:val="00D90344"/>
    <w:rsid w:val="00D910DF"/>
    <w:rsid w:val="00D91F10"/>
    <w:rsid w:val="00D937FC"/>
    <w:rsid w:val="00D93DB7"/>
    <w:rsid w:val="00D9751B"/>
    <w:rsid w:val="00D979C7"/>
    <w:rsid w:val="00DA186E"/>
    <w:rsid w:val="00DA4116"/>
    <w:rsid w:val="00DA56DD"/>
    <w:rsid w:val="00DA64BC"/>
    <w:rsid w:val="00DB251C"/>
    <w:rsid w:val="00DB2569"/>
    <w:rsid w:val="00DB2C9E"/>
    <w:rsid w:val="00DB4630"/>
    <w:rsid w:val="00DC2A36"/>
    <w:rsid w:val="00DC41BE"/>
    <w:rsid w:val="00DC4F88"/>
    <w:rsid w:val="00DC51B5"/>
    <w:rsid w:val="00DD22E6"/>
    <w:rsid w:val="00DD2D35"/>
    <w:rsid w:val="00DD54CD"/>
    <w:rsid w:val="00DE08BC"/>
    <w:rsid w:val="00DE107C"/>
    <w:rsid w:val="00DF2388"/>
    <w:rsid w:val="00DF7222"/>
    <w:rsid w:val="00E031A5"/>
    <w:rsid w:val="00E05704"/>
    <w:rsid w:val="00E05CB5"/>
    <w:rsid w:val="00E07920"/>
    <w:rsid w:val="00E13901"/>
    <w:rsid w:val="00E14961"/>
    <w:rsid w:val="00E171A2"/>
    <w:rsid w:val="00E211F6"/>
    <w:rsid w:val="00E23301"/>
    <w:rsid w:val="00E27ECC"/>
    <w:rsid w:val="00E33196"/>
    <w:rsid w:val="00E3342D"/>
    <w:rsid w:val="00E338EF"/>
    <w:rsid w:val="00E34161"/>
    <w:rsid w:val="00E462F2"/>
    <w:rsid w:val="00E47824"/>
    <w:rsid w:val="00E544BB"/>
    <w:rsid w:val="00E5722B"/>
    <w:rsid w:val="00E6260D"/>
    <w:rsid w:val="00E73D06"/>
    <w:rsid w:val="00E74DC7"/>
    <w:rsid w:val="00E8075A"/>
    <w:rsid w:val="00E82CE9"/>
    <w:rsid w:val="00E85112"/>
    <w:rsid w:val="00E85F33"/>
    <w:rsid w:val="00E90B2D"/>
    <w:rsid w:val="00E91908"/>
    <w:rsid w:val="00E91D70"/>
    <w:rsid w:val="00E940D8"/>
    <w:rsid w:val="00E94D5E"/>
    <w:rsid w:val="00EA4D9D"/>
    <w:rsid w:val="00EA4F07"/>
    <w:rsid w:val="00EA5A71"/>
    <w:rsid w:val="00EA7100"/>
    <w:rsid w:val="00EA74EE"/>
    <w:rsid w:val="00EA7D68"/>
    <w:rsid w:val="00EA7F9F"/>
    <w:rsid w:val="00EB1274"/>
    <w:rsid w:val="00EB6695"/>
    <w:rsid w:val="00EC0EB2"/>
    <w:rsid w:val="00EC5D82"/>
    <w:rsid w:val="00ED2BB6"/>
    <w:rsid w:val="00ED2BFB"/>
    <w:rsid w:val="00ED34E1"/>
    <w:rsid w:val="00ED3B8D"/>
    <w:rsid w:val="00ED5670"/>
    <w:rsid w:val="00EE5E36"/>
    <w:rsid w:val="00EF2E3A"/>
    <w:rsid w:val="00EF3AF1"/>
    <w:rsid w:val="00EF3F5F"/>
    <w:rsid w:val="00EF736F"/>
    <w:rsid w:val="00F02C7C"/>
    <w:rsid w:val="00F057D5"/>
    <w:rsid w:val="00F072A7"/>
    <w:rsid w:val="00F078DC"/>
    <w:rsid w:val="00F1289A"/>
    <w:rsid w:val="00F16327"/>
    <w:rsid w:val="00F1745F"/>
    <w:rsid w:val="00F17CC6"/>
    <w:rsid w:val="00F27438"/>
    <w:rsid w:val="00F32BA8"/>
    <w:rsid w:val="00F32EE0"/>
    <w:rsid w:val="00F349F1"/>
    <w:rsid w:val="00F37F61"/>
    <w:rsid w:val="00F4350D"/>
    <w:rsid w:val="00F479C4"/>
    <w:rsid w:val="00F567F7"/>
    <w:rsid w:val="00F56F6B"/>
    <w:rsid w:val="00F62464"/>
    <w:rsid w:val="00F6696E"/>
    <w:rsid w:val="00F70ED0"/>
    <w:rsid w:val="00F714D2"/>
    <w:rsid w:val="00F72DF8"/>
    <w:rsid w:val="00F73BD6"/>
    <w:rsid w:val="00F7570C"/>
    <w:rsid w:val="00F83989"/>
    <w:rsid w:val="00F839A2"/>
    <w:rsid w:val="00F85099"/>
    <w:rsid w:val="00F86FAC"/>
    <w:rsid w:val="00F875DC"/>
    <w:rsid w:val="00F87F6A"/>
    <w:rsid w:val="00F92078"/>
    <w:rsid w:val="00F9379C"/>
    <w:rsid w:val="00F9632C"/>
    <w:rsid w:val="00FA1E52"/>
    <w:rsid w:val="00FB18A5"/>
    <w:rsid w:val="00FB2BA5"/>
    <w:rsid w:val="00FB4BB4"/>
    <w:rsid w:val="00FB5A08"/>
    <w:rsid w:val="00FB68B8"/>
    <w:rsid w:val="00FC0830"/>
    <w:rsid w:val="00FC3B35"/>
    <w:rsid w:val="00FC6A80"/>
    <w:rsid w:val="00FC6D2A"/>
    <w:rsid w:val="00FD227E"/>
    <w:rsid w:val="00FD3B4F"/>
    <w:rsid w:val="00FD7481"/>
    <w:rsid w:val="00FE4688"/>
    <w:rsid w:val="00FF5704"/>
    <w:rsid w:val="00FF75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09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10DF"/>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6F1A00"/>
    <w:pPr>
      <w:keepNext/>
      <w:keepLines/>
      <w:tabs>
        <w:tab w:val="left" w:pos="1560"/>
        <w:tab w:val="right" w:pos="827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6F1A00"/>
    <w:pPr>
      <w:tabs>
        <w:tab w:val="left" w:pos="1843"/>
        <w:tab w:val="right" w:pos="827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6F1A00"/>
    <w:pPr>
      <w:tabs>
        <w:tab w:val="left" w:pos="1985"/>
        <w:tab w:val="right" w:pos="827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6F1A00"/>
    <w:pPr>
      <w:tabs>
        <w:tab w:val="left" w:pos="426"/>
        <w:tab w:val="right" w:pos="8278"/>
      </w:tabs>
      <w:spacing w:before="40"/>
      <w:ind w:left="425" w:hanging="425"/>
    </w:pPr>
    <w:rPr>
      <w:rFonts w:ascii="Arial" w:eastAsiaTheme="majorEastAsia" w:hAnsi="Arial" w:cs="Arial"/>
      <w:noProof/>
      <w:spacing w:val="-10"/>
      <w:kern w:val="28"/>
      <w:sz w:val="22"/>
      <w:szCs w:val="22"/>
    </w:rPr>
  </w:style>
  <w:style w:type="paragraph" w:styleId="TOC5">
    <w:name w:val="toc 5"/>
    <w:basedOn w:val="Normal"/>
    <w:next w:val="Normal"/>
    <w:uiPriority w:val="39"/>
    <w:unhideWhenUsed/>
    <w:rsid w:val="00B869E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869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9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B869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9EF"/>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spacing w:line="240" w:lineRule="auto"/>
    </w:pPr>
    <w:rPr>
      <w:sz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unhideWhenUsed/>
    <w:rsid w:val="005801D9"/>
    <w:pPr>
      <w:spacing w:line="240" w:lineRule="auto"/>
    </w:pPr>
    <w:rPr>
      <w:sz w:val="20"/>
    </w:rPr>
  </w:style>
  <w:style w:type="character" w:customStyle="1" w:styleId="CommentTextChar">
    <w:name w:val="Comment Text Char"/>
    <w:basedOn w:val="DefaultParagraphFont"/>
    <w:link w:val="CommentText"/>
    <w:uiPriority w:val="99"/>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qFormat/>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customStyle="1" w:styleId="LDBullet">
    <w:name w:val="LDBullet"/>
    <w:basedOn w:val="LDNoteP1a"/>
    <w:rsid w:val="006C507A"/>
    <w:pPr>
      <w:numPr>
        <w:numId w:val="26"/>
      </w:numPr>
    </w:pPr>
  </w:style>
  <w:style w:type="paragraph" w:customStyle="1" w:styleId="LDTitle">
    <w:name w:val="LDTitle"/>
    <w:rsid w:val="009E3D4E"/>
    <w:pPr>
      <w:spacing w:before="480" w:after="480"/>
    </w:pPr>
    <w:rPr>
      <w:rFonts w:ascii="Arial" w:eastAsia="Times New Roman" w:hAnsi="Arial" w:cs="Times New Roman"/>
      <w:sz w:val="24"/>
      <w:szCs w:val="24"/>
    </w:rPr>
  </w:style>
  <w:style w:type="paragraph" w:customStyle="1" w:styleId="LDComment">
    <w:name w:val="LDComment"/>
    <w:basedOn w:val="LDBodytext"/>
    <w:rsid w:val="00922BC7"/>
    <w:pPr>
      <w:ind w:left="1276" w:hanging="1276"/>
    </w:pPr>
    <w:rPr>
      <w:b/>
      <w:i/>
    </w:rPr>
  </w:style>
  <w:style w:type="paragraph" w:customStyle="1" w:styleId="subsection">
    <w:name w:val="subsection"/>
    <w:aliases w:val="ss,Subsection"/>
    <w:basedOn w:val="Normal"/>
    <w:link w:val="subsectionChar"/>
    <w:rsid w:val="009E72D3"/>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9E72D3"/>
    <w:pPr>
      <w:spacing w:before="180" w:line="240" w:lineRule="auto"/>
      <w:ind w:left="1134"/>
    </w:pPr>
    <w:rPr>
      <w:rFonts w:eastAsia="Times New Roman" w:cs="Times New Roman"/>
      <w:lang w:eastAsia="en-AU"/>
    </w:rPr>
  </w:style>
  <w:style w:type="paragraph" w:customStyle="1" w:styleId="notetext">
    <w:name w:val="note(text)"/>
    <w:aliases w:val="n"/>
    <w:basedOn w:val="Normal"/>
    <w:link w:val="notetextChar"/>
    <w:rsid w:val="009E72D3"/>
    <w:pPr>
      <w:spacing w:before="122" w:line="198" w:lineRule="exact"/>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9E72D3"/>
    <w:rPr>
      <w:rFonts w:eastAsia="Times New Roman" w:cs="Times New Roman"/>
      <w:sz w:val="22"/>
      <w:lang w:eastAsia="en-AU"/>
    </w:rPr>
  </w:style>
  <w:style w:type="character" w:customStyle="1" w:styleId="notetextChar">
    <w:name w:val="note(text) Char"/>
    <w:aliases w:val="n Char"/>
    <w:basedOn w:val="DefaultParagraphFont"/>
    <w:link w:val="notetext"/>
    <w:rsid w:val="009E72D3"/>
    <w:rPr>
      <w:rFonts w:eastAsia="Times New Roman" w:cs="Times New Roman"/>
      <w:sz w:val="18"/>
      <w:lang w:eastAsia="en-AU"/>
    </w:rPr>
  </w:style>
  <w:style w:type="paragraph" w:styleId="ListParagraph">
    <w:name w:val="List Paragraph"/>
    <w:basedOn w:val="Normal"/>
    <w:uiPriority w:val="34"/>
    <w:qFormat/>
    <w:rsid w:val="0071659B"/>
    <w:pPr>
      <w:ind w:left="720"/>
      <w:contextualSpacing/>
    </w:pPr>
  </w:style>
  <w:style w:type="paragraph" w:customStyle="1" w:styleId="ActHead9">
    <w:name w:val="ActHead 9"/>
    <w:aliases w:val="aat"/>
    <w:basedOn w:val="Normal"/>
    <w:next w:val="ItemHead"/>
    <w:qFormat/>
    <w:rsid w:val="0071659B"/>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Item">
    <w:name w:val="Item"/>
    <w:aliases w:val="i"/>
    <w:basedOn w:val="Normal"/>
    <w:next w:val="ItemHead"/>
    <w:rsid w:val="0071659B"/>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71659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rmaltextrun">
    <w:name w:val="normaltextrun"/>
    <w:basedOn w:val="DefaultParagraphFont"/>
    <w:rsid w:val="00D67DC3"/>
  </w:style>
  <w:style w:type="character" w:customStyle="1" w:styleId="eop">
    <w:name w:val="eop"/>
    <w:basedOn w:val="DefaultParagraphFont"/>
    <w:rsid w:val="00D67DC3"/>
  </w:style>
  <w:style w:type="paragraph" w:styleId="NormalWeb">
    <w:name w:val="Normal (Web)"/>
    <w:basedOn w:val="Normal"/>
    <w:uiPriority w:val="99"/>
    <w:semiHidden/>
    <w:unhideWhenUsed/>
    <w:rsid w:val="00A75B54"/>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A027E5"/>
    <w:rPr>
      <w:sz w:val="22"/>
    </w:rPr>
  </w:style>
  <w:style w:type="character" w:styleId="Emphasis">
    <w:name w:val="Emphasis"/>
    <w:basedOn w:val="DefaultParagraphFont"/>
    <w:uiPriority w:val="20"/>
    <w:qFormat/>
    <w:rsid w:val="000853C1"/>
    <w:rPr>
      <w:i/>
      <w:iCs/>
    </w:rPr>
  </w:style>
  <w:style w:type="paragraph" w:customStyle="1" w:styleId="paragraph">
    <w:name w:val="paragraph"/>
    <w:aliases w:val="a"/>
    <w:basedOn w:val="Normal"/>
    <w:rsid w:val="004A4231"/>
    <w:pPr>
      <w:tabs>
        <w:tab w:val="right" w:pos="1531"/>
      </w:tabs>
      <w:spacing w:before="40" w:line="240" w:lineRule="auto"/>
      <w:ind w:left="1644" w:hanging="1644"/>
    </w:pPr>
    <w:rPr>
      <w:rFonts w:eastAsia="Times New Roman" w:cs="Times New Roman"/>
      <w:lang w:eastAsia="en-AU"/>
    </w:rPr>
  </w:style>
  <w:style w:type="character" w:styleId="FollowedHyperlink">
    <w:name w:val="FollowedHyperlink"/>
    <w:basedOn w:val="DefaultParagraphFont"/>
    <w:uiPriority w:val="99"/>
    <w:semiHidden/>
    <w:unhideWhenUsed/>
    <w:rsid w:val="00F839A2"/>
    <w:rPr>
      <w:color w:val="800080" w:themeColor="followedHyperlink"/>
      <w:u w:val="single"/>
    </w:rPr>
  </w:style>
  <w:style w:type="paragraph" w:styleId="Footer">
    <w:name w:val="footer"/>
    <w:basedOn w:val="Normal"/>
    <w:link w:val="FooterChar"/>
    <w:unhideWhenUsed/>
    <w:rsid w:val="00D90344"/>
    <w:pPr>
      <w:tabs>
        <w:tab w:val="center" w:pos="4513"/>
        <w:tab w:val="right" w:pos="9026"/>
      </w:tabs>
      <w:spacing w:line="240" w:lineRule="auto"/>
    </w:pPr>
  </w:style>
  <w:style w:type="character" w:customStyle="1" w:styleId="FooterChar">
    <w:name w:val="Footer Char"/>
    <w:basedOn w:val="DefaultParagraphFont"/>
    <w:link w:val="Footer"/>
    <w:rsid w:val="00D903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296880279">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835413211">
      <w:bodyDiv w:val="1"/>
      <w:marLeft w:val="0"/>
      <w:marRight w:val="0"/>
      <w:marTop w:val="0"/>
      <w:marBottom w:val="0"/>
      <w:divBdr>
        <w:top w:val="none" w:sz="0" w:space="0" w:color="auto"/>
        <w:left w:val="none" w:sz="0" w:space="0" w:color="auto"/>
        <w:bottom w:val="none" w:sz="0" w:space="0" w:color="auto"/>
        <w:right w:val="none" w:sz="0" w:space="0" w:color="auto"/>
      </w:divBdr>
    </w:div>
    <w:div w:id="1110586970">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60986414">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 w:id="17150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cid:image001.png@01D8F5E7.C3E0A6C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8F36B-7BBE-4B2F-BEF5-4737F3A3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2024-03-21T01:48:00Z</dcterms:created>
  <dcterms:modified xsi:type="dcterms:W3CDTF">2024-03-21T01:48:00Z</dcterms:modified>
</cp:coreProperties>
</file>