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Override PartName="/word/header2.xml" ContentType="application/vnd.openxmlformats-officedocument.wordprocessingml.header+xml"/>
  <Override PartName="/customXml/itemProps2.xml" ContentType="application/vnd.openxmlformats-officedocument.customXmlProperties+xml"/>
  <Override PartName="/docProps/app.xml" ContentType="application/vnd.openxmlformats-officedocument.extended-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customXml/item2.xml" ContentType="application/xml"/>
  <Override PartName="/customXml/item3.xml" ContentType="application/xml"/>
  <Override PartName="/customXml/itemProps4.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customXml/item4.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customXml/itemProps3.xml" ContentType="application/vnd.openxmlformats-officedocument.customXmlProperties+xml"/>
  <Override PartName="/docProps/custom.xml" ContentType="application/vnd.openxmlformats-officedocument.custom-properties+xml"/>
  <Override PartName="/word/header3.xml" ContentType="application/vnd.openxmlformats-officedocument.wordprocessingml.header+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B7E10" w14:textId="69EFAB63" w:rsidR="007A53DD" w:rsidRPr="00FA608D" w:rsidRDefault="002533F0" w:rsidP="00026D64">
      <w:pPr>
        <w:spacing w:before="0" w:after="120"/>
        <w:ind w:right="91"/>
        <w:jc w:val="center"/>
        <w:rPr>
          <w:color w:val="0070C0"/>
          <w:sz w:val="22"/>
          <w:szCs w:val="22"/>
        </w:rPr>
      </w:pPr>
      <w:r w:rsidRPr="00FA608D">
        <w:rPr>
          <w:b/>
          <w:sz w:val="22"/>
          <w:szCs w:val="22"/>
          <w:u w:val="single"/>
        </w:rPr>
        <w:t>EXPLANATORY STATEMENT</w:t>
      </w:r>
    </w:p>
    <w:p w14:paraId="77A59EEF" w14:textId="77777777" w:rsidR="00EC0C59" w:rsidRPr="00FA608D" w:rsidRDefault="00EC0C59" w:rsidP="002533F0">
      <w:pPr>
        <w:spacing w:before="0"/>
        <w:ind w:right="91"/>
        <w:jc w:val="center"/>
        <w:rPr>
          <w:b/>
          <w:sz w:val="22"/>
          <w:szCs w:val="22"/>
          <w:u w:val="single"/>
        </w:rPr>
      </w:pPr>
    </w:p>
    <w:p w14:paraId="54385E28" w14:textId="77777777" w:rsidR="00966756" w:rsidRPr="00FA608D" w:rsidRDefault="00C523EB" w:rsidP="002533F0">
      <w:pPr>
        <w:spacing w:before="0"/>
        <w:ind w:right="91"/>
        <w:jc w:val="center"/>
        <w:rPr>
          <w:b/>
          <w:i/>
          <w:sz w:val="22"/>
          <w:szCs w:val="22"/>
        </w:rPr>
      </w:pPr>
      <w:r w:rsidRPr="00FA608D">
        <w:rPr>
          <w:b/>
          <w:i/>
          <w:sz w:val="22"/>
          <w:szCs w:val="22"/>
        </w:rPr>
        <w:t>Social Security Act 1991</w:t>
      </w:r>
    </w:p>
    <w:p w14:paraId="11810305" w14:textId="77777777" w:rsidR="00966756" w:rsidRPr="00FA608D" w:rsidRDefault="00966756" w:rsidP="002533F0">
      <w:pPr>
        <w:spacing w:before="0"/>
        <w:ind w:right="91"/>
        <w:jc w:val="center"/>
        <w:rPr>
          <w:b/>
          <w:sz w:val="22"/>
          <w:szCs w:val="22"/>
        </w:rPr>
      </w:pPr>
    </w:p>
    <w:p w14:paraId="1D5D8C2B" w14:textId="351D0946" w:rsidR="002533F0" w:rsidRPr="00FA608D" w:rsidRDefault="00C523EB" w:rsidP="002533F0">
      <w:pPr>
        <w:spacing w:before="0"/>
        <w:ind w:right="91"/>
        <w:jc w:val="center"/>
        <w:rPr>
          <w:b/>
          <w:i/>
          <w:sz w:val="22"/>
          <w:szCs w:val="22"/>
        </w:rPr>
      </w:pPr>
      <w:r w:rsidRPr="00FA608D">
        <w:rPr>
          <w:b/>
          <w:i/>
          <w:sz w:val="22"/>
          <w:szCs w:val="22"/>
        </w:rPr>
        <w:t>Social Security (Assurances of Support) Amendment Determination 202</w:t>
      </w:r>
      <w:r w:rsidR="007471D7" w:rsidRPr="00FA608D">
        <w:rPr>
          <w:b/>
          <w:i/>
          <w:sz w:val="22"/>
          <w:szCs w:val="22"/>
        </w:rPr>
        <w:t>4</w:t>
      </w:r>
    </w:p>
    <w:p w14:paraId="28D70DB0" w14:textId="77777777" w:rsidR="002533F0" w:rsidRPr="00FA608D" w:rsidRDefault="002533F0" w:rsidP="002533F0">
      <w:pPr>
        <w:spacing w:before="0"/>
        <w:ind w:right="91"/>
        <w:jc w:val="center"/>
        <w:rPr>
          <w:i/>
          <w:sz w:val="22"/>
          <w:szCs w:val="22"/>
        </w:rPr>
      </w:pPr>
    </w:p>
    <w:p w14:paraId="5D34D807" w14:textId="77777777" w:rsidR="002533F0" w:rsidRPr="00FA608D" w:rsidRDefault="0083135C" w:rsidP="002533F0">
      <w:pPr>
        <w:spacing w:before="0"/>
        <w:ind w:right="91"/>
        <w:rPr>
          <w:b/>
          <w:sz w:val="22"/>
          <w:szCs w:val="22"/>
        </w:rPr>
      </w:pPr>
      <w:r w:rsidRPr="00FA608D">
        <w:rPr>
          <w:b/>
          <w:sz w:val="22"/>
          <w:szCs w:val="22"/>
        </w:rPr>
        <w:t>Purpose</w:t>
      </w:r>
    </w:p>
    <w:p w14:paraId="37FEF625" w14:textId="0E2F0D3A" w:rsidR="00C523EB" w:rsidRPr="00FA608D" w:rsidRDefault="00C523EB" w:rsidP="004B54CA">
      <w:pPr>
        <w:rPr>
          <w:rStyle w:val="BookTitle"/>
          <w:i w:val="0"/>
          <w:iCs w:val="0"/>
          <w:smallCaps w:val="0"/>
          <w:spacing w:val="0"/>
          <w:sz w:val="22"/>
          <w:szCs w:val="22"/>
        </w:rPr>
      </w:pPr>
      <w:r w:rsidRPr="00FA608D">
        <w:rPr>
          <w:rStyle w:val="BookTitle"/>
          <w:i w:val="0"/>
          <w:iCs w:val="0"/>
          <w:smallCaps w:val="0"/>
          <w:spacing w:val="0"/>
          <w:sz w:val="22"/>
          <w:szCs w:val="22"/>
        </w:rPr>
        <w:t xml:space="preserve">The </w:t>
      </w:r>
      <w:r w:rsidRPr="00FA608D">
        <w:rPr>
          <w:rStyle w:val="BookTitle"/>
          <w:iCs w:val="0"/>
          <w:smallCaps w:val="0"/>
          <w:spacing w:val="0"/>
          <w:sz w:val="22"/>
          <w:szCs w:val="22"/>
        </w:rPr>
        <w:t>Social Security (A</w:t>
      </w:r>
      <w:r w:rsidR="003D4595" w:rsidRPr="00FA608D">
        <w:rPr>
          <w:rStyle w:val="BookTitle"/>
          <w:iCs w:val="0"/>
          <w:smallCaps w:val="0"/>
          <w:spacing w:val="0"/>
          <w:sz w:val="22"/>
          <w:szCs w:val="22"/>
        </w:rPr>
        <w:t>ssurances of Support) Amendment</w:t>
      </w:r>
      <w:r w:rsidR="007471D7" w:rsidRPr="00FA608D">
        <w:rPr>
          <w:rStyle w:val="BookTitle"/>
          <w:iCs w:val="0"/>
          <w:smallCaps w:val="0"/>
          <w:spacing w:val="0"/>
          <w:sz w:val="22"/>
          <w:szCs w:val="22"/>
        </w:rPr>
        <w:t xml:space="preserve"> </w:t>
      </w:r>
      <w:r w:rsidRPr="00FA608D">
        <w:rPr>
          <w:rStyle w:val="BookTitle"/>
          <w:iCs w:val="0"/>
          <w:smallCaps w:val="0"/>
          <w:spacing w:val="0"/>
          <w:sz w:val="22"/>
          <w:szCs w:val="22"/>
        </w:rPr>
        <w:t>Determination 202</w:t>
      </w:r>
      <w:r w:rsidR="007471D7" w:rsidRPr="00FA608D">
        <w:rPr>
          <w:rStyle w:val="BookTitle"/>
          <w:iCs w:val="0"/>
          <w:smallCaps w:val="0"/>
          <w:spacing w:val="0"/>
          <w:sz w:val="22"/>
          <w:szCs w:val="22"/>
        </w:rPr>
        <w:t>4</w:t>
      </w:r>
      <w:r w:rsidRPr="00FA608D">
        <w:rPr>
          <w:rStyle w:val="BookTitle"/>
          <w:i w:val="0"/>
          <w:iCs w:val="0"/>
          <w:smallCaps w:val="0"/>
          <w:spacing w:val="0"/>
          <w:sz w:val="22"/>
          <w:szCs w:val="22"/>
        </w:rPr>
        <w:t xml:space="preserve"> (</w:t>
      </w:r>
      <w:r w:rsidR="003D4595" w:rsidRPr="00FA608D">
        <w:rPr>
          <w:rStyle w:val="BookTitle"/>
          <w:i w:val="0"/>
          <w:iCs w:val="0"/>
          <w:smallCaps w:val="0"/>
          <w:spacing w:val="0"/>
          <w:sz w:val="22"/>
          <w:szCs w:val="22"/>
        </w:rPr>
        <w:t>the Amendment Determination</w:t>
      </w:r>
      <w:r w:rsidRPr="00FA608D">
        <w:rPr>
          <w:rStyle w:val="BookTitle"/>
          <w:i w:val="0"/>
          <w:iCs w:val="0"/>
          <w:smallCaps w:val="0"/>
          <w:spacing w:val="0"/>
          <w:sz w:val="22"/>
          <w:szCs w:val="22"/>
        </w:rPr>
        <w:t>)</w:t>
      </w:r>
      <w:r w:rsidR="009B5312" w:rsidRPr="00FA608D">
        <w:rPr>
          <w:rStyle w:val="BookTitle"/>
          <w:i w:val="0"/>
          <w:iCs w:val="0"/>
          <w:smallCaps w:val="0"/>
          <w:spacing w:val="0"/>
          <w:sz w:val="22"/>
          <w:szCs w:val="22"/>
        </w:rPr>
        <w:t xml:space="preserve"> </w:t>
      </w:r>
      <w:r w:rsidR="003D4595" w:rsidRPr="00FA608D">
        <w:rPr>
          <w:rStyle w:val="BookTitle"/>
          <w:i w:val="0"/>
          <w:iCs w:val="0"/>
          <w:smallCaps w:val="0"/>
          <w:spacing w:val="0"/>
          <w:sz w:val="22"/>
          <w:szCs w:val="22"/>
        </w:rPr>
        <w:t xml:space="preserve">amends the </w:t>
      </w:r>
      <w:r w:rsidR="003D4595" w:rsidRPr="00FA608D">
        <w:rPr>
          <w:rStyle w:val="BookTitle"/>
          <w:iCs w:val="0"/>
          <w:smallCaps w:val="0"/>
          <w:spacing w:val="0"/>
          <w:sz w:val="22"/>
          <w:szCs w:val="22"/>
        </w:rPr>
        <w:t>Social Security (Assurances of Support) Determination 2018</w:t>
      </w:r>
      <w:r w:rsidR="003D4595" w:rsidRPr="00FA608D">
        <w:rPr>
          <w:rStyle w:val="BookTitle"/>
          <w:i w:val="0"/>
          <w:iCs w:val="0"/>
          <w:smallCaps w:val="0"/>
          <w:spacing w:val="0"/>
          <w:sz w:val="22"/>
          <w:szCs w:val="22"/>
        </w:rPr>
        <w:t xml:space="preserve"> (the Determination) to remove the self-repeal date and make minor changes to improve the administration of certain assurance of support settings.</w:t>
      </w:r>
      <w:r w:rsidR="009B5312" w:rsidRPr="00FA608D">
        <w:rPr>
          <w:rStyle w:val="BookTitle"/>
          <w:i w:val="0"/>
          <w:iCs w:val="0"/>
          <w:smallCaps w:val="0"/>
          <w:spacing w:val="0"/>
          <w:sz w:val="22"/>
          <w:szCs w:val="22"/>
        </w:rPr>
        <w:t xml:space="preserve"> </w:t>
      </w:r>
    </w:p>
    <w:p w14:paraId="32A0B3FD" w14:textId="77777777" w:rsidR="0015134A" w:rsidRPr="00FA608D" w:rsidRDefault="0015134A" w:rsidP="00C224CF">
      <w:pPr>
        <w:keepNext/>
        <w:rPr>
          <w:rStyle w:val="BookTitle"/>
          <w:b/>
          <w:i w:val="0"/>
          <w:iCs w:val="0"/>
          <w:smallCaps w:val="0"/>
          <w:spacing w:val="0"/>
          <w:sz w:val="22"/>
          <w:szCs w:val="22"/>
        </w:rPr>
      </w:pPr>
      <w:r w:rsidRPr="00FA608D">
        <w:rPr>
          <w:rStyle w:val="BookTitle"/>
          <w:b/>
          <w:i w:val="0"/>
          <w:iCs w:val="0"/>
          <w:smallCaps w:val="0"/>
          <w:spacing w:val="0"/>
          <w:sz w:val="22"/>
          <w:szCs w:val="22"/>
        </w:rPr>
        <w:t>Background</w:t>
      </w:r>
    </w:p>
    <w:p w14:paraId="074BD556" w14:textId="77777777" w:rsidR="003D4595" w:rsidRPr="00FA608D" w:rsidRDefault="003D4595" w:rsidP="003D4595">
      <w:pPr>
        <w:rPr>
          <w:rStyle w:val="BookTitle"/>
          <w:i w:val="0"/>
          <w:iCs w:val="0"/>
          <w:smallCaps w:val="0"/>
          <w:spacing w:val="0"/>
          <w:sz w:val="22"/>
          <w:szCs w:val="22"/>
        </w:rPr>
      </w:pPr>
      <w:r w:rsidRPr="00FA608D">
        <w:rPr>
          <w:rStyle w:val="BookTitle"/>
          <w:i w:val="0"/>
          <w:iCs w:val="0"/>
          <w:smallCaps w:val="0"/>
          <w:spacing w:val="0"/>
          <w:sz w:val="22"/>
          <w:szCs w:val="22"/>
        </w:rPr>
        <w:t xml:space="preserve">An assurance of support, under Chapter 2C of the </w:t>
      </w:r>
      <w:r w:rsidRPr="00FA608D">
        <w:rPr>
          <w:rStyle w:val="BookTitle"/>
          <w:iCs w:val="0"/>
          <w:smallCaps w:val="0"/>
          <w:spacing w:val="0"/>
          <w:sz w:val="22"/>
          <w:szCs w:val="22"/>
        </w:rPr>
        <w:t>Social Security Act 1991</w:t>
      </w:r>
      <w:r w:rsidRPr="00FA608D">
        <w:rPr>
          <w:rStyle w:val="BookTitle"/>
          <w:i w:val="0"/>
          <w:iCs w:val="0"/>
          <w:smallCaps w:val="0"/>
          <w:spacing w:val="0"/>
          <w:sz w:val="22"/>
          <w:szCs w:val="22"/>
        </w:rPr>
        <w:t xml:space="preserve"> (the Act), is an undertaking by a person (individual or body) (the assurer) to pay the Commonwealth the amount of any specified social security payments received by another identified person (the assuree) while the assurance is in force. </w:t>
      </w:r>
    </w:p>
    <w:p w14:paraId="7732BC13" w14:textId="077E08A3" w:rsidR="00185E93" w:rsidRPr="00FA608D" w:rsidRDefault="00185E93" w:rsidP="00191AEC">
      <w:pPr>
        <w:rPr>
          <w:rStyle w:val="BookTitle"/>
          <w:i w:val="0"/>
          <w:iCs w:val="0"/>
          <w:smallCaps w:val="0"/>
          <w:spacing w:val="0"/>
          <w:sz w:val="22"/>
          <w:szCs w:val="22"/>
        </w:rPr>
      </w:pPr>
      <w:r w:rsidRPr="00FA608D">
        <w:rPr>
          <w:rStyle w:val="BookTitle"/>
          <w:i w:val="0"/>
          <w:iCs w:val="0"/>
          <w:smallCaps w:val="0"/>
          <w:spacing w:val="0"/>
          <w:sz w:val="22"/>
          <w:szCs w:val="22"/>
        </w:rPr>
        <w:t>An assurance of support may be required as a condition of the grant of a visa under the</w:t>
      </w:r>
      <w:r w:rsidRPr="00FA608D">
        <w:rPr>
          <w:rStyle w:val="BookTitle"/>
          <w:iCs w:val="0"/>
          <w:smallCaps w:val="0"/>
          <w:spacing w:val="0"/>
          <w:sz w:val="22"/>
          <w:szCs w:val="22"/>
        </w:rPr>
        <w:t xml:space="preserve"> Migration Act 1958</w:t>
      </w:r>
      <w:r w:rsidRPr="00FA608D">
        <w:rPr>
          <w:rStyle w:val="BookTitle"/>
          <w:i w:val="0"/>
          <w:iCs w:val="0"/>
          <w:smallCaps w:val="0"/>
          <w:spacing w:val="0"/>
          <w:sz w:val="22"/>
          <w:szCs w:val="22"/>
        </w:rPr>
        <w:t xml:space="preserve">. </w:t>
      </w:r>
      <w:r w:rsidR="003D4595" w:rsidRPr="00FA608D">
        <w:rPr>
          <w:rStyle w:val="BookTitle"/>
          <w:i w:val="0"/>
          <w:iCs w:val="0"/>
          <w:smallCaps w:val="0"/>
          <w:spacing w:val="0"/>
          <w:sz w:val="22"/>
          <w:szCs w:val="22"/>
        </w:rPr>
        <w:t>A</w:t>
      </w:r>
      <w:r w:rsidRPr="00FA608D">
        <w:rPr>
          <w:rStyle w:val="BookTitle"/>
          <w:i w:val="0"/>
          <w:iCs w:val="0"/>
          <w:smallCaps w:val="0"/>
          <w:spacing w:val="0"/>
          <w:sz w:val="22"/>
          <w:szCs w:val="22"/>
        </w:rPr>
        <w:t>ssurance</w:t>
      </w:r>
      <w:r w:rsidR="003D4595" w:rsidRPr="00FA608D">
        <w:rPr>
          <w:rStyle w:val="BookTitle"/>
          <w:i w:val="0"/>
          <w:iCs w:val="0"/>
          <w:smallCaps w:val="0"/>
          <w:spacing w:val="0"/>
          <w:sz w:val="22"/>
          <w:szCs w:val="22"/>
        </w:rPr>
        <w:t>s</w:t>
      </w:r>
      <w:r w:rsidRPr="00FA608D">
        <w:rPr>
          <w:rStyle w:val="BookTitle"/>
          <w:i w:val="0"/>
          <w:iCs w:val="0"/>
          <w:smallCaps w:val="0"/>
          <w:spacing w:val="0"/>
          <w:sz w:val="22"/>
          <w:szCs w:val="22"/>
        </w:rPr>
        <w:t xml:space="preserve"> of support </w:t>
      </w:r>
      <w:r w:rsidR="003D4595" w:rsidRPr="00FA608D">
        <w:rPr>
          <w:rStyle w:val="BookTitle"/>
          <w:i w:val="0"/>
          <w:iCs w:val="0"/>
          <w:smallCaps w:val="0"/>
          <w:spacing w:val="0"/>
          <w:sz w:val="22"/>
          <w:szCs w:val="22"/>
        </w:rPr>
        <w:t>are</w:t>
      </w:r>
      <w:r w:rsidRPr="00FA608D">
        <w:rPr>
          <w:rStyle w:val="BookTitle"/>
          <w:i w:val="0"/>
          <w:iCs w:val="0"/>
          <w:smallCaps w:val="0"/>
          <w:spacing w:val="0"/>
          <w:sz w:val="22"/>
          <w:szCs w:val="22"/>
        </w:rPr>
        <w:t xml:space="preserve"> designed to ensure that migrants who may have a higher likelihood of claiming specified social security payments are financially supported by their assurer for the duration of the </w:t>
      </w:r>
      <w:r w:rsidR="0067756E" w:rsidRPr="00FA608D">
        <w:rPr>
          <w:rStyle w:val="BookTitle"/>
          <w:i w:val="0"/>
          <w:iCs w:val="0"/>
          <w:smallCaps w:val="0"/>
          <w:spacing w:val="0"/>
          <w:sz w:val="22"/>
          <w:szCs w:val="22"/>
        </w:rPr>
        <w:t xml:space="preserve">assurance </w:t>
      </w:r>
      <w:r w:rsidRPr="00FA608D">
        <w:rPr>
          <w:rStyle w:val="BookTitle"/>
          <w:i w:val="0"/>
          <w:iCs w:val="0"/>
          <w:smallCaps w:val="0"/>
          <w:spacing w:val="0"/>
          <w:sz w:val="22"/>
          <w:szCs w:val="22"/>
        </w:rPr>
        <w:t xml:space="preserve">rather </w:t>
      </w:r>
      <w:r w:rsidR="00172B97" w:rsidRPr="00FA608D">
        <w:rPr>
          <w:rStyle w:val="BookTitle"/>
          <w:i w:val="0"/>
          <w:iCs w:val="0"/>
          <w:smallCaps w:val="0"/>
          <w:spacing w:val="0"/>
          <w:sz w:val="22"/>
          <w:szCs w:val="22"/>
        </w:rPr>
        <w:t>th</w:t>
      </w:r>
      <w:r w:rsidR="009A31CC" w:rsidRPr="00FA608D">
        <w:rPr>
          <w:rStyle w:val="BookTitle"/>
          <w:i w:val="0"/>
          <w:iCs w:val="0"/>
          <w:smallCaps w:val="0"/>
          <w:spacing w:val="0"/>
          <w:sz w:val="22"/>
          <w:szCs w:val="22"/>
        </w:rPr>
        <w:t>a</w:t>
      </w:r>
      <w:r w:rsidR="00172B97" w:rsidRPr="00FA608D">
        <w:rPr>
          <w:rStyle w:val="BookTitle"/>
          <w:i w:val="0"/>
          <w:iCs w:val="0"/>
          <w:smallCaps w:val="0"/>
          <w:spacing w:val="0"/>
          <w:sz w:val="22"/>
          <w:szCs w:val="22"/>
        </w:rPr>
        <w:t xml:space="preserve">n </w:t>
      </w:r>
      <w:r w:rsidR="0067756E" w:rsidRPr="00FA608D">
        <w:rPr>
          <w:rStyle w:val="BookTitle"/>
          <w:i w:val="0"/>
          <w:iCs w:val="0"/>
          <w:smallCaps w:val="0"/>
          <w:spacing w:val="0"/>
          <w:sz w:val="22"/>
          <w:szCs w:val="22"/>
        </w:rPr>
        <w:t>seeking</w:t>
      </w:r>
      <w:r w:rsidRPr="00FA608D">
        <w:rPr>
          <w:rStyle w:val="BookTitle"/>
          <w:i w:val="0"/>
          <w:iCs w:val="0"/>
          <w:smallCaps w:val="0"/>
          <w:spacing w:val="0"/>
          <w:sz w:val="22"/>
          <w:szCs w:val="22"/>
        </w:rPr>
        <w:t xml:space="preserve"> taxpayer-funded </w:t>
      </w:r>
      <w:r w:rsidR="0067756E" w:rsidRPr="00FA608D">
        <w:rPr>
          <w:rStyle w:val="BookTitle"/>
          <w:i w:val="0"/>
          <w:iCs w:val="0"/>
          <w:smallCaps w:val="0"/>
          <w:spacing w:val="0"/>
          <w:sz w:val="22"/>
          <w:szCs w:val="22"/>
        </w:rPr>
        <w:t xml:space="preserve">social security </w:t>
      </w:r>
      <w:r w:rsidRPr="00FA608D">
        <w:rPr>
          <w:rStyle w:val="BookTitle"/>
          <w:i w:val="0"/>
          <w:iCs w:val="0"/>
          <w:smallCaps w:val="0"/>
          <w:spacing w:val="0"/>
          <w:sz w:val="22"/>
          <w:szCs w:val="22"/>
        </w:rPr>
        <w:t>payments.</w:t>
      </w:r>
    </w:p>
    <w:p w14:paraId="69974062" w14:textId="394793B9" w:rsidR="004D6934" w:rsidRPr="00FA608D" w:rsidRDefault="004D6934" w:rsidP="00191AEC">
      <w:pPr>
        <w:rPr>
          <w:rStyle w:val="BookTitle"/>
          <w:i w:val="0"/>
          <w:iCs w:val="0"/>
          <w:smallCaps w:val="0"/>
          <w:spacing w:val="0"/>
          <w:sz w:val="22"/>
          <w:szCs w:val="22"/>
        </w:rPr>
      </w:pPr>
      <w:r w:rsidRPr="00FA608D">
        <w:rPr>
          <w:rStyle w:val="BookTitle"/>
          <w:i w:val="0"/>
          <w:iCs w:val="0"/>
          <w:smallCaps w:val="0"/>
          <w:spacing w:val="0"/>
          <w:sz w:val="22"/>
          <w:szCs w:val="22"/>
        </w:rPr>
        <w:t xml:space="preserve">In most </w:t>
      </w:r>
      <w:r w:rsidR="00C34631" w:rsidRPr="00FA608D">
        <w:rPr>
          <w:rStyle w:val="BookTitle"/>
          <w:i w:val="0"/>
          <w:iCs w:val="0"/>
          <w:smallCaps w:val="0"/>
          <w:spacing w:val="0"/>
          <w:sz w:val="22"/>
          <w:szCs w:val="22"/>
        </w:rPr>
        <w:t>instances,</w:t>
      </w:r>
      <w:r w:rsidRPr="00FA608D">
        <w:rPr>
          <w:rStyle w:val="BookTitle"/>
          <w:i w:val="0"/>
          <w:iCs w:val="0"/>
          <w:smallCaps w:val="0"/>
          <w:spacing w:val="0"/>
          <w:sz w:val="22"/>
          <w:szCs w:val="22"/>
        </w:rPr>
        <w:t xml:space="preserve"> an individual or body will need to meet an income or capacity test before they can give an assurance of support. These requirements mitigate the risk of those individuals or bodies being unable to support their assurees and meet their assurance obligations if called upon to do so.</w:t>
      </w:r>
    </w:p>
    <w:p w14:paraId="4B941683" w14:textId="77777777" w:rsidR="003D4595" w:rsidRPr="00FA608D" w:rsidRDefault="003D4595" w:rsidP="003D4595">
      <w:pPr>
        <w:spacing w:after="120"/>
        <w:rPr>
          <w:rStyle w:val="BookTitle"/>
          <w:i w:val="0"/>
          <w:iCs w:val="0"/>
          <w:smallCaps w:val="0"/>
          <w:spacing w:val="0"/>
          <w:sz w:val="22"/>
          <w:szCs w:val="22"/>
        </w:rPr>
      </w:pPr>
      <w:r w:rsidRPr="00FA608D">
        <w:rPr>
          <w:rStyle w:val="BookTitle"/>
          <w:i w:val="0"/>
          <w:iCs w:val="0"/>
          <w:smallCaps w:val="0"/>
          <w:spacing w:val="0"/>
          <w:sz w:val="22"/>
          <w:szCs w:val="22"/>
        </w:rPr>
        <w:t>Subsection 1061ZZGH(1) of the Act provides that the Minister must, by legislative instrument, make a determination specifying the following matters:</w:t>
      </w:r>
    </w:p>
    <w:p w14:paraId="0B308293" w14:textId="627BBE4A" w:rsidR="003D4595" w:rsidRPr="00FA608D" w:rsidRDefault="003D4595" w:rsidP="003D4595">
      <w:pPr>
        <w:pStyle w:val="ListParagraph"/>
        <w:numPr>
          <w:ilvl w:val="0"/>
          <w:numId w:val="20"/>
        </w:numPr>
        <w:shd w:val="clear" w:color="auto" w:fill="FFFFFF"/>
        <w:spacing w:before="0"/>
        <w:ind w:right="91"/>
        <w:jc w:val="both"/>
        <w:rPr>
          <w:color w:val="000000"/>
          <w:sz w:val="22"/>
          <w:szCs w:val="22"/>
        </w:rPr>
      </w:pPr>
      <w:r w:rsidRPr="00FA608D">
        <w:rPr>
          <w:color w:val="000000"/>
          <w:sz w:val="22"/>
          <w:szCs w:val="22"/>
        </w:rPr>
        <w:t>social security payments for the purposes of the definition of “assurance of support” in section 1061ZZGA and section 1061ZZGG of the Act;</w:t>
      </w:r>
    </w:p>
    <w:p w14:paraId="5F0E09DB" w14:textId="77777777" w:rsidR="003D4595" w:rsidRPr="00FA608D" w:rsidRDefault="003D4595" w:rsidP="003D4595">
      <w:pPr>
        <w:pStyle w:val="ListParagraph"/>
        <w:numPr>
          <w:ilvl w:val="0"/>
          <w:numId w:val="20"/>
        </w:numPr>
        <w:shd w:val="clear" w:color="auto" w:fill="FFFFFF"/>
        <w:spacing w:before="60"/>
        <w:ind w:right="91"/>
        <w:jc w:val="both"/>
        <w:rPr>
          <w:color w:val="000000"/>
          <w:sz w:val="22"/>
          <w:szCs w:val="22"/>
        </w:rPr>
      </w:pPr>
      <w:r w:rsidRPr="00FA608D">
        <w:rPr>
          <w:color w:val="000000"/>
          <w:sz w:val="22"/>
          <w:szCs w:val="22"/>
        </w:rPr>
        <w:t>requirements to be met for persons (individual or body) to be permitted by section 1061ZZGB of the Act to give assurances of support;</w:t>
      </w:r>
    </w:p>
    <w:p w14:paraId="389D0933" w14:textId="77777777" w:rsidR="003D4595" w:rsidRPr="00FA608D" w:rsidRDefault="003D4595" w:rsidP="003D4595">
      <w:pPr>
        <w:pStyle w:val="ListParagraph"/>
        <w:numPr>
          <w:ilvl w:val="0"/>
          <w:numId w:val="20"/>
        </w:numPr>
        <w:shd w:val="clear" w:color="auto" w:fill="FFFFFF"/>
        <w:spacing w:before="60"/>
        <w:ind w:right="91"/>
        <w:jc w:val="both"/>
        <w:rPr>
          <w:color w:val="000000"/>
          <w:sz w:val="22"/>
          <w:szCs w:val="22"/>
        </w:rPr>
      </w:pPr>
      <w:r w:rsidRPr="00FA608D">
        <w:rPr>
          <w:color w:val="000000"/>
          <w:sz w:val="22"/>
          <w:szCs w:val="22"/>
        </w:rPr>
        <w:t>requirements to be met in relation to persons giving assurances of support for the Secretary to be permitted by subsection 1061ZZGD(2) of the Act to accept such assurances;</w:t>
      </w:r>
    </w:p>
    <w:p w14:paraId="7B76BFEB" w14:textId="77777777" w:rsidR="003D4595" w:rsidRPr="00FA608D" w:rsidRDefault="003D4595" w:rsidP="003D4595">
      <w:pPr>
        <w:pStyle w:val="ListParagraph"/>
        <w:numPr>
          <w:ilvl w:val="0"/>
          <w:numId w:val="20"/>
        </w:numPr>
        <w:shd w:val="clear" w:color="auto" w:fill="FFFFFF"/>
        <w:spacing w:before="60"/>
        <w:ind w:right="91"/>
        <w:jc w:val="both"/>
        <w:rPr>
          <w:color w:val="000000"/>
          <w:sz w:val="22"/>
          <w:szCs w:val="22"/>
        </w:rPr>
      </w:pPr>
      <w:r w:rsidRPr="00FA608D">
        <w:rPr>
          <w:color w:val="000000"/>
          <w:sz w:val="22"/>
          <w:szCs w:val="22"/>
        </w:rPr>
        <w:t>values of securities to be given for the Secretary to be permitted to accept assurances of support under paragraph 1061ZZGD(3)(b) of the Act;</w:t>
      </w:r>
    </w:p>
    <w:p w14:paraId="15AD84C6" w14:textId="77777777" w:rsidR="003D4595" w:rsidRPr="00FA608D" w:rsidRDefault="003D4595" w:rsidP="003D4595">
      <w:pPr>
        <w:pStyle w:val="ListParagraph"/>
        <w:numPr>
          <w:ilvl w:val="0"/>
          <w:numId w:val="20"/>
        </w:numPr>
        <w:shd w:val="clear" w:color="auto" w:fill="FFFFFF"/>
        <w:spacing w:before="60"/>
        <w:ind w:right="91"/>
        <w:jc w:val="both"/>
        <w:rPr>
          <w:color w:val="000000"/>
          <w:sz w:val="22"/>
          <w:szCs w:val="22"/>
        </w:rPr>
      </w:pPr>
      <w:r w:rsidRPr="00FA608D">
        <w:rPr>
          <w:color w:val="000000"/>
          <w:sz w:val="22"/>
          <w:szCs w:val="22"/>
        </w:rPr>
        <w:t>periods for which assurances of support accepted under Chapter 2C of the Act remain in force in respect of persons under section 1061ZZGF of the Act;</w:t>
      </w:r>
    </w:p>
    <w:p w14:paraId="3CCB50B5" w14:textId="77777777" w:rsidR="003D4595" w:rsidRPr="00FA608D" w:rsidRDefault="003D4595" w:rsidP="003D4595">
      <w:pPr>
        <w:pStyle w:val="ListParagraph"/>
        <w:numPr>
          <w:ilvl w:val="0"/>
          <w:numId w:val="20"/>
        </w:numPr>
        <w:shd w:val="clear" w:color="auto" w:fill="FFFFFF"/>
        <w:spacing w:before="60"/>
        <w:ind w:right="91"/>
        <w:jc w:val="both"/>
        <w:rPr>
          <w:color w:val="000000"/>
          <w:sz w:val="22"/>
          <w:szCs w:val="22"/>
        </w:rPr>
      </w:pPr>
      <w:r w:rsidRPr="00FA608D">
        <w:rPr>
          <w:color w:val="000000"/>
          <w:sz w:val="22"/>
          <w:szCs w:val="22"/>
        </w:rPr>
        <w:t>circumstances in which assurances of support accepted under Chapter 2C of the Act cease to be in force under subparagraph 1061ZZGF(1)(b)(iii) of the Act.</w:t>
      </w:r>
    </w:p>
    <w:p w14:paraId="05773955" w14:textId="77777777" w:rsidR="003D4595" w:rsidRPr="00FA608D" w:rsidRDefault="003D4595" w:rsidP="003D4595">
      <w:pPr>
        <w:rPr>
          <w:rStyle w:val="BookTitle"/>
          <w:i w:val="0"/>
          <w:iCs w:val="0"/>
          <w:smallCaps w:val="0"/>
          <w:spacing w:val="0"/>
          <w:sz w:val="22"/>
          <w:szCs w:val="22"/>
        </w:rPr>
      </w:pPr>
      <w:r w:rsidRPr="00FA608D">
        <w:rPr>
          <w:rStyle w:val="BookTitle"/>
          <w:i w:val="0"/>
          <w:iCs w:val="0"/>
          <w:smallCaps w:val="0"/>
          <w:spacing w:val="0"/>
          <w:sz w:val="22"/>
          <w:szCs w:val="22"/>
        </w:rPr>
        <w:t>The Determination specifies the matters listed above.</w:t>
      </w:r>
    </w:p>
    <w:p w14:paraId="5EE4131B" w14:textId="443EB445" w:rsidR="003D4595" w:rsidRPr="00FA608D" w:rsidRDefault="003D4595" w:rsidP="003D4595">
      <w:pPr>
        <w:rPr>
          <w:rStyle w:val="BookTitle"/>
          <w:i w:val="0"/>
          <w:iCs w:val="0"/>
          <w:smallCaps w:val="0"/>
          <w:spacing w:val="0"/>
          <w:sz w:val="22"/>
          <w:szCs w:val="22"/>
        </w:rPr>
      </w:pPr>
      <w:r w:rsidRPr="00FA608D">
        <w:rPr>
          <w:rStyle w:val="BookTitle"/>
          <w:i w:val="0"/>
          <w:iCs w:val="0"/>
          <w:smallCaps w:val="0"/>
          <w:spacing w:val="0"/>
          <w:sz w:val="22"/>
          <w:szCs w:val="22"/>
        </w:rPr>
        <w:t xml:space="preserve">The Amendment Determination amends the Determination to: </w:t>
      </w:r>
    </w:p>
    <w:p w14:paraId="52B5AA82" w14:textId="77777777" w:rsidR="003D4595" w:rsidRPr="00FA608D" w:rsidRDefault="003D4595" w:rsidP="003D4595">
      <w:pPr>
        <w:pStyle w:val="ListParagraph"/>
        <w:numPr>
          <w:ilvl w:val="0"/>
          <w:numId w:val="20"/>
        </w:numPr>
        <w:rPr>
          <w:rStyle w:val="BookTitle"/>
          <w:i w:val="0"/>
          <w:iCs w:val="0"/>
          <w:smallCaps w:val="0"/>
          <w:spacing w:val="0"/>
          <w:sz w:val="22"/>
          <w:szCs w:val="22"/>
        </w:rPr>
      </w:pPr>
      <w:r w:rsidRPr="00FA608D">
        <w:rPr>
          <w:rStyle w:val="BookTitle"/>
          <w:i w:val="0"/>
          <w:iCs w:val="0"/>
          <w:smallCaps w:val="0"/>
          <w:spacing w:val="0"/>
          <w:sz w:val="22"/>
          <w:szCs w:val="22"/>
        </w:rPr>
        <w:t xml:space="preserve">repeal section 2A of the Determination which provides for the repeal of the Determination on 31 March 2024; </w:t>
      </w:r>
    </w:p>
    <w:p w14:paraId="1E5B0C21" w14:textId="10FD65E9" w:rsidR="003D4595" w:rsidRPr="00FA608D" w:rsidRDefault="003D4595" w:rsidP="003D4595">
      <w:pPr>
        <w:pStyle w:val="ListParagraph"/>
        <w:numPr>
          <w:ilvl w:val="0"/>
          <w:numId w:val="20"/>
        </w:numPr>
        <w:rPr>
          <w:rStyle w:val="BookTitle"/>
          <w:i w:val="0"/>
          <w:iCs w:val="0"/>
          <w:smallCaps w:val="0"/>
          <w:spacing w:val="0"/>
          <w:sz w:val="22"/>
          <w:szCs w:val="22"/>
        </w:rPr>
      </w:pPr>
      <w:r w:rsidRPr="00FA608D">
        <w:rPr>
          <w:rStyle w:val="BookTitle"/>
          <w:i w:val="0"/>
          <w:iCs w:val="0"/>
          <w:smallCaps w:val="0"/>
          <w:spacing w:val="0"/>
          <w:sz w:val="22"/>
          <w:szCs w:val="22"/>
        </w:rPr>
        <w:t xml:space="preserve">increase the flexibility of the income assessment process for individuals who wish to provide an assurance of support to allow for </w:t>
      </w:r>
      <w:r w:rsidR="00500C30" w:rsidRPr="00FA608D">
        <w:rPr>
          <w:rStyle w:val="BookTitle"/>
          <w:i w:val="0"/>
          <w:iCs w:val="0"/>
          <w:smallCaps w:val="0"/>
          <w:spacing w:val="0"/>
          <w:sz w:val="22"/>
          <w:szCs w:val="22"/>
        </w:rPr>
        <w:t>a reduction</w:t>
      </w:r>
      <w:r w:rsidRPr="00FA608D">
        <w:rPr>
          <w:rStyle w:val="BookTitle"/>
          <w:i w:val="0"/>
          <w:iCs w:val="0"/>
          <w:smallCaps w:val="0"/>
          <w:spacing w:val="0"/>
          <w:sz w:val="22"/>
          <w:szCs w:val="22"/>
        </w:rPr>
        <w:t xml:space="preserve"> in their assessable income in the previous financial year due to a temporary change in circumstances; </w:t>
      </w:r>
      <w:r w:rsidR="00500C30" w:rsidRPr="00FA608D">
        <w:rPr>
          <w:rStyle w:val="BookTitle"/>
          <w:i w:val="0"/>
          <w:iCs w:val="0"/>
          <w:smallCaps w:val="0"/>
          <w:spacing w:val="0"/>
          <w:sz w:val="22"/>
          <w:szCs w:val="22"/>
        </w:rPr>
        <w:t>and</w:t>
      </w:r>
    </w:p>
    <w:p w14:paraId="25ED0BBB" w14:textId="6D6F7AA9" w:rsidR="003D4595" w:rsidRPr="00FA608D" w:rsidRDefault="003D4595" w:rsidP="003D4595">
      <w:pPr>
        <w:pStyle w:val="ListParagraph"/>
        <w:numPr>
          <w:ilvl w:val="0"/>
          <w:numId w:val="20"/>
        </w:numPr>
        <w:rPr>
          <w:rStyle w:val="BookTitle"/>
          <w:i w:val="0"/>
          <w:iCs w:val="0"/>
          <w:smallCaps w:val="0"/>
          <w:spacing w:val="0"/>
          <w:sz w:val="22"/>
          <w:szCs w:val="22"/>
        </w:rPr>
      </w:pPr>
      <w:r w:rsidRPr="00FA608D">
        <w:rPr>
          <w:rStyle w:val="BookTitle"/>
          <w:i w:val="0"/>
          <w:iCs w:val="0"/>
          <w:smallCaps w:val="0"/>
          <w:spacing w:val="0"/>
          <w:sz w:val="22"/>
          <w:szCs w:val="22"/>
        </w:rPr>
        <w:lastRenderedPageBreak/>
        <w:t>provide th</w:t>
      </w:r>
      <w:r w:rsidR="008C3EAE" w:rsidRPr="00FA608D">
        <w:rPr>
          <w:rStyle w:val="BookTitle"/>
          <w:i w:val="0"/>
          <w:iCs w:val="0"/>
          <w:smallCaps w:val="0"/>
          <w:spacing w:val="0"/>
          <w:sz w:val="22"/>
          <w:szCs w:val="22"/>
        </w:rPr>
        <w:t>at</w:t>
      </w:r>
      <w:r w:rsidRPr="00FA608D">
        <w:rPr>
          <w:rStyle w:val="BookTitle"/>
          <w:i w:val="0"/>
          <w:iCs w:val="0"/>
          <w:smallCaps w:val="0"/>
          <w:spacing w:val="0"/>
          <w:sz w:val="22"/>
          <w:szCs w:val="22"/>
        </w:rPr>
        <w:t xml:space="preserve"> an assurance of support provided by a body corporate </w:t>
      </w:r>
      <w:r w:rsidR="008C3EAE" w:rsidRPr="00FA608D">
        <w:rPr>
          <w:rStyle w:val="BookTitle"/>
          <w:i w:val="0"/>
          <w:iCs w:val="0"/>
          <w:smallCaps w:val="0"/>
          <w:spacing w:val="0"/>
          <w:sz w:val="22"/>
          <w:szCs w:val="22"/>
        </w:rPr>
        <w:t xml:space="preserve">may be cancelled </w:t>
      </w:r>
      <w:r w:rsidRPr="00FA608D">
        <w:rPr>
          <w:rStyle w:val="BookTitle"/>
          <w:i w:val="0"/>
          <w:iCs w:val="0"/>
          <w:smallCaps w:val="0"/>
          <w:spacing w:val="0"/>
          <w:sz w:val="22"/>
          <w:szCs w:val="22"/>
        </w:rPr>
        <w:t xml:space="preserve">in the event that the body corporate </w:t>
      </w:r>
      <w:r w:rsidR="00500C30" w:rsidRPr="00FA608D">
        <w:rPr>
          <w:rStyle w:val="BookTitle"/>
          <w:i w:val="0"/>
          <w:iCs w:val="0"/>
          <w:smallCaps w:val="0"/>
          <w:spacing w:val="0"/>
          <w:sz w:val="22"/>
          <w:szCs w:val="22"/>
        </w:rPr>
        <w:t>is deregistered</w:t>
      </w:r>
      <w:r w:rsidRPr="00FA608D">
        <w:rPr>
          <w:rStyle w:val="BookTitle"/>
          <w:i w:val="0"/>
          <w:iCs w:val="0"/>
          <w:smallCaps w:val="0"/>
          <w:spacing w:val="0"/>
          <w:sz w:val="22"/>
          <w:szCs w:val="22"/>
        </w:rPr>
        <w:t>.</w:t>
      </w:r>
    </w:p>
    <w:p w14:paraId="1B7AABE2" w14:textId="13A61DD2" w:rsidR="000B4130" w:rsidRPr="00FA608D" w:rsidRDefault="000B4130" w:rsidP="004B54CA">
      <w:pPr>
        <w:rPr>
          <w:rStyle w:val="BookTitle"/>
          <w:b/>
          <w:i w:val="0"/>
          <w:iCs w:val="0"/>
          <w:smallCaps w:val="0"/>
          <w:spacing w:val="0"/>
          <w:sz w:val="22"/>
          <w:szCs w:val="22"/>
        </w:rPr>
      </w:pPr>
      <w:r w:rsidRPr="00FA608D">
        <w:rPr>
          <w:rStyle w:val="BookTitle"/>
          <w:b/>
          <w:i w:val="0"/>
          <w:iCs w:val="0"/>
          <w:smallCaps w:val="0"/>
          <w:spacing w:val="0"/>
          <w:sz w:val="22"/>
          <w:szCs w:val="22"/>
        </w:rPr>
        <w:t>Commencement</w:t>
      </w:r>
    </w:p>
    <w:p w14:paraId="4C20BAD8" w14:textId="1FE2F0E4" w:rsidR="005E1067" w:rsidRPr="00FA608D" w:rsidRDefault="005E1067" w:rsidP="004B54CA">
      <w:pPr>
        <w:rPr>
          <w:rStyle w:val="BookTitle"/>
          <w:i w:val="0"/>
          <w:iCs w:val="0"/>
          <w:smallCaps w:val="0"/>
          <w:spacing w:val="0"/>
          <w:sz w:val="22"/>
          <w:szCs w:val="22"/>
        </w:rPr>
      </w:pPr>
      <w:r w:rsidRPr="00FA608D">
        <w:rPr>
          <w:rStyle w:val="BookTitle"/>
          <w:i w:val="0"/>
          <w:iCs w:val="0"/>
          <w:smallCaps w:val="0"/>
          <w:spacing w:val="0"/>
          <w:sz w:val="22"/>
          <w:szCs w:val="22"/>
        </w:rPr>
        <w:t xml:space="preserve">The </w:t>
      </w:r>
      <w:r w:rsidR="005B6B40" w:rsidRPr="00FA608D">
        <w:rPr>
          <w:rStyle w:val="BookTitle"/>
          <w:i w:val="0"/>
          <w:iCs w:val="0"/>
          <w:smallCaps w:val="0"/>
          <w:spacing w:val="0"/>
          <w:sz w:val="22"/>
          <w:szCs w:val="22"/>
        </w:rPr>
        <w:t>Amendment Determination</w:t>
      </w:r>
      <w:r w:rsidRPr="00FA608D">
        <w:rPr>
          <w:rStyle w:val="BookTitle"/>
          <w:i w:val="0"/>
          <w:iCs w:val="0"/>
          <w:smallCaps w:val="0"/>
          <w:spacing w:val="0"/>
          <w:sz w:val="22"/>
          <w:szCs w:val="22"/>
        </w:rPr>
        <w:t xml:space="preserve"> </w:t>
      </w:r>
      <w:r w:rsidR="000B4130" w:rsidRPr="00FA608D">
        <w:rPr>
          <w:rStyle w:val="BookTitle"/>
          <w:i w:val="0"/>
          <w:iCs w:val="0"/>
          <w:smallCaps w:val="0"/>
          <w:spacing w:val="0"/>
          <w:sz w:val="22"/>
          <w:szCs w:val="22"/>
        </w:rPr>
        <w:t xml:space="preserve">commences on </w:t>
      </w:r>
      <w:r w:rsidR="00FC30A3" w:rsidRPr="00FA608D">
        <w:rPr>
          <w:rStyle w:val="BookTitle"/>
          <w:i w:val="0"/>
          <w:iCs w:val="0"/>
          <w:smallCaps w:val="0"/>
          <w:spacing w:val="0"/>
          <w:sz w:val="22"/>
          <w:szCs w:val="22"/>
        </w:rPr>
        <w:t>the day after it is registered</w:t>
      </w:r>
      <w:r w:rsidR="005B6B40" w:rsidRPr="00FA608D">
        <w:rPr>
          <w:rStyle w:val="BookTitle"/>
          <w:i w:val="0"/>
          <w:iCs w:val="0"/>
          <w:smallCaps w:val="0"/>
          <w:spacing w:val="0"/>
          <w:sz w:val="22"/>
          <w:szCs w:val="22"/>
        </w:rPr>
        <w:t xml:space="preserve"> on the Federal Register of Legislation</w:t>
      </w:r>
      <w:r w:rsidRPr="00FA608D">
        <w:rPr>
          <w:rStyle w:val="BookTitle"/>
          <w:i w:val="0"/>
          <w:iCs w:val="0"/>
          <w:smallCaps w:val="0"/>
          <w:spacing w:val="0"/>
          <w:sz w:val="22"/>
          <w:szCs w:val="22"/>
        </w:rPr>
        <w:t>.</w:t>
      </w:r>
    </w:p>
    <w:p w14:paraId="17199583" w14:textId="7F256B9D" w:rsidR="00422F60" w:rsidRPr="00FA608D" w:rsidRDefault="00422F60" w:rsidP="004B54CA">
      <w:pPr>
        <w:rPr>
          <w:rStyle w:val="BookTitle"/>
          <w:b/>
          <w:i w:val="0"/>
          <w:iCs w:val="0"/>
          <w:smallCaps w:val="0"/>
          <w:spacing w:val="0"/>
          <w:sz w:val="22"/>
          <w:szCs w:val="22"/>
        </w:rPr>
      </w:pPr>
      <w:r w:rsidRPr="00FA608D">
        <w:rPr>
          <w:rStyle w:val="BookTitle"/>
          <w:b/>
          <w:i w:val="0"/>
          <w:iCs w:val="0"/>
          <w:smallCaps w:val="0"/>
          <w:spacing w:val="0"/>
          <w:sz w:val="22"/>
          <w:szCs w:val="22"/>
        </w:rPr>
        <w:t>Authority</w:t>
      </w:r>
    </w:p>
    <w:p w14:paraId="1EACBDB9" w14:textId="5DE3059F" w:rsidR="000B4130" w:rsidRPr="00FA608D" w:rsidRDefault="005E1067" w:rsidP="004B54CA">
      <w:pPr>
        <w:rPr>
          <w:rStyle w:val="BookTitle"/>
          <w:i w:val="0"/>
          <w:iCs w:val="0"/>
          <w:smallCaps w:val="0"/>
          <w:spacing w:val="0"/>
          <w:sz w:val="22"/>
          <w:szCs w:val="22"/>
        </w:rPr>
      </w:pPr>
      <w:r w:rsidRPr="00FA608D">
        <w:rPr>
          <w:sz w:val="22"/>
          <w:szCs w:val="22"/>
        </w:rPr>
        <w:t>Subsection 33(3) of the </w:t>
      </w:r>
      <w:r w:rsidRPr="00FA608D">
        <w:rPr>
          <w:i/>
          <w:iCs/>
          <w:sz w:val="22"/>
          <w:szCs w:val="22"/>
        </w:rPr>
        <w:t>Acts Interpretation Act 1901</w:t>
      </w:r>
      <w:r w:rsidRPr="00FA608D">
        <w:rPr>
          <w:sz w:val="22"/>
          <w:szCs w:val="22"/>
        </w:rPr>
        <w:t> provides that where an Act confers a power to make, grant or issue any instrument of a legislative</w:t>
      </w:r>
      <w:r w:rsidR="0040717A" w:rsidRPr="00FA608D">
        <w:rPr>
          <w:sz w:val="22"/>
          <w:szCs w:val="22"/>
        </w:rPr>
        <w:t xml:space="preserve"> </w:t>
      </w:r>
      <w:r w:rsidRPr="00FA608D">
        <w:rPr>
          <w:sz w:val="22"/>
          <w:szCs w:val="22"/>
        </w:rPr>
        <w:t>or</w:t>
      </w:r>
      <w:r w:rsidR="0040717A" w:rsidRPr="00FA608D">
        <w:rPr>
          <w:sz w:val="22"/>
          <w:szCs w:val="22"/>
        </w:rPr>
        <w:t xml:space="preserve"> </w:t>
      </w:r>
      <w:r w:rsidRPr="00FA608D">
        <w:rPr>
          <w:sz w:val="22"/>
          <w:szCs w:val="22"/>
        </w:rPr>
        <w:t>administrative character (including rules, regulations or by-laws), the power shall be construed as including a power exercisable in the like manner and subject to the like conditions (if any) to repeal, rescind, revoke, amen</w:t>
      </w:r>
      <w:r w:rsidR="00D321CE" w:rsidRPr="00FA608D">
        <w:rPr>
          <w:sz w:val="22"/>
          <w:szCs w:val="22"/>
        </w:rPr>
        <w:t xml:space="preserve">d or vary any such instrument. </w:t>
      </w:r>
      <w:r w:rsidR="00FF666D" w:rsidRPr="00FA608D">
        <w:rPr>
          <w:sz w:val="22"/>
          <w:szCs w:val="22"/>
        </w:rPr>
        <w:t>The</w:t>
      </w:r>
      <w:r w:rsidR="00D321CE" w:rsidRPr="00FA608D">
        <w:rPr>
          <w:sz w:val="22"/>
          <w:szCs w:val="22"/>
        </w:rPr>
        <w:t xml:space="preserve"> Minister has the power under subsection 1</w:t>
      </w:r>
      <w:r w:rsidR="005B6B40" w:rsidRPr="00FA608D">
        <w:rPr>
          <w:sz w:val="22"/>
          <w:szCs w:val="22"/>
        </w:rPr>
        <w:t>0</w:t>
      </w:r>
      <w:r w:rsidR="00D321CE" w:rsidRPr="00FA608D">
        <w:rPr>
          <w:sz w:val="22"/>
          <w:szCs w:val="22"/>
        </w:rPr>
        <w:t>61ZZGH(1) of the Act to</w:t>
      </w:r>
      <w:r w:rsidR="00E31DCF" w:rsidRPr="00FA608D">
        <w:rPr>
          <w:sz w:val="22"/>
          <w:szCs w:val="22"/>
        </w:rPr>
        <w:t> </w:t>
      </w:r>
      <w:r w:rsidR="00D321CE" w:rsidRPr="00FA608D">
        <w:rPr>
          <w:sz w:val="22"/>
          <w:szCs w:val="22"/>
        </w:rPr>
        <w:t xml:space="preserve">amend the </w:t>
      </w:r>
      <w:r w:rsidRPr="00FA608D">
        <w:rPr>
          <w:sz w:val="22"/>
          <w:szCs w:val="22"/>
        </w:rPr>
        <w:t>Determination.</w:t>
      </w:r>
    </w:p>
    <w:p w14:paraId="63F72019" w14:textId="77777777" w:rsidR="006A6D51" w:rsidRPr="00FA608D" w:rsidRDefault="006A6D51" w:rsidP="00965713">
      <w:pPr>
        <w:keepNext/>
        <w:rPr>
          <w:rStyle w:val="BookTitle"/>
          <w:b/>
          <w:i w:val="0"/>
          <w:iCs w:val="0"/>
          <w:smallCaps w:val="0"/>
          <w:spacing w:val="0"/>
          <w:sz w:val="22"/>
          <w:szCs w:val="22"/>
        </w:rPr>
      </w:pPr>
      <w:r w:rsidRPr="00FA608D">
        <w:rPr>
          <w:rStyle w:val="BookTitle"/>
          <w:b/>
          <w:i w:val="0"/>
          <w:iCs w:val="0"/>
          <w:smallCaps w:val="0"/>
          <w:spacing w:val="0"/>
          <w:sz w:val="22"/>
          <w:szCs w:val="22"/>
        </w:rPr>
        <w:t>Consultation</w:t>
      </w:r>
    </w:p>
    <w:p w14:paraId="708A0A49" w14:textId="1EE4116D" w:rsidR="009D3AC9" w:rsidRPr="00FA608D" w:rsidRDefault="00500C30" w:rsidP="009D3AC9">
      <w:pPr>
        <w:rPr>
          <w:sz w:val="22"/>
          <w:szCs w:val="22"/>
          <w:lang w:val="en-US"/>
        </w:rPr>
      </w:pPr>
      <w:r w:rsidRPr="00FA608D">
        <w:rPr>
          <w:sz w:val="22"/>
          <w:szCs w:val="22"/>
          <w:lang w:val="en-US"/>
        </w:rPr>
        <w:t>The Department of Social Services has consulted with Services Australia and the Department of Home Affairs on the text of the proposed amendments</w:t>
      </w:r>
      <w:r w:rsidR="00FC30A3" w:rsidRPr="00FA608D">
        <w:rPr>
          <w:sz w:val="22"/>
          <w:szCs w:val="22"/>
          <w:lang w:val="en-US"/>
        </w:rPr>
        <w:t xml:space="preserve">. </w:t>
      </w:r>
    </w:p>
    <w:p w14:paraId="6634BC82" w14:textId="0CEF1E16" w:rsidR="00500C30" w:rsidRPr="00FA608D" w:rsidRDefault="00500C30" w:rsidP="003C5796">
      <w:pPr>
        <w:tabs>
          <w:tab w:val="num" w:pos="720"/>
        </w:tabs>
        <w:rPr>
          <w:sz w:val="22"/>
          <w:szCs w:val="22"/>
        </w:rPr>
      </w:pPr>
      <w:r w:rsidRPr="00FA608D">
        <w:rPr>
          <w:sz w:val="22"/>
          <w:szCs w:val="22"/>
          <w:lang w:val="en-US"/>
        </w:rPr>
        <w:t>External consultation on the text of the proposed amendments was undertaken with</w:t>
      </w:r>
      <w:r w:rsidR="003C5796" w:rsidRPr="00FA608D">
        <w:rPr>
          <w:sz w:val="22"/>
          <w:szCs w:val="22"/>
          <w:lang w:val="en-US"/>
        </w:rPr>
        <w:t xml:space="preserve"> </w:t>
      </w:r>
      <w:r w:rsidR="00C34631" w:rsidRPr="00FA608D">
        <w:rPr>
          <w:sz w:val="22"/>
          <w:szCs w:val="22"/>
          <w:lang w:val="en-US"/>
        </w:rPr>
        <w:t>the Federation</w:t>
      </w:r>
      <w:r w:rsidR="003C5796" w:rsidRPr="00FA608D">
        <w:rPr>
          <w:bCs/>
          <w:sz w:val="22"/>
          <w:szCs w:val="22"/>
        </w:rPr>
        <w:t xml:space="preserve"> of Ethnic Communities’ Council of Australia</w:t>
      </w:r>
      <w:r w:rsidR="003C5796" w:rsidRPr="00FA608D">
        <w:rPr>
          <w:sz w:val="22"/>
          <w:szCs w:val="22"/>
        </w:rPr>
        <w:t xml:space="preserve">, the </w:t>
      </w:r>
      <w:r w:rsidR="003C5796" w:rsidRPr="00FA608D">
        <w:rPr>
          <w:bCs/>
          <w:sz w:val="22"/>
          <w:szCs w:val="22"/>
        </w:rPr>
        <w:t>Migration Council Australia, the Migration Institute of Australia, the Settlement Council of Australia, the Refugee Council of Australia, the Australia</w:t>
      </w:r>
      <w:r w:rsidR="000D28F5" w:rsidRPr="00FA608D">
        <w:rPr>
          <w:bCs/>
          <w:sz w:val="22"/>
          <w:szCs w:val="22"/>
        </w:rPr>
        <w:t>n</w:t>
      </w:r>
      <w:r w:rsidR="003C5796" w:rsidRPr="00FA608D">
        <w:rPr>
          <w:bCs/>
          <w:sz w:val="22"/>
          <w:szCs w:val="22"/>
        </w:rPr>
        <w:t xml:space="preserve"> Council of Social Service</w:t>
      </w:r>
      <w:r w:rsidR="003C5796" w:rsidRPr="00FA608D">
        <w:rPr>
          <w:sz w:val="22"/>
          <w:szCs w:val="22"/>
        </w:rPr>
        <w:t xml:space="preserve"> and </w:t>
      </w:r>
      <w:r w:rsidR="003C5796" w:rsidRPr="00FA608D">
        <w:rPr>
          <w:bCs/>
          <w:sz w:val="22"/>
          <w:szCs w:val="22"/>
        </w:rPr>
        <w:t>Economic Justice Australia</w:t>
      </w:r>
      <w:r w:rsidRPr="00FA608D">
        <w:rPr>
          <w:sz w:val="22"/>
          <w:szCs w:val="22"/>
          <w:lang w:val="en-US"/>
        </w:rPr>
        <w:t>.</w:t>
      </w:r>
    </w:p>
    <w:p w14:paraId="587FE003" w14:textId="5079DDD8" w:rsidR="002329E1" w:rsidRPr="00FA608D" w:rsidRDefault="002329E1" w:rsidP="003A04AD">
      <w:pPr>
        <w:spacing w:after="240"/>
        <w:jc w:val="both"/>
        <w:rPr>
          <w:b/>
          <w:sz w:val="22"/>
          <w:szCs w:val="22"/>
        </w:rPr>
      </w:pPr>
      <w:r w:rsidRPr="00FA608D">
        <w:rPr>
          <w:b/>
          <w:sz w:val="22"/>
          <w:szCs w:val="22"/>
        </w:rPr>
        <w:t xml:space="preserve">Impact </w:t>
      </w:r>
      <w:r w:rsidR="00FC30A3" w:rsidRPr="00FA608D">
        <w:rPr>
          <w:b/>
          <w:sz w:val="22"/>
          <w:szCs w:val="22"/>
        </w:rPr>
        <w:t>Analysis</w:t>
      </w:r>
    </w:p>
    <w:p w14:paraId="3FE7B0F3" w14:textId="278081BD" w:rsidR="00187711" w:rsidRPr="00FA608D" w:rsidRDefault="0091415B" w:rsidP="00187711">
      <w:pPr>
        <w:rPr>
          <w:sz w:val="22"/>
          <w:szCs w:val="22"/>
        </w:rPr>
      </w:pPr>
      <w:r w:rsidRPr="00FA608D">
        <w:rPr>
          <w:sz w:val="22"/>
          <w:szCs w:val="22"/>
        </w:rPr>
        <w:t xml:space="preserve">The </w:t>
      </w:r>
      <w:r w:rsidR="00FC30A3" w:rsidRPr="00FA608D">
        <w:rPr>
          <w:sz w:val="22"/>
          <w:szCs w:val="22"/>
        </w:rPr>
        <w:t xml:space="preserve">Department </w:t>
      </w:r>
      <w:r w:rsidR="00500C30" w:rsidRPr="00FA608D">
        <w:rPr>
          <w:sz w:val="22"/>
          <w:szCs w:val="22"/>
        </w:rPr>
        <w:t xml:space="preserve">of Social Services </w:t>
      </w:r>
      <w:r w:rsidR="00FC30A3" w:rsidRPr="00FA608D">
        <w:rPr>
          <w:sz w:val="22"/>
          <w:szCs w:val="22"/>
        </w:rPr>
        <w:t xml:space="preserve">consulted with the Office of Impact Analysis (OIA) who confirmed </w:t>
      </w:r>
      <w:r w:rsidR="00841DCF" w:rsidRPr="00FA608D">
        <w:rPr>
          <w:sz w:val="22"/>
          <w:szCs w:val="22"/>
        </w:rPr>
        <w:t xml:space="preserve">the Amendment Determination is unlikely to have a more than minor impact and, as such, </w:t>
      </w:r>
      <w:r w:rsidR="00FC30A3" w:rsidRPr="00FA608D">
        <w:rPr>
          <w:sz w:val="22"/>
          <w:szCs w:val="22"/>
        </w:rPr>
        <w:t xml:space="preserve">an </w:t>
      </w:r>
      <w:r w:rsidR="00500C30" w:rsidRPr="00FA608D">
        <w:rPr>
          <w:sz w:val="22"/>
          <w:szCs w:val="22"/>
        </w:rPr>
        <w:t>Impact </w:t>
      </w:r>
      <w:r w:rsidR="00FC30A3" w:rsidRPr="00FA608D">
        <w:rPr>
          <w:sz w:val="22"/>
          <w:szCs w:val="22"/>
        </w:rPr>
        <w:t>Analysis is not required</w:t>
      </w:r>
      <w:r w:rsidR="00640044" w:rsidRPr="00FA608D">
        <w:rPr>
          <w:sz w:val="22"/>
          <w:szCs w:val="22"/>
        </w:rPr>
        <w:t xml:space="preserve"> (OIA Reference:</w:t>
      </w:r>
      <w:r w:rsidR="00385B58" w:rsidRPr="00FA608D">
        <w:rPr>
          <w:sz w:val="22"/>
          <w:szCs w:val="22"/>
        </w:rPr>
        <w:t xml:space="preserve"> OIA24-06360</w:t>
      </w:r>
      <w:r w:rsidR="00640044" w:rsidRPr="00FA608D">
        <w:rPr>
          <w:sz w:val="22"/>
          <w:szCs w:val="22"/>
        </w:rPr>
        <w:t>)</w:t>
      </w:r>
      <w:r w:rsidR="00FC30A3" w:rsidRPr="00FA608D">
        <w:rPr>
          <w:sz w:val="22"/>
          <w:szCs w:val="22"/>
        </w:rPr>
        <w:t xml:space="preserve">. </w:t>
      </w:r>
    </w:p>
    <w:p w14:paraId="6DFABD86" w14:textId="39B71685" w:rsidR="00946E6D" w:rsidRPr="00FA608D" w:rsidRDefault="0006693F" w:rsidP="00187711">
      <w:pPr>
        <w:rPr>
          <w:b/>
          <w:sz w:val="22"/>
          <w:szCs w:val="22"/>
        </w:rPr>
      </w:pPr>
      <w:r w:rsidRPr="00FA608D">
        <w:rPr>
          <w:b/>
          <w:sz w:val="22"/>
          <w:szCs w:val="22"/>
        </w:rPr>
        <w:t>Availability of independent review</w:t>
      </w:r>
    </w:p>
    <w:p w14:paraId="4745A994" w14:textId="1F21BC08" w:rsidR="0006693F" w:rsidRPr="00FA608D" w:rsidRDefault="005E1067" w:rsidP="00187711">
      <w:pPr>
        <w:rPr>
          <w:sz w:val="22"/>
          <w:szCs w:val="22"/>
        </w:rPr>
      </w:pPr>
      <w:r w:rsidRPr="00FA608D">
        <w:rPr>
          <w:sz w:val="22"/>
          <w:szCs w:val="22"/>
        </w:rPr>
        <w:t xml:space="preserve">A decision made </w:t>
      </w:r>
      <w:r w:rsidR="00500C30" w:rsidRPr="00FA608D">
        <w:rPr>
          <w:sz w:val="22"/>
          <w:szCs w:val="22"/>
        </w:rPr>
        <w:t xml:space="preserve">under the Act, </w:t>
      </w:r>
      <w:r w:rsidRPr="00FA608D">
        <w:rPr>
          <w:sz w:val="22"/>
          <w:szCs w:val="22"/>
        </w:rPr>
        <w:t>as informed by the Determination</w:t>
      </w:r>
      <w:r w:rsidR="00C4676A" w:rsidRPr="00FA608D">
        <w:rPr>
          <w:sz w:val="22"/>
          <w:szCs w:val="22"/>
        </w:rPr>
        <w:t>,</w:t>
      </w:r>
      <w:r w:rsidR="00D321CE" w:rsidRPr="00FA608D">
        <w:rPr>
          <w:sz w:val="22"/>
          <w:szCs w:val="22"/>
        </w:rPr>
        <w:t xml:space="preserve"> is subject to internal and external review under Parts 4 and 4A of the </w:t>
      </w:r>
      <w:r w:rsidR="005B6B40" w:rsidRPr="00FA608D">
        <w:rPr>
          <w:i/>
          <w:sz w:val="22"/>
          <w:szCs w:val="22"/>
        </w:rPr>
        <w:t>Social </w:t>
      </w:r>
      <w:r w:rsidR="00D321CE" w:rsidRPr="00FA608D">
        <w:rPr>
          <w:i/>
          <w:sz w:val="22"/>
          <w:szCs w:val="22"/>
        </w:rPr>
        <w:t>Security (Administration) Act 1999</w:t>
      </w:r>
      <w:r w:rsidR="00D321CE" w:rsidRPr="00FA608D">
        <w:rPr>
          <w:sz w:val="22"/>
          <w:szCs w:val="22"/>
        </w:rPr>
        <w:t>.</w:t>
      </w:r>
    </w:p>
    <w:p w14:paraId="56875BD2" w14:textId="049BAA42" w:rsidR="00D321CE" w:rsidRPr="00FA608D" w:rsidRDefault="00D321CE" w:rsidP="00187711">
      <w:pPr>
        <w:rPr>
          <w:sz w:val="22"/>
          <w:szCs w:val="22"/>
        </w:rPr>
      </w:pPr>
      <w:r w:rsidRPr="00FA608D">
        <w:rPr>
          <w:sz w:val="22"/>
          <w:szCs w:val="22"/>
        </w:rPr>
        <w:t>Th</w:t>
      </w:r>
      <w:r w:rsidR="00500C30" w:rsidRPr="00FA608D">
        <w:rPr>
          <w:sz w:val="22"/>
          <w:szCs w:val="22"/>
        </w:rPr>
        <w:t>e</w:t>
      </w:r>
      <w:r w:rsidRPr="00FA608D">
        <w:rPr>
          <w:sz w:val="22"/>
          <w:szCs w:val="22"/>
        </w:rPr>
        <w:t xml:space="preserve"> </w:t>
      </w:r>
      <w:r w:rsidR="005B6B40" w:rsidRPr="00FA608D">
        <w:rPr>
          <w:sz w:val="22"/>
          <w:szCs w:val="22"/>
        </w:rPr>
        <w:t>Amendment Determination</w:t>
      </w:r>
      <w:r w:rsidRPr="00FA608D">
        <w:rPr>
          <w:sz w:val="22"/>
          <w:szCs w:val="22"/>
        </w:rPr>
        <w:t xml:space="preserve"> is a legislative instrument for the purposes of the </w:t>
      </w:r>
      <w:r w:rsidRPr="00FA608D">
        <w:rPr>
          <w:i/>
          <w:sz w:val="22"/>
          <w:szCs w:val="22"/>
        </w:rPr>
        <w:t>Legislation Act 2003</w:t>
      </w:r>
      <w:r w:rsidRPr="00FA608D">
        <w:rPr>
          <w:sz w:val="22"/>
          <w:szCs w:val="22"/>
        </w:rPr>
        <w:t xml:space="preserve"> and </w:t>
      </w:r>
      <w:r w:rsidR="00A64F37" w:rsidRPr="00FA608D">
        <w:rPr>
          <w:sz w:val="22"/>
          <w:szCs w:val="22"/>
        </w:rPr>
        <w:t xml:space="preserve">is </w:t>
      </w:r>
      <w:r w:rsidRPr="00FA608D">
        <w:rPr>
          <w:sz w:val="22"/>
          <w:szCs w:val="22"/>
        </w:rPr>
        <w:t>subject to disallowance.</w:t>
      </w:r>
    </w:p>
    <w:p w14:paraId="21DA64F4" w14:textId="77777777" w:rsidR="006A6D51" w:rsidRPr="00FA608D" w:rsidRDefault="006A6D51" w:rsidP="003A04AD">
      <w:pPr>
        <w:rPr>
          <w:rStyle w:val="BookTitle"/>
          <w:b/>
          <w:i w:val="0"/>
          <w:iCs w:val="0"/>
          <w:smallCaps w:val="0"/>
          <w:spacing w:val="0"/>
          <w:sz w:val="22"/>
          <w:szCs w:val="22"/>
        </w:rPr>
      </w:pPr>
      <w:r w:rsidRPr="00FA608D">
        <w:rPr>
          <w:rStyle w:val="BookTitle"/>
          <w:b/>
          <w:i w:val="0"/>
          <w:iCs w:val="0"/>
          <w:smallCaps w:val="0"/>
          <w:spacing w:val="0"/>
          <w:sz w:val="22"/>
          <w:szCs w:val="22"/>
        </w:rPr>
        <w:t>Explanation of the provisions</w:t>
      </w:r>
    </w:p>
    <w:p w14:paraId="385D3BC1" w14:textId="01A3D07C" w:rsidR="007E6CDF" w:rsidRPr="00FA608D" w:rsidRDefault="00D44B34" w:rsidP="007E6CDF">
      <w:pPr>
        <w:rPr>
          <w:rStyle w:val="BookTitle"/>
          <w:i w:val="0"/>
          <w:iCs w:val="0"/>
          <w:smallCaps w:val="0"/>
          <w:spacing w:val="0"/>
          <w:sz w:val="22"/>
          <w:szCs w:val="22"/>
        </w:rPr>
      </w:pPr>
      <w:r w:rsidRPr="00FA608D">
        <w:rPr>
          <w:rStyle w:val="BookTitle"/>
          <w:b/>
          <w:i w:val="0"/>
          <w:iCs w:val="0"/>
          <w:smallCaps w:val="0"/>
          <w:spacing w:val="0"/>
          <w:sz w:val="22"/>
          <w:szCs w:val="22"/>
        </w:rPr>
        <w:t xml:space="preserve">Section 1 </w:t>
      </w:r>
      <w:r w:rsidRPr="00FA608D">
        <w:rPr>
          <w:rStyle w:val="BookTitle"/>
          <w:i w:val="0"/>
          <w:iCs w:val="0"/>
          <w:smallCaps w:val="0"/>
          <w:spacing w:val="0"/>
          <w:sz w:val="22"/>
          <w:szCs w:val="22"/>
        </w:rPr>
        <w:t xml:space="preserve">states that the name of the </w:t>
      </w:r>
      <w:r w:rsidR="005B6B40" w:rsidRPr="00FA608D">
        <w:rPr>
          <w:rStyle w:val="BookTitle"/>
          <w:i w:val="0"/>
          <w:iCs w:val="0"/>
          <w:smallCaps w:val="0"/>
          <w:spacing w:val="0"/>
          <w:sz w:val="22"/>
          <w:szCs w:val="22"/>
        </w:rPr>
        <w:t>Amendment Determination</w:t>
      </w:r>
      <w:r w:rsidRPr="00FA608D">
        <w:rPr>
          <w:rStyle w:val="BookTitle"/>
          <w:i w:val="0"/>
          <w:iCs w:val="0"/>
          <w:smallCaps w:val="0"/>
          <w:spacing w:val="0"/>
          <w:sz w:val="22"/>
          <w:szCs w:val="22"/>
        </w:rPr>
        <w:t xml:space="preserve"> is the </w:t>
      </w:r>
      <w:r w:rsidRPr="00FA608D">
        <w:rPr>
          <w:rStyle w:val="BookTitle"/>
          <w:iCs w:val="0"/>
          <w:smallCaps w:val="0"/>
          <w:spacing w:val="0"/>
          <w:sz w:val="22"/>
          <w:szCs w:val="22"/>
        </w:rPr>
        <w:t>Social Security (Assurances of Support) Amendment Determination 202</w:t>
      </w:r>
      <w:r w:rsidR="00422F60" w:rsidRPr="00FA608D">
        <w:rPr>
          <w:rStyle w:val="BookTitle"/>
          <w:iCs w:val="0"/>
          <w:smallCaps w:val="0"/>
          <w:spacing w:val="0"/>
          <w:sz w:val="22"/>
          <w:szCs w:val="22"/>
        </w:rPr>
        <w:t>4</w:t>
      </w:r>
      <w:r w:rsidRPr="00FA608D">
        <w:rPr>
          <w:rStyle w:val="BookTitle"/>
          <w:i w:val="0"/>
          <w:iCs w:val="0"/>
          <w:smallCaps w:val="0"/>
          <w:spacing w:val="0"/>
          <w:sz w:val="22"/>
          <w:szCs w:val="22"/>
        </w:rPr>
        <w:t>.</w:t>
      </w:r>
    </w:p>
    <w:p w14:paraId="1A4DF37D" w14:textId="44BFB48A" w:rsidR="00D44B34" w:rsidRPr="00FA608D" w:rsidRDefault="00D44B34" w:rsidP="007E6CDF">
      <w:pPr>
        <w:rPr>
          <w:rStyle w:val="BookTitle"/>
          <w:i w:val="0"/>
          <w:iCs w:val="0"/>
          <w:smallCaps w:val="0"/>
          <w:spacing w:val="0"/>
          <w:sz w:val="22"/>
          <w:szCs w:val="22"/>
        </w:rPr>
      </w:pPr>
      <w:r w:rsidRPr="00FA608D">
        <w:rPr>
          <w:rStyle w:val="BookTitle"/>
          <w:b/>
          <w:i w:val="0"/>
          <w:iCs w:val="0"/>
          <w:smallCaps w:val="0"/>
          <w:spacing w:val="0"/>
          <w:sz w:val="22"/>
          <w:szCs w:val="22"/>
        </w:rPr>
        <w:t>Section 2</w:t>
      </w:r>
      <w:r w:rsidRPr="00FA608D">
        <w:rPr>
          <w:rStyle w:val="BookTitle"/>
          <w:i w:val="0"/>
          <w:iCs w:val="0"/>
          <w:smallCaps w:val="0"/>
          <w:spacing w:val="0"/>
          <w:sz w:val="22"/>
          <w:szCs w:val="22"/>
        </w:rPr>
        <w:t xml:space="preserve"> specifies that the </w:t>
      </w:r>
      <w:r w:rsidR="005B6B40" w:rsidRPr="00FA608D">
        <w:rPr>
          <w:rStyle w:val="BookTitle"/>
          <w:i w:val="0"/>
          <w:iCs w:val="0"/>
          <w:smallCaps w:val="0"/>
          <w:spacing w:val="0"/>
          <w:sz w:val="22"/>
          <w:szCs w:val="22"/>
        </w:rPr>
        <w:t>Amendment Determination</w:t>
      </w:r>
      <w:r w:rsidRPr="00FA608D">
        <w:rPr>
          <w:rStyle w:val="BookTitle"/>
          <w:i w:val="0"/>
          <w:iCs w:val="0"/>
          <w:smallCaps w:val="0"/>
          <w:spacing w:val="0"/>
          <w:sz w:val="22"/>
          <w:szCs w:val="22"/>
        </w:rPr>
        <w:t xml:space="preserve"> commences on </w:t>
      </w:r>
      <w:r w:rsidR="00422F60" w:rsidRPr="00FA608D">
        <w:rPr>
          <w:rStyle w:val="BookTitle"/>
          <w:i w:val="0"/>
          <w:iCs w:val="0"/>
          <w:smallCaps w:val="0"/>
          <w:spacing w:val="0"/>
          <w:sz w:val="22"/>
          <w:szCs w:val="22"/>
        </w:rPr>
        <w:t>the day after it is registered</w:t>
      </w:r>
      <w:r w:rsidRPr="00FA608D">
        <w:rPr>
          <w:rStyle w:val="BookTitle"/>
          <w:i w:val="0"/>
          <w:iCs w:val="0"/>
          <w:smallCaps w:val="0"/>
          <w:spacing w:val="0"/>
          <w:sz w:val="22"/>
          <w:szCs w:val="22"/>
        </w:rPr>
        <w:t>.</w:t>
      </w:r>
    </w:p>
    <w:p w14:paraId="601BBC8B" w14:textId="29FF33B6" w:rsidR="00D44B34" w:rsidRPr="00FA608D" w:rsidRDefault="00D44B34" w:rsidP="007E6CDF">
      <w:pPr>
        <w:rPr>
          <w:rStyle w:val="BookTitle"/>
          <w:i w:val="0"/>
          <w:iCs w:val="0"/>
          <w:smallCaps w:val="0"/>
          <w:spacing w:val="0"/>
          <w:sz w:val="22"/>
          <w:szCs w:val="22"/>
        </w:rPr>
      </w:pPr>
      <w:r w:rsidRPr="00FA608D">
        <w:rPr>
          <w:rStyle w:val="BookTitle"/>
          <w:b/>
          <w:i w:val="0"/>
          <w:iCs w:val="0"/>
          <w:smallCaps w:val="0"/>
          <w:spacing w:val="0"/>
          <w:sz w:val="22"/>
          <w:szCs w:val="22"/>
        </w:rPr>
        <w:t>Section 3</w:t>
      </w:r>
      <w:r w:rsidRPr="00FA608D">
        <w:rPr>
          <w:rStyle w:val="BookTitle"/>
          <w:i w:val="0"/>
          <w:iCs w:val="0"/>
          <w:smallCaps w:val="0"/>
          <w:spacing w:val="0"/>
          <w:sz w:val="22"/>
          <w:szCs w:val="22"/>
        </w:rPr>
        <w:t xml:space="preserve"> provides that the </w:t>
      </w:r>
      <w:r w:rsidR="005B6B40" w:rsidRPr="00FA608D">
        <w:rPr>
          <w:rStyle w:val="BookTitle"/>
          <w:i w:val="0"/>
          <w:iCs w:val="0"/>
          <w:smallCaps w:val="0"/>
          <w:spacing w:val="0"/>
          <w:sz w:val="22"/>
          <w:szCs w:val="22"/>
        </w:rPr>
        <w:t>Amendment Determination</w:t>
      </w:r>
      <w:r w:rsidRPr="00FA608D">
        <w:rPr>
          <w:rStyle w:val="BookTitle"/>
          <w:i w:val="0"/>
          <w:iCs w:val="0"/>
          <w:smallCaps w:val="0"/>
          <w:spacing w:val="0"/>
          <w:sz w:val="22"/>
          <w:szCs w:val="22"/>
        </w:rPr>
        <w:t xml:space="preserve"> is made under </w:t>
      </w:r>
      <w:r w:rsidR="005B6B40" w:rsidRPr="00FA608D">
        <w:rPr>
          <w:rStyle w:val="BookTitle"/>
          <w:i w:val="0"/>
          <w:iCs w:val="0"/>
          <w:smallCaps w:val="0"/>
          <w:spacing w:val="0"/>
          <w:sz w:val="22"/>
          <w:szCs w:val="22"/>
        </w:rPr>
        <w:t xml:space="preserve">subsection 1061ZZGH(1) of </w:t>
      </w:r>
      <w:r w:rsidRPr="00FA608D">
        <w:rPr>
          <w:rStyle w:val="BookTitle"/>
          <w:i w:val="0"/>
          <w:iCs w:val="0"/>
          <w:smallCaps w:val="0"/>
          <w:spacing w:val="0"/>
          <w:sz w:val="22"/>
          <w:szCs w:val="22"/>
        </w:rPr>
        <w:t xml:space="preserve">the </w:t>
      </w:r>
      <w:r w:rsidR="005B6B40" w:rsidRPr="00FA608D">
        <w:rPr>
          <w:rStyle w:val="BookTitle"/>
          <w:iCs w:val="0"/>
          <w:smallCaps w:val="0"/>
          <w:spacing w:val="0"/>
          <w:sz w:val="22"/>
          <w:szCs w:val="22"/>
        </w:rPr>
        <w:t xml:space="preserve">Social Security </w:t>
      </w:r>
      <w:r w:rsidRPr="00FA608D">
        <w:rPr>
          <w:rStyle w:val="BookTitle"/>
          <w:iCs w:val="0"/>
          <w:smallCaps w:val="0"/>
          <w:spacing w:val="0"/>
          <w:sz w:val="22"/>
          <w:szCs w:val="22"/>
        </w:rPr>
        <w:t>Act</w:t>
      </w:r>
      <w:r w:rsidR="005B6B40" w:rsidRPr="00FA608D">
        <w:rPr>
          <w:rStyle w:val="BookTitle"/>
          <w:iCs w:val="0"/>
          <w:smallCaps w:val="0"/>
          <w:spacing w:val="0"/>
          <w:sz w:val="22"/>
          <w:szCs w:val="22"/>
        </w:rPr>
        <w:t xml:space="preserve"> 1991</w:t>
      </w:r>
      <w:r w:rsidRPr="00FA608D">
        <w:rPr>
          <w:rStyle w:val="BookTitle"/>
          <w:i w:val="0"/>
          <w:iCs w:val="0"/>
          <w:smallCaps w:val="0"/>
          <w:spacing w:val="0"/>
          <w:sz w:val="22"/>
          <w:szCs w:val="22"/>
        </w:rPr>
        <w:t>.</w:t>
      </w:r>
    </w:p>
    <w:p w14:paraId="3D8065F2" w14:textId="3E3DA62A" w:rsidR="00D44B34" w:rsidRPr="00FA608D" w:rsidRDefault="00D44B34" w:rsidP="007E6CDF">
      <w:pPr>
        <w:rPr>
          <w:iCs/>
          <w:sz w:val="22"/>
          <w:szCs w:val="22"/>
        </w:rPr>
      </w:pPr>
      <w:r w:rsidRPr="00FA608D">
        <w:rPr>
          <w:rStyle w:val="BookTitle"/>
          <w:b/>
          <w:i w:val="0"/>
          <w:iCs w:val="0"/>
          <w:smallCaps w:val="0"/>
          <w:spacing w:val="0"/>
          <w:sz w:val="22"/>
          <w:szCs w:val="22"/>
        </w:rPr>
        <w:t>Section 4</w:t>
      </w:r>
      <w:r w:rsidRPr="00FA608D">
        <w:rPr>
          <w:rStyle w:val="BookTitle"/>
          <w:i w:val="0"/>
          <w:iCs w:val="0"/>
          <w:smallCaps w:val="0"/>
          <w:spacing w:val="0"/>
          <w:sz w:val="22"/>
          <w:szCs w:val="22"/>
        </w:rPr>
        <w:t xml:space="preserve"> </w:t>
      </w:r>
      <w:r w:rsidRPr="00FA608D">
        <w:rPr>
          <w:iCs/>
          <w:sz w:val="22"/>
          <w:szCs w:val="22"/>
        </w:rPr>
        <w:t xml:space="preserve">sets out the operation of the Schedules and provides that any instrument specified in a Schedule to the </w:t>
      </w:r>
      <w:r w:rsidR="005B6B40" w:rsidRPr="00FA608D">
        <w:rPr>
          <w:iCs/>
          <w:sz w:val="22"/>
          <w:szCs w:val="22"/>
        </w:rPr>
        <w:t>Amendment Determination</w:t>
      </w:r>
      <w:r w:rsidR="00A64F37" w:rsidRPr="00FA608D">
        <w:rPr>
          <w:iCs/>
          <w:sz w:val="22"/>
          <w:szCs w:val="22"/>
        </w:rPr>
        <w:t xml:space="preserve"> </w:t>
      </w:r>
      <w:r w:rsidRPr="00FA608D">
        <w:rPr>
          <w:iCs/>
          <w:sz w:val="22"/>
          <w:szCs w:val="22"/>
        </w:rPr>
        <w:t>is amended or repealed according to the terms of the relevant Schedule.</w:t>
      </w:r>
    </w:p>
    <w:p w14:paraId="4E340AA8" w14:textId="72FEC44A" w:rsidR="00D44B34" w:rsidRPr="00FA608D" w:rsidRDefault="00D44B34" w:rsidP="007E6CDF">
      <w:pPr>
        <w:rPr>
          <w:iCs/>
          <w:sz w:val="22"/>
          <w:szCs w:val="22"/>
        </w:rPr>
      </w:pPr>
      <w:r w:rsidRPr="00FA608D">
        <w:rPr>
          <w:b/>
          <w:iCs/>
          <w:sz w:val="22"/>
          <w:szCs w:val="22"/>
          <w:u w:val="single"/>
        </w:rPr>
        <w:t>Schedule 1</w:t>
      </w:r>
      <w:r w:rsidRPr="00FA608D">
        <w:rPr>
          <w:iCs/>
          <w:sz w:val="22"/>
          <w:szCs w:val="22"/>
        </w:rPr>
        <w:t xml:space="preserve"> outlines the following amendments to the Determination.</w:t>
      </w:r>
    </w:p>
    <w:p w14:paraId="36BC2437" w14:textId="0731ADEC" w:rsidR="00640044" w:rsidRPr="00FA608D" w:rsidRDefault="00D44B34" w:rsidP="007E6CDF">
      <w:pPr>
        <w:rPr>
          <w:iCs/>
          <w:sz w:val="22"/>
          <w:szCs w:val="22"/>
        </w:rPr>
      </w:pPr>
      <w:r w:rsidRPr="00FA608D">
        <w:rPr>
          <w:b/>
          <w:iCs/>
          <w:sz w:val="22"/>
          <w:szCs w:val="22"/>
        </w:rPr>
        <w:lastRenderedPageBreak/>
        <w:t>Item 1</w:t>
      </w:r>
      <w:r w:rsidRPr="00FA608D">
        <w:rPr>
          <w:iCs/>
          <w:sz w:val="22"/>
          <w:szCs w:val="22"/>
        </w:rPr>
        <w:t xml:space="preserve"> </w:t>
      </w:r>
      <w:r w:rsidR="00640044" w:rsidRPr="00FA608D">
        <w:rPr>
          <w:iCs/>
          <w:sz w:val="22"/>
          <w:szCs w:val="22"/>
        </w:rPr>
        <w:t>repeals section 2A which had provided that the Determination would be repealed with effect from 31 March 2024.</w:t>
      </w:r>
      <w:r w:rsidR="00842D1C" w:rsidRPr="00FA608D">
        <w:rPr>
          <w:iCs/>
          <w:sz w:val="22"/>
          <w:szCs w:val="22"/>
        </w:rPr>
        <w:t xml:space="preserve"> This enables the </w:t>
      </w:r>
      <w:r w:rsidR="008A7A50" w:rsidRPr="00FA608D">
        <w:rPr>
          <w:iCs/>
          <w:sz w:val="22"/>
          <w:szCs w:val="22"/>
        </w:rPr>
        <w:t>Determination and the</w:t>
      </w:r>
      <w:r w:rsidR="00842D1C" w:rsidRPr="00FA608D">
        <w:rPr>
          <w:iCs/>
          <w:sz w:val="22"/>
          <w:szCs w:val="22"/>
        </w:rPr>
        <w:t xml:space="preserve"> assurance of support </w:t>
      </w:r>
      <w:r w:rsidR="008A7A50" w:rsidRPr="00FA608D">
        <w:rPr>
          <w:iCs/>
          <w:sz w:val="22"/>
          <w:szCs w:val="22"/>
        </w:rPr>
        <w:t>scheme more broadly</w:t>
      </w:r>
      <w:r w:rsidR="00842D1C" w:rsidRPr="00FA608D">
        <w:rPr>
          <w:iCs/>
          <w:sz w:val="22"/>
          <w:szCs w:val="22"/>
        </w:rPr>
        <w:t xml:space="preserve"> to continue</w:t>
      </w:r>
      <w:r w:rsidR="008A7A50" w:rsidRPr="00FA608D">
        <w:rPr>
          <w:iCs/>
          <w:sz w:val="22"/>
          <w:szCs w:val="22"/>
        </w:rPr>
        <w:t xml:space="preserve"> to operate on the current basis, subject to the two minor amendments below</w:t>
      </w:r>
      <w:r w:rsidR="00842D1C" w:rsidRPr="00FA608D">
        <w:rPr>
          <w:iCs/>
          <w:sz w:val="22"/>
          <w:szCs w:val="22"/>
        </w:rPr>
        <w:t>.</w:t>
      </w:r>
    </w:p>
    <w:p w14:paraId="6F9F2164" w14:textId="0701F94F" w:rsidR="00422F60" w:rsidRPr="00FA608D" w:rsidRDefault="00640044" w:rsidP="007E6CDF">
      <w:pPr>
        <w:rPr>
          <w:iCs/>
          <w:sz w:val="22"/>
          <w:szCs w:val="22"/>
        </w:rPr>
      </w:pPr>
      <w:r w:rsidRPr="00FA608D">
        <w:rPr>
          <w:iCs/>
          <w:sz w:val="22"/>
          <w:szCs w:val="22"/>
        </w:rPr>
        <w:t xml:space="preserve">The repeal of section 2A will make the Determination subject to the sunsetting provisions of the </w:t>
      </w:r>
      <w:r w:rsidRPr="00FA608D">
        <w:rPr>
          <w:i/>
          <w:iCs/>
          <w:sz w:val="22"/>
          <w:szCs w:val="22"/>
        </w:rPr>
        <w:t>Legislation Act 2003</w:t>
      </w:r>
      <w:r w:rsidRPr="00FA608D">
        <w:rPr>
          <w:iCs/>
          <w:sz w:val="22"/>
          <w:szCs w:val="22"/>
        </w:rPr>
        <w:t>. Under the provisions of that Act</w:t>
      </w:r>
      <w:r w:rsidR="005B6B40" w:rsidRPr="00FA608D">
        <w:rPr>
          <w:iCs/>
          <w:sz w:val="22"/>
          <w:szCs w:val="22"/>
        </w:rPr>
        <w:t>,</w:t>
      </w:r>
      <w:r w:rsidRPr="00FA608D">
        <w:rPr>
          <w:iCs/>
          <w:sz w:val="22"/>
          <w:szCs w:val="22"/>
        </w:rPr>
        <w:t xml:space="preserve"> the Determi</w:t>
      </w:r>
      <w:r w:rsidR="00500C30" w:rsidRPr="00FA608D">
        <w:rPr>
          <w:iCs/>
          <w:sz w:val="22"/>
          <w:szCs w:val="22"/>
        </w:rPr>
        <w:t>nation will sunset on 1 October </w:t>
      </w:r>
      <w:r w:rsidRPr="00FA608D">
        <w:rPr>
          <w:iCs/>
          <w:sz w:val="22"/>
          <w:szCs w:val="22"/>
        </w:rPr>
        <w:t>2028</w:t>
      </w:r>
      <w:r w:rsidR="00500C30" w:rsidRPr="00FA608D">
        <w:rPr>
          <w:iCs/>
          <w:sz w:val="22"/>
          <w:szCs w:val="22"/>
        </w:rPr>
        <w:t>,</w:t>
      </w:r>
      <w:r w:rsidR="004E2392" w:rsidRPr="00FA608D">
        <w:rPr>
          <w:iCs/>
          <w:sz w:val="22"/>
          <w:szCs w:val="22"/>
        </w:rPr>
        <w:t xml:space="preserve"> unless repealed earlier</w:t>
      </w:r>
      <w:r w:rsidRPr="00FA608D">
        <w:rPr>
          <w:iCs/>
          <w:sz w:val="22"/>
          <w:szCs w:val="22"/>
        </w:rPr>
        <w:t>.</w:t>
      </w:r>
    </w:p>
    <w:p w14:paraId="1D5DB46D" w14:textId="3B26E5C2" w:rsidR="00640044" w:rsidRPr="00FA608D" w:rsidRDefault="00640044" w:rsidP="007E6CDF">
      <w:pPr>
        <w:rPr>
          <w:iCs/>
          <w:sz w:val="22"/>
          <w:szCs w:val="22"/>
        </w:rPr>
      </w:pPr>
      <w:r w:rsidRPr="00FA608D">
        <w:rPr>
          <w:b/>
          <w:iCs/>
          <w:sz w:val="22"/>
          <w:szCs w:val="22"/>
        </w:rPr>
        <w:t>Item 2</w:t>
      </w:r>
      <w:r w:rsidRPr="00FA608D">
        <w:rPr>
          <w:iCs/>
          <w:sz w:val="22"/>
          <w:szCs w:val="22"/>
        </w:rPr>
        <w:t xml:space="preserve"> repeals paragraph 14(2)(a) and subs</w:t>
      </w:r>
      <w:r w:rsidR="00D10C66" w:rsidRPr="00FA608D">
        <w:rPr>
          <w:iCs/>
          <w:sz w:val="22"/>
          <w:szCs w:val="22"/>
        </w:rPr>
        <w:t>t</w:t>
      </w:r>
      <w:r w:rsidRPr="00FA608D">
        <w:rPr>
          <w:iCs/>
          <w:sz w:val="22"/>
          <w:szCs w:val="22"/>
        </w:rPr>
        <w:t xml:space="preserve">itutes </w:t>
      </w:r>
      <w:r w:rsidR="005B6B40" w:rsidRPr="00FA608D">
        <w:rPr>
          <w:iCs/>
          <w:sz w:val="22"/>
          <w:szCs w:val="22"/>
        </w:rPr>
        <w:t xml:space="preserve">a </w:t>
      </w:r>
      <w:r w:rsidRPr="00FA608D">
        <w:rPr>
          <w:iCs/>
          <w:sz w:val="22"/>
          <w:szCs w:val="22"/>
        </w:rPr>
        <w:t>new paragraph.</w:t>
      </w:r>
    </w:p>
    <w:p w14:paraId="548D6B00" w14:textId="25E2E080" w:rsidR="004E2392" w:rsidRPr="00FA608D" w:rsidRDefault="004E2392" w:rsidP="00187711">
      <w:pPr>
        <w:rPr>
          <w:sz w:val="22"/>
          <w:szCs w:val="22"/>
        </w:rPr>
      </w:pPr>
      <w:r w:rsidRPr="00FA608D">
        <w:rPr>
          <w:sz w:val="22"/>
          <w:szCs w:val="22"/>
        </w:rPr>
        <w:t>Paragraph 1061ZZGD(2)(a) of the Act provides that the Secr</w:t>
      </w:r>
      <w:r w:rsidR="0040295B" w:rsidRPr="00FA608D">
        <w:rPr>
          <w:sz w:val="22"/>
          <w:szCs w:val="22"/>
        </w:rPr>
        <w:t>etary may accept an assurance only if satisfied that the requirements specified in a determination</w:t>
      </w:r>
      <w:r w:rsidR="0040295B" w:rsidRPr="00FA608D">
        <w:rPr>
          <w:color w:val="000000"/>
          <w:sz w:val="22"/>
          <w:szCs w:val="22"/>
        </w:rPr>
        <w:t xml:space="preserve"> made under section 1061ZZGH and relate to the potential assurer are met.</w:t>
      </w:r>
    </w:p>
    <w:p w14:paraId="539EADEB" w14:textId="00726555" w:rsidR="00187711" w:rsidRPr="00FA608D" w:rsidRDefault="00187711" w:rsidP="00187711">
      <w:pPr>
        <w:rPr>
          <w:sz w:val="22"/>
          <w:szCs w:val="22"/>
        </w:rPr>
      </w:pPr>
      <w:r w:rsidRPr="00FA608D">
        <w:rPr>
          <w:sz w:val="22"/>
          <w:szCs w:val="22"/>
        </w:rPr>
        <w:t xml:space="preserve">The assurance of support income test </w:t>
      </w:r>
      <w:r w:rsidR="0040295B" w:rsidRPr="00FA608D">
        <w:rPr>
          <w:sz w:val="22"/>
          <w:szCs w:val="22"/>
        </w:rPr>
        <w:t xml:space="preserve">is a requirement specified </w:t>
      </w:r>
      <w:r w:rsidRPr="00FA608D">
        <w:rPr>
          <w:sz w:val="22"/>
          <w:szCs w:val="22"/>
        </w:rPr>
        <w:t>in section 14 of the Determination</w:t>
      </w:r>
      <w:r w:rsidR="0040295B" w:rsidRPr="00FA608D">
        <w:rPr>
          <w:sz w:val="22"/>
          <w:szCs w:val="22"/>
        </w:rPr>
        <w:t>, for the Secretary to be permitted to accept assurances of support. The income test</w:t>
      </w:r>
      <w:r w:rsidRPr="00FA608D">
        <w:rPr>
          <w:sz w:val="22"/>
          <w:szCs w:val="22"/>
        </w:rPr>
        <w:t xml:space="preserve"> is used to ensure that the assurer has the financial capacity to support the assuree.</w:t>
      </w:r>
    </w:p>
    <w:p w14:paraId="0982EABD" w14:textId="30CBB191" w:rsidR="00187711" w:rsidRPr="00FA608D" w:rsidRDefault="00187711" w:rsidP="00187711">
      <w:pPr>
        <w:rPr>
          <w:sz w:val="22"/>
          <w:szCs w:val="22"/>
        </w:rPr>
      </w:pPr>
      <w:r w:rsidRPr="00FA608D">
        <w:rPr>
          <w:sz w:val="22"/>
          <w:szCs w:val="22"/>
        </w:rPr>
        <w:t>Under section 14, the potential assurer must meet an income threshold for the current financial year and one of the two previous financial years, with the requirement that the year immediately before the current financial year is to be used if an income tax assessment notice is available for that year.</w:t>
      </w:r>
    </w:p>
    <w:p w14:paraId="7E740A61" w14:textId="5E635D5E" w:rsidR="00187711" w:rsidRPr="00FA608D" w:rsidRDefault="00187711" w:rsidP="00187711">
      <w:pPr>
        <w:rPr>
          <w:sz w:val="22"/>
          <w:szCs w:val="22"/>
        </w:rPr>
      </w:pPr>
      <w:r w:rsidRPr="00FA608D">
        <w:rPr>
          <w:sz w:val="22"/>
          <w:szCs w:val="22"/>
        </w:rPr>
        <w:t>It is only in the circumstances where an inco</w:t>
      </w:r>
      <w:r w:rsidR="00257AED" w:rsidRPr="00FA608D">
        <w:rPr>
          <w:sz w:val="22"/>
          <w:szCs w:val="22"/>
        </w:rPr>
        <w:t>me tax assessment notice is un</w:t>
      </w:r>
      <w:r w:rsidRPr="00FA608D">
        <w:rPr>
          <w:sz w:val="22"/>
          <w:szCs w:val="22"/>
        </w:rPr>
        <w:t>available for the financial year immediately before the current financial year (the first financial year) that the income from the financial year prior to that year (the second financial year) is used with the income from the current financial year for the purposes of the income test.</w:t>
      </w:r>
    </w:p>
    <w:p w14:paraId="44BF3482" w14:textId="05031EDD" w:rsidR="00187711" w:rsidRPr="00FA608D" w:rsidRDefault="00187711" w:rsidP="00187711">
      <w:pPr>
        <w:rPr>
          <w:sz w:val="22"/>
          <w:szCs w:val="22"/>
        </w:rPr>
      </w:pPr>
      <w:r w:rsidRPr="00FA608D">
        <w:rPr>
          <w:sz w:val="22"/>
          <w:szCs w:val="22"/>
        </w:rPr>
        <w:t>The lack of flexibility in the application of the income test has meant that potential assurers who have a reduced income in the first financial year</w:t>
      </w:r>
      <w:r w:rsidR="001B74BC" w:rsidRPr="00FA608D">
        <w:rPr>
          <w:sz w:val="22"/>
          <w:szCs w:val="22"/>
        </w:rPr>
        <w:t>, for example, because they were temporarily outside the workforce for a period,</w:t>
      </w:r>
      <w:r w:rsidRPr="00FA608D">
        <w:rPr>
          <w:sz w:val="22"/>
          <w:szCs w:val="22"/>
        </w:rPr>
        <w:t xml:space="preserve"> have not been able to meet the income threshold. </w:t>
      </w:r>
      <w:r w:rsidR="006F0DC3" w:rsidRPr="00FA608D">
        <w:rPr>
          <w:sz w:val="22"/>
          <w:szCs w:val="22"/>
        </w:rPr>
        <w:t xml:space="preserve">In these situations, </w:t>
      </w:r>
      <w:r w:rsidR="001B74BC" w:rsidRPr="00FA608D">
        <w:rPr>
          <w:sz w:val="22"/>
          <w:szCs w:val="22"/>
        </w:rPr>
        <w:t xml:space="preserve">the assurances could not be accepted even if </w:t>
      </w:r>
      <w:r w:rsidR="006F0DC3" w:rsidRPr="00FA608D">
        <w:rPr>
          <w:sz w:val="22"/>
          <w:szCs w:val="22"/>
        </w:rPr>
        <w:t>t</w:t>
      </w:r>
      <w:r w:rsidRPr="00FA608D">
        <w:rPr>
          <w:sz w:val="22"/>
          <w:szCs w:val="22"/>
        </w:rPr>
        <w:t xml:space="preserve">he income of the potential assurers would have been above the threshold both before and after the </w:t>
      </w:r>
      <w:r w:rsidR="006F0DC3" w:rsidRPr="00FA608D">
        <w:rPr>
          <w:sz w:val="22"/>
          <w:szCs w:val="22"/>
        </w:rPr>
        <w:t xml:space="preserve">first financial year, </w:t>
      </w:r>
      <w:r w:rsidR="0071135B" w:rsidRPr="00FA608D">
        <w:rPr>
          <w:sz w:val="22"/>
          <w:szCs w:val="22"/>
        </w:rPr>
        <w:t>as</w:t>
      </w:r>
      <w:r w:rsidRPr="00FA608D">
        <w:rPr>
          <w:sz w:val="22"/>
          <w:szCs w:val="22"/>
        </w:rPr>
        <w:t xml:space="preserve"> it </w:t>
      </w:r>
      <w:r w:rsidR="003C5796" w:rsidRPr="00FA608D">
        <w:rPr>
          <w:sz w:val="22"/>
          <w:szCs w:val="22"/>
        </w:rPr>
        <w:t>was not</w:t>
      </w:r>
      <w:r w:rsidRPr="00FA608D">
        <w:rPr>
          <w:sz w:val="22"/>
          <w:szCs w:val="22"/>
        </w:rPr>
        <w:t xml:space="preserve"> possible to take th</w:t>
      </w:r>
      <w:r w:rsidR="001B74BC" w:rsidRPr="00FA608D">
        <w:rPr>
          <w:sz w:val="22"/>
          <w:szCs w:val="22"/>
        </w:rPr>
        <w:t>e second</w:t>
      </w:r>
      <w:r w:rsidRPr="00FA608D">
        <w:rPr>
          <w:sz w:val="22"/>
          <w:szCs w:val="22"/>
        </w:rPr>
        <w:t xml:space="preserve"> financial year into account. </w:t>
      </w:r>
    </w:p>
    <w:p w14:paraId="5A4C77D1" w14:textId="15F92669" w:rsidR="00A45BFF" w:rsidRPr="00FA608D" w:rsidRDefault="00187711" w:rsidP="00A45BFF">
      <w:pPr>
        <w:rPr>
          <w:sz w:val="22"/>
          <w:szCs w:val="22"/>
        </w:rPr>
      </w:pPr>
      <w:r w:rsidRPr="00FA608D">
        <w:rPr>
          <w:sz w:val="22"/>
          <w:szCs w:val="22"/>
        </w:rPr>
        <w:t xml:space="preserve">The </w:t>
      </w:r>
      <w:r w:rsidR="006F0DC3" w:rsidRPr="00FA608D">
        <w:rPr>
          <w:sz w:val="22"/>
          <w:szCs w:val="22"/>
        </w:rPr>
        <w:t>new paragraph</w:t>
      </w:r>
      <w:r w:rsidRPr="00FA608D">
        <w:rPr>
          <w:sz w:val="22"/>
          <w:szCs w:val="22"/>
        </w:rPr>
        <w:t xml:space="preserve"> 14(2)</w:t>
      </w:r>
      <w:r w:rsidR="006F0DC3" w:rsidRPr="00FA608D">
        <w:rPr>
          <w:sz w:val="22"/>
          <w:szCs w:val="22"/>
        </w:rPr>
        <w:t xml:space="preserve">(a) retains the current content in new subparagraph (i), and inserts a new subparagraph (ii). This </w:t>
      </w:r>
      <w:r w:rsidR="00C42BF7" w:rsidRPr="00FA608D">
        <w:rPr>
          <w:sz w:val="22"/>
          <w:szCs w:val="22"/>
        </w:rPr>
        <w:t>appl</w:t>
      </w:r>
      <w:r w:rsidR="006F0DC3" w:rsidRPr="00FA608D">
        <w:rPr>
          <w:sz w:val="22"/>
          <w:szCs w:val="22"/>
        </w:rPr>
        <w:t xml:space="preserve">ies in situations where the potential assurer’s assessable income for the first financial year </w:t>
      </w:r>
      <w:r w:rsidR="003C5796" w:rsidRPr="00FA608D">
        <w:rPr>
          <w:sz w:val="22"/>
          <w:szCs w:val="22"/>
        </w:rPr>
        <w:t>was</w:t>
      </w:r>
      <w:r w:rsidR="006F0DC3" w:rsidRPr="00FA608D">
        <w:rPr>
          <w:sz w:val="22"/>
          <w:szCs w:val="22"/>
        </w:rPr>
        <w:t xml:space="preserve"> reduced because of a temporary change in their circumstances</w:t>
      </w:r>
      <w:r w:rsidR="00C42BF7" w:rsidRPr="00FA608D">
        <w:rPr>
          <w:sz w:val="22"/>
          <w:szCs w:val="22"/>
        </w:rPr>
        <w:t xml:space="preserve">. </w:t>
      </w:r>
      <w:r w:rsidR="00A45BFF" w:rsidRPr="00FA608D">
        <w:rPr>
          <w:sz w:val="22"/>
          <w:szCs w:val="22"/>
        </w:rPr>
        <w:t>This scenario may arise, for example, where the potential assurer has been on parental leave, was ill or w</w:t>
      </w:r>
      <w:r w:rsidR="003C5796" w:rsidRPr="00FA608D">
        <w:rPr>
          <w:sz w:val="22"/>
          <w:szCs w:val="22"/>
        </w:rPr>
        <w:t>as</w:t>
      </w:r>
      <w:r w:rsidR="00A45BFF" w:rsidRPr="00FA608D">
        <w:rPr>
          <w:sz w:val="22"/>
          <w:szCs w:val="22"/>
        </w:rPr>
        <w:t xml:space="preserve"> a carer for a time and this reduced their income during the first financial year.</w:t>
      </w:r>
    </w:p>
    <w:p w14:paraId="08E11253" w14:textId="7E53BB84" w:rsidR="00A45BFF" w:rsidRPr="00FA608D" w:rsidRDefault="00C42BF7" w:rsidP="00A45BFF">
      <w:pPr>
        <w:rPr>
          <w:sz w:val="22"/>
          <w:szCs w:val="22"/>
        </w:rPr>
      </w:pPr>
      <w:r w:rsidRPr="00FA608D">
        <w:rPr>
          <w:sz w:val="22"/>
          <w:szCs w:val="22"/>
        </w:rPr>
        <w:t xml:space="preserve">Where this is </w:t>
      </w:r>
      <w:r w:rsidR="00A45BFF" w:rsidRPr="00FA608D">
        <w:rPr>
          <w:sz w:val="22"/>
          <w:szCs w:val="22"/>
        </w:rPr>
        <w:t>determined</w:t>
      </w:r>
      <w:r w:rsidRPr="00FA608D">
        <w:rPr>
          <w:sz w:val="22"/>
          <w:szCs w:val="22"/>
        </w:rPr>
        <w:t xml:space="preserve"> to be the case</w:t>
      </w:r>
      <w:r w:rsidR="006F0DC3" w:rsidRPr="00FA608D">
        <w:rPr>
          <w:sz w:val="22"/>
          <w:szCs w:val="22"/>
        </w:rPr>
        <w:t xml:space="preserve">, </w:t>
      </w:r>
      <w:r w:rsidR="00A45BFF" w:rsidRPr="00FA608D">
        <w:rPr>
          <w:sz w:val="22"/>
          <w:szCs w:val="22"/>
        </w:rPr>
        <w:t xml:space="preserve">the income requirement about providing evidence acceptable to the Secretary can be met by providing </w:t>
      </w:r>
      <w:r w:rsidR="006F0DC3" w:rsidRPr="00FA608D">
        <w:rPr>
          <w:sz w:val="22"/>
          <w:szCs w:val="22"/>
        </w:rPr>
        <w:t xml:space="preserve">evidence of the </w:t>
      </w:r>
      <w:r w:rsidRPr="00FA608D">
        <w:rPr>
          <w:sz w:val="22"/>
          <w:szCs w:val="22"/>
        </w:rPr>
        <w:t xml:space="preserve">potential assurer’s </w:t>
      </w:r>
      <w:r w:rsidR="006F0DC3" w:rsidRPr="00FA608D">
        <w:rPr>
          <w:sz w:val="22"/>
          <w:szCs w:val="22"/>
        </w:rPr>
        <w:t xml:space="preserve">assessable income for the </w:t>
      </w:r>
      <w:r w:rsidR="00187711" w:rsidRPr="00FA608D">
        <w:rPr>
          <w:sz w:val="22"/>
          <w:szCs w:val="22"/>
        </w:rPr>
        <w:t>current</w:t>
      </w:r>
      <w:r w:rsidR="006F0DC3" w:rsidRPr="00FA608D">
        <w:rPr>
          <w:sz w:val="22"/>
          <w:szCs w:val="22"/>
        </w:rPr>
        <w:t xml:space="preserve"> and the</w:t>
      </w:r>
      <w:r w:rsidR="00187711" w:rsidRPr="00FA608D">
        <w:rPr>
          <w:sz w:val="22"/>
          <w:szCs w:val="22"/>
        </w:rPr>
        <w:t xml:space="preserve"> second financial years. </w:t>
      </w:r>
      <w:r w:rsidRPr="00FA608D">
        <w:rPr>
          <w:sz w:val="22"/>
          <w:szCs w:val="22"/>
        </w:rPr>
        <w:t xml:space="preserve">   </w:t>
      </w:r>
    </w:p>
    <w:p w14:paraId="764E3012" w14:textId="170F3884" w:rsidR="00187711" w:rsidRPr="00FA608D" w:rsidRDefault="00C76CD7" w:rsidP="00A45BFF">
      <w:pPr>
        <w:rPr>
          <w:sz w:val="22"/>
          <w:szCs w:val="22"/>
        </w:rPr>
      </w:pPr>
      <w:r w:rsidRPr="00FA608D">
        <w:rPr>
          <w:sz w:val="22"/>
          <w:szCs w:val="22"/>
        </w:rPr>
        <w:t xml:space="preserve">However, </w:t>
      </w:r>
      <w:r w:rsidR="00D06518" w:rsidRPr="00FA608D">
        <w:rPr>
          <w:sz w:val="22"/>
          <w:szCs w:val="22"/>
        </w:rPr>
        <w:t xml:space="preserve">if neither of the circumstances in subparagraph 14(2)(a)(i) or (ii) are </w:t>
      </w:r>
      <w:r w:rsidR="00C92103" w:rsidRPr="00FA608D">
        <w:rPr>
          <w:sz w:val="22"/>
          <w:szCs w:val="22"/>
        </w:rPr>
        <w:t>satisfied</w:t>
      </w:r>
      <w:r w:rsidR="00D06518" w:rsidRPr="00FA608D">
        <w:rPr>
          <w:sz w:val="22"/>
          <w:szCs w:val="22"/>
        </w:rPr>
        <w:t xml:space="preserve"> in a particular case, </w:t>
      </w:r>
      <w:r w:rsidR="00C92103" w:rsidRPr="00FA608D">
        <w:rPr>
          <w:sz w:val="22"/>
          <w:szCs w:val="22"/>
        </w:rPr>
        <w:t>the income requirement can</w:t>
      </w:r>
      <w:r w:rsidR="00257AED" w:rsidRPr="00FA608D">
        <w:rPr>
          <w:sz w:val="22"/>
          <w:szCs w:val="22"/>
        </w:rPr>
        <w:t xml:space="preserve"> be</w:t>
      </w:r>
      <w:r w:rsidR="00C92103" w:rsidRPr="00FA608D">
        <w:rPr>
          <w:sz w:val="22"/>
          <w:szCs w:val="22"/>
        </w:rPr>
        <w:t xml:space="preserve"> met by providing </w:t>
      </w:r>
      <w:r w:rsidR="00D06518" w:rsidRPr="00FA608D">
        <w:rPr>
          <w:sz w:val="22"/>
          <w:szCs w:val="22"/>
        </w:rPr>
        <w:t>acceptable evidence of assessable income for the current and the first financial years, as specified in paragraph 14(2)(b)</w:t>
      </w:r>
      <w:r w:rsidR="00201A5A" w:rsidRPr="00FA608D">
        <w:rPr>
          <w:sz w:val="22"/>
          <w:szCs w:val="22"/>
        </w:rPr>
        <w:t>.</w:t>
      </w:r>
      <w:r w:rsidRPr="00FA608D">
        <w:rPr>
          <w:sz w:val="22"/>
          <w:szCs w:val="22"/>
        </w:rPr>
        <w:t xml:space="preserve"> </w:t>
      </w:r>
    </w:p>
    <w:p w14:paraId="4CC83E80" w14:textId="73479A60" w:rsidR="006F0DC3" w:rsidRPr="00FA608D" w:rsidRDefault="00A84DA8" w:rsidP="006F0DC3">
      <w:pPr>
        <w:shd w:val="clear" w:color="auto" w:fill="FFFFFF"/>
        <w:rPr>
          <w:color w:val="000000"/>
          <w:sz w:val="22"/>
          <w:szCs w:val="22"/>
        </w:rPr>
      </w:pPr>
      <w:r w:rsidRPr="00FA608D">
        <w:rPr>
          <w:b/>
          <w:color w:val="000000"/>
          <w:sz w:val="22"/>
          <w:szCs w:val="22"/>
        </w:rPr>
        <w:t xml:space="preserve">Item </w:t>
      </w:r>
      <w:r w:rsidR="00187711" w:rsidRPr="00FA608D">
        <w:rPr>
          <w:b/>
          <w:color w:val="000000"/>
          <w:sz w:val="22"/>
          <w:szCs w:val="22"/>
        </w:rPr>
        <w:t>3</w:t>
      </w:r>
      <w:r w:rsidRPr="00FA608D">
        <w:rPr>
          <w:color w:val="000000"/>
          <w:sz w:val="22"/>
          <w:szCs w:val="22"/>
        </w:rPr>
        <w:t xml:space="preserve"> amends section 25 of the </w:t>
      </w:r>
      <w:r w:rsidR="004E2392" w:rsidRPr="00FA608D">
        <w:rPr>
          <w:color w:val="000000"/>
          <w:sz w:val="22"/>
          <w:szCs w:val="22"/>
        </w:rPr>
        <w:t>D</w:t>
      </w:r>
      <w:r w:rsidRPr="00FA608D">
        <w:rPr>
          <w:color w:val="000000"/>
          <w:sz w:val="22"/>
          <w:szCs w:val="22"/>
        </w:rPr>
        <w:t>etermination to insert new paragraph (ca).</w:t>
      </w:r>
    </w:p>
    <w:p w14:paraId="485E0397" w14:textId="77777777" w:rsidR="004E2392" w:rsidRPr="00FA608D" w:rsidRDefault="004E2392" w:rsidP="004E2392">
      <w:pPr>
        <w:shd w:val="clear" w:color="auto" w:fill="FFFFFF"/>
        <w:spacing w:after="240"/>
        <w:rPr>
          <w:color w:val="000000"/>
          <w:sz w:val="22"/>
          <w:szCs w:val="22"/>
        </w:rPr>
      </w:pPr>
      <w:r w:rsidRPr="00FA608D">
        <w:rPr>
          <w:color w:val="000000"/>
          <w:sz w:val="22"/>
          <w:szCs w:val="22"/>
        </w:rPr>
        <w:t xml:space="preserve">Under subparagraph </w:t>
      </w:r>
      <w:r w:rsidRPr="00FA608D">
        <w:rPr>
          <w:color w:val="000000"/>
          <w:sz w:val="22"/>
          <w:szCs w:val="22"/>
          <w:shd w:val="clear" w:color="auto" w:fill="FFFFFF"/>
        </w:rPr>
        <w:t>1061ZZGF(1)(b)(iii)</w:t>
      </w:r>
      <w:r w:rsidRPr="00FA608D">
        <w:rPr>
          <w:color w:val="000000"/>
          <w:sz w:val="22"/>
          <w:szCs w:val="22"/>
        </w:rPr>
        <w:t xml:space="preserve"> of the Act, the Secretary may determine a time at which an assurance of support ceases because of a circumstance specified in a determination made under section 1061ZZGH. </w:t>
      </w:r>
    </w:p>
    <w:p w14:paraId="5CF908FD" w14:textId="6FC483A0" w:rsidR="008C7A86" w:rsidRPr="00FA608D" w:rsidRDefault="000E3B3E" w:rsidP="003E7046">
      <w:pPr>
        <w:shd w:val="clear" w:color="auto" w:fill="FFFFFF"/>
        <w:rPr>
          <w:color w:val="000000"/>
          <w:sz w:val="22"/>
          <w:szCs w:val="22"/>
        </w:rPr>
      </w:pPr>
      <w:r w:rsidRPr="00FA608D">
        <w:rPr>
          <w:color w:val="000000"/>
          <w:sz w:val="22"/>
          <w:szCs w:val="22"/>
        </w:rPr>
        <w:lastRenderedPageBreak/>
        <w:t xml:space="preserve">Section 25 of the Determination specifies the circumstances </w:t>
      </w:r>
      <w:r w:rsidR="004E2392" w:rsidRPr="00FA608D">
        <w:rPr>
          <w:color w:val="000000"/>
          <w:sz w:val="22"/>
          <w:szCs w:val="22"/>
        </w:rPr>
        <w:t>in which</w:t>
      </w:r>
      <w:r w:rsidRPr="00FA608D">
        <w:rPr>
          <w:color w:val="000000"/>
          <w:sz w:val="22"/>
          <w:szCs w:val="22"/>
        </w:rPr>
        <w:t xml:space="preserve"> an assurance of support ceases</w:t>
      </w:r>
      <w:r w:rsidR="004E2392" w:rsidRPr="00FA608D">
        <w:rPr>
          <w:color w:val="000000"/>
          <w:sz w:val="22"/>
          <w:szCs w:val="22"/>
        </w:rPr>
        <w:t xml:space="preserve"> to be in force</w:t>
      </w:r>
      <w:r w:rsidRPr="00FA608D">
        <w:rPr>
          <w:color w:val="000000"/>
          <w:sz w:val="22"/>
          <w:szCs w:val="22"/>
        </w:rPr>
        <w:t>, for the purposes of subparagraph 1061ZZGF(1)(b)(iii).</w:t>
      </w:r>
      <w:r w:rsidR="0040295B" w:rsidRPr="00FA608D">
        <w:rPr>
          <w:color w:val="000000"/>
          <w:sz w:val="22"/>
          <w:szCs w:val="22"/>
        </w:rPr>
        <w:t xml:space="preserve"> </w:t>
      </w:r>
      <w:r w:rsidR="008C3EAE" w:rsidRPr="00FA608D">
        <w:rPr>
          <w:color w:val="000000"/>
          <w:sz w:val="22"/>
          <w:szCs w:val="22"/>
        </w:rPr>
        <w:t>This s</w:t>
      </w:r>
      <w:r w:rsidR="008C7A86" w:rsidRPr="00FA608D">
        <w:rPr>
          <w:color w:val="000000"/>
          <w:sz w:val="22"/>
          <w:szCs w:val="22"/>
        </w:rPr>
        <w:t xml:space="preserve">ubparagraph provides some discretion for the Secretary as to the timing of the cancellation of an assurance of support where the circumstances set out in section 25 </w:t>
      </w:r>
      <w:r w:rsidR="00C92103" w:rsidRPr="00FA608D">
        <w:rPr>
          <w:color w:val="000000"/>
          <w:sz w:val="22"/>
          <w:szCs w:val="22"/>
        </w:rPr>
        <w:t xml:space="preserve">of the Determination </w:t>
      </w:r>
      <w:r w:rsidR="008C7A86" w:rsidRPr="00FA608D">
        <w:rPr>
          <w:color w:val="000000"/>
          <w:sz w:val="22"/>
          <w:szCs w:val="22"/>
        </w:rPr>
        <w:t>have been met.</w:t>
      </w:r>
    </w:p>
    <w:p w14:paraId="231A9EBB" w14:textId="5ECA65E8" w:rsidR="003E7046" w:rsidRPr="00FA608D" w:rsidRDefault="0040295B" w:rsidP="003E7046">
      <w:pPr>
        <w:shd w:val="clear" w:color="auto" w:fill="FFFFFF"/>
        <w:rPr>
          <w:color w:val="000000"/>
          <w:sz w:val="22"/>
          <w:szCs w:val="22"/>
        </w:rPr>
      </w:pPr>
      <w:r w:rsidRPr="00FA608D">
        <w:rPr>
          <w:color w:val="000000"/>
          <w:sz w:val="22"/>
          <w:szCs w:val="22"/>
        </w:rPr>
        <w:t>There are currently no circumstances that specifically relate to assurers that are body corporates, specifically where a body corporate has been deregistered</w:t>
      </w:r>
      <w:r w:rsidR="003E7046" w:rsidRPr="00FA608D">
        <w:rPr>
          <w:color w:val="000000"/>
          <w:sz w:val="22"/>
          <w:szCs w:val="22"/>
        </w:rPr>
        <w:t>, for example, following the body corporate becoming insolvent</w:t>
      </w:r>
      <w:r w:rsidRPr="00FA608D">
        <w:rPr>
          <w:color w:val="000000"/>
          <w:sz w:val="22"/>
          <w:szCs w:val="22"/>
        </w:rPr>
        <w:t>.</w:t>
      </w:r>
      <w:r w:rsidR="003E7046" w:rsidRPr="00FA608D">
        <w:rPr>
          <w:color w:val="000000"/>
          <w:sz w:val="22"/>
          <w:szCs w:val="22"/>
        </w:rPr>
        <w:t xml:space="preserve"> </w:t>
      </w:r>
      <w:r w:rsidR="007C6424" w:rsidRPr="00FA608D">
        <w:rPr>
          <w:color w:val="000000"/>
          <w:sz w:val="22"/>
          <w:szCs w:val="22"/>
        </w:rPr>
        <w:t>As a deregistered body corporate is no longer a legal entity, it is not possible to seek recovery of any assurance of support debts under the Act in these circumstances. However, it has not been possible to stop any such debts from potentially accruing, as there has not been a specified circumstance enabling the assurance of support to cease to be in force. New paragraph 25(ca) is intended to address this. The amendment will also provide greater certainty of the status of assurances of support in these situations, and will enable these assurances and any social security debts to be administered more efficiently and effectively.</w:t>
      </w:r>
    </w:p>
    <w:p w14:paraId="083138C1" w14:textId="7BF79DF9" w:rsidR="008C7A86" w:rsidRPr="00FA608D" w:rsidRDefault="009A6DB3" w:rsidP="009A6DB3">
      <w:pPr>
        <w:shd w:val="clear" w:color="auto" w:fill="FFFFFF"/>
        <w:rPr>
          <w:sz w:val="22"/>
          <w:szCs w:val="22"/>
        </w:rPr>
      </w:pPr>
      <w:r w:rsidRPr="00FA608D">
        <w:rPr>
          <w:sz w:val="22"/>
          <w:szCs w:val="22"/>
        </w:rPr>
        <w:t>New paragraph 25(ca) provides that an assurance of support cease</w:t>
      </w:r>
      <w:r w:rsidR="00C92103" w:rsidRPr="00FA608D">
        <w:rPr>
          <w:sz w:val="22"/>
          <w:szCs w:val="22"/>
        </w:rPr>
        <w:t>s</w:t>
      </w:r>
      <w:r w:rsidRPr="00FA608D">
        <w:rPr>
          <w:sz w:val="22"/>
          <w:szCs w:val="22"/>
        </w:rPr>
        <w:t xml:space="preserve"> to be in force in the circumstances where an assurer that is a body corporate is deregistered under the </w:t>
      </w:r>
      <w:r w:rsidRPr="00FA608D">
        <w:rPr>
          <w:i/>
          <w:sz w:val="22"/>
          <w:szCs w:val="22"/>
        </w:rPr>
        <w:t>Corporations Act 2001</w:t>
      </w:r>
      <w:r w:rsidR="00D51076" w:rsidRPr="00FA608D">
        <w:rPr>
          <w:sz w:val="22"/>
          <w:szCs w:val="22"/>
        </w:rPr>
        <w:t xml:space="preserve">, </w:t>
      </w:r>
      <w:r w:rsidR="0008496D" w:rsidRPr="00FA608D">
        <w:rPr>
          <w:sz w:val="22"/>
          <w:szCs w:val="22"/>
        </w:rPr>
        <w:t>and it is the opinion of the Secretary that the circumst</w:t>
      </w:r>
      <w:r w:rsidR="008C7A86" w:rsidRPr="00FA608D">
        <w:rPr>
          <w:sz w:val="22"/>
          <w:szCs w:val="22"/>
        </w:rPr>
        <w:t>a</w:t>
      </w:r>
      <w:r w:rsidR="0008496D" w:rsidRPr="00FA608D">
        <w:rPr>
          <w:sz w:val="22"/>
          <w:szCs w:val="22"/>
        </w:rPr>
        <w:t xml:space="preserve">nces </w:t>
      </w:r>
      <w:r w:rsidR="00C92103" w:rsidRPr="00FA608D">
        <w:rPr>
          <w:sz w:val="22"/>
          <w:szCs w:val="22"/>
        </w:rPr>
        <w:t>a</w:t>
      </w:r>
      <w:r w:rsidR="0008496D" w:rsidRPr="00FA608D">
        <w:rPr>
          <w:sz w:val="22"/>
          <w:szCs w:val="22"/>
        </w:rPr>
        <w:t xml:space="preserve">re such that </w:t>
      </w:r>
      <w:r w:rsidR="008C7A86" w:rsidRPr="00FA608D">
        <w:rPr>
          <w:sz w:val="22"/>
          <w:szCs w:val="22"/>
        </w:rPr>
        <w:t>the cancellation of the assurance of support</w:t>
      </w:r>
      <w:r w:rsidR="00C92103" w:rsidRPr="00FA608D">
        <w:rPr>
          <w:sz w:val="22"/>
          <w:szCs w:val="22"/>
        </w:rPr>
        <w:t xml:space="preserve"> is justified</w:t>
      </w:r>
      <w:r w:rsidR="00D51076" w:rsidRPr="00FA608D">
        <w:rPr>
          <w:sz w:val="22"/>
          <w:szCs w:val="22"/>
        </w:rPr>
        <w:t>.</w:t>
      </w:r>
      <w:r w:rsidR="007C6424" w:rsidRPr="00FA608D">
        <w:rPr>
          <w:sz w:val="22"/>
          <w:szCs w:val="22"/>
        </w:rPr>
        <w:t xml:space="preserve"> </w:t>
      </w:r>
    </w:p>
    <w:p w14:paraId="6E4B3553" w14:textId="65744607" w:rsidR="009A6DB3" w:rsidRPr="00FA608D" w:rsidRDefault="00C92103" w:rsidP="009A6DB3">
      <w:pPr>
        <w:shd w:val="clear" w:color="auto" w:fill="FFFFFF"/>
        <w:rPr>
          <w:sz w:val="22"/>
          <w:szCs w:val="22"/>
        </w:rPr>
      </w:pPr>
      <w:r w:rsidRPr="00FA608D">
        <w:rPr>
          <w:sz w:val="22"/>
          <w:szCs w:val="22"/>
        </w:rPr>
        <w:t>N</w:t>
      </w:r>
      <w:r w:rsidR="008C7A86" w:rsidRPr="00FA608D">
        <w:rPr>
          <w:sz w:val="22"/>
          <w:szCs w:val="22"/>
        </w:rPr>
        <w:t xml:space="preserve">ew paragraph 25(ca) allows the Secretary to take into account </w:t>
      </w:r>
      <w:r w:rsidRPr="00FA608D">
        <w:rPr>
          <w:sz w:val="22"/>
          <w:szCs w:val="22"/>
        </w:rPr>
        <w:t xml:space="preserve">relevant </w:t>
      </w:r>
      <w:r w:rsidR="008C7A86" w:rsidRPr="00FA608D">
        <w:rPr>
          <w:sz w:val="22"/>
          <w:szCs w:val="22"/>
        </w:rPr>
        <w:t>cir</w:t>
      </w:r>
      <w:r w:rsidR="0088605A" w:rsidRPr="00FA608D">
        <w:rPr>
          <w:sz w:val="22"/>
          <w:szCs w:val="22"/>
        </w:rPr>
        <w:t>c</w:t>
      </w:r>
      <w:r w:rsidR="008C7A86" w:rsidRPr="00FA608D">
        <w:rPr>
          <w:sz w:val="22"/>
          <w:szCs w:val="22"/>
        </w:rPr>
        <w:t>um</w:t>
      </w:r>
      <w:r w:rsidR="0088605A" w:rsidRPr="00FA608D">
        <w:rPr>
          <w:sz w:val="22"/>
          <w:szCs w:val="22"/>
        </w:rPr>
        <w:t>st</w:t>
      </w:r>
      <w:r w:rsidR="008C7A86" w:rsidRPr="00FA608D">
        <w:rPr>
          <w:sz w:val="22"/>
          <w:szCs w:val="22"/>
        </w:rPr>
        <w:t>ances</w:t>
      </w:r>
      <w:r w:rsidRPr="00FA608D">
        <w:rPr>
          <w:sz w:val="22"/>
          <w:szCs w:val="22"/>
        </w:rPr>
        <w:t>, such as those</w:t>
      </w:r>
      <w:r w:rsidR="008C7A86" w:rsidRPr="00FA608D">
        <w:rPr>
          <w:sz w:val="22"/>
          <w:szCs w:val="22"/>
        </w:rPr>
        <w:t xml:space="preserve"> </w:t>
      </w:r>
      <w:r w:rsidRPr="00FA608D">
        <w:rPr>
          <w:sz w:val="22"/>
          <w:szCs w:val="22"/>
        </w:rPr>
        <w:t>relating</w:t>
      </w:r>
      <w:r w:rsidR="008C7A86" w:rsidRPr="00FA608D">
        <w:rPr>
          <w:sz w:val="22"/>
          <w:szCs w:val="22"/>
        </w:rPr>
        <w:t xml:space="preserve"> to the deregi</w:t>
      </w:r>
      <w:r w:rsidR="0088605A" w:rsidRPr="00FA608D">
        <w:rPr>
          <w:sz w:val="22"/>
          <w:szCs w:val="22"/>
        </w:rPr>
        <w:t>stration of the</w:t>
      </w:r>
      <w:r w:rsidR="008C7A86" w:rsidRPr="00FA608D">
        <w:rPr>
          <w:sz w:val="22"/>
          <w:szCs w:val="22"/>
        </w:rPr>
        <w:t xml:space="preserve"> body corp</w:t>
      </w:r>
      <w:r w:rsidR="0088605A" w:rsidRPr="00FA608D">
        <w:rPr>
          <w:sz w:val="22"/>
          <w:szCs w:val="22"/>
        </w:rPr>
        <w:t>or</w:t>
      </w:r>
      <w:r w:rsidR="008C7A86" w:rsidRPr="00FA608D">
        <w:rPr>
          <w:sz w:val="22"/>
          <w:szCs w:val="22"/>
        </w:rPr>
        <w:t>ate</w:t>
      </w:r>
      <w:r w:rsidRPr="00FA608D">
        <w:rPr>
          <w:sz w:val="22"/>
          <w:szCs w:val="22"/>
        </w:rPr>
        <w:t xml:space="preserve">, in </w:t>
      </w:r>
      <w:r w:rsidR="007C6424" w:rsidRPr="00FA608D">
        <w:rPr>
          <w:sz w:val="22"/>
          <w:szCs w:val="22"/>
        </w:rPr>
        <w:t>deciding whether the assurance of support should be cancelled.</w:t>
      </w:r>
      <w:r w:rsidR="008C7A86" w:rsidRPr="00FA608D">
        <w:rPr>
          <w:sz w:val="22"/>
          <w:szCs w:val="22"/>
        </w:rPr>
        <w:t xml:space="preserve"> </w:t>
      </w:r>
      <w:r w:rsidR="007C6424" w:rsidRPr="00FA608D">
        <w:rPr>
          <w:sz w:val="22"/>
          <w:szCs w:val="22"/>
        </w:rPr>
        <w:t>For example,</w:t>
      </w:r>
      <w:r w:rsidR="008C7A86" w:rsidRPr="00FA608D">
        <w:rPr>
          <w:sz w:val="22"/>
          <w:szCs w:val="22"/>
        </w:rPr>
        <w:t xml:space="preserve"> </w:t>
      </w:r>
      <w:r w:rsidR="0088605A" w:rsidRPr="00FA608D">
        <w:rPr>
          <w:sz w:val="22"/>
          <w:szCs w:val="22"/>
        </w:rPr>
        <w:t xml:space="preserve">where the body corporate has been deregistered for technical or other reasons and </w:t>
      </w:r>
      <w:r w:rsidR="007C6424" w:rsidRPr="00FA608D">
        <w:rPr>
          <w:sz w:val="22"/>
          <w:szCs w:val="22"/>
        </w:rPr>
        <w:t>has</w:t>
      </w:r>
      <w:r w:rsidR="0088605A" w:rsidRPr="00FA608D">
        <w:rPr>
          <w:sz w:val="22"/>
          <w:szCs w:val="22"/>
        </w:rPr>
        <w:t xml:space="preserve"> s</w:t>
      </w:r>
      <w:r w:rsidR="007C6424" w:rsidRPr="00FA608D">
        <w:rPr>
          <w:sz w:val="22"/>
          <w:szCs w:val="22"/>
        </w:rPr>
        <w:t>ought to be</w:t>
      </w:r>
      <w:r w:rsidR="0088605A" w:rsidRPr="00FA608D">
        <w:rPr>
          <w:sz w:val="22"/>
          <w:szCs w:val="22"/>
        </w:rPr>
        <w:t xml:space="preserve"> re</w:t>
      </w:r>
      <w:r w:rsidR="007C6424" w:rsidRPr="00FA608D">
        <w:rPr>
          <w:sz w:val="22"/>
          <w:szCs w:val="22"/>
        </w:rPr>
        <w:t>-registered, it would be open to the Secretary to consider that cancelling the assurance of support is not justified</w:t>
      </w:r>
      <w:r w:rsidR="0088605A" w:rsidRPr="00FA608D">
        <w:rPr>
          <w:sz w:val="22"/>
          <w:szCs w:val="22"/>
        </w:rPr>
        <w:t xml:space="preserve">. </w:t>
      </w:r>
      <w:r w:rsidR="007C6424" w:rsidRPr="00FA608D">
        <w:rPr>
          <w:sz w:val="22"/>
          <w:szCs w:val="22"/>
        </w:rPr>
        <w:t>In this case new paragraph 25(ca) would not be satisfied, and the assurance of support would remain in force.</w:t>
      </w:r>
    </w:p>
    <w:p w14:paraId="4E589076" w14:textId="0C3E8BA8" w:rsidR="00BA4732" w:rsidRPr="00FA608D" w:rsidRDefault="00BA4732" w:rsidP="00BA4732">
      <w:pPr>
        <w:shd w:val="clear" w:color="auto" w:fill="FFFFFF"/>
        <w:rPr>
          <w:color w:val="000000"/>
          <w:sz w:val="22"/>
          <w:szCs w:val="22"/>
        </w:rPr>
      </w:pPr>
      <w:r w:rsidRPr="00FA608D">
        <w:rPr>
          <w:b/>
          <w:color w:val="000000"/>
          <w:sz w:val="22"/>
          <w:szCs w:val="22"/>
        </w:rPr>
        <w:t>Item 4</w:t>
      </w:r>
      <w:r w:rsidRPr="00FA608D">
        <w:rPr>
          <w:color w:val="000000"/>
          <w:sz w:val="22"/>
          <w:szCs w:val="22"/>
        </w:rPr>
        <w:t xml:space="preserve"> is an application </w:t>
      </w:r>
      <w:r w:rsidR="00C34631" w:rsidRPr="00FA608D">
        <w:rPr>
          <w:color w:val="000000"/>
          <w:sz w:val="22"/>
          <w:szCs w:val="22"/>
        </w:rPr>
        <w:t>provision, which</w:t>
      </w:r>
      <w:r w:rsidR="00816AC3" w:rsidRPr="00FA608D">
        <w:rPr>
          <w:color w:val="000000"/>
          <w:sz w:val="22"/>
          <w:szCs w:val="22"/>
        </w:rPr>
        <w:t xml:space="preserve"> relates to the amendments made by </w:t>
      </w:r>
      <w:r w:rsidR="00816AC3" w:rsidRPr="00FA608D">
        <w:rPr>
          <w:b/>
          <w:color w:val="000000"/>
          <w:sz w:val="22"/>
          <w:szCs w:val="22"/>
        </w:rPr>
        <w:t>items 2 and 3</w:t>
      </w:r>
      <w:r w:rsidR="00816AC3" w:rsidRPr="00FA608D">
        <w:rPr>
          <w:color w:val="000000"/>
          <w:sz w:val="22"/>
          <w:szCs w:val="22"/>
        </w:rPr>
        <w:t xml:space="preserve"> above</w:t>
      </w:r>
      <w:r w:rsidRPr="00FA608D">
        <w:rPr>
          <w:color w:val="000000"/>
          <w:sz w:val="22"/>
          <w:szCs w:val="22"/>
        </w:rPr>
        <w:t>.</w:t>
      </w:r>
    </w:p>
    <w:p w14:paraId="0F599C53" w14:textId="2A589A71" w:rsidR="00BA4732" w:rsidRPr="00FA608D" w:rsidRDefault="00BA4732" w:rsidP="00BA4732">
      <w:pPr>
        <w:shd w:val="clear" w:color="auto" w:fill="FFFFFF"/>
        <w:rPr>
          <w:color w:val="000000"/>
          <w:sz w:val="22"/>
          <w:szCs w:val="22"/>
        </w:rPr>
      </w:pPr>
      <w:r w:rsidRPr="00FA608D">
        <w:rPr>
          <w:b/>
          <w:color w:val="000000"/>
          <w:sz w:val="22"/>
          <w:szCs w:val="22"/>
        </w:rPr>
        <w:t>Subitem 4(1)</w:t>
      </w:r>
      <w:r w:rsidRPr="00FA608D">
        <w:rPr>
          <w:color w:val="000000"/>
          <w:sz w:val="22"/>
          <w:szCs w:val="22"/>
        </w:rPr>
        <w:t xml:space="preserve"> clarifies that the amendment to section 14 of the Determination, made by </w:t>
      </w:r>
      <w:r w:rsidRPr="00FA608D">
        <w:rPr>
          <w:b/>
          <w:color w:val="000000"/>
          <w:sz w:val="22"/>
          <w:szCs w:val="22"/>
        </w:rPr>
        <w:t>item 2</w:t>
      </w:r>
      <w:r w:rsidRPr="00FA608D">
        <w:rPr>
          <w:color w:val="000000"/>
          <w:sz w:val="22"/>
          <w:szCs w:val="22"/>
        </w:rPr>
        <w:t xml:space="preserve"> of the Amendment Determination, applies to assurances of support </w:t>
      </w:r>
      <w:r w:rsidR="00446039" w:rsidRPr="00FA608D">
        <w:rPr>
          <w:color w:val="000000"/>
          <w:sz w:val="22"/>
          <w:szCs w:val="22"/>
        </w:rPr>
        <w:t>given on or after the Amendment </w:t>
      </w:r>
      <w:r w:rsidRPr="00FA608D">
        <w:rPr>
          <w:color w:val="000000"/>
          <w:sz w:val="22"/>
          <w:szCs w:val="22"/>
        </w:rPr>
        <w:t xml:space="preserve">Determination commences. However, the </w:t>
      </w:r>
      <w:r w:rsidR="006416A3" w:rsidRPr="00FA608D">
        <w:rPr>
          <w:color w:val="000000"/>
          <w:sz w:val="22"/>
          <w:szCs w:val="22"/>
        </w:rPr>
        <w:t>amendment can be applied in respect of relevant financial years that began before, on or after the Amendment Determination commences. This will enable new assurances of support to be considered by reference to the potential assurer’s assessable income in previous financial years, as specified in this amendment.</w:t>
      </w:r>
    </w:p>
    <w:p w14:paraId="12F6B590" w14:textId="675B0C2D" w:rsidR="00BA4732" w:rsidRPr="00FA608D" w:rsidRDefault="00BA4732" w:rsidP="00BA4732">
      <w:pPr>
        <w:shd w:val="clear" w:color="auto" w:fill="FFFFFF"/>
        <w:rPr>
          <w:color w:val="000000"/>
          <w:sz w:val="22"/>
          <w:szCs w:val="22"/>
        </w:rPr>
      </w:pPr>
      <w:r w:rsidRPr="00FA608D">
        <w:rPr>
          <w:b/>
          <w:color w:val="000000"/>
          <w:sz w:val="22"/>
          <w:szCs w:val="22"/>
        </w:rPr>
        <w:t>Subitem 4(2)</w:t>
      </w:r>
      <w:r w:rsidRPr="00FA608D">
        <w:rPr>
          <w:color w:val="000000"/>
          <w:sz w:val="22"/>
          <w:szCs w:val="22"/>
        </w:rPr>
        <w:t xml:space="preserve"> provides that the amendment to section 25 of the Determination, made by </w:t>
      </w:r>
      <w:r w:rsidRPr="00FA608D">
        <w:rPr>
          <w:b/>
          <w:color w:val="000000"/>
          <w:sz w:val="22"/>
          <w:szCs w:val="22"/>
        </w:rPr>
        <w:t>item 3</w:t>
      </w:r>
      <w:r w:rsidRPr="00FA608D">
        <w:rPr>
          <w:color w:val="000000"/>
          <w:sz w:val="22"/>
          <w:szCs w:val="22"/>
        </w:rPr>
        <w:t xml:space="preserve"> of the Amendment Determination, applies to assurances of support given be</w:t>
      </w:r>
      <w:r w:rsidR="00446039" w:rsidRPr="00FA608D">
        <w:rPr>
          <w:color w:val="000000"/>
          <w:sz w:val="22"/>
          <w:szCs w:val="22"/>
        </w:rPr>
        <w:t>fore, on or after the Amendment </w:t>
      </w:r>
      <w:r w:rsidRPr="00FA608D">
        <w:rPr>
          <w:color w:val="000000"/>
          <w:sz w:val="22"/>
          <w:szCs w:val="22"/>
        </w:rPr>
        <w:t>Determination commences. Similarly, the amendment can be applied where the</w:t>
      </w:r>
      <w:r w:rsidR="0038676F" w:rsidRPr="00FA608D">
        <w:rPr>
          <w:color w:val="000000"/>
          <w:sz w:val="22"/>
          <w:szCs w:val="22"/>
        </w:rPr>
        <w:t xml:space="preserve"> body corporate’s</w:t>
      </w:r>
      <w:r w:rsidRPr="00FA608D">
        <w:rPr>
          <w:color w:val="000000"/>
          <w:sz w:val="22"/>
          <w:szCs w:val="22"/>
        </w:rPr>
        <w:t xml:space="preserve"> deregistration occurred before, on or after the Amendment Determination commences. This will enable current assurances of support given by deregistered body corporates to cease to be in force, </w:t>
      </w:r>
      <w:r w:rsidR="0038676F" w:rsidRPr="00FA608D">
        <w:rPr>
          <w:color w:val="000000"/>
          <w:sz w:val="22"/>
          <w:szCs w:val="22"/>
        </w:rPr>
        <w:t>so that appropriate administrative action can be taken to address these</w:t>
      </w:r>
      <w:r w:rsidRPr="00FA608D">
        <w:rPr>
          <w:color w:val="000000"/>
          <w:sz w:val="22"/>
          <w:szCs w:val="22"/>
        </w:rPr>
        <w:t>.</w:t>
      </w:r>
    </w:p>
    <w:p w14:paraId="1A0E440F" w14:textId="77777777" w:rsidR="00187711" w:rsidRPr="00FA608D" w:rsidRDefault="00187711">
      <w:pPr>
        <w:spacing w:before="0" w:after="200" w:line="276" w:lineRule="auto"/>
        <w:rPr>
          <w:b/>
          <w:sz w:val="22"/>
          <w:szCs w:val="22"/>
        </w:rPr>
      </w:pPr>
      <w:bookmarkStart w:id="0" w:name="_Toc290210739"/>
      <w:r w:rsidRPr="00FA608D">
        <w:rPr>
          <w:b/>
          <w:sz w:val="22"/>
          <w:szCs w:val="22"/>
        </w:rPr>
        <w:br w:type="page"/>
      </w:r>
    </w:p>
    <w:p w14:paraId="127BD1F6" w14:textId="58002EBF" w:rsidR="006546B7" w:rsidRPr="00FA608D" w:rsidRDefault="006546B7" w:rsidP="00700566">
      <w:pPr>
        <w:shd w:val="clear" w:color="auto" w:fill="FFFFFF"/>
        <w:jc w:val="center"/>
        <w:rPr>
          <w:b/>
          <w:sz w:val="22"/>
          <w:szCs w:val="22"/>
        </w:rPr>
      </w:pPr>
      <w:r w:rsidRPr="00FA608D">
        <w:rPr>
          <w:b/>
          <w:sz w:val="22"/>
          <w:szCs w:val="22"/>
        </w:rPr>
        <w:lastRenderedPageBreak/>
        <w:t>Statement of Compatibility with Human Rights</w:t>
      </w:r>
    </w:p>
    <w:p w14:paraId="333284BD" w14:textId="77777777" w:rsidR="006546B7" w:rsidRPr="00FA608D" w:rsidRDefault="006546B7" w:rsidP="006546B7">
      <w:pPr>
        <w:spacing w:before="120" w:after="120"/>
        <w:jc w:val="center"/>
        <w:rPr>
          <w:sz w:val="22"/>
          <w:szCs w:val="22"/>
        </w:rPr>
      </w:pPr>
      <w:r w:rsidRPr="00FA608D">
        <w:rPr>
          <w:i/>
          <w:sz w:val="22"/>
          <w:szCs w:val="22"/>
        </w:rPr>
        <w:t>Prepared in accordance with Part 3 of the Human Rights (Parliamentary Scrutiny) Act 2011</w:t>
      </w:r>
    </w:p>
    <w:p w14:paraId="341B243F" w14:textId="6AC7EFDB" w:rsidR="006546B7" w:rsidRPr="00FA608D" w:rsidRDefault="0071135B" w:rsidP="006546B7">
      <w:pPr>
        <w:spacing w:before="120" w:after="120"/>
        <w:jc w:val="center"/>
        <w:rPr>
          <w:b/>
          <w:i/>
          <w:sz w:val="22"/>
          <w:szCs w:val="22"/>
        </w:rPr>
      </w:pPr>
      <w:r w:rsidRPr="00FA608D">
        <w:rPr>
          <w:b/>
          <w:i/>
          <w:sz w:val="22"/>
          <w:szCs w:val="22"/>
        </w:rPr>
        <w:t>Social Security Act 1991</w:t>
      </w:r>
    </w:p>
    <w:p w14:paraId="552DFD69" w14:textId="28BE1526" w:rsidR="00BB3B7B" w:rsidRPr="00FA608D" w:rsidRDefault="00BB3B7B" w:rsidP="006546B7">
      <w:pPr>
        <w:spacing w:before="120" w:after="120"/>
        <w:jc w:val="center"/>
        <w:rPr>
          <w:b/>
          <w:i/>
          <w:sz w:val="22"/>
          <w:szCs w:val="22"/>
        </w:rPr>
      </w:pPr>
      <w:r w:rsidRPr="00FA608D">
        <w:rPr>
          <w:b/>
          <w:i/>
          <w:sz w:val="22"/>
          <w:szCs w:val="22"/>
        </w:rPr>
        <w:t>Social Security (Assurances of Support) Amendment Determination 202</w:t>
      </w:r>
      <w:r w:rsidR="00422F60" w:rsidRPr="00FA608D">
        <w:rPr>
          <w:b/>
          <w:i/>
          <w:sz w:val="22"/>
          <w:szCs w:val="22"/>
        </w:rPr>
        <w:t>4</w:t>
      </w:r>
      <w:r w:rsidRPr="00FA608D">
        <w:rPr>
          <w:b/>
          <w:i/>
          <w:sz w:val="22"/>
          <w:szCs w:val="22"/>
        </w:rPr>
        <w:t xml:space="preserve"> </w:t>
      </w:r>
    </w:p>
    <w:p w14:paraId="7A80883C" w14:textId="1D89E04F" w:rsidR="006546B7" w:rsidRPr="00FA608D" w:rsidRDefault="00374A77" w:rsidP="008A7A50">
      <w:pPr>
        <w:spacing w:after="120"/>
        <w:rPr>
          <w:sz w:val="22"/>
          <w:szCs w:val="22"/>
        </w:rPr>
      </w:pPr>
      <w:r w:rsidRPr="00FA608D">
        <w:rPr>
          <w:sz w:val="22"/>
          <w:szCs w:val="22"/>
        </w:rPr>
        <w:t xml:space="preserve">The </w:t>
      </w:r>
      <w:r w:rsidR="00BB3B7B" w:rsidRPr="00FA608D">
        <w:rPr>
          <w:i/>
          <w:iCs/>
          <w:sz w:val="22"/>
          <w:szCs w:val="22"/>
        </w:rPr>
        <w:t>Social Security (Assurances of Support) Amendment Determination 202</w:t>
      </w:r>
      <w:r w:rsidR="00422F60" w:rsidRPr="00FA608D">
        <w:rPr>
          <w:i/>
          <w:iCs/>
          <w:sz w:val="22"/>
          <w:szCs w:val="22"/>
        </w:rPr>
        <w:t>4</w:t>
      </w:r>
      <w:r w:rsidR="00BB3B7B" w:rsidRPr="00FA608D">
        <w:rPr>
          <w:i/>
          <w:iCs/>
          <w:sz w:val="22"/>
          <w:szCs w:val="22"/>
        </w:rPr>
        <w:t xml:space="preserve"> </w:t>
      </w:r>
      <w:r w:rsidR="00BB3B7B" w:rsidRPr="00FA608D">
        <w:rPr>
          <w:sz w:val="22"/>
          <w:szCs w:val="22"/>
        </w:rPr>
        <w:t xml:space="preserve">(the </w:t>
      </w:r>
      <w:r w:rsidR="005B6B40" w:rsidRPr="00FA608D">
        <w:rPr>
          <w:sz w:val="22"/>
          <w:szCs w:val="22"/>
        </w:rPr>
        <w:t>Amendment Determination</w:t>
      </w:r>
      <w:r w:rsidR="00804595" w:rsidRPr="00FA608D">
        <w:rPr>
          <w:sz w:val="22"/>
          <w:szCs w:val="22"/>
        </w:rPr>
        <w:t>)</w:t>
      </w:r>
      <w:r w:rsidR="00BB3B7B" w:rsidRPr="00FA608D">
        <w:rPr>
          <w:sz w:val="22"/>
          <w:szCs w:val="22"/>
        </w:rPr>
        <w:t xml:space="preserve"> </w:t>
      </w:r>
      <w:r w:rsidR="00804595" w:rsidRPr="00FA608D">
        <w:rPr>
          <w:sz w:val="22"/>
          <w:szCs w:val="22"/>
        </w:rPr>
        <w:t xml:space="preserve">is </w:t>
      </w:r>
      <w:r w:rsidR="006546B7" w:rsidRPr="00FA608D">
        <w:rPr>
          <w:sz w:val="22"/>
          <w:szCs w:val="22"/>
        </w:rPr>
        <w:t>compatible with the human rights and freedoms recognised or declared in the internationa</w:t>
      </w:r>
      <w:r w:rsidR="006C5E5E" w:rsidRPr="00FA608D">
        <w:rPr>
          <w:sz w:val="22"/>
          <w:szCs w:val="22"/>
        </w:rPr>
        <w:t>l instruments listed in section </w:t>
      </w:r>
      <w:r w:rsidR="006546B7" w:rsidRPr="00FA608D">
        <w:rPr>
          <w:sz w:val="22"/>
          <w:szCs w:val="22"/>
        </w:rPr>
        <w:t xml:space="preserve">3 of the </w:t>
      </w:r>
      <w:r w:rsidR="006546B7" w:rsidRPr="00FA608D">
        <w:rPr>
          <w:i/>
          <w:sz w:val="22"/>
          <w:szCs w:val="22"/>
        </w:rPr>
        <w:t>Human Rights (Parliamentary Scrutiny) Act 2011</w:t>
      </w:r>
      <w:r w:rsidR="006546B7" w:rsidRPr="00FA608D">
        <w:rPr>
          <w:sz w:val="22"/>
          <w:szCs w:val="22"/>
        </w:rPr>
        <w:t>.</w:t>
      </w:r>
    </w:p>
    <w:p w14:paraId="2FF767A6" w14:textId="77777777" w:rsidR="006546B7" w:rsidRPr="00FA608D" w:rsidRDefault="002A63EA" w:rsidP="00FD6BF4">
      <w:pPr>
        <w:spacing w:after="120"/>
        <w:jc w:val="both"/>
        <w:rPr>
          <w:b/>
          <w:sz w:val="22"/>
          <w:szCs w:val="22"/>
        </w:rPr>
      </w:pPr>
      <w:r w:rsidRPr="00FA608D">
        <w:rPr>
          <w:b/>
          <w:sz w:val="22"/>
          <w:szCs w:val="22"/>
        </w:rPr>
        <w:t>Overview of the legislative i</w:t>
      </w:r>
      <w:r w:rsidR="006546B7" w:rsidRPr="00FA608D">
        <w:rPr>
          <w:b/>
          <w:sz w:val="22"/>
          <w:szCs w:val="22"/>
        </w:rPr>
        <w:t>nstrument</w:t>
      </w:r>
    </w:p>
    <w:p w14:paraId="323F110A" w14:textId="03B71BD3" w:rsidR="00520C9D" w:rsidRPr="00FA608D" w:rsidRDefault="00187711" w:rsidP="0091230A">
      <w:pPr>
        <w:rPr>
          <w:rStyle w:val="BookTitle"/>
          <w:i w:val="0"/>
          <w:iCs w:val="0"/>
          <w:smallCaps w:val="0"/>
          <w:spacing w:val="0"/>
          <w:sz w:val="22"/>
          <w:szCs w:val="22"/>
        </w:rPr>
      </w:pPr>
      <w:r w:rsidRPr="00FA608D">
        <w:rPr>
          <w:rStyle w:val="BookTitle"/>
          <w:i w:val="0"/>
          <w:iCs w:val="0"/>
          <w:smallCaps w:val="0"/>
          <w:spacing w:val="0"/>
          <w:sz w:val="22"/>
          <w:szCs w:val="22"/>
        </w:rPr>
        <w:t xml:space="preserve">The Amendment Determination amends the </w:t>
      </w:r>
      <w:r w:rsidRPr="00FA608D">
        <w:rPr>
          <w:rStyle w:val="BookTitle"/>
          <w:iCs w:val="0"/>
          <w:smallCaps w:val="0"/>
          <w:spacing w:val="0"/>
          <w:sz w:val="22"/>
          <w:szCs w:val="22"/>
        </w:rPr>
        <w:t>Social Security (Assurances of Support) Determination 2018</w:t>
      </w:r>
      <w:r w:rsidRPr="00FA608D">
        <w:rPr>
          <w:rStyle w:val="BookTitle"/>
          <w:i w:val="0"/>
          <w:iCs w:val="0"/>
          <w:smallCaps w:val="0"/>
          <w:spacing w:val="0"/>
          <w:sz w:val="22"/>
          <w:szCs w:val="22"/>
        </w:rPr>
        <w:t xml:space="preserve"> (the Determination) to remove the self-repeal date and make minor changes to improve the administration of certain assurance of support settings. </w:t>
      </w:r>
      <w:r w:rsidR="0091230A" w:rsidRPr="00FA608D">
        <w:rPr>
          <w:rStyle w:val="BookTitle"/>
          <w:i w:val="0"/>
          <w:iCs w:val="0"/>
          <w:smallCaps w:val="0"/>
          <w:spacing w:val="0"/>
          <w:sz w:val="22"/>
          <w:szCs w:val="22"/>
        </w:rPr>
        <w:t>In particular, the Amendment Determination</w:t>
      </w:r>
      <w:r w:rsidR="00520C9D" w:rsidRPr="00FA608D">
        <w:rPr>
          <w:rStyle w:val="BookTitle"/>
          <w:i w:val="0"/>
          <w:iCs w:val="0"/>
          <w:smallCaps w:val="0"/>
          <w:spacing w:val="0"/>
          <w:sz w:val="22"/>
          <w:szCs w:val="22"/>
        </w:rPr>
        <w:t xml:space="preserve">: </w:t>
      </w:r>
    </w:p>
    <w:p w14:paraId="3AC97545" w14:textId="77777777" w:rsidR="0091230A" w:rsidRPr="00FA608D" w:rsidRDefault="00700566" w:rsidP="0091230A">
      <w:pPr>
        <w:pStyle w:val="ListParagraph"/>
        <w:numPr>
          <w:ilvl w:val="0"/>
          <w:numId w:val="20"/>
        </w:numPr>
        <w:spacing w:before="120" w:after="120"/>
        <w:ind w:left="714" w:hanging="357"/>
        <w:contextualSpacing w:val="0"/>
        <w:rPr>
          <w:rStyle w:val="BookTitle"/>
          <w:i w:val="0"/>
          <w:iCs w:val="0"/>
          <w:smallCaps w:val="0"/>
          <w:spacing w:val="0"/>
          <w:sz w:val="22"/>
          <w:szCs w:val="22"/>
        </w:rPr>
      </w:pPr>
      <w:r w:rsidRPr="00FA608D">
        <w:rPr>
          <w:rStyle w:val="BookTitle"/>
          <w:i w:val="0"/>
          <w:iCs w:val="0"/>
          <w:smallCaps w:val="0"/>
          <w:spacing w:val="0"/>
          <w:sz w:val="22"/>
          <w:szCs w:val="22"/>
        </w:rPr>
        <w:t>repeal</w:t>
      </w:r>
      <w:r w:rsidR="0091230A" w:rsidRPr="00FA608D">
        <w:rPr>
          <w:rStyle w:val="BookTitle"/>
          <w:i w:val="0"/>
          <w:iCs w:val="0"/>
          <w:smallCaps w:val="0"/>
          <w:spacing w:val="0"/>
          <w:sz w:val="22"/>
          <w:szCs w:val="22"/>
        </w:rPr>
        <w:t>s</w:t>
      </w:r>
      <w:r w:rsidRPr="00FA608D">
        <w:rPr>
          <w:rStyle w:val="BookTitle"/>
          <w:i w:val="0"/>
          <w:iCs w:val="0"/>
          <w:smallCaps w:val="0"/>
          <w:spacing w:val="0"/>
          <w:sz w:val="22"/>
          <w:szCs w:val="22"/>
        </w:rPr>
        <w:t xml:space="preserve"> section 2A of the Determination which had provided for the repeal of the Determination on 31 March 2024; </w:t>
      </w:r>
    </w:p>
    <w:p w14:paraId="0CD8F3C0" w14:textId="5DA4B6C6" w:rsidR="0091230A" w:rsidRPr="00FA608D" w:rsidRDefault="0091230A" w:rsidP="0091230A">
      <w:pPr>
        <w:pStyle w:val="ListParagraph"/>
        <w:numPr>
          <w:ilvl w:val="0"/>
          <w:numId w:val="20"/>
        </w:numPr>
        <w:spacing w:before="120" w:after="120"/>
        <w:ind w:left="714" w:hanging="357"/>
        <w:contextualSpacing w:val="0"/>
        <w:rPr>
          <w:rStyle w:val="BookTitle"/>
          <w:i w:val="0"/>
          <w:iCs w:val="0"/>
          <w:smallCaps w:val="0"/>
          <w:spacing w:val="0"/>
          <w:sz w:val="22"/>
          <w:szCs w:val="22"/>
        </w:rPr>
      </w:pPr>
      <w:r w:rsidRPr="00FA608D">
        <w:rPr>
          <w:rStyle w:val="BookTitle"/>
          <w:i w:val="0"/>
          <w:iCs w:val="0"/>
          <w:smallCaps w:val="0"/>
          <w:spacing w:val="0"/>
          <w:sz w:val="22"/>
          <w:szCs w:val="22"/>
        </w:rPr>
        <w:t>increases the flexibility of the income assessment process for individuals who wish to provide an assurance of support to allow for a reduction in their assessable income in the previous financial year due to a temporary change in circumstances; and</w:t>
      </w:r>
    </w:p>
    <w:p w14:paraId="7A0BB462" w14:textId="21C07F12" w:rsidR="0091230A" w:rsidRPr="00FA608D" w:rsidRDefault="0091230A" w:rsidP="0091230A">
      <w:pPr>
        <w:pStyle w:val="ListParagraph"/>
        <w:numPr>
          <w:ilvl w:val="0"/>
          <w:numId w:val="20"/>
        </w:numPr>
        <w:spacing w:before="120" w:after="120"/>
        <w:contextualSpacing w:val="0"/>
        <w:rPr>
          <w:rStyle w:val="BookTitle"/>
          <w:i w:val="0"/>
          <w:iCs w:val="0"/>
          <w:smallCaps w:val="0"/>
          <w:spacing w:val="0"/>
          <w:sz w:val="22"/>
          <w:szCs w:val="22"/>
        </w:rPr>
      </w:pPr>
      <w:r w:rsidRPr="00FA608D">
        <w:rPr>
          <w:rStyle w:val="BookTitle"/>
          <w:i w:val="0"/>
          <w:iCs w:val="0"/>
          <w:smallCaps w:val="0"/>
          <w:spacing w:val="0"/>
          <w:sz w:val="22"/>
          <w:szCs w:val="22"/>
        </w:rPr>
        <w:t>provides th</w:t>
      </w:r>
      <w:r w:rsidR="008C3EAE" w:rsidRPr="00FA608D">
        <w:rPr>
          <w:rStyle w:val="BookTitle"/>
          <w:i w:val="0"/>
          <w:iCs w:val="0"/>
          <w:smallCaps w:val="0"/>
          <w:spacing w:val="0"/>
          <w:sz w:val="22"/>
          <w:szCs w:val="22"/>
        </w:rPr>
        <w:t>at</w:t>
      </w:r>
      <w:r w:rsidRPr="00FA608D">
        <w:rPr>
          <w:rStyle w:val="BookTitle"/>
          <w:i w:val="0"/>
          <w:iCs w:val="0"/>
          <w:smallCaps w:val="0"/>
          <w:spacing w:val="0"/>
          <w:sz w:val="22"/>
          <w:szCs w:val="22"/>
        </w:rPr>
        <w:t xml:space="preserve"> an assurance of support provided by a body corporate </w:t>
      </w:r>
      <w:r w:rsidR="008C3EAE" w:rsidRPr="00FA608D">
        <w:rPr>
          <w:rStyle w:val="BookTitle"/>
          <w:i w:val="0"/>
          <w:iCs w:val="0"/>
          <w:smallCaps w:val="0"/>
          <w:spacing w:val="0"/>
          <w:sz w:val="22"/>
          <w:szCs w:val="22"/>
        </w:rPr>
        <w:t xml:space="preserve">may be cancelled </w:t>
      </w:r>
      <w:r w:rsidRPr="00FA608D">
        <w:rPr>
          <w:rStyle w:val="BookTitle"/>
          <w:i w:val="0"/>
          <w:iCs w:val="0"/>
          <w:smallCaps w:val="0"/>
          <w:spacing w:val="0"/>
          <w:sz w:val="22"/>
          <w:szCs w:val="22"/>
        </w:rPr>
        <w:t>in the event that the body corporate is deregistered.</w:t>
      </w:r>
    </w:p>
    <w:p w14:paraId="3CC2F13B" w14:textId="1BDD8005" w:rsidR="0091230A" w:rsidRPr="00FA608D" w:rsidRDefault="0091230A" w:rsidP="00FD6BF4">
      <w:pPr>
        <w:spacing w:after="120"/>
        <w:rPr>
          <w:b/>
          <w:sz w:val="22"/>
          <w:szCs w:val="22"/>
        </w:rPr>
      </w:pPr>
      <w:r w:rsidRPr="00FA608D">
        <w:rPr>
          <w:sz w:val="22"/>
          <w:szCs w:val="22"/>
        </w:rPr>
        <w:t>The Amendment Determination is</w:t>
      </w:r>
      <w:r w:rsidRPr="00FA608D">
        <w:rPr>
          <w:i/>
          <w:iCs/>
          <w:sz w:val="22"/>
          <w:szCs w:val="22"/>
        </w:rPr>
        <w:t xml:space="preserve"> </w:t>
      </w:r>
      <w:r w:rsidRPr="00FA608D">
        <w:rPr>
          <w:sz w:val="22"/>
          <w:szCs w:val="22"/>
        </w:rPr>
        <w:t xml:space="preserve">made under subsection 1061ZZGH(1) of the </w:t>
      </w:r>
      <w:r w:rsidRPr="00FA608D">
        <w:rPr>
          <w:i/>
          <w:iCs/>
          <w:sz w:val="22"/>
          <w:szCs w:val="22"/>
        </w:rPr>
        <w:t>Social Security Act 1991</w:t>
      </w:r>
      <w:r w:rsidRPr="00FA608D">
        <w:rPr>
          <w:sz w:val="22"/>
          <w:szCs w:val="22"/>
        </w:rPr>
        <w:t>.</w:t>
      </w:r>
    </w:p>
    <w:p w14:paraId="39719C57" w14:textId="3112E409" w:rsidR="006546B7" w:rsidRPr="00FA608D" w:rsidRDefault="006546B7" w:rsidP="00FD6BF4">
      <w:pPr>
        <w:spacing w:after="120"/>
        <w:rPr>
          <w:b/>
          <w:sz w:val="22"/>
          <w:szCs w:val="22"/>
        </w:rPr>
      </w:pPr>
      <w:r w:rsidRPr="00FA608D">
        <w:rPr>
          <w:b/>
          <w:sz w:val="22"/>
          <w:szCs w:val="22"/>
        </w:rPr>
        <w:t>Human rights implications</w:t>
      </w:r>
    </w:p>
    <w:p w14:paraId="3BD33E45" w14:textId="653A03CB" w:rsidR="007E037F" w:rsidRPr="00FA608D" w:rsidRDefault="007E037F" w:rsidP="00A84DA8">
      <w:pPr>
        <w:shd w:val="clear" w:color="auto" w:fill="FFFFFF"/>
        <w:spacing w:before="100" w:beforeAutospacing="1"/>
        <w:rPr>
          <w:sz w:val="22"/>
          <w:szCs w:val="22"/>
        </w:rPr>
      </w:pPr>
      <w:r w:rsidRPr="00FA608D">
        <w:rPr>
          <w:sz w:val="22"/>
          <w:szCs w:val="22"/>
        </w:rPr>
        <w:t xml:space="preserve">The </w:t>
      </w:r>
      <w:r w:rsidR="005B6B40" w:rsidRPr="00FA608D">
        <w:rPr>
          <w:sz w:val="22"/>
          <w:szCs w:val="22"/>
        </w:rPr>
        <w:t>Amendment Determination</w:t>
      </w:r>
      <w:r w:rsidRPr="00FA608D">
        <w:rPr>
          <w:sz w:val="22"/>
          <w:szCs w:val="22"/>
        </w:rPr>
        <w:t xml:space="preserve"> engages the following rights:</w:t>
      </w:r>
    </w:p>
    <w:p w14:paraId="3208B987" w14:textId="77777777" w:rsidR="007E037F" w:rsidRPr="00FA608D" w:rsidRDefault="007E037F" w:rsidP="00A84DA8">
      <w:pPr>
        <w:shd w:val="clear" w:color="auto" w:fill="FFFFFF"/>
        <w:spacing w:before="0"/>
        <w:rPr>
          <w:sz w:val="22"/>
          <w:szCs w:val="22"/>
        </w:rPr>
      </w:pPr>
    </w:p>
    <w:p w14:paraId="13C24F6E" w14:textId="77777777" w:rsidR="007E037F" w:rsidRPr="00FA608D" w:rsidRDefault="007E037F" w:rsidP="00A84DA8">
      <w:pPr>
        <w:numPr>
          <w:ilvl w:val="0"/>
          <w:numId w:val="24"/>
        </w:numPr>
        <w:shd w:val="clear" w:color="auto" w:fill="FFFFFF"/>
        <w:spacing w:before="0"/>
        <w:ind w:left="714" w:hanging="357"/>
        <w:rPr>
          <w:sz w:val="22"/>
          <w:szCs w:val="22"/>
          <w:lang w:val="en-US"/>
        </w:rPr>
      </w:pPr>
      <w:r w:rsidRPr="00FA608D">
        <w:rPr>
          <w:sz w:val="22"/>
          <w:szCs w:val="22"/>
        </w:rPr>
        <w:t xml:space="preserve">the right to social security contained in article 9 of the </w:t>
      </w:r>
      <w:r w:rsidRPr="00FA608D">
        <w:rPr>
          <w:iCs/>
          <w:sz w:val="22"/>
          <w:szCs w:val="22"/>
        </w:rPr>
        <w:t>International Covenant on Economic, Social and Cultural Rights</w:t>
      </w:r>
      <w:r w:rsidRPr="00FA608D">
        <w:rPr>
          <w:sz w:val="22"/>
          <w:szCs w:val="22"/>
        </w:rPr>
        <w:t xml:space="preserve"> (ICESCR); </w:t>
      </w:r>
    </w:p>
    <w:p w14:paraId="206DEB35" w14:textId="77777777" w:rsidR="007E037F" w:rsidRPr="00FA608D" w:rsidRDefault="007E037F" w:rsidP="00A84DA8">
      <w:pPr>
        <w:numPr>
          <w:ilvl w:val="0"/>
          <w:numId w:val="24"/>
        </w:numPr>
        <w:shd w:val="clear" w:color="auto" w:fill="FFFFFF"/>
        <w:spacing w:before="60"/>
        <w:rPr>
          <w:sz w:val="22"/>
          <w:szCs w:val="22"/>
        </w:rPr>
      </w:pPr>
      <w:r w:rsidRPr="00FA608D">
        <w:rPr>
          <w:sz w:val="22"/>
          <w:szCs w:val="22"/>
        </w:rPr>
        <w:t xml:space="preserve">the right to an adequate standard of living contained in article 11(1) of the ICESCR; </w:t>
      </w:r>
    </w:p>
    <w:p w14:paraId="33E5053B" w14:textId="13F6A110" w:rsidR="007E037F" w:rsidRPr="00FA608D" w:rsidRDefault="007E037F" w:rsidP="00A84DA8">
      <w:pPr>
        <w:numPr>
          <w:ilvl w:val="0"/>
          <w:numId w:val="24"/>
        </w:numPr>
        <w:shd w:val="clear" w:color="auto" w:fill="FFFFFF"/>
        <w:spacing w:before="60"/>
        <w:rPr>
          <w:sz w:val="22"/>
          <w:szCs w:val="22"/>
        </w:rPr>
      </w:pPr>
      <w:r w:rsidRPr="00FA608D">
        <w:rPr>
          <w:sz w:val="22"/>
          <w:szCs w:val="22"/>
        </w:rPr>
        <w:t>the right to equality and non-discrimination as contained in articles 2, 16 and 26</w:t>
      </w:r>
      <w:r w:rsidR="00836CCF" w:rsidRPr="00FA608D">
        <w:rPr>
          <w:sz w:val="22"/>
          <w:szCs w:val="22"/>
        </w:rPr>
        <w:t> </w:t>
      </w:r>
      <w:r w:rsidRPr="00FA608D">
        <w:rPr>
          <w:sz w:val="22"/>
          <w:szCs w:val="22"/>
        </w:rPr>
        <w:t>of the International Covenant on Civil and Political Rights</w:t>
      </w:r>
      <w:r w:rsidRPr="00FA608D">
        <w:rPr>
          <w:sz w:val="22"/>
          <w:szCs w:val="22"/>
          <w:lang w:val="en-US"/>
        </w:rPr>
        <w:t xml:space="preserve"> (ICCPR); </w:t>
      </w:r>
    </w:p>
    <w:p w14:paraId="74066C04" w14:textId="77777777" w:rsidR="007E037F" w:rsidRPr="00FA608D" w:rsidRDefault="007E037F" w:rsidP="00A84DA8">
      <w:pPr>
        <w:numPr>
          <w:ilvl w:val="0"/>
          <w:numId w:val="24"/>
        </w:numPr>
        <w:shd w:val="clear" w:color="auto" w:fill="FFFFFF"/>
        <w:spacing w:before="60"/>
        <w:rPr>
          <w:sz w:val="22"/>
          <w:szCs w:val="22"/>
        </w:rPr>
      </w:pPr>
      <w:r w:rsidRPr="00FA608D">
        <w:rPr>
          <w:sz w:val="22"/>
          <w:szCs w:val="22"/>
          <w:lang w:val="en-US"/>
        </w:rPr>
        <w:t>the right to freedom of movement as contained in articles 12 and 13 of the ICCPR</w:t>
      </w:r>
      <w:r w:rsidRPr="00FA608D">
        <w:rPr>
          <w:sz w:val="22"/>
          <w:szCs w:val="22"/>
        </w:rPr>
        <w:t>;</w:t>
      </w:r>
    </w:p>
    <w:p w14:paraId="356ACF83" w14:textId="77777777" w:rsidR="007E037F" w:rsidRPr="00FA608D" w:rsidRDefault="007E037F" w:rsidP="00A84DA8">
      <w:pPr>
        <w:numPr>
          <w:ilvl w:val="0"/>
          <w:numId w:val="24"/>
        </w:numPr>
        <w:shd w:val="clear" w:color="auto" w:fill="FFFFFF"/>
        <w:spacing w:before="60"/>
        <w:rPr>
          <w:sz w:val="22"/>
          <w:szCs w:val="22"/>
        </w:rPr>
      </w:pPr>
      <w:r w:rsidRPr="00FA608D">
        <w:rPr>
          <w:sz w:val="22"/>
          <w:szCs w:val="22"/>
        </w:rPr>
        <w:t xml:space="preserve">the right to protection of the family as contained in articles 23 and 17(1) of the ICCPR and article 10 of the ICESCR; and </w:t>
      </w:r>
    </w:p>
    <w:p w14:paraId="5DA7AA62" w14:textId="314773F7" w:rsidR="007E037F" w:rsidRPr="00FA608D" w:rsidRDefault="007E037F" w:rsidP="00A84DA8">
      <w:pPr>
        <w:numPr>
          <w:ilvl w:val="0"/>
          <w:numId w:val="24"/>
        </w:numPr>
        <w:shd w:val="clear" w:color="auto" w:fill="FFFFFF"/>
        <w:spacing w:before="60"/>
        <w:rPr>
          <w:sz w:val="22"/>
          <w:szCs w:val="22"/>
        </w:rPr>
      </w:pPr>
      <w:r w:rsidRPr="00FA608D">
        <w:rPr>
          <w:sz w:val="22"/>
          <w:szCs w:val="22"/>
        </w:rPr>
        <w:t>the rights of parents and children as contained in article 3 of the Convention on the Rights of the Child and article 24(1) of the ICCPR.</w:t>
      </w:r>
    </w:p>
    <w:p w14:paraId="1D389776" w14:textId="1F173D58" w:rsidR="00E63577" w:rsidRPr="00FA608D" w:rsidRDefault="00E63577" w:rsidP="00BC43B1">
      <w:pPr>
        <w:shd w:val="clear" w:color="auto" w:fill="FFFFFF"/>
        <w:spacing w:before="60"/>
        <w:jc w:val="both"/>
        <w:rPr>
          <w:sz w:val="22"/>
          <w:szCs w:val="22"/>
        </w:rPr>
      </w:pPr>
    </w:p>
    <w:p w14:paraId="49162E52" w14:textId="54186F7E" w:rsidR="00E63577" w:rsidRPr="00FA608D" w:rsidRDefault="00E63577" w:rsidP="00E63577">
      <w:pPr>
        <w:spacing w:before="0"/>
        <w:ind w:right="91"/>
        <w:jc w:val="both"/>
        <w:rPr>
          <w:sz w:val="22"/>
          <w:szCs w:val="22"/>
        </w:rPr>
      </w:pPr>
      <w:r w:rsidRPr="00FA608D">
        <w:rPr>
          <w:sz w:val="22"/>
          <w:szCs w:val="22"/>
          <w:u w:val="single"/>
        </w:rPr>
        <w:t>Background</w:t>
      </w:r>
    </w:p>
    <w:p w14:paraId="72FBCB8A" w14:textId="61845443" w:rsidR="00E63577" w:rsidRPr="00FA608D" w:rsidRDefault="00E63577" w:rsidP="00A84DA8">
      <w:pPr>
        <w:shd w:val="clear" w:color="auto" w:fill="FFFFFF"/>
        <w:spacing w:before="100" w:beforeAutospacing="1" w:after="120"/>
        <w:rPr>
          <w:sz w:val="22"/>
          <w:szCs w:val="22"/>
        </w:rPr>
      </w:pPr>
      <w:r w:rsidRPr="00FA608D">
        <w:rPr>
          <w:sz w:val="22"/>
          <w:szCs w:val="22"/>
        </w:rPr>
        <w:t xml:space="preserve">The Determination sets out </w:t>
      </w:r>
      <w:r w:rsidR="00700566" w:rsidRPr="00FA608D">
        <w:rPr>
          <w:sz w:val="22"/>
          <w:szCs w:val="22"/>
        </w:rPr>
        <w:t xml:space="preserve">the </w:t>
      </w:r>
      <w:r w:rsidRPr="00FA608D">
        <w:rPr>
          <w:sz w:val="22"/>
          <w:szCs w:val="22"/>
        </w:rPr>
        <w:t>key requirements underpinning th</w:t>
      </w:r>
      <w:r w:rsidR="008A277C" w:rsidRPr="00FA608D">
        <w:rPr>
          <w:sz w:val="22"/>
          <w:szCs w:val="22"/>
        </w:rPr>
        <w:t xml:space="preserve">e </w:t>
      </w:r>
      <w:r w:rsidR="002B53D0" w:rsidRPr="00FA608D">
        <w:rPr>
          <w:sz w:val="22"/>
          <w:szCs w:val="22"/>
        </w:rPr>
        <w:t>a</w:t>
      </w:r>
      <w:r w:rsidR="008A277C" w:rsidRPr="00FA608D">
        <w:rPr>
          <w:sz w:val="22"/>
          <w:szCs w:val="22"/>
        </w:rPr>
        <w:t xml:space="preserve">ssurance of </w:t>
      </w:r>
      <w:r w:rsidR="002B53D0" w:rsidRPr="00FA608D">
        <w:rPr>
          <w:sz w:val="22"/>
          <w:szCs w:val="22"/>
        </w:rPr>
        <w:t>s</w:t>
      </w:r>
      <w:r w:rsidR="008A277C" w:rsidRPr="00FA608D">
        <w:rPr>
          <w:sz w:val="22"/>
          <w:szCs w:val="22"/>
        </w:rPr>
        <w:t xml:space="preserve">upport scheme. </w:t>
      </w:r>
      <w:r w:rsidRPr="00FA608D">
        <w:rPr>
          <w:sz w:val="22"/>
          <w:szCs w:val="22"/>
        </w:rPr>
        <w:t xml:space="preserve">The primary objective of the </w:t>
      </w:r>
      <w:r w:rsidR="002B53D0" w:rsidRPr="00FA608D">
        <w:rPr>
          <w:sz w:val="22"/>
          <w:szCs w:val="22"/>
        </w:rPr>
        <w:t>a</w:t>
      </w:r>
      <w:r w:rsidRPr="00FA608D">
        <w:rPr>
          <w:sz w:val="22"/>
          <w:szCs w:val="22"/>
        </w:rPr>
        <w:t xml:space="preserve">ssurance of </w:t>
      </w:r>
      <w:r w:rsidR="002B53D0" w:rsidRPr="00FA608D">
        <w:rPr>
          <w:sz w:val="22"/>
          <w:szCs w:val="22"/>
        </w:rPr>
        <w:t>s</w:t>
      </w:r>
      <w:r w:rsidRPr="00FA608D">
        <w:rPr>
          <w:sz w:val="22"/>
          <w:szCs w:val="22"/>
        </w:rPr>
        <w:t xml:space="preserve">upport scheme is to protect social security outlays while allowing the migration of people who might otherwise not normally be permitted to come to Australia. An assurance of support is a legally binding commitment by an eligible Australian resident (the assurer) to support a new visa entrant (the assuree) for the duration of the assurance period and to repay any recoverable social security payments made to the assuree during that period.  </w:t>
      </w:r>
    </w:p>
    <w:p w14:paraId="0D2DB31C" w14:textId="4D3F3C5A" w:rsidR="00520C9D" w:rsidRPr="00FA608D" w:rsidRDefault="00520C9D" w:rsidP="00A84DA8">
      <w:pPr>
        <w:shd w:val="clear" w:color="auto" w:fill="FFFFFF"/>
        <w:spacing w:before="100" w:beforeAutospacing="1" w:after="120"/>
        <w:rPr>
          <w:sz w:val="22"/>
          <w:szCs w:val="22"/>
        </w:rPr>
      </w:pPr>
      <w:r w:rsidRPr="00FA608D">
        <w:rPr>
          <w:sz w:val="22"/>
          <w:szCs w:val="22"/>
        </w:rPr>
        <w:lastRenderedPageBreak/>
        <w:t>The requirements set out in the Determination include the number of assurances an individual or body can have given at any one time and the income or capacity test an individual or body must meet to give an assurance.</w:t>
      </w:r>
    </w:p>
    <w:p w14:paraId="177639BC" w14:textId="77777777" w:rsidR="007E037F" w:rsidRPr="00FA608D" w:rsidRDefault="007E037F" w:rsidP="00A84DA8">
      <w:pPr>
        <w:shd w:val="clear" w:color="auto" w:fill="FFFFFF"/>
        <w:spacing w:before="100" w:beforeAutospacing="1" w:after="120"/>
        <w:rPr>
          <w:sz w:val="22"/>
          <w:szCs w:val="22"/>
          <w:u w:val="single"/>
        </w:rPr>
      </w:pPr>
      <w:r w:rsidRPr="00FA608D">
        <w:rPr>
          <w:sz w:val="22"/>
          <w:szCs w:val="22"/>
          <w:u w:val="single"/>
        </w:rPr>
        <w:t>The right to social security and an adequate standard of living</w:t>
      </w:r>
    </w:p>
    <w:p w14:paraId="2D91B0A6" w14:textId="7A05C7D6" w:rsidR="007E037F" w:rsidRPr="00FA608D" w:rsidRDefault="007E037F" w:rsidP="00A84DA8">
      <w:pPr>
        <w:shd w:val="clear" w:color="auto" w:fill="FFFFFF"/>
        <w:spacing w:before="100" w:beforeAutospacing="1" w:after="120"/>
        <w:rPr>
          <w:sz w:val="22"/>
          <w:szCs w:val="22"/>
        </w:rPr>
      </w:pPr>
      <w:r w:rsidRPr="00FA608D">
        <w:rPr>
          <w:sz w:val="22"/>
          <w:szCs w:val="22"/>
        </w:rPr>
        <w:t>Th</w:t>
      </w:r>
      <w:r w:rsidR="001C4527" w:rsidRPr="00FA608D">
        <w:rPr>
          <w:sz w:val="22"/>
          <w:szCs w:val="22"/>
        </w:rPr>
        <w:t>e Amendment Determination</w:t>
      </w:r>
      <w:r w:rsidRPr="00FA608D">
        <w:rPr>
          <w:sz w:val="22"/>
          <w:szCs w:val="22"/>
        </w:rPr>
        <w:t xml:space="preserve"> does not limit a permanent visa holder’s right to social security and an adequate standard of living after migrating to Australia once an assurance of support has been provided. These visa holders will have access to Australia’s social security system where eligible and subject to meeting any existing waiting periods.</w:t>
      </w:r>
    </w:p>
    <w:p w14:paraId="34ACC755" w14:textId="6BA0644E" w:rsidR="00E803C3" w:rsidRPr="00FA608D" w:rsidRDefault="007E037F" w:rsidP="00A84DA8">
      <w:pPr>
        <w:shd w:val="clear" w:color="auto" w:fill="FFFFFF"/>
        <w:spacing w:before="100" w:beforeAutospacing="1" w:after="120"/>
        <w:rPr>
          <w:sz w:val="22"/>
          <w:szCs w:val="22"/>
        </w:rPr>
      </w:pPr>
      <w:r w:rsidRPr="00FA608D">
        <w:rPr>
          <w:sz w:val="22"/>
          <w:szCs w:val="22"/>
        </w:rPr>
        <w:t xml:space="preserve">If the assurer is not able to provide adequate support to the visa entrant during the assurance period, the visa holder may be eligible for a social security payment. In this event, </w:t>
      </w:r>
      <w:r w:rsidR="00E803C3" w:rsidRPr="00FA608D">
        <w:rPr>
          <w:sz w:val="22"/>
          <w:szCs w:val="22"/>
        </w:rPr>
        <w:t>the assurer will be required</w:t>
      </w:r>
      <w:r w:rsidRPr="00FA608D">
        <w:rPr>
          <w:sz w:val="22"/>
          <w:szCs w:val="22"/>
        </w:rPr>
        <w:t xml:space="preserve"> to repay any recoverable social security payments made to the visa holder during the assurance period. </w:t>
      </w:r>
    </w:p>
    <w:p w14:paraId="744C875E" w14:textId="77777777" w:rsidR="006A0A25" w:rsidRPr="00FA608D" w:rsidRDefault="00E803C3" w:rsidP="005B6B40">
      <w:pPr>
        <w:shd w:val="clear" w:color="auto" w:fill="FFFFFF"/>
        <w:spacing w:before="100" w:beforeAutospacing="1" w:after="120"/>
        <w:rPr>
          <w:sz w:val="22"/>
          <w:szCs w:val="22"/>
        </w:rPr>
      </w:pPr>
      <w:r w:rsidRPr="00FA608D">
        <w:rPr>
          <w:sz w:val="22"/>
          <w:szCs w:val="22"/>
        </w:rPr>
        <w:t xml:space="preserve">The Determination already includes certain requirements designed to ensure that individuals and bodies are able to support their assurees </w:t>
      </w:r>
      <w:r w:rsidR="00D166B8" w:rsidRPr="00FA608D">
        <w:rPr>
          <w:sz w:val="22"/>
          <w:szCs w:val="22"/>
        </w:rPr>
        <w:t xml:space="preserve">to an adequate standard of living </w:t>
      </w:r>
      <w:r w:rsidRPr="00FA608D">
        <w:rPr>
          <w:sz w:val="22"/>
          <w:szCs w:val="22"/>
        </w:rPr>
        <w:t>and limit the risk of assurees needing to access a recoverable social security payment.</w:t>
      </w:r>
      <w:r w:rsidR="00AC7EA9" w:rsidRPr="00FA608D">
        <w:rPr>
          <w:sz w:val="22"/>
          <w:szCs w:val="22"/>
        </w:rPr>
        <w:t xml:space="preserve"> </w:t>
      </w:r>
    </w:p>
    <w:p w14:paraId="34A1F4C7" w14:textId="34BDE0FF" w:rsidR="00AC7EA9" w:rsidRPr="00FA608D" w:rsidRDefault="006A0A25" w:rsidP="005B6B40">
      <w:pPr>
        <w:shd w:val="clear" w:color="auto" w:fill="FFFFFF"/>
        <w:spacing w:before="100" w:beforeAutospacing="1" w:after="120"/>
        <w:rPr>
          <w:sz w:val="22"/>
          <w:szCs w:val="22"/>
        </w:rPr>
      </w:pPr>
      <w:r w:rsidRPr="00FA608D">
        <w:rPr>
          <w:sz w:val="22"/>
          <w:szCs w:val="22"/>
        </w:rPr>
        <w:t xml:space="preserve">The Amendment Determination ensures the existing assurance of support requirements will continue, </w:t>
      </w:r>
      <w:r w:rsidR="00842D1C" w:rsidRPr="00FA608D">
        <w:rPr>
          <w:sz w:val="22"/>
          <w:szCs w:val="22"/>
        </w:rPr>
        <w:t>and</w:t>
      </w:r>
      <w:r w:rsidRPr="00FA608D">
        <w:rPr>
          <w:sz w:val="22"/>
          <w:szCs w:val="22"/>
        </w:rPr>
        <w:t xml:space="preserve"> makes two minor changes to improve current administrative arrangements. In particular, t</w:t>
      </w:r>
      <w:r w:rsidR="00AC7EA9" w:rsidRPr="00FA608D">
        <w:rPr>
          <w:sz w:val="22"/>
          <w:szCs w:val="22"/>
        </w:rPr>
        <w:t xml:space="preserve">he Amendment Determination introduces greater flexibility </w:t>
      </w:r>
      <w:r w:rsidRPr="00FA608D">
        <w:rPr>
          <w:sz w:val="22"/>
          <w:szCs w:val="22"/>
        </w:rPr>
        <w:t>for</w:t>
      </w:r>
      <w:r w:rsidR="00AC7EA9" w:rsidRPr="00FA608D">
        <w:rPr>
          <w:sz w:val="22"/>
          <w:szCs w:val="22"/>
        </w:rPr>
        <w:t xml:space="preserve"> satisfy</w:t>
      </w:r>
      <w:r w:rsidRPr="00FA608D">
        <w:rPr>
          <w:sz w:val="22"/>
          <w:szCs w:val="22"/>
        </w:rPr>
        <w:t>ing</w:t>
      </w:r>
      <w:r w:rsidR="00AC7EA9" w:rsidRPr="00FA608D">
        <w:rPr>
          <w:sz w:val="22"/>
          <w:szCs w:val="22"/>
        </w:rPr>
        <w:t xml:space="preserve"> the income test requirements, and </w:t>
      </w:r>
      <w:r w:rsidRPr="00FA608D">
        <w:rPr>
          <w:sz w:val="22"/>
          <w:szCs w:val="22"/>
        </w:rPr>
        <w:t xml:space="preserve">accordingly </w:t>
      </w:r>
      <w:r w:rsidR="00AC7EA9" w:rsidRPr="00FA608D">
        <w:rPr>
          <w:sz w:val="22"/>
          <w:szCs w:val="22"/>
        </w:rPr>
        <w:t>further</w:t>
      </w:r>
      <w:r w:rsidRPr="00FA608D">
        <w:rPr>
          <w:sz w:val="22"/>
          <w:szCs w:val="22"/>
        </w:rPr>
        <w:t>s the</w:t>
      </w:r>
      <w:r w:rsidR="00AC7EA9" w:rsidRPr="00FA608D">
        <w:rPr>
          <w:sz w:val="22"/>
          <w:szCs w:val="22"/>
        </w:rPr>
        <w:t xml:space="preserve"> opportunities for </w:t>
      </w:r>
      <w:r w:rsidRPr="00FA608D">
        <w:rPr>
          <w:sz w:val="22"/>
          <w:szCs w:val="22"/>
        </w:rPr>
        <w:t>potential assurers to give an assurance of support</w:t>
      </w:r>
      <w:r w:rsidR="00AC7EA9" w:rsidRPr="00FA608D">
        <w:rPr>
          <w:sz w:val="22"/>
          <w:szCs w:val="22"/>
        </w:rPr>
        <w:t>.</w:t>
      </w:r>
    </w:p>
    <w:p w14:paraId="2D0651B1" w14:textId="77777777" w:rsidR="007E037F" w:rsidRPr="00FA608D" w:rsidRDefault="007E037F" w:rsidP="00A84DA8">
      <w:pPr>
        <w:keepNext/>
        <w:shd w:val="clear" w:color="auto" w:fill="FFFFFF"/>
        <w:spacing w:before="100" w:beforeAutospacing="1" w:after="120"/>
        <w:rPr>
          <w:sz w:val="22"/>
          <w:szCs w:val="22"/>
          <w:u w:val="single"/>
        </w:rPr>
      </w:pPr>
      <w:r w:rsidRPr="00FA608D">
        <w:rPr>
          <w:sz w:val="22"/>
          <w:szCs w:val="22"/>
          <w:u w:val="single"/>
        </w:rPr>
        <w:t>The right to equality and non-discrimination</w:t>
      </w:r>
    </w:p>
    <w:p w14:paraId="6678B490" w14:textId="2FC3973B" w:rsidR="007E037F" w:rsidRPr="00FA608D" w:rsidRDefault="007E037F" w:rsidP="00A84DA8">
      <w:pPr>
        <w:shd w:val="clear" w:color="auto" w:fill="FFFFFF"/>
        <w:spacing w:before="100" w:beforeAutospacing="1" w:after="120"/>
        <w:rPr>
          <w:sz w:val="22"/>
          <w:szCs w:val="22"/>
          <w:lang w:val="en"/>
        </w:rPr>
      </w:pPr>
      <w:r w:rsidRPr="00FA608D">
        <w:rPr>
          <w:sz w:val="22"/>
          <w:szCs w:val="22"/>
        </w:rPr>
        <w:t>Th</w:t>
      </w:r>
      <w:r w:rsidR="001C4527" w:rsidRPr="00FA608D">
        <w:rPr>
          <w:sz w:val="22"/>
          <w:szCs w:val="22"/>
        </w:rPr>
        <w:t>e Amendment Determination</w:t>
      </w:r>
      <w:r w:rsidRPr="00FA608D">
        <w:rPr>
          <w:sz w:val="22"/>
          <w:szCs w:val="22"/>
        </w:rPr>
        <w:t xml:space="preserve"> </w:t>
      </w:r>
      <w:r w:rsidR="006A0A25" w:rsidRPr="00FA608D">
        <w:rPr>
          <w:sz w:val="22"/>
          <w:szCs w:val="22"/>
        </w:rPr>
        <w:t>does not change or impact current arrangements with regards to the right of visa holders</w:t>
      </w:r>
      <w:r w:rsidRPr="00FA608D">
        <w:rPr>
          <w:sz w:val="22"/>
          <w:szCs w:val="22"/>
        </w:rPr>
        <w:t xml:space="preserve"> to equality and non-discrimination. The </w:t>
      </w:r>
      <w:r w:rsidRPr="00FA608D">
        <w:rPr>
          <w:sz w:val="22"/>
          <w:szCs w:val="22"/>
          <w:lang w:val="en"/>
        </w:rPr>
        <w:t xml:space="preserve">differential treatment of migrants subject to an assurance of support compared to other migrants, reflects the purpose of the </w:t>
      </w:r>
      <w:r w:rsidR="002B53D0" w:rsidRPr="00FA608D">
        <w:rPr>
          <w:sz w:val="22"/>
          <w:szCs w:val="22"/>
          <w:lang w:val="en"/>
        </w:rPr>
        <w:t>a</w:t>
      </w:r>
      <w:r w:rsidRPr="00FA608D">
        <w:rPr>
          <w:sz w:val="22"/>
          <w:szCs w:val="22"/>
          <w:lang w:val="en"/>
        </w:rPr>
        <w:t xml:space="preserve">ssurance of </w:t>
      </w:r>
      <w:r w:rsidR="002B53D0" w:rsidRPr="00FA608D">
        <w:rPr>
          <w:sz w:val="22"/>
          <w:szCs w:val="22"/>
          <w:lang w:val="en"/>
        </w:rPr>
        <w:t>s</w:t>
      </w:r>
      <w:r w:rsidRPr="00FA608D">
        <w:rPr>
          <w:sz w:val="22"/>
          <w:szCs w:val="22"/>
          <w:lang w:val="en"/>
        </w:rPr>
        <w:t xml:space="preserve">upport scheme, which is to </w:t>
      </w:r>
      <w:r w:rsidRPr="00FA608D">
        <w:rPr>
          <w:sz w:val="22"/>
          <w:szCs w:val="22"/>
        </w:rPr>
        <w:t>allow migrants with a higher likelihood of needing income support payments (such as parents of Australian residents) entry into Aus</w:t>
      </w:r>
      <w:r w:rsidR="006A0A25" w:rsidRPr="00FA608D">
        <w:rPr>
          <w:sz w:val="22"/>
          <w:szCs w:val="22"/>
        </w:rPr>
        <w:t>tralia, while protecting social </w:t>
      </w:r>
      <w:r w:rsidRPr="00FA608D">
        <w:rPr>
          <w:sz w:val="22"/>
          <w:szCs w:val="22"/>
        </w:rPr>
        <w:t>security outlays.</w:t>
      </w:r>
      <w:r w:rsidRPr="00FA608D">
        <w:rPr>
          <w:sz w:val="22"/>
          <w:szCs w:val="22"/>
          <w:lang w:val="en"/>
        </w:rPr>
        <w:t xml:space="preserve"> </w:t>
      </w:r>
    </w:p>
    <w:p w14:paraId="71C58600" w14:textId="77777777" w:rsidR="007E037F" w:rsidRPr="00FA608D" w:rsidRDefault="007E037F" w:rsidP="00A84DA8">
      <w:pPr>
        <w:shd w:val="clear" w:color="auto" w:fill="FFFFFF"/>
        <w:spacing w:before="100" w:beforeAutospacing="1" w:after="120"/>
        <w:rPr>
          <w:sz w:val="22"/>
          <w:szCs w:val="22"/>
          <w:u w:val="single"/>
        </w:rPr>
      </w:pPr>
      <w:r w:rsidRPr="00FA608D">
        <w:rPr>
          <w:sz w:val="22"/>
          <w:szCs w:val="22"/>
          <w:u w:val="single"/>
        </w:rPr>
        <w:t>The right to freedom of movement, the protection of the family, and rights of parents and children</w:t>
      </w:r>
    </w:p>
    <w:p w14:paraId="3D7525FA" w14:textId="0FC6F170" w:rsidR="00D166B8" w:rsidRPr="00FA608D" w:rsidRDefault="007E037F" w:rsidP="00A84DA8">
      <w:pPr>
        <w:shd w:val="clear" w:color="auto" w:fill="FFFFFF"/>
        <w:spacing w:before="100" w:beforeAutospacing="1" w:after="120"/>
        <w:rPr>
          <w:sz w:val="22"/>
          <w:szCs w:val="22"/>
        </w:rPr>
      </w:pPr>
      <w:r w:rsidRPr="00FA608D">
        <w:rPr>
          <w:sz w:val="22"/>
          <w:szCs w:val="22"/>
        </w:rPr>
        <w:t>Th</w:t>
      </w:r>
      <w:r w:rsidR="001C4527" w:rsidRPr="00FA608D">
        <w:rPr>
          <w:sz w:val="22"/>
          <w:szCs w:val="22"/>
        </w:rPr>
        <w:t>e Amendment Determination</w:t>
      </w:r>
      <w:r w:rsidRPr="00FA608D">
        <w:rPr>
          <w:sz w:val="22"/>
          <w:szCs w:val="22"/>
        </w:rPr>
        <w:t xml:space="preserve"> does not change or impact current arrangements with regards to the right of visa holders to freedom of movement, the protection of the family, and rights of parents and children. Migrants will continue to be able to apply for a visa to come to, or remain in, Australia permanently (including to reunite with family) and have their visa application granted, subject to meeting the eligibility criteria including, where relevant, obtaining </w:t>
      </w:r>
      <w:r w:rsidR="008A277C" w:rsidRPr="00FA608D">
        <w:rPr>
          <w:sz w:val="22"/>
          <w:szCs w:val="22"/>
        </w:rPr>
        <w:t xml:space="preserve">an assurance of support. </w:t>
      </w:r>
    </w:p>
    <w:p w14:paraId="68BE8AFD" w14:textId="77777777" w:rsidR="006546B7" w:rsidRPr="00FA608D" w:rsidRDefault="006546B7" w:rsidP="00A84DA8">
      <w:pPr>
        <w:keepNext/>
        <w:spacing w:after="120"/>
        <w:rPr>
          <w:b/>
          <w:sz w:val="22"/>
          <w:szCs w:val="22"/>
        </w:rPr>
      </w:pPr>
      <w:r w:rsidRPr="00FA608D">
        <w:rPr>
          <w:b/>
          <w:sz w:val="22"/>
          <w:szCs w:val="22"/>
        </w:rPr>
        <w:t xml:space="preserve">Conclusion </w:t>
      </w:r>
    </w:p>
    <w:p w14:paraId="1E2DD2D6" w14:textId="25C6281F" w:rsidR="00842D1C" w:rsidRPr="00FA608D" w:rsidRDefault="007E037F" w:rsidP="008A7A50">
      <w:pPr>
        <w:shd w:val="clear" w:color="auto" w:fill="FFFFFF"/>
        <w:spacing w:after="120"/>
        <w:rPr>
          <w:sz w:val="22"/>
          <w:szCs w:val="22"/>
        </w:rPr>
      </w:pPr>
      <w:r w:rsidRPr="00FA608D">
        <w:rPr>
          <w:sz w:val="22"/>
          <w:szCs w:val="22"/>
        </w:rPr>
        <w:t xml:space="preserve">The </w:t>
      </w:r>
      <w:r w:rsidR="001C4527" w:rsidRPr="00FA608D">
        <w:rPr>
          <w:sz w:val="22"/>
          <w:szCs w:val="22"/>
        </w:rPr>
        <w:t>Amendment Determination</w:t>
      </w:r>
      <w:r w:rsidRPr="00FA608D">
        <w:rPr>
          <w:sz w:val="22"/>
          <w:szCs w:val="22"/>
        </w:rPr>
        <w:t xml:space="preserve"> is compatible with human rights. It </w:t>
      </w:r>
      <w:r w:rsidR="008A7A50" w:rsidRPr="00FA608D">
        <w:rPr>
          <w:sz w:val="22"/>
          <w:szCs w:val="22"/>
        </w:rPr>
        <w:t xml:space="preserve">ensures </w:t>
      </w:r>
      <w:r w:rsidR="00842D1C" w:rsidRPr="00FA608D">
        <w:rPr>
          <w:sz w:val="22"/>
          <w:szCs w:val="22"/>
        </w:rPr>
        <w:t>existing assurance of support requirements</w:t>
      </w:r>
      <w:r w:rsidR="008A7A50" w:rsidRPr="00FA608D">
        <w:rPr>
          <w:sz w:val="22"/>
          <w:szCs w:val="22"/>
        </w:rPr>
        <w:t xml:space="preserve"> are continued</w:t>
      </w:r>
      <w:r w:rsidR="00842D1C" w:rsidRPr="00FA608D">
        <w:rPr>
          <w:sz w:val="22"/>
          <w:szCs w:val="22"/>
        </w:rPr>
        <w:t xml:space="preserve">, and </w:t>
      </w:r>
      <w:r w:rsidRPr="00FA608D">
        <w:rPr>
          <w:sz w:val="22"/>
          <w:szCs w:val="22"/>
        </w:rPr>
        <w:t>doe</w:t>
      </w:r>
      <w:r w:rsidR="00842D1C" w:rsidRPr="00FA608D">
        <w:rPr>
          <w:sz w:val="22"/>
          <w:szCs w:val="22"/>
        </w:rPr>
        <w:t>s not limit the right to social </w:t>
      </w:r>
      <w:r w:rsidRPr="00FA608D">
        <w:rPr>
          <w:sz w:val="22"/>
          <w:szCs w:val="22"/>
        </w:rPr>
        <w:t xml:space="preserve">security and an adequate standard of living for visa </w:t>
      </w:r>
      <w:r w:rsidR="008A7A50" w:rsidRPr="00FA608D">
        <w:rPr>
          <w:sz w:val="22"/>
          <w:szCs w:val="22"/>
        </w:rPr>
        <w:t>holders</w:t>
      </w:r>
      <w:r w:rsidRPr="00FA608D">
        <w:rPr>
          <w:sz w:val="22"/>
          <w:szCs w:val="22"/>
        </w:rPr>
        <w:t xml:space="preserve">. </w:t>
      </w:r>
      <w:r w:rsidR="00842D1C" w:rsidRPr="00FA608D">
        <w:rPr>
          <w:sz w:val="22"/>
          <w:szCs w:val="22"/>
        </w:rPr>
        <w:t>The Amendment Determination does not affect current arrangements in relation to</w:t>
      </w:r>
      <w:r w:rsidR="00D166B8" w:rsidRPr="00FA608D">
        <w:rPr>
          <w:sz w:val="22"/>
          <w:szCs w:val="22"/>
        </w:rPr>
        <w:t xml:space="preserve"> the right to </w:t>
      </w:r>
      <w:r w:rsidR="00842D1C" w:rsidRPr="00FA608D">
        <w:rPr>
          <w:sz w:val="22"/>
          <w:szCs w:val="22"/>
        </w:rPr>
        <w:t xml:space="preserve">equality and non-discrimination, </w:t>
      </w:r>
      <w:r w:rsidR="00D166B8" w:rsidRPr="00FA608D">
        <w:rPr>
          <w:sz w:val="22"/>
          <w:szCs w:val="22"/>
        </w:rPr>
        <w:t xml:space="preserve">freedom of movement, the protection of the family, and rights of parents and children. </w:t>
      </w:r>
      <w:r w:rsidRPr="00FA608D">
        <w:rPr>
          <w:sz w:val="22"/>
          <w:szCs w:val="22"/>
        </w:rPr>
        <w:t xml:space="preserve">To the extent that </w:t>
      </w:r>
      <w:r w:rsidR="00842D1C" w:rsidRPr="00FA608D">
        <w:rPr>
          <w:sz w:val="22"/>
          <w:szCs w:val="22"/>
          <w:lang w:val="en"/>
        </w:rPr>
        <w:t xml:space="preserve">the Amendment Determination, and the broader assurance of support scheme provided for in </w:t>
      </w:r>
      <w:r w:rsidR="008A7A50" w:rsidRPr="00FA608D">
        <w:rPr>
          <w:sz w:val="22"/>
          <w:szCs w:val="22"/>
          <w:lang w:val="en"/>
        </w:rPr>
        <w:t xml:space="preserve">the </w:t>
      </w:r>
      <w:r w:rsidR="00842D1C" w:rsidRPr="00FA608D">
        <w:rPr>
          <w:sz w:val="22"/>
          <w:szCs w:val="22"/>
          <w:lang w:val="en"/>
        </w:rPr>
        <w:t>social security law, limits these rights, this is reasonable and proportionate to achieving the legitimate purpose of t</w:t>
      </w:r>
      <w:r w:rsidR="00842D1C" w:rsidRPr="00FA608D">
        <w:rPr>
          <w:sz w:val="22"/>
          <w:szCs w:val="22"/>
        </w:rPr>
        <w:t>he assurance of support scheme.</w:t>
      </w:r>
    </w:p>
    <w:bookmarkEnd w:id="0"/>
    <w:p w14:paraId="5307ED49" w14:textId="1542770C" w:rsidR="002810A5" w:rsidRPr="007471D7" w:rsidRDefault="001C4527" w:rsidP="008A7A50">
      <w:pPr>
        <w:jc w:val="center"/>
        <w:rPr>
          <w:rStyle w:val="BookTitle"/>
          <w:i w:val="0"/>
          <w:iCs w:val="0"/>
          <w:smallCaps w:val="0"/>
          <w:spacing w:val="0"/>
          <w:sz w:val="22"/>
          <w:szCs w:val="22"/>
        </w:rPr>
      </w:pPr>
      <w:r w:rsidRPr="00FA608D">
        <w:rPr>
          <w:b/>
          <w:sz w:val="22"/>
          <w:szCs w:val="22"/>
        </w:rPr>
        <w:t xml:space="preserve">The Hon </w:t>
      </w:r>
      <w:r w:rsidR="00A84DA8" w:rsidRPr="00FA608D">
        <w:rPr>
          <w:b/>
          <w:sz w:val="22"/>
          <w:szCs w:val="22"/>
        </w:rPr>
        <w:t>Amanda Rishworth</w:t>
      </w:r>
      <w:r w:rsidR="00AC7EA9" w:rsidRPr="00FA608D">
        <w:rPr>
          <w:b/>
          <w:sz w:val="22"/>
          <w:szCs w:val="22"/>
        </w:rPr>
        <w:t xml:space="preserve"> MP</w:t>
      </w:r>
      <w:r w:rsidR="00BB3B7B" w:rsidRPr="00FA608D">
        <w:rPr>
          <w:b/>
          <w:sz w:val="22"/>
          <w:szCs w:val="22"/>
        </w:rPr>
        <w:t>, Minister for Social Services</w:t>
      </w:r>
    </w:p>
    <w:sectPr w:rsidR="002810A5" w:rsidRPr="007471D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6E665" w14:textId="77777777" w:rsidR="00B22865" w:rsidRDefault="00B22865" w:rsidP="00AD1645">
      <w:pPr>
        <w:spacing w:before="0"/>
      </w:pPr>
      <w:r>
        <w:separator/>
      </w:r>
    </w:p>
  </w:endnote>
  <w:endnote w:type="continuationSeparator" w:id="0">
    <w:p w14:paraId="1937E51E" w14:textId="77777777" w:rsidR="00B22865" w:rsidRDefault="00B22865"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50B43" w14:textId="77777777" w:rsidR="0091230A" w:rsidRDefault="009123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E431C" w14:textId="77777777" w:rsidR="0091230A" w:rsidRDefault="009123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5264F" w14:textId="77777777" w:rsidR="0091230A" w:rsidRDefault="00912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3403E" w14:textId="77777777" w:rsidR="00B22865" w:rsidRDefault="00B22865" w:rsidP="00AD1645">
      <w:pPr>
        <w:spacing w:before="0"/>
      </w:pPr>
      <w:r>
        <w:separator/>
      </w:r>
    </w:p>
  </w:footnote>
  <w:footnote w:type="continuationSeparator" w:id="0">
    <w:p w14:paraId="33930D2E" w14:textId="77777777" w:rsidR="00B22865" w:rsidRDefault="00B22865" w:rsidP="00AD164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4070" w14:textId="77777777" w:rsidR="0091230A" w:rsidRDefault="009123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7B6DE" w14:textId="65FD4D74" w:rsidR="0091230A" w:rsidRDefault="009123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3F96F" w14:textId="77777777" w:rsidR="0091230A" w:rsidRDefault="009123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4707FB"/>
    <w:multiLevelType w:val="hybridMultilevel"/>
    <w:tmpl w:val="B7060CA0"/>
    <w:lvl w:ilvl="0" w:tplc="59C8AADE">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6B3681"/>
    <w:multiLevelType w:val="hybridMultilevel"/>
    <w:tmpl w:val="3EBC3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A0647C"/>
    <w:multiLevelType w:val="hybridMultilevel"/>
    <w:tmpl w:val="2228CD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6A3A6B"/>
    <w:multiLevelType w:val="hybridMultilevel"/>
    <w:tmpl w:val="A910714A"/>
    <w:lvl w:ilvl="0" w:tplc="50A073F6">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C922FE"/>
    <w:multiLevelType w:val="hybridMultilevel"/>
    <w:tmpl w:val="43464152"/>
    <w:lvl w:ilvl="0" w:tplc="50A073F6">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475E7C"/>
    <w:multiLevelType w:val="multilevel"/>
    <w:tmpl w:val="E848B4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0DE0D42"/>
    <w:multiLevelType w:val="multilevel"/>
    <w:tmpl w:val="A53E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D43A1B"/>
    <w:multiLevelType w:val="multilevel"/>
    <w:tmpl w:val="9AF40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C2A0144"/>
    <w:multiLevelType w:val="hybridMultilevel"/>
    <w:tmpl w:val="95DC7FC6"/>
    <w:lvl w:ilvl="0" w:tplc="50A073F6">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64420F"/>
    <w:multiLevelType w:val="hybridMultilevel"/>
    <w:tmpl w:val="ED7EB11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3" w15:restartNumberingAfterBreak="0">
    <w:nsid w:val="64CB0AB0"/>
    <w:multiLevelType w:val="hybridMultilevel"/>
    <w:tmpl w:val="71CE7A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0E37958"/>
    <w:multiLevelType w:val="hybridMultilevel"/>
    <w:tmpl w:val="CCCA0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A21E6A"/>
    <w:multiLevelType w:val="singleLevel"/>
    <w:tmpl w:val="18B402A4"/>
    <w:lvl w:ilvl="0">
      <w:start w:val="1"/>
      <w:numFmt w:val="decimal"/>
      <w:lvlText w:val="%1."/>
      <w:lvlJc w:val="left"/>
      <w:pPr>
        <w:tabs>
          <w:tab w:val="num" w:pos="680"/>
        </w:tabs>
        <w:ind w:left="680" w:hanging="680"/>
      </w:pPr>
      <w:rPr>
        <w:rFonts w:hint="default"/>
      </w:rPr>
    </w:lvl>
  </w:abstractNum>
  <w:num w:numId="1" w16cid:durableId="5782927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2135">
    <w:abstractNumId w:val="8"/>
  </w:num>
  <w:num w:numId="3" w16cid:durableId="14037552">
    <w:abstractNumId w:val="15"/>
  </w:num>
  <w:num w:numId="4" w16cid:durableId="627659984">
    <w:abstractNumId w:val="21"/>
  </w:num>
  <w:num w:numId="5" w16cid:durableId="1900288434">
    <w:abstractNumId w:val="17"/>
  </w:num>
  <w:num w:numId="6" w16cid:durableId="1018968391">
    <w:abstractNumId w:val="2"/>
  </w:num>
  <w:num w:numId="7" w16cid:durableId="1040277191">
    <w:abstractNumId w:val="14"/>
  </w:num>
  <w:num w:numId="8" w16cid:durableId="409501503">
    <w:abstractNumId w:val="22"/>
  </w:num>
  <w:num w:numId="9" w16cid:durableId="2099138102">
    <w:abstractNumId w:val="12"/>
  </w:num>
  <w:num w:numId="10" w16cid:durableId="1142693126">
    <w:abstractNumId w:val="24"/>
  </w:num>
  <w:num w:numId="11" w16cid:durableId="496069294">
    <w:abstractNumId w:val="5"/>
  </w:num>
  <w:num w:numId="12" w16cid:durableId="1841196278">
    <w:abstractNumId w:val="9"/>
  </w:num>
  <w:num w:numId="13" w16cid:durableId="698748106">
    <w:abstractNumId w:val="0"/>
  </w:num>
  <w:num w:numId="14" w16cid:durableId="1441489399">
    <w:abstractNumId w:val="13"/>
  </w:num>
  <w:num w:numId="15" w16cid:durableId="1968849142">
    <w:abstractNumId w:val="10"/>
  </w:num>
  <w:num w:numId="16" w16cid:durableId="17324654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4567993">
    <w:abstractNumId w:val="25"/>
  </w:num>
  <w:num w:numId="18" w16cid:durableId="1299532839">
    <w:abstractNumId w:val="16"/>
  </w:num>
  <w:num w:numId="19" w16cid:durableId="1174300919">
    <w:abstractNumId w:val="7"/>
  </w:num>
  <w:num w:numId="20" w16cid:durableId="1134787142">
    <w:abstractNumId w:val="19"/>
  </w:num>
  <w:num w:numId="21" w16cid:durableId="1542473394">
    <w:abstractNumId w:val="6"/>
  </w:num>
  <w:num w:numId="22" w16cid:durableId="1178078395">
    <w:abstractNumId w:val="26"/>
  </w:num>
  <w:num w:numId="23" w16cid:durableId="1546715866">
    <w:abstractNumId w:val="23"/>
  </w:num>
  <w:num w:numId="24" w16cid:durableId="1458840778">
    <w:abstractNumId w:val="18"/>
  </w:num>
  <w:num w:numId="25" w16cid:durableId="1522083608">
    <w:abstractNumId w:val="4"/>
  </w:num>
  <w:num w:numId="26" w16cid:durableId="359013493">
    <w:abstractNumId w:val="1"/>
  </w:num>
  <w:num w:numId="27" w16cid:durableId="1238129266">
    <w:abstractNumId w:val="20"/>
  </w:num>
  <w:num w:numId="28" w16cid:durableId="2126534639">
    <w:abstractNumId w:val="3"/>
  </w:num>
  <w:num w:numId="29" w16cid:durableId="12630319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3F0"/>
    <w:rsid w:val="00000E2A"/>
    <w:rsid w:val="00003D5E"/>
    <w:rsid w:val="00004004"/>
    <w:rsid w:val="00004BE2"/>
    <w:rsid w:val="0000668E"/>
    <w:rsid w:val="00007D58"/>
    <w:rsid w:val="000202EC"/>
    <w:rsid w:val="00021ED2"/>
    <w:rsid w:val="00022046"/>
    <w:rsid w:val="00026D64"/>
    <w:rsid w:val="00027E02"/>
    <w:rsid w:val="00030B79"/>
    <w:rsid w:val="00031D0B"/>
    <w:rsid w:val="00034A16"/>
    <w:rsid w:val="00035BE7"/>
    <w:rsid w:val="000419C2"/>
    <w:rsid w:val="00043B6D"/>
    <w:rsid w:val="00044FED"/>
    <w:rsid w:val="00045BF2"/>
    <w:rsid w:val="00051C3F"/>
    <w:rsid w:val="000569C6"/>
    <w:rsid w:val="00061881"/>
    <w:rsid w:val="0006693F"/>
    <w:rsid w:val="00066DAE"/>
    <w:rsid w:val="00073596"/>
    <w:rsid w:val="00074C1A"/>
    <w:rsid w:val="000760DC"/>
    <w:rsid w:val="000769EE"/>
    <w:rsid w:val="000844AF"/>
    <w:rsid w:val="0008496D"/>
    <w:rsid w:val="00084B46"/>
    <w:rsid w:val="00085730"/>
    <w:rsid w:val="00090BD9"/>
    <w:rsid w:val="00096B8D"/>
    <w:rsid w:val="000A3595"/>
    <w:rsid w:val="000A772F"/>
    <w:rsid w:val="000B4130"/>
    <w:rsid w:val="000B604D"/>
    <w:rsid w:val="000C2DDB"/>
    <w:rsid w:val="000C5204"/>
    <w:rsid w:val="000D28F5"/>
    <w:rsid w:val="000D365F"/>
    <w:rsid w:val="000E02A0"/>
    <w:rsid w:val="000E0A1D"/>
    <w:rsid w:val="000E3915"/>
    <w:rsid w:val="000E3B3E"/>
    <w:rsid w:val="000F1144"/>
    <w:rsid w:val="000F75C6"/>
    <w:rsid w:val="00110786"/>
    <w:rsid w:val="00111970"/>
    <w:rsid w:val="0011719D"/>
    <w:rsid w:val="00123413"/>
    <w:rsid w:val="0012449F"/>
    <w:rsid w:val="00126429"/>
    <w:rsid w:val="001310C6"/>
    <w:rsid w:val="00134E2D"/>
    <w:rsid w:val="001358FD"/>
    <w:rsid w:val="00136709"/>
    <w:rsid w:val="00137EA0"/>
    <w:rsid w:val="00140359"/>
    <w:rsid w:val="0014349B"/>
    <w:rsid w:val="001500D2"/>
    <w:rsid w:val="001502F9"/>
    <w:rsid w:val="0015134A"/>
    <w:rsid w:val="00152472"/>
    <w:rsid w:val="00163809"/>
    <w:rsid w:val="0016653C"/>
    <w:rsid w:val="00172B97"/>
    <w:rsid w:val="0017305D"/>
    <w:rsid w:val="00175BC6"/>
    <w:rsid w:val="00185E93"/>
    <w:rsid w:val="00187711"/>
    <w:rsid w:val="00191AEC"/>
    <w:rsid w:val="001920F3"/>
    <w:rsid w:val="00195814"/>
    <w:rsid w:val="001A3E69"/>
    <w:rsid w:val="001A737C"/>
    <w:rsid w:val="001B5379"/>
    <w:rsid w:val="001B74BC"/>
    <w:rsid w:val="001C0D8C"/>
    <w:rsid w:val="001C4527"/>
    <w:rsid w:val="001C64F9"/>
    <w:rsid w:val="001D14A0"/>
    <w:rsid w:val="001D24A1"/>
    <w:rsid w:val="001D54DE"/>
    <w:rsid w:val="001D69AF"/>
    <w:rsid w:val="001E400D"/>
    <w:rsid w:val="001E5B72"/>
    <w:rsid w:val="001E5D12"/>
    <w:rsid w:val="001E630D"/>
    <w:rsid w:val="001E7422"/>
    <w:rsid w:val="001F4805"/>
    <w:rsid w:val="001F4E3C"/>
    <w:rsid w:val="001F6373"/>
    <w:rsid w:val="00201A5A"/>
    <w:rsid w:val="0021396B"/>
    <w:rsid w:val="002154EE"/>
    <w:rsid w:val="00224887"/>
    <w:rsid w:val="002329E1"/>
    <w:rsid w:val="002334D9"/>
    <w:rsid w:val="002348B4"/>
    <w:rsid w:val="00234F9E"/>
    <w:rsid w:val="002434E4"/>
    <w:rsid w:val="0024465E"/>
    <w:rsid w:val="0024760C"/>
    <w:rsid w:val="002533F0"/>
    <w:rsid w:val="00253BA8"/>
    <w:rsid w:val="00257AED"/>
    <w:rsid w:val="00257BAA"/>
    <w:rsid w:val="0026268C"/>
    <w:rsid w:val="002642C7"/>
    <w:rsid w:val="00264C31"/>
    <w:rsid w:val="002741BD"/>
    <w:rsid w:val="00274CAF"/>
    <w:rsid w:val="00276D06"/>
    <w:rsid w:val="00276F09"/>
    <w:rsid w:val="002810A5"/>
    <w:rsid w:val="00283079"/>
    <w:rsid w:val="002849CC"/>
    <w:rsid w:val="002926E3"/>
    <w:rsid w:val="00292CA1"/>
    <w:rsid w:val="002A0E63"/>
    <w:rsid w:val="002A2A71"/>
    <w:rsid w:val="002A523B"/>
    <w:rsid w:val="002A6007"/>
    <w:rsid w:val="002A63EA"/>
    <w:rsid w:val="002B0175"/>
    <w:rsid w:val="002B03D6"/>
    <w:rsid w:val="002B395E"/>
    <w:rsid w:val="002B53D0"/>
    <w:rsid w:val="002C0117"/>
    <w:rsid w:val="002C0F57"/>
    <w:rsid w:val="002C1403"/>
    <w:rsid w:val="002C1938"/>
    <w:rsid w:val="002C2252"/>
    <w:rsid w:val="002C6177"/>
    <w:rsid w:val="002D0F1C"/>
    <w:rsid w:val="002D35D8"/>
    <w:rsid w:val="002D4522"/>
    <w:rsid w:val="002E0BB1"/>
    <w:rsid w:val="002E45E2"/>
    <w:rsid w:val="002E6B29"/>
    <w:rsid w:val="002F4CCA"/>
    <w:rsid w:val="002F5A88"/>
    <w:rsid w:val="00300D8B"/>
    <w:rsid w:val="00310686"/>
    <w:rsid w:val="003119FD"/>
    <w:rsid w:val="00315C6B"/>
    <w:rsid w:val="00316FEE"/>
    <w:rsid w:val="0031719E"/>
    <w:rsid w:val="00317D5F"/>
    <w:rsid w:val="00320B79"/>
    <w:rsid w:val="00325D9F"/>
    <w:rsid w:val="00331A4C"/>
    <w:rsid w:val="00333A9C"/>
    <w:rsid w:val="00334F9D"/>
    <w:rsid w:val="00337065"/>
    <w:rsid w:val="003430FC"/>
    <w:rsid w:val="003434E2"/>
    <w:rsid w:val="00345FFE"/>
    <w:rsid w:val="00351E79"/>
    <w:rsid w:val="0035378F"/>
    <w:rsid w:val="003543C6"/>
    <w:rsid w:val="003606C5"/>
    <w:rsid w:val="00360702"/>
    <w:rsid w:val="00365424"/>
    <w:rsid w:val="00371FCE"/>
    <w:rsid w:val="00374A77"/>
    <w:rsid w:val="00376F9D"/>
    <w:rsid w:val="00380666"/>
    <w:rsid w:val="00385B58"/>
    <w:rsid w:val="0038676F"/>
    <w:rsid w:val="00387376"/>
    <w:rsid w:val="00387D89"/>
    <w:rsid w:val="00392EB6"/>
    <w:rsid w:val="00393D4E"/>
    <w:rsid w:val="00394743"/>
    <w:rsid w:val="003A04AD"/>
    <w:rsid w:val="003A13A1"/>
    <w:rsid w:val="003B2BB8"/>
    <w:rsid w:val="003B44E1"/>
    <w:rsid w:val="003C3368"/>
    <w:rsid w:val="003C54B6"/>
    <w:rsid w:val="003C5796"/>
    <w:rsid w:val="003D34FF"/>
    <w:rsid w:val="003D445E"/>
    <w:rsid w:val="003D4595"/>
    <w:rsid w:val="003D71F6"/>
    <w:rsid w:val="003E1784"/>
    <w:rsid w:val="003E5048"/>
    <w:rsid w:val="003E5E5B"/>
    <w:rsid w:val="003E7046"/>
    <w:rsid w:val="003E7E95"/>
    <w:rsid w:val="00400273"/>
    <w:rsid w:val="0040295B"/>
    <w:rsid w:val="0040717A"/>
    <w:rsid w:val="004072DB"/>
    <w:rsid w:val="00413095"/>
    <w:rsid w:val="00420387"/>
    <w:rsid w:val="00421249"/>
    <w:rsid w:val="0042132E"/>
    <w:rsid w:val="00422F60"/>
    <w:rsid w:val="00431E25"/>
    <w:rsid w:val="0044445C"/>
    <w:rsid w:val="00445CC3"/>
    <w:rsid w:val="00446039"/>
    <w:rsid w:val="00446D6C"/>
    <w:rsid w:val="00450336"/>
    <w:rsid w:val="0045240C"/>
    <w:rsid w:val="00453FC9"/>
    <w:rsid w:val="00454405"/>
    <w:rsid w:val="00454A86"/>
    <w:rsid w:val="00456DF8"/>
    <w:rsid w:val="00456FBD"/>
    <w:rsid w:val="00457792"/>
    <w:rsid w:val="00460C6B"/>
    <w:rsid w:val="004625AE"/>
    <w:rsid w:val="004646E1"/>
    <w:rsid w:val="004660FB"/>
    <w:rsid w:val="00470C3D"/>
    <w:rsid w:val="004726FF"/>
    <w:rsid w:val="00480CF9"/>
    <w:rsid w:val="004814F1"/>
    <w:rsid w:val="00482411"/>
    <w:rsid w:val="004956ED"/>
    <w:rsid w:val="0049646F"/>
    <w:rsid w:val="00497768"/>
    <w:rsid w:val="004A0C19"/>
    <w:rsid w:val="004A126A"/>
    <w:rsid w:val="004A24AF"/>
    <w:rsid w:val="004A37C3"/>
    <w:rsid w:val="004A59B4"/>
    <w:rsid w:val="004B3147"/>
    <w:rsid w:val="004B4A5D"/>
    <w:rsid w:val="004B54CA"/>
    <w:rsid w:val="004C163F"/>
    <w:rsid w:val="004C64CE"/>
    <w:rsid w:val="004D044F"/>
    <w:rsid w:val="004D336A"/>
    <w:rsid w:val="004D3591"/>
    <w:rsid w:val="004D6934"/>
    <w:rsid w:val="004E066E"/>
    <w:rsid w:val="004E2392"/>
    <w:rsid w:val="004E3A61"/>
    <w:rsid w:val="004E5CBF"/>
    <w:rsid w:val="004F0C37"/>
    <w:rsid w:val="004F1CD0"/>
    <w:rsid w:val="004F264A"/>
    <w:rsid w:val="004F5308"/>
    <w:rsid w:val="004F69ED"/>
    <w:rsid w:val="00500C30"/>
    <w:rsid w:val="00511520"/>
    <w:rsid w:val="00513045"/>
    <w:rsid w:val="00516D6A"/>
    <w:rsid w:val="005173C1"/>
    <w:rsid w:val="005174B7"/>
    <w:rsid w:val="00520C9D"/>
    <w:rsid w:val="00521A5E"/>
    <w:rsid w:val="00527238"/>
    <w:rsid w:val="005332C8"/>
    <w:rsid w:val="00536060"/>
    <w:rsid w:val="00540BD8"/>
    <w:rsid w:val="005414B3"/>
    <w:rsid w:val="005460C2"/>
    <w:rsid w:val="0055503B"/>
    <w:rsid w:val="00562CBC"/>
    <w:rsid w:val="00564DF7"/>
    <w:rsid w:val="00566538"/>
    <w:rsid w:val="00566BF6"/>
    <w:rsid w:val="00570884"/>
    <w:rsid w:val="00576330"/>
    <w:rsid w:val="0057641C"/>
    <w:rsid w:val="005766D2"/>
    <w:rsid w:val="00591D1A"/>
    <w:rsid w:val="00594251"/>
    <w:rsid w:val="005B6B40"/>
    <w:rsid w:val="005C390A"/>
    <w:rsid w:val="005C3AA9"/>
    <w:rsid w:val="005C54B4"/>
    <w:rsid w:val="005C78B2"/>
    <w:rsid w:val="005D1A92"/>
    <w:rsid w:val="005D3DDB"/>
    <w:rsid w:val="005E1067"/>
    <w:rsid w:val="005E2F8F"/>
    <w:rsid w:val="005E4167"/>
    <w:rsid w:val="005E4362"/>
    <w:rsid w:val="005E4607"/>
    <w:rsid w:val="005E7B26"/>
    <w:rsid w:val="005F41C9"/>
    <w:rsid w:val="005F49F1"/>
    <w:rsid w:val="005F5E17"/>
    <w:rsid w:val="00600C75"/>
    <w:rsid w:val="006067A6"/>
    <w:rsid w:val="00614C63"/>
    <w:rsid w:val="006158D5"/>
    <w:rsid w:val="00620404"/>
    <w:rsid w:val="006218EE"/>
    <w:rsid w:val="00622668"/>
    <w:rsid w:val="00622778"/>
    <w:rsid w:val="00622B71"/>
    <w:rsid w:val="00622D63"/>
    <w:rsid w:val="00624E34"/>
    <w:rsid w:val="00627264"/>
    <w:rsid w:val="00631CD3"/>
    <w:rsid w:val="006320E5"/>
    <w:rsid w:val="00632F44"/>
    <w:rsid w:val="00633454"/>
    <w:rsid w:val="00636858"/>
    <w:rsid w:val="00640044"/>
    <w:rsid w:val="006402A6"/>
    <w:rsid w:val="006407D3"/>
    <w:rsid w:val="00640BFA"/>
    <w:rsid w:val="0064167D"/>
    <w:rsid w:val="006416A3"/>
    <w:rsid w:val="00650B9C"/>
    <w:rsid w:val="00650C1C"/>
    <w:rsid w:val="00653807"/>
    <w:rsid w:val="00653A1C"/>
    <w:rsid w:val="006546B7"/>
    <w:rsid w:val="00661884"/>
    <w:rsid w:val="006643AB"/>
    <w:rsid w:val="0067070B"/>
    <w:rsid w:val="0067756E"/>
    <w:rsid w:val="00681C7F"/>
    <w:rsid w:val="00681E70"/>
    <w:rsid w:val="00683FF5"/>
    <w:rsid w:val="00687351"/>
    <w:rsid w:val="006A0A25"/>
    <w:rsid w:val="006A1F70"/>
    <w:rsid w:val="006A4CE7"/>
    <w:rsid w:val="006A5D55"/>
    <w:rsid w:val="006A6D51"/>
    <w:rsid w:val="006B3B93"/>
    <w:rsid w:val="006B5E4A"/>
    <w:rsid w:val="006C5E5E"/>
    <w:rsid w:val="006C72F3"/>
    <w:rsid w:val="006D1031"/>
    <w:rsid w:val="006D7E0F"/>
    <w:rsid w:val="006E1B19"/>
    <w:rsid w:val="006E68CE"/>
    <w:rsid w:val="006F0769"/>
    <w:rsid w:val="006F0DC3"/>
    <w:rsid w:val="006F3A25"/>
    <w:rsid w:val="006F7939"/>
    <w:rsid w:val="00700566"/>
    <w:rsid w:val="00701486"/>
    <w:rsid w:val="007078C9"/>
    <w:rsid w:val="0071135B"/>
    <w:rsid w:val="00716B0D"/>
    <w:rsid w:val="007178D0"/>
    <w:rsid w:val="00720E42"/>
    <w:rsid w:val="007268A3"/>
    <w:rsid w:val="0073766B"/>
    <w:rsid w:val="007464C5"/>
    <w:rsid w:val="007471D7"/>
    <w:rsid w:val="00762A05"/>
    <w:rsid w:val="0076347E"/>
    <w:rsid w:val="00763601"/>
    <w:rsid w:val="007639AE"/>
    <w:rsid w:val="00771003"/>
    <w:rsid w:val="0077461F"/>
    <w:rsid w:val="007747A7"/>
    <w:rsid w:val="00774E89"/>
    <w:rsid w:val="0077570A"/>
    <w:rsid w:val="0078126B"/>
    <w:rsid w:val="00784CC3"/>
    <w:rsid w:val="00784FD5"/>
    <w:rsid w:val="00785261"/>
    <w:rsid w:val="00787064"/>
    <w:rsid w:val="007907A8"/>
    <w:rsid w:val="00792144"/>
    <w:rsid w:val="00792BD5"/>
    <w:rsid w:val="00792DCF"/>
    <w:rsid w:val="007938F3"/>
    <w:rsid w:val="0079557B"/>
    <w:rsid w:val="00797031"/>
    <w:rsid w:val="007A53DD"/>
    <w:rsid w:val="007B0256"/>
    <w:rsid w:val="007B257F"/>
    <w:rsid w:val="007B3BA6"/>
    <w:rsid w:val="007B69DD"/>
    <w:rsid w:val="007C4060"/>
    <w:rsid w:val="007C5234"/>
    <w:rsid w:val="007C6424"/>
    <w:rsid w:val="007D3326"/>
    <w:rsid w:val="007D6273"/>
    <w:rsid w:val="007E037F"/>
    <w:rsid w:val="007E4FAD"/>
    <w:rsid w:val="007E68A4"/>
    <w:rsid w:val="007E6CDF"/>
    <w:rsid w:val="007E7A66"/>
    <w:rsid w:val="007F44F6"/>
    <w:rsid w:val="00804595"/>
    <w:rsid w:val="00807CD7"/>
    <w:rsid w:val="00813551"/>
    <w:rsid w:val="00816AC3"/>
    <w:rsid w:val="00816CFA"/>
    <w:rsid w:val="00825113"/>
    <w:rsid w:val="0083135C"/>
    <w:rsid w:val="00831FBC"/>
    <w:rsid w:val="008321D9"/>
    <w:rsid w:val="00836CCF"/>
    <w:rsid w:val="00841C22"/>
    <w:rsid w:val="00841DCF"/>
    <w:rsid w:val="00842D1C"/>
    <w:rsid w:val="0084453B"/>
    <w:rsid w:val="008529AF"/>
    <w:rsid w:val="008533AC"/>
    <w:rsid w:val="00860BE9"/>
    <w:rsid w:val="008669B7"/>
    <w:rsid w:val="008707FE"/>
    <w:rsid w:val="00871F28"/>
    <w:rsid w:val="008761FF"/>
    <w:rsid w:val="00880E92"/>
    <w:rsid w:val="0088605A"/>
    <w:rsid w:val="00887E28"/>
    <w:rsid w:val="00893AD5"/>
    <w:rsid w:val="008954BF"/>
    <w:rsid w:val="00896466"/>
    <w:rsid w:val="008A0332"/>
    <w:rsid w:val="008A0B1E"/>
    <w:rsid w:val="008A26AC"/>
    <w:rsid w:val="008A277C"/>
    <w:rsid w:val="008A7A50"/>
    <w:rsid w:val="008B026E"/>
    <w:rsid w:val="008B1A08"/>
    <w:rsid w:val="008B1AA5"/>
    <w:rsid w:val="008B1B4D"/>
    <w:rsid w:val="008B4CF1"/>
    <w:rsid w:val="008B4F4F"/>
    <w:rsid w:val="008C3EAE"/>
    <w:rsid w:val="008C7A86"/>
    <w:rsid w:val="008D0034"/>
    <w:rsid w:val="008D14F6"/>
    <w:rsid w:val="008D2D41"/>
    <w:rsid w:val="008D2D9F"/>
    <w:rsid w:val="008D2FC2"/>
    <w:rsid w:val="008D59CA"/>
    <w:rsid w:val="008D5B2E"/>
    <w:rsid w:val="008D68B6"/>
    <w:rsid w:val="008D7A97"/>
    <w:rsid w:val="008E1D0E"/>
    <w:rsid w:val="008E320A"/>
    <w:rsid w:val="008E5C12"/>
    <w:rsid w:val="008F534F"/>
    <w:rsid w:val="008F5702"/>
    <w:rsid w:val="0090001F"/>
    <w:rsid w:val="009066AA"/>
    <w:rsid w:val="0090702B"/>
    <w:rsid w:val="0091230A"/>
    <w:rsid w:val="009140F6"/>
    <w:rsid w:val="0091415B"/>
    <w:rsid w:val="00915A96"/>
    <w:rsid w:val="009225F0"/>
    <w:rsid w:val="00925420"/>
    <w:rsid w:val="00925633"/>
    <w:rsid w:val="00926BFD"/>
    <w:rsid w:val="00930624"/>
    <w:rsid w:val="00932A1B"/>
    <w:rsid w:val="00932E80"/>
    <w:rsid w:val="009332B3"/>
    <w:rsid w:val="00935A03"/>
    <w:rsid w:val="009426E4"/>
    <w:rsid w:val="00942997"/>
    <w:rsid w:val="00946730"/>
    <w:rsid w:val="00946E6D"/>
    <w:rsid w:val="00950ACB"/>
    <w:rsid w:val="0095196E"/>
    <w:rsid w:val="00952A2D"/>
    <w:rsid w:val="00955716"/>
    <w:rsid w:val="00956519"/>
    <w:rsid w:val="00965713"/>
    <w:rsid w:val="0096654C"/>
    <w:rsid w:val="00966756"/>
    <w:rsid w:val="00966F79"/>
    <w:rsid w:val="00970C88"/>
    <w:rsid w:val="00980D79"/>
    <w:rsid w:val="00985038"/>
    <w:rsid w:val="009864A8"/>
    <w:rsid w:val="00995E5E"/>
    <w:rsid w:val="0099649B"/>
    <w:rsid w:val="009A1248"/>
    <w:rsid w:val="009A2DEE"/>
    <w:rsid w:val="009A31CC"/>
    <w:rsid w:val="009A33EC"/>
    <w:rsid w:val="009A4EAB"/>
    <w:rsid w:val="009A5D3E"/>
    <w:rsid w:val="009A6DB3"/>
    <w:rsid w:val="009A7F84"/>
    <w:rsid w:val="009B5312"/>
    <w:rsid w:val="009B5E03"/>
    <w:rsid w:val="009B70C8"/>
    <w:rsid w:val="009B71A9"/>
    <w:rsid w:val="009C309A"/>
    <w:rsid w:val="009C63A9"/>
    <w:rsid w:val="009C63B6"/>
    <w:rsid w:val="009D1BE5"/>
    <w:rsid w:val="009D3AC9"/>
    <w:rsid w:val="009D4934"/>
    <w:rsid w:val="009E13E0"/>
    <w:rsid w:val="009F3C43"/>
    <w:rsid w:val="00A06B72"/>
    <w:rsid w:val="00A14DF9"/>
    <w:rsid w:val="00A173B4"/>
    <w:rsid w:val="00A212E2"/>
    <w:rsid w:val="00A27E85"/>
    <w:rsid w:val="00A375D4"/>
    <w:rsid w:val="00A37984"/>
    <w:rsid w:val="00A42690"/>
    <w:rsid w:val="00A45BFF"/>
    <w:rsid w:val="00A45CCE"/>
    <w:rsid w:val="00A4616D"/>
    <w:rsid w:val="00A51B3D"/>
    <w:rsid w:val="00A6045B"/>
    <w:rsid w:val="00A610E8"/>
    <w:rsid w:val="00A63D74"/>
    <w:rsid w:val="00A64F37"/>
    <w:rsid w:val="00A66DD0"/>
    <w:rsid w:val="00A719D2"/>
    <w:rsid w:val="00A763EC"/>
    <w:rsid w:val="00A82DE6"/>
    <w:rsid w:val="00A84DA8"/>
    <w:rsid w:val="00A8767B"/>
    <w:rsid w:val="00A94C22"/>
    <w:rsid w:val="00AA0F80"/>
    <w:rsid w:val="00AA3608"/>
    <w:rsid w:val="00AA37AC"/>
    <w:rsid w:val="00AA45C6"/>
    <w:rsid w:val="00AA4E6A"/>
    <w:rsid w:val="00AA51E7"/>
    <w:rsid w:val="00AA6760"/>
    <w:rsid w:val="00AB4055"/>
    <w:rsid w:val="00AB7356"/>
    <w:rsid w:val="00AC1313"/>
    <w:rsid w:val="00AC1D1C"/>
    <w:rsid w:val="00AC271F"/>
    <w:rsid w:val="00AC6337"/>
    <w:rsid w:val="00AC635D"/>
    <w:rsid w:val="00AC7128"/>
    <w:rsid w:val="00AC7EA9"/>
    <w:rsid w:val="00AD1347"/>
    <w:rsid w:val="00AD1645"/>
    <w:rsid w:val="00AD69FE"/>
    <w:rsid w:val="00AE11F6"/>
    <w:rsid w:val="00AE3176"/>
    <w:rsid w:val="00AE3F6D"/>
    <w:rsid w:val="00AF0E6A"/>
    <w:rsid w:val="00B010D8"/>
    <w:rsid w:val="00B01538"/>
    <w:rsid w:val="00B04EB0"/>
    <w:rsid w:val="00B061B1"/>
    <w:rsid w:val="00B0693E"/>
    <w:rsid w:val="00B10FD8"/>
    <w:rsid w:val="00B13AD8"/>
    <w:rsid w:val="00B147F5"/>
    <w:rsid w:val="00B154AF"/>
    <w:rsid w:val="00B21144"/>
    <w:rsid w:val="00B22865"/>
    <w:rsid w:val="00B261D9"/>
    <w:rsid w:val="00B30735"/>
    <w:rsid w:val="00B33E33"/>
    <w:rsid w:val="00B376E6"/>
    <w:rsid w:val="00B41325"/>
    <w:rsid w:val="00B46619"/>
    <w:rsid w:val="00B47551"/>
    <w:rsid w:val="00B52B87"/>
    <w:rsid w:val="00B54C30"/>
    <w:rsid w:val="00B5555D"/>
    <w:rsid w:val="00B57278"/>
    <w:rsid w:val="00B6472A"/>
    <w:rsid w:val="00B73680"/>
    <w:rsid w:val="00B74531"/>
    <w:rsid w:val="00B7635B"/>
    <w:rsid w:val="00B76D68"/>
    <w:rsid w:val="00B777D9"/>
    <w:rsid w:val="00B821A0"/>
    <w:rsid w:val="00B91501"/>
    <w:rsid w:val="00B918FB"/>
    <w:rsid w:val="00B97121"/>
    <w:rsid w:val="00BA213A"/>
    <w:rsid w:val="00BA2DB9"/>
    <w:rsid w:val="00BA4732"/>
    <w:rsid w:val="00BB0D37"/>
    <w:rsid w:val="00BB3B7B"/>
    <w:rsid w:val="00BB4BDA"/>
    <w:rsid w:val="00BC0B7C"/>
    <w:rsid w:val="00BC1896"/>
    <w:rsid w:val="00BC35F6"/>
    <w:rsid w:val="00BC43B1"/>
    <w:rsid w:val="00BC76EB"/>
    <w:rsid w:val="00BD25AE"/>
    <w:rsid w:val="00BD7E9D"/>
    <w:rsid w:val="00BE56A0"/>
    <w:rsid w:val="00BE7148"/>
    <w:rsid w:val="00BF2FB3"/>
    <w:rsid w:val="00BF6F20"/>
    <w:rsid w:val="00BF7098"/>
    <w:rsid w:val="00C0299D"/>
    <w:rsid w:val="00C06E47"/>
    <w:rsid w:val="00C21C68"/>
    <w:rsid w:val="00C2214C"/>
    <w:rsid w:val="00C224CF"/>
    <w:rsid w:val="00C26E44"/>
    <w:rsid w:val="00C2733D"/>
    <w:rsid w:val="00C30472"/>
    <w:rsid w:val="00C3204C"/>
    <w:rsid w:val="00C34631"/>
    <w:rsid w:val="00C3470C"/>
    <w:rsid w:val="00C37944"/>
    <w:rsid w:val="00C37BA8"/>
    <w:rsid w:val="00C42BAC"/>
    <w:rsid w:val="00C42BF7"/>
    <w:rsid w:val="00C44B12"/>
    <w:rsid w:val="00C4511C"/>
    <w:rsid w:val="00C455A2"/>
    <w:rsid w:val="00C4676A"/>
    <w:rsid w:val="00C523EB"/>
    <w:rsid w:val="00C559BF"/>
    <w:rsid w:val="00C65A71"/>
    <w:rsid w:val="00C66CFA"/>
    <w:rsid w:val="00C7238E"/>
    <w:rsid w:val="00C76CD7"/>
    <w:rsid w:val="00C77B41"/>
    <w:rsid w:val="00C83F4E"/>
    <w:rsid w:val="00C92103"/>
    <w:rsid w:val="00CA33B2"/>
    <w:rsid w:val="00CA3D78"/>
    <w:rsid w:val="00CA43C4"/>
    <w:rsid w:val="00CA6F15"/>
    <w:rsid w:val="00CB344C"/>
    <w:rsid w:val="00CB42CE"/>
    <w:rsid w:val="00CB5A40"/>
    <w:rsid w:val="00CC2805"/>
    <w:rsid w:val="00CC46D0"/>
    <w:rsid w:val="00CC7EC4"/>
    <w:rsid w:val="00CD0DDB"/>
    <w:rsid w:val="00CD3E0C"/>
    <w:rsid w:val="00CD5E77"/>
    <w:rsid w:val="00CD66D3"/>
    <w:rsid w:val="00CE1802"/>
    <w:rsid w:val="00CF0527"/>
    <w:rsid w:val="00CF5E10"/>
    <w:rsid w:val="00D06518"/>
    <w:rsid w:val="00D07147"/>
    <w:rsid w:val="00D108B5"/>
    <w:rsid w:val="00D10C66"/>
    <w:rsid w:val="00D1108A"/>
    <w:rsid w:val="00D166B8"/>
    <w:rsid w:val="00D1706F"/>
    <w:rsid w:val="00D2075E"/>
    <w:rsid w:val="00D21D83"/>
    <w:rsid w:val="00D243C5"/>
    <w:rsid w:val="00D3071D"/>
    <w:rsid w:val="00D31C51"/>
    <w:rsid w:val="00D321CE"/>
    <w:rsid w:val="00D32B23"/>
    <w:rsid w:val="00D36686"/>
    <w:rsid w:val="00D367AA"/>
    <w:rsid w:val="00D37C2C"/>
    <w:rsid w:val="00D44B34"/>
    <w:rsid w:val="00D459E0"/>
    <w:rsid w:val="00D47044"/>
    <w:rsid w:val="00D51076"/>
    <w:rsid w:val="00D520A1"/>
    <w:rsid w:val="00D57E5B"/>
    <w:rsid w:val="00D61C0C"/>
    <w:rsid w:val="00D61C4B"/>
    <w:rsid w:val="00D708CA"/>
    <w:rsid w:val="00D72D44"/>
    <w:rsid w:val="00D72F4B"/>
    <w:rsid w:val="00D80AF4"/>
    <w:rsid w:val="00D8326A"/>
    <w:rsid w:val="00D849AE"/>
    <w:rsid w:val="00D90456"/>
    <w:rsid w:val="00DA3F0A"/>
    <w:rsid w:val="00DA5D92"/>
    <w:rsid w:val="00DB6E7A"/>
    <w:rsid w:val="00DB708F"/>
    <w:rsid w:val="00DC4438"/>
    <w:rsid w:val="00DC7488"/>
    <w:rsid w:val="00DC765C"/>
    <w:rsid w:val="00DD34A4"/>
    <w:rsid w:val="00DD3BC1"/>
    <w:rsid w:val="00DE0717"/>
    <w:rsid w:val="00DE2590"/>
    <w:rsid w:val="00DE3A1F"/>
    <w:rsid w:val="00DE530A"/>
    <w:rsid w:val="00DF7418"/>
    <w:rsid w:val="00E019B6"/>
    <w:rsid w:val="00E01E71"/>
    <w:rsid w:val="00E02259"/>
    <w:rsid w:val="00E027AF"/>
    <w:rsid w:val="00E029EB"/>
    <w:rsid w:val="00E06314"/>
    <w:rsid w:val="00E07AD9"/>
    <w:rsid w:val="00E1311B"/>
    <w:rsid w:val="00E15CFF"/>
    <w:rsid w:val="00E230ED"/>
    <w:rsid w:val="00E23C53"/>
    <w:rsid w:val="00E31DCF"/>
    <w:rsid w:val="00E32139"/>
    <w:rsid w:val="00E44FD4"/>
    <w:rsid w:val="00E47B1B"/>
    <w:rsid w:val="00E57C3F"/>
    <w:rsid w:val="00E63577"/>
    <w:rsid w:val="00E651CC"/>
    <w:rsid w:val="00E7022F"/>
    <w:rsid w:val="00E708B1"/>
    <w:rsid w:val="00E72DC6"/>
    <w:rsid w:val="00E745BB"/>
    <w:rsid w:val="00E7675B"/>
    <w:rsid w:val="00E803C3"/>
    <w:rsid w:val="00E864C9"/>
    <w:rsid w:val="00E87016"/>
    <w:rsid w:val="00E907A4"/>
    <w:rsid w:val="00E93E51"/>
    <w:rsid w:val="00E9738E"/>
    <w:rsid w:val="00EA16F9"/>
    <w:rsid w:val="00EA2DDC"/>
    <w:rsid w:val="00EA3666"/>
    <w:rsid w:val="00EA677D"/>
    <w:rsid w:val="00EA6829"/>
    <w:rsid w:val="00EA76C2"/>
    <w:rsid w:val="00EA7E08"/>
    <w:rsid w:val="00EB2AE2"/>
    <w:rsid w:val="00EB2EF9"/>
    <w:rsid w:val="00EB3F6C"/>
    <w:rsid w:val="00EB51BC"/>
    <w:rsid w:val="00EC0C59"/>
    <w:rsid w:val="00EC1E61"/>
    <w:rsid w:val="00EC25F5"/>
    <w:rsid w:val="00EC47F6"/>
    <w:rsid w:val="00EC4DE7"/>
    <w:rsid w:val="00ED1288"/>
    <w:rsid w:val="00ED1299"/>
    <w:rsid w:val="00ED1D5E"/>
    <w:rsid w:val="00ED4703"/>
    <w:rsid w:val="00ED6613"/>
    <w:rsid w:val="00ED69E8"/>
    <w:rsid w:val="00ED6E90"/>
    <w:rsid w:val="00EE2764"/>
    <w:rsid w:val="00EE352E"/>
    <w:rsid w:val="00EE70D2"/>
    <w:rsid w:val="00EF54F0"/>
    <w:rsid w:val="00F049AA"/>
    <w:rsid w:val="00F0576D"/>
    <w:rsid w:val="00F108ED"/>
    <w:rsid w:val="00F227A4"/>
    <w:rsid w:val="00F22F70"/>
    <w:rsid w:val="00F328DA"/>
    <w:rsid w:val="00F35271"/>
    <w:rsid w:val="00F35580"/>
    <w:rsid w:val="00F411A5"/>
    <w:rsid w:val="00F502A9"/>
    <w:rsid w:val="00F52853"/>
    <w:rsid w:val="00F56BC3"/>
    <w:rsid w:val="00F60CD2"/>
    <w:rsid w:val="00F61A88"/>
    <w:rsid w:val="00F74883"/>
    <w:rsid w:val="00F754A3"/>
    <w:rsid w:val="00F77D49"/>
    <w:rsid w:val="00F80B35"/>
    <w:rsid w:val="00F877A6"/>
    <w:rsid w:val="00F925B9"/>
    <w:rsid w:val="00F92C9F"/>
    <w:rsid w:val="00F96BCF"/>
    <w:rsid w:val="00FA3B2C"/>
    <w:rsid w:val="00FA608D"/>
    <w:rsid w:val="00FA6F53"/>
    <w:rsid w:val="00FA7196"/>
    <w:rsid w:val="00FB030F"/>
    <w:rsid w:val="00FC30A3"/>
    <w:rsid w:val="00FC7466"/>
    <w:rsid w:val="00FD0ED1"/>
    <w:rsid w:val="00FD2F20"/>
    <w:rsid w:val="00FD368E"/>
    <w:rsid w:val="00FD3EDC"/>
    <w:rsid w:val="00FD6399"/>
    <w:rsid w:val="00FD6BF4"/>
    <w:rsid w:val="00FD7A80"/>
    <w:rsid w:val="00FE2339"/>
    <w:rsid w:val="00FE5C69"/>
    <w:rsid w:val="00FE6C12"/>
    <w:rsid w:val="00FF20B0"/>
    <w:rsid w:val="00FF5304"/>
    <w:rsid w:val="00FF66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085545"/>
  <w15:docId w15:val="{63C6395B-EC5F-4841-89EE-5D33C3EA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styleId="Revision">
    <w:name w:val="Revision"/>
    <w:hidden/>
    <w:uiPriority w:val="99"/>
    <w:semiHidden/>
    <w:rsid w:val="008C3EAE"/>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27297">
      <w:bodyDiv w:val="1"/>
      <w:marLeft w:val="0"/>
      <w:marRight w:val="0"/>
      <w:marTop w:val="0"/>
      <w:marBottom w:val="0"/>
      <w:divBdr>
        <w:top w:val="none" w:sz="0" w:space="0" w:color="auto"/>
        <w:left w:val="none" w:sz="0" w:space="0" w:color="auto"/>
        <w:bottom w:val="none" w:sz="0" w:space="0" w:color="auto"/>
        <w:right w:val="none" w:sz="0" w:space="0" w:color="auto"/>
      </w:divBdr>
    </w:div>
    <w:div w:id="340591091">
      <w:bodyDiv w:val="1"/>
      <w:marLeft w:val="0"/>
      <w:marRight w:val="0"/>
      <w:marTop w:val="0"/>
      <w:marBottom w:val="0"/>
      <w:divBdr>
        <w:top w:val="none" w:sz="0" w:space="0" w:color="auto"/>
        <w:left w:val="none" w:sz="0" w:space="0" w:color="auto"/>
        <w:bottom w:val="none" w:sz="0" w:space="0" w:color="auto"/>
        <w:right w:val="none" w:sz="0" w:space="0" w:color="auto"/>
      </w:divBdr>
    </w:div>
    <w:div w:id="536937871">
      <w:bodyDiv w:val="1"/>
      <w:marLeft w:val="0"/>
      <w:marRight w:val="0"/>
      <w:marTop w:val="0"/>
      <w:marBottom w:val="0"/>
      <w:divBdr>
        <w:top w:val="none" w:sz="0" w:space="0" w:color="auto"/>
        <w:left w:val="none" w:sz="0" w:space="0" w:color="auto"/>
        <w:bottom w:val="none" w:sz="0" w:space="0" w:color="auto"/>
        <w:right w:val="none" w:sz="0" w:space="0" w:color="auto"/>
      </w:divBdr>
    </w:div>
    <w:div w:id="537279664">
      <w:bodyDiv w:val="1"/>
      <w:marLeft w:val="0"/>
      <w:marRight w:val="0"/>
      <w:marTop w:val="0"/>
      <w:marBottom w:val="0"/>
      <w:divBdr>
        <w:top w:val="none" w:sz="0" w:space="0" w:color="auto"/>
        <w:left w:val="none" w:sz="0" w:space="0" w:color="auto"/>
        <w:bottom w:val="none" w:sz="0" w:space="0" w:color="auto"/>
        <w:right w:val="none" w:sz="0" w:space="0" w:color="auto"/>
      </w:divBdr>
    </w:div>
    <w:div w:id="589824366">
      <w:bodyDiv w:val="1"/>
      <w:marLeft w:val="0"/>
      <w:marRight w:val="0"/>
      <w:marTop w:val="0"/>
      <w:marBottom w:val="0"/>
      <w:divBdr>
        <w:top w:val="none" w:sz="0" w:space="0" w:color="auto"/>
        <w:left w:val="none" w:sz="0" w:space="0" w:color="auto"/>
        <w:bottom w:val="none" w:sz="0" w:space="0" w:color="auto"/>
        <w:right w:val="none" w:sz="0" w:space="0" w:color="auto"/>
      </w:divBdr>
      <w:divsChild>
        <w:div w:id="1874532471">
          <w:marLeft w:val="0"/>
          <w:marRight w:val="0"/>
          <w:marTop w:val="0"/>
          <w:marBottom w:val="0"/>
          <w:divBdr>
            <w:top w:val="none" w:sz="0" w:space="0" w:color="auto"/>
            <w:left w:val="none" w:sz="0" w:space="0" w:color="auto"/>
            <w:bottom w:val="none" w:sz="0" w:space="0" w:color="auto"/>
            <w:right w:val="none" w:sz="0" w:space="0" w:color="auto"/>
          </w:divBdr>
          <w:divsChild>
            <w:div w:id="1395153522">
              <w:marLeft w:val="0"/>
              <w:marRight w:val="0"/>
              <w:marTop w:val="0"/>
              <w:marBottom w:val="0"/>
              <w:divBdr>
                <w:top w:val="none" w:sz="0" w:space="0" w:color="auto"/>
                <w:left w:val="none" w:sz="0" w:space="0" w:color="auto"/>
                <w:bottom w:val="none" w:sz="0" w:space="0" w:color="auto"/>
                <w:right w:val="none" w:sz="0" w:space="0" w:color="auto"/>
              </w:divBdr>
              <w:divsChild>
                <w:div w:id="1532455929">
                  <w:marLeft w:val="0"/>
                  <w:marRight w:val="0"/>
                  <w:marTop w:val="0"/>
                  <w:marBottom w:val="0"/>
                  <w:divBdr>
                    <w:top w:val="none" w:sz="0" w:space="0" w:color="auto"/>
                    <w:left w:val="none" w:sz="0" w:space="0" w:color="auto"/>
                    <w:bottom w:val="none" w:sz="0" w:space="0" w:color="auto"/>
                    <w:right w:val="none" w:sz="0" w:space="0" w:color="auto"/>
                  </w:divBdr>
                  <w:divsChild>
                    <w:div w:id="1844978142">
                      <w:marLeft w:val="0"/>
                      <w:marRight w:val="0"/>
                      <w:marTop w:val="0"/>
                      <w:marBottom w:val="0"/>
                      <w:divBdr>
                        <w:top w:val="none" w:sz="0" w:space="0" w:color="auto"/>
                        <w:left w:val="none" w:sz="0" w:space="0" w:color="auto"/>
                        <w:bottom w:val="none" w:sz="0" w:space="0" w:color="auto"/>
                        <w:right w:val="none" w:sz="0" w:space="0" w:color="auto"/>
                      </w:divBdr>
                      <w:divsChild>
                        <w:div w:id="1700012678">
                          <w:marLeft w:val="0"/>
                          <w:marRight w:val="0"/>
                          <w:marTop w:val="0"/>
                          <w:marBottom w:val="0"/>
                          <w:divBdr>
                            <w:top w:val="none" w:sz="0" w:space="0" w:color="auto"/>
                            <w:left w:val="none" w:sz="0" w:space="0" w:color="auto"/>
                            <w:bottom w:val="none" w:sz="0" w:space="0" w:color="auto"/>
                            <w:right w:val="none" w:sz="0" w:space="0" w:color="auto"/>
                          </w:divBdr>
                          <w:divsChild>
                            <w:div w:id="1876312792">
                              <w:marLeft w:val="0"/>
                              <w:marRight w:val="0"/>
                              <w:marTop w:val="0"/>
                              <w:marBottom w:val="0"/>
                              <w:divBdr>
                                <w:top w:val="none" w:sz="0" w:space="0" w:color="auto"/>
                                <w:left w:val="none" w:sz="0" w:space="0" w:color="auto"/>
                                <w:bottom w:val="none" w:sz="0" w:space="0" w:color="auto"/>
                                <w:right w:val="none" w:sz="0" w:space="0" w:color="auto"/>
                              </w:divBdr>
                              <w:divsChild>
                                <w:div w:id="1858275245">
                                  <w:marLeft w:val="0"/>
                                  <w:marRight w:val="0"/>
                                  <w:marTop w:val="0"/>
                                  <w:marBottom w:val="0"/>
                                  <w:divBdr>
                                    <w:top w:val="none" w:sz="0" w:space="0" w:color="auto"/>
                                    <w:left w:val="none" w:sz="0" w:space="0" w:color="auto"/>
                                    <w:bottom w:val="none" w:sz="0" w:space="0" w:color="auto"/>
                                    <w:right w:val="none" w:sz="0" w:space="0" w:color="auto"/>
                                  </w:divBdr>
                                  <w:divsChild>
                                    <w:div w:id="5352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212188">
      <w:bodyDiv w:val="1"/>
      <w:marLeft w:val="0"/>
      <w:marRight w:val="0"/>
      <w:marTop w:val="0"/>
      <w:marBottom w:val="0"/>
      <w:divBdr>
        <w:top w:val="none" w:sz="0" w:space="0" w:color="auto"/>
        <w:left w:val="none" w:sz="0" w:space="0" w:color="auto"/>
        <w:bottom w:val="none" w:sz="0" w:space="0" w:color="auto"/>
        <w:right w:val="none" w:sz="0" w:space="0" w:color="auto"/>
      </w:divBdr>
    </w:div>
    <w:div w:id="954092937">
      <w:bodyDiv w:val="1"/>
      <w:marLeft w:val="0"/>
      <w:marRight w:val="0"/>
      <w:marTop w:val="0"/>
      <w:marBottom w:val="0"/>
      <w:divBdr>
        <w:top w:val="none" w:sz="0" w:space="0" w:color="auto"/>
        <w:left w:val="none" w:sz="0" w:space="0" w:color="auto"/>
        <w:bottom w:val="none" w:sz="0" w:space="0" w:color="auto"/>
        <w:right w:val="none" w:sz="0" w:space="0" w:color="auto"/>
      </w:divBdr>
    </w:div>
    <w:div w:id="982537497">
      <w:bodyDiv w:val="1"/>
      <w:marLeft w:val="0"/>
      <w:marRight w:val="0"/>
      <w:marTop w:val="0"/>
      <w:marBottom w:val="0"/>
      <w:divBdr>
        <w:top w:val="none" w:sz="0" w:space="0" w:color="auto"/>
        <w:left w:val="none" w:sz="0" w:space="0" w:color="auto"/>
        <w:bottom w:val="none" w:sz="0" w:space="0" w:color="auto"/>
        <w:right w:val="none" w:sz="0" w:space="0" w:color="auto"/>
      </w:divBdr>
    </w:div>
    <w:div w:id="1130897523">
      <w:bodyDiv w:val="1"/>
      <w:marLeft w:val="0"/>
      <w:marRight w:val="0"/>
      <w:marTop w:val="0"/>
      <w:marBottom w:val="0"/>
      <w:divBdr>
        <w:top w:val="none" w:sz="0" w:space="0" w:color="auto"/>
        <w:left w:val="none" w:sz="0" w:space="0" w:color="auto"/>
        <w:bottom w:val="none" w:sz="0" w:space="0" w:color="auto"/>
        <w:right w:val="none" w:sz="0" w:space="0" w:color="auto"/>
      </w:divBdr>
    </w:div>
    <w:div w:id="1134828928">
      <w:bodyDiv w:val="1"/>
      <w:marLeft w:val="0"/>
      <w:marRight w:val="0"/>
      <w:marTop w:val="0"/>
      <w:marBottom w:val="0"/>
      <w:divBdr>
        <w:top w:val="none" w:sz="0" w:space="0" w:color="auto"/>
        <w:left w:val="none" w:sz="0" w:space="0" w:color="auto"/>
        <w:bottom w:val="none" w:sz="0" w:space="0" w:color="auto"/>
        <w:right w:val="none" w:sz="0" w:space="0" w:color="auto"/>
      </w:divBdr>
    </w:div>
    <w:div w:id="1147210085">
      <w:bodyDiv w:val="1"/>
      <w:marLeft w:val="0"/>
      <w:marRight w:val="0"/>
      <w:marTop w:val="0"/>
      <w:marBottom w:val="0"/>
      <w:divBdr>
        <w:top w:val="none" w:sz="0" w:space="0" w:color="auto"/>
        <w:left w:val="none" w:sz="0" w:space="0" w:color="auto"/>
        <w:bottom w:val="none" w:sz="0" w:space="0" w:color="auto"/>
        <w:right w:val="none" w:sz="0" w:space="0" w:color="auto"/>
      </w:divBdr>
    </w:div>
    <w:div w:id="1237400049">
      <w:bodyDiv w:val="1"/>
      <w:marLeft w:val="0"/>
      <w:marRight w:val="0"/>
      <w:marTop w:val="0"/>
      <w:marBottom w:val="0"/>
      <w:divBdr>
        <w:top w:val="none" w:sz="0" w:space="0" w:color="auto"/>
        <w:left w:val="none" w:sz="0" w:space="0" w:color="auto"/>
        <w:bottom w:val="none" w:sz="0" w:space="0" w:color="auto"/>
        <w:right w:val="none" w:sz="0" w:space="0" w:color="auto"/>
      </w:divBdr>
    </w:div>
    <w:div w:id="1365792248">
      <w:bodyDiv w:val="1"/>
      <w:marLeft w:val="0"/>
      <w:marRight w:val="0"/>
      <w:marTop w:val="0"/>
      <w:marBottom w:val="0"/>
      <w:divBdr>
        <w:top w:val="none" w:sz="0" w:space="0" w:color="auto"/>
        <w:left w:val="none" w:sz="0" w:space="0" w:color="auto"/>
        <w:bottom w:val="none" w:sz="0" w:space="0" w:color="auto"/>
        <w:right w:val="none" w:sz="0" w:space="0" w:color="auto"/>
      </w:divBdr>
    </w:div>
    <w:div w:id="1393120416">
      <w:bodyDiv w:val="1"/>
      <w:marLeft w:val="0"/>
      <w:marRight w:val="0"/>
      <w:marTop w:val="0"/>
      <w:marBottom w:val="0"/>
      <w:divBdr>
        <w:top w:val="none" w:sz="0" w:space="0" w:color="auto"/>
        <w:left w:val="none" w:sz="0" w:space="0" w:color="auto"/>
        <w:bottom w:val="none" w:sz="0" w:space="0" w:color="auto"/>
        <w:right w:val="none" w:sz="0" w:space="0" w:color="auto"/>
      </w:divBdr>
    </w:div>
    <w:div w:id="1453786800">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829861287">
      <w:bodyDiv w:val="1"/>
      <w:marLeft w:val="0"/>
      <w:marRight w:val="0"/>
      <w:marTop w:val="0"/>
      <w:marBottom w:val="0"/>
      <w:divBdr>
        <w:top w:val="none" w:sz="0" w:space="0" w:color="auto"/>
        <w:left w:val="none" w:sz="0" w:space="0" w:color="auto"/>
        <w:bottom w:val="none" w:sz="0" w:space="0" w:color="auto"/>
        <w:right w:val="none" w:sz="0" w:space="0" w:color="auto"/>
      </w:divBdr>
      <w:divsChild>
        <w:div w:id="1659578023">
          <w:marLeft w:val="0"/>
          <w:marRight w:val="0"/>
          <w:marTop w:val="0"/>
          <w:marBottom w:val="0"/>
          <w:divBdr>
            <w:top w:val="none" w:sz="0" w:space="0" w:color="auto"/>
            <w:left w:val="none" w:sz="0" w:space="0" w:color="auto"/>
            <w:bottom w:val="none" w:sz="0" w:space="0" w:color="auto"/>
            <w:right w:val="none" w:sz="0" w:space="0" w:color="auto"/>
          </w:divBdr>
          <w:divsChild>
            <w:div w:id="2115133292">
              <w:marLeft w:val="0"/>
              <w:marRight w:val="0"/>
              <w:marTop w:val="0"/>
              <w:marBottom w:val="0"/>
              <w:divBdr>
                <w:top w:val="none" w:sz="0" w:space="0" w:color="auto"/>
                <w:left w:val="none" w:sz="0" w:space="0" w:color="auto"/>
                <w:bottom w:val="none" w:sz="0" w:space="0" w:color="auto"/>
                <w:right w:val="none" w:sz="0" w:space="0" w:color="auto"/>
              </w:divBdr>
              <w:divsChild>
                <w:div w:id="1392001275">
                  <w:marLeft w:val="0"/>
                  <w:marRight w:val="0"/>
                  <w:marTop w:val="0"/>
                  <w:marBottom w:val="0"/>
                  <w:divBdr>
                    <w:top w:val="none" w:sz="0" w:space="0" w:color="auto"/>
                    <w:left w:val="none" w:sz="0" w:space="0" w:color="auto"/>
                    <w:bottom w:val="none" w:sz="0" w:space="0" w:color="auto"/>
                    <w:right w:val="none" w:sz="0" w:space="0" w:color="auto"/>
                  </w:divBdr>
                  <w:divsChild>
                    <w:div w:id="1089621723">
                      <w:marLeft w:val="0"/>
                      <w:marRight w:val="0"/>
                      <w:marTop w:val="0"/>
                      <w:marBottom w:val="0"/>
                      <w:divBdr>
                        <w:top w:val="none" w:sz="0" w:space="0" w:color="auto"/>
                        <w:left w:val="none" w:sz="0" w:space="0" w:color="auto"/>
                        <w:bottom w:val="none" w:sz="0" w:space="0" w:color="auto"/>
                        <w:right w:val="none" w:sz="0" w:space="0" w:color="auto"/>
                      </w:divBdr>
                      <w:divsChild>
                        <w:div w:id="1386103004">
                          <w:marLeft w:val="0"/>
                          <w:marRight w:val="0"/>
                          <w:marTop w:val="0"/>
                          <w:marBottom w:val="0"/>
                          <w:divBdr>
                            <w:top w:val="none" w:sz="0" w:space="0" w:color="auto"/>
                            <w:left w:val="none" w:sz="0" w:space="0" w:color="auto"/>
                            <w:bottom w:val="none" w:sz="0" w:space="0" w:color="auto"/>
                            <w:right w:val="none" w:sz="0" w:space="0" w:color="auto"/>
                          </w:divBdr>
                          <w:divsChild>
                            <w:div w:id="1679186248">
                              <w:marLeft w:val="0"/>
                              <w:marRight w:val="0"/>
                              <w:marTop w:val="0"/>
                              <w:marBottom w:val="0"/>
                              <w:divBdr>
                                <w:top w:val="none" w:sz="0" w:space="0" w:color="auto"/>
                                <w:left w:val="none" w:sz="0" w:space="0" w:color="auto"/>
                                <w:bottom w:val="none" w:sz="0" w:space="0" w:color="auto"/>
                                <w:right w:val="none" w:sz="0" w:space="0" w:color="auto"/>
                              </w:divBdr>
                              <w:divsChild>
                                <w:div w:id="28654549">
                                  <w:marLeft w:val="0"/>
                                  <w:marRight w:val="0"/>
                                  <w:marTop w:val="0"/>
                                  <w:marBottom w:val="0"/>
                                  <w:divBdr>
                                    <w:top w:val="none" w:sz="0" w:space="0" w:color="auto"/>
                                    <w:left w:val="none" w:sz="0" w:space="0" w:color="auto"/>
                                    <w:bottom w:val="none" w:sz="0" w:space="0" w:color="auto"/>
                                    <w:right w:val="none" w:sz="0" w:space="0" w:color="auto"/>
                                  </w:divBdr>
                                  <w:divsChild>
                                    <w:div w:id="1517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727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0A113C3F-2CF2-47DD-A024-76E47E92C7C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AC7F1722CCB2A41A93E5463D2E2B7FC" ma:contentTypeVersion="" ma:contentTypeDescription="PDMS Document Site Content Type" ma:contentTypeScope="" ma:versionID="d5fe9e8f287179507bd998b93318b9da">
  <xsd:schema xmlns:xsd="http://www.w3.org/2001/XMLSchema" xmlns:xs="http://www.w3.org/2001/XMLSchema" xmlns:p="http://schemas.microsoft.com/office/2006/metadata/properties" xmlns:ns2="0A113C3F-2CF2-47DD-A024-76E47E92C7C2" targetNamespace="http://schemas.microsoft.com/office/2006/metadata/properties" ma:root="true" ma:fieldsID="722c65921f64974b2259e78cae622978" ns2:_="">
    <xsd:import namespace="0A113C3F-2CF2-47DD-A024-76E47E92C7C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113C3F-2CF2-47DD-A024-76E47E92C7C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5820A-27C0-4D49-8116-E11806C2215C}">
  <ds:schemaRefs>
    <ds:schemaRef ds:uri="http://schemas.microsoft.com/office/2006/metadata/properties"/>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0A113C3F-2CF2-47DD-A024-76E47E92C7C2"/>
    <ds:schemaRef ds:uri="http://www.w3.org/XML/1998/namespace"/>
  </ds:schemaRefs>
</ds:datastoreItem>
</file>

<file path=customXml/itemProps2.xml><?xml version="1.0" encoding="utf-8"?>
<ds:datastoreItem xmlns:ds="http://schemas.openxmlformats.org/officeDocument/2006/customXml" ds:itemID="{82081F26-F61D-41ED-B0F0-49F8B8F50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113C3F-2CF2-47DD-A024-76E47E92C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F99442-14D0-4304-AA29-AA904D33176B}">
  <ds:schemaRefs>
    <ds:schemaRef ds:uri="http://schemas.microsoft.com/sharepoint/v3/contenttype/forms"/>
  </ds:schemaRefs>
</ds:datastoreItem>
</file>

<file path=customXml/itemProps4.xml><?xml version="1.0" encoding="utf-8"?>
<ds:datastoreItem xmlns:ds="http://schemas.openxmlformats.org/officeDocument/2006/customXml" ds:itemID="{5B4B47EF-0ACB-429D-AAD8-B00E5BA84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2921</Words>
  <Characters>15860</Characters>
  <Application>Microsoft Office Word</Application>
  <DocSecurity>0</DocSecurity>
  <Lines>243</Lines>
  <Paragraphs>93</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[SEC=OFFICIAL]</cp:category>
  <cp:keywords>[SEC=OFFICIAL]</cp:keywords>
  <cp:lastModifiedBy>BROWN, Caitlin</cp:lastModifiedBy>
  <cp:lastPrinted>2024-02-13T04:57:00Z</cp:lastPrinted>
  <cp:revision>3</cp:revision>
  <dc:creator>THOMPSON, Duncan</dc:creator>
  <dcterms:created xsi:type="dcterms:W3CDTF">2024-03-21T02:32:00Z</dcterms:created>
  <dcterms:modified xsi:type="dcterms:W3CDTF">2024-03-21T02:37:00Z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0x010100266966F133664895A6EE3632470D45F5008AC7F1722CCB2A41A93E5463D2E2B7FC</vt:lpwstr>
  </property>
  <property fmtid="{D5CDD505-2E9C-101B-9397-08002B2CF9AE}" pid="3" name="MSIP_Label_eb34d90b-fc41-464d-af60-f74d721d0790_ActionId">
    <vt:lpwstr>ee9af2e6-159c-41ba-b0fe-8877d60477e7</vt:lpwstr>
  </property>
  <property fmtid="{D5CDD505-2E9C-101B-9397-08002B2CF9AE}" pid="4" name="MSIP_Label_eb34d90b-fc41-464d-af60-f74d721d0790_ContentBits">
    <vt:lpwstr>0</vt:lpwstr>
  </property>
  <property fmtid="{D5CDD505-2E9C-101B-9397-08002B2CF9AE}" pid="5" name="MSIP_Label_eb34d90b-fc41-464d-af60-f74d721d0790_Enabled">
    <vt:lpwstr>true</vt:lpwstr>
  </property>
  <property fmtid="{D5CDD505-2E9C-101B-9397-08002B2CF9AE}" pid="6" name="MSIP_Label_eb34d90b-fc41-464d-af60-f74d721d0790_Method">
    <vt:lpwstr>Privileged</vt:lpwstr>
  </property>
  <property fmtid="{D5CDD505-2E9C-101B-9397-08002B2CF9AE}" pid="7" name="MSIP_Label_eb34d90b-fc41-464d-af60-f74d721d0790_Name">
    <vt:lpwstr>OFFICIAL</vt:lpwstr>
  </property>
  <property fmtid="{D5CDD505-2E9C-101B-9397-08002B2CF9AE}" pid="8" name="MSIP_Label_eb34d90b-fc41-464d-af60-f74d721d0790_SetDate">
    <vt:lpwstr>2024-03-21T02:37:54Z</vt:lpwstr>
  </property>
  <property fmtid="{D5CDD505-2E9C-101B-9397-08002B2CF9AE}" pid="9" name="MSIP_Label_eb34d90b-fc41-464d-af60-f74d721d0790_SiteId">
    <vt:lpwstr>61e36dd1-ca6e-4d61-aa0a-2b4eb88317a3</vt:lpwstr>
  </property>
  <property fmtid="{D5CDD505-2E9C-101B-9397-08002B2CF9AE}" pid="10" name="PMHMAC">
    <vt:lpwstr>v=2022.1;a=SHA256;h=5A12F02FE22CD619F384CDAC17B6753A7260D8F9E60FC04E665BEE9217123105</vt:lpwstr>
  </property>
  <property fmtid="{D5CDD505-2E9C-101B-9397-08002B2CF9AE}" pid="11" name="PMUuid">
    <vt:lpwstr>v=2022.2;d=gov.au;g=46DD6D7C-8107-577B-BC6E-F348953B2E44</vt:lpwstr>
  </property>
  <property fmtid="{D5CDD505-2E9C-101B-9397-08002B2CF9AE}" pid="12" name="PM_Caveats_Count">
    <vt:lpwstr>0</vt:lpwstr>
  </property>
  <property fmtid="{D5CDD505-2E9C-101B-9397-08002B2CF9AE}" pid="13" name="PM_CodewordCaveat">
    <vt:lpwstr/>
  </property>
  <property fmtid="{D5CDD505-2E9C-101B-9397-08002B2CF9AE}" pid="14" name="PM_Display">
    <vt:lpwstr>OFFICIAL</vt:lpwstr>
  </property>
  <property fmtid="{D5CDD505-2E9C-101B-9397-08002B2CF9AE}" pid="15" name="PM_DisplayValueSecClassificationWithQualifier">
    <vt:lpwstr>OFFICIAL: Sensitive</vt:lpwstr>
  </property>
  <property fmtid="{D5CDD505-2E9C-101B-9397-08002B2CF9AE}" pid="16" name="PM_EyesOnlyCaveat">
    <vt:lpwstr/>
  </property>
  <property fmtid="{D5CDD505-2E9C-101B-9397-08002B2CF9AE}" pid="17" name="PM_GenericCaveat">
    <vt:lpwstr/>
  </property>
  <property fmtid="{D5CDD505-2E9C-101B-9397-08002B2CF9AE}" pid="18" name="PM_Hash_SHA1">
    <vt:lpwstr>C257E584AE63ADDC03B9DAD7ECB814009EB7779A</vt:lpwstr>
  </property>
  <property fmtid="{D5CDD505-2E9C-101B-9397-08002B2CF9AE}" pid="19" name="PM_Hash_Salt">
    <vt:lpwstr>4D94876F338FD77C3A3C8AFDB451D349</vt:lpwstr>
  </property>
  <property fmtid="{D5CDD505-2E9C-101B-9397-08002B2CF9AE}" pid="20" name="PM_Hash_Salt_Prev">
    <vt:lpwstr>6CBF4B5157D7FB9D3AD0FF6B05CDC230</vt:lpwstr>
  </property>
  <property fmtid="{D5CDD505-2E9C-101B-9397-08002B2CF9AE}" pid="21" name="PM_Hash_Version">
    <vt:lpwstr>2022.1</vt:lpwstr>
  </property>
  <property fmtid="{D5CDD505-2E9C-101B-9397-08002B2CF9AE}" pid="22" name="PM_InsertionValue">
    <vt:lpwstr>OFFICIAL: Sensitive</vt:lpwstr>
  </property>
  <property fmtid="{D5CDD505-2E9C-101B-9397-08002B2CF9AE}" pid="23" name="PM_Markers">
    <vt:lpwstr/>
  </property>
  <property fmtid="{D5CDD505-2E9C-101B-9397-08002B2CF9AE}" pid="24" name="PM_MinimumSecurityClassification">
    <vt:lpwstr/>
  </property>
  <property fmtid="{D5CDD505-2E9C-101B-9397-08002B2CF9AE}" pid="25" name="PM_Namespace">
    <vt:lpwstr>gov.au</vt:lpwstr>
  </property>
  <property fmtid="{D5CDD505-2E9C-101B-9397-08002B2CF9AE}" pid="26" name="PM_Note">
    <vt:lpwstr/>
  </property>
  <property fmtid="{D5CDD505-2E9C-101B-9397-08002B2CF9AE}" pid="27" name="PM_Originating_FileId">
    <vt:lpwstr>771DCB80B12943F191F2E88DAE652D06</vt:lpwstr>
  </property>
  <property fmtid="{D5CDD505-2E9C-101B-9397-08002B2CF9AE}" pid="28" name="PM_OriginationTimeStamp">
    <vt:lpwstr>2024-03-21T02:37:57Z</vt:lpwstr>
  </property>
  <property fmtid="{D5CDD505-2E9C-101B-9397-08002B2CF9AE}" pid="29" name="PM_OriginatorDomainName_SHA256">
    <vt:lpwstr>E83A2A66C4061446A7E3732E8D44762184B6B377D962B96C83DC624302585857</vt:lpwstr>
  </property>
  <property fmtid="{D5CDD505-2E9C-101B-9397-08002B2CF9AE}" pid="30" name="PM_OriginatorUserAccountName_SHA256">
    <vt:lpwstr>6822F99E6DE5605CCC28832AE3BE61F7B9BB21FD77E47A7F68E0ECE52B8112AE</vt:lpwstr>
  </property>
  <property fmtid="{D5CDD505-2E9C-101B-9397-08002B2CF9AE}" pid="31" name="PM_Originator_Hash_SHA1">
    <vt:lpwstr>3FCA0F279EA2CE1590F710F4D9986086E3F3B88E</vt:lpwstr>
  </property>
  <property fmtid="{D5CDD505-2E9C-101B-9397-08002B2CF9AE}" pid="32" name="PM_ProtectiveMarkingImage_Footer">
    <vt:lpwstr>C:\Program Files (x86)\Common Files\janusNET Shared\janusSEAL\Images\DocumentSlashBlue.png</vt:lpwstr>
  </property>
  <property fmtid="{D5CDD505-2E9C-101B-9397-08002B2CF9AE}" pid="33" name="PM_ProtectiveMarkingImage_Header">
    <vt:lpwstr>C:\Program Files (x86)\Common Files\janusNET Shared\janusSEAL\Images\DocumentSlashBlue.png</vt:lpwstr>
  </property>
  <property fmtid="{D5CDD505-2E9C-101B-9397-08002B2CF9AE}" pid="34" name="PM_ProtectiveMarkingValue_Footer">
    <vt:lpwstr>OFFICIAL: Sensitive</vt:lpwstr>
  </property>
  <property fmtid="{D5CDD505-2E9C-101B-9397-08002B2CF9AE}" pid="35" name="PM_ProtectiveMarkingValue_Header">
    <vt:lpwstr>OFFICIAL: Sensitive</vt:lpwstr>
  </property>
  <property fmtid="{D5CDD505-2E9C-101B-9397-08002B2CF9AE}" pid="36" name="PM_Qualifier">
    <vt:lpwstr/>
  </property>
  <property fmtid="{D5CDD505-2E9C-101B-9397-08002B2CF9AE}" pid="37" name="PM_Qualifier_Prev">
    <vt:lpwstr/>
  </property>
  <property fmtid="{D5CDD505-2E9C-101B-9397-08002B2CF9AE}" pid="38" name="PM_ReleaseabilityIndicatorCaveat">
    <vt:lpwstr/>
  </property>
  <property fmtid="{D5CDD505-2E9C-101B-9397-08002B2CF9AE}" pid="39" name="PM_SecurityClassification">
    <vt:lpwstr>OFFICIAL</vt:lpwstr>
  </property>
  <property fmtid="{D5CDD505-2E9C-101B-9397-08002B2CF9AE}" pid="40" name="PM_SecurityClassification_Prev">
    <vt:lpwstr>OFFICIAL:Sensitive</vt:lpwstr>
  </property>
  <property fmtid="{D5CDD505-2E9C-101B-9397-08002B2CF9AE}" pid="41" name="PM_SourceCodewordCaveat">
    <vt:lpwstr/>
  </property>
  <property fmtid="{D5CDD505-2E9C-101B-9397-08002B2CF9AE}" pid="42" name="PM_SpecialHandlingCaveat">
    <vt:lpwstr/>
  </property>
  <property fmtid="{D5CDD505-2E9C-101B-9397-08002B2CF9AE}" pid="43" name="PM_Version">
    <vt:lpwstr>2018.4</vt:lpwstr>
  </property>
</Properties>
</file>