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EB3D" w14:textId="77777777" w:rsidR="00955175" w:rsidRDefault="00955175" w:rsidP="00E2168B">
      <w:pPr>
        <w:spacing w:before="280" w:after="240"/>
        <w:rPr>
          <w:b/>
          <w:sz w:val="32"/>
          <w:szCs w:val="32"/>
        </w:rPr>
      </w:pPr>
    </w:p>
    <w:p w14:paraId="0AAC3FC8" w14:textId="781C253F" w:rsidR="00955175" w:rsidRPr="001410DD" w:rsidRDefault="00FC6D88" w:rsidP="00E2168B">
      <w:pPr>
        <w:spacing w:before="280" w:after="240"/>
        <w:rPr>
          <w:b/>
          <w:sz w:val="32"/>
          <w:szCs w:val="32"/>
        </w:rPr>
      </w:pPr>
      <w:r w:rsidRPr="001410DD">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1410DD" w:rsidRDefault="00955175" w:rsidP="00955175">
      <w:pPr>
        <w:pStyle w:val="LI-Title"/>
        <w:pBdr>
          <w:top w:val="none" w:sz="0" w:space="0" w:color="auto"/>
        </w:pBdr>
        <w:jc w:val="center"/>
      </w:pPr>
    </w:p>
    <w:p w14:paraId="5B8D4084" w14:textId="77777777" w:rsidR="00955175" w:rsidRPr="001410DD" w:rsidRDefault="00955175" w:rsidP="00955175">
      <w:pPr>
        <w:pStyle w:val="LI-Title"/>
        <w:pBdr>
          <w:top w:val="none" w:sz="0" w:space="0" w:color="auto"/>
        </w:pBdr>
        <w:jc w:val="center"/>
      </w:pPr>
      <w:r w:rsidRPr="001410DD">
        <w:t>Explanatory Statement</w:t>
      </w:r>
    </w:p>
    <w:p w14:paraId="54F0DD85" w14:textId="77777777" w:rsidR="00955175" w:rsidRPr="001410DD" w:rsidRDefault="00955175" w:rsidP="00955175">
      <w:pPr>
        <w:rPr>
          <w:lang w:eastAsia="en-AU"/>
        </w:rPr>
      </w:pPr>
    </w:p>
    <w:p w14:paraId="376F21CA" w14:textId="478F2B58" w:rsidR="00C4170B" w:rsidRPr="001410DD" w:rsidRDefault="00B87B3E" w:rsidP="00C4170B">
      <w:pPr>
        <w:jc w:val="center"/>
        <w:rPr>
          <w:b/>
          <w:i/>
          <w:sz w:val="28"/>
          <w:szCs w:val="28"/>
          <w:lang w:eastAsia="en-AU"/>
        </w:rPr>
      </w:pPr>
      <w:r w:rsidRPr="001410DD">
        <w:rPr>
          <w:b/>
          <w:i/>
          <w:sz w:val="28"/>
          <w:szCs w:val="28"/>
          <w:lang w:eastAsia="en-AU"/>
        </w:rPr>
        <w:t>ASIC Corporations (Amendment) Instrument 2024/</w:t>
      </w:r>
      <w:r w:rsidR="002B142F" w:rsidRPr="001410DD">
        <w:rPr>
          <w:b/>
          <w:i/>
          <w:sz w:val="28"/>
          <w:szCs w:val="28"/>
          <w:lang w:eastAsia="en-AU"/>
        </w:rPr>
        <w:t>146</w:t>
      </w:r>
    </w:p>
    <w:p w14:paraId="3D70207E" w14:textId="5A7EAA28" w:rsidR="00863657" w:rsidRPr="001410DD" w:rsidRDefault="00F800C9" w:rsidP="00F800C9">
      <w:pPr>
        <w:pStyle w:val="LI-BodyTextParaa"/>
        <w:ind w:left="0" w:firstLine="0"/>
      </w:pPr>
      <w:r w:rsidRPr="001410DD">
        <w:t xml:space="preserve">This is the Explanatory Statement for </w:t>
      </w:r>
      <w:r w:rsidR="00B87B3E" w:rsidRPr="001410DD">
        <w:rPr>
          <w:i/>
          <w:iCs/>
        </w:rPr>
        <w:t>ASIC Corporations (Amendment) Instrument 2024/</w:t>
      </w:r>
      <w:r w:rsidR="002B142F" w:rsidRPr="001410DD">
        <w:rPr>
          <w:i/>
          <w:iCs/>
        </w:rPr>
        <w:t>146</w:t>
      </w:r>
      <w:r w:rsidRPr="001410DD">
        <w:t>.</w:t>
      </w:r>
    </w:p>
    <w:p w14:paraId="119B6103" w14:textId="77777777" w:rsidR="00F800C9" w:rsidRPr="001410DD" w:rsidRDefault="00863657" w:rsidP="00F800C9">
      <w:pPr>
        <w:pStyle w:val="LI-BodyTextParaa"/>
        <w:ind w:left="0" w:firstLine="0"/>
      </w:pPr>
      <w:r w:rsidRPr="001410DD">
        <w:t>Th</w:t>
      </w:r>
      <w:r w:rsidR="00F800C9" w:rsidRPr="001410DD">
        <w:t>e</w:t>
      </w:r>
      <w:r w:rsidRPr="001410DD">
        <w:t xml:space="preserve"> </w:t>
      </w:r>
      <w:r w:rsidR="00F800C9" w:rsidRPr="001410DD">
        <w:t>Explanatory Statement is approved by the Australian Securities and Investments Commission (</w:t>
      </w:r>
      <w:r w:rsidR="00F800C9" w:rsidRPr="001410DD">
        <w:rPr>
          <w:b/>
          <w:i/>
        </w:rPr>
        <w:t>ASIC</w:t>
      </w:r>
      <w:r w:rsidR="00F800C9" w:rsidRPr="001410DD">
        <w:t>).</w:t>
      </w:r>
    </w:p>
    <w:p w14:paraId="10E55E66" w14:textId="77777777" w:rsidR="00F800C9" w:rsidRPr="001410DD" w:rsidRDefault="005D1FEA" w:rsidP="006D6079">
      <w:pPr>
        <w:pStyle w:val="LI-BodyTextNumbered"/>
        <w:keepNext/>
        <w:ind w:left="0" w:firstLine="0"/>
        <w:rPr>
          <w:b/>
        </w:rPr>
      </w:pPr>
      <w:r w:rsidRPr="001410DD">
        <w:rPr>
          <w:b/>
        </w:rPr>
        <w:t>Summary</w:t>
      </w:r>
    </w:p>
    <w:p w14:paraId="6770B218" w14:textId="2674439B" w:rsidR="00712B71" w:rsidRPr="001410DD" w:rsidRDefault="00F800C9" w:rsidP="00F800C9">
      <w:pPr>
        <w:pStyle w:val="LI-BodyTextParaa"/>
        <w:ind w:left="567"/>
        <w:rPr>
          <w:rStyle w:val="ui-provider"/>
        </w:rPr>
      </w:pPr>
      <w:r w:rsidRPr="001410DD">
        <w:t>1</w:t>
      </w:r>
      <w:r w:rsidR="005D1FEA" w:rsidRPr="001410DD">
        <w:t>.</w:t>
      </w:r>
      <w:r w:rsidRPr="001410DD">
        <w:tab/>
      </w:r>
      <w:r w:rsidR="00B11E84" w:rsidRPr="001410DD">
        <w:rPr>
          <w:i/>
          <w:iCs/>
        </w:rPr>
        <w:t>ASIC Corporations (Amendment) Instrument 2024/</w:t>
      </w:r>
      <w:r w:rsidR="002B142F" w:rsidRPr="001410DD">
        <w:rPr>
          <w:i/>
          <w:iCs/>
        </w:rPr>
        <w:t>146</w:t>
      </w:r>
      <w:r w:rsidR="00E33980" w:rsidRPr="001410DD">
        <w:rPr>
          <w:i/>
          <w:iCs/>
        </w:rPr>
        <w:t xml:space="preserve"> </w:t>
      </w:r>
      <w:r w:rsidR="00E33980" w:rsidRPr="001410DD">
        <w:t>(</w:t>
      </w:r>
      <w:r w:rsidR="00E33980" w:rsidRPr="001410DD">
        <w:rPr>
          <w:b/>
          <w:bCs/>
        </w:rPr>
        <w:t>Amend</w:t>
      </w:r>
      <w:r w:rsidR="002B142F" w:rsidRPr="001410DD">
        <w:rPr>
          <w:b/>
          <w:bCs/>
        </w:rPr>
        <w:t>ing</w:t>
      </w:r>
      <w:r w:rsidR="00E33980" w:rsidRPr="001410DD">
        <w:rPr>
          <w:b/>
          <w:bCs/>
        </w:rPr>
        <w:t xml:space="preserve"> Instrument</w:t>
      </w:r>
      <w:r w:rsidR="00E33980" w:rsidRPr="001410DD">
        <w:t xml:space="preserve">) amends </w:t>
      </w:r>
      <w:r w:rsidR="00DD77D1" w:rsidRPr="001410DD">
        <w:t xml:space="preserve">certain definitions in the </w:t>
      </w:r>
      <w:hyperlink r:id="rId15" w:history="1">
        <w:r w:rsidR="00E33980" w:rsidRPr="001410DD">
          <w:rPr>
            <w:rStyle w:val="Hyperlink"/>
            <w:i/>
            <w:iCs/>
          </w:rPr>
          <w:t>ASIC Corporations (Design and Distribution Obligations Interim Measures) Instrument 2021/784 </w:t>
        </w:r>
      </w:hyperlink>
      <w:r w:rsidR="00E33980" w:rsidRPr="001410DD">
        <w:rPr>
          <w:color w:val="000000"/>
        </w:rPr>
        <w:t>(</w:t>
      </w:r>
      <w:r w:rsidR="00E33980" w:rsidRPr="001410DD">
        <w:rPr>
          <w:b/>
          <w:bCs/>
          <w:color w:val="000000"/>
        </w:rPr>
        <w:t>Principal Instrument</w:t>
      </w:r>
      <w:r w:rsidR="00E33980" w:rsidRPr="001410DD">
        <w:rPr>
          <w:color w:val="000000"/>
        </w:rPr>
        <w:t>)</w:t>
      </w:r>
      <w:r w:rsidR="001F012F" w:rsidRPr="001410DD">
        <w:rPr>
          <w:color w:val="000000"/>
        </w:rPr>
        <w:t xml:space="preserve"> to ensure the exemptions provided in the Principal Instrument operate as intended </w:t>
      </w:r>
      <w:r w:rsidR="00D775D5" w:rsidRPr="001410DD">
        <w:rPr>
          <w:color w:val="000000"/>
        </w:rPr>
        <w:t xml:space="preserve">by </w:t>
      </w:r>
      <w:r w:rsidR="00673313" w:rsidRPr="001410DD">
        <w:rPr>
          <w:color w:val="000000"/>
        </w:rPr>
        <w:t xml:space="preserve">expressly </w:t>
      </w:r>
      <w:r w:rsidR="00D775D5" w:rsidRPr="001410DD">
        <w:rPr>
          <w:color w:val="000000"/>
        </w:rPr>
        <w:t xml:space="preserve">broadening the </w:t>
      </w:r>
      <w:r w:rsidR="008903CC" w:rsidRPr="001410DD">
        <w:rPr>
          <w:color w:val="000000"/>
        </w:rPr>
        <w:t xml:space="preserve">application of an exemption in the Principal Instrument </w:t>
      </w:r>
      <w:r w:rsidR="001F012F" w:rsidRPr="001410DD">
        <w:rPr>
          <w:color w:val="000000"/>
        </w:rPr>
        <w:t xml:space="preserve">and </w:t>
      </w:r>
      <w:r w:rsidR="008B64EA" w:rsidRPr="001410DD">
        <w:rPr>
          <w:color w:val="000000"/>
        </w:rPr>
        <w:t>to adopt the drafting style</w:t>
      </w:r>
      <w:r w:rsidR="00A04B54" w:rsidRPr="001410DD">
        <w:rPr>
          <w:color w:val="000000"/>
        </w:rPr>
        <w:t xml:space="preserve"> used</w:t>
      </w:r>
      <w:r w:rsidR="008B64EA" w:rsidRPr="001410DD">
        <w:rPr>
          <w:color w:val="000000"/>
        </w:rPr>
        <w:t xml:space="preserve"> in </w:t>
      </w:r>
      <w:r w:rsidR="001859BD" w:rsidRPr="001410DD">
        <w:rPr>
          <w:color w:val="000000"/>
        </w:rPr>
        <w:t xml:space="preserve">recent </w:t>
      </w:r>
      <w:r w:rsidR="00A04B54" w:rsidRPr="001410DD">
        <w:rPr>
          <w:color w:val="000000"/>
        </w:rPr>
        <w:t xml:space="preserve">amendments to </w:t>
      </w:r>
      <w:r w:rsidR="00B97DE5" w:rsidRPr="001410DD">
        <w:rPr>
          <w:color w:val="000000"/>
        </w:rPr>
        <w:t>s</w:t>
      </w:r>
      <w:r w:rsidR="001859BD" w:rsidRPr="001410DD">
        <w:rPr>
          <w:color w:val="000000"/>
        </w:rPr>
        <w:t xml:space="preserve">ection </w:t>
      </w:r>
      <w:r w:rsidR="005857F0" w:rsidRPr="001410DD">
        <w:rPr>
          <w:color w:val="000000"/>
        </w:rPr>
        <w:t xml:space="preserve">9 of the </w:t>
      </w:r>
      <w:r w:rsidR="005857F0" w:rsidRPr="001410DD">
        <w:rPr>
          <w:i/>
          <w:iCs/>
          <w:color w:val="000000"/>
        </w:rPr>
        <w:t>Corporations Act 2001</w:t>
      </w:r>
      <w:r w:rsidR="005857F0" w:rsidRPr="001410DD">
        <w:rPr>
          <w:color w:val="000000"/>
        </w:rPr>
        <w:t xml:space="preserve"> (</w:t>
      </w:r>
      <w:r w:rsidR="000131BE" w:rsidRPr="001410DD">
        <w:rPr>
          <w:b/>
          <w:bCs/>
          <w:color w:val="000000"/>
        </w:rPr>
        <w:t>Act</w:t>
      </w:r>
      <w:r w:rsidR="000131BE" w:rsidRPr="001410DD">
        <w:rPr>
          <w:color w:val="000000"/>
        </w:rPr>
        <w:t>)</w:t>
      </w:r>
      <w:r w:rsidR="00712B71" w:rsidRPr="001410DD">
        <w:rPr>
          <w:color w:val="000000"/>
        </w:rPr>
        <w:t>.</w:t>
      </w:r>
    </w:p>
    <w:p w14:paraId="59A63C44" w14:textId="77777777" w:rsidR="005D1FEA" w:rsidRPr="001410DD" w:rsidRDefault="005D1FEA" w:rsidP="006D6079">
      <w:pPr>
        <w:pStyle w:val="LI-BodyTextNumbered"/>
        <w:keepNext/>
        <w:ind w:left="0" w:firstLine="0"/>
        <w:rPr>
          <w:b/>
        </w:rPr>
      </w:pPr>
      <w:r w:rsidRPr="001410DD">
        <w:rPr>
          <w:b/>
        </w:rPr>
        <w:t>Purpose of the instrument</w:t>
      </w:r>
    </w:p>
    <w:p w14:paraId="60A25848" w14:textId="222413A0" w:rsidR="00276D3C" w:rsidRPr="00EB114A" w:rsidRDefault="00863657" w:rsidP="00276D3C">
      <w:pPr>
        <w:pStyle w:val="li-bodytextparaa0"/>
        <w:spacing w:before="240" w:beforeAutospacing="0" w:after="0" w:afterAutospacing="0"/>
        <w:ind w:left="567" w:hanging="567"/>
        <w:rPr>
          <w:color w:val="000000"/>
        </w:rPr>
      </w:pPr>
      <w:r w:rsidRPr="001410DD">
        <w:t>2</w:t>
      </w:r>
      <w:r w:rsidR="00F03BB5" w:rsidRPr="001410DD">
        <w:t>.</w:t>
      </w:r>
      <w:r w:rsidR="005553E5" w:rsidRPr="001410DD">
        <w:tab/>
      </w:r>
      <w:r w:rsidR="00276D3C" w:rsidRPr="001410DD">
        <w:rPr>
          <w:color w:val="000000"/>
          <w:shd w:val="clear" w:color="auto" w:fill="FFFFFF"/>
        </w:rPr>
        <w:t>The </w:t>
      </w:r>
      <w:hyperlink r:id="rId16" w:history="1">
        <w:r w:rsidR="00276D3C" w:rsidRPr="001410DD">
          <w:rPr>
            <w:rStyle w:val="Hyperlink"/>
            <w:i/>
            <w:iCs/>
            <w:shd w:val="clear" w:color="auto" w:fill="FFFFFF"/>
          </w:rPr>
          <w:t>Treasury Laws Amendment (Design and Distribution Obligations and Product Intervention Powers) Act 2019</w:t>
        </w:r>
        <w:r w:rsidR="00276D3C" w:rsidRPr="001410DD">
          <w:rPr>
            <w:rStyle w:val="Hyperlink"/>
            <w:shd w:val="clear" w:color="auto" w:fill="FFFFFF"/>
          </w:rPr>
          <w:t> </w:t>
        </w:r>
      </w:hyperlink>
      <w:r w:rsidR="00276D3C" w:rsidRPr="001410DD">
        <w:rPr>
          <w:color w:val="000000"/>
          <w:shd w:val="clear" w:color="auto" w:fill="FFFFFF"/>
        </w:rPr>
        <w:t>introduced the design and distribution obligations (</w:t>
      </w:r>
      <w:r w:rsidR="00276D3C" w:rsidRPr="001410DD">
        <w:rPr>
          <w:b/>
          <w:bCs/>
          <w:color w:val="000000"/>
          <w:shd w:val="clear" w:color="auto" w:fill="FFFFFF"/>
        </w:rPr>
        <w:t>DDO</w:t>
      </w:r>
      <w:r w:rsidR="00276D3C" w:rsidRPr="001410DD">
        <w:rPr>
          <w:color w:val="000000"/>
          <w:shd w:val="clear" w:color="auto" w:fill="FFFFFF"/>
        </w:rPr>
        <w:t>) to Part 7.8A of the </w:t>
      </w:r>
      <w:r w:rsidR="00276D3C" w:rsidRPr="001410DD">
        <w:rPr>
          <w:i/>
          <w:iCs/>
          <w:color w:val="000000"/>
          <w:shd w:val="clear" w:color="auto" w:fill="FFFFFF"/>
        </w:rPr>
        <w:t>Corporations Act 2001 </w:t>
      </w:r>
      <w:r w:rsidR="00276D3C" w:rsidRPr="001410DD">
        <w:rPr>
          <w:color w:val="000000"/>
          <w:shd w:val="clear" w:color="auto" w:fill="FFFFFF"/>
        </w:rPr>
        <w:t>(</w:t>
      </w:r>
      <w:r w:rsidR="00276D3C" w:rsidRPr="001410DD">
        <w:rPr>
          <w:b/>
          <w:bCs/>
          <w:color w:val="000000"/>
          <w:shd w:val="clear" w:color="auto" w:fill="FFFFFF"/>
        </w:rPr>
        <w:t>the Act</w:t>
      </w:r>
      <w:r w:rsidR="00276D3C" w:rsidRPr="001410DD">
        <w:rPr>
          <w:color w:val="000000"/>
          <w:shd w:val="clear" w:color="auto" w:fill="FFFFFF"/>
        </w:rPr>
        <w:t>). The DDO regime commenced</w:t>
      </w:r>
      <w:r w:rsidR="00276D3C" w:rsidRPr="00EB114A">
        <w:rPr>
          <w:color w:val="000000"/>
          <w:shd w:val="clear" w:color="auto" w:fill="FFFFFF"/>
        </w:rPr>
        <w:t xml:space="preserve"> on 5 October 2021.</w:t>
      </w:r>
    </w:p>
    <w:p w14:paraId="4F21BBFD" w14:textId="01962DA9" w:rsidR="00276D3C" w:rsidRPr="00EB114A" w:rsidRDefault="00276D3C" w:rsidP="00276D3C">
      <w:pPr>
        <w:pStyle w:val="li-bodytextparaa0"/>
        <w:spacing w:before="240" w:beforeAutospacing="0" w:after="0" w:afterAutospacing="0"/>
        <w:ind w:left="567" w:hanging="567"/>
        <w:rPr>
          <w:color w:val="000000"/>
        </w:rPr>
      </w:pPr>
      <w:r w:rsidRPr="00EB114A">
        <w:rPr>
          <w:color w:val="000000"/>
          <w:shd w:val="clear" w:color="auto" w:fill="FFFFFF"/>
        </w:rPr>
        <w:t>3. </w:t>
      </w:r>
      <w:r w:rsidRPr="00EB114A">
        <w:rPr>
          <w:color w:val="000000"/>
        </w:rPr>
        <w:t> </w:t>
      </w:r>
      <w:r w:rsidRPr="00EB114A">
        <w:rPr>
          <w:color w:val="000000"/>
        </w:rPr>
        <w:tab/>
      </w:r>
      <w:r w:rsidRPr="00EB114A">
        <w:rPr>
          <w:color w:val="000000"/>
          <w:shd w:val="clear" w:color="auto" w:fill="FFFFFF"/>
        </w:rPr>
        <w:t xml:space="preserve">Prior to the commencement of the DDO regime, the Government announced that a number of amendments were required to achieve the intended operation of the reforms, including to clarify the law, to ensure a consistent application of the law, and </w:t>
      </w:r>
      <w:r w:rsidR="001E01D4" w:rsidRPr="00EB114A">
        <w:rPr>
          <w:color w:val="000000"/>
          <w:shd w:val="clear" w:color="auto" w:fill="FFFFFF"/>
        </w:rPr>
        <w:t xml:space="preserve">to ensure </w:t>
      </w:r>
      <w:r w:rsidRPr="00EB114A">
        <w:rPr>
          <w:color w:val="000000"/>
          <w:shd w:val="clear" w:color="auto" w:fill="FFFFFF"/>
        </w:rPr>
        <w:t>that the regime remains fit-for-purpose.  </w:t>
      </w:r>
    </w:p>
    <w:p w14:paraId="5C35C016" w14:textId="59834B3E" w:rsidR="00276D3C" w:rsidRPr="00EB114A" w:rsidRDefault="00276D3C" w:rsidP="00276D3C">
      <w:pPr>
        <w:pStyle w:val="li-bodytextparaa0"/>
        <w:spacing w:before="240" w:beforeAutospacing="0" w:after="0" w:afterAutospacing="0"/>
        <w:ind w:left="567" w:hanging="567"/>
        <w:rPr>
          <w:color w:val="000000"/>
        </w:rPr>
      </w:pPr>
      <w:r w:rsidRPr="00EB114A">
        <w:rPr>
          <w:color w:val="000000"/>
          <w:shd w:val="clear" w:color="auto" w:fill="FFFFFF"/>
        </w:rPr>
        <w:t>4. </w:t>
      </w:r>
      <w:r w:rsidRPr="00EB114A">
        <w:rPr>
          <w:color w:val="000000"/>
        </w:rPr>
        <w:t> </w:t>
      </w:r>
      <w:r w:rsidR="000A16FC" w:rsidRPr="00EB114A">
        <w:rPr>
          <w:color w:val="000000"/>
        </w:rPr>
        <w:tab/>
      </w:r>
      <w:r w:rsidRPr="00EB114A">
        <w:rPr>
          <w:color w:val="000000"/>
          <w:shd w:val="clear" w:color="auto" w:fill="FFFFFF"/>
        </w:rPr>
        <w:t>To assist with providing certainty on the application of the DDO regime in the period prior to the</w:t>
      </w:r>
      <w:r w:rsidR="00BA7BB5" w:rsidRPr="00EB114A">
        <w:rPr>
          <w:color w:val="000000"/>
          <w:shd w:val="clear" w:color="auto" w:fill="FFFFFF"/>
        </w:rPr>
        <w:t xml:space="preserve"> </w:t>
      </w:r>
      <w:r w:rsidRPr="00EB114A">
        <w:rPr>
          <w:color w:val="000000"/>
          <w:shd w:val="clear" w:color="auto" w:fill="FFFFFF"/>
        </w:rPr>
        <w:t>Government making the necessary legislative amendments, the Principal Instrument</w:t>
      </w:r>
      <w:r w:rsidRPr="00EB114A">
        <w:rPr>
          <w:i/>
          <w:iCs/>
          <w:color w:val="000000"/>
          <w:shd w:val="clear" w:color="auto" w:fill="FFFFFF"/>
        </w:rPr>
        <w:t> </w:t>
      </w:r>
      <w:r w:rsidRPr="00EB114A">
        <w:rPr>
          <w:color w:val="000000"/>
          <w:shd w:val="clear" w:color="auto" w:fill="FFFFFF"/>
        </w:rPr>
        <w:t>was made to enact interim measures consistent with the Government’s policy intentions, using ASIC’s modification and exemption powers under s</w:t>
      </w:r>
      <w:r w:rsidR="00AA1D57" w:rsidRPr="00EB114A">
        <w:rPr>
          <w:color w:val="000000"/>
          <w:shd w:val="clear" w:color="auto" w:fill="FFFFFF"/>
        </w:rPr>
        <w:t xml:space="preserve">ection </w:t>
      </w:r>
      <w:r w:rsidRPr="00EB114A">
        <w:rPr>
          <w:color w:val="000000"/>
          <w:shd w:val="clear" w:color="auto" w:fill="FFFFFF"/>
        </w:rPr>
        <w:t xml:space="preserve">994L of the Act. The Principal Instrument was </w:t>
      </w:r>
      <w:r w:rsidR="00116FCA" w:rsidRPr="00EB114A">
        <w:rPr>
          <w:color w:val="000000"/>
          <w:shd w:val="clear" w:color="auto" w:fill="FFFFFF"/>
        </w:rPr>
        <w:t xml:space="preserve">initially </w:t>
      </w:r>
      <w:r w:rsidRPr="00EB114A">
        <w:rPr>
          <w:color w:val="000000"/>
          <w:shd w:val="clear" w:color="auto" w:fill="FFFFFF"/>
        </w:rPr>
        <w:t xml:space="preserve">made for a period of </w:t>
      </w:r>
      <w:r w:rsidR="00C07AFC" w:rsidRPr="00EB114A">
        <w:rPr>
          <w:color w:val="000000"/>
          <w:shd w:val="clear" w:color="auto" w:fill="FFFFFF"/>
        </w:rPr>
        <w:t>two</w:t>
      </w:r>
      <w:r w:rsidRPr="00EB114A">
        <w:rPr>
          <w:color w:val="000000"/>
          <w:shd w:val="clear" w:color="auto" w:fill="FFFFFF"/>
        </w:rPr>
        <w:t xml:space="preserve"> years</w:t>
      </w:r>
      <w:r w:rsidR="00116FCA" w:rsidRPr="00EB114A">
        <w:rPr>
          <w:color w:val="000000"/>
          <w:shd w:val="clear" w:color="auto" w:fill="FFFFFF"/>
        </w:rPr>
        <w:t xml:space="preserve">. </w:t>
      </w:r>
      <w:r w:rsidR="00894121" w:rsidRPr="00EB114A">
        <w:rPr>
          <w:i/>
          <w:iCs/>
          <w:color w:val="000000"/>
        </w:rPr>
        <w:t xml:space="preserve">ASIC Corporations (Amendment) Instrument 2023/706 </w:t>
      </w:r>
      <w:r w:rsidR="00894121" w:rsidRPr="00EB114A">
        <w:rPr>
          <w:color w:val="000000"/>
        </w:rPr>
        <w:t>extended the operation of the Principal Instrument, which is now</w:t>
      </w:r>
      <w:r w:rsidRPr="00EB114A">
        <w:rPr>
          <w:color w:val="000000"/>
          <w:shd w:val="clear" w:color="auto" w:fill="FFFFFF"/>
        </w:rPr>
        <w:t xml:space="preserve"> due to repeal on 5 October 202</w:t>
      </w:r>
      <w:r w:rsidR="000A16FC" w:rsidRPr="00EB114A">
        <w:rPr>
          <w:color w:val="000000"/>
          <w:shd w:val="clear" w:color="auto" w:fill="FFFFFF"/>
        </w:rPr>
        <w:t>8</w:t>
      </w:r>
      <w:r w:rsidR="00FE3748" w:rsidRPr="00EB114A">
        <w:rPr>
          <w:color w:val="000000"/>
          <w:shd w:val="clear" w:color="auto" w:fill="FFFFFF"/>
        </w:rPr>
        <w:t>, in order to allow sufficient time for the Government to make the necessary changes to the primary law</w:t>
      </w:r>
      <w:r w:rsidRPr="00EB114A">
        <w:rPr>
          <w:color w:val="000000"/>
          <w:shd w:val="clear" w:color="auto" w:fill="FFFFFF"/>
        </w:rPr>
        <w:t>.</w:t>
      </w:r>
    </w:p>
    <w:p w14:paraId="543291F0" w14:textId="23A67D6D" w:rsidR="0074530F" w:rsidRPr="00EB114A" w:rsidRDefault="0074530F" w:rsidP="005553E5">
      <w:pPr>
        <w:pStyle w:val="LI-BodyTextParaa"/>
        <w:ind w:left="567"/>
        <w:rPr>
          <w:rStyle w:val="ui-provider"/>
        </w:rPr>
      </w:pPr>
      <w:r w:rsidRPr="00EB114A">
        <w:rPr>
          <w:rStyle w:val="ui-provider"/>
        </w:rPr>
        <w:t>5.</w:t>
      </w:r>
      <w:r w:rsidRPr="00EB114A">
        <w:rPr>
          <w:rStyle w:val="ui-provider"/>
        </w:rPr>
        <w:tab/>
      </w:r>
      <w:r w:rsidR="00C75A18" w:rsidRPr="00EB114A">
        <w:rPr>
          <w:rStyle w:val="ui-provider"/>
        </w:rPr>
        <w:t>T</w:t>
      </w:r>
      <w:r w:rsidRPr="00EB114A">
        <w:rPr>
          <w:rStyle w:val="ui-provider"/>
        </w:rPr>
        <w:t>he Amending Instrument</w:t>
      </w:r>
      <w:r w:rsidR="00C75A18" w:rsidRPr="00EB114A">
        <w:rPr>
          <w:rStyle w:val="ui-provider"/>
        </w:rPr>
        <w:t xml:space="preserve"> has two purposes</w:t>
      </w:r>
      <w:r w:rsidRPr="00EB114A">
        <w:rPr>
          <w:rStyle w:val="ui-provider"/>
        </w:rPr>
        <w:t>:</w:t>
      </w:r>
    </w:p>
    <w:p w14:paraId="1E56B704" w14:textId="6765B348" w:rsidR="001E2424" w:rsidRPr="00EB114A" w:rsidRDefault="00A7131D" w:rsidP="00A7131D">
      <w:pPr>
        <w:pStyle w:val="LI-BodyTextParaa"/>
        <w:ind w:left="1440" w:hanging="873"/>
        <w:rPr>
          <w:rStyle w:val="ui-provider"/>
        </w:rPr>
      </w:pPr>
      <w:r w:rsidRPr="00EB114A">
        <w:rPr>
          <w:rStyle w:val="ui-provider"/>
        </w:rPr>
        <w:lastRenderedPageBreak/>
        <w:t>(a)</w:t>
      </w:r>
      <w:r w:rsidRPr="00EB114A">
        <w:rPr>
          <w:rStyle w:val="ui-provider"/>
        </w:rPr>
        <w:tab/>
      </w:r>
      <w:r w:rsidR="005553E5" w:rsidRPr="00EB114A">
        <w:rPr>
          <w:rStyle w:val="ui-provider"/>
        </w:rPr>
        <w:t>ensur</w:t>
      </w:r>
      <w:r w:rsidRPr="00EB114A">
        <w:rPr>
          <w:rStyle w:val="ui-provider"/>
        </w:rPr>
        <w:t>ing</w:t>
      </w:r>
      <w:r w:rsidR="005553E5" w:rsidRPr="00EB114A">
        <w:rPr>
          <w:rStyle w:val="ui-provider"/>
        </w:rPr>
        <w:t xml:space="preserve"> that </w:t>
      </w:r>
      <w:r w:rsidR="0065527C" w:rsidRPr="00EB114A">
        <w:rPr>
          <w:rStyle w:val="ui-provider"/>
        </w:rPr>
        <w:t xml:space="preserve">the </w:t>
      </w:r>
      <w:r w:rsidR="005553E5" w:rsidRPr="00EB114A">
        <w:rPr>
          <w:rStyle w:val="ui-provider"/>
        </w:rPr>
        <w:t xml:space="preserve">exemption </w:t>
      </w:r>
      <w:r w:rsidR="0065527C" w:rsidRPr="00EB114A">
        <w:rPr>
          <w:rStyle w:val="ui-provider"/>
        </w:rPr>
        <w:t>for certain non</w:t>
      </w:r>
      <w:r w:rsidR="00434382" w:rsidRPr="00EB114A">
        <w:rPr>
          <w:rStyle w:val="ui-provider"/>
        </w:rPr>
        <w:t>-</w:t>
      </w:r>
      <w:r w:rsidR="0065527C" w:rsidRPr="00EB114A">
        <w:rPr>
          <w:rStyle w:val="ui-provider"/>
        </w:rPr>
        <w:t>cash payment</w:t>
      </w:r>
      <w:r w:rsidR="00937FD7" w:rsidRPr="00EB114A">
        <w:rPr>
          <w:rStyle w:val="ui-provider"/>
        </w:rPr>
        <w:t xml:space="preserve"> facilities</w:t>
      </w:r>
      <w:r w:rsidR="0065527C" w:rsidRPr="00EB114A">
        <w:rPr>
          <w:rStyle w:val="ui-provider"/>
        </w:rPr>
        <w:t xml:space="preserve"> </w:t>
      </w:r>
      <w:r w:rsidR="005553E5" w:rsidRPr="00EB114A">
        <w:rPr>
          <w:rStyle w:val="ui-provider"/>
        </w:rPr>
        <w:t xml:space="preserve">in the Principal Instrument operates as intended by changing the definition of </w:t>
      </w:r>
      <w:r w:rsidR="00937FD7" w:rsidRPr="00EB114A">
        <w:rPr>
          <w:rStyle w:val="ui-provider"/>
        </w:rPr>
        <w:t>“</w:t>
      </w:r>
      <w:r w:rsidR="005553E5" w:rsidRPr="00EB114A">
        <w:rPr>
          <w:rStyle w:val="ui-provider"/>
        </w:rPr>
        <w:t>makes non-cash payments</w:t>
      </w:r>
      <w:r w:rsidR="00B461FB" w:rsidRPr="00EB114A">
        <w:rPr>
          <w:rStyle w:val="ui-provider"/>
        </w:rPr>
        <w:t>”</w:t>
      </w:r>
      <w:r w:rsidR="005553E5" w:rsidRPr="00EB114A">
        <w:rPr>
          <w:rStyle w:val="ui-provider"/>
        </w:rPr>
        <w:t xml:space="preserve"> to the broader </w:t>
      </w:r>
      <w:r w:rsidR="00115A02" w:rsidRPr="00EB114A">
        <w:rPr>
          <w:rStyle w:val="ui-provider"/>
        </w:rPr>
        <w:t xml:space="preserve">definition in </w:t>
      </w:r>
      <w:r w:rsidR="001B643D" w:rsidRPr="00EB114A">
        <w:rPr>
          <w:rStyle w:val="ui-provider"/>
        </w:rPr>
        <w:t>subsection</w:t>
      </w:r>
      <w:r w:rsidR="00C74B1B" w:rsidRPr="00EB114A">
        <w:rPr>
          <w:rStyle w:val="ui-provider"/>
        </w:rPr>
        <w:t xml:space="preserve"> </w:t>
      </w:r>
      <w:r w:rsidR="00115A02" w:rsidRPr="00EB114A">
        <w:rPr>
          <w:rStyle w:val="ui-provider"/>
        </w:rPr>
        <w:t xml:space="preserve">12BAA(6) of the </w:t>
      </w:r>
      <w:r w:rsidR="00115A02" w:rsidRPr="00EB114A">
        <w:rPr>
          <w:i/>
          <w:iCs/>
          <w:color w:val="000000"/>
        </w:rPr>
        <w:t>Australian Securities and Investments Commission Act 2001</w:t>
      </w:r>
      <w:r w:rsidR="00115A02" w:rsidRPr="00EB114A">
        <w:rPr>
          <w:color w:val="000000"/>
        </w:rPr>
        <w:t> (</w:t>
      </w:r>
      <w:r w:rsidR="00115A02" w:rsidRPr="00EB114A">
        <w:rPr>
          <w:b/>
          <w:bCs/>
          <w:i/>
          <w:iCs/>
          <w:color w:val="000000"/>
        </w:rPr>
        <w:t>ASIC Act</w:t>
      </w:r>
      <w:r w:rsidR="00115A02" w:rsidRPr="00EB114A">
        <w:rPr>
          <w:color w:val="000000"/>
        </w:rPr>
        <w:t>)</w:t>
      </w:r>
      <w:r w:rsidR="001E2424" w:rsidRPr="00EB114A">
        <w:rPr>
          <w:rStyle w:val="ui-provider"/>
        </w:rPr>
        <w:t xml:space="preserve">. </w:t>
      </w:r>
      <w:r w:rsidR="001E2424" w:rsidRPr="00EB114A">
        <w:rPr>
          <w:color w:val="000000"/>
        </w:rPr>
        <w:t>A broader meaning of when a person makes a non-cash payment is given by subsection 12BAA(1)(6) of the ASIC Act (for the purposes of subsection 12BAA(1)), compared with the meaning given by section 763D of the Act (for the purposes of section 763A).</w:t>
      </w:r>
    </w:p>
    <w:p w14:paraId="3127434F" w14:textId="439BC585" w:rsidR="005553E5" w:rsidRPr="00EB114A" w:rsidRDefault="00056358" w:rsidP="00A7131D">
      <w:pPr>
        <w:pStyle w:val="LI-BodyTextParaa"/>
        <w:ind w:left="1440" w:hanging="873"/>
      </w:pPr>
      <w:r w:rsidRPr="00EB114A">
        <w:rPr>
          <w:rStyle w:val="ui-provider"/>
        </w:rPr>
        <w:t>(b)</w:t>
      </w:r>
      <w:r w:rsidRPr="00EB114A">
        <w:rPr>
          <w:rStyle w:val="ui-provider"/>
        </w:rPr>
        <w:tab/>
      </w:r>
      <w:r w:rsidR="00AD59D3" w:rsidRPr="00EB114A">
        <w:rPr>
          <w:rStyle w:val="ui-provider"/>
        </w:rPr>
        <w:t>ensur</w:t>
      </w:r>
      <w:r w:rsidR="006E34B5" w:rsidRPr="00EB114A">
        <w:rPr>
          <w:rStyle w:val="ui-provider"/>
        </w:rPr>
        <w:t>ing</w:t>
      </w:r>
      <w:r w:rsidR="00AD59D3" w:rsidRPr="00EB114A">
        <w:rPr>
          <w:rStyle w:val="ui-provider"/>
        </w:rPr>
        <w:t xml:space="preserve"> </w:t>
      </w:r>
      <w:r w:rsidRPr="00EB114A">
        <w:rPr>
          <w:rStyle w:val="ui-provider"/>
        </w:rPr>
        <w:t xml:space="preserve">the definition of “financial product” in the Principal Instrument </w:t>
      </w:r>
      <w:r w:rsidR="005553E5" w:rsidRPr="00EB114A">
        <w:rPr>
          <w:rStyle w:val="ui-provider"/>
        </w:rPr>
        <w:t>reflect</w:t>
      </w:r>
      <w:r w:rsidRPr="00EB114A">
        <w:rPr>
          <w:rStyle w:val="ui-provider"/>
        </w:rPr>
        <w:t>s</w:t>
      </w:r>
      <w:r w:rsidR="005553E5" w:rsidRPr="00EB114A">
        <w:rPr>
          <w:rStyle w:val="ui-provider"/>
        </w:rPr>
        <w:t xml:space="preserve"> the operation of s</w:t>
      </w:r>
      <w:r w:rsidR="00E25B69" w:rsidRPr="00EB114A">
        <w:rPr>
          <w:rStyle w:val="ui-provider"/>
        </w:rPr>
        <w:t xml:space="preserve">ubsection </w:t>
      </w:r>
      <w:r w:rsidR="005553E5" w:rsidRPr="00EB114A">
        <w:rPr>
          <w:rStyle w:val="ui-provider"/>
        </w:rPr>
        <w:t>994AA(1) and adopt</w:t>
      </w:r>
      <w:r w:rsidR="006E34B5" w:rsidRPr="00EB114A">
        <w:rPr>
          <w:rStyle w:val="ui-provider"/>
        </w:rPr>
        <w:t>ing</w:t>
      </w:r>
      <w:r w:rsidR="005553E5" w:rsidRPr="00EB114A">
        <w:rPr>
          <w:rStyle w:val="ui-provider"/>
        </w:rPr>
        <w:t xml:space="preserve"> </w:t>
      </w:r>
      <w:r w:rsidR="00D5040B" w:rsidRPr="00EB114A">
        <w:rPr>
          <w:color w:val="000000"/>
        </w:rPr>
        <w:t xml:space="preserve">drafting style used in </w:t>
      </w:r>
      <w:r w:rsidR="00E25B69" w:rsidRPr="00EB114A">
        <w:rPr>
          <w:color w:val="000000"/>
        </w:rPr>
        <w:t xml:space="preserve">recent </w:t>
      </w:r>
      <w:r w:rsidR="00D5040B" w:rsidRPr="00EB114A">
        <w:rPr>
          <w:color w:val="000000"/>
        </w:rPr>
        <w:t>amendments to s</w:t>
      </w:r>
      <w:r w:rsidR="00E25B69" w:rsidRPr="00EB114A">
        <w:rPr>
          <w:color w:val="000000"/>
        </w:rPr>
        <w:t xml:space="preserve">ection </w:t>
      </w:r>
      <w:r w:rsidR="00D5040B" w:rsidRPr="00EB114A">
        <w:rPr>
          <w:color w:val="000000"/>
        </w:rPr>
        <w:t xml:space="preserve">9 </w:t>
      </w:r>
      <w:r w:rsidR="005553E5" w:rsidRPr="00EB114A">
        <w:rPr>
          <w:rStyle w:val="ui-provider"/>
        </w:rPr>
        <w:t>of the Act. </w:t>
      </w:r>
    </w:p>
    <w:p w14:paraId="3FEFE29E" w14:textId="77777777" w:rsidR="009A3F74" w:rsidRPr="00EB114A" w:rsidRDefault="009A3F74" w:rsidP="006D6079">
      <w:pPr>
        <w:pStyle w:val="LI-BodyTextNumbered"/>
        <w:keepNext/>
        <w:ind w:left="0" w:firstLine="0"/>
        <w:rPr>
          <w:b/>
        </w:rPr>
      </w:pPr>
      <w:bookmarkStart w:id="0" w:name="_Hlk534291624"/>
      <w:r w:rsidRPr="00EB114A">
        <w:rPr>
          <w:b/>
        </w:rPr>
        <w:t>Consultation</w:t>
      </w:r>
    </w:p>
    <w:p w14:paraId="76BF24CC" w14:textId="493850AF" w:rsidR="00701D64" w:rsidRPr="00EB114A" w:rsidRDefault="003A5150" w:rsidP="00701D64">
      <w:pPr>
        <w:pStyle w:val="li-bodytextparaa0"/>
        <w:spacing w:before="240" w:beforeAutospacing="0" w:after="0" w:afterAutospacing="0"/>
        <w:ind w:left="567" w:hanging="567"/>
        <w:rPr>
          <w:color w:val="000000"/>
        </w:rPr>
      </w:pPr>
      <w:r w:rsidRPr="00EB114A">
        <w:rPr>
          <w:color w:val="000000"/>
        </w:rPr>
        <w:t>6</w:t>
      </w:r>
      <w:r w:rsidR="00701D64" w:rsidRPr="00EB114A">
        <w:rPr>
          <w:color w:val="000000"/>
        </w:rPr>
        <w:t>.  </w:t>
      </w:r>
      <w:r w:rsidRPr="00EB114A">
        <w:rPr>
          <w:color w:val="000000"/>
        </w:rPr>
        <w:tab/>
      </w:r>
      <w:r w:rsidR="00701D64" w:rsidRPr="00EB114A">
        <w:rPr>
          <w:color w:val="000000"/>
        </w:rPr>
        <w:t>Prior to the commencement of </w:t>
      </w:r>
      <w:r w:rsidR="00701D64" w:rsidRPr="00EB114A">
        <w:rPr>
          <w:color w:val="000000"/>
          <w:shd w:val="clear" w:color="auto" w:fill="FFFFFF"/>
        </w:rPr>
        <w:t>Principal Instrument</w:t>
      </w:r>
      <w:r w:rsidR="00701D64" w:rsidRPr="00EB114A">
        <w:rPr>
          <w:i/>
          <w:iCs/>
          <w:color w:val="000000"/>
        </w:rPr>
        <w:t>, </w:t>
      </w:r>
      <w:r w:rsidR="00701D64" w:rsidRPr="00EB114A">
        <w:rPr>
          <w:color w:val="000000"/>
        </w:rPr>
        <w:t>ASIC undertook targeted consultation with affected entities as detailed in the Explanatory Statement to the </w:t>
      </w:r>
      <w:r w:rsidR="00701D64" w:rsidRPr="00EB114A">
        <w:rPr>
          <w:color w:val="000000"/>
          <w:shd w:val="clear" w:color="auto" w:fill="FFFFFF"/>
        </w:rPr>
        <w:t>Principal Instrument</w:t>
      </w:r>
      <w:r w:rsidR="00701D64" w:rsidRPr="00EB114A">
        <w:rPr>
          <w:i/>
          <w:iCs/>
          <w:color w:val="000000"/>
        </w:rPr>
        <w:t>.</w:t>
      </w:r>
    </w:p>
    <w:p w14:paraId="044CCDC1" w14:textId="49F55C87" w:rsidR="00701D64" w:rsidRPr="00EB114A" w:rsidRDefault="006A18B6" w:rsidP="009A3F74">
      <w:pPr>
        <w:pStyle w:val="LI-BodyTextParaa"/>
        <w:ind w:left="567"/>
      </w:pPr>
      <w:r w:rsidRPr="00EB114A">
        <w:t>7.</w:t>
      </w:r>
      <w:r w:rsidRPr="00EB114A">
        <w:tab/>
      </w:r>
      <w:r w:rsidR="00751935" w:rsidRPr="00EB114A">
        <w:t>ASIC consulted with Treasury regarding the Amending Instrument.  Further c</w:t>
      </w:r>
      <w:r w:rsidR="00701D64" w:rsidRPr="00EB114A">
        <w:t xml:space="preserve">onsultation was not undertaken for the Amending Instrument as </w:t>
      </w:r>
      <w:r w:rsidR="007E3F07" w:rsidRPr="00EB114A">
        <w:t xml:space="preserve">it was not considered to be necessary given the </w:t>
      </w:r>
      <w:r w:rsidR="00054EAF" w:rsidRPr="00EB114A">
        <w:t xml:space="preserve">amendments </w:t>
      </w:r>
      <w:r w:rsidR="00B97DE5" w:rsidRPr="00EB114A">
        <w:t xml:space="preserve">are to ensure that the Principal Instrument is operating as intended and to reflect </w:t>
      </w:r>
      <w:r w:rsidR="00516C27" w:rsidRPr="00EB114A">
        <w:t xml:space="preserve">the drafting style </w:t>
      </w:r>
      <w:r w:rsidR="000679A6" w:rsidRPr="00EB114A">
        <w:t xml:space="preserve">adopted in </w:t>
      </w:r>
      <w:r w:rsidR="00E25B69" w:rsidRPr="00EB114A">
        <w:t xml:space="preserve">recent </w:t>
      </w:r>
      <w:r w:rsidR="00B97DE5" w:rsidRPr="00EB114A">
        <w:t>changes to s</w:t>
      </w:r>
      <w:r w:rsidR="00E25B69" w:rsidRPr="00EB114A">
        <w:t xml:space="preserve">ection </w:t>
      </w:r>
      <w:r w:rsidR="00B97DE5" w:rsidRPr="00EB114A">
        <w:t>9 of the Act.</w:t>
      </w:r>
    </w:p>
    <w:p w14:paraId="4CDCC6BF" w14:textId="77777777" w:rsidR="005D1FEA" w:rsidRPr="00EB114A" w:rsidRDefault="005D1FEA" w:rsidP="006D6079">
      <w:pPr>
        <w:pStyle w:val="LI-BodyTextNumbered"/>
        <w:keepNext/>
        <w:ind w:left="0" w:firstLine="0"/>
        <w:rPr>
          <w:b/>
        </w:rPr>
      </w:pPr>
      <w:r w:rsidRPr="00EB114A">
        <w:rPr>
          <w:b/>
        </w:rPr>
        <w:t>Operation of the instrument</w:t>
      </w:r>
    </w:p>
    <w:p w14:paraId="4F6A2603" w14:textId="525CF943" w:rsidR="00E53D71" w:rsidRPr="00EB114A" w:rsidRDefault="00E53D71" w:rsidP="0099213A">
      <w:pPr>
        <w:pStyle w:val="LI-BodyTextNumbered"/>
        <w:keepNext/>
        <w:ind w:left="0" w:firstLine="0"/>
        <w:rPr>
          <w:bCs/>
          <w:i/>
          <w:iCs/>
        </w:rPr>
      </w:pPr>
      <w:r w:rsidRPr="00EB114A">
        <w:rPr>
          <w:bCs/>
          <w:i/>
          <w:iCs/>
        </w:rPr>
        <w:t>Definition of “</w:t>
      </w:r>
      <w:r w:rsidR="0099213A" w:rsidRPr="00EB114A">
        <w:rPr>
          <w:bCs/>
          <w:i/>
          <w:iCs/>
        </w:rPr>
        <w:t>financial product”</w:t>
      </w:r>
    </w:p>
    <w:p w14:paraId="6E45993C" w14:textId="4FAAD911" w:rsidR="00E53D71" w:rsidRPr="00EB114A" w:rsidRDefault="004B63CC" w:rsidP="005D1FEA">
      <w:pPr>
        <w:pStyle w:val="LI-BodyTextParaa"/>
        <w:ind w:left="567"/>
        <w:rPr>
          <w:rStyle w:val="ui-provider"/>
        </w:rPr>
      </w:pPr>
      <w:r w:rsidRPr="00EB114A">
        <w:rPr>
          <w:color w:val="000000"/>
        </w:rPr>
        <w:t>9.</w:t>
      </w:r>
      <w:r w:rsidRPr="00EB114A">
        <w:rPr>
          <w:color w:val="000000"/>
        </w:rPr>
        <w:tab/>
      </w:r>
      <w:r w:rsidR="00E25B69" w:rsidRPr="00EB114A">
        <w:t xml:space="preserve">Item </w:t>
      </w:r>
      <w:r w:rsidR="00B3726B" w:rsidRPr="00EB114A">
        <w:t>1 of Schedule 1 to t</w:t>
      </w:r>
      <w:r w:rsidR="00F739EA" w:rsidRPr="00EB114A">
        <w:t xml:space="preserve">he Amending Instrument amends the definition of “financial product” in </w:t>
      </w:r>
      <w:r w:rsidR="00B3726B" w:rsidRPr="00EB114A">
        <w:t>s</w:t>
      </w:r>
      <w:r w:rsidR="00E25B69" w:rsidRPr="00EB114A">
        <w:t xml:space="preserve">ection </w:t>
      </w:r>
      <w:r w:rsidR="00B3726B" w:rsidRPr="00EB114A">
        <w:t xml:space="preserve">5 of the Principal Instrument to </w:t>
      </w:r>
      <w:r w:rsidR="00B520E4" w:rsidRPr="00EB114A">
        <w:rPr>
          <w:rStyle w:val="ui-provider"/>
        </w:rPr>
        <w:t>more precisely reflect the operation of s</w:t>
      </w:r>
      <w:r w:rsidR="00E25B69" w:rsidRPr="00EB114A">
        <w:rPr>
          <w:rStyle w:val="ui-provider"/>
        </w:rPr>
        <w:t xml:space="preserve">ubsection </w:t>
      </w:r>
      <w:r w:rsidR="00B520E4" w:rsidRPr="00EB114A">
        <w:rPr>
          <w:rStyle w:val="ui-provider"/>
        </w:rPr>
        <w:t xml:space="preserve">994AA(1) of the Act, which provides </w:t>
      </w:r>
      <w:proofErr w:type="gramStart"/>
      <w:r w:rsidR="00B520E4" w:rsidRPr="00EB114A">
        <w:rPr>
          <w:rStyle w:val="ui-provider"/>
        </w:rPr>
        <w:t xml:space="preserve">that </w:t>
      </w:r>
      <w:r w:rsidR="00344588" w:rsidRPr="00EB114A">
        <w:rPr>
          <w:rStyle w:val="ui-provider"/>
        </w:rPr>
        <w:t>financial products</w:t>
      </w:r>
      <w:proofErr w:type="gramEnd"/>
      <w:r w:rsidR="00344588" w:rsidRPr="00EB114A">
        <w:rPr>
          <w:rStyle w:val="ui-provider"/>
        </w:rPr>
        <w:t xml:space="preserve"> for the DDO “includes”</w:t>
      </w:r>
      <w:r w:rsidR="008226A4" w:rsidRPr="00EB114A">
        <w:rPr>
          <w:rStyle w:val="ui-provider"/>
        </w:rPr>
        <w:t xml:space="preserve"> ASIC Act financial products.</w:t>
      </w:r>
    </w:p>
    <w:p w14:paraId="286EBDD5" w14:textId="789405D6" w:rsidR="0042558E" w:rsidRPr="00EB114A" w:rsidRDefault="00C7179B" w:rsidP="00CF018E">
      <w:pPr>
        <w:pStyle w:val="LI-BodyTextParaa"/>
        <w:ind w:left="567"/>
        <w:rPr>
          <w:rStyle w:val="ui-provider"/>
        </w:rPr>
      </w:pPr>
      <w:r w:rsidRPr="00EB114A">
        <w:rPr>
          <w:rStyle w:val="ui-provider"/>
        </w:rPr>
        <w:t>10</w:t>
      </w:r>
      <w:r w:rsidR="0042558E" w:rsidRPr="00EB114A">
        <w:rPr>
          <w:rStyle w:val="ui-provider"/>
        </w:rPr>
        <w:t>.</w:t>
      </w:r>
      <w:r w:rsidR="0042558E" w:rsidRPr="00EB114A">
        <w:rPr>
          <w:rStyle w:val="ui-provider"/>
        </w:rPr>
        <w:tab/>
      </w:r>
      <w:r w:rsidR="00C82443" w:rsidRPr="00EB114A">
        <w:rPr>
          <w:rStyle w:val="ui-provider"/>
        </w:rPr>
        <w:t xml:space="preserve">It is not expected that this </w:t>
      </w:r>
      <w:r w:rsidR="00CF018E" w:rsidRPr="00EB114A">
        <w:rPr>
          <w:rStyle w:val="ui-provider"/>
        </w:rPr>
        <w:t xml:space="preserve">will change the operation of the definition, but provides greater precision and </w:t>
      </w:r>
      <w:r w:rsidR="001C247D" w:rsidRPr="00EB114A">
        <w:rPr>
          <w:rStyle w:val="ui-provider"/>
        </w:rPr>
        <w:t xml:space="preserve">reflects </w:t>
      </w:r>
      <w:r w:rsidR="001F1D91" w:rsidRPr="00EB114A">
        <w:rPr>
          <w:rStyle w:val="ui-provider"/>
        </w:rPr>
        <w:t xml:space="preserve">the drafting style </w:t>
      </w:r>
      <w:r w:rsidR="001F1D91" w:rsidRPr="00EB114A">
        <w:rPr>
          <w:color w:val="000000"/>
        </w:rPr>
        <w:t>used in amendments to s</w:t>
      </w:r>
      <w:r w:rsidR="00E25B69" w:rsidRPr="00EB114A">
        <w:rPr>
          <w:color w:val="000000"/>
        </w:rPr>
        <w:t xml:space="preserve">ection </w:t>
      </w:r>
      <w:r w:rsidR="001F1D91" w:rsidRPr="00EB114A">
        <w:rPr>
          <w:color w:val="000000"/>
        </w:rPr>
        <w:t xml:space="preserve">9 </w:t>
      </w:r>
      <w:r w:rsidR="001F1D91" w:rsidRPr="00EB114A">
        <w:rPr>
          <w:rStyle w:val="ui-provider"/>
        </w:rPr>
        <w:t xml:space="preserve">of the Act </w:t>
      </w:r>
      <w:r w:rsidR="001F1D91" w:rsidRPr="00EB114A">
        <w:rPr>
          <w:color w:val="000000"/>
        </w:rPr>
        <w:t xml:space="preserve">made by </w:t>
      </w:r>
      <w:hyperlink r:id="rId17" w:history="1">
        <w:r w:rsidR="001F1D91" w:rsidRPr="00EB114A">
          <w:rPr>
            <w:rStyle w:val="Hyperlink"/>
            <w:i/>
            <w:iCs/>
          </w:rPr>
          <w:t>Treasury Laws Amendment (2023 Law Improvement Package No. 1) Act 2023</w:t>
        </w:r>
      </w:hyperlink>
      <w:r w:rsidR="0078358D" w:rsidRPr="00EB114A">
        <w:rPr>
          <w:rStyle w:val="ui-provider"/>
        </w:rPr>
        <w:t>.</w:t>
      </w:r>
    </w:p>
    <w:p w14:paraId="366DD86A" w14:textId="1019F543" w:rsidR="0099213A" w:rsidRPr="00EB114A" w:rsidRDefault="0099213A" w:rsidP="000679A6">
      <w:pPr>
        <w:pStyle w:val="LI-BodyTextNumbered"/>
        <w:keepNext/>
        <w:ind w:left="0" w:firstLine="0"/>
        <w:rPr>
          <w:bCs/>
          <w:i/>
          <w:iCs/>
        </w:rPr>
      </w:pPr>
      <w:r w:rsidRPr="00EB114A">
        <w:rPr>
          <w:bCs/>
          <w:i/>
          <w:iCs/>
        </w:rPr>
        <w:t xml:space="preserve">Definition of “makes non-cash </w:t>
      </w:r>
      <w:proofErr w:type="gramStart"/>
      <w:r w:rsidRPr="00EB114A">
        <w:rPr>
          <w:bCs/>
          <w:i/>
          <w:iCs/>
        </w:rPr>
        <w:t>payments”</w:t>
      </w:r>
      <w:proofErr w:type="gramEnd"/>
    </w:p>
    <w:p w14:paraId="3B9DA31C" w14:textId="61B0EDBC" w:rsidR="00B3726B" w:rsidRPr="00EB114A" w:rsidRDefault="00C7179B" w:rsidP="00B3726B">
      <w:pPr>
        <w:pStyle w:val="LI-BodyTextParaa"/>
        <w:ind w:left="567"/>
        <w:rPr>
          <w:rStyle w:val="ui-provider"/>
        </w:rPr>
      </w:pPr>
      <w:r w:rsidRPr="00EB114A">
        <w:rPr>
          <w:rStyle w:val="ui-provider"/>
        </w:rPr>
        <w:t>12</w:t>
      </w:r>
      <w:r w:rsidR="00B3726B" w:rsidRPr="00EB114A">
        <w:rPr>
          <w:rStyle w:val="ui-provider"/>
        </w:rPr>
        <w:t>.</w:t>
      </w:r>
      <w:r w:rsidR="00B3726B" w:rsidRPr="00EB114A">
        <w:rPr>
          <w:rStyle w:val="ui-provider"/>
        </w:rPr>
        <w:tab/>
      </w:r>
      <w:r w:rsidR="00E319E7" w:rsidRPr="00EB114A">
        <w:t xml:space="preserve">Item </w:t>
      </w:r>
      <w:r w:rsidR="00B3726B" w:rsidRPr="00EB114A">
        <w:t xml:space="preserve">2 of Schedule 1 to the Amending Instrument amends the definition of </w:t>
      </w:r>
      <w:r w:rsidR="005B4466" w:rsidRPr="00EB114A">
        <w:t xml:space="preserve">“makes non-cash payments” in the Principal Instrument to </w:t>
      </w:r>
      <w:r w:rsidR="00B3726B" w:rsidRPr="00EB114A">
        <w:rPr>
          <w:rStyle w:val="ui-provider"/>
        </w:rPr>
        <w:t xml:space="preserve">ensure that the </w:t>
      </w:r>
      <w:r w:rsidR="005614A5" w:rsidRPr="00EB114A">
        <w:rPr>
          <w:rStyle w:val="ui-provider"/>
        </w:rPr>
        <w:t xml:space="preserve">exemption </w:t>
      </w:r>
      <w:r w:rsidR="00B3726B" w:rsidRPr="00EB114A">
        <w:rPr>
          <w:rStyle w:val="ui-provider"/>
        </w:rPr>
        <w:t>operates as intended by changing the definition of makes non-cash payments to the broader ASIC Act definition</w:t>
      </w:r>
      <w:r w:rsidR="009851AD" w:rsidRPr="00EB114A">
        <w:rPr>
          <w:rStyle w:val="ui-provider"/>
        </w:rPr>
        <w:t>.</w:t>
      </w:r>
    </w:p>
    <w:p w14:paraId="244FA4F1" w14:textId="071484DB" w:rsidR="009851AD" w:rsidRPr="00EB114A" w:rsidRDefault="009851AD" w:rsidP="009851AD">
      <w:pPr>
        <w:pStyle w:val="LI-BodyTextParaa"/>
        <w:ind w:left="567"/>
        <w:rPr>
          <w:color w:val="000000"/>
        </w:rPr>
      </w:pPr>
      <w:r w:rsidRPr="00EB114A">
        <w:t>13.</w:t>
      </w:r>
      <w:r w:rsidRPr="00EB114A">
        <w:tab/>
      </w:r>
      <w:r w:rsidRPr="00EB114A">
        <w:rPr>
          <w:color w:val="000000"/>
        </w:rPr>
        <w:t xml:space="preserve">As noted in paragraph 24 of the Explanatory Statement for the Principal Instrument, the application of the DDO also extends to products that are not regulated under Parts 6D.2 or 7.9 of the Act, but that are “financial products” under Division 2 of Part 2 of the ASIC Act. A broader meaning of when a </w:t>
      </w:r>
      <w:r w:rsidRPr="00EB114A">
        <w:rPr>
          <w:color w:val="000000"/>
        </w:rPr>
        <w:lastRenderedPageBreak/>
        <w:t>person makes a non-cash payment is given by s</w:t>
      </w:r>
      <w:r w:rsidR="00E319E7" w:rsidRPr="00EB114A">
        <w:rPr>
          <w:color w:val="000000"/>
        </w:rPr>
        <w:t xml:space="preserve">ubsection </w:t>
      </w:r>
      <w:r w:rsidRPr="00EB114A">
        <w:rPr>
          <w:color w:val="000000"/>
        </w:rPr>
        <w:t>12BAA(6) of the ASIC Act (for the purposes of s</w:t>
      </w:r>
      <w:r w:rsidR="001B643D" w:rsidRPr="00EB114A">
        <w:rPr>
          <w:color w:val="000000"/>
        </w:rPr>
        <w:t xml:space="preserve">ubsection </w:t>
      </w:r>
      <w:r w:rsidRPr="00EB114A">
        <w:rPr>
          <w:color w:val="000000"/>
        </w:rPr>
        <w:t>12BAA(1)), compared with the meaning given by s</w:t>
      </w:r>
      <w:r w:rsidR="00E319E7" w:rsidRPr="00EB114A">
        <w:rPr>
          <w:color w:val="000000"/>
        </w:rPr>
        <w:t xml:space="preserve">ection </w:t>
      </w:r>
      <w:r w:rsidRPr="00EB114A">
        <w:rPr>
          <w:color w:val="000000"/>
        </w:rPr>
        <w:t>763D of the Act (for the purposes of s</w:t>
      </w:r>
      <w:r w:rsidR="00E319E7" w:rsidRPr="00EB114A">
        <w:rPr>
          <w:color w:val="000000"/>
        </w:rPr>
        <w:t xml:space="preserve">ection </w:t>
      </w:r>
      <w:r w:rsidRPr="00EB114A">
        <w:rPr>
          <w:color w:val="000000"/>
        </w:rPr>
        <w:t>763A).</w:t>
      </w:r>
    </w:p>
    <w:p w14:paraId="73C4BDE2" w14:textId="7EBC74D5" w:rsidR="00536F64" w:rsidRDefault="0037175A" w:rsidP="0037175A">
      <w:pPr>
        <w:pStyle w:val="LI-BodyTextParaa"/>
        <w:ind w:left="567"/>
        <w:rPr>
          <w:color w:val="000000"/>
        </w:rPr>
      </w:pPr>
      <w:r w:rsidRPr="00EB114A">
        <w:rPr>
          <w:color w:val="000000"/>
        </w:rPr>
        <w:t>14.</w:t>
      </w:r>
      <w:r w:rsidRPr="00EB114A">
        <w:rPr>
          <w:color w:val="000000"/>
        </w:rPr>
        <w:tab/>
      </w:r>
      <w:r w:rsidR="00E263BC" w:rsidRPr="00EB114A">
        <w:rPr>
          <w:color w:val="000000"/>
        </w:rPr>
        <w:t xml:space="preserve">The amendment </w:t>
      </w:r>
      <w:r w:rsidRPr="00EB114A">
        <w:rPr>
          <w:color w:val="000000"/>
        </w:rPr>
        <w:t>reflects</w:t>
      </w:r>
      <w:r w:rsidR="00E263BC" w:rsidRPr="00EB114A">
        <w:rPr>
          <w:color w:val="000000"/>
        </w:rPr>
        <w:t xml:space="preserve"> the intention </w:t>
      </w:r>
      <w:r w:rsidRPr="00EB114A">
        <w:rPr>
          <w:color w:val="000000"/>
        </w:rPr>
        <w:t xml:space="preserve">expressed in paragraph 25 of the </w:t>
      </w:r>
      <w:r w:rsidR="00536F64" w:rsidRPr="00EB114A">
        <w:rPr>
          <w:color w:val="000000"/>
        </w:rPr>
        <w:t>Explanatory Statement for the Principal Instrument</w:t>
      </w:r>
      <w:r w:rsidRPr="00EB114A">
        <w:rPr>
          <w:color w:val="000000"/>
        </w:rPr>
        <w:t xml:space="preserve"> that products be exempt from the DDO where these products are within scope of the DDO only as non-cash payment facilities</w:t>
      </w:r>
      <w:r w:rsidR="00077D28" w:rsidRPr="00EB114A">
        <w:rPr>
          <w:color w:val="000000"/>
        </w:rPr>
        <w:t xml:space="preserve">. This was intended to include </w:t>
      </w:r>
      <w:r w:rsidR="002F6392" w:rsidRPr="00EB114A">
        <w:rPr>
          <w:color w:val="000000"/>
        </w:rPr>
        <w:t>non-cash payment facilities</w:t>
      </w:r>
      <w:r w:rsidR="00077D28" w:rsidRPr="00EB114A">
        <w:rPr>
          <w:color w:val="000000"/>
        </w:rPr>
        <w:t xml:space="preserve"> that are</w:t>
      </w:r>
      <w:r w:rsidR="00224A66" w:rsidRPr="00EB114A">
        <w:rPr>
          <w:color w:val="000000"/>
        </w:rPr>
        <w:t xml:space="preserve"> only</w:t>
      </w:r>
      <w:r w:rsidR="00077D28" w:rsidRPr="00EB114A">
        <w:rPr>
          <w:color w:val="000000"/>
        </w:rPr>
        <w:t xml:space="preserve"> </w:t>
      </w:r>
      <w:r w:rsidR="002F6392" w:rsidRPr="00EB114A">
        <w:rPr>
          <w:color w:val="000000"/>
        </w:rPr>
        <w:t>within the DDO due to the broader definition of “makes non-cash payments” in the ASIC Act.</w:t>
      </w:r>
    </w:p>
    <w:p w14:paraId="376EFF67" w14:textId="78282058" w:rsidR="000679A6" w:rsidRPr="000679A6" w:rsidRDefault="000679A6" w:rsidP="000679A6">
      <w:pPr>
        <w:pStyle w:val="LI-BodyTextNumbered"/>
        <w:keepNext/>
        <w:ind w:left="0" w:firstLine="0"/>
        <w:rPr>
          <w:bCs/>
          <w:i/>
          <w:iCs/>
        </w:rPr>
      </w:pPr>
      <w:r w:rsidRPr="000679A6">
        <w:rPr>
          <w:bCs/>
          <w:i/>
          <w:iCs/>
        </w:rPr>
        <w:t>Commencement</w:t>
      </w:r>
    </w:p>
    <w:p w14:paraId="58D2696C" w14:textId="73C5B2E2" w:rsidR="0045346A" w:rsidRDefault="0045346A" w:rsidP="005D1FEA">
      <w:pPr>
        <w:pStyle w:val="LI-BodyTextParaa"/>
        <w:ind w:left="567"/>
      </w:pPr>
      <w:r>
        <w:t>10.</w:t>
      </w:r>
      <w:r>
        <w:tab/>
      </w:r>
      <w:r w:rsidRPr="0045346A">
        <w:t>Th</w:t>
      </w:r>
      <w:r>
        <w:t>e Amending</w:t>
      </w:r>
      <w:r w:rsidRPr="0045346A">
        <w:t xml:space="preserve"> </w:t>
      </w:r>
      <w:r>
        <w:t>I</w:t>
      </w:r>
      <w:r w:rsidRPr="0045346A">
        <w:t xml:space="preserve">nstrument </w:t>
      </w:r>
      <w:r>
        <w:t xml:space="preserve">will </w:t>
      </w:r>
      <w:r w:rsidRPr="0045346A">
        <w:t>commence on the day after it is registered on the Federal Register of Legislation.</w:t>
      </w:r>
    </w:p>
    <w:p w14:paraId="0BD58742" w14:textId="77777777" w:rsidR="00D67C60" w:rsidRDefault="00D67C60" w:rsidP="00D67C60">
      <w:pPr>
        <w:pStyle w:val="li-bodytextparaa0"/>
        <w:spacing w:before="240" w:beforeAutospacing="0" w:after="0" w:afterAutospacing="0"/>
        <w:ind w:left="567" w:hanging="567"/>
        <w:rPr>
          <w:color w:val="000000"/>
        </w:rPr>
      </w:pPr>
      <w:r>
        <w:rPr>
          <w:b/>
          <w:bCs/>
          <w:color w:val="000000"/>
        </w:rPr>
        <w:t>Incorporation by reference</w:t>
      </w:r>
    </w:p>
    <w:p w14:paraId="19B296B1" w14:textId="64EB7F62" w:rsidR="00D67C60" w:rsidRDefault="00D67C60" w:rsidP="00D67C60">
      <w:pPr>
        <w:pStyle w:val="li-bodytextparaa0"/>
        <w:spacing w:before="240" w:beforeAutospacing="0" w:after="0" w:afterAutospacing="0"/>
        <w:ind w:left="567" w:hanging="567"/>
        <w:rPr>
          <w:color w:val="000000"/>
        </w:rPr>
      </w:pPr>
      <w:r>
        <w:rPr>
          <w:color w:val="000000"/>
        </w:rPr>
        <w:t>11.</w:t>
      </w:r>
      <w:r>
        <w:rPr>
          <w:color w:val="000000"/>
        </w:rPr>
        <w:tab/>
      </w:r>
      <w:r w:rsidR="00A8766C">
        <w:rPr>
          <w:color w:val="000000"/>
        </w:rPr>
        <w:t>The Amending Instrument</w:t>
      </w:r>
      <w:r>
        <w:rPr>
          <w:color w:val="000000"/>
        </w:rPr>
        <w:t xml:space="preserve"> does not incorporate any matters by reference.</w:t>
      </w:r>
    </w:p>
    <w:p w14:paraId="734BC21D" w14:textId="77777777" w:rsidR="00D67C60" w:rsidRDefault="00D67C60" w:rsidP="00D67C60">
      <w:pPr>
        <w:pStyle w:val="li-bodytextparaa0"/>
        <w:spacing w:before="240" w:beforeAutospacing="0" w:after="0" w:afterAutospacing="0"/>
        <w:ind w:left="567" w:hanging="567"/>
        <w:rPr>
          <w:color w:val="000000"/>
        </w:rPr>
      </w:pPr>
      <w:r>
        <w:rPr>
          <w:b/>
          <w:bCs/>
          <w:color w:val="000000"/>
        </w:rPr>
        <w:t>Retrospective application</w:t>
      </w:r>
    </w:p>
    <w:p w14:paraId="3C62CD1E" w14:textId="3982B25C" w:rsidR="00D67C60" w:rsidRDefault="00D67C60" w:rsidP="00D67C60">
      <w:pPr>
        <w:pStyle w:val="li-bodytextparaa0"/>
        <w:spacing w:before="240" w:beforeAutospacing="0" w:after="0" w:afterAutospacing="0"/>
        <w:ind w:left="567" w:hanging="567"/>
        <w:rPr>
          <w:color w:val="000000"/>
        </w:rPr>
      </w:pPr>
      <w:r>
        <w:rPr>
          <w:color w:val="000000"/>
        </w:rPr>
        <w:t>1</w:t>
      </w:r>
      <w:r w:rsidR="00DE73C0">
        <w:rPr>
          <w:color w:val="000000"/>
        </w:rPr>
        <w:t>2</w:t>
      </w:r>
      <w:r>
        <w:rPr>
          <w:color w:val="000000"/>
        </w:rPr>
        <w:t>. </w:t>
      </w:r>
      <w:r w:rsidR="00DE73C0">
        <w:rPr>
          <w:color w:val="000000"/>
        </w:rPr>
        <w:tab/>
      </w:r>
      <w:r w:rsidR="00A8766C">
        <w:rPr>
          <w:color w:val="000000"/>
        </w:rPr>
        <w:t xml:space="preserve">The Amending Instrument </w:t>
      </w:r>
      <w:r>
        <w:rPr>
          <w:color w:val="000000"/>
        </w:rPr>
        <w:t>does not have retrospective application.</w:t>
      </w:r>
    </w:p>
    <w:p w14:paraId="57A93CEC" w14:textId="77777777" w:rsidR="00C52E7C" w:rsidRPr="006D6079" w:rsidRDefault="00C52E7C" w:rsidP="006D6079">
      <w:pPr>
        <w:pStyle w:val="LI-BodyTextParaa"/>
        <w:keepNext/>
        <w:ind w:left="567"/>
        <w:rPr>
          <w:b/>
          <w:bCs/>
        </w:rPr>
      </w:pPr>
      <w:r w:rsidRPr="006D6079">
        <w:rPr>
          <w:b/>
          <w:bCs/>
        </w:rPr>
        <w:t xml:space="preserve">Legislative instrument </w:t>
      </w:r>
      <w:r w:rsidR="00610709" w:rsidRPr="006D6079">
        <w:rPr>
          <w:b/>
          <w:bCs/>
        </w:rPr>
        <w:t xml:space="preserve">and </w:t>
      </w:r>
      <w:r w:rsidRPr="006D6079">
        <w:rPr>
          <w:b/>
          <w:bCs/>
        </w:rPr>
        <w:t xml:space="preserve">primary legislation  </w:t>
      </w:r>
    </w:p>
    <w:p w14:paraId="11395ADA" w14:textId="79AFD4E3" w:rsidR="006C04DB" w:rsidRDefault="00C52E7C" w:rsidP="006C04DB">
      <w:pPr>
        <w:pStyle w:val="li-bodytextparaa0"/>
        <w:spacing w:before="240" w:beforeAutospacing="0" w:after="0" w:afterAutospacing="0"/>
        <w:ind w:left="567" w:hanging="567"/>
        <w:rPr>
          <w:color w:val="000000"/>
        </w:rPr>
      </w:pPr>
      <w:r>
        <w:t>1</w:t>
      </w:r>
      <w:r w:rsidR="006C04DB">
        <w:t>3</w:t>
      </w:r>
      <w:r>
        <w:t>.</w:t>
      </w:r>
      <w:r>
        <w:tab/>
      </w:r>
      <w:r w:rsidR="006C04DB">
        <w:rPr>
          <w:color w:val="000000"/>
        </w:rPr>
        <w:t xml:space="preserve">The subject matter and policy implemented by </w:t>
      </w:r>
      <w:r w:rsidR="00C54F6B">
        <w:rPr>
          <w:color w:val="000000"/>
        </w:rPr>
        <w:t>the Amending</w:t>
      </w:r>
      <w:r w:rsidR="006C04DB">
        <w:rPr>
          <w:color w:val="000000"/>
        </w:rPr>
        <w:t xml:space="preserve"> </w:t>
      </w:r>
      <w:r w:rsidR="00C54F6B">
        <w:rPr>
          <w:color w:val="000000"/>
        </w:rPr>
        <w:t>I</w:t>
      </w:r>
      <w:r w:rsidR="006C04DB">
        <w:rPr>
          <w:color w:val="000000"/>
        </w:rPr>
        <w:t xml:space="preserve">nstrument </w:t>
      </w:r>
      <w:r w:rsidR="00C54F6B">
        <w:rPr>
          <w:color w:val="000000"/>
        </w:rPr>
        <w:t>are</w:t>
      </w:r>
      <w:r w:rsidR="006C04DB">
        <w:rPr>
          <w:color w:val="000000"/>
        </w:rPr>
        <w:t xml:space="preserve"> more appropriate for a legislative instrument rather than primary legislation because:</w:t>
      </w:r>
    </w:p>
    <w:p w14:paraId="605F2340" w14:textId="02FB7E9F" w:rsidR="006C04DB" w:rsidRPr="003405C9" w:rsidRDefault="006C04DB" w:rsidP="006C04DB">
      <w:pPr>
        <w:pStyle w:val="li-bodytextparaa0"/>
        <w:spacing w:before="240" w:beforeAutospacing="0" w:after="0" w:afterAutospacing="0"/>
        <w:ind w:left="1134" w:hanging="567"/>
        <w:rPr>
          <w:color w:val="000000"/>
        </w:rPr>
      </w:pPr>
      <w:r w:rsidRPr="003405C9">
        <w:rPr>
          <w:color w:val="000000"/>
        </w:rPr>
        <w:t>(a)  </w:t>
      </w:r>
      <w:r w:rsidR="00312CD3" w:rsidRPr="003405C9">
        <w:rPr>
          <w:color w:val="000000"/>
        </w:rPr>
        <w:tab/>
      </w:r>
      <w:r w:rsidR="00CB6236" w:rsidRPr="003405C9">
        <w:rPr>
          <w:color w:val="000000"/>
        </w:rPr>
        <w:t>t</w:t>
      </w:r>
      <w:r w:rsidRPr="003405C9">
        <w:rPr>
          <w:color w:val="000000"/>
        </w:rPr>
        <w:t xml:space="preserve">he interim changes </w:t>
      </w:r>
      <w:r w:rsidR="005F053B" w:rsidRPr="003405C9">
        <w:rPr>
          <w:color w:val="000000"/>
        </w:rPr>
        <w:t xml:space="preserve">in the Principal Instrument </w:t>
      </w:r>
      <w:r w:rsidRPr="003405C9">
        <w:rPr>
          <w:color w:val="000000"/>
        </w:rPr>
        <w:t xml:space="preserve">are based on a number of </w:t>
      </w:r>
      <w:r w:rsidR="006D4736">
        <w:rPr>
          <w:color w:val="000000"/>
        </w:rPr>
        <w:t>modificat</w:t>
      </w:r>
      <w:r w:rsidR="00022B13">
        <w:rPr>
          <w:color w:val="000000"/>
        </w:rPr>
        <w:t>i</w:t>
      </w:r>
      <w:r w:rsidR="006D4736">
        <w:rPr>
          <w:color w:val="000000"/>
        </w:rPr>
        <w:t>ons</w:t>
      </w:r>
      <w:r w:rsidR="006D4736" w:rsidRPr="003405C9">
        <w:rPr>
          <w:color w:val="000000"/>
        </w:rPr>
        <w:t xml:space="preserve"> </w:t>
      </w:r>
      <w:r w:rsidRPr="003405C9">
        <w:rPr>
          <w:color w:val="000000"/>
        </w:rPr>
        <w:t xml:space="preserve">to the primary law and regulations </w:t>
      </w:r>
      <w:r w:rsidR="007B3CCB">
        <w:rPr>
          <w:color w:val="000000"/>
        </w:rPr>
        <w:t xml:space="preserve">that </w:t>
      </w:r>
      <w:r w:rsidR="006D4736">
        <w:rPr>
          <w:color w:val="000000"/>
        </w:rPr>
        <w:t>are</w:t>
      </w:r>
      <w:r w:rsidR="009A3E11">
        <w:rPr>
          <w:color w:val="000000"/>
        </w:rPr>
        <w:t xml:space="preserve"> </w:t>
      </w:r>
      <w:r w:rsidRPr="003405C9">
        <w:rPr>
          <w:color w:val="000000"/>
        </w:rPr>
        <w:t xml:space="preserve">required to achieve </w:t>
      </w:r>
      <w:r w:rsidR="006D4736">
        <w:rPr>
          <w:color w:val="000000"/>
        </w:rPr>
        <w:t>the</w:t>
      </w:r>
      <w:r w:rsidR="006D4736" w:rsidRPr="003405C9">
        <w:rPr>
          <w:color w:val="000000"/>
        </w:rPr>
        <w:t xml:space="preserve"> </w:t>
      </w:r>
      <w:r w:rsidRPr="003405C9">
        <w:rPr>
          <w:color w:val="000000"/>
        </w:rPr>
        <w:t>intended operation of the DDO regime</w:t>
      </w:r>
      <w:r w:rsidR="00CB6236" w:rsidRPr="003405C9">
        <w:rPr>
          <w:color w:val="000000"/>
        </w:rPr>
        <w:t>; and</w:t>
      </w:r>
    </w:p>
    <w:p w14:paraId="3CD84815" w14:textId="5E8DC288" w:rsidR="006C04DB" w:rsidRDefault="006C04DB" w:rsidP="006C04DB">
      <w:pPr>
        <w:pStyle w:val="li-bodytextparaa0"/>
        <w:spacing w:before="240" w:beforeAutospacing="0" w:after="0" w:afterAutospacing="0"/>
        <w:ind w:left="1134" w:hanging="567"/>
        <w:rPr>
          <w:color w:val="000000"/>
        </w:rPr>
      </w:pPr>
      <w:r w:rsidRPr="003405C9">
        <w:rPr>
          <w:color w:val="000000"/>
        </w:rPr>
        <w:t>(b)  </w:t>
      </w:r>
      <w:r w:rsidR="00312CD3" w:rsidRPr="003405C9">
        <w:rPr>
          <w:color w:val="000000"/>
        </w:rPr>
        <w:tab/>
      </w:r>
      <w:r w:rsidR="00CB6236" w:rsidRPr="003405C9">
        <w:rPr>
          <w:color w:val="000000"/>
        </w:rPr>
        <w:t>t</w:t>
      </w:r>
      <w:r w:rsidR="00C54F6B" w:rsidRPr="003405C9">
        <w:rPr>
          <w:color w:val="000000"/>
        </w:rPr>
        <w:t>he Amending</w:t>
      </w:r>
      <w:r w:rsidRPr="003405C9">
        <w:rPr>
          <w:color w:val="000000"/>
        </w:rPr>
        <w:t xml:space="preserve"> </w:t>
      </w:r>
      <w:r w:rsidR="00C54F6B" w:rsidRPr="003405C9">
        <w:rPr>
          <w:color w:val="000000"/>
        </w:rPr>
        <w:t>I</w:t>
      </w:r>
      <w:r w:rsidRPr="003405C9">
        <w:rPr>
          <w:color w:val="000000"/>
        </w:rPr>
        <w:t xml:space="preserve">nstrument </w:t>
      </w:r>
      <w:r w:rsidR="00C54F6B" w:rsidRPr="003405C9">
        <w:rPr>
          <w:color w:val="000000"/>
        </w:rPr>
        <w:t>ensures the Principal Instrument operates as intended</w:t>
      </w:r>
      <w:r w:rsidRPr="003405C9">
        <w:rPr>
          <w:color w:val="000000"/>
        </w:rPr>
        <w:t>.</w:t>
      </w:r>
    </w:p>
    <w:p w14:paraId="505234CE" w14:textId="05DEA5CA" w:rsidR="006C04DB" w:rsidRDefault="006C04DB" w:rsidP="00C11C6A">
      <w:pPr>
        <w:pStyle w:val="LI-BodyTextParaa"/>
        <w:ind w:left="567"/>
        <w:rPr>
          <w:color w:val="000000"/>
        </w:rPr>
      </w:pPr>
      <w:r>
        <w:rPr>
          <w:color w:val="000000"/>
        </w:rPr>
        <w:t>17. </w:t>
      </w:r>
      <w:r w:rsidR="00312CD3">
        <w:rPr>
          <w:color w:val="000000"/>
        </w:rPr>
        <w:tab/>
      </w:r>
      <w:r>
        <w:rPr>
          <w:color w:val="000000"/>
        </w:rPr>
        <w:t>It will be a matter for the Government and for Parliament as to when the primary law or regulations may be amended in future to include the relief in the Principal Instrument.</w:t>
      </w:r>
    </w:p>
    <w:p w14:paraId="50EBD214" w14:textId="77777777" w:rsidR="005D1770" w:rsidRDefault="00F61A66" w:rsidP="00F61A66">
      <w:pPr>
        <w:pStyle w:val="LI-BodyTextParaa"/>
        <w:keepNext/>
        <w:ind w:left="567"/>
        <w:rPr>
          <w:u w:val="single"/>
        </w:rPr>
      </w:pPr>
      <w:r w:rsidRPr="006D6079">
        <w:rPr>
          <w:b/>
          <w:bCs/>
        </w:rPr>
        <w:t>Duration</w:t>
      </w:r>
      <w:r w:rsidR="009A2319" w:rsidRPr="006D6079">
        <w:rPr>
          <w:b/>
          <w:bCs/>
        </w:rPr>
        <w:t xml:space="preserve"> of the instrument</w:t>
      </w:r>
      <w:r>
        <w:rPr>
          <w:u w:val="single"/>
        </w:rPr>
        <w:t xml:space="preserve"> </w:t>
      </w:r>
    </w:p>
    <w:p w14:paraId="4178D930" w14:textId="7E22A1D2" w:rsidR="00822A2F" w:rsidRDefault="00822A2F" w:rsidP="00C11C6A">
      <w:pPr>
        <w:pStyle w:val="LI-BodyTextParaa"/>
        <w:ind w:left="567"/>
        <w:rPr>
          <w:i/>
          <w:iCs/>
        </w:rPr>
      </w:pPr>
      <w:r>
        <w:rPr>
          <w:color w:val="000000"/>
        </w:rPr>
        <w:t>18. </w:t>
      </w:r>
      <w:r>
        <w:rPr>
          <w:color w:val="000000"/>
        </w:rPr>
        <w:tab/>
      </w:r>
      <w:r w:rsidR="00A8766C">
        <w:rPr>
          <w:color w:val="000000"/>
        </w:rPr>
        <w:t xml:space="preserve">The Amending Instrument </w:t>
      </w:r>
      <w:r>
        <w:rPr>
          <w:color w:val="000000"/>
        </w:rPr>
        <w:t>will be repealed in accordance with Division 1 of Part 3 of Chapter 3 of the </w:t>
      </w:r>
      <w:r>
        <w:rPr>
          <w:i/>
          <w:iCs/>
          <w:color w:val="000000"/>
        </w:rPr>
        <w:t>Legislation Act 2003.</w:t>
      </w:r>
      <w:r w:rsidR="00933FAF">
        <w:rPr>
          <w:i/>
          <w:iCs/>
          <w:color w:val="000000"/>
        </w:rPr>
        <w:t xml:space="preserve"> </w:t>
      </w:r>
      <w:r w:rsidR="00933FAF" w:rsidRPr="00FC5358">
        <w:rPr>
          <w:color w:val="000000"/>
        </w:rPr>
        <w:t xml:space="preserve">The amendments made by the </w:t>
      </w:r>
      <w:r w:rsidR="00A8766C">
        <w:rPr>
          <w:color w:val="000000"/>
        </w:rPr>
        <w:t xml:space="preserve">Amending Instrument </w:t>
      </w:r>
      <w:r w:rsidR="00933FAF" w:rsidRPr="00FC5358">
        <w:rPr>
          <w:color w:val="000000"/>
        </w:rPr>
        <w:t xml:space="preserve">will have effect until the Primary Instrument is </w:t>
      </w:r>
      <w:r w:rsidR="00A8766C">
        <w:rPr>
          <w:color w:val="000000"/>
        </w:rPr>
        <w:t xml:space="preserve">repealed </w:t>
      </w:r>
      <w:r w:rsidR="00933FAF" w:rsidRPr="00FC5358">
        <w:rPr>
          <w:color w:val="000000"/>
        </w:rPr>
        <w:t>on 5 October 2028.</w:t>
      </w:r>
    </w:p>
    <w:bookmarkEnd w:id="0"/>
    <w:p w14:paraId="6E228E05" w14:textId="77777777" w:rsidR="00F03BB5" w:rsidRPr="00C11C6A" w:rsidRDefault="00474B52" w:rsidP="00C11C6A">
      <w:pPr>
        <w:pStyle w:val="LI-BodyTextParaa"/>
        <w:keepNext/>
        <w:ind w:left="567"/>
        <w:rPr>
          <w:b/>
          <w:bCs/>
        </w:rPr>
      </w:pPr>
      <w:r w:rsidRPr="00C11C6A">
        <w:rPr>
          <w:b/>
          <w:bCs/>
        </w:rPr>
        <w:t>Legislative authority</w:t>
      </w:r>
    </w:p>
    <w:p w14:paraId="72571161" w14:textId="084519EE" w:rsidR="00C11C6A" w:rsidRDefault="00863657" w:rsidP="00C11C6A">
      <w:pPr>
        <w:pStyle w:val="LI-BodyTextParaa"/>
        <w:ind w:left="567"/>
        <w:rPr>
          <w:color w:val="000000"/>
        </w:rPr>
      </w:pPr>
      <w:r w:rsidRPr="00C049B4">
        <w:rPr>
          <w:color w:val="000000"/>
        </w:rPr>
        <w:t>1</w:t>
      </w:r>
      <w:r w:rsidR="00C11C6A" w:rsidRPr="00C049B4">
        <w:rPr>
          <w:color w:val="000000"/>
        </w:rPr>
        <w:t>9</w:t>
      </w:r>
      <w:r w:rsidR="00F03BB5" w:rsidRPr="00C049B4">
        <w:rPr>
          <w:color w:val="000000"/>
        </w:rPr>
        <w:t>.</w:t>
      </w:r>
      <w:r w:rsidR="00F03BB5" w:rsidRPr="00C049B4">
        <w:rPr>
          <w:color w:val="000000"/>
        </w:rPr>
        <w:tab/>
      </w:r>
      <w:r w:rsidR="00A8766C">
        <w:rPr>
          <w:color w:val="000000"/>
        </w:rPr>
        <w:t xml:space="preserve">The Amending Instrument </w:t>
      </w:r>
      <w:r w:rsidR="00C11C6A">
        <w:rPr>
          <w:color w:val="000000"/>
        </w:rPr>
        <w:t>is made under subsection 994L(2) of the Act.</w:t>
      </w:r>
    </w:p>
    <w:p w14:paraId="11429912" w14:textId="5E006825" w:rsidR="00C11C6A" w:rsidRDefault="00C11C6A" w:rsidP="00C049B4">
      <w:pPr>
        <w:pStyle w:val="LI-BodyTextParaa"/>
        <w:ind w:left="567"/>
        <w:rPr>
          <w:color w:val="000000"/>
        </w:rPr>
      </w:pPr>
      <w:r>
        <w:rPr>
          <w:color w:val="000000"/>
        </w:rPr>
        <w:lastRenderedPageBreak/>
        <w:t>2</w:t>
      </w:r>
      <w:r w:rsidR="00C049B4">
        <w:rPr>
          <w:color w:val="000000"/>
        </w:rPr>
        <w:t>0</w:t>
      </w:r>
      <w:r>
        <w:rPr>
          <w:color w:val="000000"/>
        </w:rPr>
        <w:t>.  </w:t>
      </w:r>
      <w:r w:rsidR="00C049B4">
        <w:rPr>
          <w:color w:val="000000"/>
        </w:rPr>
        <w:tab/>
      </w:r>
      <w:r w:rsidR="00A8766C">
        <w:rPr>
          <w:color w:val="000000"/>
        </w:rPr>
        <w:t xml:space="preserve">The Amending Instrument </w:t>
      </w:r>
      <w:r>
        <w:rPr>
          <w:color w:val="000000"/>
        </w:rPr>
        <w:t>amends the </w:t>
      </w:r>
      <w:r w:rsidRPr="00C049B4">
        <w:rPr>
          <w:color w:val="000000"/>
        </w:rPr>
        <w:t>Principal Instrument</w:t>
      </w:r>
      <w:r>
        <w:rPr>
          <w:color w:val="000000"/>
        </w:rPr>
        <w:t>. Under subsection 33(3) of the </w:t>
      </w:r>
      <w:r w:rsidRPr="00C049B4">
        <w:rPr>
          <w:i/>
          <w:iCs/>
          <w:color w:val="000000"/>
        </w:rPr>
        <w:t>Acts Interpretation Act 1901</w:t>
      </w:r>
      <w:r>
        <w:rPr>
          <w:color w:val="000000"/>
        </w:rPr>
        <w:t>, where an Act confers a power to make any instrument, the power is to be construed as including a power exercisable in the like manner and subject to the like conditions (if any) to amend any such instrument.</w:t>
      </w:r>
    </w:p>
    <w:p w14:paraId="42F7117E" w14:textId="50A8457B" w:rsidR="00C11C6A" w:rsidRDefault="00C11C6A" w:rsidP="00C049B4">
      <w:pPr>
        <w:pStyle w:val="LI-BodyTextParaa"/>
        <w:ind w:left="567"/>
        <w:rPr>
          <w:color w:val="000000"/>
        </w:rPr>
      </w:pPr>
      <w:r>
        <w:rPr>
          <w:color w:val="000000"/>
        </w:rPr>
        <w:t>22. </w:t>
      </w:r>
      <w:r w:rsidR="00C049B4">
        <w:rPr>
          <w:color w:val="000000"/>
        </w:rPr>
        <w:tab/>
      </w:r>
      <w:r w:rsidR="00A8766C">
        <w:rPr>
          <w:color w:val="000000"/>
        </w:rPr>
        <w:t xml:space="preserve">The Amending Instrument </w:t>
      </w:r>
      <w:r>
        <w:rPr>
          <w:color w:val="000000"/>
        </w:rPr>
        <w:t>is a disallowable legislative instrument under the </w:t>
      </w:r>
      <w:r w:rsidRPr="00C049B4">
        <w:rPr>
          <w:i/>
          <w:iCs/>
          <w:color w:val="000000"/>
        </w:rPr>
        <w:t>Legislation Act 2003</w:t>
      </w:r>
      <w:r>
        <w:rPr>
          <w:color w:val="000000"/>
        </w:rPr>
        <w:t>.</w:t>
      </w:r>
    </w:p>
    <w:p w14:paraId="4D930F2D" w14:textId="77777777" w:rsidR="00EA17A6" w:rsidRPr="00EA17A6" w:rsidRDefault="00EA17A6" w:rsidP="006D6079">
      <w:pPr>
        <w:pStyle w:val="LI-BodyTextNumbered"/>
        <w:keepNext/>
        <w:ind w:left="0" w:firstLine="0"/>
        <w:rPr>
          <w:b/>
        </w:rPr>
      </w:pPr>
      <w:r w:rsidRPr="00EA17A6">
        <w:rPr>
          <w:b/>
        </w:rPr>
        <w:t xml:space="preserve">Statement of Compatibility with Human Rights  </w:t>
      </w:r>
    </w:p>
    <w:p w14:paraId="1DBA07BE" w14:textId="77777777" w:rsidR="00223DCF" w:rsidRPr="00EA17A6" w:rsidRDefault="00223DCF" w:rsidP="00435EEF">
      <w:pPr>
        <w:pStyle w:val="LI-BodyTextParaa"/>
        <w:ind w:left="567"/>
      </w:pPr>
      <w:r w:rsidRPr="00EA17A6">
        <w:t>1</w:t>
      </w:r>
      <w:r w:rsidR="006D6079">
        <w:t>9</w:t>
      </w:r>
      <w:r w:rsidRPr="00EA17A6">
        <w:t>.</w:t>
      </w:r>
      <w:r w:rsidRPr="00EA17A6">
        <w:tab/>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1" w:name="_Hlk534286677"/>
    </w:p>
    <w:p w14:paraId="0CD10E11"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2" w:name="_Hlk4054932"/>
      <w:r w:rsidRPr="00EA17A6">
        <w:rPr>
          <w:iCs/>
        </w:rPr>
        <w:t xml:space="preserve">the </w:t>
      </w:r>
      <w:r w:rsidRPr="00EA17A6">
        <w:rPr>
          <w:i/>
          <w:iCs/>
        </w:rPr>
        <w:t>Human Rights (Parliamentary Scrutiny) Act 2011</w:t>
      </w:r>
      <w:bookmarkEnd w:id="2"/>
      <w:r w:rsidRPr="00EA17A6">
        <w:rPr>
          <w:iCs/>
        </w:rPr>
        <w:t xml:space="preserve">.   </w:t>
      </w:r>
    </w:p>
    <w:p w14:paraId="4B154A7D" w14:textId="627E6B0E" w:rsidR="00223DCF" w:rsidRPr="00215017" w:rsidRDefault="00C049B4" w:rsidP="00223DCF">
      <w:pPr>
        <w:pStyle w:val="LI-BodyTextNumbered"/>
        <w:ind w:left="0" w:firstLine="0"/>
        <w:rPr>
          <w:b/>
          <w:bCs/>
          <w:i/>
        </w:rPr>
      </w:pPr>
      <w:r w:rsidRPr="00215017">
        <w:rPr>
          <w:b/>
          <w:bCs/>
          <w:i/>
          <w:iCs/>
        </w:rPr>
        <w:t>ASIC Corporations (Amendment) Instrument 202</w:t>
      </w:r>
      <w:r w:rsidRPr="00A8766C">
        <w:rPr>
          <w:b/>
          <w:bCs/>
          <w:i/>
          <w:iCs/>
        </w:rPr>
        <w:t>4/</w:t>
      </w:r>
      <w:r w:rsidR="00A8766C" w:rsidRPr="00660914">
        <w:rPr>
          <w:b/>
          <w:bCs/>
          <w:i/>
          <w:iCs/>
        </w:rPr>
        <w:t>146</w:t>
      </w:r>
    </w:p>
    <w:p w14:paraId="0AD76C9D" w14:textId="77777777" w:rsidR="00223DCF" w:rsidRPr="00EA17A6" w:rsidRDefault="00223DCF" w:rsidP="001872DC">
      <w:pPr>
        <w:pStyle w:val="LI-BodyTextNumbered"/>
        <w:ind w:left="567"/>
        <w:rPr>
          <w:u w:val="single"/>
        </w:rPr>
      </w:pPr>
      <w:r w:rsidRPr="00EA17A6">
        <w:rPr>
          <w:u w:val="single"/>
        </w:rPr>
        <w:t>Overview</w:t>
      </w:r>
    </w:p>
    <w:p w14:paraId="49B88163" w14:textId="0DC8FAAB" w:rsidR="00BB289F" w:rsidRDefault="00CB2D96" w:rsidP="00CB2D96">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r w:rsidR="00BB289F" w:rsidRPr="00BB289F">
        <w:rPr>
          <w:rFonts w:eastAsia="Times New Roman"/>
          <w:sz w:val="24"/>
          <w:szCs w:val="24"/>
          <w:lang w:eastAsia="en-AU"/>
        </w:rPr>
        <w:t>ASIC Corporations (Amendment) Instrument 202</w:t>
      </w:r>
      <w:r w:rsidR="00BB289F">
        <w:rPr>
          <w:rFonts w:eastAsia="Times New Roman"/>
          <w:sz w:val="24"/>
          <w:szCs w:val="24"/>
          <w:lang w:eastAsia="en-AU"/>
        </w:rPr>
        <w:t>4</w:t>
      </w:r>
      <w:r w:rsidR="00BB289F" w:rsidRPr="00A8766C">
        <w:rPr>
          <w:rFonts w:eastAsia="Times New Roman"/>
          <w:sz w:val="24"/>
          <w:szCs w:val="24"/>
          <w:lang w:eastAsia="en-AU"/>
        </w:rPr>
        <w:t>/</w:t>
      </w:r>
      <w:r w:rsidR="00A8766C" w:rsidRPr="00660914">
        <w:rPr>
          <w:rFonts w:eastAsia="Times New Roman"/>
          <w:sz w:val="24"/>
          <w:szCs w:val="24"/>
          <w:lang w:eastAsia="en-AU"/>
        </w:rPr>
        <w:t>146</w:t>
      </w:r>
      <w:r w:rsidR="00BB289F" w:rsidRPr="00BB289F">
        <w:rPr>
          <w:rFonts w:eastAsia="Times New Roman"/>
          <w:sz w:val="24"/>
          <w:szCs w:val="24"/>
          <w:lang w:eastAsia="en-AU"/>
        </w:rPr>
        <w:t xml:space="preserve"> (</w:t>
      </w:r>
      <w:r w:rsidR="00BB289F" w:rsidRPr="008A5340">
        <w:rPr>
          <w:rFonts w:eastAsia="Times New Roman"/>
          <w:b/>
          <w:bCs/>
          <w:sz w:val="24"/>
          <w:szCs w:val="24"/>
          <w:lang w:eastAsia="en-AU"/>
        </w:rPr>
        <w:t>Amend</w:t>
      </w:r>
      <w:r w:rsidR="00A8766C">
        <w:rPr>
          <w:rFonts w:eastAsia="Times New Roman"/>
          <w:b/>
          <w:bCs/>
          <w:sz w:val="24"/>
          <w:szCs w:val="24"/>
          <w:lang w:eastAsia="en-AU"/>
        </w:rPr>
        <w:t>ing</w:t>
      </w:r>
      <w:r w:rsidR="00BB289F" w:rsidRPr="008A5340">
        <w:rPr>
          <w:rFonts w:eastAsia="Times New Roman"/>
          <w:b/>
          <w:bCs/>
          <w:sz w:val="24"/>
          <w:szCs w:val="24"/>
          <w:lang w:eastAsia="en-AU"/>
        </w:rPr>
        <w:t xml:space="preserve"> Instrument</w:t>
      </w:r>
      <w:r w:rsidR="00BB289F" w:rsidRPr="00BB289F">
        <w:rPr>
          <w:rFonts w:eastAsia="Times New Roman"/>
          <w:sz w:val="24"/>
          <w:szCs w:val="24"/>
          <w:lang w:eastAsia="en-AU"/>
        </w:rPr>
        <w:t xml:space="preserve">) </w:t>
      </w:r>
      <w:r w:rsidR="002F0CAF">
        <w:rPr>
          <w:rFonts w:eastAsia="Times New Roman"/>
          <w:sz w:val="24"/>
          <w:szCs w:val="24"/>
          <w:lang w:eastAsia="en-AU"/>
        </w:rPr>
        <w:t>amends the</w:t>
      </w:r>
      <w:r w:rsidR="00BB289F" w:rsidRPr="00BB289F">
        <w:rPr>
          <w:rFonts w:eastAsia="Times New Roman"/>
          <w:sz w:val="24"/>
          <w:szCs w:val="24"/>
          <w:lang w:eastAsia="en-AU"/>
        </w:rPr>
        <w:t xml:space="preserve"> </w:t>
      </w:r>
      <w:r w:rsidR="00BB289F" w:rsidRPr="002F0CAF">
        <w:rPr>
          <w:rFonts w:eastAsia="Times New Roman"/>
          <w:i/>
          <w:iCs/>
          <w:sz w:val="24"/>
          <w:szCs w:val="24"/>
          <w:lang w:eastAsia="en-AU"/>
        </w:rPr>
        <w:t>ASIC Corporations (Design and Distribution Obligations Interim Measures) Instrument 2021/784</w:t>
      </w:r>
      <w:r w:rsidR="00BB289F" w:rsidRPr="00BB289F">
        <w:rPr>
          <w:rFonts w:eastAsia="Times New Roman"/>
          <w:sz w:val="24"/>
          <w:szCs w:val="24"/>
          <w:lang w:eastAsia="en-AU"/>
        </w:rPr>
        <w:t xml:space="preserve"> (</w:t>
      </w:r>
      <w:r w:rsidR="00BB289F" w:rsidRPr="002F0CAF">
        <w:rPr>
          <w:rFonts w:eastAsia="Times New Roman"/>
          <w:b/>
          <w:bCs/>
          <w:sz w:val="24"/>
          <w:szCs w:val="24"/>
          <w:lang w:eastAsia="en-AU"/>
        </w:rPr>
        <w:t>Principal Instrument</w:t>
      </w:r>
      <w:r w:rsidR="00BB289F" w:rsidRPr="00BB289F">
        <w:rPr>
          <w:rFonts w:eastAsia="Times New Roman"/>
          <w:sz w:val="24"/>
          <w:szCs w:val="24"/>
          <w:lang w:eastAsia="en-AU"/>
        </w:rPr>
        <w:t>)</w:t>
      </w:r>
      <w:r w:rsidR="002B7D09">
        <w:rPr>
          <w:rFonts w:eastAsia="Times New Roman"/>
          <w:sz w:val="24"/>
          <w:szCs w:val="24"/>
          <w:lang w:eastAsia="en-AU"/>
        </w:rPr>
        <w:t>,</w:t>
      </w:r>
      <w:r w:rsidR="00BB289F" w:rsidRPr="00BB289F">
        <w:rPr>
          <w:rFonts w:eastAsia="Times New Roman"/>
          <w:sz w:val="24"/>
          <w:szCs w:val="24"/>
          <w:lang w:eastAsia="en-AU"/>
        </w:rPr>
        <w:t xml:space="preserve"> which put in place interim measures to provide certainty on the application of the design and distribution obligations (</w:t>
      </w:r>
      <w:r w:rsidR="00BB289F" w:rsidRPr="002F0CAF">
        <w:rPr>
          <w:rFonts w:eastAsia="Times New Roman"/>
          <w:b/>
          <w:bCs/>
          <w:sz w:val="24"/>
          <w:szCs w:val="24"/>
          <w:lang w:eastAsia="en-AU"/>
        </w:rPr>
        <w:t>DDO</w:t>
      </w:r>
      <w:r w:rsidR="00BB289F" w:rsidRPr="00BB289F">
        <w:rPr>
          <w:rFonts w:eastAsia="Times New Roman"/>
          <w:sz w:val="24"/>
          <w:szCs w:val="24"/>
          <w:lang w:eastAsia="en-AU"/>
        </w:rPr>
        <w:t xml:space="preserve">) regime under Part 7.8A of the </w:t>
      </w:r>
      <w:r w:rsidR="00BB289F" w:rsidRPr="002F0CAF">
        <w:rPr>
          <w:rFonts w:eastAsia="Times New Roman"/>
          <w:i/>
          <w:iCs/>
          <w:sz w:val="24"/>
          <w:szCs w:val="24"/>
          <w:lang w:eastAsia="en-AU"/>
        </w:rPr>
        <w:t>Corporations Act 2001</w:t>
      </w:r>
      <w:r w:rsidR="00BB289F" w:rsidRPr="00BB289F">
        <w:rPr>
          <w:rFonts w:eastAsia="Times New Roman"/>
          <w:sz w:val="24"/>
          <w:szCs w:val="24"/>
          <w:lang w:eastAsia="en-AU"/>
        </w:rPr>
        <w:t xml:space="preserve"> (</w:t>
      </w:r>
      <w:r w:rsidR="00BB289F" w:rsidRPr="002F0CAF">
        <w:rPr>
          <w:rFonts w:eastAsia="Times New Roman"/>
          <w:b/>
          <w:bCs/>
          <w:sz w:val="24"/>
          <w:szCs w:val="24"/>
          <w:lang w:eastAsia="en-AU"/>
        </w:rPr>
        <w:t>Act</w:t>
      </w:r>
      <w:r w:rsidR="00BB289F" w:rsidRPr="00BB289F">
        <w:rPr>
          <w:rFonts w:eastAsia="Times New Roman"/>
          <w:sz w:val="24"/>
          <w:szCs w:val="24"/>
          <w:lang w:eastAsia="en-AU"/>
        </w:rPr>
        <w:t>)</w:t>
      </w:r>
      <w:r w:rsidR="007867F8">
        <w:rPr>
          <w:rFonts w:eastAsia="Times New Roman"/>
          <w:sz w:val="24"/>
          <w:szCs w:val="24"/>
          <w:lang w:eastAsia="en-AU"/>
        </w:rPr>
        <w:t>,</w:t>
      </w:r>
      <w:r w:rsidR="00BB289F" w:rsidRPr="00BB289F">
        <w:rPr>
          <w:rFonts w:eastAsia="Times New Roman"/>
          <w:sz w:val="24"/>
          <w:szCs w:val="24"/>
          <w:lang w:eastAsia="en-AU"/>
        </w:rPr>
        <w:t xml:space="preserve"> consistent with the publicly stated policy intention, using ASIC’s modification and exemption powers. The Amendment Instrument </w:t>
      </w:r>
      <w:r w:rsidR="00023719">
        <w:rPr>
          <w:rFonts w:eastAsia="Times New Roman"/>
          <w:sz w:val="24"/>
          <w:szCs w:val="24"/>
          <w:lang w:eastAsia="en-AU"/>
        </w:rPr>
        <w:t>ensures that the Principal Instrument reflects the policy intention</w:t>
      </w:r>
      <w:r w:rsidR="00242B8B">
        <w:rPr>
          <w:rFonts w:eastAsia="Times New Roman"/>
          <w:sz w:val="24"/>
          <w:szCs w:val="24"/>
          <w:lang w:eastAsia="en-AU"/>
        </w:rPr>
        <w:t xml:space="preserve"> and </w:t>
      </w:r>
      <w:r w:rsidR="00A84BAE">
        <w:rPr>
          <w:rFonts w:eastAsia="Times New Roman"/>
          <w:sz w:val="24"/>
          <w:szCs w:val="24"/>
          <w:lang w:eastAsia="en-AU"/>
        </w:rPr>
        <w:t>adopt recent changes to</w:t>
      </w:r>
      <w:r w:rsidR="00D0627F">
        <w:rPr>
          <w:rFonts w:eastAsia="Times New Roman"/>
          <w:sz w:val="24"/>
          <w:szCs w:val="24"/>
          <w:lang w:eastAsia="en-AU"/>
        </w:rPr>
        <w:t xml:space="preserve"> the</w:t>
      </w:r>
      <w:r w:rsidR="00A84BAE">
        <w:rPr>
          <w:rFonts w:eastAsia="Times New Roman"/>
          <w:sz w:val="24"/>
          <w:szCs w:val="24"/>
          <w:lang w:eastAsia="en-AU"/>
        </w:rPr>
        <w:t xml:space="preserve"> drafting style </w:t>
      </w:r>
      <w:r w:rsidR="00D0627F">
        <w:rPr>
          <w:rFonts w:eastAsia="Times New Roman"/>
          <w:sz w:val="24"/>
          <w:szCs w:val="24"/>
          <w:lang w:eastAsia="en-AU"/>
        </w:rPr>
        <w:t xml:space="preserve">of </w:t>
      </w:r>
      <w:r w:rsidR="00A84BAE">
        <w:rPr>
          <w:rFonts w:eastAsia="Times New Roman"/>
          <w:sz w:val="24"/>
          <w:szCs w:val="24"/>
          <w:lang w:eastAsia="en-AU"/>
        </w:rPr>
        <w:t>definitions in the Act</w:t>
      </w:r>
      <w:r w:rsidR="00BB289F" w:rsidRPr="00BB289F">
        <w:rPr>
          <w:rFonts w:eastAsia="Times New Roman"/>
          <w:sz w:val="24"/>
          <w:szCs w:val="24"/>
          <w:lang w:eastAsia="en-AU"/>
        </w:rPr>
        <w:t>.</w:t>
      </w:r>
    </w:p>
    <w:p w14:paraId="79BCB1A5" w14:textId="77777777" w:rsidR="001872DC" w:rsidRPr="00EA17A6" w:rsidRDefault="001872DC" w:rsidP="001872DC">
      <w:pPr>
        <w:pStyle w:val="LI-BodyTextNumbered"/>
        <w:ind w:left="567"/>
        <w:rPr>
          <w:u w:val="single"/>
        </w:rPr>
      </w:pPr>
      <w:bookmarkStart w:id="3" w:name="_Hlk534286807"/>
      <w:bookmarkEnd w:id="1"/>
      <w:r w:rsidRPr="00EA17A6">
        <w:rPr>
          <w:u w:val="single"/>
        </w:rPr>
        <w:t>Assessment of human rights implications</w:t>
      </w:r>
    </w:p>
    <w:p w14:paraId="55DC6264" w14:textId="322FD9C1" w:rsidR="00361135" w:rsidRDefault="00CB2D96" w:rsidP="00361135">
      <w:pPr>
        <w:pStyle w:val="li-bodytextnumbered0"/>
        <w:spacing w:before="240" w:beforeAutospacing="0" w:after="0" w:afterAutospacing="0"/>
        <w:ind w:left="567" w:hanging="567"/>
        <w:rPr>
          <w:color w:val="000000"/>
        </w:rPr>
      </w:pPr>
      <w:r w:rsidRPr="00EA17A6">
        <w:t>2</w:t>
      </w:r>
      <w:r w:rsidR="001872DC" w:rsidRPr="00EA17A6">
        <w:t>.</w:t>
      </w:r>
      <w:r w:rsidR="001872DC" w:rsidRPr="00EA17A6">
        <w:tab/>
      </w:r>
      <w:bookmarkEnd w:id="3"/>
      <w:r w:rsidR="00361135">
        <w:rPr>
          <w:color w:val="000000"/>
        </w:rPr>
        <w:t>The Amending Instrument is compatible with the human rights and freedoms recognised or declared in the international instruments listed in section 3 of the </w:t>
      </w:r>
      <w:r w:rsidR="00361135">
        <w:rPr>
          <w:i/>
          <w:iCs/>
          <w:color w:val="000000"/>
        </w:rPr>
        <w:t>Human Rights (Parliamentary Scrutiny) Act 2011</w:t>
      </w:r>
      <w:r w:rsidR="00361135">
        <w:rPr>
          <w:color w:val="000000"/>
        </w:rPr>
        <w:t>.</w:t>
      </w:r>
    </w:p>
    <w:p w14:paraId="02B78C7E" w14:textId="71904AE5" w:rsidR="00361135" w:rsidRDefault="00361135" w:rsidP="00361135">
      <w:pPr>
        <w:pStyle w:val="li-bodytextnumbered0"/>
        <w:spacing w:before="240" w:beforeAutospacing="0" w:after="0" w:afterAutospacing="0"/>
        <w:ind w:left="567" w:hanging="567"/>
        <w:rPr>
          <w:color w:val="000000"/>
        </w:rPr>
      </w:pPr>
      <w:r>
        <w:rPr>
          <w:color w:val="000000"/>
        </w:rPr>
        <w:t>3. </w:t>
      </w:r>
      <w:r>
        <w:rPr>
          <w:color w:val="000000"/>
        </w:rPr>
        <w:tab/>
        <w:t xml:space="preserve">The DDO </w:t>
      </w:r>
      <w:r w:rsidR="00972814">
        <w:rPr>
          <w:color w:val="000000"/>
        </w:rPr>
        <w:t>regime</w:t>
      </w:r>
      <w:r>
        <w:rPr>
          <w:color w:val="000000"/>
        </w:rPr>
        <w:t> was introduced by </w:t>
      </w:r>
      <w:r>
        <w:rPr>
          <w:i/>
          <w:iCs/>
          <w:color w:val="000000"/>
          <w:shd w:val="clear" w:color="auto" w:fill="FFFFFF"/>
        </w:rPr>
        <w:t>Treasury Laws Amendment (Design</w:t>
      </w:r>
      <w:r>
        <w:rPr>
          <w:color w:val="000000"/>
        </w:rPr>
        <w:t> Act,</w:t>
      </w:r>
      <w:r>
        <w:rPr>
          <w:i/>
          <w:iCs/>
          <w:color w:val="000000"/>
          <w:shd w:val="clear" w:color="auto" w:fill="FFFFFF"/>
        </w:rPr>
        <w:t> and Distribution Obligations and Product Intervention Powers) Act 2019 </w:t>
      </w:r>
      <w:r>
        <w:rPr>
          <w:color w:val="000000"/>
          <w:shd w:val="clear" w:color="auto" w:fill="FFFFFF"/>
        </w:rPr>
        <w:t>(</w:t>
      </w:r>
      <w:r>
        <w:rPr>
          <w:b/>
          <w:bCs/>
          <w:i/>
          <w:iCs/>
          <w:color w:val="000000"/>
          <w:shd w:val="clear" w:color="auto" w:fill="FFFFFF"/>
        </w:rPr>
        <w:t>DDO</w:t>
      </w:r>
      <w:r>
        <w:rPr>
          <w:i/>
          <w:iCs/>
          <w:color w:val="000000"/>
          <w:shd w:val="clear" w:color="auto" w:fill="FFFFFF"/>
        </w:rPr>
        <w:t> </w:t>
      </w:r>
      <w:r w:rsidR="00B40073">
        <w:rPr>
          <w:b/>
          <w:bCs/>
          <w:i/>
          <w:iCs/>
          <w:color w:val="000000"/>
          <w:shd w:val="clear" w:color="auto" w:fill="FFFFFF"/>
        </w:rPr>
        <w:t>Act</w:t>
      </w:r>
      <w:r w:rsidRPr="00B40073">
        <w:rPr>
          <w:color w:val="000000"/>
          <w:shd w:val="clear" w:color="auto" w:fill="FFFFFF"/>
        </w:rPr>
        <w:t>)</w:t>
      </w:r>
      <w:r>
        <w:rPr>
          <w:b/>
          <w:bCs/>
          <w:color w:val="000000"/>
          <w:shd w:val="clear" w:color="auto" w:fill="FFFFFF"/>
        </w:rPr>
        <w:t> </w:t>
      </w:r>
      <w:r>
        <w:rPr>
          <w:color w:val="000000"/>
          <w:shd w:val="clear" w:color="auto" w:fill="FFFFFF"/>
        </w:rPr>
        <w:t>and amended by the</w:t>
      </w:r>
      <w:r w:rsidR="00B40073">
        <w:rPr>
          <w:i/>
          <w:iCs/>
          <w:color w:val="000000"/>
          <w:shd w:val="clear" w:color="auto" w:fill="FFFFFF"/>
        </w:rPr>
        <w:t xml:space="preserve"> </w:t>
      </w:r>
      <w:r>
        <w:rPr>
          <w:i/>
          <w:iCs/>
          <w:color w:val="000000"/>
          <w:shd w:val="clear" w:color="auto" w:fill="FFFFFF"/>
        </w:rPr>
        <w:t>Corporations Amendment (Design and Distribution Obligations) Regulations 2019 </w:t>
      </w:r>
      <w:r>
        <w:rPr>
          <w:color w:val="000000"/>
          <w:shd w:val="clear" w:color="auto" w:fill="FFFFFF"/>
        </w:rPr>
        <w:t>(</w:t>
      </w:r>
      <w:r>
        <w:rPr>
          <w:b/>
          <w:bCs/>
          <w:i/>
          <w:iCs/>
          <w:color w:val="000000"/>
          <w:shd w:val="clear" w:color="auto" w:fill="FFFFFF"/>
        </w:rPr>
        <w:t>DDO Regulations</w:t>
      </w:r>
      <w:r>
        <w:rPr>
          <w:color w:val="000000"/>
          <w:shd w:val="clear" w:color="auto" w:fill="FFFFFF"/>
        </w:rPr>
        <w:t xml:space="preserve">). As explained and discussed in the explanatory materials to the DDO </w:t>
      </w:r>
      <w:r w:rsidR="00B40073">
        <w:rPr>
          <w:color w:val="000000"/>
          <w:shd w:val="clear" w:color="auto" w:fill="FFFFFF"/>
        </w:rPr>
        <w:t>Act</w:t>
      </w:r>
      <w:r>
        <w:rPr>
          <w:color w:val="000000"/>
          <w:shd w:val="clear" w:color="auto" w:fill="FFFFFF"/>
        </w:rPr>
        <w:t xml:space="preserve"> and the DDO Regulations, the DDO </w:t>
      </w:r>
      <w:r w:rsidR="00972814">
        <w:rPr>
          <w:color w:val="000000"/>
          <w:shd w:val="clear" w:color="auto" w:fill="FFFFFF"/>
        </w:rPr>
        <w:t>regime</w:t>
      </w:r>
      <w:r>
        <w:rPr>
          <w:color w:val="000000"/>
        </w:rPr>
        <w:t> potentially engages the following human rights:</w:t>
      </w:r>
    </w:p>
    <w:p w14:paraId="56958268" w14:textId="77777777" w:rsidR="00361135" w:rsidRDefault="00361135" w:rsidP="00361135">
      <w:pPr>
        <w:pStyle w:val="li-bodytextnumbered0"/>
        <w:spacing w:before="240" w:beforeAutospacing="0" w:after="0" w:afterAutospacing="0"/>
        <w:ind w:left="1080" w:hanging="360"/>
        <w:rPr>
          <w:color w:val="000000"/>
        </w:rPr>
      </w:pPr>
      <w:r>
        <w:rPr>
          <w:color w:val="000000"/>
        </w:rPr>
        <w:t>(a)</w:t>
      </w:r>
      <w:r>
        <w:rPr>
          <w:color w:val="000000"/>
          <w:sz w:val="14"/>
          <w:szCs w:val="14"/>
        </w:rPr>
        <w:t>   </w:t>
      </w:r>
      <w:r>
        <w:rPr>
          <w:color w:val="000000"/>
        </w:rPr>
        <w:t>the right to the presumption of innocence; and</w:t>
      </w:r>
    </w:p>
    <w:p w14:paraId="40B8B84F" w14:textId="77777777" w:rsidR="00361135" w:rsidRDefault="00361135" w:rsidP="00361135">
      <w:pPr>
        <w:pStyle w:val="li-bodytextnumbered0"/>
        <w:spacing w:before="240" w:beforeAutospacing="0" w:after="0" w:afterAutospacing="0"/>
        <w:ind w:left="1080" w:hanging="360"/>
        <w:rPr>
          <w:color w:val="000000"/>
        </w:rPr>
      </w:pPr>
      <w:r>
        <w:rPr>
          <w:color w:val="000000"/>
        </w:rPr>
        <w:t>(b)</w:t>
      </w:r>
      <w:r>
        <w:rPr>
          <w:color w:val="000000"/>
          <w:sz w:val="14"/>
          <w:szCs w:val="14"/>
        </w:rPr>
        <w:t>   </w:t>
      </w:r>
      <w:r>
        <w:rPr>
          <w:color w:val="000000"/>
        </w:rPr>
        <w:t>the right to privacy.</w:t>
      </w:r>
    </w:p>
    <w:p w14:paraId="09838818" w14:textId="67F66199" w:rsidR="00361135" w:rsidRDefault="00361135" w:rsidP="00361135">
      <w:pPr>
        <w:pStyle w:val="li-bodytextnumbered0"/>
        <w:spacing w:before="240" w:beforeAutospacing="0" w:after="0" w:afterAutospacing="0"/>
        <w:ind w:left="567" w:hanging="567"/>
        <w:rPr>
          <w:color w:val="000000"/>
        </w:rPr>
      </w:pPr>
      <w:r>
        <w:rPr>
          <w:color w:val="000000"/>
        </w:rPr>
        <w:t>4. </w:t>
      </w:r>
      <w:r w:rsidR="00972814">
        <w:rPr>
          <w:color w:val="000000"/>
        </w:rPr>
        <w:tab/>
      </w:r>
      <w:r>
        <w:rPr>
          <w:color w:val="000000"/>
        </w:rPr>
        <w:t>The effect of the </w:t>
      </w:r>
      <w:r w:rsidR="00972814">
        <w:rPr>
          <w:color w:val="000000"/>
        </w:rPr>
        <w:t>Amending Instrument</w:t>
      </w:r>
      <w:r>
        <w:rPr>
          <w:color w:val="000000"/>
        </w:rPr>
        <w:t xml:space="preserve"> is to </w:t>
      </w:r>
      <w:r w:rsidR="00D26A6C">
        <w:rPr>
          <w:color w:val="000000"/>
        </w:rPr>
        <w:t xml:space="preserve">ensure exemptions from the DDO regime provided by the Principal Instrument are operating as intended. </w:t>
      </w:r>
      <w:r>
        <w:rPr>
          <w:color w:val="000000"/>
        </w:rPr>
        <w:t xml:space="preserve"> To the extent that there may be any engagement with the above human</w:t>
      </w:r>
      <w:r w:rsidR="00D26A6C">
        <w:rPr>
          <w:color w:val="000000"/>
        </w:rPr>
        <w:t xml:space="preserve"> </w:t>
      </w:r>
      <w:r>
        <w:rPr>
          <w:color w:val="000000"/>
        </w:rPr>
        <w:t>rights, the </w:t>
      </w:r>
      <w:r w:rsidR="00D26A6C">
        <w:rPr>
          <w:color w:val="000000"/>
        </w:rPr>
        <w:t>Amending Instrument</w:t>
      </w:r>
      <w:r>
        <w:rPr>
          <w:color w:val="000000"/>
        </w:rPr>
        <w:t> will be protective of those rights, and as a result, </w:t>
      </w:r>
      <w:r w:rsidR="00D26A6C">
        <w:rPr>
          <w:color w:val="000000"/>
        </w:rPr>
        <w:t>is</w:t>
      </w:r>
      <w:r>
        <w:rPr>
          <w:color w:val="000000"/>
        </w:rPr>
        <w:t> compatible with the human rights and freedoms.</w:t>
      </w:r>
    </w:p>
    <w:p w14:paraId="05FFF3B4" w14:textId="77777777" w:rsidR="00CB2D96" w:rsidRPr="00EA17A6" w:rsidRDefault="00CB2D96" w:rsidP="00D26A6C">
      <w:pPr>
        <w:pStyle w:val="LI-BodyTextNumbered"/>
        <w:keepNext/>
        <w:ind w:left="567"/>
        <w:rPr>
          <w:u w:val="single"/>
        </w:rPr>
      </w:pPr>
      <w:r w:rsidRPr="00EA17A6">
        <w:rPr>
          <w:u w:val="single"/>
        </w:rPr>
        <w:lastRenderedPageBreak/>
        <w:t>Conclusion</w:t>
      </w:r>
    </w:p>
    <w:p w14:paraId="4734FE48" w14:textId="148B2986" w:rsidR="00CB2D96" w:rsidRPr="00EA17A6" w:rsidRDefault="00DB5631" w:rsidP="00CB2D96">
      <w:pPr>
        <w:pStyle w:val="LI-BodyTextNumbered"/>
        <w:ind w:left="567"/>
      </w:pPr>
      <w:r>
        <w:t>5</w:t>
      </w:r>
      <w:r w:rsidR="00CB2D96" w:rsidRPr="00EA17A6">
        <w:t>.</w:t>
      </w:r>
      <w:r w:rsidR="00CB2D96" w:rsidRPr="00EA17A6">
        <w:tab/>
        <w:t xml:space="preserve">This instrument is 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CB2D96" w:rsidRPr="00EA17A6">
        <w:t>.</w:t>
      </w:r>
    </w:p>
    <w:p w14:paraId="570BEB58" w14:textId="77777777" w:rsidR="00CB2D96" w:rsidRPr="00EA17A6" w:rsidRDefault="00CB2D96" w:rsidP="00D306F8">
      <w:pPr>
        <w:pStyle w:val="LI-BodyTextNumbered"/>
        <w:ind w:left="567"/>
      </w:pPr>
    </w:p>
    <w:sectPr w:rsidR="00CB2D96" w:rsidRPr="00EA17A6" w:rsidSect="00863657">
      <w:headerReference w:type="even" r:id="rId18"/>
      <w:headerReference w:type="default" r:id="rId19"/>
      <w:footerReference w:type="default" r:id="rId20"/>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8F3A" w14:textId="77777777" w:rsidR="0048710C" w:rsidRDefault="0048710C" w:rsidP="00715914">
      <w:pPr>
        <w:spacing w:line="240" w:lineRule="auto"/>
      </w:pPr>
      <w:r>
        <w:separator/>
      </w:r>
    </w:p>
  </w:endnote>
  <w:endnote w:type="continuationSeparator" w:id="0">
    <w:p w14:paraId="248D70F5" w14:textId="77777777" w:rsidR="0048710C" w:rsidRDefault="0048710C" w:rsidP="00715914">
      <w:pPr>
        <w:spacing w:line="240" w:lineRule="auto"/>
      </w:pPr>
      <w:r>
        <w:continuationSeparator/>
      </w:r>
    </w:p>
  </w:endnote>
  <w:endnote w:type="continuationNotice" w:id="1">
    <w:p w14:paraId="045186E8" w14:textId="77777777" w:rsidR="0048710C" w:rsidRDefault="004871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A700" w14:textId="77777777" w:rsidR="0048710C" w:rsidRDefault="0048710C" w:rsidP="00715914">
      <w:pPr>
        <w:spacing w:line="240" w:lineRule="auto"/>
      </w:pPr>
      <w:r>
        <w:separator/>
      </w:r>
    </w:p>
  </w:footnote>
  <w:footnote w:type="continuationSeparator" w:id="0">
    <w:p w14:paraId="5CE62E67" w14:textId="77777777" w:rsidR="0048710C" w:rsidRDefault="0048710C" w:rsidP="00715914">
      <w:pPr>
        <w:spacing w:line="240" w:lineRule="auto"/>
      </w:pPr>
      <w:r>
        <w:continuationSeparator/>
      </w:r>
    </w:p>
  </w:footnote>
  <w:footnote w:type="continuationNotice" w:id="1">
    <w:p w14:paraId="5C10FF8F" w14:textId="77777777" w:rsidR="0048710C" w:rsidRDefault="004871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shd w:val="clear" w:color="auto" w:fill="auto"/>
        </w:tcPr>
        <w:p w14:paraId="4D19EF3A" w14:textId="77777777" w:rsidR="00F4215A" w:rsidRDefault="00F4215A" w:rsidP="00E40FF8">
          <w:pPr>
            <w:pStyle w:val="LI-Header"/>
            <w:pBdr>
              <w:bottom w:val="none" w:sz="0" w:space="0" w:color="auto"/>
            </w:pBdr>
            <w:jc w:val="left"/>
          </w:pPr>
        </w:p>
      </w:tc>
      <w:tc>
        <w:tcPr>
          <w:tcW w:w="4060" w:type="dxa"/>
          <w:shd w:val="clear" w:color="auto" w:fill="auto"/>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12"/>
  </w:num>
  <w:num w:numId="12" w16cid:durableId="1380130046">
    <w:abstractNumId w:val="10"/>
  </w:num>
  <w:num w:numId="13" w16cid:durableId="1614940614">
    <w:abstractNumId w:val="11"/>
  </w:num>
  <w:num w:numId="14" w16cid:durableId="1573616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1BE"/>
    <w:rsid w:val="000136AF"/>
    <w:rsid w:val="00013B8D"/>
    <w:rsid w:val="00015719"/>
    <w:rsid w:val="00022B13"/>
    <w:rsid w:val="00023719"/>
    <w:rsid w:val="00023D53"/>
    <w:rsid w:val="000437C1"/>
    <w:rsid w:val="000511AF"/>
    <w:rsid w:val="0005365D"/>
    <w:rsid w:val="00054EAF"/>
    <w:rsid w:val="00056358"/>
    <w:rsid w:val="000614BF"/>
    <w:rsid w:val="0006250C"/>
    <w:rsid w:val="000679A6"/>
    <w:rsid w:val="00077D28"/>
    <w:rsid w:val="00081794"/>
    <w:rsid w:val="00084FF4"/>
    <w:rsid w:val="000A142F"/>
    <w:rsid w:val="000A16FC"/>
    <w:rsid w:val="000A6C39"/>
    <w:rsid w:val="000B58FA"/>
    <w:rsid w:val="000C55A0"/>
    <w:rsid w:val="000D041F"/>
    <w:rsid w:val="000D05EF"/>
    <w:rsid w:val="000E2261"/>
    <w:rsid w:val="000E3C2E"/>
    <w:rsid w:val="000F21C1"/>
    <w:rsid w:val="000F3C77"/>
    <w:rsid w:val="00102CA6"/>
    <w:rsid w:val="0010745C"/>
    <w:rsid w:val="00115A02"/>
    <w:rsid w:val="00116FCA"/>
    <w:rsid w:val="00125141"/>
    <w:rsid w:val="00132CEB"/>
    <w:rsid w:val="001410DD"/>
    <w:rsid w:val="00142B62"/>
    <w:rsid w:val="0014648F"/>
    <w:rsid w:val="00153B32"/>
    <w:rsid w:val="00157B8B"/>
    <w:rsid w:val="001624E1"/>
    <w:rsid w:val="001654AB"/>
    <w:rsid w:val="00166C2F"/>
    <w:rsid w:val="00171A6E"/>
    <w:rsid w:val="0017789C"/>
    <w:rsid w:val="001809D7"/>
    <w:rsid w:val="001859BD"/>
    <w:rsid w:val="001863C3"/>
    <w:rsid w:val="0018659E"/>
    <w:rsid w:val="001872DC"/>
    <w:rsid w:val="001939E1"/>
    <w:rsid w:val="00194C3E"/>
    <w:rsid w:val="00195382"/>
    <w:rsid w:val="00195BD4"/>
    <w:rsid w:val="001B643D"/>
    <w:rsid w:val="001C247D"/>
    <w:rsid w:val="001C61C5"/>
    <w:rsid w:val="001C69C4"/>
    <w:rsid w:val="001D37EF"/>
    <w:rsid w:val="001E01D4"/>
    <w:rsid w:val="001E2424"/>
    <w:rsid w:val="001E3590"/>
    <w:rsid w:val="001E7407"/>
    <w:rsid w:val="001E77ED"/>
    <w:rsid w:val="001E7E2B"/>
    <w:rsid w:val="001F012F"/>
    <w:rsid w:val="001F02B1"/>
    <w:rsid w:val="001F1D89"/>
    <w:rsid w:val="001F1D91"/>
    <w:rsid w:val="001F32BD"/>
    <w:rsid w:val="001F3CAC"/>
    <w:rsid w:val="001F5D5E"/>
    <w:rsid w:val="001F6219"/>
    <w:rsid w:val="001F63D3"/>
    <w:rsid w:val="001F6CD4"/>
    <w:rsid w:val="00206C4D"/>
    <w:rsid w:val="0021053C"/>
    <w:rsid w:val="00215017"/>
    <w:rsid w:val="00215AF1"/>
    <w:rsid w:val="002164B8"/>
    <w:rsid w:val="00217DC0"/>
    <w:rsid w:val="0022087F"/>
    <w:rsid w:val="00220A36"/>
    <w:rsid w:val="00223DCF"/>
    <w:rsid w:val="00224A66"/>
    <w:rsid w:val="00227C3A"/>
    <w:rsid w:val="002321E8"/>
    <w:rsid w:val="00236EEC"/>
    <w:rsid w:val="0024010F"/>
    <w:rsid w:val="00240749"/>
    <w:rsid w:val="00242B8B"/>
    <w:rsid w:val="00243018"/>
    <w:rsid w:val="00243EC0"/>
    <w:rsid w:val="00244742"/>
    <w:rsid w:val="002564A4"/>
    <w:rsid w:val="002628DA"/>
    <w:rsid w:val="00262B27"/>
    <w:rsid w:val="0026736C"/>
    <w:rsid w:val="00276D3C"/>
    <w:rsid w:val="00281308"/>
    <w:rsid w:val="00281813"/>
    <w:rsid w:val="00284719"/>
    <w:rsid w:val="00297ECB"/>
    <w:rsid w:val="002A7328"/>
    <w:rsid w:val="002A7BCF"/>
    <w:rsid w:val="002B142F"/>
    <w:rsid w:val="002B19F3"/>
    <w:rsid w:val="002B1A91"/>
    <w:rsid w:val="002B4A0D"/>
    <w:rsid w:val="002B7D09"/>
    <w:rsid w:val="002C224E"/>
    <w:rsid w:val="002C4322"/>
    <w:rsid w:val="002C7B6F"/>
    <w:rsid w:val="002C7E38"/>
    <w:rsid w:val="002D043A"/>
    <w:rsid w:val="002D6224"/>
    <w:rsid w:val="002E3F4B"/>
    <w:rsid w:val="002F041F"/>
    <w:rsid w:val="002F0CAF"/>
    <w:rsid w:val="002F6392"/>
    <w:rsid w:val="00304F8B"/>
    <w:rsid w:val="00312CD3"/>
    <w:rsid w:val="00313998"/>
    <w:rsid w:val="00327DDF"/>
    <w:rsid w:val="003354D2"/>
    <w:rsid w:val="00335BC6"/>
    <w:rsid w:val="003405C9"/>
    <w:rsid w:val="003415D3"/>
    <w:rsid w:val="00344588"/>
    <w:rsid w:val="00344701"/>
    <w:rsid w:val="003528DA"/>
    <w:rsid w:val="00352B0F"/>
    <w:rsid w:val="00356690"/>
    <w:rsid w:val="00357DD0"/>
    <w:rsid w:val="00360459"/>
    <w:rsid w:val="00361135"/>
    <w:rsid w:val="00365497"/>
    <w:rsid w:val="0037175A"/>
    <w:rsid w:val="00371873"/>
    <w:rsid w:val="00373AE1"/>
    <w:rsid w:val="003866A3"/>
    <w:rsid w:val="00387A96"/>
    <w:rsid w:val="003A2178"/>
    <w:rsid w:val="003A2A48"/>
    <w:rsid w:val="003A5150"/>
    <w:rsid w:val="003B28C3"/>
    <w:rsid w:val="003B732F"/>
    <w:rsid w:val="003C6231"/>
    <w:rsid w:val="003D0BFE"/>
    <w:rsid w:val="003D5700"/>
    <w:rsid w:val="003E0F99"/>
    <w:rsid w:val="003E341B"/>
    <w:rsid w:val="003F2D3C"/>
    <w:rsid w:val="003F3EFD"/>
    <w:rsid w:val="0040053F"/>
    <w:rsid w:val="004116CD"/>
    <w:rsid w:val="004144EC"/>
    <w:rsid w:val="00417EB9"/>
    <w:rsid w:val="00424CA9"/>
    <w:rsid w:val="0042558E"/>
    <w:rsid w:val="00426EC7"/>
    <w:rsid w:val="00431E9B"/>
    <w:rsid w:val="00434382"/>
    <w:rsid w:val="00435EEF"/>
    <w:rsid w:val="004379E3"/>
    <w:rsid w:val="0044015E"/>
    <w:rsid w:val="0044291A"/>
    <w:rsid w:val="00444ABD"/>
    <w:rsid w:val="00447DB4"/>
    <w:rsid w:val="0045007F"/>
    <w:rsid w:val="0045346A"/>
    <w:rsid w:val="00456394"/>
    <w:rsid w:val="00460F1D"/>
    <w:rsid w:val="00465DC1"/>
    <w:rsid w:val="00467661"/>
    <w:rsid w:val="004705B7"/>
    <w:rsid w:val="00472DBE"/>
    <w:rsid w:val="00474A19"/>
    <w:rsid w:val="00474B52"/>
    <w:rsid w:val="00481C24"/>
    <w:rsid w:val="00481F6A"/>
    <w:rsid w:val="004823C0"/>
    <w:rsid w:val="0048276B"/>
    <w:rsid w:val="0048710C"/>
    <w:rsid w:val="00495D4D"/>
    <w:rsid w:val="00496B5F"/>
    <w:rsid w:val="00496F97"/>
    <w:rsid w:val="004A44FC"/>
    <w:rsid w:val="004B5B44"/>
    <w:rsid w:val="004B63CC"/>
    <w:rsid w:val="004C1CB1"/>
    <w:rsid w:val="004D7E7F"/>
    <w:rsid w:val="004E063A"/>
    <w:rsid w:val="004E7BEC"/>
    <w:rsid w:val="0050044F"/>
    <w:rsid w:val="00505D3D"/>
    <w:rsid w:val="00506AF6"/>
    <w:rsid w:val="00507335"/>
    <w:rsid w:val="00516B8D"/>
    <w:rsid w:val="00516C27"/>
    <w:rsid w:val="00517E56"/>
    <w:rsid w:val="00532049"/>
    <w:rsid w:val="005356A7"/>
    <w:rsid w:val="00536184"/>
    <w:rsid w:val="00536F64"/>
    <w:rsid w:val="00537FBC"/>
    <w:rsid w:val="005553E5"/>
    <w:rsid w:val="005574D1"/>
    <w:rsid w:val="005614A5"/>
    <w:rsid w:val="00561ABB"/>
    <w:rsid w:val="00561E72"/>
    <w:rsid w:val="005657FE"/>
    <w:rsid w:val="00572BB1"/>
    <w:rsid w:val="0057670F"/>
    <w:rsid w:val="00584811"/>
    <w:rsid w:val="00585784"/>
    <w:rsid w:val="005857F0"/>
    <w:rsid w:val="00593AA6"/>
    <w:rsid w:val="00594161"/>
    <w:rsid w:val="00594749"/>
    <w:rsid w:val="005B4067"/>
    <w:rsid w:val="005B4466"/>
    <w:rsid w:val="005B5BC6"/>
    <w:rsid w:val="005B5FF2"/>
    <w:rsid w:val="005B780C"/>
    <w:rsid w:val="005C3F41"/>
    <w:rsid w:val="005D0489"/>
    <w:rsid w:val="005D1770"/>
    <w:rsid w:val="005D1FEA"/>
    <w:rsid w:val="005D2D09"/>
    <w:rsid w:val="005D3D41"/>
    <w:rsid w:val="005E1404"/>
    <w:rsid w:val="005E4810"/>
    <w:rsid w:val="005F053B"/>
    <w:rsid w:val="005F1DB6"/>
    <w:rsid w:val="005F4140"/>
    <w:rsid w:val="005F65CD"/>
    <w:rsid w:val="00600219"/>
    <w:rsid w:val="00601955"/>
    <w:rsid w:val="00603DC4"/>
    <w:rsid w:val="00605CAC"/>
    <w:rsid w:val="00607A71"/>
    <w:rsid w:val="00610709"/>
    <w:rsid w:val="006117CB"/>
    <w:rsid w:val="00620076"/>
    <w:rsid w:val="00634044"/>
    <w:rsid w:val="00640161"/>
    <w:rsid w:val="00652769"/>
    <w:rsid w:val="0065527C"/>
    <w:rsid w:val="0065542F"/>
    <w:rsid w:val="006554FF"/>
    <w:rsid w:val="0065663D"/>
    <w:rsid w:val="00660914"/>
    <w:rsid w:val="0067060F"/>
    <w:rsid w:val="00670752"/>
    <w:rsid w:val="00670EA1"/>
    <w:rsid w:val="00673313"/>
    <w:rsid w:val="00677CC2"/>
    <w:rsid w:val="006905DE"/>
    <w:rsid w:val="0069207B"/>
    <w:rsid w:val="00693F29"/>
    <w:rsid w:val="006A18B6"/>
    <w:rsid w:val="006B5789"/>
    <w:rsid w:val="006C04DB"/>
    <w:rsid w:val="006C30C5"/>
    <w:rsid w:val="006C48FA"/>
    <w:rsid w:val="006C68D6"/>
    <w:rsid w:val="006C7F8C"/>
    <w:rsid w:val="006D4736"/>
    <w:rsid w:val="006D6079"/>
    <w:rsid w:val="006E34B5"/>
    <w:rsid w:val="006E5320"/>
    <w:rsid w:val="006E54C4"/>
    <w:rsid w:val="006E6246"/>
    <w:rsid w:val="006F318F"/>
    <w:rsid w:val="006F3F33"/>
    <w:rsid w:val="006F4226"/>
    <w:rsid w:val="0070017E"/>
    <w:rsid w:val="00700B2C"/>
    <w:rsid w:val="00701D64"/>
    <w:rsid w:val="00702EFD"/>
    <w:rsid w:val="007050A2"/>
    <w:rsid w:val="00712B71"/>
    <w:rsid w:val="00713084"/>
    <w:rsid w:val="0071399B"/>
    <w:rsid w:val="00714F20"/>
    <w:rsid w:val="0071590F"/>
    <w:rsid w:val="00715914"/>
    <w:rsid w:val="00731E00"/>
    <w:rsid w:val="0073383B"/>
    <w:rsid w:val="00741EE8"/>
    <w:rsid w:val="007440B7"/>
    <w:rsid w:val="0074530F"/>
    <w:rsid w:val="007478C3"/>
    <w:rsid w:val="007500C8"/>
    <w:rsid w:val="00751935"/>
    <w:rsid w:val="00756272"/>
    <w:rsid w:val="0076040A"/>
    <w:rsid w:val="007641CB"/>
    <w:rsid w:val="00765001"/>
    <w:rsid w:val="007662B5"/>
    <w:rsid w:val="0076681A"/>
    <w:rsid w:val="00771068"/>
    <w:rsid w:val="007715C9"/>
    <w:rsid w:val="00771613"/>
    <w:rsid w:val="00774EDD"/>
    <w:rsid w:val="0077506D"/>
    <w:rsid w:val="00775548"/>
    <w:rsid w:val="007757EC"/>
    <w:rsid w:val="0078358D"/>
    <w:rsid w:val="00783E89"/>
    <w:rsid w:val="007842CE"/>
    <w:rsid w:val="00785A9E"/>
    <w:rsid w:val="007867F8"/>
    <w:rsid w:val="00793915"/>
    <w:rsid w:val="007A3AFC"/>
    <w:rsid w:val="007B3CCB"/>
    <w:rsid w:val="007B4C4F"/>
    <w:rsid w:val="007C2253"/>
    <w:rsid w:val="007D230B"/>
    <w:rsid w:val="007D5C73"/>
    <w:rsid w:val="007D6AAA"/>
    <w:rsid w:val="007E163D"/>
    <w:rsid w:val="007E3F07"/>
    <w:rsid w:val="007E667A"/>
    <w:rsid w:val="007F28C9"/>
    <w:rsid w:val="0080312D"/>
    <w:rsid w:val="00803587"/>
    <w:rsid w:val="008117E9"/>
    <w:rsid w:val="008226A4"/>
    <w:rsid w:val="00822A2F"/>
    <w:rsid w:val="00824498"/>
    <w:rsid w:val="008346A0"/>
    <w:rsid w:val="00835179"/>
    <w:rsid w:val="008356AC"/>
    <w:rsid w:val="00840442"/>
    <w:rsid w:val="008527C0"/>
    <w:rsid w:val="00856A31"/>
    <w:rsid w:val="00860B58"/>
    <w:rsid w:val="00862F1D"/>
    <w:rsid w:val="00863657"/>
    <w:rsid w:val="0086370B"/>
    <w:rsid w:val="00867B37"/>
    <w:rsid w:val="008718DD"/>
    <w:rsid w:val="008754D0"/>
    <w:rsid w:val="00882CC0"/>
    <w:rsid w:val="008855C9"/>
    <w:rsid w:val="00886456"/>
    <w:rsid w:val="008903CC"/>
    <w:rsid w:val="00894121"/>
    <w:rsid w:val="008945E0"/>
    <w:rsid w:val="0089527F"/>
    <w:rsid w:val="0089648F"/>
    <w:rsid w:val="008A362B"/>
    <w:rsid w:val="008A46E1"/>
    <w:rsid w:val="008A4F43"/>
    <w:rsid w:val="008A5340"/>
    <w:rsid w:val="008B2706"/>
    <w:rsid w:val="008B3AA5"/>
    <w:rsid w:val="008B64EA"/>
    <w:rsid w:val="008C0F29"/>
    <w:rsid w:val="008D0B74"/>
    <w:rsid w:val="008D0C80"/>
    <w:rsid w:val="008D0EE0"/>
    <w:rsid w:val="008D3422"/>
    <w:rsid w:val="008E2F5A"/>
    <w:rsid w:val="008E6067"/>
    <w:rsid w:val="008F54E7"/>
    <w:rsid w:val="009016BE"/>
    <w:rsid w:val="00903422"/>
    <w:rsid w:val="00912A58"/>
    <w:rsid w:val="009157B9"/>
    <w:rsid w:val="00915DF9"/>
    <w:rsid w:val="0091642C"/>
    <w:rsid w:val="009254C3"/>
    <w:rsid w:val="00926940"/>
    <w:rsid w:val="00930A0A"/>
    <w:rsid w:val="00932377"/>
    <w:rsid w:val="00933FAF"/>
    <w:rsid w:val="00937FD7"/>
    <w:rsid w:val="009460DC"/>
    <w:rsid w:val="00946759"/>
    <w:rsid w:val="00947D5A"/>
    <w:rsid w:val="009532A5"/>
    <w:rsid w:val="00955175"/>
    <w:rsid w:val="0095528E"/>
    <w:rsid w:val="00960B90"/>
    <w:rsid w:val="0096753E"/>
    <w:rsid w:val="00972814"/>
    <w:rsid w:val="00982242"/>
    <w:rsid w:val="009851AD"/>
    <w:rsid w:val="009868E9"/>
    <w:rsid w:val="00991423"/>
    <w:rsid w:val="0099213A"/>
    <w:rsid w:val="009944E6"/>
    <w:rsid w:val="009A2319"/>
    <w:rsid w:val="009A3A6F"/>
    <w:rsid w:val="009A3E11"/>
    <w:rsid w:val="009A3F74"/>
    <w:rsid w:val="009A49C9"/>
    <w:rsid w:val="009C2791"/>
    <w:rsid w:val="009D1818"/>
    <w:rsid w:val="009D195A"/>
    <w:rsid w:val="009D6562"/>
    <w:rsid w:val="009D7993"/>
    <w:rsid w:val="009E2C3B"/>
    <w:rsid w:val="009E4571"/>
    <w:rsid w:val="009E5CFC"/>
    <w:rsid w:val="009E75A7"/>
    <w:rsid w:val="00A023B8"/>
    <w:rsid w:val="00A03AF1"/>
    <w:rsid w:val="00A04B54"/>
    <w:rsid w:val="00A079CB"/>
    <w:rsid w:val="00A12128"/>
    <w:rsid w:val="00A12F48"/>
    <w:rsid w:val="00A14F6A"/>
    <w:rsid w:val="00A15512"/>
    <w:rsid w:val="00A22C98"/>
    <w:rsid w:val="00A231E2"/>
    <w:rsid w:val="00A2708C"/>
    <w:rsid w:val="00A271CD"/>
    <w:rsid w:val="00A33D55"/>
    <w:rsid w:val="00A34412"/>
    <w:rsid w:val="00A40424"/>
    <w:rsid w:val="00A44C99"/>
    <w:rsid w:val="00A52B0F"/>
    <w:rsid w:val="00A559B3"/>
    <w:rsid w:val="00A55BEB"/>
    <w:rsid w:val="00A5632E"/>
    <w:rsid w:val="00A64912"/>
    <w:rsid w:val="00A70A74"/>
    <w:rsid w:val="00A7131D"/>
    <w:rsid w:val="00A84BAE"/>
    <w:rsid w:val="00A853D7"/>
    <w:rsid w:val="00A8766C"/>
    <w:rsid w:val="00A908D0"/>
    <w:rsid w:val="00A91966"/>
    <w:rsid w:val="00AA1D57"/>
    <w:rsid w:val="00AA399C"/>
    <w:rsid w:val="00AA66AC"/>
    <w:rsid w:val="00AB1DE8"/>
    <w:rsid w:val="00AB69D9"/>
    <w:rsid w:val="00AC0886"/>
    <w:rsid w:val="00AC2CFC"/>
    <w:rsid w:val="00AD02B8"/>
    <w:rsid w:val="00AD0ABE"/>
    <w:rsid w:val="00AD1F73"/>
    <w:rsid w:val="00AD5315"/>
    <w:rsid w:val="00AD5641"/>
    <w:rsid w:val="00AD57D1"/>
    <w:rsid w:val="00AD59D3"/>
    <w:rsid w:val="00AD6741"/>
    <w:rsid w:val="00AD7889"/>
    <w:rsid w:val="00AE42E6"/>
    <w:rsid w:val="00AE787B"/>
    <w:rsid w:val="00AF021B"/>
    <w:rsid w:val="00AF06CF"/>
    <w:rsid w:val="00B04305"/>
    <w:rsid w:val="00B046D3"/>
    <w:rsid w:val="00B07CDB"/>
    <w:rsid w:val="00B11E84"/>
    <w:rsid w:val="00B16A31"/>
    <w:rsid w:val="00B17DFD"/>
    <w:rsid w:val="00B2799D"/>
    <w:rsid w:val="00B308FE"/>
    <w:rsid w:val="00B33709"/>
    <w:rsid w:val="00B33B3C"/>
    <w:rsid w:val="00B33BD1"/>
    <w:rsid w:val="00B3726B"/>
    <w:rsid w:val="00B40073"/>
    <w:rsid w:val="00B41E77"/>
    <w:rsid w:val="00B436FB"/>
    <w:rsid w:val="00B461FB"/>
    <w:rsid w:val="00B50ADC"/>
    <w:rsid w:val="00B520E4"/>
    <w:rsid w:val="00B566B1"/>
    <w:rsid w:val="00B577C8"/>
    <w:rsid w:val="00B63834"/>
    <w:rsid w:val="00B63BBA"/>
    <w:rsid w:val="00B67344"/>
    <w:rsid w:val="00B72734"/>
    <w:rsid w:val="00B80199"/>
    <w:rsid w:val="00B82D81"/>
    <w:rsid w:val="00B83204"/>
    <w:rsid w:val="00B87B3E"/>
    <w:rsid w:val="00B9126E"/>
    <w:rsid w:val="00B97DE5"/>
    <w:rsid w:val="00BA220B"/>
    <w:rsid w:val="00BA3A57"/>
    <w:rsid w:val="00BA7BB5"/>
    <w:rsid w:val="00BB289F"/>
    <w:rsid w:val="00BB4DB6"/>
    <w:rsid w:val="00BB4E1A"/>
    <w:rsid w:val="00BB5C17"/>
    <w:rsid w:val="00BC015E"/>
    <w:rsid w:val="00BC7183"/>
    <w:rsid w:val="00BC76AC"/>
    <w:rsid w:val="00BD0ECB"/>
    <w:rsid w:val="00BE12BE"/>
    <w:rsid w:val="00BE2155"/>
    <w:rsid w:val="00BE2213"/>
    <w:rsid w:val="00BE6EF9"/>
    <w:rsid w:val="00BE719A"/>
    <w:rsid w:val="00BE720A"/>
    <w:rsid w:val="00BF0D73"/>
    <w:rsid w:val="00BF2465"/>
    <w:rsid w:val="00BF75C9"/>
    <w:rsid w:val="00C049B4"/>
    <w:rsid w:val="00C0544A"/>
    <w:rsid w:val="00C06AC9"/>
    <w:rsid w:val="00C07AFC"/>
    <w:rsid w:val="00C10EA2"/>
    <w:rsid w:val="00C11452"/>
    <w:rsid w:val="00C11C6A"/>
    <w:rsid w:val="00C17457"/>
    <w:rsid w:val="00C25E7F"/>
    <w:rsid w:val="00C2746F"/>
    <w:rsid w:val="00C324A0"/>
    <w:rsid w:val="00C3300F"/>
    <w:rsid w:val="00C34E77"/>
    <w:rsid w:val="00C35875"/>
    <w:rsid w:val="00C35DAF"/>
    <w:rsid w:val="00C4170B"/>
    <w:rsid w:val="00C42BF8"/>
    <w:rsid w:val="00C45171"/>
    <w:rsid w:val="00C47D01"/>
    <w:rsid w:val="00C50043"/>
    <w:rsid w:val="00C50B97"/>
    <w:rsid w:val="00C52B0E"/>
    <w:rsid w:val="00C52E7C"/>
    <w:rsid w:val="00C54F6B"/>
    <w:rsid w:val="00C6434E"/>
    <w:rsid w:val="00C70CA8"/>
    <w:rsid w:val="00C7179B"/>
    <w:rsid w:val="00C74B1B"/>
    <w:rsid w:val="00C7573B"/>
    <w:rsid w:val="00C75A18"/>
    <w:rsid w:val="00C7761F"/>
    <w:rsid w:val="00C82443"/>
    <w:rsid w:val="00C86B32"/>
    <w:rsid w:val="00C93C03"/>
    <w:rsid w:val="00CA344A"/>
    <w:rsid w:val="00CA3B67"/>
    <w:rsid w:val="00CA66DC"/>
    <w:rsid w:val="00CB2C8E"/>
    <w:rsid w:val="00CB2D96"/>
    <w:rsid w:val="00CB602E"/>
    <w:rsid w:val="00CB6236"/>
    <w:rsid w:val="00CC04AF"/>
    <w:rsid w:val="00CC3AEC"/>
    <w:rsid w:val="00CD0A5A"/>
    <w:rsid w:val="00CD2E90"/>
    <w:rsid w:val="00CE0149"/>
    <w:rsid w:val="00CE051D"/>
    <w:rsid w:val="00CE1335"/>
    <w:rsid w:val="00CE3D2A"/>
    <w:rsid w:val="00CE493D"/>
    <w:rsid w:val="00CE541A"/>
    <w:rsid w:val="00CE6D42"/>
    <w:rsid w:val="00CF018E"/>
    <w:rsid w:val="00CF07FA"/>
    <w:rsid w:val="00CF0BB2"/>
    <w:rsid w:val="00CF3EE8"/>
    <w:rsid w:val="00CF5313"/>
    <w:rsid w:val="00D050E6"/>
    <w:rsid w:val="00D0627F"/>
    <w:rsid w:val="00D13441"/>
    <w:rsid w:val="00D150E7"/>
    <w:rsid w:val="00D20A4B"/>
    <w:rsid w:val="00D26A6C"/>
    <w:rsid w:val="00D26C23"/>
    <w:rsid w:val="00D306F8"/>
    <w:rsid w:val="00D32F65"/>
    <w:rsid w:val="00D341C4"/>
    <w:rsid w:val="00D41A47"/>
    <w:rsid w:val="00D442A2"/>
    <w:rsid w:val="00D5040B"/>
    <w:rsid w:val="00D52DC2"/>
    <w:rsid w:val="00D53BCC"/>
    <w:rsid w:val="00D648BB"/>
    <w:rsid w:val="00D67C60"/>
    <w:rsid w:val="00D702DE"/>
    <w:rsid w:val="00D70DFB"/>
    <w:rsid w:val="00D732EC"/>
    <w:rsid w:val="00D73C22"/>
    <w:rsid w:val="00D766DF"/>
    <w:rsid w:val="00D775D5"/>
    <w:rsid w:val="00DA186E"/>
    <w:rsid w:val="00DA4116"/>
    <w:rsid w:val="00DB0BF1"/>
    <w:rsid w:val="00DB2472"/>
    <w:rsid w:val="00DB251C"/>
    <w:rsid w:val="00DB38AD"/>
    <w:rsid w:val="00DB4630"/>
    <w:rsid w:val="00DB51FD"/>
    <w:rsid w:val="00DB5631"/>
    <w:rsid w:val="00DC1135"/>
    <w:rsid w:val="00DC4445"/>
    <w:rsid w:val="00DC4F88"/>
    <w:rsid w:val="00DD6D38"/>
    <w:rsid w:val="00DD77D1"/>
    <w:rsid w:val="00DE0A85"/>
    <w:rsid w:val="00DE73C0"/>
    <w:rsid w:val="00DE79F9"/>
    <w:rsid w:val="00E05704"/>
    <w:rsid w:val="00E06CC3"/>
    <w:rsid w:val="00E11E44"/>
    <w:rsid w:val="00E13AFA"/>
    <w:rsid w:val="00E2168B"/>
    <w:rsid w:val="00E21F03"/>
    <w:rsid w:val="00E24415"/>
    <w:rsid w:val="00E25B69"/>
    <w:rsid w:val="00E263BC"/>
    <w:rsid w:val="00E319E7"/>
    <w:rsid w:val="00E338EF"/>
    <w:rsid w:val="00E33980"/>
    <w:rsid w:val="00E40FF8"/>
    <w:rsid w:val="00E53D71"/>
    <w:rsid w:val="00E544BB"/>
    <w:rsid w:val="00E578EC"/>
    <w:rsid w:val="00E60423"/>
    <w:rsid w:val="00E649D7"/>
    <w:rsid w:val="00E65B04"/>
    <w:rsid w:val="00E662CB"/>
    <w:rsid w:val="00E74DC7"/>
    <w:rsid w:val="00E8075A"/>
    <w:rsid w:val="00E818A6"/>
    <w:rsid w:val="00E85A91"/>
    <w:rsid w:val="00E87718"/>
    <w:rsid w:val="00E94D5E"/>
    <w:rsid w:val="00EA0BF6"/>
    <w:rsid w:val="00EA17A6"/>
    <w:rsid w:val="00EA7100"/>
    <w:rsid w:val="00EA7F9F"/>
    <w:rsid w:val="00EB0E70"/>
    <w:rsid w:val="00EB114A"/>
    <w:rsid w:val="00EB1274"/>
    <w:rsid w:val="00EC4757"/>
    <w:rsid w:val="00EC7EDB"/>
    <w:rsid w:val="00ED14FB"/>
    <w:rsid w:val="00ED2BB6"/>
    <w:rsid w:val="00ED34E1"/>
    <w:rsid w:val="00ED3B8D"/>
    <w:rsid w:val="00ED796D"/>
    <w:rsid w:val="00EE183A"/>
    <w:rsid w:val="00EF0F84"/>
    <w:rsid w:val="00EF15D3"/>
    <w:rsid w:val="00EF2E3A"/>
    <w:rsid w:val="00F02EF9"/>
    <w:rsid w:val="00F03BB5"/>
    <w:rsid w:val="00F047D8"/>
    <w:rsid w:val="00F072A7"/>
    <w:rsid w:val="00F078DC"/>
    <w:rsid w:val="00F14593"/>
    <w:rsid w:val="00F171A1"/>
    <w:rsid w:val="00F23F68"/>
    <w:rsid w:val="00F32BA8"/>
    <w:rsid w:val="00F349F1"/>
    <w:rsid w:val="00F37570"/>
    <w:rsid w:val="00F4215A"/>
    <w:rsid w:val="00F4350D"/>
    <w:rsid w:val="00F45C97"/>
    <w:rsid w:val="00F46947"/>
    <w:rsid w:val="00F50532"/>
    <w:rsid w:val="00F52CA6"/>
    <w:rsid w:val="00F564BE"/>
    <w:rsid w:val="00F567F7"/>
    <w:rsid w:val="00F61A66"/>
    <w:rsid w:val="00F61B09"/>
    <w:rsid w:val="00F62036"/>
    <w:rsid w:val="00F65B52"/>
    <w:rsid w:val="00F67BCA"/>
    <w:rsid w:val="00F70FE1"/>
    <w:rsid w:val="00F739EA"/>
    <w:rsid w:val="00F73BD6"/>
    <w:rsid w:val="00F800C9"/>
    <w:rsid w:val="00F83989"/>
    <w:rsid w:val="00F85099"/>
    <w:rsid w:val="00F87E83"/>
    <w:rsid w:val="00F9379C"/>
    <w:rsid w:val="00F9632C"/>
    <w:rsid w:val="00FA13A8"/>
    <w:rsid w:val="00FA1E52"/>
    <w:rsid w:val="00FA31DE"/>
    <w:rsid w:val="00FA7D17"/>
    <w:rsid w:val="00FC05CA"/>
    <w:rsid w:val="00FC3EB8"/>
    <w:rsid w:val="00FC5358"/>
    <w:rsid w:val="00FC6D88"/>
    <w:rsid w:val="00FC7D25"/>
    <w:rsid w:val="00FD13CC"/>
    <w:rsid w:val="00FD2E53"/>
    <w:rsid w:val="00FE2FB8"/>
    <w:rsid w:val="00FE3748"/>
    <w:rsid w:val="00FE4688"/>
    <w:rsid w:val="00FE72D6"/>
    <w:rsid w:val="00FE79D0"/>
    <w:rsid w:val="00FF3858"/>
    <w:rsid w:val="00FF66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A632C49D-96A0-433B-AEC1-8E30C79B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character" w:customStyle="1" w:styleId="ui-provider">
    <w:name w:val="ui-provider"/>
    <w:basedOn w:val="DefaultParagraphFont"/>
    <w:rsid w:val="00DD77D1"/>
  </w:style>
  <w:style w:type="paragraph" w:customStyle="1" w:styleId="li-bodytextparaa0">
    <w:name w:val="li-bodytextparaa"/>
    <w:basedOn w:val="Normal"/>
    <w:rsid w:val="00276D3C"/>
    <w:pPr>
      <w:spacing w:before="100" w:beforeAutospacing="1" w:after="100" w:afterAutospacing="1" w:line="240" w:lineRule="auto"/>
    </w:pPr>
    <w:rPr>
      <w:rFonts w:eastAsia="Times New Roman"/>
      <w:sz w:val="24"/>
      <w:szCs w:val="24"/>
      <w:lang w:eastAsia="en-AU"/>
    </w:rPr>
  </w:style>
  <w:style w:type="character" w:styleId="UnresolvedMention">
    <w:name w:val="Unresolved Mention"/>
    <w:basedOn w:val="DefaultParagraphFont"/>
    <w:uiPriority w:val="99"/>
    <w:semiHidden/>
    <w:unhideWhenUsed/>
    <w:rsid w:val="006F3F33"/>
    <w:rPr>
      <w:color w:val="605E5C"/>
      <w:shd w:val="clear" w:color="auto" w:fill="E1DFDD"/>
    </w:rPr>
  </w:style>
  <w:style w:type="paragraph" w:customStyle="1" w:styleId="li-bodytextparaa00">
    <w:name w:val="li-bodytextparaa0"/>
    <w:basedOn w:val="Normal"/>
    <w:rsid w:val="00C11C6A"/>
    <w:pPr>
      <w:spacing w:before="100" w:beforeAutospacing="1" w:after="100" w:afterAutospacing="1" w:line="240" w:lineRule="auto"/>
    </w:pPr>
    <w:rPr>
      <w:rFonts w:eastAsia="Times New Roman"/>
      <w:sz w:val="24"/>
      <w:szCs w:val="24"/>
      <w:lang w:eastAsia="en-AU"/>
    </w:rPr>
  </w:style>
  <w:style w:type="paragraph" w:customStyle="1" w:styleId="li-bodytextnumbered0">
    <w:name w:val="li-bodytextnumbered"/>
    <w:basedOn w:val="Normal"/>
    <w:rsid w:val="00361135"/>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1859B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166091507">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338392729">
      <w:bodyDiv w:val="1"/>
      <w:marLeft w:val="0"/>
      <w:marRight w:val="0"/>
      <w:marTop w:val="0"/>
      <w:marBottom w:val="0"/>
      <w:divBdr>
        <w:top w:val="none" w:sz="0" w:space="0" w:color="auto"/>
        <w:left w:val="none" w:sz="0" w:space="0" w:color="auto"/>
        <w:bottom w:val="none" w:sz="0" w:space="0" w:color="auto"/>
        <w:right w:val="none" w:sz="0" w:space="0" w:color="auto"/>
      </w:divBdr>
    </w:div>
    <w:div w:id="368992452">
      <w:bodyDiv w:val="1"/>
      <w:marLeft w:val="0"/>
      <w:marRight w:val="0"/>
      <w:marTop w:val="0"/>
      <w:marBottom w:val="0"/>
      <w:divBdr>
        <w:top w:val="none" w:sz="0" w:space="0" w:color="auto"/>
        <w:left w:val="none" w:sz="0" w:space="0" w:color="auto"/>
        <w:bottom w:val="none" w:sz="0" w:space="0" w:color="auto"/>
        <w:right w:val="none" w:sz="0" w:space="0" w:color="auto"/>
      </w:divBdr>
      <w:divsChild>
        <w:div w:id="1332834127">
          <w:marLeft w:val="0"/>
          <w:marRight w:val="0"/>
          <w:marTop w:val="240"/>
          <w:marBottom w:val="0"/>
          <w:divBdr>
            <w:top w:val="none" w:sz="0" w:space="0" w:color="auto"/>
            <w:left w:val="none" w:sz="0" w:space="0" w:color="auto"/>
            <w:bottom w:val="none" w:sz="0" w:space="0" w:color="auto"/>
            <w:right w:val="none" w:sz="0" w:space="0" w:color="auto"/>
          </w:divBdr>
        </w:div>
        <w:div w:id="1592229714">
          <w:marLeft w:val="0"/>
          <w:marRight w:val="0"/>
          <w:marTop w:val="240"/>
          <w:marBottom w:val="0"/>
          <w:divBdr>
            <w:top w:val="none" w:sz="0" w:space="0" w:color="auto"/>
            <w:left w:val="none" w:sz="0" w:space="0" w:color="auto"/>
            <w:bottom w:val="none" w:sz="0" w:space="0" w:color="auto"/>
            <w:right w:val="none" w:sz="0" w:space="0" w:color="auto"/>
          </w:divBdr>
        </w:div>
        <w:div w:id="2064865875">
          <w:marLeft w:val="0"/>
          <w:marRight w:val="0"/>
          <w:marTop w:val="240"/>
          <w:marBottom w:val="0"/>
          <w:divBdr>
            <w:top w:val="none" w:sz="0" w:space="0" w:color="auto"/>
            <w:left w:val="none" w:sz="0" w:space="0" w:color="auto"/>
            <w:bottom w:val="none" w:sz="0" w:space="0" w:color="auto"/>
            <w:right w:val="none" w:sz="0" w:space="0" w:color="auto"/>
          </w:divBdr>
        </w:div>
      </w:divsChild>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013797502">
      <w:bodyDiv w:val="1"/>
      <w:marLeft w:val="0"/>
      <w:marRight w:val="0"/>
      <w:marTop w:val="0"/>
      <w:marBottom w:val="0"/>
      <w:divBdr>
        <w:top w:val="none" w:sz="0" w:space="0" w:color="auto"/>
        <w:left w:val="none" w:sz="0" w:space="0" w:color="auto"/>
        <w:bottom w:val="none" w:sz="0" w:space="0" w:color="auto"/>
        <w:right w:val="none" w:sz="0" w:space="0" w:color="auto"/>
      </w:divBdr>
    </w:div>
    <w:div w:id="1129785912">
      <w:bodyDiv w:val="1"/>
      <w:marLeft w:val="0"/>
      <w:marRight w:val="0"/>
      <w:marTop w:val="0"/>
      <w:marBottom w:val="0"/>
      <w:divBdr>
        <w:top w:val="none" w:sz="0" w:space="0" w:color="auto"/>
        <w:left w:val="none" w:sz="0" w:space="0" w:color="auto"/>
        <w:bottom w:val="none" w:sz="0" w:space="0" w:color="auto"/>
        <w:right w:val="none" w:sz="0" w:space="0" w:color="auto"/>
      </w:divBdr>
      <w:divsChild>
        <w:div w:id="766730745">
          <w:marLeft w:val="0"/>
          <w:marRight w:val="0"/>
          <w:marTop w:val="240"/>
          <w:marBottom w:val="0"/>
          <w:divBdr>
            <w:top w:val="none" w:sz="0" w:space="0" w:color="auto"/>
            <w:left w:val="none" w:sz="0" w:space="0" w:color="auto"/>
            <w:bottom w:val="none" w:sz="0" w:space="0" w:color="auto"/>
            <w:right w:val="none" w:sz="0" w:space="0" w:color="auto"/>
          </w:divBdr>
        </w:div>
        <w:div w:id="1036195206">
          <w:marLeft w:val="0"/>
          <w:marRight w:val="0"/>
          <w:marTop w:val="240"/>
          <w:marBottom w:val="0"/>
          <w:divBdr>
            <w:top w:val="none" w:sz="0" w:space="0" w:color="auto"/>
            <w:left w:val="none" w:sz="0" w:space="0" w:color="auto"/>
            <w:bottom w:val="none" w:sz="0" w:space="0" w:color="auto"/>
            <w:right w:val="none" w:sz="0" w:space="0" w:color="auto"/>
          </w:divBdr>
        </w:div>
        <w:div w:id="1053383971">
          <w:marLeft w:val="0"/>
          <w:marRight w:val="0"/>
          <w:marTop w:val="240"/>
          <w:marBottom w:val="0"/>
          <w:divBdr>
            <w:top w:val="none" w:sz="0" w:space="0" w:color="auto"/>
            <w:left w:val="none" w:sz="0" w:space="0" w:color="auto"/>
            <w:bottom w:val="none" w:sz="0" w:space="0" w:color="auto"/>
            <w:right w:val="none" w:sz="0" w:space="0" w:color="auto"/>
          </w:divBdr>
        </w:div>
      </w:divsChild>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429078608">
      <w:bodyDiv w:val="1"/>
      <w:marLeft w:val="0"/>
      <w:marRight w:val="0"/>
      <w:marTop w:val="0"/>
      <w:marBottom w:val="0"/>
      <w:divBdr>
        <w:top w:val="none" w:sz="0" w:space="0" w:color="auto"/>
        <w:left w:val="none" w:sz="0" w:space="0" w:color="auto"/>
        <w:bottom w:val="none" w:sz="0" w:space="0" w:color="auto"/>
        <w:right w:val="none" w:sz="0" w:space="0" w:color="auto"/>
      </w:divBdr>
    </w:div>
    <w:div w:id="1445225108">
      <w:bodyDiv w:val="1"/>
      <w:marLeft w:val="0"/>
      <w:marRight w:val="0"/>
      <w:marTop w:val="0"/>
      <w:marBottom w:val="0"/>
      <w:divBdr>
        <w:top w:val="none" w:sz="0" w:space="0" w:color="auto"/>
        <w:left w:val="none" w:sz="0" w:space="0" w:color="auto"/>
        <w:bottom w:val="none" w:sz="0" w:space="0" w:color="auto"/>
        <w:right w:val="none" w:sz="0" w:space="0" w:color="auto"/>
      </w:divBdr>
    </w:div>
    <w:div w:id="1766880826">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legislation.gov.au/C2023A00076/latest/text" TargetMode="External"/><Relationship Id="rId2" Type="http://schemas.openxmlformats.org/officeDocument/2006/relationships/customXml" Target="../customXml/item2.xml"/><Relationship Id="rId16" Type="http://schemas.openxmlformats.org/officeDocument/2006/relationships/hyperlink" Target="https://www.legislation.gov.au/F2021L01381/latest/tex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legislation.gov.au/F2021L01381/latest/text"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9" ma:contentTypeDescription="" ma:contentTypeScope="" ma:versionID="d71cc0bbcad8cfdd791298d7c33ac4c4">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43e6f115ca98de8c6a8874ca9ed13d6d"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OFFICIALcffd3088-7a74-4edb-8c9e-fbf79371a422</p1abb5e704a84578aa4b8ef0390c3b25>
    <DocumentNotes xmlns="db2b92ca-6ed0-4085-802d-4c686a2e8c3f" xsi:nil="true"/>
    <NAPReason xmlns="db2b92ca-6ed0-4085-802d-4c686a2e8c3f" xsi:nil="true"/>
    <_dlc_DocId xmlns="eb44715b-cd74-4c79-92c4-f0e9f1a86440">000853-1726373233-1571</_dlc_DocId>
    <_dlc_DocIdUrl xmlns="eb44715b-cd74-4c79-92c4-f0e9f1a86440">
      <Url>https://asiclink.sharepoint.com/teams/000853/_layouts/15/DocIdRedir.aspx?ID=000853-1726373233-1571</Url>
      <Description>000853-1726373233-1571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088A1CEA-A941-416C-9B15-A72C878902F4}">
  <ds:schemaRefs>
    <ds:schemaRef ds:uri="http://schemas.microsoft.com/sharepoint/v3/contenttype/forms"/>
  </ds:schemaRefs>
</ds:datastoreItem>
</file>

<file path=customXml/itemProps2.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3.xml><?xml version="1.0" encoding="utf-8"?>
<ds:datastoreItem xmlns:ds="http://schemas.openxmlformats.org/officeDocument/2006/customXml" ds:itemID="{D5A766AE-4C17-4ADA-8945-EBF796586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5.xml><?xml version="1.0" encoding="utf-8"?>
<ds:datastoreItem xmlns:ds="http://schemas.openxmlformats.org/officeDocument/2006/customXml" ds:itemID="{A954CD4F-4ADE-45EC-8760-0728E2692B40}">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customXml/itemProps6.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7.xml><?xml version="1.0" encoding="utf-8"?>
<ds:datastoreItem xmlns:ds="http://schemas.openxmlformats.org/officeDocument/2006/customXml" ds:itemID="{F72D521A-DAB7-4FB7-B2F4-979DB9280F3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INST_NEW.DOTX</Template>
  <TotalTime>2</TotalTime>
  <Pages>6</Pages>
  <Words>1471</Words>
  <Characters>8387</Characters>
  <Application>Microsoft Office Word</Application>
  <DocSecurity>0</DocSecurity>
  <PresentationFormat/>
  <Lines>69</Lines>
  <Paragraphs>19</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9839</CharactersWithSpaces>
  <SharedDoc>false</SharedDoc>
  <HyperlinkBase/>
  <HLinks>
    <vt:vector size="18" baseType="variant">
      <vt:variant>
        <vt:i4>2752564</vt:i4>
      </vt:variant>
      <vt:variant>
        <vt:i4>6</vt:i4>
      </vt:variant>
      <vt:variant>
        <vt:i4>0</vt:i4>
      </vt:variant>
      <vt:variant>
        <vt:i4>5</vt:i4>
      </vt:variant>
      <vt:variant>
        <vt:lpwstr>https://www.legislation.gov.au/C2023A00076/latest/text</vt:lpwstr>
      </vt:variant>
      <vt:variant>
        <vt:lpwstr/>
      </vt:variant>
      <vt:variant>
        <vt:i4>2687031</vt:i4>
      </vt:variant>
      <vt:variant>
        <vt:i4>3</vt:i4>
      </vt:variant>
      <vt:variant>
        <vt:i4>0</vt:i4>
      </vt:variant>
      <vt:variant>
        <vt:i4>5</vt:i4>
      </vt:variant>
      <vt:variant>
        <vt:lpwstr>https://www.legislation.gov.au/F2021L01381/latest/text</vt:lpwstr>
      </vt:variant>
      <vt:variant>
        <vt:lpwstr/>
      </vt:variant>
      <vt:variant>
        <vt:i4>2687031</vt:i4>
      </vt:variant>
      <vt:variant>
        <vt:i4>0</vt:i4>
      </vt:variant>
      <vt:variant>
        <vt:i4>0</vt:i4>
      </vt:variant>
      <vt:variant>
        <vt:i4>5</vt:i4>
      </vt:variant>
      <vt:variant>
        <vt:lpwstr>https://www.legislation.gov.au/F2021L01381/latest/text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4</cp:revision>
  <cp:lastPrinted>2019-01-05T11:56:00Z</cp:lastPrinted>
  <dcterms:created xsi:type="dcterms:W3CDTF">2024-03-21T05:23:00Z</dcterms:created>
  <dcterms:modified xsi:type="dcterms:W3CDTF">2024-03-21T05:48:00Z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7;#Sensitive|19fd2cb8-3e97-4464-ae71-8c2c2095d028</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bb6905e5-3e8a-4efb-8bc7-23b988240c98</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0x010100B5F685A1365F544391EF8C813B164F3A0008C9EE83D83D4448AF8205A6FC777399</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ies>
</file>