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2DF6A2D1" w:rsidR="00715914" w:rsidRPr="00BB71C7" w:rsidRDefault="003904F4" w:rsidP="009460DC">
      <w:pPr>
        <w:spacing w:after="600"/>
        <w:rPr>
          <w:sz w:val="28"/>
        </w:rPr>
      </w:pPr>
      <w:r w:rsidRPr="00BB71C7">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1615A2F2" w:rsidR="00243EC0" w:rsidRPr="00BB71C7" w:rsidRDefault="00447DB4" w:rsidP="1A2F2F39">
      <w:pPr>
        <w:pStyle w:val="LI-Title"/>
        <w:pBdr>
          <w:bottom w:val="single" w:sz="4" w:space="1" w:color="auto"/>
        </w:pBdr>
      </w:pPr>
      <w:r w:rsidRPr="00BB71C7">
        <w:t>A</w:t>
      </w:r>
      <w:r w:rsidR="00327DDF" w:rsidRPr="00BB71C7">
        <w:t xml:space="preserve">SIC Corporations </w:t>
      </w:r>
      <w:r w:rsidR="00653CB2" w:rsidRPr="00BB71C7">
        <w:t>(</w:t>
      </w:r>
      <w:r w:rsidR="007C2B29" w:rsidRPr="00BB71C7">
        <w:t xml:space="preserve">Periodic </w:t>
      </w:r>
      <w:r w:rsidR="002209FE" w:rsidRPr="00BB71C7">
        <w:t>S</w:t>
      </w:r>
      <w:r w:rsidR="007C2B29" w:rsidRPr="00BB71C7">
        <w:t xml:space="preserve">tatement </w:t>
      </w:r>
      <w:r w:rsidR="002209FE" w:rsidRPr="00BB71C7">
        <w:t>R</w:t>
      </w:r>
      <w:r w:rsidR="007C2B29" w:rsidRPr="00BB71C7">
        <w:t xml:space="preserve">elief </w:t>
      </w:r>
      <w:r w:rsidR="00667266" w:rsidRPr="00BB71C7">
        <w:t xml:space="preserve">for </w:t>
      </w:r>
      <w:r w:rsidR="00161B39" w:rsidRPr="00BB71C7">
        <w:t>Quoted Securities</w:t>
      </w:r>
      <w:r w:rsidR="00653CB2" w:rsidRPr="00BB71C7">
        <w:t xml:space="preserve">) Instrument </w:t>
      </w:r>
      <w:r w:rsidR="00002C76" w:rsidRPr="00BB71C7">
        <w:t>202</w:t>
      </w:r>
      <w:r w:rsidR="00D03722" w:rsidRPr="00BB71C7">
        <w:t>4</w:t>
      </w:r>
      <w:r w:rsidR="00653CB2" w:rsidRPr="00BB71C7">
        <w:t>/</w:t>
      </w:r>
      <w:r w:rsidR="6ADDB9AE" w:rsidRPr="00BB71C7">
        <w:t>14</w:t>
      </w:r>
    </w:p>
    <w:p w14:paraId="59A19406" w14:textId="208B9633" w:rsidR="00F171A1" w:rsidRPr="00BB71C7" w:rsidRDefault="00F171A1" w:rsidP="00005446">
      <w:pPr>
        <w:pStyle w:val="LI-Fronttext"/>
        <w:rPr>
          <w:sz w:val="24"/>
          <w:szCs w:val="24"/>
        </w:rPr>
      </w:pPr>
      <w:r w:rsidRPr="00BB71C7">
        <w:rPr>
          <w:sz w:val="24"/>
          <w:szCs w:val="24"/>
        </w:rPr>
        <w:t xml:space="preserve">I, </w:t>
      </w:r>
      <w:r w:rsidR="00436B1E" w:rsidRPr="00BB71C7">
        <w:rPr>
          <w:sz w:val="24"/>
          <w:szCs w:val="24"/>
        </w:rPr>
        <w:t>Kate Metz</w:t>
      </w:r>
      <w:r w:rsidR="00C0544A" w:rsidRPr="00BB71C7">
        <w:rPr>
          <w:sz w:val="24"/>
          <w:szCs w:val="24"/>
        </w:rPr>
        <w:t>, delegate of the Australian Securities and Investments Commission</w:t>
      </w:r>
      <w:r w:rsidRPr="00BB71C7">
        <w:rPr>
          <w:sz w:val="24"/>
          <w:szCs w:val="24"/>
        </w:rPr>
        <w:t xml:space="preserve">, make the following </w:t>
      </w:r>
      <w:r w:rsidR="008C0F29" w:rsidRPr="00BB71C7">
        <w:rPr>
          <w:sz w:val="24"/>
          <w:szCs w:val="24"/>
        </w:rPr>
        <w:t>legislative instrument</w:t>
      </w:r>
      <w:r w:rsidRPr="00BB71C7">
        <w:rPr>
          <w:sz w:val="24"/>
          <w:szCs w:val="24"/>
        </w:rPr>
        <w:t>.</w:t>
      </w:r>
    </w:p>
    <w:p w14:paraId="26B891BC" w14:textId="77777777" w:rsidR="003A2A48" w:rsidRPr="00BB71C7" w:rsidRDefault="003A2A48" w:rsidP="00005446">
      <w:pPr>
        <w:pStyle w:val="LI-Fronttext"/>
      </w:pPr>
    </w:p>
    <w:p w14:paraId="11BB8DD3" w14:textId="2A91FC2C" w:rsidR="006554FF" w:rsidRPr="00BB71C7" w:rsidRDefault="00F171A1" w:rsidP="00005446">
      <w:pPr>
        <w:pStyle w:val="LI-Fronttext"/>
        <w:rPr>
          <w:sz w:val="24"/>
          <w:szCs w:val="24"/>
        </w:rPr>
      </w:pPr>
      <w:r w:rsidRPr="00BB71C7">
        <w:rPr>
          <w:sz w:val="24"/>
          <w:szCs w:val="24"/>
        </w:rPr>
        <w:t>Date</w:t>
      </w:r>
      <w:r w:rsidRPr="00BB71C7">
        <w:rPr>
          <w:sz w:val="24"/>
          <w:szCs w:val="24"/>
        </w:rPr>
        <w:tab/>
      </w:r>
      <w:bookmarkStart w:id="0" w:name="BKCheck15B_1"/>
      <w:bookmarkEnd w:id="0"/>
      <w:r w:rsidR="000065F1" w:rsidRPr="00BB71C7">
        <w:rPr>
          <w:sz w:val="24"/>
          <w:szCs w:val="24"/>
        </w:rPr>
        <w:t xml:space="preserve">21 March </w:t>
      </w:r>
      <w:r w:rsidR="00CE6D42" w:rsidRPr="00BB71C7">
        <w:rPr>
          <w:sz w:val="24"/>
          <w:szCs w:val="24"/>
        </w:rPr>
        <w:t>20</w:t>
      </w:r>
      <w:r w:rsidR="00E67AEE" w:rsidRPr="00BB71C7">
        <w:rPr>
          <w:sz w:val="24"/>
          <w:szCs w:val="24"/>
        </w:rPr>
        <w:t>2</w:t>
      </w:r>
      <w:r w:rsidR="00DA5244" w:rsidRPr="00BB71C7">
        <w:rPr>
          <w:sz w:val="24"/>
          <w:szCs w:val="24"/>
        </w:rPr>
        <w:t>4</w:t>
      </w:r>
    </w:p>
    <w:p w14:paraId="2B6C4172" w14:textId="77777777" w:rsidR="000065F1" w:rsidRPr="00BB71C7" w:rsidRDefault="000065F1" w:rsidP="00005446">
      <w:pPr>
        <w:pStyle w:val="LI-Fronttext"/>
        <w:rPr>
          <w:color w:val="FF0000"/>
          <w:sz w:val="24"/>
          <w:szCs w:val="24"/>
        </w:rPr>
      </w:pPr>
    </w:p>
    <w:p w14:paraId="26980CCE" w14:textId="6434D34A" w:rsidR="006554FF" w:rsidRPr="00BB71C7" w:rsidRDefault="006554FF" w:rsidP="0077430A">
      <w:pPr>
        <w:spacing w:line="240" w:lineRule="auto"/>
        <w:rPr>
          <w:rFonts w:eastAsia="Times New Roman"/>
          <w:sz w:val="24"/>
          <w:szCs w:val="24"/>
          <w:lang w:eastAsia="en-AU"/>
        </w:rPr>
      </w:pPr>
    </w:p>
    <w:p w14:paraId="32300E4F" w14:textId="1F4F2501" w:rsidR="00F171A1" w:rsidRPr="00BB71C7" w:rsidRDefault="00436B1E" w:rsidP="00465DC1">
      <w:pPr>
        <w:pStyle w:val="LI-Fronttext"/>
        <w:pBdr>
          <w:bottom w:val="single" w:sz="4" w:space="1" w:color="auto"/>
        </w:pBdr>
        <w:rPr>
          <w:sz w:val="24"/>
          <w:szCs w:val="24"/>
        </w:rPr>
      </w:pPr>
      <w:r w:rsidRPr="00BB71C7">
        <w:rPr>
          <w:sz w:val="24"/>
          <w:szCs w:val="24"/>
        </w:rPr>
        <w:t>Kate Metz</w:t>
      </w:r>
    </w:p>
    <w:p w14:paraId="78A1AD82" w14:textId="77777777" w:rsidR="00715914" w:rsidRPr="00BB71C7" w:rsidRDefault="00715914" w:rsidP="00715914">
      <w:pPr>
        <w:pStyle w:val="Header"/>
        <w:tabs>
          <w:tab w:val="clear" w:pos="4150"/>
          <w:tab w:val="clear" w:pos="8307"/>
        </w:tabs>
      </w:pPr>
    </w:p>
    <w:p w14:paraId="6D8A58FF" w14:textId="77777777" w:rsidR="00715914" w:rsidRPr="00BB71C7" w:rsidRDefault="00715914" w:rsidP="00715914">
      <w:pPr>
        <w:sectPr w:rsidR="00715914" w:rsidRPr="00BB71C7"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BB71C7" w:rsidRDefault="00715914" w:rsidP="00E2168B">
      <w:pPr>
        <w:spacing w:before="280" w:after="240"/>
        <w:rPr>
          <w:sz w:val="36"/>
        </w:rPr>
      </w:pPr>
      <w:r w:rsidRPr="00BB71C7">
        <w:rPr>
          <w:b/>
          <w:sz w:val="32"/>
          <w:szCs w:val="32"/>
        </w:rPr>
        <w:lastRenderedPageBreak/>
        <w:t>Contents</w:t>
      </w:r>
    </w:p>
    <w:bookmarkStart w:id="1" w:name="BKCheck15B_2"/>
    <w:bookmarkEnd w:id="1"/>
    <w:p w14:paraId="0D2AF041" w14:textId="3366315B" w:rsidR="00083D21" w:rsidRPr="00BB71C7" w:rsidRDefault="00015719">
      <w:pPr>
        <w:pStyle w:val="TOC1"/>
        <w:rPr>
          <w:rFonts w:asciiTheme="minorHAnsi" w:eastAsiaTheme="minorEastAsia" w:hAnsiTheme="minorHAnsi" w:cstheme="minorBidi"/>
          <w:b w:val="0"/>
          <w:noProof/>
          <w:kern w:val="2"/>
          <w:sz w:val="22"/>
          <w:szCs w:val="22"/>
          <w14:ligatures w14:val="standardContextual"/>
        </w:rPr>
      </w:pPr>
      <w:r w:rsidRPr="00BB71C7">
        <w:rPr>
          <w:sz w:val="28"/>
        </w:rPr>
        <w:fldChar w:fldCharType="begin"/>
      </w:r>
      <w:r w:rsidRPr="00BB71C7">
        <w:rPr>
          <w:sz w:val="28"/>
        </w:rPr>
        <w:instrText xml:space="preserve"> TOC \h \z \t "LI - Heading 1,1,LI - Heading 2,2" </w:instrText>
      </w:r>
      <w:r w:rsidRPr="00BB71C7">
        <w:rPr>
          <w:sz w:val="28"/>
        </w:rPr>
        <w:fldChar w:fldCharType="separate"/>
      </w:r>
      <w:hyperlink w:anchor="_Toc161829372" w:history="1">
        <w:r w:rsidR="00083D21" w:rsidRPr="00BB71C7">
          <w:rPr>
            <w:rStyle w:val="Hyperlink"/>
            <w:noProof/>
          </w:rPr>
          <w:t>Part 1—Preliminary</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_Toc161829372 \h </w:instrText>
        </w:r>
        <w:r w:rsidR="00083D21" w:rsidRPr="00BB71C7">
          <w:rPr>
            <w:noProof/>
            <w:webHidden/>
          </w:rPr>
        </w:r>
        <w:r w:rsidR="00083D21" w:rsidRPr="00BB71C7">
          <w:rPr>
            <w:noProof/>
            <w:webHidden/>
          </w:rPr>
          <w:fldChar w:fldCharType="separate"/>
        </w:r>
        <w:r w:rsidR="00083D21" w:rsidRPr="00BB71C7">
          <w:rPr>
            <w:noProof/>
            <w:webHidden/>
          </w:rPr>
          <w:t>3</w:t>
        </w:r>
        <w:r w:rsidR="00083D21" w:rsidRPr="00BB71C7">
          <w:rPr>
            <w:noProof/>
            <w:webHidden/>
          </w:rPr>
          <w:fldChar w:fldCharType="end"/>
        </w:r>
      </w:hyperlink>
    </w:p>
    <w:p w14:paraId="434FAEE0" w14:textId="7A04E2EC" w:rsidR="00083D21" w:rsidRPr="00BB71C7" w:rsidRDefault="00BB71C7">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373" w:history="1">
        <w:r w:rsidR="00083D21" w:rsidRPr="00BB71C7">
          <w:rPr>
            <w:rStyle w:val="Hyperlink"/>
            <w:noProof/>
          </w:rPr>
          <w:t>1</w:t>
        </w:r>
        <w:r w:rsidR="00083D21" w:rsidRPr="00BB71C7">
          <w:rPr>
            <w:rFonts w:asciiTheme="minorHAnsi" w:eastAsiaTheme="minorEastAsia" w:hAnsiTheme="minorHAnsi" w:cstheme="minorBidi"/>
            <w:noProof/>
            <w:kern w:val="2"/>
            <w:sz w:val="22"/>
            <w:szCs w:val="22"/>
            <w14:ligatures w14:val="standardContextual"/>
          </w:rPr>
          <w:tab/>
        </w:r>
        <w:r w:rsidR="00083D21" w:rsidRPr="00BB71C7">
          <w:rPr>
            <w:rStyle w:val="Hyperlink"/>
            <w:noProof/>
          </w:rPr>
          <w:t>Name of legislative instrument</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_Toc161829373 \h </w:instrText>
        </w:r>
        <w:r w:rsidR="00083D21" w:rsidRPr="00BB71C7">
          <w:rPr>
            <w:noProof/>
            <w:webHidden/>
          </w:rPr>
        </w:r>
        <w:r w:rsidR="00083D21" w:rsidRPr="00BB71C7">
          <w:rPr>
            <w:noProof/>
            <w:webHidden/>
          </w:rPr>
          <w:fldChar w:fldCharType="separate"/>
        </w:r>
        <w:r w:rsidR="00083D21" w:rsidRPr="00BB71C7">
          <w:rPr>
            <w:noProof/>
            <w:webHidden/>
          </w:rPr>
          <w:t>3</w:t>
        </w:r>
        <w:r w:rsidR="00083D21" w:rsidRPr="00BB71C7">
          <w:rPr>
            <w:noProof/>
            <w:webHidden/>
          </w:rPr>
          <w:fldChar w:fldCharType="end"/>
        </w:r>
      </w:hyperlink>
    </w:p>
    <w:p w14:paraId="62F4A93B" w14:textId="701D3E37" w:rsidR="00083D21" w:rsidRPr="00BB71C7" w:rsidRDefault="00BB71C7">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374" w:history="1">
        <w:r w:rsidR="00083D21" w:rsidRPr="00BB71C7">
          <w:rPr>
            <w:rStyle w:val="Hyperlink"/>
            <w:noProof/>
          </w:rPr>
          <w:t>2</w:t>
        </w:r>
        <w:r w:rsidR="00083D21" w:rsidRPr="00BB71C7">
          <w:rPr>
            <w:rFonts w:asciiTheme="minorHAnsi" w:eastAsiaTheme="minorEastAsia" w:hAnsiTheme="minorHAnsi" w:cstheme="minorBidi"/>
            <w:noProof/>
            <w:kern w:val="2"/>
            <w:sz w:val="22"/>
            <w:szCs w:val="22"/>
            <w14:ligatures w14:val="standardContextual"/>
          </w:rPr>
          <w:tab/>
        </w:r>
        <w:r w:rsidR="00083D21" w:rsidRPr="00BB71C7">
          <w:rPr>
            <w:rStyle w:val="Hyperlink"/>
            <w:noProof/>
          </w:rPr>
          <w:t>Commencement</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_Toc161829374 \h </w:instrText>
        </w:r>
        <w:r w:rsidR="00083D21" w:rsidRPr="00BB71C7">
          <w:rPr>
            <w:noProof/>
            <w:webHidden/>
          </w:rPr>
        </w:r>
        <w:r w:rsidR="00083D21" w:rsidRPr="00BB71C7">
          <w:rPr>
            <w:noProof/>
            <w:webHidden/>
          </w:rPr>
          <w:fldChar w:fldCharType="separate"/>
        </w:r>
        <w:r w:rsidR="00083D21" w:rsidRPr="00BB71C7">
          <w:rPr>
            <w:noProof/>
            <w:webHidden/>
          </w:rPr>
          <w:t>3</w:t>
        </w:r>
        <w:r w:rsidR="00083D21" w:rsidRPr="00BB71C7">
          <w:rPr>
            <w:noProof/>
            <w:webHidden/>
          </w:rPr>
          <w:fldChar w:fldCharType="end"/>
        </w:r>
      </w:hyperlink>
    </w:p>
    <w:p w14:paraId="5F0D1ED0" w14:textId="30560A7B" w:rsidR="00083D21" w:rsidRPr="00BB71C7" w:rsidRDefault="00BB71C7">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375" w:history="1">
        <w:r w:rsidR="00083D21" w:rsidRPr="00BB71C7">
          <w:rPr>
            <w:rStyle w:val="Hyperlink"/>
            <w:noProof/>
          </w:rPr>
          <w:t>3</w:t>
        </w:r>
        <w:r w:rsidR="00083D21" w:rsidRPr="00BB71C7">
          <w:rPr>
            <w:rFonts w:asciiTheme="minorHAnsi" w:eastAsiaTheme="minorEastAsia" w:hAnsiTheme="minorHAnsi" w:cstheme="minorBidi"/>
            <w:noProof/>
            <w:kern w:val="2"/>
            <w:sz w:val="22"/>
            <w:szCs w:val="22"/>
            <w14:ligatures w14:val="standardContextual"/>
          </w:rPr>
          <w:tab/>
        </w:r>
        <w:r w:rsidR="00083D21" w:rsidRPr="00BB71C7">
          <w:rPr>
            <w:rStyle w:val="Hyperlink"/>
            <w:noProof/>
          </w:rPr>
          <w:t>Authority</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_Toc161829375 \h </w:instrText>
        </w:r>
        <w:r w:rsidR="00083D21" w:rsidRPr="00BB71C7">
          <w:rPr>
            <w:noProof/>
            <w:webHidden/>
          </w:rPr>
        </w:r>
        <w:r w:rsidR="00083D21" w:rsidRPr="00BB71C7">
          <w:rPr>
            <w:noProof/>
            <w:webHidden/>
          </w:rPr>
          <w:fldChar w:fldCharType="separate"/>
        </w:r>
        <w:r w:rsidR="00083D21" w:rsidRPr="00BB71C7">
          <w:rPr>
            <w:noProof/>
            <w:webHidden/>
          </w:rPr>
          <w:t>3</w:t>
        </w:r>
        <w:r w:rsidR="00083D21" w:rsidRPr="00BB71C7">
          <w:rPr>
            <w:noProof/>
            <w:webHidden/>
          </w:rPr>
          <w:fldChar w:fldCharType="end"/>
        </w:r>
      </w:hyperlink>
    </w:p>
    <w:p w14:paraId="1563FE5C" w14:textId="54488268" w:rsidR="00083D21" w:rsidRPr="00BB71C7" w:rsidRDefault="00BB71C7">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376" w:history="1">
        <w:r w:rsidR="00083D21" w:rsidRPr="00BB71C7">
          <w:rPr>
            <w:rStyle w:val="Hyperlink"/>
            <w:noProof/>
          </w:rPr>
          <w:t>4</w:t>
        </w:r>
        <w:r w:rsidR="00083D21" w:rsidRPr="00BB71C7">
          <w:rPr>
            <w:rFonts w:asciiTheme="minorHAnsi" w:eastAsiaTheme="minorEastAsia" w:hAnsiTheme="minorHAnsi" w:cstheme="minorBidi"/>
            <w:noProof/>
            <w:kern w:val="2"/>
            <w:sz w:val="22"/>
            <w:szCs w:val="22"/>
            <w14:ligatures w14:val="standardContextual"/>
          </w:rPr>
          <w:tab/>
        </w:r>
        <w:r w:rsidR="00083D21" w:rsidRPr="00BB71C7">
          <w:rPr>
            <w:rStyle w:val="Hyperlink"/>
            <w:noProof/>
          </w:rPr>
          <w:t>Definitions</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_Toc161829376 \h </w:instrText>
        </w:r>
        <w:r w:rsidR="00083D21" w:rsidRPr="00BB71C7">
          <w:rPr>
            <w:noProof/>
            <w:webHidden/>
          </w:rPr>
        </w:r>
        <w:r w:rsidR="00083D21" w:rsidRPr="00BB71C7">
          <w:rPr>
            <w:noProof/>
            <w:webHidden/>
          </w:rPr>
          <w:fldChar w:fldCharType="separate"/>
        </w:r>
        <w:r w:rsidR="00083D21" w:rsidRPr="00BB71C7">
          <w:rPr>
            <w:noProof/>
            <w:webHidden/>
          </w:rPr>
          <w:t>3</w:t>
        </w:r>
        <w:r w:rsidR="00083D21" w:rsidRPr="00BB71C7">
          <w:rPr>
            <w:noProof/>
            <w:webHidden/>
          </w:rPr>
          <w:fldChar w:fldCharType="end"/>
        </w:r>
      </w:hyperlink>
    </w:p>
    <w:p w14:paraId="3821DF5F" w14:textId="5B668556" w:rsidR="00083D21" w:rsidRPr="00BB71C7" w:rsidRDefault="00BB71C7">
      <w:pPr>
        <w:pStyle w:val="TOC1"/>
        <w:rPr>
          <w:rFonts w:asciiTheme="minorHAnsi" w:eastAsiaTheme="minorEastAsia" w:hAnsiTheme="minorHAnsi" w:cstheme="minorBidi"/>
          <w:b w:val="0"/>
          <w:noProof/>
          <w:kern w:val="2"/>
          <w:sz w:val="22"/>
          <w:szCs w:val="22"/>
          <w14:ligatures w14:val="standardContextual"/>
        </w:rPr>
      </w:pPr>
      <w:hyperlink w:anchor="_Toc161829377" w:history="1">
        <w:r w:rsidR="00083D21" w:rsidRPr="00BB71C7">
          <w:rPr>
            <w:rStyle w:val="Hyperlink"/>
            <w:noProof/>
          </w:rPr>
          <w:t>Part 2—Declaration</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_Toc161829377 \h </w:instrText>
        </w:r>
        <w:r w:rsidR="00083D21" w:rsidRPr="00BB71C7">
          <w:rPr>
            <w:noProof/>
            <w:webHidden/>
          </w:rPr>
        </w:r>
        <w:r w:rsidR="00083D21" w:rsidRPr="00BB71C7">
          <w:rPr>
            <w:noProof/>
            <w:webHidden/>
          </w:rPr>
          <w:fldChar w:fldCharType="separate"/>
        </w:r>
        <w:r w:rsidR="00083D21" w:rsidRPr="00BB71C7">
          <w:rPr>
            <w:noProof/>
            <w:webHidden/>
          </w:rPr>
          <w:t>4</w:t>
        </w:r>
        <w:r w:rsidR="00083D21" w:rsidRPr="00BB71C7">
          <w:rPr>
            <w:noProof/>
            <w:webHidden/>
          </w:rPr>
          <w:fldChar w:fldCharType="end"/>
        </w:r>
      </w:hyperlink>
    </w:p>
    <w:p w14:paraId="06831216" w14:textId="774C7CE2" w:rsidR="00083D21" w:rsidRPr="00BB71C7" w:rsidRDefault="00BB71C7">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378" w:history="1">
        <w:r w:rsidR="00083D21" w:rsidRPr="00BB71C7">
          <w:rPr>
            <w:rStyle w:val="Hyperlink"/>
            <w:noProof/>
          </w:rPr>
          <w:t>5</w:t>
        </w:r>
        <w:r w:rsidR="00083D21" w:rsidRPr="00BB71C7">
          <w:rPr>
            <w:rFonts w:asciiTheme="minorHAnsi" w:eastAsiaTheme="minorEastAsia" w:hAnsiTheme="minorHAnsi" w:cstheme="minorBidi"/>
            <w:noProof/>
            <w:kern w:val="2"/>
            <w:sz w:val="22"/>
            <w:szCs w:val="22"/>
            <w14:ligatures w14:val="standardContextual"/>
          </w:rPr>
          <w:tab/>
        </w:r>
        <w:r w:rsidR="00083D21" w:rsidRPr="00BB71C7">
          <w:rPr>
            <w:rStyle w:val="Hyperlink"/>
            <w:noProof/>
          </w:rPr>
          <w:t>Information required in a periodic statement</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_Toc161829378 \h </w:instrText>
        </w:r>
        <w:r w:rsidR="00083D21" w:rsidRPr="00BB71C7">
          <w:rPr>
            <w:noProof/>
            <w:webHidden/>
          </w:rPr>
        </w:r>
        <w:r w:rsidR="00083D21" w:rsidRPr="00BB71C7">
          <w:rPr>
            <w:noProof/>
            <w:webHidden/>
          </w:rPr>
          <w:fldChar w:fldCharType="separate"/>
        </w:r>
        <w:r w:rsidR="00083D21" w:rsidRPr="00BB71C7">
          <w:rPr>
            <w:noProof/>
            <w:webHidden/>
          </w:rPr>
          <w:t>4</w:t>
        </w:r>
        <w:r w:rsidR="00083D21" w:rsidRPr="00BB71C7">
          <w:rPr>
            <w:noProof/>
            <w:webHidden/>
          </w:rPr>
          <w:fldChar w:fldCharType="end"/>
        </w:r>
      </w:hyperlink>
    </w:p>
    <w:p w14:paraId="6D598FE9" w14:textId="4807034C" w:rsidR="00083D21" w:rsidRPr="00BB71C7" w:rsidRDefault="00BB71C7">
      <w:pPr>
        <w:pStyle w:val="TOC1"/>
        <w:rPr>
          <w:rFonts w:asciiTheme="minorHAnsi" w:eastAsiaTheme="minorEastAsia" w:hAnsiTheme="minorHAnsi" w:cstheme="minorBidi"/>
          <w:b w:val="0"/>
          <w:noProof/>
          <w:kern w:val="2"/>
          <w:sz w:val="22"/>
          <w:szCs w:val="22"/>
          <w14:ligatures w14:val="standardContextual"/>
        </w:rPr>
      </w:pPr>
      <w:hyperlink w:anchor="_Toc161829379" w:history="1">
        <w:r w:rsidR="00083D21" w:rsidRPr="00BB71C7">
          <w:rPr>
            <w:rStyle w:val="Hyperlink"/>
            <w:noProof/>
          </w:rPr>
          <w:t>Part 3—Repeal</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_Toc161829379 \h </w:instrText>
        </w:r>
        <w:r w:rsidR="00083D21" w:rsidRPr="00BB71C7">
          <w:rPr>
            <w:noProof/>
            <w:webHidden/>
          </w:rPr>
        </w:r>
        <w:r w:rsidR="00083D21" w:rsidRPr="00BB71C7">
          <w:rPr>
            <w:noProof/>
            <w:webHidden/>
          </w:rPr>
          <w:fldChar w:fldCharType="separate"/>
        </w:r>
        <w:r w:rsidR="00083D21" w:rsidRPr="00BB71C7">
          <w:rPr>
            <w:noProof/>
            <w:webHidden/>
          </w:rPr>
          <w:t>9</w:t>
        </w:r>
        <w:r w:rsidR="00083D21" w:rsidRPr="00BB71C7">
          <w:rPr>
            <w:noProof/>
            <w:webHidden/>
          </w:rPr>
          <w:fldChar w:fldCharType="end"/>
        </w:r>
      </w:hyperlink>
    </w:p>
    <w:p w14:paraId="1FF2C725" w14:textId="3312DBB5" w:rsidR="00083D21" w:rsidRPr="00BB71C7" w:rsidRDefault="00BB71C7">
      <w:pPr>
        <w:pStyle w:val="TOC2"/>
        <w:tabs>
          <w:tab w:val="left" w:pos="1474"/>
        </w:tabs>
        <w:rPr>
          <w:rFonts w:asciiTheme="minorHAnsi" w:eastAsiaTheme="minorEastAsia" w:hAnsiTheme="minorHAnsi" w:cstheme="minorBidi"/>
          <w:noProof/>
          <w:kern w:val="2"/>
          <w:sz w:val="22"/>
          <w:szCs w:val="22"/>
          <w14:ligatures w14:val="standardContextual"/>
        </w:rPr>
      </w:pPr>
      <w:hyperlink w:anchor="_Toc161829380" w:history="1">
        <w:r w:rsidR="00083D21" w:rsidRPr="00BB71C7">
          <w:rPr>
            <w:rStyle w:val="Hyperlink"/>
            <w:noProof/>
          </w:rPr>
          <w:t>6</w:t>
        </w:r>
        <w:r w:rsidR="00083D21" w:rsidRPr="00BB71C7">
          <w:rPr>
            <w:rFonts w:asciiTheme="minorHAnsi" w:eastAsiaTheme="minorEastAsia" w:hAnsiTheme="minorHAnsi" w:cstheme="minorBidi"/>
            <w:noProof/>
            <w:kern w:val="2"/>
            <w:sz w:val="22"/>
            <w:szCs w:val="22"/>
            <w14:ligatures w14:val="standardContextual"/>
          </w:rPr>
          <w:tab/>
        </w:r>
        <w:r w:rsidR="00083D21" w:rsidRPr="00BB71C7">
          <w:rPr>
            <w:rStyle w:val="Hyperlink"/>
            <w:noProof/>
          </w:rPr>
          <w:t>Repeal</w:t>
        </w:r>
        <w:r w:rsidR="00083D21" w:rsidRPr="00BB71C7">
          <w:rPr>
            <w:noProof/>
            <w:webHidden/>
          </w:rPr>
          <w:tab/>
        </w:r>
        <w:r w:rsidR="00083D21" w:rsidRPr="00BB71C7">
          <w:rPr>
            <w:noProof/>
            <w:webHidden/>
          </w:rPr>
          <w:fldChar w:fldCharType="begin"/>
        </w:r>
        <w:r w:rsidR="00083D21" w:rsidRPr="00BB71C7">
          <w:rPr>
            <w:noProof/>
            <w:webHidden/>
          </w:rPr>
          <w:instrText xml:space="preserve"> PAGEREF _Toc161829380 \h </w:instrText>
        </w:r>
        <w:r w:rsidR="00083D21" w:rsidRPr="00BB71C7">
          <w:rPr>
            <w:noProof/>
            <w:webHidden/>
          </w:rPr>
        </w:r>
        <w:r w:rsidR="00083D21" w:rsidRPr="00BB71C7">
          <w:rPr>
            <w:noProof/>
            <w:webHidden/>
          </w:rPr>
          <w:fldChar w:fldCharType="separate"/>
        </w:r>
        <w:r w:rsidR="00083D21" w:rsidRPr="00BB71C7">
          <w:rPr>
            <w:noProof/>
            <w:webHidden/>
          </w:rPr>
          <w:t>9</w:t>
        </w:r>
        <w:r w:rsidR="00083D21" w:rsidRPr="00BB71C7">
          <w:rPr>
            <w:noProof/>
            <w:webHidden/>
          </w:rPr>
          <w:fldChar w:fldCharType="end"/>
        </w:r>
      </w:hyperlink>
    </w:p>
    <w:p w14:paraId="34C1D0AC" w14:textId="3FCEA6B1" w:rsidR="00670EA1" w:rsidRPr="00F61B09" w:rsidRDefault="00015719" w:rsidP="00715914">
      <w:r w:rsidRPr="00BB71C7">
        <w:rPr>
          <w:rFonts w:eastAsia="Times New Roman"/>
          <w:kern w:val="28"/>
          <w:sz w:val="28"/>
          <w:lang w:eastAsia="en-AU"/>
        </w:rPr>
        <w:fldChar w:fldCharType="end"/>
      </w:r>
    </w:p>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161829372"/>
      <w:bookmarkEnd w:id="2"/>
      <w:r w:rsidRPr="006554FF">
        <w:lastRenderedPageBreak/>
        <w:t>Part</w:t>
      </w:r>
      <w:r w:rsidR="00F61B09" w:rsidRPr="006554FF">
        <w:t> </w:t>
      </w:r>
      <w:r w:rsidRPr="006E5320">
        <w:t>1</w:t>
      </w:r>
      <w:r w:rsidRPr="00F61B09">
        <w:t>—</w:t>
      </w:r>
      <w:r w:rsidRPr="00005446">
        <w:t>Preliminary</w:t>
      </w:r>
      <w:bookmarkEnd w:id="3"/>
    </w:p>
    <w:p w14:paraId="15EC5A0A" w14:textId="77777777" w:rsidR="00FA31DE" w:rsidRDefault="00FA31DE" w:rsidP="00C11452">
      <w:pPr>
        <w:pStyle w:val="LI-Heading2"/>
        <w:rPr>
          <w:szCs w:val="24"/>
        </w:rPr>
      </w:pPr>
      <w:bookmarkStart w:id="4" w:name="_Toc16182937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2746DE4B" w14:textId="173C2ABF" w:rsidR="00FA31DE" w:rsidRDefault="00FA31DE" w:rsidP="4969DA46">
      <w:pPr>
        <w:pStyle w:val="LI-BodyTextUnnumbered"/>
      </w:pPr>
      <w:r>
        <w:t xml:space="preserve">This </w:t>
      </w:r>
      <w:r w:rsidR="008C0F29">
        <w:t>is</w:t>
      </w:r>
      <w:r w:rsidR="009D195A">
        <w:t xml:space="preserve"> the</w:t>
      </w:r>
      <w:r w:rsidR="008C0F29">
        <w:t xml:space="preserve"> </w:t>
      </w:r>
      <w:r w:rsidR="00B8686E" w:rsidRPr="4969DA46">
        <w:rPr>
          <w:i/>
          <w:iCs/>
        </w:rPr>
        <w:t xml:space="preserve">ASIC Corporations (Periodic </w:t>
      </w:r>
      <w:r w:rsidR="002B09B2" w:rsidRPr="4969DA46">
        <w:rPr>
          <w:i/>
          <w:iCs/>
        </w:rPr>
        <w:t>S</w:t>
      </w:r>
      <w:r w:rsidR="00B8686E" w:rsidRPr="4969DA46">
        <w:rPr>
          <w:i/>
          <w:iCs/>
        </w:rPr>
        <w:t xml:space="preserve">tatement </w:t>
      </w:r>
      <w:r w:rsidR="002B09B2" w:rsidRPr="4969DA46">
        <w:rPr>
          <w:i/>
          <w:iCs/>
        </w:rPr>
        <w:t>R</w:t>
      </w:r>
      <w:r w:rsidR="00B8686E" w:rsidRPr="4969DA46">
        <w:rPr>
          <w:i/>
          <w:iCs/>
        </w:rPr>
        <w:t xml:space="preserve">elief for </w:t>
      </w:r>
      <w:r w:rsidR="002B09B2" w:rsidRPr="4969DA46">
        <w:rPr>
          <w:i/>
          <w:iCs/>
        </w:rPr>
        <w:t>Q</w:t>
      </w:r>
      <w:r w:rsidR="008016E5" w:rsidRPr="4969DA46">
        <w:rPr>
          <w:i/>
          <w:iCs/>
        </w:rPr>
        <w:t xml:space="preserve">uoted </w:t>
      </w:r>
      <w:r w:rsidR="002B09B2" w:rsidRPr="4969DA46">
        <w:rPr>
          <w:i/>
          <w:iCs/>
        </w:rPr>
        <w:t>Securities</w:t>
      </w:r>
      <w:r w:rsidR="00B8686E" w:rsidRPr="4969DA46">
        <w:rPr>
          <w:i/>
          <w:iCs/>
        </w:rPr>
        <w:t>) Instrument 202</w:t>
      </w:r>
      <w:r w:rsidR="00BA4594" w:rsidRPr="4969DA46">
        <w:rPr>
          <w:i/>
          <w:iCs/>
        </w:rPr>
        <w:t>4</w:t>
      </w:r>
      <w:r w:rsidR="00132F60" w:rsidRPr="4969DA46">
        <w:rPr>
          <w:i/>
          <w:iCs/>
        </w:rPr>
        <w:t>/</w:t>
      </w:r>
      <w:r w:rsidR="3D8835AC" w:rsidRPr="001B656C">
        <w:rPr>
          <w:i/>
          <w:iCs/>
        </w:rPr>
        <w:t>14</w:t>
      </w:r>
      <w:r w:rsidR="00132F60">
        <w:t>.</w:t>
      </w:r>
    </w:p>
    <w:p w14:paraId="64CAA09C" w14:textId="77777777" w:rsidR="00FA31DE" w:rsidRPr="008C0F29" w:rsidRDefault="00FA31DE" w:rsidP="00C11452">
      <w:pPr>
        <w:pStyle w:val="LI-Heading2"/>
        <w:rPr>
          <w:szCs w:val="24"/>
        </w:rPr>
      </w:pPr>
      <w:bookmarkStart w:id="5" w:name="_Toc161829374"/>
      <w:r w:rsidRPr="008C0F29">
        <w:rPr>
          <w:szCs w:val="24"/>
        </w:rPr>
        <w:t>2</w:t>
      </w:r>
      <w:r w:rsidR="00FC3EB8">
        <w:rPr>
          <w:szCs w:val="24"/>
        </w:rPr>
        <w:tab/>
      </w:r>
      <w:r w:rsidRPr="008C0F29">
        <w:rPr>
          <w:szCs w:val="24"/>
        </w:rPr>
        <w:t>Commencement</w:t>
      </w:r>
      <w:bookmarkEnd w:id="5"/>
    </w:p>
    <w:p w14:paraId="4C8077CF" w14:textId="77777777"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2DB70FFB" w14:textId="77777777" w:rsidR="00FA31DE" w:rsidRPr="008C0F29" w:rsidRDefault="00FA31DE" w:rsidP="00EC4757">
      <w:pPr>
        <w:pStyle w:val="LI-Heading2"/>
        <w:spacing w:before="240"/>
        <w:rPr>
          <w:szCs w:val="24"/>
        </w:rPr>
      </w:pPr>
      <w:bookmarkStart w:id="6" w:name="_Toc161829375"/>
      <w:r w:rsidRPr="008C0F29">
        <w:rPr>
          <w:szCs w:val="24"/>
        </w:rPr>
        <w:t>3</w:t>
      </w:r>
      <w:r w:rsidR="00FC3EB8">
        <w:rPr>
          <w:szCs w:val="24"/>
        </w:rPr>
        <w:tab/>
      </w:r>
      <w:r w:rsidRPr="008C0F29">
        <w:rPr>
          <w:szCs w:val="24"/>
        </w:rPr>
        <w:t>Authority</w:t>
      </w:r>
      <w:bookmarkEnd w:id="6"/>
    </w:p>
    <w:p w14:paraId="62ECD770" w14:textId="06876915"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1B7B89">
        <w:rPr>
          <w:szCs w:val="24"/>
        </w:rPr>
        <w:t>paragraph 1020F(1)(c)</w:t>
      </w:r>
      <w:r w:rsidR="008C0F29" w:rsidRPr="005D3D41">
        <w:rPr>
          <w:szCs w:val="24"/>
        </w:rPr>
        <w:t xml:space="preserve"> </w:t>
      </w:r>
      <w:r w:rsidRPr="005D3D41">
        <w:rPr>
          <w:szCs w:val="24"/>
        </w:rPr>
        <w:t xml:space="preserve">of </w:t>
      </w:r>
      <w:r w:rsidR="001B7B89">
        <w:rPr>
          <w:szCs w:val="24"/>
        </w:rPr>
        <w:t xml:space="preserve">the </w:t>
      </w:r>
      <w:r w:rsidR="001B7B89">
        <w:rPr>
          <w:i/>
          <w:iCs/>
          <w:szCs w:val="24"/>
        </w:rPr>
        <w:t>Corporations Act 2001</w:t>
      </w:r>
      <w:r w:rsidRPr="008C0F29">
        <w:rPr>
          <w:szCs w:val="24"/>
        </w:rPr>
        <w:t>.</w:t>
      </w:r>
    </w:p>
    <w:p w14:paraId="3311D9ED" w14:textId="77777777" w:rsidR="00FA31DE" w:rsidRPr="00BB5C17" w:rsidRDefault="008C0F29" w:rsidP="00EC4757">
      <w:pPr>
        <w:pStyle w:val="LI-Heading2"/>
        <w:spacing w:before="240"/>
        <w:rPr>
          <w:szCs w:val="24"/>
        </w:rPr>
      </w:pPr>
      <w:bookmarkStart w:id="7" w:name="_Toc161829376"/>
      <w:r w:rsidRPr="00BB5C17">
        <w:rPr>
          <w:szCs w:val="24"/>
        </w:rPr>
        <w:t>4</w:t>
      </w:r>
      <w:r w:rsidR="00FC3EB8">
        <w:rPr>
          <w:szCs w:val="24"/>
        </w:rPr>
        <w:tab/>
      </w:r>
      <w:r w:rsidR="00FA31DE" w:rsidRPr="00BB5C17">
        <w:rPr>
          <w:szCs w:val="24"/>
        </w:rPr>
        <w:t>Definitions</w:t>
      </w:r>
      <w:bookmarkEnd w:id="7"/>
    </w:p>
    <w:p w14:paraId="4EE224B3" w14:textId="77777777" w:rsidR="00FA31DE" w:rsidRPr="00005446" w:rsidRDefault="00FA31DE" w:rsidP="00005446">
      <w:pPr>
        <w:pStyle w:val="LI-BodyTextUnnumbered"/>
      </w:pPr>
      <w:r w:rsidRPr="00005446">
        <w:t xml:space="preserve">In this </w:t>
      </w:r>
      <w:r w:rsidR="008C0F29" w:rsidRPr="00005446">
        <w:t>instrument</w:t>
      </w:r>
      <w:r w:rsidRPr="00005446">
        <w:t>:</w:t>
      </w:r>
    </w:p>
    <w:p w14:paraId="2BD2573C" w14:textId="77777777" w:rsidR="00DB0C4D" w:rsidRDefault="00702EFD" w:rsidP="00005446">
      <w:pPr>
        <w:pStyle w:val="LI-BodyTextUnnumbered"/>
      </w:pPr>
      <w:r>
        <w:rPr>
          <w:b/>
          <w:i/>
        </w:rPr>
        <w:t>Act</w:t>
      </w:r>
      <w:r w:rsidRPr="00E85A91">
        <w:t xml:space="preserve"> means</w:t>
      </w:r>
      <w:r>
        <w:t xml:space="preserve"> the </w:t>
      </w:r>
      <w:r w:rsidR="001B7B89">
        <w:rPr>
          <w:i/>
          <w:iCs/>
        </w:rPr>
        <w:t>Corporations Act 2001</w:t>
      </w:r>
      <w:r>
        <w:t>.</w:t>
      </w:r>
    </w:p>
    <w:p w14:paraId="74C695AE" w14:textId="35173B76" w:rsidR="00DB0C4D" w:rsidRDefault="00DB0C4D" w:rsidP="00DB0C4D">
      <w:pPr>
        <w:pStyle w:val="LI-BodyTextUnnumbered"/>
      </w:pPr>
      <w:r w:rsidRPr="00DB0C4D">
        <w:rPr>
          <w:b/>
          <w:bCs/>
          <w:i/>
          <w:iCs/>
        </w:rPr>
        <w:t>ASX</w:t>
      </w:r>
      <w:r>
        <w:t xml:space="preserve"> means ASX Limited</w:t>
      </w:r>
      <w:r w:rsidR="00955D8A" w:rsidRPr="00955D8A">
        <w:t xml:space="preserve"> </w:t>
      </w:r>
      <w:r w:rsidR="00955D8A">
        <w:t>ACN 008 624 691</w:t>
      </w:r>
      <w:r>
        <w:t>.</w:t>
      </w:r>
    </w:p>
    <w:p w14:paraId="63EE11ED" w14:textId="23EF8342" w:rsidR="00A439D4" w:rsidRPr="00B23CB1" w:rsidRDefault="00DB0C4D" w:rsidP="00B23CB1">
      <w:pPr>
        <w:pStyle w:val="LI-BodyTextUnnumbered"/>
      </w:pPr>
      <w:proofErr w:type="spellStart"/>
      <w:r w:rsidRPr="00DB0C4D">
        <w:rPr>
          <w:b/>
          <w:bCs/>
          <w:i/>
          <w:iCs/>
        </w:rPr>
        <w:t>Cboe</w:t>
      </w:r>
      <w:proofErr w:type="spellEnd"/>
      <w:r>
        <w:t xml:space="preserve"> means </w:t>
      </w:r>
      <w:proofErr w:type="spellStart"/>
      <w:r>
        <w:t>Cboe</w:t>
      </w:r>
      <w:proofErr w:type="spellEnd"/>
      <w:r>
        <w:t xml:space="preserve"> Australia Pty Ltd</w:t>
      </w:r>
      <w:r w:rsidR="00383ECB">
        <w:t xml:space="preserve"> ACN 129 584 667</w:t>
      </w:r>
      <w:r>
        <w:t>.</w:t>
      </w:r>
    </w:p>
    <w:p w14:paraId="3A0A0F54" w14:textId="1422EFE0" w:rsidR="00DB0C4D" w:rsidRPr="00C36E75" w:rsidRDefault="00841993" w:rsidP="00853E2A">
      <w:pPr>
        <w:pStyle w:val="LI-BodyTextUnnumbered"/>
      </w:pPr>
      <w:bookmarkStart w:id="8" w:name="_Hlk161667471"/>
      <w:r w:rsidRPr="00C36E75">
        <w:rPr>
          <w:b/>
          <w:bCs/>
          <w:i/>
          <w:iCs/>
        </w:rPr>
        <w:t xml:space="preserve">ETF </w:t>
      </w:r>
      <w:r w:rsidR="00DB0C4D" w:rsidRPr="00C36E75">
        <w:t>(</w:t>
      </w:r>
      <w:r w:rsidRPr="00C36E75">
        <w:t>short for exchange traded fund</w:t>
      </w:r>
      <w:r w:rsidR="00DB0C4D" w:rsidRPr="00C36E75">
        <w:t xml:space="preserve">) means a registered scheme or </w:t>
      </w:r>
      <w:r w:rsidR="006013D3" w:rsidRPr="00C36E75">
        <w:t>a</w:t>
      </w:r>
      <w:r w:rsidR="00426693" w:rsidRPr="00C36E75">
        <w:t xml:space="preserve"> </w:t>
      </w:r>
      <w:r w:rsidR="00DB0C4D" w:rsidRPr="00C36E75">
        <w:t>sub-fund of a CCIV in relation to which all of the following are satisfied:</w:t>
      </w:r>
    </w:p>
    <w:p w14:paraId="2EFAEBAD" w14:textId="67A02E5B" w:rsidR="00DB0C4D" w:rsidRPr="00C36E75" w:rsidRDefault="00DB0C4D" w:rsidP="00DB0C4D">
      <w:pPr>
        <w:pStyle w:val="LI-BodyTextParaa"/>
      </w:pPr>
      <w:r w:rsidRPr="00C36E75">
        <w:t>(a)</w:t>
      </w:r>
      <w:r w:rsidRPr="00C36E75">
        <w:tab/>
        <w:t xml:space="preserve">interests in the scheme or sub-fund are in a class that </w:t>
      </w:r>
      <w:r w:rsidR="00650989" w:rsidRPr="00C36E75">
        <w:t xml:space="preserve">is </w:t>
      </w:r>
      <w:r w:rsidRPr="00C36E75">
        <w:t xml:space="preserve">able to be traded on a financial market operated by ASX or </w:t>
      </w:r>
      <w:proofErr w:type="spellStart"/>
      <w:r w:rsidRPr="00C36E75">
        <w:t>Cboe</w:t>
      </w:r>
      <w:proofErr w:type="spellEnd"/>
      <w:r w:rsidR="00650989" w:rsidRPr="00C36E75">
        <w:t>,</w:t>
      </w:r>
      <w:r w:rsidRPr="00C36E75">
        <w:t xml:space="preserve"> but the scheme or sub-fund is not listed on either of those </w:t>
      </w:r>
      <w:proofErr w:type="gramStart"/>
      <w:r w:rsidRPr="00C36E75">
        <w:t>markets;</w:t>
      </w:r>
      <w:proofErr w:type="gramEnd"/>
    </w:p>
    <w:p w14:paraId="6B3008D6" w14:textId="2E4DBFDC" w:rsidR="00DB0C4D" w:rsidRPr="00C36E75" w:rsidRDefault="00DB0C4D" w:rsidP="00DB0C4D">
      <w:pPr>
        <w:pStyle w:val="LI-BodyTextParaa"/>
      </w:pPr>
      <w:r w:rsidRPr="00C36E75">
        <w:t>(b)</w:t>
      </w:r>
      <w:r w:rsidRPr="00C36E75">
        <w:tab/>
        <w:t xml:space="preserve">the responsible entity or CCIV has the power and approval to issue interests in that class on any day that those interests are able to be traded on the relevant financial </w:t>
      </w:r>
      <w:proofErr w:type="gramStart"/>
      <w:r w:rsidRPr="00C36E75">
        <w:t>market;</w:t>
      </w:r>
      <w:proofErr w:type="gramEnd"/>
    </w:p>
    <w:p w14:paraId="2CCFF467" w14:textId="78096E9A" w:rsidR="00DB0C4D" w:rsidRPr="00C36E75" w:rsidRDefault="00DB0C4D" w:rsidP="00DB0C4D">
      <w:pPr>
        <w:pStyle w:val="LI-BodyTextParaa"/>
      </w:pPr>
      <w:r w:rsidRPr="00C36E75">
        <w:t>(c)</w:t>
      </w:r>
      <w:r w:rsidRPr="00C36E75">
        <w:tab/>
        <w:t>the responsible entity or CCIV allows applications for</w:t>
      </w:r>
      <w:r w:rsidR="00860D7A" w:rsidRPr="00C36E75">
        <w:t>,</w:t>
      </w:r>
      <w:r w:rsidRPr="00C36E75">
        <w:t xml:space="preserve"> and redemptions of</w:t>
      </w:r>
      <w:r w:rsidR="00860D7A" w:rsidRPr="00C36E75">
        <w:t>,</w:t>
      </w:r>
      <w:r w:rsidRPr="00C36E75">
        <w:t xml:space="preserve"> interests in that class on any day that those interests are able to be traded on the relevant financial </w:t>
      </w:r>
      <w:proofErr w:type="gramStart"/>
      <w:r w:rsidRPr="00C36E75">
        <w:t>market;</w:t>
      </w:r>
      <w:proofErr w:type="gramEnd"/>
    </w:p>
    <w:p w14:paraId="27E138C8" w14:textId="71839DDC" w:rsidR="00B71F86" w:rsidRPr="00BB6C35" w:rsidRDefault="00DB0C4D" w:rsidP="00DB0C4D">
      <w:pPr>
        <w:pStyle w:val="LI-BodyTextParaa"/>
      </w:pPr>
      <w:r w:rsidRPr="00C36E75">
        <w:t>(d)</w:t>
      </w:r>
      <w:r w:rsidRPr="00C36E75">
        <w:tab/>
      </w:r>
      <w:r w:rsidR="00296366" w:rsidRPr="00C36E75">
        <w:t>the responsible entity or CCIV does not make a market (within the meaning of subsection 766D(1), but ignoring subsection 766D(2), of the Act) for those interests</w:t>
      </w:r>
      <w:r w:rsidR="001F3C58" w:rsidRPr="00C36E75">
        <w:t>.</w:t>
      </w:r>
      <w:r w:rsidR="00296366" w:rsidRPr="00BB6C35">
        <w:t xml:space="preserve"> </w:t>
      </w:r>
    </w:p>
    <w:bookmarkEnd w:id="8"/>
    <w:p w14:paraId="062F6837" w14:textId="1C8A5258" w:rsidR="00DB0C4D" w:rsidRDefault="00DB0C4D" w:rsidP="00DB0C4D">
      <w:pPr>
        <w:pStyle w:val="LI-BodyTextUnnumbered"/>
      </w:pPr>
      <w:r w:rsidRPr="00BB6C35">
        <w:rPr>
          <w:b/>
          <w:bCs/>
          <w:i/>
          <w:iCs/>
        </w:rPr>
        <w:t>interest</w:t>
      </w:r>
      <w:r w:rsidRPr="00BB6C35">
        <w:t xml:space="preserve"> in a sub-fund of a CCIV means</w:t>
      </w:r>
      <w:r>
        <w:t xml:space="preserve"> a share in the CCIV that is </w:t>
      </w:r>
      <w:proofErr w:type="spellStart"/>
      <w:r>
        <w:t>referable</w:t>
      </w:r>
      <w:proofErr w:type="spellEnd"/>
      <w:r>
        <w:t xml:space="preserve"> to the sub-fund. </w:t>
      </w:r>
    </w:p>
    <w:p w14:paraId="48898CDA" w14:textId="515C5687" w:rsidR="00A15512" w:rsidRPr="00F61B09" w:rsidRDefault="00A15512" w:rsidP="006554FF">
      <w:pPr>
        <w:pStyle w:val="LI-Heading1"/>
      </w:pPr>
      <w:bookmarkStart w:id="9" w:name="_Toc161829377"/>
      <w:r w:rsidRPr="006E5320">
        <w:lastRenderedPageBreak/>
        <w:t>Part </w:t>
      </w:r>
      <w:r w:rsidR="005445FD">
        <w:t>2</w:t>
      </w:r>
      <w:r w:rsidRPr="006554FF">
        <w:t>—</w:t>
      </w:r>
      <w:r>
        <w:t>Declaration</w:t>
      </w:r>
      <w:bookmarkEnd w:id="9"/>
    </w:p>
    <w:p w14:paraId="5FED5A4A" w14:textId="32504A24" w:rsidR="00A15512" w:rsidRPr="005D3D41" w:rsidRDefault="00AB0138" w:rsidP="002B4A0D">
      <w:pPr>
        <w:pStyle w:val="LI-Heading2"/>
      </w:pPr>
      <w:bookmarkStart w:id="10" w:name="_Toc161829378"/>
      <w:r>
        <w:t>5</w:t>
      </w:r>
      <w:r w:rsidR="002B4A0D">
        <w:tab/>
      </w:r>
      <w:r w:rsidR="00D068FB">
        <w:t xml:space="preserve">Information required in a periodic </w:t>
      </w:r>
      <w:proofErr w:type="gramStart"/>
      <w:r w:rsidR="00D068FB">
        <w:t>statement</w:t>
      </w:r>
      <w:bookmarkEnd w:id="10"/>
      <w:proofErr w:type="gramEnd"/>
    </w:p>
    <w:p w14:paraId="0958B9CD" w14:textId="1E881CAA" w:rsidR="002125D8" w:rsidRDefault="002125D8" w:rsidP="00A4106A">
      <w:pPr>
        <w:pStyle w:val="LI-BodyTextNumbered"/>
        <w:ind w:firstLine="0"/>
      </w:pPr>
      <w:r>
        <w:t xml:space="preserve">Part 7.9 of the Act applies in relation to an interest in a registered scheme or </w:t>
      </w:r>
      <w:r w:rsidR="00550F1F">
        <w:t xml:space="preserve">a </w:t>
      </w:r>
      <w:r>
        <w:t xml:space="preserve">sub-fund of a CCIV that is: </w:t>
      </w:r>
    </w:p>
    <w:p w14:paraId="2BDCB422" w14:textId="0AE90537" w:rsidR="002125D8" w:rsidRDefault="002125D8" w:rsidP="002121F1">
      <w:pPr>
        <w:pStyle w:val="LI-BodyTextParaa"/>
      </w:pPr>
      <w:r>
        <w:t>(a)</w:t>
      </w:r>
      <w:r>
        <w:tab/>
        <w:t>a quoted ED security; or</w:t>
      </w:r>
    </w:p>
    <w:p w14:paraId="4CF73AD7" w14:textId="33989D3A" w:rsidR="002125D8" w:rsidRDefault="002125D8" w:rsidP="002121F1">
      <w:pPr>
        <w:pStyle w:val="LI-BodyTextParaa"/>
      </w:pPr>
      <w:r>
        <w:t xml:space="preserve">(b)   </w:t>
      </w:r>
      <w:r w:rsidR="002121F1">
        <w:t xml:space="preserve"> a</w:t>
      </w:r>
      <w:r w:rsidR="00A4106A">
        <w:t xml:space="preserve">n interest </w:t>
      </w:r>
      <w:r w:rsidR="00855708">
        <w:t xml:space="preserve">in an </w:t>
      </w:r>
      <w:proofErr w:type="gramStart"/>
      <w:r w:rsidR="00D911AC">
        <w:t>ETF</w:t>
      </w:r>
      <w:r>
        <w:t>;</w:t>
      </w:r>
      <w:proofErr w:type="gramEnd"/>
    </w:p>
    <w:p w14:paraId="439936AD" w14:textId="0555E80C" w:rsidR="002125D8" w:rsidRDefault="002125D8" w:rsidP="0099703A">
      <w:pPr>
        <w:pStyle w:val="LI-SectionNote"/>
        <w:ind w:left="1701"/>
      </w:pPr>
      <w:r>
        <w:t xml:space="preserve">Note: </w:t>
      </w:r>
      <w:r w:rsidR="002121F1">
        <w:tab/>
      </w:r>
      <w:r>
        <w:t>Part 7.9 of the Act applies to a CCIV subject to the modifications set out in Division 4 of Part 8B.7</w:t>
      </w:r>
      <w:r w:rsidR="009566F0">
        <w:t xml:space="preserve">: </w:t>
      </w:r>
      <w:r w:rsidR="00EB277F">
        <w:t>see section 1241 of the Act</w:t>
      </w:r>
      <w:r>
        <w:t>.</w:t>
      </w:r>
    </w:p>
    <w:p w14:paraId="67D36C41" w14:textId="77777777" w:rsidR="002125D8" w:rsidRDefault="002125D8" w:rsidP="006714ED">
      <w:pPr>
        <w:pStyle w:val="LI-BodyTextParaa"/>
      </w:pPr>
      <w:r>
        <w:t xml:space="preserve">as if section 1017D were modified or varied as follows: </w:t>
      </w:r>
    </w:p>
    <w:p w14:paraId="34ECD88C" w14:textId="77777777" w:rsidR="002125D8" w:rsidRDefault="002125D8" w:rsidP="006714ED">
      <w:pPr>
        <w:pStyle w:val="LI-BodyTextParaa"/>
      </w:pPr>
      <w:r>
        <w:t>(c)</w:t>
      </w:r>
      <w:r>
        <w:tab/>
        <w:t>after paragraph (5)(f), insert:</w:t>
      </w:r>
    </w:p>
    <w:p w14:paraId="7D3C5204" w14:textId="024ABC57" w:rsidR="002125D8" w:rsidRDefault="002125D8" w:rsidP="00080647">
      <w:pPr>
        <w:pStyle w:val="LI-Sectionparaa"/>
        <w:ind w:left="2268"/>
      </w:pPr>
      <w:r>
        <w:t>“(fa)</w:t>
      </w:r>
      <w:r>
        <w:tab/>
        <w:t>if the financial product is an interest in a registered scheme or</w:t>
      </w:r>
      <w:r w:rsidR="00801CE6">
        <w:t xml:space="preserve"> a</w:t>
      </w:r>
      <w:r>
        <w:t xml:space="preserve"> sub-fund </w:t>
      </w:r>
      <w:r w:rsidR="00801CE6">
        <w:t xml:space="preserve">of a CCIV </w:t>
      </w:r>
      <w:r>
        <w:t>whose first financial year ended on or before the end of the reporting period, information about the performance of the scheme or sub-fund relative to the investment objectives of the scheme or sub-fund that the issuer reasonably believes is sufficient for the holder to make an informed assessment of the performance of the scheme or sub-fund for the following periods:</w:t>
      </w:r>
    </w:p>
    <w:p w14:paraId="0E235785" w14:textId="77777777" w:rsidR="002125D8" w:rsidRDefault="002125D8" w:rsidP="00080647">
      <w:pPr>
        <w:pStyle w:val="LI-Sectionsubparai"/>
        <w:ind w:left="2835"/>
      </w:pPr>
      <w:r>
        <w:t>(</w:t>
      </w:r>
      <w:proofErr w:type="spellStart"/>
      <w:r>
        <w:t>i</w:t>
      </w:r>
      <w:proofErr w:type="spellEnd"/>
      <w:r>
        <w:t>)</w:t>
      </w:r>
      <w:r>
        <w:tab/>
        <w:t>the period of 1 year ending at the end of the most recent financial year of the scheme or sub-</w:t>
      </w:r>
      <w:proofErr w:type="gramStart"/>
      <w:r>
        <w:t>fund;</w:t>
      </w:r>
      <w:proofErr w:type="gramEnd"/>
      <w:r>
        <w:t xml:space="preserve"> </w:t>
      </w:r>
    </w:p>
    <w:p w14:paraId="7CE14ABA" w14:textId="77777777" w:rsidR="002125D8" w:rsidRDefault="002125D8" w:rsidP="00080647">
      <w:pPr>
        <w:pStyle w:val="LI-Sectionsubparai"/>
        <w:ind w:left="2835"/>
      </w:pPr>
      <w:r>
        <w:t>(ii)</w:t>
      </w:r>
      <w:r>
        <w:tab/>
        <w:t xml:space="preserve">if the scheme or sub-fund has been registered for less than 5 years at the end of the most recent financial year of the scheme or sub-fund, the period starting on the date of registration of the scheme or sub-fund and ending at the end of that financial </w:t>
      </w:r>
      <w:proofErr w:type="gramStart"/>
      <w:r>
        <w:t>year;</w:t>
      </w:r>
      <w:proofErr w:type="gramEnd"/>
      <w:r>
        <w:t xml:space="preserve"> </w:t>
      </w:r>
    </w:p>
    <w:p w14:paraId="69FCB15C" w14:textId="00D47A96" w:rsidR="002125D8" w:rsidRDefault="002125D8" w:rsidP="00080647">
      <w:pPr>
        <w:pStyle w:val="LI-Sectionsubparai"/>
        <w:ind w:left="2835"/>
      </w:pPr>
      <w:r>
        <w:t>(iii)</w:t>
      </w:r>
      <w:r>
        <w:tab/>
        <w:t>if the scheme or sub-fund has been registered for at least 5 years at the end of the most recent financial year of the scheme or sub-fund, the period of 5 years ending at the end of that financial year;</w:t>
      </w:r>
      <w:proofErr w:type="gramStart"/>
      <w:r>
        <w:t>”;</w:t>
      </w:r>
      <w:proofErr w:type="gramEnd"/>
      <w:r>
        <w:t xml:space="preserve"> </w:t>
      </w:r>
    </w:p>
    <w:p w14:paraId="1E2D16ED" w14:textId="77777777" w:rsidR="002125D8" w:rsidRDefault="002125D8" w:rsidP="006714ED">
      <w:pPr>
        <w:pStyle w:val="LI-BodyTextParaa"/>
      </w:pPr>
      <w:r>
        <w:t>(d)</w:t>
      </w:r>
      <w:r>
        <w:tab/>
        <w:t xml:space="preserve">after subsection (8) (as notionally inserted by regulation 7.9.16O of the </w:t>
      </w:r>
      <w:r w:rsidRPr="00B03B59">
        <w:rPr>
          <w:i/>
          <w:iCs/>
        </w:rPr>
        <w:t>Corporations Regulations 2001</w:t>
      </w:r>
      <w:r>
        <w:t>), insert:</w:t>
      </w:r>
    </w:p>
    <w:p w14:paraId="42D54948" w14:textId="2B261CE9" w:rsidR="002125D8" w:rsidRDefault="002125D8" w:rsidP="006714ED">
      <w:pPr>
        <w:pStyle w:val="LI-SectionSubsectionText"/>
      </w:pPr>
      <w:r>
        <w:t>“(8A)</w:t>
      </w:r>
      <w:r>
        <w:tab/>
        <w:t xml:space="preserve">If the financial product is an interest in a registered scheme or </w:t>
      </w:r>
      <w:r w:rsidR="00504881">
        <w:t xml:space="preserve">a </w:t>
      </w:r>
      <w:r>
        <w:t xml:space="preserve">sub-fund </w:t>
      </w:r>
      <w:r w:rsidR="00504881">
        <w:t xml:space="preserve">of a CCIV </w:t>
      </w:r>
      <w:r>
        <w:t xml:space="preserve">that forms part of a stapled security, the periodic statement: </w:t>
      </w:r>
    </w:p>
    <w:p w14:paraId="0B691811" w14:textId="77777777" w:rsidR="002125D8" w:rsidRDefault="002125D8" w:rsidP="006714ED">
      <w:pPr>
        <w:pStyle w:val="LI-Sectionparaa"/>
      </w:pPr>
      <w:r>
        <w:t>(a)</w:t>
      </w:r>
      <w:r>
        <w:tab/>
        <w:t xml:space="preserve">despite section 1010A, must include the information required by subsections (4), (5) and (5A) as affected by regulations 7.9.16O, 7.9.60B, 7.9.74A and 7.9.75 of the </w:t>
      </w:r>
      <w:r w:rsidRPr="00B03B59">
        <w:rPr>
          <w:i/>
        </w:rPr>
        <w:lastRenderedPageBreak/>
        <w:t>Corporations Regulations 2001</w:t>
      </w:r>
      <w:r>
        <w:t xml:space="preserve"> (the </w:t>
      </w:r>
      <w:r w:rsidRPr="00B03B59">
        <w:rPr>
          <w:b/>
          <w:bCs/>
          <w:i/>
          <w:iCs/>
        </w:rPr>
        <w:t>Regulations</w:t>
      </w:r>
      <w:r>
        <w:t xml:space="preserve">)) and set out such information in the manner and using the terminology and descriptions required by </w:t>
      </w:r>
      <w:proofErr w:type="spellStart"/>
      <w:r>
        <w:t>subregulations</w:t>
      </w:r>
      <w:proofErr w:type="spellEnd"/>
      <w:r>
        <w:t xml:space="preserve"> 7.9.16O(2) and 7.9.60B(7) of the Regulations as if: </w:t>
      </w:r>
    </w:p>
    <w:p w14:paraId="59CCED89" w14:textId="77777777" w:rsidR="002125D8" w:rsidRDefault="002125D8" w:rsidP="00325522">
      <w:pPr>
        <w:pStyle w:val="LI-Sectionsubparai"/>
      </w:pPr>
      <w:r>
        <w:t>(</w:t>
      </w:r>
      <w:proofErr w:type="spellStart"/>
      <w:r>
        <w:t>i</w:t>
      </w:r>
      <w:proofErr w:type="spellEnd"/>
      <w:r>
        <w:t>)</w:t>
      </w:r>
      <w:r>
        <w:tab/>
        <w:t>costs, fees, amounts and other information required in relation to the product were required, and determined, in relation to the stapled security; and</w:t>
      </w:r>
    </w:p>
    <w:p w14:paraId="25C184CD" w14:textId="77777777" w:rsidR="002125D8" w:rsidRDefault="002125D8" w:rsidP="00325522">
      <w:pPr>
        <w:pStyle w:val="LI-Sectionsubparai"/>
      </w:pPr>
      <w:r>
        <w:t>(ii)</w:t>
      </w:r>
      <w:r>
        <w:tab/>
        <w:t xml:space="preserve">costs, fees, amounts and other information required in relation to the scheme or sub-fund were required, and determined, in relation to the stapled security entities in aggregate; and </w:t>
      </w:r>
    </w:p>
    <w:p w14:paraId="0C1072C2" w14:textId="77777777" w:rsidR="002125D8" w:rsidRDefault="002125D8" w:rsidP="00325522">
      <w:pPr>
        <w:pStyle w:val="LI-Sectionsubparai"/>
      </w:pPr>
      <w:r>
        <w:t>(iii)</w:t>
      </w:r>
      <w:r>
        <w:tab/>
        <w:t xml:space="preserve">costs, </w:t>
      </w:r>
      <w:proofErr w:type="gramStart"/>
      <w:r>
        <w:t>fees</w:t>
      </w:r>
      <w:proofErr w:type="gramEnd"/>
      <w:r>
        <w:t xml:space="preserve"> and amounts paid or payable from a stapled security entity to another stapled security entity were ignored; and </w:t>
      </w:r>
    </w:p>
    <w:p w14:paraId="6E0F3E7C" w14:textId="77777777" w:rsidR="002125D8" w:rsidRDefault="002125D8" w:rsidP="00325522">
      <w:pPr>
        <w:pStyle w:val="LI-Sectionsubparai"/>
      </w:pPr>
      <w:r>
        <w:t>(iv)</w:t>
      </w:r>
      <w:r>
        <w:tab/>
        <w:t>the assets of each stapled security entity that is a body were held in a common fund for the holders of the stapled securities; and</w:t>
      </w:r>
    </w:p>
    <w:p w14:paraId="59DD1C39" w14:textId="77777777" w:rsidR="002125D8" w:rsidRDefault="002125D8" w:rsidP="00325522">
      <w:pPr>
        <w:pStyle w:val="LI-Sectionsubparai"/>
      </w:pPr>
      <w:r>
        <w:t>(v)</w:t>
      </w:r>
      <w:r>
        <w:tab/>
        <w:t>the statement required by paragraph 7.9.75(1)(c) of the Regulations need only be made in relation to those components of the stapled security for which there is a dispute resolution mechanism; and</w:t>
      </w:r>
    </w:p>
    <w:p w14:paraId="1290963E" w14:textId="77777777" w:rsidR="002125D8" w:rsidRDefault="002125D8" w:rsidP="00325522">
      <w:pPr>
        <w:pStyle w:val="LI-Sectionparaa"/>
      </w:pPr>
      <w:r>
        <w:t>(b)</w:t>
      </w:r>
      <w:r>
        <w:tab/>
        <w:t xml:space="preserve">other than to the extent necessary to comply with paragraph (a), does not need to: </w:t>
      </w:r>
    </w:p>
    <w:p w14:paraId="4FE092B4" w14:textId="77777777" w:rsidR="002125D8" w:rsidRDefault="002125D8" w:rsidP="00325522">
      <w:pPr>
        <w:pStyle w:val="LI-Sectionsubparai"/>
      </w:pPr>
      <w:r>
        <w:t>(</w:t>
      </w:r>
      <w:proofErr w:type="spellStart"/>
      <w:r>
        <w:t>i</w:t>
      </w:r>
      <w:proofErr w:type="spellEnd"/>
      <w:r>
        <w:t>)</w:t>
      </w:r>
      <w:r>
        <w:tab/>
        <w:t>include such information; or</w:t>
      </w:r>
    </w:p>
    <w:p w14:paraId="7568D67C" w14:textId="77777777" w:rsidR="002125D8" w:rsidRDefault="002125D8" w:rsidP="00325522">
      <w:pPr>
        <w:pStyle w:val="LI-Sectionsubparai"/>
      </w:pPr>
      <w:r>
        <w:t>(ii)</w:t>
      </w:r>
      <w:r>
        <w:tab/>
        <w:t xml:space="preserve">set out such information in a particular manner; or </w:t>
      </w:r>
    </w:p>
    <w:p w14:paraId="51F93DBE" w14:textId="77777777" w:rsidR="002125D8" w:rsidRDefault="002125D8" w:rsidP="00325522">
      <w:pPr>
        <w:pStyle w:val="LI-Sectionsubparai"/>
      </w:pPr>
      <w:r>
        <w:t>(iii)</w:t>
      </w:r>
      <w:r>
        <w:tab/>
        <w:t xml:space="preserve">use the terminology or descriptions required by </w:t>
      </w:r>
      <w:proofErr w:type="spellStart"/>
      <w:r>
        <w:t>subregulations</w:t>
      </w:r>
      <w:proofErr w:type="spellEnd"/>
      <w:r>
        <w:t xml:space="preserve"> 7.9.16O(2) and 7.9.60B(7) of the </w:t>
      </w:r>
      <w:proofErr w:type="gramStart"/>
      <w:r>
        <w:t>Regulations;</w:t>
      </w:r>
      <w:proofErr w:type="gramEnd"/>
    </w:p>
    <w:p w14:paraId="61C29509" w14:textId="77777777" w:rsidR="002125D8" w:rsidRDefault="002125D8" w:rsidP="00325522">
      <w:pPr>
        <w:pStyle w:val="LI-Sectionparaa"/>
        <w:ind w:firstLine="0"/>
      </w:pPr>
      <w:r>
        <w:t>in relation to the product.</w:t>
      </w:r>
    </w:p>
    <w:p w14:paraId="00DC7382" w14:textId="77777777" w:rsidR="002125D8" w:rsidRDefault="002125D8" w:rsidP="00325522">
      <w:pPr>
        <w:pStyle w:val="LI-SectionSubsectionText"/>
      </w:pPr>
      <w:r>
        <w:t>(8B)</w:t>
      </w:r>
      <w:r>
        <w:tab/>
        <w:t xml:space="preserve">This subsection applies in relation to a transfer of a financial product if: </w:t>
      </w:r>
    </w:p>
    <w:p w14:paraId="2447F1A8" w14:textId="518451DC" w:rsidR="002125D8" w:rsidRDefault="002125D8" w:rsidP="00325522">
      <w:pPr>
        <w:pStyle w:val="LI-Sectionparaa"/>
      </w:pPr>
      <w:r>
        <w:t>(a)</w:t>
      </w:r>
      <w:r>
        <w:tab/>
        <w:t xml:space="preserve">the product is an interest in a registered scheme or </w:t>
      </w:r>
      <w:r w:rsidR="00D55126">
        <w:t xml:space="preserve">a </w:t>
      </w:r>
      <w:r>
        <w:t>sub-fund</w:t>
      </w:r>
      <w:r w:rsidR="00D55126">
        <w:t xml:space="preserve"> of a CCIV</w:t>
      </w:r>
      <w:r>
        <w:t xml:space="preserve">; and </w:t>
      </w:r>
    </w:p>
    <w:p w14:paraId="770E930B" w14:textId="77777777" w:rsidR="002125D8" w:rsidRDefault="002125D8" w:rsidP="00325522">
      <w:pPr>
        <w:pStyle w:val="LI-Sectionparaa"/>
      </w:pPr>
      <w:r>
        <w:t>(b)</w:t>
      </w:r>
      <w:r>
        <w:tab/>
        <w:t>the holder acquired or disposed of interests in the scheme or sub-fund under the transfer during the reporting period; and</w:t>
      </w:r>
    </w:p>
    <w:p w14:paraId="052C109D" w14:textId="77777777" w:rsidR="002125D8" w:rsidRDefault="002125D8" w:rsidP="00325522">
      <w:pPr>
        <w:pStyle w:val="LI-Sectionparaa"/>
      </w:pPr>
      <w:r>
        <w:lastRenderedPageBreak/>
        <w:t>(c)</w:t>
      </w:r>
      <w:r>
        <w:tab/>
        <w:t>the issuer is not aware of the price at which the interests were transferred or, if the product forms part of a stapled security, the price at which the stapled securities were transferred.</w:t>
      </w:r>
    </w:p>
    <w:p w14:paraId="0685F96E" w14:textId="77777777" w:rsidR="002125D8" w:rsidRDefault="002125D8" w:rsidP="00325522">
      <w:pPr>
        <w:pStyle w:val="LI-SectionSubsectionText"/>
      </w:pPr>
      <w:r>
        <w:t>(8C)</w:t>
      </w:r>
      <w:r>
        <w:tab/>
        <w:t>Despite subsections (4), (5), (5A) and (8A) and regulation 7.9.74A of the Regulations, if subsection (8B) applies in relation to a transfer of a financial product:</w:t>
      </w:r>
    </w:p>
    <w:p w14:paraId="5CBEB2BF" w14:textId="77777777" w:rsidR="002125D8" w:rsidRDefault="002125D8" w:rsidP="00325522">
      <w:pPr>
        <w:pStyle w:val="LI-Sectionparaa"/>
      </w:pPr>
      <w:r>
        <w:t>(a)</w:t>
      </w:r>
      <w:r>
        <w:tab/>
        <w:t xml:space="preserve">the periodic statement does not need to include: </w:t>
      </w:r>
    </w:p>
    <w:p w14:paraId="1ADC35A9" w14:textId="77777777" w:rsidR="002125D8" w:rsidRDefault="002125D8" w:rsidP="00325522">
      <w:pPr>
        <w:pStyle w:val="LI-Sectionsubparai"/>
      </w:pPr>
      <w:r>
        <w:t>(</w:t>
      </w:r>
      <w:proofErr w:type="spellStart"/>
      <w:r>
        <w:t>i</w:t>
      </w:r>
      <w:proofErr w:type="spellEnd"/>
      <w:r>
        <w:t>)</w:t>
      </w:r>
      <w:r>
        <w:tab/>
        <w:t>the amount per interest or, if applicable, stapled security paid under the transfer, the total amount paid under the transfer or any other amounts in dollars in relation to the transfer; or</w:t>
      </w:r>
    </w:p>
    <w:p w14:paraId="0D0359EE" w14:textId="77777777" w:rsidR="002125D8" w:rsidRDefault="002125D8" w:rsidP="00325522">
      <w:pPr>
        <w:pStyle w:val="LI-Sectionsubparai"/>
      </w:pPr>
      <w:r>
        <w:t>(ii)</w:t>
      </w:r>
      <w:r>
        <w:tab/>
        <w:t>the information required by paragraph (5)(e) or by paragraph (8A)(a) as it applies to information required by paragraph (5)(e), provided that:</w:t>
      </w:r>
    </w:p>
    <w:p w14:paraId="549DC884" w14:textId="77777777" w:rsidR="002125D8" w:rsidRDefault="002125D8" w:rsidP="00325522">
      <w:pPr>
        <w:pStyle w:val="LI-SectionsubsubparaA"/>
      </w:pPr>
      <w:r>
        <w:t>(A)</w:t>
      </w:r>
      <w:r>
        <w:tab/>
        <w:t xml:space="preserve">the issuer is not able to calculate the return on investment during the reporting period; and </w:t>
      </w:r>
    </w:p>
    <w:p w14:paraId="44224D9D" w14:textId="77777777" w:rsidR="002125D8" w:rsidRDefault="002125D8" w:rsidP="00325522">
      <w:pPr>
        <w:pStyle w:val="LI-SectionsubsubparaA"/>
      </w:pPr>
      <w:r>
        <w:t>(B)</w:t>
      </w:r>
      <w:r>
        <w:tab/>
        <w:t>the periodic statement explains why this information is not included and describes how it can be obtained or calculated; and</w:t>
      </w:r>
    </w:p>
    <w:p w14:paraId="73085BD2" w14:textId="77777777" w:rsidR="002125D8" w:rsidRDefault="002125D8" w:rsidP="00325522">
      <w:pPr>
        <w:pStyle w:val="LI-Sectionparaa"/>
      </w:pPr>
      <w:r>
        <w:t>(b)</w:t>
      </w:r>
      <w:r>
        <w:tab/>
        <w:t xml:space="preserve">the part of the periodic statement that itemises transactions must include: </w:t>
      </w:r>
    </w:p>
    <w:p w14:paraId="22B774B0" w14:textId="77777777" w:rsidR="002125D8" w:rsidRDefault="002125D8" w:rsidP="00325522">
      <w:pPr>
        <w:pStyle w:val="LI-Sectionsubparai"/>
      </w:pPr>
      <w:r>
        <w:t>(</w:t>
      </w:r>
      <w:proofErr w:type="spellStart"/>
      <w:r>
        <w:t>i</w:t>
      </w:r>
      <w:proofErr w:type="spellEnd"/>
      <w:r>
        <w:t>)</w:t>
      </w:r>
      <w:r>
        <w:tab/>
        <w:t xml:space="preserve">the date of the transfer and whether the holder acquired or disposed of interests or, if applicable, stapled securities under the transfer; and </w:t>
      </w:r>
    </w:p>
    <w:p w14:paraId="73043EE7" w14:textId="77777777" w:rsidR="002125D8" w:rsidRDefault="002125D8" w:rsidP="00325522">
      <w:pPr>
        <w:pStyle w:val="LI-Sectionsubparai"/>
      </w:pPr>
      <w:r>
        <w:t>(ii)</w:t>
      </w:r>
      <w:r>
        <w:tab/>
        <w:t xml:space="preserve">the number of interests or stapled securities transferred; and </w:t>
      </w:r>
    </w:p>
    <w:p w14:paraId="04EE2240" w14:textId="77777777" w:rsidR="002125D8" w:rsidRDefault="002125D8" w:rsidP="00325522">
      <w:pPr>
        <w:pStyle w:val="LI-Sectionsubparai"/>
      </w:pPr>
      <w:r>
        <w:t>(iii)</w:t>
      </w:r>
      <w:r>
        <w:tab/>
        <w:t>an explanation of why the price per interest or stapled security for the transfer and the total dollar value of the transfer have not been included.</w:t>
      </w:r>
    </w:p>
    <w:p w14:paraId="3EA4AE51" w14:textId="77777777" w:rsidR="002125D8" w:rsidRDefault="002125D8" w:rsidP="00F86CBA">
      <w:pPr>
        <w:pStyle w:val="LI-SectionSubsectionText"/>
      </w:pPr>
      <w:r>
        <w:t>(8D)</w:t>
      </w:r>
      <w:r>
        <w:tab/>
        <w:t xml:space="preserve"> In this section: </w:t>
      </w:r>
    </w:p>
    <w:p w14:paraId="4EC034B0" w14:textId="77777777" w:rsidR="002125D8" w:rsidRDefault="002125D8" w:rsidP="00F86CBA">
      <w:pPr>
        <w:pStyle w:val="LI-Sectionparaa"/>
      </w:pPr>
      <w:r w:rsidRPr="008C7012">
        <w:rPr>
          <w:b/>
          <w:bCs/>
          <w:i/>
          <w:iCs/>
        </w:rPr>
        <w:t>first financial year</w:t>
      </w:r>
      <w:r>
        <w:t xml:space="preserve"> means:</w:t>
      </w:r>
    </w:p>
    <w:p w14:paraId="3EB226EB" w14:textId="726F8F07" w:rsidR="002125D8" w:rsidRDefault="002125D8" w:rsidP="00833759">
      <w:pPr>
        <w:pStyle w:val="LI-Sectionparaa"/>
      </w:pPr>
      <w:r>
        <w:t>(a)</w:t>
      </w:r>
      <w:r>
        <w:tab/>
        <w:t>in relation to a registered scheme</w:t>
      </w:r>
      <w:r w:rsidR="007542B6">
        <w:t>—</w:t>
      </w:r>
      <w:r>
        <w:t>the financial year for the scheme referred to in subsection 323D(1);</w:t>
      </w:r>
      <w:r w:rsidR="009E186E">
        <w:t xml:space="preserve"> and</w:t>
      </w:r>
    </w:p>
    <w:p w14:paraId="538BDD30" w14:textId="60650027" w:rsidR="002125D8" w:rsidRDefault="002125D8" w:rsidP="00833759">
      <w:pPr>
        <w:pStyle w:val="LI-Sectionparaa"/>
      </w:pPr>
      <w:r>
        <w:t>(b)</w:t>
      </w:r>
      <w:r>
        <w:tab/>
        <w:t>in relation to a sub-fund of a CCIV</w:t>
      </w:r>
      <w:r w:rsidR="007542B6">
        <w:t>—</w:t>
      </w:r>
      <w:r>
        <w:t xml:space="preserve">the period that starts on the day on which the sub-fund is registered and lasts for 12 </w:t>
      </w:r>
      <w:proofErr w:type="gramStart"/>
      <w:r>
        <w:t>months</w:t>
      </w:r>
      <w:proofErr w:type="gramEnd"/>
      <w:r>
        <w:t xml:space="preserve"> or the period (not longer than 18 </w:t>
      </w:r>
      <w:r>
        <w:lastRenderedPageBreak/>
        <w:t>months) determined by the corporate director of the CCIV.</w:t>
      </w:r>
    </w:p>
    <w:p w14:paraId="37B14FC8" w14:textId="77777777" w:rsidR="002125D8" w:rsidRDefault="002125D8" w:rsidP="00833759">
      <w:pPr>
        <w:pStyle w:val="LI-Sectionparaa"/>
      </w:pPr>
      <w:r w:rsidRPr="008C7012">
        <w:rPr>
          <w:b/>
          <w:bCs/>
          <w:i/>
          <w:iCs/>
        </w:rPr>
        <w:t>financial year</w:t>
      </w:r>
      <w:r>
        <w:t xml:space="preserve"> means, in relation to a sub-fund of a CCIV:</w:t>
      </w:r>
    </w:p>
    <w:p w14:paraId="284E813A" w14:textId="77777777" w:rsidR="002125D8" w:rsidRDefault="002125D8" w:rsidP="00833759">
      <w:pPr>
        <w:pStyle w:val="LI-Sectionparaa"/>
      </w:pPr>
      <w:r>
        <w:t>(a)</w:t>
      </w:r>
      <w:r>
        <w:tab/>
        <w:t xml:space="preserve">the first financial year; or </w:t>
      </w:r>
    </w:p>
    <w:p w14:paraId="66C0522E" w14:textId="1DC3C664" w:rsidR="002125D8" w:rsidRDefault="002125D8" w:rsidP="00833759">
      <w:pPr>
        <w:pStyle w:val="LI-Sectionparaa"/>
      </w:pPr>
      <w:r>
        <w:t>(b)</w:t>
      </w:r>
      <w:r>
        <w:tab/>
        <w:t>for subsequent financial years</w:t>
      </w:r>
      <w:r w:rsidR="00635770">
        <w:t>—</w:t>
      </w:r>
      <w:r>
        <w:t xml:space="preserve">the period which starts at the end of the previous financial </w:t>
      </w:r>
      <w:proofErr w:type="gramStart"/>
      <w:r>
        <w:t>year, and</w:t>
      </w:r>
      <w:proofErr w:type="gramEnd"/>
      <w:r>
        <w:t xml:space="preserve"> lasts for 12 months.  </w:t>
      </w:r>
    </w:p>
    <w:p w14:paraId="7B1D8CD1" w14:textId="7A9EA538" w:rsidR="002125D8" w:rsidRDefault="002125D8" w:rsidP="008B6952">
      <w:pPr>
        <w:pStyle w:val="LI-Sectionparaa"/>
        <w:ind w:left="2268" w:firstLine="0"/>
      </w:pPr>
      <w:r w:rsidRPr="008C7012">
        <w:rPr>
          <w:b/>
          <w:bCs/>
          <w:i/>
          <w:iCs/>
        </w:rPr>
        <w:t>interest</w:t>
      </w:r>
      <w:r>
        <w:t xml:space="preserve"> in a sub-fund of a CCIV, means a share in the CCIV that is </w:t>
      </w:r>
      <w:proofErr w:type="spellStart"/>
      <w:r>
        <w:t>referable</w:t>
      </w:r>
      <w:proofErr w:type="spellEnd"/>
      <w:r>
        <w:t xml:space="preserve"> to the sub-fund. </w:t>
      </w:r>
    </w:p>
    <w:p w14:paraId="37B03386" w14:textId="77777777" w:rsidR="002125D8" w:rsidRDefault="002125D8" w:rsidP="008B6952">
      <w:pPr>
        <w:pStyle w:val="LI-Sectionparaa"/>
        <w:ind w:left="2268" w:firstLine="0"/>
      </w:pPr>
      <w:r w:rsidRPr="008C7012">
        <w:rPr>
          <w:b/>
          <w:bCs/>
          <w:i/>
          <w:iCs/>
        </w:rPr>
        <w:t>most recent financial year</w:t>
      </w:r>
      <w:r>
        <w:t xml:space="preserve"> means, in relation to a registered scheme or sub-fund of a CCIV an interest in which is the subject of a periodic statement, the most recent financial year of the scheme or sub-fund that ended on or before the end of the reporting period covered by the periodic statement.</w:t>
      </w:r>
    </w:p>
    <w:p w14:paraId="7DB5706C" w14:textId="77777777" w:rsidR="002125D8" w:rsidRDefault="002125D8" w:rsidP="008B6952">
      <w:pPr>
        <w:pStyle w:val="LI-Sectionparaa"/>
        <w:ind w:left="2268" w:firstLine="0"/>
      </w:pPr>
      <w:r w:rsidRPr="008C7012">
        <w:rPr>
          <w:b/>
          <w:bCs/>
          <w:i/>
          <w:iCs/>
        </w:rPr>
        <w:t>stapled security</w:t>
      </w:r>
      <w:r>
        <w:t xml:space="preserve"> means two or more financial products (which may include securities), including at least one interest in a registered scheme or sub-fund of a CCIV: </w:t>
      </w:r>
    </w:p>
    <w:p w14:paraId="34A6C9C9" w14:textId="77777777" w:rsidR="002125D8" w:rsidRDefault="002125D8" w:rsidP="00833759">
      <w:pPr>
        <w:pStyle w:val="LI-Sectionparaa"/>
      </w:pPr>
      <w:r>
        <w:t>(a)</w:t>
      </w:r>
      <w:r>
        <w:tab/>
        <w:t>that under the constitution of the registered scheme or CCIV must be transferred together; and</w:t>
      </w:r>
    </w:p>
    <w:p w14:paraId="7D97E2E2" w14:textId="77777777" w:rsidR="002125D8" w:rsidRDefault="002125D8" w:rsidP="00833759">
      <w:pPr>
        <w:pStyle w:val="LI-Sectionparaa"/>
      </w:pPr>
      <w:r>
        <w:t>(b)</w:t>
      </w:r>
      <w:r>
        <w:tab/>
        <w:t xml:space="preserve">where there are no financial products in the same class as those financial products which may be transferred separately; and </w:t>
      </w:r>
    </w:p>
    <w:p w14:paraId="46E7E127" w14:textId="77777777" w:rsidR="002125D8" w:rsidRDefault="002125D8" w:rsidP="00833759">
      <w:pPr>
        <w:pStyle w:val="LI-Sectionparaa"/>
      </w:pPr>
      <w:r>
        <w:t>(c)</w:t>
      </w:r>
      <w:r>
        <w:tab/>
        <w:t xml:space="preserve">where one or more of the financial products is a share of a body corporate, the body corporate has not issued any share that may be transferred separately; and </w:t>
      </w:r>
    </w:p>
    <w:p w14:paraId="48B5621E" w14:textId="77777777" w:rsidR="002125D8" w:rsidRDefault="002125D8" w:rsidP="00833759">
      <w:pPr>
        <w:pStyle w:val="LI-Sectionparaa"/>
      </w:pPr>
      <w:r>
        <w:t>(d)</w:t>
      </w:r>
      <w:r>
        <w:tab/>
        <w:t xml:space="preserve">where one or more of the financial products is an interest in a managed investment scheme or sub-fund, no interests in that scheme or sub-fund may be transferred separately. </w:t>
      </w:r>
    </w:p>
    <w:p w14:paraId="718207A4" w14:textId="7541EF51" w:rsidR="002125D8" w:rsidRDefault="002125D8" w:rsidP="008B6952">
      <w:pPr>
        <w:pStyle w:val="LI-Sectionparaa"/>
        <w:ind w:left="2268" w:firstLine="0"/>
      </w:pPr>
      <w:r w:rsidRPr="008C7012">
        <w:rPr>
          <w:b/>
          <w:bCs/>
          <w:i/>
          <w:iCs/>
        </w:rPr>
        <w:t>stapled security entity</w:t>
      </w:r>
      <w:r>
        <w:t xml:space="preserve"> means, in relation to a stapled security, the registered scheme or sub-fund and each other scheme or sub-fund or body, an interest in which, or a security of which, is a component of the stapled security.</w:t>
      </w:r>
    </w:p>
    <w:p w14:paraId="5FD213D6" w14:textId="77777777" w:rsidR="002125D8" w:rsidRDefault="002125D8" w:rsidP="00F0303F">
      <w:pPr>
        <w:pStyle w:val="LI-SectionSubsectionText"/>
      </w:pPr>
      <w:r>
        <w:t xml:space="preserve">(8E) In this section, the investment objectives of: </w:t>
      </w:r>
    </w:p>
    <w:p w14:paraId="194FE9BD" w14:textId="5B6A1A6E" w:rsidR="002125D8" w:rsidRDefault="002125D8" w:rsidP="00F0303F">
      <w:pPr>
        <w:pStyle w:val="LI-Sectionparaa"/>
      </w:pPr>
      <w:r>
        <w:t>(a)</w:t>
      </w:r>
      <w:r>
        <w:tab/>
        <w:t>a registered scheme or sub-fund</w:t>
      </w:r>
      <w:r w:rsidR="00E964A4">
        <w:t xml:space="preserve"> o</w:t>
      </w:r>
      <w:r w:rsidR="00B76465">
        <w:t>f a CCIV</w:t>
      </w:r>
      <w:r>
        <w:t xml:space="preserve"> for a period are the investment objectives for the scheme or sub-fund that were disclosed most recently before the beginning of the period in any of the following: </w:t>
      </w:r>
    </w:p>
    <w:p w14:paraId="29C6A7D7" w14:textId="77777777" w:rsidR="002125D8" w:rsidRDefault="002125D8" w:rsidP="00F0303F">
      <w:pPr>
        <w:pStyle w:val="LI-Sectionsubparai"/>
      </w:pPr>
      <w:r>
        <w:lastRenderedPageBreak/>
        <w:t>(</w:t>
      </w:r>
      <w:proofErr w:type="spellStart"/>
      <w:r>
        <w:t>i</w:t>
      </w:r>
      <w:proofErr w:type="spellEnd"/>
      <w:r>
        <w:t>)</w:t>
      </w:r>
      <w:r>
        <w:tab/>
        <w:t xml:space="preserve">a Product Disclosure Statement for an interest in the scheme or sub-fund that was lodged with </w:t>
      </w:r>
      <w:proofErr w:type="gramStart"/>
      <w:r>
        <w:t>ASIC;</w:t>
      </w:r>
      <w:proofErr w:type="gramEnd"/>
      <w:r>
        <w:t xml:space="preserve"> </w:t>
      </w:r>
    </w:p>
    <w:p w14:paraId="4521B514" w14:textId="77777777" w:rsidR="002125D8" w:rsidRDefault="002125D8" w:rsidP="00F0303F">
      <w:pPr>
        <w:pStyle w:val="LI-Sectionsubparai"/>
      </w:pPr>
      <w:r>
        <w:t>(ii)</w:t>
      </w:r>
      <w:r>
        <w:tab/>
        <w:t>a continuous disclosure notice provided by the responsible entity of the scheme or the CCIV (in respect of the sub-fund); and</w:t>
      </w:r>
    </w:p>
    <w:p w14:paraId="392C8F2A" w14:textId="77777777" w:rsidR="002125D8" w:rsidRDefault="002125D8" w:rsidP="00F0303F">
      <w:pPr>
        <w:pStyle w:val="LI-Sectionparaa"/>
      </w:pPr>
      <w:r>
        <w:t>(b)</w:t>
      </w:r>
      <w:r>
        <w:tab/>
        <w:t xml:space="preserve">stapled security entities for a period are the investment objectives for the stapled security entities that were disclosed most recently before the beginning of the period in any of the following: </w:t>
      </w:r>
    </w:p>
    <w:p w14:paraId="7D7D225C" w14:textId="77777777" w:rsidR="002125D8" w:rsidRDefault="002125D8" w:rsidP="00F0303F">
      <w:pPr>
        <w:pStyle w:val="LI-Sectionsubparai"/>
      </w:pPr>
      <w:r>
        <w:t>(</w:t>
      </w:r>
      <w:proofErr w:type="spellStart"/>
      <w:r>
        <w:t>i</w:t>
      </w:r>
      <w:proofErr w:type="spellEnd"/>
      <w:r>
        <w:t>)</w:t>
      </w:r>
      <w:r>
        <w:tab/>
        <w:t xml:space="preserve">a Product Disclosure Statement or disclosure document in relation to a stapled security that was lodged with </w:t>
      </w:r>
      <w:proofErr w:type="gramStart"/>
      <w:r>
        <w:t>ASIC;</w:t>
      </w:r>
      <w:proofErr w:type="gramEnd"/>
      <w:r>
        <w:t xml:space="preserve"> </w:t>
      </w:r>
    </w:p>
    <w:p w14:paraId="323B2269" w14:textId="4934F82C" w:rsidR="008C330E" w:rsidRDefault="002125D8" w:rsidP="00B03B59">
      <w:pPr>
        <w:pStyle w:val="LI-Sectionsubparai"/>
      </w:pPr>
      <w:r>
        <w:t>(ii)</w:t>
      </w:r>
      <w:r>
        <w:tab/>
        <w:t>a continuous disclosure notice provided by the responsible entity of a scheme or the CCIV (in respect of the sub-fund) that is a stapled security entity or by a body that is a stapled security entity.”.</w:t>
      </w:r>
    </w:p>
    <w:p w14:paraId="7ABBB868" w14:textId="77777777" w:rsidR="00680310" w:rsidRDefault="00680310">
      <w:pPr>
        <w:spacing w:line="240" w:lineRule="auto"/>
        <w:rPr>
          <w:rFonts w:eastAsia="Times New Roman"/>
          <w:b/>
          <w:kern w:val="28"/>
          <w:sz w:val="32"/>
          <w:lang w:eastAsia="en-AU"/>
        </w:rPr>
      </w:pPr>
      <w:r>
        <w:br w:type="page"/>
      </w:r>
    </w:p>
    <w:p w14:paraId="21A3E39F" w14:textId="1FA78A45" w:rsidR="008C330E" w:rsidRDefault="008C330E" w:rsidP="008C330E">
      <w:pPr>
        <w:pStyle w:val="LI-Heading1"/>
      </w:pPr>
      <w:bookmarkStart w:id="11" w:name="_Toc161829379"/>
      <w:r w:rsidRPr="006E5320">
        <w:lastRenderedPageBreak/>
        <w:t>Part </w:t>
      </w:r>
      <w:r w:rsidR="001B063D">
        <w:t>3</w:t>
      </w:r>
      <w:r w:rsidRPr="006554FF">
        <w:t>—</w:t>
      </w:r>
      <w:r>
        <w:t>Repeal</w:t>
      </w:r>
      <w:bookmarkEnd w:id="11"/>
    </w:p>
    <w:p w14:paraId="27601D8F" w14:textId="4B6051D3" w:rsidR="008C330E" w:rsidRPr="008C330E" w:rsidRDefault="00AB0138" w:rsidP="008C330E">
      <w:pPr>
        <w:pStyle w:val="LI-Heading2"/>
      </w:pPr>
      <w:bookmarkStart w:id="12" w:name="_Toc161829380"/>
      <w:r>
        <w:t>6</w:t>
      </w:r>
      <w:r w:rsidR="008C330E">
        <w:tab/>
        <w:t>Repeal</w:t>
      </w:r>
      <w:bookmarkEnd w:id="12"/>
    </w:p>
    <w:p w14:paraId="2D5AC5C6" w14:textId="61AF32C0"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911116">
        <w:rPr>
          <w:shd w:val="clear" w:color="auto" w:fill="FFFFFF"/>
        </w:rPr>
        <w:t>1 April 2029</w:t>
      </w:r>
      <w:r>
        <w:rPr>
          <w:shd w:val="clear" w:color="auto" w:fill="FFFFFF"/>
        </w:rPr>
        <w:t>.</w:t>
      </w:r>
    </w:p>
    <w:p w14:paraId="0E621A12" w14:textId="77777777" w:rsidR="008C330E" w:rsidRDefault="008C330E" w:rsidP="006554FF">
      <w:pPr>
        <w:pStyle w:val="LI-BodyTextParaa"/>
      </w:pPr>
    </w:p>
    <w:sectPr w:rsidR="008C330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AF9E" w14:textId="77777777" w:rsidR="003C516A" w:rsidRDefault="003C516A" w:rsidP="00715914">
      <w:pPr>
        <w:spacing w:line="240" w:lineRule="auto"/>
      </w:pPr>
      <w:r>
        <w:separator/>
      </w:r>
    </w:p>
  </w:endnote>
  <w:endnote w:type="continuationSeparator" w:id="0">
    <w:p w14:paraId="09EAD3A9" w14:textId="77777777" w:rsidR="003C516A" w:rsidRDefault="003C516A" w:rsidP="00715914">
      <w:pPr>
        <w:spacing w:line="240" w:lineRule="auto"/>
      </w:pPr>
      <w:r>
        <w:continuationSeparator/>
      </w:r>
    </w:p>
  </w:endnote>
  <w:endnote w:type="continuationNotice" w:id="1">
    <w:p w14:paraId="325C466D" w14:textId="77777777" w:rsidR="003C516A" w:rsidRDefault="003C5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14CB8CA1"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71D0" w14:textId="77777777" w:rsidR="003C516A" w:rsidRDefault="003C516A" w:rsidP="00715914">
      <w:pPr>
        <w:spacing w:line="240" w:lineRule="auto"/>
      </w:pPr>
      <w:r>
        <w:separator/>
      </w:r>
    </w:p>
  </w:footnote>
  <w:footnote w:type="continuationSeparator" w:id="0">
    <w:p w14:paraId="66069A3C" w14:textId="77777777" w:rsidR="003C516A" w:rsidRDefault="003C516A" w:rsidP="00715914">
      <w:pPr>
        <w:spacing w:line="240" w:lineRule="auto"/>
      </w:pPr>
      <w:r>
        <w:continuationSeparator/>
      </w:r>
    </w:p>
  </w:footnote>
  <w:footnote w:type="continuationNotice" w:id="1">
    <w:p w14:paraId="15125386" w14:textId="77777777" w:rsidR="003C516A" w:rsidRDefault="003C5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1F6958EF"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092241BF"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36496D84" w:rsidR="00F4215A" w:rsidRDefault="00BB71C7"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(Periodic Statement Relief for Quoted Securities) Instrument 2024/14</w:t>
          </w:r>
          <w:r>
            <w:rPr>
              <w:noProof/>
            </w:rP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5386D003" w:rsidR="00F4215A" w:rsidRDefault="00BB71C7" w:rsidP="00E40FF8">
          <w:pPr>
            <w:pStyle w:val="LI-Header"/>
            <w:pBdr>
              <w:bottom w:val="none" w:sz="0" w:space="0" w:color="auto"/>
            </w:pBdr>
            <w:jc w:val="left"/>
          </w:pPr>
          <w:r>
            <w:fldChar w:fldCharType="begin"/>
          </w:r>
          <w:r>
            <w:instrText xml:space="preserve"> STYLEREF  "LI - Title" </w:instrText>
          </w:r>
          <w:r>
            <w:fldChar w:fldCharType="separate"/>
          </w:r>
          <w:r>
            <w:rPr>
              <w:noProof/>
            </w:rPr>
            <w:t>ASIC Corporations (Periodic Statement Relief for Quoted Securities) Instrument 2024/14</w:t>
          </w:r>
          <w:r>
            <w:rPr>
              <w:noProof/>
            </w:rPr>
            <w:fldChar w:fldCharType="end"/>
          </w:r>
        </w:p>
      </w:tc>
      <w:tc>
        <w:tcPr>
          <w:tcW w:w="1509" w:type="dxa"/>
          <w:shd w:val="clear" w:color="auto" w:fill="auto"/>
        </w:tcPr>
        <w:p w14:paraId="609BA203" w14:textId="34436D4F" w:rsidR="00F4215A" w:rsidRDefault="00BB71C7" w:rsidP="00E40FF8">
          <w:pPr>
            <w:pStyle w:val="LI-Header"/>
            <w:pBdr>
              <w:bottom w:val="none" w:sz="0" w:space="0" w:color="auto"/>
            </w:pBdr>
          </w:pPr>
          <w:r>
            <w:fldChar w:fldCharType="begin"/>
          </w:r>
          <w:r>
            <w:instrText xml:space="preserve"> STYLEREF  "LI - Heading 1" </w:instrText>
          </w:r>
          <w:r>
            <w:fldChar w:fldCharType="separate"/>
          </w:r>
          <w:r>
            <w:rPr>
              <w:noProof/>
            </w:rPr>
            <w:t>Part 3—Repeal</w:t>
          </w:r>
          <w:r>
            <w:rPr>
              <w:noProof/>
            </w:rPr>
            <w:fldChar w:fldCharType="end"/>
          </w:r>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76"/>
    <w:rsid w:val="00004470"/>
    <w:rsid w:val="00005446"/>
    <w:rsid w:val="000065F1"/>
    <w:rsid w:val="000136AF"/>
    <w:rsid w:val="00013B8D"/>
    <w:rsid w:val="00013CB2"/>
    <w:rsid w:val="0001490F"/>
    <w:rsid w:val="00015719"/>
    <w:rsid w:val="00023D53"/>
    <w:rsid w:val="0004114B"/>
    <w:rsid w:val="000437C1"/>
    <w:rsid w:val="00051564"/>
    <w:rsid w:val="0005365D"/>
    <w:rsid w:val="000614BF"/>
    <w:rsid w:val="0006250C"/>
    <w:rsid w:val="00071E2C"/>
    <w:rsid w:val="00080647"/>
    <w:rsid w:val="00081794"/>
    <w:rsid w:val="00083D21"/>
    <w:rsid w:val="00084FF4"/>
    <w:rsid w:val="000A142F"/>
    <w:rsid w:val="000A3FDB"/>
    <w:rsid w:val="000A6C39"/>
    <w:rsid w:val="000B477C"/>
    <w:rsid w:val="000B58FA"/>
    <w:rsid w:val="000C55A0"/>
    <w:rsid w:val="000C7977"/>
    <w:rsid w:val="000D041F"/>
    <w:rsid w:val="000D05EF"/>
    <w:rsid w:val="000D332B"/>
    <w:rsid w:val="000D4023"/>
    <w:rsid w:val="000E2261"/>
    <w:rsid w:val="000E3C2E"/>
    <w:rsid w:val="000F21C1"/>
    <w:rsid w:val="00102CA6"/>
    <w:rsid w:val="0010745C"/>
    <w:rsid w:val="0011635B"/>
    <w:rsid w:val="00125141"/>
    <w:rsid w:val="00132CEB"/>
    <w:rsid w:val="00132F60"/>
    <w:rsid w:val="00136CA4"/>
    <w:rsid w:val="00142B62"/>
    <w:rsid w:val="00153B32"/>
    <w:rsid w:val="00157B8B"/>
    <w:rsid w:val="00161B39"/>
    <w:rsid w:val="0016562B"/>
    <w:rsid w:val="001663CD"/>
    <w:rsid w:val="00166C2F"/>
    <w:rsid w:val="00171A6E"/>
    <w:rsid w:val="001764D4"/>
    <w:rsid w:val="0017779A"/>
    <w:rsid w:val="001809D7"/>
    <w:rsid w:val="001939E1"/>
    <w:rsid w:val="00194C3E"/>
    <w:rsid w:val="00195382"/>
    <w:rsid w:val="00195BD4"/>
    <w:rsid w:val="001B063D"/>
    <w:rsid w:val="001B656C"/>
    <w:rsid w:val="001B7B89"/>
    <w:rsid w:val="001C61C5"/>
    <w:rsid w:val="001C69C4"/>
    <w:rsid w:val="001D37EF"/>
    <w:rsid w:val="001D5E8F"/>
    <w:rsid w:val="001E3590"/>
    <w:rsid w:val="001E7407"/>
    <w:rsid w:val="001F02B1"/>
    <w:rsid w:val="001F3C58"/>
    <w:rsid w:val="001F5D5E"/>
    <w:rsid w:val="001F6219"/>
    <w:rsid w:val="001F6CD4"/>
    <w:rsid w:val="00206C4D"/>
    <w:rsid w:val="0021053C"/>
    <w:rsid w:val="002121F1"/>
    <w:rsid w:val="002125D8"/>
    <w:rsid w:val="00215AF1"/>
    <w:rsid w:val="002209FE"/>
    <w:rsid w:val="002240BF"/>
    <w:rsid w:val="002321E8"/>
    <w:rsid w:val="00236EEC"/>
    <w:rsid w:val="0024010F"/>
    <w:rsid w:val="00240749"/>
    <w:rsid w:val="002417EC"/>
    <w:rsid w:val="00243018"/>
    <w:rsid w:val="00243EC0"/>
    <w:rsid w:val="00244742"/>
    <w:rsid w:val="0025221F"/>
    <w:rsid w:val="00252AE9"/>
    <w:rsid w:val="002564A4"/>
    <w:rsid w:val="0026736C"/>
    <w:rsid w:val="00277AFC"/>
    <w:rsid w:val="00281308"/>
    <w:rsid w:val="00281813"/>
    <w:rsid w:val="00284719"/>
    <w:rsid w:val="00296366"/>
    <w:rsid w:val="00297ECB"/>
    <w:rsid w:val="002A52E4"/>
    <w:rsid w:val="002A7328"/>
    <w:rsid w:val="002A7BCF"/>
    <w:rsid w:val="002B09B2"/>
    <w:rsid w:val="002B19F3"/>
    <w:rsid w:val="002B4A0D"/>
    <w:rsid w:val="002C261B"/>
    <w:rsid w:val="002C3A9B"/>
    <w:rsid w:val="002C7B6F"/>
    <w:rsid w:val="002D043A"/>
    <w:rsid w:val="002D6224"/>
    <w:rsid w:val="002E3F4B"/>
    <w:rsid w:val="002E5012"/>
    <w:rsid w:val="00300B65"/>
    <w:rsid w:val="00304F8B"/>
    <w:rsid w:val="00325522"/>
    <w:rsid w:val="00327DDF"/>
    <w:rsid w:val="003354D2"/>
    <w:rsid w:val="00335BC6"/>
    <w:rsid w:val="003370F0"/>
    <w:rsid w:val="003415D3"/>
    <w:rsid w:val="00344701"/>
    <w:rsid w:val="003528DA"/>
    <w:rsid w:val="00352B0F"/>
    <w:rsid w:val="00356690"/>
    <w:rsid w:val="00357DD0"/>
    <w:rsid w:val="00360459"/>
    <w:rsid w:val="00365497"/>
    <w:rsid w:val="00377EB8"/>
    <w:rsid w:val="00383ECB"/>
    <w:rsid w:val="00387A96"/>
    <w:rsid w:val="003904F4"/>
    <w:rsid w:val="003A2A48"/>
    <w:rsid w:val="003B1340"/>
    <w:rsid w:val="003B28C3"/>
    <w:rsid w:val="003B3C80"/>
    <w:rsid w:val="003B732F"/>
    <w:rsid w:val="003C05E6"/>
    <w:rsid w:val="003C516A"/>
    <w:rsid w:val="003C6231"/>
    <w:rsid w:val="003C7CFC"/>
    <w:rsid w:val="003D0BFE"/>
    <w:rsid w:val="003D5700"/>
    <w:rsid w:val="003E0F99"/>
    <w:rsid w:val="003E341B"/>
    <w:rsid w:val="0040053F"/>
    <w:rsid w:val="00400AC6"/>
    <w:rsid w:val="0040231B"/>
    <w:rsid w:val="004116CD"/>
    <w:rsid w:val="004144EC"/>
    <w:rsid w:val="00417EB9"/>
    <w:rsid w:val="00424CA9"/>
    <w:rsid w:val="00426693"/>
    <w:rsid w:val="00431E9B"/>
    <w:rsid w:val="00436B1E"/>
    <w:rsid w:val="004379E3"/>
    <w:rsid w:val="0044015E"/>
    <w:rsid w:val="004411F9"/>
    <w:rsid w:val="0044291A"/>
    <w:rsid w:val="00444ABD"/>
    <w:rsid w:val="00447D84"/>
    <w:rsid w:val="00447DB4"/>
    <w:rsid w:val="00455CB1"/>
    <w:rsid w:val="00460F1D"/>
    <w:rsid w:val="00465DC1"/>
    <w:rsid w:val="00467661"/>
    <w:rsid w:val="004705B7"/>
    <w:rsid w:val="00472DBE"/>
    <w:rsid w:val="00474A19"/>
    <w:rsid w:val="004823C0"/>
    <w:rsid w:val="0048276B"/>
    <w:rsid w:val="004859AC"/>
    <w:rsid w:val="00490441"/>
    <w:rsid w:val="00492C42"/>
    <w:rsid w:val="00496B5F"/>
    <w:rsid w:val="00496F97"/>
    <w:rsid w:val="004A44FC"/>
    <w:rsid w:val="004B2221"/>
    <w:rsid w:val="004B5B44"/>
    <w:rsid w:val="004C1CB1"/>
    <w:rsid w:val="004E063A"/>
    <w:rsid w:val="004E7BEC"/>
    <w:rsid w:val="0050044F"/>
    <w:rsid w:val="00504881"/>
    <w:rsid w:val="00505D3D"/>
    <w:rsid w:val="00506AF6"/>
    <w:rsid w:val="00507335"/>
    <w:rsid w:val="00507CF5"/>
    <w:rsid w:val="005136DC"/>
    <w:rsid w:val="00516B8D"/>
    <w:rsid w:val="00517E56"/>
    <w:rsid w:val="00522143"/>
    <w:rsid w:val="0052692E"/>
    <w:rsid w:val="00532049"/>
    <w:rsid w:val="00532F81"/>
    <w:rsid w:val="005356A7"/>
    <w:rsid w:val="005358AA"/>
    <w:rsid w:val="00536184"/>
    <w:rsid w:val="00537FBC"/>
    <w:rsid w:val="0054131E"/>
    <w:rsid w:val="005445FD"/>
    <w:rsid w:val="00550F1F"/>
    <w:rsid w:val="005574D1"/>
    <w:rsid w:val="005657FE"/>
    <w:rsid w:val="00572BB1"/>
    <w:rsid w:val="005738DC"/>
    <w:rsid w:val="00574374"/>
    <w:rsid w:val="0057670F"/>
    <w:rsid w:val="00584811"/>
    <w:rsid w:val="00585784"/>
    <w:rsid w:val="00587C5C"/>
    <w:rsid w:val="00593AA6"/>
    <w:rsid w:val="00594161"/>
    <w:rsid w:val="00594749"/>
    <w:rsid w:val="005A1C69"/>
    <w:rsid w:val="005A6335"/>
    <w:rsid w:val="005B4067"/>
    <w:rsid w:val="005B780C"/>
    <w:rsid w:val="005C1B8D"/>
    <w:rsid w:val="005C2589"/>
    <w:rsid w:val="005C3F41"/>
    <w:rsid w:val="005C7D0F"/>
    <w:rsid w:val="005D0489"/>
    <w:rsid w:val="005D2D09"/>
    <w:rsid w:val="005D3D41"/>
    <w:rsid w:val="005D4961"/>
    <w:rsid w:val="005E16C9"/>
    <w:rsid w:val="005E4810"/>
    <w:rsid w:val="005F4140"/>
    <w:rsid w:val="005F5739"/>
    <w:rsid w:val="005F65CD"/>
    <w:rsid w:val="005F6EF5"/>
    <w:rsid w:val="00600219"/>
    <w:rsid w:val="006007C8"/>
    <w:rsid w:val="00600831"/>
    <w:rsid w:val="006013D3"/>
    <w:rsid w:val="00603DC4"/>
    <w:rsid w:val="006070A0"/>
    <w:rsid w:val="00607A71"/>
    <w:rsid w:val="006117CB"/>
    <w:rsid w:val="006146A4"/>
    <w:rsid w:val="0061644F"/>
    <w:rsid w:val="00620076"/>
    <w:rsid w:val="00627A08"/>
    <w:rsid w:val="0063306D"/>
    <w:rsid w:val="0063348C"/>
    <w:rsid w:val="00634044"/>
    <w:rsid w:val="00635770"/>
    <w:rsid w:val="00640161"/>
    <w:rsid w:val="006450C9"/>
    <w:rsid w:val="00645811"/>
    <w:rsid w:val="00650989"/>
    <w:rsid w:val="00652769"/>
    <w:rsid w:val="00653CB2"/>
    <w:rsid w:val="0065542F"/>
    <w:rsid w:val="006554FF"/>
    <w:rsid w:val="006630BF"/>
    <w:rsid w:val="00667266"/>
    <w:rsid w:val="00670EA1"/>
    <w:rsid w:val="006714ED"/>
    <w:rsid w:val="00677CC2"/>
    <w:rsid w:val="00680310"/>
    <w:rsid w:val="00680CD8"/>
    <w:rsid w:val="006905DE"/>
    <w:rsid w:val="0069207B"/>
    <w:rsid w:val="006956F2"/>
    <w:rsid w:val="006B4831"/>
    <w:rsid w:val="006B5789"/>
    <w:rsid w:val="006B6B8D"/>
    <w:rsid w:val="006C30C5"/>
    <w:rsid w:val="006C404A"/>
    <w:rsid w:val="006C48FA"/>
    <w:rsid w:val="006C7E88"/>
    <w:rsid w:val="006C7F8C"/>
    <w:rsid w:val="006D050D"/>
    <w:rsid w:val="006D5985"/>
    <w:rsid w:val="006E5320"/>
    <w:rsid w:val="006E6246"/>
    <w:rsid w:val="006F318F"/>
    <w:rsid w:val="006F4226"/>
    <w:rsid w:val="006F6025"/>
    <w:rsid w:val="0070017E"/>
    <w:rsid w:val="00700B2C"/>
    <w:rsid w:val="00702EFD"/>
    <w:rsid w:val="007050A2"/>
    <w:rsid w:val="0070715C"/>
    <w:rsid w:val="00713084"/>
    <w:rsid w:val="0071399B"/>
    <w:rsid w:val="00714F20"/>
    <w:rsid w:val="0071590F"/>
    <w:rsid w:val="00715914"/>
    <w:rsid w:val="00730F9B"/>
    <w:rsid w:val="00731E00"/>
    <w:rsid w:val="00735D5F"/>
    <w:rsid w:val="00741EE8"/>
    <w:rsid w:val="007440B7"/>
    <w:rsid w:val="007477F7"/>
    <w:rsid w:val="007500C8"/>
    <w:rsid w:val="007542B6"/>
    <w:rsid w:val="00756272"/>
    <w:rsid w:val="00765955"/>
    <w:rsid w:val="007662B5"/>
    <w:rsid w:val="0076681A"/>
    <w:rsid w:val="007715C9"/>
    <w:rsid w:val="00771613"/>
    <w:rsid w:val="0077409F"/>
    <w:rsid w:val="0077430A"/>
    <w:rsid w:val="00774EDD"/>
    <w:rsid w:val="0077506D"/>
    <w:rsid w:val="007757EC"/>
    <w:rsid w:val="00777F25"/>
    <w:rsid w:val="00782BA2"/>
    <w:rsid w:val="00783E89"/>
    <w:rsid w:val="00785A9E"/>
    <w:rsid w:val="00793915"/>
    <w:rsid w:val="00797603"/>
    <w:rsid w:val="007A7B79"/>
    <w:rsid w:val="007B4C4F"/>
    <w:rsid w:val="007C015C"/>
    <w:rsid w:val="007C197F"/>
    <w:rsid w:val="007C2253"/>
    <w:rsid w:val="007C2B29"/>
    <w:rsid w:val="007C301D"/>
    <w:rsid w:val="007D230B"/>
    <w:rsid w:val="007D5FC3"/>
    <w:rsid w:val="007E163D"/>
    <w:rsid w:val="007E667A"/>
    <w:rsid w:val="007E66E8"/>
    <w:rsid w:val="007F28C9"/>
    <w:rsid w:val="008016E5"/>
    <w:rsid w:val="00801CE6"/>
    <w:rsid w:val="0080312D"/>
    <w:rsid w:val="00803587"/>
    <w:rsid w:val="008117E9"/>
    <w:rsid w:val="00814450"/>
    <w:rsid w:val="00824498"/>
    <w:rsid w:val="00833759"/>
    <w:rsid w:val="00840442"/>
    <w:rsid w:val="00840A73"/>
    <w:rsid w:val="00841993"/>
    <w:rsid w:val="008457C9"/>
    <w:rsid w:val="008515CA"/>
    <w:rsid w:val="008527C0"/>
    <w:rsid w:val="00853E2A"/>
    <w:rsid w:val="00855708"/>
    <w:rsid w:val="00855843"/>
    <w:rsid w:val="00856A31"/>
    <w:rsid w:val="00860B58"/>
    <w:rsid w:val="00860D7A"/>
    <w:rsid w:val="008638F1"/>
    <w:rsid w:val="0086711A"/>
    <w:rsid w:val="00867B37"/>
    <w:rsid w:val="008718DD"/>
    <w:rsid w:val="008754D0"/>
    <w:rsid w:val="00880EBE"/>
    <w:rsid w:val="008836A7"/>
    <w:rsid w:val="008855C9"/>
    <w:rsid w:val="00886456"/>
    <w:rsid w:val="008945E0"/>
    <w:rsid w:val="0089527F"/>
    <w:rsid w:val="008A362B"/>
    <w:rsid w:val="008A46E1"/>
    <w:rsid w:val="008A4F43"/>
    <w:rsid w:val="008B2706"/>
    <w:rsid w:val="008B6952"/>
    <w:rsid w:val="008C0F29"/>
    <w:rsid w:val="008C330E"/>
    <w:rsid w:val="008C7012"/>
    <w:rsid w:val="008C74A9"/>
    <w:rsid w:val="008D0EE0"/>
    <w:rsid w:val="008D3422"/>
    <w:rsid w:val="008E6067"/>
    <w:rsid w:val="008F54E7"/>
    <w:rsid w:val="00900C2B"/>
    <w:rsid w:val="009016BE"/>
    <w:rsid w:val="00903422"/>
    <w:rsid w:val="00903C76"/>
    <w:rsid w:val="009042FC"/>
    <w:rsid w:val="00905971"/>
    <w:rsid w:val="00911116"/>
    <w:rsid w:val="009157B9"/>
    <w:rsid w:val="00915DF9"/>
    <w:rsid w:val="009254C3"/>
    <w:rsid w:val="00926940"/>
    <w:rsid w:val="00930A0A"/>
    <w:rsid w:val="00932377"/>
    <w:rsid w:val="009460DC"/>
    <w:rsid w:val="00947D5A"/>
    <w:rsid w:val="009532A5"/>
    <w:rsid w:val="0095528E"/>
    <w:rsid w:val="00955D8A"/>
    <w:rsid w:val="009566F0"/>
    <w:rsid w:val="0096753E"/>
    <w:rsid w:val="009725A3"/>
    <w:rsid w:val="00982242"/>
    <w:rsid w:val="009868E9"/>
    <w:rsid w:val="009944E6"/>
    <w:rsid w:val="0099703A"/>
    <w:rsid w:val="009A1DE3"/>
    <w:rsid w:val="009A49C9"/>
    <w:rsid w:val="009A718B"/>
    <w:rsid w:val="009D1818"/>
    <w:rsid w:val="009D195A"/>
    <w:rsid w:val="009E186E"/>
    <w:rsid w:val="009E54F8"/>
    <w:rsid w:val="009E5CFC"/>
    <w:rsid w:val="00A05353"/>
    <w:rsid w:val="00A079CB"/>
    <w:rsid w:val="00A108B3"/>
    <w:rsid w:val="00A12128"/>
    <w:rsid w:val="00A12F48"/>
    <w:rsid w:val="00A15512"/>
    <w:rsid w:val="00A156D0"/>
    <w:rsid w:val="00A2219F"/>
    <w:rsid w:val="00A22C98"/>
    <w:rsid w:val="00A231E2"/>
    <w:rsid w:val="00A33D55"/>
    <w:rsid w:val="00A34412"/>
    <w:rsid w:val="00A40424"/>
    <w:rsid w:val="00A4106A"/>
    <w:rsid w:val="00A439D4"/>
    <w:rsid w:val="00A476D9"/>
    <w:rsid w:val="00A52883"/>
    <w:rsid w:val="00A52B0F"/>
    <w:rsid w:val="00A5632E"/>
    <w:rsid w:val="00A60E27"/>
    <w:rsid w:val="00A64912"/>
    <w:rsid w:val="00A65E0D"/>
    <w:rsid w:val="00A70A74"/>
    <w:rsid w:val="00A909B5"/>
    <w:rsid w:val="00A91966"/>
    <w:rsid w:val="00AA66AC"/>
    <w:rsid w:val="00AB0138"/>
    <w:rsid w:val="00AB1DE8"/>
    <w:rsid w:val="00AB5135"/>
    <w:rsid w:val="00AC0886"/>
    <w:rsid w:val="00AC2BC6"/>
    <w:rsid w:val="00AD1F73"/>
    <w:rsid w:val="00AD5315"/>
    <w:rsid w:val="00AD5641"/>
    <w:rsid w:val="00AD7889"/>
    <w:rsid w:val="00AE146A"/>
    <w:rsid w:val="00AE60BA"/>
    <w:rsid w:val="00AE7934"/>
    <w:rsid w:val="00AF021B"/>
    <w:rsid w:val="00AF06CF"/>
    <w:rsid w:val="00AF0DA7"/>
    <w:rsid w:val="00B03B59"/>
    <w:rsid w:val="00B07971"/>
    <w:rsid w:val="00B07CDB"/>
    <w:rsid w:val="00B16A31"/>
    <w:rsid w:val="00B16EDA"/>
    <w:rsid w:val="00B17DFD"/>
    <w:rsid w:val="00B23CB1"/>
    <w:rsid w:val="00B2799D"/>
    <w:rsid w:val="00B308FE"/>
    <w:rsid w:val="00B33709"/>
    <w:rsid w:val="00B33B3C"/>
    <w:rsid w:val="00B33BD1"/>
    <w:rsid w:val="00B44C48"/>
    <w:rsid w:val="00B50ADC"/>
    <w:rsid w:val="00B51200"/>
    <w:rsid w:val="00B566B1"/>
    <w:rsid w:val="00B606E1"/>
    <w:rsid w:val="00B6177F"/>
    <w:rsid w:val="00B63834"/>
    <w:rsid w:val="00B706C6"/>
    <w:rsid w:val="00B70C13"/>
    <w:rsid w:val="00B712D0"/>
    <w:rsid w:val="00B71F86"/>
    <w:rsid w:val="00B72734"/>
    <w:rsid w:val="00B76465"/>
    <w:rsid w:val="00B76AEC"/>
    <w:rsid w:val="00B80199"/>
    <w:rsid w:val="00B82D81"/>
    <w:rsid w:val="00B83204"/>
    <w:rsid w:val="00B8686E"/>
    <w:rsid w:val="00B9126E"/>
    <w:rsid w:val="00BA220B"/>
    <w:rsid w:val="00BA261D"/>
    <w:rsid w:val="00BA3A57"/>
    <w:rsid w:val="00BA4594"/>
    <w:rsid w:val="00BB4E1A"/>
    <w:rsid w:val="00BB5C17"/>
    <w:rsid w:val="00BB6C35"/>
    <w:rsid w:val="00BB71C7"/>
    <w:rsid w:val="00BC015E"/>
    <w:rsid w:val="00BC7183"/>
    <w:rsid w:val="00BC76AC"/>
    <w:rsid w:val="00BD0ECB"/>
    <w:rsid w:val="00BE0CD5"/>
    <w:rsid w:val="00BE2155"/>
    <w:rsid w:val="00BE2213"/>
    <w:rsid w:val="00BE3D6B"/>
    <w:rsid w:val="00BE719A"/>
    <w:rsid w:val="00BE720A"/>
    <w:rsid w:val="00BF0D73"/>
    <w:rsid w:val="00BF2465"/>
    <w:rsid w:val="00BF5FCA"/>
    <w:rsid w:val="00BF75C9"/>
    <w:rsid w:val="00BF78B3"/>
    <w:rsid w:val="00C0185A"/>
    <w:rsid w:val="00C04CAF"/>
    <w:rsid w:val="00C0544A"/>
    <w:rsid w:val="00C11452"/>
    <w:rsid w:val="00C234FD"/>
    <w:rsid w:val="00C25E7F"/>
    <w:rsid w:val="00C26BDF"/>
    <w:rsid w:val="00C2746F"/>
    <w:rsid w:val="00C324A0"/>
    <w:rsid w:val="00C3300F"/>
    <w:rsid w:val="00C337A3"/>
    <w:rsid w:val="00C34E77"/>
    <w:rsid w:val="00C35875"/>
    <w:rsid w:val="00C35DAF"/>
    <w:rsid w:val="00C36E75"/>
    <w:rsid w:val="00C42BF8"/>
    <w:rsid w:val="00C45171"/>
    <w:rsid w:val="00C45AA7"/>
    <w:rsid w:val="00C50043"/>
    <w:rsid w:val="00C5015E"/>
    <w:rsid w:val="00C50B97"/>
    <w:rsid w:val="00C6434E"/>
    <w:rsid w:val="00C70CA8"/>
    <w:rsid w:val="00C7573B"/>
    <w:rsid w:val="00C7761F"/>
    <w:rsid w:val="00C86F58"/>
    <w:rsid w:val="00C9047E"/>
    <w:rsid w:val="00C93C03"/>
    <w:rsid w:val="00CA5FB4"/>
    <w:rsid w:val="00CA66DC"/>
    <w:rsid w:val="00CA7FD1"/>
    <w:rsid w:val="00CB2C8E"/>
    <w:rsid w:val="00CB355D"/>
    <w:rsid w:val="00CB602E"/>
    <w:rsid w:val="00CC6683"/>
    <w:rsid w:val="00CD2E90"/>
    <w:rsid w:val="00CD3FC7"/>
    <w:rsid w:val="00CE051D"/>
    <w:rsid w:val="00CE1335"/>
    <w:rsid w:val="00CE1A7B"/>
    <w:rsid w:val="00CE3D2A"/>
    <w:rsid w:val="00CE493D"/>
    <w:rsid w:val="00CE6D42"/>
    <w:rsid w:val="00CF07FA"/>
    <w:rsid w:val="00CF0BB2"/>
    <w:rsid w:val="00CF2DFD"/>
    <w:rsid w:val="00CF3EE8"/>
    <w:rsid w:val="00CF5E86"/>
    <w:rsid w:val="00D03722"/>
    <w:rsid w:val="00D050E6"/>
    <w:rsid w:val="00D068FB"/>
    <w:rsid w:val="00D13441"/>
    <w:rsid w:val="00D150E7"/>
    <w:rsid w:val="00D31748"/>
    <w:rsid w:val="00D32F65"/>
    <w:rsid w:val="00D341C4"/>
    <w:rsid w:val="00D52DC2"/>
    <w:rsid w:val="00D53910"/>
    <w:rsid w:val="00D53BCC"/>
    <w:rsid w:val="00D5434B"/>
    <w:rsid w:val="00D55126"/>
    <w:rsid w:val="00D702C1"/>
    <w:rsid w:val="00D702DE"/>
    <w:rsid w:val="00D70DFB"/>
    <w:rsid w:val="00D73622"/>
    <w:rsid w:val="00D73C22"/>
    <w:rsid w:val="00D766DF"/>
    <w:rsid w:val="00D821F1"/>
    <w:rsid w:val="00D864DB"/>
    <w:rsid w:val="00D911AC"/>
    <w:rsid w:val="00DA186E"/>
    <w:rsid w:val="00DA4116"/>
    <w:rsid w:val="00DA5244"/>
    <w:rsid w:val="00DA79E8"/>
    <w:rsid w:val="00DB0C4D"/>
    <w:rsid w:val="00DB251C"/>
    <w:rsid w:val="00DB38AD"/>
    <w:rsid w:val="00DB4630"/>
    <w:rsid w:val="00DB4E25"/>
    <w:rsid w:val="00DC4445"/>
    <w:rsid w:val="00DC4F88"/>
    <w:rsid w:val="00DE79F9"/>
    <w:rsid w:val="00DE7A9F"/>
    <w:rsid w:val="00DF2161"/>
    <w:rsid w:val="00DF5258"/>
    <w:rsid w:val="00E05704"/>
    <w:rsid w:val="00E06CC3"/>
    <w:rsid w:val="00E11E44"/>
    <w:rsid w:val="00E13AFA"/>
    <w:rsid w:val="00E142D6"/>
    <w:rsid w:val="00E2168B"/>
    <w:rsid w:val="00E21F03"/>
    <w:rsid w:val="00E338EF"/>
    <w:rsid w:val="00E36A18"/>
    <w:rsid w:val="00E40FF8"/>
    <w:rsid w:val="00E544BB"/>
    <w:rsid w:val="00E578EC"/>
    <w:rsid w:val="00E60423"/>
    <w:rsid w:val="00E60A66"/>
    <w:rsid w:val="00E649D7"/>
    <w:rsid w:val="00E662CB"/>
    <w:rsid w:val="00E67AEE"/>
    <w:rsid w:val="00E74DC7"/>
    <w:rsid w:val="00E8075A"/>
    <w:rsid w:val="00E818A6"/>
    <w:rsid w:val="00E85A91"/>
    <w:rsid w:val="00E87718"/>
    <w:rsid w:val="00E90B5A"/>
    <w:rsid w:val="00E94D5E"/>
    <w:rsid w:val="00E964A4"/>
    <w:rsid w:val="00E97540"/>
    <w:rsid w:val="00EA7100"/>
    <w:rsid w:val="00EA7F9F"/>
    <w:rsid w:val="00EB0E70"/>
    <w:rsid w:val="00EB1274"/>
    <w:rsid w:val="00EB277F"/>
    <w:rsid w:val="00EC4757"/>
    <w:rsid w:val="00EC7EDB"/>
    <w:rsid w:val="00ED2BB6"/>
    <w:rsid w:val="00ED34E1"/>
    <w:rsid w:val="00ED3B8D"/>
    <w:rsid w:val="00ED6857"/>
    <w:rsid w:val="00EF15D3"/>
    <w:rsid w:val="00EF2E3A"/>
    <w:rsid w:val="00F02EF9"/>
    <w:rsid w:val="00F0303F"/>
    <w:rsid w:val="00F047D8"/>
    <w:rsid w:val="00F072A7"/>
    <w:rsid w:val="00F078DC"/>
    <w:rsid w:val="00F07BC0"/>
    <w:rsid w:val="00F14593"/>
    <w:rsid w:val="00F171A1"/>
    <w:rsid w:val="00F273DB"/>
    <w:rsid w:val="00F32BA8"/>
    <w:rsid w:val="00F349F1"/>
    <w:rsid w:val="00F350BF"/>
    <w:rsid w:val="00F36118"/>
    <w:rsid w:val="00F40B70"/>
    <w:rsid w:val="00F4215A"/>
    <w:rsid w:val="00F4350D"/>
    <w:rsid w:val="00F50532"/>
    <w:rsid w:val="00F567F7"/>
    <w:rsid w:val="00F61B09"/>
    <w:rsid w:val="00F62036"/>
    <w:rsid w:val="00F65B52"/>
    <w:rsid w:val="00F67BCA"/>
    <w:rsid w:val="00F72DCC"/>
    <w:rsid w:val="00F73BD6"/>
    <w:rsid w:val="00F73BD7"/>
    <w:rsid w:val="00F83989"/>
    <w:rsid w:val="00F85099"/>
    <w:rsid w:val="00F86A77"/>
    <w:rsid w:val="00F86CBA"/>
    <w:rsid w:val="00F9379C"/>
    <w:rsid w:val="00F9632C"/>
    <w:rsid w:val="00FA1E52"/>
    <w:rsid w:val="00FA31DE"/>
    <w:rsid w:val="00FA7D17"/>
    <w:rsid w:val="00FC3EB8"/>
    <w:rsid w:val="00FC6E27"/>
    <w:rsid w:val="00FC7D25"/>
    <w:rsid w:val="00FD13CC"/>
    <w:rsid w:val="00FD63A7"/>
    <w:rsid w:val="00FE191E"/>
    <w:rsid w:val="00FE4688"/>
    <w:rsid w:val="00FE72D6"/>
    <w:rsid w:val="00FE79D0"/>
    <w:rsid w:val="1A2F2F39"/>
    <w:rsid w:val="3D8835AC"/>
    <w:rsid w:val="42A679B1"/>
    <w:rsid w:val="4969DA46"/>
    <w:rsid w:val="6ADDB9AE"/>
    <w:rsid w:val="6E9EB0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BC6ADFE0-7944-4A0A-8C6B-8F50A866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6450C9"/>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0A3FD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10643">
      <w:bodyDiv w:val="1"/>
      <w:marLeft w:val="0"/>
      <w:marRight w:val="0"/>
      <w:marTop w:val="0"/>
      <w:marBottom w:val="0"/>
      <w:divBdr>
        <w:top w:val="none" w:sz="0" w:space="0" w:color="auto"/>
        <w:left w:val="none" w:sz="0" w:space="0" w:color="auto"/>
        <w:bottom w:val="none" w:sz="0" w:space="0" w:color="auto"/>
        <w:right w:val="none" w:sz="0" w:space="0" w:color="auto"/>
      </w:divBdr>
    </w:div>
    <w:div w:id="1588877053">
      <w:bodyDiv w:val="1"/>
      <w:marLeft w:val="0"/>
      <w:marRight w:val="0"/>
      <w:marTop w:val="0"/>
      <w:marBottom w:val="0"/>
      <w:divBdr>
        <w:top w:val="none" w:sz="0" w:space="0" w:color="auto"/>
        <w:left w:val="none" w:sz="0" w:space="0" w:color="auto"/>
        <w:bottom w:val="none" w:sz="0" w:space="0" w:color="auto"/>
        <w:right w:val="none" w:sz="0" w:space="0" w:color="auto"/>
      </w:divBdr>
    </w:div>
    <w:div w:id="18989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000853-1726373233-1600</_dlc_DocId>
    <_dlc_DocIdUrl xmlns="eb44715b-cd74-4c79-92c4-f0e9f1a86440">
      <Url>https://asiclink.sharepoint.com/teams/000853/_layouts/15/DocIdRedir.aspx?ID=000853-1726373233-1600</Url>
      <Description>000853-1726373233-1600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af302855-5de3-48f9-83c2-fc1acc0f760b" ContentTypeId="0x010100B5F685A1365F544391EF8C813B164F3A" PreviousValue="false"/>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E809C2-6D9B-4B70-B79C-921106471BAC}">
  <ds:schemaRefs>
    <ds:schemaRef ds:uri="97799607-2890-4a68-80f0-689cc1cb25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4715b-cd74-4c79-92c4-f0e9f1a86440"/>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3.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4.xml><?xml version="1.0" encoding="utf-8"?>
<ds:datastoreItem xmlns:ds="http://schemas.openxmlformats.org/officeDocument/2006/customXml" ds:itemID="{26030DFA-EF11-4ED3-A91B-110AEF217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6.xml><?xml version="1.0" encoding="utf-8"?>
<ds:datastoreItem xmlns:ds="http://schemas.openxmlformats.org/officeDocument/2006/customXml" ds:itemID="{7AB93BE0-ED5D-4B1A-9714-A82C78C103C6}">
  <ds:schemaRefs>
    <ds:schemaRef ds:uri="http://schemas.microsoft.com/sharepoint/v3/contenttype/forms"/>
  </ds:schemaRefs>
</ds:datastoreItem>
</file>

<file path=customXml/itemProps7.xml><?xml version="1.0" encoding="utf-8"?>
<ds:datastoreItem xmlns:ds="http://schemas.openxmlformats.org/officeDocument/2006/customXml" ds:itemID="{E5CEBABF-8A80-41DD-A5FF-09F19037D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9</Pages>
  <Words>1613</Words>
  <Characters>9198</Characters>
  <Application>Microsoft Office Word</Application>
  <DocSecurity>0</DocSecurity>
  <PresentationFormat/>
  <Lines>76</Lines>
  <Paragraphs>21</Paragraphs>
  <ScaleCrop>false</ScaleCrop>
  <Company>ASIC</Company>
  <LinksUpToDate>false</LinksUpToDate>
  <CharactersWithSpaces>10790</CharactersWithSpaces>
  <SharedDoc>false</SharedDoc>
  <HyperlinkBase/>
  <HLinks>
    <vt:vector size="60" baseType="variant">
      <vt:variant>
        <vt:i4>6946865</vt:i4>
      </vt:variant>
      <vt:variant>
        <vt:i4>57</vt:i4>
      </vt:variant>
      <vt:variant>
        <vt:i4>0</vt:i4>
      </vt:variant>
      <vt:variant>
        <vt:i4>5</vt:i4>
      </vt:variant>
      <vt:variant>
        <vt:lpwstr>http://www.legislation.gov.au/</vt:lpwstr>
      </vt:variant>
      <vt:variant>
        <vt:lpwstr/>
      </vt:variant>
      <vt:variant>
        <vt:i4>1572913</vt:i4>
      </vt:variant>
      <vt:variant>
        <vt:i4>50</vt:i4>
      </vt:variant>
      <vt:variant>
        <vt:i4>0</vt:i4>
      </vt:variant>
      <vt:variant>
        <vt:i4>5</vt:i4>
      </vt:variant>
      <vt:variant>
        <vt:lpwstr/>
      </vt:variant>
      <vt:variant>
        <vt:lpwstr>_Toc161829380</vt:lpwstr>
      </vt:variant>
      <vt:variant>
        <vt:i4>1507377</vt:i4>
      </vt:variant>
      <vt:variant>
        <vt:i4>44</vt:i4>
      </vt:variant>
      <vt:variant>
        <vt:i4>0</vt:i4>
      </vt:variant>
      <vt:variant>
        <vt:i4>5</vt:i4>
      </vt:variant>
      <vt:variant>
        <vt:lpwstr/>
      </vt:variant>
      <vt:variant>
        <vt:lpwstr>_Toc161829379</vt:lpwstr>
      </vt:variant>
      <vt:variant>
        <vt:i4>1507377</vt:i4>
      </vt:variant>
      <vt:variant>
        <vt:i4>38</vt:i4>
      </vt:variant>
      <vt:variant>
        <vt:i4>0</vt:i4>
      </vt:variant>
      <vt:variant>
        <vt:i4>5</vt:i4>
      </vt:variant>
      <vt:variant>
        <vt:lpwstr/>
      </vt:variant>
      <vt:variant>
        <vt:lpwstr>_Toc161829378</vt:lpwstr>
      </vt:variant>
      <vt:variant>
        <vt:i4>1507377</vt:i4>
      </vt:variant>
      <vt:variant>
        <vt:i4>32</vt:i4>
      </vt:variant>
      <vt:variant>
        <vt:i4>0</vt:i4>
      </vt:variant>
      <vt:variant>
        <vt:i4>5</vt:i4>
      </vt:variant>
      <vt:variant>
        <vt:lpwstr/>
      </vt:variant>
      <vt:variant>
        <vt:lpwstr>_Toc161829377</vt:lpwstr>
      </vt:variant>
      <vt:variant>
        <vt:i4>1507377</vt:i4>
      </vt:variant>
      <vt:variant>
        <vt:i4>26</vt:i4>
      </vt:variant>
      <vt:variant>
        <vt:i4>0</vt:i4>
      </vt:variant>
      <vt:variant>
        <vt:i4>5</vt:i4>
      </vt:variant>
      <vt:variant>
        <vt:lpwstr/>
      </vt:variant>
      <vt:variant>
        <vt:lpwstr>_Toc161829376</vt:lpwstr>
      </vt:variant>
      <vt:variant>
        <vt:i4>1507377</vt:i4>
      </vt:variant>
      <vt:variant>
        <vt:i4>20</vt:i4>
      </vt:variant>
      <vt:variant>
        <vt:i4>0</vt:i4>
      </vt:variant>
      <vt:variant>
        <vt:i4>5</vt:i4>
      </vt:variant>
      <vt:variant>
        <vt:lpwstr/>
      </vt:variant>
      <vt:variant>
        <vt:lpwstr>_Toc161829375</vt:lpwstr>
      </vt:variant>
      <vt:variant>
        <vt:i4>1507377</vt:i4>
      </vt:variant>
      <vt:variant>
        <vt:i4>14</vt:i4>
      </vt:variant>
      <vt:variant>
        <vt:i4>0</vt:i4>
      </vt:variant>
      <vt:variant>
        <vt:i4>5</vt:i4>
      </vt:variant>
      <vt:variant>
        <vt:lpwstr/>
      </vt:variant>
      <vt:variant>
        <vt:lpwstr>_Toc161829374</vt:lpwstr>
      </vt:variant>
      <vt:variant>
        <vt:i4>1507377</vt:i4>
      </vt:variant>
      <vt:variant>
        <vt:i4>8</vt:i4>
      </vt:variant>
      <vt:variant>
        <vt:i4>0</vt:i4>
      </vt:variant>
      <vt:variant>
        <vt:i4>5</vt:i4>
      </vt:variant>
      <vt:variant>
        <vt:lpwstr/>
      </vt:variant>
      <vt:variant>
        <vt:lpwstr>_Toc161829373</vt:lpwstr>
      </vt:variant>
      <vt:variant>
        <vt:i4>1507377</vt:i4>
      </vt:variant>
      <vt:variant>
        <vt:i4>2</vt:i4>
      </vt:variant>
      <vt:variant>
        <vt:i4>0</vt:i4>
      </vt:variant>
      <vt:variant>
        <vt:i4>5</vt:i4>
      </vt:variant>
      <vt:variant>
        <vt:lpwstr/>
      </vt:variant>
      <vt:variant>
        <vt:lpwstr>_Toc161829372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remade instrument for class order 13-1200</dc:title>
  <dc:subject/>
  <dc:creator>Anthony Graham</dc:creator>
  <cp:keywords/>
  <cp:lastModifiedBy>Narelle Kane</cp:lastModifiedBy>
  <cp:revision>4</cp:revision>
  <cp:lastPrinted>2014-06-13T23:38:00Z</cp:lastPrinted>
  <dcterms:created xsi:type="dcterms:W3CDTF">2024-03-21T22:29:00Z</dcterms:created>
  <dcterms:modified xsi:type="dcterms:W3CDTF">2024-03-22T00:15:00Z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1a26e9aa-972a-4d63-93b7-7c3e075be2e2</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lcf76f155ced4ddcb4097134ff3c332f">
    <vt:lpwstr/>
  </property>
  <property fmtid="{D5CDD505-2E9C-101B-9397-08002B2CF9AE}" pid="85" name="Order">
    <vt:r8>37100</vt:r8>
  </property>
</Properties>
</file>