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55175" w:rsidRDefault="00955175" w:rsidP="00E2168B">
      <w:pPr>
        <w:spacing w:before="280" w:after="240"/>
        <w:rPr>
          <w:b/>
          <w:sz w:val="32"/>
          <w:szCs w:val="32"/>
        </w:rPr>
      </w:pPr>
    </w:p>
    <w:p w14:paraId="657A3B2B" w14:textId="77777777" w:rsidR="00955175" w:rsidRPr="004E3852" w:rsidRDefault="000A7927" w:rsidP="00E2168B">
      <w:pPr>
        <w:spacing w:before="280" w:after="240"/>
        <w:rPr>
          <w:b/>
          <w:sz w:val="32"/>
          <w:szCs w:val="32"/>
        </w:rPr>
      </w:pPr>
      <w:r w:rsidRPr="004E3852">
        <w:rPr>
          <w:noProof/>
        </w:rPr>
        <w:drawing>
          <wp:anchor distT="0" distB="0" distL="114300" distR="114300" simplePos="0" relativeHeight="251658240" behindDoc="0" locked="0" layoutInCell="1" allowOverlap="1" wp14:anchorId="2141B66D" wp14:editId="07777777">
            <wp:simplePos x="0" y="0"/>
            <wp:positionH relativeFrom="margin">
              <wp:align>center</wp:align>
            </wp:positionH>
            <wp:positionV relativeFrom="margin">
              <wp:align>top</wp:align>
            </wp:positionV>
            <wp:extent cx="3542030" cy="746760"/>
            <wp:effectExtent l="0" t="0" r="0" b="0"/>
            <wp:wrapSquare wrapText="bothSides"/>
            <wp:docPr id="3" name="Picture 3" descr="Commonwealth Coat of Arms and ASI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and ASIC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0A37501D" w14:textId="77777777" w:rsidR="00955175" w:rsidRPr="004E3852" w:rsidRDefault="00955175" w:rsidP="00955175">
      <w:pPr>
        <w:pStyle w:val="LI-Title"/>
        <w:pBdr>
          <w:top w:val="none" w:sz="0" w:space="0" w:color="auto"/>
        </w:pBdr>
        <w:jc w:val="center"/>
      </w:pPr>
    </w:p>
    <w:p w14:paraId="5E2094A6" w14:textId="77777777" w:rsidR="00955175" w:rsidRPr="004E3852" w:rsidRDefault="00955175" w:rsidP="3F3D6A25">
      <w:pPr>
        <w:pStyle w:val="LI-Title"/>
        <w:pBdr>
          <w:top w:val="none" w:sz="0" w:space="0" w:color="auto"/>
        </w:pBdr>
        <w:jc w:val="center"/>
      </w:pPr>
      <w:r w:rsidRPr="004E3852">
        <w:t>Explanatory Statement</w:t>
      </w:r>
    </w:p>
    <w:p w14:paraId="5DAB6C7B" w14:textId="77777777" w:rsidR="00955175" w:rsidRPr="004E3852" w:rsidRDefault="00955175" w:rsidP="00955175">
      <w:pPr>
        <w:rPr>
          <w:lang w:eastAsia="en-AU"/>
        </w:rPr>
      </w:pPr>
    </w:p>
    <w:p w14:paraId="7A2E5356" w14:textId="4C2815E8" w:rsidR="00CB212B" w:rsidRPr="004E3852" w:rsidRDefault="006538C0" w:rsidP="529B0895">
      <w:pPr>
        <w:jc w:val="center"/>
        <w:rPr>
          <w:b/>
          <w:bCs/>
          <w:i/>
          <w:iCs/>
          <w:sz w:val="28"/>
          <w:szCs w:val="28"/>
          <w:lang w:eastAsia="en-AU"/>
        </w:rPr>
      </w:pPr>
      <w:r w:rsidRPr="004E3852">
        <w:rPr>
          <w:b/>
          <w:bCs/>
          <w:i/>
          <w:iCs/>
          <w:sz w:val="28"/>
          <w:szCs w:val="28"/>
          <w:lang w:eastAsia="en-AU"/>
        </w:rPr>
        <w:t xml:space="preserve">ASIC Corporations (Land </w:t>
      </w:r>
      <w:r w:rsidR="00224159" w:rsidRPr="004E3852">
        <w:rPr>
          <w:b/>
          <w:bCs/>
          <w:i/>
          <w:iCs/>
          <w:sz w:val="28"/>
          <w:szCs w:val="28"/>
          <w:lang w:eastAsia="en-AU"/>
        </w:rPr>
        <w:t>H</w:t>
      </w:r>
      <w:r w:rsidRPr="004E3852">
        <w:rPr>
          <w:b/>
          <w:bCs/>
          <w:i/>
          <w:iCs/>
          <w:sz w:val="28"/>
          <w:szCs w:val="28"/>
          <w:lang w:eastAsia="en-AU"/>
        </w:rPr>
        <w:t xml:space="preserve">olding for </w:t>
      </w:r>
      <w:r w:rsidR="00224159" w:rsidRPr="004E3852">
        <w:rPr>
          <w:b/>
          <w:bCs/>
          <w:i/>
          <w:iCs/>
          <w:sz w:val="28"/>
          <w:szCs w:val="28"/>
          <w:lang w:eastAsia="en-AU"/>
        </w:rPr>
        <w:t>P</w:t>
      </w:r>
      <w:r w:rsidRPr="004E3852">
        <w:rPr>
          <w:b/>
          <w:bCs/>
          <w:i/>
          <w:iCs/>
          <w:sz w:val="28"/>
          <w:szCs w:val="28"/>
          <w:lang w:eastAsia="en-AU"/>
        </w:rPr>
        <w:t xml:space="preserve">rimary </w:t>
      </w:r>
      <w:r w:rsidR="00224159" w:rsidRPr="004E3852">
        <w:rPr>
          <w:b/>
          <w:bCs/>
          <w:i/>
          <w:iCs/>
          <w:sz w:val="28"/>
          <w:szCs w:val="28"/>
          <w:lang w:eastAsia="en-AU"/>
        </w:rPr>
        <w:t>P</w:t>
      </w:r>
      <w:r w:rsidRPr="004E3852">
        <w:rPr>
          <w:b/>
          <w:bCs/>
          <w:i/>
          <w:iCs/>
          <w:sz w:val="28"/>
          <w:szCs w:val="28"/>
          <w:lang w:eastAsia="en-AU"/>
        </w:rPr>
        <w:t xml:space="preserve">roduction </w:t>
      </w:r>
      <w:r w:rsidR="00224159" w:rsidRPr="004E3852">
        <w:rPr>
          <w:b/>
          <w:bCs/>
          <w:i/>
          <w:iCs/>
          <w:sz w:val="28"/>
          <w:szCs w:val="28"/>
          <w:lang w:eastAsia="en-AU"/>
        </w:rPr>
        <w:t>S</w:t>
      </w:r>
      <w:r w:rsidRPr="004E3852">
        <w:rPr>
          <w:b/>
          <w:bCs/>
          <w:i/>
          <w:iCs/>
          <w:sz w:val="28"/>
          <w:szCs w:val="28"/>
          <w:lang w:eastAsia="en-AU"/>
        </w:rPr>
        <w:t xml:space="preserve">chemes) Instrument </w:t>
      </w:r>
      <w:r w:rsidR="000F2504" w:rsidRPr="004E3852">
        <w:rPr>
          <w:b/>
          <w:bCs/>
          <w:i/>
          <w:iCs/>
          <w:sz w:val="28"/>
          <w:szCs w:val="28"/>
          <w:lang w:eastAsia="en-AU"/>
        </w:rPr>
        <w:t>2024</w:t>
      </w:r>
      <w:r w:rsidRPr="004E3852">
        <w:rPr>
          <w:b/>
          <w:bCs/>
          <w:i/>
          <w:iCs/>
          <w:sz w:val="28"/>
          <w:szCs w:val="28"/>
          <w:lang w:eastAsia="en-AU"/>
        </w:rPr>
        <w:t>/</w:t>
      </w:r>
      <w:r w:rsidR="00E45F66" w:rsidRPr="004E3852">
        <w:rPr>
          <w:b/>
          <w:bCs/>
          <w:i/>
          <w:iCs/>
          <w:sz w:val="28"/>
          <w:szCs w:val="28"/>
          <w:lang w:eastAsia="en-AU"/>
        </w:rPr>
        <w:t>15</w:t>
      </w:r>
      <w:r w:rsidR="00B01CBD" w:rsidRPr="004E3852">
        <w:rPr>
          <w:b/>
          <w:bCs/>
          <w:i/>
          <w:iCs/>
          <w:sz w:val="28"/>
          <w:szCs w:val="28"/>
          <w:lang w:eastAsia="en-AU"/>
        </w:rPr>
        <w:t xml:space="preserve"> </w:t>
      </w:r>
    </w:p>
    <w:p w14:paraId="74E85DAA" w14:textId="77777777" w:rsidR="00CB212B" w:rsidRPr="004E3852" w:rsidRDefault="00B01CBD" w:rsidP="519A1AD7">
      <w:pPr>
        <w:jc w:val="center"/>
        <w:rPr>
          <w:b/>
          <w:bCs/>
          <w:i/>
          <w:iCs/>
          <w:sz w:val="28"/>
          <w:szCs w:val="28"/>
          <w:lang w:eastAsia="en-AU"/>
        </w:rPr>
      </w:pPr>
      <w:r w:rsidRPr="004E3852">
        <w:rPr>
          <w:sz w:val="28"/>
          <w:szCs w:val="28"/>
          <w:lang w:eastAsia="en-AU"/>
        </w:rPr>
        <w:t>and</w:t>
      </w:r>
      <w:r w:rsidRPr="004E3852">
        <w:rPr>
          <w:b/>
          <w:bCs/>
          <w:i/>
          <w:iCs/>
          <w:sz w:val="28"/>
          <w:szCs w:val="28"/>
          <w:lang w:eastAsia="en-AU"/>
        </w:rPr>
        <w:t xml:space="preserve"> </w:t>
      </w:r>
    </w:p>
    <w:p w14:paraId="52013EE0" w14:textId="1BC38A1A" w:rsidR="00C4170B" w:rsidRPr="004E3852" w:rsidRDefault="00B01CBD" w:rsidP="529B0895">
      <w:pPr>
        <w:jc w:val="center"/>
        <w:rPr>
          <w:b/>
          <w:bCs/>
          <w:i/>
          <w:iCs/>
          <w:sz w:val="28"/>
          <w:szCs w:val="28"/>
          <w:lang w:eastAsia="en-AU"/>
        </w:rPr>
      </w:pPr>
      <w:r w:rsidRPr="004E3852">
        <w:rPr>
          <w:b/>
          <w:bCs/>
          <w:i/>
          <w:iCs/>
          <w:sz w:val="28"/>
          <w:szCs w:val="28"/>
          <w:lang w:eastAsia="en-AU"/>
        </w:rPr>
        <w:t>ASIC Corporations (Repeal) Instrument 2024/</w:t>
      </w:r>
      <w:r w:rsidR="001B1621" w:rsidRPr="004E3852">
        <w:rPr>
          <w:b/>
          <w:bCs/>
          <w:i/>
          <w:iCs/>
          <w:sz w:val="28"/>
          <w:szCs w:val="28"/>
          <w:lang w:eastAsia="en-AU"/>
        </w:rPr>
        <w:t>19</w:t>
      </w:r>
    </w:p>
    <w:p w14:paraId="49E26986" w14:textId="1F36F3EF" w:rsidR="006538C0" w:rsidRPr="004E3852" w:rsidRDefault="00F800C9" w:rsidP="006538C0">
      <w:pPr>
        <w:pStyle w:val="LI-BodyTextParaa"/>
        <w:ind w:left="0" w:firstLine="0"/>
      </w:pPr>
      <w:r w:rsidRPr="004E3852">
        <w:t xml:space="preserve">This is the Explanatory Statement for </w:t>
      </w:r>
      <w:r w:rsidR="006538C0" w:rsidRPr="004E3852">
        <w:rPr>
          <w:i/>
          <w:iCs/>
        </w:rPr>
        <w:t xml:space="preserve">ASIC Corporations (Land </w:t>
      </w:r>
      <w:r w:rsidR="00F719B9" w:rsidRPr="004E3852">
        <w:rPr>
          <w:i/>
          <w:iCs/>
        </w:rPr>
        <w:t>H</w:t>
      </w:r>
      <w:r w:rsidR="006538C0" w:rsidRPr="004E3852">
        <w:rPr>
          <w:i/>
          <w:iCs/>
        </w:rPr>
        <w:t xml:space="preserve">olding for </w:t>
      </w:r>
      <w:r w:rsidR="00F719B9" w:rsidRPr="004E3852">
        <w:rPr>
          <w:i/>
          <w:iCs/>
        </w:rPr>
        <w:t>P</w:t>
      </w:r>
      <w:r w:rsidR="006538C0" w:rsidRPr="004E3852">
        <w:rPr>
          <w:i/>
          <w:iCs/>
        </w:rPr>
        <w:t xml:space="preserve">rimary </w:t>
      </w:r>
      <w:r w:rsidR="00F719B9" w:rsidRPr="004E3852">
        <w:rPr>
          <w:i/>
          <w:iCs/>
        </w:rPr>
        <w:t>P</w:t>
      </w:r>
      <w:r w:rsidR="006538C0" w:rsidRPr="004E3852">
        <w:rPr>
          <w:i/>
          <w:iCs/>
        </w:rPr>
        <w:t xml:space="preserve">roduction </w:t>
      </w:r>
      <w:r w:rsidR="00F719B9" w:rsidRPr="004E3852">
        <w:rPr>
          <w:i/>
          <w:iCs/>
        </w:rPr>
        <w:t>S</w:t>
      </w:r>
      <w:r w:rsidR="006538C0" w:rsidRPr="004E3852">
        <w:rPr>
          <w:i/>
          <w:iCs/>
        </w:rPr>
        <w:t xml:space="preserve">chemes) Instrument </w:t>
      </w:r>
      <w:r w:rsidR="000F2504" w:rsidRPr="004E3852">
        <w:rPr>
          <w:i/>
          <w:iCs/>
        </w:rPr>
        <w:t>2024</w:t>
      </w:r>
      <w:r w:rsidR="006538C0" w:rsidRPr="004E3852">
        <w:rPr>
          <w:i/>
          <w:iCs/>
        </w:rPr>
        <w:t>/</w:t>
      </w:r>
      <w:r w:rsidR="00E45F66" w:rsidRPr="004E3852">
        <w:rPr>
          <w:i/>
          <w:iCs/>
        </w:rPr>
        <w:t>15</w:t>
      </w:r>
      <w:r w:rsidR="00514584" w:rsidRPr="004E3852">
        <w:t xml:space="preserve"> (the </w:t>
      </w:r>
      <w:r w:rsidR="003E44BC" w:rsidRPr="004E3852">
        <w:rPr>
          <w:b/>
          <w:bCs/>
        </w:rPr>
        <w:t>Land Holding</w:t>
      </w:r>
      <w:r w:rsidR="00553CFE" w:rsidRPr="004E3852">
        <w:t xml:space="preserve"> </w:t>
      </w:r>
      <w:r w:rsidR="00514584" w:rsidRPr="004E3852">
        <w:rPr>
          <w:b/>
          <w:bCs/>
        </w:rPr>
        <w:t>Instrument</w:t>
      </w:r>
      <w:r w:rsidR="00514584" w:rsidRPr="004E3852">
        <w:t>)</w:t>
      </w:r>
      <w:r w:rsidR="00553CFE" w:rsidRPr="004E3852">
        <w:t xml:space="preserve"> and </w:t>
      </w:r>
      <w:r w:rsidR="00553CFE" w:rsidRPr="004E3852">
        <w:rPr>
          <w:i/>
          <w:iCs/>
        </w:rPr>
        <w:t>ASIC Corporations (Repeal) Instrument 2024/</w:t>
      </w:r>
      <w:r w:rsidR="001B1621" w:rsidRPr="004E3852">
        <w:rPr>
          <w:i/>
          <w:iCs/>
        </w:rPr>
        <w:t>19</w:t>
      </w:r>
      <w:r w:rsidR="001B1621" w:rsidRPr="004E3852">
        <w:t xml:space="preserve"> </w:t>
      </w:r>
      <w:r w:rsidR="00553CFE" w:rsidRPr="004E3852">
        <w:t xml:space="preserve">(the </w:t>
      </w:r>
      <w:r w:rsidR="00553CFE" w:rsidRPr="004E3852">
        <w:rPr>
          <w:b/>
          <w:bCs/>
        </w:rPr>
        <w:t>Repeal Instrument</w:t>
      </w:r>
      <w:r w:rsidR="00553CFE" w:rsidRPr="004E3852">
        <w:t>)</w:t>
      </w:r>
      <w:r w:rsidR="006538C0" w:rsidRPr="004E3852">
        <w:rPr>
          <w:i/>
          <w:iCs/>
        </w:rPr>
        <w:t>.</w:t>
      </w:r>
    </w:p>
    <w:p w14:paraId="7017BA8F" w14:textId="77777777" w:rsidR="00F800C9" w:rsidRPr="004E3852" w:rsidRDefault="00863657" w:rsidP="00F800C9">
      <w:pPr>
        <w:pStyle w:val="LI-BodyTextParaa"/>
        <w:ind w:left="0" w:firstLine="0"/>
      </w:pPr>
      <w:r w:rsidRPr="004E3852">
        <w:t>Th</w:t>
      </w:r>
      <w:r w:rsidR="00F800C9" w:rsidRPr="004E3852">
        <w:t>e</w:t>
      </w:r>
      <w:r w:rsidRPr="004E3852">
        <w:t xml:space="preserve"> </w:t>
      </w:r>
      <w:r w:rsidR="00F800C9" w:rsidRPr="004E3852">
        <w:t>Explanatory Statement is approved by the Australian Securities and Investments Commission (</w:t>
      </w:r>
      <w:r w:rsidR="00F800C9" w:rsidRPr="004E3852">
        <w:rPr>
          <w:b/>
          <w:i/>
        </w:rPr>
        <w:t>ASIC</w:t>
      </w:r>
      <w:r w:rsidR="00F800C9" w:rsidRPr="004E3852">
        <w:t>).</w:t>
      </w:r>
    </w:p>
    <w:p w14:paraId="08423271" w14:textId="77777777" w:rsidR="00F800C9" w:rsidRPr="004E3852" w:rsidRDefault="005D1FEA" w:rsidP="006D6079">
      <w:pPr>
        <w:pStyle w:val="LI-BodyTextNumbered"/>
        <w:keepNext/>
        <w:ind w:left="0" w:firstLine="0"/>
        <w:rPr>
          <w:b/>
        </w:rPr>
      </w:pPr>
      <w:r w:rsidRPr="004E3852">
        <w:rPr>
          <w:b/>
        </w:rPr>
        <w:t>Summary</w:t>
      </w:r>
    </w:p>
    <w:p w14:paraId="54D632E6" w14:textId="358E89B3" w:rsidR="00357E15" w:rsidRPr="004E3852" w:rsidRDefault="00BD672C" w:rsidP="00C87050">
      <w:pPr>
        <w:pStyle w:val="LI-BodyTextParaa"/>
        <w:numPr>
          <w:ilvl w:val="0"/>
          <w:numId w:val="21"/>
        </w:numPr>
        <w:ind w:left="567" w:hanging="567"/>
        <w:rPr>
          <w:bCs/>
        </w:rPr>
      </w:pPr>
      <w:r w:rsidRPr="004E3852">
        <w:rPr>
          <w:bCs/>
        </w:rPr>
        <w:t xml:space="preserve">The </w:t>
      </w:r>
      <w:r w:rsidR="003E44BC" w:rsidRPr="004E3852">
        <w:rPr>
          <w:bCs/>
        </w:rPr>
        <w:t>Land Holding</w:t>
      </w:r>
      <w:r w:rsidR="00553CFE" w:rsidRPr="004E3852">
        <w:rPr>
          <w:bCs/>
        </w:rPr>
        <w:t xml:space="preserve"> </w:t>
      </w:r>
      <w:r w:rsidRPr="004E3852">
        <w:rPr>
          <w:bCs/>
        </w:rPr>
        <w:t>Instrument specifies minimum standards that a responsible entity must meet in relation to the holding of interests in land required for the operation of a registered managed investment scheme to ensure the land holding arrangements enable the scheme to be operated efficiently, honestly, and fairly.</w:t>
      </w:r>
    </w:p>
    <w:p w14:paraId="4324ED14" w14:textId="1413A474" w:rsidR="00BD672C" w:rsidRPr="000360D2" w:rsidRDefault="3276880D" w:rsidP="00C87050">
      <w:pPr>
        <w:pStyle w:val="LI-BodyTextParaa"/>
        <w:numPr>
          <w:ilvl w:val="0"/>
          <w:numId w:val="21"/>
        </w:numPr>
        <w:ind w:left="567" w:hanging="567"/>
      </w:pPr>
      <w:r w:rsidRPr="004E3852">
        <w:t xml:space="preserve">The </w:t>
      </w:r>
      <w:r w:rsidR="19CB4755" w:rsidRPr="004E3852">
        <w:t xml:space="preserve">Land Holding </w:t>
      </w:r>
      <w:r w:rsidRPr="004E3852">
        <w:t>Instrument replaces ASIC’s previous</w:t>
      </w:r>
      <w:r w:rsidRPr="000360D2">
        <w:t xml:space="preserve"> legislative instrument </w:t>
      </w:r>
      <w:r w:rsidR="7DC8B049" w:rsidRPr="000360D2">
        <w:t>ASIC Class Order</w:t>
      </w:r>
      <w:r w:rsidR="00C431B1" w:rsidRPr="000360D2">
        <w:t xml:space="preserve"> </w:t>
      </w:r>
      <w:hyperlink r:id="rId15" w:history="1">
        <w:r w:rsidR="00C431B1" w:rsidRPr="000360D2">
          <w:rPr>
            <w:rStyle w:val="Hyperlink"/>
          </w:rPr>
          <w:t>[CO 13/1406]</w:t>
        </w:r>
      </w:hyperlink>
      <w:r w:rsidR="7DC8B049" w:rsidRPr="000360D2">
        <w:rPr>
          <w:i/>
          <w:iCs/>
        </w:rPr>
        <w:t xml:space="preserve"> </w:t>
      </w:r>
      <w:r w:rsidR="7DC8B049" w:rsidRPr="000360D2">
        <w:t xml:space="preserve">(the </w:t>
      </w:r>
      <w:r w:rsidR="7DC8B049" w:rsidRPr="000360D2">
        <w:rPr>
          <w:b/>
          <w:bCs/>
        </w:rPr>
        <w:t>Class Order</w:t>
      </w:r>
      <w:r w:rsidR="7DC8B049" w:rsidRPr="000360D2">
        <w:t>)</w:t>
      </w:r>
      <w:r w:rsidRPr="000360D2">
        <w:t>, which</w:t>
      </w:r>
      <w:r w:rsidR="1A0763B5" w:rsidRPr="000360D2">
        <w:t xml:space="preserve"> </w:t>
      </w:r>
      <w:r w:rsidR="29EA3F1E" w:rsidRPr="000360D2">
        <w:t xml:space="preserve">was due to sunset on 1 April 2024 and </w:t>
      </w:r>
      <w:r w:rsidR="39060975" w:rsidRPr="000360D2">
        <w:t>is repealed</w:t>
      </w:r>
      <w:r w:rsidR="7D278209" w:rsidRPr="000360D2">
        <w:t xml:space="preserve"> by the Rep</w:t>
      </w:r>
      <w:r w:rsidR="5604B09D" w:rsidRPr="000360D2">
        <w:t>e</w:t>
      </w:r>
      <w:r w:rsidR="7D278209" w:rsidRPr="000360D2">
        <w:t>al Instrument</w:t>
      </w:r>
      <w:r w:rsidR="7DC8B049" w:rsidRPr="000360D2">
        <w:t xml:space="preserve">. </w:t>
      </w:r>
    </w:p>
    <w:p w14:paraId="79AD12F6" w14:textId="378B3CD7" w:rsidR="6A7D999D" w:rsidRDefault="6A7D999D">
      <w:pPr>
        <w:pStyle w:val="LI-BodyTextParaa"/>
        <w:numPr>
          <w:ilvl w:val="0"/>
          <w:numId w:val="21"/>
        </w:numPr>
        <w:ind w:left="567" w:hanging="567"/>
      </w:pPr>
      <w:r w:rsidRPr="000360D2">
        <w:t xml:space="preserve">The </w:t>
      </w:r>
      <w:r w:rsidRPr="000360D2">
        <w:rPr>
          <w:i/>
          <w:iCs/>
        </w:rPr>
        <w:t>Legislative Instruments Act 2003</w:t>
      </w:r>
      <w:r>
        <w:t xml:space="preserve"> (the </w:t>
      </w:r>
      <w:r w:rsidRPr="7DA96BB8">
        <w:rPr>
          <w:b/>
          <w:bCs/>
          <w:i/>
          <w:iCs/>
        </w:rPr>
        <w:t>LIA</w:t>
      </w:r>
      <w:r>
        <w:t>) provides for the periodic expiry of legislative instruments (‘sunsetting’) to ensure that they are kept up to date and only remain in force for so long as they are needed.</w:t>
      </w:r>
      <w:r w:rsidR="549AFF46">
        <w:t xml:space="preserve"> </w:t>
      </w:r>
      <w:r w:rsidR="379C09E3">
        <w:t>In addition to the Class Order, t</w:t>
      </w:r>
      <w:r w:rsidR="78B03BBB">
        <w:t>he Rep</w:t>
      </w:r>
      <w:r w:rsidR="0CC6140D">
        <w:t>e</w:t>
      </w:r>
      <w:r w:rsidR="78B03BBB">
        <w:t xml:space="preserve">al Instrument </w:t>
      </w:r>
      <w:r w:rsidR="29114582">
        <w:t xml:space="preserve">also </w:t>
      </w:r>
      <w:r w:rsidR="78B03BBB">
        <w:t>repeals the following legislative instruments that were due to sunset on 1 April 2024 and that are being remade:</w:t>
      </w:r>
    </w:p>
    <w:p w14:paraId="51037B6A" w14:textId="69F27B13" w:rsidR="0D35E178" w:rsidRDefault="003B3D10" w:rsidP="7DA96BB8">
      <w:pPr>
        <w:pStyle w:val="LI-BodyTextParaa"/>
        <w:numPr>
          <w:ilvl w:val="1"/>
          <w:numId w:val="21"/>
        </w:numPr>
        <w:rPr>
          <w:color w:val="000000" w:themeColor="text1"/>
        </w:rPr>
      </w:pPr>
      <w:r>
        <w:t xml:space="preserve">ASIC Class Order </w:t>
      </w:r>
      <w:hyperlink r:id="rId16" w:history="1">
        <w:r w:rsidR="0D35E178" w:rsidRPr="7DA96BB8">
          <w:rPr>
            <w:rStyle w:val="Hyperlink"/>
            <w:sz w:val="22"/>
            <w:szCs w:val="22"/>
          </w:rPr>
          <w:t>[CO 13/1200]</w:t>
        </w:r>
      </w:hyperlink>
      <w:r w:rsidR="0D35E178" w:rsidRPr="7DA96BB8">
        <w:rPr>
          <w:rStyle w:val="normaltextrun"/>
          <w:i/>
          <w:iCs/>
          <w:color w:val="000000" w:themeColor="text1"/>
        </w:rPr>
        <w:t xml:space="preserve"> - Periodic statements relief for AQUA quoted and listed managed investment scheme managed investment scheme </w:t>
      </w:r>
      <w:proofErr w:type="gramStart"/>
      <w:r w:rsidR="0D35E178" w:rsidRPr="7DA96BB8">
        <w:rPr>
          <w:rStyle w:val="normaltextrun"/>
          <w:i/>
          <w:iCs/>
          <w:color w:val="000000" w:themeColor="text1"/>
        </w:rPr>
        <w:t>issuer</w:t>
      </w:r>
      <w:r w:rsidR="0D35E178" w:rsidRPr="7DA96BB8">
        <w:rPr>
          <w:rStyle w:val="normaltextrun"/>
          <w:color w:val="000000" w:themeColor="text1"/>
        </w:rPr>
        <w:t>;</w:t>
      </w:r>
      <w:proofErr w:type="gramEnd"/>
      <w:r w:rsidR="0D35E178" w:rsidRPr="7DA96BB8">
        <w:rPr>
          <w:rStyle w:val="normaltextrun"/>
          <w:i/>
          <w:iCs/>
          <w:color w:val="000000" w:themeColor="text1"/>
        </w:rPr>
        <w:t> </w:t>
      </w:r>
      <w:r w:rsidR="0D35E178" w:rsidRPr="7DA96BB8">
        <w:rPr>
          <w:rStyle w:val="eop"/>
          <w:color w:val="000000" w:themeColor="text1"/>
        </w:rPr>
        <w:t> </w:t>
      </w:r>
    </w:p>
    <w:p w14:paraId="1E5C7CF6" w14:textId="794EA8E2" w:rsidR="0D35E178" w:rsidRDefault="003B3D10" w:rsidP="39881BFE">
      <w:pPr>
        <w:pStyle w:val="LI-BodyTextParaa"/>
        <w:numPr>
          <w:ilvl w:val="1"/>
          <w:numId w:val="21"/>
        </w:numPr>
        <w:rPr>
          <w:color w:val="000000" w:themeColor="text1"/>
        </w:rPr>
      </w:pPr>
      <w:r>
        <w:t xml:space="preserve">ASIC Class Order </w:t>
      </w:r>
      <w:hyperlink r:id="rId17" w:history="1">
        <w:r w:rsidR="0D35E178" w:rsidRPr="7DA96BB8">
          <w:rPr>
            <w:rStyle w:val="Hyperlink"/>
            <w:sz w:val="22"/>
            <w:szCs w:val="22"/>
          </w:rPr>
          <w:t>[CO 13/1409]</w:t>
        </w:r>
      </w:hyperlink>
      <w:r w:rsidR="0D35E178" w:rsidRPr="7DA96BB8">
        <w:rPr>
          <w:rStyle w:val="normaltextrun"/>
          <w:i/>
          <w:iCs/>
          <w:color w:val="000000" w:themeColor="text1"/>
        </w:rPr>
        <w:t xml:space="preserve"> - Holding assets: Standards for responsible </w:t>
      </w:r>
      <w:proofErr w:type="gramStart"/>
      <w:r w:rsidR="0D35E178" w:rsidRPr="7DA96BB8">
        <w:rPr>
          <w:rStyle w:val="normaltextrun"/>
          <w:i/>
          <w:iCs/>
          <w:color w:val="000000" w:themeColor="text1"/>
        </w:rPr>
        <w:t>entities</w:t>
      </w:r>
      <w:r w:rsidR="0D35E178" w:rsidRPr="7DA96BB8">
        <w:rPr>
          <w:rStyle w:val="normaltextrun"/>
          <w:color w:val="000000" w:themeColor="text1"/>
        </w:rPr>
        <w:t>;</w:t>
      </w:r>
      <w:proofErr w:type="gramEnd"/>
      <w:r w:rsidR="0D35E178" w:rsidRPr="7DA96BB8">
        <w:rPr>
          <w:rStyle w:val="normaltextrun"/>
          <w:color w:val="000000" w:themeColor="text1"/>
        </w:rPr>
        <w:t> </w:t>
      </w:r>
    </w:p>
    <w:p w14:paraId="0998DCD8" w14:textId="241E19CB" w:rsidR="0D35E178" w:rsidRDefault="003B3D10" w:rsidP="39881BFE">
      <w:pPr>
        <w:pStyle w:val="LI-BodyTextParaa"/>
        <w:numPr>
          <w:ilvl w:val="1"/>
          <w:numId w:val="21"/>
        </w:numPr>
        <w:rPr>
          <w:color w:val="000000" w:themeColor="text1"/>
        </w:rPr>
      </w:pPr>
      <w:r>
        <w:t xml:space="preserve">ASIC Class Order </w:t>
      </w:r>
      <w:hyperlink r:id="rId18" w:history="1">
        <w:r w:rsidR="0D35E178" w:rsidRPr="7DA96BB8">
          <w:rPr>
            <w:rStyle w:val="Hyperlink"/>
            <w:sz w:val="22"/>
            <w:szCs w:val="22"/>
          </w:rPr>
          <w:t>[CO 13/1410]</w:t>
        </w:r>
      </w:hyperlink>
      <w:r w:rsidR="0D35E178" w:rsidRPr="7DA96BB8">
        <w:rPr>
          <w:rStyle w:val="normaltextrun"/>
          <w:i/>
          <w:iCs/>
          <w:color w:val="000000" w:themeColor="text1"/>
        </w:rPr>
        <w:t xml:space="preserve"> - Holding assets: Standards for providers of custodial and depository services</w:t>
      </w:r>
      <w:r w:rsidR="0D35E178" w:rsidRPr="7DA96BB8">
        <w:rPr>
          <w:rStyle w:val="normaltextrun"/>
          <w:color w:val="000000" w:themeColor="text1"/>
        </w:rPr>
        <w:t>; and </w:t>
      </w:r>
    </w:p>
    <w:p w14:paraId="4273537A" w14:textId="4E17B164" w:rsidR="0D35E178" w:rsidRDefault="003B3D10" w:rsidP="39881BFE">
      <w:pPr>
        <w:pStyle w:val="LI-BodyTextParaa"/>
        <w:numPr>
          <w:ilvl w:val="1"/>
          <w:numId w:val="21"/>
        </w:numPr>
        <w:rPr>
          <w:rStyle w:val="normaltextrun"/>
          <w:color w:val="000000" w:themeColor="text1"/>
        </w:rPr>
      </w:pPr>
      <w:r>
        <w:t xml:space="preserve">ASIC Class Order </w:t>
      </w:r>
      <w:hyperlink r:id="rId19" w:history="1">
        <w:r w:rsidR="0D35E178" w:rsidRPr="7DA96BB8">
          <w:rPr>
            <w:rStyle w:val="Hyperlink"/>
            <w:sz w:val="22"/>
            <w:szCs w:val="22"/>
          </w:rPr>
          <w:t>[CO 13/1621]</w:t>
        </w:r>
      </w:hyperlink>
      <w:r w:rsidR="0D35E178" w:rsidRPr="7DA96BB8">
        <w:rPr>
          <w:rStyle w:val="normaltextrun"/>
          <w:i/>
          <w:iCs/>
          <w:color w:val="000000" w:themeColor="text1"/>
        </w:rPr>
        <w:t xml:space="preserve"> - Exemption and declaration for the operation of </w:t>
      </w:r>
      <w:proofErr w:type="spellStart"/>
      <w:r w:rsidR="0D35E178" w:rsidRPr="7DA96BB8">
        <w:rPr>
          <w:rStyle w:val="normaltextrun"/>
          <w:i/>
          <w:iCs/>
          <w:color w:val="000000" w:themeColor="text1"/>
        </w:rPr>
        <w:t>mFund</w:t>
      </w:r>
      <w:proofErr w:type="spellEnd"/>
      <w:r w:rsidR="0D35E178" w:rsidRPr="7DA96BB8">
        <w:rPr>
          <w:rStyle w:val="normaltextrun"/>
          <w:color w:val="000000" w:themeColor="text1"/>
        </w:rPr>
        <w:t>.</w:t>
      </w:r>
    </w:p>
    <w:p w14:paraId="3C70ABF5" w14:textId="1A7B2C49" w:rsidR="005D1FEA" w:rsidRDefault="66F36A72" w:rsidP="7DA96BB8">
      <w:pPr>
        <w:pStyle w:val="LI-BodyTextParaa"/>
        <w:ind w:left="0" w:firstLine="0"/>
        <w:rPr>
          <w:b/>
          <w:bCs/>
        </w:rPr>
      </w:pPr>
      <w:r w:rsidRPr="7DA96BB8">
        <w:rPr>
          <w:b/>
          <w:bCs/>
        </w:rPr>
        <w:lastRenderedPageBreak/>
        <w:t xml:space="preserve">Purpose of the </w:t>
      </w:r>
      <w:r w:rsidR="7DB7C648" w:rsidRPr="7DA96BB8">
        <w:rPr>
          <w:b/>
          <w:bCs/>
        </w:rPr>
        <w:t xml:space="preserve">Land Holding </w:t>
      </w:r>
      <w:r w:rsidR="67238A21" w:rsidRPr="7DA96BB8">
        <w:rPr>
          <w:b/>
          <w:bCs/>
        </w:rPr>
        <w:t>I</w:t>
      </w:r>
      <w:r w:rsidRPr="7DA96BB8">
        <w:rPr>
          <w:b/>
          <w:bCs/>
        </w:rPr>
        <w:t>nstrument</w:t>
      </w:r>
    </w:p>
    <w:p w14:paraId="6F054FB6" w14:textId="2D6BB382" w:rsidR="006538C0" w:rsidRDefault="597C6613" w:rsidP="00851702">
      <w:pPr>
        <w:pStyle w:val="LI-BodyTextParaa"/>
        <w:numPr>
          <w:ilvl w:val="0"/>
          <w:numId w:val="21"/>
        </w:numPr>
        <w:ind w:left="567" w:hanging="567"/>
      </w:pPr>
      <w:r>
        <w:t xml:space="preserve">In many primary production schemes, the underlying land is the property of the responsible entity or its associate or an unrelated third party rather than scheme property. ASIC considers that exposing the scheme to risks of failure due to inadequate protection of interests in land needed </w:t>
      </w:r>
      <w:r w:rsidR="34738926">
        <w:t xml:space="preserve">by </w:t>
      </w:r>
      <w:r>
        <w:t xml:space="preserve">the scheme for the scheme’s expected duration is inconsistent with the responsible entity’s duties to do all things necessary to ensure that it operates a registered scheme efficiently, </w:t>
      </w:r>
      <w:proofErr w:type="gramStart"/>
      <w:r>
        <w:t>honestly</w:t>
      </w:r>
      <w:proofErr w:type="gramEnd"/>
      <w:r>
        <w:t xml:space="preserve"> and fairly. ASIC considers that the interests in land should be held in a way that protects members from risks outside the scheme’s scope, such as the landowner’s insolvency. </w:t>
      </w:r>
    </w:p>
    <w:p w14:paraId="08DA0B6F" w14:textId="7108E17B" w:rsidR="006538C0" w:rsidRDefault="0361F857" w:rsidP="003755C7">
      <w:pPr>
        <w:pStyle w:val="LI-BodyTextParaa"/>
        <w:numPr>
          <w:ilvl w:val="0"/>
          <w:numId w:val="21"/>
        </w:numPr>
        <w:ind w:left="567" w:hanging="567"/>
      </w:pPr>
      <w:r>
        <w:t xml:space="preserve">The </w:t>
      </w:r>
      <w:r w:rsidR="1859B125">
        <w:t xml:space="preserve">Land Holding </w:t>
      </w:r>
      <w:r>
        <w:t>Instrument</w:t>
      </w:r>
      <w:r w:rsidR="597C6613">
        <w:t xml:space="preserve"> contains the minimum standards that a responsible entity must meet in relation to the holding of interests in land required for the operation of a registered managed investment scheme to ensure the land holding arrangements enable the scheme to be operated efficiently, </w:t>
      </w:r>
      <w:proofErr w:type="gramStart"/>
      <w:r w:rsidR="597C6613">
        <w:t>honestly</w:t>
      </w:r>
      <w:proofErr w:type="gramEnd"/>
      <w:r w:rsidR="597C6613">
        <w:t xml:space="preserve"> and fairly. </w:t>
      </w:r>
    </w:p>
    <w:p w14:paraId="08964DCE" w14:textId="4BFDE0E8" w:rsidR="00A23A63" w:rsidRPr="00C87050" w:rsidRDefault="69962AA9" w:rsidP="00A23A63">
      <w:pPr>
        <w:pStyle w:val="LI-BodyTextParaa"/>
        <w:numPr>
          <w:ilvl w:val="0"/>
          <w:numId w:val="21"/>
        </w:numPr>
        <w:ind w:left="567" w:hanging="567"/>
      </w:pPr>
      <w:r>
        <w:t>We consider that the requirements in the Land Holding Instrument are consistent with the responsible entity’s duties under paragraph 601FC(1)(c) of the Corporations Act 2001 (the Act) and its duties as a financial services licensee under paragraph 912A(1)(a) of the Act. The purpose of the Land Holding Instrument is to reduce the risks of the scheme’s ability to operate being affected by the rights of other parties outside the scheme.</w:t>
      </w:r>
    </w:p>
    <w:p w14:paraId="5E437D0A" w14:textId="6FC8E644" w:rsidR="290A7139" w:rsidRPr="00A23A63" w:rsidRDefault="486583DE" w:rsidP="00A23A63">
      <w:pPr>
        <w:pStyle w:val="LI-BodyTextParaa"/>
        <w:numPr>
          <w:ilvl w:val="0"/>
          <w:numId w:val="21"/>
        </w:numPr>
        <w:ind w:left="567" w:hanging="567"/>
        <w:rPr>
          <w:color w:val="000000"/>
        </w:rPr>
      </w:pPr>
      <w:r>
        <w:rPr>
          <w:rStyle w:val="normaltextrun"/>
        </w:rPr>
        <w:t xml:space="preserve">Section E of </w:t>
      </w:r>
      <w:r w:rsidR="12123FEC">
        <w:rPr>
          <w:rStyle w:val="normaltextrun"/>
        </w:rPr>
        <w:t xml:space="preserve">ASIC’s </w:t>
      </w:r>
      <w:r w:rsidRPr="7DA96BB8">
        <w:rPr>
          <w:i/>
          <w:iCs/>
          <w:color w:val="000000"/>
        </w:rPr>
        <w:t>Regulatory Guide 133 Funds management and custodial services: Holding assets</w:t>
      </w:r>
      <w:r w:rsidRPr="00B60D76">
        <w:rPr>
          <w:color w:val="000000"/>
        </w:rPr>
        <w:t xml:space="preserve"> (</w:t>
      </w:r>
      <w:hyperlink r:id="rId20" w:history="1">
        <w:r w:rsidR="00C74677" w:rsidRPr="00643D8D">
          <w:rPr>
            <w:rStyle w:val="Hyperlink"/>
            <w:b/>
            <w:bCs/>
          </w:rPr>
          <w:t>RG 133</w:t>
        </w:r>
      </w:hyperlink>
      <w:r w:rsidRPr="00B60D76">
        <w:rPr>
          <w:color w:val="000000"/>
        </w:rPr>
        <w:t>)</w:t>
      </w:r>
      <w:r>
        <w:rPr>
          <w:color w:val="000000"/>
        </w:rPr>
        <w:t xml:space="preserve"> </w:t>
      </w:r>
      <w:r w:rsidRPr="00B60D76">
        <w:rPr>
          <w:color w:val="000000"/>
        </w:rPr>
        <w:t>provides guidance for responsible entities</w:t>
      </w:r>
      <w:r w:rsidR="12123FEC">
        <w:rPr>
          <w:color w:val="000000"/>
        </w:rPr>
        <w:t xml:space="preserve"> of </w:t>
      </w:r>
      <w:r w:rsidR="587BD4F5">
        <w:rPr>
          <w:color w:val="000000"/>
        </w:rPr>
        <w:t xml:space="preserve">registered </w:t>
      </w:r>
      <w:r w:rsidR="12123FEC">
        <w:rPr>
          <w:color w:val="000000"/>
        </w:rPr>
        <w:t xml:space="preserve">schemes in respect of their obligations in relation </w:t>
      </w:r>
      <w:r w:rsidR="12123FEC">
        <w:rPr>
          <w:rStyle w:val="normaltextrun"/>
          <w:color w:val="000000"/>
          <w:shd w:val="clear" w:color="auto" w:fill="FFFFFF"/>
        </w:rPr>
        <w:t>to the holding of interests in land</w:t>
      </w:r>
      <w:r w:rsidR="587BD4F5">
        <w:rPr>
          <w:color w:val="000000"/>
        </w:rPr>
        <w:t xml:space="preserve">. </w:t>
      </w:r>
      <w:r w:rsidR="1CB8BB7F">
        <w:rPr>
          <w:color w:val="000000"/>
        </w:rPr>
        <w:t>The guidance in section E of RG 133 is</w:t>
      </w:r>
      <w:r w:rsidR="587BD4F5">
        <w:rPr>
          <w:color w:val="000000"/>
        </w:rPr>
        <w:t xml:space="preserve"> </w:t>
      </w:r>
      <w:r w:rsidR="1CB8BB7F">
        <w:rPr>
          <w:color w:val="000000"/>
        </w:rPr>
        <w:t xml:space="preserve">based upon the provisions of </w:t>
      </w:r>
      <w:r w:rsidR="5A9D8DB6">
        <w:rPr>
          <w:color w:val="000000"/>
        </w:rPr>
        <w:t>this Instrument</w:t>
      </w:r>
      <w:r w:rsidR="518D60C3">
        <w:rPr>
          <w:color w:val="000000"/>
        </w:rPr>
        <w:t>.</w:t>
      </w:r>
    </w:p>
    <w:p w14:paraId="624749CB" w14:textId="6E14F1E0" w:rsidR="36895422" w:rsidRDefault="36895422" w:rsidP="7DA96BB8">
      <w:pPr>
        <w:spacing w:before="240"/>
        <w:ind w:left="-20" w:right="-20"/>
        <w:rPr>
          <w:rFonts w:eastAsia="Times New Roman"/>
          <w:b/>
          <w:bCs/>
          <w:sz w:val="24"/>
          <w:szCs w:val="24"/>
        </w:rPr>
      </w:pPr>
      <w:r w:rsidRPr="7DA96BB8">
        <w:rPr>
          <w:rFonts w:eastAsia="Times New Roman"/>
          <w:b/>
          <w:bCs/>
          <w:sz w:val="24"/>
          <w:szCs w:val="24"/>
        </w:rPr>
        <w:t>Purpose of the Repeal Instrument</w:t>
      </w:r>
    </w:p>
    <w:p w14:paraId="32AB0911" w14:textId="6D8F60E4" w:rsidR="36895422" w:rsidRDefault="36895422" w:rsidP="7DA96BB8">
      <w:pPr>
        <w:pStyle w:val="LI-BodyTextParaa"/>
        <w:numPr>
          <w:ilvl w:val="0"/>
          <w:numId w:val="21"/>
        </w:numPr>
        <w:ind w:left="540"/>
        <w:rPr>
          <w:rStyle w:val="normaltextrun"/>
          <w:color w:val="000000" w:themeColor="text1"/>
        </w:rPr>
      </w:pPr>
      <w:r w:rsidRPr="7DA96BB8">
        <w:rPr>
          <w:rStyle w:val="normaltextrun"/>
          <w:color w:val="000000" w:themeColor="text1"/>
        </w:rPr>
        <w:t xml:space="preserve">The purpose of the Repeal Instrument is to repeal </w:t>
      </w:r>
      <w:r w:rsidR="5C1144C6" w:rsidRPr="7DA96BB8">
        <w:rPr>
          <w:rStyle w:val="normaltextrun"/>
          <w:color w:val="000000" w:themeColor="text1"/>
        </w:rPr>
        <w:t xml:space="preserve">the Class Order and also </w:t>
      </w:r>
      <w:r w:rsidR="00D07AF5" w:rsidRPr="7DA96BB8">
        <w:rPr>
          <w:rStyle w:val="normaltextrun"/>
          <w:color w:val="000000" w:themeColor="text1"/>
        </w:rPr>
        <w:t xml:space="preserve">ASIC Class Orders </w:t>
      </w:r>
      <w:r w:rsidRPr="7DA96BB8">
        <w:rPr>
          <w:rStyle w:val="normaltextrun"/>
          <w:color w:val="000000" w:themeColor="text1"/>
        </w:rPr>
        <w:t>[CO 13/</w:t>
      </w:r>
      <w:r w:rsidR="18284532" w:rsidRPr="7DA96BB8">
        <w:rPr>
          <w:rStyle w:val="normaltextrun"/>
          <w:color w:val="000000" w:themeColor="text1"/>
        </w:rPr>
        <w:t>1200</w:t>
      </w:r>
      <w:r w:rsidRPr="7DA96BB8">
        <w:rPr>
          <w:rStyle w:val="normaltextrun"/>
          <w:color w:val="000000" w:themeColor="text1"/>
        </w:rPr>
        <w:t>], [CO 13/</w:t>
      </w:r>
      <w:r w:rsidR="51D4C910" w:rsidRPr="7DA96BB8">
        <w:rPr>
          <w:rStyle w:val="normaltextrun"/>
          <w:color w:val="000000" w:themeColor="text1"/>
        </w:rPr>
        <w:t>1409</w:t>
      </w:r>
      <w:r w:rsidRPr="7DA96BB8">
        <w:rPr>
          <w:rStyle w:val="normaltextrun"/>
          <w:color w:val="000000" w:themeColor="text1"/>
        </w:rPr>
        <w:t>], [CO 13/</w:t>
      </w:r>
      <w:r w:rsidR="4802BE04" w:rsidRPr="7DA96BB8">
        <w:rPr>
          <w:rStyle w:val="normaltextrun"/>
          <w:color w:val="000000" w:themeColor="text1"/>
        </w:rPr>
        <w:t>1410</w:t>
      </w:r>
      <w:r w:rsidRPr="7DA96BB8">
        <w:rPr>
          <w:rStyle w:val="normaltextrun"/>
          <w:color w:val="000000" w:themeColor="text1"/>
        </w:rPr>
        <w:t xml:space="preserve">], </w:t>
      </w:r>
      <w:r w:rsidR="7F458695" w:rsidRPr="7DA96BB8">
        <w:rPr>
          <w:rStyle w:val="normaltextrun"/>
          <w:color w:val="000000" w:themeColor="text1"/>
        </w:rPr>
        <w:t xml:space="preserve">and </w:t>
      </w:r>
      <w:r w:rsidRPr="7DA96BB8">
        <w:rPr>
          <w:rStyle w:val="normaltextrun"/>
          <w:color w:val="000000" w:themeColor="text1"/>
        </w:rPr>
        <w:t>[CO 13/</w:t>
      </w:r>
      <w:r w:rsidR="3AB8B752" w:rsidRPr="7DA96BB8">
        <w:rPr>
          <w:rStyle w:val="normaltextrun"/>
          <w:color w:val="000000" w:themeColor="text1"/>
        </w:rPr>
        <w:t>1621</w:t>
      </w:r>
      <w:r w:rsidRPr="7DA96BB8">
        <w:rPr>
          <w:rStyle w:val="normaltextrun"/>
          <w:color w:val="000000" w:themeColor="text1"/>
        </w:rPr>
        <w:t>], to ensure there is no overlap between these instruments and those that replace them</w:t>
      </w:r>
      <w:r w:rsidR="4188E774" w:rsidRPr="7DA96BB8">
        <w:rPr>
          <w:rStyle w:val="normaltextrun"/>
          <w:color w:val="000000" w:themeColor="text1"/>
        </w:rPr>
        <w:t>.</w:t>
      </w:r>
    </w:p>
    <w:p w14:paraId="087ADCEF" w14:textId="179EEF4E" w:rsidR="290A7139" w:rsidRDefault="6FF66482" w:rsidP="00C87050">
      <w:pPr>
        <w:spacing w:before="240" w:line="240" w:lineRule="auto"/>
        <w:rPr>
          <w:rFonts w:eastAsia="Times New Roman"/>
          <w:b/>
          <w:bCs/>
          <w:color w:val="000000" w:themeColor="text1"/>
          <w:sz w:val="24"/>
          <w:szCs w:val="24"/>
          <w:lang w:val="en-GB"/>
        </w:rPr>
      </w:pPr>
      <w:r w:rsidRPr="290A7139">
        <w:rPr>
          <w:rFonts w:eastAsia="Times New Roman"/>
          <w:b/>
          <w:bCs/>
          <w:color w:val="000000" w:themeColor="text1"/>
          <w:sz w:val="24"/>
          <w:szCs w:val="24"/>
          <w:lang w:val="en-GB"/>
        </w:rPr>
        <w:t>Consultation</w:t>
      </w:r>
    </w:p>
    <w:p w14:paraId="07020E43" w14:textId="041C70AE" w:rsidR="7F6B8DCD" w:rsidRPr="00C87050" w:rsidRDefault="45C02FB2" w:rsidP="00C87050">
      <w:pPr>
        <w:pStyle w:val="LI-BodyTextParaa"/>
        <w:numPr>
          <w:ilvl w:val="0"/>
          <w:numId w:val="21"/>
        </w:numPr>
        <w:ind w:left="567" w:hanging="567"/>
        <w:rPr>
          <w:color w:val="000000"/>
        </w:rPr>
      </w:pPr>
      <w:r w:rsidRPr="7DA96BB8">
        <w:rPr>
          <w:color w:val="000000" w:themeColor="text1"/>
        </w:rPr>
        <w:t xml:space="preserve">Before making the </w:t>
      </w:r>
      <w:r w:rsidR="1859B125" w:rsidRPr="7DA96BB8">
        <w:rPr>
          <w:color w:val="000000" w:themeColor="text1"/>
        </w:rPr>
        <w:t xml:space="preserve">Land Holding </w:t>
      </w:r>
      <w:r w:rsidRPr="7DA96BB8">
        <w:rPr>
          <w:color w:val="000000" w:themeColor="text1"/>
        </w:rPr>
        <w:t xml:space="preserve">Instrument, ASIC consulted publicly. </w:t>
      </w:r>
      <w:r w:rsidR="751FECA3" w:rsidRPr="7DA96BB8">
        <w:rPr>
          <w:color w:val="000000" w:themeColor="text1"/>
        </w:rPr>
        <w:t>One</w:t>
      </w:r>
      <w:r w:rsidRPr="7DA96BB8">
        <w:rPr>
          <w:color w:val="000000" w:themeColor="text1"/>
        </w:rPr>
        <w:t xml:space="preserve"> submission w</w:t>
      </w:r>
      <w:r w:rsidR="3298730F" w:rsidRPr="7DA96BB8">
        <w:rPr>
          <w:color w:val="000000" w:themeColor="text1"/>
        </w:rPr>
        <w:t>as</w:t>
      </w:r>
      <w:r w:rsidRPr="7DA96BB8">
        <w:rPr>
          <w:color w:val="000000" w:themeColor="text1"/>
        </w:rPr>
        <w:t xml:space="preserve"> received, which agreed that the Class Order </w:t>
      </w:r>
      <w:r w:rsidR="7F2C7A33" w:rsidRPr="7DA96BB8">
        <w:rPr>
          <w:color w:val="000000" w:themeColor="text1"/>
        </w:rPr>
        <w:t>has operated effectively</w:t>
      </w:r>
      <w:r w:rsidRPr="7DA96BB8">
        <w:rPr>
          <w:color w:val="000000" w:themeColor="text1"/>
        </w:rPr>
        <w:t>.</w:t>
      </w:r>
    </w:p>
    <w:p w14:paraId="42DC1A02" w14:textId="6EB4BAC2" w:rsidR="005D1FEA" w:rsidRDefault="66F36A72" w:rsidP="39881BFE">
      <w:pPr>
        <w:pStyle w:val="LI-BodyTextNumbered"/>
        <w:keepNext/>
        <w:ind w:left="0" w:firstLine="0"/>
        <w:rPr>
          <w:b/>
          <w:bCs/>
        </w:rPr>
      </w:pPr>
      <w:bookmarkStart w:id="0" w:name="_Hlk534291624"/>
      <w:r w:rsidRPr="7DA96BB8">
        <w:rPr>
          <w:b/>
          <w:bCs/>
        </w:rPr>
        <w:t>Operation of the</w:t>
      </w:r>
      <w:r w:rsidR="20521667" w:rsidRPr="7DA96BB8">
        <w:rPr>
          <w:b/>
          <w:bCs/>
        </w:rPr>
        <w:t xml:space="preserve"> Land Holding</w:t>
      </w:r>
      <w:r w:rsidRPr="7DA96BB8">
        <w:rPr>
          <w:b/>
          <w:bCs/>
        </w:rPr>
        <w:t xml:space="preserve"> </w:t>
      </w:r>
      <w:r w:rsidR="67238A21" w:rsidRPr="7DA96BB8">
        <w:rPr>
          <w:b/>
          <w:bCs/>
        </w:rPr>
        <w:t>Instrument</w:t>
      </w:r>
    </w:p>
    <w:p w14:paraId="7F1DCF75" w14:textId="12914A10" w:rsidR="00957574" w:rsidRPr="00957574" w:rsidRDefault="567D01EE" w:rsidP="00C87050">
      <w:pPr>
        <w:pStyle w:val="LI-BodyTextParaa"/>
        <w:numPr>
          <w:ilvl w:val="0"/>
          <w:numId w:val="21"/>
        </w:numPr>
        <w:ind w:left="567" w:hanging="567"/>
        <w:rPr>
          <w:rStyle w:val="eop"/>
        </w:rPr>
      </w:pPr>
      <w:r>
        <w:rPr>
          <w:rStyle w:val="eop"/>
        </w:rPr>
        <w:t xml:space="preserve">The </w:t>
      </w:r>
      <w:r w:rsidR="1859B125" w:rsidRPr="00F722DB">
        <w:rPr>
          <w:rStyle w:val="eop"/>
        </w:rPr>
        <w:t xml:space="preserve">Land Holding </w:t>
      </w:r>
      <w:r>
        <w:rPr>
          <w:rStyle w:val="eop"/>
        </w:rPr>
        <w:t xml:space="preserve">Instrument </w:t>
      </w:r>
      <w:r w:rsidRPr="00957574">
        <w:rPr>
          <w:color w:val="000000"/>
        </w:rPr>
        <w:t>modifies or varies</w:t>
      </w:r>
      <w:r>
        <w:rPr>
          <w:rStyle w:val="normaltextrun"/>
          <w:color w:val="000000"/>
          <w:bdr w:val="none" w:sz="0" w:space="0" w:color="auto" w:frame="1"/>
        </w:rPr>
        <w:t xml:space="preserve"> Division 3 of Part 7.6</w:t>
      </w:r>
      <w:r w:rsidRPr="00957574">
        <w:rPr>
          <w:color w:val="000000"/>
        </w:rPr>
        <w:t xml:space="preserve"> of the Act in relation to a responsible entity by notionally inserting section </w:t>
      </w:r>
      <w:r>
        <w:rPr>
          <w:color w:val="000000"/>
        </w:rPr>
        <w:t>912AAB</w:t>
      </w:r>
      <w:r w:rsidRPr="00957574">
        <w:rPr>
          <w:color w:val="000000"/>
        </w:rPr>
        <w:t>.</w:t>
      </w:r>
    </w:p>
    <w:p w14:paraId="2D3C85CE" w14:textId="77BB95AA" w:rsidR="00FB34A3" w:rsidRPr="00C87050" w:rsidRDefault="54221663" w:rsidP="00C87050">
      <w:pPr>
        <w:pStyle w:val="LI-BodyTextParaa"/>
        <w:numPr>
          <w:ilvl w:val="0"/>
          <w:numId w:val="21"/>
        </w:numPr>
        <w:ind w:left="567" w:hanging="567"/>
        <w:rPr>
          <w:rStyle w:val="eop"/>
        </w:rPr>
      </w:pPr>
      <w:r w:rsidRPr="7DA96BB8">
        <w:rPr>
          <w:rStyle w:val="eop"/>
        </w:rPr>
        <w:t xml:space="preserve">Notional </w:t>
      </w:r>
      <w:r w:rsidR="7F4CC31D" w:rsidRPr="7DA96BB8">
        <w:rPr>
          <w:rStyle w:val="eop"/>
        </w:rPr>
        <w:t>s</w:t>
      </w:r>
      <w:r w:rsidR="597C6613" w:rsidRPr="7DA96BB8">
        <w:rPr>
          <w:rStyle w:val="eop"/>
        </w:rPr>
        <w:t>ubsection 912AAB(1) stipulates that the section applies to a</w:t>
      </w:r>
      <w:r w:rsidR="28D1421C" w:rsidRPr="7DA96BB8">
        <w:rPr>
          <w:rStyle w:val="eop"/>
        </w:rPr>
        <w:t xml:space="preserve"> </w:t>
      </w:r>
      <w:r w:rsidR="597C6613" w:rsidRPr="7DA96BB8">
        <w:rPr>
          <w:rStyle w:val="eop"/>
        </w:rPr>
        <w:t xml:space="preserve">financial services licensee that is authorised to operate a registered managed investment </w:t>
      </w:r>
      <w:r w:rsidR="597C6613" w:rsidRPr="7DA96BB8">
        <w:rPr>
          <w:rStyle w:val="eop"/>
        </w:rPr>
        <w:lastRenderedPageBreak/>
        <w:t xml:space="preserve">scheme that involves primary production activities listed in paragraphs </w:t>
      </w:r>
      <w:r w:rsidR="00A92C14" w:rsidRPr="7DA96BB8">
        <w:rPr>
          <w:rStyle w:val="eop"/>
        </w:rPr>
        <w:t>912AAB(1)</w:t>
      </w:r>
      <w:r w:rsidR="597C6613" w:rsidRPr="7DA96BB8">
        <w:rPr>
          <w:rStyle w:val="eop"/>
        </w:rPr>
        <w:t>(a) to (d). It is the objective of this subsection that ‘primary production’ captures a broad range of income producing activities for which the use of land is reasonably required. </w:t>
      </w:r>
    </w:p>
    <w:p w14:paraId="71E2F7D5" w14:textId="72813103" w:rsidR="006538C0" w:rsidRPr="00C87050" w:rsidRDefault="523A5667" w:rsidP="00C87050">
      <w:pPr>
        <w:pStyle w:val="LI-BodyTextParaa"/>
        <w:numPr>
          <w:ilvl w:val="0"/>
          <w:numId w:val="21"/>
        </w:numPr>
        <w:ind w:left="567" w:hanging="567"/>
        <w:rPr>
          <w:rStyle w:val="eop"/>
        </w:rPr>
      </w:pPr>
      <w:r w:rsidRPr="7DA96BB8">
        <w:rPr>
          <w:rStyle w:val="eop"/>
        </w:rPr>
        <w:t xml:space="preserve">Notional </w:t>
      </w:r>
      <w:r w:rsidR="21826706" w:rsidRPr="7DA96BB8">
        <w:rPr>
          <w:rStyle w:val="eop"/>
        </w:rPr>
        <w:t>s</w:t>
      </w:r>
      <w:r w:rsidR="597C6613" w:rsidRPr="7DA96BB8">
        <w:rPr>
          <w:rStyle w:val="eop"/>
        </w:rPr>
        <w:t>ubsection 912AAB(2) of the Act stipulates the requirements for a financial services licensee offering interests in a registered managed investment scheme as explained in the following paragraphs.  </w:t>
      </w:r>
    </w:p>
    <w:p w14:paraId="4F6584BE" w14:textId="77777777" w:rsidR="006538C0" w:rsidRDefault="006538C0" w:rsidP="006538C0">
      <w:pPr>
        <w:pStyle w:val="paragraph"/>
        <w:spacing w:before="0" w:beforeAutospacing="0" w:after="0" w:afterAutospacing="0"/>
        <w:textAlignment w:val="baseline"/>
        <w:rPr>
          <w:rFonts w:ascii="Segoe UI" w:hAnsi="Segoe UI" w:cs="Segoe UI"/>
          <w:sz w:val="18"/>
          <w:szCs w:val="18"/>
        </w:rPr>
      </w:pPr>
      <w:r>
        <w:rPr>
          <w:rStyle w:val="eop"/>
        </w:rPr>
        <w:t> </w:t>
      </w:r>
    </w:p>
    <w:p w14:paraId="4783189F" w14:textId="77777777" w:rsidR="006538C0" w:rsidRPr="00E508B9" w:rsidRDefault="006538C0" w:rsidP="006538C0">
      <w:pPr>
        <w:pStyle w:val="paragraph"/>
        <w:spacing w:before="0" w:beforeAutospacing="0" w:after="0" w:afterAutospacing="0"/>
        <w:textAlignment w:val="baseline"/>
        <w:rPr>
          <w:rFonts w:ascii="Segoe UI" w:hAnsi="Segoe UI" w:cs="Segoe UI"/>
          <w:sz w:val="18"/>
          <w:szCs w:val="18"/>
          <w:u w:val="single"/>
        </w:rPr>
      </w:pPr>
      <w:r w:rsidRPr="00E508B9">
        <w:rPr>
          <w:rStyle w:val="normaltextrun"/>
          <w:u w:val="single"/>
        </w:rPr>
        <w:t xml:space="preserve">The property interest must be registered on the land title </w:t>
      </w:r>
      <w:proofErr w:type="gramStart"/>
      <w:r w:rsidRPr="00E508B9">
        <w:rPr>
          <w:rStyle w:val="normaltextrun"/>
          <w:u w:val="single"/>
        </w:rPr>
        <w:t>register</w:t>
      </w:r>
      <w:proofErr w:type="gramEnd"/>
      <w:r w:rsidRPr="00E508B9">
        <w:rPr>
          <w:rStyle w:val="eop"/>
          <w:u w:val="single"/>
        </w:rPr>
        <w:t> </w:t>
      </w:r>
    </w:p>
    <w:p w14:paraId="08B26679" w14:textId="01425E0B" w:rsidR="1FB182BB" w:rsidRDefault="1FB182BB" w:rsidP="7DA96BB8">
      <w:pPr>
        <w:pStyle w:val="LI-BodyTextParaa"/>
        <w:numPr>
          <w:ilvl w:val="0"/>
          <w:numId w:val="21"/>
        </w:numPr>
        <w:ind w:left="567" w:hanging="567"/>
        <w:rPr>
          <w:rStyle w:val="eop"/>
        </w:rPr>
      </w:pPr>
      <w:r w:rsidRPr="7DA96BB8">
        <w:rPr>
          <w:rStyle w:val="eop"/>
        </w:rPr>
        <w:t xml:space="preserve">Notional </w:t>
      </w:r>
      <w:r w:rsidR="2F096AC9" w:rsidRPr="7DA96BB8">
        <w:rPr>
          <w:rStyle w:val="eop"/>
        </w:rPr>
        <w:t>p</w:t>
      </w:r>
      <w:r w:rsidR="597C6613" w:rsidRPr="7DA96BB8">
        <w:rPr>
          <w:rStyle w:val="eop"/>
        </w:rPr>
        <w:t>aragraph 912AAB(2)(a) of the Act require</w:t>
      </w:r>
      <w:r w:rsidR="17A3BB73" w:rsidRPr="7DA96BB8">
        <w:rPr>
          <w:rStyle w:val="eop"/>
        </w:rPr>
        <w:t>s</w:t>
      </w:r>
      <w:r w:rsidR="597C6613" w:rsidRPr="7DA96BB8">
        <w:rPr>
          <w:rStyle w:val="eop"/>
        </w:rPr>
        <w:t xml:space="preserve"> the financial services licensee to take reasonable steps to ensure that any regulatory approvals that are necessary to carry out the primary production activities are obtained and maintained.  </w:t>
      </w:r>
    </w:p>
    <w:p w14:paraId="4C1B7CB0" w14:textId="645A84BF" w:rsidR="7DA96BB8" w:rsidRDefault="7DA96BB8" w:rsidP="7DA96BB8">
      <w:pPr>
        <w:pStyle w:val="LI-BodyTextParaa"/>
        <w:spacing w:before="0"/>
        <w:ind w:left="0"/>
        <w:rPr>
          <w:rStyle w:val="eop"/>
        </w:rPr>
      </w:pPr>
    </w:p>
    <w:p w14:paraId="01512BE8" w14:textId="673492F6" w:rsidR="006538C0" w:rsidRPr="0098120E" w:rsidRDefault="2D041609" w:rsidP="7DA96BB8">
      <w:pPr>
        <w:pStyle w:val="LI-BodyTextParaa"/>
        <w:numPr>
          <w:ilvl w:val="0"/>
          <w:numId w:val="21"/>
        </w:numPr>
        <w:spacing w:before="0"/>
        <w:ind w:left="567" w:hanging="567"/>
        <w:rPr>
          <w:rStyle w:val="eop"/>
        </w:rPr>
      </w:pPr>
      <w:r w:rsidRPr="7DA96BB8">
        <w:rPr>
          <w:rStyle w:val="eop"/>
        </w:rPr>
        <w:t xml:space="preserve">Notional </w:t>
      </w:r>
      <w:r w:rsidR="154A74B5" w:rsidRPr="7DA96BB8">
        <w:rPr>
          <w:rStyle w:val="eop"/>
        </w:rPr>
        <w:t>p</w:t>
      </w:r>
      <w:r w:rsidR="597C6613" w:rsidRPr="7DA96BB8">
        <w:rPr>
          <w:rStyle w:val="eop"/>
        </w:rPr>
        <w:t>aragraph 912AAB(2)(b) of the Act requires the financial services licensee to lodge for registration under State or Territory land title laws one or more instruments in registrable form that it reasonably believes will be registered. This would require the financial services licensee to ensure that the instruments creating or transferring the interests in land are properly executed in accordance with the State and Territory land title laws.  </w:t>
      </w:r>
    </w:p>
    <w:p w14:paraId="590A9B58" w14:textId="4EB3967F" w:rsidR="006538C0" w:rsidRDefault="20C2F3F2" w:rsidP="003755C7">
      <w:pPr>
        <w:pStyle w:val="LI-BodyTextParaa"/>
        <w:numPr>
          <w:ilvl w:val="0"/>
          <w:numId w:val="21"/>
        </w:numPr>
        <w:ind w:left="567" w:hanging="567"/>
        <w:rPr>
          <w:rStyle w:val="eop"/>
        </w:rPr>
      </w:pPr>
      <w:r w:rsidRPr="7DA96BB8">
        <w:rPr>
          <w:rStyle w:val="eop"/>
        </w:rPr>
        <w:t xml:space="preserve">Notional </w:t>
      </w:r>
      <w:r w:rsidR="2AEEB5CA" w:rsidRPr="7DA96BB8">
        <w:rPr>
          <w:rStyle w:val="eop"/>
        </w:rPr>
        <w:t>p</w:t>
      </w:r>
      <w:r w:rsidR="597C6613" w:rsidRPr="7DA96BB8">
        <w:rPr>
          <w:rStyle w:val="eop"/>
        </w:rPr>
        <w:t xml:space="preserve">aragraph 912AAB(2)(c) of the Act </w:t>
      </w:r>
      <w:r w:rsidR="3355C949" w:rsidRPr="7DA96BB8">
        <w:rPr>
          <w:rStyle w:val="eop"/>
        </w:rPr>
        <w:t>requires</w:t>
      </w:r>
      <w:r w:rsidR="597C6613" w:rsidRPr="7DA96BB8">
        <w:rPr>
          <w:rStyle w:val="eop"/>
        </w:rPr>
        <w:t xml:space="preserve"> that each instrument is lodged for registration immediately after the financial services licensee accepts any contribution from a scheme member. </w:t>
      </w:r>
    </w:p>
    <w:p w14:paraId="7D95E0FF" w14:textId="0294E6F3" w:rsidR="006538C0" w:rsidRDefault="5C53F3AC" w:rsidP="001F1BCA">
      <w:pPr>
        <w:pStyle w:val="LI-BodyTextParaa"/>
        <w:numPr>
          <w:ilvl w:val="0"/>
          <w:numId w:val="21"/>
        </w:numPr>
        <w:ind w:left="567" w:hanging="567"/>
        <w:rPr>
          <w:rStyle w:val="eop"/>
        </w:rPr>
      </w:pPr>
      <w:r w:rsidRPr="7DA96BB8">
        <w:rPr>
          <w:rStyle w:val="eop"/>
        </w:rPr>
        <w:t xml:space="preserve">Notional </w:t>
      </w:r>
      <w:r w:rsidR="6BA9C47C" w:rsidRPr="7DA96BB8">
        <w:rPr>
          <w:rStyle w:val="eop"/>
        </w:rPr>
        <w:t>p</w:t>
      </w:r>
      <w:r w:rsidR="597C6613" w:rsidRPr="7DA96BB8">
        <w:rPr>
          <w:rStyle w:val="eop"/>
        </w:rPr>
        <w:t>aragraph 912AAB(2)(d) of the Act stipulates that the financial services licensee must also do all things that it can do that are necessary to ensure that each instrument is registered promptly after it is lodged. This would require, for example, the financial services licensee to promptly respond to any requisition from the land title registrar.  </w:t>
      </w:r>
    </w:p>
    <w:p w14:paraId="5129A999" w14:textId="70BA4068" w:rsidR="001F1BCA" w:rsidRPr="0098120E" w:rsidRDefault="1A2F793F" w:rsidP="529B0895">
      <w:pPr>
        <w:pStyle w:val="LI-BodyTextParaa"/>
        <w:numPr>
          <w:ilvl w:val="0"/>
          <w:numId w:val="21"/>
        </w:numPr>
        <w:ind w:left="567" w:hanging="567"/>
        <w:rPr>
          <w:rStyle w:val="eop"/>
          <w:lang w:eastAsia="en-US"/>
        </w:rPr>
      </w:pPr>
      <w:r w:rsidRPr="7DA96BB8">
        <w:rPr>
          <w:rStyle w:val="eop"/>
        </w:rPr>
        <w:t xml:space="preserve">Notional </w:t>
      </w:r>
      <w:r w:rsidR="16B0E9BF" w:rsidRPr="7DA96BB8">
        <w:rPr>
          <w:rStyle w:val="eop"/>
        </w:rPr>
        <w:t>p</w:t>
      </w:r>
      <w:r w:rsidR="597C6613" w:rsidRPr="7DA96BB8">
        <w:rPr>
          <w:rStyle w:val="eop"/>
        </w:rPr>
        <w:t>aragraph 912AAB(2)(e) of the Act stipulates that the financial services licensee must not accept any contributions from members whose interests in the scheme will be affected by the use of the primary production land, unless it reasonably believes that the instrument will be registered promptly after it is lodged and any regulatory approvals that are outstanding will be obtained promptly after the contributions are accepted. </w:t>
      </w:r>
    </w:p>
    <w:p w14:paraId="1F7D20CF" w14:textId="7006E1AA" w:rsidR="00C250FA" w:rsidRDefault="00C250FA" w:rsidP="529B0895">
      <w:pPr>
        <w:pStyle w:val="LI-BodyTextParaa"/>
        <w:spacing w:before="0"/>
        <w:textAlignment w:val="baseline"/>
        <w:rPr>
          <w:rStyle w:val="eop"/>
        </w:rPr>
      </w:pPr>
    </w:p>
    <w:p w14:paraId="005F4C89" w14:textId="232D68FB" w:rsidR="006538C0" w:rsidRDefault="006538C0" w:rsidP="7DA96BB8">
      <w:pPr>
        <w:pStyle w:val="paragraph"/>
        <w:keepNext/>
        <w:spacing w:before="0" w:beforeAutospacing="0" w:after="0" w:afterAutospacing="0"/>
        <w:rPr>
          <w:rStyle w:val="normaltextrun"/>
          <w:u w:val="single"/>
        </w:rPr>
      </w:pPr>
      <w:r w:rsidRPr="7DA96BB8">
        <w:rPr>
          <w:rStyle w:val="normaltextrun"/>
          <w:u w:val="single"/>
        </w:rPr>
        <w:t>The interest holder</w:t>
      </w:r>
    </w:p>
    <w:p w14:paraId="562FFC6B" w14:textId="52DDFD8A" w:rsidR="006538C0" w:rsidRPr="0098120E" w:rsidRDefault="597C6613" w:rsidP="7DA96BB8">
      <w:pPr>
        <w:pStyle w:val="LI-BodyTextParaa"/>
        <w:keepNext/>
        <w:numPr>
          <w:ilvl w:val="0"/>
          <w:numId w:val="21"/>
        </w:numPr>
        <w:ind w:left="567" w:hanging="567"/>
        <w:rPr>
          <w:rStyle w:val="eop"/>
        </w:rPr>
      </w:pPr>
      <w:r w:rsidRPr="7DA96BB8">
        <w:rPr>
          <w:rStyle w:val="eop"/>
        </w:rPr>
        <w:t xml:space="preserve">The financial services licensee must ensure that the property interest is held either by the members collectively, each member in relation to </w:t>
      </w:r>
      <w:r w:rsidR="18C822B6" w:rsidRPr="7DA96BB8">
        <w:rPr>
          <w:rStyle w:val="eop"/>
        </w:rPr>
        <w:t>their</w:t>
      </w:r>
      <w:r w:rsidRPr="7DA96BB8">
        <w:rPr>
          <w:rStyle w:val="eop"/>
        </w:rPr>
        <w:t xml:space="preserve"> portion, a custodian engaged by the responsible entity, the responsible entity, or a company controlled by the scheme members. </w:t>
      </w:r>
      <w:r w:rsidR="63C53BB7" w:rsidRPr="7DA96BB8">
        <w:rPr>
          <w:rStyle w:val="eop"/>
        </w:rPr>
        <w:t xml:space="preserve">Notional </w:t>
      </w:r>
      <w:r w:rsidR="483DEE92" w:rsidRPr="7DA96BB8">
        <w:rPr>
          <w:rStyle w:val="eop"/>
        </w:rPr>
        <w:t>p</w:t>
      </w:r>
      <w:r w:rsidRPr="7DA96BB8">
        <w:rPr>
          <w:rStyle w:val="eop"/>
        </w:rPr>
        <w:t>aragraph 912AAB(2)(g) of the Act stipulates which entity can hold the property interest and the requirements for holding the property interest. </w:t>
      </w:r>
    </w:p>
    <w:p w14:paraId="649CC1FA" w14:textId="77777777" w:rsidR="006538C0" w:rsidRDefault="006538C0" w:rsidP="006538C0">
      <w:pPr>
        <w:pStyle w:val="paragraph"/>
        <w:spacing w:before="0" w:beforeAutospacing="0" w:after="0" w:afterAutospacing="0"/>
        <w:textAlignment w:val="baseline"/>
        <w:rPr>
          <w:rFonts w:ascii="Segoe UI" w:hAnsi="Segoe UI" w:cs="Segoe UI"/>
          <w:sz w:val="18"/>
          <w:szCs w:val="18"/>
        </w:rPr>
      </w:pPr>
      <w:r>
        <w:rPr>
          <w:rStyle w:val="eop"/>
        </w:rPr>
        <w:t> </w:t>
      </w:r>
    </w:p>
    <w:p w14:paraId="2EFFFD60" w14:textId="77777777" w:rsidR="006538C0" w:rsidRDefault="006538C0" w:rsidP="00FE47BD">
      <w:pPr>
        <w:pStyle w:val="paragraph"/>
        <w:keepNext/>
        <w:spacing w:before="0" w:beforeAutospacing="0" w:after="0" w:afterAutospacing="0"/>
        <w:textAlignment w:val="baseline"/>
        <w:rPr>
          <w:rStyle w:val="eop"/>
          <w:u w:val="single"/>
        </w:rPr>
      </w:pPr>
      <w:r w:rsidRPr="00E508B9">
        <w:rPr>
          <w:rStyle w:val="normaltextrun"/>
          <w:u w:val="single"/>
        </w:rPr>
        <w:lastRenderedPageBreak/>
        <w:t>Protecting the property interest from any existing and subsequent interests in the same land</w:t>
      </w:r>
    </w:p>
    <w:p w14:paraId="567E9303" w14:textId="5026633C" w:rsidR="006538C0" w:rsidRPr="0098120E" w:rsidRDefault="597C6613" w:rsidP="00FE47BD">
      <w:pPr>
        <w:pStyle w:val="LI-BodyTextParaa"/>
        <w:keepNext/>
        <w:numPr>
          <w:ilvl w:val="0"/>
          <w:numId w:val="21"/>
        </w:numPr>
        <w:ind w:left="567" w:hanging="567"/>
        <w:rPr>
          <w:rStyle w:val="eop"/>
        </w:rPr>
      </w:pPr>
      <w:r w:rsidRPr="7DA96BB8">
        <w:rPr>
          <w:rStyle w:val="eop"/>
        </w:rPr>
        <w:t>The financial services licensee must do all things it can do that are necessary to ensure that any other existing and subsequent interests in the same land cannot have an adverse effect on the property interest in a way that is material to the scheme’s operation.  </w:t>
      </w:r>
    </w:p>
    <w:p w14:paraId="58874710" w14:textId="188108DB" w:rsidR="006538C0" w:rsidRPr="0098120E" w:rsidRDefault="48E05D63" w:rsidP="0098120E">
      <w:pPr>
        <w:pStyle w:val="LI-BodyTextParaa"/>
        <w:numPr>
          <w:ilvl w:val="0"/>
          <w:numId w:val="21"/>
        </w:numPr>
        <w:ind w:left="567" w:hanging="567"/>
        <w:rPr>
          <w:rStyle w:val="eop"/>
        </w:rPr>
      </w:pPr>
      <w:r w:rsidRPr="7DA96BB8">
        <w:rPr>
          <w:rStyle w:val="eop"/>
        </w:rPr>
        <w:t xml:space="preserve">Notional </w:t>
      </w:r>
      <w:r w:rsidR="5165C376" w:rsidRPr="7DA96BB8">
        <w:rPr>
          <w:rStyle w:val="eop"/>
        </w:rPr>
        <w:t>p</w:t>
      </w:r>
      <w:r w:rsidR="597C6613" w:rsidRPr="7DA96BB8">
        <w:rPr>
          <w:rStyle w:val="eop"/>
        </w:rPr>
        <w:t xml:space="preserve">aragraph 912AAB(2)(h) of the Act stipulates the obligations that need to be satisfied before registration of the land instruments to protect the property interest from any existing interests in the same land. This includes the obligation to do all things the financial services licensee can do that are necessary to ensure that the property interest is protected from existing interests in the same land and to reasonably believe that it will be able to </w:t>
      </w:r>
      <w:proofErr w:type="gramStart"/>
      <w:r w:rsidR="597C6613" w:rsidRPr="7DA96BB8">
        <w:rPr>
          <w:rStyle w:val="eop"/>
        </w:rPr>
        <w:t>effect</w:t>
      </w:r>
      <w:proofErr w:type="gramEnd"/>
      <w:r w:rsidR="597C6613" w:rsidRPr="7DA96BB8">
        <w:rPr>
          <w:rStyle w:val="eop"/>
        </w:rPr>
        <w:t xml:space="preserve"> that protection. </w:t>
      </w:r>
      <w:r w:rsidR="00D86C4D" w:rsidRPr="7DA96BB8">
        <w:rPr>
          <w:rStyle w:val="eop"/>
        </w:rPr>
        <w:t>To form this reasonable belief, the financial services licensee would be required to search the land title register and may need to enter into arrangements with the holders of existing interests in the same land. For example, if there is an existing registered security interest in land of the landowner’s mortgagee, then the financial services licensee may need to obtain the mortgagee’s written consent to postpone the priority of the mortgagee’s interests in land to those of the scheme members and register the consent in accordance with State and Territory land title laws.  </w:t>
      </w:r>
    </w:p>
    <w:p w14:paraId="50DB1ED8" w14:textId="36AEADAE" w:rsidR="006538C0" w:rsidRPr="0098120E" w:rsidRDefault="597C6613">
      <w:pPr>
        <w:pStyle w:val="LI-BodyTextParaa"/>
        <w:numPr>
          <w:ilvl w:val="0"/>
          <w:numId w:val="21"/>
        </w:numPr>
        <w:ind w:left="567" w:hanging="567"/>
        <w:rPr>
          <w:rStyle w:val="eop"/>
          <w:rFonts w:eastAsia="Calibri"/>
          <w:lang w:eastAsia="en-US"/>
        </w:rPr>
      </w:pPr>
      <w:r w:rsidRPr="7DA96BB8">
        <w:rPr>
          <w:rStyle w:val="eop"/>
        </w:rPr>
        <w:t xml:space="preserve">The exercise of any statutory interests in land created or conferred under a law that applies generally to land in the State or Territory in which the primary production land is located could be beyond the services licensee’s control. </w:t>
      </w:r>
      <w:r w:rsidR="6BB6705D" w:rsidRPr="7DA96BB8">
        <w:rPr>
          <w:rStyle w:val="eop"/>
        </w:rPr>
        <w:t xml:space="preserve">Notional </w:t>
      </w:r>
      <w:r w:rsidR="418B8EBF" w:rsidRPr="7DA96BB8">
        <w:rPr>
          <w:rStyle w:val="eop"/>
        </w:rPr>
        <w:t>p</w:t>
      </w:r>
      <w:r w:rsidRPr="7DA96BB8">
        <w:rPr>
          <w:rStyle w:val="eop"/>
        </w:rPr>
        <w:t>aragraph 912AAB(2)(h) of the Act would require the financial services licensee to make reasonable inquiries before the registration of the land instruments to determine whether existing statutory interests are being exercised or are proposed to be exercised in a way that may deprive the scheme members of a substantial part of the benefits intended to be produced by the scheme.</w:t>
      </w:r>
      <w:r w:rsidR="00D86C4D" w:rsidRPr="7DA96BB8">
        <w:rPr>
          <w:rStyle w:val="eop"/>
        </w:rPr>
        <w:t xml:space="preserve"> For example, the financial services licensee may need to search the noticeboards of the State or Territory government or newspapers for any public notice of proposal or plan of road closures, development or installations that may affect the primary production land.</w:t>
      </w:r>
      <w:r w:rsidRPr="7DA96BB8">
        <w:rPr>
          <w:rStyle w:val="eop"/>
        </w:rPr>
        <w:t> </w:t>
      </w:r>
    </w:p>
    <w:p w14:paraId="12A17B2E" w14:textId="05DDE498" w:rsidR="006538C0" w:rsidRPr="0098120E" w:rsidRDefault="3647E75F" w:rsidP="0098120E">
      <w:pPr>
        <w:pStyle w:val="LI-BodyTextParaa"/>
        <w:numPr>
          <w:ilvl w:val="0"/>
          <w:numId w:val="21"/>
        </w:numPr>
        <w:ind w:left="567" w:hanging="567"/>
        <w:rPr>
          <w:rStyle w:val="eop"/>
        </w:rPr>
      </w:pPr>
      <w:r w:rsidRPr="7DA96BB8">
        <w:rPr>
          <w:rStyle w:val="eop"/>
        </w:rPr>
        <w:t xml:space="preserve">Notional </w:t>
      </w:r>
      <w:r w:rsidR="44D8AD15" w:rsidRPr="7DA96BB8">
        <w:rPr>
          <w:rStyle w:val="eop"/>
        </w:rPr>
        <w:t>p</w:t>
      </w:r>
      <w:r w:rsidR="597C6613" w:rsidRPr="7DA96BB8">
        <w:rPr>
          <w:rStyle w:val="eop"/>
        </w:rPr>
        <w:t>aragraph 912AAB(2)(</w:t>
      </w:r>
      <w:proofErr w:type="spellStart"/>
      <w:r w:rsidR="597C6613" w:rsidRPr="7DA96BB8">
        <w:rPr>
          <w:rStyle w:val="eop"/>
        </w:rPr>
        <w:t>i</w:t>
      </w:r>
      <w:proofErr w:type="spellEnd"/>
      <w:r w:rsidR="597C6613" w:rsidRPr="7DA96BB8">
        <w:rPr>
          <w:rStyle w:val="eop"/>
        </w:rPr>
        <w:t xml:space="preserve">) of the Act stipulates the obligation to do all things necessary to ensure that, after the registration of the land instruments, the property interest cannot be adversely affected by any subsequent interests in the same land. </w:t>
      </w:r>
      <w:r w:rsidR="00FB34A3" w:rsidRPr="7DA96BB8">
        <w:rPr>
          <w:rStyle w:val="eop"/>
        </w:rPr>
        <w:t xml:space="preserve">For example, the financial services licensee may need to lodge a private caveat and the trust deed with the land title registrar to protect the scheme members’ interest in land. </w:t>
      </w:r>
      <w:r w:rsidR="597C6613" w:rsidRPr="7DA96BB8">
        <w:rPr>
          <w:rStyle w:val="eop"/>
        </w:rPr>
        <w:t xml:space="preserve">The obligation in </w:t>
      </w:r>
      <w:r w:rsidR="6778A8B1" w:rsidRPr="7DA96BB8">
        <w:rPr>
          <w:rStyle w:val="eop"/>
        </w:rPr>
        <w:t xml:space="preserve">notional </w:t>
      </w:r>
      <w:r w:rsidR="597C6613" w:rsidRPr="7DA96BB8">
        <w:rPr>
          <w:rStyle w:val="eop"/>
        </w:rPr>
        <w:t>paragraph 912AAB(2)(</w:t>
      </w:r>
      <w:proofErr w:type="spellStart"/>
      <w:r w:rsidR="597C6613" w:rsidRPr="7DA96BB8">
        <w:rPr>
          <w:rStyle w:val="eop"/>
        </w:rPr>
        <w:t>i</w:t>
      </w:r>
      <w:proofErr w:type="spellEnd"/>
      <w:r w:rsidR="597C6613" w:rsidRPr="7DA96BB8">
        <w:rPr>
          <w:rStyle w:val="eop"/>
        </w:rPr>
        <w:t xml:space="preserve">) of the Act does not apply to an interest or a right that is created, </w:t>
      </w:r>
      <w:proofErr w:type="gramStart"/>
      <w:r w:rsidR="597C6613" w:rsidRPr="7DA96BB8">
        <w:rPr>
          <w:rStyle w:val="eop"/>
        </w:rPr>
        <w:t>conferred</w:t>
      </w:r>
      <w:proofErr w:type="gramEnd"/>
      <w:r w:rsidR="597C6613" w:rsidRPr="7DA96BB8">
        <w:rPr>
          <w:rStyle w:val="eop"/>
        </w:rPr>
        <w:t xml:space="preserve"> or consented to by the licensee, as long as the licensee did so in accordance with its duties as responsible entity of the scheme. It also does not apply to an interest or a right that may be created or conferred under a law that applies generally to land in the State or Territory in which the primary production land is located.  </w:t>
      </w:r>
    </w:p>
    <w:p w14:paraId="0D8BF348" w14:textId="77777777" w:rsidR="006538C0" w:rsidRDefault="006538C0" w:rsidP="006538C0">
      <w:pPr>
        <w:pStyle w:val="paragraph"/>
        <w:spacing w:before="0" w:beforeAutospacing="0" w:after="0" w:afterAutospacing="0"/>
        <w:textAlignment w:val="baseline"/>
        <w:rPr>
          <w:rFonts w:ascii="Segoe UI" w:hAnsi="Segoe UI" w:cs="Segoe UI"/>
          <w:sz w:val="18"/>
          <w:szCs w:val="18"/>
        </w:rPr>
      </w:pPr>
      <w:r>
        <w:rPr>
          <w:rStyle w:val="eop"/>
        </w:rPr>
        <w:t> </w:t>
      </w:r>
    </w:p>
    <w:p w14:paraId="1B7ACC6F" w14:textId="77777777" w:rsidR="006538C0" w:rsidRPr="00E508B9" w:rsidRDefault="006538C0" w:rsidP="00FE47BD">
      <w:pPr>
        <w:pStyle w:val="paragraph"/>
        <w:keepNext/>
        <w:spacing w:before="0" w:beforeAutospacing="0" w:after="0" w:afterAutospacing="0"/>
        <w:textAlignment w:val="baseline"/>
        <w:rPr>
          <w:rFonts w:ascii="Segoe UI" w:hAnsi="Segoe UI" w:cs="Segoe UI"/>
          <w:sz w:val="18"/>
          <w:szCs w:val="18"/>
          <w:u w:val="single"/>
        </w:rPr>
      </w:pPr>
      <w:r w:rsidRPr="00E508B9">
        <w:rPr>
          <w:rStyle w:val="normaltextrun"/>
          <w:u w:val="single"/>
        </w:rPr>
        <w:lastRenderedPageBreak/>
        <w:t xml:space="preserve">The scheme’s constitution must facilitate the holding of the property </w:t>
      </w:r>
      <w:proofErr w:type="gramStart"/>
      <w:r w:rsidRPr="00E508B9">
        <w:rPr>
          <w:rStyle w:val="normaltextrun"/>
          <w:u w:val="single"/>
        </w:rPr>
        <w:t>interest</w:t>
      </w:r>
      <w:proofErr w:type="gramEnd"/>
      <w:r w:rsidRPr="00E508B9">
        <w:rPr>
          <w:rStyle w:val="eop"/>
          <w:u w:val="single"/>
        </w:rPr>
        <w:t> </w:t>
      </w:r>
    </w:p>
    <w:p w14:paraId="0F6ADD6C" w14:textId="5049E6A9" w:rsidR="006538C0" w:rsidRPr="0098120E" w:rsidRDefault="597C6613" w:rsidP="00FE47BD">
      <w:pPr>
        <w:pStyle w:val="LI-BodyTextParaa"/>
        <w:keepNext/>
        <w:numPr>
          <w:ilvl w:val="0"/>
          <w:numId w:val="21"/>
        </w:numPr>
        <w:ind w:left="567" w:hanging="567"/>
        <w:rPr>
          <w:rStyle w:val="eop"/>
        </w:rPr>
      </w:pPr>
      <w:r w:rsidRPr="7DA96BB8">
        <w:rPr>
          <w:rStyle w:val="eop"/>
        </w:rPr>
        <w:t>The financial services licensee must ensure that the scheme’s constitution gives the licensee the power to require members to make payments to, or as directed by, the licensee to satisfy the payment obligations in relation to the primary production land. In particular, the registered proprietor of the land is generally required to pay for council rates and land tax. Meanwhile, the lessee or sublessee is generally required to pay for utility expenses. In addition, the financial services licensee must hold, or cause its agent to hold, the payments on trust for the paying scheme members or the collective scheme members, as relevant, until they are used to meet the relevant payment obligations. </w:t>
      </w:r>
    </w:p>
    <w:p w14:paraId="2512D07F" w14:textId="09FBE438" w:rsidR="006538C0" w:rsidRPr="0098120E" w:rsidRDefault="37675257" w:rsidP="0098120E">
      <w:pPr>
        <w:pStyle w:val="LI-BodyTextParaa"/>
        <w:numPr>
          <w:ilvl w:val="0"/>
          <w:numId w:val="21"/>
        </w:numPr>
        <w:ind w:left="567" w:hanging="567"/>
        <w:rPr>
          <w:rStyle w:val="eop"/>
        </w:rPr>
      </w:pPr>
      <w:r w:rsidRPr="7DA96BB8">
        <w:rPr>
          <w:rStyle w:val="eop"/>
        </w:rPr>
        <w:t xml:space="preserve">Notional </w:t>
      </w:r>
      <w:r w:rsidR="60E4C3F9" w:rsidRPr="7DA96BB8">
        <w:rPr>
          <w:rStyle w:val="eop"/>
        </w:rPr>
        <w:t>p</w:t>
      </w:r>
      <w:r w:rsidR="597C6613" w:rsidRPr="7DA96BB8">
        <w:rPr>
          <w:rStyle w:val="eop"/>
        </w:rPr>
        <w:t>aragraph 912AAB(2)(j) of the Act stipulates the content requirement of the scheme’s constitution if the land instrument is not an instrument of transfer of a freehold estate or interest in land, such as a lease or a sublease.  </w:t>
      </w:r>
    </w:p>
    <w:p w14:paraId="77F32374" w14:textId="148A121C" w:rsidR="006538C0" w:rsidRPr="0098120E" w:rsidRDefault="49AFBFE1" w:rsidP="0098120E">
      <w:pPr>
        <w:pStyle w:val="LI-BodyTextParaa"/>
        <w:numPr>
          <w:ilvl w:val="0"/>
          <w:numId w:val="21"/>
        </w:numPr>
        <w:ind w:left="567" w:hanging="567"/>
        <w:rPr>
          <w:rStyle w:val="eop"/>
        </w:rPr>
      </w:pPr>
      <w:r w:rsidRPr="7DA96BB8">
        <w:rPr>
          <w:rStyle w:val="eop"/>
        </w:rPr>
        <w:t xml:space="preserve">Notional </w:t>
      </w:r>
      <w:r w:rsidR="6B511F69" w:rsidRPr="7DA96BB8">
        <w:rPr>
          <w:rStyle w:val="eop"/>
        </w:rPr>
        <w:t>p</w:t>
      </w:r>
      <w:r w:rsidR="597C6613" w:rsidRPr="7DA96BB8">
        <w:rPr>
          <w:rStyle w:val="eop"/>
        </w:rPr>
        <w:t>aragraph 912AAB(2)(k) of the Act stipulates the content requirement of the scheme’s constitution if the land instrument is an instrument of transfer of a freehold estate or interest in land, such as property purchase agreement. </w:t>
      </w:r>
    </w:p>
    <w:p w14:paraId="672885B4" w14:textId="329270B1" w:rsidR="006538C0" w:rsidRPr="0098120E" w:rsidRDefault="223339CD" w:rsidP="0098120E">
      <w:pPr>
        <w:pStyle w:val="LI-BodyTextParaa"/>
        <w:numPr>
          <w:ilvl w:val="0"/>
          <w:numId w:val="21"/>
        </w:numPr>
        <w:ind w:left="567" w:hanging="567"/>
        <w:rPr>
          <w:rStyle w:val="eop"/>
        </w:rPr>
      </w:pPr>
      <w:r w:rsidRPr="7DA96BB8">
        <w:rPr>
          <w:rStyle w:val="eop"/>
        </w:rPr>
        <w:t xml:space="preserve">Notional </w:t>
      </w:r>
      <w:r w:rsidR="38A3FDA9" w:rsidRPr="7DA96BB8">
        <w:rPr>
          <w:rStyle w:val="eop"/>
        </w:rPr>
        <w:t>p</w:t>
      </w:r>
      <w:r w:rsidR="597C6613" w:rsidRPr="7DA96BB8">
        <w:rPr>
          <w:rStyle w:val="eop"/>
        </w:rPr>
        <w:t>aragraph 912AAB(2)(l) of the Act stipulates the holding requirements for amounts paid by scheme’s members under the scheme’s constitution affected by paragraph (j) or (k). </w:t>
      </w:r>
    </w:p>
    <w:p w14:paraId="1DF8BA61" w14:textId="77777777" w:rsidR="006538C0" w:rsidRDefault="006538C0" w:rsidP="006538C0">
      <w:pPr>
        <w:pStyle w:val="paragraph"/>
        <w:spacing w:before="0" w:beforeAutospacing="0" w:after="0" w:afterAutospacing="0"/>
        <w:textAlignment w:val="baseline"/>
        <w:rPr>
          <w:rFonts w:ascii="Segoe UI" w:hAnsi="Segoe UI" w:cs="Segoe UI"/>
          <w:sz w:val="18"/>
          <w:szCs w:val="18"/>
        </w:rPr>
      </w:pPr>
      <w:r>
        <w:rPr>
          <w:rStyle w:val="eop"/>
        </w:rPr>
        <w:t> </w:t>
      </w:r>
    </w:p>
    <w:p w14:paraId="0BFDAD7E" w14:textId="77777777" w:rsidR="006538C0" w:rsidRDefault="006538C0" w:rsidP="006538C0">
      <w:pPr>
        <w:pStyle w:val="paragraph"/>
        <w:spacing w:before="0" w:beforeAutospacing="0" w:after="0" w:afterAutospacing="0"/>
        <w:textAlignment w:val="baseline"/>
        <w:rPr>
          <w:rStyle w:val="eop"/>
          <w:u w:val="single"/>
        </w:rPr>
      </w:pPr>
      <w:r w:rsidRPr="00E508B9">
        <w:rPr>
          <w:rStyle w:val="normaltextrun"/>
          <w:u w:val="single"/>
        </w:rPr>
        <w:t>The terms of the land instrument</w:t>
      </w:r>
    </w:p>
    <w:p w14:paraId="13407D52" w14:textId="6C329383" w:rsidR="006538C0" w:rsidRPr="0098120E" w:rsidRDefault="0DE91E5A">
      <w:pPr>
        <w:pStyle w:val="LI-BodyTextParaa"/>
        <w:numPr>
          <w:ilvl w:val="0"/>
          <w:numId w:val="21"/>
        </w:numPr>
        <w:ind w:left="567" w:hanging="567"/>
        <w:rPr>
          <w:rStyle w:val="eop"/>
        </w:rPr>
      </w:pPr>
      <w:r w:rsidRPr="7DA96BB8">
        <w:rPr>
          <w:rStyle w:val="eop"/>
        </w:rPr>
        <w:t xml:space="preserve">Notional </w:t>
      </w:r>
      <w:r w:rsidR="186C47AA" w:rsidRPr="7DA96BB8">
        <w:rPr>
          <w:rStyle w:val="eop"/>
        </w:rPr>
        <w:t>p</w:t>
      </w:r>
      <w:r w:rsidR="597C6613" w:rsidRPr="7DA96BB8">
        <w:rPr>
          <w:rStyle w:val="eop"/>
        </w:rPr>
        <w:t>aragraph 912AAB(2)(f) of the Act stipulates the obligation to ensure that the interest holder has the rights required for the scheme’s purposes under the terms of the land instrument conferred either by the instrument or by registration of the instrument. In particular, the financial services licensee must ensure that the rights conferred on the interest holder include, where relevant for the scheme’s purposes, rights of access, cultivation, transmission, maintenance, protection, repair, refurbishment and harvesting in relation to the primary production land. </w:t>
      </w:r>
    </w:p>
    <w:p w14:paraId="3311AC01" w14:textId="3FECA93C" w:rsidR="006538C0" w:rsidRPr="0098120E" w:rsidRDefault="21641F44" w:rsidP="0098120E">
      <w:pPr>
        <w:pStyle w:val="LI-BodyTextParaa"/>
        <w:numPr>
          <w:ilvl w:val="0"/>
          <w:numId w:val="21"/>
        </w:numPr>
        <w:ind w:left="567" w:hanging="567"/>
        <w:rPr>
          <w:rStyle w:val="eop"/>
        </w:rPr>
      </w:pPr>
      <w:r w:rsidRPr="7DA96BB8">
        <w:rPr>
          <w:rStyle w:val="eop"/>
        </w:rPr>
        <w:t xml:space="preserve">Notional </w:t>
      </w:r>
      <w:r w:rsidR="28EFF6C7" w:rsidRPr="7DA96BB8">
        <w:rPr>
          <w:rStyle w:val="eop"/>
        </w:rPr>
        <w:t>p</w:t>
      </w:r>
      <w:r w:rsidR="597C6613" w:rsidRPr="7DA96BB8">
        <w:rPr>
          <w:rStyle w:val="eop"/>
        </w:rPr>
        <w:t>aragraphs 912AAB(2)(m) and (n) of the Act set out the obligations the financial services licensee must comply with if the land instrument is not an instrument of transfer of a freehold estate or interest in land. In particular, the financial services licensee must: </w:t>
      </w:r>
    </w:p>
    <w:p w14:paraId="60061E4C" w14:textId="77777777" w:rsidR="00DD29DD" w:rsidRDefault="00DD29DD" w:rsidP="006538C0">
      <w:pPr>
        <w:pStyle w:val="paragraph"/>
        <w:spacing w:before="0" w:beforeAutospacing="0" w:after="0" w:afterAutospacing="0"/>
        <w:textAlignment w:val="baseline"/>
        <w:rPr>
          <w:rFonts w:ascii="Segoe UI" w:hAnsi="Segoe UI" w:cs="Segoe UI"/>
          <w:sz w:val="18"/>
          <w:szCs w:val="18"/>
        </w:rPr>
      </w:pPr>
    </w:p>
    <w:p w14:paraId="7DDEDA64" w14:textId="77777777" w:rsidR="006538C0" w:rsidRDefault="006538C0" w:rsidP="0098120E">
      <w:pPr>
        <w:pStyle w:val="paragraph"/>
        <w:numPr>
          <w:ilvl w:val="0"/>
          <w:numId w:val="18"/>
        </w:numPr>
        <w:spacing w:before="0" w:beforeAutospacing="0" w:after="0" w:afterAutospacing="0"/>
        <w:ind w:left="1134" w:hanging="567"/>
        <w:textAlignment w:val="baseline"/>
        <w:rPr>
          <w:rStyle w:val="eop"/>
        </w:rPr>
      </w:pPr>
      <w:r>
        <w:rPr>
          <w:rStyle w:val="normaltextrun"/>
        </w:rPr>
        <w:t xml:space="preserve">ensure that the terms of the instrument are not less favourable to the lessee, </w:t>
      </w:r>
      <w:proofErr w:type="gramStart"/>
      <w:r>
        <w:rPr>
          <w:rStyle w:val="normaltextrun"/>
        </w:rPr>
        <w:t>sublessee</w:t>
      </w:r>
      <w:proofErr w:type="gramEnd"/>
      <w:r>
        <w:rPr>
          <w:rStyle w:val="normaltextrun"/>
        </w:rPr>
        <w:t xml:space="preserve"> or other interest holder than they would be if the terms had been negotiated on an arm’s length basis between the other parties to the instrument and the financial services licensee acting in accordance with its duties; and</w:t>
      </w:r>
      <w:r>
        <w:rPr>
          <w:rStyle w:val="eop"/>
        </w:rPr>
        <w:t> </w:t>
      </w:r>
    </w:p>
    <w:p w14:paraId="44EAFD9C" w14:textId="77777777" w:rsidR="00DD29DD" w:rsidRDefault="00DD29DD" w:rsidP="00E508B9">
      <w:pPr>
        <w:pStyle w:val="paragraph"/>
        <w:spacing w:before="0" w:beforeAutospacing="0" w:after="0" w:afterAutospacing="0"/>
        <w:ind w:left="1485"/>
        <w:textAlignment w:val="baseline"/>
        <w:rPr>
          <w:rStyle w:val="eop"/>
        </w:rPr>
      </w:pPr>
    </w:p>
    <w:p w14:paraId="5AD34DC5" w14:textId="1B89F5DA" w:rsidR="006538C0" w:rsidRPr="0098120E" w:rsidRDefault="006538C0" w:rsidP="7DA96BB8">
      <w:pPr>
        <w:pStyle w:val="paragraph"/>
        <w:numPr>
          <w:ilvl w:val="0"/>
          <w:numId w:val="18"/>
        </w:numPr>
        <w:spacing w:before="0" w:beforeAutospacing="0" w:after="0" w:afterAutospacing="0"/>
        <w:ind w:left="1134" w:hanging="567"/>
        <w:textAlignment w:val="baseline"/>
        <w:rPr>
          <w:rStyle w:val="normaltextrun"/>
        </w:rPr>
      </w:pPr>
      <w:r w:rsidRPr="7DA96BB8">
        <w:rPr>
          <w:rStyle w:val="normaltextrun"/>
        </w:rPr>
        <w:t>ensure that the terms of the instrument prohibit any action taken by the other party to the instrument that would have a materially adverse effect on the interest holders’ property interests without giving the financial services licensee at least 3 months</w:t>
      </w:r>
      <w:r w:rsidR="10CBD321" w:rsidRPr="7DA96BB8">
        <w:rPr>
          <w:rStyle w:val="normaltextrun"/>
        </w:rPr>
        <w:t>’</w:t>
      </w:r>
      <w:r w:rsidRPr="7DA96BB8">
        <w:rPr>
          <w:rStyle w:val="normaltextrun"/>
        </w:rPr>
        <w:t xml:space="preserve"> notice in writing; and </w:t>
      </w:r>
    </w:p>
    <w:p w14:paraId="4B94D5A5" w14:textId="77777777" w:rsidR="00DD29DD" w:rsidRPr="0098120E" w:rsidRDefault="00DD29DD" w:rsidP="0098120E">
      <w:pPr>
        <w:pStyle w:val="paragraph"/>
        <w:spacing w:before="0" w:beforeAutospacing="0" w:after="0" w:afterAutospacing="0"/>
        <w:ind w:left="1125"/>
        <w:textAlignment w:val="baseline"/>
        <w:rPr>
          <w:rStyle w:val="normaltextrun"/>
        </w:rPr>
      </w:pPr>
    </w:p>
    <w:p w14:paraId="4A20C082" w14:textId="77777777" w:rsidR="006538C0" w:rsidRPr="0098120E" w:rsidRDefault="006538C0" w:rsidP="0098120E">
      <w:pPr>
        <w:pStyle w:val="paragraph"/>
        <w:numPr>
          <w:ilvl w:val="0"/>
          <w:numId w:val="18"/>
        </w:numPr>
        <w:spacing w:before="0" w:beforeAutospacing="0" w:after="0" w:afterAutospacing="0"/>
        <w:ind w:left="1134" w:hanging="567"/>
        <w:textAlignment w:val="baseline"/>
        <w:rPr>
          <w:rStyle w:val="normaltextrun"/>
        </w:rPr>
      </w:pPr>
      <w:r>
        <w:rPr>
          <w:rStyle w:val="normaltextrun"/>
        </w:rPr>
        <w:lastRenderedPageBreak/>
        <w:t>on receipt of that notice, promptly notify in writing the members whose benefits may be affected about the potential action by the other party to the instrument and about the members’ rights to requisition a meeting.</w:t>
      </w:r>
      <w:r w:rsidRPr="0098120E">
        <w:rPr>
          <w:rStyle w:val="normaltextrun"/>
        </w:rPr>
        <w:t> </w:t>
      </w:r>
    </w:p>
    <w:p w14:paraId="2D506AF8" w14:textId="519489E1" w:rsidR="00561ABB" w:rsidRDefault="39CAE358" w:rsidP="0098120E">
      <w:pPr>
        <w:pStyle w:val="LI-BodyTextParaa"/>
        <w:numPr>
          <w:ilvl w:val="0"/>
          <w:numId w:val="21"/>
        </w:numPr>
        <w:ind w:left="567" w:hanging="567"/>
        <w:rPr>
          <w:rStyle w:val="eop"/>
        </w:rPr>
      </w:pPr>
      <w:r w:rsidRPr="7DA96BB8">
        <w:rPr>
          <w:rStyle w:val="eop"/>
        </w:rPr>
        <w:t xml:space="preserve">Notional </w:t>
      </w:r>
      <w:r w:rsidR="056A1E5D" w:rsidRPr="7DA96BB8">
        <w:rPr>
          <w:rStyle w:val="eop"/>
        </w:rPr>
        <w:t>s</w:t>
      </w:r>
      <w:r w:rsidR="597C6613" w:rsidRPr="7DA96BB8">
        <w:rPr>
          <w:rStyle w:val="eop"/>
        </w:rPr>
        <w:t xml:space="preserve">ubsection 912AAB(3) of the Act stipulates that a financial services licensee that complies with </w:t>
      </w:r>
      <w:r w:rsidR="6BBE3CE3" w:rsidRPr="7DA96BB8">
        <w:rPr>
          <w:rStyle w:val="eop"/>
        </w:rPr>
        <w:t xml:space="preserve">notional </w:t>
      </w:r>
      <w:r w:rsidR="597C6613" w:rsidRPr="7DA96BB8">
        <w:rPr>
          <w:rStyle w:val="eop"/>
        </w:rPr>
        <w:t>subsection 912AAB(2) is taken to comply with any condition in its Australian financial services licence that requires the lodgement of an instrument relating to the primary production land.  </w:t>
      </w:r>
    </w:p>
    <w:p w14:paraId="14D9187F" w14:textId="77777777" w:rsidR="005604BE" w:rsidRDefault="005604BE" w:rsidP="519A1AD7">
      <w:pPr>
        <w:pStyle w:val="paragraph"/>
        <w:spacing w:before="0" w:beforeAutospacing="0" w:after="0" w:afterAutospacing="0"/>
        <w:ind w:left="567" w:hanging="567"/>
        <w:textAlignment w:val="baseline"/>
        <w:rPr>
          <w:rStyle w:val="eop"/>
        </w:rPr>
      </w:pPr>
    </w:p>
    <w:p w14:paraId="09129D46" w14:textId="5F60B2E9" w:rsidR="005604BE" w:rsidRPr="0098120E" w:rsidRDefault="005604BE" w:rsidP="0098120E">
      <w:pPr>
        <w:pStyle w:val="paragraph"/>
        <w:spacing w:before="0" w:beforeAutospacing="0" w:after="0" w:afterAutospacing="0"/>
        <w:textAlignment w:val="baseline"/>
        <w:rPr>
          <w:rStyle w:val="normaltextrun"/>
          <w:u w:val="single"/>
        </w:rPr>
      </w:pPr>
      <w:r w:rsidRPr="0098120E">
        <w:rPr>
          <w:rStyle w:val="normaltextrun"/>
          <w:u w:val="single"/>
        </w:rPr>
        <w:t>The Repeal Instrument</w:t>
      </w:r>
    </w:p>
    <w:p w14:paraId="1708712A" w14:textId="77185F47" w:rsidR="005604BE" w:rsidRDefault="6B559B1B" w:rsidP="0098120E">
      <w:pPr>
        <w:pStyle w:val="LI-BodyTextParaa"/>
        <w:numPr>
          <w:ilvl w:val="0"/>
          <w:numId w:val="21"/>
        </w:numPr>
        <w:ind w:left="567" w:hanging="567"/>
        <w:rPr>
          <w:rStyle w:val="eop"/>
        </w:rPr>
      </w:pPr>
      <w:r w:rsidRPr="7DA96BB8">
        <w:rPr>
          <w:rStyle w:val="eop"/>
        </w:rPr>
        <w:t>The Repeal Instrument repeals the following ASIC legislative instruments which are otherwise scheduled to sunset on 1 April 2024:</w:t>
      </w:r>
    </w:p>
    <w:p w14:paraId="54C97D96" w14:textId="77777777" w:rsidR="009236BA" w:rsidRDefault="009236BA" w:rsidP="519A1AD7">
      <w:pPr>
        <w:pStyle w:val="paragraph"/>
        <w:spacing w:before="0" w:beforeAutospacing="0" w:after="0" w:afterAutospacing="0"/>
        <w:ind w:left="567" w:hanging="567"/>
        <w:textAlignment w:val="baseline"/>
        <w:rPr>
          <w:rStyle w:val="eop"/>
        </w:rPr>
      </w:pPr>
    </w:p>
    <w:p w14:paraId="190F5689" w14:textId="5F88AA54" w:rsidR="0015284C" w:rsidRDefault="00A05315" w:rsidP="0098120E">
      <w:pPr>
        <w:pStyle w:val="paragraph"/>
        <w:numPr>
          <w:ilvl w:val="0"/>
          <w:numId w:val="22"/>
        </w:numPr>
        <w:spacing w:before="0" w:beforeAutospacing="0" w:after="0" w:afterAutospacing="0"/>
        <w:ind w:left="1134" w:hanging="567"/>
        <w:textAlignment w:val="baseline"/>
        <w:rPr>
          <w:rStyle w:val="normaltextrun"/>
        </w:rPr>
      </w:pPr>
      <w:r w:rsidRPr="0098120E">
        <w:rPr>
          <w:rStyle w:val="normaltextrun"/>
        </w:rPr>
        <w:t>ASIC Class Order [CO 13/1200]</w:t>
      </w:r>
      <w:r w:rsidR="004B7258" w:rsidRPr="0098120E">
        <w:rPr>
          <w:rStyle w:val="normaltextrun"/>
        </w:rPr>
        <w:t>; and</w:t>
      </w:r>
    </w:p>
    <w:p w14:paraId="52D9BD31" w14:textId="77777777" w:rsidR="004B7258" w:rsidRPr="0098120E" w:rsidRDefault="004B7258" w:rsidP="0098120E">
      <w:pPr>
        <w:pStyle w:val="paragraph"/>
        <w:spacing w:before="0" w:beforeAutospacing="0" w:after="0" w:afterAutospacing="0"/>
        <w:ind w:left="1134"/>
        <w:textAlignment w:val="baseline"/>
        <w:rPr>
          <w:rStyle w:val="normaltextrun"/>
        </w:rPr>
      </w:pPr>
    </w:p>
    <w:p w14:paraId="5C83BC8D" w14:textId="16A946F7" w:rsidR="00A05315" w:rsidRDefault="00A05315" w:rsidP="0098120E">
      <w:pPr>
        <w:pStyle w:val="paragraph"/>
        <w:numPr>
          <w:ilvl w:val="0"/>
          <w:numId w:val="22"/>
        </w:numPr>
        <w:spacing w:before="0" w:beforeAutospacing="0" w:after="0" w:afterAutospacing="0"/>
        <w:ind w:left="1134" w:hanging="567"/>
        <w:textAlignment w:val="baseline"/>
        <w:rPr>
          <w:rStyle w:val="normaltextrun"/>
        </w:rPr>
      </w:pPr>
      <w:r w:rsidRPr="0098120E">
        <w:rPr>
          <w:rStyle w:val="normaltextrun"/>
        </w:rPr>
        <w:t>ASIC Class Order [CO 13/1406]</w:t>
      </w:r>
      <w:r w:rsidR="004B7258" w:rsidRPr="0098120E">
        <w:rPr>
          <w:rStyle w:val="normaltextrun"/>
        </w:rPr>
        <w:t>; and</w:t>
      </w:r>
    </w:p>
    <w:p w14:paraId="6217AC86" w14:textId="77777777" w:rsidR="004B7258" w:rsidRPr="0098120E" w:rsidRDefault="004B7258" w:rsidP="0098120E">
      <w:pPr>
        <w:pStyle w:val="paragraph"/>
        <w:spacing w:before="0" w:beforeAutospacing="0" w:after="0" w:afterAutospacing="0"/>
        <w:ind w:left="1134"/>
        <w:textAlignment w:val="baseline"/>
        <w:rPr>
          <w:rStyle w:val="normaltextrun"/>
        </w:rPr>
      </w:pPr>
    </w:p>
    <w:p w14:paraId="262537DB" w14:textId="60917B7B" w:rsidR="00A05315" w:rsidRDefault="00A05315" w:rsidP="0098120E">
      <w:pPr>
        <w:pStyle w:val="paragraph"/>
        <w:numPr>
          <w:ilvl w:val="0"/>
          <w:numId w:val="22"/>
        </w:numPr>
        <w:spacing w:before="0" w:beforeAutospacing="0" w:after="0" w:afterAutospacing="0"/>
        <w:ind w:left="1134" w:hanging="567"/>
        <w:textAlignment w:val="baseline"/>
        <w:rPr>
          <w:rStyle w:val="normaltextrun"/>
        </w:rPr>
      </w:pPr>
      <w:r w:rsidRPr="0098120E">
        <w:rPr>
          <w:rStyle w:val="normaltextrun"/>
        </w:rPr>
        <w:t>ASIC Class Order [CO 13/1409]</w:t>
      </w:r>
      <w:r w:rsidR="004B7258" w:rsidRPr="0098120E">
        <w:rPr>
          <w:rStyle w:val="normaltextrun"/>
        </w:rPr>
        <w:t xml:space="preserve">; and </w:t>
      </w:r>
    </w:p>
    <w:p w14:paraId="37F29290" w14:textId="77777777" w:rsidR="004B7258" w:rsidRPr="0098120E" w:rsidRDefault="004B7258" w:rsidP="0098120E">
      <w:pPr>
        <w:pStyle w:val="paragraph"/>
        <w:spacing w:before="0" w:beforeAutospacing="0" w:after="0" w:afterAutospacing="0"/>
        <w:ind w:left="1134"/>
        <w:textAlignment w:val="baseline"/>
        <w:rPr>
          <w:rStyle w:val="normaltextrun"/>
        </w:rPr>
      </w:pPr>
    </w:p>
    <w:p w14:paraId="50AE13BC" w14:textId="622E6E46" w:rsidR="00A05315" w:rsidRDefault="00A05315" w:rsidP="0098120E">
      <w:pPr>
        <w:pStyle w:val="paragraph"/>
        <w:numPr>
          <w:ilvl w:val="0"/>
          <w:numId w:val="22"/>
        </w:numPr>
        <w:spacing w:before="0" w:beforeAutospacing="0" w:after="0" w:afterAutospacing="0"/>
        <w:ind w:left="1134" w:hanging="567"/>
        <w:textAlignment w:val="baseline"/>
        <w:rPr>
          <w:rStyle w:val="normaltextrun"/>
        </w:rPr>
      </w:pPr>
      <w:r w:rsidRPr="0098120E">
        <w:rPr>
          <w:rStyle w:val="normaltextrun"/>
        </w:rPr>
        <w:t>ASIC Class Order [CO 13/</w:t>
      </w:r>
      <w:r w:rsidR="004B7258" w:rsidRPr="0098120E">
        <w:rPr>
          <w:rStyle w:val="normaltextrun"/>
        </w:rPr>
        <w:t xml:space="preserve">1410]; and </w:t>
      </w:r>
    </w:p>
    <w:p w14:paraId="3DC50179" w14:textId="77777777" w:rsidR="004B7258" w:rsidRPr="0098120E" w:rsidRDefault="004B7258" w:rsidP="0098120E">
      <w:pPr>
        <w:pStyle w:val="paragraph"/>
        <w:spacing w:before="0" w:beforeAutospacing="0" w:after="0" w:afterAutospacing="0"/>
        <w:ind w:left="1134"/>
        <w:textAlignment w:val="baseline"/>
        <w:rPr>
          <w:rStyle w:val="normaltextrun"/>
        </w:rPr>
      </w:pPr>
    </w:p>
    <w:p w14:paraId="412AA1BF" w14:textId="302669D9" w:rsidR="004B7258" w:rsidRPr="0098120E" w:rsidRDefault="004B7258" w:rsidP="0098120E">
      <w:pPr>
        <w:pStyle w:val="paragraph"/>
        <w:numPr>
          <w:ilvl w:val="0"/>
          <w:numId w:val="22"/>
        </w:numPr>
        <w:spacing w:before="0" w:beforeAutospacing="0" w:after="0" w:afterAutospacing="0"/>
        <w:ind w:left="1134" w:hanging="567"/>
        <w:textAlignment w:val="baseline"/>
        <w:rPr>
          <w:rStyle w:val="normaltextrun"/>
        </w:rPr>
      </w:pPr>
      <w:r w:rsidRPr="0098120E">
        <w:rPr>
          <w:rStyle w:val="normaltextrun"/>
        </w:rPr>
        <w:t xml:space="preserve">ASIC Class Order [CO 13/1621]. </w:t>
      </w:r>
    </w:p>
    <w:p w14:paraId="054AEE1A" w14:textId="1171C28A" w:rsidR="00C52E7C" w:rsidRPr="006D6079" w:rsidRDefault="00AD4949" w:rsidP="006D6079">
      <w:pPr>
        <w:pStyle w:val="LI-BodyTextParaa"/>
        <w:keepNext/>
        <w:ind w:left="567"/>
        <w:rPr>
          <w:b/>
          <w:bCs/>
        </w:rPr>
      </w:pPr>
      <w:r w:rsidRPr="519A1AD7">
        <w:rPr>
          <w:b/>
          <w:bCs/>
        </w:rPr>
        <w:t>Legislative i</w:t>
      </w:r>
      <w:r w:rsidR="00897439" w:rsidRPr="519A1AD7">
        <w:rPr>
          <w:b/>
          <w:bCs/>
        </w:rPr>
        <w:t>nstrument</w:t>
      </w:r>
      <w:r w:rsidR="00C52E7C" w:rsidRPr="519A1AD7">
        <w:rPr>
          <w:b/>
          <w:bCs/>
        </w:rPr>
        <w:t xml:space="preserve"> </w:t>
      </w:r>
      <w:r w:rsidR="00610709" w:rsidRPr="519A1AD7">
        <w:rPr>
          <w:b/>
          <w:bCs/>
        </w:rPr>
        <w:t xml:space="preserve">and </w:t>
      </w:r>
      <w:r w:rsidR="00C52E7C" w:rsidRPr="519A1AD7">
        <w:rPr>
          <w:b/>
          <w:bCs/>
        </w:rPr>
        <w:t xml:space="preserve">primary legislation  </w:t>
      </w:r>
    </w:p>
    <w:p w14:paraId="02DA4DAF" w14:textId="1168241B" w:rsidR="00C52E7C" w:rsidRPr="0098120E" w:rsidRDefault="544BB5F4" w:rsidP="0098120E">
      <w:pPr>
        <w:pStyle w:val="LI-BodyTextParaa"/>
        <w:numPr>
          <w:ilvl w:val="0"/>
          <w:numId w:val="21"/>
        </w:numPr>
        <w:ind w:left="567" w:hanging="567"/>
        <w:rPr>
          <w:rStyle w:val="eop"/>
        </w:rPr>
      </w:pPr>
      <w:r w:rsidRPr="7DA96BB8">
        <w:rPr>
          <w:rStyle w:val="eop"/>
        </w:rPr>
        <w:t>The</w:t>
      </w:r>
      <w:r w:rsidR="27A28FEC" w:rsidRPr="7DA96BB8">
        <w:rPr>
          <w:rStyle w:val="eop"/>
        </w:rPr>
        <w:t xml:space="preserve"> Land Holding</w:t>
      </w:r>
      <w:r w:rsidRPr="7DA96BB8">
        <w:rPr>
          <w:rStyle w:val="eop"/>
        </w:rPr>
        <w:t xml:space="preserve"> </w:t>
      </w:r>
      <w:r w:rsidR="67238A21" w:rsidRPr="7DA96BB8">
        <w:rPr>
          <w:rStyle w:val="eop"/>
        </w:rPr>
        <w:t>I</w:t>
      </w:r>
      <w:r w:rsidRPr="7DA96BB8">
        <w:rPr>
          <w:rStyle w:val="eop"/>
        </w:rPr>
        <w:t>nstrument contains technical detail which would otherwise introduce unnecessary complexity to the primary legislation. The</w:t>
      </w:r>
      <w:r w:rsidR="27A28FEC" w:rsidRPr="7DA96BB8">
        <w:rPr>
          <w:rStyle w:val="eop"/>
        </w:rPr>
        <w:t xml:space="preserve"> Land Holding</w:t>
      </w:r>
      <w:r w:rsidRPr="7DA96BB8">
        <w:rPr>
          <w:rStyle w:val="eop"/>
        </w:rPr>
        <w:t xml:space="preserve"> </w:t>
      </w:r>
      <w:r w:rsidR="67238A21" w:rsidRPr="7DA96BB8">
        <w:rPr>
          <w:rStyle w:val="eop"/>
        </w:rPr>
        <w:t>I</w:t>
      </w:r>
      <w:r w:rsidRPr="7DA96BB8">
        <w:rPr>
          <w:rStyle w:val="eop"/>
        </w:rPr>
        <w:t>nstrument operates to supplement a more comprehensive regulatory framework that sits alongside the primary law and applies in a way consistent with the intended policy and the enabling provisions in the primary legislation.</w:t>
      </w:r>
    </w:p>
    <w:p w14:paraId="37BFFF9F" w14:textId="32EBB101" w:rsidR="00FD634C" w:rsidRPr="0098120E" w:rsidRDefault="25260BAC" w:rsidP="0098120E">
      <w:pPr>
        <w:pStyle w:val="LI-BodyTextParaa"/>
        <w:numPr>
          <w:ilvl w:val="0"/>
          <w:numId w:val="21"/>
        </w:numPr>
        <w:ind w:left="567" w:hanging="567"/>
        <w:rPr>
          <w:rStyle w:val="eop"/>
        </w:rPr>
      </w:pPr>
      <w:r w:rsidRPr="7DA96BB8">
        <w:rPr>
          <w:rStyle w:val="eop"/>
        </w:rPr>
        <w:t xml:space="preserve">The </w:t>
      </w:r>
      <w:r w:rsidR="27A28FEC" w:rsidRPr="7DA96BB8">
        <w:rPr>
          <w:rStyle w:val="eop"/>
        </w:rPr>
        <w:t xml:space="preserve">Land Holding </w:t>
      </w:r>
      <w:r w:rsidRPr="7DA96BB8">
        <w:rPr>
          <w:rStyle w:val="eop"/>
        </w:rPr>
        <w:t>Instrument preserves the effect of ASIC Class Order [CO 13/1406]</w:t>
      </w:r>
      <w:r w:rsidR="0613B9E0" w:rsidRPr="7DA96BB8">
        <w:rPr>
          <w:rStyle w:val="eop"/>
        </w:rPr>
        <w:t>,</w:t>
      </w:r>
      <w:r w:rsidRPr="7DA96BB8">
        <w:rPr>
          <w:rStyle w:val="eop"/>
        </w:rPr>
        <w:t xml:space="preserve"> </w:t>
      </w:r>
      <w:r w:rsidR="4064C7D2" w:rsidRPr="7DA96BB8">
        <w:rPr>
          <w:rStyle w:val="eop"/>
        </w:rPr>
        <w:t>which is otherwise due to sunset on 1 April 2024</w:t>
      </w:r>
      <w:r w:rsidR="31DBABAC" w:rsidRPr="7DA96BB8">
        <w:rPr>
          <w:rStyle w:val="eop"/>
        </w:rPr>
        <w:t>, until 1 October 2024</w:t>
      </w:r>
      <w:r w:rsidR="4064C7D2" w:rsidRPr="7DA96BB8">
        <w:rPr>
          <w:rStyle w:val="eop"/>
        </w:rPr>
        <w:t xml:space="preserve">. Following consultation, ASIC considered that </w:t>
      </w:r>
      <w:r w:rsidR="6EF3C939" w:rsidRPr="7DA96BB8">
        <w:rPr>
          <w:rStyle w:val="eop"/>
        </w:rPr>
        <w:t xml:space="preserve">CO 13/1406 was operating effectively and efficiently to achieve its objectives and continued to form a necessary and useful part of the legislative framework. </w:t>
      </w:r>
    </w:p>
    <w:p w14:paraId="5D177604" w14:textId="4E2AD3B8" w:rsidR="00B702EE" w:rsidRPr="0098120E" w:rsidRDefault="375DE784" w:rsidP="0098120E">
      <w:pPr>
        <w:pStyle w:val="LI-BodyTextParaa"/>
        <w:numPr>
          <w:ilvl w:val="0"/>
          <w:numId w:val="21"/>
        </w:numPr>
        <w:ind w:left="567" w:hanging="567"/>
        <w:rPr>
          <w:rStyle w:val="eop"/>
        </w:rPr>
      </w:pPr>
      <w:r w:rsidRPr="7DA96BB8">
        <w:rPr>
          <w:rStyle w:val="eop"/>
        </w:rPr>
        <w:t xml:space="preserve">It will be a matter for Government and for Parliament as to whether the Act may be amended in future to include the </w:t>
      </w:r>
      <w:r w:rsidR="2F0F45F3" w:rsidRPr="7DA96BB8">
        <w:rPr>
          <w:rStyle w:val="eop"/>
        </w:rPr>
        <w:t>provi</w:t>
      </w:r>
      <w:r w:rsidR="5C57C9ED" w:rsidRPr="7DA96BB8">
        <w:rPr>
          <w:rStyle w:val="eop"/>
        </w:rPr>
        <w:t xml:space="preserve">sions contained in the </w:t>
      </w:r>
      <w:r w:rsidR="27A28FEC" w:rsidRPr="7DA96BB8">
        <w:rPr>
          <w:rStyle w:val="eop"/>
        </w:rPr>
        <w:t xml:space="preserve">Land Holding </w:t>
      </w:r>
      <w:r w:rsidR="5C57C9ED" w:rsidRPr="7DA96BB8">
        <w:rPr>
          <w:rStyle w:val="eop"/>
        </w:rPr>
        <w:t xml:space="preserve">Instrument. </w:t>
      </w:r>
    </w:p>
    <w:p w14:paraId="69D9CC0E" w14:textId="661D2068" w:rsidR="005D1770" w:rsidRDefault="77EF23AC" w:rsidP="00F61A66">
      <w:pPr>
        <w:pStyle w:val="LI-BodyTextParaa"/>
        <w:keepNext/>
        <w:ind w:left="567"/>
        <w:rPr>
          <w:u w:val="single"/>
        </w:rPr>
      </w:pPr>
      <w:r w:rsidRPr="7DA96BB8">
        <w:rPr>
          <w:b/>
          <w:bCs/>
        </w:rPr>
        <w:t>Duration</w:t>
      </w:r>
      <w:r w:rsidR="38C0C000" w:rsidRPr="7DA96BB8">
        <w:rPr>
          <w:b/>
          <w:bCs/>
        </w:rPr>
        <w:t xml:space="preserve"> of the</w:t>
      </w:r>
      <w:r w:rsidR="7D020A42" w:rsidRPr="7DA96BB8">
        <w:rPr>
          <w:b/>
          <w:bCs/>
        </w:rPr>
        <w:t xml:space="preserve"> Land Holding</w:t>
      </w:r>
      <w:r w:rsidR="38C0C000" w:rsidRPr="7DA96BB8">
        <w:rPr>
          <w:b/>
          <w:bCs/>
        </w:rPr>
        <w:t xml:space="preserve"> </w:t>
      </w:r>
      <w:r w:rsidR="4A32109B" w:rsidRPr="7DA96BB8">
        <w:rPr>
          <w:b/>
          <w:bCs/>
        </w:rPr>
        <w:t>I</w:t>
      </w:r>
      <w:r w:rsidR="38C0C000" w:rsidRPr="7DA96BB8">
        <w:rPr>
          <w:b/>
          <w:bCs/>
        </w:rPr>
        <w:t>nstrument</w:t>
      </w:r>
      <w:r w:rsidRPr="7DA96BB8">
        <w:rPr>
          <w:u w:val="single"/>
        </w:rPr>
        <w:t xml:space="preserve"> </w:t>
      </w:r>
    </w:p>
    <w:p w14:paraId="372EA352" w14:textId="5E12BEA7" w:rsidR="00F61A66" w:rsidRPr="0098120E" w:rsidRDefault="4ED33757" w:rsidP="0098120E">
      <w:pPr>
        <w:pStyle w:val="LI-BodyTextParaa"/>
        <w:numPr>
          <w:ilvl w:val="0"/>
          <w:numId w:val="21"/>
        </w:numPr>
        <w:ind w:left="567" w:hanging="567"/>
        <w:rPr>
          <w:rStyle w:val="eop"/>
        </w:rPr>
      </w:pPr>
      <w:r w:rsidRPr="7DA96BB8">
        <w:rPr>
          <w:rStyle w:val="eop"/>
        </w:rPr>
        <w:t xml:space="preserve">The duration of the </w:t>
      </w:r>
      <w:r w:rsidR="27A28FEC" w:rsidRPr="7DA96BB8">
        <w:rPr>
          <w:rStyle w:val="eop"/>
        </w:rPr>
        <w:t xml:space="preserve">Land Holding </w:t>
      </w:r>
      <w:r w:rsidR="67238A21" w:rsidRPr="7DA96BB8">
        <w:rPr>
          <w:rStyle w:val="eop"/>
        </w:rPr>
        <w:t>I</w:t>
      </w:r>
      <w:r w:rsidRPr="7DA96BB8">
        <w:rPr>
          <w:rStyle w:val="eop"/>
        </w:rPr>
        <w:t xml:space="preserve">nstrument is </w:t>
      </w:r>
      <w:r w:rsidR="36EE8BA1" w:rsidRPr="7DA96BB8">
        <w:rPr>
          <w:rStyle w:val="eop"/>
        </w:rPr>
        <w:t>6</w:t>
      </w:r>
      <w:r w:rsidR="49E8A21E" w:rsidRPr="7DA96BB8">
        <w:rPr>
          <w:rStyle w:val="eop"/>
        </w:rPr>
        <w:t xml:space="preserve"> months</w:t>
      </w:r>
      <w:r w:rsidRPr="7DA96BB8">
        <w:rPr>
          <w:rStyle w:val="eop"/>
        </w:rPr>
        <w:t>.</w:t>
      </w:r>
      <w:r w:rsidR="7676B528" w:rsidRPr="7DA96BB8">
        <w:rPr>
          <w:rStyle w:val="eop"/>
        </w:rPr>
        <w:t xml:space="preserve"> ASIC considers that this is appropriate to </w:t>
      </w:r>
      <w:r w:rsidR="366C65BA" w:rsidRPr="7DA96BB8">
        <w:rPr>
          <w:rStyle w:val="eop"/>
        </w:rPr>
        <w:t xml:space="preserve">provide certainty for entities </w:t>
      </w:r>
      <w:r w:rsidR="576B7EA5" w:rsidRPr="7DA96BB8">
        <w:rPr>
          <w:rStyle w:val="eop"/>
        </w:rPr>
        <w:t>subject to</w:t>
      </w:r>
      <w:r w:rsidR="6683E609" w:rsidRPr="7DA96BB8">
        <w:rPr>
          <w:rStyle w:val="eop"/>
        </w:rPr>
        <w:t xml:space="preserve"> the</w:t>
      </w:r>
      <w:r w:rsidR="27A28FEC" w:rsidRPr="7DA96BB8">
        <w:rPr>
          <w:rStyle w:val="eop"/>
        </w:rPr>
        <w:t xml:space="preserve"> Land Holding</w:t>
      </w:r>
      <w:r w:rsidR="6683E609" w:rsidRPr="7DA96BB8">
        <w:rPr>
          <w:rStyle w:val="eop"/>
        </w:rPr>
        <w:t xml:space="preserve"> Instrument and minimise </w:t>
      </w:r>
      <w:r w:rsidR="5FF6D846" w:rsidRPr="7DA96BB8">
        <w:rPr>
          <w:rStyle w:val="eop"/>
        </w:rPr>
        <w:t xml:space="preserve">regulatory burden associated with compliance changes. </w:t>
      </w:r>
      <w:r w:rsidR="69699B5B" w:rsidRPr="7DA96BB8">
        <w:rPr>
          <w:rStyle w:val="eop"/>
        </w:rPr>
        <w:t xml:space="preserve">During the Land Holding Instrument’s </w:t>
      </w:r>
      <w:r w:rsidR="6A30BDB3" w:rsidRPr="7DA96BB8">
        <w:rPr>
          <w:rStyle w:val="eop"/>
        </w:rPr>
        <w:t>6 months of operation, ASIC intends to engage in further</w:t>
      </w:r>
      <w:r w:rsidR="0D0EA5FB" w:rsidRPr="7DA96BB8">
        <w:rPr>
          <w:rStyle w:val="eop"/>
        </w:rPr>
        <w:t xml:space="preserve"> targeted</w:t>
      </w:r>
      <w:r w:rsidR="6A30BDB3" w:rsidRPr="7DA96BB8">
        <w:rPr>
          <w:rStyle w:val="eop"/>
        </w:rPr>
        <w:t xml:space="preserve"> consultations regarding the necess</w:t>
      </w:r>
      <w:r w:rsidR="302B12C1" w:rsidRPr="7DA96BB8">
        <w:rPr>
          <w:rStyle w:val="eop"/>
        </w:rPr>
        <w:t>ity of its further extension</w:t>
      </w:r>
      <w:r w:rsidR="6A30BDB3" w:rsidRPr="7DA96BB8">
        <w:rPr>
          <w:rStyle w:val="eop"/>
        </w:rPr>
        <w:t>.</w:t>
      </w:r>
    </w:p>
    <w:bookmarkEnd w:id="0"/>
    <w:p w14:paraId="6692C87E" w14:textId="77777777" w:rsidR="00F03BB5" w:rsidRDefault="00474B52" w:rsidP="006D6079">
      <w:pPr>
        <w:pStyle w:val="LI-BodyTextNumbered"/>
        <w:keepNext/>
        <w:ind w:left="0" w:firstLine="0"/>
        <w:rPr>
          <w:b/>
        </w:rPr>
      </w:pPr>
      <w:r>
        <w:rPr>
          <w:b/>
        </w:rPr>
        <w:lastRenderedPageBreak/>
        <w:t>Legislative authority</w:t>
      </w:r>
    </w:p>
    <w:p w14:paraId="1019E356" w14:textId="7E36E263" w:rsidR="009A3F74" w:rsidRDefault="4ED33757" w:rsidP="00C250FA">
      <w:pPr>
        <w:pStyle w:val="LI-BodyTextParaa"/>
        <w:numPr>
          <w:ilvl w:val="0"/>
          <w:numId w:val="21"/>
        </w:numPr>
        <w:ind w:left="567" w:hanging="567"/>
        <w:rPr>
          <w:rStyle w:val="eop"/>
        </w:rPr>
      </w:pPr>
      <w:r w:rsidRPr="7DA96BB8">
        <w:rPr>
          <w:rStyle w:val="eop"/>
        </w:rPr>
        <w:t xml:space="preserve">The </w:t>
      </w:r>
      <w:r w:rsidR="27A28FEC" w:rsidRPr="7DA96BB8">
        <w:rPr>
          <w:rStyle w:val="eop"/>
        </w:rPr>
        <w:t xml:space="preserve">Land Holding </w:t>
      </w:r>
      <w:r w:rsidR="67238A21" w:rsidRPr="7DA96BB8">
        <w:rPr>
          <w:rStyle w:val="eop"/>
        </w:rPr>
        <w:t>I</w:t>
      </w:r>
      <w:r w:rsidRPr="7DA96BB8">
        <w:rPr>
          <w:rStyle w:val="eop"/>
        </w:rPr>
        <w:t>nstrument</w:t>
      </w:r>
      <w:r w:rsidR="46403E6D" w:rsidRPr="7DA96BB8">
        <w:rPr>
          <w:rStyle w:val="eop"/>
        </w:rPr>
        <w:t xml:space="preserve"> and the Repeal Instrument</w:t>
      </w:r>
      <w:r w:rsidRPr="7DA96BB8">
        <w:rPr>
          <w:rStyle w:val="eop"/>
        </w:rPr>
        <w:t xml:space="preserve"> </w:t>
      </w:r>
      <w:r w:rsidR="2CEB88E0" w:rsidRPr="7DA96BB8">
        <w:rPr>
          <w:rStyle w:val="eop"/>
        </w:rPr>
        <w:t>are</w:t>
      </w:r>
      <w:r w:rsidRPr="7DA96BB8">
        <w:rPr>
          <w:rStyle w:val="eop"/>
        </w:rPr>
        <w:t xml:space="preserve"> made under paragraph 926A(2)(c) of the </w:t>
      </w:r>
      <w:r w:rsidRPr="7DA96BB8">
        <w:rPr>
          <w:rStyle w:val="eop"/>
          <w:i/>
          <w:iCs/>
        </w:rPr>
        <w:t>Corporations Act 2001</w:t>
      </w:r>
      <w:r w:rsidRPr="7DA96BB8">
        <w:rPr>
          <w:rStyle w:val="eop"/>
        </w:rPr>
        <w:t>.</w:t>
      </w:r>
    </w:p>
    <w:p w14:paraId="29E9AD47" w14:textId="7D9417BA" w:rsidR="00A07D6B" w:rsidRDefault="759CC3B1" w:rsidP="00A07D6B">
      <w:pPr>
        <w:pStyle w:val="LI-BodyTextParaa"/>
        <w:numPr>
          <w:ilvl w:val="0"/>
          <w:numId w:val="21"/>
        </w:numPr>
        <w:ind w:left="567" w:hanging="567"/>
        <w:rPr>
          <w:rStyle w:val="eop"/>
        </w:rPr>
      </w:pPr>
      <w:r w:rsidRPr="7DA96BB8">
        <w:rPr>
          <w:rStyle w:val="eop"/>
        </w:rPr>
        <w:t>The Land Holding Instrument</w:t>
      </w:r>
      <w:r w:rsidR="06145FA7" w:rsidRPr="7DA96BB8">
        <w:rPr>
          <w:rStyle w:val="eop"/>
        </w:rPr>
        <w:t xml:space="preserve"> and the Repeal Instrument</w:t>
      </w:r>
      <w:r w:rsidRPr="7DA96BB8">
        <w:rPr>
          <w:rStyle w:val="eop"/>
        </w:rPr>
        <w:t xml:space="preserve"> </w:t>
      </w:r>
      <w:r w:rsidR="1FE6E6CA" w:rsidRPr="7DA96BB8">
        <w:rPr>
          <w:rStyle w:val="eop"/>
        </w:rPr>
        <w:t>are</w:t>
      </w:r>
      <w:r w:rsidRPr="7DA96BB8">
        <w:rPr>
          <w:rStyle w:val="eop"/>
        </w:rPr>
        <w:t xml:space="preserve"> disallowable legislative instrument</w:t>
      </w:r>
      <w:r w:rsidR="0F224CC7" w:rsidRPr="7DA96BB8">
        <w:rPr>
          <w:rStyle w:val="eop"/>
        </w:rPr>
        <w:t>s</w:t>
      </w:r>
      <w:r w:rsidR="3465B0BB" w:rsidRPr="7DA96BB8">
        <w:rPr>
          <w:rStyle w:val="eop"/>
        </w:rPr>
        <w:t>.</w:t>
      </w:r>
    </w:p>
    <w:p w14:paraId="03D8E33E" w14:textId="0C167A62" w:rsidR="00863657" w:rsidRDefault="57133410" w:rsidP="0098120E">
      <w:pPr>
        <w:pStyle w:val="LI-BodyTextParaa"/>
        <w:numPr>
          <w:ilvl w:val="0"/>
          <w:numId w:val="21"/>
        </w:numPr>
        <w:ind w:left="567" w:hanging="567"/>
        <w:rPr>
          <w:rStyle w:val="eop"/>
        </w:rPr>
      </w:pPr>
      <w:r w:rsidRPr="7DA96BB8">
        <w:rPr>
          <w:rStyle w:val="eop"/>
        </w:rPr>
        <w:t xml:space="preserve">The Repeal Instrument is made under paragraphs </w:t>
      </w:r>
      <w:r w:rsidR="759CC3B1" w:rsidRPr="7DA96BB8">
        <w:rPr>
          <w:rStyle w:val="eop"/>
        </w:rPr>
        <w:t xml:space="preserve">601QA(1)(a), 601QA(1)(b), 926A(2)(c), 1020F(1)(a) and 1020F(1)(c) of the </w:t>
      </w:r>
      <w:r w:rsidR="759CC3B1" w:rsidRPr="7DA96BB8">
        <w:rPr>
          <w:rStyle w:val="eop"/>
          <w:i/>
          <w:iCs/>
        </w:rPr>
        <w:t>Corporations Act 2001</w:t>
      </w:r>
      <w:r w:rsidR="759CC3B1" w:rsidRPr="7DA96BB8">
        <w:rPr>
          <w:rStyle w:val="eop"/>
        </w:rPr>
        <w:t xml:space="preserve">. </w:t>
      </w:r>
    </w:p>
    <w:p w14:paraId="27325774" w14:textId="2D30362E" w:rsidR="00A72256" w:rsidRPr="0098120E" w:rsidRDefault="00DA681A" w:rsidP="0098120E">
      <w:pPr>
        <w:pStyle w:val="LI-BodyTextParaa"/>
        <w:numPr>
          <w:ilvl w:val="0"/>
          <w:numId w:val="21"/>
        </w:numPr>
        <w:ind w:left="567" w:hanging="567"/>
        <w:rPr>
          <w:rStyle w:val="eop"/>
        </w:rPr>
      </w:pPr>
      <w:r w:rsidRPr="7DA96BB8">
        <w:rPr>
          <w:rStyle w:val="eop"/>
        </w:rPr>
        <w:t xml:space="preserve">Under subsection 33(3) of the </w:t>
      </w:r>
      <w:r w:rsidRPr="7DA96BB8">
        <w:rPr>
          <w:rStyle w:val="eop"/>
          <w:i/>
          <w:iCs/>
        </w:rPr>
        <w:t>Acts Interpretation Act 1901</w:t>
      </w:r>
      <w:r w:rsidRPr="7DA96BB8">
        <w:rPr>
          <w:rStyle w:val="eop"/>
        </w:rPr>
        <w:t xml:space="preserve">, where an Act confers a power to make, grant or issue any instrument (including rules, </w:t>
      </w:r>
      <w:proofErr w:type="gramStart"/>
      <w:r w:rsidRPr="7DA96BB8">
        <w:rPr>
          <w:rStyle w:val="eop"/>
        </w:rPr>
        <w:t>regulations</w:t>
      </w:r>
      <w:proofErr w:type="gramEnd"/>
      <w:r w:rsidRPr="7DA96BB8">
        <w:rPr>
          <w:rStyle w:val="eop"/>
        </w:rPr>
        <w:t xml:space="preserve"> or by-laws), the power shall be construed as including a power exercisable in the like manner and subject to the like conditions (if any) to repeal, rescind, revoke, amend, or vary any such instrument.</w:t>
      </w:r>
    </w:p>
    <w:p w14:paraId="208956FF" w14:textId="77777777" w:rsidR="00EA17A6" w:rsidRPr="00EA17A6" w:rsidRDefault="00EA17A6" w:rsidP="006D6079">
      <w:pPr>
        <w:pStyle w:val="LI-BodyTextNumbered"/>
        <w:keepNext/>
        <w:ind w:left="0" w:firstLine="0"/>
        <w:rPr>
          <w:b/>
        </w:rPr>
      </w:pPr>
      <w:r w:rsidRPr="00EA17A6">
        <w:rPr>
          <w:b/>
        </w:rPr>
        <w:t xml:space="preserve">Statement of Compatibility with Human Rights  </w:t>
      </w:r>
    </w:p>
    <w:p w14:paraId="795FB81A" w14:textId="19D34636" w:rsidR="00223DCF" w:rsidRPr="00EA17A6" w:rsidRDefault="3F9D9660" w:rsidP="0098120E">
      <w:pPr>
        <w:pStyle w:val="LI-BodyTextParaa"/>
        <w:numPr>
          <w:ilvl w:val="0"/>
          <w:numId w:val="21"/>
        </w:numPr>
        <w:ind w:left="567" w:hanging="567"/>
      </w:pPr>
      <w:r>
        <w:t xml:space="preserve">The Explanatory Statement for a disallowable legislative instrument must contain a Statement of Compatibility with Human Rights under subsection 9(1) of the </w:t>
      </w:r>
      <w:r w:rsidRPr="7DA96BB8">
        <w:rPr>
          <w:i/>
          <w:iCs/>
        </w:rPr>
        <w:t>Human Rights (Parliamentary Scrutiny) Act 2011.</w:t>
      </w:r>
      <w:r>
        <w:t xml:space="preserve"> A Statement of Compatibility with Human Rights is in the </w:t>
      </w:r>
      <w:r w:rsidRPr="7DA96BB8">
        <w:rPr>
          <w:u w:val="single"/>
        </w:rPr>
        <w:t>Attachment</w:t>
      </w:r>
      <w:r>
        <w:t xml:space="preserve">. </w:t>
      </w:r>
    </w:p>
    <w:p w14:paraId="035652D9" w14:textId="77777777" w:rsidR="00223DCF" w:rsidRPr="00EA17A6" w:rsidRDefault="00223DCF" w:rsidP="00223DCF">
      <w:pPr>
        <w:pStyle w:val="LI-BodyTextParaa"/>
        <w:ind w:left="567"/>
        <w:jc w:val="right"/>
        <w:rPr>
          <w:u w:val="single"/>
        </w:rPr>
      </w:pPr>
      <w:r>
        <w:rPr>
          <w:color w:val="FF0000"/>
        </w:rPr>
        <w:br w:type="page"/>
      </w:r>
      <w:r w:rsidRPr="00EA17A6">
        <w:rPr>
          <w:u w:val="single"/>
        </w:rPr>
        <w:lastRenderedPageBreak/>
        <w:t xml:space="preserve">Attachment </w:t>
      </w:r>
    </w:p>
    <w:p w14:paraId="468ADD15" w14:textId="77777777" w:rsidR="00A15512" w:rsidRPr="00EA17A6" w:rsidRDefault="001E77ED" w:rsidP="00223DCF">
      <w:pPr>
        <w:pStyle w:val="LI-BodyTextParaa"/>
        <w:ind w:left="567"/>
        <w:jc w:val="center"/>
        <w:rPr>
          <w:b/>
          <w:sz w:val="28"/>
          <w:szCs w:val="28"/>
        </w:rPr>
      </w:pPr>
      <w:r w:rsidRPr="00EA17A6">
        <w:rPr>
          <w:b/>
          <w:sz w:val="28"/>
          <w:szCs w:val="28"/>
        </w:rPr>
        <w:t xml:space="preserve">Statement of </w:t>
      </w:r>
      <w:r w:rsidR="00223DCF" w:rsidRPr="00EA17A6">
        <w:rPr>
          <w:b/>
          <w:sz w:val="28"/>
          <w:szCs w:val="28"/>
        </w:rPr>
        <w:t>C</w:t>
      </w:r>
      <w:r w:rsidRPr="00EA17A6">
        <w:rPr>
          <w:b/>
          <w:sz w:val="28"/>
          <w:szCs w:val="28"/>
        </w:rPr>
        <w:t xml:space="preserve">ompatibility with </w:t>
      </w:r>
      <w:r w:rsidR="00223DCF" w:rsidRPr="00EA17A6">
        <w:rPr>
          <w:b/>
          <w:sz w:val="28"/>
          <w:szCs w:val="28"/>
        </w:rPr>
        <w:t>H</w:t>
      </w:r>
      <w:r w:rsidRPr="00EA17A6">
        <w:rPr>
          <w:b/>
          <w:sz w:val="28"/>
          <w:szCs w:val="28"/>
        </w:rPr>
        <w:t xml:space="preserve">uman </w:t>
      </w:r>
      <w:r w:rsidR="00223DCF" w:rsidRPr="00EA17A6">
        <w:rPr>
          <w:b/>
          <w:sz w:val="28"/>
          <w:szCs w:val="28"/>
        </w:rPr>
        <w:t>R</w:t>
      </w:r>
      <w:r w:rsidRPr="00EA17A6">
        <w:rPr>
          <w:b/>
          <w:sz w:val="28"/>
          <w:szCs w:val="28"/>
        </w:rPr>
        <w:t>ights</w:t>
      </w:r>
    </w:p>
    <w:p w14:paraId="3DEEC669" w14:textId="77777777" w:rsidR="00AE787B" w:rsidRPr="00EA17A6" w:rsidRDefault="00AE787B" w:rsidP="00223DCF">
      <w:pPr>
        <w:pStyle w:val="LI-BodyTextNumbered"/>
        <w:ind w:left="0" w:firstLine="0"/>
        <w:rPr>
          <w:iCs/>
        </w:rPr>
      </w:pPr>
      <w:bookmarkStart w:id="1" w:name="_Hlk534286677"/>
    </w:p>
    <w:p w14:paraId="267CF3CB" w14:textId="77777777" w:rsidR="00223DCF" w:rsidRPr="00EA17A6" w:rsidRDefault="00223DCF" w:rsidP="00223DCF">
      <w:pPr>
        <w:pStyle w:val="LI-BodyTextNumbered"/>
        <w:ind w:left="0" w:firstLine="0"/>
        <w:rPr>
          <w:iCs/>
        </w:rPr>
      </w:pPr>
      <w:r w:rsidRPr="00EA17A6">
        <w:rPr>
          <w:iCs/>
        </w:rPr>
        <w:t xml:space="preserve">This Statement of Compatibility with Human Rights is prepared in accordance with Part 3 of </w:t>
      </w:r>
      <w:bookmarkStart w:id="2" w:name="_Hlk4054932"/>
      <w:r w:rsidRPr="00EA17A6">
        <w:rPr>
          <w:iCs/>
        </w:rPr>
        <w:t xml:space="preserve">the </w:t>
      </w:r>
      <w:r w:rsidRPr="00EA17A6">
        <w:rPr>
          <w:i/>
          <w:iCs/>
        </w:rPr>
        <w:t>Human Rights (Parliamentary Scrutiny) Act 2011</w:t>
      </w:r>
      <w:bookmarkEnd w:id="2"/>
      <w:r w:rsidRPr="00EA17A6">
        <w:rPr>
          <w:iCs/>
        </w:rPr>
        <w:t xml:space="preserve">.   </w:t>
      </w:r>
    </w:p>
    <w:p w14:paraId="3D57BF2C" w14:textId="68EFA58B" w:rsidR="00924489" w:rsidRPr="00C87050" w:rsidRDefault="00924489" w:rsidP="7DA96BB8">
      <w:pPr>
        <w:pStyle w:val="LI-BodyTextNumbered"/>
        <w:ind w:left="0" w:firstLine="0"/>
        <w:rPr>
          <w:b/>
          <w:bCs/>
          <w:i/>
          <w:iCs/>
        </w:rPr>
      </w:pPr>
      <w:r w:rsidRPr="7DA96BB8">
        <w:rPr>
          <w:b/>
          <w:bCs/>
          <w:i/>
          <w:iCs/>
        </w:rPr>
        <w:t xml:space="preserve">ASIC Corporations (Land </w:t>
      </w:r>
      <w:r w:rsidR="00672886" w:rsidRPr="7DA96BB8">
        <w:rPr>
          <w:b/>
          <w:bCs/>
          <w:i/>
          <w:iCs/>
        </w:rPr>
        <w:t>H</w:t>
      </w:r>
      <w:r w:rsidRPr="7DA96BB8">
        <w:rPr>
          <w:b/>
          <w:bCs/>
          <w:i/>
          <w:iCs/>
        </w:rPr>
        <w:t xml:space="preserve">olding for </w:t>
      </w:r>
      <w:r w:rsidR="00672886" w:rsidRPr="7DA96BB8">
        <w:rPr>
          <w:b/>
          <w:bCs/>
          <w:i/>
          <w:iCs/>
        </w:rPr>
        <w:t>P</w:t>
      </w:r>
      <w:r w:rsidRPr="7DA96BB8">
        <w:rPr>
          <w:b/>
          <w:bCs/>
          <w:i/>
          <w:iCs/>
        </w:rPr>
        <w:t xml:space="preserve">rimary </w:t>
      </w:r>
      <w:r w:rsidR="00672886" w:rsidRPr="7DA96BB8">
        <w:rPr>
          <w:b/>
          <w:bCs/>
          <w:i/>
          <w:iCs/>
        </w:rPr>
        <w:t>P</w:t>
      </w:r>
      <w:r w:rsidRPr="7DA96BB8">
        <w:rPr>
          <w:b/>
          <w:bCs/>
          <w:i/>
          <w:iCs/>
        </w:rPr>
        <w:t xml:space="preserve">roduction </w:t>
      </w:r>
      <w:r w:rsidR="00672886" w:rsidRPr="7DA96BB8">
        <w:rPr>
          <w:b/>
          <w:bCs/>
          <w:i/>
          <w:iCs/>
        </w:rPr>
        <w:t>S</w:t>
      </w:r>
      <w:r w:rsidRPr="7DA96BB8">
        <w:rPr>
          <w:b/>
          <w:bCs/>
          <w:i/>
          <w:iCs/>
        </w:rPr>
        <w:t xml:space="preserve">chemes) Instrument </w:t>
      </w:r>
      <w:r w:rsidR="000F2504" w:rsidRPr="7DA96BB8">
        <w:rPr>
          <w:b/>
          <w:bCs/>
          <w:i/>
          <w:iCs/>
        </w:rPr>
        <w:t>2024</w:t>
      </w:r>
      <w:r w:rsidRPr="7DA96BB8">
        <w:rPr>
          <w:b/>
          <w:bCs/>
          <w:i/>
          <w:iCs/>
        </w:rPr>
        <w:t>/</w:t>
      </w:r>
      <w:r w:rsidR="00150774" w:rsidRPr="7DA96BB8">
        <w:rPr>
          <w:b/>
          <w:bCs/>
          <w:i/>
          <w:iCs/>
        </w:rPr>
        <w:t>15</w:t>
      </w:r>
      <w:r w:rsidR="00150774">
        <w:t xml:space="preserve"> </w:t>
      </w:r>
      <w:r w:rsidR="00C87050">
        <w:t xml:space="preserve">and </w:t>
      </w:r>
      <w:r w:rsidR="00C87050" w:rsidRPr="7DA96BB8">
        <w:rPr>
          <w:b/>
          <w:bCs/>
          <w:i/>
          <w:iCs/>
        </w:rPr>
        <w:t>ASIC Corporations (Repeal) Instrument 2024/</w:t>
      </w:r>
      <w:r w:rsidR="00150774" w:rsidRPr="7DA96BB8">
        <w:rPr>
          <w:b/>
          <w:bCs/>
          <w:i/>
          <w:iCs/>
        </w:rPr>
        <w:t>19</w:t>
      </w:r>
    </w:p>
    <w:p w14:paraId="6C0E1DE5" w14:textId="77777777" w:rsidR="00223DCF" w:rsidRPr="00EA17A6" w:rsidRDefault="00223DCF" w:rsidP="001872DC">
      <w:pPr>
        <w:pStyle w:val="LI-BodyTextNumbered"/>
        <w:ind w:left="567"/>
        <w:rPr>
          <w:u w:val="single"/>
        </w:rPr>
      </w:pPr>
      <w:r w:rsidRPr="00EA17A6">
        <w:rPr>
          <w:u w:val="single"/>
        </w:rPr>
        <w:t>Overview</w:t>
      </w:r>
    </w:p>
    <w:p w14:paraId="6EDC1AF0" w14:textId="7572AB8B" w:rsidR="00582532" w:rsidRDefault="00582532" w:rsidP="00C87050">
      <w:pPr>
        <w:pStyle w:val="LI-BodyTextParaa"/>
        <w:numPr>
          <w:ilvl w:val="0"/>
          <w:numId w:val="25"/>
        </w:numPr>
        <w:ind w:left="567" w:hanging="567"/>
      </w:pPr>
      <w:r w:rsidRPr="7DA96BB8">
        <w:rPr>
          <w:i/>
          <w:iCs/>
        </w:rPr>
        <w:t xml:space="preserve">ASIC Corporations (Land </w:t>
      </w:r>
      <w:r w:rsidR="00672886" w:rsidRPr="7DA96BB8">
        <w:rPr>
          <w:i/>
          <w:iCs/>
        </w:rPr>
        <w:t>H</w:t>
      </w:r>
      <w:r w:rsidRPr="7DA96BB8">
        <w:rPr>
          <w:i/>
          <w:iCs/>
        </w:rPr>
        <w:t xml:space="preserve">olding for </w:t>
      </w:r>
      <w:r w:rsidR="00672886" w:rsidRPr="7DA96BB8">
        <w:rPr>
          <w:i/>
          <w:iCs/>
        </w:rPr>
        <w:t>P</w:t>
      </w:r>
      <w:r w:rsidRPr="7DA96BB8">
        <w:rPr>
          <w:i/>
          <w:iCs/>
        </w:rPr>
        <w:t xml:space="preserve">rimary </w:t>
      </w:r>
      <w:r w:rsidR="00672886" w:rsidRPr="7DA96BB8">
        <w:rPr>
          <w:i/>
          <w:iCs/>
        </w:rPr>
        <w:t>P</w:t>
      </w:r>
      <w:r w:rsidRPr="7DA96BB8">
        <w:rPr>
          <w:i/>
          <w:iCs/>
        </w:rPr>
        <w:t xml:space="preserve">roduction </w:t>
      </w:r>
      <w:r w:rsidR="00672886" w:rsidRPr="7DA96BB8">
        <w:rPr>
          <w:i/>
          <w:iCs/>
        </w:rPr>
        <w:t>S</w:t>
      </w:r>
      <w:r w:rsidRPr="7DA96BB8">
        <w:rPr>
          <w:i/>
          <w:iCs/>
        </w:rPr>
        <w:t xml:space="preserve">chemes) Instrument </w:t>
      </w:r>
      <w:r w:rsidR="000F2504" w:rsidRPr="7DA96BB8">
        <w:rPr>
          <w:i/>
          <w:iCs/>
        </w:rPr>
        <w:t>2024</w:t>
      </w:r>
      <w:r w:rsidRPr="7DA96BB8">
        <w:rPr>
          <w:i/>
          <w:iCs/>
        </w:rPr>
        <w:t>/</w:t>
      </w:r>
      <w:r w:rsidR="00150774" w:rsidRPr="7DA96BB8">
        <w:rPr>
          <w:i/>
          <w:iCs/>
        </w:rPr>
        <w:t>15</w:t>
      </w:r>
      <w:r w:rsidR="00150774">
        <w:t xml:space="preserve"> </w:t>
      </w:r>
      <w:r w:rsidR="00646E53">
        <w:t xml:space="preserve">specifies minimum standards that a responsible entity must meet in relation to the holding of interests in land required for the operation of a registered managed investment scheme to ensure the land holding arrangements enable the scheme to be operated efficiently, </w:t>
      </w:r>
      <w:proofErr w:type="gramStart"/>
      <w:r w:rsidR="00646E53">
        <w:t>honestly</w:t>
      </w:r>
      <w:proofErr w:type="gramEnd"/>
      <w:r w:rsidR="00646E53">
        <w:t xml:space="preserve"> and fairly.</w:t>
      </w:r>
    </w:p>
    <w:p w14:paraId="57EDF13C" w14:textId="0406D2B3" w:rsidR="00C87050" w:rsidRPr="00C87050" w:rsidRDefault="00C87050" w:rsidP="00C87050">
      <w:pPr>
        <w:pStyle w:val="LI-BodyTextParaa"/>
        <w:numPr>
          <w:ilvl w:val="0"/>
          <w:numId w:val="25"/>
        </w:numPr>
        <w:ind w:left="567" w:hanging="567"/>
      </w:pPr>
      <w:r w:rsidRPr="7DA96BB8">
        <w:rPr>
          <w:i/>
          <w:iCs/>
        </w:rPr>
        <w:t>ASIC Corporations (Repeal) Instrument 2024/</w:t>
      </w:r>
      <w:r w:rsidR="00150774" w:rsidRPr="7DA96BB8">
        <w:rPr>
          <w:i/>
          <w:iCs/>
        </w:rPr>
        <w:t>19</w:t>
      </w:r>
      <w:r w:rsidR="00150774">
        <w:t xml:space="preserve"> </w:t>
      </w:r>
      <w:r>
        <w:t xml:space="preserve">repeals a number of ASIC legislative instruments which are otherwise scheduled to sunset on 1 April 2024. </w:t>
      </w:r>
    </w:p>
    <w:p w14:paraId="39CA4D1A" w14:textId="77777777" w:rsidR="001872DC" w:rsidRPr="00C87050" w:rsidRDefault="001872DC" w:rsidP="00C87050">
      <w:pPr>
        <w:pStyle w:val="LI-BodyTextNumbered"/>
        <w:ind w:left="567"/>
        <w:rPr>
          <w:u w:val="single"/>
        </w:rPr>
      </w:pPr>
      <w:bookmarkStart w:id="3" w:name="_Hlk534286807"/>
      <w:bookmarkEnd w:id="1"/>
      <w:r w:rsidRPr="00C87050">
        <w:rPr>
          <w:u w:val="single"/>
        </w:rPr>
        <w:t>Assessment of human rights implications</w:t>
      </w:r>
    </w:p>
    <w:bookmarkEnd w:id="3"/>
    <w:p w14:paraId="2091B1B8" w14:textId="0F085E21" w:rsidR="00946759" w:rsidRPr="00EA17A6" w:rsidRDefault="001872DC" w:rsidP="00C87050">
      <w:pPr>
        <w:pStyle w:val="LI-BodyTextParaa"/>
        <w:numPr>
          <w:ilvl w:val="0"/>
          <w:numId w:val="25"/>
        </w:numPr>
        <w:ind w:left="567" w:hanging="567"/>
      </w:pPr>
      <w:r w:rsidRPr="00EA17A6">
        <w:t>Th</w:t>
      </w:r>
      <w:r w:rsidR="00C87050">
        <w:t>e</w:t>
      </w:r>
      <w:r w:rsidRPr="00EA17A6">
        <w:t xml:space="preserve"> instrument</w:t>
      </w:r>
      <w:r w:rsidR="00C87050">
        <w:t>s</w:t>
      </w:r>
      <w:r w:rsidRPr="00EA17A6">
        <w:t xml:space="preserve"> </w:t>
      </w:r>
      <w:r w:rsidR="00D306F8" w:rsidRPr="00EA17A6">
        <w:t>do not engage any of the applicable rights or freedoms</w:t>
      </w:r>
      <w:r w:rsidR="003A628B">
        <w:t>.</w:t>
      </w:r>
      <w:r w:rsidR="00946759" w:rsidRPr="00EA17A6">
        <w:t xml:space="preserve">  </w:t>
      </w:r>
    </w:p>
    <w:p w14:paraId="2B2A7A39" w14:textId="77777777" w:rsidR="00CB2D96" w:rsidRPr="00C87050" w:rsidRDefault="00CB2D96" w:rsidP="00C87050">
      <w:pPr>
        <w:pStyle w:val="LI-BodyTextNumbered"/>
        <w:ind w:left="567"/>
        <w:rPr>
          <w:u w:val="single"/>
        </w:rPr>
      </w:pPr>
      <w:r w:rsidRPr="00C87050">
        <w:rPr>
          <w:u w:val="single"/>
        </w:rPr>
        <w:t>Conclusion</w:t>
      </w:r>
    </w:p>
    <w:p w14:paraId="15F8E2AA" w14:textId="7EDD2DDC" w:rsidR="00CB2D96" w:rsidRPr="00EA17A6" w:rsidRDefault="00C87050" w:rsidP="00C87050">
      <w:pPr>
        <w:pStyle w:val="LI-BodyTextParaa"/>
        <w:numPr>
          <w:ilvl w:val="0"/>
          <w:numId w:val="25"/>
        </w:numPr>
        <w:ind w:left="567" w:hanging="567"/>
      </w:pPr>
      <w:r>
        <w:t>The</w:t>
      </w:r>
      <w:r w:rsidR="00CB2D96" w:rsidRPr="00EA17A6">
        <w:t xml:space="preserve"> instrument</w:t>
      </w:r>
      <w:r>
        <w:t>s</w:t>
      </w:r>
      <w:r w:rsidR="00CB2D96" w:rsidRPr="00EA17A6">
        <w:t xml:space="preserve"> </w:t>
      </w:r>
      <w:r>
        <w:t>are</w:t>
      </w:r>
      <w:r w:rsidR="00CB2D96" w:rsidRPr="00EA17A6">
        <w:t xml:space="preserve"> compatible with the human rights and freedoms recognised or declared in the international instruments listed in section 3 of </w:t>
      </w:r>
      <w:r w:rsidR="00CB2D96" w:rsidRPr="00C87050">
        <w:t xml:space="preserve">the </w:t>
      </w:r>
      <w:r w:rsidR="00CB2D96" w:rsidRPr="00C87050">
        <w:rPr>
          <w:i/>
          <w:iCs/>
        </w:rPr>
        <w:t>Human Rights (Parliamentary Scrutiny) Act 2011</w:t>
      </w:r>
      <w:r w:rsidR="00CB2D96" w:rsidRPr="00EA17A6">
        <w:t>.</w:t>
      </w:r>
    </w:p>
    <w:p w14:paraId="3656B9AB" w14:textId="77777777" w:rsidR="00CB2D96" w:rsidRPr="00EA17A6" w:rsidRDefault="00CB2D96" w:rsidP="00D306F8">
      <w:pPr>
        <w:pStyle w:val="LI-BodyTextNumbered"/>
        <w:ind w:left="567"/>
      </w:pPr>
    </w:p>
    <w:sectPr w:rsidR="00CB2D96" w:rsidRPr="00EA17A6" w:rsidSect="00863657">
      <w:headerReference w:type="even" r:id="rId21"/>
      <w:headerReference w:type="default" r:id="rId22"/>
      <w:footerReference w:type="default" r:id="rId23"/>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1E824" w14:textId="77777777" w:rsidR="00CB5333" w:rsidRDefault="00CB5333" w:rsidP="00715914">
      <w:pPr>
        <w:spacing w:line="240" w:lineRule="auto"/>
      </w:pPr>
      <w:r>
        <w:separator/>
      </w:r>
    </w:p>
  </w:endnote>
  <w:endnote w:type="continuationSeparator" w:id="0">
    <w:p w14:paraId="5353176E" w14:textId="77777777" w:rsidR="00CB5333" w:rsidRDefault="00CB5333" w:rsidP="00715914">
      <w:pPr>
        <w:spacing w:line="240" w:lineRule="auto"/>
      </w:pPr>
      <w:r>
        <w:continuationSeparator/>
      </w:r>
    </w:p>
  </w:endnote>
  <w:endnote w:type="continuationNotice" w:id="1">
    <w:p w14:paraId="3E728595" w14:textId="77777777" w:rsidR="00CB5333" w:rsidRDefault="00CB53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CBC8" w14:textId="77777777" w:rsidR="00863657" w:rsidRDefault="00863657">
    <w:pPr>
      <w:pStyle w:val="Footer"/>
      <w:jc w:val="center"/>
    </w:pPr>
    <w:r>
      <w:fldChar w:fldCharType="begin"/>
    </w:r>
    <w:r>
      <w:instrText xml:space="preserve"> PAGE   \* MERGEFORMAT </w:instrText>
    </w:r>
    <w:r>
      <w:fldChar w:fldCharType="separate"/>
    </w:r>
    <w:r>
      <w:rPr>
        <w:noProof/>
      </w:rPr>
      <w:t>2</w:t>
    </w:r>
    <w:r>
      <w:rPr>
        <w:noProof/>
      </w:rPr>
      <w:fldChar w:fldCharType="end"/>
    </w:r>
  </w:p>
  <w:p w14:paraId="53128261" w14:textId="77777777" w:rsidR="00863657" w:rsidRDefault="0086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2724B" w14:textId="77777777" w:rsidR="00CB5333" w:rsidRDefault="00CB5333" w:rsidP="00715914">
      <w:pPr>
        <w:spacing w:line="240" w:lineRule="auto"/>
      </w:pPr>
      <w:r>
        <w:separator/>
      </w:r>
    </w:p>
  </w:footnote>
  <w:footnote w:type="continuationSeparator" w:id="0">
    <w:p w14:paraId="58864D7D" w14:textId="77777777" w:rsidR="00CB5333" w:rsidRDefault="00CB5333" w:rsidP="00715914">
      <w:pPr>
        <w:spacing w:line="240" w:lineRule="auto"/>
      </w:pPr>
      <w:r>
        <w:continuationSeparator/>
      </w:r>
    </w:p>
  </w:footnote>
  <w:footnote w:type="continuationNotice" w:id="1">
    <w:p w14:paraId="4226D158" w14:textId="77777777" w:rsidR="00CB5333" w:rsidRDefault="00CB533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13F8"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4B99056E" w14:textId="77777777" w:rsidTr="001E77ED">
      <w:tc>
        <w:tcPr>
          <w:tcW w:w="4253" w:type="dxa"/>
          <w:shd w:val="clear" w:color="auto" w:fill="auto"/>
        </w:tcPr>
        <w:p w14:paraId="1299C43A" w14:textId="77777777" w:rsidR="00F4215A" w:rsidRDefault="00F4215A" w:rsidP="00E40FF8">
          <w:pPr>
            <w:pStyle w:val="LI-Header"/>
            <w:pBdr>
              <w:bottom w:val="none" w:sz="0" w:space="0" w:color="auto"/>
            </w:pBdr>
            <w:jc w:val="left"/>
          </w:pPr>
        </w:p>
      </w:tc>
      <w:tc>
        <w:tcPr>
          <w:tcW w:w="4060" w:type="dxa"/>
          <w:shd w:val="clear" w:color="auto" w:fill="auto"/>
        </w:tcPr>
        <w:p w14:paraId="4DDBEF00" w14:textId="77777777" w:rsidR="00F4215A" w:rsidRDefault="00F4215A" w:rsidP="00F03BB5">
          <w:pPr>
            <w:pStyle w:val="LI-BodyTextNumbered"/>
          </w:pPr>
        </w:p>
      </w:tc>
    </w:tr>
  </w:tbl>
  <w:p w14:paraId="3461D779"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A2A97"/>
    <w:multiLevelType w:val="hybridMultilevel"/>
    <w:tmpl w:val="023AA3B2"/>
    <w:lvl w:ilvl="0" w:tplc="FFFFFFFF">
      <w:start w:val="1"/>
      <w:numFmt w:val="lowerLetter"/>
      <w:lvlText w:val="%1."/>
      <w:lvlJc w:val="left"/>
      <w:pPr>
        <w:ind w:left="1485" w:hanging="360"/>
      </w:pPr>
      <w:rPr>
        <w:rFonts w:hint="default"/>
      </w:r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3E629B"/>
    <w:multiLevelType w:val="hybridMultilevel"/>
    <w:tmpl w:val="959A9DF2"/>
    <w:lvl w:ilvl="0" w:tplc="FFFFFFFF">
      <w:start w:val="1"/>
      <w:numFmt w:val="decimal"/>
      <w:lvlText w:val="%1."/>
      <w:lvlJc w:val="left"/>
      <w:pPr>
        <w:ind w:left="930" w:hanging="57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74B5A08"/>
    <w:multiLevelType w:val="hybridMultilevel"/>
    <w:tmpl w:val="440CFC08"/>
    <w:lvl w:ilvl="0" w:tplc="31668E94">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7223902"/>
    <w:multiLevelType w:val="hybridMultilevel"/>
    <w:tmpl w:val="023AA3B2"/>
    <w:lvl w:ilvl="0" w:tplc="FFFFFFFF">
      <w:start w:val="1"/>
      <w:numFmt w:val="lowerLetter"/>
      <w:lvlText w:val="%1."/>
      <w:lvlJc w:val="left"/>
      <w:pPr>
        <w:ind w:left="1485" w:hanging="360"/>
      </w:pPr>
      <w:rPr>
        <w:rFonts w:hint="default"/>
      </w:r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17"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510CB6"/>
    <w:multiLevelType w:val="hybridMultilevel"/>
    <w:tmpl w:val="C68C99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C9C2FC4"/>
    <w:multiLevelType w:val="hybridMultilevel"/>
    <w:tmpl w:val="023AA3B2"/>
    <w:lvl w:ilvl="0" w:tplc="FFFFFFFF">
      <w:start w:val="1"/>
      <w:numFmt w:val="lowerLetter"/>
      <w:lvlText w:val="%1."/>
      <w:lvlJc w:val="left"/>
      <w:pPr>
        <w:ind w:left="1485" w:hanging="360"/>
      </w:pPr>
      <w:rPr>
        <w:rFonts w:hint="default"/>
      </w:r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20" w15:restartNumberingAfterBreak="0">
    <w:nsid w:val="4D370769"/>
    <w:multiLevelType w:val="hybridMultilevel"/>
    <w:tmpl w:val="FC5A8B20"/>
    <w:lvl w:ilvl="0" w:tplc="62DAAF98">
      <w:start w:val="1"/>
      <w:numFmt w:val="decimal"/>
      <w:lvlText w:val="%1."/>
      <w:lvlJc w:val="left"/>
      <w:pPr>
        <w:ind w:left="930" w:hanging="570"/>
      </w:pPr>
      <w:rPr>
        <w:rFonts w:eastAsia="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1073374"/>
    <w:multiLevelType w:val="hybridMultilevel"/>
    <w:tmpl w:val="959A9DF2"/>
    <w:lvl w:ilvl="0" w:tplc="FFFFFFFF">
      <w:start w:val="1"/>
      <w:numFmt w:val="decimal"/>
      <w:lvlText w:val="%1."/>
      <w:lvlJc w:val="left"/>
      <w:pPr>
        <w:ind w:left="930"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AA93E20"/>
    <w:multiLevelType w:val="hybridMultilevel"/>
    <w:tmpl w:val="023AA3B2"/>
    <w:lvl w:ilvl="0" w:tplc="CDCA36A6">
      <w:start w:val="1"/>
      <w:numFmt w:val="lowerLetter"/>
      <w:lvlText w:val="%1."/>
      <w:lvlJc w:val="left"/>
      <w:pPr>
        <w:ind w:left="1485" w:hanging="360"/>
      </w:pPr>
      <w:rPr>
        <w:rFonts w:hint="default"/>
      </w:rPr>
    </w:lvl>
    <w:lvl w:ilvl="1" w:tplc="0C090019" w:tentative="1">
      <w:start w:val="1"/>
      <w:numFmt w:val="lowerLetter"/>
      <w:lvlText w:val="%2."/>
      <w:lvlJc w:val="left"/>
      <w:pPr>
        <w:ind w:left="2205" w:hanging="360"/>
      </w:pPr>
    </w:lvl>
    <w:lvl w:ilvl="2" w:tplc="0C09001B" w:tentative="1">
      <w:start w:val="1"/>
      <w:numFmt w:val="lowerRoman"/>
      <w:lvlText w:val="%3."/>
      <w:lvlJc w:val="right"/>
      <w:pPr>
        <w:ind w:left="2925" w:hanging="180"/>
      </w:pPr>
    </w:lvl>
    <w:lvl w:ilvl="3" w:tplc="0C09000F" w:tentative="1">
      <w:start w:val="1"/>
      <w:numFmt w:val="decimal"/>
      <w:lvlText w:val="%4."/>
      <w:lvlJc w:val="left"/>
      <w:pPr>
        <w:ind w:left="3645" w:hanging="360"/>
      </w:pPr>
    </w:lvl>
    <w:lvl w:ilvl="4" w:tplc="0C090019" w:tentative="1">
      <w:start w:val="1"/>
      <w:numFmt w:val="lowerLetter"/>
      <w:lvlText w:val="%5."/>
      <w:lvlJc w:val="left"/>
      <w:pPr>
        <w:ind w:left="4365" w:hanging="360"/>
      </w:pPr>
    </w:lvl>
    <w:lvl w:ilvl="5" w:tplc="0C09001B" w:tentative="1">
      <w:start w:val="1"/>
      <w:numFmt w:val="lowerRoman"/>
      <w:lvlText w:val="%6."/>
      <w:lvlJc w:val="right"/>
      <w:pPr>
        <w:ind w:left="5085" w:hanging="180"/>
      </w:pPr>
    </w:lvl>
    <w:lvl w:ilvl="6" w:tplc="0C09000F" w:tentative="1">
      <w:start w:val="1"/>
      <w:numFmt w:val="decimal"/>
      <w:lvlText w:val="%7."/>
      <w:lvlJc w:val="left"/>
      <w:pPr>
        <w:ind w:left="5805" w:hanging="360"/>
      </w:pPr>
    </w:lvl>
    <w:lvl w:ilvl="7" w:tplc="0C090019" w:tentative="1">
      <w:start w:val="1"/>
      <w:numFmt w:val="lowerLetter"/>
      <w:lvlText w:val="%8."/>
      <w:lvlJc w:val="left"/>
      <w:pPr>
        <w:ind w:left="6525" w:hanging="360"/>
      </w:pPr>
    </w:lvl>
    <w:lvl w:ilvl="8" w:tplc="0C09001B" w:tentative="1">
      <w:start w:val="1"/>
      <w:numFmt w:val="lowerRoman"/>
      <w:lvlText w:val="%9."/>
      <w:lvlJc w:val="right"/>
      <w:pPr>
        <w:ind w:left="7245" w:hanging="180"/>
      </w:pPr>
    </w:lvl>
  </w:abstractNum>
  <w:abstractNum w:abstractNumId="23" w15:restartNumberingAfterBreak="0">
    <w:nsid w:val="6169FBB3"/>
    <w:multiLevelType w:val="hybridMultilevel"/>
    <w:tmpl w:val="70E22020"/>
    <w:lvl w:ilvl="0" w:tplc="F55EBA36">
      <w:start w:val="1"/>
      <w:numFmt w:val="decimal"/>
      <w:lvlText w:val="%1."/>
      <w:lvlJc w:val="left"/>
      <w:pPr>
        <w:ind w:left="720" w:hanging="360"/>
      </w:pPr>
    </w:lvl>
    <w:lvl w:ilvl="1" w:tplc="2ECCC186">
      <w:start w:val="1"/>
      <w:numFmt w:val="lowerLetter"/>
      <w:lvlText w:val="(%2)"/>
      <w:lvlJc w:val="left"/>
      <w:pPr>
        <w:ind w:left="1440" w:hanging="360"/>
      </w:pPr>
    </w:lvl>
    <w:lvl w:ilvl="2" w:tplc="E086120A">
      <w:start w:val="1"/>
      <w:numFmt w:val="lowerRoman"/>
      <w:lvlText w:val="%3."/>
      <w:lvlJc w:val="right"/>
      <w:pPr>
        <w:ind w:left="2160" w:hanging="180"/>
      </w:pPr>
    </w:lvl>
    <w:lvl w:ilvl="3" w:tplc="7BC003AA">
      <w:start w:val="1"/>
      <w:numFmt w:val="decimal"/>
      <w:lvlText w:val="%4."/>
      <w:lvlJc w:val="left"/>
      <w:pPr>
        <w:ind w:left="2880" w:hanging="360"/>
      </w:pPr>
    </w:lvl>
    <w:lvl w:ilvl="4" w:tplc="C84E0874">
      <w:start w:val="1"/>
      <w:numFmt w:val="lowerLetter"/>
      <w:lvlText w:val="%5."/>
      <w:lvlJc w:val="left"/>
      <w:pPr>
        <w:ind w:left="3600" w:hanging="360"/>
      </w:pPr>
    </w:lvl>
    <w:lvl w:ilvl="5" w:tplc="BE4ACCBA">
      <w:start w:val="1"/>
      <w:numFmt w:val="lowerRoman"/>
      <w:lvlText w:val="%6."/>
      <w:lvlJc w:val="right"/>
      <w:pPr>
        <w:ind w:left="4320" w:hanging="180"/>
      </w:pPr>
    </w:lvl>
    <w:lvl w:ilvl="6" w:tplc="AFD05B7A">
      <w:start w:val="1"/>
      <w:numFmt w:val="decimal"/>
      <w:lvlText w:val="%7."/>
      <w:lvlJc w:val="left"/>
      <w:pPr>
        <w:ind w:left="5040" w:hanging="360"/>
      </w:pPr>
    </w:lvl>
    <w:lvl w:ilvl="7" w:tplc="C74EB4CC">
      <w:start w:val="1"/>
      <w:numFmt w:val="lowerLetter"/>
      <w:lvlText w:val="%8."/>
      <w:lvlJc w:val="left"/>
      <w:pPr>
        <w:ind w:left="5760" w:hanging="360"/>
      </w:pPr>
    </w:lvl>
    <w:lvl w:ilvl="8" w:tplc="6FFEBC1C">
      <w:start w:val="1"/>
      <w:numFmt w:val="lowerRoman"/>
      <w:lvlText w:val="%9."/>
      <w:lvlJc w:val="right"/>
      <w:pPr>
        <w:ind w:left="6480" w:hanging="180"/>
      </w:pPr>
    </w:lvl>
  </w:abstractNum>
  <w:abstractNum w:abstractNumId="24" w15:restartNumberingAfterBreak="0">
    <w:nsid w:val="7A805B06"/>
    <w:multiLevelType w:val="multilevel"/>
    <w:tmpl w:val="82DA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1334689">
    <w:abstractNumId w:val="23"/>
  </w:num>
  <w:num w:numId="2" w16cid:durableId="1078333326">
    <w:abstractNumId w:val="9"/>
  </w:num>
  <w:num w:numId="3" w16cid:durableId="2135250335">
    <w:abstractNumId w:val="7"/>
  </w:num>
  <w:num w:numId="4" w16cid:durableId="110320518">
    <w:abstractNumId w:val="6"/>
  </w:num>
  <w:num w:numId="5" w16cid:durableId="1944607503">
    <w:abstractNumId w:val="5"/>
  </w:num>
  <w:num w:numId="6" w16cid:durableId="276569301">
    <w:abstractNumId w:val="4"/>
  </w:num>
  <w:num w:numId="7" w16cid:durableId="1094975908">
    <w:abstractNumId w:val="8"/>
  </w:num>
  <w:num w:numId="8" w16cid:durableId="460879679">
    <w:abstractNumId w:val="3"/>
  </w:num>
  <w:num w:numId="9" w16cid:durableId="271712825">
    <w:abstractNumId w:val="2"/>
  </w:num>
  <w:num w:numId="10" w16cid:durableId="1757434978">
    <w:abstractNumId w:val="1"/>
  </w:num>
  <w:num w:numId="11" w16cid:durableId="1825269239">
    <w:abstractNumId w:val="0"/>
  </w:num>
  <w:num w:numId="12" w16cid:durableId="1982492534">
    <w:abstractNumId w:val="15"/>
  </w:num>
  <w:num w:numId="13" w16cid:durableId="1477065051">
    <w:abstractNumId w:val="11"/>
  </w:num>
  <w:num w:numId="14" w16cid:durableId="384842814">
    <w:abstractNumId w:val="13"/>
  </w:num>
  <w:num w:numId="15" w16cid:durableId="1429541040">
    <w:abstractNumId w:val="17"/>
  </w:num>
  <w:num w:numId="16" w16cid:durableId="1494025691">
    <w:abstractNumId w:val="24"/>
  </w:num>
  <w:num w:numId="17" w16cid:durableId="1082723266">
    <w:abstractNumId w:val="18"/>
  </w:num>
  <w:num w:numId="18" w16cid:durableId="988708651">
    <w:abstractNumId w:val="22"/>
  </w:num>
  <w:num w:numId="19" w16cid:durableId="404689797">
    <w:abstractNumId w:val="14"/>
  </w:num>
  <w:num w:numId="20" w16cid:durableId="852302550">
    <w:abstractNumId w:val="16"/>
  </w:num>
  <w:num w:numId="21" w16cid:durableId="1358969862">
    <w:abstractNumId w:val="12"/>
  </w:num>
  <w:num w:numId="22" w16cid:durableId="323897220">
    <w:abstractNumId w:val="10"/>
  </w:num>
  <w:num w:numId="23" w16cid:durableId="1011564770">
    <w:abstractNumId w:val="19"/>
  </w:num>
  <w:num w:numId="24" w16cid:durableId="406731657">
    <w:abstractNumId w:val="20"/>
  </w:num>
  <w:num w:numId="25" w16cid:durableId="9231023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3EAC"/>
    <w:rsid w:val="00004470"/>
    <w:rsid w:val="00005446"/>
    <w:rsid w:val="000136AF"/>
    <w:rsid w:val="00013B8D"/>
    <w:rsid w:val="00015719"/>
    <w:rsid w:val="00023D53"/>
    <w:rsid w:val="000360D2"/>
    <w:rsid w:val="00043309"/>
    <w:rsid w:val="000435A6"/>
    <w:rsid w:val="000437C1"/>
    <w:rsid w:val="0005365D"/>
    <w:rsid w:val="000614BF"/>
    <w:rsid w:val="0006250C"/>
    <w:rsid w:val="00081794"/>
    <w:rsid w:val="00084FF4"/>
    <w:rsid w:val="000A142F"/>
    <w:rsid w:val="000A6C39"/>
    <w:rsid w:val="000A7927"/>
    <w:rsid w:val="000B58FA"/>
    <w:rsid w:val="000C55A0"/>
    <w:rsid w:val="000D041F"/>
    <w:rsid w:val="000D05EF"/>
    <w:rsid w:val="000E0FF9"/>
    <w:rsid w:val="000E2261"/>
    <w:rsid w:val="000E3C2E"/>
    <w:rsid w:val="000F21C1"/>
    <w:rsid w:val="000F2504"/>
    <w:rsid w:val="00102CA6"/>
    <w:rsid w:val="0010745C"/>
    <w:rsid w:val="00120D8E"/>
    <w:rsid w:val="00125141"/>
    <w:rsid w:val="00131018"/>
    <w:rsid w:val="00132CEB"/>
    <w:rsid w:val="001346DC"/>
    <w:rsid w:val="00135C19"/>
    <w:rsid w:val="00142B62"/>
    <w:rsid w:val="00150774"/>
    <w:rsid w:val="0015284C"/>
    <w:rsid w:val="00153B32"/>
    <w:rsid w:val="00157B8B"/>
    <w:rsid w:val="001624E1"/>
    <w:rsid w:val="00163519"/>
    <w:rsid w:val="00166C2F"/>
    <w:rsid w:val="00171A6E"/>
    <w:rsid w:val="001809D7"/>
    <w:rsid w:val="001834C5"/>
    <w:rsid w:val="001863C3"/>
    <w:rsid w:val="0018659E"/>
    <w:rsid w:val="001872DC"/>
    <w:rsid w:val="00191B20"/>
    <w:rsid w:val="001939E1"/>
    <w:rsid w:val="00194C3E"/>
    <w:rsid w:val="00195382"/>
    <w:rsid w:val="00195BD4"/>
    <w:rsid w:val="001B1621"/>
    <w:rsid w:val="001C61C5"/>
    <w:rsid w:val="001C61FA"/>
    <w:rsid w:val="001C69C4"/>
    <w:rsid w:val="001D37EF"/>
    <w:rsid w:val="001D644E"/>
    <w:rsid w:val="001E3590"/>
    <w:rsid w:val="001E45AC"/>
    <w:rsid w:val="001E6BB4"/>
    <w:rsid w:val="001E7407"/>
    <w:rsid w:val="001E77ED"/>
    <w:rsid w:val="001E7E2B"/>
    <w:rsid w:val="001F02B1"/>
    <w:rsid w:val="001F1BCA"/>
    <w:rsid w:val="001F5D5E"/>
    <w:rsid w:val="001F6219"/>
    <w:rsid w:val="001F6CD4"/>
    <w:rsid w:val="00202945"/>
    <w:rsid w:val="00206C4D"/>
    <w:rsid w:val="0021053C"/>
    <w:rsid w:val="00215AF1"/>
    <w:rsid w:val="0022087F"/>
    <w:rsid w:val="00220A36"/>
    <w:rsid w:val="00220CD1"/>
    <w:rsid w:val="00223DCF"/>
    <w:rsid w:val="00224159"/>
    <w:rsid w:val="002247CC"/>
    <w:rsid w:val="00224DFE"/>
    <w:rsid w:val="00230AF2"/>
    <w:rsid w:val="002321E8"/>
    <w:rsid w:val="00232C9B"/>
    <w:rsid w:val="00236EEC"/>
    <w:rsid w:val="0024010F"/>
    <w:rsid w:val="00240749"/>
    <w:rsid w:val="00243018"/>
    <w:rsid w:val="00243EC0"/>
    <w:rsid w:val="00244742"/>
    <w:rsid w:val="0024572B"/>
    <w:rsid w:val="002564A4"/>
    <w:rsid w:val="00261F05"/>
    <w:rsid w:val="0026736C"/>
    <w:rsid w:val="00281308"/>
    <w:rsid w:val="00281813"/>
    <w:rsid w:val="00284719"/>
    <w:rsid w:val="00297ECB"/>
    <w:rsid w:val="002A7328"/>
    <w:rsid w:val="002A7BCF"/>
    <w:rsid w:val="002B19F3"/>
    <w:rsid w:val="002B1A91"/>
    <w:rsid w:val="002B4A0D"/>
    <w:rsid w:val="002C7B6F"/>
    <w:rsid w:val="002D043A"/>
    <w:rsid w:val="002D0A9E"/>
    <w:rsid w:val="002D6224"/>
    <w:rsid w:val="002E2E66"/>
    <w:rsid w:val="002E3F4B"/>
    <w:rsid w:val="002F1464"/>
    <w:rsid w:val="00304F8B"/>
    <w:rsid w:val="00327DDF"/>
    <w:rsid w:val="003315B9"/>
    <w:rsid w:val="003354D2"/>
    <w:rsid w:val="00335BC6"/>
    <w:rsid w:val="003415D3"/>
    <w:rsid w:val="00344701"/>
    <w:rsid w:val="003528DA"/>
    <w:rsid w:val="00352B0F"/>
    <w:rsid w:val="00356690"/>
    <w:rsid w:val="00357DD0"/>
    <w:rsid w:val="00357E15"/>
    <w:rsid w:val="00360459"/>
    <w:rsid w:val="00365497"/>
    <w:rsid w:val="003755C7"/>
    <w:rsid w:val="00380799"/>
    <w:rsid w:val="00387A96"/>
    <w:rsid w:val="003A110F"/>
    <w:rsid w:val="003A2178"/>
    <w:rsid w:val="003A2A48"/>
    <w:rsid w:val="003A628B"/>
    <w:rsid w:val="003B0F93"/>
    <w:rsid w:val="003B28C3"/>
    <w:rsid w:val="003B3D10"/>
    <w:rsid w:val="003B732F"/>
    <w:rsid w:val="003C6231"/>
    <w:rsid w:val="003D0BFE"/>
    <w:rsid w:val="003D5700"/>
    <w:rsid w:val="003E0F99"/>
    <w:rsid w:val="003E341B"/>
    <w:rsid w:val="003E44BC"/>
    <w:rsid w:val="003F268C"/>
    <w:rsid w:val="003F3EFD"/>
    <w:rsid w:val="0040053F"/>
    <w:rsid w:val="00402902"/>
    <w:rsid w:val="004116CD"/>
    <w:rsid w:val="004144EC"/>
    <w:rsid w:val="004175B1"/>
    <w:rsid w:val="00417EB9"/>
    <w:rsid w:val="004237E7"/>
    <w:rsid w:val="00424CA9"/>
    <w:rsid w:val="00427314"/>
    <w:rsid w:val="00431E9B"/>
    <w:rsid w:val="00432487"/>
    <w:rsid w:val="00435EEF"/>
    <w:rsid w:val="004379E3"/>
    <w:rsid w:val="0044015E"/>
    <w:rsid w:val="0044291A"/>
    <w:rsid w:val="00444ABD"/>
    <w:rsid w:val="00445853"/>
    <w:rsid w:val="00447DB4"/>
    <w:rsid w:val="0045007F"/>
    <w:rsid w:val="00460F1D"/>
    <w:rsid w:val="00465DC1"/>
    <w:rsid w:val="00467661"/>
    <w:rsid w:val="004705B7"/>
    <w:rsid w:val="00472DBE"/>
    <w:rsid w:val="004749EA"/>
    <w:rsid w:val="00474A19"/>
    <w:rsid w:val="00474B52"/>
    <w:rsid w:val="00481C24"/>
    <w:rsid w:val="004823C0"/>
    <w:rsid w:val="0048276B"/>
    <w:rsid w:val="00495D4D"/>
    <w:rsid w:val="00496B5F"/>
    <w:rsid w:val="00496F97"/>
    <w:rsid w:val="004A44FC"/>
    <w:rsid w:val="004B5B44"/>
    <w:rsid w:val="004B7258"/>
    <w:rsid w:val="004C1CB1"/>
    <w:rsid w:val="004D603C"/>
    <w:rsid w:val="004D7E7F"/>
    <w:rsid w:val="004E063A"/>
    <w:rsid w:val="004E3852"/>
    <w:rsid w:val="004E69D8"/>
    <w:rsid w:val="004E7BEC"/>
    <w:rsid w:val="004F00A8"/>
    <w:rsid w:val="0050044F"/>
    <w:rsid w:val="00505B3B"/>
    <w:rsid w:val="00505D3D"/>
    <w:rsid w:val="00506AF6"/>
    <w:rsid w:val="00507335"/>
    <w:rsid w:val="00514584"/>
    <w:rsid w:val="00516B8D"/>
    <w:rsid w:val="00517E56"/>
    <w:rsid w:val="005313A0"/>
    <w:rsid w:val="00532049"/>
    <w:rsid w:val="005356A7"/>
    <w:rsid w:val="00536184"/>
    <w:rsid w:val="00537FBC"/>
    <w:rsid w:val="00553CFE"/>
    <w:rsid w:val="005574D1"/>
    <w:rsid w:val="005604BE"/>
    <w:rsid w:val="00560E6C"/>
    <w:rsid w:val="00561ABB"/>
    <w:rsid w:val="005656E8"/>
    <w:rsid w:val="005657FE"/>
    <w:rsid w:val="00572BB1"/>
    <w:rsid w:val="0057670F"/>
    <w:rsid w:val="00576E00"/>
    <w:rsid w:val="00582532"/>
    <w:rsid w:val="00584811"/>
    <w:rsid w:val="00585784"/>
    <w:rsid w:val="00593AA6"/>
    <w:rsid w:val="00594161"/>
    <w:rsid w:val="00594749"/>
    <w:rsid w:val="005B19B8"/>
    <w:rsid w:val="005B4067"/>
    <w:rsid w:val="005B780C"/>
    <w:rsid w:val="005C33FE"/>
    <w:rsid w:val="005C3F41"/>
    <w:rsid w:val="005D0489"/>
    <w:rsid w:val="005D1770"/>
    <w:rsid w:val="005D1FEA"/>
    <w:rsid w:val="005D2D09"/>
    <w:rsid w:val="005D3D41"/>
    <w:rsid w:val="005E4810"/>
    <w:rsid w:val="005E4912"/>
    <w:rsid w:val="005F1DB6"/>
    <w:rsid w:val="005F4140"/>
    <w:rsid w:val="005F65CD"/>
    <w:rsid w:val="00600219"/>
    <w:rsid w:val="00601955"/>
    <w:rsid w:val="00602946"/>
    <w:rsid w:val="00603DC4"/>
    <w:rsid w:val="00607A71"/>
    <w:rsid w:val="00610709"/>
    <w:rsid w:val="006117CB"/>
    <w:rsid w:val="00620076"/>
    <w:rsid w:val="00634044"/>
    <w:rsid w:val="00640161"/>
    <w:rsid w:val="00643D8D"/>
    <w:rsid w:val="00646E53"/>
    <w:rsid w:val="00652769"/>
    <w:rsid w:val="006538C0"/>
    <w:rsid w:val="0065542F"/>
    <w:rsid w:val="006554FF"/>
    <w:rsid w:val="006564B3"/>
    <w:rsid w:val="00664898"/>
    <w:rsid w:val="00665AB5"/>
    <w:rsid w:val="00670752"/>
    <w:rsid w:val="00670EA1"/>
    <w:rsid w:val="00672886"/>
    <w:rsid w:val="00677CC2"/>
    <w:rsid w:val="006905DE"/>
    <w:rsid w:val="0069207B"/>
    <w:rsid w:val="00693F29"/>
    <w:rsid w:val="00695D82"/>
    <w:rsid w:val="00696E86"/>
    <w:rsid w:val="006B1E8C"/>
    <w:rsid w:val="006B2DDC"/>
    <w:rsid w:val="006B43E8"/>
    <w:rsid w:val="006B5789"/>
    <w:rsid w:val="006C30C5"/>
    <w:rsid w:val="006C48FA"/>
    <w:rsid w:val="006C7F8C"/>
    <w:rsid w:val="006D16E5"/>
    <w:rsid w:val="006D6079"/>
    <w:rsid w:val="006E5320"/>
    <w:rsid w:val="006E6246"/>
    <w:rsid w:val="006F318F"/>
    <w:rsid w:val="006F4226"/>
    <w:rsid w:val="0070017E"/>
    <w:rsid w:val="00700B2C"/>
    <w:rsid w:val="007012F8"/>
    <w:rsid w:val="00702EFD"/>
    <w:rsid w:val="007050A2"/>
    <w:rsid w:val="00713084"/>
    <w:rsid w:val="0071399B"/>
    <w:rsid w:val="00714F20"/>
    <w:rsid w:val="0071590F"/>
    <w:rsid w:val="00715914"/>
    <w:rsid w:val="00720B0D"/>
    <w:rsid w:val="00723E73"/>
    <w:rsid w:val="00731E00"/>
    <w:rsid w:val="00740723"/>
    <w:rsid w:val="00741EE8"/>
    <w:rsid w:val="007440B7"/>
    <w:rsid w:val="007500C8"/>
    <w:rsid w:val="00752D0C"/>
    <w:rsid w:val="00756272"/>
    <w:rsid w:val="00765001"/>
    <w:rsid w:val="007662B5"/>
    <w:rsid w:val="0076681A"/>
    <w:rsid w:val="007715C9"/>
    <w:rsid w:val="00771613"/>
    <w:rsid w:val="00774EDD"/>
    <w:rsid w:val="0077506D"/>
    <w:rsid w:val="007757EC"/>
    <w:rsid w:val="00776F64"/>
    <w:rsid w:val="00783E89"/>
    <w:rsid w:val="007842CE"/>
    <w:rsid w:val="00785A9E"/>
    <w:rsid w:val="00793915"/>
    <w:rsid w:val="00794C08"/>
    <w:rsid w:val="007B1538"/>
    <w:rsid w:val="007B4223"/>
    <w:rsid w:val="007B4527"/>
    <w:rsid w:val="007B4C4F"/>
    <w:rsid w:val="007C19E9"/>
    <w:rsid w:val="007C2253"/>
    <w:rsid w:val="007C68C7"/>
    <w:rsid w:val="007D230B"/>
    <w:rsid w:val="007E163D"/>
    <w:rsid w:val="007E667A"/>
    <w:rsid w:val="007F28C9"/>
    <w:rsid w:val="007F3656"/>
    <w:rsid w:val="0080074F"/>
    <w:rsid w:val="0080312D"/>
    <w:rsid w:val="00803587"/>
    <w:rsid w:val="008117E9"/>
    <w:rsid w:val="00823FD0"/>
    <w:rsid w:val="00824498"/>
    <w:rsid w:val="008346A0"/>
    <w:rsid w:val="00835179"/>
    <w:rsid w:val="008356AC"/>
    <w:rsid w:val="00840442"/>
    <w:rsid w:val="00845004"/>
    <w:rsid w:val="00851702"/>
    <w:rsid w:val="008527C0"/>
    <w:rsid w:val="00855647"/>
    <w:rsid w:val="00856A31"/>
    <w:rsid w:val="00860B58"/>
    <w:rsid w:val="00863657"/>
    <w:rsid w:val="00867B37"/>
    <w:rsid w:val="008718DD"/>
    <w:rsid w:val="00871EFD"/>
    <w:rsid w:val="008754D0"/>
    <w:rsid w:val="008855C9"/>
    <w:rsid w:val="00886456"/>
    <w:rsid w:val="00891CB2"/>
    <w:rsid w:val="008945E0"/>
    <w:rsid w:val="0089527F"/>
    <w:rsid w:val="00897439"/>
    <w:rsid w:val="008A362B"/>
    <w:rsid w:val="008A46E1"/>
    <w:rsid w:val="008A4F43"/>
    <w:rsid w:val="008B2706"/>
    <w:rsid w:val="008C0F29"/>
    <w:rsid w:val="008D0EE0"/>
    <w:rsid w:val="008D3422"/>
    <w:rsid w:val="008D61FE"/>
    <w:rsid w:val="008E6067"/>
    <w:rsid w:val="008F54E7"/>
    <w:rsid w:val="009016BE"/>
    <w:rsid w:val="00903422"/>
    <w:rsid w:val="00912A58"/>
    <w:rsid w:val="009157B9"/>
    <w:rsid w:val="00915DF9"/>
    <w:rsid w:val="009236BA"/>
    <w:rsid w:val="00924489"/>
    <w:rsid w:val="009254C3"/>
    <w:rsid w:val="00926940"/>
    <w:rsid w:val="00927C11"/>
    <w:rsid w:val="00930A0A"/>
    <w:rsid w:val="00930FA6"/>
    <w:rsid w:val="00932377"/>
    <w:rsid w:val="009460DC"/>
    <w:rsid w:val="00946759"/>
    <w:rsid w:val="00947D5A"/>
    <w:rsid w:val="009532A5"/>
    <w:rsid w:val="00955175"/>
    <w:rsid w:val="0095528E"/>
    <w:rsid w:val="00957574"/>
    <w:rsid w:val="00964335"/>
    <w:rsid w:val="00967495"/>
    <w:rsid w:val="0096753E"/>
    <w:rsid w:val="0098120E"/>
    <w:rsid w:val="00982242"/>
    <w:rsid w:val="009868E9"/>
    <w:rsid w:val="009918C2"/>
    <w:rsid w:val="009944E6"/>
    <w:rsid w:val="00995CFD"/>
    <w:rsid w:val="009A2319"/>
    <w:rsid w:val="009A3A6F"/>
    <w:rsid w:val="009A3F74"/>
    <w:rsid w:val="009A49C9"/>
    <w:rsid w:val="009C2791"/>
    <w:rsid w:val="009D1818"/>
    <w:rsid w:val="009D195A"/>
    <w:rsid w:val="009D7993"/>
    <w:rsid w:val="009E5CFC"/>
    <w:rsid w:val="009E75A7"/>
    <w:rsid w:val="009F03CC"/>
    <w:rsid w:val="00A03AF1"/>
    <w:rsid w:val="00A05315"/>
    <w:rsid w:val="00A079CB"/>
    <w:rsid w:val="00A07D6B"/>
    <w:rsid w:val="00A10E0F"/>
    <w:rsid w:val="00A12128"/>
    <w:rsid w:val="00A12F48"/>
    <w:rsid w:val="00A14F6A"/>
    <w:rsid w:val="00A15512"/>
    <w:rsid w:val="00A22C98"/>
    <w:rsid w:val="00A231E2"/>
    <w:rsid w:val="00A23A63"/>
    <w:rsid w:val="00A32702"/>
    <w:rsid w:val="00A33D55"/>
    <w:rsid w:val="00A34412"/>
    <w:rsid w:val="00A376BC"/>
    <w:rsid w:val="00A40424"/>
    <w:rsid w:val="00A44C99"/>
    <w:rsid w:val="00A45A74"/>
    <w:rsid w:val="00A52B0F"/>
    <w:rsid w:val="00A559B3"/>
    <w:rsid w:val="00A5632E"/>
    <w:rsid w:val="00A62AF3"/>
    <w:rsid w:val="00A64912"/>
    <w:rsid w:val="00A70A74"/>
    <w:rsid w:val="00A72256"/>
    <w:rsid w:val="00A91966"/>
    <w:rsid w:val="00A92C14"/>
    <w:rsid w:val="00AA66AC"/>
    <w:rsid w:val="00AB1DE8"/>
    <w:rsid w:val="00AB69D9"/>
    <w:rsid w:val="00AC0886"/>
    <w:rsid w:val="00AC2AAD"/>
    <w:rsid w:val="00AC3769"/>
    <w:rsid w:val="00AC3FC3"/>
    <w:rsid w:val="00AD02B8"/>
    <w:rsid w:val="00AD1F73"/>
    <w:rsid w:val="00AD4949"/>
    <w:rsid w:val="00AD5315"/>
    <w:rsid w:val="00AD5641"/>
    <w:rsid w:val="00AD57D1"/>
    <w:rsid w:val="00AD7889"/>
    <w:rsid w:val="00AE1E6B"/>
    <w:rsid w:val="00AE787B"/>
    <w:rsid w:val="00AF021B"/>
    <w:rsid w:val="00AF06CF"/>
    <w:rsid w:val="00B01CBD"/>
    <w:rsid w:val="00B04305"/>
    <w:rsid w:val="00B07CDB"/>
    <w:rsid w:val="00B118EC"/>
    <w:rsid w:val="00B16A31"/>
    <w:rsid w:val="00B17DFD"/>
    <w:rsid w:val="00B2799D"/>
    <w:rsid w:val="00B308FE"/>
    <w:rsid w:val="00B32FB1"/>
    <w:rsid w:val="00B33709"/>
    <w:rsid w:val="00B33B3C"/>
    <w:rsid w:val="00B33BD1"/>
    <w:rsid w:val="00B436FB"/>
    <w:rsid w:val="00B50ADC"/>
    <w:rsid w:val="00B566B1"/>
    <w:rsid w:val="00B577C8"/>
    <w:rsid w:val="00B60D76"/>
    <w:rsid w:val="00B63834"/>
    <w:rsid w:val="00B702EE"/>
    <w:rsid w:val="00B70DAA"/>
    <w:rsid w:val="00B72734"/>
    <w:rsid w:val="00B80199"/>
    <w:rsid w:val="00B82D81"/>
    <w:rsid w:val="00B83204"/>
    <w:rsid w:val="00B84F35"/>
    <w:rsid w:val="00B85094"/>
    <w:rsid w:val="00B9126E"/>
    <w:rsid w:val="00B933ED"/>
    <w:rsid w:val="00B976E0"/>
    <w:rsid w:val="00BA220B"/>
    <w:rsid w:val="00BA3A57"/>
    <w:rsid w:val="00BB4DB6"/>
    <w:rsid w:val="00BB4E1A"/>
    <w:rsid w:val="00BB5C17"/>
    <w:rsid w:val="00BC015E"/>
    <w:rsid w:val="00BC10C4"/>
    <w:rsid w:val="00BC51C5"/>
    <w:rsid w:val="00BC5ECF"/>
    <w:rsid w:val="00BC7183"/>
    <w:rsid w:val="00BC76AC"/>
    <w:rsid w:val="00BD0D08"/>
    <w:rsid w:val="00BD0ECB"/>
    <w:rsid w:val="00BD672C"/>
    <w:rsid w:val="00BE12BE"/>
    <w:rsid w:val="00BE2155"/>
    <w:rsid w:val="00BE2213"/>
    <w:rsid w:val="00BE6EF9"/>
    <w:rsid w:val="00BE719A"/>
    <w:rsid w:val="00BE720A"/>
    <w:rsid w:val="00BF0D73"/>
    <w:rsid w:val="00BF2465"/>
    <w:rsid w:val="00BF75C9"/>
    <w:rsid w:val="00C0544A"/>
    <w:rsid w:val="00C06AC9"/>
    <w:rsid w:val="00C11452"/>
    <w:rsid w:val="00C13DA1"/>
    <w:rsid w:val="00C16DB5"/>
    <w:rsid w:val="00C17457"/>
    <w:rsid w:val="00C250FA"/>
    <w:rsid w:val="00C25E7F"/>
    <w:rsid w:val="00C2746F"/>
    <w:rsid w:val="00C324A0"/>
    <w:rsid w:val="00C3300F"/>
    <w:rsid w:val="00C34E77"/>
    <w:rsid w:val="00C35875"/>
    <w:rsid w:val="00C35DAF"/>
    <w:rsid w:val="00C4170B"/>
    <w:rsid w:val="00C42BF8"/>
    <w:rsid w:val="00C431B1"/>
    <w:rsid w:val="00C45171"/>
    <w:rsid w:val="00C47D01"/>
    <w:rsid w:val="00C50043"/>
    <w:rsid w:val="00C50B97"/>
    <w:rsid w:val="00C52E7C"/>
    <w:rsid w:val="00C561BF"/>
    <w:rsid w:val="00C56CFB"/>
    <w:rsid w:val="00C6434E"/>
    <w:rsid w:val="00C70CA8"/>
    <w:rsid w:val="00C74677"/>
    <w:rsid w:val="00C7573B"/>
    <w:rsid w:val="00C7761F"/>
    <w:rsid w:val="00C86B32"/>
    <w:rsid w:val="00C87050"/>
    <w:rsid w:val="00C93C03"/>
    <w:rsid w:val="00CA5DA2"/>
    <w:rsid w:val="00CA66DC"/>
    <w:rsid w:val="00CB193D"/>
    <w:rsid w:val="00CB212B"/>
    <w:rsid w:val="00CB2C8E"/>
    <w:rsid w:val="00CB2D96"/>
    <w:rsid w:val="00CB5333"/>
    <w:rsid w:val="00CB602E"/>
    <w:rsid w:val="00CC3AEC"/>
    <w:rsid w:val="00CC7889"/>
    <w:rsid w:val="00CD2E90"/>
    <w:rsid w:val="00CD3C38"/>
    <w:rsid w:val="00CE0149"/>
    <w:rsid w:val="00CE051D"/>
    <w:rsid w:val="00CE1335"/>
    <w:rsid w:val="00CE3D2A"/>
    <w:rsid w:val="00CE493D"/>
    <w:rsid w:val="00CE541A"/>
    <w:rsid w:val="00CE6D42"/>
    <w:rsid w:val="00CF07FA"/>
    <w:rsid w:val="00CF0BB2"/>
    <w:rsid w:val="00CF3EE8"/>
    <w:rsid w:val="00CF5313"/>
    <w:rsid w:val="00D03DB8"/>
    <w:rsid w:val="00D050E6"/>
    <w:rsid w:val="00D07AF5"/>
    <w:rsid w:val="00D11169"/>
    <w:rsid w:val="00D13441"/>
    <w:rsid w:val="00D138E9"/>
    <w:rsid w:val="00D150E7"/>
    <w:rsid w:val="00D20A4B"/>
    <w:rsid w:val="00D27D30"/>
    <w:rsid w:val="00D306F8"/>
    <w:rsid w:val="00D32F65"/>
    <w:rsid w:val="00D341C4"/>
    <w:rsid w:val="00D41A47"/>
    <w:rsid w:val="00D442A2"/>
    <w:rsid w:val="00D47EA5"/>
    <w:rsid w:val="00D52DC2"/>
    <w:rsid w:val="00D53BCC"/>
    <w:rsid w:val="00D648BB"/>
    <w:rsid w:val="00D702DE"/>
    <w:rsid w:val="00D70DFB"/>
    <w:rsid w:val="00D732EC"/>
    <w:rsid w:val="00D73C22"/>
    <w:rsid w:val="00D766DF"/>
    <w:rsid w:val="00D86C4D"/>
    <w:rsid w:val="00D87FA0"/>
    <w:rsid w:val="00DA186E"/>
    <w:rsid w:val="00DA4116"/>
    <w:rsid w:val="00DA426E"/>
    <w:rsid w:val="00DA681A"/>
    <w:rsid w:val="00DB2042"/>
    <w:rsid w:val="00DB251C"/>
    <w:rsid w:val="00DB38AD"/>
    <w:rsid w:val="00DB4630"/>
    <w:rsid w:val="00DB51FD"/>
    <w:rsid w:val="00DB60A1"/>
    <w:rsid w:val="00DC1135"/>
    <w:rsid w:val="00DC11CD"/>
    <w:rsid w:val="00DC4445"/>
    <w:rsid w:val="00DC4F88"/>
    <w:rsid w:val="00DD29DD"/>
    <w:rsid w:val="00DE0A85"/>
    <w:rsid w:val="00DE79F9"/>
    <w:rsid w:val="00E05704"/>
    <w:rsid w:val="00E06CC3"/>
    <w:rsid w:val="00E11E44"/>
    <w:rsid w:val="00E13AFA"/>
    <w:rsid w:val="00E2168B"/>
    <w:rsid w:val="00E21F03"/>
    <w:rsid w:val="00E338EF"/>
    <w:rsid w:val="00E348A2"/>
    <w:rsid w:val="00E40FF8"/>
    <w:rsid w:val="00E45F66"/>
    <w:rsid w:val="00E508B9"/>
    <w:rsid w:val="00E51040"/>
    <w:rsid w:val="00E544BB"/>
    <w:rsid w:val="00E578EC"/>
    <w:rsid w:val="00E60423"/>
    <w:rsid w:val="00E649D7"/>
    <w:rsid w:val="00E662CB"/>
    <w:rsid w:val="00E74DC7"/>
    <w:rsid w:val="00E8075A"/>
    <w:rsid w:val="00E818A6"/>
    <w:rsid w:val="00E85A91"/>
    <w:rsid w:val="00E87718"/>
    <w:rsid w:val="00E94D5E"/>
    <w:rsid w:val="00EA0BF6"/>
    <w:rsid w:val="00EA17A6"/>
    <w:rsid w:val="00EA7100"/>
    <w:rsid w:val="00EA7F9F"/>
    <w:rsid w:val="00EB0E70"/>
    <w:rsid w:val="00EB1274"/>
    <w:rsid w:val="00EB7DE2"/>
    <w:rsid w:val="00EC4757"/>
    <w:rsid w:val="00EC7EDB"/>
    <w:rsid w:val="00ED14FB"/>
    <w:rsid w:val="00ED2BB6"/>
    <w:rsid w:val="00ED34E1"/>
    <w:rsid w:val="00ED3B8D"/>
    <w:rsid w:val="00ED796D"/>
    <w:rsid w:val="00EE5111"/>
    <w:rsid w:val="00EF0B65"/>
    <w:rsid w:val="00EF15D3"/>
    <w:rsid w:val="00EF2E3A"/>
    <w:rsid w:val="00EF3DD2"/>
    <w:rsid w:val="00F02EF9"/>
    <w:rsid w:val="00F03BB5"/>
    <w:rsid w:val="00F047D8"/>
    <w:rsid w:val="00F072A7"/>
    <w:rsid w:val="00F078DC"/>
    <w:rsid w:val="00F12A3F"/>
    <w:rsid w:val="00F14593"/>
    <w:rsid w:val="00F171A1"/>
    <w:rsid w:val="00F32BA8"/>
    <w:rsid w:val="00F349F1"/>
    <w:rsid w:val="00F4215A"/>
    <w:rsid w:val="00F4350D"/>
    <w:rsid w:val="00F45C97"/>
    <w:rsid w:val="00F46947"/>
    <w:rsid w:val="00F50532"/>
    <w:rsid w:val="00F52CA6"/>
    <w:rsid w:val="00F52CD0"/>
    <w:rsid w:val="00F567F7"/>
    <w:rsid w:val="00F60405"/>
    <w:rsid w:val="00F61A66"/>
    <w:rsid w:val="00F61B09"/>
    <w:rsid w:val="00F62036"/>
    <w:rsid w:val="00F65B52"/>
    <w:rsid w:val="00F67BCA"/>
    <w:rsid w:val="00F719B9"/>
    <w:rsid w:val="00F722DB"/>
    <w:rsid w:val="00F72E86"/>
    <w:rsid w:val="00F73BD6"/>
    <w:rsid w:val="00F800C9"/>
    <w:rsid w:val="00F82EA1"/>
    <w:rsid w:val="00F83989"/>
    <w:rsid w:val="00F85099"/>
    <w:rsid w:val="00F87E83"/>
    <w:rsid w:val="00F91BEC"/>
    <w:rsid w:val="00F9379C"/>
    <w:rsid w:val="00F9632C"/>
    <w:rsid w:val="00FA13A8"/>
    <w:rsid w:val="00FA1E52"/>
    <w:rsid w:val="00FA31DE"/>
    <w:rsid w:val="00FA7D17"/>
    <w:rsid w:val="00FB34A3"/>
    <w:rsid w:val="00FB7475"/>
    <w:rsid w:val="00FC3EB8"/>
    <w:rsid w:val="00FC5EB2"/>
    <w:rsid w:val="00FC7D25"/>
    <w:rsid w:val="00FD13CC"/>
    <w:rsid w:val="00FD2E53"/>
    <w:rsid w:val="00FD634C"/>
    <w:rsid w:val="00FE2FB8"/>
    <w:rsid w:val="00FE4688"/>
    <w:rsid w:val="00FE47BD"/>
    <w:rsid w:val="00FE72D6"/>
    <w:rsid w:val="00FE79CA"/>
    <w:rsid w:val="00FE79D0"/>
    <w:rsid w:val="00FF3858"/>
    <w:rsid w:val="010710F9"/>
    <w:rsid w:val="01233DF1"/>
    <w:rsid w:val="012E0734"/>
    <w:rsid w:val="022E4123"/>
    <w:rsid w:val="02619EC1"/>
    <w:rsid w:val="03568099"/>
    <w:rsid w:val="0361F857"/>
    <w:rsid w:val="053FDC21"/>
    <w:rsid w:val="056A1E5D"/>
    <w:rsid w:val="0613B9E0"/>
    <w:rsid w:val="06145FA7"/>
    <w:rsid w:val="0664D2A1"/>
    <w:rsid w:val="07637DED"/>
    <w:rsid w:val="07E18621"/>
    <w:rsid w:val="087A20B5"/>
    <w:rsid w:val="0880B5B4"/>
    <w:rsid w:val="08BD97A1"/>
    <w:rsid w:val="09F7DAC0"/>
    <w:rsid w:val="0A4DFA54"/>
    <w:rsid w:val="0BECEFAC"/>
    <w:rsid w:val="0C196A1F"/>
    <w:rsid w:val="0C945FD0"/>
    <w:rsid w:val="0CC6140D"/>
    <w:rsid w:val="0CFAB48F"/>
    <w:rsid w:val="0D0EA5FB"/>
    <w:rsid w:val="0D35E178"/>
    <w:rsid w:val="0D5283DE"/>
    <w:rsid w:val="0D65DE2B"/>
    <w:rsid w:val="0DAFD36A"/>
    <w:rsid w:val="0DE91E5A"/>
    <w:rsid w:val="0E2B8096"/>
    <w:rsid w:val="0F224CC7"/>
    <w:rsid w:val="10CBD321"/>
    <w:rsid w:val="1120395E"/>
    <w:rsid w:val="11863D8F"/>
    <w:rsid w:val="11A67EE8"/>
    <w:rsid w:val="12123FEC"/>
    <w:rsid w:val="1247A62B"/>
    <w:rsid w:val="12C869D1"/>
    <w:rsid w:val="1410B1BF"/>
    <w:rsid w:val="14C49CE7"/>
    <w:rsid w:val="14FA766F"/>
    <w:rsid w:val="1541204C"/>
    <w:rsid w:val="154A74B5"/>
    <w:rsid w:val="16B0E9BF"/>
    <w:rsid w:val="17A3BB73"/>
    <w:rsid w:val="17D98A92"/>
    <w:rsid w:val="17FC3DA9"/>
    <w:rsid w:val="18284532"/>
    <w:rsid w:val="1859B125"/>
    <w:rsid w:val="186C47AA"/>
    <w:rsid w:val="18AF35B5"/>
    <w:rsid w:val="18C822B6"/>
    <w:rsid w:val="19CB4755"/>
    <w:rsid w:val="1A0763B5"/>
    <w:rsid w:val="1A29A978"/>
    <w:rsid w:val="1A2F793F"/>
    <w:rsid w:val="1A473EB5"/>
    <w:rsid w:val="1A7634B2"/>
    <w:rsid w:val="1B6B4C5C"/>
    <w:rsid w:val="1B8B9A60"/>
    <w:rsid w:val="1BE1F9AD"/>
    <w:rsid w:val="1CB8BB7F"/>
    <w:rsid w:val="1DCC5A69"/>
    <w:rsid w:val="1F65E009"/>
    <w:rsid w:val="1F763ACC"/>
    <w:rsid w:val="1F7BF6A1"/>
    <w:rsid w:val="1FB182BB"/>
    <w:rsid w:val="1FE6E6CA"/>
    <w:rsid w:val="20191B35"/>
    <w:rsid w:val="20521667"/>
    <w:rsid w:val="20BF3EF3"/>
    <w:rsid w:val="20C2F3F2"/>
    <w:rsid w:val="21641F44"/>
    <w:rsid w:val="21826706"/>
    <w:rsid w:val="21F3CB4D"/>
    <w:rsid w:val="223339CD"/>
    <w:rsid w:val="25260BAC"/>
    <w:rsid w:val="25FD8ADB"/>
    <w:rsid w:val="26006571"/>
    <w:rsid w:val="2636F6F8"/>
    <w:rsid w:val="263966FC"/>
    <w:rsid w:val="2671787F"/>
    <w:rsid w:val="26E80A02"/>
    <w:rsid w:val="27199E02"/>
    <w:rsid w:val="27817824"/>
    <w:rsid w:val="27A28FEC"/>
    <w:rsid w:val="28803942"/>
    <w:rsid w:val="28D1421C"/>
    <w:rsid w:val="28EFF6C7"/>
    <w:rsid w:val="290A7139"/>
    <w:rsid w:val="29114582"/>
    <w:rsid w:val="297A9081"/>
    <w:rsid w:val="29C67000"/>
    <w:rsid w:val="29EA3F1E"/>
    <w:rsid w:val="2A164B32"/>
    <w:rsid w:val="2AC7008F"/>
    <w:rsid w:val="2AEEB5CA"/>
    <w:rsid w:val="2BB7DA04"/>
    <w:rsid w:val="2BC398F6"/>
    <w:rsid w:val="2BE2B518"/>
    <w:rsid w:val="2C5AD7A9"/>
    <w:rsid w:val="2C636C9C"/>
    <w:rsid w:val="2CD80EE3"/>
    <w:rsid w:val="2CE889E8"/>
    <w:rsid w:val="2CEB88E0"/>
    <w:rsid w:val="2CFEC0C5"/>
    <w:rsid w:val="2D041609"/>
    <w:rsid w:val="2D8CA5B1"/>
    <w:rsid w:val="2E1364DC"/>
    <w:rsid w:val="2E680860"/>
    <w:rsid w:val="2F096AC9"/>
    <w:rsid w:val="2F0F45F3"/>
    <w:rsid w:val="2F9320D3"/>
    <w:rsid w:val="2FA3B372"/>
    <w:rsid w:val="2FFC6616"/>
    <w:rsid w:val="302B12C1"/>
    <w:rsid w:val="31DBABAC"/>
    <w:rsid w:val="3276880D"/>
    <w:rsid w:val="3298730F"/>
    <w:rsid w:val="334C959B"/>
    <w:rsid w:val="3355C949"/>
    <w:rsid w:val="33AB3C9A"/>
    <w:rsid w:val="341BCC39"/>
    <w:rsid w:val="3465B0BB"/>
    <w:rsid w:val="34738926"/>
    <w:rsid w:val="356EF00C"/>
    <w:rsid w:val="35DC8812"/>
    <w:rsid w:val="361E76C1"/>
    <w:rsid w:val="3647E75F"/>
    <w:rsid w:val="3656C18B"/>
    <w:rsid w:val="366C65BA"/>
    <w:rsid w:val="36895422"/>
    <w:rsid w:val="36B6DBF8"/>
    <w:rsid w:val="36EE8BA1"/>
    <w:rsid w:val="37530746"/>
    <w:rsid w:val="375DE784"/>
    <w:rsid w:val="37675257"/>
    <w:rsid w:val="37798006"/>
    <w:rsid w:val="379C09E3"/>
    <w:rsid w:val="37A9DC9B"/>
    <w:rsid w:val="388510B9"/>
    <w:rsid w:val="38A3FDA9"/>
    <w:rsid w:val="38C0C000"/>
    <w:rsid w:val="39060975"/>
    <w:rsid w:val="395F8D50"/>
    <w:rsid w:val="39881BFE"/>
    <w:rsid w:val="39CAE358"/>
    <w:rsid w:val="39F5D193"/>
    <w:rsid w:val="3A88BD2F"/>
    <w:rsid w:val="3AB8B752"/>
    <w:rsid w:val="3AD8BF87"/>
    <w:rsid w:val="3B2A71A9"/>
    <w:rsid w:val="3B373B59"/>
    <w:rsid w:val="3C36411C"/>
    <w:rsid w:val="3C645DAC"/>
    <w:rsid w:val="3C748FE8"/>
    <w:rsid w:val="3CF46E7C"/>
    <w:rsid w:val="3D1CD215"/>
    <w:rsid w:val="3D248B06"/>
    <w:rsid w:val="3D83AEEE"/>
    <w:rsid w:val="3DD92C3F"/>
    <w:rsid w:val="3F3D6A25"/>
    <w:rsid w:val="3F63B636"/>
    <w:rsid w:val="3F9D9660"/>
    <w:rsid w:val="3FAFD14A"/>
    <w:rsid w:val="4045C4D2"/>
    <w:rsid w:val="4064C7D2"/>
    <w:rsid w:val="413D89C6"/>
    <w:rsid w:val="4188E774"/>
    <w:rsid w:val="418B8EBF"/>
    <w:rsid w:val="41B13EA8"/>
    <w:rsid w:val="422B3950"/>
    <w:rsid w:val="44266324"/>
    <w:rsid w:val="44D8AD15"/>
    <w:rsid w:val="45C02FB2"/>
    <w:rsid w:val="46403E6D"/>
    <w:rsid w:val="46D2C259"/>
    <w:rsid w:val="46FF759E"/>
    <w:rsid w:val="4711533A"/>
    <w:rsid w:val="471F05E6"/>
    <w:rsid w:val="4802BE04"/>
    <w:rsid w:val="483DEE92"/>
    <w:rsid w:val="48635557"/>
    <w:rsid w:val="486583DE"/>
    <w:rsid w:val="48E05D63"/>
    <w:rsid w:val="49AFBFE1"/>
    <w:rsid w:val="49D061CE"/>
    <w:rsid w:val="49E8A21E"/>
    <w:rsid w:val="49FBF886"/>
    <w:rsid w:val="4A128378"/>
    <w:rsid w:val="4A32109B"/>
    <w:rsid w:val="4A725DCD"/>
    <w:rsid w:val="4A851598"/>
    <w:rsid w:val="4A968FC7"/>
    <w:rsid w:val="4BF0119D"/>
    <w:rsid w:val="4BF9D723"/>
    <w:rsid w:val="4CB9131F"/>
    <w:rsid w:val="4D7E76A5"/>
    <w:rsid w:val="4DAE0502"/>
    <w:rsid w:val="4ED33757"/>
    <w:rsid w:val="4F1CE1B0"/>
    <w:rsid w:val="4F774A4A"/>
    <w:rsid w:val="500C663F"/>
    <w:rsid w:val="5019963C"/>
    <w:rsid w:val="504F87FB"/>
    <w:rsid w:val="50B61767"/>
    <w:rsid w:val="5165C376"/>
    <w:rsid w:val="518D60C3"/>
    <w:rsid w:val="519A1AD7"/>
    <w:rsid w:val="51D4C910"/>
    <w:rsid w:val="523A5667"/>
    <w:rsid w:val="5251E7C8"/>
    <w:rsid w:val="525AE120"/>
    <w:rsid w:val="529B0895"/>
    <w:rsid w:val="5300A2DE"/>
    <w:rsid w:val="536FC6C8"/>
    <w:rsid w:val="53DFC173"/>
    <w:rsid w:val="54221663"/>
    <w:rsid w:val="544BB5F4"/>
    <w:rsid w:val="549AFF46"/>
    <w:rsid w:val="55508E26"/>
    <w:rsid w:val="55CDEDB5"/>
    <w:rsid w:val="5604B09D"/>
    <w:rsid w:val="567D01EE"/>
    <w:rsid w:val="568B0698"/>
    <w:rsid w:val="57133410"/>
    <w:rsid w:val="576B7EA5"/>
    <w:rsid w:val="57BC2B82"/>
    <w:rsid w:val="57DFB132"/>
    <w:rsid w:val="586ACE00"/>
    <w:rsid w:val="587BD4F5"/>
    <w:rsid w:val="58FD8DC0"/>
    <w:rsid w:val="5950431C"/>
    <w:rsid w:val="597C6613"/>
    <w:rsid w:val="5A9D8DB6"/>
    <w:rsid w:val="5AC6A6DD"/>
    <w:rsid w:val="5B1C6A35"/>
    <w:rsid w:val="5B2C759D"/>
    <w:rsid w:val="5B8398A7"/>
    <w:rsid w:val="5C1144C6"/>
    <w:rsid w:val="5C4F745E"/>
    <w:rsid w:val="5C53F3AC"/>
    <w:rsid w:val="5C57C9ED"/>
    <w:rsid w:val="5D5E01DB"/>
    <w:rsid w:val="5DAB613A"/>
    <w:rsid w:val="5E94AAA3"/>
    <w:rsid w:val="5F06CAEB"/>
    <w:rsid w:val="5F0C8DDC"/>
    <w:rsid w:val="5FF6D846"/>
    <w:rsid w:val="609788CA"/>
    <w:rsid w:val="60C6CF1A"/>
    <w:rsid w:val="60E4C3F9"/>
    <w:rsid w:val="610CB27C"/>
    <w:rsid w:val="6140A06A"/>
    <w:rsid w:val="617360D0"/>
    <w:rsid w:val="61C5A5B5"/>
    <w:rsid w:val="61FED798"/>
    <w:rsid w:val="62984AF8"/>
    <w:rsid w:val="633F88C3"/>
    <w:rsid w:val="63A18C9B"/>
    <w:rsid w:val="63A4C9D3"/>
    <w:rsid w:val="63C53BB7"/>
    <w:rsid w:val="63CC1ED1"/>
    <w:rsid w:val="640A69A6"/>
    <w:rsid w:val="641FD505"/>
    <w:rsid w:val="6466B186"/>
    <w:rsid w:val="647E9ACB"/>
    <w:rsid w:val="64AA241E"/>
    <w:rsid w:val="64C1EB9F"/>
    <w:rsid w:val="64CF4CC0"/>
    <w:rsid w:val="650E04E6"/>
    <w:rsid w:val="65A92226"/>
    <w:rsid w:val="65BE9752"/>
    <w:rsid w:val="6683E609"/>
    <w:rsid w:val="66F36A72"/>
    <w:rsid w:val="67238A21"/>
    <w:rsid w:val="6778A8B1"/>
    <w:rsid w:val="67A3999B"/>
    <w:rsid w:val="68096663"/>
    <w:rsid w:val="69699B5B"/>
    <w:rsid w:val="69962AA9"/>
    <w:rsid w:val="6A30BDB3"/>
    <w:rsid w:val="6A7D999D"/>
    <w:rsid w:val="6AA83B7A"/>
    <w:rsid w:val="6B26493B"/>
    <w:rsid w:val="6B511F69"/>
    <w:rsid w:val="6B53DF2B"/>
    <w:rsid w:val="6B559B1B"/>
    <w:rsid w:val="6B73FE18"/>
    <w:rsid w:val="6BA9C47C"/>
    <w:rsid w:val="6BAABB51"/>
    <w:rsid w:val="6BB6705D"/>
    <w:rsid w:val="6BBE3CE3"/>
    <w:rsid w:val="6BFDB301"/>
    <w:rsid w:val="6D468BB2"/>
    <w:rsid w:val="6D7F2B3F"/>
    <w:rsid w:val="6E062DE6"/>
    <w:rsid w:val="6E9663EA"/>
    <w:rsid w:val="6EF3C939"/>
    <w:rsid w:val="6F04D2BC"/>
    <w:rsid w:val="6FF51FA2"/>
    <w:rsid w:val="6FF66482"/>
    <w:rsid w:val="70B04300"/>
    <w:rsid w:val="715E7D7D"/>
    <w:rsid w:val="7175A1E3"/>
    <w:rsid w:val="71E01A9A"/>
    <w:rsid w:val="726F57FB"/>
    <w:rsid w:val="739E75AB"/>
    <w:rsid w:val="74C8DEA9"/>
    <w:rsid w:val="751FECA3"/>
    <w:rsid w:val="759CC3B1"/>
    <w:rsid w:val="75A5BF85"/>
    <w:rsid w:val="75CB118D"/>
    <w:rsid w:val="75F41C5A"/>
    <w:rsid w:val="7676B528"/>
    <w:rsid w:val="76F5B41F"/>
    <w:rsid w:val="77EF23AC"/>
    <w:rsid w:val="7825B3B1"/>
    <w:rsid w:val="7825F509"/>
    <w:rsid w:val="78B03BBB"/>
    <w:rsid w:val="78B315A8"/>
    <w:rsid w:val="78B45A61"/>
    <w:rsid w:val="78CFFBB0"/>
    <w:rsid w:val="78D5EE5F"/>
    <w:rsid w:val="7967281A"/>
    <w:rsid w:val="7AD8F0CA"/>
    <w:rsid w:val="7B94D451"/>
    <w:rsid w:val="7C4832F0"/>
    <w:rsid w:val="7D020A42"/>
    <w:rsid w:val="7D278209"/>
    <w:rsid w:val="7D81163D"/>
    <w:rsid w:val="7DA96BB8"/>
    <w:rsid w:val="7DB7C648"/>
    <w:rsid w:val="7DC8B049"/>
    <w:rsid w:val="7DF2043A"/>
    <w:rsid w:val="7F2C7A33"/>
    <w:rsid w:val="7F458695"/>
    <w:rsid w:val="7F4CC31D"/>
    <w:rsid w:val="7F6B8DCD"/>
    <w:rsid w:val="7FD5D2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AD96A"/>
  <w15:chartTrackingRefBased/>
  <w15:docId w15:val="{F357C218-29E0-4113-A127-A7E5E3AC8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val="en-AU"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lang w:val="en-AU" w:eastAsia="en-AU"/>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2"/>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lang w:val="en-AU" w:eastAsia="en-AU"/>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lang w:eastAsia="en-AU"/>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val="en-AU"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val="en-AU"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val="en-AU"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paragraph" w:customStyle="1" w:styleId="paragraph">
    <w:name w:val="paragraph"/>
    <w:basedOn w:val="Normal"/>
    <w:rsid w:val="006538C0"/>
    <w:pPr>
      <w:spacing w:before="100" w:beforeAutospacing="1" w:after="100" w:afterAutospacing="1" w:line="240" w:lineRule="auto"/>
    </w:pPr>
    <w:rPr>
      <w:rFonts w:eastAsia="Times New Roman"/>
      <w:sz w:val="24"/>
      <w:szCs w:val="24"/>
      <w:lang w:eastAsia="en-AU"/>
    </w:rPr>
  </w:style>
  <w:style w:type="character" w:customStyle="1" w:styleId="LI-SectionsubsubparaAChar">
    <w:name w:val="LI - Section subsubpara (A) Char"/>
    <w:link w:val="LI-SectionsubsubparaA"/>
    <w:rsid w:val="006554FF"/>
    <w:rPr>
      <w:rFonts w:eastAsia="Times New Roman"/>
      <w:sz w:val="24"/>
      <w:szCs w:val="24"/>
    </w:rPr>
  </w:style>
  <w:style w:type="character" w:customStyle="1" w:styleId="normaltextrun">
    <w:name w:val="normaltextrun"/>
    <w:basedOn w:val="DefaultParagraphFont"/>
    <w:rsid w:val="006538C0"/>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eop">
    <w:name w:val="eop"/>
    <w:basedOn w:val="DefaultParagraphFont"/>
    <w:rsid w:val="006538C0"/>
  </w:style>
  <w:style w:type="character" w:customStyle="1" w:styleId="LI-SubtitleChar">
    <w:name w:val="LI - Subtitle Char"/>
    <w:link w:val="LI-Subtitle"/>
    <w:rsid w:val="00243EC0"/>
    <w:rPr>
      <w:b/>
      <w:sz w:val="28"/>
      <w:szCs w:val="28"/>
    </w:rPr>
  </w:style>
  <w:style w:type="paragraph" w:styleId="Revision">
    <w:name w:val="Revision"/>
    <w:hidden/>
    <w:uiPriority w:val="99"/>
    <w:semiHidden/>
    <w:rsid w:val="00C56CFB"/>
    <w:rPr>
      <w:sz w:val="22"/>
      <w:lang w:val="en-AU" w:eastAsia="en-US"/>
    </w:rPr>
  </w:style>
  <w:style w:type="paragraph" w:styleId="ListParagraph">
    <w:name w:val="List Paragraph"/>
    <w:basedOn w:val="Normal"/>
    <w:uiPriority w:val="34"/>
    <w:qFormat/>
    <w:rsid w:val="004B7258"/>
    <w:pPr>
      <w:ind w:left="720"/>
      <w:contextualSpacing/>
    </w:pPr>
  </w:style>
  <w:style w:type="character" w:styleId="FollowedHyperlink">
    <w:name w:val="FollowedHyperlink"/>
    <w:basedOn w:val="DefaultParagraphFont"/>
    <w:uiPriority w:val="99"/>
    <w:semiHidden/>
    <w:unhideWhenUsed/>
    <w:rsid w:val="00C746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21449">
      <w:bodyDiv w:val="1"/>
      <w:marLeft w:val="0"/>
      <w:marRight w:val="0"/>
      <w:marTop w:val="0"/>
      <w:marBottom w:val="0"/>
      <w:divBdr>
        <w:top w:val="none" w:sz="0" w:space="0" w:color="auto"/>
        <w:left w:val="none" w:sz="0" w:space="0" w:color="auto"/>
        <w:bottom w:val="none" w:sz="0" w:space="0" w:color="auto"/>
        <w:right w:val="none" w:sz="0" w:space="0" w:color="auto"/>
      </w:divBdr>
      <w:divsChild>
        <w:div w:id="566649956">
          <w:marLeft w:val="0"/>
          <w:marRight w:val="0"/>
          <w:marTop w:val="0"/>
          <w:marBottom w:val="0"/>
          <w:divBdr>
            <w:top w:val="none" w:sz="0" w:space="0" w:color="auto"/>
            <w:left w:val="none" w:sz="0" w:space="0" w:color="auto"/>
            <w:bottom w:val="none" w:sz="0" w:space="0" w:color="auto"/>
            <w:right w:val="none" w:sz="0" w:space="0" w:color="auto"/>
          </w:divBdr>
        </w:div>
        <w:div w:id="688916569">
          <w:marLeft w:val="0"/>
          <w:marRight w:val="0"/>
          <w:marTop w:val="0"/>
          <w:marBottom w:val="0"/>
          <w:divBdr>
            <w:top w:val="none" w:sz="0" w:space="0" w:color="auto"/>
            <w:left w:val="none" w:sz="0" w:space="0" w:color="auto"/>
            <w:bottom w:val="none" w:sz="0" w:space="0" w:color="auto"/>
            <w:right w:val="none" w:sz="0" w:space="0" w:color="auto"/>
          </w:divBdr>
        </w:div>
        <w:div w:id="1394162926">
          <w:marLeft w:val="0"/>
          <w:marRight w:val="0"/>
          <w:marTop w:val="0"/>
          <w:marBottom w:val="0"/>
          <w:divBdr>
            <w:top w:val="none" w:sz="0" w:space="0" w:color="auto"/>
            <w:left w:val="none" w:sz="0" w:space="0" w:color="auto"/>
            <w:bottom w:val="none" w:sz="0" w:space="0" w:color="auto"/>
            <w:right w:val="none" w:sz="0" w:space="0" w:color="auto"/>
          </w:divBdr>
        </w:div>
        <w:div w:id="1510486621">
          <w:marLeft w:val="0"/>
          <w:marRight w:val="0"/>
          <w:marTop w:val="0"/>
          <w:marBottom w:val="0"/>
          <w:divBdr>
            <w:top w:val="none" w:sz="0" w:space="0" w:color="auto"/>
            <w:left w:val="none" w:sz="0" w:space="0" w:color="auto"/>
            <w:bottom w:val="none" w:sz="0" w:space="0" w:color="auto"/>
            <w:right w:val="none" w:sz="0" w:space="0" w:color="auto"/>
          </w:divBdr>
        </w:div>
        <w:div w:id="1776515117">
          <w:marLeft w:val="0"/>
          <w:marRight w:val="0"/>
          <w:marTop w:val="0"/>
          <w:marBottom w:val="0"/>
          <w:divBdr>
            <w:top w:val="none" w:sz="0" w:space="0" w:color="auto"/>
            <w:left w:val="none" w:sz="0" w:space="0" w:color="auto"/>
            <w:bottom w:val="none" w:sz="0" w:space="0" w:color="auto"/>
            <w:right w:val="none" w:sz="0" w:space="0" w:color="auto"/>
          </w:divBdr>
        </w:div>
      </w:divsChild>
    </w:div>
    <w:div w:id="139809757">
      <w:bodyDiv w:val="1"/>
      <w:marLeft w:val="0"/>
      <w:marRight w:val="0"/>
      <w:marTop w:val="0"/>
      <w:marBottom w:val="0"/>
      <w:divBdr>
        <w:top w:val="none" w:sz="0" w:space="0" w:color="auto"/>
        <w:left w:val="none" w:sz="0" w:space="0" w:color="auto"/>
        <w:bottom w:val="none" w:sz="0" w:space="0" w:color="auto"/>
        <w:right w:val="none" w:sz="0" w:space="0" w:color="auto"/>
      </w:divBdr>
      <w:divsChild>
        <w:div w:id="30768584">
          <w:marLeft w:val="0"/>
          <w:marRight w:val="0"/>
          <w:marTop w:val="0"/>
          <w:marBottom w:val="0"/>
          <w:divBdr>
            <w:top w:val="none" w:sz="0" w:space="0" w:color="auto"/>
            <w:left w:val="none" w:sz="0" w:space="0" w:color="auto"/>
            <w:bottom w:val="none" w:sz="0" w:space="0" w:color="auto"/>
            <w:right w:val="none" w:sz="0" w:space="0" w:color="auto"/>
          </w:divBdr>
        </w:div>
        <w:div w:id="40178582">
          <w:marLeft w:val="0"/>
          <w:marRight w:val="0"/>
          <w:marTop w:val="0"/>
          <w:marBottom w:val="0"/>
          <w:divBdr>
            <w:top w:val="none" w:sz="0" w:space="0" w:color="auto"/>
            <w:left w:val="none" w:sz="0" w:space="0" w:color="auto"/>
            <w:bottom w:val="none" w:sz="0" w:space="0" w:color="auto"/>
            <w:right w:val="none" w:sz="0" w:space="0" w:color="auto"/>
          </w:divBdr>
        </w:div>
        <w:div w:id="71854890">
          <w:marLeft w:val="0"/>
          <w:marRight w:val="0"/>
          <w:marTop w:val="0"/>
          <w:marBottom w:val="0"/>
          <w:divBdr>
            <w:top w:val="none" w:sz="0" w:space="0" w:color="auto"/>
            <w:left w:val="none" w:sz="0" w:space="0" w:color="auto"/>
            <w:bottom w:val="none" w:sz="0" w:space="0" w:color="auto"/>
            <w:right w:val="none" w:sz="0" w:space="0" w:color="auto"/>
          </w:divBdr>
        </w:div>
        <w:div w:id="218712468">
          <w:marLeft w:val="0"/>
          <w:marRight w:val="0"/>
          <w:marTop w:val="0"/>
          <w:marBottom w:val="0"/>
          <w:divBdr>
            <w:top w:val="none" w:sz="0" w:space="0" w:color="auto"/>
            <w:left w:val="none" w:sz="0" w:space="0" w:color="auto"/>
            <w:bottom w:val="none" w:sz="0" w:space="0" w:color="auto"/>
            <w:right w:val="none" w:sz="0" w:space="0" w:color="auto"/>
          </w:divBdr>
        </w:div>
        <w:div w:id="227806063">
          <w:marLeft w:val="0"/>
          <w:marRight w:val="0"/>
          <w:marTop w:val="0"/>
          <w:marBottom w:val="0"/>
          <w:divBdr>
            <w:top w:val="none" w:sz="0" w:space="0" w:color="auto"/>
            <w:left w:val="none" w:sz="0" w:space="0" w:color="auto"/>
            <w:bottom w:val="none" w:sz="0" w:space="0" w:color="auto"/>
            <w:right w:val="none" w:sz="0" w:space="0" w:color="auto"/>
          </w:divBdr>
        </w:div>
        <w:div w:id="266086198">
          <w:marLeft w:val="0"/>
          <w:marRight w:val="0"/>
          <w:marTop w:val="0"/>
          <w:marBottom w:val="0"/>
          <w:divBdr>
            <w:top w:val="none" w:sz="0" w:space="0" w:color="auto"/>
            <w:left w:val="none" w:sz="0" w:space="0" w:color="auto"/>
            <w:bottom w:val="none" w:sz="0" w:space="0" w:color="auto"/>
            <w:right w:val="none" w:sz="0" w:space="0" w:color="auto"/>
          </w:divBdr>
        </w:div>
        <w:div w:id="294256735">
          <w:marLeft w:val="0"/>
          <w:marRight w:val="0"/>
          <w:marTop w:val="0"/>
          <w:marBottom w:val="0"/>
          <w:divBdr>
            <w:top w:val="none" w:sz="0" w:space="0" w:color="auto"/>
            <w:left w:val="none" w:sz="0" w:space="0" w:color="auto"/>
            <w:bottom w:val="none" w:sz="0" w:space="0" w:color="auto"/>
            <w:right w:val="none" w:sz="0" w:space="0" w:color="auto"/>
          </w:divBdr>
        </w:div>
        <w:div w:id="309288008">
          <w:marLeft w:val="0"/>
          <w:marRight w:val="0"/>
          <w:marTop w:val="0"/>
          <w:marBottom w:val="0"/>
          <w:divBdr>
            <w:top w:val="none" w:sz="0" w:space="0" w:color="auto"/>
            <w:left w:val="none" w:sz="0" w:space="0" w:color="auto"/>
            <w:bottom w:val="none" w:sz="0" w:space="0" w:color="auto"/>
            <w:right w:val="none" w:sz="0" w:space="0" w:color="auto"/>
          </w:divBdr>
        </w:div>
        <w:div w:id="332414220">
          <w:marLeft w:val="0"/>
          <w:marRight w:val="0"/>
          <w:marTop w:val="0"/>
          <w:marBottom w:val="0"/>
          <w:divBdr>
            <w:top w:val="none" w:sz="0" w:space="0" w:color="auto"/>
            <w:left w:val="none" w:sz="0" w:space="0" w:color="auto"/>
            <w:bottom w:val="none" w:sz="0" w:space="0" w:color="auto"/>
            <w:right w:val="none" w:sz="0" w:space="0" w:color="auto"/>
          </w:divBdr>
        </w:div>
        <w:div w:id="387192156">
          <w:marLeft w:val="0"/>
          <w:marRight w:val="0"/>
          <w:marTop w:val="0"/>
          <w:marBottom w:val="0"/>
          <w:divBdr>
            <w:top w:val="none" w:sz="0" w:space="0" w:color="auto"/>
            <w:left w:val="none" w:sz="0" w:space="0" w:color="auto"/>
            <w:bottom w:val="none" w:sz="0" w:space="0" w:color="auto"/>
            <w:right w:val="none" w:sz="0" w:space="0" w:color="auto"/>
          </w:divBdr>
        </w:div>
        <w:div w:id="457604035">
          <w:marLeft w:val="0"/>
          <w:marRight w:val="0"/>
          <w:marTop w:val="0"/>
          <w:marBottom w:val="0"/>
          <w:divBdr>
            <w:top w:val="none" w:sz="0" w:space="0" w:color="auto"/>
            <w:left w:val="none" w:sz="0" w:space="0" w:color="auto"/>
            <w:bottom w:val="none" w:sz="0" w:space="0" w:color="auto"/>
            <w:right w:val="none" w:sz="0" w:space="0" w:color="auto"/>
          </w:divBdr>
        </w:div>
        <w:div w:id="464854703">
          <w:marLeft w:val="0"/>
          <w:marRight w:val="0"/>
          <w:marTop w:val="0"/>
          <w:marBottom w:val="0"/>
          <w:divBdr>
            <w:top w:val="none" w:sz="0" w:space="0" w:color="auto"/>
            <w:left w:val="none" w:sz="0" w:space="0" w:color="auto"/>
            <w:bottom w:val="none" w:sz="0" w:space="0" w:color="auto"/>
            <w:right w:val="none" w:sz="0" w:space="0" w:color="auto"/>
          </w:divBdr>
        </w:div>
        <w:div w:id="496191632">
          <w:marLeft w:val="0"/>
          <w:marRight w:val="0"/>
          <w:marTop w:val="0"/>
          <w:marBottom w:val="0"/>
          <w:divBdr>
            <w:top w:val="none" w:sz="0" w:space="0" w:color="auto"/>
            <w:left w:val="none" w:sz="0" w:space="0" w:color="auto"/>
            <w:bottom w:val="none" w:sz="0" w:space="0" w:color="auto"/>
            <w:right w:val="none" w:sz="0" w:space="0" w:color="auto"/>
          </w:divBdr>
        </w:div>
        <w:div w:id="503085322">
          <w:marLeft w:val="0"/>
          <w:marRight w:val="0"/>
          <w:marTop w:val="0"/>
          <w:marBottom w:val="0"/>
          <w:divBdr>
            <w:top w:val="none" w:sz="0" w:space="0" w:color="auto"/>
            <w:left w:val="none" w:sz="0" w:space="0" w:color="auto"/>
            <w:bottom w:val="none" w:sz="0" w:space="0" w:color="auto"/>
            <w:right w:val="none" w:sz="0" w:space="0" w:color="auto"/>
          </w:divBdr>
        </w:div>
        <w:div w:id="543174387">
          <w:marLeft w:val="0"/>
          <w:marRight w:val="0"/>
          <w:marTop w:val="0"/>
          <w:marBottom w:val="0"/>
          <w:divBdr>
            <w:top w:val="none" w:sz="0" w:space="0" w:color="auto"/>
            <w:left w:val="none" w:sz="0" w:space="0" w:color="auto"/>
            <w:bottom w:val="none" w:sz="0" w:space="0" w:color="auto"/>
            <w:right w:val="none" w:sz="0" w:space="0" w:color="auto"/>
          </w:divBdr>
        </w:div>
        <w:div w:id="543836198">
          <w:marLeft w:val="0"/>
          <w:marRight w:val="0"/>
          <w:marTop w:val="0"/>
          <w:marBottom w:val="0"/>
          <w:divBdr>
            <w:top w:val="none" w:sz="0" w:space="0" w:color="auto"/>
            <w:left w:val="none" w:sz="0" w:space="0" w:color="auto"/>
            <w:bottom w:val="none" w:sz="0" w:space="0" w:color="auto"/>
            <w:right w:val="none" w:sz="0" w:space="0" w:color="auto"/>
          </w:divBdr>
        </w:div>
        <w:div w:id="570770106">
          <w:marLeft w:val="0"/>
          <w:marRight w:val="0"/>
          <w:marTop w:val="0"/>
          <w:marBottom w:val="0"/>
          <w:divBdr>
            <w:top w:val="none" w:sz="0" w:space="0" w:color="auto"/>
            <w:left w:val="none" w:sz="0" w:space="0" w:color="auto"/>
            <w:bottom w:val="none" w:sz="0" w:space="0" w:color="auto"/>
            <w:right w:val="none" w:sz="0" w:space="0" w:color="auto"/>
          </w:divBdr>
          <w:divsChild>
            <w:div w:id="334573896">
              <w:marLeft w:val="0"/>
              <w:marRight w:val="0"/>
              <w:marTop w:val="0"/>
              <w:marBottom w:val="0"/>
              <w:divBdr>
                <w:top w:val="none" w:sz="0" w:space="0" w:color="auto"/>
                <w:left w:val="none" w:sz="0" w:space="0" w:color="auto"/>
                <w:bottom w:val="none" w:sz="0" w:space="0" w:color="auto"/>
                <w:right w:val="none" w:sz="0" w:space="0" w:color="auto"/>
              </w:divBdr>
            </w:div>
            <w:div w:id="704066740">
              <w:marLeft w:val="0"/>
              <w:marRight w:val="0"/>
              <w:marTop w:val="0"/>
              <w:marBottom w:val="0"/>
              <w:divBdr>
                <w:top w:val="none" w:sz="0" w:space="0" w:color="auto"/>
                <w:left w:val="none" w:sz="0" w:space="0" w:color="auto"/>
                <w:bottom w:val="none" w:sz="0" w:space="0" w:color="auto"/>
                <w:right w:val="none" w:sz="0" w:space="0" w:color="auto"/>
              </w:divBdr>
            </w:div>
            <w:div w:id="789784457">
              <w:marLeft w:val="0"/>
              <w:marRight w:val="0"/>
              <w:marTop w:val="0"/>
              <w:marBottom w:val="0"/>
              <w:divBdr>
                <w:top w:val="none" w:sz="0" w:space="0" w:color="auto"/>
                <w:left w:val="none" w:sz="0" w:space="0" w:color="auto"/>
                <w:bottom w:val="none" w:sz="0" w:space="0" w:color="auto"/>
                <w:right w:val="none" w:sz="0" w:space="0" w:color="auto"/>
              </w:divBdr>
            </w:div>
            <w:div w:id="1097600605">
              <w:marLeft w:val="0"/>
              <w:marRight w:val="0"/>
              <w:marTop w:val="0"/>
              <w:marBottom w:val="0"/>
              <w:divBdr>
                <w:top w:val="none" w:sz="0" w:space="0" w:color="auto"/>
                <w:left w:val="none" w:sz="0" w:space="0" w:color="auto"/>
                <w:bottom w:val="none" w:sz="0" w:space="0" w:color="auto"/>
                <w:right w:val="none" w:sz="0" w:space="0" w:color="auto"/>
              </w:divBdr>
            </w:div>
            <w:div w:id="1657877375">
              <w:marLeft w:val="0"/>
              <w:marRight w:val="0"/>
              <w:marTop w:val="0"/>
              <w:marBottom w:val="0"/>
              <w:divBdr>
                <w:top w:val="none" w:sz="0" w:space="0" w:color="auto"/>
                <w:left w:val="none" w:sz="0" w:space="0" w:color="auto"/>
                <w:bottom w:val="none" w:sz="0" w:space="0" w:color="auto"/>
                <w:right w:val="none" w:sz="0" w:space="0" w:color="auto"/>
              </w:divBdr>
            </w:div>
          </w:divsChild>
        </w:div>
        <w:div w:id="630093017">
          <w:marLeft w:val="0"/>
          <w:marRight w:val="0"/>
          <w:marTop w:val="0"/>
          <w:marBottom w:val="0"/>
          <w:divBdr>
            <w:top w:val="none" w:sz="0" w:space="0" w:color="auto"/>
            <w:left w:val="none" w:sz="0" w:space="0" w:color="auto"/>
            <w:bottom w:val="none" w:sz="0" w:space="0" w:color="auto"/>
            <w:right w:val="none" w:sz="0" w:space="0" w:color="auto"/>
          </w:divBdr>
        </w:div>
        <w:div w:id="650449001">
          <w:marLeft w:val="0"/>
          <w:marRight w:val="0"/>
          <w:marTop w:val="0"/>
          <w:marBottom w:val="0"/>
          <w:divBdr>
            <w:top w:val="none" w:sz="0" w:space="0" w:color="auto"/>
            <w:left w:val="none" w:sz="0" w:space="0" w:color="auto"/>
            <w:bottom w:val="none" w:sz="0" w:space="0" w:color="auto"/>
            <w:right w:val="none" w:sz="0" w:space="0" w:color="auto"/>
          </w:divBdr>
        </w:div>
        <w:div w:id="669873093">
          <w:marLeft w:val="0"/>
          <w:marRight w:val="0"/>
          <w:marTop w:val="0"/>
          <w:marBottom w:val="0"/>
          <w:divBdr>
            <w:top w:val="none" w:sz="0" w:space="0" w:color="auto"/>
            <w:left w:val="none" w:sz="0" w:space="0" w:color="auto"/>
            <w:bottom w:val="none" w:sz="0" w:space="0" w:color="auto"/>
            <w:right w:val="none" w:sz="0" w:space="0" w:color="auto"/>
          </w:divBdr>
        </w:div>
        <w:div w:id="672878358">
          <w:marLeft w:val="0"/>
          <w:marRight w:val="0"/>
          <w:marTop w:val="0"/>
          <w:marBottom w:val="0"/>
          <w:divBdr>
            <w:top w:val="none" w:sz="0" w:space="0" w:color="auto"/>
            <w:left w:val="none" w:sz="0" w:space="0" w:color="auto"/>
            <w:bottom w:val="none" w:sz="0" w:space="0" w:color="auto"/>
            <w:right w:val="none" w:sz="0" w:space="0" w:color="auto"/>
          </w:divBdr>
        </w:div>
        <w:div w:id="735979259">
          <w:marLeft w:val="0"/>
          <w:marRight w:val="0"/>
          <w:marTop w:val="0"/>
          <w:marBottom w:val="0"/>
          <w:divBdr>
            <w:top w:val="none" w:sz="0" w:space="0" w:color="auto"/>
            <w:left w:val="none" w:sz="0" w:space="0" w:color="auto"/>
            <w:bottom w:val="none" w:sz="0" w:space="0" w:color="auto"/>
            <w:right w:val="none" w:sz="0" w:space="0" w:color="auto"/>
          </w:divBdr>
        </w:div>
        <w:div w:id="757556203">
          <w:marLeft w:val="0"/>
          <w:marRight w:val="0"/>
          <w:marTop w:val="0"/>
          <w:marBottom w:val="0"/>
          <w:divBdr>
            <w:top w:val="none" w:sz="0" w:space="0" w:color="auto"/>
            <w:left w:val="none" w:sz="0" w:space="0" w:color="auto"/>
            <w:bottom w:val="none" w:sz="0" w:space="0" w:color="auto"/>
            <w:right w:val="none" w:sz="0" w:space="0" w:color="auto"/>
          </w:divBdr>
        </w:div>
        <w:div w:id="799616049">
          <w:marLeft w:val="0"/>
          <w:marRight w:val="0"/>
          <w:marTop w:val="0"/>
          <w:marBottom w:val="0"/>
          <w:divBdr>
            <w:top w:val="none" w:sz="0" w:space="0" w:color="auto"/>
            <w:left w:val="none" w:sz="0" w:space="0" w:color="auto"/>
            <w:bottom w:val="none" w:sz="0" w:space="0" w:color="auto"/>
            <w:right w:val="none" w:sz="0" w:space="0" w:color="auto"/>
          </w:divBdr>
        </w:div>
        <w:div w:id="822234848">
          <w:marLeft w:val="0"/>
          <w:marRight w:val="0"/>
          <w:marTop w:val="0"/>
          <w:marBottom w:val="0"/>
          <w:divBdr>
            <w:top w:val="none" w:sz="0" w:space="0" w:color="auto"/>
            <w:left w:val="none" w:sz="0" w:space="0" w:color="auto"/>
            <w:bottom w:val="none" w:sz="0" w:space="0" w:color="auto"/>
            <w:right w:val="none" w:sz="0" w:space="0" w:color="auto"/>
          </w:divBdr>
        </w:div>
        <w:div w:id="965624405">
          <w:marLeft w:val="0"/>
          <w:marRight w:val="0"/>
          <w:marTop w:val="0"/>
          <w:marBottom w:val="0"/>
          <w:divBdr>
            <w:top w:val="none" w:sz="0" w:space="0" w:color="auto"/>
            <w:left w:val="none" w:sz="0" w:space="0" w:color="auto"/>
            <w:bottom w:val="none" w:sz="0" w:space="0" w:color="auto"/>
            <w:right w:val="none" w:sz="0" w:space="0" w:color="auto"/>
          </w:divBdr>
        </w:div>
        <w:div w:id="1128353829">
          <w:marLeft w:val="0"/>
          <w:marRight w:val="0"/>
          <w:marTop w:val="0"/>
          <w:marBottom w:val="0"/>
          <w:divBdr>
            <w:top w:val="none" w:sz="0" w:space="0" w:color="auto"/>
            <w:left w:val="none" w:sz="0" w:space="0" w:color="auto"/>
            <w:bottom w:val="none" w:sz="0" w:space="0" w:color="auto"/>
            <w:right w:val="none" w:sz="0" w:space="0" w:color="auto"/>
          </w:divBdr>
        </w:div>
        <w:div w:id="1182357157">
          <w:marLeft w:val="0"/>
          <w:marRight w:val="0"/>
          <w:marTop w:val="0"/>
          <w:marBottom w:val="0"/>
          <w:divBdr>
            <w:top w:val="none" w:sz="0" w:space="0" w:color="auto"/>
            <w:left w:val="none" w:sz="0" w:space="0" w:color="auto"/>
            <w:bottom w:val="none" w:sz="0" w:space="0" w:color="auto"/>
            <w:right w:val="none" w:sz="0" w:space="0" w:color="auto"/>
          </w:divBdr>
        </w:div>
        <w:div w:id="1217820958">
          <w:marLeft w:val="0"/>
          <w:marRight w:val="0"/>
          <w:marTop w:val="0"/>
          <w:marBottom w:val="0"/>
          <w:divBdr>
            <w:top w:val="none" w:sz="0" w:space="0" w:color="auto"/>
            <w:left w:val="none" w:sz="0" w:space="0" w:color="auto"/>
            <w:bottom w:val="none" w:sz="0" w:space="0" w:color="auto"/>
            <w:right w:val="none" w:sz="0" w:space="0" w:color="auto"/>
          </w:divBdr>
        </w:div>
        <w:div w:id="1261986207">
          <w:marLeft w:val="0"/>
          <w:marRight w:val="0"/>
          <w:marTop w:val="0"/>
          <w:marBottom w:val="0"/>
          <w:divBdr>
            <w:top w:val="none" w:sz="0" w:space="0" w:color="auto"/>
            <w:left w:val="none" w:sz="0" w:space="0" w:color="auto"/>
            <w:bottom w:val="none" w:sz="0" w:space="0" w:color="auto"/>
            <w:right w:val="none" w:sz="0" w:space="0" w:color="auto"/>
          </w:divBdr>
        </w:div>
        <w:div w:id="1266504141">
          <w:marLeft w:val="0"/>
          <w:marRight w:val="0"/>
          <w:marTop w:val="0"/>
          <w:marBottom w:val="0"/>
          <w:divBdr>
            <w:top w:val="none" w:sz="0" w:space="0" w:color="auto"/>
            <w:left w:val="none" w:sz="0" w:space="0" w:color="auto"/>
            <w:bottom w:val="none" w:sz="0" w:space="0" w:color="auto"/>
            <w:right w:val="none" w:sz="0" w:space="0" w:color="auto"/>
          </w:divBdr>
        </w:div>
        <w:div w:id="1292516976">
          <w:marLeft w:val="0"/>
          <w:marRight w:val="0"/>
          <w:marTop w:val="0"/>
          <w:marBottom w:val="0"/>
          <w:divBdr>
            <w:top w:val="none" w:sz="0" w:space="0" w:color="auto"/>
            <w:left w:val="none" w:sz="0" w:space="0" w:color="auto"/>
            <w:bottom w:val="none" w:sz="0" w:space="0" w:color="auto"/>
            <w:right w:val="none" w:sz="0" w:space="0" w:color="auto"/>
          </w:divBdr>
        </w:div>
        <w:div w:id="1302081676">
          <w:marLeft w:val="0"/>
          <w:marRight w:val="0"/>
          <w:marTop w:val="0"/>
          <w:marBottom w:val="0"/>
          <w:divBdr>
            <w:top w:val="none" w:sz="0" w:space="0" w:color="auto"/>
            <w:left w:val="none" w:sz="0" w:space="0" w:color="auto"/>
            <w:bottom w:val="none" w:sz="0" w:space="0" w:color="auto"/>
            <w:right w:val="none" w:sz="0" w:space="0" w:color="auto"/>
          </w:divBdr>
        </w:div>
        <w:div w:id="1369530019">
          <w:marLeft w:val="0"/>
          <w:marRight w:val="0"/>
          <w:marTop w:val="0"/>
          <w:marBottom w:val="0"/>
          <w:divBdr>
            <w:top w:val="none" w:sz="0" w:space="0" w:color="auto"/>
            <w:left w:val="none" w:sz="0" w:space="0" w:color="auto"/>
            <w:bottom w:val="none" w:sz="0" w:space="0" w:color="auto"/>
            <w:right w:val="none" w:sz="0" w:space="0" w:color="auto"/>
          </w:divBdr>
        </w:div>
        <w:div w:id="1379285883">
          <w:marLeft w:val="0"/>
          <w:marRight w:val="0"/>
          <w:marTop w:val="0"/>
          <w:marBottom w:val="0"/>
          <w:divBdr>
            <w:top w:val="none" w:sz="0" w:space="0" w:color="auto"/>
            <w:left w:val="none" w:sz="0" w:space="0" w:color="auto"/>
            <w:bottom w:val="none" w:sz="0" w:space="0" w:color="auto"/>
            <w:right w:val="none" w:sz="0" w:space="0" w:color="auto"/>
          </w:divBdr>
        </w:div>
        <w:div w:id="1383360524">
          <w:marLeft w:val="0"/>
          <w:marRight w:val="0"/>
          <w:marTop w:val="0"/>
          <w:marBottom w:val="0"/>
          <w:divBdr>
            <w:top w:val="none" w:sz="0" w:space="0" w:color="auto"/>
            <w:left w:val="none" w:sz="0" w:space="0" w:color="auto"/>
            <w:bottom w:val="none" w:sz="0" w:space="0" w:color="auto"/>
            <w:right w:val="none" w:sz="0" w:space="0" w:color="auto"/>
          </w:divBdr>
        </w:div>
        <w:div w:id="1387989513">
          <w:marLeft w:val="0"/>
          <w:marRight w:val="0"/>
          <w:marTop w:val="0"/>
          <w:marBottom w:val="0"/>
          <w:divBdr>
            <w:top w:val="none" w:sz="0" w:space="0" w:color="auto"/>
            <w:left w:val="none" w:sz="0" w:space="0" w:color="auto"/>
            <w:bottom w:val="none" w:sz="0" w:space="0" w:color="auto"/>
            <w:right w:val="none" w:sz="0" w:space="0" w:color="auto"/>
          </w:divBdr>
        </w:div>
        <w:div w:id="1468620068">
          <w:marLeft w:val="0"/>
          <w:marRight w:val="0"/>
          <w:marTop w:val="0"/>
          <w:marBottom w:val="0"/>
          <w:divBdr>
            <w:top w:val="none" w:sz="0" w:space="0" w:color="auto"/>
            <w:left w:val="none" w:sz="0" w:space="0" w:color="auto"/>
            <w:bottom w:val="none" w:sz="0" w:space="0" w:color="auto"/>
            <w:right w:val="none" w:sz="0" w:space="0" w:color="auto"/>
          </w:divBdr>
        </w:div>
        <w:div w:id="1509296951">
          <w:marLeft w:val="0"/>
          <w:marRight w:val="0"/>
          <w:marTop w:val="0"/>
          <w:marBottom w:val="0"/>
          <w:divBdr>
            <w:top w:val="none" w:sz="0" w:space="0" w:color="auto"/>
            <w:left w:val="none" w:sz="0" w:space="0" w:color="auto"/>
            <w:bottom w:val="none" w:sz="0" w:space="0" w:color="auto"/>
            <w:right w:val="none" w:sz="0" w:space="0" w:color="auto"/>
          </w:divBdr>
        </w:div>
        <w:div w:id="1569530679">
          <w:marLeft w:val="0"/>
          <w:marRight w:val="0"/>
          <w:marTop w:val="0"/>
          <w:marBottom w:val="0"/>
          <w:divBdr>
            <w:top w:val="none" w:sz="0" w:space="0" w:color="auto"/>
            <w:left w:val="none" w:sz="0" w:space="0" w:color="auto"/>
            <w:bottom w:val="none" w:sz="0" w:space="0" w:color="auto"/>
            <w:right w:val="none" w:sz="0" w:space="0" w:color="auto"/>
          </w:divBdr>
        </w:div>
        <w:div w:id="1636713060">
          <w:marLeft w:val="0"/>
          <w:marRight w:val="0"/>
          <w:marTop w:val="0"/>
          <w:marBottom w:val="0"/>
          <w:divBdr>
            <w:top w:val="none" w:sz="0" w:space="0" w:color="auto"/>
            <w:left w:val="none" w:sz="0" w:space="0" w:color="auto"/>
            <w:bottom w:val="none" w:sz="0" w:space="0" w:color="auto"/>
            <w:right w:val="none" w:sz="0" w:space="0" w:color="auto"/>
          </w:divBdr>
        </w:div>
        <w:div w:id="1647128741">
          <w:marLeft w:val="0"/>
          <w:marRight w:val="0"/>
          <w:marTop w:val="0"/>
          <w:marBottom w:val="0"/>
          <w:divBdr>
            <w:top w:val="none" w:sz="0" w:space="0" w:color="auto"/>
            <w:left w:val="none" w:sz="0" w:space="0" w:color="auto"/>
            <w:bottom w:val="none" w:sz="0" w:space="0" w:color="auto"/>
            <w:right w:val="none" w:sz="0" w:space="0" w:color="auto"/>
          </w:divBdr>
        </w:div>
        <w:div w:id="1657874870">
          <w:marLeft w:val="0"/>
          <w:marRight w:val="0"/>
          <w:marTop w:val="0"/>
          <w:marBottom w:val="0"/>
          <w:divBdr>
            <w:top w:val="none" w:sz="0" w:space="0" w:color="auto"/>
            <w:left w:val="none" w:sz="0" w:space="0" w:color="auto"/>
            <w:bottom w:val="none" w:sz="0" w:space="0" w:color="auto"/>
            <w:right w:val="none" w:sz="0" w:space="0" w:color="auto"/>
          </w:divBdr>
        </w:div>
        <w:div w:id="1856265463">
          <w:marLeft w:val="0"/>
          <w:marRight w:val="0"/>
          <w:marTop w:val="0"/>
          <w:marBottom w:val="0"/>
          <w:divBdr>
            <w:top w:val="none" w:sz="0" w:space="0" w:color="auto"/>
            <w:left w:val="none" w:sz="0" w:space="0" w:color="auto"/>
            <w:bottom w:val="none" w:sz="0" w:space="0" w:color="auto"/>
            <w:right w:val="none" w:sz="0" w:space="0" w:color="auto"/>
          </w:divBdr>
        </w:div>
        <w:div w:id="1913002938">
          <w:marLeft w:val="0"/>
          <w:marRight w:val="0"/>
          <w:marTop w:val="0"/>
          <w:marBottom w:val="0"/>
          <w:divBdr>
            <w:top w:val="none" w:sz="0" w:space="0" w:color="auto"/>
            <w:left w:val="none" w:sz="0" w:space="0" w:color="auto"/>
            <w:bottom w:val="none" w:sz="0" w:space="0" w:color="auto"/>
            <w:right w:val="none" w:sz="0" w:space="0" w:color="auto"/>
          </w:divBdr>
        </w:div>
        <w:div w:id="1914969615">
          <w:marLeft w:val="0"/>
          <w:marRight w:val="0"/>
          <w:marTop w:val="0"/>
          <w:marBottom w:val="0"/>
          <w:divBdr>
            <w:top w:val="none" w:sz="0" w:space="0" w:color="auto"/>
            <w:left w:val="none" w:sz="0" w:space="0" w:color="auto"/>
            <w:bottom w:val="none" w:sz="0" w:space="0" w:color="auto"/>
            <w:right w:val="none" w:sz="0" w:space="0" w:color="auto"/>
          </w:divBdr>
        </w:div>
        <w:div w:id="1988703734">
          <w:marLeft w:val="0"/>
          <w:marRight w:val="0"/>
          <w:marTop w:val="0"/>
          <w:marBottom w:val="0"/>
          <w:divBdr>
            <w:top w:val="none" w:sz="0" w:space="0" w:color="auto"/>
            <w:left w:val="none" w:sz="0" w:space="0" w:color="auto"/>
            <w:bottom w:val="none" w:sz="0" w:space="0" w:color="auto"/>
            <w:right w:val="none" w:sz="0" w:space="0" w:color="auto"/>
          </w:divBdr>
        </w:div>
        <w:div w:id="2118019416">
          <w:marLeft w:val="0"/>
          <w:marRight w:val="0"/>
          <w:marTop w:val="0"/>
          <w:marBottom w:val="0"/>
          <w:divBdr>
            <w:top w:val="none" w:sz="0" w:space="0" w:color="auto"/>
            <w:left w:val="none" w:sz="0" w:space="0" w:color="auto"/>
            <w:bottom w:val="none" w:sz="0" w:space="0" w:color="auto"/>
            <w:right w:val="none" w:sz="0" w:space="0" w:color="auto"/>
          </w:divBdr>
        </w:div>
        <w:div w:id="2133402026">
          <w:marLeft w:val="0"/>
          <w:marRight w:val="0"/>
          <w:marTop w:val="0"/>
          <w:marBottom w:val="0"/>
          <w:divBdr>
            <w:top w:val="none" w:sz="0" w:space="0" w:color="auto"/>
            <w:left w:val="none" w:sz="0" w:space="0" w:color="auto"/>
            <w:bottom w:val="none" w:sz="0" w:space="0" w:color="auto"/>
            <w:right w:val="none" w:sz="0" w:space="0" w:color="auto"/>
          </w:divBdr>
        </w:div>
      </w:divsChild>
    </w:div>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208104315">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780837539">
      <w:bodyDiv w:val="1"/>
      <w:marLeft w:val="0"/>
      <w:marRight w:val="0"/>
      <w:marTop w:val="0"/>
      <w:marBottom w:val="0"/>
      <w:divBdr>
        <w:top w:val="none" w:sz="0" w:space="0" w:color="auto"/>
        <w:left w:val="none" w:sz="0" w:space="0" w:color="auto"/>
        <w:bottom w:val="none" w:sz="0" w:space="0" w:color="auto"/>
        <w:right w:val="none" w:sz="0" w:space="0" w:color="auto"/>
      </w:divBdr>
      <w:divsChild>
        <w:div w:id="7685688">
          <w:marLeft w:val="0"/>
          <w:marRight w:val="0"/>
          <w:marTop w:val="0"/>
          <w:marBottom w:val="0"/>
          <w:divBdr>
            <w:top w:val="none" w:sz="0" w:space="0" w:color="auto"/>
            <w:left w:val="none" w:sz="0" w:space="0" w:color="auto"/>
            <w:bottom w:val="none" w:sz="0" w:space="0" w:color="auto"/>
            <w:right w:val="none" w:sz="0" w:space="0" w:color="auto"/>
          </w:divBdr>
        </w:div>
        <w:div w:id="505051874">
          <w:marLeft w:val="0"/>
          <w:marRight w:val="0"/>
          <w:marTop w:val="0"/>
          <w:marBottom w:val="0"/>
          <w:divBdr>
            <w:top w:val="none" w:sz="0" w:space="0" w:color="auto"/>
            <w:left w:val="none" w:sz="0" w:space="0" w:color="auto"/>
            <w:bottom w:val="none" w:sz="0" w:space="0" w:color="auto"/>
            <w:right w:val="none" w:sz="0" w:space="0" w:color="auto"/>
          </w:divBdr>
        </w:div>
        <w:div w:id="1056247378">
          <w:marLeft w:val="0"/>
          <w:marRight w:val="0"/>
          <w:marTop w:val="0"/>
          <w:marBottom w:val="0"/>
          <w:divBdr>
            <w:top w:val="none" w:sz="0" w:space="0" w:color="auto"/>
            <w:left w:val="none" w:sz="0" w:space="0" w:color="auto"/>
            <w:bottom w:val="none" w:sz="0" w:space="0" w:color="auto"/>
            <w:right w:val="none" w:sz="0" w:space="0" w:color="auto"/>
          </w:divBdr>
        </w:div>
        <w:div w:id="1531409880">
          <w:marLeft w:val="0"/>
          <w:marRight w:val="0"/>
          <w:marTop w:val="0"/>
          <w:marBottom w:val="0"/>
          <w:divBdr>
            <w:top w:val="none" w:sz="0" w:space="0" w:color="auto"/>
            <w:left w:val="none" w:sz="0" w:space="0" w:color="auto"/>
            <w:bottom w:val="none" w:sz="0" w:space="0" w:color="auto"/>
            <w:right w:val="none" w:sz="0" w:space="0" w:color="auto"/>
          </w:divBdr>
        </w:div>
        <w:div w:id="1951156537">
          <w:marLeft w:val="0"/>
          <w:marRight w:val="0"/>
          <w:marTop w:val="0"/>
          <w:marBottom w:val="0"/>
          <w:divBdr>
            <w:top w:val="none" w:sz="0" w:space="0" w:color="auto"/>
            <w:left w:val="none" w:sz="0" w:space="0" w:color="auto"/>
            <w:bottom w:val="none" w:sz="0" w:space="0" w:color="auto"/>
            <w:right w:val="none" w:sz="0" w:space="0" w:color="auto"/>
          </w:divBdr>
        </w:div>
      </w:divsChild>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 w:id="2050185224">
      <w:bodyDiv w:val="1"/>
      <w:marLeft w:val="0"/>
      <w:marRight w:val="0"/>
      <w:marTop w:val="0"/>
      <w:marBottom w:val="0"/>
      <w:divBdr>
        <w:top w:val="none" w:sz="0" w:space="0" w:color="auto"/>
        <w:left w:val="none" w:sz="0" w:space="0" w:color="auto"/>
        <w:bottom w:val="none" w:sz="0" w:space="0" w:color="auto"/>
        <w:right w:val="none" w:sz="0" w:space="0" w:color="auto"/>
      </w:divBdr>
      <w:divsChild>
        <w:div w:id="481460121">
          <w:marLeft w:val="0"/>
          <w:marRight w:val="0"/>
          <w:marTop w:val="0"/>
          <w:marBottom w:val="0"/>
          <w:divBdr>
            <w:top w:val="none" w:sz="0" w:space="0" w:color="auto"/>
            <w:left w:val="none" w:sz="0" w:space="0" w:color="auto"/>
            <w:bottom w:val="none" w:sz="0" w:space="0" w:color="auto"/>
            <w:right w:val="none" w:sz="0" w:space="0" w:color="auto"/>
          </w:divBdr>
        </w:div>
        <w:div w:id="829250644">
          <w:marLeft w:val="0"/>
          <w:marRight w:val="0"/>
          <w:marTop w:val="0"/>
          <w:marBottom w:val="0"/>
          <w:divBdr>
            <w:top w:val="none" w:sz="0" w:space="0" w:color="auto"/>
            <w:left w:val="none" w:sz="0" w:space="0" w:color="auto"/>
            <w:bottom w:val="none" w:sz="0" w:space="0" w:color="auto"/>
            <w:right w:val="none" w:sz="0" w:space="0" w:color="auto"/>
          </w:divBdr>
        </w:div>
        <w:div w:id="1198664640">
          <w:marLeft w:val="0"/>
          <w:marRight w:val="0"/>
          <w:marTop w:val="0"/>
          <w:marBottom w:val="0"/>
          <w:divBdr>
            <w:top w:val="none" w:sz="0" w:space="0" w:color="auto"/>
            <w:left w:val="none" w:sz="0" w:space="0" w:color="auto"/>
            <w:bottom w:val="none" w:sz="0" w:space="0" w:color="auto"/>
            <w:right w:val="none" w:sz="0" w:space="0" w:color="auto"/>
          </w:divBdr>
        </w:div>
        <w:div w:id="1564296486">
          <w:marLeft w:val="0"/>
          <w:marRight w:val="0"/>
          <w:marTop w:val="0"/>
          <w:marBottom w:val="0"/>
          <w:divBdr>
            <w:top w:val="none" w:sz="0" w:space="0" w:color="auto"/>
            <w:left w:val="none" w:sz="0" w:space="0" w:color="auto"/>
            <w:bottom w:val="none" w:sz="0" w:space="0" w:color="auto"/>
            <w:right w:val="none" w:sz="0" w:space="0" w:color="auto"/>
          </w:divBdr>
        </w:div>
        <w:div w:id="1820072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legislation.gov.au/F2013L01988/latest/tex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legislation.gov.au/F2013L01987/latest/tex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au/F2013L01794/latest/text" TargetMode="External"/><Relationship Id="rId20" Type="http://schemas.openxmlformats.org/officeDocument/2006/relationships/hyperlink" Target="https://asic.gov.au/regulatory-resources/find-a-document/regulatory-guides/rg-133-funds-management-and-custodial-services-holding-asset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legislation.gov.au/F2013L01986/asmade/text"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legislation.gov.au/F2014L00039/latest/text"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67329D49EF2FE94BA16D9A9FA4C7C5E9" ma:contentTypeVersion="25" ma:contentTypeDescription="Create a new document." ma:contentTypeScope="" ma:versionID="4eee952142d321facbb1fde01d01d759">
  <xsd:schema xmlns:xsd="http://www.w3.org/2001/XMLSchema" xmlns:xs="http://www.w3.org/2001/XMLSchema" xmlns:p="http://schemas.microsoft.com/office/2006/metadata/properties" xmlns:ns2="db2b92ca-6ed0-4085-802d-4c686a2e8c3f" xmlns:ns3="6d01ba57-bcb9-4c1f-9f73-80759da4b854" targetNamespace="http://schemas.microsoft.com/office/2006/metadata/properties" ma:root="true" ma:fieldsID="e16c524076ad0c65a69563821fb64933" ns2:_="" ns3:_="">
    <xsd:import namespace="db2b92ca-6ed0-4085-802d-4c686a2e8c3f"/>
    <xsd:import namespace="6d01ba57-bcb9-4c1f-9f73-80759da4b854"/>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5da22b1-9180-4a81-8ed3-1b22e6fc70b0}" ma:internalName="TaxCatchAll" ma:showField="CatchAllData" ma:web="6d01ba57-bcb9-4c1f-9f73-80759da4b85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5da22b1-9180-4a81-8ed3-1b22e6fc70b0}" ma:internalName="TaxCatchAllLabel" ma:readOnly="true" ma:showField="CatchAllDataLabel" ma:web="6d01ba57-bcb9-4c1f-9f73-80759da4b854">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01ba57-bcb9-4c1f-9f73-80759da4b854"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APReason xmlns="db2b92ca-6ed0-4085-802d-4c686a2e8c3f" xsi:nil="true"/>
    <_dlc_DocId xmlns="6d01ba57-bcb9-4c1f-9f73-80759da4b854">010950-786086710-332</_dlc_DocId>
    <_dlc_DocIdUrl xmlns="6d01ba57-bcb9-4c1f-9f73-80759da4b854">
      <Url>https://asiclink.sharepoint.com/teams/010950/_layouts/15/DocIdRedir.aspx?ID=010950-786086710-332</Url>
      <Description>010950-786086710-332</Description>
    </_dlc_DocIdUrl>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cffd3088-7a74-4edb-8c9e-fbf79371a422</TermId>
        </TermInfo>
      </Terms>
    </p1abb5e704a84578aa4b8ef0390c3b25>
    <TaxCatchAll xmlns="db2b92ca-6ed0-4085-802d-4c686a2e8c3f">
      <Value>3</Value>
    </TaxCatchAll>
    <DocumentNotes xmlns="db2b92ca-6ed0-4085-802d-4c686a2e8c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f302855-5de3-48f9-83c2-fc1acc0f760b" ContentTypeId="0x010100B5F685A1365F544391EF8C813B164F3A"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0F87E011-9771-41F9-A06B-2472DBA41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6d01ba57-bcb9-4c1f-9f73-80759da4b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5AF0A2-B42E-4E65-95B6-EFF31388672E}">
  <ds:schemaRefs>
    <ds:schemaRef ds:uri="http://schemas.microsoft.com/office/2006/metadata/properties"/>
    <ds:schemaRef ds:uri="http://schemas.microsoft.com/office/infopath/2007/PartnerControls"/>
    <ds:schemaRef ds:uri="db2b92ca-6ed0-4085-802d-4c686a2e8c3f"/>
    <ds:schemaRef ds:uri="6d01ba57-bcb9-4c1f-9f73-80759da4b854"/>
  </ds:schemaRefs>
</ds:datastoreItem>
</file>

<file path=customXml/itemProps3.xml><?xml version="1.0" encoding="utf-8"?>
<ds:datastoreItem xmlns:ds="http://schemas.openxmlformats.org/officeDocument/2006/customXml" ds:itemID="{E9297BB8-A655-4C24-B29E-8EF4804A2CFC}">
  <ds:schemaRefs>
    <ds:schemaRef ds:uri="http://schemas.microsoft.com/sharepoint/v3/contenttype/forms"/>
  </ds:schemaRefs>
</ds:datastoreItem>
</file>

<file path=customXml/itemProps4.xml><?xml version="1.0" encoding="utf-8"?>
<ds:datastoreItem xmlns:ds="http://schemas.openxmlformats.org/officeDocument/2006/customXml" ds:itemID="{BAB4347C-650A-4EFB-8EC0-D7A65D237EC5}">
  <ds:schemaRefs>
    <ds:schemaRef ds:uri="Microsoft.SharePoint.Taxonomy.ContentTypeSync"/>
  </ds:schemaRefs>
</ds:datastoreItem>
</file>

<file path=customXml/itemProps5.xml><?xml version="1.0" encoding="utf-8"?>
<ds:datastoreItem xmlns:ds="http://schemas.openxmlformats.org/officeDocument/2006/customXml" ds:itemID="{349D729E-B0A1-427B-A056-98EB344ED65D}">
  <ds:schemaRefs>
    <ds:schemaRef ds:uri="http://schemas.openxmlformats.org/officeDocument/2006/bibliography"/>
  </ds:schemaRefs>
</ds:datastoreItem>
</file>

<file path=customXml/itemProps6.xml><?xml version="1.0" encoding="utf-8"?>
<ds:datastoreItem xmlns:ds="http://schemas.openxmlformats.org/officeDocument/2006/customXml" ds:itemID="{ABCB6EB1-C272-4E1F-9920-AB191DE3B934}">
  <ds:schemaRefs>
    <ds:schemaRef ds:uri="http://schemas.microsoft.com/sharepoint/events"/>
  </ds:schemaRefs>
</ds:datastoreItem>
</file>

<file path=customXml/itemProps7.xml><?xml version="1.0" encoding="utf-8"?>
<ds:datastoreItem xmlns:ds="http://schemas.openxmlformats.org/officeDocument/2006/customXml" ds:itemID="{E3782C80-17BC-49A6-B0DA-B302800045C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INST_NEW.DOTX</Template>
  <TotalTime>1</TotalTime>
  <Pages>8</Pages>
  <Words>2732</Words>
  <Characters>15577</Characters>
  <Application>Microsoft Office Word</Application>
  <DocSecurity>0</DocSecurity>
  <PresentationFormat/>
  <Lines>129</Lines>
  <Paragraphs>36</Paragraphs>
  <ScaleCrop>false</ScaleCrop>
  <Company>ASIC</Company>
  <LinksUpToDate>false</LinksUpToDate>
  <CharactersWithSpaces>18273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ASIC</dc:creator>
  <cp:keywords/>
  <cp:lastModifiedBy>Narelle Kane</cp:lastModifiedBy>
  <cp:revision>3</cp:revision>
  <cp:lastPrinted>2019-01-03T21:56:00Z</cp:lastPrinted>
  <dcterms:created xsi:type="dcterms:W3CDTF">2024-03-22T00:11:00Z</dcterms:created>
  <dcterms:modified xsi:type="dcterms:W3CDTF">2024-03-22T00:11:00Z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3;#OFFICIAL|cffd3088-7a74-4edb-8c9e-fbf79371a422</vt:lpwstr>
  </property>
  <property fmtid="{D5CDD505-2E9C-101B-9397-08002B2CF9AE}" pid="40" name="RecordPoint_WorkflowType">
    <vt:lpwstr>ActiveSubmitStub</vt:lpwstr>
  </property>
  <property fmtid="{D5CDD505-2E9C-101B-9397-08002B2CF9AE}" pid="41" name="RecordPoint_ActiveItemSiteId">
    <vt:lpwstr>{fa96e6fb-4129-44b7-b105-10ec3844cb78}</vt:lpwstr>
  </property>
  <property fmtid="{D5CDD505-2E9C-101B-9397-08002B2CF9AE}" pid="42" name="RecordPoint_ActiveItemListId">
    <vt:lpwstr>{e8634c1b-1868-4a02-8de8-ef4b1316a551}</vt:lpwstr>
  </property>
  <property fmtid="{D5CDD505-2E9C-101B-9397-08002B2CF9AE}" pid="43" name="RecordPoint_ActiveItemUniqueId">
    <vt:lpwstr>{0f4c5c6f-0dad-4deb-a834-375fa2501599}</vt:lpwstr>
  </property>
  <property fmtid="{D5CDD505-2E9C-101B-9397-08002B2CF9AE}" pid="44" name="RecordPoint_ActiveItemWebId">
    <vt:lpwstr>{6fdf923d-1605-456d-9034-49e4c2a6593d}</vt:lpwstr>
  </property>
  <property fmtid="{D5CDD505-2E9C-101B-9397-08002B2CF9AE}" pid="45" name="IconOverlay">
    <vt:lpwstr/>
  </property>
  <property fmtid="{D5CDD505-2E9C-101B-9397-08002B2CF9AE}" pid="46" name="RecordNumber">
    <vt:lpwstr>R20210000583158</vt:lpwstr>
  </property>
  <property fmtid="{D5CDD505-2E9C-101B-9397-08002B2CF9AE}" pid="47" name="RecordPoint_SubmissionCompleted">
    <vt:lpwstr>2021-09-14T18:42:49.7315500+10:00</vt:lpwstr>
  </property>
  <property fmtid="{D5CDD505-2E9C-101B-9397-08002B2CF9AE}" pid="48" name="RecordPoint_RecordNumberSubmitted">
    <vt:lpwstr>R20210000583158</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SecurityClassification">
    <vt:lpwstr>3;#OFFICIAL|cffd3088-7a74-4edb-8c9e-fbf79371a422</vt:lpwstr>
  </property>
  <property fmtid="{D5CDD505-2E9C-101B-9397-08002B2CF9AE}" pid="53" name="ObjectiveID">
    <vt:lpwstr/>
  </property>
  <property fmtid="{D5CDD505-2E9C-101B-9397-08002B2CF9AE}" pid="54" name="SignificantFlag">
    <vt:lpwstr>0</vt:lpwstr>
  </property>
  <property fmtid="{D5CDD505-2E9C-101B-9397-08002B2CF9AE}" pid="55" name="SenateOrder12">
    <vt:lpwstr>0</vt:lpwstr>
  </property>
  <property fmtid="{D5CDD505-2E9C-101B-9397-08002B2CF9AE}" pid="56" name="ded95d7ab059406991d558011d18c177">
    <vt:lpwstr/>
  </property>
  <property fmtid="{D5CDD505-2E9C-101B-9397-08002B2CF9AE}" pid="57" name="SignificantReason">
    <vt:lpwstr/>
  </property>
  <property fmtid="{D5CDD505-2E9C-101B-9397-08002B2CF9AE}" pid="58" name="Order">
    <vt:lpwstr>71900.0000000000</vt:lpwstr>
  </property>
  <property fmtid="{D5CDD505-2E9C-101B-9397-08002B2CF9AE}" pid="59" name="RecordPoint_SubmissionDate">
    <vt:lpwstr/>
  </property>
  <property fmtid="{D5CDD505-2E9C-101B-9397-08002B2CF9AE}" pid="60" name="RecordPoint_RecordFormat">
    <vt:lpwstr/>
  </property>
  <property fmtid="{D5CDD505-2E9C-101B-9397-08002B2CF9AE}" pid="61" name="_dlc_DocId">
    <vt:lpwstr>010950-786086710-330</vt:lpwstr>
  </property>
  <property fmtid="{D5CDD505-2E9C-101B-9397-08002B2CF9AE}" pid="62" name="_dlc_DocIdItemGuid">
    <vt:lpwstr>5ff8ec30-092a-4530-9ab7-857c64f45f87</vt:lpwstr>
  </property>
  <property fmtid="{D5CDD505-2E9C-101B-9397-08002B2CF9AE}" pid="63" name="_dlc_DocIdUrl">
    <vt:lpwstr>https://asiclink.sharepoint.com/teams/010950/_layouts/15/DocIdRedir.aspx?ID=010950-786086710-330, 010950-786086710-330</vt:lpwstr>
  </property>
  <property fmtid="{D5CDD505-2E9C-101B-9397-08002B2CF9AE}" pid="64" name="p1abb5e704a84578aa4b8ef0390c3b25">
    <vt:lpwstr>OFFICIAL|cffd3088-7a74-4edb-8c9e-fbf79371a422</vt:lpwstr>
  </property>
  <property fmtid="{D5CDD505-2E9C-101B-9397-08002B2CF9AE}" pid="65" name="DocumentNotes">
    <vt:lpwstr/>
  </property>
  <property fmtid="{D5CDD505-2E9C-101B-9397-08002B2CF9AE}" pid="66" name="NAPReason">
    <vt:lpwstr/>
  </property>
  <property fmtid="{D5CDD505-2E9C-101B-9397-08002B2CF9AE}" pid="67" name="MediaServiceImageTags">
    <vt:lpwstr/>
  </property>
  <property fmtid="{D5CDD505-2E9C-101B-9397-08002B2CF9AE}" pid="68" name="lcf76f155ced4ddcb4097134ff3c332f">
    <vt:lpwstr/>
  </property>
  <property fmtid="{D5CDD505-2E9C-101B-9397-08002B2CF9AE}" pid="69" name="ContentTypeId">
    <vt:lpwstr>0x010100B5F685A1365F544391EF8C813B164F3A0067329D49EF2FE94BA16D9A9FA4C7C5E9</vt:lpwstr>
  </property>
  <property fmtid="{D5CDD505-2E9C-101B-9397-08002B2CF9AE}" pid="70" name="MSIP_Label_a6aead41-07f8-4767-ac8e-ef1c9c793766_Enabled">
    <vt:lpwstr>true</vt:lpwstr>
  </property>
  <property fmtid="{D5CDD505-2E9C-101B-9397-08002B2CF9AE}" pid="71" name="MSIP_Label_a6aead41-07f8-4767-ac8e-ef1c9c793766_SetDate">
    <vt:lpwstr>2023-11-28T22:13:47Z</vt:lpwstr>
  </property>
  <property fmtid="{D5CDD505-2E9C-101B-9397-08002B2CF9AE}" pid="72" name="MSIP_Label_a6aead41-07f8-4767-ac8e-ef1c9c793766_Method">
    <vt:lpwstr>Standard</vt:lpwstr>
  </property>
  <property fmtid="{D5CDD505-2E9C-101B-9397-08002B2CF9AE}" pid="73" name="MSIP_Label_a6aead41-07f8-4767-ac8e-ef1c9c793766_Name">
    <vt:lpwstr>OFFICIAL</vt:lpwstr>
  </property>
  <property fmtid="{D5CDD505-2E9C-101B-9397-08002B2CF9AE}" pid="74" name="MSIP_Label_a6aead41-07f8-4767-ac8e-ef1c9c793766_SiteId">
    <vt:lpwstr>5f1de7c6-55cd-4bb2-902d-514c78cf10f4</vt:lpwstr>
  </property>
  <property fmtid="{D5CDD505-2E9C-101B-9397-08002B2CF9AE}" pid="75" name="MSIP_Label_a6aead41-07f8-4767-ac8e-ef1c9c793766_ActionId">
    <vt:lpwstr>30fb1511-861a-4623-ba2b-a786e6253324</vt:lpwstr>
  </property>
  <property fmtid="{D5CDD505-2E9C-101B-9397-08002B2CF9AE}" pid="76" name="MSIP_Label_a6aead41-07f8-4767-ac8e-ef1c9c793766_ContentBits">
    <vt:lpwstr>0</vt:lpwstr>
  </property>
</Properties>
</file>