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8AAB4" w14:textId="2088A623" w:rsidR="00FB640B" w:rsidRPr="00B66AEC" w:rsidRDefault="0057002B" w:rsidP="00BB0CF2">
      <w:pPr>
        <w:pStyle w:val="ESTitleHeader"/>
      </w:pPr>
      <w:r w:rsidRPr="00B66AEC">
        <w:t>EXPLANATORY</w:t>
      </w:r>
      <w:r w:rsidR="007F36F7" w:rsidRPr="00B66AEC">
        <w:t xml:space="preserve"> </w:t>
      </w:r>
      <w:r w:rsidRPr="00B66AEC">
        <w:t>STATEMENT</w:t>
      </w:r>
    </w:p>
    <w:p w14:paraId="2D798F3D" w14:textId="77777777" w:rsidR="5220722F" w:rsidRPr="00B66AEC" w:rsidRDefault="5220722F" w:rsidP="5220722F">
      <w:pPr>
        <w:spacing w:after="0" w:line="240" w:lineRule="auto"/>
        <w:ind w:right="40"/>
        <w:jc w:val="center"/>
        <w:rPr>
          <w:rFonts w:ascii="Times New Roman" w:eastAsia="Times New Roman" w:hAnsi="Times New Roman" w:cs="Times New Roman"/>
          <w:color w:val="000000" w:themeColor="text1"/>
          <w:sz w:val="24"/>
          <w:szCs w:val="24"/>
        </w:rPr>
      </w:pPr>
    </w:p>
    <w:p w14:paraId="2B78D474" w14:textId="6D7F2DF8" w:rsidR="706B4E9E" w:rsidRPr="00B66AEC" w:rsidRDefault="706B4E9E" w:rsidP="5220722F">
      <w:pPr>
        <w:spacing w:after="0" w:line="240" w:lineRule="auto"/>
        <w:ind w:right="40"/>
        <w:jc w:val="center"/>
        <w:rPr>
          <w:rFonts w:ascii="Times New Roman" w:eastAsia="Times New Roman" w:hAnsi="Times New Roman" w:cs="Times New Roman"/>
          <w:color w:val="000000" w:themeColor="text1"/>
          <w:sz w:val="24"/>
          <w:szCs w:val="24"/>
        </w:rPr>
      </w:pPr>
      <w:r w:rsidRPr="00B66AEC">
        <w:rPr>
          <w:rFonts w:ascii="Times New Roman" w:eastAsia="Times New Roman" w:hAnsi="Times New Roman" w:cs="Times New Roman"/>
          <w:color w:val="000000" w:themeColor="text1"/>
          <w:sz w:val="24"/>
          <w:szCs w:val="24"/>
        </w:rPr>
        <w:t>Issued</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by</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the</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Minister</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for</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Immigration,</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Citizenship</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and</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Multicultural</w:t>
      </w:r>
      <w:r w:rsidR="007F36F7" w:rsidRPr="00B66AEC">
        <w:rPr>
          <w:rFonts w:ascii="Times New Roman" w:eastAsia="Times New Roman" w:hAnsi="Times New Roman" w:cs="Times New Roman"/>
          <w:color w:val="000000" w:themeColor="text1"/>
          <w:sz w:val="24"/>
          <w:szCs w:val="24"/>
        </w:rPr>
        <w:t xml:space="preserve"> </w:t>
      </w:r>
      <w:r w:rsidRPr="00B66AEC">
        <w:rPr>
          <w:rFonts w:ascii="Times New Roman" w:eastAsia="Times New Roman" w:hAnsi="Times New Roman" w:cs="Times New Roman"/>
          <w:color w:val="000000" w:themeColor="text1"/>
          <w:sz w:val="24"/>
          <w:szCs w:val="24"/>
        </w:rPr>
        <w:t>Affairs</w:t>
      </w:r>
    </w:p>
    <w:p w14:paraId="557B2FF2" w14:textId="613B540C" w:rsidR="706B4E9E" w:rsidRPr="00B66AEC" w:rsidRDefault="706B4E9E" w:rsidP="5220722F">
      <w:pPr>
        <w:spacing w:before="240" w:after="0" w:line="240" w:lineRule="auto"/>
        <w:jc w:val="center"/>
        <w:rPr>
          <w:rFonts w:ascii="Times New Roman" w:eastAsia="Times New Roman" w:hAnsi="Times New Roman" w:cs="Times New Roman"/>
          <w:color w:val="000000" w:themeColor="text1"/>
          <w:sz w:val="24"/>
          <w:szCs w:val="24"/>
        </w:rPr>
      </w:pPr>
      <w:r w:rsidRPr="00B66AEC">
        <w:rPr>
          <w:rStyle w:val="legislationtitleitalics"/>
          <w:rFonts w:eastAsia="Times New Roman" w:cs="Times New Roman"/>
          <w:color w:val="000000" w:themeColor="text1"/>
        </w:rPr>
        <w:t>Migration</w:t>
      </w:r>
      <w:r w:rsidR="007F36F7" w:rsidRPr="00B66AEC">
        <w:rPr>
          <w:rStyle w:val="legislationtitleitalics"/>
          <w:rFonts w:eastAsia="Times New Roman" w:cs="Times New Roman"/>
          <w:color w:val="000000" w:themeColor="text1"/>
        </w:rPr>
        <w:t xml:space="preserve"> </w:t>
      </w:r>
      <w:r w:rsidRPr="00B66AEC">
        <w:rPr>
          <w:rStyle w:val="legislationtitleitalics"/>
          <w:rFonts w:eastAsia="Times New Roman" w:cs="Times New Roman"/>
          <w:color w:val="000000" w:themeColor="text1"/>
        </w:rPr>
        <w:t>Act</w:t>
      </w:r>
      <w:r w:rsidR="007F36F7" w:rsidRPr="00B66AEC">
        <w:rPr>
          <w:rStyle w:val="legislationtitleitalics"/>
          <w:rFonts w:eastAsia="Times New Roman" w:cs="Times New Roman"/>
          <w:color w:val="000000" w:themeColor="text1"/>
        </w:rPr>
        <w:t xml:space="preserve"> </w:t>
      </w:r>
      <w:r w:rsidRPr="00B66AEC">
        <w:rPr>
          <w:rStyle w:val="legislationtitleitalics"/>
          <w:rFonts w:eastAsia="Times New Roman" w:cs="Times New Roman"/>
          <w:color w:val="000000" w:themeColor="text1"/>
        </w:rPr>
        <w:t>1958</w:t>
      </w:r>
    </w:p>
    <w:p w14:paraId="71EB2D87" w14:textId="41770927" w:rsidR="706B4E9E" w:rsidRPr="00B66AEC" w:rsidRDefault="706B4E9E" w:rsidP="5220722F">
      <w:pPr>
        <w:spacing w:before="240" w:after="0" w:line="240" w:lineRule="auto"/>
        <w:jc w:val="center"/>
        <w:rPr>
          <w:rFonts w:ascii="Times New Roman" w:eastAsia="Times New Roman" w:hAnsi="Times New Roman" w:cs="Times New Roman"/>
          <w:color w:val="000000" w:themeColor="text1"/>
          <w:sz w:val="24"/>
          <w:szCs w:val="24"/>
        </w:rPr>
      </w:pPr>
      <w:r w:rsidRPr="00B66AEC">
        <w:rPr>
          <w:rStyle w:val="legislationtitleitalics"/>
          <w:rFonts w:eastAsia="Times New Roman" w:cs="Times New Roman"/>
          <w:color w:val="000000" w:themeColor="text1"/>
        </w:rPr>
        <w:t>Migration</w:t>
      </w:r>
      <w:r w:rsidR="007F36F7" w:rsidRPr="00B66AEC">
        <w:rPr>
          <w:rStyle w:val="legislationtitleitalics"/>
          <w:rFonts w:eastAsia="Times New Roman" w:cs="Times New Roman"/>
          <w:color w:val="000000" w:themeColor="text1"/>
        </w:rPr>
        <w:t xml:space="preserve"> </w:t>
      </w:r>
      <w:r w:rsidRPr="00B66AEC">
        <w:rPr>
          <w:rStyle w:val="legislationtitleitalics"/>
          <w:rFonts w:eastAsia="Times New Roman" w:cs="Times New Roman"/>
          <w:color w:val="000000" w:themeColor="text1"/>
        </w:rPr>
        <w:t>Amendment</w:t>
      </w:r>
      <w:r w:rsidR="007F36F7" w:rsidRPr="00B66AEC">
        <w:rPr>
          <w:rStyle w:val="legislationtitleitalics"/>
          <w:rFonts w:eastAsia="Times New Roman" w:cs="Times New Roman"/>
          <w:color w:val="000000" w:themeColor="text1"/>
        </w:rPr>
        <w:t xml:space="preserve"> </w:t>
      </w:r>
      <w:r w:rsidR="00C2138E" w:rsidRPr="00B66AEC">
        <w:rPr>
          <w:rStyle w:val="legislationtitleitalics"/>
          <w:rFonts w:eastAsia="Times New Roman" w:cs="Times New Roman"/>
          <w:color w:val="000000" w:themeColor="text1"/>
        </w:rPr>
        <w:t>(Dependent</w:t>
      </w:r>
      <w:r w:rsidR="007F36F7" w:rsidRPr="00B66AEC">
        <w:rPr>
          <w:rStyle w:val="legislationtitleitalics"/>
          <w:rFonts w:eastAsia="Times New Roman" w:cs="Times New Roman"/>
          <w:color w:val="000000" w:themeColor="text1"/>
        </w:rPr>
        <w:t xml:space="preserve"> </w:t>
      </w:r>
      <w:r w:rsidR="00C2138E" w:rsidRPr="00B66AEC">
        <w:rPr>
          <w:rStyle w:val="legislationtitleitalics"/>
          <w:rFonts w:eastAsia="Times New Roman" w:cs="Times New Roman"/>
          <w:color w:val="000000" w:themeColor="text1"/>
        </w:rPr>
        <w:t>Secondary</w:t>
      </w:r>
      <w:r w:rsidR="007F36F7" w:rsidRPr="00B66AEC">
        <w:rPr>
          <w:rStyle w:val="legislationtitleitalics"/>
          <w:rFonts w:eastAsia="Times New Roman" w:cs="Times New Roman"/>
          <w:color w:val="000000" w:themeColor="text1"/>
        </w:rPr>
        <w:t xml:space="preserve"> </w:t>
      </w:r>
      <w:r w:rsidR="00C2138E" w:rsidRPr="00B66AEC">
        <w:rPr>
          <w:rStyle w:val="legislationtitleitalics"/>
          <w:rFonts w:eastAsia="Times New Roman" w:cs="Times New Roman"/>
          <w:color w:val="000000" w:themeColor="text1"/>
        </w:rPr>
        <w:t>Partner</w:t>
      </w:r>
      <w:r w:rsidR="007F36F7" w:rsidRPr="00B66AEC">
        <w:rPr>
          <w:rStyle w:val="legislationtitleitalics"/>
          <w:rFonts w:eastAsia="Times New Roman" w:cs="Times New Roman"/>
          <w:color w:val="000000" w:themeColor="text1"/>
        </w:rPr>
        <w:t xml:space="preserve"> </w:t>
      </w:r>
      <w:r w:rsidR="00C2138E" w:rsidRPr="00B66AEC">
        <w:rPr>
          <w:rStyle w:val="legislationtitleitalics"/>
          <w:rFonts w:eastAsia="Times New Roman" w:cs="Times New Roman"/>
          <w:color w:val="000000" w:themeColor="text1"/>
        </w:rPr>
        <w:t>Visa</w:t>
      </w:r>
      <w:r w:rsidR="007F36F7" w:rsidRPr="00B66AEC">
        <w:rPr>
          <w:rStyle w:val="legislationtitleitalics"/>
          <w:rFonts w:eastAsia="Times New Roman" w:cs="Times New Roman"/>
          <w:color w:val="000000" w:themeColor="text1"/>
        </w:rPr>
        <w:t xml:space="preserve"> </w:t>
      </w:r>
      <w:r w:rsidR="00C2138E" w:rsidRPr="00B66AEC">
        <w:rPr>
          <w:rStyle w:val="legislationtitleitalics"/>
          <w:rFonts w:eastAsia="Times New Roman" w:cs="Times New Roman"/>
          <w:color w:val="000000" w:themeColor="text1"/>
        </w:rPr>
        <w:t>Applicants)</w:t>
      </w:r>
      <w:r w:rsidR="007F36F7" w:rsidRPr="00B66AEC">
        <w:rPr>
          <w:rStyle w:val="legislationtitleitalics"/>
          <w:rFonts w:eastAsia="Times New Roman" w:cs="Times New Roman"/>
          <w:color w:val="000000" w:themeColor="text1"/>
        </w:rPr>
        <w:t xml:space="preserve"> </w:t>
      </w:r>
      <w:r w:rsidR="00A87734" w:rsidRPr="00B66AEC">
        <w:rPr>
          <w:rStyle w:val="legislationtitleitalics"/>
          <w:rFonts w:eastAsia="Times New Roman" w:cs="Times New Roman"/>
          <w:color w:val="000000" w:themeColor="text1"/>
        </w:rPr>
        <w:t>Regulations</w:t>
      </w:r>
      <w:r w:rsidR="007F36F7" w:rsidRPr="00B66AEC">
        <w:rPr>
          <w:rStyle w:val="legislationtitleitalics"/>
          <w:rFonts w:eastAsia="Times New Roman" w:cs="Times New Roman"/>
          <w:color w:val="000000" w:themeColor="text1"/>
        </w:rPr>
        <w:t xml:space="preserve"> </w:t>
      </w:r>
      <w:r w:rsidR="00A87734" w:rsidRPr="00B66AEC">
        <w:rPr>
          <w:rStyle w:val="legislationtitleitalics"/>
          <w:rFonts w:eastAsia="Times New Roman" w:cs="Times New Roman"/>
          <w:color w:val="000000" w:themeColor="text1"/>
        </w:rPr>
        <w:t>2024</w:t>
      </w:r>
    </w:p>
    <w:p w14:paraId="663E9358" w14:textId="77777777" w:rsidR="5220722F" w:rsidRPr="00B66AEC" w:rsidRDefault="5220722F" w:rsidP="5220722F">
      <w:pPr>
        <w:spacing w:before="240" w:after="0" w:line="240" w:lineRule="auto"/>
        <w:jc w:val="center"/>
        <w:rPr>
          <w:rStyle w:val="legislationtitleitalics"/>
          <w:rFonts w:eastAsia="Times New Roman" w:cs="Times New Roman"/>
          <w:color w:val="000000" w:themeColor="text1"/>
        </w:rPr>
      </w:pPr>
    </w:p>
    <w:p w14:paraId="09A78830" w14:textId="16B6DAC3" w:rsidR="0099005A" w:rsidRPr="00B66AEC" w:rsidRDefault="0099005A" w:rsidP="0099005A">
      <w:pPr>
        <w:rPr>
          <w:rFonts w:ascii="Times New Roman" w:hAnsi="Times New Roman" w:cs="Times New Roman"/>
          <w:sz w:val="24"/>
          <w:szCs w:val="24"/>
        </w:rPr>
      </w:pPr>
      <w:r w:rsidRPr="00B66AEC">
        <w:rPr>
          <w:rFonts w:ascii="Times New Roman" w:hAnsi="Times New Roman" w:cs="Times New Roman"/>
          <w:sz w:val="24"/>
          <w:szCs w:val="24"/>
        </w:rPr>
        <w:t>The</w:t>
      </w:r>
      <w:r w:rsidR="007F36F7" w:rsidRPr="00B66AEC">
        <w:rPr>
          <w:rFonts w:ascii="Times New Roman" w:hAnsi="Times New Roman" w:cs="Times New Roman"/>
          <w:sz w:val="24"/>
          <w:szCs w:val="24"/>
        </w:rPr>
        <w:t xml:space="preserve"> </w:t>
      </w:r>
      <w:r w:rsidRPr="00B66AEC">
        <w:rPr>
          <w:rFonts w:ascii="Times New Roman" w:hAnsi="Times New Roman" w:cs="Times New Roman"/>
          <w:i/>
          <w:sz w:val="24"/>
          <w:szCs w:val="24"/>
        </w:rPr>
        <w:t>Migration</w:t>
      </w:r>
      <w:r w:rsidR="007F36F7" w:rsidRPr="00B66AEC">
        <w:rPr>
          <w:rFonts w:ascii="Times New Roman" w:hAnsi="Times New Roman" w:cs="Times New Roman"/>
          <w:i/>
          <w:sz w:val="24"/>
          <w:szCs w:val="24"/>
        </w:rPr>
        <w:t xml:space="preserve"> </w:t>
      </w:r>
      <w:r w:rsidRPr="00B66AEC">
        <w:rPr>
          <w:rFonts w:ascii="Times New Roman" w:hAnsi="Times New Roman" w:cs="Times New Roman"/>
          <w:i/>
          <w:sz w:val="24"/>
          <w:szCs w:val="24"/>
        </w:rPr>
        <w:t>Act</w:t>
      </w:r>
      <w:r w:rsidR="007F36F7" w:rsidRPr="00B66AEC">
        <w:rPr>
          <w:rFonts w:ascii="Times New Roman" w:hAnsi="Times New Roman" w:cs="Times New Roman"/>
          <w:i/>
          <w:sz w:val="24"/>
          <w:szCs w:val="24"/>
        </w:rPr>
        <w:t xml:space="preserve"> </w:t>
      </w:r>
      <w:r w:rsidRPr="00B66AEC">
        <w:rPr>
          <w:rFonts w:ascii="Times New Roman" w:hAnsi="Times New Roman" w:cs="Times New Roman"/>
          <w:i/>
          <w:sz w:val="24"/>
          <w:szCs w:val="24"/>
        </w:rPr>
        <w:t>1958</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(the</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Migration</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Act)</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is</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an</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Act</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relating</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to</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the</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entry</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into,</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and</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presence</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in,</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Australia</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of</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aliens,</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and</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the</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departure</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or</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deportation</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from</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Australia</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of</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aliens</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and</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certain</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other</w:t>
      </w:r>
      <w:r w:rsidR="007F36F7" w:rsidRPr="00B66AEC">
        <w:rPr>
          <w:rFonts w:ascii="Times New Roman" w:hAnsi="Times New Roman" w:cs="Times New Roman"/>
          <w:sz w:val="24"/>
          <w:szCs w:val="24"/>
        </w:rPr>
        <w:t xml:space="preserve"> </w:t>
      </w:r>
      <w:r w:rsidRPr="00B66AEC">
        <w:rPr>
          <w:rFonts w:ascii="Times New Roman" w:hAnsi="Times New Roman" w:cs="Times New Roman"/>
          <w:sz w:val="24"/>
          <w:szCs w:val="24"/>
        </w:rPr>
        <w:t>persons.</w:t>
      </w:r>
    </w:p>
    <w:p w14:paraId="7B205E85" w14:textId="43CAA59B" w:rsidR="0099005A" w:rsidRPr="00B66AEC" w:rsidRDefault="0099005A" w:rsidP="0099005A">
      <w:pPr>
        <w:rPr>
          <w:rFonts w:ascii="Times New Roman" w:eastAsia="Times New Roman" w:hAnsi="Times New Roman" w:cs="Times New Roman"/>
          <w:sz w:val="24"/>
          <w:szCs w:val="24"/>
          <w:lang w:eastAsia="en-AU"/>
        </w:rPr>
      </w:pPr>
      <w:r w:rsidRPr="00B66AEC">
        <w:rPr>
          <w:rFonts w:ascii="Times New Roman" w:eastAsia="Times New Roman" w:hAnsi="Times New Roman" w:cs="Times New Roman"/>
          <w:sz w:val="24"/>
          <w:szCs w:val="24"/>
          <w:lang w:eastAsia="en-AU"/>
        </w:rPr>
        <w:t>Subsection</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504(1)</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of</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the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Migration</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Act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provides</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that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the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Governor-General</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may</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make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regulations,</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not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inconsistent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with</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the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Migration</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Act,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prescribing</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matters</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required</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or</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permitted</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to</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be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prescribed,</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or</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necessary</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or</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convenient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to</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be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prescribed,</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for</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carrying</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out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or</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giving</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effect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to</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the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Migration</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Act.</w:t>
      </w:r>
    </w:p>
    <w:p w14:paraId="23D7004A" w14:textId="2086DD88" w:rsidR="00E56C2B" w:rsidRPr="00B66AEC" w:rsidRDefault="00E56C2B" w:rsidP="0099005A">
      <w:pPr>
        <w:rPr>
          <w:rFonts w:ascii="Times New Roman" w:eastAsia="Times New Roman" w:hAnsi="Times New Roman" w:cs="Times New Roman"/>
          <w:sz w:val="24"/>
          <w:szCs w:val="24"/>
          <w:lang w:eastAsia="en-AU"/>
        </w:rPr>
      </w:pPr>
      <w:r w:rsidRPr="00B66AEC">
        <w:rPr>
          <w:rFonts w:ascii="Times New Roman" w:eastAsia="Times New Roman" w:hAnsi="Times New Roman" w:cs="Times New Roman"/>
          <w:sz w:val="24"/>
          <w:szCs w:val="24"/>
          <w:lang w:eastAsia="en-AU"/>
        </w:rPr>
        <w:t>In</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addition,</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regulations</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may</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be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made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pursuant</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to</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the</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provisions</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listed</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lang w:eastAsia="en-AU"/>
        </w:rPr>
        <w:t>in</w:t>
      </w:r>
      <w:r w:rsidR="007F36F7" w:rsidRPr="00B66AEC">
        <w:rPr>
          <w:rFonts w:ascii="Times New Roman" w:eastAsia="Times New Roman" w:hAnsi="Times New Roman" w:cs="Times New Roman"/>
          <w:sz w:val="24"/>
          <w:szCs w:val="24"/>
          <w:lang w:eastAsia="en-AU"/>
        </w:rPr>
        <w:t xml:space="preserve"> </w:t>
      </w:r>
      <w:r w:rsidRPr="00B66AEC">
        <w:rPr>
          <w:rFonts w:ascii="Times New Roman" w:eastAsia="Times New Roman" w:hAnsi="Times New Roman" w:cs="Times New Roman"/>
          <w:sz w:val="24"/>
          <w:szCs w:val="24"/>
          <w:u w:val="single"/>
          <w:lang w:eastAsia="en-AU"/>
        </w:rPr>
        <w:t>Attachment</w:t>
      </w:r>
      <w:r w:rsidR="007F36F7" w:rsidRPr="00B66AEC">
        <w:rPr>
          <w:rFonts w:ascii="Times New Roman" w:eastAsia="Times New Roman" w:hAnsi="Times New Roman" w:cs="Times New Roman"/>
          <w:sz w:val="24"/>
          <w:szCs w:val="24"/>
          <w:u w:val="single"/>
          <w:lang w:eastAsia="en-AU"/>
        </w:rPr>
        <w:t xml:space="preserve"> </w:t>
      </w:r>
      <w:r w:rsidRPr="00B66AEC">
        <w:rPr>
          <w:rFonts w:ascii="Times New Roman" w:eastAsia="Times New Roman" w:hAnsi="Times New Roman" w:cs="Times New Roman"/>
          <w:sz w:val="24"/>
          <w:szCs w:val="24"/>
          <w:u w:val="single"/>
          <w:lang w:eastAsia="en-AU"/>
        </w:rPr>
        <w:t>A</w:t>
      </w:r>
      <w:r w:rsidRPr="00B66AEC">
        <w:rPr>
          <w:rFonts w:ascii="Times New Roman" w:eastAsia="Times New Roman" w:hAnsi="Times New Roman" w:cs="Times New Roman"/>
          <w:sz w:val="24"/>
          <w:szCs w:val="24"/>
          <w:lang w:eastAsia="en-AU"/>
        </w:rPr>
        <w:t>.</w:t>
      </w:r>
    </w:p>
    <w:p w14:paraId="5DD40BB1" w14:textId="531E149F" w:rsidR="00E5774D" w:rsidRPr="00B66AEC" w:rsidRDefault="00E5774D" w:rsidP="00992A08">
      <w:pPr>
        <w:spacing w:before="120" w:after="120" w:line="240" w:lineRule="auto"/>
        <w:rPr>
          <w:rFonts w:ascii="Times New Roman" w:hAnsi="Times New Roman"/>
          <w:sz w:val="24"/>
          <w:szCs w:val="24"/>
        </w:rPr>
      </w:pP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i/>
          <w:sz w:val="24"/>
          <w:szCs w:val="24"/>
        </w:rPr>
        <w:t>Migration</w:t>
      </w:r>
      <w:r w:rsidR="007F36F7" w:rsidRPr="00B66AEC">
        <w:rPr>
          <w:rFonts w:ascii="Times New Roman" w:hAnsi="Times New Roman"/>
          <w:i/>
          <w:sz w:val="24"/>
          <w:szCs w:val="24"/>
        </w:rPr>
        <w:t xml:space="preserve"> </w:t>
      </w:r>
      <w:r w:rsidRPr="00B66AEC">
        <w:rPr>
          <w:rFonts w:ascii="Times New Roman" w:hAnsi="Times New Roman"/>
          <w:i/>
          <w:sz w:val="24"/>
          <w:szCs w:val="24"/>
        </w:rPr>
        <w:t>Amendment</w:t>
      </w:r>
      <w:r w:rsidR="007F36F7" w:rsidRPr="00B66AEC">
        <w:rPr>
          <w:rFonts w:ascii="Times New Roman" w:hAnsi="Times New Roman"/>
          <w:i/>
          <w:sz w:val="24"/>
          <w:szCs w:val="24"/>
        </w:rPr>
        <w:t xml:space="preserve"> </w:t>
      </w:r>
      <w:r w:rsidRPr="00B66AEC">
        <w:rPr>
          <w:rFonts w:ascii="Times New Roman" w:hAnsi="Times New Roman"/>
          <w:i/>
          <w:sz w:val="24"/>
          <w:szCs w:val="24"/>
        </w:rPr>
        <w:t>(Dependent</w:t>
      </w:r>
      <w:r w:rsidR="007F36F7" w:rsidRPr="00B66AEC">
        <w:rPr>
          <w:rFonts w:ascii="Times New Roman" w:hAnsi="Times New Roman"/>
          <w:i/>
          <w:sz w:val="24"/>
          <w:szCs w:val="24"/>
        </w:rPr>
        <w:t xml:space="preserve"> </w:t>
      </w:r>
      <w:r w:rsidRPr="00B66AEC">
        <w:rPr>
          <w:rFonts w:ascii="Times New Roman" w:hAnsi="Times New Roman"/>
          <w:i/>
          <w:sz w:val="24"/>
          <w:szCs w:val="24"/>
        </w:rPr>
        <w:t>Secondary</w:t>
      </w:r>
      <w:r w:rsidR="007F36F7" w:rsidRPr="00B66AEC">
        <w:rPr>
          <w:rFonts w:ascii="Times New Roman" w:hAnsi="Times New Roman"/>
          <w:i/>
          <w:sz w:val="24"/>
          <w:szCs w:val="24"/>
        </w:rPr>
        <w:t xml:space="preserve"> </w:t>
      </w:r>
      <w:r w:rsidRPr="00B66AEC">
        <w:rPr>
          <w:rFonts w:ascii="Times New Roman" w:hAnsi="Times New Roman"/>
          <w:i/>
          <w:sz w:val="24"/>
          <w:szCs w:val="24"/>
        </w:rPr>
        <w:t>Partner</w:t>
      </w:r>
      <w:r w:rsidR="007F36F7" w:rsidRPr="00B66AEC">
        <w:rPr>
          <w:rFonts w:ascii="Times New Roman" w:hAnsi="Times New Roman"/>
          <w:i/>
          <w:sz w:val="24"/>
          <w:szCs w:val="24"/>
        </w:rPr>
        <w:t xml:space="preserve"> </w:t>
      </w:r>
      <w:r w:rsidRPr="00B66AEC">
        <w:rPr>
          <w:rFonts w:ascii="Times New Roman" w:hAnsi="Times New Roman"/>
          <w:i/>
          <w:sz w:val="24"/>
          <w:szCs w:val="24"/>
        </w:rPr>
        <w:t>Visa</w:t>
      </w:r>
      <w:r w:rsidR="007F36F7" w:rsidRPr="00B66AEC">
        <w:rPr>
          <w:rFonts w:ascii="Times New Roman" w:hAnsi="Times New Roman"/>
          <w:i/>
          <w:sz w:val="24"/>
          <w:szCs w:val="24"/>
        </w:rPr>
        <w:t xml:space="preserve"> </w:t>
      </w:r>
      <w:r w:rsidRPr="00B66AEC">
        <w:rPr>
          <w:rFonts w:ascii="Times New Roman" w:hAnsi="Times New Roman"/>
          <w:i/>
          <w:sz w:val="24"/>
          <w:szCs w:val="24"/>
        </w:rPr>
        <w:t>Applicants)</w:t>
      </w:r>
      <w:r w:rsidR="007F36F7" w:rsidRPr="00B66AEC">
        <w:rPr>
          <w:rFonts w:ascii="Times New Roman" w:hAnsi="Times New Roman"/>
          <w:i/>
          <w:sz w:val="24"/>
          <w:szCs w:val="24"/>
        </w:rPr>
        <w:t xml:space="preserve"> </w:t>
      </w:r>
      <w:r w:rsidRPr="00B66AEC">
        <w:rPr>
          <w:rFonts w:ascii="Times New Roman" w:hAnsi="Times New Roman"/>
          <w:i/>
          <w:sz w:val="24"/>
          <w:szCs w:val="24"/>
        </w:rPr>
        <w:t>Regulations</w:t>
      </w:r>
      <w:r w:rsidR="007F36F7" w:rsidRPr="00B66AEC">
        <w:rPr>
          <w:rFonts w:ascii="Times New Roman" w:hAnsi="Times New Roman"/>
          <w:i/>
          <w:sz w:val="24"/>
          <w:szCs w:val="24"/>
        </w:rPr>
        <w:t xml:space="preserve"> </w:t>
      </w:r>
      <w:r w:rsidRPr="00B66AEC">
        <w:rPr>
          <w:rFonts w:ascii="Times New Roman" w:hAnsi="Times New Roman"/>
          <w:i/>
          <w:sz w:val="24"/>
          <w:szCs w:val="24"/>
        </w:rPr>
        <w:t>2024</w:t>
      </w:r>
      <w:r w:rsidR="007F36F7" w:rsidRPr="00B66AEC">
        <w:rPr>
          <w:rFonts w:ascii="Times New Roman" w:hAnsi="Times New Roman"/>
          <w:i/>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Amendment</w:t>
      </w:r>
      <w:r w:rsidR="007F36F7" w:rsidRPr="00B66AEC">
        <w:rPr>
          <w:rFonts w:ascii="Times New Roman" w:hAnsi="Times New Roman"/>
          <w:sz w:val="24"/>
          <w:szCs w:val="24"/>
        </w:rPr>
        <w:t xml:space="preserve"> </w:t>
      </w:r>
      <w:r w:rsidRPr="00B66AEC">
        <w:rPr>
          <w:rFonts w:ascii="Times New Roman" w:hAnsi="Times New Roman"/>
          <w:sz w:val="24"/>
          <w:szCs w:val="24"/>
        </w:rPr>
        <w:t>Regulations)</w:t>
      </w:r>
      <w:r w:rsidR="007F36F7" w:rsidRPr="00B66AEC">
        <w:rPr>
          <w:rFonts w:ascii="Times New Roman" w:hAnsi="Times New Roman"/>
          <w:sz w:val="24"/>
          <w:szCs w:val="24"/>
        </w:rPr>
        <w:t xml:space="preserve"> </w:t>
      </w:r>
      <w:r w:rsidRPr="00B66AEC">
        <w:rPr>
          <w:rFonts w:ascii="Times New Roman" w:hAnsi="Times New Roman"/>
          <w:sz w:val="24"/>
          <w:szCs w:val="24"/>
        </w:rPr>
        <w:t>amend</w:t>
      </w:r>
      <w:r w:rsidR="007F36F7" w:rsidRPr="00B66AEC">
        <w:rPr>
          <w:rFonts w:ascii="Times New Roman" w:hAnsi="Times New Roman"/>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i/>
          <w:sz w:val="24"/>
          <w:szCs w:val="24"/>
        </w:rPr>
        <w:t>Migration</w:t>
      </w:r>
      <w:r w:rsidR="007F36F7" w:rsidRPr="00B66AEC">
        <w:rPr>
          <w:rFonts w:ascii="Times New Roman" w:hAnsi="Times New Roman"/>
          <w:i/>
          <w:sz w:val="24"/>
          <w:szCs w:val="24"/>
        </w:rPr>
        <w:t xml:space="preserve"> </w:t>
      </w:r>
      <w:r w:rsidRPr="00B66AEC">
        <w:rPr>
          <w:rFonts w:ascii="Times New Roman" w:hAnsi="Times New Roman"/>
          <w:i/>
          <w:sz w:val="24"/>
          <w:szCs w:val="24"/>
        </w:rPr>
        <w:t>Regulations</w:t>
      </w:r>
      <w:r w:rsidR="007F36F7" w:rsidRPr="00B66AEC">
        <w:rPr>
          <w:rFonts w:ascii="Times New Roman" w:hAnsi="Times New Roman"/>
          <w:i/>
          <w:sz w:val="24"/>
          <w:szCs w:val="24"/>
        </w:rPr>
        <w:t xml:space="preserve"> </w:t>
      </w:r>
      <w:r w:rsidRPr="00B66AEC">
        <w:rPr>
          <w:rFonts w:ascii="Times New Roman" w:hAnsi="Times New Roman"/>
          <w:i/>
          <w:sz w:val="24"/>
          <w:szCs w:val="24"/>
        </w:rPr>
        <w:t>1994</w:t>
      </w:r>
      <w:r w:rsidR="007F36F7" w:rsidRPr="00B66AEC">
        <w:rPr>
          <w:rFonts w:ascii="Times New Roman" w:hAnsi="Times New Roman"/>
          <w:i/>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Migration</w:t>
      </w:r>
      <w:r w:rsidR="007F36F7" w:rsidRPr="00B66AEC">
        <w:rPr>
          <w:rFonts w:ascii="Times New Roman" w:hAnsi="Times New Roman"/>
          <w:sz w:val="24"/>
          <w:szCs w:val="24"/>
        </w:rPr>
        <w:t xml:space="preserve"> </w:t>
      </w:r>
      <w:r w:rsidRPr="00B66AEC">
        <w:rPr>
          <w:rFonts w:ascii="Times New Roman" w:hAnsi="Times New Roman"/>
          <w:sz w:val="24"/>
          <w:szCs w:val="24"/>
        </w:rPr>
        <w:t>Regulations),</w:t>
      </w:r>
      <w:r w:rsidR="007F36F7" w:rsidRPr="00B66AEC">
        <w:rPr>
          <w:rFonts w:ascii="Times New Roman" w:hAnsi="Times New Roman"/>
          <w:sz w:val="24"/>
          <w:szCs w:val="24"/>
        </w:rPr>
        <w:t xml:space="preserve"> </w:t>
      </w:r>
      <w:r w:rsidRPr="00B66AEC">
        <w:rPr>
          <w:rFonts w:ascii="Times New Roman" w:hAnsi="Times New Roman"/>
          <w:sz w:val="24"/>
          <w:szCs w:val="24"/>
        </w:rPr>
        <w:t>to</w:t>
      </w:r>
      <w:r w:rsidR="007F36F7" w:rsidRPr="00B66AEC">
        <w:rPr>
          <w:rFonts w:ascii="Times New Roman" w:hAnsi="Times New Roman"/>
          <w:sz w:val="24"/>
          <w:szCs w:val="24"/>
        </w:rPr>
        <w:t xml:space="preserve"> </w:t>
      </w:r>
      <w:r w:rsidRPr="00B66AEC">
        <w:rPr>
          <w:rFonts w:ascii="Times New Roman" w:hAnsi="Times New Roman"/>
          <w:sz w:val="24"/>
          <w:szCs w:val="24"/>
        </w:rPr>
        <w:t>enable</w:t>
      </w:r>
      <w:r w:rsidR="007F36F7" w:rsidRPr="00B66AEC">
        <w:rPr>
          <w:rFonts w:ascii="Times New Roman" w:hAnsi="Times New Roman"/>
          <w:sz w:val="24"/>
          <w:szCs w:val="24"/>
        </w:rPr>
        <w:t xml:space="preserve"> </w:t>
      </w:r>
      <w:r w:rsidRPr="00B66AEC">
        <w:rPr>
          <w:rFonts w:ascii="Times New Roman" w:hAnsi="Times New Roman"/>
          <w:sz w:val="24"/>
          <w:szCs w:val="24"/>
        </w:rPr>
        <w:t>a</w:t>
      </w:r>
      <w:r w:rsidR="007F36F7" w:rsidRPr="00B66AEC">
        <w:rPr>
          <w:rFonts w:ascii="Times New Roman" w:hAnsi="Times New Roman"/>
          <w:sz w:val="24"/>
          <w:szCs w:val="24"/>
        </w:rPr>
        <w:t xml:space="preserve"> </w:t>
      </w:r>
      <w:r w:rsidRPr="00B66AEC">
        <w:rPr>
          <w:rFonts w:ascii="Times New Roman" w:hAnsi="Times New Roman"/>
          <w:sz w:val="24"/>
          <w:szCs w:val="24"/>
        </w:rPr>
        <w:t>cohort</w:t>
      </w:r>
      <w:r w:rsidR="007F36F7" w:rsidRPr="00B66AEC">
        <w:rPr>
          <w:rFonts w:ascii="Times New Roman" w:hAnsi="Times New Roman"/>
          <w:sz w:val="24"/>
          <w:szCs w:val="24"/>
        </w:rPr>
        <w:t xml:space="preserve"> </w:t>
      </w:r>
      <w:r w:rsidRPr="00B66AEC">
        <w:rPr>
          <w:rFonts w:ascii="Times New Roman" w:hAnsi="Times New Roman"/>
          <w:sz w:val="24"/>
          <w:szCs w:val="24"/>
        </w:rPr>
        <w:t>of</w:t>
      </w:r>
      <w:r w:rsidR="007F36F7" w:rsidRPr="00B66AEC">
        <w:rPr>
          <w:rFonts w:ascii="Times New Roman" w:hAnsi="Times New Roman"/>
          <w:sz w:val="24"/>
          <w:szCs w:val="24"/>
        </w:rPr>
        <w:t xml:space="preserve"> </w:t>
      </w:r>
      <w:r w:rsidRPr="00B66AEC">
        <w:rPr>
          <w:rFonts w:ascii="Times New Roman" w:hAnsi="Times New Roman"/>
          <w:sz w:val="24"/>
          <w:szCs w:val="24"/>
        </w:rPr>
        <w:t>secondary</w:t>
      </w:r>
      <w:r w:rsidR="007F36F7" w:rsidRPr="00B66AEC">
        <w:rPr>
          <w:rFonts w:ascii="Times New Roman" w:hAnsi="Times New Roman"/>
          <w:sz w:val="24"/>
          <w:szCs w:val="24"/>
        </w:rPr>
        <w:t xml:space="preserve"> </w:t>
      </w:r>
      <w:r w:rsidRPr="00B66AEC">
        <w:rPr>
          <w:rFonts w:ascii="Times New Roman" w:hAnsi="Times New Roman"/>
          <w:sz w:val="24"/>
          <w:szCs w:val="24"/>
        </w:rPr>
        <w:t>applicants</w:t>
      </w:r>
      <w:r w:rsidR="007F36F7" w:rsidRPr="00B66AEC">
        <w:rPr>
          <w:rFonts w:ascii="Times New Roman" w:hAnsi="Times New Roman"/>
          <w:sz w:val="24"/>
          <w:szCs w:val="24"/>
        </w:rPr>
        <w:t xml:space="preserve"> </w:t>
      </w:r>
      <w:r w:rsidRPr="00B66AEC">
        <w:rPr>
          <w:rFonts w:ascii="Times New Roman" w:hAnsi="Times New Roman"/>
          <w:sz w:val="24"/>
          <w:szCs w:val="24"/>
        </w:rPr>
        <w:t>for</w:t>
      </w:r>
      <w:r w:rsidR="007F36F7" w:rsidRPr="00B66AEC">
        <w:rPr>
          <w:rFonts w:ascii="Times New Roman" w:hAnsi="Times New Roman"/>
          <w:sz w:val="24"/>
          <w:szCs w:val="24"/>
        </w:rPr>
        <w:t xml:space="preserve"> </w:t>
      </w:r>
      <w:r w:rsidRPr="00B66AEC">
        <w:rPr>
          <w:rFonts w:ascii="Times New Roman" w:hAnsi="Times New Roman"/>
          <w:sz w:val="24"/>
          <w:szCs w:val="24"/>
        </w:rPr>
        <w:t>Subclass</w:t>
      </w:r>
      <w:r w:rsidR="007F36F7" w:rsidRPr="00B66AEC">
        <w:rPr>
          <w:rFonts w:ascii="Times New Roman" w:hAnsi="Times New Roman"/>
          <w:sz w:val="24"/>
          <w:szCs w:val="24"/>
        </w:rPr>
        <w:t xml:space="preserve"> </w:t>
      </w:r>
      <w:r w:rsidRPr="00B66AEC">
        <w:rPr>
          <w:rFonts w:ascii="Times New Roman" w:hAnsi="Times New Roman"/>
          <w:sz w:val="24"/>
          <w:szCs w:val="24"/>
        </w:rPr>
        <w:t>309</w:t>
      </w:r>
      <w:r w:rsidR="007F36F7" w:rsidRPr="00B66AEC">
        <w:rPr>
          <w:rFonts w:ascii="Times New Roman" w:hAnsi="Times New Roman"/>
          <w:sz w:val="24"/>
          <w:szCs w:val="24"/>
        </w:rPr>
        <w:t xml:space="preserve"> </w:t>
      </w:r>
      <w:r w:rsidRPr="00B66AEC">
        <w:rPr>
          <w:rFonts w:ascii="Times New Roman" w:hAnsi="Times New Roman"/>
          <w:sz w:val="24"/>
          <w:szCs w:val="24"/>
        </w:rPr>
        <w:t>(Partner</w:t>
      </w:r>
      <w:r w:rsidR="007F36F7" w:rsidRPr="00B66AEC">
        <w:rPr>
          <w:rFonts w:ascii="Times New Roman" w:hAnsi="Times New Roman"/>
          <w:sz w:val="24"/>
          <w:szCs w:val="24"/>
        </w:rPr>
        <w:t xml:space="preserve"> </w:t>
      </w:r>
      <w:r w:rsidRPr="00B66AEC">
        <w:rPr>
          <w:rFonts w:ascii="Times New Roman" w:hAnsi="Times New Roman"/>
          <w:sz w:val="24"/>
          <w:szCs w:val="24"/>
        </w:rPr>
        <w:t>(Provisional))</w:t>
      </w:r>
      <w:r w:rsidR="007F36F7" w:rsidRPr="00B66AEC">
        <w:rPr>
          <w:rFonts w:ascii="Times New Roman" w:hAnsi="Times New Roman"/>
          <w:sz w:val="24"/>
          <w:szCs w:val="24"/>
        </w:rPr>
        <w:t xml:space="preserve"> </w:t>
      </w:r>
      <w:r w:rsidRPr="00B66AEC">
        <w:rPr>
          <w:rFonts w:ascii="Times New Roman" w:hAnsi="Times New Roman"/>
          <w:sz w:val="24"/>
          <w:szCs w:val="24"/>
        </w:rPr>
        <w:t>and</w:t>
      </w:r>
      <w:r w:rsidR="007F36F7" w:rsidRPr="00B66AEC">
        <w:rPr>
          <w:rFonts w:ascii="Times New Roman" w:hAnsi="Times New Roman"/>
          <w:sz w:val="24"/>
          <w:szCs w:val="24"/>
        </w:rPr>
        <w:t xml:space="preserve"> </w:t>
      </w:r>
      <w:r w:rsidRPr="00B66AEC">
        <w:rPr>
          <w:rFonts w:ascii="Times New Roman" w:hAnsi="Times New Roman"/>
          <w:sz w:val="24"/>
          <w:szCs w:val="24"/>
        </w:rPr>
        <w:t>Subclass</w:t>
      </w:r>
      <w:r w:rsidR="007F36F7" w:rsidRPr="00B66AEC">
        <w:rPr>
          <w:rFonts w:ascii="Times New Roman" w:hAnsi="Times New Roman"/>
          <w:sz w:val="24"/>
          <w:szCs w:val="24"/>
        </w:rPr>
        <w:t xml:space="preserve"> </w:t>
      </w:r>
      <w:r w:rsidRPr="00B66AEC">
        <w:rPr>
          <w:rFonts w:ascii="Times New Roman" w:hAnsi="Times New Roman"/>
          <w:sz w:val="24"/>
          <w:szCs w:val="24"/>
        </w:rPr>
        <w:t>100</w:t>
      </w:r>
      <w:r w:rsidR="007F36F7" w:rsidRPr="00B66AEC">
        <w:rPr>
          <w:rFonts w:ascii="Times New Roman" w:hAnsi="Times New Roman"/>
          <w:sz w:val="24"/>
          <w:szCs w:val="24"/>
        </w:rPr>
        <w:t xml:space="preserve"> </w:t>
      </w:r>
      <w:r w:rsidRPr="00B66AEC">
        <w:rPr>
          <w:rFonts w:ascii="Times New Roman" w:hAnsi="Times New Roman"/>
          <w:sz w:val="24"/>
          <w:szCs w:val="24"/>
        </w:rPr>
        <w:t>(Partner)</w:t>
      </w:r>
      <w:r w:rsidR="007F36F7" w:rsidRPr="00B66AEC">
        <w:rPr>
          <w:rFonts w:ascii="Times New Roman" w:hAnsi="Times New Roman"/>
          <w:sz w:val="24"/>
          <w:szCs w:val="24"/>
        </w:rPr>
        <w:t xml:space="preserve"> </w:t>
      </w:r>
      <w:r w:rsidRPr="00B66AEC">
        <w:rPr>
          <w:rFonts w:ascii="Times New Roman" w:hAnsi="Times New Roman"/>
          <w:sz w:val="24"/>
          <w:szCs w:val="24"/>
        </w:rPr>
        <w:t>visas</w:t>
      </w:r>
      <w:r w:rsidR="007F36F7" w:rsidRPr="00B66AEC">
        <w:rPr>
          <w:rFonts w:ascii="Times New Roman" w:hAnsi="Times New Roman"/>
          <w:sz w:val="24"/>
          <w:szCs w:val="24"/>
        </w:rPr>
        <w:t xml:space="preserve"> </w:t>
      </w:r>
      <w:r w:rsidRPr="00B66AEC">
        <w:rPr>
          <w:rFonts w:ascii="Times New Roman" w:hAnsi="Times New Roman"/>
          <w:sz w:val="24"/>
          <w:szCs w:val="24"/>
        </w:rPr>
        <w:t>who,</w:t>
      </w:r>
      <w:r w:rsidR="007F36F7" w:rsidRPr="00B66AEC">
        <w:rPr>
          <w:rFonts w:ascii="Times New Roman" w:hAnsi="Times New Roman"/>
          <w:sz w:val="24"/>
          <w:szCs w:val="24"/>
        </w:rPr>
        <w:t xml:space="preserve"> </w:t>
      </w:r>
      <w:r w:rsidRPr="00B66AEC">
        <w:rPr>
          <w:rFonts w:ascii="Times New Roman" w:hAnsi="Times New Roman"/>
          <w:sz w:val="24"/>
          <w:szCs w:val="24"/>
        </w:rPr>
        <w:t>due</w:t>
      </w:r>
      <w:r w:rsidR="007F36F7" w:rsidRPr="00B66AEC">
        <w:rPr>
          <w:rFonts w:ascii="Times New Roman" w:hAnsi="Times New Roman"/>
          <w:sz w:val="24"/>
          <w:szCs w:val="24"/>
        </w:rPr>
        <w:t xml:space="preserve"> </w:t>
      </w:r>
      <w:r w:rsidRPr="00B66AEC">
        <w:rPr>
          <w:rFonts w:ascii="Times New Roman" w:hAnsi="Times New Roman"/>
          <w:sz w:val="24"/>
          <w:szCs w:val="24"/>
        </w:rPr>
        <w:t>to</w:t>
      </w:r>
      <w:r w:rsidR="007F36F7" w:rsidRPr="00B66AEC">
        <w:rPr>
          <w:rFonts w:ascii="Times New Roman" w:hAnsi="Times New Roman"/>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impact</w:t>
      </w:r>
      <w:r w:rsidR="007F36F7" w:rsidRPr="00B66AEC">
        <w:rPr>
          <w:rFonts w:ascii="Times New Roman" w:hAnsi="Times New Roman"/>
          <w:sz w:val="24"/>
          <w:szCs w:val="24"/>
        </w:rPr>
        <w:t xml:space="preserve"> </w:t>
      </w:r>
      <w:r w:rsidRPr="00B66AEC">
        <w:rPr>
          <w:rFonts w:ascii="Times New Roman" w:hAnsi="Times New Roman"/>
          <w:sz w:val="24"/>
          <w:szCs w:val="24"/>
        </w:rPr>
        <w:t>of</w:t>
      </w:r>
      <w:r w:rsidR="007F36F7" w:rsidRPr="00B66AEC">
        <w:rPr>
          <w:rFonts w:ascii="Times New Roman" w:hAnsi="Times New Roman"/>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now</w:t>
      </w:r>
      <w:r w:rsidR="007F36F7" w:rsidRPr="00B66AEC">
        <w:rPr>
          <w:rFonts w:ascii="Times New Roman" w:hAnsi="Times New Roman"/>
          <w:sz w:val="24"/>
          <w:szCs w:val="24"/>
        </w:rPr>
        <w:t xml:space="preserve"> </w:t>
      </w:r>
      <w:r w:rsidRPr="00B66AEC">
        <w:rPr>
          <w:rFonts w:ascii="Times New Roman" w:hAnsi="Times New Roman"/>
          <w:sz w:val="24"/>
          <w:szCs w:val="24"/>
        </w:rPr>
        <w:t>revoked</w:t>
      </w:r>
      <w:r w:rsidR="007F36F7" w:rsidRPr="00B66AEC">
        <w:rPr>
          <w:rFonts w:ascii="Times New Roman" w:hAnsi="Times New Roman"/>
          <w:sz w:val="24"/>
          <w:szCs w:val="24"/>
        </w:rPr>
        <w:t xml:space="preserve"> </w:t>
      </w:r>
      <w:r w:rsidRPr="00B66AEC">
        <w:rPr>
          <w:rFonts w:ascii="Times New Roman" w:hAnsi="Times New Roman"/>
          <w:sz w:val="24"/>
          <w:szCs w:val="24"/>
        </w:rPr>
        <w:t>Ministerial</w:t>
      </w:r>
      <w:r w:rsidR="007F36F7" w:rsidRPr="00B66AEC">
        <w:rPr>
          <w:rFonts w:ascii="Times New Roman" w:hAnsi="Times New Roman"/>
          <w:sz w:val="24"/>
          <w:szCs w:val="24"/>
        </w:rPr>
        <w:t xml:space="preserve"> </w:t>
      </w:r>
      <w:r w:rsidRPr="00B66AEC">
        <w:rPr>
          <w:rFonts w:ascii="Times New Roman" w:hAnsi="Times New Roman"/>
          <w:sz w:val="24"/>
          <w:szCs w:val="24"/>
        </w:rPr>
        <w:t>Direction</w:t>
      </w:r>
      <w:r w:rsidR="007F36F7" w:rsidRPr="00B66AEC">
        <w:rPr>
          <w:rFonts w:ascii="Times New Roman" w:hAnsi="Times New Roman"/>
          <w:sz w:val="24"/>
          <w:szCs w:val="24"/>
        </w:rPr>
        <w:t xml:space="preserve"> </w:t>
      </w:r>
      <w:r w:rsidRPr="00B66AEC">
        <w:rPr>
          <w:rFonts w:ascii="Times New Roman" w:hAnsi="Times New Roman"/>
          <w:sz w:val="24"/>
          <w:szCs w:val="24"/>
        </w:rPr>
        <w:t>80</w:t>
      </w:r>
      <w:r w:rsidRPr="00B66AEC">
        <w:rPr>
          <w:rFonts w:ascii="Times New Roman" w:hAnsi="Times New Roman"/>
          <w:sz w:val="24"/>
          <w:szCs w:val="24"/>
          <w:vertAlign w:val="superscript"/>
        </w:rPr>
        <w:footnoteReference w:id="1"/>
      </w:r>
      <w:r w:rsidRPr="00B66AEC">
        <w:rPr>
          <w:rFonts w:ascii="Times New Roman" w:hAnsi="Times New Roman"/>
          <w:sz w:val="24"/>
          <w:szCs w:val="24"/>
        </w:rPr>
        <w:t>,</w:t>
      </w:r>
      <w:r w:rsidR="007F36F7" w:rsidRPr="00B66AEC">
        <w:rPr>
          <w:rFonts w:ascii="Times New Roman" w:hAnsi="Times New Roman"/>
          <w:sz w:val="24"/>
          <w:szCs w:val="24"/>
        </w:rPr>
        <w:t xml:space="preserve"> </w:t>
      </w:r>
      <w:r w:rsidRPr="00B66AEC">
        <w:rPr>
          <w:rFonts w:ascii="Times New Roman" w:hAnsi="Times New Roman"/>
          <w:sz w:val="24"/>
          <w:szCs w:val="24"/>
        </w:rPr>
        <w:t>no</w:t>
      </w:r>
      <w:r w:rsidR="007F36F7" w:rsidRPr="00B66AEC">
        <w:rPr>
          <w:rFonts w:ascii="Times New Roman" w:hAnsi="Times New Roman"/>
          <w:sz w:val="24"/>
          <w:szCs w:val="24"/>
        </w:rPr>
        <w:t xml:space="preserve"> </w:t>
      </w:r>
      <w:r w:rsidRPr="00B66AEC">
        <w:rPr>
          <w:rFonts w:ascii="Times New Roman" w:hAnsi="Times New Roman"/>
          <w:sz w:val="24"/>
          <w:szCs w:val="24"/>
        </w:rPr>
        <w:t>longer</w:t>
      </w:r>
      <w:r w:rsidR="007F36F7" w:rsidRPr="00B66AEC">
        <w:rPr>
          <w:rFonts w:ascii="Times New Roman" w:hAnsi="Times New Roman"/>
          <w:sz w:val="24"/>
          <w:szCs w:val="24"/>
        </w:rPr>
        <w:t xml:space="preserve"> </w:t>
      </w:r>
      <w:r w:rsidRPr="00B66AEC">
        <w:rPr>
          <w:rFonts w:ascii="Times New Roman" w:hAnsi="Times New Roman"/>
          <w:sz w:val="24"/>
          <w:szCs w:val="24"/>
        </w:rPr>
        <w:t>meet</w:t>
      </w:r>
      <w:r w:rsidR="007F36F7" w:rsidRPr="00B66AEC">
        <w:rPr>
          <w:rFonts w:ascii="Times New Roman" w:hAnsi="Times New Roman"/>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age</w:t>
      </w:r>
      <w:r w:rsidR="007F36F7" w:rsidRPr="00B66AEC">
        <w:rPr>
          <w:rFonts w:ascii="Times New Roman" w:hAnsi="Times New Roman"/>
          <w:sz w:val="24"/>
          <w:szCs w:val="24"/>
        </w:rPr>
        <w:t xml:space="preserve"> </w:t>
      </w:r>
      <w:r w:rsidRPr="00B66AEC">
        <w:rPr>
          <w:rFonts w:ascii="Times New Roman" w:hAnsi="Times New Roman"/>
          <w:sz w:val="24"/>
          <w:szCs w:val="24"/>
        </w:rPr>
        <w:t>requirement</w:t>
      </w:r>
      <w:r w:rsidR="007F36F7" w:rsidRPr="00B66AEC">
        <w:rPr>
          <w:rFonts w:ascii="Times New Roman" w:hAnsi="Times New Roman"/>
          <w:sz w:val="24"/>
          <w:szCs w:val="24"/>
        </w:rPr>
        <w:t xml:space="preserve"> </w:t>
      </w:r>
      <w:r w:rsidRPr="00B66AEC">
        <w:rPr>
          <w:rFonts w:ascii="Times New Roman" w:hAnsi="Times New Roman"/>
          <w:sz w:val="24"/>
          <w:szCs w:val="24"/>
        </w:rPr>
        <w:t>for</w:t>
      </w:r>
      <w:r w:rsidR="007F36F7" w:rsidRPr="00B66AEC">
        <w:rPr>
          <w:rFonts w:ascii="Times New Roman" w:hAnsi="Times New Roman"/>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visa,</w:t>
      </w:r>
      <w:r w:rsidR="007F36F7" w:rsidRPr="00B66AEC">
        <w:rPr>
          <w:rFonts w:ascii="Times New Roman" w:hAnsi="Times New Roman"/>
          <w:sz w:val="24"/>
          <w:szCs w:val="24"/>
        </w:rPr>
        <w:t xml:space="preserve"> </w:t>
      </w:r>
      <w:r w:rsidRPr="00B66AEC">
        <w:rPr>
          <w:rFonts w:ascii="Times New Roman" w:hAnsi="Times New Roman"/>
          <w:sz w:val="24"/>
          <w:szCs w:val="24"/>
        </w:rPr>
        <w:t>to</w:t>
      </w:r>
      <w:r w:rsidR="007F36F7" w:rsidRPr="00B66AEC">
        <w:rPr>
          <w:rFonts w:ascii="Times New Roman" w:hAnsi="Times New Roman"/>
          <w:sz w:val="24"/>
          <w:szCs w:val="24"/>
        </w:rPr>
        <w:t xml:space="preserve"> </w:t>
      </w:r>
      <w:r w:rsidRPr="00B66AEC">
        <w:rPr>
          <w:rFonts w:ascii="Times New Roman" w:hAnsi="Times New Roman"/>
          <w:sz w:val="24"/>
          <w:szCs w:val="24"/>
        </w:rPr>
        <w:t>be</w:t>
      </w:r>
      <w:r w:rsidR="007F36F7" w:rsidRPr="00B66AEC">
        <w:rPr>
          <w:rFonts w:ascii="Times New Roman" w:hAnsi="Times New Roman"/>
          <w:sz w:val="24"/>
          <w:szCs w:val="24"/>
        </w:rPr>
        <w:t xml:space="preserve"> </w:t>
      </w:r>
      <w:r w:rsidRPr="00B66AEC">
        <w:rPr>
          <w:rFonts w:ascii="Times New Roman" w:hAnsi="Times New Roman"/>
          <w:sz w:val="24"/>
          <w:szCs w:val="24"/>
        </w:rPr>
        <w:t>eligible</w:t>
      </w:r>
      <w:r w:rsidR="007F36F7" w:rsidRPr="00B66AEC">
        <w:rPr>
          <w:rFonts w:ascii="Times New Roman" w:hAnsi="Times New Roman"/>
          <w:sz w:val="24"/>
          <w:szCs w:val="24"/>
        </w:rPr>
        <w:t xml:space="preserve"> </w:t>
      </w:r>
      <w:r w:rsidRPr="00B66AEC">
        <w:rPr>
          <w:rFonts w:ascii="Times New Roman" w:hAnsi="Times New Roman"/>
          <w:sz w:val="24"/>
          <w:szCs w:val="24"/>
        </w:rPr>
        <w:t>for</w:t>
      </w:r>
      <w:r w:rsidR="007F36F7" w:rsidRPr="00B66AEC">
        <w:rPr>
          <w:rFonts w:ascii="Times New Roman" w:hAnsi="Times New Roman"/>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grant</w:t>
      </w:r>
      <w:r w:rsidR="007F36F7" w:rsidRPr="00B66AEC">
        <w:rPr>
          <w:rFonts w:ascii="Times New Roman" w:hAnsi="Times New Roman"/>
          <w:sz w:val="24"/>
          <w:szCs w:val="24"/>
        </w:rPr>
        <w:t xml:space="preserve"> </w:t>
      </w:r>
      <w:r w:rsidRPr="00B66AEC">
        <w:rPr>
          <w:rFonts w:ascii="Times New Roman" w:hAnsi="Times New Roman"/>
          <w:sz w:val="24"/>
          <w:szCs w:val="24"/>
        </w:rPr>
        <w:t>of</w:t>
      </w:r>
      <w:r w:rsidR="007F36F7" w:rsidRPr="00B66AEC">
        <w:rPr>
          <w:rFonts w:ascii="Times New Roman" w:hAnsi="Times New Roman"/>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visa.</w:t>
      </w:r>
      <w:r w:rsidR="007F36F7" w:rsidRPr="00B66AEC">
        <w:rPr>
          <w:rFonts w:ascii="Times New Roman" w:hAnsi="Times New Roman"/>
          <w:sz w:val="24"/>
          <w:szCs w:val="24"/>
        </w:rPr>
        <w:t xml:space="preserve"> </w:t>
      </w:r>
      <w:r w:rsidRPr="00B66AEC">
        <w:rPr>
          <w:rFonts w:ascii="Times New Roman" w:hAnsi="Times New Roman"/>
          <w:sz w:val="24"/>
          <w:szCs w:val="24"/>
        </w:rPr>
        <w:t>Ministerial</w:t>
      </w:r>
      <w:r w:rsidR="007F36F7" w:rsidRPr="00B66AEC">
        <w:rPr>
          <w:rFonts w:ascii="Times New Roman" w:hAnsi="Times New Roman"/>
          <w:sz w:val="24"/>
          <w:szCs w:val="24"/>
        </w:rPr>
        <w:t xml:space="preserve"> </w:t>
      </w:r>
      <w:r w:rsidRPr="00B66AEC">
        <w:rPr>
          <w:rFonts w:ascii="Times New Roman" w:hAnsi="Times New Roman"/>
          <w:sz w:val="24"/>
          <w:szCs w:val="24"/>
        </w:rPr>
        <w:t>Direction</w:t>
      </w:r>
      <w:r w:rsidR="007F36F7" w:rsidRPr="00B66AEC">
        <w:rPr>
          <w:rFonts w:ascii="Times New Roman" w:hAnsi="Times New Roman"/>
          <w:sz w:val="24"/>
          <w:szCs w:val="24"/>
        </w:rPr>
        <w:t xml:space="preserve"> </w:t>
      </w:r>
      <w:r w:rsidRPr="00B66AEC">
        <w:rPr>
          <w:rFonts w:ascii="Times New Roman" w:hAnsi="Times New Roman"/>
          <w:sz w:val="24"/>
          <w:szCs w:val="24"/>
        </w:rPr>
        <w:t>80</w:t>
      </w:r>
      <w:r w:rsidR="007F36F7" w:rsidRPr="00B66AEC">
        <w:rPr>
          <w:rFonts w:ascii="Times New Roman" w:hAnsi="Times New Roman"/>
          <w:sz w:val="24"/>
          <w:szCs w:val="24"/>
        </w:rPr>
        <w:t xml:space="preserve"> </w:t>
      </w:r>
      <w:r w:rsidR="0087554A" w:rsidRPr="00B66AEC">
        <w:rPr>
          <w:rFonts w:ascii="Times New Roman" w:hAnsi="Times New Roman"/>
          <w:sz w:val="24"/>
          <w:szCs w:val="24"/>
        </w:rPr>
        <w:t>gave</w:t>
      </w:r>
      <w:r w:rsidR="007F36F7" w:rsidRPr="00B66AEC">
        <w:rPr>
          <w:rFonts w:ascii="Times New Roman" w:hAnsi="Times New Roman"/>
          <w:sz w:val="24"/>
          <w:szCs w:val="24"/>
        </w:rPr>
        <w:t xml:space="preserve"> </w:t>
      </w:r>
      <w:r w:rsidR="00B424CE" w:rsidRPr="00B66AEC">
        <w:rPr>
          <w:rFonts w:ascii="Times New Roman" w:hAnsi="Times New Roman"/>
          <w:sz w:val="24"/>
          <w:szCs w:val="24"/>
        </w:rPr>
        <w:t>the</w:t>
      </w:r>
      <w:r w:rsidR="007F36F7" w:rsidRPr="00B66AEC">
        <w:rPr>
          <w:rFonts w:ascii="Times New Roman" w:hAnsi="Times New Roman"/>
          <w:sz w:val="24"/>
          <w:szCs w:val="24"/>
        </w:rPr>
        <w:t xml:space="preserve"> </w:t>
      </w:r>
      <w:r w:rsidR="00B424CE" w:rsidRPr="00B66AEC">
        <w:rPr>
          <w:rFonts w:ascii="Times New Roman" w:hAnsi="Times New Roman"/>
          <w:sz w:val="24"/>
          <w:szCs w:val="24"/>
        </w:rPr>
        <w:t>lowest</w:t>
      </w:r>
      <w:r w:rsidR="007F36F7" w:rsidRPr="00B66AEC">
        <w:rPr>
          <w:rFonts w:ascii="Times New Roman" w:hAnsi="Times New Roman"/>
          <w:sz w:val="24"/>
          <w:szCs w:val="24"/>
        </w:rPr>
        <w:t xml:space="preserve"> </w:t>
      </w:r>
      <w:r w:rsidR="00B424CE" w:rsidRPr="00B66AEC">
        <w:rPr>
          <w:rFonts w:ascii="Times New Roman" w:hAnsi="Times New Roman"/>
          <w:sz w:val="24"/>
          <w:szCs w:val="24"/>
        </w:rPr>
        <w:t>processing</w:t>
      </w:r>
      <w:r w:rsidR="007F36F7" w:rsidRPr="00B66AEC">
        <w:rPr>
          <w:rFonts w:ascii="Times New Roman" w:hAnsi="Times New Roman"/>
          <w:sz w:val="24"/>
          <w:szCs w:val="24"/>
        </w:rPr>
        <w:t xml:space="preserve"> </w:t>
      </w:r>
      <w:r w:rsidR="00B424CE" w:rsidRPr="00B66AEC">
        <w:rPr>
          <w:rFonts w:ascii="Times New Roman" w:hAnsi="Times New Roman"/>
          <w:sz w:val="24"/>
          <w:szCs w:val="24"/>
        </w:rPr>
        <w:t>priority</w:t>
      </w:r>
      <w:r w:rsidR="007F36F7" w:rsidRPr="00B66AEC">
        <w:rPr>
          <w:rFonts w:ascii="Times New Roman" w:hAnsi="Times New Roman"/>
          <w:sz w:val="24"/>
          <w:szCs w:val="24"/>
        </w:rPr>
        <w:t xml:space="preserve"> </w:t>
      </w:r>
      <w:r w:rsidR="00B424CE" w:rsidRPr="00B66AEC">
        <w:rPr>
          <w:rFonts w:ascii="Times New Roman" w:hAnsi="Times New Roman"/>
          <w:sz w:val="24"/>
          <w:szCs w:val="24"/>
        </w:rPr>
        <w:t>to</w:t>
      </w:r>
      <w:r w:rsidR="007F36F7" w:rsidRPr="00B66AEC">
        <w:rPr>
          <w:rFonts w:ascii="Times New Roman" w:hAnsi="Times New Roman"/>
          <w:sz w:val="24"/>
          <w:szCs w:val="24"/>
        </w:rPr>
        <w:t xml:space="preserve"> </w:t>
      </w:r>
      <w:r w:rsidRPr="00B66AEC">
        <w:rPr>
          <w:rFonts w:ascii="Times New Roman" w:hAnsi="Times New Roman"/>
          <w:sz w:val="24"/>
          <w:szCs w:val="24"/>
        </w:rPr>
        <w:t>applications</w:t>
      </w:r>
      <w:r w:rsidR="007F36F7" w:rsidRPr="00B66AEC">
        <w:rPr>
          <w:rFonts w:ascii="Times New Roman" w:hAnsi="Times New Roman"/>
          <w:sz w:val="24"/>
          <w:szCs w:val="24"/>
        </w:rPr>
        <w:t xml:space="preserve"> </w:t>
      </w:r>
      <w:r w:rsidRPr="00B66AEC">
        <w:rPr>
          <w:rFonts w:ascii="Times New Roman" w:hAnsi="Times New Roman"/>
          <w:sz w:val="24"/>
          <w:szCs w:val="24"/>
        </w:rPr>
        <w:t>for</w:t>
      </w:r>
      <w:r w:rsidR="007F36F7" w:rsidRPr="00B66AEC">
        <w:rPr>
          <w:rFonts w:ascii="Times New Roman" w:hAnsi="Times New Roman"/>
          <w:sz w:val="24"/>
          <w:szCs w:val="24"/>
        </w:rPr>
        <w:t xml:space="preserve"> </w:t>
      </w:r>
      <w:r w:rsidRPr="00B66AEC">
        <w:rPr>
          <w:rFonts w:ascii="Times New Roman" w:hAnsi="Times New Roman"/>
          <w:sz w:val="24"/>
          <w:szCs w:val="24"/>
        </w:rPr>
        <w:t>Family</w:t>
      </w:r>
      <w:r w:rsidR="007F36F7" w:rsidRPr="00B66AEC">
        <w:rPr>
          <w:rFonts w:ascii="Times New Roman" w:hAnsi="Times New Roman"/>
          <w:sz w:val="24"/>
          <w:szCs w:val="24"/>
        </w:rPr>
        <w:t xml:space="preserve"> </w:t>
      </w:r>
      <w:r w:rsidRPr="00B66AEC">
        <w:rPr>
          <w:rFonts w:ascii="Times New Roman" w:hAnsi="Times New Roman"/>
          <w:sz w:val="24"/>
          <w:szCs w:val="24"/>
        </w:rPr>
        <w:t>visas</w:t>
      </w:r>
      <w:r w:rsidR="007F36F7" w:rsidRPr="00B66AEC">
        <w:rPr>
          <w:rFonts w:ascii="Times New Roman" w:hAnsi="Times New Roman"/>
          <w:sz w:val="24"/>
          <w:szCs w:val="24"/>
        </w:rPr>
        <w:t xml:space="preserve"> </w:t>
      </w:r>
      <w:r w:rsidRPr="00B66AEC">
        <w:rPr>
          <w:rFonts w:ascii="Times New Roman" w:hAnsi="Times New Roman"/>
          <w:sz w:val="24"/>
          <w:szCs w:val="24"/>
        </w:rPr>
        <w:t>where</w:t>
      </w:r>
      <w:r w:rsidR="007F36F7" w:rsidRPr="00B66AEC">
        <w:rPr>
          <w:rFonts w:ascii="Times New Roman" w:hAnsi="Times New Roman"/>
          <w:sz w:val="24"/>
          <w:szCs w:val="24"/>
        </w:rPr>
        <w:t xml:space="preserve"> </w:t>
      </w:r>
      <w:r w:rsidRPr="00B66AEC">
        <w:rPr>
          <w:rFonts w:ascii="Times New Roman" w:hAnsi="Times New Roman"/>
          <w:sz w:val="24"/>
          <w:szCs w:val="24"/>
        </w:rPr>
        <w:t>the</w:t>
      </w:r>
      <w:r w:rsidR="007F36F7" w:rsidRPr="00B66AEC">
        <w:rPr>
          <w:rFonts w:ascii="Times New Roman" w:hAnsi="Times New Roman"/>
          <w:sz w:val="24"/>
          <w:szCs w:val="24"/>
        </w:rPr>
        <w:t xml:space="preserve"> </w:t>
      </w:r>
      <w:r w:rsidRPr="00B66AEC">
        <w:rPr>
          <w:rFonts w:ascii="Times New Roman" w:hAnsi="Times New Roman"/>
          <w:sz w:val="24"/>
          <w:szCs w:val="24"/>
        </w:rPr>
        <w:t>sponsor</w:t>
      </w:r>
      <w:r w:rsidR="007F36F7" w:rsidRPr="00B66AEC">
        <w:rPr>
          <w:rFonts w:ascii="Times New Roman" w:hAnsi="Times New Roman"/>
          <w:sz w:val="24"/>
          <w:szCs w:val="24"/>
        </w:rPr>
        <w:t xml:space="preserve"> </w:t>
      </w:r>
      <w:r w:rsidRPr="00B66AEC">
        <w:rPr>
          <w:rFonts w:ascii="Times New Roman" w:hAnsi="Times New Roman"/>
          <w:sz w:val="24"/>
          <w:szCs w:val="24"/>
        </w:rPr>
        <w:t>was</w:t>
      </w:r>
      <w:r w:rsidR="007F36F7" w:rsidRPr="00B66AEC">
        <w:rPr>
          <w:rFonts w:ascii="Times New Roman" w:hAnsi="Times New Roman"/>
          <w:sz w:val="24"/>
          <w:szCs w:val="24"/>
        </w:rPr>
        <w:t xml:space="preserve"> </w:t>
      </w:r>
      <w:r w:rsidRPr="00B66AEC">
        <w:rPr>
          <w:rFonts w:ascii="Times New Roman" w:hAnsi="Times New Roman"/>
          <w:sz w:val="24"/>
          <w:szCs w:val="24"/>
        </w:rPr>
        <w:t>a</w:t>
      </w:r>
      <w:r w:rsidR="007F36F7" w:rsidRPr="00B66AEC">
        <w:rPr>
          <w:rFonts w:ascii="Times New Roman" w:hAnsi="Times New Roman"/>
          <w:sz w:val="24"/>
          <w:szCs w:val="24"/>
        </w:rPr>
        <w:t xml:space="preserve"> </w:t>
      </w:r>
      <w:r w:rsidRPr="00B66AEC">
        <w:rPr>
          <w:rFonts w:ascii="Times New Roman" w:hAnsi="Times New Roman"/>
          <w:sz w:val="24"/>
          <w:szCs w:val="24"/>
        </w:rPr>
        <w:t>permanent</w:t>
      </w:r>
      <w:r w:rsidR="007F36F7" w:rsidRPr="00B66AEC">
        <w:rPr>
          <w:rFonts w:ascii="Times New Roman" w:hAnsi="Times New Roman"/>
          <w:sz w:val="24"/>
          <w:szCs w:val="24"/>
        </w:rPr>
        <w:t xml:space="preserve"> </w:t>
      </w:r>
      <w:r w:rsidRPr="00B66AEC">
        <w:rPr>
          <w:rFonts w:ascii="Times New Roman" w:hAnsi="Times New Roman"/>
          <w:sz w:val="24"/>
          <w:szCs w:val="24"/>
        </w:rPr>
        <w:t>resident</w:t>
      </w:r>
      <w:r w:rsidR="007F36F7" w:rsidRPr="00B66AEC">
        <w:rPr>
          <w:rFonts w:ascii="Times New Roman" w:hAnsi="Times New Roman"/>
          <w:sz w:val="24"/>
          <w:szCs w:val="24"/>
        </w:rPr>
        <w:t xml:space="preserve"> </w:t>
      </w:r>
      <w:r w:rsidRPr="00B66AEC">
        <w:rPr>
          <w:rFonts w:ascii="Times New Roman" w:hAnsi="Times New Roman"/>
          <w:sz w:val="24"/>
          <w:szCs w:val="24"/>
        </w:rPr>
        <w:t>who</w:t>
      </w:r>
      <w:r w:rsidR="007F36F7" w:rsidRPr="00B66AEC">
        <w:rPr>
          <w:rFonts w:ascii="Times New Roman" w:hAnsi="Times New Roman"/>
          <w:sz w:val="24"/>
          <w:szCs w:val="24"/>
        </w:rPr>
        <w:t xml:space="preserve"> </w:t>
      </w:r>
      <w:r w:rsidRPr="00B66AEC">
        <w:rPr>
          <w:rFonts w:ascii="Times New Roman" w:hAnsi="Times New Roman"/>
          <w:sz w:val="24"/>
          <w:szCs w:val="24"/>
        </w:rPr>
        <w:t>entered</w:t>
      </w:r>
      <w:r w:rsidR="007F36F7" w:rsidRPr="00B66AEC">
        <w:rPr>
          <w:rFonts w:ascii="Times New Roman" w:hAnsi="Times New Roman"/>
          <w:sz w:val="24"/>
          <w:szCs w:val="24"/>
        </w:rPr>
        <w:t xml:space="preserve"> </w:t>
      </w:r>
      <w:r w:rsidRPr="00B66AEC">
        <w:rPr>
          <w:rFonts w:ascii="Times New Roman" w:hAnsi="Times New Roman"/>
          <w:sz w:val="24"/>
          <w:szCs w:val="24"/>
        </w:rPr>
        <w:t>Australia</w:t>
      </w:r>
      <w:r w:rsidR="007F36F7" w:rsidRPr="00B66AEC">
        <w:rPr>
          <w:rFonts w:ascii="Times New Roman" w:hAnsi="Times New Roman"/>
          <w:sz w:val="24"/>
          <w:szCs w:val="24"/>
        </w:rPr>
        <w:t xml:space="preserve"> </w:t>
      </w:r>
      <w:r w:rsidRPr="00B66AEC">
        <w:rPr>
          <w:rFonts w:ascii="Times New Roman" w:hAnsi="Times New Roman"/>
          <w:sz w:val="24"/>
          <w:szCs w:val="24"/>
        </w:rPr>
        <w:t>as</w:t>
      </w:r>
      <w:r w:rsidR="007F36F7" w:rsidRPr="00B66AEC">
        <w:rPr>
          <w:rFonts w:ascii="Times New Roman" w:hAnsi="Times New Roman"/>
          <w:sz w:val="24"/>
          <w:szCs w:val="24"/>
        </w:rPr>
        <w:t xml:space="preserve"> </w:t>
      </w:r>
      <w:r w:rsidRPr="00B66AEC">
        <w:rPr>
          <w:rFonts w:ascii="Times New Roman" w:hAnsi="Times New Roman"/>
          <w:sz w:val="24"/>
          <w:szCs w:val="24"/>
        </w:rPr>
        <w:t>an</w:t>
      </w:r>
      <w:r w:rsidR="007F36F7" w:rsidRPr="00B66AEC">
        <w:rPr>
          <w:rFonts w:ascii="Times New Roman" w:hAnsi="Times New Roman"/>
          <w:sz w:val="24"/>
          <w:szCs w:val="24"/>
        </w:rPr>
        <w:t xml:space="preserve"> </w:t>
      </w:r>
      <w:r w:rsidRPr="00B66AEC">
        <w:rPr>
          <w:rFonts w:ascii="Times New Roman" w:hAnsi="Times New Roman"/>
          <w:sz w:val="24"/>
          <w:szCs w:val="24"/>
        </w:rPr>
        <w:t>Unauthorised</w:t>
      </w:r>
      <w:r w:rsidR="007F36F7" w:rsidRPr="00B66AEC">
        <w:rPr>
          <w:rFonts w:ascii="Times New Roman" w:hAnsi="Times New Roman"/>
          <w:sz w:val="24"/>
          <w:szCs w:val="24"/>
        </w:rPr>
        <w:t xml:space="preserve"> </w:t>
      </w:r>
      <w:r w:rsidRPr="00B66AEC">
        <w:rPr>
          <w:rFonts w:ascii="Times New Roman" w:hAnsi="Times New Roman"/>
          <w:sz w:val="24"/>
          <w:szCs w:val="24"/>
        </w:rPr>
        <w:t>Maritime</w:t>
      </w:r>
      <w:r w:rsidR="007F36F7" w:rsidRPr="00B66AEC">
        <w:rPr>
          <w:rFonts w:ascii="Times New Roman" w:hAnsi="Times New Roman"/>
          <w:sz w:val="24"/>
          <w:szCs w:val="24"/>
        </w:rPr>
        <w:t xml:space="preserve"> </w:t>
      </w:r>
      <w:r w:rsidRPr="00B66AEC">
        <w:rPr>
          <w:rFonts w:ascii="Times New Roman" w:hAnsi="Times New Roman"/>
          <w:sz w:val="24"/>
          <w:szCs w:val="24"/>
        </w:rPr>
        <w:t>Arrival,</w:t>
      </w:r>
      <w:r w:rsidR="007F36F7" w:rsidRPr="00B66AEC">
        <w:rPr>
          <w:rFonts w:ascii="Times New Roman" w:hAnsi="Times New Roman"/>
          <w:sz w:val="24"/>
          <w:szCs w:val="24"/>
        </w:rPr>
        <w:t xml:space="preserve"> </w:t>
      </w:r>
      <w:r w:rsidRPr="00B66AEC">
        <w:rPr>
          <w:rFonts w:ascii="Times New Roman" w:hAnsi="Times New Roman"/>
          <w:sz w:val="24"/>
          <w:szCs w:val="24"/>
        </w:rPr>
        <w:t>and</w:t>
      </w:r>
      <w:r w:rsidR="007F36F7" w:rsidRPr="00B66AEC">
        <w:rPr>
          <w:rFonts w:ascii="Times New Roman" w:hAnsi="Times New Roman"/>
          <w:sz w:val="24"/>
          <w:szCs w:val="24"/>
        </w:rPr>
        <w:t xml:space="preserve"> </w:t>
      </w:r>
      <w:r w:rsidRPr="00B66AEC">
        <w:rPr>
          <w:rFonts w:ascii="Times New Roman" w:hAnsi="Times New Roman"/>
          <w:sz w:val="24"/>
          <w:szCs w:val="24"/>
        </w:rPr>
        <w:t>was</w:t>
      </w:r>
      <w:r w:rsidR="007F36F7" w:rsidRPr="00B66AEC">
        <w:rPr>
          <w:rFonts w:ascii="Times New Roman" w:hAnsi="Times New Roman"/>
          <w:sz w:val="24"/>
          <w:szCs w:val="24"/>
        </w:rPr>
        <w:t xml:space="preserve"> </w:t>
      </w:r>
      <w:r w:rsidRPr="00B66AEC">
        <w:rPr>
          <w:rFonts w:ascii="Times New Roman" w:hAnsi="Times New Roman"/>
          <w:sz w:val="24"/>
          <w:szCs w:val="24"/>
        </w:rPr>
        <w:t>revoked</w:t>
      </w:r>
      <w:r w:rsidR="007F36F7" w:rsidRPr="00B66AEC">
        <w:rPr>
          <w:rFonts w:ascii="Times New Roman" w:hAnsi="Times New Roman"/>
          <w:sz w:val="24"/>
          <w:szCs w:val="24"/>
        </w:rPr>
        <w:t xml:space="preserve"> </w:t>
      </w:r>
      <w:r w:rsidRPr="00B66AEC">
        <w:rPr>
          <w:rFonts w:ascii="Times New Roman" w:hAnsi="Times New Roman"/>
          <w:sz w:val="24"/>
          <w:szCs w:val="24"/>
        </w:rPr>
        <w:t>on</w:t>
      </w:r>
      <w:r w:rsidR="007F36F7" w:rsidRPr="00B66AEC">
        <w:rPr>
          <w:rFonts w:ascii="Times New Roman" w:hAnsi="Times New Roman"/>
          <w:sz w:val="24"/>
          <w:szCs w:val="24"/>
        </w:rPr>
        <w:t xml:space="preserve"> </w:t>
      </w:r>
      <w:r w:rsidRPr="00B66AEC">
        <w:rPr>
          <w:rFonts w:ascii="Times New Roman" w:hAnsi="Times New Roman"/>
          <w:sz w:val="24"/>
          <w:szCs w:val="24"/>
        </w:rPr>
        <w:t>9</w:t>
      </w:r>
      <w:r w:rsidR="007F36F7" w:rsidRPr="00B66AEC">
        <w:rPr>
          <w:rFonts w:ascii="Times New Roman" w:hAnsi="Times New Roman"/>
          <w:sz w:val="24"/>
          <w:szCs w:val="24"/>
        </w:rPr>
        <w:t xml:space="preserve"> </w:t>
      </w:r>
      <w:r w:rsidRPr="00B66AEC">
        <w:rPr>
          <w:rFonts w:ascii="Times New Roman" w:hAnsi="Times New Roman"/>
          <w:sz w:val="24"/>
          <w:szCs w:val="24"/>
        </w:rPr>
        <w:t>February</w:t>
      </w:r>
      <w:r w:rsidR="007F36F7" w:rsidRPr="00B66AEC">
        <w:rPr>
          <w:rFonts w:ascii="Times New Roman" w:hAnsi="Times New Roman"/>
          <w:sz w:val="24"/>
          <w:szCs w:val="24"/>
        </w:rPr>
        <w:t xml:space="preserve"> </w:t>
      </w:r>
      <w:r w:rsidRPr="00B66AEC">
        <w:rPr>
          <w:rFonts w:ascii="Times New Roman" w:hAnsi="Times New Roman"/>
          <w:sz w:val="24"/>
          <w:szCs w:val="24"/>
        </w:rPr>
        <w:t>2023.</w:t>
      </w:r>
      <w:r w:rsidR="007F36F7" w:rsidRPr="00B66AEC">
        <w:rPr>
          <w:rFonts w:ascii="Times New Roman" w:hAnsi="Times New Roman"/>
          <w:sz w:val="24"/>
          <w:szCs w:val="24"/>
        </w:rPr>
        <w:t xml:space="preserve"> </w:t>
      </w:r>
    </w:p>
    <w:p w14:paraId="2AD15D58" w14:textId="0DBCE83D" w:rsidR="00054876" w:rsidRPr="00B66AEC" w:rsidRDefault="00054876" w:rsidP="0099005A">
      <w:pPr>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‘secondary’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applicant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generally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close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family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member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primary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applicant,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who</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case</w:t>
      </w:r>
      <w:r w:rsidR="007F36F7" w:rsidRPr="00B66AEC">
        <w:rPr>
          <w:rStyle w:val="legislationtitleitalics"/>
          <w:rFonts w:eastAsia="Times New Roman" w:cs="Times New Roman"/>
          <w:i w:val="0"/>
          <w:color w:val="000000" w:themeColor="text1"/>
        </w:rPr>
        <w:t xml:space="preserve"> </w:t>
      </w:r>
      <w:r w:rsidR="007316DF"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partner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Australian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citizen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permanent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resident.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B370EA" w:rsidRPr="00B66AEC">
        <w:rPr>
          <w:rStyle w:val="legislationtitleitalics"/>
          <w:rFonts w:eastAsia="Times New Roman" w:cs="Times New Roman"/>
          <w:i w:val="0"/>
          <w:color w:val="000000" w:themeColor="text1"/>
        </w:rPr>
        <w:t>Amendment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Regulations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enable</w:t>
      </w:r>
      <w:r w:rsidR="005A175E" w:rsidRPr="00B66AEC">
        <w:rPr>
          <w:rStyle w:val="legislationtitleitalics"/>
          <w:rFonts w:eastAsia="Times New Roman" w:cs="Times New Roman"/>
          <w:i w:val="0"/>
          <w:color w:val="000000" w:themeColor="text1"/>
        </w:rPr>
        <w:t>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secondary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applicant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be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eligible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for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grant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visas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‘dependent’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primary</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applicant</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rather</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than</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as</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member</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family</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unit</w:t>
      </w:r>
      <w:r w:rsidR="007F36F7" w:rsidRPr="00B66AEC">
        <w:rPr>
          <w:rStyle w:val="legislationtitleitalics"/>
          <w:rFonts w:eastAsia="Times New Roman" w:cs="Times New Roman"/>
          <w:i w:val="0"/>
          <w:color w:val="000000" w:themeColor="text1"/>
        </w:rPr>
        <w:t xml:space="preserve"> </w:t>
      </w:r>
      <w:r w:rsidR="006D18CD" w:rsidRPr="00B66AEC">
        <w:rPr>
          <w:rStyle w:val="legislationtitleitalics"/>
          <w:rFonts w:eastAsia="Times New Roman" w:cs="Times New Roman"/>
          <w:i w:val="0"/>
          <w:color w:val="000000" w:themeColor="text1"/>
        </w:rPr>
        <w:t>(</w:t>
      </w:r>
      <w:proofErr w:type="spellStart"/>
      <w:r w:rsidR="006D18CD" w:rsidRPr="00B66AEC">
        <w:rPr>
          <w:rStyle w:val="legislationtitleitalics"/>
          <w:rFonts w:eastAsia="Times New Roman" w:cs="Times New Roman"/>
          <w:i w:val="0"/>
          <w:color w:val="000000" w:themeColor="text1"/>
        </w:rPr>
        <w:t>MoFU</w:t>
      </w:r>
      <w:proofErr w:type="spellEnd"/>
      <w:r w:rsidR="006D18CD" w:rsidRPr="00B66AEC">
        <w:rPr>
          <w:rStyle w:val="legislationtitleitalics"/>
          <w:rFonts w:eastAsia="Times New Roman" w:cs="Times New Roman"/>
          <w:i w:val="0"/>
          <w:color w:val="000000" w:themeColor="text1"/>
        </w:rPr>
        <w:t>).</w:t>
      </w:r>
    </w:p>
    <w:p w14:paraId="3CF6BCDB" w14:textId="782AB910" w:rsidR="006D18CD" w:rsidRPr="00B66AEC" w:rsidRDefault="006D18CD" w:rsidP="0099005A">
      <w:pPr>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definition</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proofErr w:type="spellStart"/>
      <w:r w:rsidR="0070344C" w:rsidRPr="00B66AEC">
        <w:rPr>
          <w:rStyle w:val="legislationtitleitalics"/>
          <w:rFonts w:eastAsia="Times New Roman" w:cs="Times New Roman"/>
          <w:i w:val="0"/>
          <w:color w:val="000000" w:themeColor="text1"/>
        </w:rPr>
        <w:t>MoFU</w:t>
      </w:r>
      <w:proofErr w:type="spellEnd"/>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under</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regulation</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1.12</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Migration</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Regulations</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includes</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an</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age</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limit</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relating</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who</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0070344C" w:rsidRPr="00B66AEC">
        <w:rPr>
          <w:rStyle w:val="legislationtitleitalics"/>
          <w:rFonts w:eastAsia="Times New Roman" w:cs="Times New Roman"/>
          <w:i w:val="0"/>
          <w:color w:val="000000" w:themeColor="text1"/>
        </w:rPr>
        <w:t>considered</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be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‘child’</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another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person</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family</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head,</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who</w:t>
      </w:r>
      <w:r w:rsidR="007F36F7" w:rsidRPr="00B66AEC">
        <w:rPr>
          <w:rStyle w:val="legislationtitleitalics"/>
          <w:rFonts w:eastAsia="Times New Roman" w:cs="Times New Roman"/>
          <w:i w:val="0"/>
          <w:color w:val="000000" w:themeColor="text1"/>
        </w:rPr>
        <w:t xml:space="preserve"> </w:t>
      </w:r>
      <w:r w:rsidR="007316DF"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generally</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primary</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applicant</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for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visa)</w:t>
      </w:r>
      <w:r w:rsidR="007F36F7" w:rsidRPr="00B66AEC">
        <w:rPr>
          <w:rStyle w:val="legislationtitleitalics"/>
          <w:rFonts w:eastAsia="Times New Roman" w:cs="Times New Roman"/>
          <w:i w:val="0"/>
          <w:color w:val="000000" w:themeColor="text1"/>
        </w:rPr>
        <w:t xml:space="preserve"> </w:t>
      </w:r>
      <w:r w:rsidR="00E5774D" w:rsidRPr="00B66AEC">
        <w:rPr>
          <w:rStyle w:val="legislationtitleitalics"/>
          <w:rFonts w:eastAsia="Times New Roman" w:cs="Times New Roman"/>
          <w:i w:val="0"/>
          <w:color w:val="000000" w:themeColor="text1"/>
        </w:rPr>
        <w:t>for</w:t>
      </w:r>
      <w:r w:rsidR="007F36F7" w:rsidRPr="00B66AEC">
        <w:rPr>
          <w:rStyle w:val="legislationtitleitalics"/>
          <w:rFonts w:eastAsia="Times New Roman" w:cs="Times New Roman"/>
          <w:i w:val="0"/>
          <w:color w:val="000000" w:themeColor="text1"/>
        </w:rPr>
        <w:t xml:space="preserve"> </w:t>
      </w:r>
      <w:r w:rsidR="00E5774D" w:rsidRPr="00B66AEC">
        <w:rPr>
          <w:rStyle w:val="legislationtitleitalics"/>
          <w:rFonts w:eastAsia="Times New Roman" w:cs="Times New Roman"/>
          <w:i w:val="0"/>
          <w:color w:val="000000" w:themeColor="text1"/>
        </w:rPr>
        <w:t>most</w:t>
      </w:r>
      <w:r w:rsidR="007F36F7" w:rsidRPr="00B66AEC">
        <w:rPr>
          <w:rStyle w:val="legislationtitleitalics"/>
          <w:rFonts w:eastAsia="Times New Roman" w:cs="Times New Roman"/>
          <w:i w:val="0"/>
          <w:color w:val="000000" w:themeColor="text1"/>
        </w:rPr>
        <w:t xml:space="preserve"> </w:t>
      </w:r>
      <w:r w:rsidR="00E5774D" w:rsidRPr="00B66AEC">
        <w:rPr>
          <w:rStyle w:val="legislationtitleitalics"/>
          <w:rFonts w:eastAsia="Times New Roman" w:cs="Times New Roman"/>
          <w:i w:val="0"/>
          <w:color w:val="000000" w:themeColor="text1"/>
        </w:rPr>
        <w:t>applicants</w:t>
      </w:r>
      <w:r w:rsidR="0059267B" w:rsidRPr="00B66AEC">
        <w:rPr>
          <w:rStyle w:val="legislationtitleitalics"/>
          <w:rFonts w:eastAsia="Times New Roman" w:cs="Times New Roman"/>
          <w:i w:val="0"/>
          <w:color w:val="000000" w:themeColor="text1"/>
        </w:rPr>
        <w:t>.</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usual</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rule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under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proofErr w:type="spellStart"/>
      <w:r w:rsidR="0059267B" w:rsidRPr="00B66AEC">
        <w:rPr>
          <w:rStyle w:val="legislationtitleitalics"/>
          <w:rFonts w:eastAsia="Times New Roman" w:cs="Times New Roman"/>
          <w:i w:val="0"/>
          <w:color w:val="000000" w:themeColor="text1"/>
        </w:rPr>
        <w:t>MoFU</w:t>
      </w:r>
      <w:proofErr w:type="spellEnd"/>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definition</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that</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child</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must</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be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either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under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18,</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under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23</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and</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dependent</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on</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family</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head,</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wholly</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reliant</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on</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family</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head</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due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incapacitation</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for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work</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as</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result</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total</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partial</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loss</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person’s</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bodily</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mental</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functions.</w:t>
      </w:r>
    </w:p>
    <w:p w14:paraId="60B7E6C3" w14:textId="4669F46F" w:rsidR="0059267B" w:rsidRPr="00B66AEC" w:rsidRDefault="00BE7659" w:rsidP="0099005A">
      <w:pPr>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t>T</w:t>
      </w:r>
      <w:r w:rsidR="00E56C2B" w:rsidRPr="00B66AEC">
        <w:rPr>
          <w:rStyle w:val="legislationtitleitalics"/>
          <w:rFonts w:eastAsia="Times New Roman" w:cs="Times New Roman"/>
          <w:i w:val="0"/>
          <w:color w:val="000000" w:themeColor="text1"/>
        </w:rPr>
        <w:t>he</w:t>
      </w:r>
      <w:r w:rsidR="007F36F7" w:rsidRPr="00B66AEC">
        <w:rPr>
          <w:rStyle w:val="legislationtitleitalics"/>
          <w:rFonts w:eastAsia="Times New Roman" w:cs="Times New Roman"/>
          <w:i w:val="0"/>
          <w:color w:val="000000" w:themeColor="text1"/>
        </w:rPr>
        <w:t xml:space="preserve"> </w:t>
      </w:r>
      <w:r w:rsidR="006F1883" w:rsidRPr="00B66AEC">
        <w:rPr>
          <w:rStyle w:val="legislationtitleitalics"/>
          <w:rFonts w:eastAsia="Times New Roman" w:cs="Times New Roman"/>
          <w:i w:val="0"/>
          <w:color w:val="000000" w:themeColor="text1"/>
        </w:rPr>
        <w:t>now</w:t>
      </w:r>
      <w:r w:rsidR="007F36F7" w:rsidRPr="00B66AEC">
        <w:rPr>
          <w:rStyle w:val="legislationtitleitalics"/>
          <w:rFonts w:eastAsia="Times New Roman" w:cs="Times New Roman"/>
          <w:i w:val="0"/>
          <w:color w:val="000000" w:themeColor="text1"/>
        </w:rPr>
        <w:t xml:space="preserve"> </w:t>
      </w:r>
      <w:r w:rsidR="006F1883" w:rsidRPr="00B66AEC">
        <w:rPr>
          <w:rStyle w:val="legislationtitleitalics"/>
          <w:rFonts w:eastAsia="Times New Roman" w:cs="Times New Roman"/>
          <w:i w:val="0"/>
          <w:color w:val="000000" w:themeColor="text1"/>
        </w:rPr>
        <w:t>revoked</w:t>
      </w:r>
      <w:r w:rsidR="007F36F7" w:rsidRPr="00B66AEC">
        <w:rPr>
          <w:rStyle w:val="legislationtitleitalics"/>
          <w:rFonts w:eastAsia="Times New Roman" w:cs="Times New Roman"/>
          <w:i w:val="0"/>
          <w:color w:val="000000" w:themeColor="text1"/>
        </w:rPr>
        <w:t xml:space="preserve"> </w:t>
      </w:r>
      <w:r w:rsidR="006F1883" w:rsidRPr="00B66AEC">
        <w:rPr>
          <w:rStyle w:val="legislationtitleitalics"/>
          <w:rFonts w:eastAsia="Times New Roman" w:cs="Times New Roman"/>
          <w:i w:val="0"/>
          <w:color w:val="000000" w:themeColor="text1"/>
        </w:rPr>
        <w:t>Ministerial</w:t>
      </w:r>
      <w:r w:rsidR="007F36F7" w:rsidRPr="00B66AEC">
        <w:rPr>
          <w:rStyle w:val="legislationtitleitalics"/>
          <w:rFonts w:eastAsia="Times New Roman" w:cs="Times New Roman"/>
          <w:i w:val="0"/>
          <w:color w:val="000000" w:themeColor="text1"/>
        </w:rPr>
        <w:t xml:space="preserve"> </w:t>
      </w:r>
      <w:r w:rsidR="00E56C2B" w:rsidRPr="00B66AEC">
        <w:rPr>
          <w:rStyle w:val="legislationtitleitalics"/>
          <w:rFonts w:eastAsia="Times New Roman" w:cs="Times New Roman"/>
          <w:i w:val="0"/>
          <w:color w:val="000000" w:themeColor="text1"/>
        </w:rPr>
        <w:t>Direction</w:t>
      </w:r>
      <w:r w:rsidR="007F36F7" w:rsidRPr="00B66AEC">
        <w:rPr>
          <w:rStyle w:val="legislationtitleitalics"/>
          <w:rFonts w:eastAsia="Times New Roman" w:cs="Times New Roman"/>
          <w:i w:val="0"/>
          <w:color w:val="000000" w:themeColor="text1"/>
        </w:rPr>
        <w:t xml:space="preserve"> </w:t>
      </w:r>
      <w:r w:rsidR="006F1883" w:rsidRPr="00B66AEC">
        <w:rPr>
          <w:rStyle w:val="legislationtitleitalics"/>
          <w:rFonts w:eastAsia="Times New Roman" w:cs="Times New Roman"/>
          <w:i w:val="0"/>
          <w:color w:val="000000" w:themeColor="text1"/>
        </w:rPr>
        <w:t>80</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provided</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lowest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processing</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priority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Family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visa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applications,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including</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applications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for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Subclass</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309</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or</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Subclass</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100</w:t>
      </w:r>
      <w:r w:rsidR="007F36F7" w:rsidRPr="00B66AEC">
        <w:rPr>
          <w:rStyle w:val="legislationtitleitalics"/>
          <w:rFonts w:eastAsia="Times New Roman" w:cs="Times New Roman"/>
          <w:i w:val="0"/>
          <w:color w:val="000000" w:themeColor="text1"/>
        </w:rPr>
        <w:t xml:space="preserve"> </w:t>
      </w:r>
      <w:r w:rsidR="0059267B" w:rsidRPr="00B66AEC">
        <w:rPr>
          <w:rStyle w:val="legislationtitleitalics"/>
          <w:rFonts w:eastAsia="Times New Roman" w:cs="Times New Roman"/>
          <w:i w:val="0"/>
          <w:color w:val="000000" w:themeColor="text1"/>
        </w:rPr>
        <w:t>visa</w:t>
      </w:r>
      <w:r w:rsidR="006F1883" w:rsidRPr="00B66AEC">
        <w:rPr>
          <w:rStyle w:val="legislationtitleitalics"/>
          <w:rFonts w:eastAsia="Times New Roman" w:cs="Times New Roman"/>
          <w:i w:val="0"/>
          <w:color w:val="000000" w:themeColor="text1"/>
        </w:rPr>
        <w:t>,</w:t>
      </w:r>
      <w:r w:rsidR="007F36F7" w:rsidRPr="00B66AEC">
        <w:rPr>
          <w:rStyle w:val="legislationtitleitalics"/>
          <w:rFonts w:eastAsia="Times New Roman" w:cs="Times New Roman"/>
          <w:i w:val="0"/>
          <w:color w:val="000000" w:themeColor="text1"/>
        </w:rPr>
        <w:t xml:space="preserve"> </w:t>
      </w:r>
      <w:r w:rsidR="006F1883" w:rsidRPr="00B66AEC">
        <w:rPr>
          <w:rStyle w:val="legislationtitleitalics"/>
          <w:rFonts w:eastAsia="Times New Roman" w:cs="Times New Roman"/>
          <w:i w:val="0"/>
          <w:color w:val="000000" w:themeColor="text1"/>
        </w:rPr>
        <w:t>where</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sponsor</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was</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permanent</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visa</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holder</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who</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arrived</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in</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Australia</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as</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an</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unauthorised</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maritime</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arrival</w:t>
      </w:r>
      <w:r w:rsidR="007F36F7" w:rsidRPr="00B66AEC">
        <w:rPr>
          <w:rStyle w:val="legislationtitleitalics"/>
          <w:rFonts w:eastAsia="Times New Roman" w:cs="Times New Roman"/>
          <w:i w:val="0"/>
          <w:color w:val="000000" w:themeColor="text1"/>
        </w:rPr>
        <w:t xml:space="preserve"> </w:t>
      </w:r>
      <w:r w:rsidR="00992A08" w:rsidRPr="00B66AEC">
        <w:rPr>
          <w:rStyle w:val="legislationtitleitalics"/>
          <w:rFonts w:eastAsia="Times New Roman" w:cs="Times New Roman"/>
          <w:i w:val="0"/>
          <w:color w:val="000000" w:themeColor="text1"/>
        </w:rPr>
        <w:t>(UMA)</w:t>
      </w:r>
      <w:r w:rsidR="00B424CE" w:rsidRPr="00B66AEC">
        <w:rPr>
          <w:rStyle w:val="legislationtitleitalics"/>
          <w:rFonts w:eastAsia="Times New Roman" w:cs="Times New Roman"/>
          <w:i w:val="0"/>
          <w:color w:val="000000" w:themeColor="text1"/>
        </w:rPr>
        <w:t>,</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resulting</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in</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extended</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processing</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times</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for</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such</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applications</w:t>
      </w:r>
      <w:r w:rsidRPr="00B66AEC">
        <w:rPr>
          <w:rStyle w:val="legislationtitleitalics"/>
          <w:rFonts w:eastAsia="Times New Roman" w:cs="Times New Roman"/>
          <w:i w:val="0"/>
          <w:color w:val="000000" w:themeColor="text1"/>
        </w:rPr>
        <w:t>.</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As</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result</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these</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extended</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processing</w:t>
      </w:r>
      <w:r w:rsidR="007F36F7" w:rsidRPr="00B66AEC">
        <w:rPr>
          <w:rStyle w:val="legislationtitleitalics"/>
          <w:rFonts w:eastAsia="Times New Roman" w:cs="Times New Roman"/>
          <w:i w:val="0"/>
          <w:color w:val="000000" w:themeColor="text1"/>
        </w:rPr>
        <w:t xml:space="preserve"> </w:t>
      </w:r>
      <w:r w:rsidR="00B424CE" w:rsidRPr="00B66AEC">
        <w:rPr>
          <w:rStyle w:val="legislationtitleitalics"/>
          <w:rFonts w:eastAsia="Times New Roman" w:cs="Times New Roman"/>
          <w:i w:val="0"/>
          <w:color w:val="000000" w:themeColor="text1"/>
        </w:rPr>
        <w:t>times</w:t>
      </w:r>
      <w:r w:rsidR="0087554A" w:rsidRPr="00B66AEC">
        <w:rPr>
          <w:rStyle w:val="legislationtitleitalics"/>
          <w:rFonts w:eastAsia="Times New Roman" w:cs="Times New Roman"/>
          <w:i w:val="0"/>
          <w:color w:val="000000" w:themeColor="text1"/>
        </w:rPr>
        <w:t>,</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cohort</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secondary</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applicants</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have</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passed</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age</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23</w:t>
      </w:r>
      <w:r w:rsidR="007F36F7" w:rsidRPr="00B66AEC">
        <w:rPr>
          <w:rStyle w:val="legislationtitleitalics"/>
          <w:rFonts w:eastAsia="Times New Roman" w:cs="Times New Roman"/>
          <w:i w:val="0"/>
          <w:color w:val="000000" w:themeColor="text1"/>
        </w:rPr>
        <w:t xml:space="preserve"> </w:t>
      </w:r>
      <w:r w:rsidR="0087554A" w:rsidRPr="00B66AEC">
        <w:rPr>
          <w:rStyle w:val="legislationtitleitalics"/>
          <w:rFonts w:eastAsia="Times New Roman" w:cs="Times New Roman"/>
          <w:i w:val="0"/>
          <w:color w:val="000000" w:themeColor="text1"/>
        </w:rPr>
        <w:t>and</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are</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no</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longer</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able</w:t>
      </w:r>
      <w:r w:rsidR="007F36F7" w:rsidRPr="00B66AEC">
        <w:rPr>
          <w:rStyle w:val="legislationtitleitalics"/>
          <w:rFonts w:eastAsia="Times New Roman" w:cs="Times New Roman"/>
          <w:i w:val="0"/>
          <w:color w:val="000000" w:themeColor="text1"/>
        </w:rPr>
        <w:t xml:space="preserve"> </w:t>
      </w:r>
      <w:r w:rsidR="007F07DD"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satisfy</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criteria</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requiring</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them</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be</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proofErr w:type="spellStart"/>
      <w:r w:rsidR="007047E4" w:rsidRPr="00B66AEC">
        <w:rPr>
          <w:rStyle w:val="legislationtitleitalics"/>
          <w:rFonts w:eastAsia="Times New Roman" w:cs="Times New Roman"/>
          <w:i w:val="0"/>
          <w:color w:val="000000" w:themeColor="text1"/>
        </w:rPr>
        <w:t>MoFU</w:t>
      </w:r>
      <w:proofErr w:type="spellEnd"/>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primary</w:t>
      </w:r>
      <w:r w:rsidR="007F36F7" w:rsidRPr="00B66AEC">
        <w:rPr>
          <w:rStyle w:val="legislationtitleitalics"/>
          <w:rFonts w:eastAsia="Times New Roman" w:cs="Times New Roman"/>
          <w:i w:val="0"/>
          <w:color w:val="000000" w:themeColor="text1"/>
        </w:rPr>
        <w:t xml:space="preserve"> </w:t>
      </w:r>
      <w:r w:rsidR="007047E4" w:rsidRPr="00B66AEC">
        <w:rPr>
          <w:rStyle w:val="legislationtitleitalics"/>
          <w:rFonts w:eastAsia="Times New Roman" w:cs="Times New Roman"/>
          <w:i w:val="0"/>
          <w:color w:val="000000" w:themeColor="text1"/>
        </w:rPr>
        <w:t>applicant</w:t>
      </w:r>
      <w:r w:rsidR="007F36F7" w:rsidRPr="00B66AEC">
        <w:rPr>
          <w:rStyle w:val="legislationtitleitalics"/>
          <w:rFonts w:eastAsia="Times New Roman" w:cs="Times New Roman"/>
          <w:i w:val="0"/>
          <w:color w:val="000000" w:themeColor="text1"/>
        </w:rPr>
        <w:t xml:space="preserve"> </w:t>
      </w:r>
      <w:r w:rsidR="001D4893" w:rsidRPr="00B66AEC">
        <w:rPr>
          <w:rStyle w:val="legislationtitleitalics"/>
          <w:rFonts w:eastAsia="Times New Roman" w:cs="Times New Roman"/>
          <w:i w:val="0"/>
          <w:color w:val="000000" w:themeColor="text1"/>
        </w:rPr>
        <w:t>at</w:t>
      </w:r>
      <w:r w:rsidR="007F36F7" w:rsidRPr="00B66AEC">
        <w:rPr>
          <w:rStyle w:val="legislationtitleitalics"/>
          <w:rFonts w:eastAsia="Times New Roman" w:cs="Times New Roman"/>
          <w:i w:val="0"/>
          <w:color w:val="000000" w:themeColor="text1"/>
        </w:rPr>
        <w:t xml:space="preserve"> </w:t>
      </w:r>
      <w:r w:rsidR="001D4893"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1D4893" w:rsidRPr="00B66AEC">
        <w:rPr>
          <w:rStyle w:val="legislationtitleitalics"/>
          <w:rFonts w:eastAsia="Times New Roman" w:cs="Times New Roman"/>
          <w:i w:val="0"/>
          <w:color w:val="000000" w:themeColor="text1"/>
        </w:rPr>
        <w:t>time</w:t>
      </w:r>
      <w:r w:rsidR="007F36F7" w:rsidRPr="00B66AEC">
        <w:rPr>
          <w:rStyle w:val="legislationtitleitalics"/>
          <w:rFonts w:eastAsia="Times New Roman" w:cs="Times New Roman"/>
          <w:i w:val="0"/>
          <w:color w:val="000000" w:themeColor="text1"/>
        </w:rPr>
        <w:t xml:space="preserve"> </w:t>
      </w:r>
      <w:r w:rsidR="001D4893"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1D4893" w:rsidRPr="00B66AEC">
        <w:rPr>
          <w:rStyle w:val="legislationtitleitalics"/>
          <w:rFonts w:eastAsia="Times New Roman" w:cs="Times New Roman"/>
          <w:i w:val="0"/>
          <w:color w:val="000000" w:themeColor="text1"/>
        </w:rPr>
        <w:t>decision</w:t>
      </w:r>
      <w:r w:rsidR="007047E4" w:rsidRPr="00B66AEC">
        <w:rPr>
          <w:rStyle w:val="legislationtitleitalics"/>
          <w:rFonts w:eastAsia="Times New Roman" w:cs="Times New Roman"/>
          <w:i w:val="0"/>
          <w:color w:val="000000" w:themeColor="text1"/>
        </w:rPr>
        <w:t>.</w:t>
      </w:r>
    </w:p>
    <w:p w14:paraId="0A1CB271" w14:textId="3F64EB1A" w:rsidR="007047E4" w:rsidRPr="00B66AEC" w:rsidRDefault="007047E4" w:rsidP="0099005A">
      <w:pPr>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B370EA" w:rsidRPr="00B66AEC">
        <w:rPr>
          <w:rStyle w:val="legislationtitleitalics"/>
          <w:rFonts w:eastAsia="Times New Roman" w:cs="Times New Roman"/>
          <w:i w:val="0"/>
          <w:color w:val="000000" w:themeColor="text1"/>
        </w:rPr>
        <w:t>Amendment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Regulations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amend</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relevant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criteria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provide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that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applicants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these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circumstances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need</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only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satisfy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Minister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that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remain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dependent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primary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applicant</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at</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lastRenderedPageBreak/>
        <w:t>the</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time</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decision</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made</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on</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their</w:t>
      </w:r>
      <w:r w:rsidR="007F36F7" w:rsidRPr="00B66AEC">
        <w:rPr>
          <w:rStyle w:val="legislationtitleitalics"/>
          <w:rFonts w:eastAsia="Times New Roman" w:cs="Times New Roman"/>
          <w:i w:val="0"/>
          <w:color w:val="000000" w:themeColor="text1"/>
        </w:rPr>
        <w:t xml:space="preserve"> </w:t>
      </w:r>
      <w:r w:rsidR="009D767A" w:rsidRPr="00B66AEC">
        <w:rPr>
          <w:rStyle w:val="legislationtitleitalics"/>
          <w:rFonts w:eastAsia="Times New Roman" w:cs="Times New Roman"/>
          <w:i w:val="0"/>
          <w:color w:val="000000" w:themeColor="text1"/>
        </w:rPr>
        <w:t>application</w:t>
      </w:r>
      <w:r w:rsidRPr="00B66AEC">
        <w:rPr>
          <w:rStyle w:val="legislationtitleitalics"/>
          <w:rFonts w:eastAsia="Times New Roman" w:cs="Times New Roman"/>
          <w:i w:val="0"/>
          <w:color w:val="000000" w:themeColor="text1"/>
        </w:rPr>
        <w: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regardless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their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age.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effect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change</w:t>
      </w:r>
      <w:r w:rsidR="007F36F7" w:rsidRPr="00B66AEC">
        <w:rPr>
          <w:rStyle w:val="legislationtitleitalics"/>
          <w:rFonts w:eastAsia="Times New Roman" w:cs="Times New Roman"/>
          <w:i w:val="0"/>
          <w:color w:val="000000" w:themeColor="text1"/>
        </w:rPr>
        <w:t xml:space="preserve"> </w:t>
      </w:r>
      <w:r w:rsidR="000F6556"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limited</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those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visa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applications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made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before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9</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February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2023</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but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not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yet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finally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determined.</w:t>
      </w:r>
    </w:p>
    <w:p w14:paraId="47F13394" w14:textId="6805EC58" w:rsidR="00B014A2" w:rsidRPr="00B66AEC" w:rsidRDefault="00B014A2" w:rsidP="00B014A2">
      <w:pPr>
        <w:spacing w:before="240" w:after="0" w:line="240" w:lineRule="auto"/>
        <w:rPr>
          <w:rFonts w:ascii="Times New Roman" w:eastAsia="Times New Roman" w:hAnsi="Times New Roman" w:cs="Times New Roman"/>
          <w:sz w:val="24"/>
          <w:szCs w:val="20"/>
          <w:lang w:eastAsia="en-AU"/>
        </w:rPr>
      </w:pP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matters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dealt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with</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00B370EA" w:rsidRPr="00B66AEC">
        <w:rPr>
          <w:rFonts w:ascii="Times New Roman" w:eastAsia="Times New Roman" w:hAnsi="Times New Roman" w:cs="Times New Roman"/>
          <w:sz w:val="24"/>
          <w:szCs w:val="20"/>
          <w:lang w:eastAsia="en-AU"/>
        </w:rPr>
        <w:t>Amendment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Regulations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are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appropriate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for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implementation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regulations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rather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than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parliamentary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enactment.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has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been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consistent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practice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Government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day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provide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for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detailed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matters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visa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criteria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and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visa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conditions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Migration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Regulations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rather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than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Migration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Act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itself.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Migration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Act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expressly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provides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for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these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matters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prescribed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regulations.</w:t>
      </w:r>
      <w:r w:rsidR="007F36F7" w:rsidRPr="00B66AEC">
        <w:rPr>
          <w:rFonts w:ascii="Times New Roman" w:eastAsia="Times New Roman" w:hAnsi="Times New Roman" w:cs="Times New Roman"/>
          <w:sz w:val="24"/>
          <w:szCs w:val="20"/>
          <w:lang w:eastAsia="en-AU"/>
        </w:rPr>
        <w:t xml:space="preserve"> </w:t>
      </w:r>
    </w:p>
    <w:p w14:paraId="0B548F0F" w14:textId="7F8BC3E7" w:rsidR="008C7EDF" w:rsidRPr="00B66AEC" w:rsidRDefault="008C7EDF" w:rsidP="008C7EDF">
      <w:pPr>
        <w:spacing w:before="100" w:beforeAutospacing="1" w:after="100" w:afterAutospacing="1" w:line="240" w:lineRule="auto"/>
        <w:rPr>
          <w:rFonts w:ascii="Times New Roman" w:eastAsia="Times New Roman" w:hAnsi="Times New Roman" w:cs="Times New Roman"/>
          <w:sz w:val="24"/>
          <w:szCs w:val="20"/>
          <w:lang w:eastAsia="en-AU"/>
        </w:rPr>
      </w:pP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current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Migration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Regulations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have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been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place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since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1994,</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when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replaced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regulations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made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1989</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and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1993.</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Providing</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for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these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details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delegated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legislation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rather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than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primary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legislation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gives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Government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ability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effectively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manage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operation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Australia’s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visa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program</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and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respond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quickly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emerging</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needs.</w:t>
      </w:r>
    </w:p>
    <w:p w14:paraId="1ED2EEB5" w14:textId="1597466E" w:rsidR="00CE0000" w:rsidRPr="00B66AEC" w:rsidRDefault="00CE0000" w:rsidP="00CE0000">
      <w:pPr>
        <w:spacing w:before="100" w:beforeAutospacing="1" w:after="100" w:afterAutospacing="1" w:line="240" w:lineRule="auto"/>
        <w:rPr>
          <w:rFonts w:ascii="Times New Roman" w:eastAsia="Times New Roman" w:hAnsi="Times New Roman" w:cs="Times New Roman"/>
          <w:sz w:val="24"/>
          <w:szCs w:val="20"/>
          <w:lang w:eastAsia="en-AU"/>
        </w:rPr>
      </w:pPr>
      <w:r w:rsidRPr="00B66AEC">
        <w:rPr>
          <w:rFonts w:ascii="Times New Roman" w:eastAsia="Times New Roman" w:hAnsi="Times New Roman" w:cs="Times New Roman"/>
          <w:sz w:val="24"/>
          <w:szCs w:val="20"/>
          <w:lang w:eastAsia="en-AU"/>
        </w:rPr>
        <w:t xml:space="preserve">The Amendment Regulations amend the Migration Regulations, which are exempt from </w:t>
      </w:r>
      <w:proofErr w:type="spellStart"/>
      <w:r w:rsidRPr="00B66AEC">
        <w:rPr>
          <w:rFonts w:ascii="Times New Roman" w:eastAsia="Times New Roman" w:hAnsi="Times New Roman" w:cs="Times New Roman"/>
          <w:sz w:val="24"/>
          <w:szCs w:val="20"/>
          <w:lang w:eastAsia="en-AU"/>
        </w:rPr>
        <w:t>sunsetting</w:t>
      </w:r>
      <w:proofErr w:type="spellEnd"/>
      <w:r w:rsidRPr="00B66AEC">
        <w:rPr>
          <w:rFonts w:ascii="Times New Roman" w:eastAsia="Times New Roman" w:hAnsi="Times New Roman" w:cs="Times New Roman"/>
          <w:sz w:val="24"/>
          <w:szCs w:val="20"/>
          <w:lang w:eastAsia="en-AU"/>
        </w:rPr>
        <w:t xml:space="preserve"> under table item 38A of section 12 of the </w:t>
      </w:r>
      <w:r w:rsidRPr="00B66AEC">
        <w:rPr>
          <w:rFonts w:ascii="Times New Roman" w:eastAsia="Times New Roman" w:hAnsi="Times New Roman" w:cs="Times New Roman"/>
          <w:i/>
          <w:iCs/>
          <w:sz w:val="24"/>
          <w:szCs w:val="20"/>
          <w:lang w:eastAsia="en-AU"/>
        </w:rPr>
        <w:t>Legislation (Exemptions and other Matters) Regulations 2015</w:t>
      </w:r>
      <w:r w:rsidRPr="00B66AEC">
        <w:rPr>
          <w:rFonts w:ascii="Times New Roman" w:eastAsia="Times New Roman" w:hAnsi="Times New Roman" w:cs="Times New Roman"/>
          <w:sz w:val="24"/>
          <w:szCs w:val="20"/>
          <w:lang w:eastAsia="en-AU"/>
        </w:rPr>
        <w:t xml:space="preserve">. The Migration Regulations are exempt from </w:t>
      </w:r>
      <w:proofErr w:type="spellStart"/>
      <w:r w:rsidRPr="00B66AEC">
        <w:rPr>
          <w:rFonts w:ascii="Times New Roman" w:eastAsia="Times New Roman" w:hAnsi="Times New Roman" w:cs="Times New Roman"/>
          <w:sz w:val="24"/>
          <w:szCs w:val="20"/>
          <w:lang w:eastAsia="en-AU"/>
        </w:rPr>
        <w:t>sunsetting</w:t>
      </w:r>
      <w:proofErr w:type="spellEnd"/>
      <w:r w:rsidRPr="00B66AEC">
        <w:rPr>
          <w:rFonts w:ascii="Times New Roman" w:eastAsia="Times New Roman" w:hAnsi="Times New Roman" w:cs="Times New Roman"/>
          <w:sz w:val="24"/>
          <w:szCs w:val="20"/>
          <w:lang w:eastAsia="en-AU"/>
        </w:rPr>
        <w:t xml:space="preserve"> on the basis that the repeal and remaking of the Migration Regulations:</w:t>
      </w:r>
    </w:p>
    <w:p w14:paraId="1D1C6734" w14:textId="77777777" w:rsidR="00CE0000" w:rsidRPr="00B66AEC" w:rsidRDefault="00CE0000" w:rsidP="00AB0012">
      <w:pPr>
        <w:numPr>
          <w:ilvl w:val="0"/>
          <w:numId w:val="8"/>
        </w:numPr>
        <w:tabs>
          <w:tab w:val="clear" w:pos="720"/>
          <w:tab w:val="num" w:pos="567"/>
        </w:tabs>
        <w:spacing w:before="120" w:after="100" w:afterAutospacing="1" w:line="240" w:lineRule="auto"/>
        <w:ind w:left="567" w:hanging="357"/>
        <w:rPr>
          <w:rFonts w:ascii="Times New Roman" w:eastAsia="Times New Roman" w:hAnsi="Times New Roman" w:cs="Times New Roman"/>
          <w:sz w:val="24"/>
          <w:szCs w:val="20"/>
          <w:lang w:eastAsia="en-AU"/>
        </w:rPr>
      </w:pPr>
      <w:r w:rsidRPr="00B66AEC">
        <w:rPr>
          <w:rFonts w:ascii="Times New Roman" w:eastAsia="Times New Roman" w:hAnsi="Times New Roman" w:cs="Times New Roman"/>
          <w:sz w:val="24"/>
          <w:szCs w:val="20"/>
          <w:lang w:eastAsia="en-AU"/>
        </w:rPr>
        <w:t>is necessary as the Migration Regulations are regularly amended numerous times each year to update policy settings for immigration programs;</w:t>
      </w:r>
    </w:p>
    <w:p w14:paraId="65AFFA60" w14:textId="77777777" w:rsidR="00CE0000" w:rsidRPr="00B66AEC" w:rsidRDefault="00CE0000" w:rsidP="00AB0012">
      <w:pPr>
        <w:numPr>
          <w:ilvl w:val="0"/>
          <w:numId w:val="8"/>
        </w:numPr>
        <w:tabs>
          <w:tab w:val="clear" w:pos="720"/>
          <w:tab w:val="num" w:pos="567"/>
        </w:tabs>
        <w:spacing w:before="120" w:after="100" w:afterAutospacing="1" w:line="240" w:lineRule="auto"/>
        <w:ind w:left="567" w:hanging="357"/>
        <w:rPr>
          <w:rFonts w:ascii="Times New Roman" w:eastAsia="Times New Roman" w:hAnsi="Times New Roman" w:cs="Times New Roman"/>
          <w:sz w:val="24"/>
          <w:szCs w:val="20"/>
          <w:lang w:eastAsia="en-AU"/>
        </w:rPr>
      </w:pPr>
      <w:r w:rsidRPr="00B66AEC">
        <w:rPr>
          <w:rFonts w:ascii="Times New Roman" w:eastAsia="Times New Roman" w:hAnsi="Times New Roman" w:cs="Times New Roman"/>
          <w:sz w:val="24"/>
          <w:szCs w:val="20"/>
          <w:lang w:eastAsia="en-AU"/>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2B250F77" w14:textId="77777777" w:rsidR="00CE0000" w:rsidRPr="00B66AEC" w:rsidRDefault="00CE0000" w:rsidP="00AB0012">
      <w:pPr>
        <w:numPr>
          <w:ilvl w:val="0"/>
          <w:numId w:val="8"/>
        </w:numPr>
        <w:tabs>
          <w:tab w:val="clear" w:pos="720"/>
          <w:tab w:val="num" w:pos="567"/>
        </w:tabs>
        <w:spacing w:before="120" w:after="100" w:afterAutospacing="1" w:line="240" w:lineRule="auto"/>
        <w:ind w:left="567" w:hanging="357"/>
        <w:rPr>
          <w:rFonts w:ascii="Times New Roman" w:eastAsia="Times New Roman" w:hAnsi="Times New Roman" w:cs="Times New Roman"/>
          <w:sz w:val="24"/>
          <w:szCs w:val="20"/>
          <w:lang w:eastAsia="en-AU"/>
        </w:rPr>
      </w:pPr>
      <w:proofErr w:type="gramStart"/>
      <w:r w:rsidRPr="00B66AEC">
        <w:rPr>
          <w:rFonts w:ascii="Times New Roman" w:eastAsia="Times New Roman" w:hAnsi="Times New Roman" w:cs="Times New Roman"/>
          <w:sz w:val="24"/>
          <w:szCs w:val="20"/>
          <w:lang w:eastAsia="en-AU"/>
        </w:rPr>
        <w:t>would</w:t>
      </w:r>
      <w:proofErr w:type="gramEnd"/>
      <w:r w:rsidRPr="00B66AEC">
        <w:rPr>
          <w:rFonts w:ascii="Times New Roman" w:eastAsia="Times New Roman" w:hAnsi="Times New Roman" w:cs="Times New Roman"/>
          <w:sz w:val="24"/>
          <w:szCs w:val="20"/>
          <w:lang w:eastAsia="en-AU"/>
        </w:rPr>
        <w:t xml:space="preserve"> demand complicated and costly systems, training and operational changes that would impose significant strain on Government resources and the Australian public for insignificant gain, while not advancing the aims of Legislation Act.</w:t>
      </w:r>
    </w:p>
    <w:p w14:paraId="4600E134" w14:textId="40006019" w:rsidR="002A20D9" w:rsidRPr="00B66AEC" w:rsidRDefault="002A20D9" w:rsidP="008C7EDF">
      <w:pPr>
        <w:spacing w:before="100" w:beforeAutospacing="1" w:after="100" w:afterAutospacing="1" w:line="240" w:lineRule="auto"/>
        <w:rPr>
          <w:rStyle w:val="legislationtitleitalics"/>
          <w:rFonts w:eastAsia="Times New Roman" w:cs="Times New Roman"/>
          <w:i w:val="0"/>
          <w:iCs w:val="0"/>
          <w:szCs w:val="20"/>
          <w:lang w:eastAsia="en-AU"/>
        </w:rPr>
      </w:pPr>
      <w:r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Statement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Compatibility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with</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Human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Rights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Statement)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has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been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completed</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accordance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with</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Human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Rights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(Parliamentary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Scrutiny)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Act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2011.</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overall</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assessment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that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Regulations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are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compatible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with</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human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rights.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Statement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u w:val="single"/>
        </w:rPr>
        <w:t>Attachment</w:t>
      </w:r>
      <w:r w:rsidR="007F36F7" w:rsidRPr="00B66AEC">
        <w:rPr>
          <w:rStyle w:val="legislationtitleitalics"/>
          <w:rFonts w:eastAsia="Times New Roman" w:cs="Times New Roman"/>
          <w:i w:val="0"/>
          <w:color w:val="000000" w:themeColor="text1"/>
          <w:u w:val="single"/>
        </w:rPr>
        <w:t xml:space="preserve"> </w:t>
      </w:r>
      <w:r w:rsidR="001D4893" w:rsidRPr="00B66AEC">
        <w:rPr>
          <w:rStyle w:val="legislationtitleitalics"/>
          <w:rFonts w:eastAsia="Times New Roman" w:cs="Times New Roman"/>
          <w:i w:val="0"/>
          <w:color w:val="000000" w:themeColor="text1"/>
          <w:u w:val="single"/>
        </w:rPr>
        <w:t>B</w:t>
      </w:r>
      <w:r w:rsidRPr="00B66AEC">
        <w:rPr>
          <w:rStyle w:val="legislationtitleitalics"/>
          <w:rFonts w:eastAsia="Times New Roman" w:cs="Times New Roman"/>
          <w:i w:val="0"/>
          <w:color w:val="000000" w:themeColor="text1"/>
        </w:rPr>
        <w:t>.</w:t>
      </w:r>
    </w:p>
    <w:p w14:paraId="2ACC6EEB" w14:textId="0A976C02" w:rsidR="002A20D9" w:rsidRPr="00B66AEC" w:rsidRDefault="002A20D9" w:rsidP="0099005A">
      <w:pPr>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Office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Impact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Analysis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OIA)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has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been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consulted</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relation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amendments.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No</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Impact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Analysis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required.</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OIA</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consultation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reference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number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OIA23-</w:t>
      </w:r>
      <w:r w:rsidR="00992A08" w:rsidRPr="00B66AEC">
        <w:rPr>
          <w:rStyle w:val="legislationtitleitalics"/>
          <w:rFonts w:eastAsia="Times New Roman" w:cs="Times New Roman"/>
          <w:i w:val="0"/>
          <w:color w:val="000000" w:themeColor="text1"/>
        </w:rPr>
        <w:t>05968</w:t>
      </w:r>
      <w:r w:rsidRPr="00B66AEC">
        <w:rPr>
          <w:rStyle w:val="legislationtitleitalics"/>
          <w:rFonts w:eastAsia="Times New Roman" w:cs="Times New Roman"/>
          <w:i w:val="0"/>
          <w:color w:val="000000" w:themeColor="text1"/>
        </w:rPr>
        <w:t>.</w:t>
      </w:r>
    </w:p>
    <w:p w14:paraId="7FC7FDD7" w14:textId="6678D5B2" w:rsidR="002A20D9" w:rsidRPr="00B66AEC" w:rsidRDefault="002A20D9" w:rsidP="0099005A">
      <w:pPr>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B370EA" w:rsidRPr="00B66AEC">
        <w:rPr>
          <w:rStyle w:val="legislationtitleitalics"/>
          <w:rFonts w:eastAsia="Times New Roman" w:cs="Times New Roman"/>
          <w:i w:val="0"/>
          <w:color w:val="000000" w:themeColor="text1"/>
        </w:rPr>
        <w:t>Amendment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Regulations</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are</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a</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legislative</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instrument</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for</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purposes</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color w:val="000000" w:themeColor="text1"/>
        </w:rPr>
        <w:t>Legislation</w:t>
      </w:r>
      <w:r w:rsidR="007F36F7" w:rsidRPr="00B66AEC">
        <w:rPr>
          <w:rStyle w:val="legislationtitleitalics"/>
          <w:rFonts w:eastAsia="Times New Roman" w:cs="Times New Roman"/>
          <w:color w:val="000000" w:themeColor="text1"/>
        </w:rPr>
        <w:t xml:space="preserve"> </w:t>
      </w:r>
      <w:r w:rsidR="008C7EDF" w:rsidRPr="00B66AEC">
        <w:rPr>
          <w:rStyle w:val="legislationtitleitalics"/>
          <w:rFonts w:eastAsia="Times New Roman" w:cs="Times New Roman"/>
          <w:color w:val="000000" w:themeColor="text1"/>
        </w:rPr>
        <w:t>Act</w:t>
      </w:r>
      <w:r w:rsidR="007F36F7" w:rsidRPr="00B66AEC">
        <w:rPr>
          <w:rStyle w:val="legislationtitleitalics"/>
          <w:rFonts w:eastAsia="Times New Roman" w:cs="Times New Roman"/>
          <w:color w:val="000000" w:themeColor="text1"/>
        </w:rPr>
        <w:t xml:space="preserve"> </w:t>
      </w:r>
      <w:r w:rsidR="008C7EDF" w:rsidRPr="00B66AEC">
        <w:rPr>
          <w:rStyle w:val="legislationtitleitalics"/>
          <w:rFonts w:eastAsia="Times New Roman" w:cs="Times New Roman"/>
          <w:color w:val="000000" w:themeColor="text1"/>
        </w:rPr>
        <w:t>2003</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Legislation</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Act).</w:t>
      </w:r>
    </w:p>
    <w:p w14:paraId="36622475" w14:textId="383E803B" w:rsidR="008C7EDF" w:rsidRPr="00B66AEC" w:rsidRDefault="008C7EDF" w:rsidP="008C7EDF">
      <w:pPr>
        <w:spacing w:before="240" w:after="0" w:line="240" w:lineRule="auto"/>
        <w:rPr>
          <w:rFonts w:ascii="Times New Roman" w:eastAsia="Times New Roman" w:hAnsi="Times New Roman" w:cs="Times New Roman"/>
          <w:sz w:val="24"/>
          <w:szCs w:val="20"/>
          <w:lang w:eastAsia="en-AU"/>
        </w:rPr>
      </w:pPr>
      <w:r w:rsidRPr="00B66AEC">
        <w:rPr>
          <w:rFonts w:ascii="Times New Roman" w:eastAsia="Times New Roman" w:hAnsi="Times New Roman" w:cs="Times New Roman"/>
          <w:sz w:val="24"/>
          <w:szCs w:val="20"/>
          <w:lang w:eastAsia="en-AU"/>
        </w:rPr>
        <w:t>Section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17</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Legislation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Act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provides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that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rule-maker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must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satisfied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that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there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has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been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undertaken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any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consultation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that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appropriate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and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reasonably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practicable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before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making</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legislative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instrument.</w:t>
      </w:r>
      <w:r w:rsidR="007F36F7" w:rsidRPr="00B66AEC">
        <w:rPr>
          <w:rFonts w:ascii="Times New Roman" w:eastAsia="Times New Roman" w:hAnsi="Times New Roman" w:cs="Times New Roman"/>
          <w:sz w:val="24"/>
          <w:szCs w:val="20"/>
          <w:lang w:eastAsia="en-AU"/>
        </w:rPr>
        <w:t xml:space="preserve"> </w:t>
      </w:r>
      <w:r w:rsidR="001D4893" w:rsidRPr="00B66AEC">
        <w:rPr>
          <w:rFonts w:ascii="Times New Roman" w:hAnsi="Times New Roman" w:cs="Times New Roman"/>
          <w:sz w:val="24"/>
        </w:rPr>
        <w:t>This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issue</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has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been</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raised</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with</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the</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Minister</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and</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the</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Department</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on</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numerous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occasions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by</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impacted</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sponsors,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stakeholders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and</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Members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of</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Parliament.</w:t>
      </w:r>
      <w:r w:rsidR="007F36F7" w:rsidRPr="00B66AEC">
        <w:rPr>
          <w:rFonts w:ascii="Times New Roman" w:hAnsi="Times New Roman" w:cs="Times New Roman"/>
          <w:sz w:val="24"/>
        </w:rPr>
        <w:t xml:space="preserve"> </w:t>
      </w:r>
      <w:r w:rsidR="000540CF" w:rsidRPr="00B66AEC">
        <w:rPr>
          <w:rFonts w:ascii="Times New Roman" w:hAnsi="Times New Roman" w:cs="Times New Roman"/>
          <w:sz w:val="24"/>
        </w:rPr>
        <w:t>The s</w:t>
      </w:r>
      <w:r w:rsidR="001D4893" w:rsidRPr="00B66AEC">
        <w:rPr>
          <w:rFonts w:ascii="Times New Roman" w:hAnsi="Times New Roman" w:cs="Times New Roman"/>
          <w:sz w:val="24"/>
        </w:rPr>
        <w:t>pecific</w:t>
      </w:r>
      <w:r w:rsidR="000540CF" w:rsidRPr="00B66AEC">
        <w:rPr>
          <w:rFonts w:ascii="Times New Roman" w:hAnsi="Times New Roman" w:cs="Times New Roman"/>
          <w:sz w:val="24"/>
        </w:rPr>
        <w:t xml:space="preserve"> detail of the</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amendments</w:t>
      </w:r>
      <w:r w:rsidR="007F36F7" w:rsidRPr="00B66AEC">
        <w:rPr>
          <w:rFonts w:ascii="Times New Roman" w:hAnsi="Times New Roman" w:cs="Times New Roman"/>
          <w:sz w:val="24"/>
        </w:rPr>
        <w:t xml:space="preserve"> </w:t>
      </w:r>
      <w:r w:rsidR="000540CF" w:rsidRPr="00B66AEC">
        <w:rPr>
          <w:rFonts w:ascii="Times New Roman" w:hAnsi="Times New Roman" w:cs="Times New Roman"/>
          <w:sz w:val="24"/>
        </w:rPr>
        <w:t xml:space="preserve">has </w:t>
      </w:r>
      <w:r w:rsidR="001D4893" w:rsidRPr="00B66AEC">
        <w:rPr>
          <w:rFonts w:ascii="Times New Roman" w:hAnsi="Times New Roman" w:cs="Times New Roman"/>
          <w:sz w:val="24"/>
        </w:rPr>
        <w:t>not</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been</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consulted</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on,</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but</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there</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is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support</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for</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an</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amendment</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to</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avoid</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further</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disadvantage</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to</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this</w:t>
      </w:r>
      <w:r w:rsidR="007F36F7" w:rsidRPr="00B66AEC">
        <w:rPr>
          <w:rFonts w:ascii="Times New Roman" w:hAnsi="Times New Roman" w:cs="Times New Roman"/>
          <w:sz w:val="24"/>
        </w:rPr>
        <w:t xml:space="preserve"> </w:t>
      </w:r>
      <w:r w:rsidR="001D4893" w:rsidRPr="00B66AEC">
        <w:rPr>
          <w:rFonts w:ascii="Times New Roman" w:hAnsi="Times New Roman" w:cs="Times New Roman"/>
          <w:sz w:val="24"/>
        </w:rPr>
        <w:t>cohort.</w:t>
      </w:r>
    </w:p>
    <w:p w14:paraId="6E1D6003" w14:textId="74B7BFCB" w:rsidR="00080F55" w:rsidRPr="00B66AEC" w:rsidRDefault="007047E4" w:rsidP="008C7EDF">
      <w:pPr>
        <w:spacing w:before="240" w:after="0" w:line="240" w:lineRule="auto"/>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8B31EB" w:rsidRPr="00B66AEC">
        <w:rPr>
          <w:rStyle w:val="legislationtitleitalics"/>
          <w:rFonts w:eastAsia="Times New Roman" w:cs="Times New Roman"/>
          <w:i w:val="0"/>
          <w:color w:val="000000" w:themeColor="text1"/>
        </w:rPr>
        <w:t>Amendment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Regulations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commence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day</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after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instrument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registered</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on</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Federal</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Register</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Legislation</w:t>
      </w:r>
      <w:r w:rsidRPr="00B66AEC">
        <w:rPr>
          <w:rStyle w:val="legislationtitleitalics"/>
          <w:rFonts w:eastAsia="Times New Roman" w:cs="Times New Roman"/>
          <w:i w:val="0"/>
          <w:color w:val="000000" w:themeColor="text1"/>
        </w:rPr>
        <w:t>.</w:t>
      </w:r>
    </w:p>
    <w:p w14:paraId="77F9462D" w14:textId="21D5DD51" w:rsidR="008C7EDF" w:rsidRPr="00B66AEC" w:rsidRDefault="008C7EDF" w:rsidP="008C7EDF">
      <w:pPr>
        <w:spacing w:before="240" w:after="0" w:line="240" w:lineRule="auto"/>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t>Further</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details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of</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Regulations</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are</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set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out</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in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u w:val="single"/>
        </w:rPr>
        <w:t>Attachment</w:t>
      </w:r>
      <w:r w:rsidR="007F36F7" w:rsidRPr="00B66AEC">
        <w:rPr>
          <w:rStyle w:val="legislationtitleitalics"/>
          <w:rFonts w:eastAsia="Times New Roman" w:cs="Times New Roman"/>
          <w:i w:val="0"/>
          <w:color w:val="000000" w:themeColor="text1"/>
          <w:u w:val="single"/>
        </w:rPr>
        <w:t xml:space="preserve"> </w:t>
      </w:r>
      <w:r w:rsidR="00AF5823" w:rsidRPr="00B66AEC">
        <w:rPr>
          <w:rStyle w:val="legislationtitleitalics"/>
          <w:rFonts w:eastAsia="Times New Roman" w:cs="Times New Roman"/>
          <w:i w:val="0"/>
          <w:color w:val="000000" w:themeColor="text1"/>
          <w:u w:val="single"/>
        </w:rPr>
        <w:t>C</w:t>
      </w:r>
      <w:r w:rsidRPr="00B66AEC">
        <w:rPr>
          <w:rStyle w:val="legislationtitleitalics"/>
          <w:rFonts w:eastAsia="Times New Roman" w:cs="Times New Roman"/>
          <w:i w:val="0"/>
          <w:color w:val="000000" w:themeColor="text1"/>
        </w:rPr>
        <w:t>.</w:t>
      </w:r>
    </w:p>
    <w:p w14:paraId="31062C8D" w14:textId="3CBEDE82" w:rsidR="007047E4" w:rsidRPr="00B66AEC" w:rsidRDefault="007047E4" w:rsidP="008C7EDF">
      <w:pPr>
        <w:spacing w:before="240" w:after="0" w:line="240" w:lineRule="auto"/>
        <w:rPr>
          <w:rStyle w:val="legislationtitleitalics"/>
          <w:rFonts w:eastAsia="Times New Roman" w:cs="Times New Roman"/>
          <w:i w:val="0"/>
          <w:color w:val="000000" w:themeColor="text1"/>
        </w:rPr>
      </w:pPr>
      <w:r w:rsidRPr="00B66AEC">
        <w:rPr>
          <w:rStyle w:val="legislationtitleitalics"/>
          <w:rFonts w:eastAsia="Times New Roman" w:cs="Times New Roman"/>
          <w:i w:val="0"/>
          <w:color w:val="000000" w:themeColor="text1"/>
        </w:rPr>
        <w:lastRenderedPageBreak/>
        <w:t>The</w:t>
      </w:r>
      <w:r w:rsidR="007F36F7" w:rsidRPr="00B66AEC">
        <w:rPr>
          <w:rStyle w:val="legislationtitleitalics"/>
          <w:rFonts w:eastAsia="Times New Roman" w:cs="Times New Roman"/>
          <w:i w:val="0"/>
          <w:color w:val="000000" w:themeColor="text1"/>
        </w:rPr>
        <w:t xml:space="preserve"> </w:t>
      </w:r>
      <w:r w:rsidR="008C7EDF" w:rsidRPr="00B66AEC">
        <w:rPr>
          <w:rStyle w:val="legislationtitleitalics"/>
          <w:rFonts w:eastAsia="Times New Roman" w:cs="Times New Roman"/>
          <w:i w:val="0"/>
          <w:color w:val="000000" w:themeColor="text1"/>
        </w:rPr>
        <w:t>Migration</w:t>
      </w:r>
      <w:r w:rsidR="007F36F7" w:rsidRPr="00B66AEC">
        <w:rPr>
          <w:rStyle w:val="legislationtitleitalics"/>
          <w:rFonts w:eastAsia="Times New Roman" w:cs="Times New Roman"/>
          <w:i w:val="0"/>
          <w:color w:val="000000" w:themeColor="text1"/>
        </w:rPr>
        <w:t xml:space="preserve"> </w:t>
      </w:r>
      <w:r w:rsidRPr="00B66AEC">
        <w:rPr>
          <w:rStyle w:val="legislationtitleitalics"/>
          <w:rFonts w:eastAsia="Times New Roman" w:cs="Times New Roman"/>
          <w:i w:val="0"/>
          <w:color w:val="000000" w:themeColor="text1"/>
        </w:rPr>
        <w:t>Act</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specifies</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no</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conditions</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that</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need</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be</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satisfied</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before</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power</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to</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make</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the</w:t>
      </w:r>
      <w:r w:rsidR="007F36F7" w:rsidRPr="00B66AEC">
        <w:rPr>
          <w:rStyle w:val="legislationtitleitalics"/>
          <w:rFonts w:eastAsia="Times New Roman" w:cs="Times New Roman"/>
          <w:i w:val="0"/>
          <w:color w:val="000000" w:themeColor="text1"/>
        </w:rPr>
        <w:t xml:space="preserve"> </w:t>
      </w:r>
      <w:r w:rsidR="008B31EB" w:rsidRPr="00B66AEC">
        <w:rPr>
          <w:rStyle w:val="legislationtitleitalics"/>
          <w:rFonts w:eastAsia="Times New Roman" w:cs="Times New Roman"/>
          <w:i w:val="0"/>
          <w:color w:val="000000" w:themeColor="text1"/>
        </w:rPr>
        <w:t>Amendment</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Regulations</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may</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be</w:t>
      </w:r>
      <w:r w:rsidR="007F36F7" w:rsidRPr="00B66AEC">
        <w:rPr>
          <w:rStyle w:val="legislationtitleitalics"/>
          <w:rFonts w:eastAsia="Times New Roman" w:cs="Times New Roman"/>
          <w:i w:val="0"/>
          <w:color w:val="000000" w:themeColor="text1"/>
        </w:rPr>
        <w:t xml:space="preserve"> </w:t>
      </w:r>
      <w:r w:rsidR="00080F55" w:rsidRPr="00B66AEC">
        <w:rPr>
          <w:rStyle w:val="legislationtitleitalics"/>
          <w:rFonts w:eastAsia="Times New Roman" w:cs="Times New Roman"/>
          <w:i w:val="0"/>
          <w:color w:val="000000" w:themeColor="text1"/>
        </w:rPr>
        <w:t>exercised.</w:t>
      </w:r>
    </w:p>
    <w:p w14:paraId="54E7EEF8" w14:textId="77777777" w:rsidR="00E56C2B" w:rsidRPr="00B66AEC" w:rsidRDefault="00E56C2B">
      <w:pPr>
        <w:rPr>
          <w:rFonts w:ascii="Times New Roman" w:hAnsi="Times New Roman" w:cs="Times New Roman"/>
          <w:sz w:val="24"/>
          <w:szCs w:val="24"/>
        </w:rPr>
      </w:pPr>
      <w:r w:rsidRPr="00B66AEC">
        <w:rPr>
          <w:rFonts w:ascii="Times New Roman" w:hAnsi="Times New Roman" w:cs="Times New Roman"/>
          <w:sz w:val="24"/>
          <w:szCs w:val="24"/>
        </w:rPr>
        <w:br w:type="page"/>
      </w:r>
    </w:p>
    <w:p w14:paraId="60C78073" w14:textId="7F31983A" w:rsidR="00E56C2B" w:rsidRPr="00B66AEC" w:rsidRDefault="00E56C2B" w:rsidP="00E56C2B">
      <w:pPr>
        <w:jc w:val="right"/>
        <w:rPr>
          <w:rFonts w:ascii="Times New Roman" w:eastAsia="Times New Roman" w:hAnsi="Times New Roman" w:cs="Times New Roman"/>
          <w:b/>
          <w:sz w:val="24"/>
          <w:szCs w:val="24"/>
          <w:u w:val="single"/>
          <w:lang w:eastAsia="en-AU"/>
        </w:rPr>
      </w:pPr>
      <w:r w:rsidRPr="00B66AEC">
        <w:rPr>
          <w:rFonts w:ascii="Times New Roman" w:eastAsia="Times New Roman" w:hAnsi="Times New Roman" w:cs="Times New Roman"/>
          <w:b/>
          <w:sz w:val="24"/>
          <w:szCs w:val="24"/>
          <w:u w:val="single"/>
          <w:lang w:eastAsia="en-AU"/>
        </w:rPr>
        <w:lastRenderedPageBreak/>
        <w:t>ATTACHMENT</w:t>
      </w:r>
      <w:r w:rsidR="007F36F7" w:rsidRPr="00B66AEC">
        <w:rPr>
          <w:rFonts w:ascii="Times New Roman" w:eastAsia="Times New Roman" w:hAnsi="Times New Roman" w:cs="Times New Roman"/>
          <w:b/>
          <w:sz w:val="24"/>
          <w:szCs w:val="24"/>
          <w:u w:val="single"/>
          <w:lang w:eastAsia="en-AU"/>
        </w:rPr>
        <w:t xml:space="preserve"> </w:t>
      </w:r>
      <w:r w:rsidRPr="00B66AEC">
        <w:rPr>
          <w:rFonts w:ascii="Times New Roman" w:eastAsia="Times New Roman" w:hAnsi="Times New Roman" w:cs="Times New Roman"/>
          <w:b/>
          <w:sz w:val="24"/>
          <w:szCs w:val="24"/>
          <w:u w:val="single"/>
          <w:lang w:eastAsia="en-AU"/>
        </w:rPr>
        <w:t>A</w:t>
      </w:r>
    </w:p>
    <w:p w14:paraId="6097AC3E" w14:textId="0A30E4B5" w:rsidR="00E56C2B" w:rsidRPr="00B66AEC" w:rsidRDefault="00E56C2B" w:rsidP="00E56C2B">
      <w:pPr>
        <w:tabs>
          <w:tab w:val="left" w:pos="435"/>
        </w:tabs>
        <w:spacing w:after="0" w:line="240" w:lineRule="auto"/>
        <w:ind w:right="42"/>
        <w:jc w:val="center"/>
        <w:rPr>
          <w:rFonts w:ascii="Times New Roman" w:eastAsia="Times New Roman" w:hAnsi="Times New Roman" w:cs="Times New Roman"/>
          <w:b/>
          <w:bCs/>
          <w:sz w:val="24"/>
          <w:szCs w:val="20"/>
          <w:lang w:eastAsia="en-AU"/>
        </w:rPr>
      </w:pPr>
      <w:r w:rsidRPr="00B66AEC">
        <w:rPr>
          <w:rFonts w:ascii="Times New Roman" w:eastAsia="Times New Roman" w:hAnsi="Times New Roman" w:cs="Times New Roman"/>
          <w:b/>
          <w:bCs/>
          <w:sz w:val="24"/>
          <w:szCs w:val="20"/>
          <w:lang w:eastAsia="en-AU"/>
        </w:rPr>
        <w:t>AUTHORISING</w:t>
      </w:r>
      <w:r w:rsidR="007F36F7" w:rsidRPr="00B66AEC">
        <w:rPr>
          <w:rFonts w:ascii="Times New Roman" w:eastAsia="Times New Roman" w:hAnsi="Times New Roman" w:cs="Times New Roman"/>
          <w:b/>
          <w:bCs/>
          <w:sz w:val="24"/>
          <w:szCs w:val="20"/>
          <w:lang w:eastAsia="en-AU"/>
        </w:rPr>
        <w:t xml:space="preserve"> </w:t>
      </w:r>
      <w:r w:rsidRPr="00B66AEC">
        <w:rPr>
          <w:rFonts w:ascii="Times New Roman" w:eastAsia="Times New Roman" w:hAnsi="Times New Roman" w:cs="Times New Roman"/>
          <w:b/>
          <w:bCs/>
          <w:sz w:val="24"/>
          <w:szCs w:val="20"/>
          <w:lang w:eastAsia="en-AU"/>
        </w:rPr>
        <w:t>PROVISIONS</w:t>
      </w:r>
    </w:p>
    <w:p w14:paraId="35B7B904" w14:textId="77777777" w:rsidR="00E56C2B" w:rsidRPr="00B66AEC" w:rsidRDefault="00E56C2B" w:rsidP="00E56C2B">
      <w:pPr>
        <w:tabs>
          <w:tab w:val="left" w:pos="435"/>
        </w:tabs>
        <w:spacing w:after="0" w:line="240" w:lineRule="auto"/>
        <w:ind w:right="42"/>
        <w:rPr>
          <w:rFonts w:ascii="Times New Roman" w:eastAsia="Times New Roman" w:hAnsi="Times New Roman" w:cs="Times New Roman"/>
          <w:sz w:val="24"/>
          <w:szCs w:val="20"/>
          <w:lang w:eastAsia="en-AU"/>
        </w:rPr>
      </w:pPr>
    </w:p>
    <w:p w14:paraId="644196E8" w14:textId="72C11DC0" w:rsidR="00E56C2B" w:rsidRPr="00B66AEC" w:rsidRDefault="00E56C2B" w:rsidP="00E56C2B">
      <w:pPr>
        <w:spacing w:after="0" w:line="240" w:lineRule="auto"/>
        <w:ind w:right="42"/>
        <w:rPr>
          <w:rFonts w:ascii="Times New Roman" w:eastAsia="Times New Roman" w:hAnsi="Times New Roman" w:cs="Times New Roman"/>
          <w:sz w:val="24"/>
          <w:szCs w:val="20"/>
          <w:lang w:eastAsia="en-AU"/>
        </w:rPr>
      </w:pPr>
      <w:r w:rsidRPr="00B66AEC">
        <w:rPr>
          <w:rFonts w:ascii="Times New Roman" w:eastAsia="Times New Roman" w:hAnsi="Times New Roman" w:cs="Times New Roman"/>
          <w:sz w:val="24"/>
          <w:szCs w:val="20"/>
          <w:lang w:eastAsia="en-AU"/>
        </w:rPr>
        <w:t>Subsection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504(1)</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i/>
          <w:iCs/>
          <w:sz w:val="24"/>
          <w:szCs w:val="20"/>
          <w:lang w:eastAsia="en-AU"/>
        </w:rPr>
        <w:t>Migration</w:t>
      </w:r>
      <w:r w:rsidR="007F36F7" w:rsidRPr="00B66AEC">
        <w:rPr>
          <w:rFonts w:ascii="Times New Roman" w:eastAsia="Times New Roman" w:hAnsi="Times New Roman" w:cs="Times New Roman"/>
          <w:i/>
          <w:iCs/>
          <w:sz w:val="24"/>
          <w:szCs w:val="20"/>
          <w:lang w:eastAsia="en-AU"/>
        </w:rPr>
        <w:t xml:space="preserve"> </w:t>
      </w:r>
      <w:r w:rsidRPr="00B66AEC">
        <w:rPr>
          <w:rFonts w:ascii="Times New Roman" w:eastAsia="Times New Roman" w:hAnsi="Times New Roman" w:cs="Times New Roman"/>
          <w:i/>
          <w:iCs/>
          <w:sz w:val="24"/>
          <w:szCs w:val="20"/>
          <w:lang w:eastAsia="en-AU"/>
        </w:rPr>
        <w:t>Act</w:t>
      </w:r>
      <w:r w:rsidR="007F36F7" w:rsidRPr="00B66AEC">
        <w:rPr>
          <w:rFonts w:ascii="Times New Roman" w:eastAsia="Times New Roman" w:hAnsi="Times New Roman" w:cs="Times New Roman"/>
          <w:i/>
          <w:iCs/>
          <w:sz w:val="24"/>
          <w:szCs w:val="20"/>
          <w:lang w:eastAsia="en-AU"/>
        </w:rPr>
        <w:t xml:space="preserve"> </w:t>
      </w:r>
      <w:r w:rsidRPr="00B66AEC">
        <w:rPr>
          <w:rFonts w:ascii="Times New Roman" w:eastAsia="Times New Roman" w:hAnsi="Times New Roman" w:cs="Times New Roman"/>
          <w:i/>
          <w:iCs/>
          <w:sz w:val="24"/>
          <w:szCs w:val="20"/>
          <w:lang w:eastAsia="en-AU"/>
        </w:rPr>
        <w:t>1958</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Migration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Act)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relevantly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provides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that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Governor</w:t>
      </w:r>
      <w:r w:rsidRPr="00B66AEC">
        <w:rPr>
          <w:rFonts w:ascii="Times New Roman" w:eastAsia="Times New Roman" w:hAnsi="Times New Roman" w:cs="Times New Roman"/>
          <w:sz w:val="24"/>
          <w:szCs w:val="20"/>
          <w:lang w:eastAsia="en-AU"/>
        </w:rPr>
        <w:noBreakHyphen/>
        <w:t>General</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make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regulations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prescribing</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matters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required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permitted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prescribed,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necessary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convenient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be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prescribed,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for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carrying</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out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giving</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effect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Migration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Act.</w:t>
      </w:r>
    </w:p>
    <w:p w14:paraId="434734EC" w14:textId="77777777" w:rsidR="00E56C2B" w:rsidRPr="00B66AEC" w:rsidRDefault="00E56C2B" w:rsidP="00E56C2B">
      <w:pPr>
        <w:spacing w:after="0" w:line="240" w:lineRule="auto"/>
        <w:ind w:right="42"/>
        <w:rPr>
          <w:rFonts w:ascii="Times New Roman" w:eastAsia="Times New Roman" w:hAnsi="Times New Roman" w:cs="Times New Roman"/>
          <w:sz w:val="24"/>
          <w:szCs w:val="20"/>
          <w:lang w:eastAsia="en-AU"/>
        </w:rPr>
      </w:pPr>
    </w:p>
    <w:p w14:paraId="1DC61821" w14:textId="2178B8D6" w:rsidR="00E56C2B" w:rsidRPr="00B66AEC" w:rsidRDefault="00E56C2B" w:rsidP="00E56C2B">
      <w:pPr>
        <w:spacing w:after="0" w:line="240" w:lineRule="auto"/>
        <w:ind w:right="43"/>
        <w:rPr>
          <w:rFonts w:ascii="Times New Roman" w:eastAsia="Times New Roman" w:hAnsi="Times New Roman" w:cs="Times New Roman"/>
          <w:sz w:val="24"/>
          <w:szCs w:val="20"/>
          <w:lang w:eastAsia="en-AU"/>
        </w:rPr>
      </w:pPr>
      <w:r w:rsidRPr="00B66AEC">
        <w:rPr>
          <w:rFonts w:ascii="Times New Roman" w:eastAsia="Times New Roman" w:hAnsi="Times New Roman" w:cs="Times New Roman"/>
          <w:sz w:val="24"/>
          <w:szCs w:val="20"/>
          <w:lang w:eastAsia="en-AU"/>
        </w:rPr>
        <w:t>In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addition,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following</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provisions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Migration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Act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are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also</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relevant:</w:t>
      </w:r>
    </w:p>
    <w:p w14:paraId="53986E06" w14:textId="29102EB7" w:rsidR="00E56C2B" w:rsidRPr="00B66AEC" w:rsidRDefault="00E56C2B" w:rsidP="00E56C2B">
      <w:pPr>
        <w:numPr>
          <w:ilvl w:val="0"/>
          <w:numId w:val="5"/>
        </w:numPr>
        <w:spacing w:before="240" w:after="0" w:line="240" w:lineRule="auto"/>
        <w:contextualSpacing/>
        <w:rPr>
          <w:rFonts w:ascii="Times New Roman" w:eastAsia="Times New Roman" w:hAnsi="Times New Roman" w:cs="Times New Roman"/>
          <w:sz w:val="24"/>
          <w:szCs w:val="20"/>
          <w:lang w:eastAsia="en-AU"/>
        </w:rPr>
      </w:pPr>
      <w:proofErr w:type="gramStart"/>
      <w:r w:rsidRPr="00B66AEC">
        <w:rPr>
          <w:rFonts w:ascii="Times New Roman" w:eastAsia="Times New Roman" w:hAnsi="Times New Roman" w:cs="Times New Roman"/>
          <w:sz w:val="24"/>
          <w:szCs w:val="20"/>
          <w:lang w:eastAsia="en-AU"/>
        </w:rPr>
        <w:t>subsection</w:t>
      </w:r>
      <w:proofErr w:type="gramEnd"/>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31(3)</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Migration</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Act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provides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that</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the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regulations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may</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prescribe</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criteria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for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visa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or</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visas</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of</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a</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specified</w:t>
      </w:r>
      <w:r w:rsidR="007F36F7" w:rsidRPr="00B66AEC">
        <w:rPr>
          <w:rFonts w:ascii="Times New Roman" w:eastAsia="Times New Roman" w:hAnsi="Times New Roman" w:cs="Times New Roman"/>
          <w:sz w:val="24"/>
          <w:szCs w:val="20"/>
          <w:lang w:eastAsia="en-AU"/>
        </w:rPr>
        <w:t xml:space="preserve"> </w:t>
      </w:r>
      <w:r w:rsidRPr="00B66AEC">
        <w:rPr>
          <w:rFonts w:ascii="Times New Roman" w:eastAsia="Times New Roman" w:hAnsi="Times New Roman" w:cs="Times New Roman"/>
          <w:sz w:val="24"/>
          <w:szCs w:val="20"/>
          <w:lang w:eastAsia="en-AU"/>
        </w:rPr>
        <w:t>class</w:t>
      </w:r>
      <w:r w:rsidR="00274A4F" w:rsidRPr="00B66AEC">
        <w:rPr>
          <w:rFonts w:ascii="Times New Roman" w:eastAsia="Times New Roman" w:hAnsi="Times New Roman" w:cs="Times New Roman"/>
          <w:sz w:val="24"/>
          <w:szCs w:val="20"/>
          <w:lang w:eastAsia="en-AU"/>
        </w:rPr>
        <w:t>.</w:t>
      </w:r>
    </w:p>
    <w:p w14:paraId="19C1B353" w14:textId="77777777" w:rsidR="00E56C2B" w:rsidRPr="00B66AEC" w:rsidRDefault="00E56C2B" w:rsidP="00E56C2B">
      <w:pPr>
        <w:rPr>
          <w:rFonts w:ascii="Times New Roman" w:eastAsia="Times New Roman" w:hAnsi="Times New Roman" w:cs="Times New Roman"/>
          <w:b/>
          <w:color w:val="000000" w:themeColor="text1"/>
          <w:sz w:val="24"/>
          <w:szCs w:val="20"/>
          <w:lang w:eastAsia="en-AU"/>
        </w:rPr>
      </w:pPr>
      <w:r w:rsidRPr="00B66AEC">
        <w:rPr>
          <w:rFonts w:ascii="Times New Roman" w:eastAsia="Times New Roman" w:hAnsi="Times New Roman" w:cs="Times New Roman"/>
          <w:sz w:val="24"/>
          <w:szCs w:val="20"/>
          <w:lang w:eastAsia="en-AU"/>
        </w:rPr>
        <w:br w:type="page"/>
      </w:r>
    </w:p>
    <w:p w14:paraId="37093425" w14:textId="750224DF" w:rsidR="00AF5823" w:rsidRPr="00B66AEC" w:rsidRDefault="00AF5823" w:rsidP="00AF5823">
      <w:pPr>
        <w:tabs>
          <w:tab w:val="left" w:pos="345"/>
        </w:tabs>
        <w:spacing w:before="100" w:beforeAutospacing="1"/>
        <w:ind w:right="43"/>
        <w:contextualSpacing/>
        <w:jc w:val="right"/>
        <w:rPr>
          <w:rFonts w:ascii="Times New Roman" w:hAnsi="Times New Roman" w:cs="Times New Roman"/>
          <w:szCs w:val="24"/>
        </w:rPr>
      </w:pPr>
      <w:r w:rsidRPr="00B66AEC">
        <w:rPr>
          <w:rFonts w:ascii="Times New Roman" w:hAnsi="Times New Roman" w:cs="Times New Roman"/>
          <w:b/>
          <w:szCs w:val="24"/>
          <w:u w:val="single"/>
        </w:rPr>
        <w:lastRenderedPageBreak/>
        <w:t>ATTACHMENT</w:t>
      </w:r>
      <w:r w:rsidR="007F36F7" w:rsidRPr="00B66AEC">
        <w:rPr>
          <w:rFonts w:ascii="Times New Roman" w:hAnsi="Times New Roman" w:cs="Times New Roman"/>
          <w:b/>
          <w:szCs w:val="24"/>
          <w:u w:val="single"/>
        </w:rPr>
        <w:t xml:space="preserve"> </w:t>
      </w:r>
      <w:r w:rsidRPr="00B66AEC">
        <w:rPr>
          <w:rFonts w:ascii="Times New Roman" w:hAnsi="Times New Roman" w:cs="Times New Roman"/>
          <w:b/>
          <w:szCs w:val="24"/>
          <w:u w:val="single"/>
        </w:rPr>
        <w:t>B</w:t>
      </w:r>
    </w:p>
    <w:p w14:paraId="6454A48F" w14:textId="77777777" w:rsidR="0082177C" w:rsidRPr="00B66AEC" w:rsidRDefault="0082177C" w:rsidP="0082177C">
      <w:pPr>
        <w:spacing w:before="360" w:after="120" w:line="240" w:lineRule="auto"/>
        <w:jc w:val="center"/>
        <w:outlineLvl w:val="1"/>
        <w:rPr>
          <w:rFonts w:ascii="Times New Roman" w:eastAsia="Calibri" w:hAnsi="Times New Roman" w:cs="Times New Roman"/>
          <w:b/>
          <w:sz w:val="28"/>
          <w:szCs w:val="28"/>
        </w:rPr>
      </w:pPr>
      <w:r w:rsidRPr="00B66AEC">
        <w:rPr>
          <w:rFonts w:ascii="Times New Roman" w:eastAsia="Calibri" w:hAnsi="Times New Roman" w:cs="Times New Roman"/>
          <w:b/>
          <w:sz w:val="28"/>
          <w:szCs w:val="28"/>
        </w:rPr>
        <w:t>Statement of Compatibility with Human Rights</w:t>
      </w:r>
    </w:p>
    <w:p w14:paraId="1E39E336" w14:textId="77777777" w:rsidR="0082177C" w:rsidRPr="00B66AEC" w:rsidRDefault="0082177C" w:rsidP="0082177C">
      <w:pPr>
        <w:spacing w:before="120" w:after="120" w:line="240" w:lineRule="auto"/>
        <w:jc w:val="center"/>
        <w:rPr>
          <w:rFonts w:ascii="Times New Roman" w:eastAsia="Calibri" w:hAnsi="Times New Roman" w:cs="Times New Roman"/>
          <w:sz w:val="24"/>
          <w:szCs w:val="24"/>
        </w:rPr>
      </w:pPr>
      <w:r w:rsidRPr="00B66AEC">
        <w:rPr>
          <w:rFonts w:ascii="Times New Roman" w:eastAsia="Calibri" w:hAnsi="Times New Roman" w:cs="Times New Roman"/>
          <w:i/>
          <w:sz w:val="24"/>
          <w:szCs w:val="24"/>
        </w:rPr>
        <w:t>Prepared in accordance with Part 3 of the Human Rights (Parliamentary Scrutiny) Act 2011</w:t>
      </w:r>
    </w:p>
    <w:p w14:paraId="2DCE44B8" w14:textId="77777777" w:rsidR="0082177C" w:rsidRPr="00B66AEC" w:rsidRDefault="0082177C" w:rsidP="0082177C">
      <w:pPr>
        <w:spacing w:before="120" w:after="120" w:line="240" w:lineRule="auto"/>
        <w:jc w:val="center"/>
        <w:rPr>
          <w:rFonts w:ascii="Times New Roman" w:eastAsia="Calibri" w:hAnsi="Times New Roman" w:cs="Times New Roman"/>
          <w:sz w:val="24"/>
          <w:szCs w:val="24"/>
        </w:rPr>
      </w:pPr>
    </w:p>
    <w:p w14:paraId="5D2EFFDD" w14:textId="77777777" w:rsidR="0082177C" w:rsidRPr="00B66AEC" w:rsidRDefault="0082177C" w:rsidP="0082177C">
      <w:pPr>
        <w:spacing w:before="120" w:after="120" w:line="240" w:lineRule="auto"/>
        <w:jc w:val="center"/>
        <w:rPr>
          <w:rFonts w:ascii="Times New Roman" w:eastAsia="Calibri" w:hAnsi="Times New Roman" w:cs="Times New Roman"/>
          <w:b/>
          <w:sz w:val="24"/>
          <w:szCs w:val="24"/>
        </w:rPr>
      </w:pPr>
      <w:r w:rsidRPr="00B66AEC">
        <w:rPr>
          <w:rFonts w:ascii="Times New Roman" w:eastAsia="Calibri" w:hAnsi="Times New Roman" w:cs="Times New Roman"/>
          <w:b/>
          <w:i/>
          <w:sz w:val="24"/>
          <w:szCs w:val="24"/>
        </w:rPr>
        <w:t>Migration Amendment (Dependent Secondary Partner Visa Applicants) Regulations 2024</w:t>
      </w:r>
    </w:p>
    <w:p w14:paraId="6F1AA3E3" w14:textId="77777777" w:rsidR="0082177C" w:rsidRPr="00B66AEC" w:rsidRDefault="0082177C" w:rsidP="0082177C">
      <w:pPr>
        <w:spacing w:before="120" w:after="120" w:line="240" w:lineRule="auto"/>
        <w:jc w:val="center"/>
        <w:rPr>
          <w:rFonts w:ascii="Times New Roman" w:eastAsia="Calibri" w:hAnsi="Times New Roman" w:cs="Times New Roman"/>
          <w:sz w:val="24"/>
          <w:szCs w:val="24"/>
        </w:rPr>
      </w:pPr>
    </w:p>
    <w:p w14:paraId="6C0E3D2A" w14:textId="77777777" w:rsidR="0082177C" w:rsidRPr="00B66AEC" w:rsidRDefault="0082177C" w:rsidP="0082177C">
      <w:pPr>
        <w:spacing w:before="120" w:after="120" w:line="240" w:lineRule="auto"/>
        <w:jc w:val="center"/>
        <w:rPr>
          <w:rFonts w:ascii="Times New Roman" w:eastAsia="Calibri" w:hAnsi="Times New Roman" w:cs="Times New Roman"/>
          <w:sz w:val="24"/>
          <w:szCs w:val="24"/>
        </w:rPr>
      </w:pPr>
      <w:r w:rsidRPr="00B66AEC">
        <w:rPr>
          <w:rFonts w:ascii="Times New Roman" w:eastAsia="Calibri"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B66AEC">
        <w:rPr>
          <w:rFonts w:ascii="Times New Roman" w:eastAsia="Calibri" w:hAnsi="Times New Roman" w:cs="Times New Roman"/>
          <w:i/>
          <w:sz w:val="24"/>
          <w:szCs w:val="24"/>
        </w:rPr>
        <w:t>Human Rights (Parliamentary Scrutiny) Act 2011</w:t>
      </w:r>
      <w:r w:rsidRPr="00B66AEC">
        <w:rPr>
          <w:rFonts w:ascii="Times New Roman" w:eastAsia="Calibri" w:hAnsi="Times New Roman" w:cs="Times New Roman"/>
          <w:sz w:val="24"/>
          <w:szCs w:val="24"/>
        </w:rPr>
        <w:t>.</w:t>
      </w:r>
    </w:p>
    <w:p w14:paraId="794D5E47" w14:textId="77777777" w:rsidR="0082177C" w:rsidRPr="00B66AEC" w:rsidRDefault="0082177C" w:rsidP="0082177C">
      <w:pPr>
        <w:spacing w:before="120" w:after="120" w:line="240" w:lineRule="auto"/>
        <w:rPr>
          <w:rFonts w:ascii="Times New Roman" w:eastAsia="Calibri" w:hAnsi="Times New Roman" w:cs="Times New Roman"/>
          <w:sz w:val="24"/>
          <w:szCs w:val="24"/>
        </w:rPr>
      </w:pPr>
    </w:p>
    <w:p w14:paraId="2826CAE5" w14:textId="77777777" w:rsidR="0082177C" w:rsidRPr="00B66AEC" w:rsidRDefault="0082177C" w:rsidP="0082177C">
      <w:pPr>
        <w:spacing w:before="120" w:after="120" w:line="240" w:lineRule="auto"/>
        <w:jc w:val="both"/>
        <w:outlineLvl w:val="2"/>
        <w:rPr>
          <w:rFonts w:ascii="Times New Roman" w:eastAsia="Calibri" w:hAnsi="Times New Roman" w:cs="Times New Roman"/>
          <w:b/>
          <w:sz w:val="24"/>
          <w:szCs w:val="24"/>
        </w:rPr>
      </w:pPr>
      <w:r w:rsidRPr="00B66AEC">
        <w:rPr>
          <w:rFonts w:ascii="Times New Roman" w:eastAsia="Calibri" w:hAnsi="Times New Roman" w:cs="Times New Roman"/>
          <w:b/>
          <w:sz w:val="24"/>
          <w:szCs w:val="24"/>
        </w:rPr>
        <w:t>Overview of the Disallowable Legislative Instrument</w:t>
      </w:r>
    </w:p>
    <w:p w14:paraId="73428BD4"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 xml:space="preserve">The </w:t>
      </w:r>
      <w:r w:rsidRPr="00B66AEC">
        <w:rPr>
          <w:rFonts w:ascii="Times New Roman" w:eastAsia="Calibri" w:hAnsi="Times New Roman" w:cs="Times New Roman"/>
          <w:i/>
          <w:sz w:val="24"/>
          <w:szCs w:val="24"/>
        </w:rPr>
        <w:t xml:space="preserve">Migration Amendment (Dependent Secondary Partner Visa Applicants) Regulations 2024 </w:t>
      </w:r>
      <w:r w:rsidRPr="00B66AEC">
        <w:rPr>
          <w:rFonts w:ascii="Times New Roman" w:eastAsia="Calibri" w:hAnsi="Times New Roman" w:cs="Times New Roman"/>
          <w:sz w:val="24"/>
          <w:szCs w:val="24"/>
        </w:rPr>
        <w:t xml:space="preserve">(the Amendment Regulations) amend the </w:t>
      </w:r>
      <w:r w:rsidRPr="00B66AEC">
        <w:rPr>
          <w:rFonts w:ascii="Times New Roman" w:eastAsia="Calibri" w:hAnsi="Times New Roman" w:cs="Times New Roman"/>
          <w:i/>
          <w:sz w:val="24"/>
          <w:szCs w:val="24"/>
        </w:rPr>
        <w:t xml:space="preserve">Migration Regulations 1994 </w:t>
      </w:r>
      <w:r w:rsidRPr="00B66AEC">
        <w:rPr>
          <w:rFonts w:ascii="Times New Roman" w:eastAsia="Calibri" w:hAnsi="Times New Roman" w:cs="Times New Roman"/>
          <w:sz w:val="24"/>
          <w:szCs w:val="24"/>
        </w:rPr>
        <w:t>(the Migration Regulations), to enable a cohort of secondary applicants for Subclass 309 (Partner (Provisional)) and Subclass 100 (Partner) visas who, due to the impact of the now revoked Ministerial Direction 80</w:t>
      </w:r>
      <w:r w:rsidRPr="00B66AEC">
        <w:rPr>
          <w:rFonts w:ascii="Times New Roman" w:eastAsia="Calibri" w:hAnsi="Times New Roman" w:cs="Times New Roman"/>
          <w:sz w:val="24"/>
          <w:szCs w:val="24"/>
          <w:vertAlign w:val="superscript"/>
        </w:rPr>
        <w:footnoteReference w:id="2"/>
      </w:r>
      <w:r w:rsidRPr="00B66AEC">
        <w:rPr>
          <w:rFonts w:ascii="Times New Roman" w:eastAsia="Calibri" w:hAnsi="Times New Roman" w:cs="Times New Roman"/>
          <w:sz w:val="24"/>
          <w:szCs w:val="24"/>
        </w:rPr>
        <w:t xml:space="preserve">, no longer meet the age requirement for the visa, to be eligible for the grant of the visa. Ministerial Direction 80 gave the lowest processing priority to applications for Family visas where the sponsor was a permanent resident who entered Australia as an Unauthorised Maritime Arrival, and was revoked on 9 February 2023. </w:t>
      </w:r>
    </w:p>
    <w:p w14:paraId="5AFB3FA5" w14:textId="63E9AB6A"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 xml:space="preserve">The Migration Regulations provide criteria for secondary applicants, who are generally close family members of the primary visa applicant (who in this case </w:t>
      </w:r>
      <w:r w:rsidR="007316DF" w:rsidRPr="00B66AEC">
        <w:rPr>
          <w:rFonts w:ascii="Times New Roman" w:eastAsia="Calibri" w:hAnsi="Times New Roman" w:cs="Times New Roman"/>
          <w:sz w:val="24"/>
          <w:szCs w:val="24"/>
        </w:rPr>
        <w:t>is</w:t>
      </w:r>
      <w:r w:rsidRPr="00B66AEC">
        <w:rPr>
          <w:rFonts w:ascii="Times New Roman" w:eastAsia="Calibri" w:hAnsi="Times New Roman" w:cs="Times New Roman"/>
          <w:sz w:val="24"/>
          <w:szCs w:val="24"/>
        </w:rPr>
        <w:t xml:space="preserve"> the partner of an Australian citizen or permanent resident), to also be granted a Partner visa if the primary visa applicant is granted a Partner visa. The criteria for secondary applicants for a Subclass 309 visa included that the applicant must be a ‘member of the family unit’ of the primary applicant, at the time of applying for the visa and, prior to the amendments made by the Amendment Regulations, at the time a decision is made on their application. ‘Member of the family unit’ is defined in regulation 1.12 of the Migration Regulations. Under regulation 1.12, a child or step-child of a visa applicant is a ‘member of the family unit’ if they are under 18, between 18 and 23 and dependent on the primary applicant for their basic needs, or over 23 and dependent on the primary applicant because of a disability that incapacitates them for work.</w:t>
      </w:r>
    </w:p>
    <w:p w14:paraId="73C5920D" w14:textId="3E857D1C"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Under Ministerial Direction 80 (and prior Ministerial Directions 72 and 62) on the order of processing of Family visa applications, the lowest processing priority was given to applicants for Family visas whose sponsor was a permanent visa holder who arrived in Australia as an unauthorised maritime arrival (UMA). The Directions led to extended processing times for these applications. As a result of these extended processing times, some secondary applicants no longer meet the age limits in the ‘member of the family unit’ definition, and, prior to the amendments made by the Amendment Regulations, could not meet the secondary criteria for the grant of a subclass 309 visa.</w:t>
      </w:r>
    </w:p>
    <w:p w14:paraId="7D80F940"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 xml:space="preserve">The Amendment Regulations amend the secondary criteria for the grant of the Subclass 309 visa to ensure no ongoing adverse impact to this cohort of secondary applicants who were affected by the Ministerial Direction 80 before its revocation. The amendments create alternative secondary criteria for applicants who were sponsored by permanent visa holders who arrived as UMAs. Under the amendments, these applicants can meet the secondary criteria for the Subclass 309 visa if they were a </w:t>
      </w:r>
      <w:r w:rsidRPr="00B66AEC">
        <w:rPr>
          <w:rFonts w:ascii="Times New Roman" w:eastAsia="Calibri" w:hAnsi="Times New Roman" w:cs="Times New Roman"/>
          <w:sz w:val="24"/>
          <w:szCs w:val="24"/>
        </w:rPr>
        <w:lastRenderedPageBreak/>
        <w:t>member of the family unit of the primary applicant at the time of applying for the visa, and are dependent on the primary applicant (without regard to their age) at the time a decision is made on their visa application. Children under the age of 18 are not affected by the amendments as they continue to be able to meet the existing secondary criteria on the basis of being a ‘member of the family unit’.</w:t>
      </w:r>
    </w:p>
    <w:p w14:paraId="57E70841"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The Amendment Regulations also make consequential changes to the permanent Subclass 100 (Partner) visa criteria to ensure that applicants granted a Subclass 309 visa under the amended criteria can subsequently be granted the permanent visa.</w:t>
      </w:r>
    </w:p>
    <w:p w14:paraId="55349721" w14:textId="77777777" w:rsidR="0082177C" w:rsidRPr="00B66AEC" w:rsidRDefault="0082177C" w:rsidP="0082177C">
      <w:pPr>
        <w:spacing w:before="120" w:after="120" w:line="240" w:lineRule="auto"/>
        <w:jc w:val="both"/>
        <w:outlineLvl w:val="2"/>
        <w:rPr>
          <w:rFonts w:ascii="Times New Roman" w:eastAsia="Calibri" w:hAnsi="Times New Roman" w:cs="Times New Roman"/>
          <w:b/>
          <w:sz w:val="24"/>
          <w:szCs w:val="24"/>
        </w:rPr>
      </w:pPr>
      <w:r w:rsidRPr="00B66AEC">
        <w:rPr>
          <w:rFonts w:ascii="Times New Roman" w:eastAsia="Calibri" w:hAnsi="Times New Roman" w:cs="Times New Roman"/>
          <w:b/>
          <w:sz w:val="24"/>
          <w:szCs w:val="24"/>
        </w:rPr>
        <w:t>Human rights implications</w:t>
      </w:r>
    </w:p>
    <w:p w14:paraId="5D96ADF2"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This Disallowable Legislative Instrument may positively engage the following rights:</w:t>
      </w:r>
    </w:p>
    <w:p w14:paraId="789BF866" w14:textId="77777777" w:rsidR="0082177C" w:rsidRPr="00B66AEC" w:rsidRDefault="0082177C" w:rsidP="0082177C">
      <w:pPr>
        <w:numPr>
          <w:ilvl w:val="0"/>
          <w:numId w:val="7"/>
        </w:numPr>
        <w:spacing w:after="0" w:line="240" w:lineRule="auto"/>
        <w:ind w:left="714" w:hanging="357"/>
        <w:rPr>
          <w:rFonts w:ascii="Times New Roman" w:eastAsia="Calibri" w:hAnsi="Times New Roman" w:cs="Times New Roman"/>
          <w:sz w:val="24"/>
          <w:szCs w:val="24"/>
        </w:rPr>
      </w:pPr>
      <w:r w:rsidRPr="00B66AEC">
        <w:rPr>
          <w:rFonts w:ascii="Times New Roman" w:eastAsia="Calibri" w:hAnsi="Times New Roman" w:cs="Times New Roman"/>
          <w:sz w:val="24"/>
          <w:szCs w:val="24"/>
        </w:rPr>
        <w:t>The right to respect for the family, contained in articles 23(1) and 17(1) of the International Covenant on Civil and Political Rights (ICCPR)</w:t>
      </w:r>
    </w:p>
    <w:p w14:paraId="129558F1" w14:textId="77777777" w:rsidR="0082177C" w:rsidRPr="00B66AEC" w:rsidRDefault="0082177C" w:rsidP="0082177C">
      <w:pPr>
        <w:numPr>
          <w:ilvl w:val="0"/>
          <w:numId w:val="7"/>
        </w:numPr>
        <w:spacing w:after="0" w:line="240" w:lineRule="auto"/>
        <w:ind w:left="714" w:hanging="357"/>
        <w:rPr>
          <w:rFonts w:ascii="Times New Roman" w:eastAsia="Calibri" w:hAnsi="Times New Roman" w:cs="Times New Roman"/>
          <w:sz w:val="24"/>
          <w:szCs w:val="24"/>
        </w:rPr>
      </w:pPr>
      <w:r w:rsidRPr="00B66AEC">
        <w:rPr>
          <w:rFonts w:ascii="Times New Roman" w:eastAsia="Calibri" w:hAnsi="Times New Roman" w:cs="Times New Roman"/>
          <w:sz w:val="24"/>
          <w:szCs w:val="24"/>
        </w:rPr>
        <w:t>Rights relating to equality and non-discrimination in articles 2 and 26 of the ICCPR.</w:t>
      </w:r>
    </w:p>
    <w:p w14:paraId="0681E102" w14:textId="77777777" w:rsidR="0082177C" w:rsidRPr="00B66AEC" w:rsidRDefault="0082177C" w:rsidP="0082177C">
      <w:pPr>
        <w:spacing w:before="120" w:after="120" w:line="240" w:lineRule="auto"/>
        <w:rPr>
          <w:rFonts w:ascii="Times New Roman" w:eastAsia="Calibri" w:hAnsi="Times New Roman" w:cs="Times New Roman"/>
          <w:sz w:val="24"/>
          <w:szCs w:val="24"/>
          <w:u w:val="single"/>
        </w:rPr>
      </w:pPr>
      <w:r w:rsidRPr="00B66AEC">
        <w:rPr>
          <w:rFonts w:ascii="Times New Roman" w:eastAsia="Calibri" w:hAnsi="Times New Roman" w:cs="Times New Roman"/>
          <w:sz w:val="24"/>
          <w:szCs w:val="24"/>
          <w:u w:val="single"/>
        </w:rPr>
        <w:t>Rights relating to respect for the family</w:t>
      </w:r>
    </w:p>
    <w:p w14:paraId="3FA1B9D5"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The Amendment Regulations support the right to respect for the family.</w:t>
      </w:r>
    </w:p>
    <w:p w14:paraId="3A62EB62"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 xml:space="preserve">Article 23(1) of the ICCPR provides that the family is the natural and fundamental group unit of society and is entitled to protection by society and the State. Article 17(1) of the ICCPR provides that no one shall be subjected to arbitrary interference with their family. The Migration Regulations establish visa criteria which provide for the entry and stay in Australia of persons in circumstances that may affect the unity of a family. </w:t>
      </w:r>
    </w:p>
    <w:p w14:paraId="7FECE19E"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 xml:space="preserve">The amendments made by the Amendment Regulations promote human rights by facilitating family reunification and maintaining family unity in cases where dependent children of a permanent visa holder who arrived as an UMA and/or their partner have turned 23 while awaiting a decision on their Subclass 309 visa application, because of the lowest processing priority that had previously been accorded to their visa application. The amendments promote the right to respect for the family for those families, where the primary visa applicant’s adult child, as the secondary applicant, is dependent on their parent for their basic needs, even if the child is older than 23 at the time of the visa decision. </w:t>
      </w:r>
    </w:p>
    <w:p w14:paraId="3D98747E" w14:textId="77777777" w:rsidR="0082177C" w:rsidRPr="00B66AEC" w:rsidRDefault="0082177C" w:rsidP="0082177C">
      <w:pPr>
        <w:spacing w:before="120" w:after="120" w:line="240" w:lineRule="auto"/>
        <w:rPr>
          <w:rFonts w:ascii="Times New Roman" w:eastAsia="Calibri" w:hAnsi="Times New Roman" w:cs="Times New Roman"/>
          <w:sz w:val="24"/>
          <w:szCs w:val="24"/>
          <w:u w:val="single"/>
        </w:rPr>
      </w:pPr>
      <w:r w:rsidRPr="00B66AEC">
        <w:rPr>
          <w:rFonts w:ascii="Times New Roman" w:eastAsia="Calibri" w:hAnsi="Times New Roman" w:cs="Times New Roman"/>
          <w:sz w:val="24"/>
          <w:szCs w:val="24"/>
          <w:u w:val="single"/>
        </w:rPr>
        <w:t>Rights relating to non-discrimination</w:t>
      </w:r>
    </w:p>
    <w:p w14:paraId="1CB9D6A0"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The amendments made by the Amendment Regulations are aimed at addressing the adverse impacts of the lowest processing priority being accorded for a particular cohort of visa applicants. The cohort is those applicants who applied, before Ministerial Direction 80 was revoked, for a Subclass 309 visa on the basis of being a member of the family unit of a visa applicant who was sponsored for this visa by a permanent visa holder who arrived in Australia as an UMA, and who are still dependent on their parent but have turned 23 while awaiting a decision on that application. Following on from the revocation of Ministerial Direction 80, the amendments promote the rights to equality and non-discrimination for this cohort and their families.</w:t>
      </w:r>
      <w:r w:rsidRPr="00B66AEC" w:rsidDel="00E837C0">
        <w:rPr>
          <w:rFonts w:ascii="Times New Roman" w:eastAsia="Calibri" w:hAnsi="Times New Roman" w:cs="Times New Roman"/>
          <w:sz w:val="24"/>
          <w:szCs w:val="24"/>
        </w:rPr>
        <w:t xml:space="preserve"> </w:t>
      </w:r>
    </w:p>
    <w:p w14:paraId="206B6B3A" w14:textId="77777777" w:rsidR="0082177C" w:rsidRPr="00B66AEC" w:rsidRDefault="0082177C" w:rsidP="0082177C">
      <w:pPr>
        <w:spacing w:before="120" w:after="120" w:line="240" w:lineRule="auto"/>
        <w:jc w:val="both"/>
        <w:outlineLvl w:val="2"/>
        <w:rPr>
          <w:rFonts w:ascii="Times New Roman" w:eastAsia="Calibri" w:hAnsi="Times New Roman" w:cs="Times New Roman"/>
          <w:b/>
          <w:sz w:val="24"/>
          <w:szCs w:val="24"/>
        </w:rPr>
      </w:pPr>
      <w:r w:rsidRPr="00B66AEC">
        <w:rPr>
          <w:rFonts w:ascii="Times New Roman" w:eastAsia="Calibri" w:hAnsi="Times New Roman" w:cs="Times New Roman"/>
          <w:b/>
          <w:sz w:val="24"/>
          <w:szCs w:val="24"/>
        </w:rPr>
        <w:t xml:space="preserve">Conclusion </w:t>
      </w:r>
    </w:p>
    <w:p w14:paraId="53FD6543" w14:textId="77777777" w:rsidR="0082177C" w:rsidRPr="00B66AEC" w:rsidRDefault="0082177C" w:rsidP="0082177C">
      <w:pPr>
        <w:spacing w:before="120" w:after="120" w:line="240" w:lineRule="auto"/>
        <w:rPr>
          <w:rFonts w:ascii="Times New Roman" w:eastAsia="Calibri" w:hAnsi="Times New Roman" w:cs="Times New Roman"/>
          <w:sz w:val="24"/>
          <w:szCs w:val="24"/>
        </w:rPr>
      </w:pPr>
      <w:r w:rsidRPr="00B66AEC">
        <w:rPr>
          <w:rFonts w:ascii="Times New Roman" w:eastAsia="Calibri" w:hAnsi="Times New Roman" w:cs="Times New Roman"/>
          <w:sz w:val="24"/>
          <w:szCs w:val="24"/>
        </w:rPr>
        <w:t xml:space="preserve">The Disallowable Legislative Instrument is compatible with human rights because it promotes the protection of human rights. </w:t>
      </w:r>
    </w:p>
    <w:p w14:paraId="3B22A956" w14:textId="77777777" w:rsidR="0082177C" w:rsidRPr="00B66AEC" w:rsidRDefault="0082177C" w:rsidP="0082177C">
      <w:pPr>
        <w:spacing w:before="120" w:after="120" w:line="240" w:lineRule="auto"/>
        <w:jc w:val="center"/>
        <w:rPr>
          <w:rFonts w:ascii="Times New Roman" w:eastAsia="Calibri" w:hAnsi="Times New Roman" w:cs="Times New Roman"/>
          <w:b/>
          <w:sz w:val="24"/>
          <w:szCs w:val="24"/>
        </w:rPr>
      </w:pPr>
      <w:r w:rsidRPr="00B66AEC">
        <w:rPr>
          <w:rFonts w:ascii="Times New Roman" w:eastAsia="Calibri" w:hAnsi="Times New Roman" w:cs="Times New Roman"/>
          <w:b/>
          <w:sz w:val="24"/>
          <w:szCs w:val="24"/>
        </w:rPr>
        <w:t>The Hon Andrew Giles MP</w:t>
      </w:r>
    </w:p>
    <w:p w14:paraId="3BC71498" w14:textId="77777777" w:rsidR="0082177C" w:rsidRPr="00B66AEC" w:rsidRDefault="0082177C" w:rsidP="0082177C">
      <w:pPr>
        <w:spacing w:before="120" w:after="120" w:line="240" w:lineRule="auto"/>
        <w:jc w:val="center"/>
        <w:rPr>
          <w:rFonts w:ascii="Times New Roman" w:eastAsia="Calibri" w:hAnsi="Times New Roman" w:cs="Times New Roman"/>
          <w:b/>
          <w:sz w:val="24"/>
          <w:szCs w:val="24"/>
        </w:rPr>
      </w:pPr>
      <w:r w:rsidRPr="00B66AEC">
        <w:rPr>
          <w:rFonts w:ascii="Times New Roman" w:eastAsia="Calibri" w:hAnsi="Times New Roman" w:cs="Times New Roman"/>
          <w:b/>
          <w:sz w:val="24"/>
          <w:szCs w:val="24"/>
        </w:rPr>
        <w:t>Minister for Immigration, Citizenship and Multicultural Affairs</w:t>
      </w:r>
    </w:p>
    <w:p w14:paraId="4561BB14" w14:textId="77777777" w:rsidR="00AF5823" w:rsidRPr="00B66AEC" w:rsidRDefault="00AF5823">
      <w:pPr>
        <w:rPr>
          <w:rFonts w:ascii="Times New Roman" w:hAnsi="Times New Roman" w:cs="Times New Roman"/>
          <w:sz w:val="24"/>
          <w:szCs w:val="24"/>
        </w:rPr>
      </w:pPr>
      <w:r w:rsidRPr="00B66AEC">
        <w:rPr>
          <w:rFonts w:ascii="Times New Roman" w:hAnsi="Times New Roman" w:cs="Times New Roman"/>
          <w:sz w:val="24"/>
          <w:szCs w:val="24"/>
        </w:rPr>
        <w:br w:type="page"/>
      </w:r>
    </w:p>
    <w:p w14:paraId="5152B90B" w14:textId="4845C103" w:rsidR="00AF5823" w:rsidRPr="00B66AEC" w:rsidRDefault="00AF5823" w:rsidP="00AF5823">
      <w:pPr>
        <w:tabs>
          <w:tab w:val="left" w:pos="6521"/>
        </w:tabs>
        <w:spacing w:after="200" w:line="240" w:lineRule="auto"/>
        <w:ind w:right="-2"/>
        <w:jc w:val="right"/>
        <w:rPr>
          <w:rFonts w:ascii="Times New Roman" w:eastAsiaTheme="minorEastAsia" w:hAnsi="Times New Roman" w:cs="Times New Roman"/>
          <w:b/>
          <w:bCs/>
          <w:sz w:val="24"/>
          <w:szCs w:val="24"/>
          <w:u w:val="single"/>
        </w:rPr>
      </w:pPr>
      <w:r w:rsidRPr="00B66AEC">
        <w:rPr>
          <w:rFonts w:ascii="Times New Roman" w:eastAsiaTheme="minorEastAsia" w:hAnsi="Times New Roman" w:cs="Times New Roman"/>
          <w:b/>
          <w:bCs/>
          <w:sz w:val="24"/>
          <w:szCs w:val="24"/>
          <w:u w:val="single"/>
        </w:rPr>
        <w:lastRenderedPageBreak/>
        <w:t>ATTACHMENT</w:t>
      </w:r>
      <w:r w:rsidR="007F36F7" w:rsidRPr="00B66AEC">
        <w:rPr>
          <w:rFonts w:ascii="Times New Roman" w:eastAsiaTheme="minorEastAsia" w:hAnsi="Times New Roman" w:cs="Times New Roman"/>
          <w:b/>
          <w:bCs/>
          <w:sz w:val="24"/>
          <w:szCs w:val="24"/>
          <w:u w:val="single"/>
        </w:rPr>
        <w:t xml:space="preserve"> </w:t>
      </w:r>
      <w:r w:rsidRPr="00B66AEC">
        <w:rPr>
          <w:rFonts w:ascii="Times New Roman" w:eastAsiaTheme="minorEastAsia" w:hAnsi="Times New Roman" w:cs="Times New Roman"/>
          <w:b/>
          <w:bCs/>
          <w:sz w:val="24"/>
          <w:szCs w:val="24"/>
          <w:u w:val="single"/>
        </w:rPr>
        <w:t>C</w:t>
      </w:r>
    </w:p>
    <w:p w14:paraId="6D91BF79" w14:textId="77777777" w:rsidR="00AF5823" w:rsidRPr="00B66AEC" w:rsidRDefault="00AF5823" w:rsidP="00AF5823">
      <w:pPr>
        <w:tabs>
          <w:tab w:val="left" w:pos="345"/>
        </w:tabs>
        <w:spacing w:after="200" w:line="240" w:lineRule="auto"/>
        <w:ind w:right="43"/>
        <w:jc w:val="right"/>
        <w:rPr>
          <w:rFonts w:ascii="Times New Roman" w:eastAsiaTheme="minorEastAsia" w:hAnsi="Times New Roman" w:cs="Times New Roman"/>
          <w:b/>
          <w:bCs/>
          <w:sz w:val="24"/>
          <w:szCs w:val="24"/>
          <w:u w:val="single"/>
        </w:rPr>
      </w:pPr>
    </w:p>
    <w:p w14:paraId="6B1775C1" w14:textId="370A6A14" w:rsidR="0082177C" w:rsidRPr="00B66AEC" w:rsidRDefault="0082177C" w:rsidP="0082177C">
      <w:pPr>
        <w:spacing w:after="200" w:line="240" w:lineRule="auto"/>
        <w:ind w:right="91"/>
        <w:rPr>
          <w:rFonts w:ascii="Times New Roman" w:eastAsiaTheme="minorEastAsia" w:hAnsi="Times New Roman" w:cs="Times New Roman"/>
          <w:b/>
          <w:bCs/>
          <w:i/>
          <w:iCs/>
          <w:sz w:val="24"/>
          <w:szCs w:val="24"/>
          <w:u w:val="single"/>
        </w:rPr>
      </w:pPr>
      <w:r w:rsidRPr="00B66AEC">
        <w:rPr>
          <w:rFonts w:ascii="Times New Roman" w:eastAsiaTheme="minorEastAsia" w:hAnsi="Times New Roman" w:cs="Times New Roman"/>
          <w:b/>
          <w:bCs/>
          <w:sz w:val="24"/>
          <w:szCs w:val="24"/>
          <w:u w:val="single"/>
        </w:rPr>
        <w:t xml:space="preserve">Details of the </w:t>
      </w:r>
      <w:r w:rsidRPr="00B66AEC">
        <w:rPr>
          <w:rFonts w:ascii="Times New Roman" w:eastAsiaTheme="minorEastAsia" w:hAnsi="Times New Roman" w:cs="Times New Roman"/>
          <w:b/>
          <w:bCs/>
          <w:i/>
          <w:iCs/>
          <w:sz w:val="24"/>
          <w:szCs w:val="24"/>
          <w:u w:val="single"/>
        </w:rPr>
        <w:t>Migration Amendment (Dependent Secondary Partner Visa Applicants) Regulations 2024</w:t>
      </w:r>
    </w:p>
    <w:p w14:paraId="7E0D636C" w14:textId="77777777" w:rsidR="0082177C" w:rsidRPr="00B66AEC" w:rsidRDefault="0082177C" w:rsidP="0082177C">
      <w:pPr>
        <w:widowControl w:val="0"/>
        <w:spacing w:after="200" w:line="240" w:lineRule="auto"/>
        <w:ind w:left="709" w:hanging="709"/>
        <w:rPr>
          <w:rFonts w:ascii="Times New Roman" w:eastAsiaTheme="minorEastAsia" w:hAnsi="Times New Roman" w:cs="Times New Roman"/>
          <w:kern w:val="28"/>
          <w:sz w:val="24"/>
          <w:szCs w:val="24"/>
          <w:u w:val="single"/>
        </w:rPr>
      </w:pPr>
      <w:r w:rsidRPr="00B66AEC">
        <w:rPr>
          <w:rFonts w:ascii="Times New Roman" w:eastAsiaTheme="minorEastAsia" w:hAnsi="Times New Roman" w:cs="Times New Roman"/>
          <w:kern w:val="28"/>
          <w:sz w:val="24"/>
          <w:szCs w:val="24"/>
          <w:u w:val="single"/>
        </w:rPr>
        <w:t>Section 1 – Name of Regulations</w:t>
      </w:r>
    </w:p>
    <w:p w14:paraId="62AC1F3E" w14:textId="48554286" w:rsidR="0082177C" w:rsidRPr="00B66AEC" w:rsidRDefault="0082177C" w:rsidP="0082177C">
      <w:pPr>
        <w:spacing w:after="200" w:line="240" w:lineRule="auto"/>
        <w:ind w:right="91"/>
        <w:rPr>
          <w:rFonts w:ascii="Times New Roman" w:eastAsiaTheme="minorEastAsia" w:hAnsi="Times New Roman" w:cs="Times New Roman"/>
          <w:bCs/>
          <w:i/>
          <w:iCs/>
          <w:sz w:val="24"/>
          <w:szCs w:val="24"/>
        </w:rPr>
      </w:pPr>
      <w:r w:rsidRPr="00B66AEC">
        <w:rPr>
          <w:rFonts w:ascii="Times New Roman" w:eastAsiaTheme="minorEastAsia" w:hAnsi="Times New Roman" w:cs="Times New Roman"/>
          <w:sz w:val="24"/>
          <w:szCs w:val="24"/>
        </w:rPr>
        <w:t>This section provide</w:t>
      </w:r>
      <w:r w:rsidR="000540CF" w:rsidRPr="00B66AEC">
        <w:rPr>
          <w:rFonts w:ascii="Times New Roman" w:eastAsiaTheme="minorEastAsia" w:hAnsi="Times New Roman" w:cs="Times New Roman"/>
          <w:sz w:val="24"/>
          <w:szCs w:val="24"/>
        </w:rPr>
        <w:t>s</w:t>
      </w:r>
      <w:r w:rsidRPr="00B66AEC">
        <w:rPr>
          <w:rFonts w:ascii="Times New Roman" w:eastAsiaTheme="minorEastAsia" w:hAnsi="Times New Roman" w:cs="Times New Roman"/>
          <w:sz w:val="24"/>
          <w:szCs w:val="24"/>
        </w:rPr>
        <w:t xml:space="preserve"> that the title of the Regulations is the </w:t>
      </w:r>
      <w:r w:rsidRPr="00B66AEC">
        <w:rPr>
          <w:rFonts w:ascii="Times New Roman" w:eastAsiaTheme="minorEastAsia" w:hAnsi="Times New Roman" w:cs="Times New Roman"/>
          <w:bCs/>
          <w:i/>
          <w:iCs/>
          <w:sz w:val="24"/>
          <w:szCs w:val="24"/>
        </w:rPr>
        <w:t>Migration Amendment (Dependent Secondary Partner Visa Applicants) Regulations 2024</w:t>
      </w:r>
      <w:r w:rsidRPr="00B66AEC">
        <w:rPr>
          <w:rFonts w:ascii="Times New Roman" w:eastAsiaTheme="minorEastAsia" w:hAnsi="Times New Roman" w:cs="Times New Roman"/>
          <w:bCs/>
          <w:iCs/>
          <w:sz w:val="24"/>
          <w:szCs w:val="24"/>
        </w:rPr>
        <w:t xml:space="preserve"> (the </w:t>
      </w:r>
      <w:r w:rsidR="001022BC" w:rsidRPr="00B66AEC">
        <w:rPr>
          <w:rFonts w:ascii="Times New Roman" w:eastAsiaTheme="minorEastAsia" w:hAnsi="Times New Roman" w:cs="Times New Roman"/>
          <w:bCs/>
          <w:iCs/>
          <w:sz w:val="24"/>
          <w:szCs w:val="24"/>
        </w:rPr>
        <w:t xml:space="preserve">Amendment </w:t>
      </w:r>
      <w:r w:rsidRPr="00B66AEC">
        <w:rPr>
          <w:rFonts w:ascii="Times New Roman" w:eastAsiaTheme="minorEastAsia" w:hAnsi="Times New Roman" w:cs="Times New Roman"/>
          <w:bCs/>
          <w:iCs/>
          <w:sz w:val="24"/>
          <w:szCs w:val="24"/>
        </w:rPr>
        <w:t>Regulations)</w:t>
      </w:r>
      <w:r w:rsidRPr="00B66AEC">
        <w:rPr>
          <w:rFonts w:ascii="Times New Roman" w:eastAsiaTheme="minorEastAsia" w:hAnsi="Times New Roman" w:cs="Times New Roman"/>
          <w:bCs/>
          <w:i/>
          <w:iCs/>
          <w:sz w:val="24"/>
          <w:szCs w:val="24"/>
        </w:rPr>
        <w:t>.</w:t>
      </w:r>
    </w:p>
    <w:p w14:paraId="003774DB" w14:textId="77777777" w:rsidR="0082177C" w:rsidRPr="00B66AEC" w:rsidRDefault="0082177C" w:rsidP="0082177C">
      <w:pPr>
        <w:spacing w:after="200" w:line="240" w:lineRule="auto"/>
        <w:ind w:right="91"/>
        <w:rPr>
          <w:rFonts w:ascii="Times New Roman" w:eastAsiaTheme="minorEastAsia" w:hAnsi="Times New Roman" w:cs="Times New Roman"/>
          <w:sz w:val="24"/>
          <w:szCs w:val="24"/>
          <w:u w:val="single"/>
        </w:rPr>
      </w:pPr>
      <w:r w:rsidRPr="00B66AEC">
        <w:rPr>
          <w:rFonts w:ascii="Times New Roman" w:eastAsiaTheme="minorEastAsia" w:hAnsi="Times New Roman" w:cs="Times New Roman"/>
          <w:sz w:val="24"/>
          <w:szCs w:val="24"/>
          <w:u w:val="single"/>
        </w:rPr>
        <w:t>Section 2 - Commencement</w:t>
      </w:r>
    </w:p>
    <w:p w14:paraId="6A8A952D" w14:textId="09E5DDA8" w:rsidR="0082177C" w:rsidRPr="00B66AEC" w:rsidRDefault="0082177C" w:rsidP="0082177C">
      <w:pPr>
        <w:spacing w:after="200" w:line="240" w:lineRule="auto"/>
        <w:rPr>
          <w:rFonts w:ascii="Times New Roman" w:hAnsi="Times New Roman" w:cs="Times New Roman"/>
          <w:color w:val="000000"/>
          <w:sz w:val="24"/>
          <w:szCs w:val="24"/>
          <w:shd w:val="clear" w:color="auto" w:fill="FFFFFF"/>
        </w:rPr>
      </w:pPr>
      <w:r w:rsidRPr="00B66AEC">
        <w:rPr>
          <w:rFonts w:ascii="Times New Roman" w:eastAsia="SimSun" w:hAnsi="Times New Roman" w:cs="Times New Roman"/>
          <w:sz w:val="24"/>
          <w:szCs w:val="24"/>
        </w:rPr>
        <w:t xml:space="preserve">This section </w:t>
      </w:r>
      <w:r w:rsidRPr="00B66AEC">
        <w:rPr>
          <w:rFonts w:ascii="Times New Roman" w:eastAsiaTheme="minorEastAsia" w:hAnsi="Times New Roman" w:cs="Times New Roman"/>
          <w:sz w:val="24"/>
          <w:szCs w:val="24"/>
        </w:rPr>
        <w:t>provide</w:t>
      </w:r>
      <w:r w:rsidR="000540CF" w:rsidRPr="00B66AEC">
        <w:rPr>
          <w:rFonts w:ascii="Times New Roman" w:eastAsiaTheme="minorEastAsia" w:hAnsi="Times New Roman" w:cs="Times New Roman"/>
          <w:sz w:val="24"/>
          <w:szCs w:val="24"/>
        </w:rPr>
        <w:t>s</w:t>
      </w:r>
      <w:r w:rsidRPr="00B66AEC">
        <w:rPr>
          <w:rFonts w:ascii="Times New Roman" w:eastAsia="SimSun" w:hAnsi="Times New Roman" w:cs="Times New Roman"/>
          <w:sz w:val="24"/>
          <w:szCs w:val="24"/>
        </w:rPr>
        <w:t xml:space="preserve"> for the Regulations to </w:t>
      </w:r>
      <w:r w:rsidRPr="00B66AEC">
        <w:rPr>
          <w:rFonts w:ascii="Times New Roman" w:hAnsi="Times New Roman" w:cs="Times New Roman"/>
          <w:color w:val="000000"/>
          <w:sz w:val="24"/>
          <w:szCs w:val="24"/>
          <w:shd w:val="clear" w:color="auto" w:fill="FFFFFF"/>
        </w:rPr>
        <w:t>commence on the day after they are registered on the Federal Register of Legislation.</w:t>
      </w:r>
    </w:p>
    <w:p w14:paraId="6189D236" w14:textId="77777777" w:rsidR="0082177C" w:rsidRPr="00B66AEC" w:rsidRDefault="0082177C" w:rsidP="0082177C">
      <w:pPr>
        <w:tabs>
          <w:tab w:val="left" w:pos="6521"/>
        </w:tabs>
        <w:spacing w:after="200" w:line="240" w:lineRule="auto"/>
        <w:ind w:right="170"/>
        <w:rPr>
          <w:rFonts w:ascii="Times New Roman" w:eastAsiaTheme="minorEastAsia" w:hAnsi="Times New Roman" w:cs="Times New Roman"/>
          <w:sz w:val="24"/>
          <w:szCs w:val="24"/>
          <w:u w:val="single"/>
        </w:rPr>
      </w:pPr>
      <w:r w:rsidRPr="00B66AEC">
        <w:rPr>
          <w:rFonts w:ascii="Times New Roman" w:eastAsiaTheme="minorEastAsia" w:hAnsi="Times New Roman" w:cs="Times New Roman"/>
          <w:sz w:val="24"/>
          <w:szCs w:val="24"/>
          <w:u w:val="single"/>
        </w:rPr>
        <w:t>Section 3 - Authority</w:t>
      </w:r>
    </w:p>
    <w:p w14:paraId="7F525B4C" w14:textId="52753ABD" w:rsidR="0082177C" w:rsidRPr="00B66AEC" w:rsidRDefault="0082177C" w:rsidP="0082177C">
      <w:pPr>
        <w:spacing w:after="200" w:line="240" w:lineRule="auto"/>
        <w:rPr>
          <w:rFonts w:ascii="Times New Roman" w:eastAsia="SimSun" w:hAnsi="Times New Roman" w:cs="Times New Roman"/>
          <w:sz w:val="24"/>
          <w:szCs w:val="24"/>
        </w:rPr>
      </w:pPr>
      <w:r w:rsidRPr="00B66AEC">
        <w:rPr>
          <w:rFonts w:ascii="Times New Roman" w:eastAsia="SimSun" w:hAnsi="Times New Roman" w:cs="Times New Roman"/>
          <w:sz w:val="24"/>
          <w:szCs w:val="24"/>
        </w:rPr>
        <w:t xml:space="preserve">This section </w:t>
      </w:r>
      <w:r w:rsidRPr="00B66AEC">
        <w:rPr>
          <w:rFonts w:ascii="Times New Roman" w:eastAsiaTheme="minorEastAsia" w:hAnsi="Times New Roman" w:cs="Times New Roman"/>
          <w:sz w:val="24"/>
          <w:szCs w:val="24"/>
        </w:rPr>
        <w:t>provide</w:t>
      </w:r>
      <w:r w:rsidR="000540CF" w:rsidRPr="00B66AEC">
        <w:rPr>
          <w:rFonts w:ascii="Times New Roman" w:eastAsiaTheme="minorEastAsia" w:hAnsi="Times New Roman" w:cs="Times New Roman"/>
          <w:sz w:val="24"/>
          <w:szCs w:val="24"/>
        </w:rPr>
        <w:t>s</w:t>
      </w:r>
      <w:r w:rsidRPr="00B66AEC">
        <w:rPr>
          <w:rFonts w:ascii="Times New Roman" w:eastAsia="SimSun" w:hAnsi="Times New Roman" w:cs="Times New Roman"/>
          <w:sz w:val="24"/>
          <w:szCs w:val="24"/>
        </w:rPr>
        <w:t xml:space="preserve"> that the instrument is made under the </w:t>
      </w:r>
      <w:r w:rsidRPr="00B66AEC">
        <w:rPr>
          <w:rFonts w:ascii="Times New Roman" w:eastAsia="SimSun" w:hAnsi="Times New Roman" w:cs="Times New Roman"/>
          <w:i/>
          <w:iCs/>
          <w:sz w:val="24"/>
          <w:szCs w:val="24"/>
        </w:rPr>
        <w:t xml:space="preserve">Migration Act 1958 </w:t>
      </w:r>
      <w:r w:rsidRPr="00B66AEC">
        <w:rPr>
          <w:rFonts w:ascii="Times New Roman" w:eastAsia="SimSun" w:hAnsi="Times New Roman" w:cs="Times New Roman"/>
          <w:sz w:val="24"/>
          <w:szCs w:val="24"/>
        </w:rPr>
        <w:t>(the Migration Act).</w:t>
      </w:r>
    </w:p>
    <w:p w14:paraId="15857237" w14:textId="77777777" w:rsidR="0082177C" w:rsidRPr="00B66AEC" w:rsidRDefault="0082177C" w:rsidP="0082177C">
      <w:pPr>
        <w:spacing w:after="200" w:line="240" w:lineRule="auto"/>
        <w:rPr>
          <w:rFonts w:ascii="Times New Roman" w:eastAsia="SimSun" w:hAnsi="Times New Roman" w:cs="Times New Roman"/>
          <w:sz w:val="24"/>
          <w:szCs w:val="24"/>
          <w:u w:val="single"/>
        </w:rPr>
      </w:pPr>
      <w:r w:rsidRPr="00B66AEC">
        <w:rPr>
          <w:rFonts w:ascii="Times New Roman" w:eastAsia="SimSun" w:hAnsi="Times New Roman" w:cs="Times New Roman"/>
          <w:sz w:val="24"/>
          <w:szCs w:val="24"/>
          <w:u w:val="single"/>
        </w:rPr>
        <w:t>Section 4 - Schedules</w:t>
      </w:r>
    </w:p>
    <w:p w14:paraId="3B7B6858" w14:textId="3F9AA9DA" w:rsidR="0082177C" w:rsidRPr="00B66AEC" w:rsidRDefault="0082177C" w:rsidP="0082177C">
      <w:pPr>
        <w:spacing w:after="200" w:line="240" w:lineRule="auto"/>
        <w:rPr>
          <w:rFonts w:ascii="Times New Roman" w:eastAsiaTheme="minorEastAsia" w:hAnsi="Times New Roman" w:cs="Times New Roman"/>
          <w:sz w:val="24"/>
          <w:szCs w:val="24"/>
        </w:rPr>
      </w:pPr>
      <w:r w:rsidRPr="00B66AEC">
        <w:rPr>
          <w:rFonts w:ascii="Times New Roman" w:eastAsiaTheme="minorEastAsia" w:hAnsi="Times New Roman" w:cs="Times New Roman"/>
          <w:sz w:val="24"/>
          <w:szCs w:val="24"/>
        </w:rPr>
        <w:t>This section provide</w:t>
      </w:r>
      <w:r w:rsidR="000540CF" w:rsidRPr="00B66AEC">
        <w:rPr>
          <w:rFonts w:ascii="Times New Roman" w:eastAsiaTheme="minorEastAsia" w:hAnsi="Times New Roman" w:cs="Times New Roman"/>
          <w:sz w:val="24"/>
          <w:szCs w:val="24"/>
        </w:rPr>
        <w:t>s</w:t>
      </w:r>
      <w:r w:rsidRPr="00B66AEC">
        <w:rPr>
          <w:rFonts w:ascii="Times New Roman" w:eastAsiaTheme="minorEastAsia" w:hAnsi="Times New Roman" w:cs="Times New Roman"/>
          <w:sz w:val="24"/>
          <w:szCs w:val="24"/>
        </w:rPr>
        <w:t xml:space="preserve"> for how the amendments in the </w:t>
      </w:r>
      <w:r w:rsidR="001022BC" w:rsidRPr="00B66AEC">
        <w:rPr>
          <w:rFonts w:ascii="Times New Roman" w:eastAsiaTheme="minorEastAsia" w:hAnsi="Times New Roman" w:cs="Times New Roman"/>
          <w:sz w:val="24"/>
          <w:szCs w:val="24"/>
        </w:rPr>
        <w:t xml:space="preserve">Amendment </w:t>
      </w:r>
      <w:r w:rsidRPr="00B66AEC">
        <w:rPr>
          <w:rFonts w:ascii="Times New Roman" w:eastAsiaTheme="minorEastAsia" w:hAnsi="Times New Roman" w:cs="Times New Roman"/>
          <w:sz w:val="24"/>
          <w:szCs w:val="24"/>
        </w:rPr>
        <w:t>Regulations operate.</w:t>
      </w:r>
    </w:p>
    <w:p w14:paraId="085ED2EF" w14:textId="77777777" w:rsidR="0082177C" w:rsidRPr="00B66AEC" w:rsidRDefault="0082177C" w:rsidP="0082177C">
      <w:pPr>
        <w:spacing w:after="200" w:line="240" w:lineRule="auto"/>
        <w:rPr>
          <w:rFonts w:ascii="Times New Roman" w:eastAsiaTheme="minorEastAsia" w:hAnsi="Times New Roman" w:cs="Times New Roman"/>
          <w:sz w:val="24"/>
          <w:szCs w:val="24"/>
          <w:u w:val="single"/>
        </w:rPr>
      </w:pPr>
      <w:r w:rsidRPr="00B66AEC">
        <w:rPr>
          <w:rFonts w:ascii="Times New Roman" w:eastAsiaTheme="minorEastAsia" w:hAnsi="Times New Roman" w:cs="Times New Roman"/>
          <w:sz w:val="24"/>
          <w:szCs w:val="24"/>
          <w:u w:val="single"/>
        </w:rPr>
        <w:t>Schedule 1 – Amendments</w:t>
      </w:r>
    </w:p>
    <w:p w14:paraId="38CEE1EF" w14:textId="77777777" w:rsidR="0082177C" w:rsidRPr="00B66AEC" w:rsidRDefault="0082177C" w:rsidP="0082177C">
      <w:pPr>
        <w:spacing w:before="100" w:beforeAutospacing="1" w:after="200" w:line="240" w:lineRule="auto"/>
        <w:rPr>
          <w:rFonts w:ascii="Times New Roman" w:eastAsiaTheme="minorEastAsia" w:hAnsi="Times New Roman" w:cs="Times New Roman"/>
          <w:b/>
          <w:i/>
          <w:sz w:val="24"/>
          <w:szCs w:val="24"/>
        </w:rPr>
      </w:pPr>
      <w:r w:rsidRPr="00B66AEC">
        <w:rPr>
          <w:rFonts w:ascii="Times New Roman" w:eastAsiaTheme="minorEastAsia" w:hAnsi="Times New Roman" w:cs="Times New Roman"/>
          <w:b/>
          <w:i/>
          <w:sz w:val="24"/>
          <w:szCs w:val="24"/>
        </w:rPr>
        <w:t>Migration Regulations 1994</w:t>
      </w:r>
    </w:p>
    <w:p w14:paraId="73BE4FC2" w14:textId="77777777" w:rsidR="0082177C" w:rsidRPr="00B66AEC" w:rsidRDefault="0082177C" w:rsidP="0082177C">
      <w:pPr>
        <w:spacing w:after="200" w:line="240" w:lineRule="auto"/>
        <w:rPr>
          <w:rFonts w:ascii="Times New Roman" w:hAnsi="Times New Roman" w:cs="Times New Roman"/>
          <w:color w:val="000000" w:themeColor="text1"/>
          <w:sz w:val="24"/>
          <w:szCs w:val="24"/>
          <w:lang w:val="en-GB"/>
        </w:rPr>
      </w:pPr>
      <w:r w:rsidRPr="00B66AEC">
        <w:rPr>
          <w:rFonts w:ascii="Times New Roman" w:hAnsi="Times New Roman" w:cs="Times New Roman"/>
          <w:b/>
          <w:bCs/>
          <w:color w:val="000000" w:themeColor="text1"/>
          <w:sz w:val="24"/>
          <w:szCs w:val="24"/>
        </w:rPr>
        <w:t>Item [1] – Subclause 100.224(1) of Schedule 2</w:t>
      </w:r>
    </w:p>
    <w:p w14:paraId="6706BFAF" w14:textId="2B78A9AC" w:rsidR="0082177C" w:rsidRPr="00B66AEC" w:rsidRDefault="0082177C" w:rsidP="0082177C">
      <w:pPr>
        <w:spacing w:after="200" w:line="240" w:lineRule="auto"/>
        <w:rPr>
          <w:rFonts w:ascii="Times New Roman" w:hAnsi="Times New Roman" w:cs="Times New Roman"/>
          <w:color w:val="000000" w:themeColor="text1"/>
          <w:sz w:val="24"/>
          <w:szCs w:val="24"/>
        </w:rPr>
      </w:pPr>
      <w:r w:rsidRPr="00B66AEC">
        <w:rPr>
          <w:rFonts w:ascii="Times New Roman" w:hAnsi="Times New Roman" w:cs="Times New Roman"/>
          <w:color w:val="000000" w:themeColor="text1"/>
          <w:sz w:val="24"/>
          <w:szCs w:val="24"/>
        </w:rPr>
        <w:t>This item amend</w:t>
      </w:r>
      <w:r w:rsidR="000540CF" w:rsidRPr="00B66AEC">
        <w:rPr>
          <w:rFonts w:ascii="Times New Roman" w:hAnsi="Times New Roman" w:cs="Times New Roman"/>
          <w:color w:val="000000" w:themeColor="text1"/>
          <w:sz w:val="24"/>
          <w:szCs w:val="24"/>
        </w:rPr>
        <w:t>s</w:t>
      </w:r>
      <w:r w:rsidRPr="00B66AEC">
        <w:rPr>
          <w:rFonts w:ascii="Times New Roman" w:hAnsi="Times New Roman" w:cs="Times New Roman"/>
          <w:color w:val="000000" w:themeColor="text1"/>
          <w:sz w:val="24"/>
          <w:szCs w:val="24"/>
        </w:rPr>
        <w:t xml:space="preserve"> subclause 100.224(1) of Schedule 2 to the </w:t>
      </w:r>
      <w:r w:rsidRPr="00B66AEC">
        <w:rPr>
          <w:rFonts w:ascii="Times New Roman" w:hAnsi="Times New Roman" w:cs="Times New Roman"/>
          <w:i/>
          <w:color w:val="000000" w:themeColor="text1"/>
          <w:sz w:val="24"/>
          <w:szCs w:val="24"/>
        </w:rPr>
        <w:t xml:space="preserve">Migration Regulations 1994 </w:t>
      </w:r>
      <w:r w:rsidRPr="00B66AEC">
        <w:rPr>
          <w:rFonts w:ascii="Times New Roman" w:hAnsi="Times New Roman" w:cs="Times New Roman"/>
          <w:color w:val="000000" w:themeColor="text1"/>
          <w:sz w:val="24"/>
          <w:szCs w:val="24"/>
        </w:rPr>
        <w:t xml:space="preserve">(the Migration Regulations), which provides that each member of the family unit of a primary applicant for a Subclass 100 (Partner) visa who </w:t>
      </w:r>
      <w:r w:rsidR="000540CF" w:rsidRPr="00B66AEC">
        <w:rPr>
          <w:rFonts w:ascii="Times New Roman" w:hAnsi="Times New Roman" w:cs="Times New Roman"/>
          <w:color w:val="000000" w:themeColor="text1"/>
          <w:sz w:val="24"/>
          <w:szCs w:val="24"/>
        </w:rPr>
        <w:t xml:space="preserve">is </w:t>
      </w:r>
      <w:r w:rsidRPr="00B66AEC">
        <w:rPr>
          <w:rFonts w:ascii="Times New Roman" w:hAnsi="Times New Roman" w:cs="Times New Roman"/>
          <w:color w:val="000000" w:themeColor="text1"/>
          <w:sz w:val="24"/>
          <w:szCs w:val="24"/>
        </w:rPr>
        <w:t xml:space="preserve">also applying for the visa must satisfy certain public interest criteria.  </w:t>
      </w:r>
    </w:p>
    <w:p w14:paraId="08F4804F" w14:textId="7CCE4796" w:rsidR="0082177C" w:rsidRPr="00B66AEC" w:rsidRDefault="0082177C" w:rsidP="0082177C">
      <w:pPr>
        <w:spacing w:after="200" w:line="240" w:lineRule="auto"/>
        <w:rPr>
          <w:rFonts w:ascii="Times New Roman" w:hAnsi="Times New Roman" w:cs="Times New Roman"/>
          <w:i/>
          <w:color w:val="000000" w:themeColor="text1"/>
          <w:sz w:val="24"/>
          <w:szCs w:val="24"/>
        </w:rPr>
      </w:pPr>
      <w:r w:rsidRPr="00B66AEC">
        <w:rPr>
          <w:rFonts w:ascii="Times New Roman" w:hAnsi="Times New Roman" w:cs="Times New Roman"/>
          <w:color w:val="000000" w:themeColor="text1"/>
          <w:sz w:val="24"/>
          <w:szCs w:val="24"/>
        </w:rPr>
        <w:t>This item insert</w:t>
      </w:r>
      <w:r w:rsidR="000540CF" w:rsidRPr="00B66AEC">
        <w:rPr>
          <w:rFonts w:ascii="Times New Roman" w:hAnsi="Times New Roman" w:cs="Times New Roman"/>
          <w:color w:val="000000" w:themeColor="text1"/>
          <w:sz w:val="24"/>
          <w:szCs w:val="24"/>
        </w:rPr>
        <w:t>s</w:t>
      </w:r>
      <w:r w:rsidRPr="00B66AEC">
        <w:rPr>
          <w:rFonts w:ascii="Times New Roman" w:hAnsi="Times New Roman" w:cs="Times New Roman"/>
          <w:color w:val="000000" w:themeColor="text1"/>
          <w:sz w:val="24"/>
          <w:szCs w:val="24"/>
        </w:rPr>
        <w:t xml:space="preserve"> ‘, and each person who is dependent on,’ with the effect that a person who is dependent on a primary applicant who has also made a Subclass 100 visa application must satisfy the prescribed public interest criteria listed in paragraph 100.224(1</w:t>
      </w:r>
      <w:proofErr w:type="gramStart"/>
      <w:r w:rsidRPr="00B66AEC">
        <w:rPr>
          <w:rFonts w:ascii="Times New Roman" w:hAnsi="Times New Roman" w:cs="Times New Roman"/>
          <w:color w:val="000000" w:themeColor="text1"/>
          <w:sz w:val="24"/>
          <w:szCs w:val="24"/>
        </w:rPr>
        <w:t>)(</w:t>
      </w:r>
      <w:proofErr w:type="gramEnd"/>
      <w:r w:rsidRPr="00B66AEC">
        <w:rPr>
          <w:rFonts w:ascii="Times New Roman" w:hAnsi="Times New Roman" w:cs="Times New Roman"/>
          <w:color w:val="000000" w:themeColor="text1"/>
          <w:sz w:val="24"/>
          <w:szCs w:val="24"/>
        </w:rPr>
        <w:t>a) and – if the applicant had turned 18 at the time of application – under paragraph 100.224(1)(b). The amendment extends this requirement to applicants who are dependent on the primary applicant but who are not members of the family unit of the primary applicant, and is consequential to the amendments made by items [2] and [3] below.</w:t>
      </w:r>
    </w:p>
    <w:p w14:paraId="26EB011C" w14:textId="77777777" w:rsidR="0082177C" w:rsidRPr="00B66AEC" w:rsidRDefault="0082177C" w:rsidP="0082177C">
      <w:pPr>
        <w:spacing w:after="200" w:line="240" w:lineRule="auto"/>
        <w:rPr>
          <w:rFonts w:ascii="Times New Roman" w:hAnsi="Times New Roman" w:cs="Times New Roman"/>
          <w:color w:val="000000" w:themeColor="text1"/>
          <w:sz w:val="24"/>
          <w:szCs w:val="24"/>
          <w:lang w:val="en-GB"/>
        </w:rPr>
      </w:pPr>
      <w:r w:rsidRPr="00B66AEC">
        <w:rPr>
          <w:rFonts w:ascii="Times New Roman" w:hAnsi="Times New Roman" w:cs="Times New Roman"/>
          <w:b/>
          <w:bCs/>
          <w:color w:val="000000" w:themeColor="text1"/>
          <w:sz w:val="24"/>
          <w:szCs w:val="24"/>
        </w:rPr>
        <w:t>Item [2] – Paragraph 100.321(a) of Schedule 2</w:t>
      </w:r>
    </w:p>
    <w:p w14:paraId="209661AC" w14:textId="77777777" w:rsidR="0082177C" w:rsidRPr="00B66AEC" w:rsidRDefault="0082177C" w:rsidP="0082177C">
      <w:pPr>
        <w:spacing w:after="200" w:line="240" w:lineRule="auto"/>
        <w:rPr>
          <w:rFonts w:ascii="Times New Roman" w:hAnsi="Times New Roman" w:cs="Times New Roman"/>
          <w:color w:val="000000" w:themeColor="text1"/>
          <w:sz w:val="24"/>
          <w:szCs w:val="24"/>
        </w:rPr>
      </w:pPr>
      <w:r w:rsidRPr="00B66AEC">
        <w:rPr>
          <w:rFonts w:ascii="Times New Roman" w:hAnsi="Times New Roman" w:cs="Times New Roman"/>
          <w:color w:val="000000" w:themeColor="text1"/>
          <w:sz w:val="24"/>
          <w:szCs w:val="24"/>
        </w:rPr>
        <w:t xml:space="preserve">This item amends paragraph 100.321(a) of Schedule 2 to the Migration Regulations, which currently provides that a secondary applicant for a Subclass 100 (Partner) visa must be the holder of a Subclass 309 (Partner (Provisional)) visa that was granted on the basis that the applicant was a member of the family unit of another person who was the holder of a Subclass 309 visa, and that other person must have been granted a Subclass 100 visa. </w:t>
      </w:r>
    </w:p>
    <w:p w14:paraId="442DB670" w14:textId="79BAADC7" w:rsidR="0082177C" w:rsidRPr="00B66AEC" w:rsidRDefault="0082177C" w:rsidP="0082177C">
      <w:pPr>
        <w:spacing w:after="200" w:line="240" w:lineRule="auto"/>
        <w:rPr>
          <w:rFonts w:ascii="Times New Roman" w:hAnsi="Times New Roman" w:cs="Times New Roman"/>
          <w:color w:val="000000" w:themeColor="text1"/>
          <w:sz w:val="24"/>
          <w:szCs w:val="24"/>
        </w:rPr>
      </w:pPr>
      <w:r w:rsidRPr="00B66AEC">
        <w:rPr>
          <w:rFonts w:ascii="Times New Roman" w:hAnsi="Times New Roman" w:cs="Times New Roman"/>
          <w:color w:val="000000" w:themeColor="text1"/>
          <w:sz w:val="24"/>
          <w:szCs w:val="24"/>
        </w:rPr>
        <w:t>This item insert</w:t>
      </w:r>
      <w:r w:rsidR="00843FA9" w:rsidRPr="00B66AEC">
        <w:rPr>
          <w:rFonts w:ascii="Times New Roman" w:hAnsi="Times New Roman" w:cs="Times New Roman"/>
          <w:color w:val="000000" w:themeColor="text1"/>
          <w:sz w:val="24"/>
          <w:szCs w:val="24"/>
        </w:rPr>
        <w:t>s</w:t>
      </w:r>
      <w:r w:rsidRPr="00B66AEC">
        <w:rPr>
          <w:rFonts w:ascii="Times New Roman" w:hAnsi="Times New Roman" w:cs="Times New Roman"/>
          <w:color w:val="000000" w:themeColor="text1"/>
          <w:sz w:val="24"/>
          <w:szCs w:val="24"/>
        </w:rPr>
        <w:t xml:space="preserve"> ‘, or dependent on’, with the effect that an applicant who, when they were granted a Subclass 309 visa, was dependent on but not a member of the family unit of the primary applicant, </w:t>
      </w:r>
      <w:r w:rsidRPr="00B66AEC">
        <w:rPr>
          <w:rFonts w:ascii="Times New Roman" w:hAnsi="Times New Roman" w:cs="Times New Roman"/>
          <w:color w:val="000000" w:themeColor="text1"/>
          <w:sz w:val="24"/>
          <w:szCs w:val="24"/>
        </w:rPr>
        <w:lastRenderedPageBreak/>
        <w:t>can satisfy the requirement of holding a Subclass 309 visa at the time of decision. See also item [6] below, which amends the criteria for the Subclass 309 visa.</w:t>
      </w:r>
    </w:p>
    <w:p w14:paraId="28BCADF2" w14:textId="77777777" w:rsidR="0082177C" w:rsidRPr="00B66AEC" w:rsidRDefault="0082177C" w:rsidP="0082177C">
      <w:pPr>
        <w:spacing w:after="200" w:line="240" w:lineRule="auto"/>
        <w:rPr>
          <w:rFonts w:ascii="Times New Roman" w:hAnsi="Times New Roman" w:cs="Times New Roman"/>
          <w:color w:val="000000" w:themeColor="text1"/>
          <w:sz w:val="24"/>
          <w:szCs w:val="24"/>
          <w:lang w:val="en-GB"/>
        </w:rPr>
      </w:pPr>
      <w:r w:rsidRPr="00B66AEC">
        <w:rPr>
          <w:rFonts w:ascii="Times New Roman" w:hAnsi="Times New Roman" w:cs="Times New Roman"/>
          <w:b/>
          <w:bCs/>
          <w:color w:val="000000" w:themeColor="text1"/>
          <w:sz w:val="24"/>
          <w:szCs w:val="24"/>
        </w:rPr>
        <w:t>Item [3] – Subparagraph 100.321(d</w:t>
      </w:r>
      <w:proofErr w:type="gramStart"/>
      <w:r w:rsidRPr="00B66AEC">
        <w:rPr>
          <w:rFonts w:ascii="Times New Roman" w:hAnsi="Times New Roman" w:cs="Times New Roman"/>
          <w:b/>
          <w:bCs/>
          <w:color w:val="000000" w:themeColor="text1"/>
          <w:sz w:val="24"/>
          <w:szCs w:val="24"/>
        </w:rPr>
        <w:t>)(</w:t>
      </w:r>
      <w:proofErr w:type="gramEnd"/>
      <w:r w:rsidRPr="00B66AEC">
        <w:rPr>
          <w:rFonts w:ascii="Times New Roman" w:hAnsi="Times New Roman" w:cs="Times New Roman"/>
          <w:b/>
          <w:bCs/>
          <w:color w:val="000000" w:themeColor="text1"/>
          <w:sz w:val="24"/>
          <w:szCs w:val="24"/>
        </w:rPr>
        <w:t>ii) of Schedule 2</w:t>
      </w:r>
    </w:p>
    <w:p w14:paraId="6969ECC9" w14:textId="09A99EE9" w:rsidR="0082177C" w:rsidRPr="00B66AEC" w:rsidRDefault="0082177C" w:rsidP="0082177C">
      <w:pPr>
        <w:spacing w:after="200" w:line="240" w:lineRule="auto"/>
        <w:rPr>
          <w:rFonts w:ascii="Times New Roman" w:hAnsi="Times New Roman" w:cs="Times New Roman"/>
          <w:color w:val="000000" w:themeColor="text1"/>
          <w:sz w:val="24"/>
          <w:szCs w:val="24"/>
        </w:rPr>
      </w:pPr>
      <w:r w:rsidRPr="00B66AEC">
        <w:rPr>
          <w:rFonts w:ascii="Times New Roman" w:hAnsi="Times New Roman" w:cs="Times New Roman"/>
          <w:color w:val="000000" w:themeColor="text1"/>
          <w:sz w:val="24"/>
          <w:szCs w:val="24"/>
        </w:rPr>
        <w:t>This item amend</w:t>
      </w:r>
      <w:r w:rsidR="00843FA9" w:rsidRPr="00B66AEC">
        <w:rPr>
          <w:rFonts w:ascii="Times New Roman" w:hAnsi="Times New Roman" w:cs="Times New Roman"/>
          <w:color w:val="000000" w:themeColor="text1"/>
          <w:sz w:val="24"/>
          <w:szCs w:val="24"/>
        </w:rPr>
        <w:t>s</w:t>
      </w:r>
      <w:r w:rsidRPr="00B66AEC">
        <w:rPr>
          <w:rFonts w:ascii="Times New Roman" w:hAnsi="Times New Roman" w:cs="Times New Roman"/>
          <w:color w:val="000000" w:themeColor="text1"/>
          <w:sz w:val="24"/>
          <w:szCs w:val="24"/>
        </w:rPr>
        <w:t xml:space="preserve"> subparagraph 100.321(d</w:t>
      </w:r>
      <w:proofErr w:type="gramStart"/>
      <w:r w:rsidRPr="00B66AEC">
        <w:rPr>
          <w:rFonts w:ascii="Times New Roman" w:hAnsi="Times New Roman" w:cs="Times New Roman"/>
          <w:color w:val="000000" w:themeColor="text1"/>
          <w:sz w:val="24"/>
          <w:szCs w:val="24"/>
        </w:rPr>
        <w:t>)(</w:t>
      </w:r>
      <w:proofErr w:type="gramEnd"/>
      <w:r w:rsidRPr="00B66AEC">
        <w:rPr>
          <w:rFonts w:ascii="Times New Roman" w:hAnsi="Times New Roman" w:cs="Times New Roman"/>
          <w:color w:val="000000" w:themeColor="text1"/>
          <w:sz w:val="24"/>
          <w:szCs w:val="24"/>
        </w:rPr>
        <w:t xml:space="preserve">ii) of Schedule 2 to the Migration Regulations, by providing that an applicant who is a dependent child of, a member of the family unit of, or dependent on the primary applicant can satisfy the secondary criteria for the Subclass 100 visa. </w:t>
      </w:r>
    </w:p>
    <w:p w14:paraId="1FADCCFD" w14:textId="4B420E9C" w:rsidR="0082177C" w:rsidRPr="00B66AEC" w:rsidRDefault="0082177C" w:rsidP="0082177C">
      <w:pPr>
        <w:spacing w:after="200" w:line="240" w:lineRule="auto"/>
        <w:rPr>
          <w:rFonts w:ascii="Times New Roman" w:hAnsi="Times New Roman" w:cs="Times New Roman"/>
          <w:sz w:val="24"/>
          <w:szCs w:val="24"/>
        </w:rPr>
      </w:pPr>
      <w:r w:rsidRPr="00B66AEC">
        <w:rPr>
          <w:rFonts w:ascii="Times New Roman" w:hAnsi="Times New Roman" w:cs="Times New Roman"/>
          <w:sz w:val="24"/>
          <w:szCs w:val="24"/>
        </w:rPr>
        <w:t>Previously, subparagraph 100.321(d</w:t>
      </w:r>
      <w:proofErr w:type="gramStart"/>
      <w:r w:rsidRPr="00B66AEC">
        <w:rPr>
          <w:rFonts w:ascii="Times New Roman" w:hAnsi="Times New Roman" w:cs="Times New Roman"/>
          <w:sz w:val="24"/>
          <w:szCs w:val="24"/>
        </w:rPr>
        <w:t>)(</w:t>
      </w:r>
      <w:proofErr w:type="gramEnd"/>
      <w:r w:rsidRPr="00B66AEC">
        <w:rPr>
          <w:rFonts w:ascii="Times New Roman" w:hAnsi="Times New Roman" w:cs="Times New Roman"/>
          <w:sz w:val="24"/>
          <w:szCs w:val="24"/>
        </w:rPr>
        <w:t>ii) was limited to ‘the dependent child, or a member of the family unit’ of the primary applicant. The amendments enable a secondary applicant who no longer falls under the definitions of a ‘dependent child’ or a ‘member of the family unit’ to be defined as ‘dependent’ and so to meet the secondary criteria.</w:t>
      </w:r>
    </w:p>
    <w:p w14:paraId="699DC3F3" w14:textId="77777777" w:rsidR="0082177C" w:rsidRPr="00B66AEC" w:rsidRDefault="0082177C" w:rsidP="0082177C">
      <w:pPr>
        <w:spacing w:after="200" w:line="240" w:lineRule="auto"/>
        <w:rPr>
          <w:rFonts w:ascii="Times New Roman" w:hAnsi="Times New Roman" w:cs="Times New Roman"/>
          <w:color w:val="000000" w:themeColor="text1"/>
          <w:sz w:val="24"/>
          <w:szCs w:val="24"/>
          <w:lang w:val="en-GB"/>
        </w:rPr>
      </w:pPr>
      <w:r w:rsidRPr="00B66AEC">
        <w:rPr>
          <w:rFonts w:ascii="Times New Roman" w:hAnsi="Times New Roman" w:cs="Times New Roman"/>
          <w:b/>
          <w:bCs/>
          <w:color w:val="000000" w:themeColor="text1"/>
          <w:sz w:val="24"/>
          <w:szCs w:val="24"/>
        </w:rPr>
        <w:t>Item [4] – Subregulation 309.228(1) of Schedule 2</w:t>
      </w:r>
    </w:p>
    <w:p w14:paraId="64732A66" w14:textId="403758D4" w:rsidR="0082177C" w:rsidRPr="00B66AEC" w:rsidRDefault="0082177C" w:rsidP="0082177C">
      <w:pPr>
        <w:spacing w:after="200" w:line="240" w:lineRule="auto"/>
        <w:rPr>
          <w:rFonts w:ascii="Times New Roman" w:hAnsi="Times New Roman" w:cs="Times New Roman"/>
          <w:color w:val="000000" w:themeColor="text1"/>
          <w:sz w:val="24"/>
          <w:szCs w:val="24"/>
        </w:rPr>
      </w:pPr>
      <w:r w:rsidRPr="00B66AEC">
        <w:rPr>
          <w:rFonts w:ascii="Times New Roman" w:hAnsi="Times New Roman" w:cs="Times New Roman"/>
          <w:color w:val="000000" w:themeColor="text1"/>
          <w:sz w:val="24"/>
          <w:szCs w:val="24"/>
        </w:rPr>
        <w:t>This item amend</w:t>
      </w:r>
      <w:r w:rsidR="00843FA9" w:rsidRPr="00B66AEC">
        <w:rPr>
          <w:rFonts w:ascii="Times New Roman" w:hAnsi="Times New Roman" w:cs="Times New Roman"/>
          <w:color w:val="000000" w:themeColor="text1"/>
          <w:sz w:val="24"/>
          <w:szCs w:val="24"/>
        </w:rPr>
        <w:t>s</w:t>
      </w:r>
      <w:r w:rsidRPr="00B66AEC">
        <w:rPr>
          <w:rFonts w:ascii="Times New Roman" w:hAnsi="Times New Roman" w:cs="Times New Roman"/>
          <w:color w:val="000000" w:themeColor="text1"/>
          <w:sz w:val="24"/>
          <w:szCs w:val="24"/>
        </w:rPr>
        <w:t xml:space="preserve"> subregulation 309.228(1) of Schedule 2 to the Migration Regulations. This provision requires each member of the family unit of a primary applicant for a Subclass 309 (Partner (Provisional)) visa who is also applying for the visa to satisfy certain public interest criteria. </w:t>
      </w:r>
    </w:p>
    <w:p w14:paraId="312E8530" w14:textId="265794E9" w:rsidR="0082177C" w:rsidRPr="00B66AEC" w:rsidRDefault="0082177C" w:rsidP="0082177C">
      <w:pPr>
        <w:spacing w:after="200" w:line="240" w:lineRule="auto"/>
        <w:rPr>
          <w:rFonts w:ascii="Times New Roman" w:hAnsi="Times New Roman" w:cs="Times New Roman"/>
          <w:color w:val="000000" w:themeColor="text1"/>
          <w:sz w:val="24"/>
          <w:szCs w:val="24"/>
        </w:rPr>
      </w:pPr>
      <w:r w:rsidRPr="00B66AEC">
        <w:rPr>
          <w:rFonts w:ascii="Times New Roman" w:hAnsi="Times New Roman" w:cs="Times New Roman"/>
          <w:color w:val="000000" w:themeColor="text1"/>
          <w:sz w:val="24"/>
          <w:szCs w:val="24"/>
        </w:rPr>
        <w:t>This item insert</w:t>
      </w:r>
      <w:r w:rsidR="00843FA9" w:rsidRPr="00B66AEC">
        <w:rPr>
          <w:rFonts w:ascii="Times New Roman" w:hAnsi="Times New Roman" w:cs="Times New Roman"/>
          <w:color w:val="000000" w:themeColor="text1"/>
          <w:sz w:val="24"/>
          <w:szCs w:val="24"/>
        </w:rPr>
        <w:t>s</w:t>
      </w:r>
      <w:r w:rsidRPr="00B66AEC">
        <w:rPr>
          <w:rFonts w:ascii="Times New Roman" w:hAnsi="Times New Roman" w:cs="Times New Roman"/>
          <w:color w:val="000000" w:themeColor="text1"/>
          <w:sz w:val="24"/>
          <w:szCs w:val="24"/>
        </w:rPr>
        <w:t xml:space="preserve"> ‘, and each person who is dependent on,’ with the effect that a person who is dependent on an applicant for a Subclass 309 visa who has also applied for that visa must satisfy the public interest criteria specified by paragraph 309.228(1)(a); the public interest criteria specified by paragraph 309.228(1)(b) for those secondary applicants who had turned 18 at the time of application; and where the person has previously been in Australia, the special return criteria specified by paragraph 309.228(1)(c). </w:t>
      </w:r>
    </w:p>
    <w:p w14:paraId="60B85F1F" w14:textId="487F209B" w:rsidR="0082177C" w:rsidRPr="00B66AEC" w:rsidRDefault="0082177C" w:rsidP="0082177C">
      <w:pPr>
        <w:spacing w:after="200" w:line="240" w:lineRule="auto"/>
        <w:rPr>
          <w:rFonts w:ascii="Times New Roman" w:hAnsi="Times New Roman" w:cs="Times New Roman"/>
          <w:i/>
          <w:color w:val="000000" w:themeColor="text1"/>
          <w:sz w:val="24"/>
          <w:szCs w:val="24"/>
        </w:rPr>
      </w:pPr>
      <w:r w:rsidRPr="00B66AEC">
        <w:rPr>
          <w:rFonts w:ascii="Times New Roman" w:hAnsi="Times New Roman" w:cs="Times New Roman"/>
          <w:color w:val="000000" w:themeColor="text1"/>
          <w:sz w:val="24"/>
          <w:szCs w:val="24"/>
        </w:rPr>
        <w:t xml:space="preserve">This amendment </w:t>
      </w:r>
      <w:r w:rsidR="00843FA9" w:rsidRPr="00B66AEC">
        <w:rPr>
          <w:rFonts w:ascii="Times New Roman" w:hAnsi="Times New Roman" w:cs="Times New Roman"/>
          <w:color w:val="000000" w:themeColor="text1"/>
          <w:sz w:val="24"/>
          <w:szCs w:val="24"/>
        </w:rPr>
        <w:t>is</w:t>
      </w:r>
      <w:r w:rsidRPr="00B66AEC">
        <w:rPr>
          <w:rFonts w:ascii="Times New Roman" w:hAnsi="Times New Roman" w:cs="Times New Roman"/>
          <w:color w:val="000000" w:themeColor="text1"/>
          <w:sz w:val="24"/>
          <w:szCs w:val="24"/>
        </w:rPr>
        <w:t xml:space="preserve"> consequential to th</w:t>
      </w:r>
      <w:r w:rsidR="00843FA9" w:rsidRPr="00B66AEC">
        <w:rPr>
          <w:rFonts w:ascii="Times New Roman" w:hAnsi="Times New Roman" w:cs="Times New Roman"/>
          <w:color w:val="000000" w:themeColor="text1"/>
          <w:sz w:val="24"/>
          <w:szCs w:val="24"/>
        </w:rPr>
        <w:t>e amendment</w:t>
      </w:r>
      <w:r w:rsidRPr="00B66AEC">
        <w:rPr>
          <w:rFonts w:ascii="Times New Roman" w:hAnsi="Times New Roman" w:cs="Times New Roman"/>
          <w:color w:val="000000" w:themeColor="text1"/>
          <w:sz w:val="24"/>
          <w:szCs w:val="24"/>
        </w:rPr>
        <w:t xml:space="preserve"> made by item [6] below. </w:t>
      </w:r>
    </w:p>
    <w:p w14:paraId="1C261C8E" w14:textId="77777777" w:rsidR="0082177C" w:rsidRPr="00B66AEC" w:rsidRDefault="0082177C" w:rsidP="0082177C">
      <w:pPr>
        <w:spacing w:after="200" w:line="240" w:lineRule="auto"/>
        <w:rPr>
          <w:rFonts w:ascii="Times New Roman" w:hAnsi="Times New Roman" w:cs="Times New Roman"/>
          <w:color w:val="000000" w:themeColor="text1"/>
          <w:sz w:val="24"/>
          <w:szCs w:val="24"/>
          <w:lang w:val="en-GB"/>
        </w:rPr>
      </w:pPr>
      <w:r w:rsidRPr="00B66AEC">
        <w:rPr>
          <w:rFonts w:ascii="Times New Roman" w:hAnsi="Times New Roman" w:cs="Times New Roman"/>
          <w:b/>
          <w:bCs/>
          <w:color w:val="000000" w:themeColor="text1"/>
          <w:sz w:val="24"/>
          <w:szCs w:val="24"/>
        </w:rPr>
        <w:t>Item [5] – Clause 309.321 of Schedule 2</w:t>
      </w:r>
    </w:p>
    <w:p w14:paraId="7D222376" w14:textId="2A8242A6" w:rsidR="0082177C" w:rsidRPr="00B66AEC" w:rsidRDefault="0082177C" w:rsidP="0082177C">
      <w:pPr>
        <w:spacing w:after="200" w:line="240" w:lineRule="auto"/>
        <w:rPr>
          <w:rFonts w:ascii="Times New Roman" w:hAnsi="Times New Roman" w:cs="Times New Roman"/>
          <w:bCs/>
          <w:color w:val="000000" w:themeColor="text1"/>
          <w:sz w:val="24"/>
          <w:szCs w:val="24"/>
        </w:rPr>
      </w:pPr>
      <w:r w:rsidRPr="00B66AEC">
        <w:rPr>
          <w:rFonts w:ascii="Times New Roman" w:hAnsi="Times New Roman" w:cs="Times New Roman"/>
          <w:bCs/>
          <w:color w:val="000000" w:themeColor="text1"/>
          <w:sz w:val="24"/>
          <w:szCs w:val="24"/>
        </w:rPr>
        <w:t>This item amend</w:t>
      </w:r>
      <w:r w:rsidR="00843FA9" w:rsidRPr="00B66AEC">
        <w:rPr>
          <w:rFonts w:ascii="Times New Roman" w:hAnsi="Times New Roman" w:cs="Times New Roman"/>
          <w:bCs/>
          <w:color w:val="000000" w:themeColor="text1"/>
          <w:sz w:val="24"/>
          <w:szCs w:val="24"/>
        </w:rPr>
        <w:t>s</w:t>
      </w:r>
      <w:r w:rsidRPr="00B66AEC">
        <w:rPr>
          <w:rFonts w:ascii="Times New Roman" w:hAnsi="Times New Roman" w:cs="Times New Roman"/>
          <w:bCs/>
          <w:color w:val="000000" w:themeColor="text1"/>
          <w:sz w:val="24"/>
          <w:szCs w:val="24"/>
        </w:rPr>
        <w:t xml:space="preserve"> clause 309.321 of Schedule 2 to the Migration Regulations by omitting the chapeau ‘The applicant’ and inserting subclauses 309.321(1) and (2). </w:t>
      </w:r>
    </w:p>
    <w:p w14:paraId="21B768B2" w14:textId="6243A070" w:rsidR="0082177C" w:rsidRPr="00B66AEC" w:rsidRDefault="0082177C" w:rsidP="0082177C">
      <w:pPr>
        <w:spacing w:after="200" w:line="240" w:lineRule="auto"/>
        <w:rPr>
          <w:rFonts w:ascii="Times New Roman" w:hAnsi="Times New Roman" w:cs="Times New Roman"/>
          <w:bCs/>
          <w:color w:val="000000" w:themeColor="text1"/>
          <w:sz w:val="24"/>
          <w:szCs w:val="24"/>
        </w:rPr>
      </w:pPr>
      <w:r w:rsidRPr="00B66AEC">
        <w:rPr>
          <w:rFonts w:ascii="Times New Roman" w:hAnsi="Times New Roman" w:cs="Times New Roman"/>
          <w:bCs/>
          <w:color w:val="000000" w:themeColor="text1"/>
          <w:sz w:val="24"/>
          <w:szCs w:val="24"/>
        </w:rPr>
        <w:t>New subclause 309.321(1) provide</w:t>
      </w:r>
      <w:r w:rsidR="000F6556" w:rsidRPr="00B66AEC">
        <w:rPr>
          <w:rFonts w:ascii="Times New Roman" w:hAnsi="Times New Roman" w:cs="Times New Roman"/>
          <w:bCs/>
          <w:color w:val="000000" w:themeColor="text1"/>
          <w:sz w:val="24"/>
          <w:szCs w:val="24"/>
        </w:rPr>
        <w:t>s</w:t>
      </w:r>
      <w:r w:rsidRPr="00B66AEC">
        <w:rPr>
          <w:rFonts w:ascii="Times New Roman" w:hAnsi="Times New Roman" w:cs="Times New Roman"/>
          <w:bCs/>
          <w:color w:val="000000" w:themeColor="text1"/>
          <w:sz w:val="24"/>
          <w:szCs w:val="24"/>
        </w:rPr>
        <w:t xml:space="preserve"> that an applicant seeking to satisfy the secondary criteria must meet the requirements of either subclause 309.321(2) or subclause 309.321(3).</w:t>
      </w:r>
      <w:r w:rsidR="00843FA9" w:rsidRPr="00B66AEC">
        <w:rPr>
          <w:rFonts w:ascii="Times New Roman" w:hAnsi="Times New Roman" w:cs="Times New Roman"/>
          <w:bCs/>
          <w:color w:val="000000" w:themeColor="text1"/>
          <w:sz w:val="24"/>
          <w:szCs w:val="24"/>
        </w:rPr>
        <w:t xml:space="preserve"> This is a technical amendment, necessary to support the insertion of new subclause 309.321(3), such that a visa applicant may satisfy </w:t>
      </w:r>
      <w:r w:rsidR="001B06B8" w:rsidRPr="00B66AEC">
        <w:rPr>
          <w:rFonts w:ascii="Times New Roman" w:hAnsi="Times New Roman" w:cs="Times New Roman"/>
          <w:bCs/>
          <w:color w:val="000000" w:themeColor="text1"/>
          <w:sz w:val="24"/>
          <w:szCs w:val="24"/>
        </w:rPr>
        <w:t xml:space="preserve">clause 309.321 (as amended) by meeting the requirements of </w:t>
      </w:r>
      <w:r w:rsidR="00843FA9" w:rsidRPr="00B66AEC">
        <w:rPr>
          <w:rFonts w:ascii="Times New Roman" w:hAnsi="Times New Roman" w:cs="Times New Roman"/>
          <w:bCs/>
          <w:color w:val="000000" w:themeColor="text1"/>
          <w:sz w:val="24"/>
          <w:szCs w:val="24"/>
        </w:rPr>
        <w:t xml:space="preserve">either subclause 309.321(2) or </w:t>
      </w:r>
      <w:r w:rsidR="001B06B8" w:rsidRPr="00B66AEC">
        <w:rPr>
          <w:rFonts w:ascii="Times New Roman" w:hAnsi="Times New Roman" w:cs="Times New Roman"/>
          <w:bCs/>
          <w:color w:val="000000" w:themeColor="text1"/>
          <w:sz w:val="24"/>
          <w:szCs w:val="24"/>
        </w:rPr>
        <w:t>309.321(3).</w:t>
      </w:r>
    </w:p>
    <w:p w14:paraId="14382DD6" w14:textId="56F801DC" w:rsidR="0082177C" w:rsidRPr="00B66AEC" w:rsidRDefault="001B06B8" w:rsidP="0082177C">
      <w:pPr>
        <w:spacing w:after="200" w:line="240" w:lineRule="auto"/>
        <w:rPr>
          <w:rFonts w:ascii="Times New Roman" w:hAnsi="Times New Roman" w:cs="Times New Roman"/>
          <w:bCs/>
          <w:color w:val="000000" w:themeColor="text1"/>
          <w:sz w:val="24"/>
          <w:szCs w:val="24"/>
        </w:rPr>
      </w:pPr>
      <w:r w:rsidRPr="00B66AEC">
        <w:rPr>
          <w:rFonts w:ascii="Times New Roman" w:hAnsi="Times New Roman" w:cs="Times New Roman"/>
          <w:bCs/>
          <w:color w:val="000000" w:themeColor="text1"/>
          <w:sz w:val="24"/>
          <w:szCs w:val="24"/>
        </w:rPr>
        <w:t>S</w:t>
      </w:r>
      <w:r w:rsidR="0082177C" w:rsidRPr="00B66AEC">
        <w:rPr>
          <w:rFonts w:ascii="Times New Roman" w:hAnsi="Times New Roman" w:cs="Times New Roman"/>
          <w:bCs/>
          <w:color w:val="000000" w:themeColor="text1"/>
          <w:sz w:val="24"/>
          <w:szCs w:val="24"/>
        </w:rPr>
        <w:t>ubregulation 309.321(2) incorporate</w:t>
      </w:r>
      <w:r w:rsidR="00843FA9" w:rsidRPr="00B66AEC">
        <w:rPr>
          <w:rFonts w:ascii="Times New Roman" w:hAnsi="Times New Roman" w:cs="Times New Roman"/>
          <w:bCs/>
          <w:color w:val="000000" w:themeColor="text1"/>
          <w:sz w:val="24"/>
          <w:szCs w:val="24"/>
        </w:rPr>
        <w:t>s</w:t>
      </w:r>
      <w:r w:rsidR="0082177C" w:rsidRPr="00B66AEC">
        <w:rPr>
          <w:rFonts w:ascii="Times New Roman" w:hAnsi="Times New Roman" w:cs="Times New Roman"/>
          <w:bCs/>
          <w:color w:val="000000" w:themeColor="text1"/>
          <w:sz w:val="24"/>
          <w:szCs w:val="24"/>
        </w:rPr>
        <w:t xml:space="preserve"> the existing </w:t>
      </w:r>
      <w:r w:rsidR="00843FA9" w:rsidRPr="00B66AEC">
        <w:rPr>
          <w:rFonts w:ascii="Times New Roman" w:hAnsi="Times New Roman" w:cs="Times New Roman"/>
          <w:bCs/>
          <w:color w:val="000000" w:themeColor="text1"/>
          <w:sz w:val="24"/>
          <w:szCs w:val="24"/>
        </w:rPr>
        <w:t xml:space="preserve">clause 309.321 </w:t>
      </w:r>
      <w:r w:rsidR="0082177C" w:rsidRPr="00B66AEC">
        <w:rPr>
          <w:rFonts w:ascii="Times New Roman" w:hAnsi="Times New Roman" w:cs="Times New Roman"/>
          <w:bCs/>
          <w:color w:val="000000" w:themeColor="text1"/>
          <w:sz w:val="24"/>
          <w:szCs w:val="24"/>
        </w:rPr>
        <w:t xml:space="preserve">in its entirety. Most applicants for a Subclass 309 (Partner (Provisional)) visa seeking to satisfy the secondary criteria will continue to be required to be a member of the family unit of the person who satisfied the primary criteria. </w:t>
      </w:r>
    </w:p>
    <w:p w14:paraId="4A4334EC" w14:textId="77777777" w:rsidR="0082177C" w:rsidRPr="00B66AEC" w:rsidRDefault="0082177C" w:rsidP="0082177C">
      <w:pPr>
        <w:keepNext/>
        <w:spacing w:after="200" w:line="240" w:lineRule="auto"/>
        <w:rPr>
          <w:rFonts w:ascii="Times New Roman" w:hAnsi="Times New Roman" w:cs="Times New Roman"/>
          <w:color w:val="000000" w:themeColor="text1"/>
          <w:sz w:val="24"/>
          <w:szCs w:val="24"/>
          <w:lang w:val="en-GB"/>
        </w:rPr>
      </w:pPr>
      <w:r w:rsidRPr="00B66AEC">
        <w:rPr>
          <w:rFonts w:ascii="Times New Roman" w:hAnsi="Times New Roman" w:cs="Times New Roman"/>
          <w:b/>
          <w:bCs/>
          <w:color w:val="000000" w:themeColor="text1"/>
          <w:sz w:val="24"/>
          <w:szCs w:val="24"/>
        </w:rPr>
        <w:t>Item [6] – At the end of clause 309.321 of Schedule 2</w:t>
      </w:r>
    </w:p>
    <w:p w14:paraId="0F5214D5" w14:textId="036C2ADE" w:rsidR="0082177C" w:rsidRPr="00B66AEC" w:rsidRDefault="0082177C" w:rsidP="0082177C">
      <w:pPr>
        <w:spacing w:after="200" w:line="240" w:lineRule="auto"/>
        <w:rPr>
          <w:rFonts w:ascii="Times New Roman" w:hAnsi="Times New Roman" w:cs="Times New Roman"/>
          <w:sz w:val="24"/>
          <w:szCs w:val="24"/>
        </w:rPr>
      </w:pPr>
      <w:r w:rsidRPr="00B66AEC">
        <w:rPr>
          <w:rFonts w:ascii="Times New Roman" w:hAnsi="Times New Roman" w:cs="Times New Roman"/>
          <w:bCs/>
          <w:color w:val="000000" w:themeColor="text1"/>
          <w:sz w:val="24"/>
          <w:szCs w:val="24"/>
        </w:rPr>
        <w:t>This item inserts new subclause 309.321(3) of Schedule 2 to the Migration Regulations, which creates a new pathway for certain visa applicants who are children of the primary applicant, but who are no longer young enough to meet the definition of a member of the family unit of the primary applicant.</w:t>
      </w:r>
      <w:r w:rsidRPr="00B66AEC">
        <w:rPr>
          <w:rFonts w:ascii="Times New Roman" w:hAnsi="Times New Roman" w:cs="Times New Roman"/>
          <w:sz w:val="24"/>
          <w:szCs w:val="24"/>
        </w:rPr>
        <w:t xml:space="preserve"> </w:t>
      </w:r>
    </w:p>
    <w:p w14:paraId="5AF5F3B6" w14:textId="50B20715" w:rsidR="0082177C" w:rsidRPr="00B66AEC" w:rsidRDefault="0082177C" w:rsidP="0082177C">
      <w:pPr>
        <w:spacing w:after="200" w:line="240" w:lineRule="auto"/>
        <w:rPr>
          <w:rFonts w:ascii="Times New Roman" w:hAnsi="Times New Roman" w:cs="Times New Roman"/>
          <w:sz w:val="24"/>
          <w:szCs w:val="24"/>
        </w:rPr>
      </w:pPr>
      <w:r w:rsidRPr="00B66AEC">
        <w:rPr>
          <w:rFonts w:ascii="Times New Roman" w:hAnsi="Times New Roman" w:cs="Times New Roman"/>
          <w:sz w:val="24"/>
          <w:szCs w:val="24"/>
        </w:rPr>
        <w:t xml:space="preserve">The definition of ‘member of the family unit’ under regulation 1.12 of the Migration Regulations includes an age limit relating to who is considered to be a ‘child’ of another person (the family head, who </w:t>
      </w:r>
      <w:r w:rsidR="007316DF" w:rsidRPr="00B66AEC">
        <w:rPr>
          <w:rFonts w:ascii="Times New Roman" w:hAnsi="Times New Roman" w:cs="Times New Roman"/>
          <w:sz w:val="24"/>
          <w:szCs w:val="24"/>
        </w:rPr>
        <w:t>is</w:t>
      </w:r>
      <w:r w:rsidRPr="00B66AEC">
        <w:rPr>
          <w:rFonts w:ascii="Times New Roman" w:hAnsi="Times New Roman" w:cs="Times New Roman"/>
          <w:sz w:val="24"/>
          <w:szCs w:val="24"/>
        </w:rPr>
        <w:t xml:space="preserve"> generally the primary applicant for a visa) unless the child is “incapacitated for work”. The general rule is that a child must be either under 18, or under 23 and dependent on the family head, or </w:t>
      </w:r>
      <w:r w:rsidRPr="00B66AEC">
        <w:rPr>
          <w:rFonts w:ascii="Times New Roman" w:hAnsi="Times New Roman" w:cs="Times New Roman"/>
          <w:sz w:val="24"/>
          <w:szCs w:val="24"/>
        </w:rPr>
        <w:lastRenderedPageBreak/>
        <w:t>wholly reliant on the family head due to incapacitation for work as a result of the total or partial loss of the person’s bodily or mental functions.</w:t>
      </w:r>
    </w:p>
    <w:p w14:paraId="28938022" w14:textId="77777777" w:rsidR="0082177C" w:rsidRPr="00B66AEC" w:rsidRDefault="0082177C" w:rsidP="0082177C">
      <w:pPr>
        <w:spacing w:after="200" w:line="240" w:lineRule="auto"/>
        <w:rPr>
          <w:rFonts w:ascii="Times New Roman" w:hAnsi="Times New Roman" w:cs="Times New Roman"/>
          <w:sz w:val="24"/>
          <w:szCs w:val="24"/>
        </w:rPr>
      </w:pPr>
      <w:r w:rsidRPr="00B66AEC">
        <w:rPr>
          <w:rFonts w:ascii="Times New Roman" w:hAnsi="Times New Roman" w:cs="Times New Roman"/>
          <w:sz w:val="24"/>
          <w:szCs w:val="24"/>
        </w:rPr>
        <w:t xml:space="preserve">An applicant who is dependent on the primary applicant would meet the requirements of new subclause 309.321(3) if: </w:t>
      </w:r>
    </w:p>
    <w:p w14:paraId="3DA76B39" w14:textId="77777777" w:rsidR="0082177C" w:rsidRPr="00B66AEC" w:rsidRDefault="0082177C" w:rsidP="0082177C">
      <w:pPr>
        <w:numPr>
          <w:ilvl w:val="0"/>
          <w:numId w:val="6"/>
        </w:numPr>
        <w:spacing w:before="240" w:after="0" w:line="240" w:lineRule="auto"/>
        <w:contextualSpacing/>
        <w:rPr>
          <w:rFonts w:ascii="Times New Roman" w:eastAsia="Times New Roman" w:hAnsi="Times New Roman" w:cs="Times New Roman"/>
          <w:bCs/>
          <w:color w:val="000000" w:themeColor="text1"/>
          <w:sz w:val="24"/>
          <w:szCs w:val="20"/>
          <w:lang w:eastAsia="en-AU"/>
        </w:rPr>
      </w:pPr>
      <w:r w:rsidRPr="00B66AEC">
        <w:rPr>
          <w:rFonts w:ascii="Times New Roman" w:eastAsia="Times New Roman" w:hAnsi="Times New Roman" w:cs="Times New Roman"/>
          <w:bCs/>
          <w:color w:val="000000" w:themeColor="text1"/>
          <w:sz w:val="24"/>
          <w:szCs w:val="20"/>
          <w:lang w:eastAsia="en-AU"/>
        </w:rPr>
        <w:t>the applicant made a combined application with the primary applicant; and</w:t>
      </w:r>
    </w:p>
    <w:p w14:paraId="5AC93F80" w14:textId="77777777" w:rsidR="0082177C" w:rsidRPr="00B66AEC" w:rsidRDefault="0082177C" w:rsidP="0082177C">
      <w:pPr>
        <w:numPr>
          <w:ilvl w:val="0"/>
          <w:numId w:val="6"/>
        </w:numPr>
        <w:spacing w:before="240" w:after="0" w:line="240" w:lineRule="auto"/>
        <w:contextualSpacing/>
        <w:rPr>
          <w:rFonts w:ascii="Times New Roman" w:eastAsia="Times New Roman" w:hAnsi="Times New Roman" w:cs="Times New Roman"/>
          <w:bCs/>
          <w:color w:val="000000" w:themeColor="text1"/>
          <w:sz w:val="24"/>
          <w:szCs w:val="20"/>
          <w:lang w:eastAsia="en-AU"/>
        </w:rPr>
      </w:pPr>
      <w:proofErr w:type="gramStart"/>
      <w:r w:rsidRPr="00B66AEC">
        <w:rPr>
          <w:rFonts w:ascii="Times New Roman" w:eastAsia="Times New Roman" w:hAnsi="Times New Roman" w:cs="Times New Roman"/>
          <w:bCs/>
          <w:color w:val="000000" w:themeColor="text1"/>
          <w:sz w:val="24"/>
          <w:szCs w:val="20"/>
          <w:lang w:eastAsia="en-AU"/>
        </w:rPr>
        <w:t>the</w:t>
      </w:r>
      <w:proofErr w:type="gramEnd"/>
      <w:r w:rsidRPr="00B66AEC">
        <w:rPr>
          <w:rFonts w:ascii="Times New Roman" w:eastAsia="Times New Roman" w:hAnsi="Times New Roman" w:cs="Times New Roman"/>
          <w:bCs/>
          <w:color w:val="000000" w:themeColor="text1"/>
          <w:sz w:val="24"/>
          <w:szCs w:val="20"/>
          <w:lang w:eastAsia="en-AU"/>
        </w:rPr>
        <w:t xml:space="preserve"> sponsor of the person who met the primary criteria has at any time been an unauthorised maritime arrival and was an Australian permanent resident at the time the combined application was made.</w:t>
      </w:r>
    </w:p>
    <w:p w14:paraId="7595EA83" w14:textId="77777777" w:rsidR="0082177C" w:rsidRPr="00B66AEC" w:rsidRDefault="0082177C" w:rsidP="0082177C">
      <w:pPr>
        <w:spacing w:before="240" w:after="200" w:line="240" w:lineRule="auto"/>
        <w:rPr>
          <w:rFonts w:ascii="Times New Roman" w:hAnsi="Times New Roman" w:cs="Times New Roman"/>
          <w:bCs/>
          <w:color w:val="000000" w:themeColor="text1"/>
          <w:sz w:val="24"/>
          <w:szCs w:val="24"/>
        </w:rPr>
      </w:pPr>
      <w:r w:rsidRPr="00B66AEC">
        <w:rPr>
          <w:rFonts w:ascii="Times New Roman" w:hAnsi="Times New Roman" w:cs="Times New Roman"/>
          <w:sz w:val="24"/>
          <w:szCs w:val="24"/>
        </w:rPr>
        <w:t>The intention of this change is to ensure that a specific cohort of secondary visa applicants can continue to satisfy the criteria for the Subclass 309 visa despite having aged beyond the age limit requirement within the general definition of ‘member of the family unit’, where this has occurred as a result of processing delays beyond their control. The specific cohort refers to those applicants affected by the de-prioritisation of partner visa applications made by an applicant sponsored by a permanent resident who arrived in Australia as an unauthorised maritime arrival under Ministerial Direction 80 (which was revoked on 9 February 2023).</w:t>
      </w:r>
    </w:p>
    <w:p w14:paraId="13529BB4" w14:textId="77777777" w:rsidR="0082177C" w:rsidRPr="00B66AEC" w:rsidRDefault="0082177C" w:rsidP="0082177C">
      <w:pPr>
        <w:spacing w:after="200" w:line="240" w:lineRule="auto"/>
        <w:rPr>
          <w:rFonts w:ascii="Times New Roman" w:hAnsi="Times New Roman" w:cs="Times New Roman"/>
          <w:b/>
          <w:sz w:val="24"/>
          <w:szCs w:val="24"/>
        </w:rPr>
      </w:pPr>
      <w:r w:rsidRPr="00B66AEC">
        <w:rPr>
          <w:rFonts w:ascii="Times New Roman" w:hAnsi="Times New Roman" w:cs="Times New Roman"/>
          <w:b/>
          <w:bCs/>
          <w:sz w:val="24"/>
          <w:szCs w:val="24"/>
        </w:rPr>
        <w:t xml:space="preserve">Item [7] </w:t>
      </w:r>
      <w:r w:rsidRPr="00B66AEC">
        <w:rPr>
          <w:rFonts w:ascii="Times New Roman" w:hAnsi="Times New Roman" w:cs="Times New Roman"/>
          <w:b/>
          <w:sz w:val="24"/>
          <w:szCs w:val="24"/>
        </w:rPr>
        <w:t>– In the appropriate position in Schedule 13</w:t>
      </w:r>
    </w:p>
    <w:p w14:paraId="632C0275" w14:textId="5DA98971" w:rsidR="0082177C" w:rsidRPr="00B66AEC" w:rsidRDefault="0082177C" w:rsidP="0082177C">
      <w:pPr>
        <w:widowControl w:val="0"/>
        <w:tabs>
          <w:tab w:val="left" w:pos="709"/>
        </w:tabs>
        <w:spacing w:before="240" w:after="240" w:line="240" w:lineRule="auto"/>
        <w:contextualSpacing/>
        <w:jc w:val="both"/>
        <w:rPr>
          <w:rFonts w:ascii="Times New Roman" w:eastAsia="Times New Roman" w:hAnsi="Times New Roman" w:cs="Times New Roman"/>
          <w:i/>
          <w:color w:val="000000" w:themeColor="text1"/>
          <w:sz w:val="24"/>
          <w:szCs w:val="20"/>
          <w:lang w:eastAsia="en-AU"/>
        </w:rPr>
      </w:pPr>
      <w:r w:rsidRPr="00B66AEC">
        <w:rPr>
          <w:rFonts w:ascii="Times New Roman" w:eastAsia="Times New Roman" w:hAnsi="Times New Roman" w:cs="Times New Roman"/>
          <w:color w:val="000000" w:themeColor="text1"/>
          <w:sz w:val="24"/>
          <w:szCs w:val="20"/>
          <w:lang w:eastAsia="en-AU"/>
        </w:rPr>
        <w:t>This item inserts new Part 129 of Schedule 13 to the Migration Regulations, which provides for the operation of amendments made by this instrument</w:t>
      </w:r>
      <w:r w:rsidRPr="00B66AEC">
        <w:rPr>
          <w:rFonts w:ascii="Times New Roman" w:eastAsia="Times New Roman" w:hAnsi="Times New Roman" w:cs="Times New Roman"/>
          <w:i/>
          <w:color w:val="000000" w:themeColor="text1"/>
          <w:sz w:val="24"/>
          <w:szCs w:val="20"/>
          <w:lang w:eastAsia="en-AU"/>
        </w:rPr>
        <w:t>.</w:t>
      </w:r>
    </w:p>
    <w:p w14:paraId="4C0A9861" w14:textId="77777777" w:rsidR="00686244" w:rsidRPr="00B66AEC" w:rsidRDefault="00686244" w:rsidP="0082177C">
      <w:pPr>
        <w:widowControl w:val="0"/>
        <w:tabs>
          <w:tab w:val="left" w:pos="709"/>
        </w:tabs>
        <w:spacing w:before="240" w:after="240" w:line="240" w:lineRule="auto"/>
        <w:contextualSpacing/>
        <w:jc w:val="both"/>
        <w:rPr>
          <w:rFonts w:ascii="Times New Roman" w:eastAsia="Times New Roman" w:hAnsi="Times New Roman" w:cs="Times New Roman"/>
          <w:i/>
          <w:color w:val="000000" w:themeColor="text1"/>
          <w:sz w:val="24"/>
          <w:szCs w:val="20"/>
          <w:lang w:eastAsia="en-AU"/>
        </w:rPr>
      </w:pPr>
    </w:p>
    <w:p w14:paraId="55269A8E" w14:textId="307AB8AB" w:rsidR="0082177C" w:rsidRPr="0082177C" w:rsidRDefault="0082177C" w:rsidP="0082177C">
      <w:pPr>
        <w:spacing w:before="40" w:after="240" w:line="240" w:lineRule="auto"/>
        <w:rPr>
          <w:rFonts w:ascii="Times New Roman" w:hAnsi="Times New Roman" w:cs="Times New Roman"/>
          <w:sz w:val="24"/>
          <w:szCs w:val="24"/>
        </w:rPr>
      </w:pPr>
      <w:r w:rsidRPr="00B66AEC">
        <w:rPr>
          <w:rFonts w:ascii="Times New Roman" w:hAnsi="Times New Roman" w:cs="Times New Roman"/>
          <w:sz w:val="24"/>
          <w:szCs w:val="24"/>
        </w:rPr>
        <w:t xml:space="preserve">New clause 12901 of Schedule 13 to the Migration Regulations provides that the amendments made by Schedule 1 to the </w:t>
      </w:r>
      <w:r w:rsidRPr="00B66AEC">
        <w:rPr>
          <w:rFonts w:ascii="Times New Roman" w:hAnsi="Times New Roman" w:cs="Times New Roman"/>
          <w:i/>
          <w:sz w:val="24"/>
          <w:szCs w:val="24"/>
        </w:rPr>
        <w:t>Migration Amendment (Dependent Secondary Partner Visa Applicants) Regulations 2024</w:t>
      </w:r>
      <w:r w:rsidRPr="00B66AEC">
        <w:rPr>
          <w:rFonts w:ascii="Times New Roman" w:hAnsi="Times New Roman" w:cs="Times New Roman"/>
          <w:sz w:val="24"/>
          <w:szCs w:val="24"/>
        </w:rPr>
        <w:t xml:space="preserve"> apply in relation to an application for a visa made, but not finally determined, before 9 February 2023.</w:t>
      </w:r>
      <w:r w:rsidR="00686244" w:rsidRPr="00B66AEC">
        <w:rPr>
          <w:rFonts w:ascii="Times New Roman" w:hAnsi="Times New Roman" w:cs="Times New Roman"/>
          <w:sz w:val="24"/>
          <w:szCs w:val="24"/>
        </w:rPr>
        <w:t xml:space="preserve"> </w:t>
      </w:r>
      <w:r w:rsidRPr="00B66AEC">
        <w:rPr>
          <w:rFonts w:ascii="Times New Roman" w:hAnsi="Times New Roman" w:cs="Times New Roman"/>
          <w:sz w:val="24"/>
          <w:szCs w:val="24"/>
        </w:rPr>
        <w:t xml:space="preserve">This provision makes clear that the amendments made by Schedule 1 to the </w:t>
      </w:r>
      <w:r w:rsidR="001022BC" w:rsidRPr="00B66AEC">
        <w:rPr>
          <w:rFonts w:ascii="Times New Roman" w:hAnsi="Times New Roman" w:cs="Times New Roman"/>
          <w:sz w:val="24"/>
          <w:szCs w:val="24"/>
        </w:rPr>
        <w:t xml:space="preserve">Amendment </w:t>
      </w:r>
      <w:r w:rsidRPr="00B66AEC">
        <w:rPr>
          <w:rFonts w:ascii="Times New Roman" w:hAnsi="Times New Roman" w:cs="Times New Roman"/>
          <w:sz w:val="24"/>
          <w:szCs w:val="24"/>
        </w:rPr>
        <w:t>Regulations apply to an application which is made but not finally determined, before 9 February 2023.</w:t>
      </w:r>
      <w:bookmarkStart w:id="0" w:name="_GoBack"/>
      <w:bookmarkEnd w:id="0"/>
      <w:r w:rsidRPr="0082177C">
        <w:rPr>
          <w:rFonts w:ascii="Times New Roman" w:hAnsi="Times New Roman" w:cs="Times New Roman"/>
          <w:sz w:val="24"/>
          <w:szCs w:val="24"/>
        </w:rPr>
        <w:t xml:space="preserve"> </w:t>
      </w:r>
    </w:p>
    <w:p w14:paraId="72FD0A8A" w14:textId="5487716E" w:rsidR="00915032" w:rsidRPr="0099005A" w:rsidRDefault="00915032" w:rsidP="0082177C">
      <w:pPr>
        <w:spacing w:after="200" w:line="240" w:lineRule="auto"/>
        <w:ind w:right="91"/>
        <w:rPr>
          <w:rFonts w:ascii="Times New Roman" w:hAnsi="Times New Roman" w:cs="Times New Roman"/>
          <w:sz w:val="24"/>
          <w:szCs w:val="24"/>
        </w:rPr>
      </w:pPr>
    </w:p>
    <w:sectPr w:rsidR="00915032" w:rsidRPr="0099005A"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2737" w14:textId="77777777" w:rsidR="00BD69FF" w:rsidRDefault="00BD69FF" w:rsidP="00992A08">
      <w:pPr>
        <w:spacing w:after="0" w:line="240" w:lineRule="auto"/>
      </w:pPr>
      <w:r>
        <w:separator/>
      </w:r>
    </w:p>
  </w:endnote>
  <w:endnote w:type="continuationSeparator" w:id="0">
    <w:p w14:paraId="5FA71ECA" w14:textId="77777777" w:rsidR="00BD69FF" w:rsidRDefault="00BD69FF" w:rsidP="0099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3C5C5" w14:textId="77777777" w:rsidR="00BD69FF" w:rsidRDefault="00BD69FF" w:rsidP="00992A08">
      <w:pPr>
        <w:spacing w:after="0" w:line="240" w:lineRule="auto"/>
      </w:pPr>
      <w:r>
        <w:separator/>
      </w:r>
    </w:p>
  </w:footnote>
  <w:footnote w:type="continuationSeparator" w:id="0">
    <w:p w14:paraId="34A1F2BA" w14:textId="77777777" w:rsidR="00BD69FF" w:rsidRDefault="00BD69FF" w:rsidP="00992A08">
      <w:pPr>
        <w:spacing w:after="0" w:line="240" w:lineRule="auto"/>
      </w:pPr>
      <w:r>
        <w:continuationSeparator/>
      </w:r>
    </w:p>
  </w:footnote>
  <w:footnote w:id="1">
    <w:p w14:paraId="53B2F49E" w14:textId="3D887BFA" w:rsidR="00E5774D" w:rsidRPr="00C011B6" w:rsidRDefault="00E5774D" w:rsidP="00E5774D">
      <w:pPr>
        <w:pStyle w:val="FootnoteText"/>
        <w:rPr>
          <w:rFonts w:ascii="Times New Roman" w:hAnsi="Times New Roman" w:cs="Times New Roman"/>
        </w:rPr>
      </w:pPr>
      <w:r w:rsidRPr="00C011B6">
        <w:rPr>
          <w:rStyle w:val="FootnoteReference"/>
        </w:rPr>
        <w:footnoteRef/>
      </w:r>
      <w:r w:rsidR="007F36F7">
        <w:rPr>
          <w:rFonts w:ascii="Times New Roman" w:hAnsi="Times New Roman" w:cs="Times New Roman"/>
        </w:rPr>
        <w:t xml:space="preserve"> </w:t>
      </w:r>
      <w:r w:rsidRPr="00C011B6">
        <w:rPr>
          <w:rFonts w:ascii="Times New Roman" w:hAnsi="Times New Roman" w:cs="Times New Roman"/>
        </w:rPr>
        <w:t>Ministerial</w:t>
      </w:r>
      <w:r w:rsidR="007F36F7">
        <w:rPr>
          <w:rFonts w:ascii="Times New Roman" w:hAnsi="Times New Roman" w:cs="Times New Roman"/>
        </w:rPr>
        <w:t xml:space="preserve"> </w:t>
      </w:r>
      <w:r w:rsidRPr="00C011B6">
        <w:rPr>
          <w:rFonts w:ascii="Times New Roman" w:hAnsi="Times New Roman" w:cs="Times New Roman"/>
        </w:rPr>
        <w:t>Direction</w:t>
      </w:r>
      <w:r w:rsidR="007F36F7">
        <w:rPr>
          <w:rFonts w:ascii="Times New Roman" w:hAnsi="Times New Roman" w:cs="Times New Roman"/>
        </w:rPr>
        <w:t xml:space="preserve"> </w:t>
      </w:r>
      <w:r w:rsidRPr="00C011B6">
        <w:rPr>
          <w:rFonts w:ascii="Times New Roman" w:hAnsi="Times New Roman" w:cs="Times New Roman"/>
        </w:rPr>
        <w:t>80,</w:t>
      </w:r>
      <w:r w:rsidR="007F36F7">
        <w:rPr>
          <w:rFonts w:ascii="Times New Roman" w:hAnsi="Times New Roman" w:cs="Times New Roman"/>
        </w:rPr>
        <w:t xml:space="preserve"> </w:t>
      </w:r>
      <w:r w:rsidRPr="00C011B6">
        <w:rPr>
          <w:rFonts w:ascii="Times New Roman" w:hAnsi="Times New Roman" w:cs="Times New Roman"/>
          <w:i/>
        </w:rPr>
        <w:t>Order</w:t>
      </w:r>
      <w:r w:rsidR="007F36F7">
        <w:rPr>
          <w:rFonts w:ascii="Times New Roman" w:hAnsi="Times New Roman" w:cs="Times New Roman"/>
          <w:i/>
        </w:rPr>
        <w:t xml:space="preserve"> </w:t>
      </w:r>
      <w:r w:rsidRPr="00C011B6">
        <w:rPr>
          <w:rFonts w:ascii="Times New Roman" w:hAnsi="Times New Roman" w:cs="Times New Roman"/>
          <w:i/>
        </w:rPr>
        <w:t>for</w:t>
      </w:r>
      <w:r w:rsidR="007F36F7">
        <w:rPr>
          <w:rFonts w:ascii="Times New Roman" w:hAnsi="Times New Roman" w:cs="Times New Roman"/>
          <w:i/>
        </w:rPr>
        <w:t xml:space="preserve"> </w:t>
      </w:r>
      <w:r w:rsidRPr="00C011B6">
        <w:rPr>
          <w:rFonts w:ascii="Times New Roman" w:hAnsi="Times New Roman" w:cs="Times New Roman"/>
          <w:i/>
        </w:rPr>
        <w:t>considering</w:t>
      </w:r>
      <w:r w:rsidR="007F36F7">
        <w:rPr>
          <w:rFonts w:ascii="Times New Roman" w:hAnsi="Times New Roman" w:cs="Times New Roman"/>
          <w:i/>
        </w:rPr>
        <w:t xml:space="preserve"> </w:t>
      </w:r>
      <w:r w:rsidRPr="00C011B6">
        <w:rPr>
          <w:rFonts w:ascii="Times New Roman" w:hAnsi="Times New Roman" w:cs="Times New Roman"/>
          <w:i/>
        </w:rPr>
        <w:t>and</w:t>
      </w:r>
      <w:r w:rsidR="007F36F7">
        <w:rPr>
          <w:rFonts w:ascii="Times New Roman" w:hAnsi="Times New Roman" w:cs="Times New Roman"/>
          <w:i/>
        </w:rPr>
        <w:t xml:space="preserve"> </w:t>
      </w:r>
      <w:r w:rsidRPr="00C011B6">
        <w:rPr>
          <w:rFonts w:ascii="Times New Roman" w:hAnsi="Times New Roman" w:cs="Times New Roman"/>
          <w:i/>
        </w:rPr>
        <w:t>disposing</w:t>
      </w:r>
      <w:r w:rsidR="007F36F7">
        <w:rPr>
          <w:rFonts w:ascii="Times New Roman" w:hAnsi="Times New Roman" w:cs="Times New Roman"/>
          <w:i/>
        </w:rPr>
        <w:t xml:space="preserve"> </w:t>
      </w:r>
      <w:r w:rsidRPr="00C011B6">
        <w:rPr>
          <w:rFonts w:ascii="Times New Roman" w:hAnsi="Times New Roman" w:cs="Times New Roman"/>
          <w:i/>
        </w:rPr>
        <w:t>of</w:t>
      </w:r>
      <w:r w:rsidR="007F36F7">
        <w:rPr>
          <w:rFonts w:ascii="Times New Roman" w:hAnsi="Times New Roman" w:cs="Times New Roman"/>
          <w:i/>
        </w:rPr>
        <w:t xml:space="preserve"> </w:t>
      </w:r>
      <w:r w:rsidRPr="00C011B6">
        <w:rPr>
          <w:rFonts w:ascii="Times New Roman" w:hAnsi="Times New Roman" w:cs="Times New Roman"/>
          <w:i/>
        </w:rPr>
        <w:t>Family</w:t>
      </w:r>
      <w:r w:rsidR="007F36F7">
        <w:rPr>
          <w:rFonts w:ascii="Times New Roman" w:hAnsi="Times New Roman" w:cs="Times New Roman"/>
          <w:i/>
        </w:rPr>
        <w:t xml:space="preserve"> </w:t>
      </w:r>
      <w:r w:rsidRPr="00C011B6">
        <w:rPr>
          <w:rFonts w:ascii="Times New Roman" w:hAnsi="Times New Roman" w:cs="Times New Roman"/>
          <w:i/>
        </w:rPr>
        <w:t>visa</w:t>
      </w:r>
      <w:r w:rsidR="007F36F7">
        <w:rPr>
          <w:rFonts w:ascii="Times New Roman" w:hAnsi="Times New Roman" w:cs="Times New Roman"/>
          <w:i/>
        </w:rPr>
        <w:t xml:space="preserve"> </w:t>
      </w:r>
      <w:r w:rsidRPr="00C011B6">
        <w:rPr>
          <w:rFonts w:ascii="Times New Roman" w:hAnsi="Times New Roman" w:cs="Times New Roman"/>
          <w:i/>
        </w:rPr>
        <w:t>applications</w:t>
      </w:r>
      <w:r w:rsidR="007F36F7">
        <w:rPr>
          <w:rFonts w:ascii="Times New Roman" w:hAnsi="Times New Roman" w:cs="Times New Roman"/>
          <w:i/>
        </w:rPr>
        <w:t xml:space="preserve"> </w:t>
      </w:r>
      <w:r w:rsidRPr="00C011B6">
        <w:rPr>
          <w:rFonts w:ascii="Times New Roman" w:hAnsi="Times New Roman" w:cs="Times New Roman"/>
          <w:i/>
        </w:rPr>
        <w:t>under</w:t>
      </w:r>
      <w:r w:rsidR="007F36F7">
        <w:rPr>
          <w:rFonts w:ascii="Times New Roman" w:hAnsi="Times New Roman" w:cs="Times New Roman"/>
          <w:i/>
        </w:rPr>
        <w:t xml:space="preserve"> </w:t>
      </w:r>
      <w:r w:rsidRPr="00C011B6">
        <w:rPr>
          <w:rFonts w:ascii="Times New Roman" w:hAnsi="Times New Roman" w:cs="Times New Roman"/>
          <w:i/>
        </w:rPr>
        <w:t>s47</w:t>
      </w:r>
      <w:r w:rsidR="007F36F7">
        <w:rPr>
          <w:rFonts w:ascii="Times New Roman" w:hAnsi="Times New Roman" w:cs="Times New Roman"/>
          <w:i/>
        </w:rPr>
        <w:t xml:space="preserve"> </w:t>
      </w:r>
      <w:r w:rsidRPr="00C011B6">
        <w:rPr>
          <w:rFonts w:ascii="Times New Roman" w:hAnsi="Times New Roman" w:cs="Times New Roman"/>
          <w:i/>
        </w:rPr>
        <w:t>and</w:t>
      </w:r>
      <w:r w:rsidR="007F36F7">
        <w:rPr>
          <w:rFonts w:ascii="Times New Roman" w:hAnsi="Times New Roman" w:cs="Times New Roman"/>
          <w:i/>
        </w:rPr>
        <w:t xml:space="preserve"> </w:t>
      </w:r>
      <w:r w:rsidRPr="00C011B6">
        <w:rPr>
          <w:rFonts w:ascii="Times New Roman" w:hAnsi="Times New Roman" w:cs="Times New Roman"/>
          <w:i/>
        </w:rPr>
        <w:t>s51</w:t>
      </w:r>
      <w:r w:rsidR="007F36F7">
        <w:rPr>
          <w:rFonts w:ascii="Times New Roman" w:hAnsi="Times New Roman" w:cs="Times New Roman"/>
          <w:i/>
        </w:rPr>
        <w:t xml:space="preserve"> </w:t>
      </w:r>
      <w:r w:rsidRPr="00C011B6">
        <w:rPr>
          <w:rFonts w:ascii="Times New Roman" w:hAnsi="Times New Roman" w:cs="Times New Roman"/>
          <w:i/>
        </w:rPr>
        <w:t>of</w:t>
      </w:r>
      <w:r w:rsidR="007F36F7">
        <w:rPr>
          <w:rFonts w:ascii="Times New Roman" w:hAnsi="Times New Roman" w:cs="Times New Roman"/>
          <w:i/>
        </w:rPr>
        <w:t xml:space="preserve"> </w:t>
      </w:r>
      <w:r w:rsidRPr="00C011B6">
        <w:rPr>
          <w:rFonts w:ascii="Times New Roman" w:hAnsi="Times New Roman" w:cs="Times New Roman"/>
          <w:i/>
        </w:rPr>
        <w:t>the</w:t>
      </w:r>
      <w:r w:rsidR="007F36F7">
        <w:rPr>
          <w:rFonts w:ascii="Times New Roman" w:hAnsi="Times New Roman" w:cs="Times New Roman"/>
          <w:i/>
        </w:rPr>
        <w:t xml:space="preserve"> </w:t>
      </w:r>
      <w:r w:rsidRPr="00C011B6">
        <w:rPr>
          <w:rFonts w:ascii="Times New Roman" w:hAnsi="Times New Roman" w:cs="Times New Roman"/>
          <w:i/>
        </w:rPr>
        <w:t>Migration</w:t>
      </w:r>
      <w:r w:rsidR="007F36F7">
        <w:rPr>
          <w:rFonts w:ascii="Times New Roman" w:hAnsi="Times New Roman" w:cs="Times New Roman"/>
          <w:i/>
        </w:rPr>
        <w:t xml:space="preserve"> </w:t>
      </w:r>
      <w:r w:rsidRPr="00C011B6">
        <w:rPr>
          <w:rFonts w:ascii="Times New Roman" w:hAnsi="Times New Roman" w:cs="Times New Roman"/>
          <w:i/>
        </w:rPr>
        <w:t>Act</w:t>
      </w:r>
      <w:r w:rsidR="007F36F7">
        <w:rPr>
          <w:rFonts w:ascii="Times New Roman" w:hAnsi="Times New Roman" w:cs="Times New Roman"/>
          <w:i/>
        </w:rPr>
        <w:t xml:space="preserve"> </w:t>
      </w:r>
      <w:r w:rsidRPr="00C011B6">
        <w:rPr>
          <w:rFonts w:ascii="Times New Roman" w:hAnsi="Times New Roman" w:cs="Times New Roman"/>
          <w:i/>
        </w:rPr>
        <w:t>1958</w:t>
      </w:r>
      <w:r w:rsidRPr="00C011B6">
        <w:rPr>
          <w:rFonts w:ascii="Times New Roman" w:hAnsi="Times New Roman" w:cs="Times New Roman"/>
        </w:rPr>
        <w:t>,</w:t>
      </w:r>
      <w:r w:rsidR="007F36F7">
        <w:rPr>
          <w:rFonts w:ascii="Times New Roman" w:hAnsi="Times New Roman" w:cs="Times New Roman"/>
        </w:rPr>
        <w:t xml:space="preserve"> </w:t>
      </w:r>
      <w:r w:rsidRPr="00C011B6">
        <w:rPr>
          <w:rFonts w:ascii="Times New Roman" w:hAnsi="Times New Roman" w:cs="Times New Roman"/>
        </w:rPr>
        <w:t>was</w:t>
      </w:r>
      <w:r w:rsidR="007F36F7">
        <w:rPr>
          <w:rFonts w:ascii="Times New Roman" w:hAnsi="Times New Roman" w:cs="Times New Roman"/>
        </w:rPr>
        <w:t xml:space="preserve"> </w:t>
      </w:r>
      <w:r w:rsidRPr="00C011B6">
        <w:rPr>
          <w:rFonts w:ascii="Times New Roman" w:hAnsi="Times New Roman" w:cs="Times New Roman"/>
        </w:rPr>
        <w:t>made</w:t>
      </w:r>
      <w:r w:rsidR="007F36F7">
        <w:rPr>
          <w:rFonts w:ascii="Times New Roman" w:hAnsi="Times New Roman" w:cs="Times New Roman"/>
        </w:rPr>
        <w:t xml:space="preserve"> </w:t>
      </w:r>
      <w:r w:rsidRPr="00C011B6">
        <w:rPr>
          <w:rFonts w:ascii="Times New Roman" w:hAnsi="Times New Roman" w:cs="Times New Roman"/>
        </w:rPr>
        <w:t>under</w:t>
      </w:r>
      <w:r w:rsidR="007F36F7">
        <w:rPr>
          <w:rFonts w:ascii="Times New Roman" w:hAnsi="Times New Roman" w:cs="Times New Roman"/>
        </w:rPr>
        <w:t xml:space="preserve"> </w:t>
      </w:r>
      <w:r w:rsidRPr="00C011B6">
        <w:rPr>
          <w:rFonts w:ascii="Times New Roman" w:hAnsi="Times New Roman" w:cs="Times New Roman"/>
        </w:rPr>
        <w:t>s499</w:t>
      </w:r>
      <w:r w:rsidR="007F36F7">
        <w:rPr>
          <w:rFonts w:ascii="Times New Roman" w:hAnsi="Times New Roman" w:cs="Times New Roman"/>
        </w:rPr>
        <w:t xml:space="preserve"> </w:t>
      </w:r>
      <w:r w:rsidRPr="00C011B6">
        <w:rPr>
          <w:rFonts w:ascii="Times New Roman" w:hAnsi="Times New Roman" w:cs="Times New Roman"/>
        </w:rPr>
        <w:t>of</w:t>
      </w:r>
      <w:r w:rsidR="007F36F7">
        <w:rPr>
          <w:rFonts w:ascii="Times New Roman" w:hAnsi="Times New Roman" w:cs="Times New Roman"/>
        </w:rPr>
        <w:t xml:space="preserve"> </w:t>
      </w:r>
      <w:r w:rsidRPr="00C011B6">
        <w:rPr>
          <w:rFonts w:ascii="Times New Roman" w:hAnsi="Times New Roman" w:cs="Times New Roman"/>
        </w:rPr>
        <w:t>the</w:t>
      </w:r>
      <w:r w:rsidR="007F36F7">
        <w:rPr>
          <w:rFonts w:ascii="Times New Roman" w:hAnsi="Times New Roman" w:cs="Times New Roman"/>
        </w:rPr>
        <w:t xml:space="preserve"> </w:t>
      </w:r>
      <w:r w:rsidRPr="00C011B6">
        <w:rPr>
          <w:rFonts w:ascii="Times New Roman" w:hAnsi="Times New Roman" w:cs="Times New Roman"/>
          <w:i/>
        </w:rPr>
        <w:t>Migration</w:t>
      </w:r>
      <w:r w:rsidR="007F36F7">
        <w:rPr>
          <w:rFonts w:ascii="Times New Roman" w:hAnsi="Times New Roman" w:cs="Times New Roman"/>
          <w:i/>
        </w:rPr>
        <w:t xml:space="preserve"> </w:t>
      </w:r>
      <w:r w:rsidRPr="00C011B6">
        <w:rPr>
          <w:rFonts w:ascii="Times New Roman" w:hAnsi="Times New Roman" w:cs="Times New Roman"/>
          <w:i/>
        </w:rPr>
        <w:t>Act</w:t>
      </w:r>
      <w:r w:rsidR="007F36F7">
        <w:rPr>
          <w:rFonts w:ascii="Times New Roman" w:hAnsi="Times New Roman" w:cs="Times New Roman"/>
          <w:i/>
        </w:rPr>
        <w:t xml:space="preserve"> </w:t>
      </w:r>
      <w:r w:rsidRPr="00C011B6">
        <w:rPr>
          <w:rFonts w:ascii="Times New Roman" w:hAnsi="Times New Roman" w:cs="Times New Roman"/>
          <w:i/>
        </w:rPr>
        <w:t>1958</w:t>
      </w:r>
      <w:r w:rsidRPr="00C011B6">
        <w:rPr>
          <w:rFonts w:ascii="Times New Roman" w:hAnsi="Times New Roman" w:cs="Times New Roman"/>
        </w:rPr>
        <w:t>,</w:t>
      </w:r>
      <w:r w:rsidR="007F36F7">
        <w:rPr>
          <w:rFonts w:ascii="Times New Roman" w:hAnsi="Times New Roman" w:cs="Times New Roman"/>
        </w:rPr>
        <w:t xml:space="preserve"> </w:t>
      </w:r>
      <w:r w:rsidRPr="00C011B6">
        <w:rPr>
          <w:rFonts w:ascii="Times New Roman" w:hAnsi="Times New Roman" w:cs="Times New Roman"/>
        </w:rPr>
        <w:t>on</w:t>
      </w:r>
      <w:r w:rsidR="007F36F7">
        <w:rPr>
          <w:rFonts w:ascii="Times New Roman" w:hAnsi="Times New Roman" w:cs="Times New Roman"/>
        </w:rPr>
        <w:t xml:space="preserve"> </w:t>
      </w:r>
      <w:r w:rsidRPr="00C011B6">
        <w:rPr>
          <w:rFonts w:ascii="Times New Roman" w:hAnsi="Times New Roman" w:cs="Times New Roman"/>
        </w:rPr>
        <w:t>21</w:t>
      </w:r>
      <w:r w:rsidR="007F36F7">
        <w:rPr>
          <w:rFonts w:ascii="Times New Roman" w:hAnsi="Times New Roman" w:cs="Times New Roman"/>
        </w:rPr>
        <w:t xml:space="preserve"> </w:t>
      </w:r>
      <w:r w:rsidRPr="00C011B6">
        <w:rPr>
          <w:rFonts w:ascii="Times New Roman" w:hAnsi="Times New Roman" w:cs="Times New Roman"/>
        </w:rPr>
        <w:t>December</w:t>
      </w:r>
      <w:r w:rsidR="007F36F7">
        <w:rPr>
          <w:rFonts w:ascii="Times New Roman" w:hAnsi="Times New Roman" w:cs="Times New Roman"/>
        </w:rPr>
        <w:t xml:space="preserve"> </w:t>
      </w:r>
      <w:r w:rsidRPr="00C011B6">
        <w:rPr>
          <w:rFonts w:ascii="Times New Roman" w:hAnsi="Times New Roman" w:cs="Times New Roman"/>
        </w:rPr>
        <w:t>2018.</w:t>
      </w:r>
    </w:p>
  </w:footnote>
  <w:footnote w:id="2">
    <w:p w14:paraId="16805C0C" w14:textId="77777777" w:rsidR="0082177C" w:rsidRPr="00C011B6" w:rsidRDefault="0082177C" w:rsidP="0082177C">
      <w:pPr>
        <w:pStyle w:val="FootnoteText"/>
        <w:rPr>
          <w:rFonts w:ascii="Times New Roman" w:hAnsi="Times New Roman" w:cs="Times New Roman"/>
        </w:rPr>
      </w:pPr>
      <w:r w:rsidRPr="00C011B6">
        <w:rPr>
          <w:rStyle w:val="FootnoteReference"/>
        </w:rPr>
        <w:footnoteRef/>
      </w:r>
      <w:r w:rsidRPr="00C011B6">
        <w:rPr>
          <w:rFonts w:ascii="Times New Roman" w:hAnsi="Times New Roman" w:cs="Times New Roman"/>
        </w:rPr>
        <w:t xml:space="preserve"> Ministerial Direction 80, </w:t>
      </w:r>
      <w:r w:rsidRPr="00C011B6">
        <w:rPr>
          <w:rFonts w:ascii="Times New Roman" w:hAnsi="Times New Roman" w:cs="Times New Roman"/>
          <w:i/>
        </w:rPr>
        <w:t>Order for considering and disposing of Family visa applications under s47 and s51 of the Migration Act 1958</w:t>
      </w:r>
      <w:r w:rsidRPr="00C011B6">
        <w:rPr>
          <w:rFonts w:ascii="Times New Roman" w:hAnsi="Times New Roman" w:cs="Times New Roman"/>
        </w:rPr>
        <w:t xml:space="preserve">, was made under s499 of the </w:t>
      </w:r>
      <w:r w:rsidRPr="00C011B6">
        <w:rPr>
          <w:rFonts w:ascii="Times New Roman" w:hAnsi="Times New Roman" w:cs="Times New Roman"/>
          <w:i/>
        </w:rPr>
        <w:t>Migration Act 1958</w:t>
      </w:r>
      <w:r w:rsidRPr="00C011B6">
        <w:rPr>
          <w:rFonts w:ascii="Times New Roman" w:hAnsi="Times New Roman" w:cs="Times New Roman"/>
        </w:rPr>
        <w:t>, on 21 December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304"/>
    <w:multiLevelType w:val="multilevel"/>
    <w:tmpl w:val="9FC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7924DBB"/>
    <w:multiLevelType w:val="hybridMultilevel"/>
    <w:tmpl w:val="8DD6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BF0C6F"/>
    <w:multiLevelType w:val="hybridMultilevel"/>
    <w:tmpl w:val="3CF04A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5"/>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07E50"/>
    <w:rsid w:val="00030BAD"/>
    <w:rsid w:val="000540CF"/>
    <w:rsid w:val="00054876"/>
    <w:rsid w:val="00080F55"/>
    <w:rsid w:val="000A495C"/>
    <w:rsid w:val="000B1DCA"/>
    <w:rsid w:val="000D014F"/>
    <w:rsid w:val="000F6556"/>
    <w:rsid w:val="00100DFC"/>
    <w:rsid w:val="001022BC"/>
    <w:rsid w:val="00107D7A"/>
    <w:rsid w:val="0019164E"/>
    <w:rsid w:val="001B06B8"/>
    <w:rsid w:val="001C536A"/>
    <w:rsid w:val="001D24A8"/>
    <w:rsid w:val="001D4893"/>
    <w:rsid w:val="001E7A39"/>
    <w:rsid w:val="001F059C"/>
    <w:rsid w:val="002402E0"/>
    <w:rsid w:val="0026451B"/>
    <w:rsid w:val="00274A4F"/>
    <w:rsid w:val="002A20D9"/>
    <w:rsid w:val="002D167E"/>
    <w:rsid w:val="002D1BEF"/>
    <w:rsid w:val="003273A2"/>
    <w:rsid w:val="00457D4A"/>
    <w:rsid w:val="00461BF4"/>
    <w:rsid w:val="00464080"/>
    <w:rsid w:val="004F5CE4"/>
    <w:rsid w:val="00530532"/>
    <w:rsid w:val="00560B24"/>
    <w:rsid w:val="0057002B"/>
    <w:rsid w:val="0059267B"/>
    <w:rsid w:val="005A175E"/>
    <w:rsid w:val="005A3733"/>
    <w:rsid w:val="00604E06"/>
    <w:rsid w:val="00626466"/>
    <w:rsid w:val="00686244"/>
    <w:rsid w:val="006D18CD"/>
    <w:rsid w:val="006E5B54"/>
    <w:rsid w:val="006F1883"/>
    <w:rsid w:val="006F6AA7"/>
    <w:rsid w:val="0070344C"/>
    <w:rsid w:val="007047E4"/>
    <w:rsid w:val="007316DF"/>
    <w:rsid w:val="00762FA5"/>
    <w:rsid w:val="00782F3F"/>
    <w:rsid w:val="0079506B"/>
    <w:rsid w:val="007C06EE"/>
    <w:rsid w:val="007C7134"/>
    <w:rsid w:val="007E4691"/>
    <w:rsid w:val="007F07DD"/>
    <w:rsid w:val="007F36F7"/>
    <w:rsid w:val="0082177C"/>
    <w:rsid w:val="00826B63"/>
    <w:rsid w:val="00843FA9"/>
    <w:rsid w:val="0087554A"/>
    <w:rsid w:val="0088407D"/>
    <w:rsid w:val="008B24C8"/>
    <w:rsid w:val="008B31EB"/>
    <w:rsid w:val="008C7EDF"/>
    <w:rsid w:val="00915032"/>
    <w:rsid w:val="0093269B"/>
    <w:rsid w:val="00973D66"/>
    <w:rsid w:val="0099005A"/>
    <w:rsid w:val="00992A08"/>
    <w:rsid w:val="009A6E4C"/>
    <w:rsid w:val="009C2B74"/>
    <w:rsid w:val="009D767A"/>
    <w:rsid w:val="00A75609"/>
    <w:rsid w:val="00A87734"/>
    <w:rsid w:val="00A9656C"/>
    <w:rsid w:val="00AA4557"/>
    <w:rsid w:val="00AA4F77"/>
    <w:rsid w:val="00AB0012"/>
    <w:rsid w:val="00AE2DE8"/>
    <w:rsid w:val="00AF5823"/>
    <w:rsid w:val="00B014A2"/>
    <w:rsid w:val="00B370EA"/>
    <w:rsid w:val="00B37875"/>
    <w:rsid w:val="00B424CE"/>
    <w:rsid w:val="00B445D9"/>
    <w:rsid w:val="00B65A06"/>
    <w:rsid w:val="00B66AEC"/>
    <w:rsid w:val="00B75478"/>
    <w:rsid w:val="00BB0CF2"/>
    <w:rsid w:val="00BB20DD"/>
    <w:rsid w:val="00BD598E"/>
    <w:rsid w:val="00BD69FF"/>
    <w:rsid w:val="00BE3E7F"/>
    <w:rsid w:val="00BE7659"/>
    <w:rsid w:val="00C2138E"/>
    <w:rsid w:val="00C36E9C"/>
    <w:rsid w:val="00C81A5E"/>
    <w:rsid w:val="00C84B4B"/>
    <w:rsid w:val="00C930F2"/>
    <w:rsid w:val="00C93A8B"/>
    <w:rsid w:val="00CE0000"/>
    <w:rsid w:val="00D025EE"/>
    <w:rsid w:val="00D034AD"/>
    <w:rsid w:val="00D40E1E"/>
    <w:rsid w:val="00D63B86"/>
    <w:rsid w:val="00DC21FD"/>
    <w:rsid w:val="00E03DCC"/>
    <w:rsid w:val="00E45FE2"/>
    <w:rsid w:val="00E56C2B"/>
    <w:rsid w:val="00E5774D"/>
    <w:rsid w:val="00EA12C9"/>
    <w:rsid w:val="00ED3041"/>
    <w:rsid w:val="00FE0FEE"/>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10F4"/>
  <w15:chartTrackingRefBased/>
  <w15:docId w15:val="{E8712E2B-8E0D-4A5E-81A1-DB2AA37F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F582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semiHidden/>
    <w:unhideWhenUsed/>
    <w:qFormat/>
    <w:rsid w:val="008217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character" w:styleId="CommentReference">
    <w:name w:val="annotation reference"/>
    <w:basedOn w:val="DefaultParagraphFont"/>
    <w:uiPriority w:val="99"/>
    <w:semiHidden/>
    <w:unhideWhenUsed/>
    <w:rsid w:val="0079506B"/>
    <w:rPr>
      <w:sz w:val="16"/>
      <w:szCs w:val="16"/>
    </w:rPr>
  </w:style>
  <w:style w:type="paragraph" w:styleId="CommentText">
    <w:name w:val="annotation text"/>
    <w:basedOn w:val="Normal"/>
    <w:link w:val="CommentTextChar"/>
    <w:uiPriority w:val="99"/>
    <w:semiHidden/>
    <w:unhideWhenUsed/>
    <w:rsid w:val="0079506B"/>
    <w:pPr>
      <w:spacing w:line="240" w:lineRule="auto"/>
    </w:pPr>
    <w:rPr>
      <w:sz w:val="20"/>
      <w:szCs w:val="20"/>
    </w:rPr>
  </w:style>
  <w:style w:type="character" w:customStyle="1" w:styleId="CommentTextChar">
    <w:name w:val="Comment Text Char"/>
    <w:basedOn w:val="DefaultParagraphFont"/>
    <w:link w:val="CommentText"/>
    <w:uiPriority w:val="99"/>
    <w:semiHidden/>
    <w:rsid w:val="0079506B"/>
    <w:rPr>
      <w:sz w:val="20"/>
      <w:szCs w:val="20"/>
    </w:rPr>
  </w:style>
  <w:style w:type="paragraph" w:styleId="CommentSubject">
    <w:name w:val="annotation subject"/>
    <w:basedOn w:val="CommentText"/>
    <w:next w:val="CommentText"/>
    <w:link w:val="CommentSubjectChar"/>
    <w:uiPriority w:val="99"/>
    <w:semiHidden/>
    <w:unhideWhenUsed/>
    <w:rsid w:val="0079506B"/>
    <w:rPr>
      <w:b/>
      <w:bCs/>
    </w:rPr>
  </w:style>
  <w:style w:type="character" w:customStyle="1" w:styleId="CommentSubjectChar">
    <w:name w:val="Comment Subject Char"/>
    <w:basedOn w:val="CommentTextChar"/>
    <w:link w:val="CommentSubject"/>
    <w:uiPriority w:val="99"/>
    <w:semiHidden/>
    <w:rsid w:val="0079506B"/>
    <w:rPr>
      <w:b/>
      <w:bCs/>
      <w:sz w:val="20"/>
      <w:szCs w:val="20"/>
    </w:rPr>
  </w:style>
  <w:style w:type="paragraph" w:styleId="BalloonText">
    <w:name w:val="Balloon Text"/>
    <w:basedOn w:val="Normal"/>
    <w:link w:val="BalloonTextChar"/>
    <w:uiPriority w:val="99"/>
    <w:semiHidden/>
    <w:unhideWhenUsed/>
    <w:rsid w:val="00795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06B"/>
    <w:rPr>
      <w:rFonts w:ascii="Segoe UI" w:hAnsi="Segoe UI" w:cs="Segoe UI"/>
      <w:sz w:val="18"/>
      <w:szCs w:val="18"/>
    </w:rPr>
  </w:style>
  <w:style w:type="character" w:customStyle="1" w:styleId="Heading2Char">
    <w:name w:val="Heading 2 Char"/>
    <w:basedOn w:val="DefaultParagraphFont"/>
    <w:link w:val="Heading2"/>
    <w:uiPriority w:val="9"/>
    <w:semiHidden/>
    <w:rsid w:val="00AF5823"/>
    <w:rPr>
      <w:rFonts w:asciiTheme="majorHAnsi" w:eastAsiaTheme="majorEastAsia" w:hAnsiTheme="majorHAnsi" w:cstheme="majorBidi"/>
      <w:color w:val="2E74B5" w:themeColor="accent1" w:themeShade="BF"/>
      <w:sz w:val="26"/>
      <w:szCs w:val="26"/>
      <w:lang w:eastAsia="en-AU"/>
    </w:rPr>
  </w:style>
  <w:style w:type="paragraph" w:styleId="FootnoteText">
    <w:name w:val="footnote text"/>
    <w:basedOn w:val="Normal"/>
    <w:link w:val="FootnoteTextChar"/>
    <w:uiPriority w:val="99"/>
    <w:semiHidden/>
    <w:unhideWhenUsed/>
    <w:rsid w:val="00992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A08"/>
    <w:rPr>
      <w:sz w:val="20"/>
      <w:szCs w:val="20"/>
    </w:rPr>
  </w:style>
  <w:style w:type="character" w:styleId="FootnoteReference">
    <w:name w:val="footnote reference"/>
    <w:basedOn w:val="DefaultParagraphFont"/>
    <w:uiPriority w:val="99"/>
    <w:semiHidden/>
    <w:unhideWhenUsed/>
    <w:rsid w:val="00992A08"/>
    <w:rPr>
      <w:vertAlign w:val="superscript"/>
    </w:rPr>
  </w:style>
  <w:style w:type="character" w:customStyle="1" w:styleId="Heading3Char">
    <w:name w:val="Heading 3 Char"/>
    <w:basedOn w:val="DefaultParagraphFont"/>
    <w:link w:val="Heading3"/>
    <w:uiPriority w:val="9"/>
    <w:semiHidden/>
    <w:rsid w:val="0082177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294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9176B21-5872-4319-8F1C-E2EC728BC1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2078E4E8409B4409AD29E211D95B485" ma:contentTypeVersion="" ma:contentTypeDescription="PDMS Document Site Content Type" ma:contentTypeScope="" ma:versionID="307570cf21658f0b97420f6d2bb1fea8">
  <xsd:schema xmlns:xsd="http://www.w3.org/2001/XMLSchema" xmlns:xs="http://www.w3.org/2001/XMLSchema" xmlns:p="http://schemas.microsoft.com/office/2006/metadata/properties" xmlns:ns2="99176B21-5872-4319-8F1C-E2EC728BC172" targetNamespace="http://schemas.microsoft.com/office/2006/metadata/properties" ma:root="true" ma:fieldsID="49fef544dc7c202b96cc21476ac655f1" ns2:_="">
    <xsd:import namespace="99176B21-5872-4319-8F1C-E2EC728BC17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6B21-5872-4319-8F1C-E2EC728BC17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44CFA-7056-486B-A3D4-947CC6ED3A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176B21-5872-4319-8F1C-E2EC728BC172"/>
    <ds:schemaRef ds:uri="http://www.w3.org/XML/1998/namespace"/>
    <ds:schemaRef ds:uri="http://purl.org/dc/dcmitype/"/>
  </ds:schemaRefs>
</ds:datastoreItem>
</file>

<file path=customXml/itemProps2.xml><?xml version="1.0" encoding="utf-8"?>
<ds:datastoreItem xmlns:ds="http://schemas.openxmlformats.org/officeDocument/2006/customXml" ds:itemID="{7E572605-056E-47EF-81F2-01A676EC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6B21-5872-4319-8F1C-E2EC728BC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B0C5E-B333-4847-9E66-9D38D67D8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Carrie Coleman</cp:lastModifiedBy>
  <cp:revision>2</cp:revision>
  <dcterms:created xsi:type="dcterms:W3CDTF">2024-07-02T10:52:00Z</dcterms:created>
  <dcterms:modified xsi:type="dcterms:W3CDTF">2024-07-02T10:52:00Z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0x010100266966F133664895A6EE3632470D45F50072078E4E8409B4409AD29E211D95B485</vt:lpwstr>
  </property>
</Properties>
</file>