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674DDA29" w:rsidR="00320DFA" w:rsidRPr="004E52E0" w:rsidRDefault="00320DFA" w:rsidP="00320DFA">
      <w:pPr>
        <w:pStyle w:val="Title"/>
        <w:tabs>
          <w:tab w:val="left" w:pos="6120"/>
        </w:tabs>
        <w:contextualSpacing/>
        <w:rPr>
          <w:rFonts w:ascii="Times New Roman" w:hAnsi="Times New Roman" w:cs="Times New Roman"/>
        </w:rPr>
      </w:pPr>
      <w:r w:rsidRPr="004E52E0">
        <w:rPr>
          <w:rFonts w:ascii="Times New Roman" w:hAnsi="Times New Roman" w:cs="Times New Roman"/>
        </w:rPr>
        <w:t>Explanatory Statement</w:t>
      </w:r>
    </w:p>
    <w:p w14:paraId="5190EBC6" w14:textId="77777777" w:rsidR="00320DFA" w:rsidRPr="004E52E0" w:rsidRDefault="00320DFA" w:rsidP="00320DFA">
      <w:pPr>
        <w:pStyle w:val="Title"/>
        <w:tabs>
          <w:tab w:val="left" w:pos="6120"/>
        </w:tabs>
        <w:contextualSpacing/>
        <w:rPr>
          <w:rFonts w:ascii="Times New Roman" w:hAnsi="Times New Roman" w:cs="Times New Roman"/>
        </w:rPr>
      </w:pPr>
    </w:p>
    <w:p w14:paraId="3FB1FC26" w14:textId="77777777" w:rsidR="00320DFA" w:rsidRPr="004E52E0" w:rsidRDefault="00320DFA" w:rsidP="00320DFA">
      <w:pPr>
        <w:widowControl/>
        <w:contextualSpacing/>
        <w:jc w:val="center"/>
        <w:rPr>
          <w:rFonts w:ascii="Times New Roman" w:hAnsi="Times New Roman" w:cs="Times New Roman"/>
        </w:rPr>
      </w:pPr>
      <w:r w:rsidRPr="004E52E0">
        <w:rPr>
          <w:rFonts w:ascii="Times New Roman" w:hAnsi="Times New Roman" w:cs="Times New Roman"/>
        </w:rPr>
        <w:t xml:space="preserve">Issued </w:t>
      </w:r>
      <w:r w:rsidRPr="00374C79">
        <w:rPr>
          <w:rFonts w:ascii="Times New Roman" w:hAnsi="Times New Roman" w:cs="Times New Roman"/>
        </w:rPr>
        <w:t>by the Authority of the</w:t>
      </w:r>
      <w:r w:rsidRPr="004E52E0">
        <w:rPr>
          <w:rFonts w:ascii="Times New Roman" w:hAnsi="Times New Roman" w:cs="Times New Roman"/>
        </w:rPr>
        <w:t xml:space="preserve"> </w:t>
      </w:r>
      <w:r w:rsidRPr="00EB7243">
        <w:rPr>
          <w:rFonts w:ascii="Times New Roman" w:hAnsi="Times New Roman" w:cs="Times New Roman"/>
        </w:rPr>
        <w:t>Minister for Foreign Affairs</w:t>
      </w:r>
    </w:p>
    <w:p w14:paraId="2A2302E4" w14:textId="77777777" w:rsidR="00320DFA" w:rsidRPr="004E52E0" w:rsidRDefault="00320DFA" w:rsidP="00320DFA">
      <w:pPr>
        <w:widowControl/>
        <w:contextualSpacing/>
        <w:jc w:val="center"/>
        <w:rPr>
          <w:rFonts w:ascii="Times New Roman" w:hAnsi="Times New Roman" w:cs="Times New Roman"/>
        </w:rPr>
      </w:pPr>
    </w:p>
    <w:p w14:paraId="1C32AA70" w14:textId="77777777" w:rsidR="00320DFA" w:rsidRPr="00FE073E" w:rsidRDefault="00320DFA" w:rsidP="00320DFA">
      <w:pPr>
        <w:pStyle w:val="Heading1"/>
        <w:ind w:hanging="1133"/>
        <w:contextualSpacing/>
        <w:rPr>
          <w:rFonts w:ascii="Times New Roman" w:hAnsi="Times New Roman" w:cs="Times New Roman"/>
          <w:iCs w:val="0"/>
        </w:rPr>
      </w:pPr>
      <w:r w:rsidRPr="00FE073E">
        <w:rPr>
          <w:rFonts w:ascii="Times New Roman" w:hAnsi="Times New Roman" w:cs="Times New Roman"/>
          <w:iCs w:val="0"/>
        </w:rPr>
        <w:t>Autonomous Sanctions Regulations 2011</w:t>
      </w:r>
    </w:p>
    <w:p w14:paraId="5EC15AB6" w14:textId="77777777" w:rsidR="00320DFA" w:rsidRPr="002C6454" w:rsidRDefault="00320DFA" w:rsidP="00320DFA">
      <w:pPr>
        <w:widowControl/>
        <w:ind w:left="1133" w:hanging="1157"/>
        <w:contextualSpacing/>
        <w:jc w:val="center"/>
        <w:rPr>
          <w:rFonts w:ascii="Times New Roman" w:hAnsi="Times New Roman" w:cs="Times New Roman"/>
          <w:i/>
          <w:iCs/>
        </w:rPr>
      </w:pPr>
    </w:p>
    <w:p w14:paraId="3AC1D1A8" w14:textId="40AB89A9" w:rsidR="00320DFA" w:rsidRPr="00FE073E" w:rsidRDefault="00320DFA" w:rsidP="00320DFA">
      <w:pPr>
        <w:contextualSpacing/>
        <w:jc w:val="center"/>
        <w:rPr>
          <w:rFonts w:ascii="Times New Roman" w:hAnsi="Times New Roman" w:cs="Times New Roman"/>
          <w:bCs/>
          <w:i/>
        </w:rPr>
      </w:pPr>
      <w:r w:rsidRPr="00FE073E">
        <w:rPr>
          <w:rFonts w:ascii="Times New Roman" w:hAnsi="Times New Roman" w:cs="Times New Roman"/>
          <w:bCs/>
          <w:i/>
        </w:rPr>
        <w:t>Autonomous Sanctions (Designated Persons and Entities and Declared Persons</w:t>
      </w:r>
      <w:r w:rsidR="00FB2E19"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FD3760" w:rsidRPr="00FE073E">
        <w:rPr>
          <w:rFonts w:ascii="Times New Roman" w:hAnsi="Times New Roman" w:cs="Times New Roman"/>
          <w:bCs/>
          <w:i/>
        </w:rPr>
        <w:t>3</w:t>
      </w:r>
      <w:r w:rsidRPr="00FE073E">
        <w:rPr>
          <w:rFonts w:ascii="Times New Roman" w:hAnsi="Times New Roman" w:cs="Times New Roman"/>
          <w:bCs/>
          <w:i/>
        </w:rPr>
        <w:t>) Instrument 2024</w:t>
      </w:r>
    </w:p>
    <w:p w14:paraId="3894F632" w14:textId="77777777" w:rsidR="00320DFA" w:rsidRPr="004E52E0" w:rsidRDefault="00320DFA" w:rsidP="00320DFA">
      <w:pPr>
        <w:contextualSpacing/>
        <w:jc w:val="center"/>
      </w:pPr>
    </w:p>
    <w:p w14:paraId="45B59FAD" w14:textId="77777777" w:rsidR="00320DFA" w:rsidRDefault="00320DFA" w:rsidP="00320DFA">
      <w:pPr>
        <w:contextualSpacing/>
      </w:pPr>
      <w:r w:rsidRPr="004E52E0">
        <w:rPr>
          <w:iCs/>
        </w:rPr>
        <w:t xml:space="preserve">Autonomous sanctions are measures not involving the use of armed force which </w:t>
      </w:r>
      <w:r>
        <w:rPr>
          <w:iCs/>
        </w:rPr>
        <w:t>the Australian</w:t>
      </w:r>
      <w:r w:rsidRPr="004E52E0">
        <w:rPr>
          <w:iCs/>
        </w:rPr>
        <w:t xml:space="preserve"> </w:t>
      </w:r>
      <w:r w:rsidRPr="00EB7243">
        <w:rPr>
          <w:iCs/>
        </w:rPr>
        <w:t xml:space="preserve">Government imposes as a matter of foreign policy in response to situations of international concern. </w:t>
      </w:r>
      <w:r w:rsidRPr="00EB7243">
        <w:t>Such situations include threats to a country’s sovereignty and territorial integrity, as occurred in 2014 when Russia annexed Crimea and Sevastopol from Ukraine in breach of international law, and Russia’s ongoing invasion of Ukraine since February 2022.</w:t>
      </w:r>
    </w:p>
    <w:p w14:paraId="63BB7C93" w14:textId="77777777" w:rsidR="00320DFA" w:rsidRPr="004E52E0" w:rsidRDefault="00320DFA" w:rsidP="00320DFA">
      <w:pPr>
        <w:contextualSpacing/>
        <w:rPr>
          <w:lang w:eastAsia="en-AU"/>
        </w:rPr>
      </w:pPr>
    </w:p>
    <w:p w14:paraId="2AA6ED3E" w14:textId="6EF89259" w:rsidR="00320DFA" w:rsidRDefault="00320DFA" w:rsidP="00320DFA">
      <w:pPr>
        <w:contextualSpacing/>
        <w:rPr>
          <w:lang w:eastAsia="en-AU"/>
        </w:rPr>
      </w:pPr>
      <w:r w:rsidRPr="004E52E0">
        <w:rPr>
          <w:lang w:eastAsia="en-AU"/>
        </w:rPr>
        <w:t xml:space="preserve">The </w:t>
      </w:r>
      <w:r w:rsidRPr="00FE073E">
        <w:rPr>
          <w:i/>
          <w:iCs/>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the proscription of persons or entities for </w:t>
      </w:r>
      <w:r w:rsidRPr="00483C21">
        <w:rPr>
          <w:lang w:eastAsia="en-AU"/>
        </w:rPr>
        <w:t xml:space="preserve">autonomous </w:t>
      </w:r>
      <w:r w:rsidRPr="004E52E0">
        <w:rPr>
          <w:lang w:eastAsia="en-AU"/>
        </w:rPr>
        <w:t xml:space="preserve">sanctions </w:t>
      </w:r>
      <w:r>
        <w:t xml:space="preserve">in relation to Russia and Ukraine. Regulation </w:t>
      </w:r>
      <w:r w:rsidRPr="004E52E0">
        <w:rPr>
          <w:lang w:eastAsia="en-AU"/>
        </w:rPr>
        <w:t>6</w:t>
      </w:r>
      <w:r>
        <w:rPr>
          <w:lang w:eastAsia="en-AU"/>
        </w:rPr>
        <w:t xml:space="preserve"> </w:t>
      </w:r>
      <w:r w:rsidRPr="004E52E0">
        <w:rPr>
          <w:lang w:eastAsia="en-AU"/>
        </w:rPr>
        <w:t xml:space="preserve">of the Regulations enables </w:t>
      </w:r>
      <w:r w:rsidRPr="00EB7243">
        <w:rPr>
          <w:bCs/>
          <w:lang w:eastAsia="en-AU"/>
        </w:rPr>
        <w:t>the Minister</w:t>
      </w:r>
      <w:r w:rsidRPr="004E52E0">
        <w:rPr>
          <w:lang w:eastAsia="en-AU"/>
        </w:rPr>
        <w:t xml:space="preserve"> to designate a person or entity for targeted financial sanctions and/or declare a person for </w:t>
      </w:r>
      <w:r>
        <w:rPr>
          <w:lang w:eastAsia="en-AU"/>
        </w:rPr>
        <w:t xml:space="preserve">the purposes of </w:t>
      </w:r>
      <w:r w:rsidRPr="004E52E0">
        <w:rPr>
          <w:lang w:eastAsia="en-AU"/>
        </w:rPr>
        <w:t>a travel ban in a range of circumstances, including if</w:t>
      </w:r>
      <w:r>
        <w:rPr>
          <w:lang w:eastAsia="en-AU"/>
        </w:rPr>
        <w:t>:</w:t>
      </w:r>
    </w:p>
    <w:p w14:paraId="60E83532" w14:textId="77777777" w:rsidR="00320DFA" w:rsidRDefault="00320DFA" w:rsidP="00320DFA">
      <w:pPr>
        <w:contextualSpacing/>
        <w:rPr>
          <w:lang w:eastAsia="en-AU"/>
        </w:rPr>
      </w:pPr>
    </w:p>
    <w:p w14:paraId="3786D5CB" w14:textId="7BBD364A" w:rsidR="00A00C2E" w:rsidRPr="00A00C2E" w:rsidRDefault="00320DFA" w:rsidP="00A00C2E">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 xml:space="preserve">the Minister is satisfied that the person or entity is, or has been, engaging in an activity or performing a function that is of economic or strategic significance to </w:t>
      </w:r>
      <w:r w:rsidRPr="00A00C2E">
        <w:rPr>
          <w:color w:val="000000"/>
        </w:rPr>
        <w:t>Russia (paragraph (a) of item 6A of the table at regulation 6 of the Regulations</w:t>
      </w:r>
      <w:proofErr w:type="gramStart"/>
      <w:r w:rsidRPr="00A00C2E">
        <w:rPr>
          <w:color w:val="000000"/>
        </w:rPr>
        <w:t>);</w:t>
      </w:r>
      <w:proofErr w:type="gramEnd"/>
    </w:p>
    <w:p w14:paraId="273BC8D1" w14:textId="77777777" w:rsidR="009B5FA0" w:rsidRDefault="00320DFA" w:rsidP="009B5FA0">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A00C2E">
        <w:rPr>
          <w:color w:val="000000"/>
        </w:rPr>
        <w:t>the person is a current or former Minister or senior official of the Russian Government (paragraph (b) of item 6A of the table at regulation 6 of the Regulations</w:t>
      </w:r>
      <w:r w:rsidR="00611950">
        <w:rPr>
          <w:color w:val="000000"/>
        </w:rPr>
        <w:t>;</w:t>
      </w:r>
      <w:r w:rsidR="009B5FA0">
        <w:rPr>
          <w:color w:val="000000"/>
        </w:rPr>
        <w:t xml:space="preserve"> or</w:t>
      </w:r>
    </w:p>
    <w:p w14:paraId="06E24DD1" w14:textId="7AC9BDE7" w:rsidR="00320DFA" w:rsidRPr="00892F04" w:rsidRDefault="009B5FA0" w:rsidP="009B5FA0">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9B5FA0">
        <w:rPr>
          <w:rFonts w:cstheme="minorHAnsi"/>
          <w:color w:val="000000"/>
        </w:rPr>
        <w:t>an immediate family member of a person mentioned in paragraph (a) or (b)</w:t>
      </w:r>
      <w:r w:rsidR="00937B28">
        <w:rPr>
          <w:rFonts w:cstheme="minorHAnsi"/>
          <w:color w:val="000000"/>
        </w:rPr>
        <w:t xml:space="preserve"> </w:t>
      </w:r>
      <w:r w:rsidR="00937B28" w:rsidRPr="00A00C2E">
        <w:rPr>
          <w:color w:val="000000"/>
        </w:rPr>
        <w:t>(paragraph (</w:t>
      </w:r>
      <w:r w:rsidR="00937B28">
        <w:rPr>
          <w:color w:val="000000"/>
        </w:rPr>
        <w:t>c</w:t>
      </w:r>
      <w:r w:rsidR="00937B28" w:rsidRPr="00A00C2E">
        <w:rPr>
          <w:color w:val="000000"/>
        </w:rPr>
        <w:t>) of item 6A of the table at regulation 6 of the Regulations</w:t>
      </w:r>
      <w:r w:rsidR="00937B28">
        <w:rPr>
          <w:color w:val="000000"/>
        </w:rPr>
        <w:t>)</w:t>
      </w:r>
      <w:r w:rsidR="00C56EEC" w:rsidRPr="00892F04">
        <w:rPr>
          <w:color w:val="000000"/>
          <w:highlight w:val="cyan"/>
        </w:rPr>
        <w:t xml:space="preserve"> </w:t>
      </w:r>
      <w:r w:rsidR="00937B28">
        <w:rPr>
          <w:color w:val="000000"/>
        </w:rPr>
        <w:t>(</w:t>
      </w:r>
      <w:r w:rsidR="00C56EEC" w:rsidRPr="00892F04">
        <w:rPr>
          <w:color w:val="000000"/>
        </w:rPr>
        <w:t>collectively, ‘</w:t>
      </w:r>
      <w:r w:rsidR="00C56EEC" w:rsidRPr="00892F04">
        <w:rPr>
          <w:b/>
          <w:color w:val="000000"/>
        </w:rPr>
        <w:t>the Russia criteria</w:t>
      </w:r>
      <w:r w:rsidR="00C56EEC" w:rsidRPr="00892F04">
        <w:rPr>
          <w:color w:val="000000"/>
        </w:rPr>
        <w:t>’</w:t>
      </w:r>
      <w:r w:rsidR="00320DFA" w:rsidRPr="00892F04">
        <w:rPr>
          <w:color w:val="000000"/>
        </w:rPr>
        <w:t>)</w:t>
      </w:r>
      <w:r w:rsidR="00CD2706" w:rsidRPr="00892F04">
        <w:rPr>
          <w:color w:val="000000"/>
        </w:rPr>
        <w:t>.</w:t>
      </w:r>
      <w:r w:rsidR="00A00C2E" w:rsidRPr="00892F04">
        <w:rPr>
          <w:color w:val="000000"/>
        </w:rPr>
        <w:t xml:space="preserve"> </w:t>
      </w:r>
    </w:p>
    <w:p w14:paraId="32CFF051" w14:textId="77777777" w:rsidR="00320DFA" w:rsidRDefault="00320DFA" w:rsidP="00320DFA">
      <w:pPr>
        <w:contextualSpacing/>
        <w:rPr>
          <w:lang w:eastAsia="en-AU"/>
        </w:rPr>
      </w:pPr>
    </w:p>
    <w:p w14:paraId="6E431F67" w14:textId="77777777" w:rsidR="00320DFA" w:rsidRDefault="00320DFA" w:rsidP="00320DFA">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2018934D" w14:textId="77777777" w:rsidR="00320DFA" w:rsidRDefault="00320DFA" w:rsidP="00320DFA">
      <w:pPr>
        <w:widowControl/>
        <w:shd w:val="clear" w:color="auto" w:fill="FFFFFF"/>
        <w:spacing w:line="264" w:lineRule="atLeast"/>
        <w:contextualSpacing/>
      </w:pPr>
    </w:p>
    <w:p w14:paraId="69D7C591" w14:textId="77777777" w:rsidR="00320DFA"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1F8DC228" w:rsidR="00320DFA"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Pr>
          <w:color w:val="000000"/>
        </w:rPr>
        <w:t xml:space="preserve">an asset owned or controlled by a designated person or entity is a ‘controlled asset’, subject to the prohibition in regulation 15 (which </w:t>
      </w:r>
      <w:r w:rsidR="000048C9">
        <w:rPr>
          <w:color w:val="000000"/>
        </w:rPr>
        <w:t xml:space="preserve">prohibits </w:t>
      </w:r>
      <w:r>
        <w:rPr>
          <w:color w:val="000000"/>
        </w:rPr>
        <w:t>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Default="00320DFA" w:rsidP="00320DFA">
      <w:pPr>
        <w:widowControl/>
        <w:shd w:val="clear" w:color="auto" w:fill="FFFFFF"/>
        <w:spacing w:line="264" w:lineRule="atLeast"/>
        <w:contextualSpacing/>
      </w:pPr>
    </w:p>
    <w:p w14:paraId="0068C379" w14:textId="77777777" w:rsidR="00320DFA" w:rsidRDefault="00320DFA" w:rsidP="00320DFA">
      <w:pPr>
        <w:contextualSpacing/>
      </w:pPr>
      <w:r w:rsidRPr="004E52E0">
        <w:t xml:space="preserve">The purpose of a declaration is to prevent a person from travelling to, </w:t>
      </w:r>
      <w:proofErr w:type="gramStart"/>
      <w:r w:rsidRPr="004E52E0">
        <w:t>entering</w:t>
      </w:r>
      <w:proofErr w:type="gramEnd"/>
      <w:r w:rsidRPr="004E52E0">
        <w:t xml:space="preserve"> or remaining in Australia.</w:t>
      </w:r>
    </w:p>
    <w:p w14:paraId="4E1FAED4" w14:textId="77777777" w:rsidR="00320DFA" w:rsidRDefault="00320DFA" w:rsidP="00320DFA">
      <w:pPr>
        <w:contextualSpacing/>
      </w:pPr>
    </w:p>
    <w:p w14:paraId="3082EBDC" w14:textId="2B8C674E" w:rsidR="00320DFA" w:rsidRDefault="00320DFA" w:rsidP="00320DFA">
      <w:pPr>
        <w:pStyle w:val="NormalWeb"/>
        <w:spacing w:before="0" w:beforeAutospacing="0" w:after="0" w:afterAutospacing="0"/>
        <w:rPr>
          <w:color w:val="000000"/>
        </w:rPr>
      </w:pPr>
      <w:r>
        <w:rPr>
          <w:color w:val="000000"/>
        </w:rPr>
        <w:t xml:space="preserve">Designated and declared persons, and designated entities, in relation to Russia and Ukraine are listed in the </w:t>
      </w:r>
      <w:r w:rsidRPr="00083396">
        <w:rPr>
          <w:i/>
          <w:color w:val="000000"/>
        </w:rPr>
        <w:t>Autonomous Sanctions (Designated Persons and Entities and Declared Persons – Russia and Ukraine) List 2014</w:t>
      </w:r>
      <w:r>
        <w:rPr>
          <w:i/>
          <w:iCs/>
          <w:color w:val="000000"/>
        </w:rPr>
        <w:t> </w:t>
      </w:r>
      <w:r>
        <w:rPr>
          <w:color w:val="000000"/>
        </w:rPr>
        <w:t>(</w:t>
      </w:r>
      <w:r>
        <w:rPr>
          <w:b/>
          <w:bCs/>
          <w:color w:val="000000"/>
        </w:rPr>
        <w:t>the 2014 List</w:t>
      </w:r>
      <w:r>
        <w:rPr>
          <w:color w:val="000000"/>
        </w:rPr>
        <w:t>)</w:t>
      </w:r>
      <w:r>
        <w:rPr>
          <w:i/>
          <w:iCs/>
          <w:color w:val="000000"/>
        </w:rPr>
        <w:t>. </w:t>
      </w:r>
    </w:p>
    <w:p w14:paraId="299F2DEA" w14:textId="77777777" w:rsidR="00320DFA" w:rsidRDefault="00320DFA" w:rsidP="00320DFA">
      <w:pPr>
        <w:pStyle w:val="NormalWeb"/>
        <w:spacing w:before="0" w:beforeAutospacing="0" w:after="0" w:afterAutospacing="0"/>
        <w:rPr>
          <w:color w:val="000000"/>
        </w:rPr>
      </w:pPr>
      <w:r>
        <w:rPr>
          <w:i/>
          <w:iCs/>
          <w:color w:val="000000"/>
        </w:rPr>
        <w:t> </w:t>
      </w:r>
    </w:p>
    <w:p w14:paraId="5FDC1A09" w14:textId="61319CAE" w:rsidR="006B0514" w:rsidRPr="00A45811" w:rsidRDefault="00320DFA" w:rsidP="00320DFA">
      <w:pPr>
        <w:pStyle w:val="NormalWeb"/>
        <w:spacing w:before="0" w:beforeAutospacing="0" w:after="0" w:afterAutospacing="0"/>
        <w:rPr>
          <w:color w:val="000000"/>
        </w:rPr>
      </w:pPr>
      <w:r>
        <w:rPr>
          <w:color w:val="000000"/>
        </w:rPr>
        <w:t xml:space="preserve">In accordance with regulation 6 of the Regulations, the </w:t>
      </w:r>
      <w:r w:rsidRPr="00083396">
        <w:rPr>
          <w:i/>
          <w:color w:val="000000"/>
        </w:rPr>
        <w:t xml:space="preserve">Autonomous Sanctions (Designated Persons and Entities and </w:t>
      </w:r>
      <w:r w:rsidRPr="00EB7243">
        <w:rPr>
          <w:i/>
          <w:color w:val="000000"/>
        </w:rPr>
        <w:t xml:space="preserve">Declared Persons—Russia and Ukraine) Amendment (No. </w:t>
      </w:r>
      <w:r w:rsidR="003502D0" w:rsidRPr="00EB7243">
        <w:rPr>
          <w:i/>
          <w:color w:val="000000"/>
        </w:rPr>
        <w:t>3</w:t>
      </w:r>
      <w:r w:rsidRPr="00EB7243">
        <w:rPr>
          <w:i/>
          <w:color w:val="000000"/>
        </w:rPr>
        <w:t>) Instrument 2024</w:t>
      </w:r>
      <w:r w:rsidRPr="00A45811">
        <w:rPr>
          <w:color w:val="000000"/>
        </w:rPr>
        <w:t xml:space="preserve"> (</w:t>
      </w:r>
      <w:r w:rsidRPr="00A45811">
        <w:rPr>
          <w:b/>
          <w:bCs/>
          <w:color w:val="000000"/>
        </w:rPr>
        <w:t>the 2024 Instrument</w:t>
      </w:r>
      <w:r w:rsidRPr="00A45811">
        <w:rPr>
          <w:color w:val="000000"/>
        </w:rPr>
        <w:t xml:space="preserve">) </w:t>
      </w:r>
      <w:r w:rsidR="002916B6" w:rsidRPr="00A45811">
        <w:rPr>
          <w:color w:val="000000"/>
        </w:rPr>
        <w:t>designates and declares (</w:t>
      </w:r>
      <w:r w:rsidR="002916B6" w:rsidRPr="005F1834">
        <w:rPr>
          <w:color w:val="000000"/>
        </w:rPr>
        <w:t xml:space="preserve">together </w:t>
      </w:r>
      <w:r w:rsidR="00CE20CC" w:rsidRPr="005F1834">
        <w:rPr>
          <w:color w:val="000000"/>
        </w:rPr>
        <w:t>‘</w:t>
      </w:r>
      <w:r w:rsidRPr="005F1834">
        <w:rPr>
          <w:color w:val="000000"/>
        </w:rPr>
        <w:t>lists</w:t>
      </w:r>
      <w:r w:rsidR="00CE20CC" w:rsidRPr="005F1834">
        <w:rPr>
          <w:color w:val="000000"/>
        </w:rPr>
        <w:t>’</w:t>
      </w:r>
      <w:r w:rsidR="00CE20CC" w:rsidRPr="00A45811">
        <w:rPr>
          <w:color w:val="000000"/>
        </w:rPr>
        <w:t>)</w:t>
      </w:r>
      <w:r w:rsidRPr="00A45811">
        <w:rPr>
          <w:color w:val="000000"/>
        </w:rPr>
        <w:t xml:space="preserve"> </w:t>
      </w:r>
      <w:r w:rsidR="00A30AC3">
        <w:rPr>
          <w:b/>
          <w:bCs/>
          <w:color w:val="000000"/>
        </w:rPr>
        <w:t>one</w:t>
      </w:r>
      <w:r w:rsidR="00243B65" w:rsidRPr="00A45811">
        <w:rPr>
          <w:b/>
          <w:bCs/>
          <w:color w:val="000000"/>
        </w:rPr>
        <w:t xml:space="preserve"> </w:t>
      </w:r>
      <w:r w:rsidR="00243B65" w:rsidRPr="00A45811">
        <w:rPr>
          <w:color w:val="000000"/>
        </w:rPr>
        <w:t>person</w:t>
      </w:r>
      <w:r w:rsidR="007E14C0" w:rsidRPr="00A45811">
        <w:rPr>
          <w:color w:val="000000"/>
        </w:rPr>
        <w:t xml:space="preserve"> for targeted financial sanctions and </w:t>
      </w:r>
      <w:r w:rsidR="00A00C2E" w:rsidRPr="00A45811">
        <w:rPr>
          <w:color w:val="000000"/>
        </w:rPr>
        <w:t xml:space="preserve">a </w:t>
      </w:r>
      <w:r w:rsidR="007E14C0" w:rsidRPr="00A45811">
        <w:rPr>
          <w:color w:val="000000"/>
        </w:rPr>
        <w:t xml:space="preserve">travel ban </w:t>
      </w:r>
      <w:r w:rsidR="008220CA" w:rsidRPr="00A45811">
        <w:rPr>
          <w:color w:val="000000"/>
        </w:rPr>
        <w:t>and</w:t>
      </w:r>
      <w:r w:rsidR="008220CA" w:rsidRPr="00A45811">
        <w:rPr>
          <w:b/>
          <w:bCs/>
          <w:color w:val="000000"/>
        </w:rPr>
        <w:t xml:space="preserve"> </w:t>
      </w:r>
      <w:r w:rsidR="00A30AC3">
        <w:rPr>
          <w:b/>
          <w:bCs/>
          <w:color w:val="000000"/>
        </w:rPr>
        <w:t>four</w:t>
      </w:r>
      <w:r w:rsidR="008220CA" w:rsidRPr="00A45811">
        <w:rPr>
          <w:b/>
          <w:bCs/>
          <w:color w:val="000000"/>
        </w:rPr>
        <w:t xml:space="preserve"> </w:t>
      </w:r>
      <w:r w:rsidR="008220CA" w:rsidRPr="00A45811">
        <w:rPr>
          <w:color w:val="000000"/>
        </w:rPr>
        <w:t xml:space="preserve">entities for targeted financial sanctions </w:t>
      </w:r>
      <w:r w:rsidR="007E14C0" w:rsidRPr="00A45811">
        <w:rPr>
          <w:color w:val="000000"/>
        </w:rPr>
        <w:t xml:space="preserve">under </w:t>
      </w:r>
      <w:r w:rsidR="009A3972">
        <w:rPr>
          <w:color w:val="000000"/>
        </w:rPr>
        <w:t xml:space="preserve">item 6A of the table at regulation 6 of the Regulations (as per above, </w:t>
      </w:r>
      <w:r w:rsidR="007E14C0" w:rsidRPr="009A3972">
        <w:rPr>
          <w:b/>
          <w:bCs/>
          <w:color w:val="000000"/>
        </w:rPr>
        <w:t>the Russia criteria</w:t>
      </w:r>
      <w:r w:rsidR="009A3972">
        <w:rPr>
          <w:color w:val="000000"/>
        </w:rPr>
        <w:t xml:space="preserve">). </w:t>
      </w:r>
    </w:p>
    <w:p w14:paraId="5E70D1DD" w14:textId="77777777" w:rsidR="006B0514" w:rsidRPr="00A45811" w:rsidRDefault="006B0514" w:rsidP="00320DFA">
      <w:pPr>
        <w:pStyle w:val="NormalWeb"/>
        <w:spacing w:before="0" w:beforeAutospacing="0" w:after="0" w:afterAutospacing="0"/>
        <w:rPr>
          <w:color w:val="000000"/>
        </w:rPr>
      </w:pPr>
    </w:p>
    <w:p w14:paraId="7EC6B6A2" w14:textId="693C2DA5" w:rsidR="008D4D4D" w:rsidRPr="006C50F0" w:rsidRDefault="007E14C0" w:rsidP="00320DFA">
      <w:pPr>
        <w:pStyle w:val="NormalWeb"/>
        <w:spacing w:before="0" w:beforeAutospacing="0" w:after="0" w:afterAutospacing="0"/>
        <w:rPr>
          <w:color w:val="000000"/>
        </w:rPr>
      </w:pPr>
      <w:r w:rsidRPr="00A45811">
        <w:rPr>
          <w:color w:val="000000"/>
        </w:rPr>
        <w:t xml:space="preserve">The </w:t>
      </w:r>
      <w:r w:rsidRPr="006C50F0">
        <w:rPr>
          <w:color w:val="000000"/>
        </w:rPr>
        <w:t>Minister exercised their discretion to make the designations and declarations being satisfied that each person</w:t>
      </w:r>
      <w:r w:rsidR="007768D4" w:rsidRPr="006C50F0">
        <w:rPr>
          <w:color w:val="000000"/>
        </w:rPr>
        <w:t xml:space="preserve"> and entity</w:t>
      </w:r>
      <w:r w:rsidRPr="006C50F0">
        <w:rPr>
          <w:color w:val="000000"/>
        </w:rPr>
        <w:t xml:space="preserve"> listed in the 20</w:t>
      </w:r>
      <w:r w:rsidR="000A3E1F" w:rsidRPr="006C50F0">
        <w:rPr>
          <w:color w:val="000000"/>
        </w:rPr>
        <w:t xml:space="preserve">24 </w:t>
      </w:r>
      <w:r w:rsidR="000048C9">
        <w:rPr>
          <w:color w:val="000000"/>
        </w:rPr>
        <w:t>I</w:t>
      </w:r>
      <w:r w:rsidR="000A3E1F" w:rsidRPr="006C50F0">
        <w:rPr>
          <w:color w:val="000000"/>
        </w:rPr>
        <w:t>nstrument</w:t>
      </w:r>
      <w:r w:rsidR="00E378BE" w:rsidRPr="006C50F0">
        <w:rPr>
          <w:color w:val="000000"/>
        </w:rPr>
        <w:t xml:space="preserve"> is, or has been, engaging in an activity or performing a function that is of economic or strategic significance to Russia.</w:t>
      </w:r>
    </w:p>
    <w:p w14:paraId="2C394766" w14:textId="77777777" w:rsidR="00601CB9" w:rsidRPr="006C50F0" w:rsidRDefault="00601CB9" w:rsidP="00601CB9">
      <w:pPr>
        <w:rPr>
          <w:iCs/>
        </w:rPr>
      </w:pPr>
    </w:p>
    <w:p w14:paraId="550F08EE" w14:textId="148705C6" w:rsidR="005E5E99" w:rsidRPr="006C50F0" w:rsidRDefault="005E5E99" w:rsidP="00601CB9">
      <w:pPr>
        <w:rPr>
          <w:iCs/>
        </w:rPr>
      </w:pPr>
      <w:r w:rsidRPr="006C50F0">
        <w:rPr>
          <w:iCs/>
        </w:rPr>
        <w:t xml:space="preserve">The </w:t>
      </w:r>
      <w:r w:rsidR="003C624B" w:rsidRPr="006C50F0">
        <w:rPr>
          <w:iCs/>
        </w:rPr>
        <w:t>one</w:t>
      </w:r>
      <w:r w:rsidRPr="006C50F0">
        <w:rPr>
          <w:iCs/>
        </w:rPr>
        <w:t xml:space="preserve"> person and </w:t>
      </w:r>
      <w:r w:rsidR="003C624B" w:rsidRPr="006C50F0">
        <w:rPr>
          <w:iCs/>
        </w:rPr>
        <w:t>four</w:t>
      </w:r>
      <w:r w:rsidRPr="006C50F0">
        <w:rPr>
          <w:iCs/>
        </w:rPr>
        <w:t xml:space="preserve"> entities were previously listed by the Minister under </w:t>
      </w:r>
      <w:r w:rsidR="009A3972">
        <w:rPr>
          <w:iCs/>
        </w:rPr>
        <w:t>item 9 of the table at regulation 6 of the Regulations</w:t>
      </w:r>
      <w:r w:rsidR="009A3972" w:rsidRPr="006C50F0">
        <w:rPr>
          <w:iCs/>
        </w:rPr>
        <w:t xml:space="preserve"> </w:t>
      </w:r>
      <w:r w:rsidR="009A3972">
        <w:rPr>
          <w:iCs/>
        </w:rPr>
        <w:t>(</w:t>
      </w:r>
      <w:r w:rsidRPr="009A3972">
        <w:rPr>
          <w:b/>
          <w:bCs/>
          <w:iCs/>
        </w:rPr>
        <w:t>the Ukraine criteria</w:t>
      </w:r>
      <w:r w:rsidR="0011642D">
        <w:rPr>
          <w:iCs/>
        </w:rPr>
        <w:t xml:space="preserve">) </w:t>
      </w:r>
      <w:r w:rsidRPr="006C50F0">
        <w:rPr>
          <w:iCs/>
        </w:rPr>
        <w:t xml:space="preserve">in March 2021. These listings will lapse under the Ukraine criteria on 30 March 2024. </w:t>
      </w:r>
    </w:p>
    <w:p w14:paraId="0B1F1F77" w14:textId="77777777" w:rsidR="005E5E99" w:rsidRPr="006C50F0" w:rsidRDefault="005E5E99" w:rsidP="00601CB9">
      <w:pPr>
        <w:rPr>
          <w:iCs/>
        </w:rPr>
      </w:pPr>
    </w:p>
    <w:p w14:paraId="0FB59D1E" w14:textId="10CD64D1" w:rsidR="007D004C" w:rsidRPr="007D004C" w:rsidRDefault="005E5E99" w:rsidP="00601CB9">
      <w:pPr>
        <w:rPr>
          <w:iCs/>
        </w:rPr>
      </w:pPr>
      <w:r w:rsidRPr="006C50F0">
        <w:rPr>
          <w:iCs/>
        </w:rPr>
        <w:t xml:space="preserve">The listings of the </w:t>
      </w:r>
      <w:r w:rsidR="003C624B" w:rsidRPr="006C50F0">
        <w:rPr>
          <w:iCs/>
        </w:rPr>
        <w:t>one</w:t>
      </w:r>
      <w:r w:rsidRPr="006C50F0">
        <w:rPr>
          <w:iCs/>
        </w:rPr>
        <w:t xml:space="preserve"> person and </w:t>
      </w:r>
      <w:r w:rsidR="003C624B" w:rsidRPr="006C50F0">
        <w:rPr>
          <w:iCs/>
        </w:rPr>
        <w:t>four</w:t>
      </w:r>
      <w:r w:rsidRPr="006C50F0">
        <w:rPr>
          <w:iCs/>
        </w:rPr>
        <w:t xml:space="preserve"> entities are made afresh by the Minister under paragraph (a) of the Russia criteria, being satisfied that the perso</w:t>
      </w:r>
      <w:r w:rsidR="003B1821" w:rsidRPr="006C50F0">
        <w:rPr>
          <w:iCs/>
        </w:rPr>
        <w:t>n</w:t>
      </w:r>
      <w:r w:rsidRPr="006C50F0">
        <w:rPr>
          <w:iCs/>
        </w:rPr>
        <w:t xml:space="preserve"> and entities are, or have been</w:t>
      </w:r>
      <w:r w:rsidR="003B1821" w:rsidRPr="006C50F0">
        <w:rPr>
          <w:iCs/>
        </w:rPr>
        <w:t>,</w:t>
      </w:r>
      <w:r w:rsidRPr="006C50F0">
        <w:rPr>
          <w:iCs/>
        </w:rPr>
        <w:t xml:space="preserve"> engaging </w:t>
      </w:r>
      <w:r w:rsidRPr="0086525B">
        <w:rPr>
          <w:iCs/>
        </w:rPr>
        <w:t>in an activity or performing a function that is of economic or strategic significance to Russia.</w:t>
      </w:r>
      <w:r w:rsidR="007D004C" w:rsidRPr="0086525B">
        <w:rPr>
          <w:iCs/>
        </w:rPr>
        <w:t xml:space="preserve"> Under paragraphs 9(5)(b) and (d) of the Regulations, a new listing may be made that is the same in </w:t>
      </w:r>
      <w:r w:rsidR="003A4C06">
        <w:rPr>
          <w:iCs/>
        </w:rPr>
        <w:t>substance</w:t>
      </w:r>
      <w:r w:rsidR="007D004C" w:rsidRPr="0086525B">
        <w:rPr>
          <w:iCs/>
        </w:rPr>
        <w:t xml:space="preserve"> as another listing, </w:t>
      </w:r>
      <w:proofErr w:type="gramStart"/>
      <w:r w:rsidR="007D004C" w:rsidRPr="0086525B">
        <w:rPr>
          <w:iCs/>
        </w:rPr>
        <w:t>whether or not</w:t>
      </w:r>
      <w:proofErr w:type="gramEnd"/>
      <w:r w:rsidR="007D004C" w:rsidRPr="0086525B">
        <w:rPr>
          <w:iCs/>
        </w:rPr>
        <w:t xml:space="preserve"> that other listing has lapsed.</w:t>
      </w:r>
      <w:r w:rsidR="007D004C" w:rsidRPr="007D004C">
        <w:rPr>
          <w:iCs/>
        </w:rPr>
        <w:t xml:space="preserve"> </w:t>
      </w:r>
    </w:p>
    <w:p w14:paraId="427AA34D" w14:textId="77777777" w:rsidR="007D004C" w:rsidRPr="006C50F0" w:rsidRDefault="007D004C" w:rsidP="00601CB9">
      <w:pPr>
        <w:contextualSpacing/>
        <w:rPr>
          <w:iCs/>
        </w:rPr>
      </w:pPr>
    </w:p>
    <w:p w14:paraId="6CA83F49" w14:textId="51097BE4" w:rsidR="00772B00" w:rsidDel="001D27B4" w:rsidRDefault="00772B00" w:rsidP="00601CB9">
      <w:pPr>
        <w:contextualSpacing/>
        <w:rPr>
          <w:iCs/>
        </w:rPr>
      </w:pPr>
      <w:r w:rsidRPr="006C50F0" w:rsidDel="001D27B4">
        <w:rPr>
          <w:iCs/>
        </w:rPr>
        <w:t xml:space="preserve">Under </w:t>
      </w:r>
      <w:proofErr w:type="spellStart"/>
      <w:r w:rsidRPr="00EE281C" w:rsidDel="001D27B4">
        <w:rPr>
          <w:iCs/>
        </w:rPr>
        <w:t>subregulations</w:t>
      </w:r>
      <w:proofErr w:type="spellEnd"/>
      <w:r w:rsidRPr="006C50F0" w:rsidDel="001D27B4">
        <w:rPr>
          <w:iCs/>
        </w:rPr>
        <w:t xml:space="preserve"> 9(</w:t>
      </w:r>
      <w:r w:rsidDel="001D27B4">
        <w:rPr>
          <w:iCs/>
        </w:rPr>
        <w:t xml:space="preserve">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Del="001D27B4">
        <w:rPr>
          <w:iCs/>
        </w:rPr>
        <w:t>subregulation</w:t>
      </w:r>
      <w:proofErr w:type="spellEnd"/>
      <w:r w:rsidDel="001D27B4">
        <w:rPr>
          <w:iCs/>
        </w:rPr>
        <w:t xml:space="preserve"> 9(3) of the Regulations.</w:t>
      </w:r>
    </w:p>
    <w:p w14:paraId="09D9D190" w14:textId="73E2B649" w:rsidR="00396DDA" w:rsidRPr="00D93700" w:rsidDel="001D27B4" w:rsidRDefault="00396DDA" w:rsidP="00320DFA">
      <w:pPr>
        <w:rPr>
          <w:iCs/>
        </w:rPr>
      </w:pPr>
    </w:p>
    <w:p w14:paraId="0837B56C" w14:textId="72B81E11" w:rsidR="00320DFA" w:rsidRDefault="00320DFA" w:rsidP="00320DFA">
      <w:pPr>
        <w:pStyle w:val="NormalWeb"/>
        <w:spacing w:before="0" w:beforeAutospacing="0" w:after="0" w:afterAutospacing="0"/>
        <w:rPr>
          <w:color w:val="000000"/>
        </w:rPr>
      </w:pPr>
      <w:r>
        <w:rPr>
          <w:color w:val="000000"/>
        </w:rPr>
        <w:t>Details of the 2024 Instrument, which amends the 2014 List</w:t>
      </w:r>
      <w:r w:rsidR="0028433E">
        <w:rPr>
          <w:color w:val="000000"/>
        </w:rPr>
        <w:t>,</w:t>
      </w:r>
      <w:r>
        <w:rPr>
          <w:color w:val="000000"/>
        </w:rPr>
        <w:t xml:space="preserve"> are set out at </w:t>
      </w:r>
      <w:r>
        <w:rPr>
          <w:b/>
          <w:bCs/>
          <w:color w:val="000000"/>
        </w:rPr>
        <w:t>Attachment A</w:t>
      </w:r>
      <w:r>
        <w:rPr>
          <w:color w:val="000000"/>
        </w:rPr>
        <w:t>.</w:t>
      </w:r>
    </w:p>
    <w:p w14:paraId="5C37AF53" w14:textId="77777777" w:rsidR="00320DFA" w:rsidRDefault="00320DFA" w:rsidP="00320DFA">
      <w:pPr>
        <w:contextualSpacing/>
      </w:pPr>
    </w:p>
    <w:p w14:paraId="26C5758B" w14:textId="357AA2F1" w:rsidR="00A41178" w:rsidRDefault="00320DFA" w:rsidP="00A41178">
      <w:r>
        <w:t>The legal framework for the imposition of autonomous sanctions by Australia, of which the Regulations are part, was the subject of extensive consultation with governmental and non-governmental stakeholders when introduced.</w:t>
      </w:r>
      <w:r w:rsidR="00A41178" w:rsidRPr="00A41178">
        <w:t xml:space="preserve"> </w:t>
      </w:r>
      <w:r w:rsidR="00A41178">
        <w:t>The Department of Foreign Affairs and Trade undertook public consultation in relation to the listings contained in the 2024 Instrument through its website. No submissions were received in response to this public consultation.</w:t>
      </w:r>
    </w:p>
    <w:p w14:paraId="48CD91D3" w14:textId="77777777" w:rsidR="00320DFA" w:rsidRDefault="00320DFA" w:rsidP="00320DFA">
      <w:pPr>
        <w:pStyle w:val="NormalWeb"/>
        <w:spacing w:before="0" w:beforeAutospacing="0" w:after="0" w:afterAutospacing="0"/>
        <w:rPr>
          <w:color w:val="000000"/>
        </w:rPr>
      </w:pPr>
      <w:r>
        <w:rPr>
          <w:color w:val="000000"/>
        </w:rPr>
        <w:t> </w:t>
      </w:r>
    </w:p>
    <w:p w14:paraId="11602D96" w14:textId="5D6AC148" w:rsidR="00320DFA" w:rsidRDefault="00320DFA" w:rsidP="00320DFA">
      <w:pPr>
        <w:pStyle w:val="NormalWeb"/>
        <w:spacing w:before="0" w:beforeAutospacing="0" w:after="0" w:afterAutospacing="0"/>
        <w:rPr>
          <w:color w:val="000000"/>
        </w:rPr>
      </w:pPr>
      <w:r>
        <w:rPr>
          <w:color w:val="000000"/>
        </w:rPr>
        <w:t xml:space="preserve">The 2024 Instrument is exempt </w:t>
      </w:r>
      <w:r w:rsidRPr="005E5E99">
        <w:rPr>
          <w:color w:val="000000"/>
        </w:rPr>
        <w:t xml:space="preserve">from sunsetting under table item 10B of section 12 of the </w:t>
      </w:r>
      <w:r w:rsidRPr="00FE073E">
        <w:rPr>
          <w:i/>
          <w:color w:val="000000"/>
        </w:rPr>
        <w:t>Legislation (Exemptions and Other Matters) Regulation 2015</w:t>
      </w:r>
      <w:r>
        <w:rPr>
          <w:color w:val="000000"/>
        </w:rPr>
        <w:t xml:space="preserve"> on the basis that it is subject to a more stringent statutory review process that is set out in Part 4 of Chapter 3 of the </w:t>
      </w:r>
      <w:r>
        <w:rPr>
          <w:i/>
          <w:iCs/>
          <w:color w:val="000000"/>
        </w:rPr>
        <w:t>Legislation Act 2003</w:t>
      </w:r>
      <w:r>
        <w:rPr>
          <w:color w:val="000000"/>
        </w:rPr>
        <w:t>.</w:t>
      </w:r>
    </w:p>
    <w:p w14:paraId="7D643CF5" w14:textId="5E9D25AA" w:rsidR="00320DFA" w:rsidRDefault="00320DFA" w:rsidP="00320DFA">
      <w:pPr>
        <w:pStyle w:val="NormalWeb"/>
        <w:spacing w:before="0" w:beforeAutospacing="0" w:after="0" w:afterAutospacing="0"/>
        <w:rPr>
          <w:color w:val="000000"/>
        </w:rPr>
      </w:pPr>
      <w:r>
        <w:rPr>
          <w:color w:val="000000"/>
        </w:rPr>
        <w:t> </w:t>
      </w:r>
    </w:p>
    <w:p w14:paraId="0983786C" w14:textId="26C01664" w:rsidR="00320DFA" w:rsidRPr="00FC4559" w:rsidRDefault="00320DFA" w:rsidP="00320DFA">
      <w:pPr>
        <w:pStyle w:val="NormalWeb"/>
        <w:spacing w:before="0" w:beforeAutospacing="0" w:after="0" w:afterAutospacing="0"/>
        <w:rPr>
          <w:color w:val="000000"/>
        </w:rPr>
      </w:pPr>
      <w:r>
        <w:rPr>
          <w:color w:val="000000"/>
        </w:rPr>
        <w:t>The Office of Impact Analysis has advised that a Regulation Impact Statement is not required for listing instruments of this nature (OBPR22-02078).</w:t>
      </w:r>
      <w:r>
        <w:rPr>
          <w:color w:val="000000"/>
        </w:rPr>
        <w:br w:type="page"/>
      </w:r>
    </w:p>
    <w:p w14:paraId="13AF6CA0" w14:textId="77777777" w:rsidR="00320DFA" w:rsidRPr="004E52E0" w:rsidRDefault="00320DFA" w:rsidP="00320DFA">
      <w:pPr>
        <w:widowControl/>
        <w:contextualSpacing/>
        <w:rPr>
          <w:b/>
        </w:rPr>
      </w:pPr>
      <w:bookmarkStart w:id="0" w:name="_Hlk133420982"/>
      <w:r w:rsidRPr="004E52E0">
        <w:rPr>
          <w:b/>
        </w:rPr>
        <w:lastRenderedPageBreak/>
        <w:t>Attachment A</w:t>
      </w:r>
    </w:p>
    <w:bookmarkEnd w:id="0"/>
    <w:p w14:paraId="4BE7021A" w14:textId="77777777" w:rsidR="00320DFA" w:rsidRPr="004E52E0" w:rsidRDefault="00320DFA" w:rsidP="00320DFA">
      <w:pPr>
        <w:widowControl/>
        <w:contextualSpacing/>
        <w:jc w:val="right"/>
      </w:pPr>
    </w:p>
    <w:p w14:paraId="78488053" w14:textId="45A4B2DB" w:rsidR="00320DFA" w:rsidRPr="00FE073E" w:rsidRDefault="00320DFA" w:rsidP="00320DFA">
      <w:pPr>
        <w:contextualSpacing/>
        <w:jc w:val="center"/>
        <w:rPr>
          <w:rFonts w:ascii="Times New Roman" w:hAnsi="Times New Roman" w:cs="Times New Roman"/>
          <w:i/>
        </w:rPr>
      </w:pPr>
      <w:bookmarkStart w:id="1" w:name="_Hlk133404079"/>
      <w:r w:rsidRPr="00FE073E">
        <w:rPr>
          <w:rFonts w:ascii="Times New Roman" w:hAnsi="Times New Roman" w:cs="Times New Roman"/>
          <w:bCs/>
          <w:i/>
        </w:rPr>
        <w:t>Autonomous Sanctions (Designated Persons and Entities and Declared Persons</w:t>
      </w:r>
      <w:r w:rsidR="00642D23"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F416C6" w:rsidRPr="00FE073E">
        <w:rPr>
          <w:rFonts w:ascii="Times New Roman" w:hAnsi="Times New Roman" w:cs="Times New Roman"/>
          <w:bCs/>
          <w:i/>
        </w:rPr>
        <w:t>3</w:t>
      </w:r>
      <w:r w:rsidRPr="00FE073E">
        <w:rPr>
          <w:rFonts w:ascii="Times New Roman" w:hAnsi="Times New Roman" w:cs="Times New Roman"/>
          <w:bCs/>
          <w:i/>
        </w:rPr>
        <w:t xml:space="preserve">) Instrument 2024 </w:t>
      </w:r>
    </w:p>
    <w:bookmarkEnd w:id="1"/>
    <w:p w14:paraId="106FEB0A" w14:textId="77777777" w:rsidR="00320DFA" w:rsidRPr="00D30D09" w:rsidRDefault="00320DFA" w:rsidP="00320DFA">
      <w:pPr>
        <w:widowControl/>
        <w:contextualSpacing/>
        <w:rPr>
          <w:rFonts w:ascii="Times New Roman" w:hAnsi="Times New Roman" w:cs="Times New Roman"/>
          <w:i/>
          <w:iCs/>
        </w:rPr>
      </w:pPr>
    </w:p>
    <w:p w14:paraId="30988DEA" w14:textId="77777777" w:rsidR="00320DFA" w:rsidRPr="00D30D09" w:rsidRDefault="00320DFA" w:rsidP="00320DFA">
      <w:pPr>
        <w:widowControl/>
        <w:contextualSpacing/>
        <w:rPr>
          <w:rFonts w:ascii="Times New Roman" w:hAnsi="Times New Roman" w:cs="Times New Roman"/>
          <w:iCs/>
          <w:u w:val="single"/>
        </w:rPr>
      </w:pPr>
      <w:r w:rsidRPr="00D30D09">
        <w:rPr>
          <w:rFonts w:ascii="Times New Roman" w:hAnsi="Times New Roman" w:cs="Times New Roman"/>
          <w:iCs/>
          <w:u w:val="single"/>
        </w:rPr>
        <w:t>Section 1</w:t>
      </w:r>
    </w:p>
    <w:p w14:paraId="67891515" w14:textId="64BDCFF1" w:rsidR="00320DFA" w:rsidRPr="00D30D09" w:rsidRDefault="00320DFA" w:rsidP="00320DFA">
      <w:pPr>
        <w:contextualSpacing/>
        <w:rPr>
          <w:rFonts w:ascii="Times New Roman" w:hAnsi="Times New Roman" w:cs="Times New Roman"/>
        </w:rPr>
      </w:pPr>
      <w:r w:rsidRPr="00D30D09">
        <w:t xml:space="preserve">The title of the instrument is the </w:t>
      </w:r>
      <w:r w:rsidRPr="00FE073E">
        <w:rPr>
          <w:rFonts w:ascii="Times New Roman" w:hAnsi="Times New Roman" w:cs="Times New Roman"/>
          <w:bCs/>
          <w:i/>
        </w:rPr>
        <w:t>Autonomous Sanctions (Designated Persons and Entities and Declared Persons</w:t>
      </w:r>
      <w:r w:rsidR="00642D23"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2B2A94" w:rsidRPr="00FE073E">
        <w:rPr>
          <w:rFonts w:ascii="Times New Roman" w:hAnsi="Times New Roman" w:cs="Times New Roman"/>
          <w:bCs/>
          <w:i/>
        </w:rPr>
        <w:t>3</w:t>
      </w:r>
      <w:r w:rsidRPr="00FE073E">
        <w:rPr>
          <w:rFonts w:ascii="Times New Roman" w:hAnsi="Times New Roman" w:cs="Times New Roman"/>
          <w:bCs/>
          <w:i/>
        </w:rPr>
        <w:t>) Instrument 2024</w:t>
      </w:r>
      <w:r w:rsidRPr="00D30D09">
        <w:rPr>
          <w:rFonts w:ascii="Times New Roman" w:hAnsi="Times New Roman" w:cs="Times New Roman"/>
          <w:bCs/>
          <w:i/>
          <w:iCs/>
        </w:rPr>
        <w:t xml:space="preserve"> </w:t>
      </w:r>
      <w:r w:rsidRPr="00D30D09">
        <w:rPr>
          <w:rFonts w:ascii="Times New Roman" w:hAnsi="Times New Roman" w:cs="Times New Roman"/>
        </w:rPr>
        <w:t>(</w:t>
      </w:r>
      <w:r w:rsidRPr="00FE073E">
        <w:rPr>
          <w:rFonts w:ascii="Times New Roman" w:hAnsi="Times New Roman" w:cs="Times New Roman"/>
          <w:b/>
        </w:rPr>
        <w:t>the</w:t>
      </w:r>
      <w:r w:rsidRPr="00D30D09">
        <w:rPr>
          <w:rFonts w:ascii="Times New Roman" w:hAnsi="Times New Roman" w:cs="Times New Roman"/>
          <w:b/>
          <w:bCs/>
        </w:rPr>
        <w:t xml:space="preserve"> 2024 Instrument</w:t>
      </w:r>
      <w:r w:rsidRPr="00D30D09">
        <w:rPr>
          <w:rFonts w:ascii="Times New Roman" w:hAnsi="Times New Roman" w:cs="Times New Roman"/>
        </w:rPr>
        <w:t xml:space="preserve">). </w:t>
      </w:r>
    </w:p>
    <w:p w14:paraId="10FAC6FC" w14:textId="77777777" w:rsidR="00320DFA" w:rsidRPr="00D30D09" w:rsidRDefault="00320DFA" w:rsidP="00320DFA">
      <w:pPr>
        <w:widowControl/>
        <w:contextualSpacing/>
      </w:pPr>
    </w:p>
    <w:p w14:paraId="7FB06ACA" w14:textId="77777777" w:rsidR="00320DFA" w:rsidRPr="004E52E0" w:rsidRDefault="00320DFA" w:rsidP="00320DFA">
      <w:pPr>
        <w:widowControl/>
        <w:contextualSpacing/>
        <w:rPr>
          <w:u w:val="single"/>
        </w:rPr>
      </w:pPr>
      <w:r w:rsidRPr="00D30D09">
        <w:rPr>
          <w:u w:val="single"/>
        </w:rPr>
        <w:t>Section 2</w:t>
      </w:r>
    </w:p>
    <w:p w14:paraId="681C6974" w14:textId="77777777" w:rsidR="00937B28" w:rsidRDefault="00FC54BD" w:rsidP="00320DFA">
      <w:r>
        <w:t xml:space="preserve">Sections 1 to 4 of the 2024 Instrument commence the day after </w:t>
      </w:r>
      <w:r w:rsidR="00DE6356">
        <w:t>it</w:t>
      </w:r>
      <w:r>
        <w:t xml:space="preserve"> is registered.</w:t>
      </w:r>
      <w:r w:rsidR="00366375">
        <w:t xml:space="preserve"> </w:t>
      </w:r>
    </w:p>
    <w:p w14:paraId="037DCF6F" w14:textId="77777777" w:rsidR="00937B28" w:rsidRDefault="00366375" w:rsidP="00320DFA">
      <w:r>
        <w:t xml:space="preserve">Part 1 of </w:t>
      </w:r>
      <w:r w:rsidR="00A82CE3">
        <w:t xml:space="preserve">Schedule 1 </w:t>
      </w:r>
      <w:r>
        <w:t xml:space="preserve">to </w:t>
      </w:r>
      <w:r w:rsidR="00A82CE3">
        <w:t>the 2024 Instrument commences on 29 March 2024.</w:t>
      </w:r>
      <w:r>
        <w:t xml:space="preserve"> </w:t>
      </w:r>
    </w:p>
    <w:p w14:paraId="32F7FC87" w14:textId="25067330" w:rsidR="00A82CE3" w:rsidRPr="006D0ECC" w:rsidRDefault="00366375" w:rsidP="00320DFA">
      <w:r>
        <w:t xml:space="preserve">Part 2 of </w:t>
      </w:r>
      <w:r w:rsidR="00A82CE3">
        <w:t>Schedule 1</w:t>
      </w:r>
      <w:r>
        <w:t xml:space="preserve"> to</w:t>
      </w:r>
      <w:r w:rsidR="00A82CE3">
        <w:t xml:space="preserve"> the 2024 Instrument commences on 31 March 2024.</w:t>
      </w:r>
    </w:p>
    <w:p w14:paraId="7A91263D" w14:textId="77777777" w:rsidR="00320DFA" w:rsidRDefault="00320DFA" w:rsidP="00320DFA">
      <w:pPr>
        <w:widowControl/>
        <w:contextualSpacing/>
      </w:pPr>
    </w:p>
    <w:p w14:paraId="2D74E434" w14:textId="7FA6E502" w:rsidR="00320DFA" w:rsidRPr="00A252C5" w:rsidRDefault="00320DFA" w:rsidP="00320DFA">
      <w:r w:rsidRPr="00D30D09">
        <w:rPr>
          <w:shd w:val="clear" w:color="auto" w:fill="FFFFFF"/>
        </w:rPr>
        <w:t xml:space="preserve">Subsection 2(2) is a technical provision that makes clear that any information inserted in column 3 of the table about the specific date of commencement is not part of the </w:t>
      </w:r>
      <w:r w:rsidR="00E9009D" w:rsidRPr="00D30D09">
        <w:rPr>
          <w:shd w:val="clear" w:color="auto" w:fill="FFFFFF"/>
        </w:rPr>
        <w:t xml:space="preserve">2024 </w:t>
      </w:r>
      <w:r w:rsidRPr="00D30D09">
        <w:rPr>
          <w:shd w:val="clear" w:color="auto" w:fill="FFFFFF"/>
        </w:rPr>
        <w:t xml:space="preserve">Instrument and can be inserted or edited </w:t>
      </w:r>
      <w:proofErr w:type="gramStart"/>
      <w:r w:rsidRPr="00D30D09">
        <w:rPr>
          <w:shd w:val="clear" w:color="auto" w:fill="FFFFFF"/>
        </w:rPr>
        <w:t>at a later date</w:t>
      </w:r>
      <w:proofErr w:type="gramEnd"/>
      <w:r w:rsidRPr="00D30D09">
        <w:rPr>
          <w:shd w:val="clear" w:color="auto" w:fill="FFFFFF"/>
        </w:rPr>
        <w:t>.</w:t>
      </w:r>
    </w:p>
    <w:p w14:paraId="7863640C" w14:textId="77777777" w:rsidR="00320DFA" w:rsidRPr="004E52E0" w:rsidRDefault="00320DFA" w:rsidP="00320DFA">
      <w:pPr>
        <w:widowControl/>
        <w:contextualSpacing/>
      </w:pPr>
    </w:p>
    <w:p w14:paraId="1802134D" w14:textId="77777777" w:rsidR="00320DFA" w:rsidRPr="004E52E0" w:rsidRDefault="00320DFA" w:rsidP="00320DFA">
      <w:pPr>
        <w:widowControl/>
        <w:contextualSpacing/>
        <w:rPr>
          <w:u w:val="single"/>
        </w:rPr>
      </w:pPr>
      <w:r w:rsidRPr="004E52E0">
        <w:rPr>
          <w:u w:val="single"/>
        </w:rPr>
        <w:t>Section 3</w:t>
      </w:r>
    </w:p>
    <w:p w14:paraId="22AB3D07" w14:textId="3F2717F5" w:rsidR="00320DFA" w:rsidRDefault="00320DFA" w:rsidP="00320DFA">
      <w:pPr>
        <w:widowControl/>
        <w:contextualSpacing/>
        <w:rPr>
          <w:i/>
          <w:iCs/>
        </w:rPr>
      </w:pPr>
      <w:bookmarkStart w:id="2" w:name="_Hlk133421161"/>
      <w:r w:rsidRPr="004E52E0">
        <w:t xml:space="preserve">The </w:t>
      </w:r>
      <w:r>
        <w:t>2024</w:t>
      </w:r>
      <w:r w:rsidRPr="004E52E0">
        <w:t xml:space="preserve"> Instrument is made under </w:t>
      </w:r>
      <w:r w:rsidR="005F1834" w:rsidRPr="005F1834">
        <w:t>paragraphs</w:t>
      </w:r>
      <w:r w:rsidR="005F1834">
        <w:t xml:space="preserve"> </w:t>
      </w:r>
      <w:r>
        <w:t>6(a) and 6(b)</w:t>
      </w:r>
      <w:r w:rsidR="00515D78">
        <w:t xml:space="preserve"> o</w:t>
      </w:r>
      <w:r w:rsidRPr="004E52E0">
        <w:t xml:space="preserve">f the </w:t>
      </w:r>
      <w:r w:rsidRPr="00FE073E">
        <w:rPr>
          <w:i/>
        </w:rPr>
        <w:t>Autonomous Sanctions Regulations 2011</w:t>
      </w:r>
      <w:r w:rsidRPr="004E52E0">
        <w:rPr>
          <w:i/>
          <w:iCs/>
        </w:rPr>
        <w:t xml:space="preserve"> </w:t>
      </w:r>
      <w:r w:rsidRPr="004E52E0">
        <w:t>(</w:t>
      </w:r>
      <w:r w:rsidRPr="00FC79ED">
        <w:rPr>
          <w:b/>
          <w:bCs/>
        </w:rPr>
        <w:t>the Regulations</w:t>
      </w:r>
      <w:r w:rsidRPr="004E52E0">
        <w:t>)</w:t>
      </w:r>
      <w:r w:rsidRPr="004E52E0">
        <w:rPr>
          <w:i/>
          <w:iCs/>
        </w:rPr>
        <w:t>.</w:t>
      </w:r>
    </w:p>
    <w:bookmarkEnd w:id="2"/>
    <w:p w14:paraId="608E8C5A" w14:textId="77777777" w:rsidR="00320DFA" w:rsidRPr="004E52E0" w:rsidRDefault="00320DFA" w:rsidP="00320DFA">
      <w:pPr>
        <w:widowControl/>
        <w:contextualSpacing/>
        <w:rPr>
          <w:i/>
          <w:iCs/>
        </w:rPr>
      </w:pPr>
    </w:p>
    <w:p w14:paraId="57AB469D" w14:textId="77777777" w:rsidR="00320DFA" w:rsidRPr="004E52E0" w:rsidRDefault="00320DFA" w:rsidP="00320DFA">
      <w:pPr>
        <w:widowControl/>
        <w:contextualSpacing/>
        <w:rPr>
          <w:u w:val="single"/>
        </w:rPr>
      </w:pPr>
      <w:r w:rsidRPr="004E52E0">
        <w:rPr>
          <w:u w:val="single"/>
        </w:rPr>
        <w:t xml:space="preserve">Section 4 </w:t>
      </w:r>
    </w:p>
    <w:p w14:paraId="60C0E0C8" w14:textId="77777777" w:rsidR="00320DFA" w:rsidRPr="004E52E0" w:rsidRDefault="00320DFA" w:rsidP="00320DFA">
      <w:pPr>
        <w:widowControl/>
        <w:contextualSpacing/>
      </w:pPr>
      <w:r w:rsidRPr="004E52E0">
        <w:t xml:space="preserve">Each instrument that is specified in a Schedule to </w:t>
      </w:r>
      <w:r w:rsidRPr="00D30D09">
        <w:t xml:space="preserve">the </w:t>
      </w:r>
      <w:r w:rsidRPr="00D30D09">
        <w:rPr>
          <w:bCs/>
        </w:rPr>
        <w:t>2024 Instrument</w:t>
      </w:r>
      <w:r w:rsidRPr="00D30D09">
        <w:t xml:space="preserve"> is amended or repealed as set out in the applicable items in the Schedule concerned, and any other item in a Schedule to the </w:t>
      </w:r>
      <w:r w:rsidRPr="00D30D09">
        <w:rPr>
          <w:bCs/>
        </w:rPr>
        <w:t>2024 Instrument</w:t>
      </w:r>
      <w:r w:rsidRPr="00D30D09">
        <w:t xml:space="preserve"> has effect according</w:t>
      </w:r>
      <w:r w:rsidRPr="004E52E0">
        <w:t xml:space="preserve"> to its terms. </w:t>
      </w:r>
    </w:p>
    <w:p w14:paraId="627C3A23" w14:textId="77777777" w:rsidR="00320DFA" w:rsidRPr="004E52E0" w:rsidRDefault="00320DFA" w:rsidP="00320DFA">
      <w:pPr>
        <w:widowControl/>
        <w:contextualSpacing/>
      </w:pPr>
    </w:p>
    <w:p w14:paraId="52CF369E" w14:textId="77777777" w:rsidR="00320DFA" w:rsidRDefault="00320DFA" w:rsidP="00320DFA">
      <w:pPr>
        <w:widowControl/>
        <w:contextualSpacing/>
        <w:rPr>
          <w:u w:val="single"/>
        </w:rPr>
      </w:pPr>
      <w:r w:rsidRPr="004E52E0">
        <w:rPr>
          <w:u w:val="single"/>
        </w:rPr>
        <w:t>Schedule 1</w:t>
      </w:r>
    </w:p>
    <w:p w14:paraId="48C25D78" w14:textId="77777777" w:rsidR="0005008A" w:rsidRDefault="0005008A" w:rsidP="00762431">
      <w:pPr>
        <w:contextualSpacing/>
        <w:rPr>
          <w:u w:val="single"/>
        </w:rPr>
      </w:pPr>
    </w:p>
    <w:p w14:paraId="1E86FDD2" w14:textId="58C03372" w:rsidR="00C46B52" w:rsidRPr="00AF11A1" w:rsidRDefault="00C46B52" w:rsidP="00762431">
      <w:pPr>
        <w:contextualSpacing/>
        <w:rPr>
          <w:u w:val="single"/>
        </w:rPr>
      </w:pPr>
      <w:r w:rsidRPr="00AF11A1">
        <w:rPr>
          <w:u w:val="single"/>
        </w:rPr>
        <w:t>Part 1</w:t>
      </w:r>
      <w:r w:rsidR="00366375">
        <w:rPr>
          <w:u w:val="single"/>
        </w:rPr>
        <w:t>—</w:t>
      </w:r>
      <w:r w:rsidRPr="00AF11A1">
        <w:rPr>
          <w:u w:val="single"/>
        </w:rPr>
        <w:t>Amendments</w:t>
      </w:r>
    </w:p>
    <w:p w14:paraId="47BAF013" w14:textId="77777777" w:rsidR="00AF11A1" w:rsidRPr="00C46B52" w:rsidRDefault="00AF11A1" w:rsidP="00762431">
      <w:pPr>
        <w:contextualSpacing/>
      </w:pPr>
    </w:p>
    <w:p w14:paraId="146FE9A3" w14:textId="77777777" w:rsidR="00D61863" w:rsidRPr="00811D72" w:rsidRDefault="00D61863" w:rsidP="00D61863">
      <w:pPr>
        <w:contextualSpacing/>
        <w:rPr>
          <w:i/>
          <w:iCs/>
        </w:rPr>
      </w:pPr>
      <w:r w:rsidRPr="00811D72">
        <w:rPr>
          <w:i/>
          <w:iCs/>
        </w:rPr>
        <w:t xml:space="preserve">Autonomous Sanctions (Designated Persons and Entities and Declared Persons – </w:t>
      </w:r>
      <w:r>
        <w:rPr>
          <w:i/>
          <w:iCs/>
        </w:rPr>
        <w:t>Russia and Ukraine</w:t>
      </w:r>
      <w:r w:rsidRPr="00811D72">
        <w:rPr>
          <w:i/>
          <w:iCs/>
        </w:rPr>
        <w:t xml:space="preserve">) </w:t>
      </w:r>
      <w:r>
        <w:rPr>
          <w:i/>
          <w:iCs/>
        </w:rPr>
        <w:t xml:space="preserve">List 2014 </w:t>
      </w:r>
    </w:p>
    <w:p w14:paraId="7E269D7C" w14:textId="77777777" w:rsidR="00AA3D97" w:rsidRDefault="00AA3D97" w:rsidP="00320DFA">
      <w:pPr>
        <w:widowControl/>
        <w:contextualSpacing/>
        <w:rPr>
          <w:u w:val="single"/>
        </w:rPr>
      </w:pPr>
    </w:p>
    <w:p w14:paraId="45DF9EF2" w14:textId="4CFEBB9A" w:rsidR="00AE3729" w:rsidRDefault="00AE3729" w:rsidP="00320DFA">
      <w:pPr>
        <w:widowControl/>
        <w:contextualSpacing/>
        <w:rPr>
          <w:u w:val="single"/>
        </w:rPr>
      </w:pPr>
      <w:r>
        <w:rPr>
          <w:u w:val="single"/>
        </w:rPr>
        <w:t>Item 1</w:t>
      </w:r>
    </w:p>
    <w:p w14:paraId="1320F0D5" w14:textId="5E68CFF1" w:rsidR="00304B6C" w:rsidRDefault="00AE3729" w:rsidP="002E392E">
      <w:r>
        <w:t xml:space="preserve">The person listed in Item </w:t>
      </w:r>
      <w:r w:rsidR="0005008A">
        <w:t>1</w:t>
      </w:r>
      <w:r>
        <w:t xml:space="preserve"> </w:t>
      </w:r>
      <w:r w:rsidR="0005008A">
        <w:t>is</w:t>
      </w:r>
      <w:r>
        <w:t xml:space="preserve"> designated by the Minister for targeted financial sanctions under paragraph 6(a) of the Regulations and declared by the Minister for the purposes of a travel ban under paragraph 6(b) of the Regulations.</w:t>
      </w:r>
    </w:p>
    <w:p w14:paraId="2835A568" w14:textId="77777777" w:rsidR="00304B6C" w:rsidRDefault="00304B6C" w:rsidP="00304B6C"/>
    <w:p w14:paraId="074C30C5" w14:textId="4E2F3F75" w:rsidR="00AE3729" w:rsidRPr="006C50F0" w:rsidRDefault="0005008A" w:rsidP="00304B6C">
      <w:r w:rsidRPr="006C50F0">
        <w:t>This</w:t>
      </w:r>
      <w:r w:rsidR="00AE3729" w:rsidRPr="006C50F0">
        <w:t xml:space="preserve"> person</w:t>
      </w:r>
      <w:r w:rsidRPr="006C50F0">
        <w:t xml:space="preserve"> was</w:t>
      </w:r>
      <w:r w:rsidR="00AE3729" w:rsidRPr="006C50F0">
        <w:t xml:space="preserve"> previously listed under </w:t>
      </w:r>
      <w:r w:rsidR="009A3972">
        <w:rPr>
          <w:iCs/>
        </w:rPr>
        <w:t>item 9 of the table at regulation 6 of the Regulations</w:t>
      </w:r>
      <w:r w:rsidR="009A3972" w:rsidRPr="006C50F0">
        <w:t xml:space="preserve"> </w:t>
      </w:r>
      <w:r w:rsidR="009A3972">
        <w:t>(</w:t>
      </w:r>
      <w:r w:rsidR="00AE3729" w:rsidRPr="008377B1">
        <w:rPr>
          <w:b/>
          <w:bCs/>
        </w:rPr>
        <w:t>the Ukraine criteria</w:t>
      </w:r>
      <w:r w:rsidR="00E941EF">
        <w:rPr>
          <w:iCs/>
        </w:rPr>
        <w:t>)</w:t>
      </w:r>
      <w:r w:rsidR="00AE3729" w:rsidRPr="006C50F0">
        <w:t>. The Minister made these listings afresh under item 6A of the table at regulation 6 of the Regulations, being satisfied that the person</w:t>
      </w:r>
      <w:r w:rsidR="00304B6C" w:rsidRPr="006C50F0">
        <w:t xml:space="preserve"> </w:t>
      </w:r>
      <w:r w:rsidRPr="006C50F0">
        <w:t>is</w:t>
      </w:r>
      <w:r w:rsidR="00AE3729" w:rsidRPr="006C50F0">
        <w:t>, or ha</w:t>
      </w:r>
      <w:r w:rsidRPr="006C50F0">
        <w:t>s</w:t>
      </w:r>
      <w:r w:rsidR="00AE3729" w:rsidRPr="006C50F0">
        <w:t xml:space="preserve"> been, engaging in an activity or performing a function that is of economic or strategic significance to Russia (</w:t>
      </w:r>
      <w:r w:rsidR="00AE3729" w:rsidRPr="00F544B3">
        <w:t xml:space="preserve">paragraph (a) of </w:t>
      </w:r>
      <w:r w:rsidR="00083396">
        <w:t>item 6A of the table at regulation 6 of the Regulations</w:t>
      </w:r>
      <w:r w:rsidR="009A3972" w:rsidRPr="009A3972">
        <w:t xml:space="preserve"> </w:t>
      </w:r>
      <w:r w:rsidR="009A3972">
        <w:t>(</w:t>
      </w:r>
      <w:r w:rsidR="009A3972" w:rsidRPr="008377B1">
        <w:rPr>
          <w:b/>
          <w:bCs/>
        </w:rPr>
        <w:t>the Russia criteria</w:t>
      </w:r>
      <w:r w:rsidR="00083396">
        <w:t>)</w:t>
      </w:r>
      <w:r w:rsidR="00AE3729" w:rsidRPr="006C50F0">
        <w:t>)</w:t>
      </w:r>
      <w:r w:rsidR="00304B6C" w:rsidRPr="006C50F0">
        <w:t>.</w:t>
      </w:r>
    </w:p>
    <w:p w14:paraId="10F79C02" w14:textId="77777777" w:rsidR="00AE3729" w:rsidRPr="006C50F0" w:rsidRDefault="00AE3729" w:rsidP="00AE3729"/>
    <w:p w14:paraId="151EB66C" w14:textId="70F511A7" w:rsidR="004F2AAE" w:rsidRPr="00A45811" w:rsidRDefault="00DA34B3" w:rsidP="004F2AAE">
      <w:r w:rsidRPr="006C50F0">
        <w:t>The</w:t>
      </w:r>
      <w:r w:rsidRPr="00A45811">
        <w:t xml:space="preserve"> person </w:t>
      </w:r>
      <w:r w:rsidRPr="00EB7243">
        <w:t xml:space="preserve">is </w:t>
      </w:r>
      <w:r w:rsidR="00373DD7" w:rsidRPr="00EB7243">
        <w:t xml:space="preserve">the Chief Executive Officer (CEO) of Grand Service Express, </w:t>
      </w:r>
      <w:r w:rsidR="00373DD7" w:rsidRPr="00EB7243">
        <w:rPr>
          <w:rFonts w:cstheme="minorHAnsi"/>
        </w:rPr>
        <w:t>a Russian company that operates a railway service between Russia and Crimea.</w:t>
      </w:r>
    </w:p>
    <w:p w14:paraId="72B4DB0C" w14:textId="77777777" w:rsidR="004F2AAE" w:rsidRPr="00A45811" w:rsidRDefault="004F2AAE" w:rsidP="004F2AAE"/>
    <w:p w14:paraId="02193B5A" w14:textId="4A19677C" w:rsidR="00DA34B3" w:rsidRDefault="00DA34B3" w:rsidP="00DA34B3">
      <w:r w:rsidRPr="0035548E">
        <w:lastRenderedPageBreak/>
        <w:t>The Minister exercised their discretion to make this listing being satisfied that the person is</w:t>
      </w:r>
      <w:r w:rsidR="006F5069" w:rsidRPr="0035548E">
        <w:t>, or has been, engaging in an activity or performing a function that is of economic or strategic significance to Russi</w:t>
      </w:r>
      <w:r w:rsidR="00DC4FDF" w:rsidRPr="0035548E">
        <w:t>a.</w:t>
      </w:r>
    </w:p>
    <w:p w14:paraId="3BEC579B" w14:textId="77777777" w:rsidR="006F5069" w:rsidRDefault="006F5069" w:rsidP="00AE3729"/>
    <w:p w14:paraId="35CD05F2" w14:textId="3ED1D245" w:rsidR="00AE3729" w:rsidRDefault="00FD2512" w:rsidP="00320DFA">
      <w:pPr>
        <w:widowControl/>
        <w:contextualSpacing/>
        <w:rPr>
          <w:u w:val="single"/>
        </w:rPr>
      </w:pPr>
      <w:r>
        <w:rPr>
          <w:u w:val="single"/>
        </w:rPr>
        <w:t>Item 2</w:t>
      </w:r>
    </w:p>
    <w:p w14:paraId="1CC01C7C" w14:textId="0AD9B1D2" w:rsidR="00742926" w:rsidRDefault="00742926" w:rsidP="00742926">
      <w:r>
        <w:t xml:space="preserve">The </w:t>
      </w:r>
      <w:r w:rsidR="003C624B">
        <w:t>four</w:t>
      </w:r>
      <w:r>
        <w:t xml:space="preserve"> entities listed in Item </w:t>
      </w:r>
      <w:r w:rsidR="000F6883">
        <w:t>2</w:t>
      </w:r>
      <w:r>
        <w:t xml:space="preserve"> are designated by the Minister for targeted financial sanctions under paragraph 6(a) of the Regulations.</w:t>
      </w:r>
    </w:p>
    <w:p w14:paraId="111187EF" w14:textId="77777777" w:rsidR="00742926" w:rsidRDefault="00742926" w:rsidP="00742926"/>
    <w:p w14:paraId="05CD561B" w14:textId="77777777" w:rsidR="00D77001" w:rsidRPr="00A45811" w:rsidRDefault="00742926" w:rsidP="00320DFA">
      <w:r>
        <w:t xml:space="preserve">These entities were previously listed under the Ukraine criteria. The Minister made these listings afresh under paragraph (a) of </w:t>
      </w:r>
      <w:r w:rsidRPr="00F544B3">
        <w:t>the Russia criteria</w:t>
      </w:r>
      <w:r>
        <w:t xml:space="preserve">, being satisfied that the entities </w:t>
      </w:r>
      <w:r w:rsidRPr="00A45811">
        <w:t xml:space="preserve">are, or have been, engaging in an activity or performing a function that is of economic or strategic significance to Russia. </w:t>
      </w:r>
    </w:p>
    <w:p w14:paraId="3F1515FB" w14:textId="77777777" w:rsidR="00D77001" w:rsidRPr="00A45811" w:rsidRDefault="00D77001" w:rsidP="00320DFA"/>
    <w:p w14:paraId="4C2CE2BF" w14:textId="38C200D4" w:rsidR="00D90ED7" w:rsidRPr="00A45811" w:rsidRDefault="002A281C" w:rsidP="00320DFA">
      <w:r w:rsidRPr="00EB7243">
        <w:t>The four</w:t>
      </w:r>
      <w:r w:rsidR="00FC2182" w:rsidRPr="00EB7243">
        <w:t xml:space="preserve"> </w:t>
      </w:r>
      <w:r w:rsidR="00742926" w:rsidRPr="00EB7243">
        <w:t xml:space="preserve">entities </w:t>
      </w:r>
      <w:r w:rsidR="00F653B6" w:rsidRPr="00EB7243">
        <w:t xml:space="preserve">are </w:t>
      </w:r>
      <w:r w:rsidR="00703198" w:rsidRPr="00EB7243">
        <w:t xml:space="preserve">construction, transport and insurance companies that have been involved in the construction and/or operation of the Kerch Bridge </w:t>
      </w:r>
      <w:r w:rsidR="00703198" w:rsidRPr="00EB7243">
        <w:rPr>
          <w:rFonts w:cstheme="minorHAnsi"/>
        </w:rPr>
        <w:t>between Russia and Crimea.</w:t>
      </w:r>
    </w:p>
    <w:p w14:paraId="310CF8AD" w14:textId="77777777" w:rsidR="00D90ED7" w:rsidRPr="00A45811" w:rsidRDefault="00D90ED7" w:rsidP="00320DFA"/>
    <w:p w14:paraId="635C87F4" w14:textId="39C969CC" w:rsidR="00AA3D97" w:rsidRPr="00A45811" w:rsidRDefault="00AA3D97" w:rsidP="00320DFA">
      <w:r w:rsidRPr="00A45811">
        <w:t>The Minister exercised their discretion to make these listings being satisfied that each entity is</w:t>
      </w:r>
      <w:r w:rsidR="006F5069" w:rsidRPr="00A45811">
        <w:t>, or has been, engaging in an activity or performing a function that is of economic or strategic significance to Russia</w:t>
      </w:r>
      <w:r w:rsidR="00DC4FDF" w:rsidRPr="00A45811">
        <w:t>.</w:t>
      </w:r>
    </w:p>
    <w:p w14:paraId="4ABB28B7" w14:textId="77777777" w:rsidR="00320DFA" w:rsidRPr="00A45811" w:rsidRDefault="00320DFA" w:rsidP="00320DFA">
      <w:pPr>
        <w:widowControl/>
        <w:contextualSpacing/>
        <w:rPr>
          <w:u w:val="single"/>
        </w:rPr>
      </w:pPr>
    </w:p>
    <w:p w14:paraId="1793FE99" w14:textId="02442FF8" w:rsidR="00AF11A1" w:rsidRDefault="00AF11A1" w:rsidP="00AF11A1">
      <w:pPr>
        <w:contextualSpacing/>
        <w:rPr>
          <w:u w:val="single"/>
        </w:rPr>
      </w:pPr>
      <w:r w:rsidRPr="00A45811">
        <w:rPr>
          <w:u w:val="single"/>
        </w:rPr>
        <w:t>Part 2</w:t>
      </w:r>
      <w:r w:rsidR="00366375">
        <w:rPr>
          <w:u w:val="single"/>
        </w:rPr>
        <w:t>—</w:t>
      </w:r>
      <w:r w:rsidRPr="00A45811">
        <w:rPr>
          <w:u w:val="single"/>
        </w:rPr>
        <w:t>Repeal of spent provisions</w:t>
      </w:r>
    </w:p>
    <w:p w14:paraId="008AA1C4" w14:textId="77777777" w:rsidR="00E725EB" w:rsidRDefault="00E725EB" w:rsidP="00AF11A1">
      <w:pPr>
        <w:contextualSpacing/>
      </w:pPr>
    </w:p>
    <w:p w14:paraId="665DB8A7" w14:textId="77777777" w:rsidR="000727E2" w:rsidRPr="00811D72" w:rsidRDefault="000727E2" w:rsidP="000727E2">
      <w:pPr>
        <w:contextualSpacing/>
        <w:rPr>
          <w:i/>
          <w:iCs/>
        </w:rPr>
      </w:pPr>
      <w:r w:rsidRPr="00811D72">
        <w:rPr>
          <w:i/>
          <w:iCs/>
        </w:rPr>
        <w:t xml:space="preserve">Autonomous Sanctions (Designated Persons and Entities and Declared Persons – </w:t>
      </w:r>
      <w:r>
        <w:rPr>
          <w:i/>
          <w:iCs/>
        </w:rPr>
        <w:t>Russia and Ukraine</w:t>
      </w:r>
      <w:r w:rsidRPr="00811D72">
        <w:rPr>
          <w:i/>
          <w:iCs/>
        </w:rPr>
        <w:t xml:space="preserve">) </w:t>
      </w:r>
      <w:r>
        <w:rPr>
          <w:i/>
          <w:iCs/>
        </w:rPr>
        <w:t xml:space="preserve">List 2014 </w:t>
      </w:r>
    </w:p>
    <w:p w14:paraId="6A62FB87" w14:textId="77777777" w:rsidR="000727E2" w:rsidRDefault="000727E2" w:rsidP="00AF11A1">
      <w:pPr>
        <w:contextualSpacing/>
      </w:pPr>
    </w:p>
    <w:p w14:paraId="189981F9" w14:textId="1AA2A99C" w:rsidR="00E725EB" w:rsidRDefault="000727E2" w:rsidP="00AF11A1">
      <w:pPr>
        <w:contextualSpacing/>
        <w:rPr>
          <w:u w:val="single"/>
        </w:rPr>
      </w:pPr>
      <w:r>
        <w:rPr>
          <w:u w:val="single"/>
        </w:rPr>
        <w:t xml:space="preserve">Item </w:t>
      </w:r>
      <w:r w:rsidR="00D77001">
        <w:rPr>
          <w:u w:val="single"/>
        </w:rPr>
        <w:t>3</w:t>
      </w:r>
    </w:p>
    <w:p w14:paraId="3D706C9F" w14:textId="77777777" w:rsidR="000727E2" w:rsidRDefault="000727E2" w:rsidP="00AF11A1">
      <w:pPr>
        <w:contextualSpacing/>
      </w:pPr>
    </w:p>
    <w:p w14:paraId="01BB589C" w14:textId="62FC203C" w:rsidR="002E2F1A" w:rsidRPr="00D30D09" w:rsidRDefault="002E2F1A" w:rsidP="002E2F1A">
      <w:pPr>
        <w:pStyle w:val="NormalWeb"/>
        <w:spacing w:before="0" w:beforeAutospacing="0" w:after="0" w:afterAutospacing="0"/>
        <w:rPr>
          <w:color w:val="000000"/>
        </w:rPr>
      </w:pPr>
      <w:r>
        <w:rPr>
          <w:color w:val="000000"/>
        </w:rPr>
        <w:t xml:space="preserve">Item 3 repeals </w:t>
      </w:r>
      <w:r w:rsidRPr="00D30D09">
        <w:rPr>
          <w:color w:val="000000"/>
        </w:rPr>
        <w:t xml:space="preserve">the listing of the </w:t>
      </w:r>
      <w:r w:rsidR="003C624B">
        <w:rPr>
          <w:color w:val="000000"/>
        </w:rPr>
        <w:t>one</w:t>
      </w:r>
      <w:r w:rsidRPr="00D30D09">
        <w:rPr>
          <w:color w:val="000000"/>
        </w:rPr>
        <w:t xml:space="preserve"> person listed in Part 1 of Schedule 1 of </w:t>
      </w:r>
      <w:r w:rsidR="008377B1">
        <w:rPr>
          <w:color w:val="000000"/>
        </w:rPr>
        <w:t xml:space="preserve">the </w:t>
      </w:r>
      <w:r w:rsidR="008377B1" w:rsidRPr="00083396">
        <w:rPr>
          <w:i/>
          <w:color w:val="000000"/>
        </w:rPr>
        <w:t>Autonomous Sanctions (Designated Persons and Entities and Declared Persons – Russia and Ukraine) List 2014</w:t>
      </w:r>
      <w:r w:rsidR="008377B1">
        <w:rPr>
          <w:i/>
          <w:iCs/>
          <w:color w:val="000000"/>
        </w:rPr>
        <w:t> </w:t>
      </w:r>
      <w:r w:rsidR="008377B1">
        <w:rPr>
          <w:color w:val="000000"/>
        </w:rPr>
        <w:t>(</w:t>
      </w:r>
      <w:r w:rsidRPr="008377B1">
        <w:rPr>
          <w:b/>
          <w:bCs/>
          <w:color w:val="000000"/>
        </w:rPr>
        <w:t>the 2014 List</w:t>
      </w:r>
      <w:r w:rsidR="008377B1">
        <w:rPr>
          <w:color w:val="000000"/>
        </w:rPr>
        <w:t>)</w:t>
      </w:r>
      <w:r w:rsidRPr="00D30D09">
        <w:rPr>
          <w:color w:val="000000"/>
        </w:rPr>
        <w:t xml:space="preserve">, on the basis that </w:t>
      </w:r>
      <w:r w:rsidR="00D77001" w:rsidRPr="00D30D09">
        <w:rPr>
          <w:color w:val="000000"/>
        </w:rPr>
        <w:t>this</w:t>
      </w:r>
      <w:r w:rsidRPr="00D30D09">
        <w:rPr>
          <w:color w:val="000000"/>
        </w:rPr>
        <w:t xml:space="preserve"> listing will cease to have effect on </w:t>
      </w:r>
      <w:r w:rsidR="00D77001" w:rsidRPr="00D30D09">
        <w:rPr>
          <w:color w:val="000000"/>
        </w:rPr>
        <w:t>30 March 2024</w:t>
      </w:r>
      <w:r w:rsidRPr="00D30D09">
        <w:rPr>
          <w:color w:val="000000"/>
        </w:rPr>
        <w:t>. </w:t>
      </w:r>
    </w:p>
    <w:p w14:paraId="0B431BF6" w14:textId="77777777" w:rsidR="002E2F1A" w:rsidRPr="00D30D09" w:rsidRDefault="002E2F1A" w:rsidP="002E2F1A">
      <w:pPr>
        <w:pStyle w:val="NormalWeb"/>
        <w:spacing w:before="0" w:beforeAutospacing="0" w:after="0" w:afterAutospacing="0"/>
        <w:rPr>
          <w:color w:val="000000"/>
        </w:rPr>
      </w:pPr>
      <w:r w:rsidRPr="00D30D09">
        <w:rPr>
          <w:color w:val="000000"/>
        </w:rPr>
        <w:t> </w:t>
      </w:r>
    </w:p>
    <w:p w14:paraId="28946431" w14:textId="39479161" w:rsidR="002E2F1A" w:rsidRPr="00D30D09" w:rsidRDefault="00D77001" w:rsidP="002E2F1A">
      <w:pPr>
        <w:pStyle w:val="NormalWeb"/>
        <w:spacing w:before="0" w:beforeAutospacing="0" w:after="0" w:afterAutospacing="0"/>
        <w:rPr>
          <w:color w:val="000000"/>
        </w:rPr>
      </w:pPr>
      <w:r w:rsidRPr="00D30D09">
        <w:rPr>
          <w:color w:val="000000"/>
        </w:rPr>
        <w:t>The</w:t>
      </w:r>
      <w:r w:rsidR="002E2F1A" w:rsidRPr="00D30D09">
        <w:rPr>
          <w:color w:val="000000"/>
        </w:rPr>
        <w:t xml:space="preserve"> person will be listed afresh under paragraph (a) of </w:t>
      </w:r>
      <w:r w:rsidR="002E2F1A" w:rsidRPr="00F544B3">
        <w:rPr>
          <w:color w:val="000000"/>
        </w:rPr>
        <w:t>the Russia criteria</w:t>
      </w:r>
      <w:r w:rsidR="002E2F1A" w:rsidRPr="00D30D09">
        <w:rPr>
          <w:color w:val="000000"/>
        </w:rPr>
        <w:t xml:space="preserve"> (see Item </w:t>
      </w:r>
      <w:r w:rsidR="009E4878">
        <w:rPr>
          <w:color w:val="000000"/>
        </w:rPr>
        <w:t>1</w:t>
      </w:r>
      <w:r w:rsidR="002E2F1A" w:rsidRPr="00D30D09">
        <w:rPr>
          <w:color w:val="000000"/>
        </w:rPr>
        <w:t xml:space="preserve"> above).</w:t>
      </w:r>
    </w:p>
    <w:p w14:paraId="4C1BCCA6" w14:textId="77777777" w:rsidR="002E2F1A" w:rsidRPr="00D30D09" w:rsidRDefault="002E2F1A" w:rsidP="002E2F1A">
      <w:pPr>
        <w:pStyle w:val="NormalWeb"/>
        <w:spacing w:before="0" w:beforeAutospacing="0" w:after="0" w:afterAutospacing="0"/>
        <w:rPr>
          <w:color w:val="000000"/>
        </w:rPr>
      </w:pPr>
    </w:p>
    <w:p w14:paraId="3CFEC32C" w14:textId="003DC33A" w:rsidR="002E2F1A" w:rsidRPr="00D30D09" w:rsidRDefault="002E2F1A" w:rsidP="002E2F1A">
      <w:pPr>
        <w:contextualSpacing/>
        <w:rPr>
          <w:u w:val="single"/>
        </w:rPr>
      </w:pPr>
      <w:r w:rsidRPr="00D30D09">
        <w:rPr>
          <w:u w:val="single"/>
        </w:rPr>
        <w:t xml:space="preserve">Item </w:t>
      </w:r>
      <w:r w:rsidR="00D77001" w:rsidRPr="00D30D09">
        <w:rPr>
          <w:u w:val="single"/>
        </w:rPr>
        <w:t>4</w:t>
      </w:r>
    </w:p>
    <w:p w14:paraId="350E3311" w14:textId="77777777" w:rsidR="002E2F1A" w:rsidRPr="00D30D09" w:rsidRDefault="002E2F1A" w:rsidP="002E2F1A">
      <w:pPr>
        <w:pStyle w:val="NormalWeb"/>
        <w:spacing w:before="0" w:beforeAutospacing="0" w:after="0" w:afterAutospacing="0"/>
        <w:rPr>
          <w:color w:val="000000"/>
        </w:rPr>
      </w:pPr>
    </w:p>
    <w:p w14:paraId="5E262C5A" w14:textId="43A0FAE2" w:rsidR="00C515CB" w:rsidRPr="00D30D09" w:rsidRDefault="00C515CB" w:rsidP="00C515CB">
      <w:pPr>
        <w:pStyle w:val="NormalWeb"/>
        <w:spacing w:before="0" w:beforeAutospacing="0" w:after="0" w:afterAutospacing="0"/>
        <w:rPr>
          <w:color w:val="000000"/>
        </w:rPr>
      </w:pPr>
      <w:r w:rsidRPr="00D30D09">
        <w:rPr>
          <w:color w:val="000000"/>
        </w:rPr>
        <w:t xml:space="preserve">Item 4 repeals the listing of </w:t>
      </w:r>
      <w:r w:rsidR="003C624B">
        <w:rPr>
          <w:color w:val="000000"/>
        </w:rPr>
        <w:t>four</w:t>
      </w:r>
      <w:r w:rsidRPr="00D30D09">
        <w:rPr>
          <w:color w:val="000000"/>
        </w:rPr>
        <w:t xml:space="preserve"> entities listed in Part 2 of Schedule 1 of the 2014 List, on the basis that these listings will cease to have effect on </w:t>
      </w:r>
      <w:r w:rsidR="00D77001" w:rsidRPr="00D30D09">
        <w:rPr>
          <w:color w:val="000000"/>
        </w:rPr>
        <w:t>30 March 2024</w:t>
      </w:r>
      <w:r w:rsidRPr="00D30D09">
        <w:rPr>
          <w:color w:val="000000"/>
        </w:rPr>
        <w:t>.</w:t>
      </w:r>
    </w:p>
    <w:p w14:paraId="798055D4" w14:textId="77777777" w:rsidR="00C515CB" w:rsidRPr="00D30D09" w:rsidRDefault="00C515CB" w:rsidP="00C515CB">
      <w:pPr>
        <w:pStyle w:val="NormalWeb"/>
        <w:spacing w:before="0" w:beforeAutospacing="0" w:after="0" w:afterAutospacing="0"/>
        <w:rPr>
          <w:color w:val="000000"/>
        </w:rPr>
      </w:pPr>
      <w:r w:rsidRPr="00D30D09">
        <w:rPr>
          <w:color w:val="000000"/>
        </w:rPr>
        <w:t> </w:t>
      </w:r>
    </w:p>
    <w:p w14:paraId="25ACE50C" w14:textId="3F3EA803" w:rsidR="00320DFA" w:rsidRPr="00601210" w:rsidRDefault="00C515CB" w:rsidP="00D30D09">
      <w:pPr>
        <w:pStyle w:val="NormalWeb"/>
        <w:spacing w:before="0" w:beforeAutospacing="0" w:after="0" w:afterAutospacing="0"/>
      </w:pPr>
      <w:r w:rsidRPr="00D30D09">
        <w:rPr>
          <w:color w:val="000000"/>
        </w:rPr>
        <w:t xml:space="preserve">All </w:t>
      </w:r>
      <w:r w:rsidR="003C624B">
        <w:rPr>
          <w:color w:val="000000"/>
        </w:rPr>
        <w:t>four</w:t>
      </w:r>
      <w:r w:rsidRPr="00D30D09">
        <w:rPr>
          <w:color w:val="000000"/>
        </w:rPr>
        <w:t xml:space="preserve"> entities will be listed</w:t>
      </w:r>
      <w:r>
        <w:rPr>
          <w:color w:val="000000"/>
        </w:rPr>
        <w:t xml:space="preserve"> afresh under paragraph (a) of </w:t>
      </w:r>
      <w:r w:rsidRPr="00F544B3">
        <w:rPr>
          <w:color w:val="000000"/>
        </w:rPr>
        <w:t>the Russia criteria</w:t>
      </w:r>
      <w:r>
        <w:rPr>
          <w:color w:val="000000"/>
        </w:rPr>
        <w:t xml:space="preserve"> (see Item </w:t>
      </w:r>
      <w:r w:rsidR="00C00EB5">
        <w:rPr>
          <w:color w:val="000000"/>
        </w:rPr>
        <w:t>2</w:t>
      </w:r>
      <w:r>
        <w:rPr>
          <w:color w:val="000000"/>
        </w:rPr>
        <w:t xml:space="preserve"> above).</w:t>
      </w:r>
      <w:r w:rsidR="00320DFA">
        <w:t xml:space="preserve">  </w:t>
      </w:r>
    </w:p>
    <w:p w14:paraId="74DBCAC2" w14:textId="77777777" w:rsidR="00320DFA" w:rsidRDefault="00320DFA" w:rsidP="00320DFA">
      <w:pPr>
        <w:widowControl/>
        <w:contextualSpacing/>
        <w:rPr>
          <w:u w:val="single"/>
        </w:rPr>
      </w:pPr>
    </w:p>
    <w:p w14:paraId="2EFE66AB" w14:textId="77777777" w:rsidR="00320DFA" w:rsidRDefault="00320DFA" w:rsidP="00320DFA"/>
    <w:p w14:paraId="70B58110" w14:textId="77777777" w:rsidR="00320DFA" w:rsidRDefault="00320DFA" w:rsidP="00320DFA"/>
    <w:p w14:paraId="7E2545EF" w14:textId="77777777" w:rsidR="00320DFA" w:rsidRDefault="00320DFA" w:rsidP="00320DFA">
      <w:pPr>
        <w:widowControl/>
        <w:spacing w:after="160" w:line="259" w:lineRule="auto"/>
        <w:rPr>
          <w:rFonts w:ascii="Times New Roman" w:hAnsi="Times New Roman" w:cs="Times New Roman"/>
          <w:b/>
          <w:bCs/>
        </w:rPr>
      </w:pPr>
      <w:r>
        <w:rPr>
          <w:rFonts w:ascii="Times New Roman" w:hAnsi="Times New Roman" w:cs="Times New Roman"/>
        </w:rPr>
        <w:br w:type="page"/>
      </w:r>
    </w:p>
    <w:p w14:paraId="76F8DD3A" w14:textId="77777777" w:rsidR="00320DFA" w:rsidRPr="00811D72" w:rsidRDefault="00320DFA" w:rsidP="00320DFA">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444C0091" w14:textId="77777777" w:rsidR="00320DFA" w:rsidRPr="004E52E0" w:rsidRDefault="00320DFA" w:rsidP="00320DFA">
      <w:pPr>
        <w:pStyle w:val="Title"/>
        <w:tabs>
          <w:tab w:val="left" w:pos="6120"/>
        </w:tabs>
        <w:contextualSpacing/>
        <w:rPr>
          <w:rFonts w:ascii="Times New Roman" w:hAnsi="Times New Roman" w:cs="Times New Roman"/>
        </w:rPr>
      </w:pPr>
    </w:p>
    <w:p w14:paraId="32BE9650"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54995A85"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1A3289E5" w14:textId="77777777" w:rsidR="00320DFA" w:rsidRPr="004E52E0" w:rsidRDefault="00320DFA" w:rsidP="00320DFA">
      <w:pPr>
        <w:contextualSpacing/>
        <w:jc w:val="center"/>
        <w:rPr>
          <w:rFonts w:ascii="Times New Roman" w:hAnsi="Times New Roman" w:cs="Times New Roman"/>
          <w:bCs/>
          <w:sz w:val="23"/>
          <w:szCs w:val="23"/>
        </w:rPr>
      </w:pPr>
    </w:p>
    <w:p w14:paraId="1FE0C70C" w14:textId="191D173A" w:rsidR="00320DFA" w:rsidRPr="00FE073E" w:rsidRDefault="00320DFA" w:rsidP="00320DFA">
      <w:pPr>
        <w:contextualSpacing/>
        <w:jc w:val="center"/>
        <w:rPr>
          <w:rFonts w:ascii="Times New Roman" w:hAnsi="Times New Roman" w:cs="Times New Roman"/>
          <w:bCs/>
          <w:i/>
        </w:rPr>
      </w:pPr>
      <w:r w:rsidRPr="00FE073E">
        <w:rPr>
          <w:rFonts w:ascii="Times New Roman" w:hAnsi="Times New Roman" w:cs="Times New Roman"/>
          <w:bCs/>
          <w:i/>
        </w:rPr>
        <w:t>Autonomous Sanctions (Designated Persons and Entities and Declared Persons</w:t>
      </w:r>
      <w:r w:rsidR="003A5E2D" w:rsidRPr="000A6414">
        <w:rPr>
          <w:i/>
          <w:iCs/>
        </w:rPr>
        <w:t xml:space="preserve"> – </w:t>
      </w:r>
      <w:r w:rsidRPr="00FE073E">
        <w:rPr>
          <w:rFonts w:ascii="Times New Roman" w:hAnsi="Times New Roman" w:cs="Times New Roman"/>
          <w:bCs/>
          <w:i/>
        </w:rPr>
        <w:t xml:space="preserve">Russia and Ukraine) Amendment (No. </w:t>
      </w:r>
      <w:r w:rsidR="001C4BCC" w:rsidRPr="00FE073E">
        <w:rPr>
          <w:rFonts w:ascii="Times New Roman" w:hAnsi="Times New Roman" w:cs="Times New Roman"/>
          <w:bCs/>
          <w:i/>
        </w:rPr>
        <w:t>3</w:t>
      </w:r>
      <w:r w:rsidRPr="00FE073E">
        <w:rPr>
          <w:rFonts w:ascii="Times New Roman" w:hAnsi="Times New Roman" w:cs="Times New Roman"/>
          <w:bCs/>
          <w:i/>
        </w:rPr>
        <w:t>) Instrument 2024</w:t>
      </w:r>
    </w:p>
    <w:p w14:paraId="0D40DB53" w14:textId="77777777" w:rsidR="00320DFA" w:rsidRPr="00D30D09" w:rsidRDefault="00320DFA" w:rsidP="00320DFA">
      <w:pPr>
        <w:contextualSpacing/>
        <w:rPr>
          <w:rFonts w:ascii="Times New Roman" w:hAnsi="Times New Roman" w:cs="Times New Roman"/>
          <w:lang w:eastAsia="en-AU"/>
        </w:rPr>
      </w:pPr>
    </w:p>
    <w:p w14:paraId="0C2AA8F7" w14:textId="6E0A578F" w:rsidR="00320DFA" w:rsidRPr="004E52E0" w:rsidRDefault="00320DFA" w:rsidP="00320DFA">
      <w:pPr>
        <w:contextualSpacing/>
        <w:rPr>
          <w:rFonts w:ascii="Times New Roman" w:hAnsi="Times New Roman" w:cs="Times New Roman"/>
          <w:bCs/>
        </w:rPr>
      </w:pPr>
      <w:r w:rsidRPr="00D30D09">
        <w:rPr>
          <w:rFonts w:ascii="Times New Roman" w:hAnsi="Times New Roman" w:cs="Times New Roman"/>
          <w:bCs/>
        </w:rPr>
        <w:t xml:space="preserve">The </w:t>
      </w:r>
      <w:r w:rsidRPr="00FE073E">
        <w:rPr>
          <w:rFonts w:ascii="Times New Roman" w:hAnsi="Times New Roman" w:cs="Times New Roman"/>
          <w:bCs/>
          <w:i/>
        </w:rPr>
        <w:t>Autonomous Sanctions (Designated Persons and Entities and Declared Persons</w:t>
      </w:r>
      <w:r w:rsidR="003A5E2D" w:rsidRPr="000A6414">
        <w:rPr>
          <w:i/>
          <w:iCs/>
        </w:rPr>
        <w:t xml:space="preserve"> – </w:t>
      </w:r>
      <w:r w:rsidRPr="00FE073E">
        <w:rPr>
          <w:rFonts w:ascii="Times New Roman" w:hAnsi="Times New Roman" w:cs="Times New Roman"/>
          <w:bCs/>
          <w:i/>
        </w:rPr>
        <w:t xml:space="preserve">Russia and Ukraine) Amendment (No. </w:t>
      </w:r>
      <w:r w:rsidR="001C4BCC" w:rsidRPr="00FE073E">
        <w:rPr>
          <w:rFonts w:ascii="Times New Roman" w:hAnsi="Times New Roman" w:cs="Times New Roman"/>
          <w:bCs/>
          <w:i/>
        </w:rPr>
        <w:t>3</w:t>
      </w:r>
      <w:r w:rsidRPr="00FE073E">
        <w:rPr>
          <w:rFonts w:ascii="Times New Roman" w:hAnsi="Times New Roman" w:cs="Times New Roman"/>
          <w:bCs/>
          <w:i/>
        </w:rPr>
        <w:t>) Instrument 2024</w:t>
      </w:r>
      <w:r w:rsidRPr="00D30D09">
        <w:rPr>
          <w:rFonts w:ascii="Times New Roman" w:hAnsi="Times New Roman" w:cs="Times New Roman"/>
          <w:bCs/>
          <w:i/>
          <w:iCs/>
        </w:rPr>
        <w:t xml:space="preserve"> </w:t>
      </w:r>
      <w:r w:rsidRPr="00D30D09">
        <w:rPr>
          <w:rFonts w:ascii="Times New Roman" w:hAnsi="Times New Roman" w:cs="Times New Roman"/>
          <w:bCs/>
          <w:iCs/>
          <w:sz w:val="23"/>
          <w:szCs w:val="23"/>
        </w:rPr>
        <w:t>(</w:t>
      </w:r>
      <w:r w:rsidRPr="00D30D09">
        <w:rPr>
          <w:rFonts w:ascii="Times New Roman" w:hAnsi="Times New Roman" w:cs="Times New Roman"/>
          <w:b/>
          <w:bCs/>
          <w:iCs/>
          <w:sz w:val="23"/>
          <w:szCs w:val="23"/>
        </w:rPr>
        <w:t xml:space="preserve">the 2024 </w:t>
      </w:r>
      <w:r w:rsidRPr="00D30D09">
        <w:rPr>
          <w:rFonts w:ascii="Times New Roman" w:hAnsi="Times New Roman" w:cs="Times New Roman"/>
          <w:b/>
          <w:iCs/>
          <w:sz w:val="23"/>
          <w:szCs w:val="23"/>
        </w:rPr>
        <w:t>Instrument</w:t>
      </w:r>
      <w:r w:rsidRPr="00D30D09">
        <w:rPr>
          <w:rFonts w:ascii="Times New Roman" w:hAnsi="Times New Roman" w:cs="Times New Roman"/>
          <w:bCs/>
          <w:iCs/>
          <w:sz w:val="23"/>
          <w:szCs w:val="23"/>
        </w:rPr>
        <w:t>)</w:t>
      </w:r>
      <w:r w:rsidRPr="00D30D09">
        <w:rPr>
          <w:rFonts w:ascii="Times New Roman" w:hAnsi="Times New Roman" w:cs="Times New Roman"/>
          <w:bCs/>
          <w:i/>
          <w:iCs/>
          <w:sz w:val="23"/>
          <w:szCs w:val="23"/>
        </w:rPr>
        <w:t xml:space="preserve"> </w:t>
      </w:r>
      <w:bookmarkStart w:id="3" w:name="_Hlk133421996"/>
      <w:r w:rsidRPr="00D30D09">
        <w:rPr>
          <w:rFonts w:ascii="Times New Roman" w:hAnsi="Times New Roman" w:cs="Times New Roman"/>
          <w:bCs/>
        </w:rPr>
        <w:t>is compatible with the human rights and freedoms recognised or declared in the international instruments listed in section</w:t>
      </w:r>
      <w:r w:rsidRPr="004E52E0">
        <w:rPr>
          <w:rFonts w:ascii="Times New Roman" w:hAnsi="Times New Roman" w:cs="Times New Roman"/>
          <w:bCs/>
        </w:rPr>
        <w:t xml:space="preserve"> 3 of the </w:t>
      </w:r>
      <w:r w:rsidRPr="004E52E0">
        <w:rPr>
          <w:rFonts w:ascii="Times New Roman" w:hAnsi="Times New Roman" w:cs="Times New Roman"/>
          <w:bCs/>
          <w:i/>
        </w:rPr>
        <w:t>Human Rights (Parliamentary Scrutiny) Act 2011.</w:t>
      </w:r>
      <w:r w:rsidRPr="004E52E0">
        <w:rPr>
          <w:rFonts w:ascii="Times New Roman" w:hAnsi="Times New Roman" w:cs="Times New Roman"/>
          <w:bCs/>
        </w:rPr>
        <w:t xml:space="preserve"> </w:t>
      </w:r>
      <w:bookmarkEnd w:id="3"/>
    </w:p>
    <w:p w14:paraId="5BA0CCD7" w14:textId="77777777" w:rsidR="00320DFA" w:rsidRPr="004E52E0" w:rsidRDefault="00320DFA" w:rsidP="00320DFA">
      <w:pPr>
        <w:widowControl/>
        <w:contextualSpacing/>
        <w:rPr>
          <w:lang w:eastAsia="en-AU"/>
        </w:rPr>
      </w:pPr>
    </w:p>
    <w:p w14:paraId="42DF4E63" w14:textId="4AC75EE3" w:rsidR="00320DFA" w:rsidRPr="00EB7243" w:rsidRDefault="00320DFA" w:rsidP="00320DFA">
      <w:pPr>
        <w:widowControl/>
        <w:contextualSpacing/>
      </w:pPr>
      <w:bookmarkStart w:id="4" w:name="_Hlk133422005"/>
      <w:r>
        <w:t xml:space="preserve">Australia’s autonomous sanctions </w:t>
      </w:r>
      <w:r w:rsidRPr="00EB7243">
        <w:t>framework imposes highly targeted measures in response to situations of international concern. This includes threats to </w:t>
      </w:r>
      <w:r w:rsidRPr="00EB7243">
        <w:rPr>
          <w:shd w:val="clear" w:color="auto" w:fill="FFFFFF"/>
        </w:rPr>
        <w:t>the sovereignty and territorial integrity of a State. Given the serious nature of Russia’s contravention of the sovereignty and territorial integrity of Ukraine, the Government considers that targeted financial sanctions and travel bans are an effective way to achieve its legitimate foreign policy objectives of signalling opposition to Russia’s aggression.</w:t>
      </w:r>
      <w:r w:rsidRPr="00EB7243">
        <w:t> These sanctions allow a targeted response to Australia’s concerns relating to Russia’s unprovoked and completely unjustified attack on Ukraine, by imposing a cost on Russia and seeking to influence the Russian state to de-escalate the situation.</w:t>
      </w:r>
    </w:p>
    <w:p w14:paraId="0BCF1697" w14:textId="77777777" w:rsidR="00320DFA" w:rsidRPr="00EB7243" w:rsidRDefault="00320DFA" w:rsidP="00320DFA">
      <w:pPr>
        <w:widowControl/>
        <w:contextualSpacing/>
        <w:rPr>
          <w:iCs/>
        </w:rPr>
      </w:pPr>
    </w:p>
    <w:p w14:paraId="22A2648A" w14:textId="37F65A9E" w:rsidR="00320DFA" w:rsidRPr="004E52E0" w:rsidRDefault="00320DFA" w:rsidP="00320DFA">
      <w:pPr>
        <w:widowControl/>
        <w:contextualSpacing/>
        <w:rPr>
          <w:lang w:eastAsia="en-AU"/>
        </w:rPr>
      </w:pPr>
      <w:r w:rsidRPr="00EB7243">
        <w:rPr>
          <w:shd w:val="clear" w:color="auto" w:fill="FFFFFF"/>
        </w:rPr>
        <w:t>The autonomous sanctions designation</w:t>
      </w:r>
      <w:r w:rsidR="008B7D21" w:rsidRPr="00EB7243">
        <w:rPr>
          <w:shd w:val="clear" w:color="auto" w:fill="FFFFFF"/>
        </w:rPr>
        <w:t>s</w:t>
      </w:r>
      <w:r w:rsidRPr="00EB7243">
        <w:rPr>
          <w:shd w:val="clear" w:color="auto" w:fill="FFFFFF"/>
        </w:rPr>
        <w:t xml:space="preserve"> and declaration</w:t>
      </w:r>
      <w:r w:rsidR="008B7D21" w:rsidRPr="00EB7243">
        <w:rPr>
          <w:shd w:val="clear" w:color="auto" w:fill="FFFFFF"/>
        </w:rPr>
        <w:t>s</w:t>
      </w:r>
      <w:r w:rsidRPr="00EB7243">
        <w:rPr>
          <w:shd w:val="clear" w:color="auto" w:fill="FFFFFF"/>
        </w:rPr>
        <w:t xml:space="preserve"> made by the 2024 Instrument pursue legitimate objectives and have appropriate safeguards in place to ensure that any limitation on human rights engaged by the imposition of </w:t>
      </w:r>
      <w:r w:rsidR="008679C8" w:rsidRPr="00EB7243">
        <w:rPr>
          <w:shd w:val="clear" w:color="auto" w:fill="FFFFFF"/>
        </w:rPr>
        <w:t>sanctions</w:t>
      </w:r>
      <w:r w:rsidRPr="00EB7243">
        <w:rPr>
          <w:shd w:val="clear" w:color="auto" w:fill="FFFFFF"/>
        </w:rPr>
        <w:t xml:space="preserve"> is a reasonable, </w:t>
      </w:r>
      <w:proofErr w:type="gramStart"/>
      <w:r w:rsidRPr="00EB7243">
        <w:rPr>
          <w:shd w:val="clear" w:color="auto" w:fill="FFFFFF"/>
        </w:rPr>
        <w:t>necessary</w:t>
      </w:r>
      <w:proofErr w:type="gramEnd"/>
      <w:r w:rsidRPr="00EB7243">
        <w:rPr>
          <w:shd w:val="clear" w:color="auto" w:fill="FFFFFF"/>
        </w:rPr>
        <w:t xml:space="preserve"> and proportionate response</w:t>
      </w:r>
      <w:r w:rsidRPr="00F90C0F">
        <w:rPr>
          <w:shd w:val="clear" w:color="auto" w:fill="FFFFFF"/>
        </w:rPr>
        <w:t xml:space="preserve"> to the s</w:t>
      </w:r>
      <w:r>
        <w:rPr>
          <w:shd w:val="clear" w:color="auto" w:fill="FFFFFF"/>
        </w:rPr>
        <w:t>ituation of international concern</w:t>
      </w:r>
      <w:r w:rsidRPr="004E52E0">
        <w:rPr>
          <w:shd w:val="clear" w:color="auto" w:fill="FFFFFF"/>
        </w:rPr>
        <w:t>, and do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4AF7D920" w14:textId="77777777" w:rsidR="00320DFA" w:rsidRPr="004E52E0" w:rsidRDefault="00320DFA" w:rsidP="00320DFA">
      <w:pPr>
        <w:widowControl/>
        <w:contextualSpacing/>
        <w:rPr>
          <w:lang w:eastAsia="en-AU"/>
        </w:rPr>
      </w:pPr>
      <w:r w:rsidRPr="004E52E0">
        <w:rPr>
          <w:lang w:val="en-GB" w:eastAsia="en-AU"/>
        </w:rPr>
        <w:t> </w:t>
      </w:r>
    </w:p>
    <w:p w14:paraId="2151760C" w14:textId="26395B6A" w:rsidR="00320DFA" w:rsidRPr="00D30D09" w:rsidRDefault="00320DFA" w:rsidP="00320DFA">
      <w:pPr>
        <w:widowControl/>
        <w:contextualSpacing/>
        <w:rPr>
          <w:shd w:val="clear" w:color="auto" w:fill="FFFFFF"/>
        </w:rPr>
      </w:pPr>
      <w:r w:rsidRPr="004E52E0">
        <w:rPr>
          <w:shd w:val="clear" w:color="auto" w:fill="FFFFFF"/>
        </w:rPr>
        <w:t xml:space="preserve">The </w:t>
      </w:r>
      <w:r w:rsidRPr="00FE073E">
        <w:rPr>
          <w:i/>
          <w:shd w:val="clear" w:color="auto" w:fill="FFFFFF"/>
        </w:rPr>
        <w:t>Autonomous Sanctions Regulations 2011</w:t>
      </w:r>
      <w:r w:rsidRPr="004E52E0">
        <w:rPr>
          <w:shd w:val="clear" w:color="auto" w:fill="FFFFFF"/>
        </w:rPr>
        <w:t xml:space="preserve"> (</w:t>
      </w:r>
      <w:r w:rsidRPr="00C50F2E">
        <w:rPr>
          <w:b/>
          <w:shd w:val="clear" w:color="auto" w:fill="FFFFFF"/>
        </w:rPr>
        <w:t>the</w:t>
      </w:r>
      <w:r w:rsidRPr="00076BDC">
        <w:rPr>
          <w:b/>
          <w:bCs/>
          <w:shd w:val="clear" w:color="auto" w:fill="FFFFFF"/>
        </w:rPr>
        <w:t xml:space="preserve"> Regulations</w:t>
      </w:r>
      <w:r w:rsidRPr="004E52E0">
        <w:rPr>
          <w:shd w:val="clear" w:color="auto" w:fill="FFFFFF"/>
        </w:rPr>
        <w:t>) make provision for, among other things</w:t>
      </w:r>
      <w:r w:rsidRPr="00EE2D47">
        <w:rPr>
          <w:shd w:val="clear" w:color="auto" w:fill="FFFFFF"/>
        </w:rPr>
        <w:t xml:space="preserve">, the </w:t>
      </w:r>
      <w:r w:rsidRPr="00EB4DCB">
        <w:rPr>
          <w:shd w:val="clear" w:color="auto" w:fill="FFFFFF"/>
        </w:rPr>
        <w:t>proscription</w:t>
      </w:r>
      <w:r w:rsidRPr="00EE2D47">
        <w:rPr>
          <w:shd w:val="clear" w:color="auto" w:fill="FFFFFF"/>
        </w:rPr>
        <w:t xml:space="preserve"> of</w:t>
      </w:r>
      <w:r w:rsidRPr="004E52E0">
        <w:rPr>
          <w:shd w:val="clear" w:color="auto" w:fill="FFFFFF"/>
        </w:rPr>
        <w:t xml:space="preserve"> persons or entities for autonomous sanctions. The </w:t>
      </w:r>
      <w:r>
        <w:rPr>
          <w:shd w:val="clear" w:color="auto" w:fill="FFFFFF"/>
        </w:rPr>
        <w:t>2024</w:t>
      </w:r>
      <w:r w:rsidRPr="004E52E0">
        <w:rPr>
          <w:shd w:val="clear" w:color="auto" w:fill="FFFFFF"/>
        </w:rPr>
        <w:t xml:space="preserve"> Instrument designates </w:t>
      </w:r>
      <w:r w:rsidR="003B1821">
        <w:rPr>
          <w:shd w:val="clear" w:color="auto" w:fill="FFFFFF"/>
        </w:rPr>
        <w:t xml:space="preserve">a </w:t>
      </w:r>
      <w:r w:rsidRPr="00D30D09">
        <w:rPr>
          <w:shd w:val="clear" w:color="auto" w:fill="FFFFFF"/>
        </w:rPr>
        <w:t xml:space="preserve">person and entities for targeted financial sanctions and declares </w:t>
      </w:r>
      <w:r w:rsidR="003B1821">
        <w:rPr>
          <w:shd w:val="clear" w:color="auto" w:fill="FFFFFF"/>
        </w:rPr>
        <w:t>the</w:t>
      </w:r>
      <w:r w:rsidRPr="00D30D09">
        <w:rPr>
          <w:shd w:val="clear" w:color="auto" w:fill="FFFFFF"/>
        </w:rPr>
        <w:t xml:space="preserve"> person for the purposes of a travel ban</w:t>
      </w:r>
      <w:r w:rsidR="006F12AB" w:rsidRPr="00D30D09">
        <w:rPr>
          <w:shd w:val="clear" w:color="auto" w:fill="FFFFFF"/>
        </w:rPr>
        <w:t xml:space="preserve"> (</w:t>
      </w:r>
      <w:r w:rsidR="006F12AB" w:rsidRPr="005F1834">
        <w:rPr>
          <w:shd w:val="clear" w:color="auto" w:fill="FFFFFF"/>
        </w:rPr>
        <w:t>together ‘list</w:t>
      </w:r>
      <w:r w:rsidR="005F1834">
        <w:rPr>
          <w:shd w:val="clear" w:color="auto" w:fill="FFFFFF"/>
        </w:rPr>
        <w:t>s</w:t>
      </w:r>
      <w:r w:rsidR="006F12AB" w:rsidRPr="005F1834">
        <w:rPr>
          <w:shd w:val="clear" w:color="auto" w:fill="FFFFFF"/>
        </w:rPr>
        <w:t>’</w:t>
      </w:r>
      <w:r w:rsidR="006F12AB" w:rsidRPr="00D30D09">
        <w:rPr>
          <w:shd w:val="clear" w:color="auto" w:fill="FFFFFF"/>
        </w:rPr>
        <w:t>)</w:t>
      </w:r>
      <w:r w:rsidRPr="00D30D09">
        <w:rPr>
          <w:shd w:val="clear" w:color="auto" w:fill="FFFFFF"/>
        </w:rPr>
        <w:t xml:space="preserve">. The </w:t>
      </w:r>
      <w:r w:rsidRPr="004B224C">
        <w:rPr>
          <w:bCs/>
          <w:shd w:val="clear" w:color="auto" w:fill="FFFFFF"/>
        </w:rPr>
        <w:t>Minister</w:t>
      </w:r>
      <w:r w:rsidRPr="00D30D09">
        <w:rPr>
          <w:shd w:val="clear" w:color="auto" w:fill="FFFFFF"/>
        </w:rPr>
        <w:t xml:space="preserve"> </w:t>
      </w:r>
      <w:r w:rsidR="00FC6103" w:rsidRPr="00D30D09">
        <w:rPr>
          <w:shd w:val="clear" w:color="auto" w:fill="FFFFFF"/>
        </w:rPr>
        <w:t xml:space="preserve">exercised their discretion to make </w:t>
      </w:r>
      <w:r w:rsidRPr="00D30D09">
        <w:rPr>
          <w:shd w:val="clear" w:color="auto" w:fill="FFFFFF"/>
        </w:rPr>
        <w:t>the designation</w:t>
      </w:r>
      <w:r w:rsidR="00950F0B" w:rsidRPr="00D30D09">
        <w:rPr>
          <w:shd w:val="clear" w:color="auto" w:fill="FFFFFF"/>
        </w:rPr>
        <w:t>s</w:t>
      </w:r>
      <w:r w:rsidRPr="00D30D09">
        <w:rPr>
          <w:shd w:val="clear" w:color="auto" w:fill="FFFFFF"/>
        </w:rPr>
        <w:t xml:space="preserve"> and declaration</w:t>
      </w:r>
      <w:r w:rsidR="00950F0B" w:rsidRPr="00D30D09">
        <w:rPr>
          <w:shd w:val="clear" w:color="auto" w:fill="FFFFFF"/>
        </w:rPr>
        <w:t>s</w:t>
      </w:r>
      <w:r w:rsidRPr="00D30D09">
        <w:rPr>
          <w:shd w:val="clear" w:color="auto" w:fill="FFFFFF"/>
        </w:rPr>
        <w:t xml:space="preserve"> being satisfied that </w:t>
      </w:r>
      <w:r w:rsidR="003B1821">
        <w:rPr>
          <w:shd w:val="clear" w:color="auto" w:fill="FFFFFF"/>
        </w:rPr>
        <w:t>the</w:t>
      </w:r>
      <w:r w:rsidRPr="00D30D09">
        <w:rPr>
          <w:shd w:val="clear" w:color="auto" w:fill="FFFFFF"/>
        </w:rPr>
        <w:t xml:space="preserve"> person </w:t>
      </w:r>
      <w:r w:rsidR="007E36FC" w:rsidRPr="00D30D09">
        <w:rPr>
          <w:shd w:val="clear" w:color="auto" w:fill="FFFFFF"/>
        </w:rPr>
        <w:t>and</w:t>
      </w:r>
      <w:r w:rsidRPr="00D30D09">
        <w:rPr>
          <w:shd w:val="clear" w:color="auto" w:fill="FFFFFF"/>
        </w:rPr>
        <w:t xml:space="preserve"> </w:t>
      </w:r>
      <w:r w:rsidR="003B1821">
        <w:rPr>
          <w:shd w:val="clear" w:color="auto" w:fill="FFFFFF"/>
        </w:rPr>
        <w:t xml:space="preserve">each </w:t>
      </w:r>
      <w:r w:rsidRPr="00D30D09">
        <w:rPr>
          <w:shd w:val="clear" w:color="auto" w:fill="FFFFFF"/>
        </w:rPr>
        <w:t>entity</w:t>
      </w:r>
      <w:r w:rsidR="00E378BE">
        <w:rPr>
          <w:shd w:val="clear" w:color="auto" w:fill="FFFFFF"/>
        </w:rPr>
        <w:t xml:space="preserve"> </w:t>
      </w:r>
      <w:r w:rsidR="00E378BE" w:rsidRPr="00E378BE">
        <w:rPr>
          <w:shd w:val="clear" w:color="auto" w:fill="FFFFFF"/>
        </w:rPr>
        <w:t>is, or has been, engaging in an activity or performing a function that is of economic or strategic significance to Russia (paragraph (a) of item 6A of the table at regulation 6 of the Regulations)</w:t>
      </w:r>
      <w:r w:rsidR="00E378BE">
        <w:rPr>
          <w:shd w:val="clear" w:color="auto" w:fill="FFFFFF"/>
        </w:rPr>
        <w:t>.</w:t>
      </w:r>
    </w:p>
    <w:p w14:paraId="476D8827" w14:textId="77777777" w:rsidR="00320DFA" w:rsidRDefault="00320DFA" w:rsidP="00320DFA">
      <w:pPr>
        <w:widowControl/>
        <w:contextualSpacing/>
        <w:rPr>
          <w:shd w:val="clear" w:color="auto" w:fill="FFFFFF"/>
        </w:rPr>
      </w:pPr>
    </w:p>
    <w:p w14:paraId="500D2D90"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 xml:space="preserve">The human rights compatibility of the </w:t>
      </w:r>
      <w:r>
        <w:rPr>
          <w:rFonts w:ascii="Times New Roman" w:hAnsi="Times New Roman" w:cs="Times New Roman"/>
        </w:rPr>
        <w:t>2024</w:t>
      </w:r>
      <w:r w:rsidRPr="004E52E0">
        <w:rPr>
          <w:rFonts w:ascii="Times New Roman" w:hAnsi="Times New Roman" w:cs="Times New Roman"/>
        </w:rPr>
        <w:t xml:space="preserve"> Instrument is addressed by reference to each of the human rights engaged below. </w:t>
      </w:r>
    </w:p>
    <w:p w14:paraId="7FB1D86A" w14:textId="77777777" w:rsidR="00A53257" w:rsidRPr="004E52E0" w:rsidRDefault="00A53257" w:rsidP="00320DFA">
      <w:pPr>
        <w:widowControl/>
        <w:contextualSpacing/>
        <w:rPr>
          <w:rFonts w:ascii="Times New Roman" w:hAnsi="Times New Roman" w:cs="Times New Roman"/>
        </w:rPr>
      </w:pPr>
    </w:p>
    <w:p w14:paraId="3B9967E8"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b/>
        </w:rPr>
        <w:lastRenderedPageBreak/>
        <w:t>Right to privacy</w:t>
      </w:r>
    </w:p>
    <w:p w14:paraId="07341291" w14:textId="77777777" w:rsidR="00320DFA" w:rsidRPr="004E52E0" w:rsidRDefault="00320DFA" w:rsidP="00320DFA">
      <w:pPr>
        <w:keepNext/>
        <w:widowControl/>
        <w:contextualSpacing/>
        <w:rPr>
          <w:rFonts w:ascii="Times New Roman" w:hAnsi="Times New Roman" w:cs="Times New Roman"/>
        </w:rPr>
      </w:pPr>
    </w:p>
    <w:p w14:paraId="73B8EBA3"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u w:val="single"/>
        </w:rPr>
        <w:t>Right</w:t>
      </w:r>
    </w:p>
    <w:p w14:paraId="1834B771" w14:textId="77777777" w:rsidR="00320DFA" w:rsidRPr="004E52E0" w:rsidRDefault="00320DFA" w:rsidP="00320DFA">
      <w:pPr>
        <w:keepNext/>
        <w:widowControl/>
        <w:contextualSpacing/>
        <w:rPr>
          <w:rFonts w:ascii="Times New Roman" w:hAnsi="Times New Roman" w:cs="Times New Roman"/>
        </w:rPr>
      </w:pPr>
    </w:p>
    <w:p w14:paraId="396E1AD4"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Article 17 of the International Covenant on Civil and Political Rights (</w:t>
      </w:r>
      <w:r w:rsidRPr="00134EE2">
        <w:rPr>
          <w:rFonts w:ascii="Times New Roman" w:hAnsi="Times New Roman" w:cs="Times New Roman"/>
          <w:b/>
        </w:rPr>
        <w:t>the</w:t>
      </w:r>
      <w:r w:rsidRPr="00076BDC">
        <w:rPr>
          <w:rFonts w:ascii="Times New Roman" w:hAnsi="Times New Roman" w:cs="Times New Roman"/>
          <w:b/>
          <w:bCs/>
        </w:rPr>
        <w:t xml:space="preserve"> ICCPR</w:t>
      </w:r>
      <w:r w:rsidRPr="004E52E0">
        <w:rPr>
          <w:rFonts w:ascii="Times New Roman" w:hAnsi="Times New Roman" w:cs="Times New Roman"/>
        </w:rPr>
        <w:t xml:space="preserve">) prohibits unlawful or arbitrary interferences with a person's privacy, family, </w:t>
      </w:r>
      <w:proofErr w:type="gramStart"/>
      <w:r w:rsidRPr="004E52E0">
        <w:rPr>
          <w:rFonts w:ascii="Times New Roman" w:hAnsi="Times New Roman" w:cs="Times New Roman"/>
        </w:rPr>
        <w:t>home</w:t>
      </w:r>
      <w:proofErr w:type="gramEnd"/>
      <w:r w:rsidRPr="004E52E0">
        <w:rPr>
          <w:rFonts w:ascii="Times New Roman" w:hAnsi="Times New Roman" w:cs="Times New Roman"/>
        </w:rPr>
        <w:t xml:space="preserve"> and correspondence.</w:t>
      </w:r>
    </w:p>
    <w:p w14:paraId="50081A5F" w14:textId="77777777" w:rsidR="00320DFA" w:rsidRPr="004E52E0" w:rsidRDefault="00320DFA" w:rsidP="00320DFA">
      <w:pPr>
        <w:widowControl/>
        <w:contextualSpacing/>
        <w:rPr>
          <w:rFonts w:ascii="Times New Roman" w:hAnsi="Times New Roman" w:cs="Times New Roman"/>
        </w:rPr>
      </w:pPr>
    </w:p>
    <w:p w14:paraId="61E882CE"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E52E0">
        <w:rPr>
          <w:rFonts w:ascii="Times New Roman" w:hAnsi="Times New Roman" w:cs="Times New Roman"/>
        </w:rPr>
        <w:t>unproportionality</w:t>
      </w:r>
      <w:proofErr w:type="spellEnd"/>
      <w:r w:rsidRPr="004E52E0">
        <w:rPr>
          <w:rFonts w:ascii="Times New Roman" w:hAnsi="Times New Roman" w:cs="Times New Roman"/>
        </w:rPr>
        <w:t>’.</w:t>
      </w:r>
      <w:r w:rsidRPr="004E52E0">
        <w:rPr>
          <w:rStyle w:val="FootnoteReference"/>
          <w:rFonts w:ascii="Times New Roman" w:hAnsi="Times New Roman" w:cs="Times New Roman"/>
        </w:rPr>
        <w:footnoteReference w:id="1"/>
      </w:r>
    </w:p>
    <w:p w14:paraId="2FEEFFF0" w14:textId="77777777" w:rsidR="00320DFA" w:rsidRPr="004E52E0" w:rsidRDefault="00320DFA" w:rsidP="00320DFA">
      <w:pPr>
        <w:widowControl/>
        <w:contextualSpacing/>
        <w:rPr>
          <w:rFonts w:ascii="Times New Roman" w:hAnsi="Times New Roman" w:cs="Times New Roman"/>
          <w:u w:val="single"/>
        </w:rPr>
      </w:pPr>
    </w:p>
    <w:p w14:paraId="7EDD71A0"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105D065B" w14:textId="77777777" w:rsidR="00320DFA" w:rsidRPr="004E52E0" w:rsidRDefault="00320DFA" w:rsidP="00320DFA">
      <w:pPr>
        <w:widowControl/>
        <w:contextualSpacing/>
        <w:rPr>
          <w:rFonts w:ascii="Times New Roman" w:hAnsi="Times New Roman" w:cs="Times New Roman"/>
        </w:rPr>
      </w:pPr>
    </w:p>
    <w:p w14:paraId="5BC99504" w14:textId="04C6D6E3" w:rsidR="00320DFA" w:rsidRPr="00D30D09" w:rsidRDefault="00320DFA" w:rsidP="00320DFA">
      <w:pPr>
        <w:contextualSpacing/>
        <w:rPr>
          <w:rFonts w:ascii="Times New Roman" w:hAnsi="Times New Roman" w:cs="Times New Roman"/>
          <w:bCs/>
          <w:color w:val="auto"/>
        </w:rPr>
      </w:pPr>
      <w:r w:rsidRPr="00D30D09">
        <w:rPr>
          <w:rFonts w:ascii="Times New Roman" w:hAnsi="Times New Roman" w:cs="Times New Roman"/>
          <w:bCs/>
        </w:rPr>
        <w:t xml:space="preserve">The </w:t>
      </w:r>
      <w:r w:rsidRPr="00D30D09">
        <w:rPr>
          <w:rFonts w:ascii="Times New Roman" w:hAnsi="Times New Roman" w:cs="Times New Roman"/>
        </w:rPr>
        <w:t>2024 Instrument</w:t>
      </w:r>
      <w:r w:rsidRPr="00D30D09">
        <w:rPr>
          <w:rFonts w:ascii="Times New Roman" w:hAnsi="Times New Roman" w:cs="Times New Roman"/>
          <w:bCs/>
        </w:rPr>
        <w:t xml:space="preserve"> is not an unlawful interference with an individual’s right to privacy. Section 10 of the </w:t>
      </w:r>
      <w:r w:rsidRPr="00D30D09">
        <w:rPr>
          <w:rFonts w:ascii="Times New Roman" w:hAnsi="Times New Roman" w:cs="Times New Roman"/>
          <w:bCs/>
          <w:i/>
        </w:rPr>
        <w:t>Autonomous Sanctions Act 2011</w:t>
      </w:r>
      <w:r w:rsidRPr="00D30D09">
        <w:rPr>
          <w:rFonts w:ascii="Times New Roman" w:hAnsi="Times New Roman" w:cs="Times New Roman"/>
          <w:bCs/>
        </w:rPr>
        <w:t xml:space="preserve"> (</w:t>
      </w:r>
      <w:r w:rsidRPr="00D30D09">
        <w:rPr>
          <w:rFonts w:ascii="Times New Roman" w:hAnsi="Times New Roman" w:cs="Times New Roman"/>
          <w:b/>
          <w:bCs/>
        </w:rPr>
        <w:t>the</w:t>
      </w:r>
      <w:r w:rsidRPr="00D30D09">
        <w:rPr>
          <w:rFonts w:ascii="Times New Roman" w:hAnsi="Times New Roman" w:cs="Times New Roman"/>
          <w:b/>
        </w:rPr>
        <w:t xml:space="preserve"> Act</w:t>
      </w:r>
      <w:r w:rsidRPr="00D30D09">
        <w:rPr>
          <w:rFonts w:ascii="Times New Roman" w:hAnsi="Times New Roman" w:cs="Times New Roman"/>
          <w:bCs/>
        </w:rPr>
        <w:t xml:space="preserve">) permits regulations relating to, among other things: ‘proscription of persons or entities (for specified purposes or more generally)’; and ‘restriction or prevention of uses </w:t>
      </w:r>
      <w:proofErr w:type="gramStart"/>
      <w:r w:rsidRPr="00D30D09">
        <w:rPr>
          <w:rFonts w:ascii="Times New Roman" w:hAnsi="Times New Roman" w:cs="Times New Roman"/>
          <w:bCs/>
        </w:rPr>
        <w:t>of,</w:t>
      </w:r>
      <w:proofErr w:type="gramEnd"/>
      <w:r w:rsidRPr="00D30D09">
        <w:rPr>
          <w:rFonts w:ascii="Times New Roman" w:hAnsi="Times New Roman" w:cs="Times New Roman"/>
          <w:bCs/>
        </w:rPr>
        <w:t xml:space="preserve"> dealings with, and making available of, </w:t>
      </w:r>
      <w:r w:rsidRPr="00D30D09">
        <w:rPr>
          <w:rFonts w:ascii="Times New Roman" w:hAnsi="Times New Roman" w:cs="Times New Roman"/>
          <w:bCs/>
          <w:color w:val="auto"/>
        </w:rPr>
        <w:t xml:space="preserve">assets’. The designations and declarations contained in the </w:t>
      </w:r>
      <w:r w:rsidRPr="00D30D09">
        <w:rPr>
          <w:rFonts w:ascii="Times New Roman" w:hAnsi="Times New Roman" w:cs="Times New Roman"/>
          <w:color w:val="auto"/>
        </w:rPr>
        <w:t>2024 Instrument</w:t>
      </w:r>
      <w:r w:rsidRPr="00D30D09">
        <w:rPr>
          <w:rFonts w:ascii="Times New Roman" w:hAnsi="Times New Roman" w:cs="Times New Roman"/>
          <w:bCs/>
          <w:color w:val="auto"/>
        </w:rPr>
        <w:t xml:space="preserve"> were made pursuant to </w:t>
      </w:r>
      <w:r w:rsidR="003E107F">
        <w:rPr>
          <w:rFonts w:ascii="Times New Roman" w:hAnsi="Times New Roman" w:cs="Times New Roman"/>
          <w:bCs/>
          <w:color w:val="auto"/>
        </w:rPr>
        <w:t>paragraphs</w:t>
      </w:r>
      <w:r w:rsidR="003E107F" w:rsidRPr="00D30D09">
        <w:rPr>
          <w:rFonts w:ascii="Times New Roman" w:hAnsi="Times New Roman" w:cs="Times New Roman"/>
          <w:bCs/>
          <w:color w:val="auto"/>
        </w:rPr>
        <w:t xml:space="preserve"> </w:t>
      </w:r>
      <w:r w:rsidRPr="00D30D09">
        <w:rPr>
          <w:rFonts w:ascii="Times New Roman" w:hAnsi="Times New Roman" w:cs="Times New Roman"/>
          <w:bCs/>
          <w:color w:val="auto"/>
        </w:rPr>
        <w:t xml:space="preserve">6(a) and 6(b) of the Regulations, which provide that the Minister may, by legislative instrument, designate a person for targeted financial sanctions and/or declare a person for a travel ban. </w:t>
      </w:r>
    </w:p>
    <w:p w14:paraId="5F66B0FD" w14:textId="77777777" w:rsidR="00320DFA" w:rsidRPr="00D30D09" w:rsidRDefault="00320DFA" w:rsidP="00320DFA">
      <w:pPr>
        <w:contextualSpacing/>
        <w:rPr>
          <w:rFonts w:ascii="Times New Roman" w:hAnsi="Times New Roman" w:cs="Times New Roman"/>
          <w:bCs/>
        </w:rPr>
      </w:pPr>
    </w:p>
    <w:p w14:paraId="01A0C164" w14:textId="77777777" w:rsidR="00320DFA" w:rsidRPr="004E52E0" w:rsidRDefault="00320DFA" w:rsidP="00320DFA">
      <w:pPr>
        <w:contextualSpacing/>
        <w:rPr>
          <w:rFonts w:ascii="Times New Roman" w:hAnsi="Times New Roman" w:cs="Times New Roman"/>
          <w:bCs/>
        </w:rPr>
      </w:pPr>
      <w:r w:rsidRPr="00D30D09">
        <w:rPr>
          <w:rFonts w:ascii="Times New Roman" w:hAnsi="Times New Roman" w:cs="Times New Roman"/>
          <w:bCs/>
        </w:rPr>
        <w:t xml:space="preserve">The measures contained in the </w:t>
      </w:r>
      <w:r w:rsidRPr="00D30D09">
        <w:rPr>
          <w:rFonts w:ascii="Times New Roman" w:hAnsi="Times New Roman" w:cs="Times New Roman"/>
        </w:rPr>
        <w:t>2024 Instrument</w:t>
      </w:r>
      <w:r w:rsidRPr="00D30D09">
        <w:rPr>
          <w:rFonts w:ascii="Times New Roman" w:hAnsi="Times New Roman" w:cs="Times New Roman"/>
          <w:bCs/>
        </w:rPr>
        <w:t xml:space="preserve"> are not an arbitrary interference with an individual’s right to privacy. An interference with privacy will not be arbitrary where it is reasonable, </w:t>
      </w:r>
      <w:proofErr w:type="gramStart"/>
      <w:r w:rsidRPr="00D30D09">
        <w:rPr>
          <w:rFonts w:ascii="Times New Roman" w:hAnsi="Times New Roman" w:cs="Times New Roman"/>
          <w:bCs/>
        </w:rPr>
        <w:t>necessary</w:t>
      </w:r>
      <w:proofErr w:type="gramEnd"/>
      <w:r w:rsidRPr="00D30D09">
        <w:rPr>
          <w:rFonts w:ascii="Times New Roman" w:hAnsi="Times New Roman" w:cs="Times New Roman"/>
          <w:bCs/>
        </w:rPr>
        <w:t xml:space="preserve"> and proportionate in</w:t>
      </w:r>
      <w:r w:rsidRPr="004E52E0">
        <w:rPr>
          <w:rFonts w:ascii="Times New Roman" w:hAnsi="Times New Roman" w:cs="Times New Roman"/>
          <w:bCs/>
        </w:rPr>
        <w:t xml:space="preserve"> the individual circumstances. </w:t>
      </w:r>
    </w:p>
    <w:p w14:paraId="0F27C6E3" w14:textId="77777777" w:rsidR="00320DFA" w:rsidRPr="004E52E0" w:rsidRDefault="00320DFA" w:rsidP="00320DFA">
      <w:pPr>
        <w:contextualSpacing/>
        <w:rPr>
          <w:rFonts w:ascii="Times New Roman" w:hAnsi="Times New Roman" w:cs="Times New Roman"/>
          <w:bCs/>
        </w:rPr>
      </w:pPr>
    </w:p>
    <w:p w14:paraId="0405B6BB" w14:textId="77777777" w:rsidR="00320DFA" w:rsidRPr="004E52E0" w:rsidRDefault="00320DFA" w:rsidP="00320DFA">
      <w:pPr>
        <w:contextualSpacing/>
        <w:rPr>
          <w:shd w:val="clear" w:color="auto" w:fill="FFFFFF"/>
        </w:rPr>
      </w:pPr>
      <w:r w:rsidRPr="004E52E0">
        <w:rPr>
          <w:shd w:val="clear" w:color="auto" w:fill="FFFFFF"/>
        </w:rPr>
        <w:t xml:space="preserve">In designating </w:t>
      </w:r>
      <w:r>
        <w:rPr>
          <w:shd w:val="clear" w:color="auto" w:fill="FFFFFF"/>
        </w:rPr>
        <w:t>persons</w:t>
      </w:r>
      <w:r w:rsidRPr="004E52E0">
        <w:rPr>
          <w:shd w:val="clear" w:color="auto" w:fill="FFFFFF"/>
        </w:rPr>
        <w:t xml:space="preserve"> under the Regulations for targeted financial sanctions and/or declaring </w:t>
      </w:r>
      <w:r>
        <w:rPr>
          <w:shd w:val="clear" w:color="auto" w:fill="FFFFFF"/>
        </w:rPr>
        <w:t xml:space="preserve">persons </w:t>
      </w:r>
      <w:r w:rsidRPr="004E52E0">
        <w:rPr>
          <w:shd w:val="clear" w:color="auto" w:fill="FFFFFF"/>
        </w:rPr>
        <w:t>for a travel ban, the Minister uses predictable, publicly available criteria. These criteria are designed to capture only those persons the Minister is satisfied are involved in situations of international concern, as set out in regulation 6 of the Regulations.</w:t>
      </w:r>
    </w:p>
    <w:p w14:paraId="6A3FCEC1" w14:textId="77777777" w:rsidR="00320DFA" w:rsidRPr="004E52E0" w:rsidRDefault="00320DFA" w:rsidP="00320DFA">
      <w:pPr>
        <w:contextualSpacing/>
        <w:rPr>
          <w:rFonts w:ascii="Times New Roman" w:hAnsi="Times New Roman" w:cs="Times New Roman"/>
          <w:bCs/>
        </w:rPr>
      </w:pPr>
    </w:p>
    <w:p w14:paraId="2CEBA7C1" w14:textId="3253FEFC" w:rsidR="00320DFA" w:rsidRPr="004E52E0" w:rsidRDefault="00320DFA" w:rsidP="00320DFA">
      <w:pPr>
        <w:keepNext/>
        <w:widowControl/>
        <w:contextualSpacing/>
        <w:rPr>
          <w:shd w:val="clear" w:color="auto" w:fill="FFFFFF"/>
        </w:rPr>
      </w:pPr>
      <w:r w:rsidRPr="004E52E0">
        <w:rPr>
          <w:shd w:val="clear" w:color="auto" w:fill="FFFFFF"/>
        </w:rPr>
        <w:t>Accordingly, targeted financial sanctions and</w:t>
      </w:r>
      <w:r w:rsidR="003B1821">
        <w:rPr>
          <w:shd w:val="clear" w:color="auto" w:fill="FFFFFF"/>
        </w:rPr>
        <w:t xml:space="preserve"> the</w:t>
      </w:r>
      <w:r w:rsidRPr="004E52E0">
        <w:rPr>
          <w:shd w:val="clear" w:color="auto" w:fill="FFFFFF"/>
        </w:rPr>
        <w:t xml:space="preserve"> travel ban imposed by the Minister through the designation and declaration of specific </w:t>
      </w:r>
      <w:r>
        <w:rPr>
          <w:shd w:val="clear" w:color="auto" w:fill="FFFFFF"/>
        </w:rPr>
        <w:t>persons</w:t>
      </w:r>
      <w:r w:rsidRPr="004E52E0">
        <w:rPr>
          <w:shd w:val="clear" w:color="auto" w:fill="FFFFFF"/>
        </w:rPr>
        <w:t xml:space="preserve"> under the Regulations are reasonable, </w:t>
      </w:r>
      <w:proofErr w:type="gramStart"/>
      <w:r w:rsidRPr="004E52E0">
        <w:rPr>
          <w:shd w:val="clear" w:color="auto" w:fill="FFFFFF"/>
        </w:rPr>
        <w:t>necessary</w:t>
      </w:r>
      <w:proofErr w:type="gramEnd"/>
      <w:r w:rsidRPr="004E52E0">
        <w:rPr>
          <w:shd w:val="clear" w:color="auto" w:fill="FFFFFF"/>
        </w:rPr>
        <w:t xml:space="preserve"> and proportionate to the individual circumstances the sanction </w:t>
      </w:r>
      <w:r>
        <w:rPr>
          <w:shd w:val="clear" w:color="auto" w:fill="FFFFFF"/>
        </w:rPr>
        <w:t xml:space="preserve">is </w:t>
      </w:r>
      <w:r w:rsidRPr="004E52E0">
        <w:rPr>
          <w:shd w:val="clear" w:color="auto" w:fill="FFFFFF"/>
        </w:rPr>
        <w:t xml:space="preserve">seeking to address. Any interference with the right to privacy created by the </w:t>
      </w:r>
      <w:r w:rsidRPr="00D30D09">
        <w:rPr>
          <w:shd w:val="clear" w:color="auto" w:fill="FFFFFF"/>
        </w:rPr>
        <w:lastRenderedPageBreak/>
        <w:t xml:space="preserve">operation of the </w:t>
      </w:r>
      <w:r w:rsidRPr="00D30D09">
        <w:rPr>
          <w:bCs/>
          <w:shd w:val="clear" w:color="auto" w:fill="FFFFFF"/>
        </w:rPr>
        <w:t>2024 Instrument</w:t>
      </w:r>
      <w:r w:rsidRPr="00D30D09">
        <w:rPr>
          <w:shd w:val="clear" w:color="auto" w:fill="FFFFFF"/>
        </w:rPr>
        <w:t xml:space="preserve"> is not arbitrary or unlawful and is consistent with Australia’s obligations under Article 17 of the </w:t>
      </w:r>
      <w:r w:rsidRPr="00D30D09">
        <w:rPr>
          <w:bCs/>
          <w:shd w:val="clear" w:color="auto" w:fill="FFFFFF"/>
        </w:rPr>
        <w:t>ICCPR</w:t>
      </w:r>
      <w:r w:rsidRPr="00D30D09">
        <w:rPr>
          <w:shd w:val="clear" w:color="auto" w:fill="FFFFFF"/>
        </w:rPr>
        <w:t>.</w:t>
      </w:r>
    </w:p>
    <w:p w14:paraId="678F6CFB" w14:textId="77777777" w:rsidR="00320DFA" w:rsidRPr="004E52E0" w:rsidRDefault="00320DFA" w:rsidP="00320DFA">
      <w:pPr>
        <w:keepNext/>
        <w:widowControl/>
        <w:contextualSpacing/>
        <w:rPr>
          <w:shd w:val="clear" w:color="auto" w:fill="FFFFFF"/>
        </w:rPr>
      </w:pPr>
    </w:p>
    <w:p w14:paraId="0454B92C" w14:textId="77777777" w:rsidR="00320DFA" w:rsidRPr="004E52E0" w:rsidRDefault="00320DFA" w:rsidP="00320DFA">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4150743F" w14:textId="77777777" w:rsidR="00320DFA" w:rsidRPr="004E52E0" w:rsidRDefault="00320DFA" w:rsidP="00320DFA">
      <w:pPr>
        <w:keepNext/>
        <w:widowControl/>
        <w:contextualSpacing/>
        <w:rPr>
          <w:rFonts w:ascii="Times New Roman" w:hAnsi="Times New Roman" w:cs="Times New Roman"/>
          <w:b/>
        </w:rPr>
      </w:pPr>
    </w:p>
    <w:p w14:paraId="4688759E" w14:textId="77777777" w:rsidR="00320DFA" w:rsidRPr="004E52E0" w:rsidRDefault="00320DFA" w:rsidP="00320DFA">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7C151B57" w14:textId="77777777" w:rsidR="00320DFA" w:rsidRPr="004E52E0" w:rsidRDefault="00320DFA" w:rsidP="00320DFA">
      <w:pPr>
        <w:keepNext/>
        <w:widowControl/>
        <w:contextualSpacing/>
        <w:rPr>
          <w:rFonts w:ascii="Times New Roman" w:hAnsi="Times New Roman" w:cs="Times New Roman"/>
          <w:u w:val="single"/>
        </w:rPr>
      </w:pPr>
    </w:p>
    <w:p w14:paraId="50C6DCDA" w14:textId="77777777" w:rsidR="00320DFA" w:rsidRPr="004E52E0" w:rsidRDefault="00320DFA" w:rsidP="00320DFA">
      <w:pPr>
        <w:keepNext/>
        <w:widowControl/>
        <w:contextualSpacing/>
        <w:rPr>
          <w:rFonts w:ascii="Times New Roman" w:hAnsi="Times New Roman" w:cs="Times New Roman"/>
        </w:rPr>
      </w:pPr>
      <w:r w:rsidRPr="004E52E0">
        <w:rPr>
          <w:rFonts w:ascii="Times New Roman" w:hAnsi="Times New Roman" w:cs="Times New Roman"/>
        </w:rPr>
        <w:t xml:space="preserve">The right to respect for the family is protected by </w:t>
      </w:r>
      <w:r w:rsidRPr="00970D1B">
        <w:rPr>
          <w:rFonts w:ascii="Times New Roman" w:hAnsi="Times New Roman" w:cs="Times New Roman"/>
        </w:rPr>
        <w:t>A</w:t>
      </w:r>
      <w:r w:rsidRPr="004E52E0">
        <w:rPr>
          <w:rFonts w:ascii="Times New Roman" w:hAnsi="Times New Roman" w:cs="Times New Roman"/>
        </w:rPr>
        <w:t xml:space="preserve">rticles 17 and 23 of the </w:t>
      </w:r>
      <w:r w:rsidRPr="00A12A0F">
        <w:rPr>
          <w:rFonts w:ascii="Times New Roman" w:hAnsi="Times New Roman" w:cs="Times New Roman"/>
          <w:bCs/>
        </w:rPr>
        <w:t>ICCPR</w:t>
      </w:r>
      <w:r w:rsidRPr="004E52E0">
        <w:rPr>
          <w:rFonts w:ascii="Times New Roman" w:hAnsi="Times New Roman" w:cs="Times New Roman"/>
        </w:rPr>
        <w:t>. It covers, among other things, the separation of family members under migration laws, and arbitrary or unlawful interferences with the family.</w:t>
      </w:r>
    </w:p>
    <w:p w14:paraId="781387F6" w14:textId="77777777" w:rsidR="00320DFA" w:rsidRPr="004E52E0" w:rsidRDefault="00320DFA" w:rsidP="00320DFA">
      <w:pPr>
        <w:widowControl/>
        <w:contextualSpacing/>
        <w:rPr>
          <w:rFonts w:ascii="Times New Roman" w:hAnsi="Times New Roman" w:cs="Times New Roman"/>
        </w:rPr>
      </w:pPr>
    </w:p>
    <w:p w14:paraId="2053D05F"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 xml:space="preserve">Limitations on the right to respect for the family under </w:t>
      </w:r>
      <w:r w:rsidRPr="00970D1B">
        <w:rPr>
          <w:rFonts w:ascii="Times New Roman" w:hAnsi="Times New Roman" w:cs="Times New Roman"/>
        </w:rPr>
        <w:t>A</w:t>
      </w:r>
      <w:r w:rsidRPr="004E52E0">
        <w:rPr>
          <w:rFonts w:ascii="Times New Roman" w:hAnsi="Times New Roman" w:cs="Times New Roman"/>
        </w:rPr>
        <w:t xml:space="preserve">rticles 17 and 23 of the </w:t>
      </w:r>
      <w:r w:rsidRPr="00A12A0F">
        <w:rPr>
          <w:rFonts w:ascii="Times New Roman" w:hAnsi="Times New Roman" w:cs="Times New Roman"/>
          <w:bCs/>
        </w:rPr>
        <w:t>ICCPR</w:t>
      </w:r>
      <w:r w:rsidRPr="004E52E0">
        <w:rPr>
          <w:rFonts w:ascii="Times New Roman" w:hAnsi="Times New Roman" w:cs="Times New Roman"/>
        </w:rPr>
        <w:t xml:space="preserve"> will not violate those articles if the measures in question are lawful and non</w:t>
      </w:r>
      <w:r w:rsidRPr="004E52E0">
        <w:rPr>
          <w:rFonts w:ascii="Times New Roman" w:hAnsi="Times New Roman" w:cs="Times New Roman"/>
        </w:rPr>
        <w:noBreakHyphen/>
        <w:t>arbitrary. An</w:t>
      </w:r>
      <w:r>
        <w:rPr>
          <w:rFonts w:ascii="Times New Roman" w:hAnsi="Times New Roman" w:cs="Times New Roman"/>
        </w:rPr>
        <w:t>y</w:t>
      </w:r>
      <w:r w:rsidRPr="004E52E0">
        <w:rPr>
          <w:rFonts w:ascii="Times New Roman" w:hAnsi="Times New Roman" w:cs="Times New Roman"/>
        </w:rPr>
        <w:t xml:space="preserve"> interference with respect for the family will be consistent with the </w:t>
      </w:r>
      <w:r w:rsidRPr="00A12A0F">
        <w:rPr>
          <w:rFonts w:ascii="Times New Roman" w:hAnsi="Times New Roman" w:cs="Times New Roman"/>
          <w:bCs/>
        </w:rPr>
        <w:t>ICCPR</w:t>
      </w:r>
      <w:r w:rsidRPr="004E52E0">
        <w:rPr>
          <w:rFonts w:ascii="Times New Roman" w:hAnsi="Times New Roman" w:cs="Times New Roman"/>
        </w:rPr>
        <w:t xml:space="preserve"> where it is necessary and proportionate, in accordance with the provisions, aims and objectives of the </w:t>
      </w:r>
      <w:r w:rsidRPr="00A12A0F">
        <w:rPr>
          <w:rFonts w:ascii="Times New Roman" w:hAnsi="Times New Roman" w:cs="Times New Roman"/>
          <w:bCs/>
        </w:rPr>
        <w:t>ICCPR</w:t>
      </w:r>
      <w:r w:rsidRPr="004E52E0">
        <w:rPr>
          <w:rFonts w:ascii="Times New Roman" w:hAnsi="Times New Roman" w:cs="Times New Roman"/>
        </w:rPr>
        <w:t xml:space="preserve">, and is reasonable in the individual circumstances. </w:t>
      </w:r>
    </w:p>
    <w:p w14:paraId="4A6D847C" w14:textId="77777777" w:rsidR="00320DFA" w:rsidRPr="004E52E0" w:rsidRDefault="00320DFA" w:rsidP="00320DFA">
      <w:pPr>
        <w:widowControl/>
        <w:contextualSpacing/>
        <w:rPr>
          <w:rFonts w:ascii="Times New Roman" w:hAnsi="Times New Roman" w:cs="Times New Roman"/>
          <w:color w:val="auto"/>
        </w:rPr>
      </w:pPr>
    </w:p>
    <w:p w14:paraId="668056D2" w14:textId="77777777" w:rsidR="00320DFA" w:rsidRPr="004E52E0" w:rsidRDefault="00320DFA" w:rsidP="00320DFA">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648FA4F5" w14:textId="77777777" w:rsidR="00320DFA" w:rsidRDefault="00320DFA" w:rsidP="00320DFA">
      <w:pPr>
        <w:widowControl/>
        <w:shd w:val="clear" w:color="auto" w:fill="FFFFFF"/>
        <w:rPr>
          <w:rFonts w:ascii="Times New Roman" w:hAnsi="Times New Roman" w:cs="Times New Roman"/>
          <w:lang w:eastAsia="en-AU"/>
        </w:rPr>
      </w:pPr>
    </w:p>
    <w:p w14:paraId="75B82FB4"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360B1164"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1A6ECB0" w14:textId="480FF7DF"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w:t>
      </w:r>
      <w:r w:rsidRPr="00EE35A9">
        <w:rPr>
          <w:rFonts w:ascii="Times New Roman" w:hAnsi="Times New Roman" w:cs="Times New Roman"/>
          <w:lang w:eastAsia="en-AU"/>
        </w:rPr>
        <w:t xml:space="preserve">regulation 6 of the Regulations are drafted </w:t>
      </w:r>
      <w:r>
        <w:rPr>
          <w:rFonts w:ascii="Times New Roman" w:hAnsi="Times New Roman" w:cs="Times New Roman"/>
          <w:lang w:eastAsia="en-AU"/>
        </w:rPr>
        <w:t xml:space="preserve">by reference to specific foreign countries, it is </w:t>
      </w:r>
      <w:r w:rsidR="000A42CD">
        <w:rPr>
          <w:rFonts w:ascii="Times New Roman" w:hAnsi="Times New Roman" w:cs="Times New Roman"/>
          <w:lang w:eastAsia="en-AU"/>
        </w:rPr>
        <w:t xml:space="preserve">highly </w:t>
      </w:r>
      <w:r>
        <w:rPr>
          <w:rFonts w:ascii="Times New Roman" w:hAnsi="Times New Roman" w:cs="Times New Roman"/>
          <w:lang w:eastAsia="en-AU"/>
        </w:rPr>
        <w:t xml:space="preserve">unlikely, </w:t>
      </w:r>
      <w:r w:rsidRPr="00C5728D">
        <w:rPr>
          <w:rFonts w:ascii="Times New Roman" w:hAnsi="Times New Roman" w:cs="Times New Roman"/>
          <w:lang w:eastAsia="en-AU"/>
        </w:rPr>
        <w:t>as a practical matter, that a person declared for a travel ban holds an Australian visa, usually resides in Australia and/or has immediate family also in Australia</w:t>
      </w:r>
      <w:r w:rsidRPr="004E52E0">
        <w:rPr>
          <w:rFonts w:ascii="Times New Roman" w:hAnsi="Times New Roman" w:cs="Times New Roman"/>
          <w:lang w:eastAsia="en-AU"/>
        </w:rPr>
        <w:t>.</w:t>
      </w:r>
    </w:p>
    <w:p w14:paraId="5BD30117"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8DDB170" w14:textId="7A1FC05F"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Department of Foreign Affairs and Trade consults relevant agencies</w:t>
      </w:r>
      <w:r>
        <w:rPr>
          <w:rFonts w:ascii="Times New Roman" w:hAnsi="Times New Roman" w:cs="Times New Roman"/>
          <w:lang w:eastAsia="en-AU"/>
        </w:rPr>
        <w:t>,</w:t>
      </w:r>
      <w:r w:rsidRPr="004E52E0">
        <w:rPr>
          <w:rFonts w:ascii="Times New Roman" w:hAnsi="Times New Roman" w:cs="Times New Roman"/>
          <w:lang w:eastAsia="en-AU"/>
        </w:rPr>
        <w:t xml:space="preserve"> as appropriate</w:t>
      </w:r>
      <w:r>
        <w:rPr>
          <w:rFonts w:ascii="Times New Roman" w:hAnsi="Times New Roman" w:cs="Times New Roman"/>
          <w:lang w:eastAsia="en-AU"/>
        </w:rPr>
        <w:t>,</w:t>
      </w:r>
      <w:r w:rsidRPr="004E52E0">
        <w:rPr>
          <w:rFonts w:ascii="Times New Roman" w:hAnsi="Times New Roman" w:cs="Times New Roman"/>
          <w:lang w:eastAsia="en-AU"/>
        </w:rPr>
        <w:t xml:space="preserve"> in advance of a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7BECE69B"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A57CF1B" w14:textId="77777777" w:rsidR="00320DFA" w:rsidRPr="00D30D09"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w:t>
      </w:r>
      <w:r>
        <w:rPr>
          <w:rFonts w:ascii="Times New Roman" w:hAnsi="Times New Roman" w:cs="Times New Roman"/>
          <w:lang w:eastAsia="en-AU"/>
        </w:rPr>
        <w:t xml:space="preserve"> </w:t>
      </w:r>
      <w:r w:rsidRPr="00D30D09">
        <w:rPr>
          <w:rFonts w:ascii="Times New Roman" w:hAnsi="Times New Roman" w:cs="Times New Roman"/>
          <w:lang w:eastAsia="en-AU"/>
        </w:rPr>
        <w:t xml:space="preserve">imposed by to the </w:t>
      </w:r>
      <w:r w:rsidRPr="00D30D09">
        <w:rPr>
          <w:rFonts w:ascii="Times New Roman" w:hAnsi="Times New Roman" w:cs="Times New Roman"/>
          <w:bCs/>
          <w:lang w:eastAsia="en-AU"/>
        </w:rPr>
        <w:t>2024 Instrument</w:t>
      </w:r>
      <w:r w:rsidRPr="00D30D09">
        <w:rPr>
          <w:rFonts w:ascii="Times New Roman" w:hAnsi="Times New Roman" w:cs="Times New Roman"/>
          <w:lang w:eastAsia="en-AU"/>
        </w:rPr>
        <w:t xml:space="preserve"> engages and limits the right to respect for the family in a particular case, the Regulations provide sufficient flexibility to treat each case differently. Under </w:t>
      </w:r>
      <w:proofErr w:type="spellStart"/>
      <w:r w:rsidRPr="000044A0">
        <w:rPr>
          <w:rFonts w:ascii="Times New Roman" w:hAnsi="Times New Roman" w:cs="Times New Roman"/>
          <w:lang w:eastAsia="en-AU"/>
        </w:rPr>
        <w:t>subregulation</w:t>
      </w:r>
      <w:proofErr w:type="spellEnd"/>
      <w:r w:rsidRPr="00D30D09">
        <w:rPr>
          <w:rFonts w:ascii="Times New Roman" w:hAnsi="Times New Roman" w:cs="Times New Roman"/>
          <w:lang w:eastAsia="en-AU"/>
        </w:rPr>
        <w:t xml:space="preserve"> 19(3) of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w:t>
      </w:r>
      <w:proofErr w:type="gramStart"/>
      <w:r w:rsidRPr="00D30D09">
        <w:rPr>
          <w:rFonts w:ascii="Times New Roman" w:hAnsi="Times New Roman" w:cs="Times New Roman"/>
          <w:lang w:eastAsia="en-AU"/>
        </w:rPr>
        <w:t>proportionate</w:t>
      </w:r>
      <w:proofErr w:type="gramEnd"/>
      <w:r w:rsidRPr="00D30D09">
        <w:rPr>
          <w:rFonts w:ascii="Times New Roman" w:hAnsi="Times New Roman" w:cs="Times New Roman"/>
          <w:lang w:eastAsia="en-AU"/>
        </w:rPr>
        <w:t xml:space="preserve"> and justified in achieving the objective of the </w:t>
      </w:r>
      <w:r w:rsidRPr="00D30D09">
        <w:rPr>
          <w:rFonts w:ascii="Times New Roman" w:hAnsi="Times New Roman" w:cs="Times New Roman"/>
          <w:bCs/>
          <w:lang w:eastAsia="en-AU"/>
        </w:rPr>
        <w:t>2024 Instrument</w:t>
      </w:r>
      <w:r w:rsidRPr="00D30D09">
        <w:rPr>
          <w:rFonts w:ascii="Times New Roman" w:hAnsi="Times New Roman" w:cs="Times New Roman"/>
          <w:lang w:eastAsia="en-AU"/>
        </w:rPr>
        <w:t>.</w:t>
      </w:r>
    </w:p>
    <w:p w14:paraId="25B10FF5" w14:textId="77777777" w:rsidR="00320DFA" w:rsidRPr="00D30D09" w:rsidRDefault="00320DFA" w:rsidP="00320DFA">
      <w:pPr>
        <w:widowControl/>
        <w:shd w:val="clear" w:color="auto" w:fill="FFFFFF"/>
        <w:rPr>
          <w:rFonts w:ascii="Times New Roman" w:hAnsi="Times New Roman" w:cs="Times New Roman"/>
          <w:lang w:eastAsia="en-AU"/>
        </w:rPr>
      </w:pPr>
      <w:r w:rsidRPr="00D30D09">
        <w:rPr>
          <w:rFonts w:ascii="Times New Roman" w:hAnsi="Times New Roman" w:cs="Times New Roman"/>
          <w:lang w:eastAsia="en-AU"/>
        </w:rPr>
        <w:t> </w:t>
      </w:r>
    </w:p>
    <w:p w14:paraId="14BDF8FB" w14:textId="77777777" w:rsidR="00320DFA" w:rsidRDefault="00320DFA" w:rsidP="00320DFA">
      <w:pPr>
        <w:widowControl/>
        <w:shd w:val="clear" w:color="auto" w:fill="FFFFFF"/>
        <w:rPr>
          <w:rFonts w:ascii="Times New Roman" w:hAnsi="Times New Roman" w:cs="Times New Roman"/>
          <w:lang w:eastAsia="en-AU"/>
        </w:rPr>
      </w:pPr>
      <w:r w:rsidRPr="00D30D09">
        <w:rPr>
          <w:rFonts w:ascii="Times New Roman" w:hAnsi="Times New Roman" w:cs="Times New Roman"/>
          <w:lang w:eastAsia="en-AU"/>
        </w:rPr>
        <w:t xml:space="preserve">Accordingly, any interference with the right to respect for the family created by the operation of the </w:t>
      </w:r>
      <w:r w:rsidRPr="00D30D09">
        <w:rPr>
          <w:rFonts w:ascii="Times New Roman" w:hAnsi="Times New Roman" w:cs="Times New Roman"/>
          <w:bCs/>
          <w:lang w:eastAsia="en-AU"/>
        </w:rPr>
        <w:t>2024 Instrument</w:t>
      </w:r>
      <w:r w:rsidRPr="00D30D09">
        <w:rPr>
          <w:rFonts w:ascii="Times New Roman" w:hAnsi="Times New Roman" w:cs="Times New Roman"/>
          <w:lang w:eastAsia="en-AU"/>
        </w:rPr>
        <w:t xml:space="preserve"> is not unlawful or arbitrary and is consistent with Australia’s obligations under Articles 17 and 23</w:t>
      </w:r>
      <w:r w:rsidRPr="004E52E0">
        <w:rPr>
          <w:rFonts w:ascii="Times New Roman" w:hAnsi="Times New Roman" w:cs="Times New Roman"/>
          <w:lang w:eastAsia="en-AU"/>
        </w:rPr>
        <w:t xml:space="preserve"> of the </w:t>
      </w:r>
      <w:r w:rsidRPr="0076611A">
        <w:rPr>
          <w:rFonts w:ascii="Times New Roman" w:hAnsi="Times New Roman" w:cs="Times New Roman"/>
          <w:bCs/>
          <w:lang w:eastAsia="en-AU"/>
        </w:rPr>
        <w:t>ICCPR</w:t>
      </w:r>
      <w:r w:rsidRPr="004E52E0">
        <w:rPr>
          <w:rFonts w:ascii="Times New Roman" w:hAnsi="Times New Roman" w:cs="Times New Roman"/>
          <w:lang w:eastAsia="en-AU"/>
        </w:rPr>
        <w:t>.</w:t>
      </w:r>
    </w:p>
    <w:p w14:paraId="570579E4" w14:textId="77777777" w:rsidR="00320DFA" w:rsidRDefault="00320DFA" w:rsidP="00320DFA">
      <w:pPr>
        <w:widowControl/>
        <w:shd w:val="clear" w:color="auto" w:fill="FFFFFF"/>
        <w:rPr>
          <w:rFonts w:ascii="Times New Roman" w:hAnsi="Times New Roman" w:cs="Times New Roman"/>
          <w:lang w:eastAsia="en-AU"/>
        </w:rPr>
      </w:pPr>
    </w:p>
    <w:p w14:paraId="08220F53" w14:textId="77777777" w:rsidR="00320DFA" w:rsidRPr="004E52E0" w:rsidRDefault="00320DFA" w:rsidP="00320DFA">
      <w:pPr>
        <w:keepNext/>
        <w:keepLines/>
        <w:widowControl/>
        <w:contextualSpacing/>
        <w:rPr>
          <w:rFonts w:ascii="Times New Roman" w:hAnsi="Times New Roman" w:cs="Times New Roman"/>
          <w:b/>
        </w:rPr>
      </w:pPr>
      <w:r w:rsidRPr="004E52E0">
        <w:rPr>
          <w:rFonts w:ascii="Times New Roman" w:hAnsi="Times New Roman" w:cs="Times New Roman"/>
          <w:b/>
        </w:rPr>
        <w:lastRenderedPageBreak/>
        <w:t>Right to an adequate standard of living</w:t>
      </w:r>
    </w:p>
    <w:p w14:paraId="1DB2A16C" w14:textId="77777777" w:rsidR="00320DFA" w:rsidRPr="004E52E0" w:rsidRDefault="00320DFA" w:rsidP="00320DFA">
      <w:pPr>
        <w:keepNext/>
        <w:keepLines/>
        <w:widowControl/>
        <w:contextualSpacing/>
        <w:rPr>
          <w:rFonts w:ascii="Times New Roman" w:hAnsi="Times New Roman" w:cs="Times New Roman"/>
          <w:b/>
        </w:rPr>
      </w:pPr>
    </w:p>
    <w:p w14:paraId="68E75D89" w14:textId="77777777" w:rsidR="00320DFA" w:rsidRPr="004E52E0" w:rsidRDefault="00320DFA" w:rsidP="00320DFA">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0EFC3E8B" w14:textId="77777777" w:rsidR="00320DFA" w:rsidRDefault="00320DFA" w:rsidP="00320DFA">
      <w:pPr>
        <w:keepNext/>
        <w:keepLines/>
        <w:widowControl/>
        <w:contextualSpacing/>
        <w:rPr>
          <w:rFonts w:ascii="Times New Roman" w:hAnsi="Times New Roman" w:cs="Times New Roman"/>
        </w:rPr>
      </w:pPr>
    </w:p>
    <w:p w14:paraId="7DF811F1" w14:textId="37B067EF" w:rsidR="00320DFA" w:rsidRPr="004E52E0" w:rsidRDefault="00320DFA" w:rsidP="00320DFA">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w:t>
      </w:r>
      <w:r w:rsidRPr="00076BDC">
        <w:rPr>
          <w:rFonts w:ascii="Times New Roman" w:hAnsi="Times New Roman" w:cs="Times New Roman"/>
          <w:b/>
          <w:bCs/>
        </w:rPr>
        <w:t>ICESCR</w:t>
      </w:r>
      <w:r w:rsidRPr="004E52E0">
        <w:rPr>
          <w:rFonts w:ascii="Times New Roman" w:hAnsi="Times New Roman" w:cs="Times New Roman"/>
        </w:rPr>
        <w:t>) and requires States to ensure the availability and accessibility of the resources that are essential to the realisation of the right</w:t>
      </w:r>
      <w:r>
        <w:rPr>
          <w:rFonts w:ascii="Times New Roman" w:hAnsi="Times New Roman" w:cs="Times New Roman"/>
        </w:rPr>
        <w:t>,</w:t>
      </w:r>
      <w:r w:rsidRPr="004E52E0">
        <w:rPr>
          <w:rFonts w:ascii="Times New Roman" w:hAnsi="Times New Roman" w:cs="Times New Roman"/>
        </w:rPr>
        <w:t xml:space="preserve"> </w:t>
      </w:r>
      <w:r>
        <w:rPr>
          <w:rFonts w:ascii="Times New Roman" w:hAnsi="Times New Roman" w:cs="Times New Roman"/>
        </w:rPr>
        <w:t>including adequate</w:t>
      </w:r>
      <w:r w:rsidRPr="004E52E0">
        <w:rPr>
          <w:rFonts w:ascii="Times New Roman" w:hAnsi="Times New Roman" w:cs="Times New Roman"/>
        </w:rPr>
        <w:t xml:space="preserve"> food, water</w:t>
      </w:r>
      <w:r>
        <w:rPr>
          <w:rFonts w:ascii="Times New Roman" w:hAnsi="Times New Roman" w:cs="Times New Roman"/>
        </w:rPr>
        <w:t>, clothing</w:t>
      </w:r>
      <w:r w:rsidRPr="004E52E0">
        <w:rPr>
          <w:rFonts w:ascii="Times New Roman" w:hAnsi="Times New Roman" w:cs="Times New Roman"/>
        </w:rPr>
        <w:t>, and housing.</w:t>
      </w:r>
    </w:p>
    <w:p w14:paraId="30D53447" w14:textId="77777777" w:rsidR="00320DFA" w:rsidRPr="004E52E0" w:rsidRDefault="00320DFA" w:rsidP="00320DFA">
      <w:pPr>
        <w:widowControl/>
        <w:contextualSpacing/>
        <w:rPr>
          <w:rFonts w:ascii="Times New Roman" w:hAnsi="Times New Roman" w:cs="Times New Roman"/>
        </w:rPr>
      </w:pPr>
    </w:p>
    <w:p w14:paraId="7E4346A8" w14:textId="77777777" w:rsidR="00320DFA" w:rsidRPr="004E52E0" w:rsidRDefault="00320DFA" w:rsidP="00320DFA">
      <w:pPr>
        <w:widowControl/>
        <w:contextualSpacing/>
        <w:rPr>
          <w:rFonts w:ascii="Times New Roman" w:hAnsi="Times New Roman" w:cs="Times New Roman"/>
        </w:rPr>
      </w:pPr>
      <w:r w:rsidRPr="004E52E0">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5FA8414" w14:textId="77777777" w:rsidR="00320DFA" w:rsidRPr="004E52E0" w:rsidRDefault="00320DFA" w:rsidP="00320DFA">
      <w:pPr>
        <w:widowControl/>
        <w:contextualSpacing/>
        <w:rPr>
          <w:rFonts w:ascii="Times New Roman" w:hAnsi="Times New Roman" w:cs="Times New Roman"/>
          <w:u w:val="single"/>
        </w:rPr>
      </w:pPr>
    </w:p>
    <w:p w14:paraId="26A9E695" w14:textId="77777777" w:rsidR="00320DFA" w:rsidRPr="004E52E0" w:rsidRDefault="00320DFA" w:rsidP="00320DFA">
      <w:pPr>
        <w:keepNext/>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5EFFAA95" w14:textId="77777777" w:rsidR="00320DFA" w:rsidRDefault="00320DFA" w:rsidP="00320DFA">
      <w:pPr>
        <w:widowControl/>
        <w:contextualSpacing/>
        <w:rPr>
          <w:rFonts w:ascii="Times New Roman" w:hAnsi="Times New Roman" w:cs="Times New Roman"/>
        </w:rPr>
      </w:pPr>
    </w:p>
    <w:p w14:paraId="114008C6" w14:textId="77777777" w:rsidR="00320DFA" w:rsidRPr="00D30D09" w:rsidRDefault="00320DFA" w:rsidP="00320DFA">
      <w:pPr>
        <w:widowControl/>
        <w:contextualSpacing/>
        <w:rPr>
          <w:rFonts w:ascii="Times New Roman" w:hAnsi="Times New Roman" w:cs="Times New Roman"/>
        </w:rPr>
      </w:pPr>
      <w:r w:rsidRPr="00D30D09">
        <w:rPr>
          <w:rFonts w:ascii="Times New Roman" w:hAnsi="Times New Roman" w:cs="Times New Roman"/>
        </w:rPr>
        <w:t xml:space="preserve">Any limitation on the enjoyment of Article 11(1) of the </w:t>
      </w:r>
      <w:r w:rsidRPr="00D30D09">
        <w:rPr>
          <w:rFonts w:ascii="Times New Roman" w:hAnsi="Times New Roman" w:cs="Times New Roman"/>
          <w:bCs/>
        </w:rPr>
        <w:t>ICESCR</w:t>
      </w:r>
      <w:r w:rsidRPr="00D30D09">
        <w:rPr>
          <w:rFonts w:ascii="Times New Roman" w:hAnsi="Times New Roman" w:cs="Times New Roman"/>
        </w:rPr>
        <w:t xml:space="preserve">, to the extent that it occurs, is reasonable and necessary to achieve the objective of the </w:t>
      </w:r>
      <w:r w:rsidRPr="00D30D09">
        <w:rPr>
          <w:rFonts w:ascii="Times New Roman" w:hAnsi="Times New Roman" w:cs="Times New Roman"/>
          <w:bCs/>
        </w:rPr>
        <w:t>2024 Instrument</w:t>
      </w:r>
      <w:r w:rsidRPr="00D30D09">
        <w:rPr>
          <w:rFonts w:ascii="Times New Roman" w:hAnsi="Times New Roman" w:cs="Times New Roman"/>
        </w:rPr>
        <w:t xml:space="preserve"> and is proportionate due to the targeted nature of the listings. The Regulations also provide sufficient flexibility to treat each case differently by allowing for any adverse impacts on family members </w:t>
      </w:r>
      <w:proofErr w:type="gramStart"/>
      <w:r w:rsidRPr="00D30D09">
        <w:rPr>
          <w:rFonts w:ascii="Times New Roman" w:hAnsi="Times New Roman" w:cs="Times New Roman"/>
        </w:rPr>
        <w:t>as a consequence of</w:t>
      </w:r>
      <w:proofErr w:type="gramEnd"/>
      <w:r w:rsidRPr="00D30D09">
        <w:rPr>
          <w:rFonts w:ascii="Times New Roman" w:hAnsi="Times New Roman" w:cs="Times New Roman"/>
        </w:rPr>
        <w:t xml:space="preserve"> targeted financial sanctions to be mitigated. </w:t>
      </w:r>
      <w:r w:rsidRPr="003E107F">
        <w:rPr>
          <w:rFonts w:ascii="Times New Roman" w:hAnsi="Times New Roman" w:cs="Times New Roman"/>
        </w:rPr>
        <w:t>The Regulations provide for the payment of basic expenses (among others) in accordance with permits granted by the Minister under regulation 18</w:t>
      </w:r>
      <w:r w:rsidRPr="00D30D09">
        <w:rPr>
          <w:rFonts w:ascii="Times New Roman" w:hAnsi="Times New Roman" w:cs="Times New Roman"/>
        </w:rPr>
        <w:t>.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609D43F5" w14:textId="77777777" w:rsidR="00320DFA" w:rsidRPr="00D30D09" w:rsidRDefault="00320DFA" w:rsidP="00320DFA">
      <w:pPr>
        <w:widowControl/>
        <w:contextualSpacing/>
        <w:rPr>
          <w:rFonts w:ascii="Times New Roman" w:hAnsi="Times New Roman" w:cs="Times New Roman"/>
        </w:rPr>
      </w:pPr>
    </w:p>
    <w:p w14:paraId="0C44F868" w14:textId="77777777" w:rsidR="00320DFA" w:rsidRPr="00D30D09" w:rsidRDefault="00320DFA" w:rsidP="00320DFA">
      <w:pPr>
        <w:widowControl/>
        <w:contextualSpacing/>
        <w:rPr>
          <w:rFonts w:ascii="Times New Roman" w:hAnsi="Times New Roman" w:cs="Times New Roman"/>
        </w:rPr>
      </w:pPr>
      <w:r w:rsidRPr="00D30D09">
        <w:rPr>
          <w:rFonts w:ascii="Times New Roman" w:hAnsi="Times New Roman" w:cs="Times New Roman"/>
        </w:rPr>
        <w:t xml:space="preserve">The permit process is a flexible and effective safeguard on any limitation to the enjoyment of Article 11(1) of the </w:t>
      </w:r>
      <w:r w:rsidRPr="00D30D09">
        <w:rPr>
          <w:rFonts w:ascii="Times New Roman" w:hAnsi="Times New Roman" w:cs="Times New Roman"/>
          <w:bCs/>
        </w:rPr>
        <w:t>ICESCR</w:t>
      </w:r>
      <w:r w:rsidRPr="00D30D09">
        <w:rPr>
          <w:rFonts w:ascii="Times New Roman" w:hAnsi="Times New Roman" w:cs="Times New Roman"/>
        </w:rPr>
        <w:t>.</w:t>
      </w:r>
    </w:p>
    <w:p w14:paraId="4CFA5E8F" w14:textId="77777777" w:rsidR="00320DFA" w:rsidRPr="00D30D09" w:rsidRDefault="00320DFA" w:rsidP="00320DFA">
      <w:pPr>
        <w:widowControl/>
        <w:contextualSpacing/>
        <w:rPr>
          <w:rFonts w:ascii="Times New Roman" w:hAnsi="Times New Roman" w:cs="Times New Roman"/>
        </w:rPr>
      </w:pPr>
    </w:p>
    <w:p w14:paraId="3C0A774E" w14:textId="77777777" w:rsidR="00320DFA" w:rsidRPr="00D30D09" w:rsidRDefault="00320DFA" w:rsidP="00320DFA">
      <w:pPr>
        <w:widowControl/>
        <w:contextualSpacing/>
        <w:rPr>
          <w:rFonts w:ascii="Times New Roman" w:hAnsi="Times New Roman" w:cs="Times New Roman"/>
          <w:b/>
          <w:lang w:val="en-GB"/>
        </w:rPr>
      </w:pPr>
      <w:r w:rsidRPr="00D30D09">
        <w:rPr>
          <w:rFonts w:ascii="Times New Roman" w:hAnsi="Times New Roman" w:cs="Times New Roman"/>
          <w:b/>
          <w:lang w:val="en-GB"/>
        </w:rPr>
        <w:t>Right to freedom of movement</w:t>
      </w:r>
    </w:p>
    <w:p w14:paraId="788FBFA1" w14:textId="77777777" w:rsidR="00320DFA" w:rsidRPr="00D30D09" w:rsidRDefault="00320DFA" w:rsidP="00320DFA">
      <w:pPr>
        <w:widowControl/>
        <w:contextualSpacing/>
        <w:rPr>
          <w:rFonts w:ascii="Times New Roman" w:hAnsi="Times New Roman" w:cs="Times New Roman"/>
          <w:lang w:val="en-GB"/>
        </w:rPr>
      </w:pPr>
    </w:p>
    <w:p w14:paraId="3DB76A97" w14:textId="77777777" w:rsidR="00320DFA" w:rsidRPr="00D30D09" w:rsidRDefault="00320DFA" w:rsidP="00320DFA">
      <w:pPr>
        <w:widowControl/>
        <w:contextualSpacing/>
        <w:rPr>
          <w:rFonts w:ascii="Times New Roman" w:hAnsi="Times New Roman" w:cs="Times New Roman"/>
          <w:u w:val="single"/>
          <w:lang w:val="en-GB"/>
        </w:rPr>
      </w:pPr>
      <w:r w:rsidRPr="00D30D09">
        <w:rPr>
          <w:rFonts w:ascii="Times New Roman" w:hAnsi="Times New Roman" w:cs="Times New Roman"/>
          <w:u w:val="single"/>
          <w:lang w:val="en-GB"/>
        </w:rPr>
        <w:t>Right</w:t>
      </w:r>
    </w:p>
    <w:p w14:paraId="4080FA4C" w14:textId="77777777" w:rsidR="00320DFA" w:rsidRPr="00D30D09" w:rsidRDefault="00320DFA" w:rsidP="00320DFA">
      <w:pPr>
        <w:widowControl/>
        <w:contextualSpacing/>
        <w:rPr>
          <w:rFonts w:ascii="Times New Roman" w:hAnsi="Times New Roman" w:cs="Times New Roman"/>
          <w:lang w:val="en-GB"/>
        </w:rPr>
      </w:pPr>
    </w:p>
    <w:p w14:paraId="2F0F0E7A" w14:textId="77777777" w:rsidR="00320DFA" w:rsidRPr="00D30D09" w:rsidRDefault="00320DFA" w:rsidP="00320DFA">
      <w:pPr>
        <w:widowControl/>
        <w:contextualSpacing/>
        <w:rPr>
          <w:rFonts w:ascii="Times New Roman" w:hAnsi="Times New Roman" w:cs="Times New Roman"/>
          <w:lang w:val="en-GB"/>
        </w:rPr>
      </w:pPr>
      <w:r w:rsidRPr="00D30D09">
        <w:rPr>
          <w:rFonts w:ascii="Times New Roman" w:hAnsi="Times New Roman" w:cs="Times New Roman"/>
          <w:lang w:val="en-GB"/>
        </w:rPr>
        <w:t xml:space="preserve">Article 12 of the </w:t>
      </w:r>
      <w:r w:rsidRPr="00D30D09">
        <w:rPr>
          <w:rFonts w:ascii="Times New Roman" w:hAnsi="Times New Roman" w:cs="Times New Roman"/>
          <w:bCs/>
          <w:lang w:val="en-GB"/>
        </w:rPr>
        <w:t>ICCPR</w:t>
      </w:r>
      <w:r w:rsidRPr="00D30D09">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FAB2221" w14:textId="77777777" w:rsidR="00320DFA" w:rsidRPr="00D30D09" w:rsidRDefault="00320DFA" w:rsidP="00320DFA">
      <w:pPr>
        <w:widowControl/>
        <w:contextualSpacing/>
        <w:rPr>
          <w:rFonts w:ascii="Times New Roman" w:hAnsi="Times New Roman" w:cs="Times New Roman"/>
          <w:lang w:val="en-GB"/>
        </w:rPr>
      </w:pPr>
    </w:p>
    <w:p w14:paraId="13493497" w14:textId="77777777" w:rsidR="00320DFA" w:rsidRPr="00D30D09" w:rsidRDefault="00320DFA" w:rsidP="00320DFA">
      <w:pPr>
        <w:widowControl/>
        <w:contextualSpacing/>
        <w:rPr>
          <w:rFonts w:ascii="Times New Roman" w:hAnsi="Times New Roman" w:cs="Times New Roman"/>
          <w:lang w:val="en-GB"/>
        </w:rPr>
      </w:pPr>
      <w:r w:rsidRPr="00D30D09">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D30D09">
        <w:rPr>
          <w:rFonts w:ascii="Times New Roman" w:hAnsi="Times New Roman" w:cs="Times New Roman"/>
          <w:lang w:val="en-GB"/>
        </w:rPr>
        <w:t>necessary</w:t>
      </w:r>
      <w:proofErr w:type="gramEnd"/>
      <w:r w:rsidRPr="00D30D09">
        <w:rPr>
          <w:rFonts w:ascii="Times New Roman" w:hAnsi="Times New Roman" w:cs="Times New Roman"/>
          <w:lang w:val="en-GB"/>
        </w:rPr>
        <w:t xml:space="preserve"> and proportionate.</w:t>
      </w:r>
    </w:p>
    <w:p w14:paraId="7A734E35" w14:textId="77777777" w:rsidR="00320DFA" w:rsidRPr="00D30D09" w:rsidRDefault="00320DFA" w:rsidP="00320DFA">
      <w:pPr>
        <w:widowControl/>
        <w:contextualSpacing/>
        <w:rPr>
          <w:rFonts w:ascii="Times New Roman" w:hAnsi="Times New Roman" w:cs="Times New Roman"/>
          <w:i/>
          <w:lang w:val="en-GB"/>
        </w:rPr>
      </w:pPr>
    </w:p>
    <w:p w14:paraId="348C40CA" w14:textId="77777777" w:rsidR="00320DFA" w:rsidRPr="00D30D09" w:rsidRDefault="00320DFA" w:rsidP="00320DFA">
      <w:pPr>
        <w:widowControl/>
        <w:contextualSpacing/>
        <w:rPr>
          <w:rFonts w:ascii="Times New Roman" w:hAnsi="Times New Roman" w:cs="Times New Roman"/>
          <w:u w:val="single"/>
          <w:lang w:val="en-GB"/>
        </w:rPr>
      </w:pPr>
      <w:r w:rsidRPr="00D30D09">
        <w:rPr>
          <w:rFonts w:ascii="Times New Roman" w:hAnsi="Times New Roman" w:cs="Times New Roman"/>
          <w:u w:val="single"/>
          <w:lang w:val="en-GB"/>
        </w:rPr>
        <w:t>Permissible limitations</w:t>
      </w:r>
    </w:p>
    <w:p w14:paraId="039E50D7" w14:textId="77777777" w:rsidR="00320DFA" w:rsidRPr="00D30D09" w:rsidRDefault="00320DFA" w:rsidP="00320DFA">
      <w:pPr>
        <w:widowControl/>
        <w:contextualSpacing/>
        <w:rPr>
          <w:rFonts w:ascii="Times New Roman" w:hAnsi="Times New Roman" w:cs="Times New Roman"/>
          <w:lang w:val="en-GB"/>
        </w:rPr>
      </w:pPr>
    </w:p>
    <w:p w14:paraId="6B8FF835" w14:textId="77777777" w:rsidR="00320DFA" w:rsidRPr="00D30D09" w:rsidRDefault="00320DFA" w:rsidP="00320DFA">
      <w:pPr>
        <w:widowControl/>
        <w:contextualSpacing/>
      </w:pPr>
      <w:r w:rsidRPr="00D30D09">
        <w:t xml:space="preserve">As the listing criteria in regulation 6 of the Regulations are drafted by reference to specific foreign countries, it is highly unlikely, as a practical matter, that a person declared for a travel ban would be an Australian citizen, or have spent such lengths of </w:t>
      </w:r>
      <w:r w:rsidRPr="00D30D09">
        <w:lastRenderedPageBreak/>
        <w:t>time in Australia, such that Australia could be considered their ‘own country’. Furthermore, travel bans – which are a power to refuse a visa and to cancel a visa – do not apply to Australian citizens.</w:t>
      </w:r>
    </w:p>
    <w:p w14:paraId="0D31FAA0" w14:textId="77777777" w:rsidR="00320DFA" w:rsidRPr="00D30D09" w:rsidRDefault="00320DFA" w:rsidP="00320DFA">
      <w:pPr>
        <w:widowControl/>
        <w:contextualSpacing/>
        <w:rPr>
          <w:rFonts w:ascii="Times New Roman" w:hAnsi="Times New Roman" w:cs="Times New Roman"/>
          <w:lang w:val="en-GB"/>
        </w:rPr>
      </w:pPr>
    </w:p>
    <w:p w14:paraId="516878DB" w14:textId="77777777" w:rsidR="00320DFA" w:rsidRPr="00D30D09" w:rsidRDefault="00320DFA" w:rsidP="00320DFA">
      <w:pPr>
        <w:widowControl/>
        <w:contextualSpacing/>
        <w:rPr>
          <w:rFonts w:ascii="Times New Roman" w:hAnsi="Times New Roman" w:cs="Times New Roman"/>
          <w:lang w:val="en-GB"/>
        </w:rPr>
      </w:pPr>
      <w:r w:rsidRPr="00D30D09">
        <w:rPr>
          <w:rFonts w:ascii="Times New Roman" w:hAnsi="Times New Roman" w:cs="Times New Roman"/>
          <w:lang w:val="en-GB"/>
        </w:rPr>
        <w:t xml:space="preserve">To the extent that Article 12(4) of the </w:t>
      </w:r>
      <w:r w:rsidRPr="00D30D09">
        <w:rPr>
          <w:rFonts w:ascii="Times New Roman" w:hAnsi="Times New Roman" w:cs="Times New Roman"/>
          <w:bCs/>
          <w:lang w:val="en-GB"/>
        </w:rPr>
        <w:t>ICCPR</w:t>
      </w:r>
      <w:r w:rsidRPr="00D30D09">
        <w:rPr>
          <w:rFonts w:ascii="Times New Roman" w:hAnsi="Times New Roman" w:cs="Times New Roman"/>
          <w:lang w:val="en-GB"/>
        </w:rPr>
        <w:t xml:space="preserve"> is engaged in an individual case, such that a person listed in the 2024 Instrument is prevented from entering Australia and Australia is properly described as their ‘own country’, the imposition of the travel ban would be justified. </w:t>
      </w:r>
    </w:p>
    <w:p w14:paraId="2FF15442" w14:textId="77777777" w:rsidR="00320DFA" w:rsidRPr="00D30D09" w:rsidRDefault="00320DFA" w:rsidP="00320DFA">
      <w:pPr>
        <w:widowControl/>
        <w:contextualSpacing/>
        <w:rPr>
          <w:rFonts w:ascii="Times New Roman" w:hAnsi="Times New Roman" w:cs="Times New Roman"/>
          <w:lang w:val="en-GB"/>
        </w:rPr>
      </w:pPr>
    </w:p>
    <w:p w14:paraId="583A34A1" w14:textId="69BFE2F4" w:rsidR="00320DFA" w:rsidRPr="00D30D09" w:rsidRDefault="00320DFA" w:rsidP="00320DFA">
      <w:pPr>
        <w:widowControl/>
        <w:contextualSpacing/>
        <w:rPr>
          <w:rFonts w:ascii="Times New Roman" w:hAnsi="Times New Roman" w:cs="Times New Roman"/>
          <w:lang w:val="en-GB"/>
        </w:rPr>
      </w:pPr>
      <w:r w:rsidRPr="00D30D09">
        <w:rPr>
          <w:rFonts w:ascii="Times New Roman" w:hAnsi="Times New Roman" w:cs="Times New Roman"/>
          <w:lang w:val="en-GB"/>
        </w:rPr>
        <w:t xml:space="preserve">As set out above in relation to Article 17 of the </w:t>
      </w:r>
      <w:r w:rsidRPr="00D30D09">
        <w:rPr>
          <w:rFonts w:ascii="Times New Roman" w:hAnsi="Times New Roman" w:cs="Times New Roman"/>
          <w:bCs/>
          <w:lang w:val="en-GB"/>
        </w:rPr>
        <w:t>ICCPR</w:t>
      </w:r>
      <w:r w:rsidRPr="00D30D09">
        <w:rPr>
          <w:rFonts w:ascii="Times New Roman" w:hAnsi="Times New Roman" w:cs="Times New Roman"/>
          <w:lang w:val="en-GB"/>
        </w:rPr>
        <w:t xml:space="preserve">, travel bans are a reasonable, </w:t>
      </w:r>
      <w:proofErr w:type="gramStart"/>
      <w:r w:rsidRPr="00D30D09">
        <w:rPr>
          <w:rFonts w:ascii="Times New Roman" w:hAnsi="Times New Roman" w:cs="Times New Roman"/>
          <w:lang w:val="en-GB"/>
        </w:rPr>
        <w:t>necessary</w:t>
      </w:r>
      <w:proofErr w:type="gramEnd"/>
      <w:r w:rsidRPr="00D30D09">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w:t>
      </w:r>
      <w:r w:rsidR="009039BE" w:rsidRPr="00D30D09">
        <w:rPr>
          <w:rFonts w:ascii="Times New Roman" w:hAnsi="Times New Roman" w:cs="Times New Roman"/>
          <w:lang w:val="en-GB"/>
        </w:rPr>
        <w:t>involved in activities that give</w:t>
      </w:r>
      <w:r w:rsidRPr="00D30D09">
        <w:rPr>
          <w:rFonts w:ascii="Times New Roman" w:hAnsi="Times New Roman" w:cs="Times New Roman"/>
          <w:lang w:val="en-GB"/>
        </w:rPr>
        <w:t xml:space="preserve"> rise to situations of international concern. </w:t>
      </w:r>
    </w:p>
    <w:p w14:paraId="4C01D75C" w14:textId="77777777" w:rsidR="00320DFA" w:rsidRPr="00D30D09" w:rsidRDefault="00320DFA" w:rsidP="00320DFA">
      <w:pPr>
        <w:widowControl/>
        <w:contextualSpacing/>
        <w:rPr>
          <w:rFonts w:ascii="Times New Roman" w:hAnsi="Times New Roman" w:cs="Times New Roman"/>
          <w:lang w:val="en-GB"/>
        </w:rPr>
      </w:pPr>
    </w:p>
    <w:p w14:paraId="7DAFBA36" w14:textId="2DFF5780" w:rsidR="00320DFA" w:rsidRPr="00D30D09" w:rsidRDefault="00320DFA" w:rsidP="00320DFA">
      <w:pPr>
        <w:widowControl/>
        <w:contextualSpacing/>
      </w:pPr>
      <w:r w:rsidRPr="00D30D09">
        <w:rPr>
          <w:rFonts w:ascii="Times New Roman" w:hAnsi="Times New Roman" w:cs="Times New Roman"/>
          <w:lang w:val="en-GB"/>
        </w:rPr>
        <w:t>Preventing a person, who for example is, or has been,</w:t>
      </w:r>
      <w:r w:rsidRPr="00D30D09">
        <w:t xml:space="preserve"> engaging in an activity or performing a </w:t>
      </w:r>
      <w:r w:rsidRPr="0074756F">
        <w:t>function that is of economic or strategic significance to Russia, </w:t>
      </w:r>
      <w:r w:rsidRPr="0074756F">
        <w:rPr>
          <w:rFonts w:ascii="Times New Roman" w:hAnsi="Times New Roman" w:cs="Times New Roman"/>
          <w:lang w:val="en-GB"/>
        </w:rPr>
        <w:t xml:space="preserve">from travelling to, entering, or remaining in Australia through the operation of the </w:t>
      </w:r>
      <w:r w:rsidRPr="0074756F">
        <w:rPr>
          <w:rFonts w:ascii="Times New Roman" w:hAnsi="Times New Roman" w:cs="Times New Roman"/>
          <w:bCs/>
          <w:lang w:val="en-GB"/>
        </w:rPr>
        <w:t>2024 </w:t>
      </w:r>
      <w:r w:rsidRPr="0074756F">
        <w:rPr>
          <w:rFonts w:ascii="Times New Roman" w:hAnsi="Times New Roman" w:cs="Times New Roman"/>
          <w:bCs/>
        </w:rPr>
        <w:t>Instrument</w:t>
      </w:r>
      <w:r w:rsidRPr="0074756F">
        <w:rPr>
          <w:rFonts w:ascii="Times New Roman" w:hAnsi="Times New Roman" w:cs="Times New Roman"/>
        </w:rPr>
        <w:t> </w:t>
      </w:r>
      <w:r w:rsidRPr="0074756F">
        <w:rPr>
          <w:rFonts w:ascii="Times New Roman" w:hAnsi="Times New Roman" w:cs="Times New Roman"/>
          <w:lang w:val="en-GB"/>
        </w:rPr>
        <w:t>is a reasonable means to achieve the legitimate foreign policy objective of</w:t>
      </w:r>
      <w:r w:rsidRPr="0074756F">
        <w:t xml:space="preserve"> signalling Australia’s concerns about the situation in </w:t>
      </w:r>
      <w:r w:rsidR="007C0D9D" w:rsidRPr="0074756F">
        <w:t xml:space="preserve">Russia and </w:t>
      </w:r>
      <w:r w:rsidRPr="0074756F">
        <w:t>Ukraine. Australia’s practice</w:t>
      </w:r>
      <w:r w:rsidRPr="00D30D09">
        <w:t xml:space="preserve"> in this respect is consistent with that of other countries such as the United States, Canada, New Zealand, the European Union, and the United Kingdom.</w:t>
      </w:r>
    </w:p>
    <w:p w14:paraId="5987A8FE" w14:textId="77777777" w:rsidR="00320DFA" w:rsidRPr="00D30D09" w:rsidRDefault="00320DFA" w:rsidP="00320DFA">
      <w:pPr>
        <w:widowControl/>
        <w:contextualSpacing/>
        <w:rPr>
          <w:rFonts w:ascii="Times New Roman" w:hAnsi="Times New Roman" w:cs="Times New Roman"/>
          <w:lang w:val="en-GB"/>
        </w:rPr>
      </w:pPr>
    </w:p>
    <w:p w14:paraId="446B1062" w14:textId="77777777" w:rsidR="00320DFA" w:rsidRPr="00D30D09" w:rsidRDefault="00320DFA" w:rsidP="00320DFA">
      <w:pPr>
        <w:widowControl/>
        <w:contextualSpacing/>
        <w:rPr>
          <w:rFonts w:ascii="Times New Roman" w:hAnsi="Times New Roman" w:cs="Times New Roman"/>
          <w:lang w:val="en-GB"/>
        </w:rPr>
      </w:pPr>
      <w:r w:rsidRPr="00D30D09">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D30D09">
        <w:rPr>
          <w:rFonts w:ascii="Times New Roman" w:hAnsi="Times New Roman" w:cs="Times New Roman"/>
          <w:lang w:val="en-GB"/>
        </w:rPr>
        <w:t>entering</w:t>
      </w:r>
      <w:proofErr w:type="gramEnd"/>
      <w:r w:rsidRPr="00D30D09">
        <w:rPr>
          <w:rFonts w:ascii="Times New Roman" w:hAnsi="Times New Roman" w:cs="Times New Roman"/>
          <w:lang w:val="en-GB"/>
        </w:rPr>
        <w:t xml:space="preserve"> or remaining in, Australia, on the grounds that it would be either: (a) in the national interest; or (b) on humanitarian grounds. This decision is subject to natural justice </w:t>
      </w:r>
      <w:proofErr w:type="gramStart"/>
      <w:r w:rsidRPr="00D30D09">
        <w:rPr>
          <w:rFonts w:ascii="Times New Roman" w:hAnsi="Times New Roman" w:cs="Times New Roman"/>
          <w:lang w:val="en-GB"/>
        </w:rPr>
        <w:t>requirements, and</w:t>
      </w:r>
      <w:proofErr w:type="gramEnd"/>
      <w:r w:rsidRPr="00D30D09">
        <w:rPr>
          <w:rFonts w:ascii="Times New Roman" w:hAnsi="Times New Roman" w:cs="Times New Roman"/>
          <w:lang w:val="en-GB"/>
        </w:rPr>
        <w:t xml:space="preserve"> may be judicially reviewed.</w:t>
      </w:r>
    </w:p>
    <w:p w14:paraId="5A605FF5" w14:textId="77777777" w:rsidR="00320DFA" w:rsidRPr="00D30D09" w:rsidRDefault="00320DFA" w:rsidP="00320DFA">
      <w:pPr>
        <w:contextualSpacing/>
        <w:rPr>
          <w:b/>
          <w:lang w:val="en-GB"/>
        </w:rPr>
      </w:pPr>
    </w:p>
    <w:p w14:paraId="3E4E2A79" w14:textId="77777777" w:rsidR="00320DFA" w:rsidRPr="00D30D09" w:rsidRDefault="00320DFA" w:rsidP="00320DFA">
      <w:pPr>
        <w:contextualSpacing/>
        <w:rPr>
          <w:b/>
          <w:lang w:val="en-GB"/>
        </w:rPr>
      </w:pPr>
      <w:r w:rsidRPr="00D30D09">
        <w:rPr>
          <w:b/>
          <w:lang w:val="en-GB"/>
        </w:rPr>
        <w:t xml:space="preserve">Non-refoulement </w:t>
      </w:r>
    </w:p>
    <w:p w14:paraId="57C03015" w14:textId="77777777" w:rsidR="00320DFA" w:rsidRPr="00D30D09" w:rsidRDefault="00320DFA" w:rsidP="00320DFA">
      <w:pPr>
        <w:contextualSpacing/>
        <w:rPr>
          <w:lang w:val="en-GB"/>
        </w:rPr>
      </w:pPr>
    </w:p>
    <w:p w14:paraId="03018474" w14:textId="77777777" w:rsidR="00320DFA" w:rsidRPr="00D30D09" w:rsidRDefault="00320DFA" w:rsidP="00320DFA">
      <w:pPr>
        <w:contextualSpacing/>
        <w:rPr>
          <w:u w:val="single"/>
          <w:lang w:val="en-GB"/>
        </w:rPr>
      </w:pPr>
      <w:r w:rsidRPr="00D30D09">
        <w:rPr>
          <w:u w:val="single"/>
          <w:lang w:val="en-GB"/>
        </w:rPr>
        <w:t>Right</w:t>
      </w:r>
    </w:p>
    <w:p w14:paraId="6C42FC0D" w14:textId="77777777" w:rsidR="00320DFA" w:rsidRPr="00D30D09" w:rsidRDefault="00320DFA" w:rsidP="00320DFA">
      <w:pPr>
        <w:contextualSpacing/>
        <w:rPr>
          <w:lang w:val="en-GB"/>
        </w:rPr>
      </w:pPr>
    </w:p>
    <w:p w14:paraId="60CC7B7B" w14:textId="77777777" w:rsidR="00320DFA" w:rsidRPr="00D30D09" w:rsidRDefault="00320DFA" w:rsidP="00320DFA">
      <w:pPr>
        <w:contextualSpacing/>
        <w:rPr>
          <w:lang w:val="en-GB"/>
        </w:rPr>
      </w:pPr>
      <w:r w:rsidRPr="00D30D09">
        <w:rPr>
          <w:lang w:val="en-GB"/>
        </w:rPr>
        <w:t xml:space="preserve">The obligations relating to the prohibition on torture and other cruel, </w:t>
      </w:r>
      <w:proofErr w:type="gramStart"/>
      <w:r w:rsidRPr="00D30D09">
        <w:rPr>
          <w:lang w:val="en-GB"/>
        </w:rPr>
        <w:t>inhuman</w:t>
      </w:r>
      <w:proofErr w:type="gramEnd"/>
      <w:r w:rsidRPr="00D30D09">
        <w:rPr>
          <w:lang w:val="en-GB"/>
        </w:rPr>
        <w:t xml:space="preserve"> or degrading treatment or punishment under Article 3 of the Convention Against Torture and Other Cruel, Inhuman or Degrading Treatment or Punishment (</w:t>
      </w:r>
      <w:r w:rsidRPr="00D30D09">
        <w:rPr>
          <w:b/>
          <w:lang w:val="en-GB"/>
        </w:rPr>
        <w:t>the</w:t>
      </w:r>
      <w:r w:rsidRPr="00D30D09">
        <w:rPr>
          <w:b/>
          <w:bCs/>
          <w:lang w:val="en-GB"/>
        </w:rPr>
        <w:t xml:space="preserve"> CAT</w:t>
      </w:r>
      <w:r w:rsidRPr="00D30D09">
        <w:rPr>
          <w:lang w:val="en-GB"/>
        </w:rPr>
        <w:t xml:space="preserve">) and Article 7 of the </w:t>
      </w:r>
      <w:r w:rsidRPr="00D30D09">
        <w:rPr>
          <w:bCs/>
          <w:lang w:val="en-GB"/>
        </w:rPr>
        <w:t>ICCPR</w:t>
      </w:r>
      <w:r w:rsidRPr="00D30D09">
        <w:rPr>
          <w:lang w:val="en-GB"/>
        </w:rPr>
        <w:t>, as well as the right to life and prohibition on arbitrary deprivation of life</w:t>
      </w:r>
      <w:r w:rsidRPr="00D30D09" w:rsidDel="003277BB">
        <w:rPr>
          <w:lang w:val="en-GB"/>
        </w:rPr>
        <w:t xml:space="preserve"> </w:t>
      </w:r>
      <w:r w:rsidRPr="00D30D09">
        <w:rPr>
          <w:lang w:val="en-GB"/>
        </w:rPr>
        <w:t xml:space="preserve">in Article 6 of the </w:t>
      </w:r>
      <w:r w:rsidRPr="00D30D09">
        <w:rPr>
          <w:bCs/>
          <w:lang w:val="en-GB"/>
        </w:rPr>
        <w:t>ICCPR</w:t>
      </w:r>
      <w:r w:rsidRPr="00D30D09">
        <w:rPr>
          <w:lang w:val="en-GB"/>
        </w:rPr>
        <w:t xml:space="preserve">, are engaged by the travel restrictions in the </w:t>
      </w:r>
      <w:r w:rsidRPr="00D30D09">
        <w:rPr>
          <w:bCs/>
          <w:lang w:val="en-GB"/>
        </w:rPr>
        <w:t>2024 Instrument</w:t>
      </w:r>
      <w:r w:rsidRPr="00D30D09">
        <w:rPr>
          <w:lang w:val="en-GB"/>
        </w:rPr>
        <w:t xml:space="preserve">. </w:t>
      </w:r>
    </w:p>
    <w:p w14:paraId="1FA9F8B9" w14:textId="77777777" w:rsidR="00320DFA" w:rsidRPr="00D30D09" w:rsidRDefault="00320DFA" w:rsidP="00320DFA">
      <w:pPr>
        <w:contextualSpacing/>
        <w:rPr>
          <w:lang w:val="en-GB"/>
        </w:rPr>
      </w:pPr>
    </w:p>
    <w:p w14:paraId="56B79F48" w14:textId="77777777" w:rsidR="00320DFA" w:rsidRPr="00D30D09" w:rsidRDefault="00320DFA" w:rsidP="00320DFA">
      <w:pPr>
        <w:contextualSpacing/>
        <w:rPr>
          <w:rFonts w:eastAsiaTheme="minorHAnsi"/>
          <w:lang w:val="en-GB"/>
        </w:rPr>
      </w:pPr>
      <w:r w:rsidRPr="00D30D09">
        <w:rPr>
          <w:lang w:val="en-GB"/>
        </w:rPr>
        <w:t>There is no permissible derogation from these implied or express non</w:t>
      </w:r>
      <w:r w:rsidRPr="00D30D09">
        <w:rPr>
          <w:lang w:val="en-GB"/>
        </w:rPr>
        <w:noBreakHyphen/>
        <w:t xml:space="preserve">refoulement obligations. </w:t>
      </w:r>
    </w:p>
    <w:p w14:paraId="5D667155" w14:textId="77777777" w:rsidR="00320DFA" w:rsidRPr="00D30D09" w:rsidRDefault="00320DFA" w:rsidP="00320DFA">
      <w:pPr>
        <w:contextualSpacing/>
      </w:pPr>
    </w:p>
    <w:p w14:paraId="3E16C476" w14:textId="77777777" w:rsidR="00320DFA" w:rsidRPr="00D30D09" w:rsidRDefault="00320DFA" w:rsidP="00320DFA">
      <w:pPr>
        <w:contextualSpacing/>
        <w:rPr>
          <w:u w:val="single"/>
          <w:lang w:val="en-GB"/>
        </w:rPr>
      </w:pPr>
      <w:r w:rsidRPr="00D30D09">
        <w:rPr>
          <w:u w:val="single"/>
          <w:lang w:val="en-GB"/>
        </w:rPr>
        <w:t>Permissible limitations</w:t>
      </w:r>
    </w:p>
    <w:p w14:paraId="0A7BC301" w14:textId="77777777" w:rsidR="00320DFA" w:rsidRPr="00D30D09" w:rsidRDefault="00320DFA" w:rsidP="00320DFA">
      <w:pPr>
        <w:widowControl/>
        <w:contextualSpacing/>
        <w:rPr>
          <w:rFonts w:ascii="Times New Roman" w:hAnsi="Times New Roman" w:cs="Times New Roman"/>
          <w:lang w:val="en-GB"/>
        </w:rPr>
      </w:pPr>
    </w:p>
    <w:p w14:paraId="48F4B290" w14:textId="58B30FC0" w:rsidR="00320DFA" w:rsidRPr="00D30D09" w:rsidRDefault="00320DFA" w:rsidP="00320DFA">
      <w:pPr>
        <w:widowControl/>
        <w:contextualSpacing/>
        <w:rPr>
          <w:lang w:val="en-GB"/>
        </w:rPr>
      </w:pPr>
      <w:r w:rsidRPr="00D30D09">
        <w:rPr>
          <w:rFonts w:ascii="Times New Roman" w:hAnsi="Times New Roman" w:cs="Times New Roman"/>
          <w:lang w:val="en-GB"/>
        </w:rPr>
        <w:t xml:space="preserve">To the extent that </w:t>
      </w:r>
      <w:r w:rsidRPr="00D30D09">
        <w:rPr>
          <w:lang w:val="en-GB"/>
        </w:rPr>
        <w:t xml:space="preserve">the travel ban imposed pursuant to the </w:t>
      </w:r>
      <w:r w:rsidRPr="00D30D09">
        <w:rPr>
          <w:bCs/>
          <w:lang w:val="en-GB"/>
        </w:rPr>
        <w:t>2024 Instrument</w:t>
      </w:r>
      <w:r w:rsidRPr="00D30D09">
        <w:rPr>
          <w:lang w:val="en-GB"/>
        </w:rPr>
        <w:t xml:space="preserve"> engage</w:t>
      </w:r>
      <w:r w:rsidR="00937B28">
        <w:rPr>
          <w:lang w:val="en-GB"/>
        </w:rPr>
        <w:t>s</w:t>
      </w:r>
      <w:r w:rsidRPr="00D30D09">
        <w:rPr>
          <w:lang w:val="en-GB"/>
        </w:rPr>
        <w:t xml:space="preserve"> </w:t>
      </w:r>
      <w:r w:rsidRPr="00D30D09">
        <w:rPr>
          <w:rFonts w:ascii="Times New Roman" w:hAnsi="Times New Roman" w:cs="Times New Roman"/>
          <w:lang w:val="en-GB"/>
        </w:rPr>
        <w:t xml:space="preserve">Australia’s non-refoulement obligations, </w:t>
      </w:r>
      <w:r w:rsidRPr="00D30D09">
        <w:rPr>
          <w:lang w:val="en-GB"/>
        </w:rPr>
        <w:t>the Regulations allow the Minister to waive the operation of</w:t>
      </w:r>
      <w:r w:rsidRPr="00D30D09">
        <w:rPr>
          <w:rFonts w:ascii="Times New Roman" w:hAnsi="Times New Roman" w:cs="Times New Roman"/>
          <w:lang w:val="en-GB"/>
        </w:rPr>
        <w:t xml:space="preserve"> a travel ban on the </w:t>
      </w:r>
      <w:r w:rsidRPr="00D30D09">
        <w:rPr>
          <w:lang w:val="en-GB"/>
        </w:rPr>
        <w:t xml:space="preserve">grounds that it would be either: (a) in the national interest; or (b) on humanitarian grounds. </w:t>
      </w:r>
    </w:p>
    <w:p w14:paraId="6E7316CD" w14:textId="77777777" w:rsidR="00320DFA" w:rsidRPr="00D30D09" w:rsidRDefault="00320DFA" w:rsidP="00320DFA">
      <w:pPr>
        <w:widowControl/>
        <w:contextualSpacing/>
        <w:rPr>
          <w:lang w:val="en-GB"/>
        </w:rPr>
      </w:pPr>
    </w:p>
    <w:p w14:paraId="503EA42B" w14:textId="77777777" w:rsidR="00320DFA" w:rsidRPr="00D30D09" w:rsidRDefault="00320DFA" w:rsidP="00320DFA">
      <w:pPr>
        <w:widowControl/>
        <w:contextualSpacing/>
        <w:rPr>
          <w:rFonts w:ascii="Times New Roman" w:hAnsi="Times New Roman" w:cs="Times New Roman"/>
          <w:lang w:val="en-GB"/>
        </w:rPr>
      </w:pPr>
      <w:r w:rsidRPr="00D30D09">
        <w:lastRenderedPageBreak/>
        <w:t xml:space="preserve">A travel ban may lead to the cancellation of a visa held by a non-citizen lawfully in Australia, which can lead to removal under section 198 </w:t>
      </w:r>
      <w:r w:rsidRPr="00D30D09">
        <w:rPr>
          <w:rFonts w:ascii="Times New Roman" w:hAnsi="Times New Roman" w:cs="Times New Roman"/>
          <w:lang w:val="en-GB"/>
        </w:rPr>
        <w:t xml:space="preserve">of the </w:t>
      </w:r>
      <w:r w:rsidRPr="00D30D09">
        <w:rPr>
          <w:rFonts w:ascii="Times New Roman" w:hAnsi="Times New Roman" w:cs="Times New Roman"/>
          <w:i/>
          <w:lang w:val="en-GB"/>
        </w:rPr>
        <w:t>Migration Act 1958</w:t>
      </w:r>
      <w:r w:rsidRPr="00D30D09">
        <w:rPr>
          <w:rFonts w:ascii="Times New Roman" w:hAnsi="Times New Roman" w:cs="Times New Roman"/>
          <w:lang w:val="en-GB"/>
        </w:rPr>
        <w:t xml:space="preserve">. Australia will continue to meet its non-refoulement obligations through mechanisms prior to the person becoming available for removal under the </w:t>
      </w:r>
      <w:r w:rsidRPr="00D30D09">
        <w:rPr>
          <w:rFonts w:ascii="Times New Roman" w:hAnsi="Times New Roman" w:cs="Times New Roman"/>
          <w:i/>
          <w:lang w:val="en-GB"/>
        </w:rPr>
        <w:t>Migration Act 1958</w:t>
      </w:r>
      <w:r w:rsidRPr="00D30D09">
        <w:rPr>
          <w:rFonts w:ascii="Times New Roman" w:hAnsi="Times New Roman" w:cs="Times New Roman"/>
          <w:lang w:val="en-GB"/>
        </w:rPr>
        <w:t xml:space="preserve">, including through the protection visa application process, and </w:t>
      </w:r>
      <w:proofErr w:type="gramStart"/>
      <w:r w:rsidRPr="00D30D09">
        <w:rPr>
          <w:rFonts w:ascii="Times New Roman" w:hAnsi="Times New Roman" w:cs="Times New Roman"/>
          <w:lang w:val="en-GB"/>
        </w:rPr>
        <w:t>through the use of</w:t>
      </w:r>
      <w:proofErr w:type="gramEnd"/>
      <w:r w:rsidRPr="00D30D09">
        <w:rPr>
          <w:rFonts w:ascii="Times New Roman" w:hAnsi="Times New Roman" w:cs="Times New Roman"/>
          <w:lang w:val="en-GB"/>
        </w:rPr>
        <w:t xml:space="preserve"> the Minister for Home Affairs’ personal powers in the </w:t>
      </w:r>
      <w:r w:rsidRPr="00D30D09">
        <w:rPr>
          <w:rFonts w:ascii="Times New Roman" w:hAnsi="Times New Roman" w:cs="Times New Roman"/>
          <w:i/>
          <w:lang w:val="en-GB"/>
        </w:rPr>
        <w:t>Migration Act 1958</w:t>
      </w:r>
      <w:r w:rsidRPr="00D30D09">
        <w:rPr>
          <w:rFonts w:ascii="Times New Roman" w:hAnsi="Times New Roman" w:cs="Times New Roman"/>
          <w:lang w:val="en-GB"/>
        </w:rPr>
        <w:t xml:space="preserve">. </w:t>
      </w:r>
    </w:p>
    <w:p w14:paraId="0E2CDC77" w14:textId="77777777" w:rsidR="00320DFA" w:rsidRPr="00D30D09" w:rsidRDefault="00320DFA" w:rsidP="00320DFA">
      <w:pPr>
        <w:widowControl/>
        <w:contextualSpacing/>
        <w:rPr>
          <w:rFonts w:ascii="Times New Roman" w:hAnsi="Times New Roman" w:cs="Times New Roman"/>
          <w:lang w:val="en-GB"/>
        </w:rPr>
      </w:pPr>
    </w:p>
    <w:p w14:paraId="6A1288B6" w14:textId="77777777" w:rsidR="00320DFA" w:rsidRPr="00D30D09" w:rsidRDefault="00320DFA" w:rsidP="00320DFA">
      <w:pPr>
        <w:contextualSpacing/>
      </w:pPr>
      <w:r w:rsidRPr="00D30D09">
        <w:t xml:space="preserve">The </w:t>
      </w:r>
      <w:r w:rsidRPr="00D30D09">
        <w:rPr>
          <w:bCs/>
        </w:rPr>
        <w:t>2024 Instrument</w:t>
      </w:r>
      <w:r w:rsidRPr="00D30D09">
        <w:t xml:space="preserve"> is consistent with Australia’s international non-refoulement obligations as, </w:t>
      </w:r>
      <w:r w:rsidRPr="00D30D09">
        <w:rPr>
          <w:bCs/>
        </w:rPr>
        <w:t>together with the Minister’s powers to revoke a declaration or waive its operation in an individual case,</w:t>
      </w:r>
      <w:r w:rsidRPr="00D30D09">
        <w:t xml:space="preserve"> non</w:t>
      </w:r>
      <w:r w:rsidRPr="00D30D09">
        <w:noBreakHyphen/>
        <w:t xml:space="preserve">refoulement obligations are considered prior to a person becoming available for removal under the </w:t>
      </w:r>
      <w:r w:rsidRPr="00D30D09">
        <w:rPr>
          <w:i/>
        </w:rPr>
        <w:t>Migration Act 1958</w:t>
      </w:r>
      <w:r w:rsidRPr="00D30D09">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41392E5" w14:textId="77777777" w:rsidR="00320DFA" w:rsidRPr="00D30D09" w:rsidRDefault="00320DFA" w:rsidP="00320DFA">
      <w:pPr>
        <w:widowControl/>
        <w:contextualSpacing/>
        <w:rPr>
          <w:rFonts w:ascii="Times New Roman" w:hAnsi="Times New Roman" w:cs="Times New Roman"/>
          <w:lang w:val="en-GB"/>
        </w:rPr>
      </w:pPr>
    </w:p>
    <w:p w14:paraId="5DF740CB" w14:textId="77777777" w:rsidR="00320DFA" w:rsidRPr="00D30D09" w:rsidRDefault="00320DFA" w:rsidP="00320DFA">
      <w:pPr>
        <w:keepNext/>
        <w:keepLines/>
        <w:widowControl/>
        <w:contextualSpacing/>
        <w:rPr>
          <w:rFonts w:ascii="Times New Roman" w:hAnsi="Times New Roman" w:cs="Times New Roman"/>
          <w:b/>
        </w:rPr>
      </w:pPr>
      <w:r w:rsidRPr="00D30D09">
        <w:rPr>
          <w:rFonts w:ascii="Times New Roman" w:hAnsi="Times New Roman" w:cs="Times New Roman"/>
          <w:b/>
        </w:rPr>
        <w:t>Right to equality and non-discrimination</w:t>
      </w:r>
    </w:p>
    <w:p w14:paraId="717D9145" w14:textId="77777777" w:rsidR="00320DFA" w:rsidRPr="00D30D09" w:rsidRDefault="00320DFA" w:rsidP="00320DFA">
      <w:pPr>
        <w:keepNext/>
        <w:widowControl/>
        <w:contextualSpacing/>
        <w:rPr>
          <w:rFonts w:ascii="Times New Roman" w:hAnsi="Times New Roman" w:cs="Times New Roman"/>
          <w:u w:val="single"/>
        </w:rPr>
      </w:pPr>
    </w:p>
    <w:p w14:paraId="793B08FC" w14:textId="77777777" w:rsidR="00320DFA" w:rsidRPr="00D30D09" w:rsidRDefault="00320DFA" w:rsidP="00320DFA">
      <w:pPr>
        <w:keepNext/>
        <w:widowControl/>
        <w:contextualSpacing/>
        <w:rPr>
          <w:rFonts w:ascii="Times New Roman" w:hAnsi="Times New Roman" w:cs="Times New Roman"/>
          <w:u w:val="single"/>
        </w:rPr>
      </w:pPr>
      <w:r w:rsidRPr="00D30D09">
        <w:rPr>
          <w:rFonts w:ascii="Times New Roman" w:hAnsi="Times New Roman" w:cs="Times New Roman"/>
          <w:u w:val="single"/>
        </w:rPr>
        <w:t>Right</w:t>
      </w:r>
    </w:p>
    <w:p w14:paraId="68D4B4BD" w14:textId="77777777" w:rsidR="00320DFA" w:rsidRPr="00D30D09" w:rsidRDefault="00320DFA" w:rsidP="00320DFA">
      <w:pPr>
        <w:keepNext/>
        <w:widowControl/>
        <w:contextualSpacing/>
        <w:rPr>
          <w:rFonts w:ascii="Times New Roman" w:hAnsi="Times New Roman" w:cs="Times New Roman"/>
          <w:u w:val="single"/>
        </w:rPr>
      </w:pPr>
    </w:p>
    <w:p w14:paraId="4326A6FA" w14:textId="77777777" w:rsidR="00320DFA" w:rsidRPr="00D30D09" w:rsidRDefault="00320DFA" w:rsidP="00320DFA">
      <w:pPr>
        <w:widowControl/>
        <w:contextualSpacing/>
        <w:rPr>
          <w:rFonts w:ascii="Times New Roman" w:hAnsi="Times New Roman" w:cs="Times New Roman"/>
        </w:rPr>
      </w:pPr>
      <w:r w:rsidRPr="00D30D09">
        <w:rPr>
          <w:rFonts w:ascii="Times New Roman" w:hAnsi="Times New Roman" w:cs="Times New Roman"/>
        </w:rPr>
        <w:t xml:space="preserve">The right to equality and non-discrimination under Article 26 of the </w:t>
      </w:r>
      <w:r w:rsidRPr="00D30D09">
        <w:rPr>
          <w:rFonts w:ascii="Times New Roman" w:hAnsi="Times New Roman" w:cs="Times New Roman"/>
          <w:bCs/>
        </w:rPr>
        <w:t>ICCPR</w:t>
      </w:r>
      <w:r w:rsidRPr="00D30D09">
        <w:rPr>
          <w:rFonts w:ascii="Times New Roman" w:hAnsi="Times New Roman" w:cs="Times New Roman"/>
        </w:rPr>
        <w:t xml:space="preserve"> provides that everyone is entitled to enjoy their rights without discrimination of any kind, and that people are equal before the law and are entitled to the equal and non-discriminatory protection of the law.</w:t>
      </w:r>
    </w:p>
    <w:p w14:paraId="3CE0A960" w14:textId="77777777" w:rsidR="00320DFA" w:rsidRPr="00D30D09" w:rsidRDefault="00320DFA" w:rsidP="00320DFA">
      <w:pPr>
        <w:widowControl/>
        <w:contextualSpacing/>
        <w:rPr>
          <w:rFonts w:ascii="Times New Roman" w:hAnsi="Times New Roman" w:cs="Times New Roman"/>
        </w:rPr>
      </w:pPr>
    </w:p>
    <w:p w14:paraId="11CE9893" w14:textId="77777777" w:rsidR="00320DFA" w:rsidRPr="00D30D09" w:rsidRDefault="00320DFA" w:rsidP="00320DFA">
      <w:pPr>
        <w:widowControl/>
        <w:contextualSpacing/>
        <w:rPr>
          <w:rFonts w:ascii="Times New Roman" w:hAnsi="Times New Roman" w:cs="Times New Roman"/>
        </w:rPr>
      </w:pPr>
      <w:r w:rsidRPr="00D30D09">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DC00AEE" w14:textId="77777777" w:rsidR="00320DFA" w:rsidRPr="00D30D09" w:rsidRDefault="00320DFA" w:rsidP="00320DFA">
      <w:pPr>
        <w:widowControl/>
        <w:contextualSpacing/>
        <w:rPr>
          <w:rFonts w:ascii="&amp;quot" w:hAnsi="&amp;quot" w:cs="Times New Roman"/>
          <w:u w:val="single"/>
          <w:lang w:eastAsia="en-AU"/>
        </w:rPr>
      </w:pPr>
    </w:p>
    <w:p w14:paraId="0B7029E6" w14:textId="77777777" w:rsidR="00320DFA" w:rsidRPr="00D30D09" w:rsidRDefault="00320DFA" w:rsidP="00320DFA">
      <w:pPr>
        <w:widowControl/>
        <w:contextualSpacing/>
        <w:rPr>
          <w:rFonts w:ascii="Times New Roman" w:hAnsi="Times New Roman" w:cs="Times New Roman"/>
          <w:u w:val="single"/>
        </w:rPr>
      </w:pPr>
      <w:r w:rsidRPr="00D30D09">
        <w:rPr>
          <w:rFonts w:ascii="Times New Roman" w:hAnsi="Times New Roman" w:cs="Times New Roman"/>
          <w:u w:val="single"/>
        </w:rPr>
        <w:t>Permissible limitations</w:t>
      </w:r>
    </w:p>
    <w:p w14:paraId="6904236F" w14:textId="77777777" w:rsidR="00320DFA" w:rsidRPr="00D30D09" w:rsidRDefault="00320DFA" w:rsidP="00320DFA">
      <w:pPr>
        <w:widowControl/>
        <w:contextualSpacing/>
        <w:rPr>
          <w:rFonts w:ascii="Times New Roman" w:hAnsi="Times New Roman" w:cs="Times New Roman"/>
          <w:u w:val="single"/>
        </w:rPr>
      </w:pPr>
    </w:p>
    <w:p w14:paraId="5ED05315" w14:textId="77777777" w:rsidR="00320DFA" w:rsidRPr="00D30D09" w:rsidRDefault="00320DFA" w:rsidP="00320DFA">
      <w:pPr>
        <w:widowControl/>
        <w:shd w:val="clear" w:color="auto" w:fill="FFFFFF"/>
        <w:rPr>
          <w:rFonts w:ascii="Times New Roman" w:hAnsi="Times New Roman" w:cs="Times New Roman"/>
          <w:lang w:eastAsia="en-AU"/>
        </w:rPr>
      </w:pPr>
      <w:r w:rsidRPr="00D30D09">
        <w:rPr>
          <w:rFonts w:ascii="Times New Roman" w:hAnsi="Times New Roman" w:cs="Times New Roman"/>
          <w:lang w:eastAsia="en-AU"/>
        </w:rPr>
        <w:t xml:space="preserve">Any differential treatment of people </w:t>
      </w:r>
      <w:proofErr w:type="gramStart"/>
      <w:r w:rsidRPr="00D30D09">
        <w:rPr>
          <w:rFonts w:ascii="Times New Roman" w:hAnsi="Times New Roman" w:cs="Times New Roman"/>
          <w:lang w:eastAsia="en-AU"/>
        </w:rPr>
        <w:t>as a consequence of</w:t>
      </w:r>
      <w:proofErr w:type="gramEnd"/>
      <w:r w:rsidRPr="00D30D09">
        <w:rPr>
          <w:rFonts w:ascii="Times New Roman" w:hAnsi="Times New Roman" w:cs="Times New Roman"/>
          <w:lang w:eastAsia="en-AU"/>
        </w:rPr>
        <w:t xml:space="preserve"> the application of the </w:t>
      </w:r>
      <w:r w:rsidRPr="00D30D09">
        <w:rPr>
          <w:rFonts w:ascii="Times New Roman" w:hAnsi="Times New Roman" w:cs="Times New Roman"/>
          <w:bCs/>
          <w:lang w:eastAsia="en-AU"/>
        </w:rPr>
        <w:t>2024 Instrument</w:t>
      </w:r>
      <w:r w:rsidRPr="00D30D09">
        <w:rPr>
          <w:rFonts w:ascii="Times New Roman" w:hAnsi="Times New Roman" w:cs="Times New Roman"/>
          <w:lang w:eastAsia="en-AU"/>
        </w:rPr>
        <w:t xml:space="preserve"> does not amount to discrimination pursuant to Article 26 of the </w:t>
      </w:r>
      <w:r w:rsidRPr="00D30D09">
        <w:rPr>
          <w:rFonts w:ascii="Times New Roman" w:hAnsi="Times New Roman" w:cs="Times New Roman"/>
          <w:bCs/>
          <w:lang w:eastAsia="en-AU"/>
        </w:rPr>
        <w:t>ICCPR</w:t>
      </w:r>
      <w:r w:rsidRPr="00D30D09">
        <w:rPr>
          <w:rFonts w:ascii="Times New Roman" w:hAnsi="Times New Roman" w:cs="Times New Roman"/>
          <w:lang w:eastAsia="en-AU"/>
        </w:rPr>
        <w:t>.</w:t>
      </w:r>
    </w:p>
    <w:p w14:paraId="79102CD5" w14:textId="77777777" w:rsidR="00320DFA" w:rsidRPr="00D30D09" w:rsidRDefault="00320DFA" w:rsidP="00320DFA">
      <w:pPr>
        <w:widowControl/>
        <w:shd w:val="clear" w:color="auto" w:fill="FFFFFF"/>
        <w:rPr>
          <w:rFonts w:ascii="Times New Roman" w:hAnsi="Times New Roman" w:cs="Times New Roman"/>
          <w:lang w:eastAsia="en-AU"/>
        </w:rPr>
      </w:pPr>
      <w:r w:rsidRPr="00D30D09">
        <w:rPr>
          <w:rFonts w:ascii="Times New Roman" w:hAnsi="Times New Roman" w:cs="Times New Roman"/>
          <w:lang w:eastAsia="en-AU"/>
        </w:rPr>
        <w:t> </w:t>
      </w:r>
    </w:p>
    <w:p w14:paraId="7C94F045" w14:textId="77777777" w:rsidR="00320DFA" w:rsidRDefault="00320DFA" w:rsidP="00320DFA">
      <w:pPr>
        <w:widowControl/>
        <w:shd w:val="clear" w:color="auto" w:fill="FFFFFF"/>
        <w:rPr>
          <w:rFonts w:ascii="Times New Roman" w:hAnsi="Times New Roman" w:cs="Times New Roman"/>
          <w:lang w:eastAsia="en-AU"/>
        </w:rPr>
      </w:pPr>
      <w:r w:rsidRPr="00D30D09">
        <w:rPr>
          <w:rFonts w:ascii="Times New Roman" w:hAnsi="Times New Roman" w:cs="Times New Roman"/>
          <w:lang w:eastAsia="en-AU"/>
        </w:rPr>
        <w:t xml:space="preserve">The criteria set out in regulation 6 of the Regulations are reasonable and objective. They are reasonable insofar as </w:t>
      </w:r>
      <w:r w:rsidRPr="00D30D09">
        <w:t>they list only those States and activities which</w:t>
      </w:r>
      <w:r>
        <w:t xml:space="preserve"> the Government has specifically determined give rise to situations of international concern. They are objective, as they provide a clear, </w:t>
      </w:r>
      <w:proofErr w:type="gramStart"/>
      <w:r>
        <w:t>consistent</w:t>
      </w:r>
      <w:proofErr w:type="gramEnd"/>
      <w:r>
        <w:t xml:space="preserve"> and objectively</w:t>
      </w:r>
      <w:r>
        <w:noBreakHyphen/>
        <w:t>verifiable reference point by which the Minister is able to make a designation or declaration</w:t>
      </w:r>
      <w:r w:rsidRPr="006C50F0">
        <w:t>. The Regulations serve a legitimate objective, as discussed throughout this Statement.</w:t>
      </w:r>
    </w:p>
    <w:p w14:paraId="78D281DF" w14:textId="77777777" w:rsidR="00320DFA" w:rsidRDefault="00320DFA" w:rsidP="00320DFA">
      <w:pPr>
        <w:widowControl/>
        <w:shd w:val="clear" w:color="auto" w:fill="FFFFFF"/>
        <w:rPr>
          <w:rFonts w:ascii="Times New Roman" w:hAnsi="Times New Roman" w:cs="Times New Roman"/>
          <w:lang w:eastAsia="en-AU"/>
        </w:rPr>
      </w:pPr>
    </w:p>
    <w:p w14:paraId="6FB81F9E" w14:textId="6B1CC46C" w:rsidR="00F665A0" w:rsidRPr="00D30D09" w:rsidRDefault="00F665A0" w:rsidP="00F665A0">
      <w:r w:rsidRPr="00D30D09">
        <w:t xml:space="preserve">To the extent that the measures result in a differential impact on persons from </w:t>
      </w:r>
      <w:proofErr w:type="gramStart"/>
      <w:r w:rsidRPr="00D30D09">
        <w:t>particular countries</w:t>
      </w:r>
      <w:proofErr w:type="gramEnd"/>
      <w:r w:rsidRPr="00D30D09">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D30D09">
        <w:t>particular countries</w:t>
      </w:r>
      <w:proofErr w:type="gramEnd"/>
      <w:r w:rsidRPr="00D30D09">
        <w:t xml:space="preserve">. In this case, the measures will predominately impact </w:t>
      </w:r>
      <w:r w:rsidRPr="006C50F0">
        <w:t>persons of Russian or Ukrainian origin or nationality.</w:t>
      </w:r>
      <w:r w:rsidRPr="00D30D09">
        <w:t xml:space="preserve"> </w:t>
      </w:r>
    </w:p>
    <w:p w14:paraId="48931E40" w14:textId="77777777" w:rsidR="00F665A0" w:rsidRPr="00D30D09" w:rsidRDefault="00F665A0" w:rsidP="00320DFA">
      <w:pPr>
        <w:widowControl/>
        <w:shd w:val="clear" w:color="auto" w:fill="FFFFFF"/>
        <w:rPr>
          <w:rFonts w:ascii="Times New Roman" w:hAnsi="Times New Roman" w:cs="Times New Roman"/>
          <w:lang w:eastAsia="en-AU"/>
        </w:rPr>
      </w:pPr>
    </w:p>
    <w:p w14:paraId="3ECD3D20" w14:textId="05C01C68"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lastRenderedPageBreak/>
        <w:t xml:space="preserve">Denying access to international travel and the international financial system to certain designated </w:t>
      </w:r>
      <w:r>
        <w:rPr>
          <w:rFonts w:ascii="Times New Roman" w:hAnsi="Times New Roman" w:cs="Times New Roman"/>
          <w:lang w:eastAsia="en-AU"/>
        </w:rPr>
        <w:t>persons</w:t>
      </w:r>
      <w:r w:rsidR="003E107F">
        <w:rPr>
          <w:rFonts w:ascii="Times New Roman" w:hAnsi="Times New Roman" w:cs="Times New Roman"/>
          <w:lang w:eastAsia="en-AU"/>
        </w:rPr>
        <w:t xml:space="preserve"> and entities</w:t>
      </w:r>
      <w:r w:rsidRPr="004E52E0">
        <w:rPr>
          <w:rFonts w:ascii="Times New Roman" w:hAnsi="Times New Roman" w:cs="Times New Roman"/>
          <w:lang w:eastAsia="en-AU"/>
        </w:rPr>
        <w:t xml:space="preserve"> is a highly targeted, justified and </w:t>
      </w:r>
      <w:r>
        <w:rPr>
          <w:rFonts w:ascii="Times New Roman" w:hAnsi="Times New Roman" w:cs="Times New Roman"/>
          <w:lang w:eastAsia="en-AU"/>
        </w:rPr>
        <w:t>minimally</w:t>
      </w:r>
      <w:r w:rsidRPr="004E52E0">
        <w:rPr>
          <w:rFonts w:ascii="Times New Roman" w:hAnsi="Times New Roman" w:cs="Times New Roman"/>
          <w:lang w:eastAsia="en-AU"/>
        </w:rPr>
        <w:t xml:space="preserve"> rights-restrictive means of achieving the aims of the Regulations, including in a context where other conventional mechanisms are unavailable.</w:t>
      </w:r>
    </w:p>
    <w:p w14:paraId="62AECADE" w14:textId="77777777" w:rsidR="00320DFA" w:rsidRPr="004E52E0"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6A9831C" w14:textId="1F2E40FF" w:rsidR="00320DFA" w:rsidRDefault="00320DFA" w:rsidP="00320DFA">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While these measures may impact </w:t>
      </w:r>
      <w:r>
        <w:rPr>
          <w:rFonts w:ascii="Times New Roman" w:hAnsi="Times New Roman" w:cs="Times New Roman"/>
          <w:lang w:eastAsia="en-AU"/>
        </w:rPr>
        <w:t>persons</w:t>
      </w:r>
      <w:r w:rsidRPr="004E52E0">
        <w:rPr>
          <w:rFonts w:ascii="Times New Roman" w:hAnsi="Times New Roman" w:cs="Times New Roman"/>
          <w:lang w:eastAsia="en-AU"/>
        </w:rPr>
        <w:t xml:space="preserve"> of certain nationalities and national origins more than others, there is no information </w:t>
      </w:r>
      <w:r w:rsidRPr="006C50F0">
        <w:rPr>
          <w:rFonts w:ascii="Times New Roman" w:hAnsi="Times New Roman" w:cs="Times New Roman"/>
          <w:lang w:eastAsia="en-AU"/>
        </w:rPr>
        <w:t xml:space="preserve">to suggest that affected groups are particularly vulnerable. Rather, the person and entities listed in the </w:t>
      </w:r>
      <w:r w:rsidRPr="006C50F0">
        <w:rPr>
          <w:rFonts w:ascii="Times New Roman" w:hAnsi="Times New Roman" w:cs="Times New Roman"/>
          <w:bCs/>
          <w:lang w:eastAsia="en-AU"/>
        </w:rPr>
        <w:t>2024 Instrument</w:t>
      </w:r>
      <w:r w:rsidRPr="006C50F0">
        <w:rPr>
          <w:rFonts w:ascii="Times New Roman" w:hAnsi="Times New Roman" w:cs="Times New Roman"/>
          <w:lang w:eastAsia="en-AU"/>
        </w:rPr>
        <w:t xml:space="preserve"> </w:t>
      </w:r>
      <w:r w:rsidR="000A10BE" w:rsidRPr="006C50F0">
        <w:rPr>
          <w:rFonts w:ascii="Times New Roman" w:hAnsi="Times New Roman" w:cs="Times New Roman"/>
          <w:lang w:eastAsia="en-AU"/>
        </w:rPr>
        <w:t xml:space="preserve">are </w:t>
      </w:r>
      <w:r w:rsidRPr="006C50F0">
        <w:rPr>
          <w:rFonts w:ascii="Times New Roman" w:hAnsi="Times New Roman" w:cs="Times New Roman"/>
          <w:lang w:eastAsia="en-AU"/>
        </w:rPr>
        <w:t xml:space="preserve">a result of the Minister being satisfied that the person and </w:t>
      </w:r>
      <w:r w:rsidR="000A10BE" w:rsidRPr="006C50F0">
        <w:rPr>
          <w:rFonts w:ascii="Times New Roman" w:hAnsi="Times New Roman" w:cs="Times New Roman"/>
          <w:lang w:eastAsia="en-AU"/>
        </w:rPr>
        <w:t xml:space="preserve">entities </w:t>
      </w:r>
      <w:r w:rsidRPr="006C50F0">
        <w:t>are involved in activities that give rise to situations of international</w:t>
      </w:r>
      <w:r>
        <w:t xml:space="preserve"> concern.</w:t>
      </w:r>
      <w:r w:rsidRPr="004E52E0">
        <w:rPr>
          <w:rFonts w:ascii="Times New Roman" w:hAnsi="Times New Roman" w:cs="Times New Roman"/>
          <w:lang w:eastAsia="en-AU"/>
        </w:rPr>
        <w:t>  Further, there are several safeguards</w:t>
      </w:r>
      <w:r w:rsidRPr="003D7548">
        <w:rPr>
          <w:rFonts w:ascii="Times New Roman" w:hAnsi="Times New Roman" w:cs="Times New Roman"/>
          <w:lang w:eastAsia="en-AU"/>
        </w:rPr>
        <w:t xml:space="preserve"> </w:t>
      </w:r>
      <w:r w:rsidRPr="004E52E0">
        <w:rPr>
          <w:rFonts w:ascii="Times New Roman" w:hAnsi="Times New Roman" w:cs="Times New Roman"/>
          <w:lang w:eastAsia="en-AU"/>
        </w:rPr>
        <w:t xml:space="preserve">in place, such as the availability of judicial review and regular review </w:t>
      </w:r>
      <w:r w:rsidRPr="00D30D09">
        <w:rPr>
          <w:rFonts w:ascii="Times New Roman" w:hAnsi="Times New Roman" w:cs="Times New Roman"/>
          <w:lang w:eastAsia="en-AU"/>
        </w:rPr>
        <w:t>processes, to ensure that any limitation on rights is proportionate to the 2024 Instrument’s objective</w:t>
      </w:r>
      <w:r w:rsidRPr="004E52E0">
        <w:rPr>
          <w:rFonts w:ascii="Times New Roman" w:hAnsi="Times New Roman" w:cs="Times New Roman"/>
          <w:lang w:eastAsia="en-AU"/>
        </w:rPr>
        <w:t>.</w:t>
      </w:r>
    </w:p>
    <w:p w14:paraId="1017A88F" w14:textId="77777777" w:rsidR="00320DFA" w:rsidRDefault="00320DFA" w:rsidP="00320DFA">
      <w:pPr>
        <w:widowControl/>
        <w:shd w:val="clear" w:color="auto" w:fill="FFFFFF"/>
        <w:rPr>
          <w:rFonts w:ascii="Times New Roman" w:hAnsi="Times New Roman" w:cs="Times New Roman"/>
          <w:lang w:eastAsia="en-AU"/>
        </w:rPr>
      </w:pPr>
    </w:p>
    <w:p w14:paraId="76AA3230" w14:textId="77777777" w:rsidR="00320DFA" w:rsidRDefault="00320DFA" w:rsidP="00320DFA">
      <w:pPr>
        <w:contextualSpacing/>
      </w:pPr>
    </w:p>
    <w:p w14:paraId="7A545D23" w14:textId="77777777" w:rsidR="00320DFA" w:rsidRDefault="00320DFA" w:rsidP="00320DFA">
      <w:pPr>
        <w:contextualSpacing/>
      </w:pPr>
    </w:p>
    <w:p w14:paraId="1185F1BE" w14:textId="77777777" w:rsidR="00320DFA" w:rsidRDefault="00320DFA" w:rsidP="00320DFA"/>
    <w:p w14:paraId="21C87032" w14:textId="77777777" w:rsidR="00B66748" w:rsidRDefault="00B66748"/>
    <w:sectPr w:rsidR="00B66748" w:rsidSect="0016119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3477" w14:textId="77777777" w:rsidR="007D63FB" w:rsidRDefault="007D63FB" w:rsidP="00320DFA">
      <w:r>
        <w:separator/>
      </w:r>
    </w:p>
  </w:endnote>
  <w:endnote w:type="continuationSeparator" w:id="0">
    <w:p w14:paraId="2FA10B49" w14:textId="77777777" w:rsidR="007D63FB" w:rsidRDefault="007D63FB" w:rsidP="003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380" w14:textId="77777777" w:rsidR="00320DFA" w:rsidRDefault="003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3C0"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1606" w14:textId="77777777" w:rsidR="007D63FB" w:rsidRDefault="007D63FB" w:rsidP="00320DFA">
      <w:r>
        <w:separator/>
      </w:r>
    </w:p>
  </w:footnote>
  <w:footnote w:type="continuationSeparator" w:id="0">
    <w:p w14:paraId="629B066A" w14:textId="77777777" w:rsidR="007D63FB" w:rsidRDefault="007D63FB" w:rsidP="00320DFA">
      <w:r>
        <w:continuationSeparator/>
      </w:r>
    </w:p>
  </w:footnote>
  <w:footnote w:id="1">
    <w:p w14:paraId="0CB5A911" w14:textId="77777777" w:rsidR="00320DFA" w:rsidRDefault="00320DFA" w:rsidP="00320DFA">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8A0" w14:textId="77777777" w:rsidR="00320DFA" w:rsidRDefault="003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799" w14:textId="2477A1B0" w:rsidR="00320DFA" w:rsidRDefault="003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0C1" w14:textId="77777777" w:rsidR="00320DFA" w:rsidRDefault="0032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01DF4"/>
    <w:multiLevelType w:val="hybridMultilevel"/>
    <w:tmpl w:val="AC84B41C"/>
    <w:lvl w:ilvl="0" w:tplc="34A2B8B6">
      <w:start w:val="1"/>
      <w:numFmt w:val="lowerLetter"/>
      <w:lvlText w:val="%1)"/>
      <w:lvlJc w:val="left"/>
      <w:pPr>
        <w:ind w:left="1440" w:hanging="360"/>
      </w:pPr>
    </w:lvl>
    <w:lvl w:ilvl="1" w:tplc="ADD66CE6">
      <w:start w:val="1"/>
      <w:numFmt w:val="lowerLetter"/>
      <w:lvlText w:val="%2)"/>
      <w:lvlJc w:val="left"/>
      <w:pPr>
        <w:ind w:left="1440" w:hanging="360"/>
      </w:pPr>
    </w:lvl>
    <w:lvl w:ilvl="2" w:tplc="40B48998">
      <w:start w:val="1"/>
      <w:numFmt w:val="lowerLetter"/>
      <w:lvlText w:val="%3)"/>
      <w:lvlJc w:val="left"/>
      <w:pPr>
        <w:ind w:left="1440" w:hanging="360"/>
      </w:pPr>
    </w:lvl>
    <w:lvl w:ilvl="3" w:tplc="045C9FC6">
      <w:start w:val="1"/>
      <w:numFmt w:val="lowerLetter"/>
      <w:lvlText w:val="%4)"/>
      <w:lvlJc w:val="left"/>
      <w:pPr>
        <w:ind w:left="1440" w:hanging="360"/>
      </w:pPr>
    </w:lvl>
    <w:lvl w:ilvl="4" w:tplc="10BC77A2">
      <w:start w:val="1"/>
      <w:numFmt w:val="lowerLetter"/>
      <w:lvlText w:val="%5)"/>
      <w:lvlJc w:val="left"/>
      <w:pPr>
        <w:ind w:left="1440" w:hanging="360"/>
      </w:pPr>
    </w:lvl>
    <w:lvl w:ilvl="5" w:tplc="00BEC86E">
      <w:start w:val="1"/>
      <w:numFmt w:val="lowerLetter"/>
      <w:lvlText w:val="%6)"/>
      <w:lvlJc w:val="left"/>
      <w:pPr>
        <w:ind w:left="1440" w:hanging="360"/>
      </w:pPr>
    </w:lvl>
    <w:lvl w:ilvl="6" w:tplc="B5C003EC">
      <w:start w:val="1"/>
      <w:numFmt w:val="lowerLetter"/>
      <w:lvlText w:val="%7)"/>
      <w:lvlJc w:val="left"/>
      <w:pPr>
        <w:ind w:left="1440" w:hanging="360"/>
      </w:pPr>
    </w:lvl>
    <w:lvl w:ilvl="7" w:tplc="E760F6C8">
      <w:start w:val="1"/>
      <w:numFmt w:val="lowerLetter"/>
      <w:lvlText w:val="%8)"/>
      <w:lvlJc w:val="left"/>
      <w:pPr>
        <w:ind w:left="1440" w:hanging="360"/>
      </w:pPr>
    </w:lvl>
    <w:lvl w:ilvl="8" w:tplc="DCBA8A0E">
      <w:start w:val="1"/>
      <w:numFmt w:val="lowerLetter"/>
      <w:lvlText w:val="%9)"/>
      <w:lvlJc w:val="left"/>
      <w:pPr>
        <w:ind w:left="1440" w:hanging="360"/>
      </w:pPr>
    </w:lvl>
  </w:abstractNum>
  <w:abstractNum w:abstractNumId="3"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37328"/>
    <w:multiLevelType w:val="hybridMultilevel"/>
    <w:tmpl w:val="38DA689E"/>
    <w:lvl w:ilvl="0" w:tplc="D5B87B38">
      <w:start w:val="1"/>
      <w:numFmt w:val="lowerLetter"/>
      <w:lvlText w:val="%1)"/>
      <w:lvlJc w:val="left"/>
      <w:pPr>
        <w:ind w:left="1440" w:hanging="360"/>
      </w:pPr>
    </w:lvl>
    <w:lvl w:ilvl="1" w:tplc="8D045A2A">
      <w:start w:val="1"/>
      <w:numFmt w:val="lowerLetter"/>
      <w:lvlText w:val="%2)"/>
      <w:lvlJc w:val="left"/>
      <w:pPr>
        <w:ind w:left="1440" w:hanging="360"/>
      </w:pPr>
    </w:lvl>
    <w:lvl w:ilvl="2" w:tplc="64B886D6">
      <w:start w:val="1"/>
      <w:numFmt w:val="lowerLetter"/>
      <w:lvlText w:val="%3)"/>
      <w:lvlJc w:val="left"/>
      <w:pPr>
        <w:ind w:left="1440" w:hanging="360"/>
      </w:pPr>
    </w:lvl>
    <w:lvl w:ilvl="3" w:tplc="4D7ABA9E">
      <w:start w:val="1"/>
      <w:numFmt w:val="lowerLetter"/>
      <w:lvlText w:val="%4)"/>
      <w:lvlJc w:val="left"/>
      <w:pPr>
        <w:ind w:left="1440" w:hanging="360"/>
      </w:pPr>
    </w:lvl>
    <w:lvl w:ilvl="4" w:tplc="CAC8066A">
      <w:start w:val="1"/>
      <w:numFmt w:val="lowerLetter"/>
      <w:lvlText w:val="%5)"/>
      <w:lvlJc w:val="left"/>
      <w:pPr>
        <w:ind w:left="1440" w:hanging="360"/>
      </w:pPr>
    </w:lvl>
    <w:lvl w:ilvl="5" w:tplc="59E29488">
      <w:start w:val="1"/>
      <w:numFmt w:val="lowerLetter"/>
      <w:lvlText w:val="%6)"/>
      <w:lvlJc w:val="left"/>
      <w:pPr>
        <w:ind w:left="1440" w:hanging="360"/>
      </w:pPr>
    </w:lvl>
    <w:lvl w:ilvl="6" w:tplc="8A206974">
      <w:start w:val="1"/>
      <w:numFmt w:val="lowerLetter"/>
      <w:lvlText w:val="%7)"/>
      <w:lvlJc w:val="left"/>
      <w:pPr>
        <w:ind w:left="1440" w:hanging="360"/>
      </w:pPr>
    </w:lvl>
    <w:lvl w:ilvl="7" w:tplc="290CF53A">
      <w:start w:val="1"/>
      <w:numFmt w:val="lowerLetter"/>
      <w:lvlText w:val="%8)"/>
      <w:lvlJc w:val="left"/>
      <w:pPr>
        <w:ind w:left="1440" w:hanging="360"/>
      </w:pPr>
    </w:lvl>
    <w:lvl w:ilvl="8" w:tplc="5502C0B4">
      <w:start w:val="1"/>
      <w:numFmt w:val="lowerLetter"/>
      <w:lvlText w:val="%9)"/>
      <w:lvlJc w:val="left"/>
      <w:pPr>
        <w:ind w:left="1440" w:hanging="360"/>
      </w:pPr>
    </w:lvl>
  </w:abstractNum>
  <w:abstractNum w:abstractNumId="6" w15:restartNumberingAfterBreak="0">
    <w:nsid w:val="5A680CCA"/>
    <w:multiLevelType w:val="hybridMultilevel"/>
    <w:tmpl w:val="2794CA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485257">
    <w:abstractNumId w:val="4"/>
  </w:num>
  <w:num w:numId="2" w16cid:durableId="2064399938">
    <w:abstractNumId w:val="8"/>
  </w:num>
  <w:num w:numId="3" w16cid:durableId="1385105694">
    <w:abstractNumId w:val="3"/>
  </w:num>
  <w:num w:numId="4" w16cid:durableId="1813715369">
    <w:abstractNumId w:val="7"/>
  </w:num>
  <w:num w:numId="5" w16cid:durableId="61291668">
    <w:abstractNumId w:val="1"/>
  </w:num>
  <w:num w:numId="6" w16cid:durableId="1222978226">
    <w:abstractNumId w:val="0"/>
  </w:num>
  <w:num w:numId="7" w16cid:durableId="1519075997">
    <w:abstractNumId w:val="6"/>
  </w:num>
  <w:num w:numId="8" w16cid:durableId="1947929051">
    <w:abstractNumId w:val="2"/>
  </w:num>
  <w:num w:numId="9" w16cid:durableId="159412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044A0"/>
    <w:rsid w:val="000048C9"/>
    <w:rsid w:val="00011B46"/>
    <w:rsid w:val="000219BD"/>
    <w:rsid w:val="00022664"/>
    <w:rsid w:val="0002358B"/>
    <w:rsid w:val="00027B59"/>
    <w:rsid w:val="00042233"/>
    <w:rsid w:val="00043CC4"/>
    <w:rsid w:val="0005008A"/>
    <w:rsid w:val="00061D83"/>
    <w:rsid w:val="00061FA4"/>
    <w:rsid w:val="00062C7A"/>
    <w:rsid w:val="000727E2"/>
    <w:rsid w:val="000801F2"/>
    <w:rsid w:val="00083396"/>
    <w:rsid w:val="000A10BE"/>
    <w:rsid w:val="000A1110"/>
    <w:rsid w:val="000A3E1F"/>
    <w:rsid w:val="000A42CD"/>
    <w:rsid w:val="000A52C3"/>
    <w:rsid w:val="000A6414"/>
    <w:rsid w:val="000A672E"/>
    <w:rsid w:val="000C57C6"/>
    <w:rsid w:val="000D08B8"/>
    <w:rsid w:val="000D4500"/>
    <w:rsid w:val="000F15C2"/>
    <w:rsid w:val="000F1AC6"/>
    <w:rsid w:val="000F3078"/>
    <w:rsid w:val="000F6883"/>
    <w:rsid w:val="00112B09"/>
    <w:rsid w:val="00116287"/>
    <w:rsid w:val="0011642D"/>
    <w:rsid w:val="00117BBC"/>
    <w:rsid w:val="00136283"/>
    <w:rsid w:val="00144394"/>
    <w:rsid w:val="0015627A"/>
    <w:rsid w:val="00160A84"/>
    <w:rsid w:val="00163E80"/>
    <w:rsid w:val="001732E7"/>
    <w:rsid w:val="001A0CD3"/>
    <w:rsid w:val="001A3B59"/>
    <w:rsid w:val="001B27B7"/>
    <w:rsid w:val="001C1C1A"/>
    <w:rsid w:val="001C4BCC"/>
    <w:rsid w:val="001D0995"/>
    <w:rsid w:val="001D27B4"/>
    <w:rsid w:val="001D3A2C"/>
    <w:rsid w:val="001F4B26"/>
    <w:rsid w:val="00211561"/>
    <w:rsid w:val="00214108"/>
    <w:rsid w:val="00217D90"/>
    <w:rsid w:val="00235BC5"/>
    <w:rsid w:val="00243B00"/>
    <w:rsid w:val="00243B65"/>
    <w:rsid w:val="00250E11"/>
    <w:rsid w:val="00255D4B"/>
    <w:rsid w:val="00257120"/>
    <w:rsid w:val="00257E90"/>
    <w:rsid w:val="002627E3"/>
    <w:rsid w:val="002649A0"/>
    <w:rsid w:val="00265827"/>
    <w:rsid w:val="002714BF"/>
    <w:rsid w:val="002718E2"/>
    <w:rsid w:val="00273BD0"/>
    <w:rsid w:val="00273F6B"/>
    <w:rsid w:val="00282125"/>
    <w:rsid w:val="0028433E"/>
    <w:rsid w:val="0028550E"/>
    <w:rsid w:val="002916B6"/>
    <w:rsid w:val="002A281C"/>
    <w:rsid w:val="002B2A94"/>
    <w:rsid w:val="002D0109"/>
    <w:rsid w:val="002D359C"/>
    <w:rsid w:val="002D7AD3"/>
    <w:rsid w:val="002E2F1A"/>
    <w:rsid w:val="002E360E"/>
    <w:rsid w:val="002E392E"/>
    <w:rsid w:val="002E42C2"/>
    <w:rsid w:val="002E6CA2"/>
    <w:rsid w:val="002E70C3"/>
    <w:rsid w:val="002F5F3A"/>
    <w:rsid w:val="00304B6C"/>
    <w:rsid w:val="00320DFA"/>
    <w:rsid w:val="0033045E"/>
    <w:rsid w:val="00334AC6"/>
    <w:rsid w:val="003424E0"/>
    <w:rsid w:val="0034657F"/>
    <w:rsid w:val="003502D0"/>
    <w:rsid w:val="0035548E"/>
    <w:rsid w:val="00356F78"/>
    <w:rsid w:val="00366375"/>
    <w:rsid w:val="00373DD7"/>
    <w:rsid w:val="00396563"/>
    <w:rsid w:val="00396DDA"/>
    <w:rsid w:val="003A4C06"/>
    <w:rsid w:val="003A5E2D"/>
    <w:rsid w:val="003B1821"/>
    <w:rsid w:val="003C624B"/>
    <w:rsid w:val="003D50E6"/>
    <w:rsid w:val="003E107F"/>
    <w:rsid w:val="003E25B5"/>
    <w:rsid w:val="003E587B"/>
    <w:rsid w:val="00414B97"/>
    <w:rsid w:val="00415DF7"/>
    <w:rsid w:val="004203A0"/>
    <w:rsid w:val="004220F3"/>
    <w:rsid w:val="0046166D"/>
    <w:rsid w:val="00465D46"/>
    <w:rsid w:val="0047203C"/>
    <w:rsid w:val="00480F37"/>
    <w:rsid w:val="004904AE"/>
    <w:rsid w:val="004A0112"/>
    <w:rsid w:val="004B18F5"/>
    <w:rsid w:val="004B224C"/>
    <w:rsid w:val="004B296F"/>
    <w:rsid w:val="004B4D75"/>
    <w:rsid w:val="004C70A1"/>
    <w:rsid w:val="004D49A3"/>
    <w:rsid w:val="004F2AAE"/>
    <w:rsid w:val="00501267"/>
    <w:rsid w:val="00515D78"/>
    <w:rsid w:val="00516666"/>
    <w:rsid w:val="005245CA"/>
    <w:rsid w:val="00533613"/>
    <w:rsid w:val="00540369"/>
    <w:rsid w:val="005475EB"/>
    <w:rsid w:val="005476C7"/>
    <w:rsid w:val="005654A4"/>
    <w:rsid w:val="00567145"/>
    <w:rsid w:val="005708A2"/>
    <w:rsid w:val="005805A1"/>
    <w:rsid w:val="005C1112"/>
    <w:rsid w:val="005E5E99"/>
    <w:rsid w:val="005F1834"/>
    <w:rsid w:val="00601CB9"/>
    <w:rsid w:val="0060459E"/>
    <w:rsid w:val="00611950"/>
    <w:rsid w:val="00622B02"/>
    <w:rsid w:val="00622E2A"/>
    <w:rsid w:val="00623942"/>
    <w:rsid w:val="00625D69"/>
    <w:rsid w:val="00642D23"/>
    <w:rsid w:val="006477DC"/>
    <w:rsid w:val="00653587"/>
    <w:rsid w:val="006574FE"/>
    <w:rsid w:val="006600ED"/>
    <w:rsid w:val="0066358B"/>
    <w:rsid w:val="00677A83"/>
    <w:rsid w:val="0068010B"/>
    <w:rsid w:val="00682F9D"/>
    <w:rsid w:val="0068550A"/>
    <w:rsid w:val="006A092D"/>
    <w:rsid w:val="006A1863"/>
    <w:rsid w:val="006B0514"/>
    <w:rsid w:val="006B2AF1"/>
    <w:rsid w:val="006B35A4"/>
    <w:rsid w:val="006B4C58"/>
    <w:rsid w:val="006C50F0"/>
    <w:rsid w:val="006C70D4"/>
    <w:rsid w:val="006F1271"/>
    <w:rsid w:val="006F12AB"/>
    <w:rsid w:val="006F5069"/>
    <w:rsid w:val="006F6E7F"/>
    <w:rsid w:val="00703198"/>
    <w:rsid w:val="00710543"/>
    <w:rsid w:val="0071285B"/>
    <w:rsid w:val="00716A63"/>
    <w:rsid w:val="00721C7E"/>
    <w:rsid w:val="0072237E"/>
    <w:rsid w:val="0072688E"/>
    <w:rsid w:val="00731475"/>
    <w:rsid w:val="00742926"/>
    <w:rsid w:val="007442D0"/>
    <w:rsid w:val="0074756F"/>
    <w:rsid w:val="00761C26"/>
    <w:rsid w:val="007621D2"/>
    <w:rsid w:val="00762431"/>
    <w:rsid w:val="00763F79"/>
    <w:rsid w:val="007668B4"/>
    <w:rsid w:val="00771AE5"/>
    <w:rsid w:val="00772B00"/>
    <w:rsid w:val="00772E85"/>
    <w:rsid w:val="007768D4"/>
    <w:rsid w:val="007A6665"/>
    <w:rsid w:val="007C03F6"/>
    <w:rsid w:val="007C0D9D"/>
    <w:rsid w:val="007C148D"/>
    <w:rsid w:val="007C54B9"/>
    <w:rsid w:val="007C713A"/>
    <w:rsid w:val="007D004C"/>
    <w:rsid w:val="007D63E0"/>
    <w:rsid w:val="007D63FB"/>
    <w:rsid w:val="007E14C0"/>
    <w:rsid w:val="007E36FC"/>
    <w:rsid w:val="007F51B0"/>
    <w:rsid w:val="007F7B87"/>
    <w:rsid w:val="00802E73"/>
    <w:rsid w:val="008220CA"/>
    <w:rsid w:val="00822126"/>
    <w:rsid w:val="008377B1"/>
    <w:rsid w:val="008401BD"/>
    <w:rsid w:val="00846498"/>
    <w:rsid w:val="00857EFC"/>
    <w:rsid w:val="00860D1C"/>
    <w:rsid w:val="0086525B"/>
    <w:rsid w:val="00865FF7"/>
    <w:rsid w:val="008679C8"/>
    <w:rsid w:val="00887F0E"/>
    <w:rsid w:val="00892F04"/>
    <w:rsid w:val="00893DB6"/>
    <w:rsid w:val="008A217D"/>
    <w:rsid w:val="008A6C63"/>
    <w:rsid w:val="008B0494"/>
    <w:rsid w:val="008B3113"/>
    <w:rsid w:val="008B3174"/>
    <w:rsid w:val="008B419B"/>
    <w:rsid w:val="008B5393"/>
    <w:rsid w:val="008B6866"/>
    <w:rsid w:val="008B7D21"/>
    <w:rsid w:val="008C5735"/>
    <w:rsid w:val="008D4D4D"/>
    <w:rsid w:val="008F63E1"/>
    <w:rsid w:val="009039BE"/>
    <w:rsid w:val="0092322D"/>
    <w:rsid w:val="00923A05"/>
    <w:rsid w:val="00931CA6"/>
    <w:rsid w:val="00935955"/>
    <w:rsid w:val="00937B28"/>
    <w:rsid w:val="0095000C"/>
    <w:rsid w:val="00950F0B"/>
    <w:rsid w:val="00956E91"/>
    <w:rsid w:val="00963A25"/>
    <w:rsid w:val="009730FC"/>
    <w:rsid w:val="00976195"/>
    <w:rsid w:val="009870A7"/>
    <w:rsid w:val="009968A2"/>
    <w:rsid w:val="009A3972"/>
    <w:rsid w:val="009B5FA0"/>
    <w:rsid w:val="009B6727"/>
    <w:rsid w:val="009C1709"/>
    <w:rsid w:val="009D3F65"/>
    <w:rsid w:val="009E4878"/>
    <w:rsid w:val="009E7373"/>
    <w:rsid w:val="009E7F2F"/>
    <w:rsid w:val="009F6882"/>
    <w:rsid w:val="00A00C2E"/>
    <w:rsid w:val="00A0520C"/>
    <w:rsid w:val="00A0641E"/>
    <w:rsid w:val="00A30AC3"/>
    <w:rsid w:val="00A41178"/>
    <w:rsid w:val="00A4561B"/>
    <w:rsid w:val="00A45811"/>
    <w:rsid w:val="00A53257"/>
    <w:rsid w:val="00A607DA"/>
    <w:rsid w:val="00A80D45"/>
    <w:rsid w:val="00A82CE3"/>
    <w:rsid w:val="00A91153"/>
    <w:rsid w:val="00AA19E7"/>
    <w:rsid w:val="00AA3D97"/>
    <w:rsid w:val="00AB6B70"/>
    <w:rsid w:val="00AC0BC9"/>
    <w:rsid w:val="00AC42AA"/>
    <w:rsid w:val="00AD4512"/>
    <w:rsid w:val="00AE3729"/>
    <w:rsid w:val="00AF11A1"/>
    <w:rsid w:val="00B276EC"/>
    <w:rsid w:val="00B31512"/>
    <w:rsid w:val="00B3396F"/>
    <w:rsid w:val="00B3733B"/>
    <w:rsid w:val="00B62256"/>
    <w:rsid w:val="00B6395B"/>
    <w:rsid w:val="00B66748"/>
    <w:rsid w:val="00B7322A"/>
    <w:rsid w:val="00B76E06"/>
    <w:rsid w:val="00BA28B1"/>
    <w:rsid w:val="00BC2026"/>
    <w:rsid w:val="00BC403A"/>
    <w:rsid w:val="00BC5A97"/>
    <w:rsid w:val="00BD0E50"/>
    <w:rsid w:val="00BE4771"/>
    <w:rsid w:val="00BF5147"/>
    <w:rsid w:val="00C00EB5"/>
    <w:rsid w:val="00C059E5"/>
    <w:rsid w:val="00C36314"/>
    <w:rsid w:val="00C42679"/>
    <w:rsid w:val="00C45E8E"/>
    <w:rsid w:val="00C46B52"/>
    <w:rsid w:val="00C515CB"/>
    <w:rsid w:val="00C52CD5"/>
    <w:rsid w:val="00C56EEC"/>
    <w:rsid w:val="00C632CD"/>
    <w:rsid w:val="00C637F6"/>
    <w:rsid w:val="00C93F97"/>
    <w:rsid w:val="00CB616C"/>
    <w:rsid w:val="00CC50CC"/>
    <w:rsid w:val="00CD2706"/>
    <w:rsid w:val="00CE1F36"/>
    <w:rsid w:val="00CE20CC"/>
    <w:rsid w:val="00D112DD"/>
    <w:rsid w:val="00D12805"/>
    <w:rsid w:val="00D30D09"/>
    <w:rsid w:val="00D374B4"/>
    <w:rsid w:val="00D40665"/>
    <w:rsid w:val="00D447FF"/>
    <w:rsid w:val="00D472D9"/>
    <w:rsid w:val="00D56D00"/>
    <w:rsid w:val="00D60CC9"/>
    <w:rsid w:val="00D61863"/>
    <w:rsid w:val="00D64526"/>
    <w:rsid w:val="00D76159"/>
    <w:rsid w:val="00D77001"/>
    <w:rsid w:val="00D838F6"/>
    <w:rsid w:val="00D90ED7"/>
    <w:rsid w:val="00D93700"/>
    <w:rsid w:val="00DA34B3"/>
    <w:rsid w:val="00DB58FD"/>
    <w:rsid w:val="00DB5962"/>
    <w:rsid w:val="00DC080B"/>
    <w:rsid w:val="00DC4FDF"/>
    <w:rsid w:val="00DD51EC"/>
    <w:rsid w:val="00DE154D"/>
    <w:rsid w:val="00DE4439"/>
    <w:rsid w:val="00DE6356"/>
    <w:rsid w:val="00DF6882"/>
    <w:rsid w:val="00DF74A4"/>
    <w:rsid w:val="00E34304"/>
    <w:rsid w:val="00E378BE"/>
    <w:rsid w:val="00E4258A"/>
    <w:rsid w:val="00E53DA9"/>
    <w:rsid w:val="00E54A36"/>
    <w:rsid w:val="00E723D9"/>
    <w:rsid w:val="00E725EB"/>
    <w:rsid w:val="00E8357C"/>
    <w:rsid w:val="00E9009D"/>
    <w:rsid w:val="00E941EF"/>
    <w:rsid w:val="00E942A2"/>
    <w:rsid w:val="00E96B7D"/>
    <w:rsid w:val="00EB066C"/>
    <w:rsid w:val="00EB0F6F"/>
    <w:rsid w:val="00EB2188"/>
    <w:rsid w:val="00EB4DCB"/>
    <w:rsid w:val="00EB7243"/>
    <w:rsid w:val="00EC7900"/>
    <w:rsid w:val="00EE281C"/>
    <w:rsid w:val="00EE2D47"/>
    <w:rsid w:val="00F03D6A"/>
    <w:rsid w:val="00F065C0"/>
    <w:rsid w:val="00F141A0"/>
    <w:rsid w:val="00F15DF4"/>
    <w:rsid w:val="00F235F1"/>
    <w:rsid w:val="00F316C2"/>
    <w:rsid w:val="00F37606"/>
    <w:rsid w:val="00F416C6"/>
    <w:rsid w:val="00F44B68"/>
    <w:rsid w:val="00F5407F"/>
    <w:rsid w:val="00F544B3"/>
    <w:rsid w:val="00F64C34"/>
    <w:rsid w:val="00F653B6"/>
    <w:rsid w:val="00F665A0"/>
    <w:rsid w:val="00F73308"/>
    <w:rsid w:val="00F73924"/>
    <w:rsid w:val="00F75C75"/>
    <w:rsid w:val="00F841BA"/>
    <w:rsid w:val="00FB2E17"/>
    <w:rsid w:val="00FB2E19"/>
    <w:rsid w:val="00FC1ED7"/>
    <w:rsid w:val="00FC2182"/>
    <w:rsid w:val="00FC54BD"/>
    <w:rsid w:val="00FC6103"/>
    <w:rsid w:val="00FC63A2"/>
    <w:rsid w:val="00FD2512"/>
    <w:rsid w:val="00FD3760"/>
    <w:rsid w:val="00FE073E"/>
    <w:rsid w:val="00FE55A6"/>
    <w:rsid w:val="00FF4F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1EE02665-0B09-4E1B-A81D-FAE8BB2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00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8C9"/>
    <w:rPr>
      <w:rFonts w:ascii="Segoe UI" w:eastAsia="Times New Roman" w:hAnsi="Segoe UI" w:cs="Segoe UI"/>
      <w:color w:val="000000"/>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7274">
      <w:bodyDiv w:val="1"/>
      <w:marLeft w:val="0"/>
      <w:marRight w:val="0"/>
      <w:marTop w:val="0"/>
      <w:marBottom w:val="0"/>
      <w:divBdr>
        <w:top w:val="none" w:sz="0" w:space="0" w:color="auto"/>
        <w:left w:val="none" w:sz="0" w:space="0" w:color="auto"/>
        <w:bottom w:val="none" w:sz="0" w:space="0" w:color="auto"/>
        <w:right w:val="none" w:sz="0" w:space="0" w:color="auto"/>
      </w:divBdr>
    </w:div>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 w:id="19525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 D O C U M E N T S ! 5 0 6 8 1 0 4 8 . 2 < / d o c u m e n t i d >  
     < s e n d e r i d > C R O C K G < / s e n d e r i d >  
     < s e n d e r e m a i l > G E O R G I A . C R O C K E R @ A G S . G O V . A U < / s e n d e r e m a i l >  
     < l a s t m o d i f i e d > 2 0 2 4 - 0 3 - 0 6 T 1 0 : 3 3 : 0 0 . 0 0 0 0 0 0 0 + 1 1 : 0 0 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documentManagement>
</p:properties>
</file>

<file path=customXml/itemProps1.xml><?xml version="1.0" encoding="utf-8"?>
<ds:datastoreItem xmlns:ds="http://schemas.openxmlformats.org/officeDocument/2006/customXml" ds:itemID="{1D779953-07F4-45B3-A20E-B1B74E07D23F}">
  <ds:schemaRefs>
    <ds:schemaRef ds:uri="http://schemas.microsoft.com/sharepoint/v3/contenttype/forms"/>
  </ds:schemaRefs>
</ds:datastoreItem>
</file>

<file path=customXml/itemProps2.xml><?xml version="1.0" encoding="utf-8"?>
<ds:datastoreItem xmlns:ds="http://schemas.openxmlformats.org/officeDocument/2006/customXml" ds:itemID="{FE32C698-FE65-4802-9D94-7F2E507086DB}">
  <ds:schemaRefs>
    <ds:schemaRef ds:uri="http://www.imanage.com/work/xmlschema"/>
  </ds:schemaRefs>
</ds:datastoreItem>
</file>

<file path=customXml/itemProps3.xml><?xml version="1.0" encoding="utf-8"?>
<ds:datastoreItem xmlns:ds="http://schemas.openxmlformats.org/officeDocument/2006/customXml" ds:itemID="{23A38C2A-06E7-4644-AB03-73018427E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6D881-A4AE-4F29-8615-00BC40F88B09}">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4153</Words>
  <Characters>22430</Characters>
  <Application>Microsoft Office Word</Application>
  <DocSecurity>0</DocSecurity>
  <Lines>509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ISG/RLD/ASO/SAN</cp:lastModifiedBy>
  <cp:revision>4</cp:revision>
  <dcterms:created xsi:type="dcterms:W3CDTF">2024-03-28T01:27:00Z</dcterms:created>
  <dcterms:modified xsi:type="dcterms:W3CDTF">2024-03-28T02:30:00Z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v=2022.1;a=SHA256;h=65E52AC650836E5AE1C2A3502BA95ACF7A56BDE775EDD046C65C5F8EC6E75AFC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2024-01-25T07:25:03Z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53839EF888FE06984958D84476B5B66657A02D9A</vt:lpwstr>
  </property>
  <property fmtid="{D5CDD505-2E9C-101B-9397-08002B2CF9AE}" pid="14" name="PM_DisplayValueSecClassificationWithQualifier">
    <vt:lpwstr>OFFICIAL</vt:lpwstr>
  </property>
  <property fmtid="{D5CDD505-2E9C-101B-9397-08002B2CF9AE}" pid="15" name="PM_Originating_FileId">
    <vt:lpwstr>F9ED8A63786440D5B7A862BCF7427DD2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1694DE3F0393E5D833B80AE6FE918B07F1BED54B5006436D4E67837A3E018009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B73C746E87AA57E7B5D06E2AA085281B</vt:lpwstr>
  </property>
  <property fmtid="{D5CDD505-2E9C-101B-9397-08002B2CF9AE}" pid="25" name="PM_Hash_Salt">
    <vt:lpwstr>20056C442A171F1D48D0E813623A92E5</vt:lpwstr>
  </property>
  <property fmtid="{D5CDD505-2E9C-101B-9397-08002B2CF9AE}" pid="26" name="PM_Hash_SHA1">
    <vt:lpwstr>117C3881EE00ADD6067A4B149FF66020C7C9DD23</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0x010100266966F133664895A6EE3632470D45F5001586C07A4A05B540B524D7748871C4B1</vt:lpwstr>
  </property>
  <property fmtid="{D5CDD505-2E9C-101B-9397-08002B2CF9AE}" pid="30" name="PM_Qualifier_Prev">
    <vt:lpwstr/>
  </property>
  <property fmtid="{D5CDD505-2E9C-101B-9397-08002B2CF9AE}" pid="31" name="LeadingLawyers">
    <vt:lpwstr>Removed</vt:lpwstr>
  </property>
  <property fmtid="{D5CDD505-2E9C-101B-9397-08002B2CF9AE}" pid="32" name="ObjectiveRef">
    <vt:lpwstr>Removed</vt:lpwstr>
  </property>
  <property fmtid="{D5CDD505-2E9C-101B-9397-08002B2CF9AE}" pid="33" name="iManageRef">
    <vt:lpwstr>Updated</vt:lpwstr>
  </property>
  <property fmtid="{D5CDD505-2E9C-101B-9397-08002B2CF9AE}" pid="34" name="PM_SecurityClassification_Prev">
    <vt:lpwstr>OFFICIAL</vt:lpwstr>
  </property>
  <property fmtid="{D5CDD505-2E9C-101B-9397-08002B2CF9AE}" pid="35" name="checkforsharepointfields">
    <vt:lpwstr>True</vt:lpwstr>
  </property>
</Properties>
</file>