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433" w:rsidRPr="005A3247" w:rsidRDefault="00B76433" w:rsidP="00B76433">
      <w:pPr>
        <w:jc w:val="center"/>
        <w:rPr>
          <w:rFonts w:ascii="Times New Roman" w:hAnsi="Times New Roman" w:cs="Times New Roman"/>
          <w:b/>
          <w:sz w:val="22"/>
          <w:szCs w:val="22"/>
        </w:rPr>
      </w:pPr>
      <w:bookmarkStart w:id="0" w:name="_Hlk128400349"/>
      <w:r w:rsidRPr="005A3247">
        <w:rPr>
          <w:rFonts w:ascii="Times New Roman" w:hAnsi="Times New Roman" w:cs="Times New Roman"/>
          <w:b/>
          <w:sz w:val="22"/>
          <w:szCs w:val="22"/>
        </w:rPr>
        <w:t>EXPLANATORY STATEMENT</w:t>
      </w:r>
    </w:p>
    <w:p w:rsidR="00B76433" w:rsidRPr="005A3247" w:rsidRDefault="00B76433" w:rsidP="00B76433">
      <w:pPr>
        <w:jc w:val="center"/>
        <w:rPr>
          <w:rFonts w:ascii="Times New Roman" w:hAnsi="Times New Roman" w:cs="Times New Roman"/>
          <w:b/>
          <w:i/>
          <w:sz w:val="22"/>
          <w:szCs w:val="22"/>
        </w:rPr>
      </w:pPr>
      <w:r w:rsidRPr="005A3247">
        <w:rPr>
          <w:rFonts w:ascii="Times New Roman" w:hAnsi="Times New Roman" w:cs="Times New Roman"/>
          <w:b/>
          <w:i/>
          <w:sz w:val="22"/>
          <w:szCs w:val="22"/>
        </w:rPr>
        <w:t>Public Lending Right Act 1985</w:t>
      </w:r>
    </w:p>
    <w:p w:rsidR="00B76433" w:rsidRPr="005A3247" w:rsidRDefault="00B76433" w:rsidP="00B76433">
      <w:pPr>
        <w:jc w:val="center"/>
        <w:rPr>
          <w:rFonts w:ascii="Times New Roman" w:hAnsi="Times New Roman" w:cs="Times New Roman"/>
          <w:b/>
          <w:i/>
          <w:sz w:val="22"/>
          <w:szCs w:val="22"/>
        </w:rPr>
      </w:pPr>
      <w:r w:rsidRPr="005A3247">
        <w:rPr>
          <w:rFonts w:ascii="Times New Roman" w:hAnsi="Times New Roman" w:cs="Times New Roman"/>
          <w:b/>
          <w:i/>
          <w:sz w:val="22"/>
          <w:szCs w:val="22"/>
        </w:rPr>
        <w:t>Public Lending Right Scheme (</w:t>
      </w:r>
      <w:r w:rsidR="003E538B">
        <w:rPr>
          <w:rFonts w:ascii="Times New Roman" w:hAnsi="Times New Roman" w:cs="Times New Roman"/>
          <w:b/>
          <w:i/>
          <w:sz w:val="22"/>
          <w:szCs w:val="22"/>
        </w:rPr>
        <w:t>Payment Rates</w:t>
      </w:r>
      <w:r w:rsidRPr="005A3247">
        <w:rPr>
          <w:rFonts w:ascii="Times New Roman" w:hAnsi="Times New Roman" w:cs="Times New Roman"/>
          <w:b/>
          <w:i/>
          <w:sz w:val="22"/>
          <w:szCs w:val="22"/>
        </w:rPr>
        <w:t xml:space="preserve">) Modification </w:t>
      </w:r>
      <w:r w:rsidR="003E538B">
        <w:rPr>
          <w:rFonts w:ascii="Times New Roman" w:hAnsi="Times New Roman" w:cs="Times New Roman"/>
          <w:b/>
          <w:i/>
          <w:sz w:val="22"/>
          <w:szCs w:val="22"/>
        </w:rPr>
        <w:t xml:space="preserve">2024 </w:t>
      </w:r>
    </w:p>
    <w:p w:rsidR="00B76433" w:rsidRPr="005A3247" w:rsidRDefault="00B76433" w:rsidP="00B76433">
      <w:pPr>
        <w:jc w:val="center"/>
        <w:rPr>
          <w:rFonts w:ascii="Times New Roman" w:hAnsi="Times New Roman" w:cs="Times New Roman"/>
          <w:sz w:val="22"/>
          <w:szCs w:val="22"/>
        </w:rPr>
      </w:pPr>
      <w:r w:rsidRPr="005A3247">
        <w:rPr>
          <w:rFonts w:ascii="Times New Roman" w:hAnsi="Times New Roman" w:cs="Times New Roman"/>
          <w:sz w:val="22"/>
          <w:szCs w:val="22"/>
        </w:rPr>
        <w:t>Issued by the authority of the Minister for the Arts</w:t>
      </w: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 xml:space="preserve">Purpose and operation </w:t>
      </w:r>
    </w:p>
    <w:p w:rsidR="00B76433" w:rsidRPr="005A3247" w:rsidRDefault="005841BA" w:rsidP="00B76433">
      <w:pPr>
        <w:rPr>
          <w:rFonts w:ascii="Times New Roman" w:hAnsi="Times New Roman" w:cs="Times New Roman"/>
          <w:iCs/>
          <w:sz w:val="22"/>
          <w:szCs w:val="22"/>
        </w:rPr>
      </w:pPr>
      <w:r>
        <w:rPr>
          <w:rFonts w:ascii="Times New Roman" w:hAnsi="Times New Roman" w:cs="Times New Roman"/>
          <w:iCs/>
          <w:sz w:val="22"/>
          <w:szCs w:val="22"/>
        </w:rPr>
        <w:t xml:space="preserve">The </w:t>
      </w:r>
      <w:r w:rsidRPr="005841BA">
        <w:rPr>
          <w:rFonts w:ascii="Times New Roman" w:hAnsi="Times New Roman" w:cs="Times New Roman"/>
          <w:i/>
          <w:iCs/>
          <w:sz w:val="22"/>
          <w:szCs w:val="22"/>
        </w:rPr>
        <w:t>Public Lending Right Scheme (Payment Rates) Modification 2024</w:t>
      </w:r>
      <w:r w:rsidRPr="005841BA">
        <w:rPr>
          <w:rFonts w:ascii="Times New Roman" w:hAnsi="Times New Roman" w:cs="Times New Roman"/>
          <w:iCs/>
          <w:sz w:val="22"/>
          <w:szCs w:val="22"/>
        </w:rPr>
        <w:t xml:space="preserve"> </w:t>
      </w:r>
      <w:r>
        <w:rPr>
          <w:rFonts w:ascii="Times New Roman" w:hAnsi="Times New Roman" w:cs="Times New Roman"/>
          <w:iCs/>
          <w:sz w:val="22"/>
          <w:szCs w:val="22"/>
        </w:rPr>
        <w:t>(t</w:t>
      </w:r>
      <w:r w:rsidR="00B76433" w:rsidRPr="005A3247">
        <w:rPr>
          <w:rFonts w:ascii="Times New Roman" w:hAnsi="Times New Roman" w:cs="Times New Roman"/>
          <w:iCs/>
          <w:sz w:val="22"/>
          <w:szCs w:val="22"/>
        </w:rPr>
        <w:t>he</w:t>
      </w:r>
      <w:r w:rsidR="00B76433" w:rsidRPr="005A3247">
        <w:rPr>
          <w:rFonts w:ascii="Times New Roman" w:hAnsi="Times New Roman" w:cs="Times New Roman"/>
          <w:i/>
          <w:sz w:val="22"/>
          <w:szCs w:val="22"/>
        </w:rPr>
        <w:t xml:space="preserve"> </w:t>
      </w:r>
      <w:r w:rsidR="00B76433" w:rsidRPr="005A3247">
        <w:rPr>
          <w:rFonts w:ascii="Times New Roman" w:hAnsi="Times New Roman" w:cs="Times New Roman"/>
          <w:iCs/>
          <w:sz w:val="22"/>
          <w:szCs w:val="22"/>
        </w:rPr>
        <w:t>Modification Instrument</w:t>
      </w:r>
      <w:r>
        <w:rPr>
          <w:rFonts w:ascii="Times New Roman" w:hAnsi="Times New Roman" w:cs="Times New Roman"/>
          <w:iCs/>
          <w:sz w:val="22"/>
          <w:szCs w:val="22"/>
        </w:rPr>
        <w:t xml:space="preserve">) </w:t>
      </w:r>
      <w:r w:rsidR="00B76433" w:rsidRPr="005A3247">
        <w:rPr>
          <w:rFonts w:ascii="Times New Roman" w:hAnsi="Times New Roman" w:cs="Times New Roman"/>
          <w:iCs/>
          <w:sz w:val="22"/>
          <w:szCs w:val="22"/>
        </w:rPr>
        <w:t xml:space="preserve">modifies the </w:t>
      </w:r>
      <w:r w:rsidR="00B76433" w:rsidRPr="005A3247">
        <w:rPr>
          <w:rFonts w:ascii="Times New Roman" w:hAnsi="Times New Roman" w:cs="Times New Roman"/>
          <w:i/>
          <w:sz w:val="22"/>
          <w:szCs w:val="22"/>
        </w:rPr>
        <w:t>Public Lending Right Scheme 2016</w:t>
      </w:r>
      <w:r w:rsidR="00B76433" w:rsidRPr="005A3247">
        <w:rPr>
          <w:rFonts w:ascii="Times New Roman" w:hAnsi="Times New Roman" w:cs="Times New Roman"/>
          <w:sz w:val="22"/>
          <w:szCs w:val="22"/>
        </w:rPr>
        <w:t xml:space="preserve"> (the Scheme) </w:t>
      </w:r>
      <w:r w:rsidR="0088162F">
        <w:rPr>
          <w:rFonts w:ascii="Times New Roman" w:hAnsi="Times New Roman" w:cs="Times New Roman"/>
          <w:sz w:val="22"/>
          <w:szCs w:val="22"/>
        </w:rPr>
        <w:t xml:space="preserve">by adjusting </w:t>
      </w:r>
      <w:r w:rsidR="0088162F" w:rsidRPr="00E62F91">
        <w:rPr>
          <w:rFonts w:ascii="Times New Roman" w:hAnsi="Times New Roman" w:cs="Times New Roman"/>
          <w:sz w:val="22"/>
          <w:szCs w:val="22"/>
        </w:rPr>
        <w:t xml:space="preserve">the payment rates which apply under the Scheme </w:t>
      </w:r>
      <w:r w:rsidR="0088162F">
        <w:rPr>
          <w:rFonts w:ascii="Times New Roman" w:hAnsi="Times New Roman" w:cs="Times New Roman"/>
          <w:sz w:val="22"/>
          <w:szCs w:val="22"/>
        </w:rPr>
        <w:t xml:space="preserve">for </w:t>
      </w:r>
      <w:r w:rsidR="00E30916">
        <w:rPr>
          <w:rFonts w:ascii="Times New Roman" w:hAnsi="Times New Roman" w:cs="Times New Roman"/>
          <w:sz w:val="22"/>
          <w:szCs w:val="22"/>
        </w:rPr>
        <w:t xml:space="preserve">eligible </w:t>
      </w:r>
      <w:r w:rsidR="0088162F" w:rsidRPr="00BB2818">
        <w:rPr>
          <w:rFonts w:ascii="Times New Roman" w:hAnsi="Times New Roman" w:cs="Times New Roman"/>
          <w:sz w:val="22"/>
          <w:szCs w:val="22"/>
        </w:rPr>
        <w:t xml:space="preserve">creators </w:t>
      </w:r>
      <w:r w:rsidR="0088162F">
        <w:rPr>
          <w:rFonts w:ascii="Times New Roman" w:hAnsi="Times New Roman" w:cs="Times New Roman"/>
          <w:sz w:val="22"/>
          <w:szCs w:val="22"/>
        </w:rPr>
        <w:t xml:space="preserve">and publishers. </w:t>
      </w:r>
    </w:p>
    <w:p w:rsidR="00B76433"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 xml:space="preserve">The Modification Instrument is made under subsection 5(1) of the </w:t>
      </w:r>
      <w:r w:rsidRPr="005A3247">
        <w:rPr>
          <w:rFonts w:ascii="Times New Roman" w:hAnsi="Times New Roman" w:cs="Times New Roman"/>
          <w:i/>
          <w:sz w:val="22"/>
          <w:szCs w:val="22"/>
        </w:rPr>
        <w:t xml:space="preserve">Public Lending Right Act 1985 </w:t>
      </w:r>
      <w:r w:rsidRPr="005A3247">
        <w:rPr>
          <w:rFonts w:ascii="Times New Roman" w:hAnsi="Times New Roman" w:cs="Times New Roman"/>
          <w:sz w:val="22"/>
          <w:szCs w:val="22"/>
        </w:rPr>
        <w:t xml:space="preserve">(the Act), which provides the legislative framework for a Public Lending Right </w:t>
      </w:r>
      <w:r w:rsidR="003E538B">
        <w:rPr>
          <w:rFonts w:ascii="Times New Roman" w:hAnsi="Times New Roman" w:cs="Times New Roman"/>
          <w:sz w:val="22"/>
          <w:szCs w:val="22"/>
        </w:rPr>
        <w:t>S</w:t>
      </w:r>
      <w:r w:rsidRPr="005A3247">
        <w:rPr>
          <w:rFonts w:ascii="Times New Roman" w:hAnsi="Times New Roman" w:cs="Times New Roman"/>
          <w:sz w:val="22"/>
          <w:szCs w:val="22"/>
        </w:rPr>
        <w:t xml:space="preserve">cheme to, amongst other things, recognise the loss of income by Australian creators and publishers of books held in public lending libraries. </w:t>
      </w: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 xml:space="preserve">Background </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The</w:t>
      </w:r>
      <w:r w:rsidRPr="005A3247">
        <w:rPr>
          <w:rFonts w:ascii="Times New Roman" w:hAnsi="Times New Roman" w:cs="Times New Roman"/>
          <w:i/>
          <w:sz w:val="22"/>
          <w:szCs w:val="22"/>
        </w:rPr>
        <w:t xml:space="preserve"> </w:t>
      </w:r>
      <w:r w:rsidRPr="005A3247">
        <w:rPr>
          <w:rFonts w:ascii="Times New Roman" w:hAnsi="Times New Roman" w:cs="Times New Roman"/>
          <w:sz w:val="22"/>
          <w:szCs w:val="22"/>
        </w:rPr>
        <w:t xml:space="preserve">Scheme, among other things, provides for the annual rates of payment to eligible creators and publishers of eligible books. </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Established in 1974, Australia’s lending right scheme has assisted thousands of Australian authors and publishers to continue to write and publish books by providing them with recompense for the free use of their books in libraries. The scheme is the main mechanism for Australian Government investment to be provided to Australian authors.</w:t>
      </w:r>
    </w:p>
    <w:p w:rsidR="00070C2B" w:rsidRPr="00070C2B" w:rsidRDefault="00B76433" w:rsidP="00070C2B">
      <w:pPr>
        <w:rPr>
          <w:rFonts w:ascii="Times New Roman" w:hAnsi="Times New Roman" w:cs="Times New Roman"/>
          <w:sz w:val="22"/>
          <w:szCs w:val="22"/>
          <w:lang w:eastAsia="en-US"/>
        </w:rPr>
      </w:pPr>
      <w:r w:rsidRPr="005A3247">
        <w:rPr>
          <w:rFonts w:ascii="Times New Roman" w:hAnsi="Times New Roman" w:cs="Times New Roman"/>
          <w:sz w:val="22"/>
          <w:szCs w:val="22"/>
        </w:rPr>
        <w:t xml:space="preserve">Australia’s national cultural policy </w:t>
      </w:r>
      <w:r w:rsidRPr="005A3247">
        <w:rPr>
          <w:rFonts w:ascii="Times New Roman" w:hAnsi="Times New Roman" w:cs="Times New Roman"/>
          <w:i/>
          <w:sz w:val="22"/>
          <w:szCs w:val="22"/>
        </w:rPr>
        <w:t>Revive: a place for every story, a story for every place</w:t>
      </w:r>
      <w:r w:rsidRPr="005A3247">
        <w:rPr>
          <w:rFonts w:ascii="Times New Roman" w:hAnsi="Times New Roman" w:cs="Times New Roman"/>
          <w:sz w:val="22"/>
          <w:szCs w:val="22"/>
        </w:rPr>
        <w:t xml:space="preserve"> (</w:t>
      </w:r>
      <w:r w:rsidRPr="005A3247">
        <w:rPr>
          <w:rFonts w:ascii="Times New Roman" w:hAnsi="Times New Roman" w:cs="Times New Roman"/>
          <w:i/>
          <w:sz w:val="22"/>
          <w:szCs w:val="22"/>
        </w:rPr>
        <w:t>Revive)</w:t>
      </w:r>
      <w:r w:rsidRPr="005A3247">
        <w:rPr>
          <w:rFonts w:ascii="Times New Roman" w:hAnsi="Times New Roman" w:cs="Times New Roman"/>
          <w:sz w:val="22"/>
          <w:szCs w:val="22"/>
        </w:rPr>
        <w:t xml:space="preserve"> commit</w:t>
      </w:r>
      <w:r w:rsidR="003E538B">
        <w:rPr>
          <w:rFonts w:ascii="Times New Roman" w:hAnsi="Times New Roman" w:cs="Times New Roman"/>
          <w:sz w:val="22"/>
          <w:szCs w:val="22"/>
        </w:rPr>
        <w:t xml:space="preserve">ted </w:t>
      </w:r>
      <w:r w:rsidRPr="005A3247">
        <w:rPr>
          <w:rFonts w:ascii="Times New Roman" w:hAnsi="Times New Roman" w:cs="Times New Roman"/>
          <w:sz w:val="22"/>
          <w:szCs w:val="22"/>
        </w:rPr>
        <w:t xml:space="preserve">to funding and acting to modernise and extend the </w:t>
      </w:r>
      <w:r w:rsidR="00761E66" w:rsidRPr="00050BE7">
        <w:rPr>
          <w:rFonts w:ascii="Times New Roman" w:hAnsi="Times New Roman" w:cs="Times New Roman"/>
          <w:i/>
          <w:sz w:val="22"/>
          <w:szCs w:val="22"/>
        </w:rPr>
        <w:t>Public Lending Right Scheme 2016</w:t>
      </w:r>
      <w:r w:rsidR="00761E66" w:rsidRPr="00050BE7">
        <w:rPr>
          <w:rFonts w:ascii="Times New Roman" w:hAnsi="Times New Roman" w:cs="Times New Roman"/>
          <w:sz w:val="22"/>
          <w:szCs w:val="22"/>
        </w:rPr>
        <w:t xml:space="preserve"> </w:t>
      </w:r>
      <w:r w:rsidR="00761E66">
        <w:rPr>
          <w:rFonts w:ascii="Times New Roman" w:hAnsi="Times New Roman" w:cs="Times New Roman"/>
          <w:sz w:val="22"/>
          <w:szCs w:val="22"/>
        </w:rPr>
        <w:t xml:space="preserve">(the </w:t>
      </w:r>
      <w:r w:rsidRPr="005A3247">
        <w:rPr>
          <w:rFonts w:ascii="Times New Roman" w:hAnsi="Times New Roman" w:cs="Times New Roman"/>
          <w:sz w:val="22"/>
          <w:szCs w:val="22"/>
        </w:rPr>
        <w:t>Scheme</w:t>
      </w:r>
      <w:r w:rsidR="007E0B89">
        <w:rPr>
          <w:rFonts w:ascii="Times New Roman" w:hAnsi="Times New Roman" w:cs="Times New Roman"/>
          <w:sz w:val="22"/>
          <w:szCs w:val="22"/>
        </w:rPr>
        <w:t>)</w:t>
      </w:r>
      <w:r w:rsidR="00761E66">
        <w:rPr>
          <w:rFonts w:ascii="Times New Roman" w:hAnsi="Times New Roman" w:cs="Times New Roman"/>
          <w:sz w:val="22"/>
          <w:szCs w:val="22"/>
        </w:rPr>
        <w:t xml:space="preserve"> </w:t>
      </w:r>
      <w:r w:rsidRPr="005A3247">
        <w:rPr>
          <w:rFonts w:ascii="Times New Roman" w:hAnsi="Times New Roman" w:cs="Times New Roman"/>
          <w:sz w:val="22"/>
          <w:szCs w:val="22"/>
        </w:rPr>
        <w:t>to include electronic books and audiobooks.</w:t>
      </w:r>
      <w:r w:rsidR="003E538B">
        <w:rPr>
          <w:rFonts w:ascii="Times New Roman" w:hAnsi="Times New Roman" w:cs="Times New Roman"/>
          <w:sz w:val="22"/>
          <w:szCs w:val="22"/>
        </w:rPr>
        <w:t xml:space="preserve"> The </w:t>
      </w:r>
      <w:r w:rsidR="00BB2818" w:rsidRPr="00761E66">
        <w:rPr>
          <w:rFonts w:ascii="Times New Roman" w:hAnsi="Times New Roman" w:cs="Times New Roman"/>
          <w:sz w:val="22"/>
          <w:szCs w:val="22"/>
        </w:rPr>
        <w:t>Scheme</w:t>
      </w:r>
      <w:r w:rsidR="00BB2818" w:rsidRPr="00050BE7">
        <w:rPr>
          <w:rFonts w:ascii="Times New Roman" w:hAnsi="Times New Roman" w:cs="Times New Roman"/>
          <w:i/>
          <w:sz w:val="22"/>
          <w:szCs w:val="22"/>
        </w:rPr>
        <w:t xml:space="preserve"> </w:t>
      </w:r>
      <w:r w:rsidR="003E538B" w:rsidRPr="00050BE7">
        <w:rPr>
          <w:rFonts w:ascii="Times New Roman" w:hAnsi="Times New Roman" w:cs="Times New Roman"/>
          <w:sz w:val="22"/>
          <w:szCs w:val="22"/>
        </w:rPr>
        <w:t xml:space="preserve">was </w:t>
      </w:r>
      <w:r w:rsidR="00BB2818" w:rsidRPr="00050BE7">
        <w:rPr>
          <w:rFonts w:ascii="Times New Roman" w:hAnsi="Times New Roman" w:cs="Times New Roman"/>
          <w:sz w:val="22"/>
          <w:szCs w:val="22"/>
        </w:rPr>
        <w:t xml:space="preserve">most recently </w:t>
      </w:r>
      <w:r w:rsidR="007B21E6" w:rsidRPr="00050BE7">
        <w:rPr>
          <w:rFonts w:ascii="Times New Roman" w:hAnsi="Times New Roman" w:cs="Times New Roman"/>
          <w:sz w:val="22"/>
          <w:szCs w:val="22"/>
        </w:rPr>
        <w:t xml:space="preserve">modified </w:t>
      </w:r>
      <w:r w:rsidR="003E538B" w:rsidRPr="00050BE7">
        <w:rPr>
          <w:rFonts w:ascii="Times New Roman" w:hAnsi="Times New Roman" w:cs="Times New Roman"/>
          <w:sz w:val="22"/>
          <w:szCs w:val="22"/>
        </w:rPr>
        <w:t>in 2023</w:t>
      </w:r>
      <w:r w:rsidR="007B21E6" w:rsidRPr="00050BE7">
        <w:rPr>
          <w:rFonts w:ascii="Times New Roman" w:hAnsi="Times New Roman" w:cs="Times New Roman"/>
          <w:sz w:val="22"/>
          <w:szCs w:val="22"/>
        </w:rPr>
        <w:t xml:space="preserve"> </w:t>
      </w:r>
      <w:r w:rsidR="003E538B" w:rsidRPr="00050BE7">
        <w:rPr>
          <w:rFonts w:ascii="Times New Roman" w:hAnsi="Times New Roman" w:cs="Times New Roman"/>
          <w:sz w:val="22"/>
          <w:szCs w:val="22"/>
        </w:rPr>
        <w:t>to implement this commitment</w:t>
      </w:r>
      <w:r w:rsidR="00050BE7">
        <w:rPr>
          <w:rFonts w:ascii="Times New Roman" w:hAnsi="Times New Roman" w:cs="Times New Roman"/>
          <w:sz w:val="22"/>
          <w:szCs w:val="22"/>
        </w:rPr>
        <w:t xml:space="preserve">, including the </w:t>
      </w:r>
      <w:r w:rsidR="00050BE7" w:rsidRPr="00050BE7">
        <w:rPr>
          <w:rFonts w:ascii="Times New Roman" w:hAnsi="Times New Roman" w:cs="Times New Roman"/>
          <w:sz w:val="22"/>
          <w:szCs w:val="22"/>
          <w:lang w:eastAsia="en-US"/>
        </w:rPr>
        <w:t>introduc</w:t>
      </w:r>
      <w:r w:rsidR="00050BE7">
        <w:rPr>
          <w:rFonts w:ascii="Times New Roman" w:hAnsi="Times New Roman" w:cs="Times New Roman"/>
          <w:sz w:val="22"/>
          <w:szCs w:val="22"/>
          <w:lang w:eastAsia="en-US"/>
        </w:rPr>
        <w:t xml:space="preserve">tion of </w:t>
      </w:r>
      <w:r w:rsidR="007336FF">
        <w:rPr>
          <w:rFonts w:ascii="Times New Roman" w:hAnsi="Times New Roman" w:cs="Times New Roman"/>
          <w:sz w:val="22"/>
          <w:szCs w:val="22"/>
          <w:lang w:eastAsia="en-US"/>
        </w:rPr>
        <w:t xml:space="preserve">a payment table to allow multiple rates of payments, </w:t>
      </w:r>
      <w:r w:rsidR="003A05DA">
        <w:rPr>
          <w:rFonts w:ascii="Times New Roman" w:hAnsi="Times New Roman" w:cs="Times New Roman"/>
          <w:sz w:val="22"/>
          <w:szCs w:val="22"/>
          <w:lang w:eastAsia="en-US"/>
        </w:rPr>
        <w:t>provid</w:t>
      </w:r>
      <w:r w:rsidR="007336FF">
        <w:rPr>
          <w:rFonts w:ascii="Times New Roman" w:hAnsi="Times New Roman" w:cs="Times New Roman"/>
          <w:sz w:val="22"/>
          <w:szCs w:val="22"/>
          <w:lang w:eastAsia="en-US"/>
        </w:rPr>
        <w:t>ing</w:t>
      </w:r>
      <w:r w:rsidR="003A05DA">
        <w:rPr>
          <w:rFonts w:ascii="Times New Roman" w:hAnsi="Times New Roman" w:cs="Times New Roman"/>
          <w:sz w:val="22"/>
          <w:szCs w:val="22"/>
          <w:lang w:eastAsia="en-US"/>
        </w:rPr>
        <w:t xml:space="preserve"> greater flexibility </w:t>
      </w:r>
      <w:r w:rsidR="003A05DA" w:rsidRPr="00050BE7">
        <w:rPr>
          <w:rFonts w:ascii="Times New Roman" w:hAnsi="Times New Roman" w:cs="Times New Roman"/>
          <w:sz w:val="22"/>
          <w:szCs w:val="22"/>
          <w:lang w:val="en-US"/>
        </w:rPr>
        <w:t>to direct funding to emerging and mid-career authors where funding is most needed.</w:t>
      </w:r>
      <w:r w:rsidR="00050BE7">
        <w:rPr>
          <w:rFonts w:ascii="Times New Roman" w:hAnsi="Times New Roman" w:cs="Times New Roman"/>
          <w:sz w:val="22"/>
          <w:szCs w:val="22"/>
          <w:lang w:eastAsia="en-US"/>
        </w:rPr>
        <w:t xml:space="preserve"> </w:t>
      </w: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FINANCIAL IMPACT</w:t>
      </w:r>
    </w:p>
    <w:p w:rsidR="000C58F6" w:rsidRPr="005A3247" w:rsidRDefault="000C58F6" w:rsidP="000C58F6">
      <w:pPr>
        <w:rPr>
          <w:rFonts w:ascii="Times New Roman" w:hAnsi="Times New Roman" w:cs="Times New Roman"/>
          <w:sz w:val="22"/>
          <w:szCs w:val="22"/>
        </w:rPr>
      </w:pPr>
      <w:r w:rsidRPr="005A3247">
        <w:rPr>
          <w:rFonts w:ascii="Times New Roman" w:hAnsi="Times New Roman" w:cs="Times New Roman"/>
          <w:sz w:val="22"/>
          <w:szCs w:val="22"/>
        </w:rPr>
        <w:t>In 202</w:t>
      </w:r>
      <w:r>
        <w:rPr>
          <w:rFonts w:ascii="Times New Roman" w:hAnsi="Times New Roman" w:cs="Times New Roman"/>
          <w:sz w:val="22"/>
          <w:szCs w:val="22"/>
        </w:rPr>
        <w:t>2</w:t>
      </w:r>
      <w:r w:rsidRPr="005A3247">
        <w:rPr>
          <w:rFonts w:ascii="Times New Roman" w:hAnsi="Times New Roman" w:cs="Times New Roman"/>
          <w:sz w:val="22"/>
          <w:szCs w:val="22"/>
        </w:rPr>
        <w:t>-2</w:t>
      </w:r>
      <w:r>
        <w:rPr>
          <w:rFonts w:ascii="Times New Roman" w:hAnsi="Times New Roman" w:cs="Times New Roman"/>
          <w:sz w:val="22"/>
          <w:szCs w:val="22"/>
        </w:rPr>
        <w:t>3</w:t>
      </w:r>
      <w:r w:rsidRPr="005A3247">
        <w:rPr>
          <w:rFonts w:ascii="Times New Roman" w:hAnsi="Times New Roman" w:cs="Times New Roman"/>
          <w:sz w:val="22"/>
          <w:szCs w:val="22"/>
        </w:rPr>
        <w:t xml:space="preserve">, the </w:t>
      </w:r>
      <w:r w:rsidR="000F52A6">
        <w:rPr>
          <w:rFonts w:ascii="Times New Roman" w:hAnsi="Times New Roman" w:cs="Times New Roman"/>
          <w:sz w:val="22"/>
          <w:szCs w:val="22"/>
        </w:rPr>
        <w:t>S</w:t>
      </w:r>
      <w:r w:rsidRPr="005A3247">
        <w:rPr>
          <w:rFonts w:ascii="Times New Roman" w:hAnsi="Times New Roman" w:cs="Times New Roman"/>
          <w:sz w:val="22"/>
          <w:szCs w:val="22"/>
        </w:rPr>
        <w:t xml:space="preserve">cheme delivered payments to </w:t>
      </w:r>
      <w:r w:rsidR="00B13DB3">
        <w:rPr>
          <w:rFonts w:ascii="Times New Roman" w:hAnsi="Times New Roman" w:cs="Times New Roman"/>
          <w:sz w:val="22"/>
          <w:szCs w:val="22"/>
        </w:rPr>
        <w:t>6,</w:t>
      </w:r>
      <w:r w:rsidR="00B13DB3" w:rsidRPr="00B13DB3">
        <w:rPr>
          <w:rFonts w:ascii="Times New Roman" w:hAnsi="Times New Roman" w:cs="Times New Roman"/>
          <w:sz w:val="22"/>
          <w:szCs w:val="22"/>
        </w:rPr>
        <w:t xml:space="preserve">724 </w:t>
      </w:r>
      <w:r w:rsidRPr="00B13DB3">
        <w:rPr>
          <w:rFonts w:ascii="Times New Roman" w:hAnsi="Times New Roman" w:cs="Times New Roman"/>
          <w:sz w:val="22"/>
          <w:szCs w:val="22"/>
        </w:rPr>
        <w:t>claimants, totalling over $10</w:t>
      </w:r>
      <w:r w:rsidR="001D6A34" w:rsidRPr="00B13DB3">
        <w:rPr>
          <w:rFonts w:ascii="Times New Roman" w:hAnsi="Times New Roman" w:cs="Times New Roman"/>
          <w:sz w:val="22"/>
          <w:szCs w:val="22"/>
        </w:rPr>
        <w:t>.5</w:t>
      </w:r>
      <w:r w:rsidRPr="00B13DB3">
        <w:rPr>
          <w:rFonts w:ascii="Times New Roman" w:hAnsi="Times New Roman" w:cs="Times New Roman"/>
          <w:sz w:val="22"/>
          <w:szCs w:val="22"/>
        </w:rPr>
        <w:t xml:space="preserve"> million. The </w:t>
      </w:r>
      <w:r w:rsidR="00436D9F" w:rsidRPr="00B13DB3">
        <w:rPr>
          <w:rFonts w:ascii="Times New Roman" w:hAnsi="Times New Roman" w:cs="Times New Roman"/>
          <w:sz w:val="22"/>
          <w:szCs w:val="22"/>
        </w:rPr>
        <w:t xml:space="preserve">number of </w:t>
      </w:r>
      <w:r w:rsidR="00B13DB3" w:rsidRPr="00B13DB3">
        <w:rPr>
          <w:rFonts w:ascii="Times New Roman" w:hAnsi="Times New Roman" w:cs="Times New Roman"/>
          <w:sz w:val="22"/>
          <w:szCs w:val="22"/>
        </w:rPr>
        <w:t xml:space="preserve">payments is expected to increase to almost 8,000 in </w:t>
      </w:r>
      <w:r w:rsidR="00436D9F" w:rsidRPr="00B13DB3">
        <w:rPr>
          <w:rFonts w:ascii="Times New Roman" w:hAnsi="Times New Roman" w:cs="Times New Roman"/>
          <w:sz w:val="22"/>
          <w:szCs w:val="22"/>
        </w:rPr>
        <w:t>2023-24</w:t>
      </w:r>
      <w:r w:rsidR="00B13DB3" w:rsidRPr="00B13DB3">
        <w:rPr>
          <w:rFonts w:ascii="Times New Roman" w:hAnsi="Times New Roman" w:cs="Times New Roman"/>
          <w:sz w:val="22"/>
          <w:szCs w:val="22"/>
        </w:rPr>
        <w:t xml:space="preserve"> </w:t>
      </w:r>
      <w:r w:rsidRPr="00B13DB3">
        <w:rPr>
          <w:rFonts w:ascii="Times New Roman" w:hAnsi="Times New Roman" w:cs="Times New Roman"/>
          <w:sz w:val="22"/>
          <w:szCs w:val="22"/>
        </w:rPr>
        <w:t>following</w:t>
      </w:r>
      <w:r>
        <w:rPr>
          <w:rFonts w:ascii="Times New Roman" w:hAnsi="Times New Roman" w:cs="Times New Roman"/>
          <w:sz w:val="22"/>
          <w:szCs w:val="22"/>
        </w:rPr>
        <w:t xml:space="preserve"> the inclusion of</w:t>
      </w:r>
      <w:r w:rsidRPr="005A3247">
        <w:rPr>
          <w:rFonts w:ascii="Times New Roman" w:hAnsi="Times New Roman" w:cs="Times New Roman"/>
          <w:sz w:val="22"/>
          <w:szCs w:val="22"/>
        </w:rPr>
        <w:t xml:space="preserve"> Australian digital material published in the last five years</w:t>
      </w:r>
      <w:r>
        <w:rPr>
          <w:rFonts w:ascii="Times New Roman" w:hAnsi="Times New Roman" w:cs="Times New Roman"/>
          <w:sz w:val="22"/>
          <w:szCs w:val="22"/>
        </w:rPr>
        <w:t xml:space="preserve"> in the </w:t>
      </w:r>
      <w:r w:rsidR="00436D9F">
        <w:rPr>
          <w:rFonts w:ascii="Times New Roman" w:hAnsi="Times New Roman" w:cs="Times New Roman"/>
          <w:sz w:val="22"/>
          <w:szCs w:val="22"/>
        </w:rPr>
        <w:t>S</w:t>
      </w:r>
      <w:r>
        <w:rPr>
          <w:rFonts w:ascii="Times New Roman" w:hAnsi="Times New Roman" w:cs="Times New Roman"/>
          <w:sz w:val="22"/>
          <w:szCs w:val="22"/>
        </w:rPr>
        <w:t>cheme</w:t>
      </w:r>
      <w:r w:rsidRPr="005A3247">
        <w:rPr>
          <w:rFonts w:ascii="Times New Roman" w:hAnsi="Times New Roman" w:cs="Times New Roman"/>
          <w:sz w:val="22"/>
          <w:szCs w:val="22"/>
        </w:rPr>
        <w:t xml:space="preserve">. </w:t>
      </w:r>
    </w:p>
    <w:p w:rsidR="00B76433" w:rsidRPr="005A3247" w:rsidRDefault="000C58F6" w:rsidP="000C58F6">
      <w:pPr>
        <w:rPr>
          <w:rFonts w:ascii="Times New Roman" w:hAnsi="Times New Roman" w:cs="Times New Roman"/>
          <w:sz w:val="22"/>
          <w:szCs w:val="22"/>
        </w:rPr>
      </w:pPr>
      <w:r w:rsidRPr="005A3247">
        <w:rPr>
          <w:rFonts w:ascii="Times New Roman" w:hAnsi="Times New Roman" w:cs="Times New Roman"/>
          <w:i/>
          <w:sz w:val="22"/>
          <w:szCs w:val="22"/>
        </w:rPr>
        <w:t>Revive</w:t>
      </w:r>
      <w:r w:rsidRPr="005A3247">
        <w:rPr>
          <w:rFonts w:ascii="Times New Roman" w:hAnsi="Times New Roman" w:cs="Times New Roman"/>
          <w:sz w:val="22"/>
          <w:szCs w:val="22"/>
        </w:rPr>
        <w:t xml:space="preserve"> provides new funding of $12.9 million over four years from 2023-24 to expand and improve the public and educational lending right schemes with $3.4 million (indexed) in ongoing funding from 2023. Th</w:t>
      </w:r>
      <w:r w:rsidR="000F52A6">
        <w:rPr>
          <w:rFonts w:ascii="Times New Roman" w:hAnsi="Times New Roman" w:cs="Times New Roman"/>
          <w:sz w:val="22"/>
          <w:szCs w:val="22"/>
        </w:rPr>
        <w:t xml:space="preserve">e </w:t>
      </w:r>
      <w:r w:rsidR="007336FF">
        <w:rPr>
          <w:rFonts w:ascii="Times New Roman" w:hAnsi="Times New Roman" w:cs="Times New Roman"/>
          <w:sz w:val="22"/>
          <w:szCs w:val="22"/>
        </w:rPr>
        <w:t xml:space="preserve">use of </w:t>
      </w:r>
      <w:r w:rsidR="00345F46">
        <w:rPr>
          <w:rFonts w:ascii="Times New Roman" w:hAnsi="Times New Roman" w:cs="Times New Roman"/>
          <w:sz w:val="22"/>
          <w:szCs w:val="22"/>
        </w:rPr>
        <w:t>tiered</w:t>
      </w:r>
      <w:r w:rsidR="007336FF">
        <w:rPr>
          <w:rFonts w:ascii="Times New Roman" w:hAnsi="Times New Roman" w:cs="Times New Roman"/>
          <w:sz w:val="22"/>
          <w:szCs w:val="22"/>
        </w:rPr>
        <w:t xml:space="preserve"> </w:t>
      </w:r>
      <w:r w:rsidR="00BE33A8" w:rsidRPr="003B22C3">
        <w:rPr>
          <w:rFonts w:ascii="Times New Roman" w:hAnsi="Times New Roman" w:cs="Times New Roman"/>
          <w:sz w:val="22"/>
          <w:szCs w:val="22"/>
          <w:lang w:val="en-US"/>
        </w:rPr>
        <w:t>payment</w:t>
      </w:r>
      <w:r w:rsidR="007336FF">
        <w:rPr>
          <w:rFonts w:ascii="Times New Roman" w:hAnsi="Times New Roman" w:cs="Times New Roman"/>
          <w:sz w:val="22"/>
          <w:szCs w:val="22"/>
          <w:lang w:val="en-US"/>
        </w:rPr>
        <w:t xml:space="preserve"> rates in a payment table</w:t>
      </w:r>
      <w:r w:rsidR="000F52A6" w:rsidRPr="003B22C3">
        <w:rPr>
          <w:rFonts w:ascii="Times New Roman" w:hAnsi="Times New Roman" w:cs="Times New Roman"/>
          <w:sz w:val="22"/>
          <w:szCs w:val="22"/>
          <w:lang w:val="en-US"/>
        </w:rPr>
        <w:t xml:space="preserve"> </w:t>
      </w:r>
      <w:r w:rsidRPr="005A3247">
        <w:rPr>
          <w:rFonts w:ascii="Times New Roman" w:hAnsi="Times New Roman" w:cs="Times New Roman"/>
          <w:sz w:val="22"/>
          <w:szCs w:val="22"/>
        </w:rPr>
        <w:t>ensure</w:t>
      </w:r>
      <w:r w:rsidR="000F52A6">
        <w:rPr>
          <w:rFonts w:ascii="Times New Roman" w:hAnsi="Times New Roman" w:cs="Times New Roman"/>
          <w:sz w:val="22"/>
          <w:szCs w:val="22"/>
        </w:rPr>
        <w:t>s</w:t>
      </w:r>
      <w:r w:rsidRPr="005A3247">
        <w:rPr>
          <w:rFonts w:ascii="Times New Roman" w:hAnsi="Times New Roman" w:cs="Times New Roman"/>
          <w:sz w:val="22"/>
          <w:szCs w:val="22"/>
        </w:rPr>
        <w:t xml:space="preserve"> that payments remain within the budget allocation</w:t>
      </w:r>
      <w:r w:rsidR="007336FF">
        <w:rPr>
          <w:rFonts w:ascii="Times New Roman" w:hAnsi="Times New Roman" w:cs="Times New Roman"/>
          <w:sz w:val="22"/>
          <w:szCs w:val="22"/>
        </w:rPr>
        <w:t xml:space="preserve"> while continue to provide lending right annual payments with fairness and equity.</w:t>
      </w:r>
    </w:p>
    <w:p w:rsidR="00B76433" w:rsidRPr="005A3247" w:rsidRDefault="00761E66" w:rsidP="00B76433">
      <w:pPr>
        <w:rPr>
          <w:rFonts w:ascii="Times New Roman" w:hAnsi="Times New Roman" w:cs="Times New Roman"/>
          <w:b/>
          <w:sz w:val="22"/>
          <w:szCs w:val="22"/>
        </w:rPr>
      </w:pPr>
      <w:r>
        <w:rPr>
          <w:rFonts w:ascii="Times New Roman" w:hAnsi="Times New Roman" w:cs="Times New Roman"/>
          <w:b/>
          <w:sz w:val="22"/>
          <w:szCs w:val="22"/>
        </w:rPr>
        <w:br w:type="column"/>
      </w:r>
      <w:r w:rsidR="00B76433" w:rsidRPr="005A3247">
        <w:rPr>
          <w:rFonts w:ascii="Times New Roman" w:hAnsi="Times New Roman" w:cs="Times New Roman"/>
          <w:b/>
          <w:sz w:val="22"/>
          <w:szCs w:val="22"/>
        </w:rPr>
        <w:t>IMPACT ANALYSIS</w:t>
      </w:r>
    </w:p>
    <w:p w:rsidR="00B76433" w:rsidRPr="005A3247" w:rsidRDefault="000C58F6" w:rsidP="00B76433">
      <w:pPr>
        <w:pStyle w:val="Heading2"/>
        <w:spacing w:after="240"/>
        <w:rPr>
          <w:rFonts w:ascii="Times New Roman" w:hAnsi="Times New Roman" w:cs="Times New Roman"/>
          <w:b/>
          <w:color w:val="auto"/>
          <w:sz w:val="22"/>
          <w:szCs w:val="22"/>
        </w:rPr>
      </w:pPr>
      <w:r w:rsidRPr="00345F46">
        <w:rPr>
          <w:rFonts w:ascii="Times New Roman" w:hAnsi="Times New Roman" w:cs="Times New Roman"/>
          <w:iCs/>
          <w:color w:val="auto"/>
          <w:sz w:val="22"/>
          <w:szCs w:val="22"/>
        </w:rPr>
        <w:t xml:space="preserve">The Office of Impact Analysis has advised that </w:t>
      </w:r>
      <w:r w:rsidRPr="00345F46">
        <w:rPr>
          <w:rFonts w:ascii="Times New Roman" w:eastAsia="Times New Roman" w:hAnsi="Times New Roman" w:cs="Times New Roman"/>
          <w:color w:val="auto"/>
          <w:sz w:val="22"/>
          <w:szCs w:val="22"/>
        </w:rPr>
        <w:t xml:space="preserve">requirements have been met for the inclusion of tiered payment rates </w:t>
      </w:r>
      <w:r w:rsidR="00761E66">
        <w:rPr>
          <w:rFonts w:ascii="Times New Roman" w:eastAsia="Times New Roman" w:hAnsi="Times New Roman" w:cs="Times New Roman"/>
          <w:color w:val="auto"/>
          <w:sz w:val="22"/>
          <w:szCs w:val="22"/>
        </w:rPr>
        <w:t xml:space="preserve">into the Scheme </w:t>
      </w:r>
      <w:r w:rsidRPr="00345F46">
        <w:rPr>
          <w:rFonts w:ascii="Times New Roman" w:eastAsia="Times New Roman" w:hAnsi="Times New Roman" w:cs="Times New Roman"/>
          <w:color w:val="auto"/>
          <w:sz w:val="22"/>
          <w:szCs w:val="22"/>
        </w:rPr>
        <w:t>and</w:t>
      </w:r>
      <w:r w:rsidRPr="00345F46">
        <w:rPr>
          <w:rFonts w:ascii="Times New Roman" w:hAnsi="Times New Roman" w:cs="Times New Roman"/>
          <w:iCs/>
          <w:color w:val="auto"/>
          <w:sz w:val="22"/>
          <w:szCs w:val="22"/>
        </w:rPr>
        <w:t xml:space="preserve"> an Impact Analysis is not required for this instrument (OPBR22-03596).</w:t>
      </w: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CONSULTATION</w:t>
      </w:r>
    </w:p>
    <w:p w:rsidR="007336FF" w:rsidRDefault="000C58F6" w:rsidP="00345F46">
      <w:pPr>
        <w:pStyle w:val="Heading2"/>
        <w:rPr>
          <w:rFonts w:ascii="Times New Roman" w:hAnsi="Times New Roman" w:cs="Times New Roman"/>
          <w:color w:val="auto"/>
          <w:sz w:val="22"/>
          <w:szCs w:val="22"/>
        </w:rPr>
      </w:pPr>
      <w:r w:rsidRPr="000C58F6">
        <w:rPr>
          <w:rFonts w:ascii="Times New Roman" w:hAnsi="Times New Roman" w:cs="Times New Roman"/>
          <w:color w:val="auto"/>
          <w:sz w:val="22"/>
          <w:szCs w:val="22"/>
        </w:rPr>
        <w:t>Over many years</w:t>
      </w:r>
      <w:r w:rsidR="00596705">
        <w:rPr>
          <w:rFonts w:ascii="Times New Roman" w:hAnsi="Times New Roman" w:cs="Times New Roman"/>
          <w:color w:val="auto"/>
          <w:sz w:val="22"/>
          <w:szCs w:val="22"/>
        </w:rPr>
        <w:t>,</w:t>
      </w:r>
      <w:r w:rsidRPr="000C58F6">
        <w:rPr>
          <w:rFonts w:ascii="Times New Roman" w:hAnsi="Times New Roman" w:cs="Times New Roman"/>
          <w:color w:val="auto"/>
          <w:sz w:val="22"/>
          <w:szCs w:val="22"/>
        </w:rPr>
        <w:t xml:space="preserve"> key stakeholders (including the Australian Society of Authors and the Australian Publishers Association) have advocated strongly that publishing and reading has changed in Australia, and that an author or creator should be compensated for the free use of their books under the Public Lending Right Scheme</w:t>
      </w:r>
      <w:r w:rsidR="00596705">
        <w:rPr>
          <w:rFonts w:ascii="Times New Roman" w:hAnsi="Times New Roman" w:cs="Times New Roman"/>
          <w:color w:val="auto"/>
          <w:sz w:val="22"/>
          <w:szCs w:val="22"/>
        </w:rPr>
        <w:t>,</w:t>
      </w:r>
      <w:r w:rsidRPr="000C58F6">
        <w:rPr>
          <w:rFonts w:ascii="Times New Roman" w:hAnsi="Times New Roman" w:cs="Times New Roman"/>
          <w:color w:val="auto"/>
          <w:sz w:val="22"/>
          <w:szCs w:val="22"/>
        </w:rPr>
        <w:t xml:space="preserve"> irrespective of forma</w:t>
      </w:r>
      <w:r w:rsidR="003B22C3">
        <w:rPr>
          <w:rFonts w:ascii="Times New Roman" w:hAnsi="Times New Roman" w:cs="Times New Roman"/>
          <w:color w:val="auto"/>
          <w:sz w:val="22"/>
          <w:szCs w:val="22"/>
        </w:rPr>
        <w:t>t</w:t>
      </w:r>
      <w:r w:rsidR="00345F46">
        <w:rPr>
          <w:rFonts w:ascii="Times New Roman" w:hAnsi="Times New Roman" w:cs="Times New Roman"/>
          <w:color w:val="auto"/>
          <w:sz w:val="22"/>
          <w:szCs w:val="22"/>
        </w:rPr>
        <w:t>, most recently</w:t>
      </w:r>
      <w:r w:rsidRPr="003B22C3">
        <w:rPr>
          <w:rFonts w:ascii="Times New Roman" w:hAnsi="Times New Roman" w:cs="Times New Roman"/>
          <w:color w:val="auto"/>
          <w:sz w:val="22"/>
          <w:szCs w:val="22"/>
        </w:rPr>
        <w:t xml:space="preserve"> through the consultation process for</w:t>
      </w:r>
      <w:r w:rsidR="0023346F">
        <w:rPr>
          <w:rFonts w:ascii="Times New Roman" w:hAnsi="Times New Roman" w:cs="Times New Roman"/>
          <w:color w:val="auto"/>
          <w:sz w:val="22"/>
          <w:szCs w:val="22"/>
        </w:rPr>
        <w:t xml:space="preserve"> the National Cultural Policy,</w:t>
      </w:r>
      <w:r w:rsidRPr="003B22C3">
        <w:rPr>
          <w:rFonts w:ascii="Times New Roman" w:hAnsi="Times New Roman" w:cs="Times New Roman"/>
          <w:color w:val="auto"/>
          <w:sz w:val="22"/>
          <w:szCs w:val="22"/>
        </w:rPr>
        <w:t xml:space="preserve"> </w:t>
      </w:r>
      <w:r w:rsidRPr="003B22C3">
        <w:rPr>
          <w:rFonts w:ascii="Times New Roman" w:hAnsi="Times New Roman" w:cs="Times New Roman"/>
          <w:i/>
          <w:color w:val="auto"/>
          <w:sz w:val="22"/>
          <w:szCs w:val="22"/>
        </w:rPr>
        <w:t>Revive</w:t>
      </w:r>
      <w:r w:rsidR="003B22C3" w:rsidRPr="003B22C3">
        <w:rPr>
          <w:rFonts w:ascii="Times New Roman" w:hAnsi="Times New Roman" w:cs="Times New Roman"/>
          <w:color w:val="auto"/>
          <w:sz w:val="22"/>
          <w:szCs w:val="22"/>
        </w:rPr>
        <w:t>.</w:t>
      </w:r>
      <w:r w:rsidR="003A05DA">
        <w:rPr>
          <w:rFonts w:ascii="Times New Roman" w:hAnsi="Times New Roman" w:cs="Times New Roman"/>
          <w:color w:val="auto"/>
          <w:sz w:val="22"/>
          <w:szCs w:val="22"/>
        </w:rPr>
        <w:t xml:space="preserve"> </w:t>
      </w:r>
    </w:p>
    <w:p w:rsidR="003E538B" w:rsidRPr="003B22C3" w:rsidRDefault="007336FF" w:rsidP="000C58F6">
      <w:pPr>
        <w:pStyle w:val="Heading2"/>
        <w:spacing w:after="240"/>
        <w:rPr>
          <w:rFonts w:ascii="Times New Roman" w:hAnsi="Times New Roman" w:cs="Times New Roman"/>
          <w:b/>
          <w:color w:val="auto"/>
          <w:sz w:val="22"/>
          <w:szCs w:val="22"/>
        </w:rPr>
      </w:pPr>
      <w:r w:rsidRPr="007336FF">
        <w:rPr>
          <w:rFonts w:ascii="Times New Roman" w:hAnsi="Times New Roman" w:cs="Times New Roman"/>
          <w:color w:val="auto"/>
          <w:sz w:val="22"/>
          <w:szCs w:val="22"/>
        </w:rPr>
        <w:t xml:space="preserve">The use of multiple </w:t>
      </w:r>
      <w:r w:rsidR="00761E66">
        <w:rPr>
          <w:rFonts w:ascii="Times New Roman" w:hAnsi="Times New Roman" w:cs="Times New Roman"/>
          <w:color w:val="auto"/>
          <w:sz w:val="22"/>
          <w:szCs w:val="22"/>
        </w:rPr>
        <w:t xml:space="preserve">(tiered) </w:t>
      </w:r>
      <w:r w:rsidRPr="007336FF">
        <w:rPr>
          <w:rFonts w:ascii="Times New Roman" w:hAnsi="Times New Roman" w:cs="Times New Roman"/>
          <w:color w:val="auto"/>
          <w:sz w:val="22"/>
          <w:szCs w:val="22"/>
          <w:lang w:val="en-US"/>
        </w:rPr>
        <w:t>payment rates</w:t>
      </w:r>
      <w:r w:rsidR="00761E66">
        <w:rPr>
          <w:rFonts w:ascii="Times New Roman" w:hAnsi="Times New Roman" w:cs="Times New Roman"/>
          <w:color w:val="auto"/>
          <w:sz w:val="22"/>
          <w:szCs w:val="22"/>
          <w:lang w:val="en-US"/>
        </w:rPr>
        <w:t xml:space="preserve">, as set out in the Modification Instrument, </w:t>
      </w:r>
      <w:r w:rsidR="003B22C3" w:rsidRPr="007336FF">
        <w:rPr>
          <w:rFonts w:ascii="Times New Roman" w:hAnsi="Times New Roman" w:cs="Times New Roman"/>
          <w:color w:val="auto"/>
          <w:sz w:val="22"/>
          <w:szCs w:val="22"/>
          <w:lang w:val="en-US"/>
        </w:rPr>
        <w:t>enable</w:t>
      </w:r>
      <w:r w:rsidRPr="007336FF">
        <w:rPr>
          <w:rFonts w:ascii="Times New Roman" w:hAnsi="Times New Roman" w:cs="Times New Roman"/>
          <w:color w:val="auto"/>
          <w:sz w:val="22"/>
          <w:szCs w:val="22"/>
          <w:lang w:val="en-US"/>
        </w:rPr>
        <w:t xml:space="preserve">s the Scheme </w:t>
      </w:r>
      <w:r>
        <w:rPr>
          <w:rFonts w:ascii="Times New Roman" w:hAnsi="Times New Roman" w:cs="Times New Roman"/>
          <w:color w:val="auto"/>
          <w:sz w:val="22"/>
          <w:szCs w:val="22"/>
          <w:lang w:val="en-US"/>
        </w:rPr>
        <w:t xml:space="preserve">to provide </w:t>
      </w:r>
      <w:r w:rsidR="003B22C3" w:rsidRPr="003B22C3">
        <w:rPr>
          <w:rFonts w:ascii="Times New Roman" w:hAnsi="Times New Roman" w:cs="Times New Roman"/>
          <w:color w:val="auto"/>
          <w:sz w:val="22"/>
          <w:szCs w:val="22"/>
          <w:lang w:val="en-US"/>
        </w:rPr>
        <w:t>responsi</w:t>
      </w:r>
      <w:r w:rsidR="00345F46">
        <w:rPr>
          <w:rFonts w:ascii="Times New Roman" w:hAnsi="Times New Roman" w:cs="Times New Roman"/>
          <w:color w:val="auto"/>
          <w:sz w:val="22"/>
          <w:szCs w:val="22"/>
          <w:lang w:val="en-US"/>
        </w:rPr>
        <w:t>b</w:t>
      </w:r>
      <w:r w:rsidR="003B22C3" w:rsidRPr="003B22C3">
        <w:rPr>
          <w:rFonts w:ascii="Times New Roman" w:hAnsi="Times New Roman" w:cs="Times New Roman"/>
          <w:color w:val="auto"/>
          <w:sz w:val="22"/>
          <w:szCs w:val="22"/>
          <w:lang w:val="en-US"/>
        </w:rPr>
        <w:t xml:space="preserve">ly targeted </w:t>
      </w:r>
      <w:r>
        <w:rPr>
          <w:rFonts w:ascii="Times New Roman" w:hAnsi="Times New Roman" w:cs="Times New Roman"/>
          <w:color w:val="auto"/>
          <w:sz w:val="22"/>
          <w:szCs w:val="22"/>
          <w:lang w:val="en-US"/>
        </w:rPr>
        <w:t xml:space="preserve">funding </w:t>
      </w:r>
      <w:r w:rsidR="003B22C3" w:rsidRPr="003B22C3">
        <w:rPr>
          <w:rFonts w:ascii="Times New Roman" w:hAnsi="Times New Roman" w:cs="Times New Roman"/>
          <w:color w:val="auto"/>
          <w:sz w:val="22"/>
          <w:szCs w:val="22"/>
          <w:lang w:val="en-US"/>
        </w:rPr>
        <w:t>towards emerging and mid-career authors</w:t>
      </w:r>
      <w:r>
        <w:rPr>
          <w:rFonts w:ascii="Times New Roman" w:hAnsi="Times New Roman" w:cs="Times New Roman"/>
          <w:color w:val="auto"/>
          <w:sz w:val="22"/>
          <w:szCs w:val="22"/>
          <w:lang w:val="en-US"/>
        </w:rPr>
        <w:t xml:space="preserve"> </w:t>
      </w:r>
      <w:r w:rsidR="003B22C3" w:rsidRPr="003B22C3">
        <w:rPr>
          <w:rFonts w:ascii="Times New Roman" w:hAnsi="Times New Roman" w:cs="Times New Roman"/>
          <w:color w:val="auto"/>
          <w:sz w:val="22"/>
          <w:szCs w:val="22"/>
          <w:lang w:val="en-US"/>
        </w:rPr>
        <w:t>ensur</w:t>
      </w:r>
      <w:r>
        <w:rPr>
          <w:rFonts w:ascii="Times New Roman" w:hAnsi="Times New Roman" w:cs="Times New Roman"/>
          <w:color w:val="auto"/>
          <w:sz w:val="22"/>
          <w:szCs w:val="22"/>
          <w:lang w:val="en-US"/>
        </w:rPr>
        <w:t>ing</w:t>
      </w:r>
      <w:r w:rsidR="003B22C3" w:rsidRPr="003B22C3">
        <w:rPr>
          <w:rFonts w:ascii="Times New Roman" w:hAnsi="Times New Roman" w:cs="Times New Roman"/>
          <w:color w:val="auto"/>
          <w:sz w:val="22"/>
          <w:szCs w:val="22"/>
          <w:lang w:val="en-US"/>
        </w:rPr>
        <w:t xml:space="preserve"> that the </w:t>
      </w:r>
      <w:r>
        <w:rPr>
          <w:rFonts w:ascii="Times New Roman" w:hAnsi="Times New Roman" w:cs="Times New Roman"/>
          <w:color w:val="auto"/>
          <w:sz w:val="22"/>
          <w:szCs w:val="22"/>
          <w:lang w:val="en-US"/>
        </w:rPr>
        <w:t>S</w:t>
      </w:r>
      <w:r w:rsidR="003B22C3" w:rsidRPr="003B22C3">
        <w:rPr>
          <w:rFonts w:ascii="Times New Roman" w:hAnsi="Times New Roman" w:cs="Times New Roman"/>
          <w:color w:val="auto"/>
          <w:sz w:val="22"/>
          <w:szCs w:val="22"/>
          <w:lang w:val="en-US"/>
        </w:rPr>
        <w:t>cheme continues to encourage the growth in Australian writing and publishing</w:t>
      </w:r>
      <w:r w:rsidR="00345F46">
        <w:rPr>
          <w:rFonts w:ascii="Times New Roman" w:hAnsi="Times New Roman" w:cs="Times New Roman"/>
          <w:color w:val="auto"/>
          <w:sz w:val="22"/>
          <w:szCs w:val="22"/>
          <w:lang w:val="en-US"/>
        </w:rPr>
        <w:t xml:space="preserve">, an outcome that has been widely welcomed by key stakeholders, including </w:t>
      </w:r>
      <w:r w:rsidR="0023346F">
        <w:rPr>
          <w:rFonts w:ascii="Times New Roman" w:hAnsi="Times New Roman" w:cs="Times New Roman"/>
          <w:color w:val="auto"/>
          <w:sz w:val="22"/>
          <w:szCs w:val="22"/>
          <w:lang w:val="en-US"/>
        </w:rPr>
        <w:t>industry</w:t>
      </w:r>
      <w:r w:rsidR="00345F46">
        <w:rPr>
          <w:rFonts w:ascii="Times New Roman" w:hAnsi="Times New Roman" w:cs="Times New Roman"/>
          <w:color w:val="auto"/>
          <w:sz w:val="22"/>
          <w:szCs w:val="22"/>
          <w:lang w:val="en-US"/>
        </w:rPr>
        <w:t xml:space="preserve"> representatives on the Public Lending Right Committee</w:t>
      </w:r>
      <w:r w:rsidR="0023346F">
        <w:rPr>
          <w:rFonts w:ascii="Times New Roman" w:hAnsi="Times New Roman" w:cs="Times New Roman"/>
          <w:color w:val="auto"/>
          <w:sz w:val="22"/>
          <w:szCs w:val="22"/>
          <w:lang w:val="en-US"/>
        </w:rPr>
        <w:t>.</w:t>
      </w: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 xml:space="preserve">Commencement </w:t>
      </w:r>
    </w:p>
    <w:p w:rsidR="00B76433" w:rsidRPr="005A3247" w:rsidRDefault="00B76433" w:rsidP="00B76433">
      <w:pPr>
        <w:rPr>
          <w:rFonts w:ascii="Times New Roman" w:hAnsi="Times New Roman" w:cs="Times New Roman"/>
          <w:sz w:val="22"/>
          <w:szCs w:val="22"/>
        </w:rPr>
      </w:pPr>
      <w:bookmarkStart w:id="1" w:name="_Hlk160101492"/>
      <w:r w:rsidRPr="005A3247">
        <w:rPr>
          <w:rFonts w:ascii="Times New Roman" w:hAnsi="Times New Roman" w:cs="Times New Roman"/>
          <w:sz w:val="22"/>
          <w:szCs w:val="22"/>
        </w:rPr>
        <w:t xml:space="preserve">The Modification Instrument is a legislative instrument within the meaning of the </w:t>
      </w:r>
      <w:r w:rsidRPr="005A3247">
        <w:rPr>
          <w:rFonts w:ascii="Times New Roman" w:hAnsi="Times New Roman" w:cs="Times New Roman"/>
          <w:i/>
          <w:sz w:val="22"/>
          <w:szCs w:val="22"/>
        </w:rPr>
        <w:t>Legislation Act 2003</w:t>
      </w:r>
      <w:r w:rsidRPr="005A3247">
        <w:rPr>
          <w:rFonts w:ascii="Times New Roman" w:hAnsi="Times New Roman" w:cs="Times New Roman"/>
          <w:sz w:val="22"/>
          <w:szCs w:val="22"/>
        </w:rPr>
        <w:t xml:space="preserve">. The gazettal requirement in subsection 5(1) of the Act is taken to be satisfied if the instrument is registered in the Federal Register of Legislation (subsection 56(1) of the </w:t>
      </w:r>
      <w:r w:rsidRPr="005A3247">
        <w:rPr>
          <w:rFonts w:ascii="Times New Roman" w:hAnsi="Times New Roman" w:cs="Times New Roman"/>
          <w:i/>
          <w:sz w:val="22"/>
          <w:szCs w:val="22"/>
        </w:rPr>
        <w:t>Legislation Act 2003</w:t>
      </w:r>
      <w:r w:rsidRPr="005A3247">
        <w:rPr>
          <w:rFonts w:ascii="Times New Roman" w:hAnsi="Times New Roman" w:cs="Times New Roman"/>
          <w:sz w:val="22"/>
          <w:szCs w:val="22"/>
        </w:rPr>
        <w:t>).</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The Modification Instrument commences on the day after it is registered on the Federal Register of Legislation</w:t>
      </w:r>
      <w:bookmarkEnd w:id="1"/>
      <w:r w:rsidRPr="005A3247">
        <w:rPr>
          <w:rFonts w:ascii="Times New Roman" w:hAnsi="Times New Roman" w:cs="Times New Roman"/>
          <w:sz w:val="22"/>
          <w:szCs w:val="22"/>
        </w:rPr>
        <w:t>.</w:t>
      </w:r>
      <w:r w:rsidRPr="005A3247">
        <w:rPr>
          <w:rFonts w:ascii="Times New Roman" w:hAnsi="Times New Roman" w:cs="Times New Roman"/>
          <w:sz w:val="22"/>
          <w:szCs w:val="22"/>
        </w:rPr>
        <w:br w:type="page"/>
      </w:r>
    </w:p>
    <w:p w:rsidR="00B76433" w:rsidRPr="005A3247" w:rsidRDefault="00B76433" w:rsidP="00B76433">
      <w:pPr>
        <w:pStyle w:val="Heading2"/>
        <w:jc w:val="center"/>
        <w:rPr>
          <w:rFonts w:ascii="Times New Roman" w:hAnsi="Times New Roman" w:cs="Times New Roman"/>
          <w:b/>
          <w:color w:val="auto"/>
          <w:sz w:val="22"/>
          <w:szCs w:val="22"/>
        </w:rPr>
      </w:pPr>
      <w:r w:rsidRPr="005A3247">
        <w:rPr>
          <w:rFonts w:ascii="Times New Roman" w:hAnsi="Times New Roman" w:cs="Times New Roman"/>
          <w:b/>
          <w:color w:val="auto"/>
          <w:sz w:val="22"/>
          <w:szCs w:val="22"/>
        </w:rPr>
        <w:t>STATEMENT OF COMPATIBILITY WITH HUMAN RIGHTS</w:t>
      </w:r>
    </w:p>
    <w:p w:rsidR="00B76433" w:rsidRPr="005A3247" w:rsidRDefault="00B76433" w:rsidP="00B76433">
      <w:pPr>
        <w:spacing w:before="120" w:after="120" w:line="240" w:lineRule="auto"/>
        <w:jc w:val="center"/>
        <w:rPr>
          <w:rFonts w:ascii="Times New Roman" w:hAnsi="Times New Roman" w:cs="Times New Roman"/>
          <w:sz w:val="22"/>
          <w:szCs w:val="22"/>
        </w:rPr>
      </w:pPr>
      <w:r w:rsidRPr="005A3247">
        <w:rPr>
          <w:rFonts w:ascii="Times New Roman" w:hAnsi="Times New Roman" w:cs="Times New Roman"/>
          <w:i/>
          <w:sz w:val="22"/>
          <w:szCs w:val="22"/>
        </w:rPr>
        <w:t>Prepared in accordance with Part 3 of the Human Rights (Parliamentary Scrutiny) Act 2011</w:t>
      </w:r>
    </w:p>
    <w:p w:rsidR="00B76433" w:rsidRPr="005A3247" w:rsidRDefault="00B76433" w:rsidP="00B76433">
      <w:pPr>
        <w:jc w:val="center"/>
        <w:rPr>
          <w:rFonts w:ascii="Times New Roman" w:hAnsi="Times New Roman" w:cs="Times New Roman"/>
          <w:b/>
          <w:i/>
          <w:sz w:val="22"/>
          <w:szCs w:val="22"/>
        </w:rPr>
      </w:pPr>
    </w:p>
    <w:p w:rsidR="00B76433" w:rsidRPr="005A3247" w:rsidRDefault="00B76433" w:rsidP="00B76433">
      <w:pPr>
        <w:jc w:val="center"/>
        <w:rPr>
          <w:rFonts w:ascii="Times New Roman" w:hAnsi="Times New Roman" w:cs="Times New Roman"/>
          <w:b/>
          <w:i/>
          <w:sz w:val="22"/>
          <w:szCs w:val="22"/>
        </w:rPr>
      </w:pPr>
      <w:r w:rsidRPr="005A3247">
        <w:rPr>
          <w:rFonts w:ascii="Times New Roman" w:hAnsi="Times New Roman" w:cs="Times New Roman"/>
          <w:b/>
          <w:i/>
          <w:sz w:val="22"/>
          <w:szCs w:val="22"/>
        </w:rPr>
        <w:t>Public Lending Right Scheme (</w:t>
      </w:r>
      <w:r w:rsidR="00E62F91">
        <w:rPr>
          <w:rFonts w:ascii="Times New Roman" w:hAnsi="Times New Roman" w:cs="Times New Roman"/>
          <w:b/>
          <w:i/>
          <w:sz w:val="22"/>
          <w:szCs w:val="22"/>
        </w:rPr>
        <w:t>Payment Rates</w:t>
      </w:r>
      <w:r w:rsidRPr="005A3247">
        <w:rPr>
          <w:rFonts w:ascii="Times New Roman" w:hAnsi="Times New Roman" w:cs="Times New Roman"/>
          <w:b/>
          <w:i/>
          <w:sz w:val="22"/>
          <w:szCs w:val="22"/>
        </w:rPr>
        <w:t>) Modification 202</w:t>
      </w:r>
      <w:r w:rsidR="00E62F91">
        <w:rPr>
          <w:rFonts w:ascii="Times New Roman" w:hAnsi="Times New Roman" w:cs="Times New Roman"/>
          <w:b/>
          <w:i/>
          <w:sz w:val="22"/>
          <w:szCs w:val="22"/>
        </w:rPr>
        <w:t>4</w:t>
      </w:r>
    </w:p>
    <w:p w:rsidR="00B76433" w:rsidRPr="005A3247" w:rsidRDefault="00B76433" w:rsidP="00B76433">
      <w:pPr>
        <w:spacing w:before="120" w:after="120" w:line="240" w:lineRule="auto"/>
        <w:jc w:val="center"/>
        <w:rPr>
          <w:rFonts w:ascii="Times New Roman" w:hAnsi="Times New Roman" w:cs="Times New Roman"/>
          <w:sz w:val="22"/>
          <w:szCs w:val="22"/>
        </w:rPr>
      </w:pP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 xml:space="preserve">This disallowable Legislative Instrument is compatible with the human rights and freedoms recognised or declared in the international instruments listed in section 3 of the </w:t>
      </w:r>
      <w:r w:rsidRPr="005A3247">
        <w:rPr>
          <w:rFonts w:ascii="Times New Roman" w:hAnsi="Times New Roman" w:cs="Times New Roman"/>
          <w:i/>
          <w:sz w:val="22"/>
          <w:szCs w:val="22"/>
        </w:rPr>
        <w:t>Human Rights (Parliamentary Scrutiny) Act 2011</w:t>
      </w:r>
      <w:r w:rsidRPr="005A3247">
        <w:rPr>
          <w:rFonts w:ascii="Times New Roman" w:hAnsi="Times New Roman" w:cs="Times New Roman"/>
          <w:sz w:val="22"/>
          <w:szCs w:val="22"/>
        </w:rPr>
        <w:t>.</w:t>
      </w: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Overview of the Disallowable Legislative Instrument</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 xml:space="preserve">The </w:t>
      </w:r>
      <w:r w:rsidRPr="005A3247">
        <w:rPr>
          <w:rFonts w:ascii="Times New Roman" w:hAnsi="Times New Roman" w:cs="Times New Roman"/>
          <w:i/>
          <w:sz w:val="22"/>
          <w:szCs w:val="22"/>
        </w:rPr>
        <w:t xml:space="preserve">Public Lending Right Act 2016 </w:t>
      </w:r>
      <w:r w:rsidRPr="005A3247">
        <w:rPr>
          <w:rFonts w:ascii="Times New Roman" w:hAnsi="Times New Roman" w:cs="Times New Roman"/>
          <w:sz w:val="22"/>
          <w:szCs w:val="22"/>
        </w:rPr>
        <w:t xml:space="preserve">(the Act) provides the legislative framework for a Public Lending Right scheme to recognise the loss of income by Australian creators and publishers of books held in public lending libraries. </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i/>
          <w:sz w:val="22"/>
          <w:szCs w:val="22"/>
        </w:rPr>
        <w:t xml:space="preserve">The Public Lending Right Scheme </w:t>
      </w:r>
      <w:r w:rsidR="00E62F91">
        <w:rPr>
          <w:rFonts w:ascii="Times New Roman" w:hAnsi="Times New Roman" w:cs="Times New Roman"/>
          <w:i/>
          <w:sz w:val="22"/>
          <w:szCs w:val="22"/>
        </w:rPr>
        <w:t xml:space="preserve">2016 </w:t>
      </w:r>
      <w:r w:rsidRPr="005A3247">
        <w:rPr>
          <w:rFonts w:ascii="Times New Roman" w:hAnsi="Times New Roman" w:cs="Times New Roman"/>
          <w:sz w:val="22"/>
          <w:szCs w:val="22"/>
        </w:rPr>
        <w:t xml:space="preserve">(the Scheme) provides, among other things, for the annual rates of payment to eligible creators and publishers and specifies the eligibility criteria for creators and publishers under the Scheme. </w:t>
      </w:r>
    </w:p>
    <w:p w:rsidR="00B76433" w:rsidRPr="005A3247" w:rsidRDefault="00B76433" w:rsidP="00B76433">
      <w:pPr>
        <w:rPr>
          <w:rFonts w:ascii="Times New Roman" w:hAnsi="Times New Roman" w:cs="Times New Roman"/>
          <w:iCs/>
          <w:sz w:val="22"/>
          <w:szCs w:val="22"/>
        </w:rPr>
      </w:pPr>
      <w:r w:rsidRPr="005A3247">
        <w:rPr>
          <w:rFonts w:ascii="Times New Roman" w:hAnsi="Times New Roman" w:cs="Times New Roman"/>
          <w:iCs/>
          <w:sz w:val="22"/>
          <w:szCs w:val="22"/>
        </w:rPr>
        <w:t xml:space="preserve">To be eligible for the public lending right, the Scheme specifies certain requirements for </w:t>
      </w:r>
      <w:r w:rsidRPr="005A3247">
        <w:rPr>
          <w:rFonts w:ascii="Times New Roman" w:hAnsi="Times New Roman" w:cs="Times New Roman"/>
          <w:i/>
          <w:iCs/>
          <w:sz w:val="22"/>
          <w:szCs w:val="22"/>
        </w:rPr>
        <w:t>creators</w:t>
      </w:r>
      <w:r w:rsidRPr="005A3247">
        <w:rPr>
          <w:rFonts w:ascii="Times New Roman" w:hAnsi="Times New Roman" w:cs="Times New Roman"/>
          <w:iCs/>
          <w:sz w:val="22"/>
          <w:szCs w:val="22"/>
        </w:rPr>
        <w:t xml:space="preserve"> and </w:t>
      </w:r>
      <w:r w:rsidRPr="005A3247">
        <w:rPr>
          <w:rFonts w:ascii="Times New Roman" w:hAnsi="Times New Roman" w:cs="Times New Roman"/>
          <w:i/>
          <w:iCs/>
          <w:sz w:val="22"/>
          <w:szCs w:val="22"/>
        </w:rPr>
        <w:t>publishers</w:t>
      </w:r>
      <w:r w:rsidRPr="005A3247">
        <w:rPr>
          <w:rFonts w:ascii="Times New Roman" w:hAnsi="Times New Roman" w:cs="Times New Roman"/>
          <w:iCs/>
          <w:sz w:val="22"/>
          <w:szCs w:val="22"/>
        </w:rPr>
        <w:t>. The effect of the Act is that the Scheme applies only to creators who are: Australian citizens, wherever resident; or ordinarily resident in Australia and to publishers wh</w:t>
      </w:r>
      <w:r w:rsidR="0023346F">
        <w:rPr>
          <w:rFonts w:ascii="Times New Roman" w:hAnsi="Times New Roman" w:cs="Times New Roman"/>
          <w:iCs/>
          <w:sz w:val="22"/>
          <w:szCs w:val="22"/>
        </w:rPr>
        <w:t>ich</w:t>
      </w:r>
      <w:r w:rsidRPr="005A3247">
        <w:rPr>
          <w:rFonts w:ascii="Times New Roman" w:hAnsi="Times New Roman" w:cs="Times New Roman"/>
          <w:iCs/>
          <w:sz w:val="22"/>
          <w:szCs w:val="22"/>
        </w:rPr>
        <w:t xml:space="preserve"> meet certain criteria (such as having published the book </w:t>
      </w:r>
      <w:r w:rsidR="00BB2818">
        <w:rPr>
          <w:rFonts w:ascii="Times New Roman" w:hAnsi="Times New Roman" w:cs="Times New Roman"/>
          <w:iCs/>
          <w:sz w:val="22"/>
          <w:szCs w:val="22"/>
        </w:rPr>
        <w:t xml:space="preserve">(including electronic books) </w:t>
      </w:r>
      <w:r w:rsidRPr="005A3247">
        <w:rPr>
          <w:rFonts w:ascii="Times New Roman" w:hAnsi="Times New Roman" w:cs="Times New Roman"/>
          <w:iCs/>
          <w:sz w:val="22"/>
          <w:szCs w:val="22"/>
        </w:rPr>
        <w:t>in Australia and published a new work or revised editions at least once in the preceding three-year period), as set out in the Scheme (as modified</w:t>
      </w:r>
      <w:r w:rsidR="0088162F">
        <w:rPr>
          <w:rFonts w:ascii="Times New Roman" w:hAnsi="Times New Roman" w:cs="Times New Roman"/>
          <w:iCs/>
          <w:sz w:val="22"/>
          <w:szCs w:val="22"/>
        </w:rPr>
        <w:t xml:space="preserve"> from time to time</w:t>
      </w:r>
      <w:r w:rsidRPr="005A3247">
        <w:rPr>
          <w:rFonts w:ascii="Times New Roman" w:hAnsi="Times New Roman" w:cs="Times New Roman"/>
          <w:iCs/>
          <w:sz w:val="22"/>
          <w:szCs w:val="22"/>
        </w:rPr>
        <w:t>).</w:t>
      </w:r>
    </w:p>
    <w:p w:rsidR="00B76433" w:rsidRPr="005A3247" w:rsidRDefault="00B76433" w:rsidP="00B76433">
      <w:pPr>
        <w:rPr>
          <w:rFonts w:ascii="Times New Roman" w:hAnsi="Times New Roman" w:cs="Times New Roman"/>
          <w:iCs/>
          <w:sz w:val="22"/>
          <w:szCs w:val="22"/>
        </w:rPr>
      </w:pPr>
      <w:r w:rsidRPr="005A3247">
        <w:rPr>
          <w:rFonts w:ascii="Times New Roman" w:hAnsi="Times New Roman" w:cs="Times New Roman"/>
          <w:sz w:val="22"/>
          <w:szCs w:val="22"/>
        </w:rPr>
        <w:t xml:space="preserve">The </w:t>
      </w:r>
      <w:r w:rsidRPr="005A3247">
        <w:rPr>
          <w:rFonts w:ascii="Times New Roman" w:hAnsi="Times New Roman" w:cs="Times New Roman"/>
          <w:i/>
          <w:sz w:val="22"/>
          <w:szCs w:val="22"/>
        </w:rPr>
        <w:t>Public Lending Right Scheme (</w:t>
      </w:r>
      <w:r w:rsidR="00E62F91">
        <w:rPr>
          <w:rFonts w:ascii="Times New Roman" w:hAnsi="Times New Roman" w:cs="Times New Roman"/>
          <w:i/>
          <w:sz w:val="22"/>
          <w:szCs w:val="22"/>
        </w:rPr>
        <w:t>Payment Rates</w:t>
      </w:r>
      <w:r w:rsidRPr="005A3247">
        <w:rPr>
          <w:rFonts w:ascii="Times New Roman" w:hAnsi="Times New Roman" w:cs="Times New Roman"/>
          <w:i/>
          <w:sz w:val="22"/>
          <w:szCs w:val="22"/>
        </w:rPr>
        <w:t>) Modification 202</w:t>
      </w:r>
      <w:r w:rsidR="00E62F91">
        <w:rPr>
          <w:rFonts w:ascii="Times New Roman" w:hAnsi="Times New Roman" w:cs="Times New Roman"/>
          <w:i/>
          <w:sz w:val="22"/>
          <w:szCs w:val="22"/>
        </w:rPr>
        <w:t>4</w:t>
      </w:r>
      <w:r w:rsidRPr="005A3247">
        <w:rPr>
          <w:rFonts w:ascii="Times New Roman" w:hAnsi="Times New Roman" w:cs="Times New Roman"/>
          <w:sz w:val="22"/>
          <w:szCs w:val="22"/>
        </w:rPr>
        <w:t xml:space="preserve"> (the Modification Instrument) modifies the Scheme</w:t>
      </w:r>
      <w:r w:rsidR="00E62F91">
        <w:rPr>
          <w:rFonts w:ascii="Times New Roman" w:hAnsi="Times New Roman" w:cs="Times New Roman"/>
          <w:sz w:val="22"/>
          <w:szCs w:val="22"/>
        </w:rPr>
        <w:t xml:space="preserve"> </w:t>
      </w:r>
      <w:r w:rsidR="00BB2818">
        <w:rPr>
          <w:rFonts w:ascii="Times New Roman" w:hAnsi="Times New Roman" w:cs="Times New Roman"/>
          <w:sz w:val="22"/>
          <w:szCs w:val="22"/>
        </w:rPr>
        <w:t xml:space="preserve">by adjusting </w:t>
      </w:r>
      <w:r w:rsidR="00E62F91" w:rsidRPr="00E62F91">
        <w:rPr>
          <w:rFonts w:ascii="Times New Roman" w:hAnsi="Times New Roman" w:cs="Times New Roman"/>
          <w:sz w:val="22"/>
          <w:szCs w:val="22"/>
        </w:rPr>
        <w:t xml:space="preserve">the payment rates which apply under the Scheme </w:t>
      </w:r>
      <w:r w:rsidR="00BB2818">
        <w:rPr>
          <w:rFonts w:ascii="Times New Roman" w:hAnsi="Times New Roman" w:cs="Times New Roman"/>
          <w:sz w:val="22"/>
          <w:szCs w:val="22"/>
        </w:rPr>
        <w:t xml:space="preserve">for </w:t>
      </w:r>
      <w:r w:rsidR="00761E66">
        <w:rPr>
          <w:rFonts w:ascii="Times New Roman" w:hAnsi="Times New Roman" w:cs="Times New Roman"/>
          <w:sz w:val="22"/>
          <w:szCs w:val="22"/>
        </w:rPr>
        <w:t xml:space="preserve">eligible </w:t>
      </w:r>
      <w:r w:rsidR="00BB2818" w:rsidRPr="00BB2818">
        <w:rPr>
          <w:rFonts w:ascii="Times New Roman" w:hAnsi="Times New Roman" w:cs="Times New Roman"/>
          <w:sz w:val="22"/>
          <w:szCs w:val="22"/>
        </w:rPr>
        <w:t xml:space="preserve">creators </w:t>
      </w:r>
      <w:r w:rsidR="00BB2818">
        <w:rPr>
          <w:rFonts w:ascii="Times New Roman" w:hAnsi="Times New Roman" w:cs="Times New Roman"/>
          <w:sz w:val="22"/>
          <w:szCs w:val="22"/>
        </w:rPr>
        <w:t xml:space="preserve">and publishers. </w:t>
      </w:r>
    </w:p>
    <w:p w:rsidR="00B76433" w:rsidRPr="005A3247" w:rsidRDefault="00B76433" w:rsidP="00B76433">
      <w:pPr>
        <w:spacing w:before="0" w:after="0" w:line="240" w:lineRule="auto"/>
        <w:rPr>
          <w:rFonts w:ascii="Times New Roman" w:hAnsi="Times New Roman" w:cs="Times New Roman"/>
          <w:b/>
          <w:sz w:val="22"/>
          <w:szCs w:val="22"/>
        </w:rPr>
      </w:pP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Human rights implications</w:t>
      </w:r>
    </w:p>
    <w:p w:rsidR="00B76433" w:rsidRPr="005A3247" w:rsidRDefault="00B76433" w:rsidP="00B76433">
      <w:pPr>
        <w:spacing w:before="120" w:after="120" w:line="240" w:lineRule="auto"/>
        <w:rPr>
          <w:rFonts w:ascii="Times New Roman" w:hAnsi="Times New Roman" w:cs="Times New Roman"/>
          <w:sz w:val="22"/>
          <w:szCs w:val="22"/>
        </w:rPr>
      </w:pPr>
      <w:r w:rsidRPr="005A3247">
        <w:rPr>
          <w:rFonts w:ascii="Times New Roman" w:hAnsi="Times New Roman" w:cs="Times New Roman"/>
          <w:sz w:val="22"/>
          <w:szCs w:val="22"/>
        </w:rPr>
        <w:t>This disallowable Legislative Instrument engages the following right:</w:t>
      </w:r>
    </w:p>
    <w:p w:rsidR="00B76433" w:rsidRPr="005A3247" w:rsidRDefault="00B76433" w:rsidP="00B76433">
      <w:pPr>
        <w:pStyle w:val="ListParagraph"/>
        <w:numPr>
          <w:ilvl w:val="0"/>
          <w:numId w:val="14"/>
        </w:numPr>
        <w:rPr>
          <w:rFonts w:cs="Times New Roman"/>
          <w:sz w:val="22"/>
        </w:rPr>
      </w:pPr>
      <w:r w:rsidRPr="005A3247">
        <w:rPr>
          <w:rFonts w:cs="Times New Roman"/>
          <w:sz w:val="22"/>
        </w:rPr>
        <w:t>The right to benefit from the protection of the moral and material interests resulting from any scientific, literary or artistic production of which he or she is the author, in Article 15(1)(c) of the International Covenant on Economic, Social and Cultural Rights (ICESCR).</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This right is important for the purposes of encouraging authors to create work with the assurance that their moral and material interests in their products will be protected.</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The overarching objective of the Scheme is to ensure remuneration for loss of income by creators and publishers of books held in public lending libraries.</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 xml:space="preserve">The impact of the Modification Instrument is to </w:t>
      </w:r>
      <w:r w:rsidR="00E62F91">
        <w:rPr>
          <w:rFonts w:ascii="Times New Roman" w:hAnsi="Times New Roman" w:cs="Times New Roman"/>
          <w:sz w:val="22"/>
          <w:szCs w:val="22"/>
        </w:rPr>
        <w:t xml:space="preserve">change the </w:t>
      </w:r>
      <w:r w:rsidR="00761E66">
        <w:rPr>
          <w:rFonts w:ascii="Times New Roman" w:hAnsi="Times New Roman" w:cs="Times New Roman"/>
          <w:sz w:val="22"/>
          <w:szCs w:val="22"/>
        </w:rPr>
        <w:t xml:space="preserve">payment </w:t>
      </w:r>
      <w:r w:rsidR="00E62F91">
        <w:rPr>
          <w:rFonts w:ascii="Times New Roman" w:hAnsi="Times New Roman" w:cs="Times New Roman"/>
          <w:sz w:val="22"/>
          <w:szCs w:val="22"/>
        </w:rPr>
        <w:t xml:space="preserve">rates </w:t>
      </w:r>
      <w:r w:rsidR="00761E66">
        <w:rPr>
          <w:rFonts w:ascii="Times New Roman" w:hAnsi="Times New Roman" w:cs="Times New Roman"/>
          <w:sz w:val="22"/>
          <w:szCs w:val="22"/>
        </w:rPr>
        <w:t xml:space="preserve">that apply under the Scheme </w:t>
      </w:r>
      <w:r w:rsidR="00E62F91">
        <w:rPr>
          <w:rFonts w:ascii="Times New Roman" w:hAnsi="Times New Roman" w:cs="Times New Roman"/>
          <w:sz w:val="22"/>
          <w:szCs w:val="22"/>
        </w:rPr>
        <w:t xml:space="preserve">and </w:t>
      </w:r>
      <w:r w:rsidR="00761E66">
        <w:rPr>
          <w:rFonts w:ascii="Times New Roman" w:hAnsi="Times New Roman" w:cs="Times New Roman"/>
          <w:sz w:val="22"/>
          <w:szCs w:val="22"/>
        </w:rPr>
        <w:t xml:space="preserve">the Scheme (as modified) will </w:t>
      </w:r>
      <w:r w:rsidR="00E62F91">
        <w:rPr>
          <w:rFonts w:ascii="Times New Roman" w:hAnsi="Times New Roman" w:cs="Times New Roman"/>
          <w:sz w:val="22"/>
          <w:szCs w:val="22"/>
        </w:rPr>
        <w:t>continue</w:t>
      </w:r>
      <w:r w:rsidR="00761E66">
        <w:rPr>
          <w:rFonts w:ascii="Times New Roman" w:hAnsi="Times New Roman" w:cs="Times New Roman"/>
          <w:sz w:val="22"/>
          <w:szCs w:val="22"/>
        </w:rPr>
        <w:t xml:space="preserve"> to </w:t>
      </w:r>
      <w:r w:rsidRPr="005A3247">
        <w:rPr>
          <w:rFonts w:ascii="Times New Roman" w:hAnsi="Times New Roman" w:cs="Times New Roman"/>
          <w:sz w:val="22"/>
          <w:szCs w:val="22"/>
        </w:rPr>
        <w:t>further support</w:t>
      </w:r>
      <w:r w:rsidR="007B7541">
        <w:rPr>
          <w:rFonts w:ascii="Times New Roman" w:hAnsi="Times New Roman" w:cs="Times New Roman"/>
          <w:sz w:val="22"/>
          <w:szCs w:val="22"/>
        </w:rPr>
        <w:t xml:space="preserve"> </w:t>
      </w:r>
      <w:r w:rsidRPr="005A3247">
        <w:rPr>
          <w:rFonts w:ascii="Times New Roman" w:hAnsi="Times New Roman" w:cs="Times New Roman"/>
          <w:sz w:val="22"/>
          <w:szCs w:val="22"/>
        </w:rPr>
        <w:t>and promot</w:t>
      </w:r>
      <w:r w:rsidR="007B7541">
        <w:rPr>
          <w:rFonts w:ascii="Times New Roman" w:hAnsi="Times New Roman" w:cs="Times New Roman"/>
          <w:sz w:val="22"/>
          <w:szCs w:val="22"/>
        </w:rPr>
        <w:t>e</w:t>
      </w:r>
      <w:r w:rsidRPr="005A3247">
        <w:rPr>
          <w:rFonts w:ascii="Times New Roman" w:hAnsi="Times New Roman" w:cs="Times New Roman"/>
          <w:sz w:val="22"/>
          <w:szCs w:val="22"/>
        </w:rPr>
        <w:t xml:space="preserve"> the right in Article 15(1)(c) of the ICESCR. </w:t>
      </w:r>
    </w:p>
    <w:p w:rsidR="00B76433" w:rsidRPr="005A3247" w:rsidRDefault="00B76433" w:rsidP="00B76433">
      <w:pPr>
        <w:rPr>
          <w:rFonts w:ascii="Times New Roman" w:hAnsi="Times New Roman" w:cs="Times New Roman"/>
          <w:b/>
          <w:sz w:val="22"/>
          <w:szCs w:val="22"/>
        </w:rPr>
      </w:pPr>
      <w:r w:rsidRPr="005A3247">
        <w:rPr>
          <w:rFonts w:ascii="Times New Roman" w:hAnsi="Times New Roman" w:cs="Times New Roman"/>
          <w:b/>
          <w:sz w:val="22"/>
          <w:szCs w:val="22"/>
        </w:rPr>
        <w:t>Conclusion</w:t>
      </w:r>
    </w:p>
    <w:p w:rsidR="00B76433" w:rsidRPr="005A3247" w:rsidRDefault="00B76433" w:rsidP="00B76433">
      <w:pPr>
        <w:rPr>
          <w:rFonts w:ascii="Times New Roman" w:hAnsi="Times New Roman" w:cs="Times New Roman"/>
          <w:sz w:val="22"/>
          <w:szCs w:val="22"/>
        </w:rPr>
      </w:pPr>
      <w:r w:rsidRPr="005A3247">
        <w:rPr>
          <w:rFonts w:ascii="Times New Roman" w:hAnsi="Times New Roman" w:cs="Times New Roman"/>
          <w:sz w:val="22"/>
          <w:szCs w:val="22"/>
        </w:rPr>
        <w:t xml:space="preserve">This disallowable Legislative Instrument is compatible with human rights because </w:t>
      </w:r>
      <w:r w:rsidR="00761E66">
        <w:rPr>
          <w:rFonts w:ascii="Times New Roman" w:hAnsi="Times New Roman" w:cs="Times New Roman"/>
          <w:sz w:val="22"/>
          <w:szCs w:val="22"/>
        </w:rPr>
        <w:t xml:space="preserve">the Scheme (in the modified form) continues to </w:t>
      </w:r>
      <w:r w:rsidRPr="005A3247">
        <w:rPr>
          <w:rFonts w:ascii="Times New Roman" w:hAnsi="Times New Roman" w:cs="Times New Roman"/>
          <w:sz w:val="22"/>
          <w:szCs w:val="22"/>
        </w:rPr>
        <w:t>promote the protection of the material interest of creators and publishers of books (literary products) regardless of form.</w:t>
      </w:r>
    </w:p>
    <w:p w:rsidR="00B76433" w:rsidRPr="005A3247" w:rsidRDefault="00B76433" w:rsidP="00B76433">
      <w:pPr>
        <w:spacing w:before="120" w:after="120"/>
        <w:rPr>
          <w:rFonts w:ascii="Times New Roman" w:hAnsi="Times New Roman" w:cs="Times New Roman"/>
          <w:b/>
          <w:sz w:val="22"/>
          <w:szCs w:val="22"/>
        </w:rPr>
      </w:pPr>
    </w:p>
    <w:p w:rsidR="00B76433" w:rsidRPr="005A3247" w:rsidRDefault="00B76433" w:rsidP="00B76433">
      <w:pPr>
        <w:jc w:val="center"/>
        <w:rPr>
          <w:rFonts w:ascii="Times New Roman" w:hAnsi="Times New Roman" w:cs="Times New Roman"/>
          <w:b/>
          <w:sz w:val="22"/>
          <w:szCs w:val="22"/>
        </w:rPr>
      </w:pPr>
      <w:r w:rsidRPr="005A3247">
        <w:rPr>
          <w:rFonts w:ascii="Times New Roman" w:hAnsi="Times New Roman" w:cs="Times New Roman"/>
          <w:b/>
          <w:sz w:val="22"/>
          <w:szCs w:val="22"/>
        </w:rPr>
        <w:t>Minister for the Arts, The Hon Tony Burke MP</w:t>
      </w:r>
      <w:r w:rsidRPr="005A3247">
        <w:rPr>
          <w:rFonts w:ascii="Times New Roman" w:hAnsi="Times New Roman" w:cs="Times New Roman"/>
          <w:b/>
          <w:sz w:val="22"/>
          <w:szCs w:val="22"/>
        </w:rPr>
        <w:br w:type="page"/>
      </w:r>
    </w:p>
    <w:p w:rsidR="00B76433" w:rsidRPr="005A3247" w:rsidRDefault="00B76433" w:rsidP="00B76433">
      <w:pPr>
        <w:jc w:val="center"/>
        <w:rPr>
          <w:rFonts w:ascii="Times New Roman" w:hAnsi="Times New Roman" w:cs="Times New Roman"/>
          <w:b/>
          <w:sz w:val="22"/>
          <w:szCs w:val="22"/>
        </w:rPr>
      </w:pPr>
      <w:r w:rsidRPr="005A3247">
        <w:rPr>
          <w:rFonts w:ascii="Times New Roman" w:hAnsi="Times New Roman" w:cs="Times New Roman"/>
          <w:b/>
          <w:sz w:val="22"/>
          <w:szCs w:val="22"/>
        </w:rPr>
        <w:t>PUBLIC LENDING RIGHT SCHEME (</w:t>
      </w:r>
      <w:r w:rsidR="00E62F91">
        <w:rPr>
          <w:rFonts w:ascii="Times New Roman" w:hAnsi="Times New Roman" w:cs="Times New Roman"/>
          <w:b/>
          <w:sz w:val="22"/>
          <w:szCs w:val="22"/>
        </w:rPr>
        <w:t>PAYMENT RATES</w:t>
      </w:r>
      <w:r w:rsidRPr="005A3247">
        <w:rPr>
          <w:rFonts w:ascii="Times New Roman" w:hAnsi="Times New Roman" w:cs="Times New Roman"/>
          <w:b/>
          <w:sz w:val="22"/>
          <w:szCs w:val="22"/>
        </w:rPr>
        <w:t>) MODIFICATION 202</w:t>
      </w:r>
      <w:r w:rsidR="00E62F91">
        <w:rPr>
          <w:rFonts w:ascii="Times New Roman" w:hAnsi="Times New Roman" w:cs="Times New Roman"/>
          <w:b/>
          <w:sz w:val="22"/>
          <w:szCs w:val="22"/>
        </w:rPr>
        <w:t>4</w:t>
      </w:r>
    </w:p>
    <w:p w:rsidR="00B76433" w:rsidRPr="005A3247" w:rsidRDefault="00B76433" w:rsidP="00B76433">
      <w:pPr>
        <w:pStyle w:val="Heading2"/>
        <w:jc w:val="center"/>
        <w:rPr>
          <w:rFonts w:ascii="Times New Roman" w:hAnsi="Times New Roman" w:cs="Times New Roman"/>
          <w:color w:val="auto"/>
          <w:sz w:val="22"/>
          <w:szCs w:val="22"/>
        </w:rPr>
      </w:pPr>
      <w:r w:rsidRPr="005A3247">
        <w:rPr>
          <w:rFonts w:ascii="Times New Roman" w:hAnsi="Times New Roman" w:cs="Times New Roman"/>
          <w:color w:val="auto"/>
          <w:sz w:val="22"/>
          <w:szCs w:val="22"/>
        </w:rPr>
        <w:t xml:space="preserve">NOTES ON SECTIONS </w:t>
      </w:r>
    </w:p>
    <w:p w:rsidR="00B76433" w:rsidRPr="005A3247" w:rsidRDefault="00B76433" w:rsidP="00B76433">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Section 1: Commencement</w:t>
      </w:r>
    </w:p>
    <w:p w:rsidR="00B76433" w:rsidRPr="005A3247" w:rsidRDefault="00B76433" w:rsidP="00B76433">
      <w:pPr>
        <w:pStyle w:val="ListParagraph"/>
        <w:keepNext/>
        <w:numPr>
          <w:ilvl w:val="0"/>
          <w:numId w:val="10"/>
        </w:numPr>
        <w:spacing w:before="360" w:after="120"/>
        <w:rPr>
          <w:rFonts w:cs="Times New Roman"/>
          <w:iCs/>
          <w:sz w:val="22"/>
        </w:rPr>
      </w:pPr>
      <w:r w:rsidRPr="005A3247">
        <w:rPr>
          <w:rFonts w:cs="Times New Roman"/>
          <w:iCs/>
          <w:sz w:val="22"/>
        </w:rPr>
        <w:t xml:space="preserve">This section provides the title of the Instrument. </w:t>
      </w:r>
    </w:p>
    <w:p w:rsidR="00B76433" w:rsidRPr="005A3247" w:rsidRDefault="00B76433" w:rsidP="00B76433">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Section 2: Commencement</w:t>
      </w:r>
    </w:p>
    <w:p w:rsidR="00B76433" w:rsidRPr="00345F46" w:rsidRDefault="00B76433" w:rsidP="00B76433">
      <w:pPr>
        <w:pStyle w:val="ListParagraph"/>
        <w:keepNext/>
        <w:numPr>
          <w:ilvl w:val="0"/>
          <w:numId w:val="10"/>
        </w:numPr>
        <w:spacing w:before="360" w:after="120"/>
        <w:rPr>
          <w:rFonts w:cs="Times New Roman"/>
          <w:iCs/>
          <w:sz w:val="22"/>
        </w:rPr>
      </w:pPr>
      <w:r w:rsidRPr="005A3247">
        <w:rPr>
          <w:rFonts w:cs="Times New Roman"/>
          <w:iCs/>
          <w:sz w:val="22"/>
        </w:rPr>
        <w:t>This section provides that the whole Instrument commences on the day after it is registered on the Federal Register of Legislation</w:t>
      </w:r>
      <w:r w:rsidRPr="00345F46">
        <w:rPr>
          <w:rFonts w:cs="Times New Roman"/>
          <w:iCs/>
          <w:sz w:val="22"/>
        </w:rPr>
        <w:t xml:space="preserve">. </w:t>
      </w:r>
    </w:p>
    <w:p w:rsidR="00B76433" w:rsidRPr="005A3247" w:rsidRDefault="00B76433" w:rsidP="00B76433">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Section 3: Authority</w:t>
      </w:r>
    </w:p>
    <w:p w:rsidR="00B76433" w:rsidRPr="005A3247" w:rsidRDefault="00B76433" w:rsidP="00B76433">
      <w:pPr>
        <w:pStyle w:val="ListParagraph"/>
        <w:keepNext/>
        <w:numPr>
          <w:ilvl w:val="0"/>
          <w:numId w:val="10"/>
        </w:numPr>
        <w:spacing w:before="360" w:after="120"/>
        <w:rPr>
          <w:rFonts w:cs="Times New Roman"/>
          <w:iCs/>
          <w:sz w:val="22"/>
        </w:rPr>
      </w:pPr>
      <w:r w:rsidRPr="005A3247">
        <w:rPr>
          <w:rFonts w:cs="Times New Roman"/>
          <w:iCs/>
          <w:sz w:val="22"/>
        </w:rPr>
        <w:t xml:space="preserve">This section provides that the Instrument has been made under subsection 5(1) of the </w:t>
      </w:r>
      <w:r w:rsidRPr="005A3247">
        <w:rPr>
          <w:rFonts w:cs="Times New Roman"/>
          <w:i/>
          <w:iCs/>
          <w:sz w:val="22"/>
        </w:rPr>
        <w:t>Public Lending Right Act 1985</w:t>
      </w:r>
      <w:r w:rsidRPr="005A3247">
        <w:rPr>
          <w:rFonts w:cs="Times New Roman"/>
          <w:iCs/>
          <w:sz w:val="22"/>
        </w:rPr>
        <w:t xml:space="preserve"> (the Act).</w:t>
      </w:r>
    </w:p>
    <w:p w:rsidR="00B76433" w:rsidRPr="005A3247" w:rsidRDefault="00B76433" w:rsidP="00B76433">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Section 4: Schedules</w:t>
      </w:r>
    </w:p>
    <w:p w:rsidR="00B76433" w:rsidRPr="005A3247" w:rsidRDefault="00B76433" w:rsidP="00B76433">
      <w:pPr>
        <w:pStyle w:val="ListParagraph"/>
        <w:keepNext/>
        <w:numPr>
          <w:ilvl w:val="0"/>
          <w:numId w:val="10"/>
        </w:numPr>
        <w:spacing w:before="360" w:after="120"/>
        <w:rPr>
          <w:rFonts w:cs="Times New Roman"/>
          <w:iCs/>
          <w:sz w:val="22"/>
        </w:rPr>
      </w:pPr>
      <w:r w:rsidRPr="005A3247">
        <w:rPr>
          <w:rFonts w:cs="Times New Roman"/>
          <w:iCs/>
          <w:sz w:val="22"/>
        </w:rPr>
        <w:t xml:space="preserve">This section specifies that the </w:t>
      </w:r>
      <w:r w:rsidRPr="005A3247">
        <w:rPr>
          <w:rFonts w:cs="Times New Roman"/>
          <w:i/>
          <w:iCs/>
          <w:sz w:val="22"/>
        </w:rPr>
        <w:t>Public Lending Right Scheme 2016</w:t>
      </w:r>
      <w:r w:rsidRPr="005A3247">
        <w:rPr>
          <w:rFonts w:cs="Times New Roman"/>
          <w:iCs/>
          <w:sz w:val="22"/>
        </w:rPr>
        <w:t xml:space="preserve"> is modified as set out in Schedule 1. The Scheme has already been modified several times since its issuance.</w:t>
      </w:r>
    </w:p>
    <w:p w:rsidR="00B76433" w:rsidRPr="005A3247" w:rsidRDefault="00B76433" w:rsidP="00B76433">
      <w:pPr>
        <w:keepNext/>
        <w:rPr>
          <w:rFonts w:ascii="Times New Roman" w:hAnsi="Times New Roman" w:cs="Times New Roman"/>
          <w:b/>
          <w:sz w:val="22"/>
          <w:szCs w:val="22"/>
          <w:u w:val="single"/>
        </w:rPr>
      </w:pPr>
      <w:r w:rsidRPr="005A3247">
        <w:rPr>
          <w:rFonts w:ascii="Times New Roman" w:hAnsi="Times New Roman" w:cs="Times New Roman"/>
          <w:b/>
          <w:sz w:val="22"/>
          <w:szCs w:val="22"/>
          <w:u w:val="single"/>
        </w:rPr>
        <w:t xml:space="preserve">Schedule 1—Modifications </w:t>
      </w:r>
    </w:p>
    <w:p w:rsidR="00B76433" w:rsidRPr="005A3247" w:rsidRDefault="00B76433" w:rsidP="00B76433">
      <w:pPr>
        <w:pStyle w:val="ItemHead"/>
        <w:spacing w:before="360" w:after="120" w:line="276" w:lineRule="auto"/>
        <w:ind w:left="360" w:firstLine="0"/>
        <w:rPr>
          <w:rFonts w:ascii="Times New Roman" w:hAnsi="Times New Roman"/>
          <w:sz w:val="22"/>
          <w:szCs w:val="22"/>
          <w:u w:val="single"/>
        </w:rPr>
      </w:pPr>
      <w:r w:rsidRPr="005A3247">
        <w:rPr>
          <w:rFonts w:ascii="Times New Roman" w:hAnsi="Times New Roman"/>
          <w:sz w:val="22"/>
          <w:szCs w:val="22"/>
          <w:u w:val="single"/>
        </w:rPr>
        <w:t xml:space="preserve">Item </w:t>
      </w:r>
      <w:r w:rsidR="005C5BD2">
        <w:rPr>
          <w:rFonts w:ascii="Times New Roman" w:hAnsi="Times New Roman"/>
          <w:sz w:val="22"/>
          <w:szCs w:val="22"/>
          <w:u w:val="single"/>
        </w:rPr>
        <w:t>1</w:t>
      </w:r>
      <w:r w:rsidRPr="005A3247">
        <w:rPr>
          <w:rFonts w:ascii="Times New Roman" w:hAnsi="Times New Roman"/>
          <w:sz w:val="22"/>
          <w:szCs w:val="22"/>
          <w:u w:val="single"/>
        </w:rPr>
        <w:t>: Subsection 14(2)</w:t>
      </w:r>
    </w:p>
    <w:p w:rsidR="00B76433" w:rsidRDefault="00B76433" w:rsidP="00B76433">
      <w:pPr>
        <w:pStyle w:val="ListParagraph"/>
        <w:keepNext/>
        <w:numPr>
          <w:ilvl w:val="0"/>
          <w:numId w:val="10"/>
        </w:numPr>
        <w:spacing w:before="360" w:after="240"/>
        <w:ind w:left="714" w:hanging="357"/>
        <w:rPr>
          <w:rFonts w:cs="Times New Roman"/>
          <w:sz w:val="22"/>
        </w:rPr>
      </w:pPr>
      <w:r w:rsidRPr="005A3247">
        <w:rPr>
          <w:rFonts w:cs="Times New Roman"/>
          <w:sz w:val="22"/>
        </w:rPr>
        <w:t xml:space="preserve">Subsection 14(2) of the Scheme </w:t>
      </w:r>
      <w:bookmarkStart w:id="2" w:name="_Hlk159604123"/>
      <w:r w:rsidRPr="005A3247">
        <w:rPr>
          <w:rFonts w:cs="Times New Roman"/>
          <w:sz w:val="22"/>
        </w:rPr>
        <w:t>specifies the rate of payment for</w:t>
      </w:r>
      <w:r w:rsidR="00761E66">
        <w:rPr>
          <w:rFonts w:cs="Times New Roman"/>
          <w:sz w:val="22"/>
        </w:rPr>
        <w:t xml:space="preserve"> eligible</w:t>
      </w:r>
      <w:r w:rsidRPr="005A3247">
        <w:rPr>
          <w:rFonts w:cs="Times New Roman"/>
          <w:sz w:val="22"/>
        </w:rPr>
        <w:t xml:space="preserve"> creators</w:t>
      </w:r>
      <w:bookmarkEnd w:id="2"/>
      <w:r w:rsidRPr="005A3247">
        <w:rPr>
          <w:rFonts w:cs="Times New Roman"/>
          <w:sz w:val="22"/>
        </w:rPr>
        <w:t>. The rate</w:t>
      </w:r>
      <w:r w:rsidR="0030366A">
        <w:rPr>
          <w:rFonts w:cs="Times New Roman"/>
          <w:sz w:val="22"/>
        </w:rPr>
        <w:t xml:space="preserve">s are </w:t>
      </w:r>
      <w:r w:rsidRPr="005A3247">
        <w:rPr>
          <w:rFonts w:cs="Times New Roman"/>
          <w:sz w:val="22"/>
        </w:rPr>
        <w:t xml:space="preserve">reviewed by the Department annually, taking into consideration the results of the Committee’s library surveys and the available Commonwealth budget, and may be subject to change in the future by ministerial determination made pursuant to paragraph 5(1)(b) of the Act. </w:t>
      </w:r>
    </w:p>
    <w:p w:rsidR="00E62F91" w:rsidRDefault="00E62F91" w:rsidP="00E62F91">
      <w:pPr>
        <w:pStyle w:val="ListParagraph"/>
        <w:keepNext/>
        <w:spacing w:before="360" w:after="240"/>
        <w:ind w:left="714"/>
        <w:rPr>
          <w:rFonts w:cs="Times New Roman"/>
          <w:sz w:val="22"/>
        </w:rPr>
      </w:pPr>
    </w:p>
    <w:p w:rsidR="0030366A" w:rsidRPr="003C3EDE" w:rsidRDefault="0030366A" w:rsidP="0030366A">
      <w:pPr>
        <w:pStyle w:val="ListParagraph"/>
        <w:keepNext/>
        <w:numPr>
          <w:ilvl w:val="0"/>
          <w:numId w:val="10"/>
        </w:numPr>
        <w:spacing w:before="360" w:after="240"/>
        <w:ind w:left="714" w:hanging="357"/>
        <w:rPr>
          <w:rFonts w:cs="Times New Roman"/>
          <w:sz w:val="22"/>
        </w:rPr>
      </w:pPr>
      <w:r w:rsidRPr="003C3EDE">
        <w:rPr>
          <w:rFonts w:cs="Times New Roman"/>
          <w:sz w:val="22"/>
        </w:rPr>
        <w:t xml:space="preserve">A tiered payment structure is designed to keep the base rate equivalent </w:t>
      </w:r>
      <w:r w:rsidR="00B34E8D" w:rsidRPr="003C3EDE">
        <w:rPr>
          <w:rFonts w:cs="Times New Roman"/>
          <w:sz w:val="22"/>
        </w:rPr>
        <w:t xml:space="preserve">or above </w:t>
      </w:r>
      <w:r w:rsidRPr="003C3EDE">
        <w:rPr>
          <w:rFonts w:cs="Times New Roman"/>
          <w:sz w:val="22"/>
        </w:rPr>
        <w:t>the current rate, but decreases as the number of copies of a book in library surveys increases</w:t>
      </w:r>
      <w:r w:rsidR="003C3EDE" w:rsidRPr="003C3EDE">
        <w:rPr>
          <w:rFonts w:cs="Times New Roman"/>
          <w:sz w:val="22"/>
        </w:rPr>
        <w:t>. This flexibility</w:t>
      </w:r>
      <w:r w:rsidRPr="003C3EDE">
        <w:rPr>
          <w:rFonts w:cs="Times New Roman"/>
          <w:sz w:val="22"/>
        </w:rPr>
        <w:t xml:space="preserve"> accommodate</w:t>
      </w:r>
      <w:r w:rsidR="00761E66">
        <w:rPr>
          <w:rFonts w:cs="Times New Roman"/>
          <w:sz w:val="22"/>
        </w:rPr>
        <w:t>s</w:t>
      </w:r>
      <w:r w:rsidRPr="003C3EDE">
        <w:rPr>
          <w:rFonts w:cs="Times New Roman"/>
          <w:sz w:val="22"/>
        </w:rPr>
        <w:t xml:space="preserve"> expanding claims </w:t>
      </w:r>
      <w:r w:rsidR="00761E66">
        <w:rPr>
          <w:rFonts w:cs="Times New Roman"/>
          <w:sz w:val="22"/>
        </w:rPr>
        <w:t xml:space="preserve">under </w:t>
      </w:r>
      <w:r w:rsidRPr="003C3EDE">
        <w:rPr>
          <w:rFonts w:cs="Times New Roman"/>
          <w:sz w:val="22"/>
        </w:rPr>
        <w:t xml:space="preserve">the </w:t>
      </w:r>
      <w:r w:rsidR="00761E66">
        <w:rPr>
          <w:rFonts w:cs="Times New Roman"/>
          <w:sz w:val="22"/>
        </w:rPr>
        <w:t>S</w:t>
      </w:r>
      <w:r w:rsidRPr="003C3EDE">
        <w:rPr>
          <w:rFonts w:cs="Times New Roman"/>
          <w:sz w:val="22"/>
        </w:rPr>
        <w:t>cheme within the available budget.</w:t>
      </w:r>
    </w:p>
    <w:p w:rsidR="0030366A" w:rsidRDefault="0030366A" w:rsidP="0030366A">
      <w:pPr>
        <w:pStyle w:val="ListParagraph"/>
        <w:keepNext/>
        <w:spacing w:before="360" w:after="240"/>
        <w:ind w:left="714"/>
        <w:rPr>
          <w:rFonts w:cs="Times New Roman"/>
          <w:sz w:val="22"/>
        </w:rPr>
      </w:pPr>
    </w:p>
    <w:p w:rsidR="0030366A" w:rsidRPr="00345F46" w:rsidRDefault="00B76433" w:rsidP="000C58DB">
      <w:pPr>
        <w:pStyle w:val="ListParagraph"/>
        <w:keepNext/>
        <w:numPr>
          <w:ilvl w:val="0"/>
          <w:numId w:val="10"/>
        </w:numPr>
        <w:spacing w:before="360" w:after="240"/>
        <w:ind w:left="714" w:hanging="357"/>
        <w:rPr>
          <w:rFonts w:cs="Times New Roman"/>
          <w:sz w:val="22"/>
        </w:rPr>
      </w:pPr>
      <w:r w:rsidRPr="00345F46">
        <w:rPr>
          <w:rFonts w:cs="Times New Roman"/>
          <w:sz w:val="22"/>
        </w:rPr>
        <w:t>This item make</w:t>
      </w:r>
      <w:r w:rsidR="00E62F91" w:rsidRPr="00345F46">
        <w:rPr>
          <w:rFonts w:cs="Times New Roman"/>
          <w:sz w:val="22"/>
        </w:rPr>
        <w:t>s</w:t>
      </w:r>
      <w:r w:rsidRPr="00345F46">
        <w:rPr>
          <w:rFonts w:cs="Times New Roman"/>
          <w:sz w:val="22"/>
        </w:rPr>
        <w:t xml:space="preserve"> substantive change to the rate</w:t>
      </w:r>
      <w:r w:rsidR="00E62F91" w:rsidRPr="00345F46">
        <w:rPr>
          <w:rFonts w:cs="Times New Roman"/>
          <w:sz w:val="22"/>
        </w:rPr>
        <w:t xml:space="preserve">s by </w:t>
      </w:r>
      <w:r w:rsidR="0030366A" w:rsidRPr="00345F46">
        <w:rPr>
          <w:rFonts w:cs="Times New Roman"/>
          <w:sz w:val="22"/>
        </w:rPr>
        <w:t xml:space="preserve">substituting a replacement section 14 that includes </w:t>
      </w:r>
      <w:r w:rsidR="00E62F91" w:rsidRPr="00345F46">
        <w:rPr>
          <w:rFonts w:cs="Times New Roman"/>
          <w:sz w:val="22"/>
        </w:rPr>
        <w:t xml:space="preserve">a </w:t>
      </w:r>
      <w:r w:rsidR="0030366A" w:rsidRPr="00345F46">
        <w:rPr>
          <w:rFonts w:cs="Times New Roman"/>
          <w:sz w:val="22"/>
        </w:rPr>
        <w:t xml:space="preserve">new </w:t>
      </w:r>
      <w:r w:rsidR="00E62F91" w:rsidRPr="00345F46">
        <w:rPr>
          <w:rFonts w:cs="Times New Roman"/>
          <w:sz w:val="22"/>
        </w:rPr>
        <w:t xml:space="preserve">table of </w:t>
      </w:r>
      <w:r w:rsidR="0030366A" w:rsidRPr="00345F46">
        <w:rPr>
          <w:rFonts w:cs="Times New Roman"/>
          <w:sz w:val="22"/>
        </w:rPr>
        <w:t xml:space="preserve">applicable (tiered) </w:t>
      </w:r>
      <w:r w:rsidR="00E62F91" w:rsidRPr="00345F46">
        <w:rPr>
          <w:rFonts w:cs="Times New Roman"/>
          <w:sz w:val="22"/>
        </w:rPr>
        <w:t>rates.</w:t>
      </w:r>
      <w:r w:rsidR="0030366A" w:rsidRPr="00345F46">
        <w:rPr>
          <w:rFonts w:cs="Times New Roman"/>
          <w:sz w:val="22"/>
        </w:rPr>
        <w:t xml:space="preserve">  </w:t>
      </w:r>
      <w:r w:rsidR="00E62F91" w:rsidRPr="00345F46">
        <w:rPr>
          <w:rFonts w:cs="Times New Roman"/>
          <w:sz w:val="22"/>
        </w:rPr>
        <w:t xml:space="preserve">For books which have </w:t>
      </w:r>
      <w:r w:rsidR="00761E66">
        <w:rPr>
          <w:rFonts w:cs="Times New Roman"/>
          <w:sz w:val="22"/>
        </w:rPr>
        <w:t xml:space="preserve">an </w:t>
      </w:r>
      <w:r w:rsidR="0030366A" w:rsidRPr="00345F46">
        <w:rPr>
          <w:rFonts w:cs="Times New Roman"/>
          <w:sz w:val="22"/>
        </w:rPr>
        <w:t>e</w:t>
      </w:r>
      <w:r w:rsidRPr="00345F46">
        <w:rPr>
          <w:rFonts w:cs="Times New Roman"/>
          <w:sz w:val="22"/>
        </w:rPr>
        <w:t xml:space="preserve">stimated number of copies </w:t>
      </w:r>
      <w:r w:rsidR="0030366A" w:rsidRPr="00345F46">
        <w:rPr>
          <w:rFonts w:cs="Times New Roman"/>
          <w:sz w:val="22"/>
        </w:rPr>
        <w:t xml:space="preserve">of </w:t>
      </w:r>
      <w:r w:rsidR="000C58DB" w:rsidRPr="00345F46">
        <w:rPr>
          <w:rFonts w:cs="Times New Roman"/>
          <w:sz w:val="22"/>
        </w:rPr>
        <w:t>2</w:t>
      </w:r>
      <w:r w:rsidR="002C6087">
        <w:rPr>
          <w:rFonts w:cs="Times New Roman"/>
          <w:sz w:val="22"/>
        </w:rPr>
        <w:t>,</w:t>
      </w:r>
      <w:r w:rsidR="000C58DB" w:rsidRPr="00345F46">
        <w:rPr>
          <w:rFonts w:cs="Times New Roman"/>
          <w:sz w:val="22"/>
        </w:rPr>
        <w:t>000</w:t>
      </w:r>
      <w:r w:rsidR="0030366A" w:rsidRPr="00345F46">
        <w:rPr>
          <w:rFonts w:cs="Times New Roman"/>
          <w:sz w:val="22"/>
        </w:rPr>
        <w:t xml:space="preserve"> or less, the new </w:t>
      </w:r>
      <w:r w:rsidRPr="00345F46">
        <w:rPr>
          <w:rFonts w:cs="Times New Roman"/>
          <w:sz w:val="22"/>
        </w:rPr>
        <w:t xml:space="preserve">“rate of payment” </w:t>
      </w:r>
      <w:r w:rsidR="0030366A" w:rsidRPr="00345F46">
        <w:rPr>
          <w:rFonts w:cs="Times New Roman"/>
          <w:sz w:val="22"/>
        </w:rPr>
        <w:t xml:space="preserve">is </w:t>
      </w:r>
      <w:r w:rsidR="00345F46" w:rsidRPr="00345F46">
        <w:rPr>
          <w:rFonts w:cs="Times New Roman"/>
          <w:sz w:val="22"/>
        </w:rPr>
        <w:t>$2.</w:t>
      </w:r>
      <w:r w:rsidR="005C3AAF">
        <w:rPr>
          <w:rFonts w:cs="Times New Roman"/>
          <w:sz w:val="22"/>
        </w:rPr>
        <w:t>3</w:t>
      </w:r>
      <w:r w:rsidR="00345F46" w:rsidRPr="00345F46">
        <w:rPr>
          <w:rFonts w:cs="Times New Roman"/>
          <w:sz w:val="22"/>
        </w:rPr>
        <w:t>0 per copy</w:t>
      </w:r>
      <w:r w:rsidR="0030366A" w:rsidRPr="00345F46">
        <w:rPr>
          <w:rFonts w:cs="Times New Roman"/>
          <w:sz w:val="22"/>
        </w:rPr>
        <w:t xml:space="preserve">. For books which have estimated number of copies of </w:t>
      </w:r>
      <w:r w:rsidR="000C58DB" w:rsidRPr="00345F46">
        <w:rPr>
          <w:rFonts w:cs="Times New Roman"/>
          <w:sz w:val="22"/>
        </w:rPr>
        <w:t>between 2</w:t>
      </w:r>
      <w:r w:rsidR="002C6087">
        <w:rPr>
          <w:rFonts w:cs="Times New Roman"/>
          <w:sz w:val="22"/>
        </w:rPr>
        <w:t>,</w:t>
      </w:r>
      <w:r w:rsidR="000C58DB" w:rsidRPr="00345F46">
        <w:rPr>
          <w:rFonts w:cs="Times New Roman"/>
          <w:sz w:val="22"/>
        </w:rPr>
        <w:t xml:space="preserve">001 and </w:t>
      </w:r>
      <w:r w:rsidR="00345F46" w:rsidRPr="00345F46">
        <w:rPr>
          <w:rFonts w:cs="Times New Roman"/>
          <w:sz w:val="22"/>
        </w:rPr>
        <w:t>5,000</w:t>
      </w:r>
      <w:r w:rsidR="0030366A" w:rsidRPr="00345F46">
        <w:rPr>
          <w:rFonts w:cs="Times New Roman"/>
          <w:sz w:val="22"/>
        </w:rPr>
        <w:t xml:space="preserve">, the new “rate of payment” is </w:t>
      </w:r>
      <w:r w:rsidR="00345F46" w:rsidRPr="00345F46">
        <w:rPr>
          <w:rFonts w:cs="Times New Roman"/>
          <w:sz w:val="22"/>
        </w:rPr>
        <w:t>$</w:t>
      </w:r>
      <w:r w:rsidR="005C3AAF">
        <w:rPr>
          <w:rFonts w:cs="Times New Roman"/>
          <w:sz w:val="22"/>
        </w:rPr>
        <w:t>2.28</w:t>
      </w:r>
      <w:r w:rsidR="00345F46" w:rsidRPr="00345F46">
        <w:rPr>
          <w:rFonts w:cs="Times New Roman"/>
          <w:sz w:val="22"/>
        </w:rPr>
        <w:t xml:space="preserve"> per copy</w:t>
      </w:r>
      <w:r w:rsidR="0030366A" w:rsidRPr="00345F46">
        <w:rPr>
          <w:rFonts w:cs="Times New Roman"/>
          <w:sz w:val="22"/>
        </w:rPr>
        <w:t xml:space="preserve">. </w:t>
      </w:r>
      <w:r w:rsidR="005C3AAF">
        <w:rPr>
          <w:rFonts w:cs="Times New Roman"/>
          <w:sz w:val="22"/>
        </w:rPr>
        <w:t xml:space="preserve">For books which have an estimated number of copies between 5,001 and 20,000 the new “rate of payment” is $2.26. For books which have an estimated number of copies between 20,001 and 70,000 the new “rate of payment” is $2.20 per copy. </w:t>
      </w:r>
      <w:r w:rsidR="000C58DB" w:rsidRPr="00345F46">
        <w:rPr>
          <w:rFonts w:cs="Times New Roman"/>
          <w:sz w:val="22"/>
        </w:rPr>
        <w:t>For books which have estimated number of copies of</w:t>
      </w:r>
      <w:r w:rsidR="00CE5148">
        <w:rPr>
          <w:rFonts w:cs="Times New Roman"/>
          <w:sz w:val="22"/>
        </w:rPr>
        <w:t xml:space="preserve"> </w:t>
      </w:r>
      <w:r w:rsidR="005C3AAF">
        <w:rPr>
          <w:rFonts w:cs="Times New Roman"/>
          <w:sz w:val="22"/>
        </w:rPr>
        <w:t>7</w:t>
      </w:r>
      <w:r w:rsidR="00345F46" w:rsidRPr="00345F46">
        <w:rPr>
          <w:rFonts w:cs="Times New Roman"/>
          <w:sz w:val="22"/>
        </w:rPr>
        <w:t>0,00</w:t>
      </w:r>
      <w:r w:rsidR="00CE5148">
        <w:rPr>
          <w:rFonts w:cs="Times New Roman"/>
          <w:sz w:val="22"/>
        </w:rPr>
        <w:t>1 or more</w:t>
      </w:r>
      <w:r w:rsidR="00761E66">
        <w:rPr>
          <w:rFonts w:cs="Times New Roman"/>
          <w:sz w:val="22"/>
        </w:rPr>
        <w:t xml:space="preserve">, </w:t>
      </w:r>
      <w:r w:rsidR="000C58DB" w:rsidRPr="00345F46">
        <w:rPr>
          <w:rFonts w:cs="Times New Roman"/>
          <w:sz w:val="22"/>
        </w:rPr>
        <w:t xml:space="preserve">the new “rate of payment” is </w:t>
      </w:r>
      <w:r w:rsidR="00345F46" w:rsidRPr="00345F46">
        <w:rPr>
          <w:rFonts w:cs="Times New Roman"/>
          <w:sz w:val="22"/>
        </w:rPr>
        <w:t>$1.</w:t>
      </w:r>
      <w:r w:rsidR="005C3AAF">
        <w:rPr>
          <w:rFonts w:cs="Times New Roman"/>
          <w:sz w:val="22"/>
        </w:rPr>
        <w:t>89</w:t>
      </w:r>
      <w:r w:rsidR="00345F46" w:rsidRPr="00345F46">
        <w:rPr>
          <w:rFonts w:cs="Times New Roman"/>
          <w:sz w:val="22"/>
        </w:rPr>
        <w:t xml:space="preserve"> per copy</w:t>
      </w:r>
      <w:r w:rsidR="000C58DB" w:rsidRPr="00345F46">
        <w:rPr>
          <w:rFonts w:cs="Times New Roman"/>
          <w:sz w:val="22"/>
        </w:rPr>
        <w:t xml:space="preserve">. </w:t>
      </w:r>
    </w:p>
    <w:p w:rsidR="0030366A" w:rsidRPr="0030366A" w:rsidRDefault="0030366A" w:rsidP="0030366A">
      <w:pPr>
        <w:pStyle w:val="ListParagraph"/>
        <w:rPr>
          <w:rFonts w:cs="Times New Roman"/>
          <w:sz w:val="22"/>
        </w:rPr>
      </w:pPr>
    </w:p>
    <w:p w:rsidR="00B76433" w:rsidRPr="005A3247" w:rsidRDefault="00B76433" w:rsidP="00B76433">
      <w:pPr>
        <w:pStyle w:val="ItemHead"/>
        <w:spacing w:before="360" w:after="120" w:line="276" w:lineRule="auto"/>
        <w:rPr>
          <w:rFonts w:ascii="Times New Roman" w:hAnsi="Times New Roman"/>
          <w:sz w:val="22"/>
          <w:szCs w:val="22"/>
          <w:u w:val="single"/>
        </w:rPr>
      </w:pPr>
      <w:r w:rsidRPr="005A3247">
        <w:rPr>
          <w:rFonts w:ascii="Times New Roman" w:hAnsi="Times New Roman"/>
          <w:sz w:val="22"/>
          <w:szCs w:val="22"/>
          <w:u w:val="single"/>
        </w:rPr>
        <w:t xml:space="preserve">Item </w:t>
      </w:r>
      <w:r w:rsidR="005C5BD2">
        <w:rPr>
          <w:rFonts w:ascii="Times New Roman" w:hAnsi="Times New Roman"/>
          <w:sz w:val="22"/>
          <w:szCs w:val="22"/>
          <w:u w:val="single"/>
        </w:rPr>
        <w:t>2</w:t>
      </w:r>
      <w:r w:rsidRPr="005A3247">
        <w:rPr>
          <w:rFonts w:ascii="Times New Roman" w:hAnsi="Times New Roman"/>
          <w:sz w:val="22"/>
          <w:szCs w:val="22"/>
          <w:u w:val="single"/>
        </w:rPr>
        <w:t>: Subsection 15(2)</w:t>
      </w:r>
    </w:p>
    <w:p w:rsidR="0030366A" w:rsidRPr="003C3EDE" w:rsidRDefault="0030366A" w:rsidP="0030366A">
      <w:pPr>
        <w:pStyle w:val="ListParagraph"/>
        <w:numPr>
          <w:ilvl w:val="0"/>
          <w:numId w:val="10"/>
        </w:numPr>
        <w:rPr>
          <w:rFonts w:cs="Times New Roman"/>
          <w:sz w:val="22"/>
        </w:rPr>
      </w:pPr>
      <w:r w:rsidRPr="003C3EDE">
        <w:rPr>
          <w:rFonts w:cs="Times New Roman"/>
          <w:sz w:val="22"/>
        </w:rPr>
        <w:t xml:space="preserve">Subsection 15(2) of the Scheme specifies the rate of payment for publishers. </w:t>
      </w:r>
    </w:p>
    <w:p w:rsidR="0030366A" w:rsidRPr="003C3EDE" w:rsidRDefault="0030366A" w:rsidP="0030366A">
      <w:pPr>
        <w:pStyle w:val="ListParagraph"/>
        <w:keepNext/>
        <w:spacing w:before="360" w:after="240"/>
        <w:ind w:left="714"/>
        <w:rPr>
          <w:rFonts w:cs="Times New Roman"/>
          <w:sz w:val="22"/>
        </w:rPr>
      </w:pPr>
    </w:p>
    <w:p w:rsidR="0030366A" w:rsidRPr="003C3EDE" w:rsidRDefault="005C5BD2" w:rsidP="00B76433">
      <w:pPr>
        <w:pStyle w:val="ListParagraph"/>
        <w:keepNext/>
        <w:numPr>
          <w:ilvl w:val="0"/>
          <w:numId w:val="10"/>
        </w:numPr>
        <w:spacing w:before="360" w:after="240"/>
        <w:ind w:left="714" w:hanging="357"/>
        <w:rPr>
          <w:rFonts w:cs="Times New Roman"/>
          <w:sz w:val="22"/>
        </w:rPr>
      </w:pPr>
      <w:r w:rsidRPr="003C3EDE">
        <w:rPr>
          <w:rFonts w:cs="Times New Roman"/>
          <w:sz w:val="22"/>
        </w:rPr>
        <w:t xml:space="preserve">This </w:t>
      </w:r>
      <w:r w:rsidR="00B76433" w:rsidRPr="003C3EDE">
        <w:rPr>
          <w:rFonts w:cs="Times New Roman"/>
          <w:sz w:val="22"/>
        </w:rPr>
        <w:t>Item makes a modification to subsection 15(2) which is similar to the amendment described at Item 1</w:t>
      </w:r>
      <w:r w:rsidR="0030366A" w:rsidRPr="003C3EDE">
        <w:rPr>
          <w:rFonts w:cs="Times New Roman"/>
          <w:sz w:val="22"/>
        </w:rPr>
        <w:t>4</w:t>
      </w:r>
      <w:r w:rsidR="00B76433" w:rsidRPr="003C3EDE">
        <w:rPr>
          <w:rFonts w:cs="Times New Roman"/>
          <w:sz w:val="22"/>
        </w:rPr>
        <w:t xml:space="preserve"> abov</w:t>
      </w:r>
      <w:r w:rsidR="00DC1FA2" w:rsidRPr="003C3EDE">
        <w:rPr>
          <w:rFonts w:cs="Times New Roman"/>
          <w:sz w:val="22"/>
        </w:rPr>
        <w:t xml:space="preserve">e, and </w:t>
      </w:r>
      <w:r w:rsidR="0030366A" w:rsidRPr="003C3EDE">
        <w:rPr>
          <w:rFonts w:cs="Times New Roman"/>
          <w:sz w:val="22"/>
        </w:rPr>
        <w:t>change</w:t>
      </w:r>
      <w:r w:rsidR="00DC1FA2" w:rsidRPr="003C3EDE">
        <w:rPr>
          <w:rFonts w:cs="Times New Roman"/>
          <w:sz w:val="22"/>
        </w:rPr>
        <w:t>s</w:t>
      </w:r>
      <w:r w:rsidR="0030366A" w:rsidRPr="003C3EDE">
        <w:rPr>
          <w:rFonts w:cs="Times New Roman"/>
          <w:sz w:val="22"/>
        </w:rPr>
        <w:t xml:space="preserve"> to the rates by </w:t>
      </w:r>
      <w:r w:rsidR="00B76433" w:rsidRPr="003C3EDE">
        <w:rPr>
          <w:rFonts w:cs="Times New Roman"/>
          <w:sz w:val="22"/>
        </w:rPr>
        <w:t xml:space="preserve">for eligible publishers </w:t>
      </w:r>
      <w:r w:rsidR="0030366A" w:rsidRPr="003C3EDE">
        <w:rPr>
          <w:rFonts w:cs="Times New Roman"/>
          <w:sz w:val="22"/>
        </w:rPr>
        <w:t xml:space="preserve">based on a tiered approach. </w:t>
      </w:r>
    </w:p>
    <w:p w:rsidR="0030366A" w:rsidRPr="008F528B" w:rsidRDefault="0030366A" w:rsidP="0030366A">
      <w:pPr>
        <w:pStyle w:val="ListParagraph"/>
        <w:rPr>
          <w:rFonts w:cs="Times New Roman"/>
          <w:sz w:val="22"/>
        </w:rPr>
      </w:pPr>
    </w:p>
    <w:p w:rsidR="00D4195B" w:rsidRPr="006C047B" w:rsidRDefault="00707BA1" w:rsidP="00B76433">
      <w:pPr>
        <w:pStyle w:val="ListParagraph"/>
        <w:keepNext/>
        <w:numPr>
          <w:ilvl w:val="0"/>
          <w:numId w:val="10"/>
        </w:numPr>
        <w:spacing w:before="360" w:after="240"/>
        <w:ind w:left="714" w:hanging="357"/>
        <w:rPr>
          <w:rFonts w:cs="Times New Roman"/>
          <w:sz w:val="22"/>
        </w:rPr>
      </w:pPr>
      <w:r w:rsidRPr="00345F46">
        <w:rPr>
          <w:rFonts w:cs="Times New Roman"/>
          <w:sz w:val="22"/>
        </w:rPr>
        <w:t xml:space="preserve">For books which have estimated number of copies </w:t>
      </w:r>
      <w:r w:rsidR="005C3AAF">
        <w:rPr>
          <w:rFonts w:cs="Times New Roman"/>
          <w:sz w:val="22"/>
        </w:rPr>
        <w:t xml:space="preserve">of </w:t>
      </w:r>
      <w:proofErr w:type="gramStart"/>
      <w:r w:rsidRPr="00345F46">
        <w:rPr>
          <w:rFonts w:cs="Times New Roman"/>
          <w:sz w:val="22"/>
        </w:rPr>
        <w:t>2</w:t>
      </w:r>
      <w:r w:rsidR="00CE5148">
        <w:rPr>
          <w:rFonts w:cs="Times New Roman"/>
          <w:sz w:val="22"/>
        </w:rPr>
        <w:t>,</w:t>
      </w:r>
      <w:r w:rsidRPr="00345F46">
        <w:rPr>
          <w:rFonts w:cs="Times New Roman"/>
          <w:sz w:val="22"/>
        </w:rPr>
        <w:t xml:space="preserve">000 </w:t>
      </w:r>
      <w:r w:rsidR="00761E66">
        <w:rPr>
          <w:rFonts w:cs="Times New Roman"/>
          <w:sz w:val="22"/>
        </w:rPr>
        <w:t xml:space="preserve"> </w:t>
      </w:r>
      <w:r w:rsidRPr="00345F46">
        <w:rPr>
          <w:rFonts w:cs="Times New Roman"/>
          <w:sz w:val="22"/>
        </w:rPr>
        <w:t>or</w:t>
      </w:r>
      <w:proofErr w:type="gramEnd"/>
      <w:r w:rsidRPr="00345F46">
        <w:rPr>
          <w:rFonts w:cs="Times New Roman"/>
          <w:sz w:val="22"/>
        </w:rPr>
        <w:t xml:space="preserve"> less, the new “rate of payment” is </w:t>
      </w:r>
      <w:r w:rsidR="005C3AAF">
        <w:rPr>
          <w:rFonts w:cs="Times New Roman"/>
          <w:sz w:val="22"/>
        </w:rPr>
        <w:t>57.5</w:t>
      </w:r>
      <w:r w:rsidR="00345F46" w:rsidRPr="00345F46">
        <w:rPr>
          <w:rFonts w:cs="Times New Roman"/>
          <w:sz w:val="22"/>
        </w:rPr>
        <w:t xml:space="preserve"> cents per copy</w:t>
      </w:r>
      <w:r w:rsidRPr="00345F46">
        <w:rPr>
          <w:rFonts w:cs="Times New Roman"/>
          <w:sz w:val="22"/>
        </w:rPr>
        <w:t>. For books which have estimated number of copies of between 2</w:t>
      </w:r>
      <w:r w:rsidR="00CE5148">
        <w:rPr>
          <w:rFonts w:cs="Times New Roman"/>
          <w:sz w:val="22"/>
        </w:rPr>
        <w:t>,</w:t>
      </w:r>
      <w:r w:rsidRPr="00345F46">
        <w:rPr>
          <w:rFonts w:cs="Times New Roman"/>
          <w:sz w:val="22"/>
        </w:rPr>
        <w:t xml:space="preserve">001 and </w:t>
      </w:r>
      <w:r w:rsidR="00345F46" w:rsidRPr="00345F46">
        <w:rPr>
          <w:rFonts w:cs="Times New Roman"/>
          <w:sz w:val="22"/>
        </w:rPr>
        <w:t>5,000</w:t>
      </w:r>
      <w:r w:rsidRPr="00345F46">
        <w:rPr>
          <w:rFonts w:cs="Times New Roman"/>
          <w:sz w:val="22"/>
        </w:rPr>
        <w:t xml:space="preserve">, the new “rate of payment” is </w:t>
      </w:r>
      <w:r w:rsidR="005C3AAF">
        <w:rPr>
          <w:rFonts w:cs="Times New Roman"/>
          <w:sz w:val="22"/>
        </w:rPr>
        <w:t>57.0</w:t>
      </w:r>
      <w:r w:rsidR="00345F46" w:rsidRPr="00345F46">
        <w:rPr>
          <w:rFonts w:cs="Times New Roman"/>
          <w:sz w:val="22"/>
        </w:rPr>
        <w:t xml:space="preserve"> cents per copy</w:t>
      </w:r>
      <w:r w:rsidRPr="00345F46">
        <w:rPr>
          <w:rFonts w:cs="Times New Roman"/>
          <w:sz w:val="22"/>
        </w:rPr>
        <w:t xml:space="preserve">. </w:t>
      </w:r>
      <w:r w:rsidR="005C3AAF">
        <w:rPr>
          <w:rFonts w:cs="Times New Roman"/>
          <w:sz w:val="22"/>
        </w:rPr>
        <w:t xml:space="preserve">For books which have an estimated number of copies between 5,001 and 20,000 the new “rate of payment” is 56.5 cents per copy. For books which have an estimated number of copies between 20,001 and 70,000 the new “rate of payment” is 55.0 cents per copy. </w:t>
      </w:r>
      <w:r w:rsidRPr="00345F46">
        <w:rPr>
          <w:rFonts w:cs="Times New Roman"/>
          <w:sz w:val="22"/>
        </w:rPr>
        <w:t xml:space="preserve">For books which have estimated number of copies of </w:t>
      </w:r>
      <w:r w:rsidR="005C3AAF">
        <w:rPr>
          <w:rFonts w:cs="Times New Roman"/>
          <w:sz w:val="22"/>
        </w:rPr>
        <w:t>7</w:t>
      </w:r>
      <w:r w:rsidR="00345F46" w:rsidRPr="00345F46">
        <w:rPr>
          <w:rFonts w:cs="Times New Roman"/>
          <w:sz w:val="22"/>
        </w:rPr>
        <w:t>0,00</w:t>
      </w:r>
      <w:r w:rsidR="00CE5148">
        <w:rPr>
          <w:rFonts w:cs="Times New Roman"/>
          <w:sz w:val="22"/>
        </w:rPr>
        <w:t>1 or more</w:t>
      </w:r>
      <w:r w:rsidRPr="00345F46">
        <w:rPr>
          <w:rFonts w:cs="Times New Roman"/>
          <w:sz w:val="22"/>
        </w:rPr>
        <w:t xml:space="preserve">, the new “rate of payment” is </w:t>
      </w:r>
      <w:r w:rsidR="005C3AAF">
        <w:rPr>
          <w:rFonts w:cs="Times New Roman"/>
          <w:sz w:val="22"/>
        </w:rPr>
        <w:t>47.25</w:t>
      </w:r>
      <w:r w:rsidR="00345F46" w:rsidRPr="00345F46">
        <w:rPr>
          <w:rFonts w:cs="Times New Roman"/>
          <w:sz w:val="22"/>
        </w:rPr>
        <w:t xml:space="preserve"> cents per copy</w:t>
      </w:r>
      <w:r w:rsidRPr="00345F46">
        <w:rPr>
          <w:rFonts w:cs="Times New Roman"/>
          <w:sz w:val="22"/>
        </w:rPr>
        <w:t>.</w:t>
      </w:r>
      <w:bookmarkEnd w:id="0"/>
    </w:p>
    <w:sectPr w:rsidR="00D4195B" w:rsidRPr="006C047B" w:rsidSect="00030789">
      <w:footerReference w:type="default" r:id="rId11"/>
      <w:pgSz w:w="11906" w:h="16838"/>
      <w:pgMar w:top="1418" w:right="1531" w:bottom="993"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4E4" w:rsidRDefault="00B644E4" w:rsidP="005339D5">
      <w:r>
        <w:separator/>
      </w:r>
    </w:p>
  </w:endnote>
  <w:endnote w:type="continuationSeparator" w:id="0">
    <w:p w:rsidR="00B644E4" w:rsidRDefault="00B644E4" w:rsidP="005339D5">
      <w:r>
        <w:continuationSeparator/>
      </w:r>
    </w:p>
  </w:endnote>
  <w:endnote w:type="continuationNotice" w:id="1">
    <w:p w:rsidR="00B644E4" w:rsidRDefault="00B644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976489"/>
      <w:docPartObj>
        <w:docPartGallery w:val="Page Numbers (Bottom of Page)"/>
        <w:docPartUnique/>
      </w:docPartObj>
    </w:sdtPr>
    <w:sdtEndPr>
      <w:rPr>
        <w:noProof/>
      </w:rPr>
    </w:sdtEndPr>
    <w:sdtContent>
      <w:p w:rsidR="004D26DC" w:rsidRDefault="004D26DC" w:rsidP="00CE4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4E4" w:rsidRDefault="00B644E4" w:rsidP="005339D5">
      <w:r>
        <w:separator/>
      </w:r>
    </w:p>
  </w:footnote>
  <w:footnote w:type="continuationSeparator" w:id="0">
    <w:p w:rsidR="00B644E4" w:rsidRDefault="00B644E4" w:rsidP="005339D5">
      <w:r>
        <w:continuationSeparator/>
      </w:r>
    </w:p>
  </w:footnote>
  <w:footnote w:type="continuationNotice" w:id="1">
    <w:p w:rsidR="00B644E4" w:rsidRDefault="00B644E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B39"/>
    <w:multiLevelType w:val="hybridMultilevel"/>
    <w:tmpl w:val="1CC4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7936AC56"/>
    <w:lvl w:ilvl="0" w:tplc="C80C2A88">
      <w:start w:val="1"/>
      <w:numFmt w:val="decimal"/>
      <w:suff w:val="space"/>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F470D5"/>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51342"/>
    <w:multiLevelType w:val="hybridMultilevel"/>
    <w:tmpl w:val="4B0A1E20"/>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5D498E"/>
    <w:multiLevelType w:val="hybridMultilevel"/>
    <w:tmpl w:val="06927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C6AF5"/>
    <w:multiLevelType w:val="hybridMultilevel"/>
    <w:tmpl w:val="7FA2D2F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792D46"/>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56401"/>
    <w:multiLevelType w:val="hybridMultilevel"/>
    <w:tmpl w:val="7FA2D2FE"/>
    <w:lvl w:ilvl="0" w:tplc="60889FC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612519"/>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14310A"/>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472CE2"/>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CA3A36"/>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2D136E"/>
    <w:multiLevelType w:val="hybridMultilevel"/>
    <w:tmpl w:val="07C43564"/>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7EE310BB"/>
    <w:multiLevelType w:val="hybridMultilevel"/>
    <w:tmpl w:val="73A02844"/>
    <w:lvl w:ilvl="0" w:tplc="CA48E2E2">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11"/>
  </w:num>
  <w:num w:numId="6">
    <w:abstractNumId w:val="10"/>
  </w:num>
  <w:num w:numId="7">
    <w:abstractNumId w:val="12"/>
  </w:num>
  <w:num w:numId="8">
    <w:abstractNumId w:val="3"/>
  </w:num>
  <w:num w:numId="9">
    <w:abstractNumId w:val="0"/>
  </w:num>
  <w:num w:numId="10">
    <w:abstractNumId w:val="4"/>
  </w:num>
  <w:num w:numId="11">
    <w:abstractNumId w:val="2"/>
  </w:num>
  <w:num w:numId="12">
    <w:abstractNumId w:val="6"/>
  </w:num>
  <w:num w:numId="13">
    <w:abstractNumId w:val="8"/>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DE"/>
    <w:rsid w:val="000061AD"/>
    <w:rsid w:val="00024750"/>
    <w:rsid w:val="00030789"/>
    <w:rsid w:val="00033499"/>
    <w:rsid w:val="00044A9C"/>
    <w:rsid w:val="00045C24"/>
    <w:rsid w:val="00050BE7"/>
    <w:rsid w:val="00052D91"/>
    <w:rsid w:val="00070C2B"/>
    <w:rsid w:val="000A1234"/>
    <w:rsid w:val="000A4B78"/>
    <w:rsid w:val="000B5B89"/>
    <w:rsid w:val="000C3A78"/>
    <w:rsid w:val="000C58DB"/>
    <w:rsid w:val="000C58F6"/>
    <w:rsid w:val="000D1A62"/>
    <w:rsid w:val="000D51B1"/>
    <w:rsid w:val="000E576A"/>
    <w:rsid w:val="000F52A6"/>
    <w:rsid w:val="000F53FF"/>
    <w:rsid w:val="001020CC"/>
    <w:rsid w:val="00130995"/>
    <w:rsid w:val="001505DA"/>
    <w:rsid w:val="001551BF"/>
    <w:rsid w:val="00191D3E"/>
    <w:rsid w:val="0019437B"/>
    <w:rsid w:val="001A11CD"/>
    <w:rsid w:val="001B3354"/>
    <w:rsid w:val="001C4EDE"/>
    <w:rsid w:val="001C68D9"/>
    <w:rsid w:val="001D51AD"/>
    <w:rsid w:val="001D6A34"/>
    <w:rsid w:val="001E0179"/>
    <w:rsid w:val="001E1739"/>
    <w:rsid w:val="001E7762"/>
    <w:rsid w:val="001F2D3F"/>
    <w:rsid w:val="00200353"/>
    <w:rsid w:val="00203C01"/>
    <w:rsid w:val="00221D30"/>
    <w:rsid w:val="0023346F"/>
    <w:rsid w:val="002474EF"/>
    <w:rsid w:val="00276F79"/>
    <w:rsid w:val="00281DB4"/>
    <w:rsid w:val="0028679F"/>
    <w:rsid w:val="002955C2"/>
    <w:rsid w:val="00296889"/>
    <w:rsid w:val="002A4B16"/>
    <w:rsid w:val="002A7F34"/>
    <w:rsid w:val="002B19BF"/>
    <w:rsid w:val="002C06AB"/>
    <w:rsid w:val="002C26D6"/>
    <w:rsid w:val="002C5BC6"/>
    <w:rsid w:val="002C6087"/>
    <w:rsid w:val="002E217E"/>
    <w:rsid w:val="002F4790"/>
    <w:rsid w:val="002F6DEC"/>
    <w:rsid w:val="0030366A"/>
    <w:rsid w:val="003068B7"/>
    <w:rsid w:val="00345F46"/>
    <w:rsid w:val="00371778"/>
    <w:rsid w:val="003778BA"/>
    <w:rsid w:val="003A05DA"/>
    <w:rsid w:val="003B22C3"/>
    <w:rsid w:val="003C3018"/>
    <w:rsid w:val="003C3134"/>
    <w:rsid w:val="003C3EDE"/>
    <w:rsid w:val="003D3A60"/>
    <w:rsid w:val="003E538B"/>
    <w:rsid w:val="004012D4"/>
    <w:rsid w:val="004337BB"/>
    <w:rsid w:val="00436D9F"/>
    <w:rsid w:val="004517D2"/>
    <w:rsid w:val="00453A86"/>
    <w:rsid w:val="00471E65"/>
    <w:rsid w:val="0049546E"/>
    <w:rsid w:val="004A4D4D"/>
    <w:rsid w:val="004A7FCB"/>
    <w:rsid w:val="004B68DA"/>
    <w:rsid w:val="004C33DB"/>
    <w:rsid w:val="004C7B34"/>
    <w:rsid w:val="004D1DD7"/>
    <w:rsid w:val="004D26DC"/>
    <w:rsid w:val="00503295"/>
    <w:rsid w:val="005339D5"/>
    <w:rsid w:val="00536D86"/>
    <w:rsid w:val="00541534"/>
    <w:rsid w:val="00553EDA"/>
    <w:rsid w:val="005644DE"/>
    <w:rsid w:val="00573990"/>
    <w:rsid w:val="005771C0"/>
    <w:rsid w:val="005810D4"/>
    <w:rsid w:val="005841BA"/>
    <w:rsid w:val="00596705"/>
    <w:rsid w:val="005A0B4A"/>
    <w:rsid w:val="005A3247"/>
    <w:rsid w:val="005A3983"/>
    <w:rsid w:val="005B750F"/>
    <w:rsid w:val="005C3AAF"/>
    <w:rsid w:val="005C5BD2"/>
    <w:rsid w:val="005E22B6"/>
    <w:rsid w:val="005E4960"/>
    <w:rsid w:val="00621721"/>
    <w:rsid w:val="0062340C"/>
    <w:rsid w:val="00647D71"/>
    <w:rsid w:val="00650355"/>
    <w:rsid w:val="00664B5D"/>
    <w:rsid w:val="00683E77"/>
    <w:rsid w:val="006A0ED5"/>
    <w:rsid w:val="006A1A45"/>
    <w:rsid w:val="006B21F0"/>
    <w:rsid w:val="006B33FD"/>
    <w:rsid w:val="006C047B"/>
    <w:rsid w:val="006D0883"/>
    <w:rsid w:val="006E30F7"/>
    <w:rsid w:val="006E3226"/>
    <w:rsid w:val="00707BA1"/>
    <w:rsid w:val="007336FF"/>
    <w:rsid w:val="00740203"/>
    <w:rsid w:val="00754265"/>
    <w:rsid w:val="00761E66"/>
    <w:rsid w:val="007A6832"/>
    <w:rsid w:val="007B21E6"/>
    <w:rsid w:val="007B2BE9"/>
    <w:rsid w:val="007B7541"/>
    <w:rsid w:val="007C0A4E"/>
    <w:rsid w:val="007E0B89"/>
    <w:rsid w:val="007E1416"/>
    <w:rsid w:val="007E23B9"/>
    <w:rsid w:val="00801508"/>
    <w:rsid w:val="00805ADA"/>
    <w:rsid w:val="008207DB"/>
    <w:rsid w:val="00823173"/>
    <w:rsid w:val="008407EA"/>
    <w:rsid w:val="00847AD3"/>
    <w:rsid w:val="00850745"/>
    <w:rsid w:val="008618E4"/>
    <w:rsid w:val="00874919"/>
    <w:rsid w:val="0088162F"/>
    <w:rsid w:val="00886838"/>
    <w:rsid w:val="008A0D25"/>
    <w:rsid w:val="008A3B5F"/>
    <w:rsid w:val="008A4C17"/>
    <w:rsid w:val="008C0A2A"/>
    <w:rsid w:val="008C7BE7"/>
    <w:rsid w:val="008D1EAB"/>
    <w:rsid w:val="008E10FC"/>
    <w:rsid w:val="008E1C6F"/>
    <w:rsid w:val="008F528B"/>
    <w:rsid w:val="00943E51"/>
    <w:rsid w:val="009448A2"/>
    <w:rsid w:val="009552A1"/>
    <w:rsid w:val="00957DD0"/>
    <w:rsid w:val="00965399"/>
    <w:rsid w:val="00975AFA"/>
    <w:rsid w:val="009764B2"/>
    <w:rsid w:val="009770B6"/>
    <w:rsid w:val="0099727E"/>
    <w:rsid w:val="009E4A1A"/>
    <w:rsid w:val="009E72EA"/>
    <w:rsid w:val="009E74DB"/>
    <w:rsid w:val="009F4DAE"/>
    <w:rsid w:val="00A2101C"/>
    <w:rsid w:val="00A341C5"/>
    <w:rsid w:val="00A4384B"/>
    <w:rsid w:val="00A675C8"/>
    <w:rsid w:val="00AA1C49"/>
    <w:rsid w:val="00AA7819"/>
    <w:rsid w:val="00AB012F"/>
    <w:rsid w:val="00AB5C32"/>
    <w:rsid w:val="00AD23A2"/>
    <w:rsid w:val="00AE69E6"/>
    <w:rsid w:val="00B007BC"/>
    <w:rsid w:val="00B071F4"/>
    <w:rsid w:val="00B1099D"/>
    <w:rsid w:val="00B13DB3"/>
    <w:rsid w:val="00B34E8D"/>
    <w:rsid w:val="00B644E4"/>
    <w:rsid w:val="00B70D5E"/>
    <w:rsid w:val="00B76433"/>
    <w:rsid w:val="00B81422"/>
    <w:rsid w:val="00B8594B"/>
    <w:rsid w:val="00BA1523"/>
    <w:rsid w:val="00BA34C1"/>
    <w:rsid w:val="00BB2818"/>
    <w:rsid w:val="00BC75AB"/>
    <w:rsid w:val="00BD3BD4"/>
    <w:rsid w:val="00BE12AF"/>
    <w:rsid w:val="00BE33A8"/>
    <w:rsid w:val="00C209AE"/>
    <w:rsid w:val="00C27F49"/>
    <w:rsid w:val="00C508D2"/>
    <w:rsid w:val="00C53EFE"/>
    <w:rsid w:val="00C60E94"/>
    <w:rsid w:val="00C66152"/>
    <w:rsid w:val="00C706DB"/>
    <w:rsid w:val="00C7594A"/>
    <w:rsid w:val="00C8265D"/>
    <w:rsid w:val="00C835A4"/>
    <w:rsid w:val="00C94CC0"/>
    <w:rsid w:val="00CB34B8"/>
    <w:rsid w:val="00CD0093"/>
    <w:rsid w:val="00CE13CD"/>
    <w:rsid w:val="00CE4C35"/>
    <w:rsid w:val="00CE5148"/>
    <w:rsid w:val="00CF1747"/>
    <w:rsid w:val="00CF48D8"/>
    <w:rsid w:val="00D07685"/>
    <w:rsid w:val="00D238F5"/>
    <w:rsid w:val="00D35DD8"/>
    <w:rsid w:val="00D4195B"/>
    <w:rsid w:val="00D642FA"/>
    <w:rsid w:val="00D74607"/>
    <w:rsid w:val="00D8321A"/>
    <w:rsid w:val="00D94FBC"/>
    <w:rsid w:val="00DA0FD6"/>
    <w:rsid w:val="00DA5E43"/>
    <w:rsid w:val="00DA7B2B"/>
    <w:rsid w:val="00DB3AD7"/>
    <w:rsid w:val="00DC1FA2"/>
    <w:rsid w:val="00DF63C0"/>
    <w:rsid w:val="00E05839"/>
    <w:rsid w:val="00E30916"/>
    <w:rsid w:val="00E41AB9"/>
    <w:rsid w:val="00E430FD"/>
    <w:rsid w:val="00E502B9"/>
    <w:rsid w:val="00E53BA0"/>
    <w:rsid w:val="00E60907"/>
    <w:rsid w:val="00E60A94"/>
    <w:rsid w:val="00E62F91"/>
    <w:rsid w:val="00E7260E"/>
    <w:rsid w:val="00E90E28"/>
    <w:rsid w:val="00EB4F22"/>
    <w:rsid w:val="00EB5859"/>
    <w:rsid w:val="00EE40A2"/>
    <w:rsid w:val="00EF3EAB"/>
    <w:rsid w:val="00EF6D3A"/>
    <w:rsid w:val="00F176F6"/>
    <w:rsid w:val="00F2235C"/>
    <w:rsid w:val="00F252CC"/>
    <w:rsid w:val="00F569D8"/>
    <w:rsid w:val="00F5702F"/>
    <w:rsid w:val="00FC2AFE"/>
    <w:rsid w:val="00FC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D2CC5"/>
  <w15:docId w15:val="{60BA99E9-26A7-49B4-819A-B41CB93B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9D5"/>
    <w:pPr>
      <w:spacing w:before="40" w:after="240" w:line="276" w:lineRule="auto"/>
    </w:pPr>
    <w:rPr>
      <w:rFonts w:asciiTheme="minorHAnsi" w:hAnsiTheme="minorHAnsi" w:cstheme="minorHAnsi"/>
      <w:sz w:val="24"/>
      <w:szCs w:val="24"/>
    </w:rPr>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unhideWhenUsed/>
    <w:qFormat/>
    <w:rsid w:val="005339D5"/>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2101C"/>
    <w:pPr>
      <w:keepNext/>
      <w:keepLines/>
      <w:spacing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6E30F7"/>
    <w:rPr>
      <w:sz w:val="16"/>
      <w:szCs w:val="16"/>
    </w:rPr>
  </w:style>
  <w:style w:type="paragraph" w:styleId="CommentText">
    <w:name w:val="annotation text"/>
    <w:basedOn w:val="Normal"/>
    <w:link w:val="CommentTextChar"/>
    <w:rsid w:val="006E30F7"/>
    <w:rPr>
      <w:sz w:val="20"/>
    </w:rPr>
  </w:style>
  <w:style w:type="character" w:customStyle="1" w:styleId="CommentTextChar">
    <w:name w:val="Comment Text Char"/>
    <w:basedOn w:val="DefaultParagraphFont"/>
    <w:link w:val="CommentText"/>
    <w:rsid w:val="006E30F7"/>
  </w:style>
  <w:style w:type="paragraph" w:styleId="CommentSubject">
    <w:name w:val="annotation subject"/>
    <w:basedOn w:val="CommentText"/>
    <w:next w:val="CommentText"/>
    <w:link w:val="CommentSubjectChar"/>
    <w:rsid w:val="006E30F7"/>
    <w:rPr>
      <w:b/>
      <w:bCs/>
      <w:lang w:val="x-none" w:eastAsia="x-none"/>
    </w:rPr>
  </w:style>
  <w:style w:type="character" w:customStyle="1" w:styleId="CommentSubjectChar">
    <w:name w:val="Comment Subject Char"/>
    <w:link w:val="CommentSubject"/>
    <w:rsid w:val="006E30F7"/>
    <w:rPr>
      <w:b/>
      <w:bCs/>
    </w:rPr>
  </w:style>
  <w:style w:type="character" w:styleId="Hyperlink">
    <w:name w:val="Hyperlink"/>
    <w:rsid w:val="00C60E94"/>
    <w:rPr>
      <w:color w:val="0000FF"/>
      <w:u w:val="single"/>
    </w:rPr>
  </w:style>
  <w:style w:type="paragraph" w:styleId="Header">
    <w:name w:val="header"/>
    <w:basedOn w:val="Normal"/>
    <w:link w:val="HeaderChar"/>
    <w:rsid w:val="00BA34C1"/>
    <w:pPr>
      <w:tabs>
        <w:tab w:val="center" w:pos="4513"/>
        <w:tab w:val="right" w:pos="9026"/>
      </w:tabs>
    </w:pPr>
  </w:style>
  <w:style w:type="character" w:customStyle="1" w:styleId="HeaderChar">
    <w:name w:val="Header Char"/>
    <w:link w:val="Header"/>
    <w:rsid w:val="00BA34C1"/>
    <w:rPr>
      <w:sz w:val="24"/>
    </w:rPr>
  </w:style>
  <w:style w:type="paragraph" w:styleId="Footer">
    <w:name w:val="footer"/>
    <w:basedOn w:val="Normal"/>
    <w:link w:val="FooterChar"/>
    <w:uiPriority w:val="99"/>
    <w:rsid w:val="00BA34C1"/>
    <w:pPr>
      <w:tabs>
        <w:tab w:val="center" w:pos="4513"/>
        <w:tab w:val="right" w:pos="9026"/>
      </w:tabs>
    </w:pPr>
  </w:style>
  <w:style w:type="character" w:customStyle="1" w:styleId="FooterChar">
    <w:name w:val="Footer Char"/>
    <w:link w:val="Footer"/>
    <w:uiPriority w:val="99"/>
    <w:rsid w:val="00BA34C1"/>
    <w:rPr>
      <w:sz w:val="24"/>
    </w:rPr>
  </w:style>
  <w:style w:type="character" w:customStyle="1" w:styleId="Heading2Char">
    <w:name w:val="Heading 2 Char"/>
    <w:basedOn w:val="DefaultParagraphFont"/>
    <w:link w:val="Heading2"/>
    <w:rsid w:val="005339D5"/>
    <w:rPr>
      <w:rFonts w:asciiTheme="majorHAnsi" w:eastAsiaTheme="majorEastAsia" w:hAnsiTheme="majorHAnsi" w:cstheme="majorBidi"/>
      <w:color w:val="365F91" w:themeColor="accent1" w:themeShade="BF"/>
      <w:sz w:val="26"/>
      <w:szCs w:val="26"/>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34"/>
    <w:qFormat/>
    <w:rsid w:val="005339D5"/>
    <w:pPr>
      <w:spacing w:before="0" w:after="200"/>
      <w:ind w:left="720"/>
      <w:contextualSpacing/>
    </w:pPr>
    <w:rPr>
      <w:rFonts w:ascii="Times New Roman" w:eastAsiaTheme="minorHAnsi" w:hAnsi="Times New Roman" w:cstheme="minorBidi"/>
      <w:szCs w:val="22"/>
      <w:lang w:eastAsia="en-US"/>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5339D5"/>
    <w:rPr>
      <w:rFonts w:eastAsiaTheme="minorHAnsi" w:cstheme="minorBidi"/>
      <w:sz w:val="24"/>
      <w:szCs w:val="22"/>
      <w:lang w:eastAsia="en-US"/>
    </w:rPr>
  </w:style>
  <w:style w:type="character" w:customStyle="1" w:styleId="Heading3Char">
    <w:name w:val="Heading 3 Char"/>
    <w:basedOn w:val="DefaultParagraphFont"/>
    <w:link w:val="Heading3"/>
    <w:semiHidden/>
    <w:rsid w:val="00A2101C"/>
    <w:rPr>
      <w:rFonts w:asciiTheme="majorHAnsi" w:eastAsiaTheme="majorEastAsia" w:hAnsiTheme="majorHAnsi" w:cstheme="majorBidi"/>
      <w:color w:val="243F60" w:themeColor="accent1" w:themeShade="7F"/>
      <w:sz w:val="24"/>
      <w:szCs w:val="24"/>
    </w:rPr>
  </w:style>
  <w:style w:type="paragraph" w:customStyle="1" w:styleId="Definition">
    <w:name w:val="Definition"/>
    <w:aliases w:val="dd"/>
    <w:basedOn w:val="Normal"/>
    <w:rsid w:val="001C68D9"/>
    <w:pPr>
      <w:spacing w:before="180" w:after="0" w:line="240" w:lineRule="auto"/>
      <w:ind w:left="1134"/>
    </w:pPr>
    <w:rPr>
      <w:rFonts w:ascii="Times New Roman" w:hAnsi="Times New Roman" w:cs="Times New Roman"/>
      <w:sz w:val="22"/>
      <w:szCs w:val="20"/>
    </w:rPr>
  </w:style>
  <w:style w:type="paragraph" w:customStyle="1" w:styleId="Item">
    <w:name w:val="Item"/>
    <w:aliases w:val="i"/>
    <w:basedOn w:val="Normal"/>
    <w:next w:val="Normal"/>
    <w:rsid w:val="001C68D9"/>
    <w:pPr>
      <w:keepLines/>
      <w:spacing w:before="80" w:after="0" w:line="240" w:lineRule="auto"/>
      <w:ind w:left="709"/>
    </w:pPr>
    <w:rPr>
      <w:rFonts w:ascii="Times New Roman" w:hAnsi="Times New Roman" w:cs="Times New Roman"/>
      <w:sz w:val="22"/>
      <w:szCs w:val="20"/>
    </w:rPr>
  </w:style>
  <w:style w:type="paragraph" w:customStyle="1" w:styleId="notetext">
    <w:name w:val="note(text)"/>
    <w:aliases w:val="n"/>
    <w:basedOn w:val="Normal"/>
    <w:link w:val="notetextChar"/>
    <w:rsid w:val="001C68D9"/>
    <w:pPr>
      <w:spacing w:before="122" w:after="0" w:line="198" w:lineRule="exact"/>
      <w:ind w:left="1985" w:hanging="851"/>
    </w:pPr>
    <w:rPr>
      <w:rFonts w:ascii="Times New Roman" w:hAnsi="Times New Roman" w:cs="Times New Roman"/>
      <w:sz w:val="18"/>
      <w:szCs w:val="20"/>
    </w:rPr>
  </w:style>
  <w:style w:type="paragraph" w:customStyle="1" w:styleId="paragraph">
    <w:name w:val="paragraph"/>
    <w:aliases w:val="a"/>
    <w:basedOn w:val="Normal"/>
    <w:rsid w:val="001C68D9"/>
    <w:pPr>
      <w:tabs>
        <w:tab w:val="right" w:pos="1531"/>
      </w:tabs>
      <w:spacing w:after="0" w:line="240" w:lineRule="auto"/>
      <w:ind w:left="1644" w:hanging="1644"/>
    </w:pPr>
    <w:rPr>
      <w:rFonts w:ascii="Times New Roman" w:hAnsi="Times New Roman" w:cs="Times New Roman"/>
      <w:sz w:val="22"/>
      <w:szCs w:val="20"/>
    </w:rPr>
  </w:style>
  <w:style w:type="character" w:customStyle="1" w:styleId="notetextChar">
    <w:name w:val="note(text) Char"/>
    <w:aliases w:val="n Char"/>
    <w:basedOn w:val="DefaultParagraphFont"/>
    <w:link w:val="notetext"/>
    <w:rsid w:val="001C68D9"/>
    <w:rPr>
      <w:sz w:val="18"/>
    </w:rPr>
  </w:style>
  <w:style w:type="paragraph" w:customStyle="1" w:styleId="subsection">
    <w:name w:val="subsection"/>
    <w:aliases w:val="ss,Subsection"/>
    <w:basedOn w:val="Normal"/>
    <w:link w:val="subsectionChar"/>
    <w:rsid w:val="00847AD3"/>
    <w:pPr>
      <w:tabs>
        <w:tab w:val="right" w:pos="1021"/>
      </w:tabs>
      <w:spacing w:before="180" w:after="0" w:line="240" w:lineRule="auto"/>
      <w:ind w:left="1134" w:hanging="1134"/>
    </w:pPr>
    <w:rPr>
      <w:rFonts w:ascii="Times New Roman" w:hAnsi="Times New Roman" w:cs="Times New Roman"/>
      <w:sz w:val="22"/>
      <w:szCs w:val="20"/>
    </w:rPr>
  </w:style>
  <w:style w:type="paragraph" w:customStyle="1" w:styleId="ItemHead">
    <w:name w:val="ItemHead"/>
    <w:aliases w:val="ih"/>
    <w:basedOn w:val="Normal"/>
    <w:next w:val="Item"/>
    <w:rsid w:val="00847AD3"/>
    <w:pPr>
      <w:keepNext/>
      <w:keepLines/>
      <w:spacing w:before="220" w:after="0" w:line="240" w:lineRule="auto"/>
      <w:ind w:left="709" w:hanging="709"/>
    </w:pPr>
    <w:rPr>
      <w:rFonts w:ascii="Arial" w:hAnsi="Arial" w:cs="Times New Roman"/>
      <w:b/>
      <w:kern w:val="28"/>
      <w:szCs w:val="20"/>
    </w:rPr>
  </w:style>
  <w:style w:type="table" w:styleId="TableGrid">
    <w:name w:val="Table Grid"/>
    <w:basedOn w:val="TableNormal"/>
    <w:uiPriority w:val="59"/>
    <w:rsid w:val="00847AD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847AD3"/>
    <w:rPr>
      <w:sz w:val="22"/>
    </w:rPr>
  </w:style>
  <w:style w:type="paragraph" w:customStyle="1" w:styleId="BodyNum">
    <w:name w:val="BodyNum"/>
    <w:aliases w:val="b1"/>
    <w:basedOn w:val="Normal"/>
    <w:rsid w:val="00847AD3"/>
    <w:pPr>
      <w:numPr>
        <w:numId w:val="11"/>
      </w:numPr>
      <w:spacing w:before="240" w:after="0" w:line="240" w:lineRule="auto"/>
    </w:pPr>
    <w:rPr>
      <w:rFonts w:ascii="Times New Roman" w:hAnsi="Times New Roman" w:cs="Times New Roman"/>
      <w:szCs w:val="20"/>
    </w:rPr>
  </w:style>
  <w:style w:type="paragraph" w:customStyle="1" w:styleId="BodyPara">
    <w:name w:val="BodyPara"/>
    <w:aliases w:val="ba"/>
    <w:basedOn w:val="Normal"/>
    <w:rsid w:val="00847AD3"/>
    <w:pPr>
      <w:numPr>
        <w:ilvl w:val="1"/>
        <w:numId w:val="11"/>
      </w:numPr>
      <w:spacing w:before="240" w:after="0" w:line="240" w:lineRule="auto"/>
    </w:pPr>
    <w:rPr>
      <w:rFonts w:ascii="Times New Roman" w:hAnsi="Times New Roman" w:cs="Times New Roman"/>
      <w:szCs w:val="20"/>
    </w:rPr>
  </w:style>
  <w:style w:type="numbering" w:customStyle="1" w:styleId="OPCBodyList">
    <w:name w:val="OPCBodyList"/>
    <w:uiPriority w:val="99"/>
    <w:rsid w:val="00847AD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5259">
      <w:bodyDiv w:val="1"/>
      <w:marLeft w:val="0"/>
      <w:marRight w:val="0"/>
      <w:marTop w:val="0"/>
      <w:marBottom w:val="0"/>
      <w:divBdr>
        <w:top w:val="none" w:sz="0" w:space="0" w:color="auto"/>
        <w:left w:val="none" w:sz="0" w:space="0" w:color="auto"/>
        <w:bottom w:val="none" w:sz="0" w:space="0" w:color="auto"/>
        <w:right w:val="none" w:sz="0" w:space="0" w:color="auto"/>
      </w:divBdr>
    </w:div>
    <w:div w:id="263421891">
      <w:bodyDiv w:val="1"/>
      <w:marLeft w:val="0"/>
      <w:marRight w:val="0"/>
      <w:marTop w:val="0"/>
      <w:marBottom w:val="0"/>
      <w:divBdr>
        <w:top w:val="none" w:sz="0" w:space="0" w:color="auto"/>
        <w:left w:val="none" w:sz="0" w:space="0" w:color="auto"/>
        <w:bottom w:val="none" w:sz="0" w:space="0" w:color="auto"/>
        <w:right w:val="none" w:sz="0" w:space="0" w:color="auto"/>
      </w:divBdr>
    </w:div>
    <w:div w:id="681709272">
      <w:bodyDiv w:val="1"/>
      <w:marLeft w:val="0"/>
      <w:marRight w:val="0"/>
      <w:marTop w:val="0"/>
      <w:marBottom w:val="0"/>
      <w:divBdr>
        <w:top w:val="none" w:sz="0" w:space="0" w:color="auto"/>
        <w:left w:val="none" w:sz="0" w:space="0" w:color="auto"/>
        <w:bottom w:val="none" w:sz="0" w:space="0" w:color="auto"/>
        <w:right w:val="none" w:sz="0" w:space="0" w:color="auto"/>
      </w:divBdr>
    </w:div>
    <w:div w:id="14487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76d598a7a5b777deeda71415bdc29b0d">
  <xsd:schema xmlns:xsd="http://www.w3.org/2001/XMLSchema" xmlns:xs="http://www.w3.org/2001/XMLSchema" xmlns:p="http://schemas.microsoft.com/office/2006/metadata/properties" xmlns:ns2="E995FC5B-FDDC-4158-B77D-FEFFF6AB423D" targetNamespace="http://schemas.microsoft.com/office/2006/metadata/properties" ma:root="true" ma:fieldsID="1f3e826629c78661bb7f73557b9260e6"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6A2C-D86B-4096-A41A-B1A483AF98B0}">
  <ds:schemaRefs>
    <ds:schemaRef ds:uri="http://schemas.microsoft.com/office/2006/metadata/properties"/>
    <ds:schemaRef ds:uri="http://schemas.microsoft.com/office/infopath/2007/PartnerControls"/>
    <ds:schemaRef ds:uri="E995FC5B-FDDC-4158-B77D-FEFFF6AB423D"/>
  </ds:schemaRefs>
</ds:datastoreItem>
</file>

<file path=customXml/itemProps2.xml><?xml version="1.0" encoding="utf-8"?>
<ds:datastoreItem xmlns:ds="http://schemas.openxmlformats.org/officeDocument/2006/customXml" ds:itemID="{1B1355FF-847B-4154-9820-D5369FA020CF}">
  <ds:schemaRefs>
    <ds:schemaRef ds:uri="http://schemas.microsoft.com/sharepoint/v3/contenttype/forms"/>
  </ds:schemaRefs>
</ds:datastoreItem>
</file>

<file path=customXml/itemProps3.xml><?xml version="1.0" encoding="utf-8"?>
<ds:datastoreItem xmlns:ds="http://schemas.openxmlformats.org/officeDocument/2006/customXml" ds:itemID="{9BE87A4D-D051-4F28-AD16-2FF3630E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0EFD2-E047-49FD-96AD-5D217AD1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Final Explanatory Statement - 2023 Amendment</vt:lpstr>
    </vt:vector>
  </TitlesOfParts>
  <Company>DCITA</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- 2023 Amendment</dc:title>
  <dc:creator>pbootes</dc:creator>
  <cp:lastModifiedBy>walker, helen</cp:lastModifiedBy>
  <cp:revision>2</cp:revision>
  <cp:lastPrinted>2024-03-05T00:49:00Z</cp:lastPrinted>
  <dcterms:created xsi:type="dcterms:W3CDTF">2024-03-28T03:45:00Z</dcterms:created>
  <dcterms:modified xsi:type="dcterms:W3CDTF">2024-03-28T03:45:00Z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0x010100266966F133664895A6EE3632470D45F5009065329B6A24FB4AA8297457C7EC89CD</vt:lpwstr>
  </property>
  <property fmtid="{D5CDD505-2E9C-101B-9397-08002B2CF9AE}" pid="3" name="TrimRevisionNumber">
    <vt:i4>4</vt:i4>
  </property>
</Properties>
</file>