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745CC2BE" w:rsidR="00CC2E84" w:rsidRPr="00C83E7E" w:rsidRDefault="00CC2E84" w:rsidP="00167955">
      <w:pPr>
        <w:autoSpaceDE w:val="0"/>
        <w:autoSpaceDN w:val="0"/>
        <w:adjustRightInd w:val="0"/>
        <w:spacing w:after="0" w:line="240" w:lineRule="auto"/>
        <w:jc w:val="center"/>
        <w:rPr>
          <w:rFonts w:ascii="Times New Roman" w:hAnsi="Times New Roman" w:cs="Times New Roman"/>
          <w:sz w:val="24"/>
          <w:szCs w:val="24"/>
        </w:rPr>
      </w:pPr>
      <w:r w:rsidRPr="00765FBF">
        <w:rPr>
          <w:rFonts w:ascii="Times New Roman" w:hAnsi="Times New Roman" w:cs="Times New Roman"/>
          <w:b/>
          <w:bCs/>
          <w:color w:val="000000"/>
          <w:sz w:val="24"/>
          <w:szCs w:val="24"/>
        </w:rPr>
        <w:t>EXPLANATORY STATEMENT</w:t>
      </w:r>
    </w:p>
    <w:p w14:paraId="30F42933" w14:textId="77777777" w:rsidR="00CC2E84" w:rsidRPr="00765FBF" w:rsidRDefault="00CC2E84" w:rsidP="00167955">
      <w:pPr>
        <w:autoSpaceDE w:val="0"/>
        <w:autoSpaceDN w:val="0"/>
        <w:adjustRightInd w:val="0"/>
        <w:spacing w:after="0" w:line="240" w:lineRule="auto"/>
        <w:jc w:val="center"/>
        <w:rPr>
          <w:rFonts w:ascii="Times New Roman" w:hAnsi="Times New Roman" w:cs="Times New Roman"/>
          <w:b/>
          <w:bCs/>
          <w:color w:val="000000"/>
          <w:sz w:val="24"/>
          <w:szCs w:val="24"/>
        </w:rPr>
      </w:pPr>
    </w:p>
    <w:p w14:paraId="21DD5DF9" w14:textId="2206D2F1" w:rsidR="00CC2E84" w:rsidRPr="00765FBF" w:rsidRDefault="00D96C58" w:rsidP="00167955">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National Health Act 1953</w:t>
      </w:r>
    </w:p>
    <w:p w14:paraId="446AE822" w14:textId="77777777" w:rsidR="00CC2E84" w:rsidRPr="00765FBF" w:rsidRDefault="00CC2E84" w:rsidP="00167955">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54582F8D" w14:textId="2C94DDEC" w:rsidR="00CC2E84" w:rsidRDefault="00D96C58" w:rsidP="00167955">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National Health (Listing of Pharmaceutical Benefits) Instrument 2024</w:t>
      </w:r>
    </w:p>
    <w:p w14:paraId="69BECCBB" w14:textId="542F5628" w:rsidR="00393863" w:rsidRPr="00393863" w:rsidRDefault="00393863" w:rsidP="00E12458">
      <w:pPr>
        <w:autoSpaceDE w:val="0"/>
        <w:autoSpaceDN w:val="0"/>
        <w:adjustRightInd w:val="0"/>
        <w:spacing w:before="120" w:after="0" w:line="240" w:lineRule="auto"/>
        <w:jc w:val="center"/>
        <w:rPr>
          <w:rFonts w:ascii="Times New Roman" w:hAnsi="Times New Roman" w:cs="Times New Roman"/>
          <w:b/>
          <w:bCs/>
          <w:i/>
          <w:iCs/>
          <w:color w:val="000000"/>
          <w:sz w:val="24"/>
          <w:szCs w:val="24"/>
        </w:rPr>
      </w:pPr>
      <w:r w:rsidRPr="00393863">
        <w:rPr>
          <w:rFonts w:ascii="Times New Roman" w:hAnsi="Times New Roman" w:cs="Times New Roman"/>
          <w:b/>
          <w:bCs/>
          <w:i/>
          <w:iCs/>
          <w:color w:val="000000"/>
          <w:sz w:val="24"/>
          <w:szCs w:val="24"/>
        </w:rPr>
        <w:t>PB 26 of 2024</w:t>
      </w:r>
    </w:p>
    <w:p w14:paraId="56250DD6" w14:textId="77777777" w:rsidR="00CC2E84" w:rsidRPr="00765FBF" w:rsidRDefault="00CC2E84" w:rsidP="00167955">
      <w:pPr>
        <w:autoSpaceDE w:val="0"/>
        <w:autoSpaceDN w:val="0"/>
        <w:adjustRightInd w:val="0"/>
        <w:spacing w:after="0" w:line="240" w:lineRule="auto"/>
        <w:rPr>
          <w:rFonts w:ascii="Times New Roman" w:hAnsi="Times New Roman" w:cs="Times New Roman"/>
          <w:color w:val="000000"/>
          <w:sz w:val="24"/>
          <w:szCs w:val="24"/>
        </w:rPr>
      </w:pPr>
    </w:p>
    <w:p w14:paraId="4AF40C43" w14:textId="77777777" w:rsidR="00E20AD8" w:rsidRDefault="00E20AD8" w:rsidP="00167955">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Purpose and operation</w:t>
      </w:r>
    </w:p>
    <w:p w14:paraId="7E91FFFD" w14:textId="2F06DC87" w:rsidR="00B96F68" w:rsidRPr="00BF1ED3" w:rsidRDefault="00E20AD8" w:rsidP="00393863">
      <w:pPr>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w:hAnsi="Times New Roman" w:cs="Times New Roman"/>
          <w:i/>
          <w:iCs/>
          <w:color w:val="000000"/>
          <w:sz w:val="24"/>
          <w:szCs w:val="24"/>
        </w:rPr>
        <w:t>National Health (</w:t>
      </w:r>
      <w:r w:rsidRPr="00E20AD8">
        <w:rPr>
          <w:rFonts w:ascii="Times New Roman" w:hAnsi="Times New Roman" w:cs="Times New Roman"/>
          <w:i/>
          <w:iCs/>
          <w:color w:val="000000"/>
          <w:sz w:val="24"/>
          <w:szCs w:val="24"/>
        </w:rPr>
        <w:t>Listing of Pharmaceutical Benefits</w:t>
      </w:r>
      <w:r>
        <w:rPr>
          <w:rFonts w:ascii="Times New Roman" w:hAnsi="Times New Roman" w:cs="Times New Roman"/>
          <w:i/>
          <w:iCs/>
          <w:color w:val="000000"/>
          <w:sz w:val="24"/>
          <w:szCs w:val="24"/>
        </w:rPr>
        <w:t>) Instrument 2024</w:t>
      </w:r>
      <w:r>
        <w:rPr>
          <w:rFonts w:ascii="Times New Roman" w:hAnsi="Times New Roman" w:cs="Times New Roman"/>
          <w:color w:val="000000"/>
          <w:sz w:val="24"/>
          <w:szCs w:val="24"/>
        </w:rPr>
        <w:t xml:space="preserve"> (</w:t>
      </w:r>
      <w:r>
        <w:rPr>
          <w:rFonts w:ascii="Times New Roman" w:eastAsia="Times New Roman" w:hAnsi="Times New Roman" w:cs="Times New Roman"/>
          <w:bCs/>
          <w:sz w:val="24"/>
          <w:szCs w:val="24"/>
          <w:lang w:eastAsia="en-AU"/>
        </w:rPr>
        <w:t>2024 Listing Instrument</w:t>
      </w:r>
      <w:r>
        <w:rPr>
          <w:rFonts w:ascii="Times New Roman" w:hAnsi="Times New Roman" w:cs="Times New Roman"/>
          <w:color w:val="000000"/>
          <w:sz w:val="24"/>
          <w:szCs w:val="24"/>
        </w:rPr>
        <w:t xml:space="preserve">) </w:t>
      </w:r>
      <w:r w:rsidR="00B96F68" w:rsidRPr="00B96F68">
        <w:rPr>
          <w:rFonts w:ascii="Times New Roman" w:hAnsi="Times New Roman" w:cs="Times New Roman"/>
          <w:color w:val="000000"/>
          <w:sz w:val="24"/>
          <w:szCs w:val="24"/>
        </w:rPr>
        <w:t xml:space="preserve">provides for the listing of pharmaceutical benefits on the Pharmaceutical Benefits Scheme (PBS). It determines the pharmaceutical benefits that are on the PBS (through declarations of drugs and medicinal preparations, and for ready-prepared benefits: determinations of forms, manners of administration and brands) and provides for related matters (responsible </w:t>
      </w:r>
      <w:r w:rsidR="00B96F68" w:rsidRPr="00BF1ED3">
        <w:rPr>
          <w:rFonts w:ascii="Times New Roman" w:hAnsi="Times New Roman" w:cs="Times New Roman"/>
          <w:color w:val="000000"/>
          <w:sz w:val="24"/>
          <w:szCs w:val="24"/>
        </w:rPr>
        <w:t>persons, prescribing circumstances, maximum quantities and numbers of repeats, and whether the pharmaceutical benefit is to be available generally or available only under special arrangements).</w:t>
      </w:r>
    </w:p>
    <w:p w14:paraId="0EE959AE" w14:textId="77777777" w:rsidR="00CC2E84" w:rsidRPr="00BF1ED3" w:rsidRDefault="00CC2E84" w:rsidP="00167955">
      <w:pPr>
        <w:autoSpaceDE w:val="0"/>
        <w:autoSpaceDN w:val="0"/>
        <w:adjustRightInd w:val="0"/>
        <w:spacing w:after="0" w:line="240" w:lineRule="auto"/>
        <w:rPr>
          <w:rFonts w:ascii="Times New Roman" w:hAnsi="Times New Roman" w:cs="Times New Roman"/>
          <w:color w:val="000000"/>
          <w:sz w:val="24"/>
          <w:szCs w:val="24"/>
        </w:rPr>
      </w:pPr>
    </w:p>
    <w:p w14:paraId="64C24AC4" w14:textId="77777777" w:rsidR="00C718E8" w:rsidRPr="00BF1ED3" w:rsidRDefault="00C718E8" w:rsidP="00167955">
      <w:pPr>
        <w:autoSpaceDE w:val="0"/>
        <w:autoSpaceDN w:val="0"/>
        <w:adjustRightInd w:val="0"/>
        <w:spacing w:after="0" w:line="240" w:lineRule="auto"/>
        <w:rPr>
          <w:rFonts w:ascii="Times New Roman" w:hAnsi="Times New Roman" w:cs="Times New Roman"/>
          <w:b/>
          <w:bCs/>
          <w:color w:val="000000"/>
          <w:sz w:val="24"/>
          <w:szCs w:val="24"/>
        </w:rPr>
      </w:pPr>
      <w:r w:rsidRPr="00BF1ED3">
        <w:rPr>
          <w:rFonts w:ascii="Times New Roman" w:hAnsi="Times New Roman" w:cs="Times New Roman"/>
          <w:b/>
          <w:bCs/>
          <w:color w:val="000000"/>
          <w:sz w:val="24"/>
          <w:szCs w:val="24"/>
        </w:rPr>
        <w:t xml:space="preserve">Background </w:t>
      </w:r>
    </w:p>
    <w:p w14:paraId="47E6135F" w14:textId="53419D1B" w:rsidR="00BC42A6" w:rsidRPr="00BF1ED3" w:rsidRDefault="00CD18AE" w:rsidP="00393863">
      <w:pPr>
        <w:autoSpaceDE w:val="0"/>
        <w:autoSpaceDN w:val="0"/>
        <w:adjustRightInd w:val="0"/>
        <w:spacing w:before="120" w:after="0" w:line="240" w:lineRule="auto"/>
        <w:rPr>
          <w:rFonts w:ascii="Times New Roman" w:hAnsi="Times New Roman" w:cs="Times New Roman"/>
          <w:color w:val="000000"/>
          <w:sz w:val="24"/>
          <w:szCs w:val="24"/>
        </w:rPr>
      </w:pPr>
      <w:r w:rsidRPr="00CD18AE">
        <w:rPr>
          <w:rFonts w:ascii="Times New Roman" w:hAnsi="Times New Roman" w:cs="Times New Roman"/>
          <w:color w:val="000000"/>
          <w:sz w:val="24"/>
          <w:szCs w:val="24"/>
          <w:lang w:val="en-US"/>
        </w:rPr>
        <w:t>The PBS is a central feature of Medicare, Australia’s universal health care system which helps Australians with the cost of their health care.</w:t>
      </w:r>
      <w:r>
        <w:rPr>
          <w:rFonts w:ascii="Times New Roman" w:hAnsi="Times New Roman" w:cs="Times New Roman"/>
          <w:color w:val="000000"/>
          <w:sz w:val="24"/>
          <w:szCs w:val="24"/>
          <w:lang w:val="en-US"/>
        </w:rPr>
        <w:t xml:space="preserve"> </w:t>
      </w:r>
      <w:r w:rsidR="00BC42A6" w:rsidRPr="00BF1ED3">
        <w:rPr>
          <w:rFonts w:ascii="Times New Roman" w:hAnsi="Times New Roman" w:cs="Times New Roman"/>
          <w:color w:val="000000"/>
          <w:sz w:val="24"/>
          <w:szCs w:val="24"/>
          <w:lang w:val="en-US"/>
        </w:rPr>
        <w:t xml:space="preserve">Part VII of the </w:t>
      </w:r>
      <w:r w:rsidR="00BC42A6" w:rsidRPr="00BF1ED3">
        <w:rPr>
          <w:rFonts w:ascii="Times New Roman" w:hAnsi="Times New Roman" w:cs="Times New Roman"/>
          <w:i/>
          <w:iCs/>
          <w:color w:val="000000"/>
          <w:sz w:val="24"/>
          <w:szCs w:val="24"/>
        </w:rPr>
        <w:t>National Health Act 1953</w:t>
      </w:r>
      <w:r w:rsidR="00BC42A6" w:rsidRPr="00BF1ED3">
        <w:rPr>
          <w:rFonts w:ascii="Times New Roman" w:hAnsi="Times New Roman" w:cs="Times New Roman"/>
          <w:color w:val="000000"/>
          <w:sz w:val="24"/>
          <w:szCs w:val="24"/>
        </w:rPr>
        <w:t xml:space="preserve"> (</w:t>
      </w:r>
      <w:r w:rsidR="00BC42A6" w:rsidRPr="00BF1ED3">
        <w:rPr>
          <w:rFonts w:ascii="Times New Roman" w:hAnsi="Times New Roman" w:cs="Times New Roman"/>
          <w:color w:val="000000"/>
          <w:sz w:val="24"/>
          <w:szCs w:val="24"/>
          <w:lang w:val="en-US"/>
        </w:rPr>
        <w:t>Act) is the legislative basis of the PBS by which the Commonwealth provides reliable, timely, and affordable access to a wide range of medicines for all Australians.</w:t>
      </w:r>
      <w:r>
        <w:rPr>
          <w:rFonts w:ascii="Times New Roman" w:hAnsi="Times New Roman" w:cs="Times New Roman"/>
          <w:color w:val="000000"/>
          <w:sz w:val="24"/>
          <w:szCs w:val="24"/>
          <w:lang w:val="en-US"/>
        </w:rPr>
        <w:t xml:space="preserve"> </w:t>
      </w:r>
      <w:r w:rsidR="00BC42A6" w:rsidRPr="00BF1ED3">
        <w:rPr>
          <w:rFonts w:ascii="Times New Roman" w:hAnsi="Times New Roman" w:cs="Times New Roman"/>
          <w:color w:val="000000"/>
          <w:sz w:val="24"/>
          <w:szCs w:val="24"/>
        </w:rPr>
        <w:t>The 2024 Listing Instrument is a component of the PBS.</w:t>
      </w:r>
    </w:p>
    <w:p w14:paraId="608200A5" w14:textId="77777777" w:rsidR="00BC42A6" w:rsidRPr="00BF1ED3" w:rsidRDefault="00BC42A6" w:rsidP="00167955">
      <w:pPr>
        <w:autoSpaceDE w:val="0"/>
        <w:autoSpaceDN w:val="0"/>
        <w:adjustRightInd w:val="0"/>
        <w:spacing w:after="0" w:line="240" w:lineRule="auto"/>
        <w:rPr>
          <w:rFonts w:ascii="Times New Roman" w:hAnsi="Times New Roman" w:cs="Times New Roman"/>
          <w:color w:val="000000"/>
          <w:sz w:val="24"/>
          <w:szCs w:val="24"/>
        </w:rPr>
      </w:pPr>
    </w:p>
    <w:p w14:paraId="765FB1AC" w14:textId="1C35BF4D" w:rsidR="00BC42A6" w:rsidRPr="00BF1ED3" w:rsidRDefault="00E014F4" w:rsidP="0016795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Commencing</w:t>
      </w:r>
      <w:r w:rsidR="00BC42A6" w:rsidRPr="00BF1ED3">
        <w:rPr>
          <w:rFonts w:ascii="Times New Roman" w:hAnsi="Times New Roman" w:cs="Times New Roman"/>
          <w:color w:val="000000"/>
          <w:sz w:val="24"/>
          <w:szCs w:val="24"/>
        </w:rPr>
        <w:t xml:space="preserve"> 1 April 2024,</w:t>
      </w:r>
      <w:r w:rsidR="007523E2">
        <w:rPr>
          <w:rFonts w:ascii="Times New Roman" w:hAnsi="Times New Roman" w:cs="Times New Roman"/>
          <w:color w:val="000000"/>
          <w:sz w:val="24"/>
          <w:szCs w:val="24"/>
        </w:rPr>
        <w:t xml:space="preserve"> the</w:t>
      </w:r>
      <w:r w:rsidR="00BC42A6" w:rsidRPr="00BF1ED3">
        <w:rPr>
          <w:rFonts w:ascii="Times New Roman" w:hAnsi="Times New Roman" w:cs="Times New Roman"/>
          <w:color w:val="000000"/>
          <w:sz w:val="24"/>
          <w:szCs w:val="24"/>
        </w:rPr>
        <w:t xml:space="preserve"> 2024 Listing Instrument sets out the pharmaceutical benefits that may be supplied to patients at Government-subsidised prices under the PBS. The drugs or medicinal preparations and, where relevant, forms, manners of administration and brands making up pharmaceutical benefits are declared or determined under subsections 85(2), (3), (5) and (6) of the Act, respectively.</w:t>
      </w:r>
    </w:p>
    <w:p w14:paraId="3E43D6A3" w14:textId="77777777" w:rsidR="00BC42A6" w:rsidRPr="00BF1ED3" w:rsidRDefault="00BC42A6" w:rsidP="00167955">
      <w:pPr>
        <w:autoSpaceDE w:val="0"/>
        <w:autoSpaceDN w:val="0"/>
        <w:adjustRightInd w:val="0"/>
        <w:spacing w:after="0" w:line="240" w:lineRule="auto"/>
        <w:rPr>
          <w:rFonts w:ascii="Times New Roman" w:hAnsi="Times New Roman" w:cs="Times New Roman"/>
          <w:color w:val="000000"/>
          <w:sz w:val="24"/>
          <w:szCs w:val="24"/>
        </w:rPr>
      </w:pPr>
    </w:p>
    <w:p w14:paraId="6E491EFB" w14:textId="79E5B67C" w:rsidR="00C718E8" w:rsidRPr="00BF1ED3" w:rsidRDefault="00705AC2" w:rsidP="00167955">
      <w:pPr>
        <w:autoSpaceDE w:val="0"/>
        <w:autoSpaceDN w:val="0"/>
        <w:adjustRightInd w:val="0"/>
        <w:spacing w:after="0" w:line="240" w:lineRule="auto"/>
        <w:rPr>
          <w:rFonts w:ascii="Times New Roman" w:hAnsi="Times New Roman" w:cs="Times New Roman"/>
          <w:color w:val="000000"/>
          <w:sz w:val="24"/>
          <w:szCs w:val="24"/>
        </w:rPr>
      </w:pPr>
      <w:r w:rsidRPr="00BF1ED3">
        <w:rPr>
          <w:rFonts w:ascii="Times New Roman" w:hAnsi="Times New Roman" w:cs="Times New Roman"/>
          <w:color w:val="000000"/>
          <w:sz w:val="24"/>
          <w:szCs w:val="24"/>
        </w:rPr>
        <w:t xml:space="preserve">The </w:t>
      </w:r>
      <w:r w:rsidRPr="00BF1ED3">
        <w:rPr>
          <w:rFonts w:ascii="Times New Roman" w:eastAsia="Times New Roman" w:hAnsi="Times New Roman" w:cs="Times New Roman"/>
          <w:bCs/>
          <w:sz w:val="24"/>
          <w:szCs w:val="24"/>
          <w:lang w:eastAsia="en-AU"/>
        </w:rPr>
        <w:t>2024 Listing Instrument</w:t>
      </w:r>
      <w:r w:rsidRPr="00BF1ED3">
        <w:rPr>
          <w:rFonts w:ascii="Times New Roman" w:hAnsi="Times New Roman" w:cs="Times New Roman"/>
          <w:color w:val="000000"/>
          <w:sz w:val="24"/>
          <w:szCs w:val="24"/>
        </w:rPr>
        <w:t xml:space="preserve"> replaces the </w:t>
      </w:r>
      <w:r w:rsidRPr="00BF1ED3">
        <w:rPr>
          <w:rFonts w:ascii="Times New Roman" w:hAnsi="Times New Roman" w:cs="Times New Roman"/>
          <w:i/>
          <w:iCs/>
          <w:color w:val="000000"/>
          <w:sz w:val="24"/>
          <w:szCs w:val="24"/>
        </w:rPr>
        <w:t>National Health (Listing of Pharmaceutical Benefits) Instrument 2012</w:t>
      </w:r>
      <w:r w:rsidRPr="00BF1ED3">
        <w:rPr>
          <w:rFonts w:ascii="Times New Roman" w:hAnsi="Times New Roman" w:cs="Times New Roman"/>
          <w:color w:val="000000"/>
          <w:sz w:val="24"/>
          <w:szCs w:val="24"/>
        </w:rPr>
        <w:t xml:space="preserve"> (2012 Listing Instrument), which sunsets on 1 April 2024.</w:t>
      </w:r>
    </w:p>
    <w:p w14:paraId="703F2E0B" w14:textId="77777777" w:rsidR="00C718E8" w:rsidRPr="00BF1ED3" w:rsidRDefault="00C718E8" w:rsidP="00167955">
      <w:pPr>
        <w:autoSpaceDE w:val="0"/>
        <w:autoSpaceDN w:val="0"/>
        <w:adjustRightInd w:val="0"/>
        <w:spacing w:after="0" w:line="240" w:lineRule="auto"/>
        <w:rPr>
          <w:rFonts w:ascii="Times New Roman" w:hAnsi="Times New Roman" w:cs="Times New Roman"/>
          <w:b/>
          <w:bCs/>
          <w:color w:val="000000"/>
          <w:sz w:val="24"/>
          <w:szCs w:val="24"/>
        </w:rPr>
      </w:pPr>
    </w:p>
    <w:p w14:paraId="292212D9" w14:textId="27C93D80" w:rsidR="00CC2E84" w:rsidRPr="008A0133" w:rsidRDefault="00CC2E84" w:rsidP="00167955">
      <w:pPr>
        <w:autoSpaceDE w:val="0"/>
        <w:autoSpaceDN w:val="0"/>
        <w:adjustRightInd w:val="0"/>
        <w:spacing w:after="0" w:line="240" w:lineRule="auto"/>
        <w:rPr>
          <w:rFonts w:ascii="Times New Roman" w:hAnsi="Times New Roman" w:cs="Times New Roman"/>
          <w:b/>
          <w:bCs/>
          <w:color w:val="000000"/>
          <w:sz w:val="24"/>
          <w:szCs w:val="24"/>
        </w:rPr>
      </w:pPr>
      <w:r w:rsidRPr="008A0133">
        <w:rPr>
          <w:rFonts w:ascii="Times New Roman" w:hAnsi="Times New Roman" w:cs="Times New Roman"/>
          <w:b/>
          <w:bCs/>
          <w:color w:val="000000"/>
          <w:sz w:val="24"/>
          <w:szCs w:val="24"/>
        </w:rPr>
        <w:t>Authority</w:t>
      </w:r>
    </w:p>
    <w:p w14:paraId="2E32141B" w14:textId="2A011A9D" w:rsidR="00083E76" w:rsidRDefault="000619D0" w:rsidP="00393863">
      <w:pPr>
        <w:autoSpaceDE w:val="0"/>
        <w:autoSpaceDN w:val="0"/>
        <w:adjustRightInd w:val="0"/>
        <w:spacing w:before="120" w:after="0" w:line="240" w:lineRule="auto"/>
        <w:rPr>
          <w:rFonts w:ascii="Times New Roman" w:eastAsia="Times New Roman" w:hAnsi="Times New Roman" w:cs="Times New Roman"/>
          <w:bCs/>
          <w:sz w:val="24"/>
          <w:szCs w:val="24"/>
          <w:lang w:eastAsia="en-AU"/>
        </w:rPr>
      </w:pPr>
      <w:r w:rsidRPr="005A76A6">
        <w:rPr>
          <w:rFonts w:ascii="Times New Roman" w:hAnsi="Times New Roman" w:cs="Times New Roman"/>
          <w:color w:val="000000"/>
          <w:sz w:val="24"/>
          <w:szCs w:val="24"/>
        </w:rPr>
        <w:t xml:space="preserve">The </w:t>
      </w:r>
      <w:r w:rsidRPr="005A76A6">
        <w:rPr>
          <w:rFonts w:ascii="Times New Roman" w:eastAsia="Times New Roman" w:hAnsi="Times New Roman" w:cs="Times New Roman"/>
          <w:bCs/>
          <w:sz w:val="24"/>
          <w:szCs w:val="24"/>
          <w:lang w:eastAsia="en-AU"/>
        </w:rPr>
        <w:t xml:space="preserve">2024 Listing Instrument </w:t>
      </w:r>
      <w:r w:rsidR="00747401">
        <w:rPr>
          <w:rFonts w:ascii="Times New Roman" w:eastAsia="Times New Roman" w:hAnsi="Times New Roman" w:cs="Times New Roman"/>
          <w:bCs/>
          <w:sz w:val="24"/>
          <w:szCs w:val="24"/>
          <w:lang w:eastAsia="en-AU"/>
        </w:rPr>
        <w:t xml:space="preserve">is made under </w:t>
      </w:r>
      <w:r w:rsidR="00083E76">
        <w:rPr>
          <w:rFonts w:ascii="Times New Roman" w:eastAsia="Times New Roman" w:hAnsi="Times New Roman" w:cs="Times New Roman"/>
          <w:bCs/>
          <w:sz w:val="24"/>
          <w:szCs w:val="24"/>
          <w:lang w:eastAsia="en-AU"/>
        </w:rPr>
        <w:t xml:space="preserve">the following </w:t>
      </w:r>
      <w:r w:rsidR="0094316F">
        <w:rPr>
          <w:rFonts w:ascii="Times New Roman" w:eastAsia="Times New Roman" w:hAnsi="Times New Roman" w:cs="Times New Roman"/>
          <w:bCs/>
          <w:sz w:val="24"/>
          <w:szCs w:val="24"/>
          <w:lang w:eastAsia="en-AU"/>
        </w:rPr>
        <w:t xml:space="preserve">sections </w:t>
      </w:r>
      <w:r w:rsidR="009461F3">
        <w:rPr>
          <w:rFonts w:ascii="Times New Roman" w:eastAsia="Times New Roman" w:hAnsi="Times New Roman" w:cs="Times New Roman"/>
          <w:bCs/>
          <w:sz w:val="24"/>
          <w:szCs w:val="24"/>
          <w:lang w:eastAsia="en-AU"/>
        </w:rPr>
        <w:t xml:space="preserve">of the </w:t>
      </w:r>
      <w:r w:rsidR="009461F3" w:rsidRPr="007D380A">
        <w:rPr>
          <w:rFonts w:ascii="Times New Roman" w:eastAsia="Times New Roman" w:hAnsi="Times New Roman" w:cs="Times New Roman"/>
          <w:bCs/>
          <w:i/>
          <w:iCs/>
          <w:sz w:val="24"/>
          <w:szCs w:val="24"/>
          <w:lang w:eastAsia="en-AU"/>
        </w:rPr>
        <w:t>National Health Act 1953</w:t>
      </w:r>
      <w:r w:rsidR="009461F3">
        <w:rPr>
          <w:rFonts w:ascii="Times New Roman" w:eastAsia="Times New Roman" w:hAnsi="Times New Roman" w:cs="Times New Roman"/>
          <w:bCs/>
          <w:sz w:val="24"/>
          <w:szCs w:val="24"/>
          <w:lang w:eastAsia="en-AU"/>
        </w:rPr>
        <w:t xml:space="preserve"> (the Act)</w:t>
      </w:r>
      <w:r w:rsidR="00083E76">
        <w:rPr>
          <w:rFonts w:ascii="Times New Roman" w:eastAsia="Times New Roman" w:hAnsi="Times New Roman" w:cs="Times New Roman"/>
          <w:bCs/>
          <w:sz w:val="24"/>
          <w:szCs w:val="24"/>
          <w:lang w:eastAsia="en-AU"/>
        </w:rPr>
        <w:t>:</w:t>
      </w:r>
    </w:p>
    <w:p w14:paraId="2D54FD64" w14:textId="198A6CCE" w:rsidR="00083E76" w:rsidRPr="007D380A" w:rsidRDefault="00083E76" w:rsidP="001A7591">
      <w:pPr>
        <w:pStyle w:val="ListParagraph"/>
        <w:numPr>
          <w:ilvl w:val="0"/>
          <w:numId w:val="22"/>
        </w:numPr>
        <w:autoSpaceDE w:val="0"/>
        <w:autoSpaceDN w:val="0"/>
        <w:adjustRightInd w:val="0"/>
        <w:spacing w:before="120" w:after="0" w:line="240" w:lineRule="auto"/>
        <w:ind w:left="714" w:hanging="357"/>
        <w:contextualSpacing w:val="0"/>
        <w:rPr>
          <w:rFonts w:ascii="Times New Roman" w:eastAsia="Times New Roman" w:hAnsi="Times New Roman" w:cs="Times New Roman"/>
          <w:bCs/>
          <w:sz w:val="24"/>
          <w:szCs w:val="24"/>
          <w:lang w:eastAsia="en-AU"/>
        </w:rPr>
      </w:pPr>
      <w:r w:rsidRPr="007D380A">
        <w:rPr>
          <w:rFonts w:ascii="Times New Roman" w:eastAsia="Times New Roman" w:hAnsi="Times New Roman" w:cs="Times New Roman"/>
          <w:bCs/>
          <w:sz w:val="24"/>
          <w:szCs w:val="24"/>
          <w:lang w:eastAsia="en-AU"/>
        </w:rPr>
        <w:t>84AF (</w:t>
      </w:r>
      <w:r w:rsidR="003A4D5F" w:rsidRPr="007D380A">
        <w:rPr>
          <w:rFonts w:ascii="Times New Roman" w:eastAsia="Times New Roman" w:hAnsi="Times New Roman" w:cs="Times New Roman"/>
          <w:bCs/>
          <w:sz w:val="24"/>
          <w:szCs w:val="24"/>
          <w:lang w:eastAsia="en-AU"/>
        </w:rPr>
        <w:t xml:space="preserve">determination of </w:t>
      </w:r>
      <w:r w:rsidR="001C6586">
        <w:rPr>
          <w:rFonts w:ascii="Times New Roman" w:eastAsia="Times New Roman" w:hAnsi="Times New Roman" w:cs="Times New Roman"/>
          <w:bCs/>
          <w:sz w:val="24"/>
          <w:szCs w:val="24"/>
          <w:lang w:eastAsia="en-AU"/>
        </w:rPr>
        <w:t xml:space="preserve">the </w:t>
      </w:r>
      <w:r w:rsidRPr="007D380A">
        <w:rPr>
          <w:rFonts w:ascii="Times New Roman" w:eastAsia="Times New Roman" w:hAnsi="Times New Roman" w:cs="Times New Roman"/>
          <w:bCs/>
          <w:sz w:val="24"/>
          <w:szCs w:val="24"/>
          <w:lang w:eastAsia="en-AU"/>
        </w:rPr>
        <w:t xml:space="preserve">responsible person for a </w:t>
      </w:r>
      <w:r w:rsidR="001C6586">
        <w:rPr>
          <w:rFonts w:ascii="Times New Roman" w:eastAsia="Times New Roman" w:hAnsi="Times New Roman" w:cs="Times New Roman"/>
          <w:bCs/>
          <w:sz w:val="24"/>
          <w:szCs w:val="24"/>
          <w:lang w:eastAsia="en-AU"/>
        </w:rPr>
        <w:t xml:space="preserve">brand of </w:t>
      </w:r>
      <w:r w:rsidRPr="007D380A">
        <w:rPr>
          <w:rFonts w:ascii="Times New Roman" w:eastAsia="Times New Roman" w:hAnsi="Times New Roman" w:cs="Times New Roman"/>
          <w:bCs/>
          <w:sz w:val="24"/>
          <w:szCs w:val="24"/>
          <w:lang w:eastAsia="en-AU"/>
        </w:rPr>
        <w:t xml:space="preserve">pharmaceutical </w:t>
      </w:r>
      <w:r w:rsidR="001C6586">
        <w:rPr>
          <w:rFonts w:ascii="Times New Roman" w:eastAsia="Times New Roman" w:hAnsi="Times New Roman" w:cs="Times New Roman"/>
          <w:bCs/>
          <w:sz w:val="24"/>
          <w:szCs w:val="24"/>
          <w:lang w:eastAsia="en-AU"/>
        </w:rPr>
        <w:t>item</w:t>
      </w:r>
      <w:r w:rsidRPr="007D380A">
        <w:rPr>
          <w:rFonts w:ascii="Times New Roman" w:eastAsia="Times New Roman" w:hAnsi="Times New Roman" w:cs="Times New Roman"/>
          <w:bCs/>
          <w:sz w:val="24"/>
          <w:szCs w:val="24"/>
          <w:lang w:eastAsia="en-AU"/>
        </w:rPr>
        <w:t>)</w:t>
      </w:r>
      <w:r w:rsidR="00A46EC0" w:rsidRPr="007D380A">
        <w:rPr>
          <w:rFonts w:ascii="Times New Roman" w:eastAsia="Times New Roman" w:hAnsi="Times New Roman" w:cs="Times New Roman"/>
          <w:bCs/>
          <w:sz w:val="24"/>
          <w:szCs w:val="24"/>
          <w:lang w:eastAsia="en-AU"/>
        </w:rPr>
        <w:t>;</w:t>
      </w:r>
    </w:p>
    <w:p w14:paraId="19CD63DE" w14:textId="52362CCD" w:rsidR="003A4D5F" w:rsidRDefault="00083E76" w:rsidP="001A7591">
      <w:pPr>
        <w:pStyle w:val="ListParagraph"/>
        <w:numPr>
          <w:ilvl w:val="0"/>
          <w:numId w:val="22"/>
        </w:numPr>
        <w:autoSpaceDE w:val="0"/>
        <w:autoSpaceDN w:val="0"/>
        <w:adjustRightInd w:val="0"/>
        <w:spacing w:before="120" w:after="0" w:line="240" w:lineRule="auto"/>
        <w:ind w:left="714" w:hanging="357"/>
        <w:contextualSpacing w:val="0"/>
        <w:rPr>
          <w:rFonts w:ascii="Times New Roman" w:eastAsia="Times New Roman" w:hAnsi="Times New Roman" w:cs="Times New Roman"/>
          <w:bCs/>
          <w:sz w:val="24"/>
          <w:szCs w:val="24"/>
          <w:lang w:eastAsia="en-AU"/>
        </w:rPr>
      </w:pPr>
      <w:r w:rsidRPr="007D380A">
        <w:rPr>
          <w:rFonts w:ascii="Times New Roman" w:eastAsia="Times New Roman" w:hAnsi="Times New Roman" w:cs="Times New Roman"/>
          <w:bCs/>
          <w:sz w:val="24"/>
          <w:szCs w:val="24"/>
          <w:lang w:eastAsia="en-AU"/>
        </w:rPr>
        <w:t>84AK (</w:t>
      </w:r>
      <w:r w:rsidR="003A4D5F" w:rsidRPr="007D380A">
        <w:rPr>
          <w:rFonts w:ascii="Times New Roman" w:eastAsia="Times New Roman" w:hAnsi="Times New Roman" w:cs="Times New Roman"/>
          <w:bCs/>
          <w:sz w:val="24"/>
          <w:szCs w:val="24"/>
          <w:lang w:eastAsia="en-AU"/>
        </w:rPr>
        <w:t xml:space="preserve">determination of </w:t>
      </w:r>
      <w:r w:rsidR="00CC5A36">
        <w:rPr>
          <w:rFonts w:ascii="Times New Roman" w:eastAsia="Times New Roman" w:hAnsi="Times New Roman" w:cs="Times New Roman"/>
          <w:bCs/>
          <w:sz w:val="24"/>
          <w:szCs w:val="24"/>
          <w:lang w:eastAsia="en-AU"/>
        </w:rPr>
        <w:t xml:space="preserve">pricing </w:t>
      </w:r>
      <w:r w:rsidR="003A4D5F" w:rsidRPr="007D380A">
        <w:rPr>
          <w:rFonts w:ascii="Times New Roman" w:eastAsia="Times New Roman" w:hAnsi="Times New Roman" w:cs="Times New Roman"/>
          <w:bCs/>
          <w:sz w:val="24"/>
          <w:szCs w:val="24"/>
          <w:lang w:eastAsia="en-AU"/>
        </w:rPr>
        <w:t>quantities</w:t>
      </w:r>
      <w:r w:rsidR="00CC5A36">
        <w:rPr>
          <w:rFonts w:ascii="Times New Roman" w:eastAsia="Times New Roman" w:hAnsi="Times New Roman" w:cs="Times New Roman"/>
          <w:bCs/>
          <w:sz w:val="24"/>
          <w:szCs w:val="24"/>
          <w:lang w:eastAsia="en-AU"/>
        </w:rPr>
        <w:t xml:space="preserve">, pack quantities and determined quantities </w:t>
      </w:r>
      <w:r w:rsidR="003A4D5F" w:rsidRPr="007D380A">
        <w:rPr>
          <w:rFonts w:ascii="Times New Roman" w:eastAsia="Times New Roman" w:hAnsi="Times New Roman" w:cs="Times New Roman"/>
          <w:bCs/>
          <w:sz w:val="24"/>
          <w:szCs w:val="24"/>
          <w:lang w:eastAsia="en-AU"/>
        </w:rPr>
        <w:t xml:space="preserve">of </w:t>
      </w:r>
      <w:r w:rsidR="00CC5A36">
        <w:rPr>
          <w:rFonts w:ascii="Times New Roman" w:eastAsia="Times New Roman" w:hAnsi="Times New Roman" w:cs="Times New Roman"/>
          <w:bCs/>
          <w:sz w:val="24"/>
          <w:szCs w:val="24"/>
          <w:lang w:eastAsia="en-AU"/>
        </w:rPr>
        <w:t xml:space="preserve">listed brands of </w:t>
      </w:r>
      <w:r w:rsidR="003A4D5F" w:rsidRPr="007D380A">
        <w:rPr>
          <w:rFonts w:ascii="Times New Roman" w:eastAsia="Times New Roman" w:hAnsi="Times New Roman" w:cs="Times New Roman"/>
          <w:bCs/>
          <w:sz w:val="24"/>
          <w:szCs w:val="24"/>
          <w:lang w:eastAsia="en-AU"/>
        </w:rPr>
        <w:t>pharmaceutical item</w:t>
      </w:r>
      <w:r w:rsidR="00CC5A36">
        <w:rPr>
          <w:rFonts w:ascii="Times New Roman" w:eastAsia="Times New Roman" w:hAnsi="Times New Roman" w:cs="Times New Roman"/>
          <w:bCs/>
          <w:sz w:val="24"/>
          <w:szCs w:val="24"/>
          <w:lang w:eastAsia="en-AU"/>
        </w:rPr>
        <w:t>s</w:t>
      </w:r>
      <w:r w:rsidR="003A4D5F" w:rsidRPr="007D380A">
        <w:rPr>
          <w:rFonts w:ascii="Times New Roman" w:eastAsia="Times New Roman" w:hAnsi="Times New Roman" w:cs="Times New Roman"/>
          <w:bCs/>
          <w:sz w:val="24"/>
          <w:szCs w:val="24"/>
          <w:lang w:eastAsia="en-AU"/>
        </w:rPr>
        <w:t>)</w:t>
      </w:r>
      <w:r w:rsidR="00A46EC0" w:rsidRPr="007D380A">
        <w:rPr>
          <w:rFonts w:ascii="Times New Roman" w:eastAsia="Times New Roman" w:hAnsi="Times New Roman" w:cs="Times New Roman"/>
          <w:bCs/>
          <w:sz w:val="24"/>
          <w:szCs w:val="24"/>
          <w:lang w:eastAsia="en-AU"/>
        </w:rPr>
        <w:t>;</w:t>
      </w:r>
    </w:p>
    <w:p w14:paraId="37AF1D83" w14:textId="18BDA022" w:rsidR="00CC5A36" w:rsidRPr="007D380A" w:rsidRDefault="00CC5A36" w:rsidP="001A7591">
      <w:pPr>
        <w:pStyle w:val="ListParagraph"/>
        <w:numPr>
          <w:ilvl w:val="0"/>
          <w:numId w:val="22"/>
        </w:numPr>
        <w:autoSpaceDE w:val="0"/>
        <w:autoSpaceDN w:val="0"/>
        <w:adjustRightInd w:val="0"/>
        <w:spacing w:before="120" w:after="0" w:line="240" w:lineRule="auto"/>
        <w:ind w:left="714" w:hanging="357"/>
        <w:contextualSpacing w:val="0"/>
        <w:rPr>
          <w:rFonts w:ascii="Times New Roman" w:eastAsia="Times New Roman" w:hAnsi="Times New Roman" w:cs="Times New Roman"/>
          <w:bCs/>
          <w:sz w:val="24"/>
          <w:szCs w:val="24"/>
          <w:lang w:eastAsia="en-AU"/>
        </w:rPr>
      </w:pPr>
      <w:r w:rsidRPr="00CC5A36">
        <w:rPr>
          <w:rFonts w:ascii="Times New Roman" w:eastAsia="Times New Roman" w:hAnsi="Times New Roman" w:cs="Times New Roman"/>
          <w:bCs/>
          <w:sz w:val="24"/>
          <w:szCs w:val="24"/>
          <w:lang w:eastAsia="en-AU"/>
        </w:rPr>
        <w:t>85 (</w:t>
      </w:r>
      <w:r w:rsidR="005F6BD6">
        <w:rPr>
          <w:rFonts w:ascii="Times New Roman" w:eastAsia="Times New Roman" w:hAnsi="Times New Roman" w:cs="Times New Roman"/>
          <w:bCs/>
          <w:sz w:val="24"/>
          <w:szCs w:val="24"/>
          <w:lang w:eastAsia="en-AU"/>
        </w:rPr>
        <w:t xml:space="preserve">various </w:t>
      </w:r>
      <w:r w:rsidRPr="00CC5A36">
        <w:rPr>
          <w:rFonts w:ascii="Times New Roman" w:eastAsia="Times New Roman" w:hAnsi="Times New Roman" w:cs="Times New Roman"/>
          <w:bCs/>
          <w:sz w:val="24"/>
          <w:szCs w:val="24"/>
          <w:lang w:eastAsia="en-AU"/>
        </w:rPr>
        <w:t>declarations and determinations</w:t>
      </w:r>
      <w:r w:rsidR="005F6BD6">
        <w:rPr>
          <w:rFonts w:ascii="Times New Roman" w:eastAsia="Times New Roman" w:hAnsi="Times New Roman" w:cs="Times New Roman"/>
          <w:bCs/>
          <w:sz w:val="24"/>
          <w:szCs w:val="24"/>
          <w:lang w:eastAsia="en-AU"/>
        </w:rPr>
        <w:t xml:space="preserve"> relating to </w:t>
      </w:r>
      <w:r w:rsidR="00700313">
        <w:rPr>
          <w:rFonts w:ascii="Times New Roman" w:eastAsia="Times New Roman" w:hAnsi="Times New Roman" w:cs="Times New Roman"/>
          <w:bCs/>
          <w:sz w:val="24"/>
          <w:szCs w:val="24"/>
          <w:lang w:eastAsia="en-AU"/>
        </w:rPr>
        <w:t>listing of pharmaceutical benefits on the PBS</w:t>
      </w:r>
      <w:r w:rsidR="004B299F">
        <w:rPr>
          <w:rFonts w:ascii="Times New Roman" w:eastAsia="Times New Roman" w:hAnsi="Times New Roman" w:cs="Times New Roman"/>
          <w:bCs/>
          <w:sz w:val="24"/>
          <w:szCs w:val="24"/>
          <w:lang w:eastAsia="en-AU"/>
        </w:rPr>
        <w:t xml:space="preserve"> including the drugs, forms of drugs, manners of administration and brands of pharmaceutical benefits</w:t>
      </w:r>
      <w:r w:rsidR="00700313">
        <w:rPr>
          <w:rFonts w:ascii="Times New Roman" w:eastAsia="Times New Roman" w:hAnsi="Times New Roman" w:cs="Times New Roman"/>
          <w:bCs/>
          <w:sz w:val="24"/>
          <w:szCs w:val="24"/>
          <w:lang w:eastAsia="en-AU"/>
        </w:rPr>
        <w:t xml:space="preserve">, restrictions on </w:t>
      </w:r>
      <w:r w:rsidR="00BC37CB">
        <w:rPr>
          <w:rFonts w:ascii="Times New Roman" w:eastAsia="Times New Roman" w:hAnsi="Times New Roman" w:cs="Times New Roman"/>
          <w:bCs/>
          <w:sz w:val="24"/>
          <w:szCs w:val="24"/>
          <w:lang w:eastAsia="en-AU"/>
        </w:rPr>
        <w:t>how pharmaceutical benefits may be supplied under the PBS</w:t>
      </w:r>
      <w:r w:rsidR="00D22C51">
        <w:rPr>
          <w:rFonts w:ascii="Times New Roman" w:eastAsia="Times New Roman" w:hAnsi="Times New Roman" w:cs="Times New Roman"/>
          <w:bCs/>
          <w:sz w:val="24"/>
          <w:szCs w:val="24"/>
          <w:lang w:eastAsia="en-AU"/>
        </w:rPr>
        <w:t xml:space="preserve"> and circumstances in which a </w:t>
      </w:r>
      <w:r w:rsidR="00FF10D9">
        <w:rPr>
          <w:rFonts w:ascii="Times New Roman" w:eastAsia="Times New Roman" w:hAnsi="Times New Roman" w:cs="Times New Roman"/>
          <w:bCs/>
          <w:sz w:val="24"/>
          <w:szCs w:val="24"/>
          <w:lang w:eastAsia="en-AU"/>
        </w:rPr>
        <w:t xml:space="preserve">prescription for a </w:t>
      </w:r>
      <w:r w:rsidR="00D22C51">
        <w:rPr>
          <w:rFonts w:ascii="Times New Roman" w:eastAsia="Times New Roman" w:hAnsi="Times New Roman" w:cs="Times New Roman"/>
          <w:bCs/>
          <w:sz w:val="24"/>
          <w:szCs w:val="24"/>
          <w:lang w:eastAsia="en-AU"/>
        </w:rPr>
        <w:t xml:space="preserve">pharmaceutical benefit </w:t>
      </w:r>
      <w:r w:rsidR="00FF10D9">
        <w:rPr>
          <w:rFonts w:ascii="Times New Roman" w:eastAsia="Times New Roman" w:hAnsi="Times New Roman" w:cs="Times New Roman"/>
          <w:bCs/>
          <w:sz w:val="24"/>
          <w:szCs w:val="24"/>
          <w:lang w:eastAsia="en-AU"/>
        </w:rPr>
        <w:t>can be written);</w:t>
      </w:r>
    </w:p>
    <w:p w14:paraId="0A73A080" w14:textId="7B27FE67" w:rsidR="006F2E41" w:rsidRPr="007D380A" w:rsidRDefault="00A46EC0" w:rsidP="001A7591">
      <w:pPr>
        <w:pStyle w:val="ListParagraph"/>
        <w:numPr>
          <w:ilvl w:val="0"/>
          <w:numId w:val="22"/>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7D380A">
        <w:rPr>
          <w:rFonts w:ascii="Times New Roman" w:hAnsi="Times New Roman" w:cs="Times New Roman"/>
          <w:color w:val="000000"/>
          <w:sz w:val="24"/>
          <w:szCs w:val="24"/>
        </w:rPr>
        <w:t>85A (</w:t>
      </w:r>
      <w:r w:rsidR="00576B40" w:rsidRPr="007D380A">
        <w:rPr>
          <w:rFonts w:ascii="Times New Roman" w:hAnsi="Times New Roman" w:cs="Times New Roman"/>
          <w:color w:val="000000"/>
          <w:sz w:val="24"/>
          <w:szCs w:val="24"/>
        </w:rPr>
        <w:t xml:space="preserve">determination of maximum quantities of pharmaceutical items and maximum repeats </w:t>
      </w:r>
      <w:r w:rsidR="007C6C6F" w:rsidRPr="007D380A">
        <w:rPr>
          <w:rFonts w:ascii="Times New Roman" w:hAnsi="Times New Roman" w:cs="Times New Roman"/>
          <w:color w:val="000000"/>
          <w:sz w:val="24"/>
          <w:szCs w:val="24"/>
        </w:rPr>
        <w:t>that may be directed in a prescription</w:t>
      </w:r>
      <w:r w:rsidR="002056A2">
        <w:rPr>
          <w:rFonts w:ascii="Times New Roman" w:hAnsi="Times New Roman" w:cs="Times New Roman"/>
          <w:color w:val="000000"/>
          <w:sz w:val="24"/>
          <w:szCs w:val="24"/>
        </w:rPr>
        <w:t xml:space="preserve"> by classes of persons</w:t>
      </w:r>
      <w:r w:rsidR="007C6C6F" w:rsidRPr="007D380A">
        <w:rPr>
          <w:rFonts w:ascii="Times New Roman" w:hAnsi="Times New Roman" w:cs="Times New Roman"/>
          <w:color w:val="000000"/>
          <w:sz w:val="24"/>
          <w:szCs w:val="24"/>
        </w:rPr>
        <w:t>);</w:t>
      </w:r>
    </w:p>
    <w:p w14:paraId="58512A43" w14:textId="2A8F37A5" w:rsidR="007C6C6F" w:rsidRPr="007D380A" w:rsidRDefault="007C6C6F" w:rsidP="001A7591">
      <w:pPr>
        <w:pStyle w:val="ListParagraph"/>
        <w:numPr>
          <w:ilvl w:val="0"/>
          <w:numId w:val="22"/>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7D380A">
        <w:rPr>
          <w:rFonts w:ascii="Times New Roman" w:hAnsi="Times New Roman" w:cs="Times New Roman"/>
          <w:color w:val="000000"/>
          <w:sz w:val="24"/>
          <w:szCs w:val="24"/>
        </w:rPr>
        <w:lastRenderedPageBreak/>
        <w:t>88 (</w:t>
      </w:r>
      <w:r w:rsidR="0061794F">
        <w:rPr>
          <w:rFonts w:ascii="Times New Roman" w:hAnsi="Times New Roman" w:cs="Times New Roman"/>
          <w:color w:val="000000"/>
          <w:sz w:val="24"/>
          <w:szCs w:val="24"/>
        </w:rPr>
        <w:t>d</w:t>
      </w:r>
      <w:r w:rsidR="000D4A34" w:rsidRPr="007D380A">
        <w:rPr>
          <w:rFonts w:ascii="Times New Roman" w:hAnsi="Times New Roman" w:cs="Times New Roman"/>
          <w:color w:val="000000"/>
          <w:sz w:val="24"/>
          <w:szCs w:val="24"/>
        </w:rPr>
        <w:t>etermination</w:t>
      </w:r>
      <w:r w:rsidR="0061794F">
        <w:rPr>
          <w:rFonts w:ascii="Times New Roman" w:hAnsi="Times New Roman" w:cs="Times New Roman"/>
          <w:color w:val="000000"/>
          <w:sz w:val="24"/>
          <w:szCs w:val="24"/>
        </w:rPr>
        <w:t xml:space="preserve"> of the pharmaceutical benefits that different classes of PBS prescribers are authorised to prescribe</w:t>
      </w:r>
      <w:r w:rsidR="000D4A34" w:rsidRPr="007D380A">
        <w:rPr>
          <w:rFonts w:ascii="Times New Roman" w:hAnsi="Times New Roman" w:cs="Times New Roman"/>
          <w:color w:val="000000"/>
          <w:sz w:val="24"/>
          <w:szCs w:val="24"/>
        </w:rPr>
        <w:t>).</w:t>
      </w:r>
    </w:p>
    <w:p w14:paraId="225EA283" w14:textId="77777777" w:rsidR="00A46EC0" w:rsidRPr="005A76A6" w:rsidRDefault="00A46EC0" w:rsidP="00167955">
      <w:pPr>
        <w:autoSpaceDE w:val="0"/>
        <w:autoSpaceDN w:val="0"/>
        <w:adjustRightInd w:val="0"/>
        <w:spacing w:after="0" w:line="240" w:lineRule="auto"/>
        <w:rPr>
          <w:rFonts w:ascii="Times New Roman" w:hAnsi="Times New Roman" w:cs="Times New Roman"/>
          <w:color w:val="000000"/>
          <w:sz w:val="24"/>
          <w:szCs w:val="24"/>
        </w:rPr>
      </w:pPr>
    </w:p>
    <w:p w14:paraId="29CE1688" w14:textId="7431CF1C" w:rsidR="00CC2E84" w:rsidRPr="007523E2" w:rsidRDefault="00CC2E84" w:rsidP="00167955">
      <w:pPr>
        <w:autoSpaceDE w:val="0"/>
        <w:autoSpaceDN w:val="0"/>
        <w:adjustRightInd w:val="0"/>
        <w:spacing w:after="0" w:line="240" w:lineRule="auto"/>
        <w:rPr>
          <w:rFonts w:ascii="Times New Roman" w:hAnsi="Times New Roman" w:cs="Times New Roman"/>
          <w:b/>
          <w:bCs/>
          <w:color w:val="000000"/>
          <w:sz w:val="24"/>
          <w:szCs w:val="24"/>
        </w:rPr>
      </w:pPr>
      <w:r w:rsidRPr="007523E2">
        <w:rPr>
          <w:rFonts w:ascii="Times New Roman" w:hAnsi="Times New Roman" w:cs="Times New Roman"/>
          <w:b/>
          <w:bCs/>
          <w:color w:val="000000"/>
          <w:sz w:val="24"/>
          <w:szCs w:val="24"/>
        </w:rPr>
        <w:t>Consultation</w:t>
      </w:r>
    </w:p>
    <w:p w14:paraId="1C90F2AB" w14:textId="7C96B784" w:rsidR="00184B1F" w:rsidRPr="007523E2" w:rsidRDefault="00184B1F" w:rsidP="00393863">
      <w:pPr>
        <w:autoSpaceDE w:val="0"/>
        <w:autoSpaceDN w:val="0"/>
        <w:adjustRightInd w:val="0"/>
        <w:spacing w:before="120" w:after="0" w:line="240" w:lineRule="auto"/>
        <w:rPr>
          <w:rFonts w:ascii="Times New Roman" w:hAnsi="Times New Roman" w:cs="Times New Roman"/>
          <w:color w:val="000000"/>
          <w:sz w:val="24"/>
          <w:szCs w:val="24"/>
        </w:rPr>
      </w:pPr>
      <w:r w:rsidRPr="007523E2">
        <w:rPr>
          <w:rFonts w:ascii="Times New Roman" w:hAnsi="Times New Roman" w:cs="Times New Roman"/>
          <w:color w:val="000000"/>
          <w:sz w:val="24"/>
          <w:szCs w:val="24"/>
        </w:rPr>
        <w:t>The Department has consulted extensively internally and with Services Australia and the Department of Veterans’ Affairs.</w:t>
      </w:r>
    </w:p>
    <w:p w14:paraId="7FBA4742" w14:textId="77777777" w:rsidR="00184B1F" w:rsidRPr="007523E2" w:rsidRDefault="00184B1F" w:rsidP="00167955">
      <w:pPr>
        <w:autoSpaceDE w:val="0"/>
        <w:autoSpaceDN w:val="0"/>
        <w:adjustRightInd w:val="0"/>
        <w:spacing w:after="0" w:line="240" w:lineRule="auto"/>
        <w:rPr>
          <w:rFonts w:ascii="Times New Roman" w:hAnsi="Times New Roman" w:cs="Times New Roman"/>
          <w:color w:val="000000"/>
          <w:sz w:val="24"/>
          <w:szCs w:val="24"/>
        </w:rPr>
      </w:pPr>
    </w:p>
    <w:p w14:paraId="42CD76B0" w14:textId="198BE5B3" w:rsidR="00132EEB" w:rsidRPr="007523E2" w:rsidRDefault="00184B1F" w:rsidP="00167955">
      <w:pPr>
        <w:autoSpaceDE w:val="0"/>
        <w:autoSpaceDN w:val="0"/>
        <w:adjustRightInd w:val="0"/>
        <w:spacing w:after="0" w:line="240" w:lineRule="auto"/>
        <w:rPr>
          <w:rFonts w:ascii="Times New Roman" w:hAnsi="Times New Roman" w:cs="Times New Roman"/>
          <w:color w:val="000000"/>
          <w:sz w:val="24"/>
          <w:szCs w:val="24"/>
        </w:rPr>
      </w:pPr>
      <w:r w:rsidRPr="007523E2">
        <w:rPr>
          <w:rFonts w:ascii="Times New Roman" w:hAnsi="Times New Roman" w:cs="Times New Roman"/>
          <w:color w:val="000000"/>
          <w:sz w:val="24"/>
          <w:szCs w:val="24"/>
        </w:rPr>
        <w:t>Some practical implementation issues regarding the submission of prescription details versus the prescription itself have been raised by Services Australia where submissions are made via the post rather than electronically. The Department has built in additional time for the changes to be implemented to allow for the required system changes to occur following the remake of the PBS Listing Instrument to address this issue and reduce any negative impacts caused by the change to the process for some parties.</w:t>
      </w:r>
    </w:p>
    <w:p w14:paraId="75663E41" w14:textId="4694C7A8" w:rsidR="00CC2E84" w:rsidRPr="007523E2" w:rsidRDefault="00CC2E84" w:rsidP="00167955">
      <w:pPr>
        <w:autoSpaceDE w:val="0"/>
        <w:autoSpaceDN w:val="0"/>
        <w:adjustRightInd w:val="0"/>
        <w:spacing w:after="0" w:line="240" w:lineRule="auto"/>
        <w:rPr>
          <w:rFonts w:ascii="Times New Roman" w:hAnsi="Times New Roman" w:cs="Times New Roman"/>
          <w:color w:val="000000"/>
          <w:sz w:val="24"/>
          <w:szCs w:val="24"/>
        </w:rPr>
      </w:pPr>
    </w:p>
    <w:p w14:paraId="682BF1CA" w14:textId="3D0B488D" w:rsidR="00084A36" w:rsidRDefault="00084A36" w:rsidP="00167955">
      <w:pPr>
        <w:autoSpaceDE w:val="0"/>
        <w:autoSpaceDN w:val="0"/>
        <w:adjustRightInd w:val="0"/>
        <w:spacing w:after="0" w:line="240" w:lineRule="auto"/>
        <w:rPr>
          <w:rFonts w:ascii="Times New Roman" w:hAnsi="Times New Roman" w:cs="Times New Roman"/>
          <w:color w:val="000000"/>
          <w:sz w:val="24"/>
          <w:szCs w:val="24"/>
        </w:rPr>
      </w:pPr>
      <w:r w:rsidRPr="007523E2">
        <w:rPr>
          <w:rFonts w:ascii="Times New Roman" w:hAnsi="Times New Roman" w:cs="Times New Roman"/>
          <w:b/>
          <w:bCs/>
          <w:color w:val="000000"/>
          <w:sz w:val="24"/>
          <w:szCs w:val="24"/>
        </w:rPr>
        <w:t>General</w:t>
      </w:r>
    </w:p>
    <w:p w14:paraId="6D283CF6" w14:textId="74EB1DF7" w:rsidR="00084A36" w:rsidRDefault="006D33B8" w:rsidP="00393863">
      <w:pPr>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w:eastAsia="Times New Roman" w:hAnsi="Times New Roman" w:cs="Times New Roman"/>
          <w:bCs/>
          <w:sz w:val="24"/>
          <w:szCs w:val="24"/>
          <w:lang w:eastAsia="en-AU"/>
        </w:rPr>
        <w:t>2024 Listing Instrument</w:t>
      </w:r>
      <w:r w:rsidR="00084A36">
        <w:rPr>
          <w:rFonts w:ascii="Times New Roman" w:hAnsi="Times New Roman" w:cs="Times New Roman"/>
          <w:color w:val="000000"/>
          <w:sz w:val="24"/>
          <w:szCs w:val="24"/>
        </w:rPr>
        <w:t xml:space="preserve"> is a legislative instrument for the purposes of the </w:t>
      </w:r>
      <w:r w:rsidR="00084A36">
        <w:rPr>
          <w:rFonts w:ascii="Times New Roman" w:hAnsi="Times New Roman" w:cs="Times New Roman"/>
          <w:i/>
          <w:iCs/>
          <w:color w:val="000000"/>
          <w:sz w:val="24"/>
          <w:szCs w:val="24"/>
        </w:rPr>
        <w:t>Legislation Act 2003</w:t>
      </w:r>
      <w:r w:rsidR="00084A36">
        <w:rPr>
          <w:rFonts w:ascii="Times New Roman" w:hAnsi="Times New Roman" w:cs="Times New Roman"/>
          <w:color w:val="000000"/>
          <w:sz w:val="24"/>
          <w:szCs w:val="24"/>
        </w:rPr>
        <w:t>.</w:t>
      </w:r>
    </w:p>
    <w:p w14:paraId="3BB78B99" w14:textId="77777777" w:rsidR="00084A36" w:rsidRDefault="00084A36" w:rsidP="00167955">
      <w:pPr>
        <w:autoSpaceDE w:val="0"/>
        <w:autoSpaceDN w:val="0"/>
        <w:adjustRightInd w:val="0"/>
        <w:spacing w:after="0" w:line="240" w:lineRule="auto"/>
        <w:rPr>
          <w:rFonts w:ascii="Times New Roman" w:hAnsi="Times New Roman" w:cs="Times New Roman"/>
          <w:color w:val="000000"/>
          <w:sz w:val="24"/>
          <w:szCs w:val="24"/>
        </w:rPr>
      </w:pPr>
    </w:p>
    <w:p w14:paraId="0B734B85" w14:textId="066684E1" w:rsidR="00084A36" w:rsidRDefault="006D33B8" w:rsidP="0016795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w:eastAsia="Times New Roman" w:hAnsi="Times New Roman" w:cs="Times New Roman"/>
          <w:bCs/>
          <w:sz w:val="24"/>
          <w:szCs w:val="24"/>
          <w:lang w:eastAsia="en-AU"/>
        </w:rPr>
        <w:t>2024 Listing Instrument</w:t>
      </w:r>
      <w:r w:rsidR="00084A36">
        <w:rPr>
          <w:rFonts w:ascii="Times New Roman" w:hAnsi="Times New Roman" w:cs="Times New Roman"/>
          <w:color w:val="000000"/>
          <w:sz w:val="24"/>
          <w:szCs w:val="24"/>
        </w:rPr>
        <w:t xml:space="preserve"> commences on 1 April 2024.</w:t>
      </w:r>
    </w:p>
    <w:p w14:paraId="6124E61C" w14:textId="77777777" w:rsidR="00084A36" w:rsidRDefault="00084A36" w:rsidP="00167955">
      <w:pPr>
        <w:autoSpaceDE w:val="0"/>
        <w:autoSpaceDN w:val="0"/>
        <w:adjustRightInd w:val="0"/>
        <w:spacing w:after="0" w:line="240" w:lineRule="auto"/>
        <w:rPr>
          <w:rFonts w:ascii="Times New Roman" w:hAnsi="Times New Roman" w:cs="Times New Roman"/>
          <w:color w:val="000000"/>
          <w:sz w:val="24"/>
          <w:szCs w:val="24"/>
        </w:rPr>
      </w:pPr>
    </w:p>
    <w:p w14:paraId="34D3A4F4" w14:textId="2DCB4BE5" w:rsidR="004F17FD" w:rsidRDefault="00084A36" w:rsidP="008746FC">
      <w:pPr>
        <w:autoSpaceDE w:val="0"/>
        <w:autoSpaceDN w:val="0"/>
        <w:adjustRightInd w:val="0"/>
        <w:spacing w:after="0" w:line="240" w:lineRule="auto"/>
        <w:jc w:val="both"/>
        <w:rPr>
          <w:rFonts w:ascii="Times New Roman" w:hAnsi="Times New Roman" w:cs="Times New Roman"/>
          <w:color w:val="000000"/>
          <w:sz w:val="24"/>
          <w:szCs w:val="24"/>
        </w:rPr>
      </w:pPr>
      <w:r w:rsidRPr="008746FC">
        <w:rPr>
          <w:rFonts w:ascii="Times New Roman" w:hAnsi="Times New Roman" w:cs="Times New Roman"/>
          <w:color w:val="000000"/>
          <w:sz w:val="24"/>
          <w:szCs w:val="24"/>
        </w:rPr>
        <w:t xml:space="preserve">Details of </w:t>
      </w:r>
      <w:r w:rsidR="006D33B8" w:rsidRPr="008746FC">
        <w:rPr>
          <w:rFonts w:ascii="Times New Roman" w:hAnsi="Times New Roman" w:cs="Times New Roman"/>
          <w:color w:val="000000"/>
          <w:sz w:val="24"/>
          <w:szCs w:val="24"/>
        </w:rPr>
        <w:t xml:space="preserve">the </w:t>
      </w:r>
      <w:r w:rsidR="006D33B8" w:rsidRPr="008746FC">
        <w:rPr>
          <w:rFonts w:ascii="Times New Roman" w:eastAsia="Times New Roman" w:hAnsi="Times New Roman" w:cs="Times New Roman"/>
          <w:bCs/>
          <w:sz w:val="24"/>
          <w:szCs w:val="24"/>
          <w:lang w:eastAsia="en-AU"/>
        </w:rPr>
        <w:t>2024 Listing Instrument</w:t>
      </w:r>
      <w:r w:rsidRPr="008746FC">
        <w:rPr>
          <w:rFonts w:ascii="Times New Roman" w:hAnsi="Times New Roman" w:cs="Times New Roman"/>
          <w:color w:val="000000"/>
          <w:sz w:val="24"/>
          <w:szCs w:val="24"/>
        </w:rPr>
        <w:t xml:space="preserve"> are set out in </w:t>
      </w:r>
      <w:r w:rsidRPr="008746FC">
        <w:rPr>
          <w:rFonts w:ascii="Times New Roman" w:hAnsi="Times New Roman" w:cs="Times New Roman"/>
          <w:b/>
          <w:bCs/>
          <w:color w:val="000000"/>
          <w:sz w:val="24"/>
          <w:szCs w:val="24"/>
        </w:rPr>
        <w:t>Attachment A</w:t>
      </w:r>
      <w:r w:rsidRPr="008746FC">
        <w:rPr>
          <w:rFonts w:ascii="Times New Roman" w:hAnsi="Times New Roman" w:cs="Times New Roman"/>
          <w:color w:val="000000"/>
          <w:sz w:val="24"/>
          <w:szCs w:val="24"/>
        </w:rPr>
        <w:t>.</w:t>
      </w:r>
      <w:r w:rsidR="00081F8A" w:rsidRPr="008746FC">
        <w:rPr>
          <w:rFonts w:ascii="Times New Roman" w:hAnsi="Times New Roman" w:cs="Times New Roman"/>
          <w:color w:val="000000"/>
          <w:sz w:val="24"/>
          <w:szCs w:val="24"/>
        </w:rPr>
        <w:t xml:space="preserve"> </w:t>
      </w:r>
      <w:r w:rsidR="00001C10" w:rsidRPr="008746FC">
        <w:rPr>
          <w:rFonts w:ascii="Times New Roman" w:hAnsi="Times New Roman" w:cs="Times New Roman"/>
          <w:color w:val="000000"/>
          <w:sz w:val="24"/>
          <w:szCs w:val="24"/>
        </w:rPr>
        <w:t xml:space="preserve">Part 1 of </w:t>
      </w:r>
      <w:r w:rsidR="00081F8A" w:rsidRPr="008746FC">
        <w:rPr>
          <w:rFonts w:ascii="Times New Roman" w:hAnsi="Times New Roman" w:cs="Times New Roman"/>
          <w:color w:val="000000"/>
          <w:sz w:val="24"/>
          <w:szCs w:val="24"/>
        </w:rPr>
        <w:t xml:space="preserve">Attachment A outlines </w:t>
      </w:r>
      <w:r w:rsidR="002722D6" w:rsidRPr="008746FC">
        <w:rPr>
          <w:rFonts w:ascii="Times New Roman" w:hAnsi="Times New Roman" w:cs="Times New Roman"/>
          <w:color w:val="000000"/>
          <w:sz w:val="24"/>
          <w:szCs w:val="24"/>
        </w:rPr>
        <w:t>the general operation of the 2024 Listing Instrument. Part 2 of Attachment A details change</w:t>
      </w:r>
      <w:r w:rsidR="008E297D" w:rsidRPr="008746FC">
        <w:rPr>
          <w:rFonts w:ascii="Times New Roman" w:hAnsi="Times New Roman" w:cs="Times New Roman"/>
          <w:color w:val="000000"/>
          <w:sz w:val="24"/>
          <w:szCs w:val="24"/>
        </w:rPr>
        <w:t>s to</w:t>
      </w:r>
      <w:r w:rsidR="002722D6" w:rsidRPr="008746FC">
        <w:rPr>
          <w:rFonts w:ascii="Times New Roman" w:hAnsi="Times New Roman" w:cs="Times New Roman"/>
          <w:color w:val="000000"/>
          <w:sz w:val="24"/>
          <w:szCs w:val="24"/>
        </w:rPr>
        <w:t xml:space="preserve"> medicine listings</w:t>
      </w:r>
      <w:r w:rsidR="003C000C" w:rsidRPr="008746FC">
        <w:rPr>
          <w:rFonts w:ascii="Times New Roman" w:hAnsi="Times New Roman" w:cs="Times New Roman"/>
          <w:color w:val="000000"/>
          <w:sz w:val="24"/>
          <w:szCs w:val="24"/>
        </w:rPr>
        <w:t>, such as</w:t>
      </w:r>
      <w:r w:rsidR="00D90568" w:rsidRPr="008746FC">
        <w:t xml:space="preserve"> </w:t>
      </w:r>
      <w:r w:rsidR="00D90568" w:rsidRPr="008746FC">
        <w:rPr>
          <w:rFonts w:ascii="Times New Roman" w:hAnsi="Times New Roman" w:cs="Times New Roman"/>
          <w:color w:val="000000"/>
          <w:sz w:val="24"/>
          <w:szCs w:val="24"/>
        </w:rPr>
        <w:t xml:space="preserve">the addition and deletion of </w:t>
      </w:r>
      <w:r w:rsidR="0045010D" w:rsidRPr="008746FC">
        <w:rPr>
          <w:rFonts w:ascii="Times New Roman" w:hAnsi="Times New Roman" w:cs="Times New Roman"/>
          <w:color w:val="000000"/>
          <w:sz w:val="24"/>
          <w:szCs w:val="24"/>
        </w:rPr>
        <w:t xml:space="preserve">listed </w:t>
      </w:r>
      <w:r w:rsidR="00D90568" w:rsidRPr="008746FC">
        <w:rPr>
          <w:rFonts w:ascii="Times New Roman" w:hAnsi="Times New Roman" w:cs="Times New Roman"/>
          <w:color w:val="000000"/>
          <w:sz w:val="24"/>
          <w:szCs w:val="24"/>
        </w:rPr>
        <w:t xml:space="preserve">drugs, forms of </w:t>
      </w:r>
      <w:r w:rsidR="0045010D" w:rsidRPr="008746FC">
        <w:rPr>
          <w:rFonts w:ascii="Times New Roman" w:hAnsi="Times New Roman" w:cs="Times New Roman"/>
          <w:color w:val="000000"/>
          <w:sz w:val="24"/>
          <w:szCs w:val="24"/>
        </w:rPr>
        <w:t xml:space="preserve">listed </w:t>
      </w:r>
      <w:r w:rsidR="00D90568" w:rsidRPr="008746FC">
        <w:rPr>
          <w:rFonts w:ascii="Times New Roman" w:hAnsi="Times New Roman" w:cs="Times New Roman"/>
          <w:color w:val="000000"/>
          <w:sz w:val="24"/>
          <w:szCs w:val="24"/>
        </w:rPr>
        <w:t>drugs, and brands of pharmaceutical benefits, the alteration of a maximum quantity for a pharmaceutical benefit, the alteration of responsible person codes for brands of pharmaceutical benefits, the addition of a pack quantity for a pharmaceutical benefit, the addition and deletion of responsible persons from the list of responsible persons and the alteration of circumstances in which a prescription may be written for a number of listed drugs</w:t>
      </w:r>
      <w:r w:rsidR="00204E8B" w:rsidRPr="008746FC">
        <w:rPr>
          <w:rFonts w:ascii="Times New Roman" w:hAnsi="Times New Roman" w:cs="Times New Roman"/>
          <w:color w:val="000000"/>
          <w:sz w:val="24"/>
          <w:szCs w:val="24"/>
        </w:rPr>
        <w:t>.</w:t>
      </w:r>
    </w:p>
    <w:p w14:paraId="19BB4980" w14:textId="77777777" w:rsidR="00084A36" w:rsidRDefault="00084A36" w:rsidP="00167955">
      <w:pPr>
        <w:autoSpaceDE w:val="0"/>
        <w:autoSpaceDN w:val="0"/>
        <w:adjustRightInd w:val="0"/>
        <w:spacing w:after="0" w:line="240" w:lineRule="auto"/>
        <w:rPr>
          <w:rFonts w:ascii="Times New Roman" w:hAnsi="Times New Roman" w:cs="Times New Roman"/>
          <w:color w:val="000000"/>
          <w:sz w:val="24"/>
          <w:szCs w:val="24"/>
        </w:rPr>
      </w:pPr>
    </w:p>
    <w:p w14:paraId="49AC608D" w14:textId="64ADCE94" w:rsidR="00E30E28" w:rsidRDefault="006D33B8" w:rsidP="008746F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w:eastAsia="Times New Roman" w:hAnsi="Times New Roman" w:cs="Times New Roman"/>
          <w:bCs/>
          <w:sz w:val="24"/>
          <w:szCs w:val="24"/>
          <w:lang w:eastAsia="en-AU"/>
        </w:rPr>
        <w:t>2024 Listing Instrument</w:t>
      </w:r>
      <w:r w:rsidR="00084A36">
        <w:rPr>
          <w:rFonts w:ascii="Times New Roman" w:hAnsi="Times New Roman" w:cs="Times New Roman"/>
          <w:color w:val="000000"/>
          <w:sz w:val="24"/>
          <w:szCs w:val="24"/>
        </w:rPr>
        <w:t xml:space="preserve"> is compatible with the human rights and freedoms recognised or declared under section 3 of the </w:t>
      </w:r>
      <w:r w:rsidR="00084A36">
        <w:rPr>
          <w:rFonts w:ascii="Times New Roman" w:hAnsi="Times New Roman" w:cs="Times New Roman"/>
          <w:i/>
          <w:iCs/>
          <w:color w:val="000000"/>
          <w:sz w:val="24"/>
          <w:szCs w:val="24"/>
        </w:rPr>
        <w:t>Human Rights (Parliamentary Scrutiny) Act 2011</w:t>
      </w:r>
      <w:r w:rsidR="00084A36">
        <w:rPr>
          <w:rFonts w:ascii="Times New Roman" w:hAnsi="Times New Roman" w:cs="Times New Roman"/>
          <w:color w:val="000000"/>
          <w:sz w:val="24"/>
          <w:szCs w:val="24"/>
        </w:rPr>
        <w:t xml:space="preserve">. A full statement of compatibility is set out in </w:t>
      </w:r>
      <w:r w:rsidR="00084A36">
        <w:rPr>
          <w:rFonts w:ascii="Times New Roman" w:hAnsi="Times New Roman" w:cs="Times New Roman"/>
          <w:b/>
          <w:bCs/>
          <w:color w:val="000000"/>
          <w:sz w:val="24"/>
          <w:szCs w:val="24"/>
        </w:rPr>
        <w:t>Attachment B</w:t>
      </w:r>
      <w:r w:rsidR="00084A36">
        <w:rPr>
          <w:rFonts w:ascii="Times New Roman" w:hAnsi="Times New Roman" w:cs="Times New Roman"/>
          <w:color w:val="000000"/>
          <w:sz w:val="24"/>
          <w:szCs w:val="24"/>
        </w:rPr>
        <w:t>.</w:t>
      </w:r>
    </w:p>
    <w:p w14:paraId="7F0A5DC2" w14:textId="77777777" w:rsidR="005A230F" w:rsidRDefault="005A230F">
      <w:pPr>
        <w:rPr>
          <w:rFonts w:ascii="Times New Roman" w:hAnsi="Times New Roman" w:cs="Times New Roman"/>
          <w:sz w:val="24"/>
          <w:szCs w:val="24"/>
        </w:rPr>
      </w:pPr>
      <w:r>
        <w:rPr>
          <w:rFonts w:ascii="Times New Roman" w:hAnsi="Times New Roman" w:cs="Times New Roman"/>
          <w:sz w:val="24"/>
          <w:szCs w:val="24"/>
        </w:rPr>
        <w:br w:type="page"/>
      </w:r>
    </w:p>
    <w:p w14:paraId="410396EE" w14:textId="315F6EA7" w:rsidR="00CC2E84" w:rsidRPr="00765FBF" w:rsidRDefault="00CC2E84" w:rsidP="001A7591">
      <w:pPr>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lastRenderedPageBreak/>
        <w:t>ATTACHMENT A</w:t>
      </w:r>
      <w:r w:rsidR="002B5AE7">
        <w:rPr>
          <w:rFonts w:ascii="Times New Roman" w:eastAsia="Times New Roman" w:hAnsi="Times New Roman" w:cs="Times New Roman"/>
          <w:b/>
          <w:sz w:val="24"/>
          <w:szCs w:val="24"/>
          <w:lang w:eastAsia="en-AU"/>
        </w:rPr>
        <w:t xml:space="preserve"> – PART 1</w:t>
      </w:r>
    </w:p>
    <w:p w14:paraId="41C201ED" w14:textId="77777777" w:rsidR="00CC2E84" w:rsidRPr="00765FBF" w:rsidRDefault="00CC2E84" w:rsidP="001A7591">
      <w:pPr>
        <w:spacing w:after="0" w:line="240" w:lineRule="auto"/>
        <w:jc w:val="right"/>
        <w:rPr>
          <w:rFonts w:ascii="Times New Roman" w:eastAsia="Times New Roman" w:hAnsi="Times New Roman" w:cs="Times New Roman"/>
          <w:b/>
          <w:sz w:val="24"/>
          <w:szCs w:val="24"/>
          <w:lang w:eastAsia="en-AU"/>
        </w:rPr>
      </w:pPr>
    </w:p>
    <w:p w14:paraId="150CCE28" w14:textId="59B5466F" w:rsidR="005A230F" w:rsidRPr="00765FBF" w:rsidRDefault="005A230F" w:rsidP="00167955">
      <w:pPr>
        <w:spacing w:after="0" w:line="240" w:lineRule="auto"/>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 xml:space="preserve">Details of the </w:t>
      </w:r>
      <w:r w:rsidR="009B5391" w:rsidRPr="009B5391">
        <w:rPr>
          <w:rFonts w:ascii="Times New Roman" w:eastAsia="Times New Roman" w:hAnsi="Times New Roman" w:cs="Times New Roman"/>
          <w:b/>
          <w:i/>
          <w:iCs/>
          <w:sz w:val="24"/>
          <w:szCs w:val="24"/>
          <w:u w:val="single"/>
          <w:lang w:eastAsia="en-AU"/>
        </w:rPr>
        <w:t>National Health (Listing of Pharmaceutical Benefits) Instrument 2024</w:t>
      </w:r>
    </w:p>
    <w:p w14:paraId="43EE22E1" w14:textId="655EBB46" w:rsidR="00CC2E84" w:rsidRPr="001A7591" w:rsidRDefault="00CC2E84" w:rsidP="00167955">
      <w:pPr>
        <w:spacing w:after="0" w:line="240" w:lineRule="auto"/>
        <w:rPr>
          <w:rFonts w:ascii="Times New Roman" w:eastAsia="Times New Roman" w:hAnsi="Times New Roman" w:cs="Times New Roman"/>
          <w:iCs/>
          <w:sz w:val="24"/>
          <w:szCs w:val="24"/>
          <w:lang w:eastAsia="en-AU"/>
        </w:rPr>
      </w:pPr>
    </w:p>
    <w:p w14:paraId="65A0F5B7" w14:textId="49F168DC" w:rsidR="00CC2E84" w:rsidRPr="00765FBF" w:rsidRDefault="009B5391" w:rsidP="00167955">
      <w:pPr>
        <w:spacing w:after="0" w:line="240" w:lineRule="auto"/>
        <w:rPr>
          <w:rFonts w:ascii="Times New Roman" w:eastAsia="Times New Roman" w:hAnsi="Times New Roman" w:cs="Times New Roman"/>
          <w:b/>
          <w:sz w:val="24"/>
          <w:szCs w:val="24"/>
          <w:lang w:eastAsia="en-AU"/>
        </w:rPr>
      </w:pPr>
      <w:r w:rsidRPr="009B5391">
        <w:rPr>
          <w:rFonts w:ascii="Times New Roman" w:eastAsia="Times New Roman" w:hAnsi="Times New Roman" w:cs="Times New Roman"/>
          <w:b/>
          <w:sz w:val="24"/>
          <w:szCs w:val="24"/>
          <w:lang w:eastAsia="en-AU"/>
        </w:rPr>
        <w:t>Part 1—Preliminary</w:t>
      </w:r>
    </w:p>
    <w:p w14:paraId="3B2D0E08" w14:textId="77777777" w:rsidR="009B5391" w:rsidRPr="001A7591" w:rsidRDefault="009B5391" w:rsidP="00167955">
      <w:pPr>
        <w:spacing w:after="0" w:line="240" w:lineRule="auto"/>
        <w:rPr>
          <w:rFonts w:ascii="Times New Roman" w:eastAsia="Times New Roman" w:hAnsi="Times New Roman" w:cs="Times New Roman"/>
          <w:bCs/>
          <w:sz w:val="24"/>
          <w:szCs w:val="24"/>
          <w:lang w:eastAsia="en-AU"/>
        </w:rPr>
      </w:pPr>
    </w:p>
    <w:p w14:paraId="716F4465" w14:textId="20D58A72" w:rsidR="0024216B" w:rsidRDefault="0024216B" w:rsidP="00167955">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1 – Name </w:t>
      </w:r>
    </w:p>
    <w:p w14:paraId="052274EA" w14:textId="71293C7F" w:rsidR="0024216B" w:rsidRPr="001A7591" w:rsidRDefault="0024216B" w:rsidP="00167955">
      <w:pPr>
        <w:spacing w:after="0" w:line="240" w:lineRule="auto"/>
        <w:rPr>
          <w:rFonts w:ascii="Times New Roman" w:eastAsia="Times New Roman" w:hAnsi="Times New Roman" w:cs="Times New Roman"/>
          <w:bCs/>
          <w:sz w:val="24"/>
          <w:szCs w:val="24"/>
          <w:lang w:eastAsia="en-AU"/>
        </w:rPr>
      </w:pPr>
    </w:p>
    <w:p w14:paraId="5602CDE5" w14:textId="7674054D" w:rsidR="0024216B" w:rsidRDefault="0024216B"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1 provides that the name of the instrument is the </w:t>
      </w:r>
      <w:r w:rsidR="007878A6" w:rsidRPr="007878A6">
        <w:rPr>
          <w:rFonts w:ascii="Times New Roman" w:eastAsia="Times New Roman" w:hAnsi="Times New Roman" w:cs="Times New Roman"/>
          <w:bCs/>
          <w:i/>
          <w:iCs/>
          <w:sz w:val="24"/>
          <w:szCs w:val="24"/>
          <w:lang w:eastAsia="en-AU"/>
        </w:rPr>
        <w:t>National Health (Listing of Pharmaceutical Benefits) Instrument 2024</w:t>
      </w:r>
      <w:r w:rsidR="00C566A0">
        <w:rPr>
          <w:rFonts w:ascii="Times New Roman" w:eastAsia="Times New Roman" w:hAnsi="Times New Roman" w:cs="Times New Roman"/>
          <w:bCs/>
          <w:i/>
          <w:iCs/>
          <w:sz w:val="24"/>
          <w:szCs w:val="24"/>
          <w:lang w:eastAsia="en-AU"/>
        </w:rPr>
        <w:t xml:space="preserve"> </w:t>
      </w:r>
      <w:r w:rsidR="00C566A0">
        <w:rPr>
          <w:rFonts w:ascii="Times New Roman" w:eastAsia="Times New Roman" w:hAnsi="Times New Roman" w:cs="Times New Roman"/>
          <w:bCs/>
          <w:sz w:val="24"/>
          <w:szCs w:val="24"/>
          <w:lang w:eastAsia="en-AU"/>
        </w:rPr>
        <w:t xml:space="preserve">(2024 Listing Instrument). </w:t>
      </w:r>
      <w:r w:rsidR="006578EA">
        <w:rPr>
          <w:rFonts w:ascii="Times New Roman" w:eastAsia="Times New Roman" w:hAnsi="Times New Roman" w:cs="Times New Roman"/>
          <w:bCs/>
          <w:sz w:val="24"/>
          <w:szCs w:val="24"/>
          <w:lang w:eastAsia="en-AU"/>
        </w:rPr>
        <w:t>Th</w:t>
      </w:r>
      <w:r w:rsidR="00805F36">
        <w:rPr>
          <w:rFonts w:ascii="Times New Roman" w:eastAsia="Times New Roman" w:hAnsi="Times New Roman" w:cs="Times New Roman"/>
          <w:bCs/>
          <w:sz w:val="24"/>
          <w:szCs w:val="24"/>
          <w:lang w:eastAsia="en-AU"/>
        </w:rPr>
        <w:t xml:space="preserve">e instrument </w:t>
      </w:r>
      <w:r w:rsidR="00805F36" w:rsidRPr="00805F36">
        <w:rPr>
          <w:rFonts w:ascii="Times New Roman" w:eastAsia="Times New Roman" w:hAnsi="Times New Roman" w:cs="Times New Roman"/>
          <w:bCs/>
          <w:sz w:val="24"/>
          <w:szCs w:val="24"/>
          <w:lang w:eastAsia="en-AU"/>
        </w:rPr>
        <w:t xml:space="preserve">may also be cited as PB </w:t>
      </w:r>
      <w:r w:rsidR="00A357B6">
        <w:rPr>
          <w:rFonts w:ascii="Times New Roman" w:eastAsia="Times New Roman" w:hAnsi="Times New Roman" w:cs="Times New Roman"/>
          <w:bCs/>
          <w:sz w:val="24"/>
          <w:szCs w:val="24"/>
          <w:lang w:eastAsia="en-AU"/>
        </w:rPr>
        <w:t>26</w:t>
      </w:r>
      <w:r w:rsidR="00805F36" w:rsidRPr="00805F36">
        <w:rPr>
          <w:rFonts w:ascii="Times New Roman" w:eastAsia="Times New Roman" w:hAnsi="Times New Roman" w:cs="Times New Roman"/>
          <w:bCs/>
          <w:sz w:val="24"/>
          <w:szCs w:val="24"/>
          <w:lang w:eastAsia="en-AU"/>
        </w:rPr>
        <w:t xml:space="preserve"> of 20</w:t>
      </w:r>
      <w:r w:rsidR="00805F36">
        <w:rPr>
          <w:rFonts w:ascii="Times New Roman" w:eastAsia="Times New Roman" w:hAnsi="Times New Roman" w:cs="Times New Roman"/>
          <w:bCs/>
          <w:sz w:val="24"/>
          <w:szCs w:val="24"/>
          <w:lang w:eastAsia="en-AU"/>
        </w:rPr>
        <w:t>24.</w:t>
      </w:r>
    </w:p>
    <w:p w14:paraId="4C065845" w14:textId="2A7537F8" w:rsidR="0024216B" w:rsidRDefault="0024216B" w:rsidP="00167955">
      <w:pPr>
        <w:spacing w:after="0" w:line="240" w:lineRule="auto"/>
        <w:rPr>
          <w:rFonts w:ascii="Times New Roman" w:eastAsia="Times New Roman" w:hAnsi="Times New Roman" w:cs="Times New Roman"/>
          <w:bCs/>
          <w:sz w:val="24"/>
          <w:szCs w:val="24"/>
          <w:lang w:eastAsia="en-AU"/>
        </w:rPr>
      </w:pPr>
    </w:p>
    <w:p w14:paraId="6DF0E3F5" w14:textId="5AD3480F" w:rsidR="0024216B" w:rsidRPr="0024216B" w:rsidRDefault="0024216B" w:rsidP="00167955">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 2 – Commencement</w:t>
      </w:r>
    </w:p>
    <w:p w14:paraId="0915CD76" w14:textId="2477D1C1" w:rsidR="0024216B" w:rsidRPr="001A7591" w:rsidRDefault="0024216B" w:rsidP="00167955">
      <w:pPr>
        <w:spacing w:after="0" w:line="240" w:lineRule="auto"/>
        <w:rPr>
          <w:rFonts w:ascii="Times New Roman" w:eastAsia="Times New Roman" w:hAnsi="Times New Roman" w:cs="Times New Roman"/>
          <w:bCs/>
          <w:sz w:val="24"/>
          <w:szCs w:val="24"/>
          <w:lang w:eastAsia="en-AU"/>
        </w:rPr>
      </w:pPr>
    </w:p>
    <w:p w14:paraId="23B6A132" w14:textId="76804CE6" w:rsidR="0024216B" w:rsidRDefault="0024216B"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2 provides that the </w:t>
      </w:r>
      <w:r w:rsidR="00C566A0">
        <w:rPr>
          <w:rFonts w:ascii="Times New Roman" w:eastAsia="Times New Roman" w:hAnsi="Times New Roman" w:cs="Times New Roman"/>
          <w:bCs/>
          <w:sz w:val="24"/>
          <w:szCs w:val="24"/>
          <w:lang w:eastAsia="en-AU"/>
        </w:rPr>
        <w:t>2024 Listing I</w:t>
      </w:r>
      <w:r w:rsidR="006E1EF2">
        <w:rPr>
          <w:rFonts w:ascii="Times New Roman" w:eastAsia="Times New Roman" w:hAnsi="Times New Roman" w:cs="Times New Roman"/>
          <w:bCs/>
          <w:sz w:val="24"/>
          <w:szCs w:val="24"/>
          <w:lang w:eastAsia="en-AU"/>
        </w:rPr>
        <w:t>nstrument</w:t>
      </w:r>
      <w:r w:rsidR="007C0643">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commences on </w:t>
      </w:r>
      <w:r w:rsidR="007878A6">
        <w:rPr>
          <w:rFonts w:ascii="Times New Roman" w:eastAsia="Times New Roman" w:hAnsi="Times New Roman" w:cs="Times New Roman"/>
          <w:bCs/>
          <w:sz w:val="24"/>
          <w:szCs w:val="24"/>
          <w:lang w:eastAsia="en-AU"/>
        </w:rPr>
        <w:t>1 April 2024</w:t>
      </w:r>
      <w:r>
        <w:rPr>
          <w:rFonts w:ascii="Times New Roman" w:eastAsia="Times New Roman" w:hAnsi="Times New Roman" w:cs="Times New Roman"/>
          <w:bCs/>
          <w:sz w:val="24"/>
          <w:szCs w:val="24"/>
          <w:lang w:eastAsia="en-AU"/>
        </w:rPr>
        <w:t>.</w:t>
      </w:r>
    </w:p>
    <w:p w14:paraId="740478A6" w14:textId="6A95646D" w:rsidR="0024216B" w:rsidRDefault="0024216B" w:rsidP="00167955">
      <w:pPr>
        <w:spacing w:after="0" w:line="240" w:lineRule="auto"/>
        <w:rPr>
          <w:rFonts w:ascii="Times New Roman" w:eastAsia="Times New Roman" w:hAnsi="Times New Roman" w:cs="Times New Roman"/>
          <w:bCs/>
          <w:sz w:val="24"/>
          <w:szCs w:val="24"/>
          <w:lang w:eastAsia="en-AU"/>
        </w:rPr>
      </w:pPr>
    </w:p>
    <w:p w14:paraId="003A87A3" w14:textId="33131183" w:rsidR="0024216B" w:rsidRDefault="0024216B"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
          <w:sz w:val="24"/>
          <w:szCs w:val="24"/>
          <w:lang w:eastAsia="en-AU"/>
        </w:rPr>
        <w:t>Section 3 – Authority</w:t>
      </w:r>
    </w:p>
    <w:p w14:paraId="0F0677DB" w14:textId="0630BD7E" w:rsidR="0024216B" w:rsidRDefault="0024216B" w:rsidP="00167955">
      <w:pPr>
        <w:spacing w:after="0" w:line="240" w:lineRule="auto"/>
        <w:rPr>
          <w:rFonts w:ascii="Times New Roman" w:eastAsia="Times New Roman" w:hAnsi="Times New Roman" w:cs="Times New Roman"/>
          <w:bCs/>
          <w:sz w:val="24"/>
          <w:szCs w:val="24"/>
          <w:lang w:eastAsia="en-AU"/>
        </w:rPr>
      </w:pPr>
    </w:p>
    <w:p w14:paraId="16E22F57" w14:textId="7D938F1A" w:rsidR="0024216B" w:rsidRPr="0024216B" w:rsidRDefault="0024216B" w:rsidP="00167955">
      <w:pPr>
        <w:spacing w:after="0" w:line="240" w:lineRule="auto"/>
        <w:rPr>
          <w:rFonts w:ascii="Times New Roman" w:eastAsia="Times New Roman" w:hAnsi="Times New Roman" w:cs="Times New Roman"/>
          <w:bCs/>
          <w:sz w:val="24"/>
          <w:szCs w:val="24"/>
          <w:lang w:eastAsia="en-AU"/>
        </w:rPr>
      </w:pPr>
      <w:r w:rsidRPr="007B5C83">
        <w:rPr>
          <w:rFonts w:ascii="Times New Roman" w:eastAsia="Times New Roman" w:hAnsi="Times New Roman" w:cs="Times New Roman"/>
          <w:bCs/>
          <w:sz w:val="24"/>
          <w:szCs w:val="24"/>
          <w:lang w:eastAsia="en-AU"/>
        </w:rPr>
        <w:t xml:space="preserve">Section 3 provides that the </w:t>
      </w:r>
      <w:r w:rsidR="00C566A0">
        <w:rPr>
          <w:rFonts w:ascii="Times New Roman" w:eastAsia="Times New Roman" w:hAnsi="Times New Roman" w:cs="Times New Roman"/>
          <w:bCs/>
          <w:sz w:val="24"/>
          <w:szCs w:val="24"/>
          <w:lang w:eastAsia="en-AU"/>
        </w:rPr>
        <w:t>2024 Listing I</w:t>
      </w:r>
      <w:r w:rsidR="006E1EF2">
        <w:rPr>
          <w:rFonts w:ascii="Times New Roman" w:eastAsia="Times New Roman" w:hAnsi="Times New Roman" w:cs="Times New Roman"/>
          <w:bCs/>
          <w:sz w:val="24"/>
          <w:szCs w:val="24"/>
          <w:lang w:eastAsia="en-AU"/>
        </w:rPr>
        <w:t>nstrument</w:t>
      </w:r>
      <w:r w:rsidR="007C0643" w:rsidRPr="007B5C83">
        <w:rPr>
          <w:rFonts w:ascii="Times New Roman" w:eastAsia="Times New Roman" w:hAnsi="Times New Roman" w:cs="Times New Roman"/>
          <w:bCs/>
          <w:sz w:val="24"/>
          <w:szCs w:val="24"/>
          <w:lang w:eastAsia="en-AU"/>
        </w:rPr>
        <w:t xml:space="preserve"> </w:t>
      </w:r>
      <w:r w:rsidRPr="007B5C83">
        <w:rPr>
          <w:rFonts w:ascii="Times New Roman" w:eastAsia="Times New Roman" w:hAnsi="Times New Roman" w:cs="Times New Roman"/>
          <w:bCs/>
          <w:sz w:val="24"/>
          <w:szCs w:val="24"/>
          <w:lang w:eastAsia="en-AU"/>
        </w:rPr>
        <w:t>is made under section</w:t>
      </w:r>
      <w:r w:rsidR="00425749" w:rsidRPr="007B5C83">
        <w:rPr>
          <w:rFonts w:ascii="Times New Roman" w:eastAsia="Times New Roman" w:hAnsi="Times New Roman" w:cs="Times New Roman"/>
          <w:bCs/>
          <w:sz w:val="24"/>
          <w:szCs w:val="24"/>
          <w:lang w:eastAsia="en-AU"/>
        </w:rPr>
        <w:t>s</w:t>
      </w:r>
      <w:r w:rsidR="00425749" w:rsidRPr="007B5C83">
        <w:t xml:space="preserve"> </w:t>
      </w:r>
      <w:r w:rsidR="00425749" w:rsidRPr="007B5C83">
        <w:rPr>
          <w:rFonts w:ascii="Times New Roman" w:eastAsia="Times New Roman" w:hAnsi="Times New Roman" w:cs="Times New Roman"/>
          <w:bCs/>
          <w:sz w:val="24"/>
          <w:szCs w:val="24"/>
          <w:lang w:eastAsia="en-AU"/>
        </w:rPr>
        <w:t>84AF, 84AK, 85, 85A</w:t>
      </w:r>
      <w:r w:rsidR="00F4011D" w:rsidRPr="007B5C83">
        <w:rPr>
          <w:rFonts w:ascii="Times New Roman" w:eastAsia="Times New Roman" w:hAnsi="Times New Roman" w:cs="Times New Roman"/>
          <w:bCs/>
          <w:sz w:val="24"/>
          <w:szCs w:val="24"/>
          <w:lang w:eastAsia="en-AU"/>
        </w:rPr>
        <w:t xml:space="preserve"> and</w:t>
      </w:r>
      <w:r w:rsidR="00425749" w:rsidRPr="007B5C83">
        <w:rPr>
          <w:rFonts w:ascii="Times New Roman" w:eastAsia="Times New Roman" w:hAnsi="Times New Roman" w:cs="Times New Roman"/>
          <w:bCs/>
          <w:sz w:val="24"/>
          <w:szCs w:val="24"/>
          <w:lang w:eastAsia="en-AU"/>
        </w:rPr>
        <w:t xml:space="preserve"> 88 of the </w:t>
      </w:r>
      <w:r w:rsidR="00425749" w:rsidRPr="007B5C83">
        <w:rPr>
          <w:rFonts w:ascii="Times New Roman" w:eastAsia="Times New Roman" w:hAnsi="Times New Roman" w:cs="Times New Roman"/>
          <w:bCs/>
          <w:i/>
          <w:iCs/>
          <w:sz w:val="24"/>
          <w:szCs w:val="24"/>
          <w:lang w:eastAsia="en-AU"/>
        </w:rPr>
        <w:t>National Health Act 1953</w:t>
      </w:r>
      <w:r w:rsidRPr="007B5C83">
        <w:rPr>
          <w:rFonts w:ascii="Times New Roman" w:eastAsia="Times New Roman" w:hAnsi="Times New Roman" w:cs="Times New Roman"/>
          <w:bCs/>
          <w:sz w:val="24"/>
          <w:szCs w:val="24"/>
          <w:lang w:eastAsia="en-AU"/>
        </w:rPr>
        <w:t>.</w:t>
      </w:r>
    </w:p>
    <w:p w14:paraId="7EA02E4B" w14:textId="77777777" w:rsidR="006A7030" w:rsidRDefault="006A7030" w:rsidP="00167955">
      <w:pPr>
        <w:spacing w:after="0" w:line="240" w:lineRule="auto"/>
        <w:rPr>
          <w:rFonts w:ascii="Times New Roman" w:eastAsia="Times New Roman" w:hAnsi="Times New Roman" w:cs="Times New Roman"/>
          <w:bCs/>
          <w:sz w:val="24"/>
          <w:szCs w:val="24"/>
          <w:lang w:eastAsia="en-AU"/>
        </w:rPr>
      </w:pPr>
    </w:p>
    <w:p w14:paraId="41478A00" w14:textId="20E5C159" w:rsidR="006A7030" w:rsidRDefault="006A7030" w:rsidP="00167955">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w:t>
      </w:r>
      <w:r w:rsidR="00BD52CF">
        <w:rPr>
          <w:rFonts w:ascii="Times New Roman" w:eastAsia="Times New Roman" w:hAnsi="Times New Roman" w:cs="Times New Roman"/>
          <w:b/>
          <w:sz w:val="24"/>
          <w:szCs w:val="24"/>
          <w:lang w:eastAsia="en-AU"/>
        </w:rPr>
        <w:t>4</w:t>
      </w:r>
      <w:r>
        <w:rPr>
          <w:rFonts w:ascii="Times New Roman" w:eastAsia="Times New Roman" w:hAnsi="Times New Roman" w:cs="Times New Roman"/>
          <w:b/>
          <w:sz w:val="24"/>
          <w:szCs w:val="24"/>
          <w:lang w:eastAsia="en-AU"/>
        </w:rPr>
        <w:t xml:space="preserve"> – </w:t>
      </w:r>
      <w:r w:rsidR="005E13CE" w:rsidRPr="005E13CE">
        <w:rPr>
          <w:rFonts w:ascii="Times New Roman" w:eastAsia="Times New Roman" w:hAnsi="Times New Roman" w:cs="Times New Roman"/>
          <w:b/>
          <w:sz w:val="24"/>
          <w:szCs w:val="24"/>
          <w:lang w:eastAsia="en-AU"/>
        </w:rPr>
        <w:t>Simplified outline</w:t>
      </w:r>
    </w:p>
    <w:p w14:paraId="32449B7E" w14:textId="77777777" w:rsidR="005E13CE" w:rsidRPr="001A7591" w:rsidRDefault="005E13CE" w:rsidP="00167955">
      <w:pPr>
        <w:spacing w:after="0" w:line="240" w:lineRule="auto"/>
        <w:rPr>
          <w:rFonts w:ascii="Times New Roman" w:eastAsia="Times New Roman" w:hAnsi="Times New Roman" w:cs="Times New Roman"/>
          <w:bCs/>
          <w:sz w:val="24"/>
          <w:szCs w:val="24"/>
          <w:lang w:eastAsia="en-AU"/>
        </w:rPr>
      </w:pPr>
    </w:p>
    <w:p w14:paraId="6E3000EA" w14:textId="29373233" w:rsidR="005E13CE" w:rsidRDefault="005E13CE"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w:t>
      </w:r>
      <w:r w:rsidR="00BD52CF">
        <w:rPr>
          <w:rFonts w:ascii="Times New Roman" w:eastAsia="Times New Roman" w:hAnsi="Times New Roman" w:cs="Times New Roman"/>
          <w:bCs/>
          <w:sz w:val="24"/>
          <w:szCs w:val="24"/>
          <w:lang w:eastAsia="en-AU"/>
        </w:rPr>
        <w:t>4</w:t>
      </w:r>
      <w:r>
        <w:rPr>
          <w:rFonts w:ascii="Times New Roman" w:eastAsia="Times New Roman" w:hAnsi="Times New Roman" w:cs="Times New Roman"/>
          <w:bCs/>
          <w:sz w:val="24"/>
          <w:szCs w:val="24"/>
          <w:lang w:eastAsia="en-AU"/>
        </w:rPr>
        <w:t xml:space="preserve"> contains a simplified </w:t>
      </w:r>
      <w:r w:rsidR="004B4C26">
        <w:rPr>
          <w:rFonts w:ascii="Times New Roman" w:eastAsia="Times New Roman" w:hAnsi="Times New Roman" w:cs="Times New Roman"/>
          <w:bCs/>
          <w:sz w:val="24"/>
          <w:szCs w:val="24"/>
          <w:lang w:eastAsia="en-AU"/>
        </w:rPr>
        <w:t xml:space="preserve">outline of </w:t>
      </w:r>
      <w:r w:rsidR="004B7D4E">
        <w:rPr>
          <w:rFonts w:ascii="Times New Roman" w:eastAsia="Times New Roman" w:hAnsi="Times New Roman" w:cs="Times New Roman"/>
          <w:bCs/>
          <w:sz w:val="24"/>
          <w:szCs w:val="24"/>
          <w:lang w:eastAsia="en-AU"/>
        </w:rPr>
        <w:t>the</w:t>
      </w:r>
      <w:r w:rsidR="004B4C26">
        <w:rPr>
          <w:rFonts w:ascii="Times New Roman" w:eastAsia="Times New Roman" w:hAnsi="Times New Roman" w:cs="Times New Roman"/>
          <w:bCs/>
          <w:sz w:val="24"/>
          <w:szCs w:val="24"/>
          <w:lang w:eastAsia="en-AU"/>
        </w:rPr>
        <w:t xml:space="preserve"> </w:t>
      </w:r>
      <w:r w:rsidR="00A57D23">
        <w:rPr>
          <w:rFonts w:ascii="Times New Roman" w:eastAsia="Times New Roman" w:hAnsi="Times New Roman" w:cs="Times New Roman"/>
          <w:bCs/>
          <w:sz w:val="24"/>
          <w:szCs w:val="24"/>
          <w:lang w:eastAsia="en-AU"/>
        </w:rPr>
        <w:t xml:space="preserve">2024 Listing </w:t>
      </w:r>
      <w:r w:rsidR="00461237">
        <w:rPr>
          <w:rFonts w:ascii="Times New Roman" w:eastAsia="Times New Roman" w:hAnsi="Times New Roman" w:cs="Times New Roman"/>
          <w:bCs/>
          <w:sz w:val="24"/>
          <w:szCs w:val="24"/>
          <w:lang w:eastAsia="en-AU"/>
        </w:rPr>
        <w:t>I</w:t>
      </w:r>
      <w:r w:rsidR="006E1EF2">
        <w:rPr>
          <w:rFonts w:ascii="Times New Roman" w:eastAsia="Times New Roman" w:hAnsi="Times New Roman" w:cs="Times New Roman"/>
          <w:bCs/>
          <w:sz w:val="24"/>
          <w:szCs w:val="24"/>
          <w:lang w:eastAsia="en-AU"/>
        </w:rPr>
        <w:t>nstrument</w:t>
      </w:r>
      <w:r w:rsidR="00B34807">
        <w:rPr>
          <w:rFonts w:ascii="Times New Roman" w:eastAsia="Times New Roman" w:hAnsi="Times New Roman" w:cs="Times New Roman"/>
          <w:bCs/>
          <w:sz w:val="24"/>
          <w:szCs w:val="24"/>
          <w:lang w:eastAsia="en-AU"/>
        </w:rPr>
        <w:t xml:space="preserve"> to assist readers</w:t>
      </w:r>
      <w:r w:rsidR="004B4C26">
        <w:rPr>
          <w:rFonts w:ascii="Times New Roman" w:eastAsia="Times New Roman" w:hAnsi="Times New Roman" w:cs="Times New Roman"/>
          <w:bCs/>
          <w:sz w:val="24"/>
          <w:szCs w:val="24"/>
          <w:lang w:eastAsia="en-AU"/>
        </w:rPr>
        <w:t>.</w:t>
      </w:r>
    </w:p>
    <w:p w14:paraId="5454C622" w14:textId="77777777" w:rsidR="004B4C26" w:rsidRDefault="004B4C26" w:rsidP="00167955">
      <w:pPr>
        <w:spacing w:after="0" w:line="240" w:lineRule="auto"/>
        <w:rPr>
          <w:rFonts w:ascii="Times New Roman" w:eastAsia="Times New Roman" w:hAnsi="Times New Roman" w:cs="Times New Roman"/>
          <w:bCs/>
          <w:sz w:val="24"/>
          <w:szCs w:val="24"/>
          <w:lang w:eastAsia="en-AU"/>
        </w:rPr>
      </w:pPr>
    </w:p>
    <w:p w14:paraId="235371AE" w14:textId="1948CA8D" w:rsidR="004B4C26" w:rsidRDefault="004B4C26"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
          <w:sz w:val="24"/>
          <w:szCs w:val="24"/>
          <w:lang w:eastAsia="en-AU"/>
        </w:rPr>
        <w:t xml:space="preserve">Section </w:t>
      </w:r>
      <w:r w:rsidR="00BD52CF">
        <w:rPr>
          <w:rFonts w:ascii="Times New Roman" w:eastAsia="Times New Roman" w:hAnsi="Times New Roman" w:cs="Times New Roman"/>
          <w:b/>
          <w:sz w:val="24"/>
          <w:szCs w:val="24"/>
          <w:lang w:eastAsia="en-AU"/>
        </w:rPr>
        <w:t>5</w:t>
      </w:r>
      <w:r>
        <w:rPr>
          <w:rFonts w:ascii="Times New Roman" w:eastAsia="Times New Roman" w:hAnsi="Times New Roman" w:cs="Times New Roman"/>
          <w:b/>
          <w:sz w:val="24"/>
          <w:szCs w:val="24"/>
          <w:lang w:eastAsia="en-AU"/>
        </w:rPr>
        <w:t xml:space="preserve"> – </w:t>
      </w:r>
      <w:r w:rsidR="007674F2">
        <w:rPr>
          <w:rFonts w:ascii="Times New Roman" w:eastAsia="Times New Roman" w:hAnsi="Times New Roman" w:cs="Times New Roman"/>
          <w:b/>
          <w:sz w:val="24"/>
          <w:szCs w:val="24"/>
          <w:lang w:eastAsia="en-AU"/>
        </w:rPr>
        <w:t>Definitions</w:t>
      </w:r>
    </w:p>
    <w:p w14:paraId="02653E03" w14:textId="77777777" w:rsidR="003B58B1" w:rsidRPr="003B58B1" w:rsidRDefault="003B58B1" w:rsidP="00167955">
      <w:pPr>
        <w:spacing w:after="0" w:line="240" w:lineRule="auto"/>
        <w:rPr>
          <w:rFonts w:ascii="Times New Roman" w:eastAsia="Times New Roman" w:hAnsi="Times New Roman" w:cs="Times New Roman"/>
          <w:bCs/>
          <w:sz w:val="24"/>
          <w:szCs w:val="24"/>
          <w:lang w:eastAsia="en-AU"/>
        </w:rPr>
      </w:pPr>
    </w:p>
    <w:p w14:paraId="027C65AD" w14:textId="458D9137" w:rsidR="003B58B1" w:rsidRDefault="003B58B1" w:rsidP="00167955">
      <w:pPr>
        <w:spacing w:after="0" w:line="240" w:lineRule="auto"/>
        <w:rPr>
          <w:rFonts w:ascii="Times New Roman" w:eastAsia="Times New Roman" w:hAnsi="Times New Roman" w:cs="Times New Roman"/>
          <w:bCs/>
          <w:sz w:val="24"/>
          <w:szCs w:val="24"/>
          <w:lang w:eastAsia="en-AU"/>
        </w:rPr>
      </w:pPr>
      <w:r w:rsidRPr="003B58B1">
        <w:rPr>
          <w:rFonts w:ascii="Times New Roman" w:eastAsia="Times New Roman" w:hAnsi="Times New Roman" w:cs="Times New Roman"/>
          <w:bCs/>
          <w:sz w:val="24"/>
          <w:szCs w:val="24"/>
          <w:lang w:eastAsia="en-AU"/>
        </w:rPr>
        <w:t xml:space="preserve">Section </w:t>
      </w:r>
      <w:r w:rsidR="00A52023">
        <w:rPr>
          <w:rFonts w:ascii="Times New Roman" w:eastAsia="Times New Roman" w:hAnsi="Times New Roman" w:cs="Times New Roman"/>
          <w:bCs/>
          <w:sz w:val="24"/>
          <w:szCs w:val="24"/>
          <w:lang w:eastAsia="en-AU"/>
        </w:rPr>
        <w:t>5</w:t>
      </w:r>
      <w:r w:rsidRPr="003B58B1">
        <w:rPr>
          <w:rFonts w:ascii="Times New Roman" w:eastAsia="Times New Roman" w:hAnsi="Times New Roman" w:cs="Times New Roman"/>
          <w:bCs/>
          <w:sz w:val="24"/>
          <w:szCs w:val="24"/>
          <w:lang w:eastAsia="en-AU"/>
        </w:rPr>
        <w:t xml:space="preserve"> </w:t>
      </w:r>
      <w:r w:rsidR="00A57CF8">
        <w:rPr>
          <w:rFonts w:ascii="Times New Roman" w:eastAsia="Times New Roman" w:hAnsi="Times New Roman" w:cs="Times New Roman"/>
          <w:bCs/>
          <w:sz w:val="24"/>
          <w:szCs w:val="24"/>
          <w:lang w:eastAsia="en-AU"/>
        </w:rPr>
        <w:t>sets out the definitions for th</w:t>
      </w:r>
      <w:r w:rsidR="004B7D4E">
        <w:rPr>
          <w:rFonts w:ascii="Times New Roman" w:eastAsia="Times New Roman" w:hAnsi="Times New Roman" w:cs="Times New Roman"/>
          <w:bCs/>
          <w:sz w:val="24"/>
          <w:szCs w:val="24"/>
          <w:lang w:eastAsia="en-AU"/>
        </w:rPr>
        <w:t>e</w:t>
      </w:r>
      <w:r w:rsidR="00461237">
        <w:rPr>
          <w:rFonts w:ascii="Times New Roman" w:eastAsia="Times New Roman" w:hAnsi="Times New Roman" w:cs="Times New Roman"/>
          <w:bCs/>
          <w:sz w:val="24"/>
          <w:szCs w:val="24"/>
          <w:lang w:eastAsia="en-AU"/>
        </w:rPr>
        <w:t xml:space="preserve"> 2024 Listing</w:t>
      </w:r>
      <w:r w:rsidR="004B7D4E">
        <w:rPr>
          <w:rFonts w:ascii="Times New Roman" w:eastAsia="Times New Roman" w:hAnsi="Times New Roman" w:cs="Times New Roman"/>
          <w:bCs/>
          <w:sz w:val="24"/>
          <w:szCs w:val="24"/>
          <w:lang w:eastAsia="en-AU"/>
        </w:rPr>
        <w:t xml:space="preserve"> </w:t>
      </w:r>
      <w:r w:rsidR="00461237">
        <w:rPr>
          <w:rFonts w:ascii="Times New Roman" w:eastAsia="Times New Roman" w:hAnsi="Times New Roman" w:cs="Times New Roman"/>
          <w:bCs/>
          <w:sz w:val="24"/>
          <w:szCs w:val="24"/>
          <w:lang w:eastAsia="en-AU"/>
        </w:rPr>
        <w:t>I</w:t>
      </w:r>
      <w:r w:rsidR="00DB04A9">
        <w:rPr>
          <w:rFonts w:ascii="Times New Roman" w:eastAsia="Times New Roman" w:hAnsi="Times New Roman" w:cs="Times New Roman"/>
          <w:bCs/>
          <w:sz w:val="24"/>
          <w:szCs w:val="24"/>
          <w:lang w:eastAsia="en-AU"/>
        </w:rPr>
        <w:t>nstrument</w:t>
      </w:r>
      <w:r w:rsidRPr="003B58B1">
        <w:rPr>
          <w:rFonts w:ascii="Times New Roman" w:eastAsia="Times New Roman" w:hAnsi="Times New Roman" w:cs="Times New Roman"/>
          <w:bCs/>
          <w:sz w:val="24"/>
          <w:szCs w:val="24"/>
          <w:lang w:eastAsia="en-AU"/>
        </w:rPr>
        <w:t>.</w:t>
      </w:r>
    </w:p>
    <w:p w14:paraId="379AD7D1" w14:textId="77777777" w:rsidR="001A7591" w:rsidRPr="003B58B1" w:rsidRDefault="001A7591" w:rsidP="00167955">
      <w:pPr>
        <w:spacing w:after="0" w:line="240" w:lineRule="auto"/>
        <w:rPr>
          <w:rFonts w:ascii="Times New Roman" w:eastAsia="Times New Roman" w:hAnsi="Times New Roman" w:cs="Times New Roman"/>
          <w:bCs/>
          <w:sz w:val="24"/>
          <w:szCs w:val="24"/>
          <w:lang w:eastAsia="en-AU"/>
        </w:rPr>
      </w:pPr>
    </w:p>
    <w:p w14:paraId="3D8936E9" w14:textId="0073FB8B" w:rsidR="002A6087" w:rsidRDefault="002A6087" w:rsidP="00167955">
      <w:pPr>
        <w:pStyle w:val="Definition0"/>
        <w:spacing w:before="0"/>
        <w:ind w:left="0"/>
        <w:rPr>
          <w:bCs/>
          <w:i/>
          <w:iCs/>
          <w:sz w:val="24"/>
          <w:szCs w:val="24"/>
        </w:rPr>
      </w:pPr>
      <w:r w:rsidRPr="00A22E0C">
        <w:rPr>
          <w:bCs/>
          <w:i/>
          <w:iCs/>
          <w:sz w:val="24"/>
          <w:szCs w:val="24"/>
        </w:rPr>
        <w:t xml:space="preserve">Terms with the same meaning as in </w:t>
      </w:r>
      <w:r w:rsidR="00E47D99">
        <w:rPr>
          <w:bCs/>
          <w:i/>
          <w:iCs/>
          <w:sz w:val="24"/>
          <w:szCs w:val="24"/>
        </w:rPr>
        <w:t xml:space="preserve">the Act, </w:t>
      </w:r>
      <w:r w:rsidRPr="00A22E0C">
        <w:rPr>
          <w:bCs/>
          <w:i/>
          <w:iCs/>
          <w:sz w:val="24"/>
          <w:szCs w:val="24"/>
        </w:rPr>
        <w:t>Part VII of the Act</w:t>
      </w:r>
      <w:r w:rsidR="001C7087">
        <w:rPr>
          <w:bCs/>
          <w:i/>
          <w:iCs/>
          <w:sz w:val="24"/>
          <w:szCs w:val="24"/>
        </w:rPr>
        <w:t xml:space="preserve"> </w:t>
      </w:r>
      <w:r w:rsidR="00E47D99">
        <w:rPr>
          <w:bCs/>
          <w:i/>
          <w:iCs/>
          <w:sz w:val="24"/>
          <w:szCs w:val="24"/>
        </w:rPr>
        <w:t>or</w:t>
      </w:r>
      <w:r w:rsidR="001C7087">
        <w:rPr>
          <w:bCs/>
          <w:i/>
          <w:iCs/>
          <w:sz w:val="24"/>
          <w:szCs w:val="24"/>
        </w:rPr>
        <w:t xml:space="preserve"> the Health Insurance Act</w:t>
      </w:r>
    </w:p>
    <w:p w14:paraId="6FD2D72F" w14:textId="4CBE8C1A" w:rsidR="006450B2" w:rsidRDefault="006450B2"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following terms used in the 2024 Listing Instrument have the same meaning as in Part VII of the Act:</w:t>
      </w:r>
    </w:p>
    <w:p w14:paraId="00B71BC4" w14:textId="6308B7C8" w:rsidR="006450B2" w:rsidRDefault="000B2398" w:rsidP="001A7591">
      <w:pPr>
        <w:pStyle w:val="ListParagraph"/>
        <w:numPr>
          <w:ilvl w:val="1"/>
          <w:numId w:val="23"/>
        </w:numPr>
        <w:spacing w:before="120" w:after="0" w:line="240" w:lineRule="auto"/>
        <w:ind w:left="714" w:hanging="357"/>
        <w:contextualSpacing w:val="0"/>
        <w:rPr>
          <w:lang w:eastAsia="en-AU"/>
        </w:rPr>
      </w:pPr>
      <w:r w:rsidRPr="00075090">
        <w:rPr>
          <w:rFonts w:ascii="Times New Roman" w:eastAsia="Times New Roman" w:hAnsi="Times New Roman" w:cs="Times New Roman"/>
          <w:bCs/>
          <w:sz w:val="24"/>
          <w:szCs w:val="24"/>
          <w:lang w:eastAsia="en-AU"/>
        </w:rPr>
        <w:t>authorised midwife</w:t>
      </w:r>
      <w:r w:rsidR="006450B2" w:rsidRPr="00075090">
        <w:rPr>
          <w:rFonts w:ascii="Times New Roman" w:eastAsia="Times New Roman" w:hAnsi="Times New Roman" w:cs="Times New Roman"/>
          <w:bCs/>
          <w:sz w:val="24"/>
          <w:szCs w:val="24"/>
          <w:lang w:eastAsia="en-AU"/>
        </w:rPr>
        <w:t>;</w:t>
      </w:r>
    </w:p>
    <w:p w14:paraId="140FE4CC" w14:textId="5A7F22D3" w:rsidR="00547F38" w:rsidRPr="00A22E0C" w:rsidRDefault="007E6E60" w:rsidP="001A7591">
      <w:pPr>
        <w:pStyle w:val="ListParagraph"/>
        <w:numPr>
          <w:ilvl w:val="0"/>
          <w:numId w:val="2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authorised nurse practitioner</w:t>
      </w:r>
      <w:r w:rsidR="006450B2" w:rsidRPr="00A22E0C">
        <w:rPr>
          <w:rFonts w:ascii="Times New Roman" w:eastAsia="Times New Roman" w:hAnsi="Times New Roman" w:cs="Times New Roman"/>
          <w:bCs/>
          <w:sz w:val="24"/>
          <w:szCs w:val="24"/>
          <w:lang w:eastAsia="en-AU"/>
        </w:rPr>
        <w:t>;</w:t>
      </w:r>
    </w:p>
    <w:p w14:paraId="0AE44D43" w14:textId="5F3358B7" w:rsidR="00547F38" w:rsidRPr="00A22E0C" w:rsidRDefault="00547F38" w:rsidP="001A7591">
      <w:pPr>
        <w:pStyle w:val="ListParagraph"/>
        <w:numPr>
          <w:ilvl w:val="0"/>
          <w:numId w:val="2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a</w:t>
      </w:r>
      <w:r w:rsidR="007E6E60" w:rsidRPr="00A22E0C">
        <w:rPr>
          <w:rFonts w:ascii="Times New Roman" w:eastAsia="Times New Roman" w:hAnsi="Times New Roman" w:cs="Times New Roman"/>
          <w:bCs/>
          <w:sz w:val="24"/>
          <w:szCs w:val="24"/>
          <w:lang w:eastAsia="en-AU"/>
        </w:rPr>
        <w:t>uthorised optometrist</w:t>
      </w:r>
      <w:r w:rsidRPr="00A22E0C">
        <w:rPr>
          <w:rFonts w:ascii="Times New Roman" w:eastAsia="Times New Roman" w:hAnsi="Times New Roman" w:cs="Times New Roman"/>
          <w:bCs/>
          <w:sz w:val="24"/>
          <w:szCs w:val="24"/>
          <w:lang w:eastAsia="en-AU"/>
        </w:rPr>
        <w:t>;</w:t>
      </w:r>
    </w:p>
    <w:p w14:paraId="7ABC2BB3" w14:textId="3ED2A3A6" w:rsidR="00547F38" w:rsidRPr="00A22E0C" w:rsidRDefault="00547F38" w:rsidP="001A7591">
      <w:pPr>
        <w:pStyle w:val="ListParagraph"/>
        <w:numPr>
          <w:ilvl w:val="0"/>
          <w:numId w:val="2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brand, of a pharmaceutical item;</w:t>
      </w:r>
    </w:p>
    <w:p w14:paraId="40C40BA8" w14:textId="2EC81F33" w:rsidR="00547F38" w:rsidRPr="00A22E0C" w:rsidRDefault="00547F38" w:rsidP="001A7591">
      <w:pPr>
        <w:pStyle w:val="ListParagraph"/>
        <w:numPr>
          <w:ilvl w:val="0"/>
          <w:numId w:val="2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listed drug;</w:t>
      </w:r>
    </w:p>
    <w:p w14:paraId="7DEFD153" w14:textId="607F5476" w:rsidR="00F53162" w:rsidRDefault="00547F38" w:rsidP="001A7591">
      <w:pPr>
        <w:pStyle w:val="ListParagraph"/>
        <w:numPr>
          <w:ilvl w:val="0"/>
          <w:numId w:val="2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participating dental practitioner;</w:t>
      </w:r>
    </w:p>
    <w:p w14:paraId="43A55348" w14:textId="3821A626" w:rsidR="00547F38" w:rsidRPr="00A22E0C" w:rsidRDefault="00547F38" w:rsidP="001A7591">
      <w:pPr>
        <w:pStyle w:val="ListParagraph"/>
        <w:numPr>
          <w:ilvl w:val="0"/>
          <w:numId w:val="2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pharmaceutical benefit;</w:t>
      </w:r>
    </w:p>
    <w:p w14:paraId="352EDEF0" w14:textId="0D4BAA03" w:rsidR="00547F38" w:rsidRPr="00A22E0C" w:rsidRDefault="00EC59AF" w:rsidP="001A7591">
      <w:pPr>
        <w:pStyle w:val="ListParagraph"/>
        <w:numPr>
          <w:ilvl w:val="0"/>
          <w:numId w:val="2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p</w:t>
      </w:r>
      <w:r w:rsidR="00547F38" w:rsidRPr="00A22E0C">
        <w:rPr>
          <w:rFonts w:ascii="Times New Roman" w:eastAsia="Times New Roman" w:hAnsi="Times New Roman" w:cs="Times New Roman"/>
          <w:bCs/>
          <w:sz w:val="24"/>
          <w:szCs w:val="24"/>
          <w:lang w:eastAsia="en-AU"/>
        </w:rPr>
        <w:t>harmaceutical item</w:t>
      </w:r>
      <w:r w:rsidR="00F53162">
        <w:rPr>
          <w:rFonts w:ascii="Times New Roman" w:eastAsia="Times New Roman" w:hAnsi="Times New Roman" w:cs="Times New Roman"/>
          <w:bCs/>
          <w:sz w:val="24"/>
          <w:szCs w:val="24"/>
          <w:lang w:eastAsia="en-AU"/>
        </w:rPr>
        <w:t>.</w:t>
      </w:r>
    </w:p>
    <w:p w14:paraId="63697B75" w14:textId="77777777" w:rsidR="00547F38" w:rsidRDefault="00547F38" w:rsidP="00167955">
      <w:pPr>
        <w:spacing w:after="0" w:line="240" w:lineRule="auto"/>
        <w:rPr>
          <w:rFonts w:ascii="Times New Roman" w:eastAsia="Times New Roman" w:hAnsi="Times New Roman" w:cs="Times New Roman"/>
          <w:bCs/>
          <w:sz w:val="24"/>
          <w:szCs w:val="24"/>
          <w:lang w:eastAsia="en-AU"/>
        </w:rPr>
      </w:pPr>
    </w:p>
    <w:p w14:paraId="1B40BF89" w14:textId="0FD826C9" w:rsidR="00896693" w:rsidRDefault="00E47D99" w:rsidP="00167955">
      <w:pPr>
        <w:spacing w:after="0" w:line="240" w:lineRule="auto"/>
        <w:rPr>
          <w:rFonts w:ascii="Times New Roman" w:eastAsia="Times New Roman" w:hAnsi="Times New Roman" w:cs="Times New Roman"/>
          <w:bCs/>
          <w:sz w:val="24"/>
          <w:szCs w:val="24"/>
          <w:lang w:eastAsia="en-AU"/>
        </w:rPr>
      </w:pPr>
      <w:r w:rsidRPr="003B58B1">
        <w:rPr>
          <w:rFonts w:ascii="Times New Roman" w:eastAsia="Times New Roman" w:hAnsi="Times New Roman" w:cs="Times New Roman"/>
          <w:bCs/>
          <w:sz w:val="24"/>
          <w:szCs w:val="24"/>
          <w:lang w:eastAsia="en-AU"/>
        </w:rPr>
        <w:t xml:space="preserve">A note </w:t>
      </w:r>
      <w:r w:rsidR="00896693">
        <w:rPr>
          <w:rFonts w:ascii="Times New Roman" w:eastAsia="Times New Roman" w:hAnsi="Times New Roman" w:cs="Times New Roman"/>
          <w:bCs/>
          <w:sz w:val="24"/>
          <w:szCs w:val="24"/>
          <w:lang w:eastAsia="en-AU"/>
        </w:rPr>
        <w:t>to</w:t>
      </w:r>
      <w:r>
        <w:rPr>
          <w:rFonts w:ascii="Times New Roman" w:eastAsia="Times New Roman" w:hAnsi="Times New Roman" w:cs="Times New Roman"/>
          <w:bCs/>
          <w:sz w:val="24"/>
          <w:szCs w:val="24"/>
          <w:lang w:eastAsia="en-AU"/>
        </w:rPr>
        <w:t xml:space="preserve"> section 5</w:t>
      </w:r>
      <w:r w:rsidRPr="003B58B1">
        <w:rPr>
          <w:rFonts w:ascii="Times New Roman" w:eastAsia="Times New Roman" w:hAnsi="Times New Roman" w:cs="Times New Roman"/>
          <w:bCs/>
          <w:sz w:val="24"/>
          <w:szCs w:val="24"/>
          <w:lang w:eastAsia="en-AU"/>
        </w:rPr>
        <w:t xml:space="preserve"> provides that a number of expressions used in the </w:t>
      </w:r>
      <w:r>
        <w:rPr>
          <w:rFonts w:ascii="Times New Roman" w:eastAsia="Times New Roman" w:hAnsi="Times New Roman" w:cs="Times New Roman"/>
          <w:bCs/>
          <w:sz w:val="24"/>
          <w:szCs w:val="24"/>
          <w:lang w:eastAsia="en-AU"/>
        </w:rPr>
        <w:t>instrument</w:t>
      </w:r>
      <w:r w:rsidRPr="003B58B1">
        <w:rPr>
          <w:rFonts w:ascii="Times New Roman" w:eastAsia="Times New Roman" w:hAnsi="Times New Roman" w:cs="Times New Roman"/>
          <w:bCs/>
          <w:sz w:val="24"/>
          <w:szCs w:val="24"/>
          <w:lang w:eastAsia="en-AU"/>
        </w:rPr>
        <w:t xml:space="preserve">, including </w:t>
      </w:r>
      <w:r>
        <w:rPr>
          <w:rFonts w:ascii="Times New Roman" w:eastAsia="Times New Roman" w:hAnsi="Times New Roman" w:cs="Times New Roman"/>
          <w:bCs/>
          <w:sz w:val="24"/>
          <w:szCs w:val="24"/>
          <w:lang w:eastAsia="en-AU"/>
        </w:rPr>
        <w:t>“</w:t>
      </w:r>
      <w:r w:rsidRPr="003B58B1">
        <w:rPr>
          <w:rFonts w:ascii="Times New Roman" w:eastAsia="Times New Roman" w:hAnsi="Times New Roman" w:cs="Times New Roman"/>
          <w:bCs/>
          <w:sz w:val="24"/>
          <w:szCs w:val="24"/>
          <w:lang w:eastAsia="en-AU"/>
        </w:rPr>
        <w:t>Chief Executive Medicare</w:t>
      </w:r>
      <w:r>
        <w:rPr>
          <w:rFonts w:ascii="Times New Roman" w:eastAsia="Times New Roman" w:hAnsi="Times New Roman" w:cs="Times New Roman"/>
          <w:bCs/>
          <w:sz w:val="24"/>
          <w:szCs w:val="24"/>
          <w:lang w:eastAsia="en-AU"/>
        </w:rPr>
        <w:t>” and</w:t>
      </w:r>
      <w:r w:rsidRPr="003B58B1">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w:t>
      </w:r>
      <w:r w:rsidRPr="003B58B1">
        <w:rPr>
          <w:rFonts w:ascii="Times New Roman" w:eastAsia="Times New Roman" w:hAnsi="Times New Roman" w:cs="Times New Roman"/>
          <w:bCs/>
          <w:sz w:val="24"/>
          <w:szCs w:val="24"/>
          <w:lang w:eastAsia="en-AU"/>
        </w:rPr>
        <w:t>hospital</w:t>
      </w:r>
      <w:r>
        <w:rPr>
          <w:rFonts w:ascii="Times New Roman" w:eastAsia="Times New Roman" w:hAnsi="Times New Roman" w:cs="Times New Roman"/>
          <w:bCs/>
          <w:sz w:val="24"/>
          <w:szCs w:val="24"/>
          <w:lang w:eastAsia="en-AU"/>
        </w:rPr>
        <w:t>”</w:t>
      </w:r>
      <w:r w:rsidRPr="003B58B1">
        <w:rPr>
          <w:rFonts w:ascii="Times New Roman" w:eastAsia="Times New Roman" w:hAnsi="Times New Roman" w:cs="Times New Roman"/>
          <w:bCs/>
          <w:sz w:val="24"/>
          <w:szCs w:val="24"/>
          <w:lang w:eastAsia="en-AU"/>
        </w:rPr>
        <w:t>, are defined in the Act.</w:t>
      </w:r>
      <w:r>
        <w:rPr>
          <w:rFonts w:ascii="Times New Roman" w:eastAsia="Times New Roman" w:hAnsi="Times New Roman" w:cs="Times New Roman"/>
          <w:bCs/>
          <w:sz w:val="24"/>
          <w:szCs w:val="24"/>
          <w:lang w:eastAsia="en-AU"/>
        </w:rPr>
        <w:t xml:space="preserve"> These two terms are defined in subsection 4(1) of the Act.</w:t>
      </w:r>
    </w:p>
    <w:p w14:paraId="0AAF4862" w14:textId="77777777" w:rsidR="00896693" w:rsidRDefault="00896693" w:rsidP="00167955">
      <w:pPr>
        <w:spacing w:after="0" w:line="240" w:lineRule="auto"/>
        <w:rPr>
          <w:rFonts w:ascii="Times New Roman" w:eastAsia="Times New Roman" w:hAnsi="Times New Roman" w:cs="Times New Roman"/>
          <w:bCs/>
          <w:sz w:val="24"/>
          <w:szCs w:val="24"/>
          <w:lang w:eastAsia="en-AU"/>
        </w:rPr>
      </w:pPr>
    </w:p>
    <w:p w14:paraId="04C03B40" w14:textId="30AF8390" w:rsidR="00FD15EF" w:rsidRDefault="00896693"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lastRenderedPageBreak/>
        <w:t>A second note to section 5</w:t>
      </w:r>
      <w:r w:rsidRPr="003B58B1">
        <w:rPr>
          <w:rFonts w:ascii="Times New Roman" w:eastAsia="Times New Roman" w:hAnsi="Times New Roman" w:cs="Times New Roman"/>
          <w:bCs/>
          <w:sz w:val="24"/>
          <w:szCs w:val="24"/>
          <w:lang w:eastAsia="en-AU"/>
        </w:rPr>
        <w:t xml:space="preserve"> provides that</w:t>
      </w:r>
      <w:r>
        <w:rPr>
          <w:rFonts w:ascii="Times New Roman" w:eastAsia="Times New Roman" w:hAnsi="Times New Roman" w:cs="Times New Roman"/>
          <w:bCs/>
          <w:sz w:val="24"/>
          <w:szCs w:val="24"/>
          <w:lang w:eastAsia="en-AU"/>
        </w:rPr>
        <w:t xml:space="preserve"> under subsection 4(1A) of the Act, </w:t>
      </w:r>
      <w:r w:rsidRPr="004B41F0">
        <w:rPr>
          <w:rFonts w:ascii="Times New Roman" w:eastAsia="Times New Roman" w:hAnsi="Times New Roman" w:cs="Times New Roman"/>
          <w:bCs/>
          <w:sz w:val="24"/>
          <w:szCs w:val="24"/>
          <w:lang w:eastAsia="en-AU"/>
        </w:rPr>
        <w:t xml:space="preserve">a word or phrase defined for the purposes of the </w:t>
      </w:r>
      <w:r w:rsidRPr="009B71FE">
        <w:rPr>
          <w:rFonts w:ascii="Times New Roman" w:eastAsia="Times New Roman" w:hAnsi="Times New Roman" w:cs="Times New Roman"/>
          <w:bCs/>
          <w:i/>
          <w:iCs/>
          <w:sz w:val="24"/>
          <w:szCs w:val="24"/>
          <w:lang w:eastAsia="en-AU"/>
        </w:rPr>
        <w:t>Health Insurance Act 1973</w:t>
      </w:r>
      <w:r w:rsidRPr="004B41F0">
        <w:rPr>
          <w:rFonts w:ascii="Times New Roman" w:eastAsia="Times New Roman" w:hAnsi="Times New Roman" w:cs="Times New Roman"/>
          <w:bCs/>
          <w:sz w:val="24"/>
          <w:szCs w:val="24"/>
          <w:lang w:eastAsia="en-AU"/>
        </w:rPr>
        <w:t xml:space="preserve"> has the meaning that it would have if used in that Act.</w:t>
      </w:r>
      <w:r>
        <w:rPr>
          <w:rFonts w:ascii="Times New Roman" w:eastAsia="Times New Roman" w:hAnsi="Times New Roman" w:cs="Times New Roman"/>
          <w:bCs/>
          <w:sz w:val="24"/>
          <w:szCs w:val="24"/>
          <w:lang w:eastAsia="en-AU"/>
        </w:rPr>
        <w:t xml:space="preserve"> This includes terms such as “</w:t>
      </w:r>
      <w:r w:rsidRPr="000D55D9">
        <w:rPr>
          <w:rFonts w:ascii="Times New Roman" w:eastAsia="Times New Roman" w:hAnsi="Times New Roman" w:cs="Times New Roman"/>
          <w:bCs/>
          <w:sz w:val="24"/>
          <w:szCs w:val="24"/>
          <w:lang w:eastAsia="en-AU"/>
        </w:rPr>
        <w:t>medical practitioner</w:t>
      </w:r>
      <w:r>
        <w:rPr>
          <w:rFonts w:ascii="Times New Roman" w:eastAsia="Times New Roman" w:hAnsi="Times New Roman" w:cs="Times New Roman"/>
          <w:bCs/>
          <w:sz w:val="24"/>
          <w:szCs w:val="24"/>
          <w:lang w:eastAsia="en-AU"/>
        </w:rPr>
        <w:t>” and “</w:t>
      </w:r>
      <w:r w:rsidR="00DA55F5">
        <w:rPr>
          <w:rFonts w:ascii="Times New Roman" w:eastAsia="Times New Roman" w:hAnsi="Times New Roman" w:cs="Times New Roman"/>
          <w:bCs/>
          <w:sz w:val="24"/>
          <w:szCs w:val="24"/>
          <w:lang w:eastAsia="en-AU"/>
        </w:rPr>
        <w:t>M</w:t>
      </w:r>
      <w:r w:rsidRPr="009B71FE">
        <w:rPr>
          <w:rFonts w:ascii="Times New Roman" w:eastAsia="Times New Roman" w:hAnsi="Times New Roman" w:cs="Times New Roman"/>
          <w:bCs/>
          <w:sz w:val="24"/>
          <w:szCs w:val="24"/>
          <w:lang w:eastAsia="en-AU"/>
        </w:rPr>
        <w:t>edicare benefit</w:t>
      </w:r>
      <w:r>
        <w:rPr>
          <w:rFonts w:ascii="Times New Roman" w:eastAsia="Times New Roman" w:hAnsi="Times New Roman" w:cs="Times New Roman"/>
          <w:bCs/>
          <w:sz w:val="24"/>
          <w:szCs w:val="24"/>
          <w:lang w:eastAsia="en-AU"/>
        </w:rPr>
        <w:t xml:space="preserve">” (both defined in subsection 3(1) of the </w:t>
      </w:r>
      <w:r w:rsidRPr="009B71FE">
        <w:rPr>
          <w:rFonts w:ascii="Times New Roman" w:eastAsia="Times New Roman" w:hAnsi="Times New Roman" w:cs="Times New Roman"/>
          <w:bCs/>
          <w:i/>
          <w:iCs/>
          <w:sz w:val="24"/>
          <w:szCs w:val="24"/>
          <w:lang w:eastAsia="en-AU"/>
        </w:rPr>
        <w:t>Health Insurance Act 1973</w:t>
      </w:r>
      <w:r>
        <w:rPr>
          <w:rFonts w:ascii="Times New Roman" w:eastAsia="Times New Roman" w:hAnsi="Times New Roman" w:cs="Times New Roman"/>
          <w:bCs/>
          <w:sz w:val="24"/>
          <w:szCs w:val="24"/>
          <w:lang w:eastAsia="en-AU"/>
        </w:rPr>
        <w:t>).</w:t>
      </w:r>
    </w:p>
    <w:p w14:paraId="5EDD7E9E" w14:textId="77777777" w:rsidR="001A7591" w:rsidRDefault="001A7591" w:rsidP="00167955">
      <w:pPr>
        <w:pStyle w:val="Definition0"/>
        <w:spacing w:before="0"/>
        <w:ind w:left="0"/>
        <w:rPr>
          <w:bCs/>
          <w:i/>
          <w:iCs/>
          <w:sz w:val="24"/>
          <w:szCs w:val="24"/>
        </w:rPr>
      </w:pPr>
    </w:p>
    <w:p w14:paraId="27ACB1F3" w14:textId="72E1E365" w:rsidR="00E5267F" w:rsidRPr="00A22E0C" w:rsidRDefault="005461AA" w:rsidP="00167955">
      <w:pPr>
        <w:pStyle w:val="Definition0"/>
        <w:spacing w:before="0"/>
        <w:ind w:left="0"/>
        <w:rPr>
          <w:bCs/>
          <w:i/>
          <w:iCs/>
          <w:sz w:val="24"/>
          <w:szCs w:val="24"/>
        </w:rPr>
      </w:pPr>
      <w:r>
        <w:rPr>
          <w:bCs/>
          <w:i/>
          <w:iCs/>
          <w:sz w:val="24"/>
          <w:szCs w:val="24"/>
        </w:rPr>
        <w:t>C</w:t>
      </w:r>
      <w:r w:rsidR="002A6087" w:rsidRPr="00A22E0C">
        <w:rPr>
          <w:bCs/>
          <w:i/>
          <w:iCs/>
          <w:sz w:val="24"/>
          <w:szCs w:val="24"/>
        </w:rPr>
        <w:t>odes used in the 2024 Listing Instrument</w:t>
      </w:r>
    </w:p>
    <w:p w14:paraId="4536F67D" w14:textId="49372B88" w:rsidR="00F53162" w:rsidRPr="00794BF3" w:rsidRDefault="000E041F"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Schedules to the 2024 Listing Instrument use a number of codes </w:t>
      </w:r>
      <w:r w:rsidR="002F2FDB">
        <w:rPr>
          <w:rFonts w:ascii="Times New Roman" w:eastAsia="Times New Roman" w:hAnsi="Times New Roman" w:cs="Times New Roman"/>
          <w:bCs/>
          <w:sz w:val="24"/>
          <w:szCs w:val="24"/>
          <w:lang w:eastAsia="en-AU"/>
        </w:rPr>
        <w:t xml:space="preserve">to indicate where a medicine is subject to </w:t>
      </w:r>
      <w:r w:rsidR="00680080">
        <w:rPr>
          <w:rFonts w:ascii="Times New Roman" w:eastAsia="Times New Roman" w:hAnsi="Times New Roman" w:cs="Times New Roman"/>
          <w:bCs/>
          <w:sz w:val="24"/>
          <w:szCs w:val="24"/>
          <w:lang w:eastAsia="en-AU"/>
        </w:rPr>
        <w:t>certain rules around prescribing the medicine for the purposes of the PBS, relevantly defined as:</w:t>
      </w:r>
    </w:p>
    <w:p w14:paraId="7B87D5E2" w14:textId="7B6EA8AC" w:rsidR="00567442" w:rsidRPr="00794BF3" w:rsidRDefault="00567442" w:rsidP="001A7591">
      <w:pPr>
        <w:pStyle w:val="Definition0"/>
        <w:numPr>
          <w:ilvl w:val="0"/>
          <w:numId w:val="24"/>
        </w:numPr>
        <w:spacing w:before="120"/>
        <w:ind w:left="714" w:hanging="357"/>
        <w:rPr>
          <w:bCs/>
          <w:sz w:val="24"/>
          <w:szCs w:val="24"/>
        </w:rPr>
      </w:pPr>
      <w:r w:rsidRPr="00794BF3">
        <w:rPr>
          <w:bCs/>
          <w:sz w:val="24"/>
          <w:szCs w:val="24"/>
        </w:rPr>
        <w:t>circumstances code</w:t>
      </w:r>
      <w:r w:rsidR="00680080">
        <w:rPr>
          <w:bCs/>
          <w:sz w:val="24"/>
          <w:szCs w:val="24"/>
        </w:rPr>
        <w:t xml:space="preserve"> - </w:t>
      </w:r>
      <w:r w:rsidRPr="00794BF3">
        <w:rPr>
          <w:bCs/>
          <w:sz w:val="24"/>
          <w:szCs w:val="24"/>
        </w:rPr>
        <w:t>mean</w:t>
      </w:r>
      <w:r w:rsidR="00F54B39">
        <w:rPr>
          <w:bCs/>
          <w:sz w:val="24"/>
          <w:szCs w:val="24"/>
        </w:rPr>
        <w:t>ing</w:t>
      </w:r>
      <w:r w:rsidRPr="00794BF3">
        <w:rPr>
          <w:bCs/>
          <w:sz w:val="24"/>
          <w:szCs w:val="24"/>
        </w:rPr>
        <w:t xml:space="preserve"> the letter “C” followed by a number</w:t>
      </w:r>
      <w:r w:rsidR="00D65616">
        <w:rPr>
          <w:bCs/>
          <w:sz w:val="24"/>
          <w:szCs w:val="24"/>
        </w:rPr>
        <w:t>;</w:t>
      </w:r>
    </w:p>
    <w:p w14:paraId="25253DBC" w14:textId="00D3765F" w:rsidR="00567442" w:rsidRDefault="003D035C" w:rsidP="001A7591">
      <w:pPr>
        <w:pStyle w:val="Definition0"/>
        <w:numPr>
          <w:ilvl w:val="0"/>
          <w:numId w:val="24"/>
        </w:numPr>
        <w:spacing w:before="120"/>
        <w:ind w:left="714" w:hanging="357"/>
        <w:rPr>
          <w:bCs/>
          <w:sz w:val="24"/>
          <w:szCs w:val="24"/>
        </w:rPr>
      </w:pPr>
      <w:r w:rsidRPr="00794BF3">
        <w:rPr>
          <w:bCs/>
          <w:sz w:val="24"/>
          <w:szCs w:val="24"/>
        </w:rPr>
        <w:t>c</w:t>
      </w:r>
      <w:r w:rsidR="00567442" w:rsidRPr="00794BF3">
        <w:rPr>
          <w:bCs/>
          <w:sz w:val="24"/>
          <w:szCs w:val="24"/>
        </w:rPr>
        <w:t>onditions code</w:t>
      </w:r>
      <w:r w:rsidR="00F54B39">
        <w:rPr>
          <w:bCs/>
          <w:sz w:val="24"/>
          <w:szCs w:val="24"/>
        </w:rPr>
        <w:t xml:space="preserve"> - </w:t>
      </w:r>
      <w:r w:rsidR="00567442" w:rsidRPr="00794BF3">
        <w:rPr>
          <w:bCs/>
          <w:sz w:val="24"/>
          <w:szCs w:val="24"/>
        </w:rPr>
        <w:t>mean</w:t>
      </w:r>
      <w:r w:rsidR="00F54B39">
        <w:rPr>
          <w:bCs/>
          <w:sz w:val="24"/>
          <w:szCs w:val="24"/>
        </w:rPr>
        <w:t>ing</w:t>
      </w:r>
      <w:r w:rsidR="00567442" w:rsidRPr="00794BF3">
        <w:rPr>
          <w:bCs/>
          <w:sz w:val="24"/>
          <w:szCs w:val="24"/>
        </w:rPr>
        <w:t xml:space="preserve"> the letters “CN” followed by a number</w:t>
      </w:r>
      <w:r w:rsidR="00376B6C">
        <w:rPr>
          <w:bCs/>
          <w:sz w:val="24"/>
          <w:szCs w:val="24"/>
        </w:rPr>
        <w:t>;</w:t>
      </w:r>
    </w:p>
    <w:p w14:paraId="11D55E3D" w14:textId="0D777C29" w:rsidR="00F54B39" w:rsidRDefault="00D65616" w:rsidP="001A7591">
      <w:pPr>
        <w:pStyle w:val="Definition0"/>
        <w:numPr>
          <w:ilvl w:val="0"/>
          <w:numId w:val="24"/>
        </w:numPr>
        <w:spacing w:before="120"/>
        <w:ind w:left="714" w:hanging="357"/>
        <w:rPr>
          <w:bCs/>
          <w:sz w:val="24"/>
          <w:szCs w:val="24"/>
        </w:rPr>
      </w:pPr>
      <w:r>
        <w:rPr>
          <w:bCs/>
          <w:sz w:val="24"/>
          <w:szCs w:val="24"/>
        </w:rPr>
        <w:t>p</w:t>
      </w:r>
      <w:r w:rsidR="00F54B39">
        <w:rPr>
          <w:bCs/>
          <w:sz w:val="24"/>
          <w:szCs w:val="24"/>
        </w:rPr>
        <w:t xml:space="preserve">urposes code </w:t>
      </w:r>
      <w:r>
        <w:rPr>
          <w:bCs/>
          <w:sz w:val="24"/>
          <w:szCs w:val="24"/>
        </w:rPr>
        <w:t>-</w:t>
      </w:r>
      <w:r w:rsidR="00F54B39">
        <w:rPr>
          <w:bCs/>
          <w:sz w:val="24"/>
          <w:szCs w:val="24"/>
        </w:rPr>
        <w:t xml:space="preserve"> meaning the letter “P” </w:t>
      </w:r>
      <w:r>
        <w:rPr>
          <w:bCs/>
          <w:sz w:val="24"/>
          <w:szCs w:val="24"/>
        </w:rPr>
        <w:t>followed by a number</w:t>
      </w:r>
      <w:r w:rsidR="00376B6C">
        <w:rPr>
          <w:bCs/>
          <w:sz w:val="24"/>
          <w:szCs w:val="24"/>
        </w:rPr>
        <w:t>;</w:t>
      </w:r>
    </w:p>
    <w:p w14:paraId="4A714E61" w14:textId="7C74BC72" w:rsidR="00DE16BB" w:rsidRDefault="00DE16BB" w:rsidP="001A7591">
      <w:pPr>
        <w:pStyle w:val="Definition0"/>
        <w:numPr>
          <w:ilvl w:val="0"/>
          <w:numId w:val="24"/>
        </w:numPr>
        <w:spacing w:before="120"/>
        <w:ind w:left="714" w:hanging="357"/>
        <w:rPr>
          <w:bCs/>
          <w:sz w:val="24"/>
          <w:szCs w:val="24"/>
        </w:rPr>
      </w:pPr>
      <w:r w:rsidRPr="00DE16BB">
        <w:rPr>
          <w:bCs/>
          <w:sz w:val="24"/>
          <w:szCs w:val="24"/>
        </w:rPr>
        <w:t>streamlined authority code</w:t>
      </w:r>
      <w:r>
        <w:rPr>
          <w:bCs/>
          <w:sz w:val="24"/>
          <w:szCs w:val="24"/>
        </w:rPr>
        <w:t xml:space="preserve"> – meaning </w:t>
      </w:r>
      <w:r w:rsidRPr="00DE16BB">
        <w:rPr>
          <w:bCs/>
          <w:sz w:val="24"/>
          <w:szCs w:val="24"/>
        </w:rPr>
        <w:t>the words “Streamlined Authority Code” followed by a number</w:t>
      </w:r>
      <w:r>
        <w:rPr>
          <w:bCs/>
          <w:sz w:val="24"/>
          <w:szCs w:val="24"/>
        </w:rPr>
        <w:t>;</w:t>
      </w:r>
    </w:p>
    <w:p w14:paraId="1C8DDA33" w14:textId="055CB556" w:rsidR="00D65616" w:rsidRDefault="00D65616" w:rsidP="001A7591">
      <w:pPr>
        <w:pStyle w:val="Definition0"/>
        <w:numPr>
          <w:ilvl w:val="0"/>
          <w:numId w:val="24"/>
        </w:numPr>
        <w:spacing w:before="120"/>
        <w:ind w:left="714" w:hanging="357"/>
        <w:rPr>
          <w:bCs/>
          <w:sz w:val="24"/>
          <w:szCs w:val="24"/>
        </w:rPr>
      </w:pPr>
      <w:r>
        <w:rPr>
          <w:bCs/>
          <w:sz w:val="24"/>
          <w:szCs w:val="24"/>
        </w:rPr>
        <w:t>v</w:t>
      </w:r>
      <w:r w:rsidRPr="00D65616">
        <w:rPr>
          <w:bCs/>
          <w:sz w:val="24"/>
          <w:szCs w:val="24"/>
        </w:rPr>
        <w:t>ariation code</w:t>
      </w:r>
      <w:r>
        <w:rPr>
          <w:bCs/>
          <w:sz w:val="24"/>
          <w:szCs w:val="24"/>
        </w:rPr>
        <w:t xml:space="preserve"> - </w:t>
      </w:r>
      <w:r w:rsidRPr="00D65616">
        <w:rPr>
          <w:bCs/>
          <w:sz w:val="24"/>
          <w:szCs w:val="24"/>
        </w:rPr>
        <w:t>mean</w:t>
      </w:r>
      <w:r>
        <w:rPr>
          <w:bCs/>
          <w:sz w:val="24"/>
          <w:szCs w:val="24"/>
        </w:rPr>
        <w:t>ing</w:t>
      </w:r>
      <w:r w:rsidRPr="00D65616">
        <w:rPr>
          <w:bCs/>
          <w:sz w:val="24"/>
          <w:szCs w:val="24"/>
        </w:rPr>
        <w:t xml:space="preserve"> the letter “V” followed by a number. This is a new definition inserted as a result of new subsections 15(5), 16(5) and new Part 2 of Schedule 4 (discussed later in this explanatory statement).</w:t>
      </w:r>
    </w:p>
    <w:p w14:paraId="487C69DE" w14:textId="77777777" w:rsidR="001A7591" w:rsidRPr="00794BF3" w:rsidRDefault="001A7591" w:rsidP="001A7591">
      <w:pPr>
        <w:pStyle w:val="Definition0"/>
        <w:spacing w:before="0"/>
        <w:ind w:left="0"/>
        <w:rPr>
          <w:bCs/>
          <w:sz w:val="24"/>
          <w:szCs w:val="24"/>
        </w:rPr>
      </w:pPr>
    </w:p>
    <w:p w14:paraId="220D4B06" w14:textId="49FB43C9" w:rsidR="002A6087" w:rsidRPr="00A22E0C" w:rsidRDefault="005461AA" w:rsidP="00167955">
      <w:pPr>
        <w:pStyle w:val="Definition0"/>
        <w:spacing w:before="0"/>
        <w:ind w:left="0"/>
        <w:rPr>
          <w:bCs/>
          <w:i/>
          <w:iCs/>
          <w:sz w:val="24"/>
          <w:szCs w:val="24"/>
        </w:rPr>
      </w:pPr>
      <w:r>
        <w:rPr>
          <w:bCs/>
          <w:i/>
          <w:iCs/>
          <w:sz w:val="24"/>
          <w:szCs w:val="24"/>
        </w:rPr>
        <w:t>Terms “r</w:t>
      </w:r>
      <w:r w:rsidR="002A6087" w:rsidRPr="00A22E0C">
        <w:rPr>
          <w:bCs/>
          <w:i/>
          <w:iCs/>
          <w:sz w:val="24"/>
          <w:szCs w:val="24"/>
        </w:rPr>
        <w:t xml:space="preserve">eady-prepared </w:t>
      </w:r>
      <w:r>
        <w:rPr>
          <w:bCs/>
          <w:i/>
          <w:iCs/>
          <w:sz w:val="24"/>
          <w:szCs w:val="24"/>
        </w:rPr>
        <w:t xml:space="preserve">pharmaceutical benefit” </w:t>
      </w:r>
      <w:r w:rsidR="002A6087" w:rsidRPr="00A22E0C">
        <w:rPr>
          <w:bCs/>
          <w:i/>
          <w:iCs/>
          <w:sz w:val="24"/>
          <w:szCs w:val="24"/>
        </w:rPr>
        <w:t xml:space="preserve">and </w:t>
      </w:r>
      <w:r>
        <w:rPr>
          <w:bCs/>
          <w:i/>
          <w:iCs/>
          <w:sz w:val="24"/>
          <w:szCs w:val="24"/>
        </w:rPr>
        <w:t>“</w:t>
      </w:r>
      <w:r w:rsidR="002A6087" w:rsidRPr="00A22E0C">
        <w:rPr>
          <w:bCs/>
          <w:i/>
          <w:iCs/>
          <w:sz w:val="24"/>
          <w:szCs w:val="24"/>
        </w:rPr>
        <w:t>extemporaneously-prepared pharmaceutical benefit</w:t>
      </w:r>
      <w:r>
        <w:rPr>
          <w:bCs/>
          <w:i/>
          <w:iCs/>
          <w:sz w:val="24"/>
          <w:szCs w:val="24"/>
        </w:rPr>
        <w:t>”</w:t>
      </w:r>
    </w:p>
    <w:p w14:paraId="400A1702" w14:textId="339B19F0" w:rsidR="002A6087" w:rsidRDefault="002A6087" w:rsidP="00167955">
      <w:pPr>
        <w:spacing w:after="0" w:line="240" w:lineRule="auto"/>
        <w:rPr>
          <w:rFonts w:ascii="Times New Roman" w:eastAsia="Times New Roman" w:hAnsi="Times New Roman" w:cs="Times New Roman"/>
          <w:bCs/>
          <w:sz w:val="24"/>
          <w:szCs w:val="24"/>
          <w:lang w:eastAsia="en-AU"/>
        </w:rPr>
      </w:pPr>
      <w:r w:rsidRPr="00150F40">
        <w:rPr>
          <w:rFonts w:ascii="Times New Roman" w:eastAsia="Times New Roman" w:hAnsi="Times New Roman" w:cs="Times New Roman"/>
          <w:bCs/>
          <w:sz w:val="24"/>
          <w:szCs w:val="24"/>
          <w:lang w:eastAsia="en-AU"/>
        </w:rPr>
        <w:t>The term “ready</w:t>
      </w:r>
      <w:r w:rsidRPr="00150F40">
        <w:rPr>
          <w:rFonts w:ascii="Times New Roman" w:eastAsia="Times New Roman" w:hAnsi="Times New Roman" w:cs="Times New Roman"/>
          <w:bCs/>
          <w:sz w:val="24"/>
          <w:szCs w:val="24"/>
          <w:lang w:eastAsia="en-AU"/>
        </w:rPr>
        <w:noBreakHyphen/>
        <w:t xml:space="preserve">prepared pharmaceutical benefit” means a pharmaceutical benefit that is mentioned in a table in Schedule 1 to the 2024 Listing Instrument. </w:t>
      </w:r>
      <w:r w:rsidR="00243D44" w:rsidRPr="00150F40">
        <w:rPr>
          <w:rFonts w:ascii="Times New Roman" w:eastAsia="Times New Roman" w:hAnsi="Times New Roman" w:cs="Times New Roman"/>
          <w:bCs/>
          <w:sz w:val="24"/>
          <w:szCs w:val="24"/>
          <w:lang w:eastAsia="en-AU"/>
        </w:rPr>
        <w:t>Ready-prepared pharmaceutical benefits a</w:t>
      </w:r>
      <w:r w:rsidR="007A49D9" w:rsidRPr="00150F40">
        <w:rPr>
          <w:rFonts w:ascii="Times New Roman" w:eastAsia="Times New Roman" w:hAnsi="Times New Roman" w:cs="Times New Roman"/>
          <w:bCs/>
          <w:sz w:val="24"/>
          <w:szCs w:val="24"/>
          <w:lang w:eastAsia="en-AU"/>
        </w:rPr>
        <w:t>re</w:t>
      </w:r>
      <w:r w:rsidR="001325F8" w:rsidRPr="00150F40">
        <w:rPr>
          <w:rFonts w:ascii="Times New Roman" w:eastAsia="Times New Roman" w:hAnsi="Times New Roman" w:cs="Times New Roman"/>
          <w:bCs/>
          <w:sz w:val="24"/>
          <w:szCs w:val="24"/>
          <w:lang w:eastAsia="en-AU"/>
        </w:rPr>
        <w:t xml:space="preserve"> listed on the PBS </w:t>
      </w:r>
      <w:r w:rsidR="001D6045" w:rsidRPr="00150F40">
        <w:rPr>
          <w:rFonts w:ascii="Times New Roman" w:eastAsia="Times New Roman" w:hAnsi="Times New Roman" w:cs="Times New Roman"/>
          <w:bCs/>
          <w:sz w:val="24"/>
          <w:szCs w:val="24"/>
          <w:lang w:eastAsia="en-AU"/>
        </w:rPr>
        <w:t>with reference to the drug, the form of th</w:t>
      </w:r>
      <w:r w:rsidR="00C1472F" w:rsidRPr="00150F40">
        <w:rPr>
          <w:rFonts w:ascii="Times New Roman" w:eastAsia="Times New Roman" w:hAnsi="Times New Roman" w:cs="Times New Roman"/>
          <w:bCs/>
          <w:sz w:val="24"/>
          <w:szCs w:val="24"/>
          <w:lang w:eastAsia="en-AU"/>
        </w:rPr>
        <w:t>at</w:t>
      </w:r>
      <w:r w:rsidR="001D6045" w:rsidRPr="00150F40">
        <w:rPr>
          <w:rFonts w:ascii="Times New Roman" w:eastAsia="Times New Roman" w:hAnsi="Times New Roman" w:cs="Times New Roman"/>
          <w:bCs/>
          <w:sz w:val="24"/>
          <w:szCs w:val="24"/>
          <w:lang w:eastAsia="en-AU"/>
        </w:rPr>
        <w:t xml:space="preserve"> drug, the manner of administration of the </w:t>
      </w:r>
      <w:r w:rsidR="001A3C85" w:rsidRPr="00150F40">
        <w:rPr>
          <w:rFonts w:ascii="Times New Roman" w:eastAsia="Times New Roman" w:hAnsi="Times New Roman" w:cs="Times New Roman"/>
          <w:bCs/>
          <w:sz w:val="24"/>
          <w:szCs w:val="24"/>
          <w:lang w:eastAsia="en-AU"/>
        </w:rPr>
        <w:t>form of th</w:t>
      </w:r>
      <w:r w:rsidR="00C1472F" w:rsidRPr="00150F40">
        <w:rPr>
          <w:rFonts w:ascii="Times New Roman" w:eastAsia="Times New Roman" w:hAnsi="Times New Roman" w:cs="Times New Roman"/>
          <w:bCs/>
          <w:sz w:val="24"/>
          <w:szCs w:val="24"/>
          <w:lang w:eastAsia="en-AU"/>
        </w:rPr>
        <w:t>at</w:t>
      </w:r>
      <w:r w:rsidR="001A3C85" w:rsidRPr="00150F40">
        <w:rPr>
          <w:rFonts w:ascii="Times New Roman" w:eastAsia="Times New Roman" w:hAnsi="Times New Roman" w:cs="Times New Roman"/>
          <w:bCs/>
          <w:sz w:val="24"/>
          <w:szCs w:val="24"/>
          <w:lang w:eastAsia="en-AU"/>
        </w:rPr>
        <w:t xml:space="preserve"> </w:t>
      </w:r>
      <w:r w:rsidR="001D6045" w:rsidRPr="00150F40">
        <w:rPr>
          <w:rFonts w:ascii="Times New Roman" w:eastAsia="Times New Roman" w:hAnsi="Times New Roman" w:cs="Times New Roman"/>
          <w:bCs/>
          <w:sz w:val="24"/>
          <w:szCs w:val="24"/>
          <w:lang w:eastAsia="en-AU"/>
        </w:rPr>
        <w:t>drug</w:t>
      </w:r>
      <w:r w:rsidR="00C1472F" w:rsidRPr="00150F40">
        <w:rPr>
          <w:rFonts w:ascii="Times New Roman" w:eastAsia="Times New Roman" w:hAnsi="Times New Roman" w:cs="Times New Roman"/>
          <w:bCs/>
          <w:sz w:val="24"/>
          <w:szCs w:val="24"/>
          <w:lang w:eastAsia="en-AU"/>
        </w:rPr>
        <w:t>,</w:t>
      </w:r>
      <w:r w:rsidR="001D6045" w:rsidRPr="00150F40">
        <w:rPr>
          <w:rFonts w:ascii="Times New Roman" w:eastAsia="Times New Roman" w:hAnsi="Times New Roman" w:cs="Times New Roman"/>
          <w:bCs/>
          <w:sz w:val="24"/>
          <w:szCs w:val="24"/>
          <w:lang w:eastAsia="en-AU"/>
        </w:rPr>
        <w:t xml:space="preserve"> and the brand of th</w:t>
      </w:r>
      <w:r w:rsidR="00C1472F" w:rsidRPr="00150F40">
        <w:rPr>
          <w:rFonts w:ascii="Times New Roman" w:eastAsia="Times New Roman" w:hAnsi="Times New Roman" w:cs="Times New Roman"/>
          <w:bCs/>
          <w:sz w:val="24"/>
          <w:szCs w:val="24"/>
          <w:lang w:eastAsia="en-AU"/>
        </w:rPr>
        <w:t>at</w:t>
      </w:r>
      <w:r w:rsidR="001D6045" w:rsidRPr="00150F40">
        <w:rPr>
          <w:rFonts w:ascii="Times New Roman" w:eastAsia="Times New Roman" w:hAnsi="Times New Roman" w:cs="Times New Roman"/>
          <w:bCs/>
          <w:sz w:val="24"/>
          <w:szCs w:val="24"/>
          <w:lang w:eastAsia="en-AU"/>
        </w:rPr>
        <w:t xml:space="preserve"> </w:t>
      </w:r>
      <w:r w:rsidR="001A3C85" w:rsidRPr="00150F40">
        <w:rPr>
          <w:rFonts w:ascii="Times New Roman" w:eastAsia="Times New Roman" w:hAnsi="Times New Roman" w:cs="Times New Roman"/>
          <w:bCs/>
          <w:sz w:val="24"/>
          <w:szCs w:val="24"/>
          <w:lang w:eastAsia="en-AU"/>
        </w:rPr>
        <w:t xml:space="preserve">drug </w:t>
      </w:r>
      <w:r w:rsidR="00C1472F" w:rsidRPr="00150F40">
        <w:rPr>
          <w:rFonts w:ascii="Times New Roman" w:eastAsia="Times New Roman" w:hAnsi="Times New Roman" w:cs="Times New Roman"/>
          <w:bCs/>
          <w:sz w:val="24"/>
          <w:szCs w:val="24"/>
          <w:lang w:eastAsia="en-AU"/>
        </w:rPr>
        <w:t>in that form with t</w:t>
      </w:r>
      <w:r w:rsidR="00B86C50" w:rsidRPr="00150F40">
        <w:rPr>
          <w:rFonts w:ascii="Times New Roman" w:eastAsia="Times New Roman" w:hAnsi="Times New Roman" w:cs="Times New Roman"/>
          <w:bCs/>
          <w:sz w:val="24"/>
          <w:szCs w:val="24"/>
          <w:lang w:eastAsia="en-AU"/>
        </w:rPr>
        <w:t>hat manner of administration</w:t>
      </w:r>
      <w:r w:rsidR="00505E42" w:rsidRPr="00150F40">
        <w:rPr>
          <w:rFonts w:ascii="Times New Roman" w:eastAsia="Times New Roman" w:hAnsi="Times New Roman" w:cs="Times New Roman"/>
          <w:bCs/>
          <w:sz w:val="24"/>
          <w:szCs w:val="24"/>
          <w:lang w:eastAsia="en-AU"/>
        </w:rPr>
        <w:t xml:space="preserve"> (see sections 6 to </w:t>
      </w:r>
      <w:r w:rsidR="00666A17" w:rsidRPr="00150F40">
        <w:rPr>
          <w:rFonts w:ascii="Times New Roman" w:eastAsia="Times New Roman" w:hAnsi="Times New Roman" w:cs="Times New Roman"/>
          <w:bCs/>
          <w:sz w:val="24"/>
          <w:szCs w:val="24"/>
          <w:lang w:eastAsia="en-AU"/>
        </w:rPr>
        <w:t>9)</w:t>
      </w:r>
      <w:r w:rsidR="00B86C50" w:rsidRPr="00150F40">
        <w:rPr>
          <w:rFonts w:ascii="Times New Roman" w:eastAsia="Times New Roman" w:hAnsi="Times New Roman" w:cs="Times New Roman"/>
          <w:bCs/>
          <w:sz w:val="24"/>
          <w:szCs w:val="24"/>
          <w:lang w:eastAsia="en-AU"/>
        </w:rPr>
        <w:t>.</w:t>
      </w:r>
    </w:p>
    <w:p w14:paraId="6B3ABB98" w14:textId="77777777" w:rsidR="001A7591" w:rsidRPr="001A7591" w:rsidRDefault="001A7591" w:rsidP="00167955">
      <w:pPr>
        <w:spacing w:after="0" w:line="240" w:lineRule="auto"/>
        <w:rPr>
          <w:rFonts w:ascii="Times New Roman" w:hAnsi="Times New Roman" w:cs="Times New Roman"/>
          <w:bCs/>
          <w:sz w:val="24"/>
          <w:szCs w:val="24"/>
        </w:rPr>
      </w:pPr>
    </w:p>
    <w:p w14:paraId="08F8C8EB" w14:textId="603EE9C5" w:rsidR="003C646C" w:rsidRPr="00794BF3" w:rsidRDefault="00B5453E" w:rsidP="00167955">
      <w:pPr>
        <w:pStyle w:val="Definition0"/>
        <w:spacing w:before="0"/>
        <w:ind w:left="0"/>
        <w:rPr>
          <w:bCs/>
          <w:sz w:val="24"/>
          <w:szCs w:val="24"/>
        </w:rPr>
      </w:pPr>
      <w:r w:rsidRPr="00794BF3">
        <w:rPr>
          <w:bCs/>
          <w:sz w:val="24"/>
          <w:szCs w:val="24"/>
        </w:rPr>
        <w:t>The term “</w:t>
      </w:r>
      <w:r w:rsidR="003C646C" w:rsidRPr="00794BF3">
        <w:rPr>
          <w:bCs/>
          <w:sz w:val="24"/>
          <w:szCs w:val="24"/>
        </w:rPr>
        <w:t>extemporaneously</w:t>
      </w:r>
      <w:r w:rsidR="003C646C" w:rsidRPr="00794BF3">
        <w:rPr>
          <w:bCs/>
          <w:sz w:val="24"/>
          <w:szCs w:val="24"/>
        </w:rPr>
        <w:noBreakHyphen/>
        <w:t>prepared pharmaceutical benefit” means a pharmaceutical benefit that</w:t>
      </w:r>
      <w:r w:rsidR="003979EB">
        <w:rPr>
          <w:bCs/>
          <w:sz w:val="24"/>
          <w:szCs w:val="24"/>
        </w:rPr>
        <w:t xml:space="preserve"> </w:t>
      </w:r>
      <w:r w:rsidR="00B71C5E">
        <w:rPr>
          <w:bCs/>
          <w:sz w:val="24"/>
          <w:szCs w:val="24"/>
        </w:rPr>
        <w:t xml:space="preserve">either </w:t>
      </w:r>
      <w:r w:rsidR="003C646C" w:rsidRPr="00794BF3">
        <w:rPr>
          <w:bCs/>
          <w:sz w:val="24"/>
          <w:szCs w:val="24"/>
        </w:rPr>
        <w:t>is a listed drug mentioned in column 1 of the table in Part 1 of Schedule 2</w:t>
      </w:r>
      <w:r w:rsidR="00217467" w:rsidRPr="00794BF3">
        <w:rPr>
          <w:bCs/>
          <w:sz w:val="24"/>
          <w:szCs w:val="24"/>
        </w:rPr>
        <w:t xml:space="preserve"> to </w:t>
      </w:r>
      <w:r w:rsidR="00F62E6B">
        <w:rPr>
          <w:bCs/>
          <w:sz w:val="24"/>
          <w:szCs w:val="24"/>
        </w:rPr>
        <w:t xml:space="preserve">the </w:t>
      </w:r>
      <w:r w:rsidR="00372B2C">
        <w:rPr>
          <w:bCs/>
          <w:sz w:val="24"/>
          <w:szCs w:val="24"/>
        </w:rPr>
        <w:t>instrument</w:t>
      </w:r>
      <w:r w:rsidR="00B71C5E">
        <w:rPr>
          <w:bCs/>
          <w:sz w:val="24"/>
          <w:szCs w:val="24"/>
        </w:rPr>
        <w:t xml:space="preserve">, </w:t>
      </w:r>
      <w:r w:rsidR="003C646C" w:rsidRPr="00794BF3">
        <w:rPr>
          <w:bCs/>
          <w:sz w:val="24"/>
          <w:szCs w:val="24"/>
        </w:rPr>
        <w:t>or</w:t>
      </w:r>
      <w:r w:rsidR="00B71C5E">
        <w:rPr>
          <w:bCs/>
          <w:sz w:val="24"/>
          <w:szCs w:val="24"/>
        </w:rPr>
        <w:t xml:space="preserve"> c</w:t>
      </w:r>
      <w:r w:rsidR="003C646C" w:rsidRPr="00794BF3">
        <w:rPr>
          <w:bCs/>
          <w:sz w:val="24"/>
          <w:szCs w:val="24"/>
        </w:rPr>
        <w:t>ontains such a listed drug.</w:t>
      </w:r>
      <w:r w:rsidR="001C6440">
        <w:rPr>
          <w:bCs/>
          <w:sz w:val="24"/>
          <w:szCs w:val="24"/>
        </w:rPr>
        <w:t xml:space="preserve"> E</w:t>
      </w:r>
      <w:r w:rsidR="001C6440" w:rsidRPr="00794BF3">
        <w:rPr>
          <w:bCs/>
          <w:sz w:val="24"/>
          <w:szCs w:val="24"/>
        </w:rPr>
        <w:t>xtemporaneously</w:t>
      </w:r>
      <w:r w:rsidR="001C6440" w:rsidRPr="00794BF3">
        <w:rPr>
          <w:bCs/>
          <w:sz w:val="24"/>
          <w:szCs w:val="24"/>
        </w:rPr>
        <w:noBreakHyphen/>
        <w:t>prepared pharmaceutical benefit</w:t>
      </w:r>
      <w:r w:rsidR="001C6440">
        <w:rPr>
          <w:bCs/>
          <w:sz w:val="24"/>
          <w:szCs w:val="24"/>
        </w:rPr>
        <w:t xml:space="preserve">s </w:t>
      </w:r>
      <w:r w:rsidR="00B86C50">
        <w:rPr>
          <w:bCs/>
          <w:sz w:val="24"/>
          <w:szCs w:val="24"/>
        </w:rPr>
        <w:t>are listed on the PBS with reference to the drug only</w:t>
      </w:r>
      <w:r w:rsidR="00666A17">
        <w:rPr>
          <w:bCs/>
          <w:sz w:val="24"/>
          <w:szCs w:val="24"/>
        </w:rPr>
        <w:t xml:space="preserve"> (see section 6)</w:t>
      </w:r>
      <w:r w:rsidR="001C7087">
        <w:rPr>
          <w:bCs/>
          <w:sz w:val="24"/>
          <w:szCs w:val="24"/>
        </w:rPr>
        <w:t>.</w:t>
      </w:r>
    </w:p>
    <w:p w14:paraId="1FA73BF1" w14:textId="77777777" w:rsidR="001A7591" w:rsidRDefault="001A7591" w:rsidP="00167955">
      <w:pPr>
        <w:pStyle w:val="Definition0"/>
        <w:spacing w:before="0"/>
        <w:ind w:left="0"/>
        <w:rPr>
          <w:bCs/>
          <w:i/>
          <w:iCs/>
          <w:sz w:val="24"/>
          <w:szCs w:val="24"/>
        </w:rPr>
      </w:pPr>
    </w:p>
    <w:p w14:paraId="50044A7E" w14:textId="0AFCCF3E" w:rsidR="001C7087" w:rsidRPr="00A22E0C" w:rsidRDefault="005461AA" w:rsidP="00167955">
      <w:pPr>
        <w:pStyle w:val="Definition0"/>
        <w:spacing w:before="0"/>
        <w:ind w:left="0"/>
        <w:rPr>
          <w:bCs/>
          <w:i/>
          <w:iCs/>
          <w:sz w:val="24"/>
          <w:szCs w:val="24"/>
        </w:rPr>
      </w:pPr>
      <w:r w:rsidRPr="00A22E0C">
        <w:rPr>
          <w:bCs/>
          <w:i/>
          <w:iCs/>
          <w:sz w:val="24"/>
          <w:szCs w:val="24"/>
        </w:rPr>
        <w:t xml:space="preserve">Other </w:t>
      </w:r>
      <w:r w:rsidR="00FC3F64">
        <w:rPr>
          <w:bCs/>
          <w:i/>
          <w:iCs/>
          <w:sz w:val="24"/>
          <w:szCs w:val="24"/>
        </w:rPr>
        <w:t>select</w:t>
      </w:r>
      <w:r w:rsidR="00FC3F64" w:rsidRPr="00A22E0C">
        <w:rPr>
          <w:bCs/>
          <w:i/>
          <w:iCs/>
          <w:sz w:val="24"/>
          <w:szCs w:val="24"/>
        </w:rPr>
        <w:t xml:space="preserve"> terms</w:t>
      </w:r>
    </w:p>
    <w:p w14:paraId="7540BE5A" w14:textId="77777777" w:rsidR="00746760" w:rsidRPr="00794BF3" w:rsidRDefault="00746760" w:rsidP="00167955">
      <w:pPr>
        <w:spacing w:after="0" w:line="240" w:lineRule="auto"/>
        <w:rPr>
          <w:rFonts w:ascii="Times New Roman" w:eastAsia="Times New Roman" w:hAnsi="Times New Roman" w:cs="Times New Roman"/>
          <w:bCs/>
          <w:sz w:val="24"/>
          <w:szCs w:val="24"/>
          <w:lang w:eastAsia="en-AU"/>
        </w:rPr>
      </w:pPr>
      <w:r w:rsidRPr="00794BF3">
        <w:rPr>
          <w:rFonts w:ascii="Times New Roman" w:eastAsia="Times New Roman" w:hAnsi="Times New Roman" w:cs="Times New Roman"/>
          <w:bCs/>
          <w:sz w:val="24"/>
          <w:szCs w:val="24"/>
          <w:lang w:eastAsia="en-AU"/>
        </w:rPr>
        <w:t xml:space="preserve">The term “authorised prescriber”, of a pharmaceutical benefit, means a PBS prescriber who is authorised under section 12 of </w:t>
      </w:r>
      <w:r>
        <w:rPr>
          <w:rFonts w:ascii="Times New Roman" w:eastAsia="Times New Roman" w:hAnsi="Times New Roman" w:cs="Times New Roman"/>
          <w:bCs/>
          <w:sz w:val="24"/>
          <w:szCs w:val="24"/>
          <w:lang w:eastAsia="en-AU"/>
        </w:rPr>
        <w:t>the 2024 Listing Instrument</w:t>
      </w:r>
      <w:r w:rsidRPr="00794BF3">
        <w:rPr>
          <w:rFonts w:ascii="Times New Roman" w:eastAsia="Times New Roman" w:hAnsi="Times New Roman" w:cs="Times New Roman"/>
          <w:bCs/>
          <w:sz w:val="24"/>
          <w:szCs w:val="24"/>
          <w:lang w:eastAsia="en-AU"/>
        </w:rPr>
        <w:t xml:space="preserve"> to write a prescription for the supply of the benefit.</w:t>
      </w:r>
    </w:p>
    <w:p w14:paraId="126F69EA" w14:textId="77777777" w:rsidR="001A7591" w:rsidRDefault="001A7591" w:rsidP="00167955">
      <w:pPr>
        <w:pStyle w:val="Definition0"/>
        <w:spacing w:before="0"/>
        <w:ind w:left="0"/>
        <w:rPr>
          <w:bCs/>
          <w:sz w:val="24"/>
          <w:szCs w:val="24"/>
        </w:rPr>
      </w:pPr>
    </w:p>
    <w:p w14:paraId="20591F2A" w14:textId="6DB34BCA" w:rsidR="00B5453E" w:rsidRDefault="00CF3F3F" w:rsidP="00167955">
      <w:pPr>
        <w:pStyle w:val="Definition0"/>
        <w:spacing w:before="0"/>
        <w:ind w:left="0"/>
        <w:rPr>
          <w:bCs/>
          <w:sz w:val="24"/>
          <w:szCs w:val="24"/>
        </w:rPr>
      </w:pPr>
      <w:r w:rsidRPr="00794BF3">
        <w:rPr>
          <w:bCs/>
          <w:sz w:val="24"/>
          <w:szCs w:val="24"/>
        </w:rPr>
        <w:t xml:space="preserve">The term “General statement for drugs for the treatment of hepatitis C” means the statement set out in Schedule </w:t>
      </w:r>
      <w:r w:rsidR="00A30692" w:rsidRPr="00794BF3">
        <w:rPr>
          <w:bCs/>
          <w:sz w:val="24"/>
          <w:szCs w:val="24"/>
        </w:rPr>
        <w:t>6</w:t>
      </w:r>
      <w:r w:rsidR="009F0DDF" w:rsidRPr="00794BF3">
        <w:rPr>
          <w:bCs/>
          <w:sz w:val="24"/>
          <w:szCs w:val="24"/>
        </w:rPr>
        <w:t xml:space="preserve"> to this instrument</w:t>
      </w:r>
      <w:r w:rsidRPr="00794BF3">
        <w:rPr>
          <w:bCs/>
          <w:sz w:val="24"/>
          <w:szCs w:val="24"/>
        </w:rPr>
        <w:t>.</w:t>
      </w:r>
    </w:p>
    <w:p w14:paraId="24480372" w14:textId="77777777" w:rsidR="001A7591" w:rsidRDefault="001A7591" w:rsidP="00167955">
      <w:pPr>
        <w:pStyle w:val="Definition0"/>
        <w:spacing w:before="0"/>
        <w:ind w:left="0"/>
        <w:rPr>
          <w:bCs/>
          <w:sz w:val="24"/>
          <w:szCs w:val="24"/>
        </w:rPr>
      </w:pPr>
    </w:p>
    <w:p w14:paraId="7D93C082" w14:textId="573EEE47" w:rsidR="000D7EAC" w:rsidRDefault="000D7EAC" w:rsidP="00167955">
      <w:pPr>
        <w:pStyle w:val="Definition0"/>
        <w:spacing w:before="0"/>
        <w:ind w:left="0"/>
        <w:rPr>
          <w:bCs/>
          <w:sz w:val="24"/>
          <w:szCs w:val="24"/>
        </w:rPr>
      </w:pPr>
      <w:r>
        <w:rPr>
          <w:bCs/>
          <w:sz w:val="24"/>
          <w:szCs w:val="24"/>
        </w:rPr>
        <w:t>The term “</w:t>
      </w:r>
      <w:r w:rsidR="004717E1" w:rsidRPr="004717E1">
        <w:rPr>
          <w:bCs/>
          <w:sz w:val="24"/>
          <w:szCs w:val="24"/>
        </w:rPr>
        <w:t>GP Management Plan</w:t>
      </w:r>
      <w:r w:rsidR="004717E1">
        <w:rPr>
          <w:bCs/>
          <w:sz w:val="24"/>
          <w:szCs w:val="24"/>
        </w:rPr>
        <w:t>” means</w:t>
      </w:r>
      <w:r w:rsidR="0030421B">
        <w:rPr>
          <w:bCs/>
          <w:sz w:val="24"/>
          <w:szCs w:val="24"/>
        </w:rPr>
        <w:t xml:space="preserve"> </w:t>
      </w:r>
      <w:r w:rsidR="0030421B" w:rsidRPr="0030421B">
        <w:rPr>
          <w:bCs/>
          <w:sz w:val="24"/>
          <w:szCs w:val="24"/>
        </w:rPr>
        <w:t>a comprehensive written plan for the treatment of a patient:</w:t>
      </w:r>
    </w:p>
    <w:p w14:paraId="70CBFE59" w14:textId="0FFF2DBD" w:rsidR="0030421B" w:rsidRPr="0030421B" w:rsidRDefault="0030421B" w:rsidP="001A7591">
      <w:pPr>
        <w:pStyle w:val="Definition0"/>
        <w:numPr>
          <w:ilvl w:val="0"/>
          <w:numId w:val="17"/>
        </w:numPr>
        <w:spacing w:before="120"/>
        <w:ind w:left="714" w:hanging="357"/>
        <w:rPr>
          <w:bCs/>
          <w:sz w:val="24"/>
          <w:szCs w:val="24"/>
        </w:rPr>
      </w:pPr>
      <w:r w:rsidRPr="0030421B">
        <w:rPr>
          <w:bCs/>
          <w:sz w:val="24"/>
          <w:szCs w:val="24"/>
        </w:rPr>
        <w:t>that is prepared by a medical practitioner; and</w:t>
      </w:r>
    </w:p>
    <w:p w14:paraId="5CE995A4" w14:textId="1BF7CBA8" w:rsidR="0030421B" w:rsidRPr="0030421B" w:rsidRDefault="0030421B" w:rsidP="001A7591">
      <w:pPr>
        <w:pStyle w:val="Definition0"/>
        <w:numPr>
          <w:ilvl w:val="0"/>
          <w:numId w:val="17"/>
        </w:numPr>
        <w:spacing w:before="120"/>
        <w:ind w:left="714" w:hanging="357"/>
        <w:rPr>
          <w:bCs/>
          <w:sz w:val="24"/>
          <w:szCs w:val="24"/>
        </w:rPr>
      </w:pPr>
      <w:r w:rsidRPr="0030421B">
        <w:rPr>
          <w:bCs/>
          <w:sz w:val="24"/>
          <w:szCs w:val="24"/>
        </w:rPr>
        <w:t xml:space="preserve">for the preparation of which a </w:t>
      </w:r>
      <w:r w:rsidR="00DA55F5">
        <w:rPr>
          <w:bCs/>
          <w:sz w:val="24"/>
          <w:szCs w:val="24"/>
        </w:rPr>
        <w:t>M</w:t>
      </w:r>
      <w:r w:rsidRPr="0030421B">
        <w:rPr>
          <w:bCs/>
          <w:sz w:val="24"/>
          <w:szCs w:val="24"/>
        </w:rPr>
        <w:t>edicare benefit is payable; and</w:t>
      </w:r>
    </w:p>
    <w:p w14:paraId="7A48C2C8" w14:textId="67424984" w:rsidR="0030421B" w:rsidRDefault="0030421B" w:rsidP="001A7591">
      <w:pPr>
        <w:pStyle w:val="Definition0"/>
        <w:numPr>
          <w:ilvl w:val="0"/>
          <w:numId w:val="17"/>
        </w:numPr>
        <w:spacing w:before="120"/>
        <w:ind w:left="714" w:hanging="357"/>
        <w:rPr>
          <w:bCs/>
          <w:sz w:val="24"/>
          <w:szCs w:val="24"/>
        </w:rPr>
      </w:pPr>
      <w:r w:rsidRPr="0030421B">
        <w:rPr>
          <w:bCs/>
          <w:sz w:val="24"/>
          <w:szCs w:val="24"/>
        </w:rPr>
        <w:t>that includes a description of the patient’s health care needs, management goals, actions to be taken</w:t>
      </w:r>
      <w:r w:rsidR="00BD5BE2">
        <w:rPr>
          <w:bCs/>
          <w:sz w:val="24"/>
          <w:szCs w:val="24"/>
        </w:rPr>
        <w:t xml:space="preserve"> </w:t>
      </w:r>
      <w:r w:rsidR="00BD5BE2" w:rsidRPr="00BD5BE2">
        <w:rPr>
          <w:bCs/>
          <w:sz w:val="24"/>
          <w:szCs w:val="24"/>
        </w:rPr>
        <w:t>by the patient, and treatment and services the patient is likely to need</w:t>
      </w:r>
      <w:r>
        <w:rPr>
          <w:bCs/>
          <w:sz w:val="24"/>
          <w:szCs w:val="24"/>
        </w:rPr>
        <w:t>.</w:t>
      </w:r>
    </w:p>
    <w:p w14:paraId="01106D87" w14:textId="230401E8" w:rsidR="00DB32CE" w:rsidRPr="00794BF3" w:rsidRDefault="00BB2E60" w:rsidP="00167955">
      <w:pPr>
        <w:pStyle w:val="Definition0"/>
        <w:spacing w:before="0"/>
        <w:ind w:left="0"/>
        <w:rPr>
          <w:bCs/>
          <w:sz w:val="24"/>
          <w:szCs w:val="24"/>
        </w:rPr>
      </w:pPr>
      <w:r w:rsidRPr="00794BF3">
        <w:rPr>
          <w:bCs/>
          <w:sz w:val="24"/>
          <w:szCs w:val="24"/>
        </w:rPr>
        <w:lastRenderedPageBreak/>
        <w:t>The term “Medicare Benefits Schedule” means</w:t>
      </w:r>
      <w:r w:rsidR="00DB32CE" w:rsidRPr="00794BF3">
        <w:rPr>
          <w:bCs/>
          <w:sz w:val="24"/>
          <w:szCs w:val="24"/>
        </w:rPr>
        <w:t>:</w:t>
      </w:r>
    </w:p>
    <w:p w14:paraId="05BFC2AE" w14:textId="6BC9DBDF" w:rsidR="00BB2E60" w:rsidRPr="00794BF3" w:rsidRDefault="00BB2E60" w:rsidP="001A7591">
      <w:pPr>
        <w:pStyle w:val="Definition0"/>
        <w:numPr>
          <w:ilvl w:val="0"/>
          <w:numId w:val="17"/>
        </w:numPr>
        <w:spacing w:before="120"/>
        <w:ind w:left="714" w:hanging="357"/>
        <w:rPr>
          <w:bCs/>
          <w:sz w:val="24"/>
          <w:szCs w:val="24"/>
        </w:rPr>
      </w:pPr>
      <w:r w:rsidRPr="00794BF3">
        <w:rPr>
          <w:bCs/>
          <w:sz w:val="24"/>
          <w:szCs w:val="24"/>
        </w:rPr>
        <w:t xml:space="preserve">the </w:t>
      </w:r>
      <w:r w:rsidR="0061731B">
        <w:rPr>
          <w:bCs/>
          <w:sz w:val="24"/>
          <w:szCs w:val="24"/>
        </w:rPr>
        <w:t>“</w:t>
      </w:r>
      <w:r w:rsidRPr="00794BF3">
        <w:rPr>
          <w:bCs/>
          <w:sz w:val="24"/>
          <w:szCs w:val="24"/>
        </w:rPr>
        <w:t>table</w:t>
      </w:r>
      <w:r w:rsidR="0061731B">
        <w:rPr>
          <w:bCs/>
          <w:sz w:val="24"/>
          <w:szCs w:val="24"/>
        </w:rPr>
        <w:t>”</w:t>
      </w:r>
      <w:r w:rsidR="00C77CAF" w:rsidRPr="00794BF3">
        <w:rPr>
          <w:bCs/>
          <w:sz w:val="24"/>
          <w:szCs w:val="24"/>
        </w:rPr>
        <w:t>,</w:t>
      </w:r>
      <w:r w:rsidRPr="00794BF3">
        <w:rPr>
          <w:bCs/>
          <w:sz w:val="24"/>
          <w:szCs w:val="24"/>
        </w:rPr>
        <w:t xml:space="preserve"> within the meaning of subsection 3(1) of the </w:t>
      </w:r>
      <w:r w:rsidRPr="00794BF3">
        <w:rPr>
          <w:bCs/>
          <w:i/>
          <w:iCs/>
          <w:sz w:val="24"/>
          <w:szCs w:val="24"/>
        </w:rPr>
        <w:t>Health Insurance Act 1973</w:t>
      </w:r>
      <w:r w:rsidR="00DB32CE" w:rsidRPr="00794BF3">
        <w:rPr>
          <w:bCs/>
          <w:sz w:val="24"/>
          <w:szCs w:val="24"/>
        </w:rPr>
        <w:t>; or</w:t>
      </w:r>
    </w:p>
    <w:p w14:paraId="4673CE0D" w14:textId="12216F8A" w:rsidR="00DB32CE" w:rsidRPr="00794BF3" w:rsidRDefault="00070F59" w:rsidP="001A7591">
      <w:pPr>
        <w:pStyle w:val="Definition0"/>
        <w:numPr>
          <w:ilvl w:val="0"/>
          <w:numId w:val="17"/>
        </w:numPr>
        <w:spacing w:before="120"/>
        <w:ind w:left="714" w:hanging="357"/>
        <w:rPr>
          <w:bCs/>
          <w:sz w:val="24"/>
          <w:szCs w:val="24"/>
        </w:rPr>
      </w:pPr>
      <w:r w:rsidRPr="00794BF3">
        <w:rPr>
          <w:bCs/>
          <w:sz w:val="24"/>
          <w:szCs w:val="24"/>
        </w:rPr>
        <w:t>any determination made under subsection 3C(1) of that Act.</w:t>
      </w:r>
    </w:p>
    <w:p w14:paraId="1C436C4C" w14:textId="77777777" w:rsidR="00EF3FE8" w:rsidRPr="00794BF3" w:rsidRDefault="00EF3FE8" w:rsidP="00167955">
      <w:pPr>
        <w:spacing w:after="0" w:line="240" w:lineRule="auto"/>
        <w:rPr>
          <w:rFonts w:ascii="Times New Roman" w:eastAsia="Times New Roman" w:hAnsi="Times New Roman" w:cs="Times New Roman"/>
          <w:bCs/>
          <w:sz w:val="24"/>
          <w:szCs w:val="24"/>
          <w:lang w:eastAsia="en-AU"/>
        </w:rPr>
      </w:pPr>
    </w:p>
    <w:p w14:paraId="1AE929B8" w14:textId="3A04FBDD" w:rsidR="002E7DF1" w:rsidRPr="00717E2E" w:rsidRDefault="002E7DF1"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w:t>
      </w:r>
      <w:r w:rsidR="0061731B">
        <w:rPr>
          <w:rFonts w:ascii="Times New Roman" w:eastAsia="Times New Roman" w:hAnsi="Times New Roman" w:cs="Times New Roman"/>
          <w:bCs/>
          <w:sz w:val="24"/>
          <w:szCs w:val="24"/>
          <w:lang w:eastAsia="en-AU"/>
        </w:rPr>
        <w:t xml:space="preserve">table is currently made up of the </w:t>
      </w:r>
      <w:r w:rsidR="0061731B" w:rsidRPr="00A22E0C">
        <w:rPr>
          <w:rFonts w:ascii="Times New Roman" w:eastAsia="Times New Roman" w:hAnsi="Times New Roman" w:cs="Times New Roman"/>
          <w:bCs/>
          <w:i/>
          <w:iCs/>
          <w:sz w:val="24"/>
          <w:szCs w:val="24"/>
          <w:lang w:eastAsia="en-AU"/>
        </w:rPr>
        <w:t>Health Insurance (General Medical Services Table) Regulations</w:t>
      </w:r>
      <w:r w:rsidR="00317271" w:rsidRPr="00A22E0C">
        <w:rPr>
          <w:rFonts w:ascii="Times New Roman" w:eastAsia="Times New Roman" w:hAnsi="Times New Roman" w:cs="Times New Roman"/>
          <w:bCs/>
          <w:i/>
          <w:iCs/>
          <w:sz w:val="24"/>
          <w:szCs w:val="24"/>
          <w:lang w:eastAsia="en-AU"/>
        </w:rPr>
        <w:t xml:space="preserve"> 2021</w:t>
      </w:r>
      <w:r w:rsidR="0061731B">
        <w:rPr>
          <w:rFonts w:ascii="Times New Roman" w:eastAsia="Times New Roman" w:hAnsi="Times New Roman" w:cs="Times New Roman"/>
          <w:bCs/>
          <w:sz w:val="24"/>
          <w:szCs w:val="24"/>
          <w:lang w:eastAsia="en-AU"/>
        </w:rPr>
        <w:t xml:space="preserve">, </w:t>
      </w:r>
      <w:r w:rsidR="0061731B" w:rsidRPr="00A22E0C">
        <w:rPr>
          <w:rFonts w:ascii="Times New Roman" w:eastAsia="Times New Roman" w:hAnsi="Times New Roman" w:cs="Times New Roman"/>
          <w:bCs/>
          <w:i/>
          <w:iCs/>
          <w:sz w:val="24"/>
          <w:szCs w:val="24"/>
          <w:lang w:eastAsia="en-AU"/>
        </w:rPr>
        <w:t xml:space="preserve">Health Insurance (Diagnostic Imaging Services Table) Regulations </w:t>
      </w:r>
      <w:r w:rsidR="009267CB" w:rsidRPr="00A22E0C">
        <w:rPr>
          <w:rFonts w:ascii="Times New Roman" w:eastAsia="Times New Roman" w:hAnsi="Times New Roman" w:cs="Times New Roman"/>
          <w:bCs/>
          <w:i/>
          <w:iCs/>
          <w:sz w:val="24"/>
          <w:szCs w:val="24"/>
          <w:lang w:eastAsia="en-AU"/>
        </w:rPr>
        <w:t>(No. 2)</w:t>
      </w:r>
      <w:r w:rsidR="009267CB">
        <w:rPr>
          <w:rFonts w:ascii="Times New Roman" w:eastAsia="Times New Roman" w:hAnsi="Times New Roman" w:cs="Times New Roman"/>
          <w:bCs/>
          <w:sz w:val="24"/>
          <w:szCs w:val="24"/>
          <w:lang w:eastAsia="en-AU"/>
        </w:rPr>
        <w:t xml:space="preserve"> </w:t>
      </w:r>
      <w:r w:rsidR="009267CB" w:rsidRPr="00A22E0C">
        <w:rPr>
          <w:rFonts w:ascii="Times New Roman" w:eastAsia="Times New Roman" w:hAnsi="Times New Roman" w:cs="Times New Roman"/>
          <w:bCs/>
          <w:i/>
          <w:iCs/>
          <w:sz w:val="24"/>
          <w:szCs w:val="24"/>
          <w:lang w:eastAsia="en-AU"/>
        </w:rPr>
        <w:t>2020</w:t>
      </w:r>
      <w:r w:rsidR="009267CB">
        <w:rPr>
          <w:rFonts w:ascii="Times New Roman" w:eastAsia="Times New Roman" w:hAnsi="Times New Roman" w:cs="Times New Roman"/>
          <w:bCs/>
          <w:sz w:val="24"/>
          <w:szCs w:val="24"/>
          <w:lang w:eastAsia="en-AU"/>
        </w:rPr>
        <w:t xml:space="preserve"> </w:t>
      </w:r>
      <w:r w:rsidR="00750033">
        <w:rPr>
          <w:rFonts w:ascii="Times New Roman" w:eastAsia="Times New Roman" w:hAnsi="Times New Roman" w:cs="Times New Roman"/>
          <w:bCs/>
          <w:sz w:val="24"/>
          <w:szCs w:val="24"/>
          <w:lang w:eastAsia="en-AU"/>
        </w:rPr>
        <w:t xml:space="preserve">and the </w:t>
      </w:r>
      <w:r w:rsidR="00750033" w:rsidRPr="00A22E0C">
        <w:rPr>
          <w:rFonts w:ascii="Times New Roman" w:eastAsia="Times New Roman" w:hAnsi="Times New Roman" w:cs="Times New Roman"/>
          <w:bCs/>
          <w:i/>
          <w:iCs/>
          <w:sz w:val="24"/>
          <w:szCs w:val="24"/>
          <w:lang w:eastAsia="en-AU"/>
        </w:rPr>
        <w:t xml:space="preserve">Health Insurance (Pathology Services Table) Regulations </w:t>
      </w:r>
      <w:r w:rsidR="00792959" w:rsidRPr="00A22E0C">
        <w:rPr>
          <w:rFonts w:ascii="Times New Roman" w:eastAsia="Times New Roman" w:hAnsi="Times New Roman" w:cs="Times New Roman"/>
          <w:bCs/>
          <w:i/>
          <w:iCs/>
          <w:sz w:val="24"/>
          <w:szCs w:val="24"/>
          <w:lang w:eastAsia="en-AU"/>
        </w:rPr>
        <w:t>2020</w:t>
      </w:r>
      <w:r w:rsidR="007635FD">
        <w:rPr>
          <w:rFonts w:ascii="Times New Roman" w:eastAsia="Times New Roman" w:hAnsi="Times New Roman" w:cs="Times New Roman"/>
          <w:bCs/>
          <w:i/>
          <w:iCs/>
          <w:sz w:val="24"/>
          <w:szCs w:val="24"/>
          <w:lang w:eastAsia="en-AU"/>
        </w:rPr>
        <w:t xml:space="preserve"> </w:t>
      </w:r>
      <w:r w:rsidR="007635FD">
        <w:rPr>
          <w:rFonts w:ascii="Times New Roman" w:eastAsia="Times New Roman" w:hAnsi="Times New Roman" w:cs="Times New Roman"/>
          <w:bCs/>
          <w:sz w:val="24"/>
          <w:szCs w:val="24"/>
          <w:lang w:eastAsia="en-AU"/>
        </w:rPr>
        <w:t>and contains the majority of Medicare Benefits Schedule (MBS) items</w:t>
      </w:r>
      <w:r w:rsidR="00792959">
        <w:rPr>
          <w:rFonts w:ascii="Times New Roman" w:eastAsia="Times New Roman" w:hAnsi="Times New Roman" w:cs="Times New Roman"/>
          <w:bCs/>
          <w:sz w:val="24"/>
          <w:szCs w:val="24"/>
          <w:lang w:eastAsia="en-AU"/>
        </w:rPr>
        <w:t>.</w:t>
      </w:r>
      <w:r w:rsidR="00317271">
        <w:rPr>
          <w:rFonts w:ascii="Times New Roman" w:eastAsia="Times New Roman" w:hAnsi="Times New Roman" w:cs="Times New Roman"/>
          <w:bCs/>
          <w:sz w:val="24"/>
          <w:szCs w:val="24"/>
          <w:lang w:eastAsia="en-AU"/>
        </w:rPr>
        <w:t xml:space="preserve"> </w:t>
      </w:r>
      <w:r w:rsidR="00717E2E">
        <w:rPr>
          <w:rFonts w:ascii="Times New Roman" w:eastAsia="Times New Roman" w:hAnsi="Times New Roman" w:cs="Times New Roman"/>
          <w:bCs/>
          <w:sz w:val="24"/>
          <w:szCs w:val="24"/>
          <w:lang w:eastAsia="en-AU"/>
        </w:rPr>
        <w:t xml:space="preserve">Determinations made under subsection 3C(1) of the </w:t>
      </w:r>
      <w:r w:rsidR="00717E2E" w:rsidRPr="00A22E0C">
        <w:rPr>
          <w:rFonts w:ascii="Times New Roman" w:hAnsi="Times New Roman" w:cs="Times New Roman"/>
          <w:bCs/>
          <w:i/>
          <w:iCs/>
          <w:sz w:val="24"/>
          <w:szCs w:val="24"/>
        </w:rPr>
        <w:t>Health Insurance Act 1973</w:t>
      </w:r>
      <w:r w:rsidR="00717E2E">
        <w:rPr>
          <w:rFonts w:ascii="Times New Roman" w:hAnsi="Times New Roman" w:cs="Times New Roman"/>
          <w:bCs/>
          <w:sz w:val="24"/>
          <w:szCs w:val="24"/>
        </w:rPr>
        <w:t xml:space="preserve"> </w:t>
      </w:r>
      <w:r w:rsidR="007635FD">
        <w:rPr>
          <w:rFonts w:ascii="Times New Roman" w:hAnsi="Times New Roman" w:cs="Times New Roman"/>
          <w:bCs/>
          <w:sz w:val="24"/>
          <w:szCs w:val="24"/>
        </w:rPr>
        <w:t>create MBS items that are not already included in the table.</w:t>
      </w:r>
    </w:p>
    <w:p w14:paraId="59A1B442" w14:textId="77777777" w:rsidR="0061731B" w:rsidRDefault="0061731B" w:rsidP="00167955">
      <w:pPr>
        <w:spacing w:after="0" w:line="240" w:lineRule="auto"/>
        <w:rPr>
          <w:rFonts w:ascii="Times New Roman" w:eastAsia="Times New Roman" w:hAnsi="Times New Roman" w:cs="Times New Roman"/>
          <w:bCs/>
          <w:sz w:val="24"/>
          <w:szCs w:val="24"/>
          <w:lang w:eastAsia="en-AU"/>
        </w:rPr>
      </w:pPr>
    </w:p>
    <w:p w14:paraId="57105F75" w14:textId="4EC94858" w:rsidR="00EF3FE8" w:rsidRPr="00794BF3" w:rsidRDefault="00EF3FE8" w:rsidP="00167955">
      <w:pPr>
        <w:spacing w:after="0" w:line="240" w:lineRule="auto"/>
        <w:rPr>
          <w:rFonts w:ascii="Times New Roman" w:eastAsia="Times New Roman" w:hAnsi="Times New Roman" w:cs="Times New Roman"/>
          <w:bCs/>
          <w:sz w:val="24"/>
          <w:szCs w:val="24"/>
          <w:lang w:eastAsia="en-AU"/>
        </w:rPr>
      </w:pPr>
      <w:r w:rsidRPr="00794BF3">
        <w:rPr>
          <w:rFonts w:ascii="Times New Roman" w:eastAsia="Times New Roman" w:hAnsi="Times New Roman" w:cs="Times New Roman"/>
          <w:bCs/>
          <w:sz w:val="24"/>
          <w:szCs w:val="24"/>
          <w:lang w:eastAsia="en-AU"/>
        </w:rPr>
        <w:t>The term “palliative care patient” means a patient with an active, progressive, far advanced disease for whom the prognosis is limited and the focus of care is the quality of life.</w:t>
      </w:r>
    </w:p>
    <w:p w14:paraId="3CCD3411" w14:textId="77777777" w:rsidR="001A7591" w:rsidRDefault="001A7591" w:rsidP="00167955">
      <w:pPr>
        <w:pStyle w:val="Definition0"/>
        <w:spacing w:before="0"/>
        <w:ind w:left="0"/>
        <w:rPr>
          <w:bCs/>
          <w:sz w:val="24"/>
          <w:szCs w:val="24"/>
        </w:rPr>
      </w:pPr>
    </w:p>
    <w:p w14:paraId="70EA42F5" w14:textId="4A1C5A9E" w:rsidR="00460B50" w:rsidRPr="00794BF3" w:rsidRDefault="00460B50" w:rsidP="00167955">
      <w:pPr>
        <w:pStyle w:val="Definition0"/>
        <w:spacing w:before="0"/>
        <w:ind w:left="0"/>
        <w:rPr>
          <w:bCs/>
          <w:sz w:val="24"/>
          <w:szCs w:val="24"/>
        </w:rPr>
      </w:pPr>
      <w:r w:rsidRPr="00794BF3">
        <w:rPr>
          <w:bCs/>
          <w:sz w:val="24"/>
          <w:szCs w:val="24"/>
        </w:rPr>
        <w:t>The term “</w:t>
      </w:r>
      <w:r w:rsidR="0059387A" w:rsidRPr="00794BF3">
        <w:rPr>
          <w:bCs/>
          <w:sz w:val="24"/>
          <w:szCs w:val="24"/>
        </w:rPr>
        <w:t>Team Care Arrangements</w:t>
      </w:r>
      <w:r w:rsidR="00D04324" w:rsidRPr="00794BF3">
        <w:rPr>
          <w:bCs/>
          <w:sz w:val="24"/>
          <w:szCs w:val="24"/>
        </w:rPr>
        <w:t>”</w:t>
      </w:r>
      <w:r w:rsidR="0059387A" w:rsidRPr="00794BF3">
        <w:rPr>
          <w:bCs/>
          <w:sz w:val="24"/>
          <w:szCs w:val="24"/>
        </w:rPr>
        <w:t xml:space="preserve"> means arrangements that:</w:t>
      </w:r>
    </w:p>
    <w:p w14:paraId="26CD88D8" w14:textId="2A03E139" w:rsidR="0059387A" w:rsidRPr="00794BF3" w:rsidRDefault="0059387A" w:rsidP="001A7591">
      <w:pPr>
        <w:pStyle w:val="Definition0"/>
        <w:numPr>
          <w:ilvl w:val="0"/>
          <w:numId w:val="17"/>
        </w:numPr>
        <w:spacing w:before="120"/>
        <w:ind w:left="714" w:hanging="357"/>
        <w:rPr>
          <w:bCs/>
          <w:sz w:val="24"/>
          <w:szCs w:val="24"/>
        </w:rPr>
      </w:pPr>
      <w:r w:rsidRPr="00794BF3">
        <w:rPr>
          <w:bCs/>
          <w:sz w:val="24"/>
          <w:szCs w:val="24"/>
        </w:rPr>
        <w:t>are coordinated by a medical practitioner; and</w:t>
      </w:r>
    </w:p>
    <w:p w14:paraId="3607803D" w14:textId="724B1300" w:rsidR="0059387A" w:rsidRPr="00794BF3" w:rsidRDefault="0059387A" w:rsidP="001A7591">
      <w:pPr>
        <w:pStyle w:val="Definition0"/>
        <w:numPr>
          <w:ilvl w:val="0"/>
          <w:numId w:val="17"/>
        </w:numPr>
        <w:spacing w:before="120"/>
        <w:ind w:left="714" w:hanging="357"/>
        <w:rPr>
          <w:bCs/>
          <w:sz w:val="24"/>
          <w:szCs w:val="24"/>
        </w:rPr>
      </w:pPr>
      <w:r w:rsidRPr="00794BF3">
        <w:rPr>
          <w:bCs/>
          <w:sz w:val="24"/>
          <w:szCs w:val="24"/>
        </w:rPr>
        <w:t xml:space="preserve">the coordination of which a </w:t>
      </w:r>
      <w:r w:rsidR="00DA55F5">
        <w:rPr>
          <w:bCs/>
          <w:sz w:val="24"/>
          <w:szCs w:val="24"/>
        </w:rPr>
        <w:t>M</w:t>
      </w:r>
      <w:r w:rsidRPr="00794BF3">
        <w:rPr>
          <w:bCs/>
          <w:sz w:val="24"/>
          <w:szCs w:val="24"/>
        </w:rPr>
        <w:t>edicare benefit is payable for; and</w:t>
      </w:r>
    </w:p>
    <w:p w14:paraId="58CF7FB9" w14:textId="6363FBCE" w:rsidR="0059387A" w:rsidRPr="00794BF3" w:rsidRDefault="0059387A" w:rsidP="001A7591">
      <w:pPr>
        <w:pStyle w:val="Definition0"/>
        <w:numPr>
          <w:ilvl w:val="0"/>
          <w:numId w:val="17"/>
        </w:numPr>
        <w:spacing w:before="120"/>
        <w:ind w:left="714" w:hanging="357"/>
        <w:rPr>
          <w:bCs/>
          <w:sz w:val="24"/>
          <w:szCs w:val="24"/>
        </w:rPr>
      </w:pPr>
      <w:r w:rsidRPr="00794BF3">
        <w:rPr>
          <w:bCs/>
          <w:sz w:val="24"/>
          <w:szCs w:val="24"/>
        </w:rPr>
        <w:t>following consultation with collaborating providers, are documented in a plan that includes a description of the treatment and service goals for the patient, the treatment and services that all collaborating providers will provide</w:t>
      </w:r>
      <w:r w:rsidR="00416653" w:rsidRPr="00794BF3">
        <w:rPr>
          <w:bCs/>
          <w:sz w:val="24"/>
          <w:szCs w:val="24"/>
        </w:rPr>
        <w:t>,</w:t>
      </w:r>
      <w:r w:rsidRPr="00794BF3">
        <w:rPr>
          <w:bCs/>
          <w:sz w:val="24"/>
          <w:szCs w:val="24"/>
        </w:rPr>
        <w:t xml:space="preserve"> and the actions to be taken by the patient.</w:t>
      </w:r>
    </w:p>
    <w:p w14:paraId="210654F4" w14:textId="77777777" w:rsidR="006B72D0" w:rsidRPr="003B58B1" w:rsidRDefault="006B72D0" w:rsidP="00167955">
      <w:pPr>
        <w:spacing w:after="0" w:line="240" w:lineRule="auto"/>
        <w:rPr>
          <w:rFonts w:ascii="Times New Roman" w:eastAsia="Times New Roman" w:hAnsi="Times New Roman" w:cs="Times New Roman"/>
          <w:bCs/>
          <w:sz w:val="24"/>
          <w:szCs w:val="24"/>
          <w:lang w:eastAsia="en-AU"/>
        </w:rPr>
      </w:pPr>
    </w:p>
    <w:p w14:paraId="0A58DDA2" w14:textId="34F1E4AF" w:rsidR="003A1FF9" w:rsidRDefault="003A1FF9" w:rsidP="00167955">
      <w:pPr>
        <w:spacing w:after="0" w:line="240" w:lineRule="auto"/>
        <w:rPr>
          <w:rFonts w:ascii="Times New Roman" w:eastAsia="Times New Roman" w:hAnsi="Times New Roman" w:cs="Times New Roman"/>
          <w:bCs/>
          <w:sz w:val="24"/>
          <w:szCs w:val="24"/>
          <w:lang w:eastAsia="en-AU"/>
        </w:rPr>
      </w:pPr>
      <w:r w:rsidRPr="001B0568">
        <w:rPr>
          <w:rFonts w:ascii="Times New Roman" w:eastAsia="Times New Roman" w:hAnsi="Times New Roman" w:cs="Times New Roman"/>
          <w:bCs/>
          <w:sz w:val="24"/>
          <w:szCs w:val="24"/>
          <w:lang w:eastAsia="en-AU"/>
        </w:rPr>
        <w:t xml:space="preserve">The definitions in section 5 </w:t>
      </w:r>
      <w:r w:rsidR="004E0278">
        <w:rPr>
          <w:rFonts w:ascii="Times New Roman" w:eastAsia="Times New Roman" w:hAnsi="Times New Roman" w:cs="Times New Roman"/>
          <w:bCs/>
          <w:sz w:val="24"/>
          <w:szCs w:val="24"/>
          <w:lang w:eastAsia="en-AU"/>
        </w:rPr>
        <w:t xml:space="preserve">of the 2024 Listing Instrument </w:t>
      </w:r>
      <w:r w:rsidRPr="001B0568">
        <w:rPr>
          <w:rFonts w:ascii="Times New Roman" w:eastAsia="Times New Roman" w:hAnsi="Times New Roman" w:cs="Times New Roman"/>
          <w:bCs/>
          <w:sz w:val="24"/>
          <w:szCs w:val="24"/>
          <w:lang w:eastAsia="en-AU"/>
        </w:rPr>
        <w:t>are substantially the same as the definitions in</w:t>
      </w:r>
      <w:r w:rsidR="009C7603">
        <w:rPr>
          <w:rFonts w:ascii="Times New Roman" w:eastAsia="Times New Roman" w:hAnsi="Times New Roman" w:cs="Times New Roman"/>
          <w:bCs/>
          <w:sz w:val="24"/>
          <w:szCs w:val="24"/>
          <w:lang w:eastAsia="en-AU"/>
        </w:rPr>
        <w:t xml:space="preserve"> section 4 of</w:t>
      </w:r>
      <w:r w:rsidRPr="001B0568">
        <w:rPr>
          <w:rFonts w:ascii="Times New Roman" w:eastAsia="Times New Roman" w:hAnsi="Times New Roman" w:cs="Times New Roman"/>
          <w:bCs/>
          <w:sz w:val="24"/>
          <w:szCs w:val="24"/>
          <w:lang w:eastAsia="en-AU"/>
        </w:rPr>
        <w:t xml:space="preserve"> the </w:t>
      </w:r>
      <w:r w:rsidR="001B0568">
        <w:rPr>
          <w:rFonts w:ascii="Times New Roman" w:eastAsia="Times New Roman" w:hAnsi="Times New Roman" w:cs="Times New Roman"/>
          <w:bCs/>
          <w:sz w:val="24"/>
          <w:szCs w:val="24"/>
          <w:lang w:eastAsia="en-AU"/>
        </w:rPr>
        <w:t>2012 Listing Instrument.</w:t>
      </w:r>
      <w:r w:rsidR="002847CE">
        <w:rPr>
          <w:rFonts w:ascii="Times New Roman" w:eastAsia="Times New Roman" w:hAnsi="Times New Roman" w:cs="Times New Roman"/>
          <w:bCs/>
          <w:sz w:val="24"/>
          <w:szCs w:val="24"/>
          <w:lang w:eastAsia="en-AU"/>
        </w:rPr>
        <w:t xml:space="preserve"> Most of the definitions added </w:t>
      </w:r>
      <w:r w:rsidR="00114FD7">
        <w:rPr>
          <w:rFonts w:ascii="Times New Roman" w:eastAsia="Times New Roman" w:hAnsi="Times New Roman" w:cs="Times New Roman"/>
          <w:bCs/>
          <w:sz w:val="24"/>
          <w:szCs w:val="24"/>
          <w:lang w:eastAsia="en-AU"/>
        </w:rPr>
        <w:t>refer the reader to defined terms in Part VII of the Act.</w:t>
      </w:r>
      <w:r w:rsidR="00AB3C07">
        <w:rPr>
          <w:rFonts w:ascii="Times New Roman" w:eastAsia="Times New Roman" w:hAnsi="Times New Roman" w:cs="Times New Roman"/>
          <w:bCs/>
          <w:sz w:val="24"/>
          <w:szCs w:val="24"/>
          <w:lang w:eastAsia="en-AU"/>
        </w:rPr>
        <w:t xml:space="preserve"> The drafting of some of the definitions has been improved and certain definitions removed </w:t>
      </w:r>
      <w:r w:rsidR="00CD3F61">
        <w:rPr>
          <w:rFonts w:ascii="Times New Roman" w:eastAsia="Times New Roman" w:hAnsi="Times New Roman" w:cs="Times New Roman"/>
          <w:bCs/>
          <w:sz w:val="24"/>
          <w:szCs w:val="24"/>
          <w:lang w:eastAsia="en-AU"/>
        </w:rPr>
        <w:t>where these are</w:t>
      </w:r>
      <w:r w:rsidR="003420BA">
        <w:rPr>
          <w:rFonts w:ascii="Times New Roman" w:eastAsia="Times New Roman" w:hAnsi="Times New Roman" w:cs="Times New Roman"/>
          <w:bCs/>
          <w:sz w:val="24"/>
          <w:szCs w:val="24"/>
          <w:lang w:eastAsia="en-AU"/>
        </w:rPr>
        <w:t xml:space="preserve"> no longer required.</w:t>
      </w:r>
    </w:p>
    <w:p w14:paraId="6AA1F9CA" w14:textId="77777777" w:rsidR="00BB5E99" w:rsidRDefault="00BB5E99" w:rsidP="00167955">
      <w:pPr>
        <w:spacing w:after="0" w:line="240" w:lineRule="auto"/>
        <w:rPr>
          <w:rFonts w:ascii="Times New Roman" w:eastAsia="Times New Roman" w:hAnsi="Times New Roman" w:cs="Times New Roman"/>
          <w:bCs/>
          <w:sz w:val="24"/>
          <w:szCs w:val="24"/>
          <w:lang w:eastAsia="en-AU"/>
        </w:rPr>
      </w:pPr>
    </w:p>
    <w:p w14:paraId="3791E129" w14:textId="61EB6506" w:rsidR="00BB5E99" w:rsidRPr="001B0568" w:rsidRDefault="00BB5E99"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color w:val="000000"/>
          <w:sz w:val="24"/>
          <w:szCs w:val="24"/>
          <w:lang w:eastAsia="en-AU"/>
        </w:rPr>
        <w:t xml:space="preserve">Commonwealth Acts referenced </w:t>
      </w:r>
      <w:r w:rsidR="005E41E8">
        <w:rPr>
          <w:rFonts w:ascii="Times New Roman" w:eastAsia="Times New Roman" w:hAnsi="Times New Roman" w:cs="Times New Roman"/>
          <w:color w:val="000000"/>
          <w:sz w:val="24"/>
          <w:szCs w:val="24"/>
          <w:lang w:eastAsia="en-AU"/>
        </w:rPr>
        <w:t>in section 5</w:t>
      </w:r>
      <w:r>
        <w:rPr>
          <w:rFonts w:ascii="Times New Roman" w:eastAsia="Times New Roman" w:hAnsi="Times New Roman" w:cs="Times New Roman"/>
          <w:color w:val="000000"/>
          <w:sz w:val="24"/>
          <w:szCs w:val="24"/>
          <w:lang w:eastAsia="en-AU"/>
        </w:rPr>
        <w:t xml:space="preserve"> are incorporated as in force from time to time.</w:t>
      </w:r>
    </w:p>
    <w:p w14:paraId="10D8131B" w14:textId="77777777" w:rsidR="003A1FF9" w:rsidRDefault="003A1FF9" w:rsidP="00167955">
      <w:pPr>
        <w:spacing w:after="0" w:line="240" w:lineRule="auto"/>
        <w:rPr>
          <w:rFonts w:ascii="Times New Roman" w:eastAsia="Times New Roman" w:hAnsi="Times New Roman" w:cs="Times New Roman"/>
          <w:b/>
          <w:sz w:val="24"/>
          <w:szCs w:val="24"/>
          <w:lang w:eastAsia="en-AU"/>
        </w:rPr>
      </w:pPr>
    </w:p>
    <w:p w14:paraId="1A951BAD" w14:textId="672C9DC5" w:rsidR="003E4341" w:rsidRPr="00E87D73" w:rsidRDefault="003E4341" w:rsidP="00167955">
      <w:pPr>
        <w:spacing w:after="0" w:line="240" w:lineRule="auto"/>
        <w:rPr>
          <w:rFonts w:ascii="Times New Roman" w:eastAsia="Times New Roman" w:hAnsi="Times New Roman" w:cs="Times New Roman"/>
          <w:b/>
          <w:sz w:val="24"/>
          <w:szCs w:val="24"/>
          <w:lang w:eastAsia="en-AU"/>
        </w:rPr>
      </w:pPr>
      <w:r w:rsidRPr="00E87D73">
        <w:rPr>
          <w:rFonts w:ascii="Times New Roman" w:eastAsia="Times New Roman" w:hAnsi="Times New Roman" w:cs="Times New Roman"/>
          <w:b/>
          <w:sz w:val="24"/>
          <w:szCs w:val="24"/>
          <w:lang w:eastAsia="en-AU"/>
        </w:rPr>
        <w:t>Part 2—Pharmaceutical benefits</w:t>
      </w:r>
    </w:p>
    <w:p w14:paraId="33CDDFD3" w14:textId="77777777" w:rsidR="009E6173" w:rsidRDefault="009E6173" w:rsidP="00167955">
      <w:pPr>
        <w:spacing w:after="0" w:line="240" w:lineRule="auto"/>
        <w:rPr>
          <w:rFonts w:ascii="Times New Roman" w:eastAsia="Times New Roman" w:hAnsi="Times New Roman" w:cs="Times New Roman"/>
          <w:b/>
          <w:sz w:val="24"/>
          <w:szCs w:val="24"/>
          <w:lang w:eastAsia="en-AU"/>
        </w:rPr>
      </w:pPr>
    </w:p>
    <w:p w14:paraId="12D57F64" w14:textId="671DF848" w:rsidR="00FD4A97" w:rsidRPr="00650BA4" w:rsidRDefault="00FD4A97" w:rsidP="00167955">
      <w:pPr>
        <w:spacing w:after="0" w:line="240" w:lineRule="auto"/>
        <w:rPr>
          <w:rFonts w:ascii="Times New Roman" w:eastAsia="Times New Roman" w:hAnsi="Times New Roman" w:cs="Times New Roman"/>
          <w:bCs/>
          <w:sz w:val="24"/>
          <w:szCs w:val="24"/>
          <w:lang w:eastAsia="en-AU"/>
        </w:rPr>
      </w:pPr>
      <w:r w:rsidRPr="00650BA4">
        <w:rPr>
          <w:rFonts w:ascii="Times New Roman" w:eastAsia="Times New Roman" w:hAnsi="Times New Roman" w:cs="Times New Roman"/>
          <w:bCs/>
          <w:sz w:val="24"/>
          <w:szCs w:val="24"/>
          <w:lang w:eastAsia="en-AU"/>
        </w:rPr>
        <w:t>P</w:t>
      </w:r>
      <w:r w:rsidR="00FE3FDD" w:rsidRPr="00650BA4">
        <w:rPr>
          <w:rFonts w:ascii="Times New Roman" w:eastAsia="Times New Roman" w:hAnsi="Times New Roman" w:cs="Times New Roman"/>
          <w:bCs/>
          <w:sz w:val="24"/>
          <w:szCs w:val="24"/>
          <w:lang w:eastAsia="en-AU"/>
        </w:rPr>
        <w:t>art 2, in conjunction with Schedule</w:t>
      </w:r>
      <w:r w:rsidR="00650BA4" w:rsidRPr="00650BA4">
        <w:rPr>
          <w:rFonts w:ascii="Times New Roman" w:eastAsia="Times New Roman" w:hAnsi="Times New Roman" w:cs="Times New Roman"/>
          <w:bCs/>
          <w:sz w:val="24"/>
          <w:szCs w:val="24"/>
          <w:lang w:eastAsia="en-AU"/>
        </w:rPr>
        <w:t>s</w:t>
      </w:r>
      <w:r w:rsidR="00FE3FDD" w:rsidRPr="00650BA4">
        <w:rPr>
          <w:rFonts w:ascii="Times New Roman" w:eastAsia="Times New Roman" w:hAnsi="Times New Roman" w:cs="Times New Roman"/>
          <w:bCs/>
          <w:sz w:val="24"/>
          <w:szCs w:val="24"/>
          <w:lang w:eastAsia="en-AU"/>
        </w:rPr>
        <w:t xml:space="preserve"> 1 </w:t>
      </w:r>
      <w:r w:rsidR="00650BA4" w:rsidRPr="00650BA4">
        <w:rPr>
          <w:rFonts w:ascii="Times New Roman" w:eastAsia="Times New Roman" w:hAnsi="Times New Roman" w:cs="Times New Roman"/>
          <w:bCs/>
          <w:sz w:val="24"/>
          <w:szCs w:val="24"/>
          <w:lang w:eastAsia="en-AU"/>
        </w:rPr>
        <w:t xml:space="preserve">and 2 </w:t>
      </w:r>
      <w:r w:rsidR="00FE3FDD" w:rsidRPr="00650BA4">
        <w:rPr>
          <w:rFonts w:ascii="Times New Roman" w:eastAsia="Times New Roman" w:hAnsi="Times New Roman" w:cs="Times New Roman"/>
          <w:bCs/>
          <w:sz w:val="24"/>
          <w:szCs w:val="24"/>
          <w:lang w:eastAsia="en-AU"/>
        </w:rPr>
        <w:t>to this instrument, sets out the pharmaceutical benefits that are on the PBS and does this through declarations of drugs and medicinal preparations and</w:t>
      </w:r>
      <w:r w:rsidR="00C24A70">
        <w:rPr>
          <w:rFonts w:ascii="Times New Roman" w:eastAsia="Times New Roman" w:hAnsi="Times New Roman" w:cs="Times New Roman"/>
          <w:bCs/>
          <w:sz w:val="24"/>
          <w:szCs w:val="24"/>
          <w:lang w:eastAsia="en-AU"/>
        </w:rPr>
        <w:t>,</w:t>
      </w:r>
      <w:r w:rsidR="00FE3FDD" w:rsidRPr="00650BA4">
        <w:rPr>
          <w:rFonts w:ascii="Times New Roman" w:eastAsia="Times New Roman" w:hAnsi="Times New Roman" w:cs="Times New Roman"/>
          <w:bCs/>
          <w:sz w:val="24"/>
          <w:szCs w:val="24"/>
          <w:lang w:eastAsia="en-AU"/>
        </w:rPr>
        <w:t xml:space="preserve"> for ready-prepared pharmaceutical benefits, determinations of form, manners of administration and brands</w:t>
      </w:r>
      <w:r w:rsidR="00650BA4" w:rsidRPr="00650BA4">
        <w:rPr>
          <w:rFonts w:ascii="Times New Roman" w:eastAsia="Times New Roman" w:hAnsi="Times New Roman" w:cs="Times New Roman"/>
          <w:bCs/>
          <w:sz w:val="24"/>
          <w:szCs w:val="24"/>
          <w:lang w:eastAsia="en-AU"/>
        </w:rPr>
        <w:t>.</w:t>
      </w:r>
      <w:r w:rsidR="004C4E17">
        <w:rPr>
          <w:rFonts w:ascii="Times New Roman" w:eastAsia="Times New Roman" w:hAnsi="Times New Roman" w:cs="Times New Roman"/>
          <w:bCs/>
          <w:sz w:val="24"/>
          <w:szCs w:val="24"/>
          <w:lang w:eastAsia="en-AU"/>
        </w:rPr>
        <w:t xml:space="preserve"> It also determines the responsible person for </w:t>
      </w:r>
      <w:r w:rsidR="00C24A70">
        <w:rPr>
          <w:rFonts w:ascii="Times New Roman" w:eastAsia="Times New Roman" w:hAnsi="Times New Roman" w:cs="Times New Roman"/>
          <w:bCs/>
          <w:sz w:val="24"/>
          <w:szCs w:val="24"/>
          <w:lang w:eastAsia="en-AU"/>
        </w:rPr>
        <w:t xml:space="preserve">a </w:t>
      </w:r>
      <w:r w:rsidR="004C4E17">
        <w:rPr>
          <w:rFonts w:ascii="Times New Roman" w:eastAsia="Times New Roman" w:hAnsi="Times New Roman" w:cs="Times New Roman"/>
          <w:bCs/>
          <w:sz w:val="24"/>
          <w:szCs w:val="24"/>
          <w:lang w:eastAsia="en-AU"/>
        </w:rPr>
        <w:t xml:space="preserve">listed brand of pharmaceutical benefit </w:t>
      </w:r>
      <w:r w:rsidR="00C24A70">
        <w:rPr>
          <w:rFonts w:ascii="Times New Roman" w:eastAsia="Times New Roman" w:hAnsi="Times New Roman" w:cs="Times New Roman"/>
          <w:bCs/>
          <w:sz w:val="24"/>
          <w:szCs w:val="24"/>
          <w:lang w:eastAsia="en-AU"/>
        </w:rPr>
        <w:t xml:space="preserve">and </w:t>
      </w:r>
      <w:r w:rsidR="00D64028">
        <w:rPr>
          <w:rFonts w:ascii="Times New Roman" w:eastAsia="Times New Roman" w:hAnsi="Times New Roman" w:cs="Times New Roman"/>
          <w:bCs/>
          <w:sz w:val="24"/>
          <w:szCs w:val="24"/>
          <w:lang w:eastAsia="en-AU"/>
        </w:rPr>
        <w:t>schedule equivalent brands of pharmaceutical item.</w:t>
      </w:r>
    </w:p>
    <w:p w14:paraId="3EB8FAF3" w14:textId="77777777" w:rsidR="009B4861" w:rsidRDefault="009B4861" w:rsidP="00167955">
      <w:pPr>
        <w:spacing w:after="0" w:line="240" w:lineRule="auto"/>
        <w:rPr>
          <w:rFonts w:ascii="Times New Roman" w:eastAsia="Times New Roman" w:hAnsi="Times New Roman" w:cs="Times New Roman"/>
          <w:bCs/>
          <w:sz w:val="24"/>
          <w:szCs w:val="24"/>
          <w:lang w:eastAsia="en-AU"/>
        </w:rPr>
      </w:pPr>
    </w:p>
    <w:p w14:paraId="64E2EBEC" w14:textId="3755C997" w:rsidR="00F62E84" w:rsidRPr="00E87D73" w:rsidRDefault="00F62E84" w:rsidP="00167955">
      <w:pPr>
        <w:spacing w:after="0" w:line="240" w:lineRule="auto"/>
        <w:rPr>
          <w:rFonts w:ascii="Times New Roman" w:eastAsia="Times New Roman" w:hAnsi="Times New Roman" w:cs="Times New Roman"/>
          <w:bCs/>
          <w:sz w:val="24"/>
          <w:szCs w:val="24"/>
          <w:lang w:eastAsia="en-AU"/>
        </w:rPr>
      </w:pPr>
      <w:r w:rsidRPr="00E87D73">
        <w:rPr>
          <w:rFonts w:ascii="Times New Roman" w:eastAsia="Times New Roman" w:hAnsi="Times New Roman" w:cs="Times New Roman"/>
          <w:b/>
          <w:sz w:val="24"/>
          <w:szCs w:val="24"/>
          <w:lang w:eastAsia="en-AU"/>
        </w:rPr>
        <w:t xml:space="preserve">Section </w:t>
      </w:r>
      <w:r w:rsidR="007E2E81" w:rsidRPr="00E87D73">
        <w:rPr>
          <w:rFonts w:ascii="Times New Roman" w:eastAsia="Times New Roman" w:hAnsi="Times New Roman" w:cs="Times New Roman"/>
          <w:b/>
          <w:sz w:val="24"/>
          <w:szCs w:val="24"/>
          <w:lang w:eastAsia="en-AU"/>
        </w:rPr>
        <w:t>6</w:t>
      </w:r>
      <w:r w:rsidRPr="00E87D73">
        <w:rPr>
          <w:rFonts w:ascii="Times New Roman" w:eastAsia="Times New Roman" w:hAnsi="Times New Roman" w:cs="Times New Roman"/>
          <w:b/>
          <w:sz w:val="24"/>
          <w:szCs w:val="24"/>
          <w:lang w:eastAsia="en-AU"/>
        </w:rPr>
        <w:t xml:space="preserve"> – </w:t>
      </w:r>
      <w:r w:rsidR="002D1133" w:rsidRPr="00E87D73">
        <w:rPr>
          <w:rFonts w:ascii="Times New Roman" w:eastAsia="Times New Roman" w:hAnsi="Times New Roman" w:cs="Times New Roman"/>
          <w:b/>
          <w:sz w:val="24"/>
          <w:szCs w:val="24"/>
          <w:lang w:eastAsia="en-AU"/>
        </w:rPr>
        <w:t>Drugs and medicinal preparations to which Part VII of the Act applies (Act s</w:t>
      </w:r>
      <w:r w:rsidR="0057461D" w:rsidRPr="00E87D73">
        <w:rPr>
          <w:rFonts w:ascii="Times New Roman" w:eastAsia="Times New Roman" w:hAnsi="Times New Roman" w:cs="Times New Roman"/>
          <w:b/>
          <w:sz w:val="24"/>
          <w:szCs w:val="24"/>
          <w:lang w:eastAsia="en-AU"/>
        </w:rPr>
        <w:t xml:space="preserve"> </w:t>
      </w:r>
      <w:r w:rsidR="002D1133" w:rsidRPr="00E87D73">
        <w:rPr>
          <w:rFonts w:ascii="Times New Roman" w:eastAsia="Times New Roman" w:hAnsi="Times New Roman" w:cs="Times New Roman"/>
          <w:b/>
          <w:sz w:val="24"/>
          <w:szCs w:val="24"/>
          <w:lang w:eastAsia="en-AU"/>
        </w:rPr>
        <w:t>85(2))</w:t>
      </w:r>
    </w:p>
    <w:p w14:paraId="10BB10F5" w14:textId="77777777" w:rsidR="00F87E31" w:rsidRPr="00E87D73" w:rsidRDefault="00F87E31" w:rsidP="00167955">
      <w:pPr>
        <w:spacing w:after="0" w:line="240" w:lineRule="auto"/>
        <w:rPr>
          <w:rFonts w:ascii="Times New Roman" w:eastAsia="Times New Roman" w:hAnsi="Times New Roman" w:cs="Times New Roman"/>
          <w:bCs/>
          <w:sz w:val="24"/>
          <w:szCs w:val="24"/>
          <w:lang w:eastAsia="en-AU"/>
        </w:rPr>
      </w:pPr>
    </w:p>
    <w:p w14:paraId="164EC5D9" w14:textId="6E8D29A0" w:rsidR="0042454D" w:rsidRDefault="0042454D" w:rsidP="00167955">
      <w:pPr>
        <w:spacing w:after="0" w:line="240" w:lineRule="auto"/>
        <w:rPr>
          <w:rFonts w:ascii="Times New Roman" w:eastAsia="Times New Roman" w:hAnsi="Times New Roman" w:cs="Times New Roman"/>
          <w:bCs/>
          <w:sz w:val="24"/>
          <w:szCs w:val="24"/>
          <w:lang w:eastAsia="en-AU"/>
        </w:rPr>
      </w:pPr>
      <w:r w:rsidRPr="00E87D73">
        <w:rPr>
          <w:rFonts w:ascii="Times New Roman" w:eastAsia="Times New Roman" w:hAnsi="Times New Roman" w:cs="Times New Roman"/>
          <w:bCs/>
          <w:sz w:val="24"/>
          <w:szCs w:val="24"/>
          <w:lang w:eastAsia="en-AU"/>
        </w:rPr>
        <w:t xml:space="preserve">Paragraph 85(2)(a) </w:t>
      </w:r>
      <w:r w:rsidR="001337B4" w:rsidRPr="00E87D73">
        <w:rPr>
          <w:rFonts w:ascii="Times New Roman" w:eastAsia="Times New Roman" w:hAnsi="Times New Roman" w:cs="Times New Roman"/>
          <w:bCs/>
          <w:sz w:val="24"/>
          <w:szCs w:val="24"/>
          <w:lang w:eastAsia="en-AU"/>
        </w:rPr>
        <w:t xml:space="preserve">of the Act </w:t>
      </w:r>
      <w:r w:rsidRPr="00E87D73">
        <w:rPr>
          <w:rFonts w:ascii="Times New Roman" w:eastAsia="Times New Roman" w:hAnsi="Times New Roman" w:cs="Times New Roman"/>
          <w:bCs/>
          <w:sz w:val="24"/>
          <w:szCs w:val="24"/>
          <w:lang w:eastAsia="en-AU"/>
        </w:rPr>
        <w:t>empowers the Minister to declare the drugs and medicinal preparations in relation to which Part VII of the Act</w:t>
      </w:r>
      <w:r w:rsidR="00D66BE5" w:rsidRPr="00E87D73">
        <w:rPr>
          <w:rFonts w:ascii="Times New Roman" w:eastAsia="Times New Roman" w:hAnsi="Times New Roman" w:cs="Times New Roman"/>
          <w:bCs/>
          <w:sz w:val="24"/>
          <w:szCs w:val="24"/>
          <w:lang w:eastAsia="en-AU"/>
        </w:rPr>
        <w:t xml:space="preserve"> </w:t>
      </w:r>
      <w:r w:rsidRPr="00E87D73">
        <w:rPr>
          <w:rFonts w:ascii="Times New Roman" w:eastAsia="Times New Roman" w:hAnsi="Times New Roman" w:cs="Times New Roman"/>
          <w:bCs/>
          <w:sz w:val="24"/>
          <w:szCs w:val="24"/>
          <w:lang w:eastAsia="en-AU"/>
        </w:rPr>
        <w:t>applies. This includes the power to declare a class of drugs or medicinal preparations</w:t>
      </w:r>
      <w:r w:rsidR="00C0233A" w:rsidRPr="00E87D73">
        <w:rPr>
          <w:rFonts w:ascii="Times New Roman" w:eastAsia="Times New Roman" w:hAnsi="Times New Roman" w:cs="Times New Roman"/>
          <w:bCs/>
          <w:sz w:val="24"/>
          <w:szCs w:val="24"/>
          <w:lang w:eastAsia="en-AU"/>
        </w:rPr>
        <w:t xml:space="preserve"> to which Part VII of the Act applies</w:t>
      </w:r>
      <w:r w:rsidRPr="00E87D73">
        <w:rPr>
          <w:rFonts w:ascii="Times New Roman" w:eastAsia="Times New Roman" w:hAnsi="Times New Roman" w:cs="Times New Roman"/>
          <w:bCs/>
          <w:sz w:val="24"/>
          <w:szCs w:val="24"/>
          <w:lang w:eastAsia="en-AU"/>
        </w:rPr>
        <w:t>.</w:t>
      </w:r>
    </w:p>
    <w:p w14:paraId="5C7C9592" w14:textId="77777777" w:rsidR="00066D05" w:rsidRDefault="00066D05" w:rsidP="00167955">
      <w:pPr>
        <w:spacing w:after="0" w:line="240" w:lineRule="auto"/>
        <w:rPr>
          <w:rFonts w:ascii="Times New Roman" w:eastAsia="Times New Roman" w:hAnsi="Times New Roman" w:cs="Times New Roman"/>
          <w:bCs/>
          <w:sz w:val="24"/>
          <w:szCs w:val="24"/>
          <w:lang w:eastAsia="en-AU"/>
        </w:rPr>
      </w:pPr>
    </w:p>
    <w:p w14:paraId="63CD9D50" w14:textId="0384953D" w:rsidR="00066D05" w:rsidRPr="00E87D73" w:rsidRDefault="00066D05" w:rsidP="00167955">
      <w:pPr>
        <w:spacing w:after="0" w:line="240" w:lineRule="auto"/>
        <w:rPr>
          <w:rFonts w:ascii="Times New Roman" w:eastAsia="Times New Roman" w:hAnsi="Times New Roman" w:cs="Times New Roman"/>
          <w:bCs/>
          <w:sz w:val="24"/>
          <w:szCs w:val="24"/>
          <w:lang w:eastAsia="en-AU"/>
        </w:rPr>
      </w:pPr>
      <w:r w:rsidRPr="00066D05">
        <w:rPr>
          <w:rFonts w:ascii="Times New Roman" w:eastAsia="Times New Roman" w:hAnsi="Times New Roman" w:cs="Times New Roman"/>
          <w:bCs/>
          <w:sz w:val="24"/>
          <w:szCs w:val="24"/>
          <w:lang w:eastAsia="en-AU"/>
        </w:rPr>
        <w:t>The Minister may not declare, under paragraph 85(2)(a)</w:t>
      </w:r>
      <w:r w:rsidR="005659D4">
        <w:rPr>
          <w:rFonts w:ascii="Times New Roman" w:eastAsia="Times New Roman" w:hAnsi="Times New Roman" w:cs="Times New Roman"/>
          <w:bCs/>
          <w:sz w:val="24"/>
          <w:szCs w:val="24"/>
          <w:lang w:eastAsia="en-AU"/>
        </w:rPr>
        <w:t xml:space="preserve"> of the Act</w:t>
      </w:r>
      <w:r w:rsidRPr="00066D05">
        <w:rPr>
          <w:rFonts w:ascii="Times New Roman" w:eastAsia="Times New Roman" w:hAnsi="Times New Roman" w:cs="Times New Roman"/>
          <w:bCs/>
          <w:sz w:val="24"/>
          <w:szCs w:val="24"/>
          <w:lang w:eastAsia="en-AU"/>
        </w:rPr>
        <w:t xml:space="preserve">, a drug or medicinal preparation to be a drug or medicinal preparation in relation to which Part VII applies unless the Pharmaceutical Benefits Advisory Committee (PBAC) has recommended to the Minister </w:t>
      </w:r>
      <w:r w:rsidRPr="00066D05">
        <w:rPr>
          <w:rFonts w:ascii="Times New Roman" w:eastAsia="Times New Roman" w:hAnsi="Times New Roman" w:cs="Times New Roman"/>
          <w:bCs/>
          <w:sz w:val="24"/>
          <w:szCs w:val="24"/>
          <w:lang w:eastAsia="en-AU"/>
        </w:rPr>
        <w:lastRenderedPageBreak/>
        <w:t>that it be so declared (</w:t>
      </w:r>
      <w:r w:rsidR="005659D4">
        <w:rPr>
          <w:rFonts w:ascii="Times New Roman" w:eastAsia="Times New Roman" w:hAnsi="Times New Roman" w:cs="Times New Roman"/>
          <w:bCs/>
          <w:sz w:val="24"/>
          <w:szCs w:val="24"/>
          <w:lang w:eastAsia="en-AU"/>
        </w:rPr>
        <w:t xml:space="preserve">see </w:t>
      </w:r>
      <w:r w:rsidRPr="00066D05">
        <w:rPr>
          <w:rFonts w:ascii="Times New Roman" w:eastAsia="Times New Roman" w:hAnsi="Times New Roman" w:cs="Times New Roman"/>
          <w:bCs/>
          <w:sz w:val="24"/>
          <w:szCs w:val="24"/>
          <w:lang w:eastAsia="en-AU"/>
        </w:rPr>
        <w:t>subsection 101(4)</w:t>
      </w:r>
      <w:r w:rsidR="00B7024E">
        <w:rPr>
          <w:rFonts w:ascii="Times New Roman" w:eastAsia="Times New Roman" w:hAnsi="Times New Roman" w:cs="Times New Roman"/>
          <w:bCs/>
          <w:sz w:val="24"/>
          <w:szCs w:val="24"/>
          <w:lang w:eastAsia="en-AU"/>
        </w:rPr>
        <w:t xml:space="preserve"> of the Act</w:t>
      </w:r>
      <w:r w:rsidRPr="00066D05">
        <w:rPr>
          <w:rFonts w:ascii="Times New Roman" w:eastAsia="Times New Roman" w:hAnsi="Times New Roman" w:cs="Times New Roman"/>
          <w:bCs/>
          <w:sz w:val="24"/>
          <w:szCs w:val="24"/>
          <w:lang w:eastAsia="en-AU"/>
        </w:rPr>
        <w:t xml:space="preserve">). The new drugs and medicinal preparations which have been added to the PBS by </w:t>
      </w:r>
      <w:r w:rsidR="0097550D">
        <w:rPr>
          <w:rFonts w:ascii="Times New Roman" w:eastAsia="Times New Roman" w:hAnsi="Times New Roman" w:cs="Times New Roman"/>
          <w:bCs/>
          <w:sz w:val="24"/>
          <w:szCs w:val="24"/>
          <w:lang w:eastAsia="en-AU"/>
        </w:rPr>
        <w:t>the 2024 Listing Instrument</w:t>
      </w:r>
      <w:r w:rsidRPr="00066D05">
        <w:rPr>
          <w:rFonts w:ascii="Times New Roman" w:eastAsia="Times New Roman" w:hAnsi="Times New Roman" w:cs="Times New Roman"/>
          <w:bCs/>
          <w:sz w:val="24"/>
          <w:szCs w:val="24"/>
          <w:lang w:eastAsia="en-AU"/>
        </w:rPr>
        <w:t xml:space="preserve"> have been the subject of such recommendations by the PBAC to the Minister. These new drugs and medicinal preparations are listed in </w:t>
      </w:r>
      <w:r>
        <w:rPr>
          <w:rFonts w:ascii="Times New Roman" w:hAnsi="Times New Roman" w:cs="Times New Roman"/>
          <w:color w:val="000000"/>
          <w:sz w:val="24"/>
          <w:szCs w:val="24"/>
        </w:rPr>
        <w:t>Part 2 of Attachment A</w:t>
      </w:r>
      <w:r w:rsidRPr="00066D05">
        <w:rPr>
          <w:rFonts w:ascii="Times New Roman" w:eastAsia="Times New Roman" w:hAnsi="Times New Roman" w:cs="Times New Roman"/>
          <w:bCs/>
          <w:sz w:val="24"/>
          <w:szCs w:val="24"/>
          <w:lang w:eastAsia="en-AU"/>
        </w:rPr>
        <w:t>.</w:t>
      </w:r>
    </w:p>
    <w:p w14:paraId="62C61497" w14:textId="77777777" w:rsidR="009665DA" w:rsidRPr="00E87D73" w:rsidRDefault="009665DA" w:rsidP="00167955">
      <w:pPr>
        <w:spacing w:after="0" w:line="240" w:lineRule="auto"/>
        <w:rPr>
          <w:rFonts w:ascii="Times New Roman" w:eastAsia="Times New Roman" w:hAnsi="Times New Roman" w:cs="Times New Roman"/>
          <w:bCs/>
          <w:sz w:val="24"/>
          <w:szCs w:val="24"/>
          <w:lang w:eastAsia="en-AU"/>
        </w:rPr>
      </w:pPr>
    </w:p>
    <w:p w14:paraId="5C59DAFB" w14:textId="393F3F1A" w:rsidR="008B7788" w:rsidRPr="00E87D73" w:rsidRDefault="008B7788" w:rsidP="00167955">
      <w:pPr>
        <w:spacing w:after="0" w:line="240" w:lineRule="auto"/>
        <w:rPr>
          <w:rFonts w:ascii="Times New Roman" w:eastAsia="Times New Roman" w:hAnsi="Times New Roman" w:cs="Times New Roman"/>
          <w:bCs/>
          <w:sz w:val="24"/>
          <w:szCs w:val="24"/>
          <w:u w:val="single"/>
          <w:lang w:eastAsia="en-AU"/>
        </w:rPr>
      </w:pPr>
      <w:r w:rsidRPr="00E87D73">
        <w:rPr>
          <w:rFonts w:ascii="Times New Roman" w:eastAsia="Times New Roman" w:hAnsi="Times New Roman" w:cs="Times New Roman"/>
          <w:bCs/>
          <w:sz w:val="24"/>
          <w:szCs w:val="24"/>
          <w:u w:val="single"/>
          <w:lang w:eastAsia="en-AU"/>
        </w:rPr>
        <w:t>Declaration of drugs and medicinal preparations for ready-prepared pharmaceutical benefits</w:t>
      </w:r>
    </w:p>
    <w:p w14:paraId="7854964F" w14:textId="77777777" w:rsidR="008B7788" w:rsidRPr="00E87D73" w:rsidRDefault="008B7788" w:rsidP="00167955">
      <w:pPr>
        <w:spacing w:after="0" w:line="240" w:lineRule="auto"/>
        <w:rPr>
          <w:rFonts w:ascii="Times New Roman" w:eastAsia="Times New Roman" w:hAnsi="Times New Roman" w:cs="Times New Roman"/>
          <w:bCs/>
          <w:sz w:val="24"/>
          <w:szCs w:val="24"/>
          <w:lang w:eastAsia="en-AU"/>
        </w:rPr>
      </w:pPr>
    </w:p>
    <w:p w14:paraId="37BA1989" w14:textId="105DEDED" w:rsidR="00070AFF" w:rsidRDefault="00070AFF"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Subsection 6(1) of the 2024 Listing Instrument declares drugs and medicinal preparations for the purposes of ready-prepared pharmaceutical benefits.</w:t>
      </w:r>
    </w:p>
    <w:p w14:paraId="127A74DD" w14:textId="77777777" w:rsidR="00070AFF" w:rsidRDefault="00070AFF" w:rsidP="00167955">
      <w:pPr>
        <w:spacing w:after="0" w:line="240" w:lineRule="auto"/>
        <w:rPr>
          <w:rFonts w:ascii="Times New Roman" w:eastAsia="Times New Roman" w:hAnsi="Times New Roman" w:cs="Times New Roman"/>
          <w:bCs/>
          <w:sz w:val="24"/>
          <w:szCs w:val="24"/>
          <w:lang w:eastAsia="en-AU"/>
        </w:rPr>
      </w:pPr>
    </w:p>
    <w:p w14:paraId="61955FA8" w14:textId="7E7D4960" w:rsidR="004821CF" w:rsidRPr="00E87D73" w:rsidRDefault="004821CF" w:rsidP="00167955">
      <w:pPr>
        <w:spacing w:after="0" w:line="240" w:lineRule="auto"/>
        <w:rPr>
          <w:rFonts w:ascii="Times New Roman" w:eastAsia="Times New Roman" w:hAnsi="Times New Roman" w:cs="Times New Roman"/>
          <w:bCs/>
          <w:sz w:val="24"/>
          <w:szCs w:val="24"/>
          <w:lang w:eastAsia="en-AU"/>
        </w:rPr>
      </w:pPr>
      <w:r w:rsidRPr="00E87D73">
        <w:rPr>
          <w:rFonts w:ascii="Times New Roman" w:eastAsia="Times New Roman" w:hAnsi="Times New Roman" w:cs="Times New Roman"/>
          <w:bCs/>
          <w:sz w:val="24"/>
          <w:szCs w:val="24"/>
          <w:lang w:eastAsia="en-AU"/>
        </w:rPr>
        <w:t xml:space="preserve">Subsection </w:t>
      </w:r>
      <w:r w:rsidR="007E2E81" w:rsidRPr="00E87D73">
        <w:rPr>
          <w:rFonts w:ascii="Times New Roman" w:eastAsia="Times New Roman" w:hAnsi="Times New Roman" w:cs="Times New Roman"/>
          <w:bCs/>
          <w:sz w:val="24"/>
          <w:szCs w:val="24"/>
          <w:lang w:eastAsia="en-AU"/>
        </w:rPr>
        <w:t>6</w:t>
      </w:r>
      <w:r w:rsidRPr="00E87D73">
        <w:rPr>
          <w:rFonts w:ascii="Times New Roman" w:eastAsia="Times New Roman" w:hAnsi="Times New Roman" w:cs="Times New Roman"/>
          <w:bCs/>
          <w:sz w:val="24"/>
          <w:szCs w:val="24"/>
          <w:lang w:eastAsia="en-AU"/>
        </w:rPr>
        <w:t xml:space="preserve">(1) of the </w:t>
      </w:r>
      <w:r w:rsidR="008217B4">
        <w:rPr>
          <w:rFonts w:ascii="Times New Roman" w:eastAsia="Times New Roman" w:hAnsi="Times New Roman" w:cs="Times New Roman"/>
          <w:bCs/>
          <w:sz w:val="24"/>
          <w:szCs w:val="24"/>
          <w:lang w:eastAsia="en-AU"/>
        </w:rPr>
        <w:t>2024 Listing I</w:t>
      </w:r>
      <w:r w:rsidR="00A4619C">
        <w:rPr>
          <w:rFonts w:ascii="Times New Roman" w:eastAsia="Times New Roman" w:hAnsi="Times New Roman" w:cs="Times New Roman"/>
          <w:bCs/>
          <w:sz w:val="24"/>
          <w:szCs w:val="24"/>
          <w:lang w:eastAsia="en-AU"/>
        </w:rPr>
        <w:t>nstrument</w:t>
      </w:r>
      <w:r w:rsidR="00A4619C" w:rsidRPr="00E87D73">
        <w:rPr>
          <w:rFonts w:ascii="Times New Roman" w:eastAsia="Times New Roman" w:hAnsi="Times New Roman" w:cs="Times New Roman"/>
          <w:bCs/>
          <w:sz w:val="24"/>
          <w:szCs w:val="24"/>
          <w:lang w:eastAsia="en-AU"/>
        </w:rPr>
        <w:t xml:space="preserve"> </w:t>
      </w:r>
      <w:r w:rsidRPr="00E87D73">
        <w:rPr>
          <w:rFonts w:ascii="Times New Roman" w:eastAsia="Times New Roman" w:hAnsi="Times New Roman" w:cs="Times New Roman"/>
          <w:bCs/>
          <w:sz w:val="24"/>
          <w:szCs w:val="24"/>
          <w:lang w:eastAsia="en-AU"/>
        </w:rPr>
        <w:t>provides that Part VII of the Act applies to a drug or medicinal preparation mentioned in the column of a table in Schedule</w:t>
      </w:r>
      <w:r w:rsidR="008D1FFA" w:rsidRPr="00E87D73">
        <w:rPr>
          <w:rFonts w:ascii="Times New Roman" w:eastAsia="Times New Roman" w:hAnsi="Times New Roman" w:cs="Times New Roman"/>
          <w:bCs/>
          <w:sz w:val="24"/>
          <w:szCs w:val="24"/>
          <w:lang w:eastAsia="en-AU"/>
        </w:rPr>
        <w:t xml:space="preserve"> </w:t>
      </w:r>
      <w:r w:rsidRPr="00E87D73">
        <w:rPr>
          <w:rFonts w:ascii="Times New Roman" w:eastAsia="Times New Roman" w:hAnsi="Times New Roman" w:cs="Times New Roman"/>
          <w:bCs/>
          <w:sz w:val="24"/>
          <w:szCs w:val="24"/>
          <w:lang w:eastAsia="en-AU"/>
        </w:rPr>
        <w:t xml:space="preserve">1 </w:t>
      </w:r>
      <w:r w:rsidR="008D1FFA" w:rsidRPr="00E87D73">
        <w:rPr>
          <w:rFonts w:ascii="Times New Roman" w:eastAsia="Times New Roman" w:hAnsi="Times New Roman" w:cs="Times New Roman"/>
          <w:bCs/>
          <w:sz w:val="24"/>
          <w:szCs w:val="24"/>
          <w:lang w:eastAsia="en-AU"/>
        </w:rPr>
        <w:t xml:space="preserve">to </w:t>
      </w:r>
      <w:r w:rsidR="006E1EF2">
        <w:rPr>
          <w:rFonts w:ascii="Times New Roman" w:eastAsia="Times New Roman" w:hAnsi="Times New Roman" w:cs="Times New Roman"/>
          <w:bCs/>
          <w:sz w:val="24"/>
          <w:szCs w:val="24"/>
          <w:lang w:eastAsia="en-AU"/>
        </w:rPr>
        <w:t>this</w:t>
      </w:r>
      <w:r w:rsidR="00011DF8">
        <w:rPr>
          <w:rFonts w:ascii="Times New Roman" w:eastAsia="Times New Roman" w:hAnsi="Times New Roman" w:cs="Times New Roman"/>
          <w:bCs/>
          <w:sz w:val="24"/>
          <w:szCs w:val="24"/>
          <w:lang w:eastAsia="en-AU"/>
        </w:rPr>
        <w:t xml:space="preserve"> </w:t>
      </w:r>
      <w:r w:rsidR="006E1EF2">
        <w:rPr>
          <w:rFonts w:ascii="Times New Roman" w:eastAsia="Times New Roman" w:hAnsi="Times New Roman" w:cs="Times New Roman"/>
          <w:bCs/>
          <w:sz w:val="24"/>
          <w:szCs w:val="24"/>
          <w:lang w:eastAsia="en-AU"/>
        </w:rPr>
        <w:t>i</w:t>
      </w:r>
      <w:r w:rsidR="00011DF8">
        <w:rPr>
          <w:rFonts w:ascii="Times New Roman" w:eastAsia="Times New Roman" w:hAnsi="Times New Roman" w:cs="Times New Roman"/>
          <w:bCs/>
          <w:sz w:val="24"/>
          <w:szCs w:val="24"/>
          <w:lang w:eastAsia="en-AU"/>
        </w:rPr>
        <w:t>nstrument</w:t>
      </w:r>
      <w:r w:rsidR="008D1FFA" w:rsidRPr="00E87D73">
        <w:rPr>
          <w:rFonts w:ascii="Times New Roman" w:eastAsia="Times New Roman" w:hAnsi="Times New Roman" w:cs="Times New Roman"/>
          <w:bCs/>
          <w:sz w:val="24"/>
          <w:szCs w:val="24"/>
          <w:lang w:eastAsia="en-AU"/>
        </w:rPr>
        <w:t xml:space="preserve"> </w:t>
      </w:r>
      <w:r w:rsidRPr="00E87D73">
        <w:rPr>
          <w:rFonts w:ascii="Times New Roman" w:eastAsia="Times New Roman" w:hAnsi="Times New Roman" w:cs="Times New Roman"/>
          <w:bCs/>
          <w:sz w:val="24"/>
          <w:szCs w:val="24"/>
          <w:lang w:eastAsia="en-AU"/>
        </w:rPr>
        <w:t>headed “Listed Drug”.</w:t>
      </w:r>
    </w:p>
    <w:p w14:paraId="66C539B8" w14:textId="77777777" w:rsidR="004821CF" w:rsidRPr="00E87D73" w:rsidRDefault="004821CF" w:rsidP="00167955">
      <w:pPr>
        <w:spacing w:after="0" w:line="240" w:lineRule="auto"/>
        <w:rPr>
          <w:rFonts w:ascii="Times New Roman" w:eastAsia="Times New Roman" w:hAnsi="Times New Roman" w:cs="Times New Roman"/>
          <w:bCs/>
          <w:sz w:val="24"/>
          <w:szCs w:val="24"/>
          <w:lang w:eastAsia="en-AU"/>
        </w:rPr>
      </w:pPr>
    </w:p>
    <w:p w14:paraId="727665C7" w14:textId="2774F57E" w:rsidR="003511ED" w:rsidRPr="00E87D73" w:rsidRDefault="003511ED" w:rsidP="00167955">
      <w:pPr>
        <w:spacing w:after="0" w:line="240" w:lineRule="auto"/>
        <w:rPr>
          <w:rFonts w:ascii="Times New Roman" w:eastAsia="Times New Roman" w:hAnsi="Times New Roman" w:cs="Times New Roman"/>
          <w:bCs/>
          <w:sz w:val="24"/>
          <w:szCs w:val="24"/>
          <w:lang w:eastAsia="en-AU"/>
        </w:rPr>
      </w:pPr>
      <w:r w:rsidRPr="00E87D73">
        <w:rPr>
          <w:rFonts w:ascii="Times New Roman" w:eastAsia="Times New Roman" w:hAnsi="Times New Roman" w:cs="Times New Roman"/>
          <w:bCs/>
          <w:sz w:val="24"/>
          <w:szCs w:val="24"/>
          <w:lang w:eastAsia="en-AU"/>
        </w:rPr>
        <w:t>For the</w:t>
      </w:r>
      <w:r w:rsidR="007417D5">
        <w:rPr>
          <w:rFonts w:ascii="Times New Roman" w:eastAsia="Times New Roman" w:hAnsi="Times New Roman" w:cs="Times New Roman"/>
          <w:bCs/>
          <w:sz w:val="24"/>
          <w:szCs w:val="24"/>
          <w:lang w:eastAsia="en-AU"/>
        </w:rPr>
        <w:t>se</w:t>
      </w:r>
      <w:r w:rsidRPr="00E87D73">
        <w:rPr>
          <w:rFonts w:ascii="Times New Roman" w:eastAsia="Times New Roman" w:hAnsi="Times New Roman" w:cs="Times New Roman"/>
          <w:bCs/>
          <w:sz w:val="24"/>
          <w:szCs w:val="24"/>
          <w:lang w:eastAsia="en-AU"/>
        </w:rPr>
        <w:t xml:space="preserve"> drugs</w:t>
      </w:r>
      <w:r w:rsidR="009F7DDD">
        <w:rPr>
          <w:rFonts w:ascii="Times New Roman" w:eastAsia="Times New Roman" w:hAnsi="Times New Roman" w:cs="Times New Roman"/>
          <w:bCs/>
          <w:sz w:val="24"/>
          <w:szCs w:val="24"/>
          <w:lang w:eastAsia="en-AU"/>
        </w:rPr>
        <w:t xml:space="preserve"> and medicinal preparations</w:t>
      </w:r>
      <w:r w:rsidR="007417D5">
        <w:rPr>
          <w:rFonts w:ascii="Times New Roman" w:eastAsia="Times New Roman" w:hAnsi="Times New Roman" w:cs="Times New Roman"/>
          <w:bCs/>
          <w:sz w:val="24"/>
          <w:szCs w:val="24"/>
          <w:lang w:eastAsia="en-AU"/>
        </w:rPr>
        <w:t>,</w:t>
      </w:r>
      <w:r w:rsidRPr="00E87D73">
        <w:rPr>
          <w:rFonts w:ascii="Times New Roman" w:eastAsia="Times New Roman" w:hAnsi="Times New Roman" w:cs="Times New Roman"/>
          <w:bCs/>
          <w:sz w:val="24"/>
          <w:szCs w:val="24"/>
          <w:lang w:eastAsia="en-AU"/>
        </w:rPr>
        <w:t xml:space="preserve"> there are</w:t>
      </w:r>
      <w:r w:rsidR="00C372D6" w:rsidRPr="00E87D73">
        <w:rPr>
          <w:rFonts w:ascii="Times New Roman" w:eastAsia="Times New Roman" w:hAnsi="Times New Roman" w:cs="Times New Roman"/>
          <w:bCs/>
          <w:sz w:val="24"/>
          <w:szCs w:val="24"/>
          <w:lang w:eastAsia="en-AU"/>
        </w:rPr>
        <w:t xml:space="preserve"> then</w:t>
      </w:r>
      <w:r w:rsidRPr="00E87D73">
        <w:rPr>
          <w:rFonts w:ascii="Times New Roman" w:eastAsia="Times New Roman" w:hAnsi="Times New Roman" w:cs="Times New Roman"/>
          <w:bCs/>
          <w:sz w:val="24"/>
          <w:szCs w:val="24"/>
          <w:lang w:eastAsia="en-AU"/>
        </w:rPr>
        <w:t xml:space="preserve"> determinations made </w:t>
      </w:r>
      <w:r w:rsidR="00823B24" w:rsidRPr="00E87D73">
        <w:rPr>
          <w:rFonts w:ascii="Times New Roman" w:eastAsia="Times New Roman" w:hAnsi="Times New Roman" w:cs="Times New Roman"/>
          <w:bCs/>
          <w:sz w:val="24"/>
          <w:szCs w:val="24"/>
          <w:lang w:eastAsia="en-AU"/>
        </w:rPr>
        <w:t xml:space="preserve">by the Minister </w:t>
      </w:r>
      <w:r w:rsidRPr="00E87D73">
        <w:rPr>
          <w:rFonts w:ascii="Times New Roman" w:eastAsia="Times New Roman" w:hAnsi="Times New Roman" w:cs="Times New Roman"/>
          <w:bCs/>
          <w:sz w:val="24"/>
          <w:szCs w:val="24"/>
          <w:lang w:eastAsia="en-AU"/>
        </w:rPr>
        <w:t xml:space="preserve">in </w:t>
      </w:r>
      <w:r w:rsidR="00AB3080" w:rsidRPr="00E87D73">
        <w:rPr>
          <w:rFonts w:ascii="Times New Roman" w:eastAsia="Times New Roman" w:hAnsi="Times New Roman" w:cs="Times New Roman"/>
          <w:bCs/>
          <w:sz w:val="24"/>
          <w:szCs w:val="24"/>
          <w:lang w:eastAsia="en-AU"/>
        </w:rPr>
        <w:t xml:space="preserve">sections </w:t>
      </w:r>
      <w:r w:rsidR="00442716" w:rsidRPr="00E87D73">
        <w:rPr>
          <w:rFonts w:ascii="Times New Roman" w:eastAsia="Times New Roman" w:hAnsi="Times New Roman" w:cs="Times New Roman"/>
          <w:bCs/>
          <w:sz w:val="24"/>
          <w:szCs w:val="24"/>
          <w:lang w:eastAsia="en-AU"/>
        </w:rPr>
        <w:t>7</w:t>
      </w:r>
      <w:r w:rsidR="00AB3080" w:rsidRPr="00E87D73">
        <w:rPr>
          <w:rFonts w:ascii="Times New Roman" w:eastAsia="Times New Roman" w:hAnsi="Times New Roman" w:cs="Times New Roman"/>
          <w:bCs/>
          <w:sz w:val="24"/>
          <w:szCs w:val="24"/>
          <w:lang w:eastAsia="en-AU"/>
        </w:rPr>
        <w:t xml:space="preserve">, </w:t>
      </w:r>
      <w:r w:rsidR="00442716" w:rsidRPr="00E87D73">
        <w:rPr>
          <w:rFonts w:ascii="Times New Roman" w:eastAsia="Times New Roman" w:hAnsi="Times New Roman" w:cs="Times New Roman"/>
          <w:bCs/>
          <w:sz w:val="24"/>
          <w:szCs w:val="24"/>
          <w:lang w:eastAsia="en-AU"/>
        </w:rPr>
        <w:t>8</w:t>
      </w:r>
      <w:r w:rsidR="00AB3080" w:rsidRPr="00E87D73">
        <w:rPr>
          <w:rFonts w:ascii="Times New Roman" w:eastAsia="Times New Roman" w:hAnsi="Times New Roman" w:cs="Times New Roman"/>
          <w:bCs/>
          <w:sz w:val="24"/>
          <w:szCs w:val="24"/>
          <w:lang w:eastAsia="en-AU"/>
        </w:rPr>
        <w:t xml:space="preserve">, and </w:t>
      </w:r>
      <w:r w:rsidR="00442716" w:rsidRPr="00E87D73">
        <w:rPr>
          <w:rFonts w:ascii="Times New Roman" w:eastAsia="Times New Roman" w:hAnsi="Times New Roman" w:cs="Times New Roman"/>
          <w:bCs/>
          <w:sz w:val="24"/>
          <w:szCs w:val="24"/>
          <w:lang w:eastAsia="en-AU"/>
        </w:rPr>
        <w:t>9</w:t>
      </w:r>
      <w:r w:rsidR="00AB3080" w:rsidRPr="00E87D73">
        <w:rPr>
          <w:rFonts w:ascii="Times New Roman" w:eastAsia="Times New Roman" w:hAnsi="Times New Roman" w:cs="Times New Roman"/>
          <w:bCs/>
          <w:sz w:val="24"/>
          <w:szCs w:val="24"/>
          <w:lang w:eastAsia="en-AU"/>
        </w:rPr>
        <w:t xml:space="preserve"> of </w:t>
      </w:r>
      <w:r w:rsidR="00011DF8">
        <w:rPr>
          <w:rFonts w:ascii="Times New Roman" w:eastAsia="Times New Roman" w:hAnsi="Times New Roman" w:cs="Times New Roman"/>
          <w:bCs/>
          <w:sz w:val="24"/>
          <w:szCs w:val="24"/>
          <w:lang w:eastAsia="en-AU"/>
        </w:rPr>
        <w:t>the</w:t>
      </w:r>
      <w:r w:rsidR="00AB3080" w:rsidRPr="00E87D73">
        <w:rPr>
          <w:rFonts w:ascii="Times New Roman" w:eastAsia="Times New Roman" w:hAnsi="Times New Roman" w:cs="Times New Roman"/>
          <w:bCs/>
          <w:sz w:val="24"/>
          <w:szCs w:val="24"/>
          <w:lang w:eastAsia="en-AU"/>
        </w:rPr>
        <w:t xml:space="preserve"> </w:t>
      </w:r>
      <w:r w:rsidR="006E1EF2">
        <w:rPr>
          <w:rFonts w:ascii="Times New Roman" w:eastAsia="Times New Roman" w:hAnsi="Times New Roman" w:cs="Times New Roman"/>
          <w:bCs/>
          <w:sz w:val="24"/>
          <w:szCs w:val="24"/>
          <w:lang w:eastAsia="en-AU"/>
        </w:rPr>
        <w:t>instrument</w:t>
      </w:r>
      <w:r w:rsidR="00AB3080" w:rsidRPr="00E87D73">
        <w:rPr>
          <w:rFonts w:ascii="Times New Roman" w:eastAsia="Times New Roman" w:hAnsi="Times New Roman" w:cs="Times New Roman"/>
          <w:bCs/>
          <w:sz w:val="24"/>
          <w:szCs w:val="24"/>
          <w:lang w:eastAsia="en-AU"/>
        </w:rPr>
        <w:t xml:space="preserve"> concerning </w:t>
      </w:r>
      <w:r w:rsidR="00B4061A" w:rsidRPr="00E87D73">
        <w:rPr>
          <w:rFonts w:ascii="Times New Roman" w:eastAsia="Times New Roman" w:hAnsi="Times New Roman" w:cs="Times New Roman"/>
          <w:bCs/>
          <w:sz w:val="24"/>
          <w:szCs w:val="24"/>
          <w:lang w:eastAsia="en-AU"/>
        </w:rPr>
        <w:t>the form</w:t>
      </w:r>
      <w:r w:rsidR="00172EFB">
        <w:rPr>
          <w:rFonts w:ascii="Times New Roman" w:eastAsia="Times New Roman" w:hAnsi="Times New Roman" w:cs="Times New Roman"/>
          <w:bCs/>
          <w:sz w:val="24"/>
          <w:szCs w:val="24"/>
          <w:lang w:eastAsia="en-AU"/>
        </w:rPr>
        <w:t xml:space="preserve"> of that drug</w:t>
      </w:r>
      <w:r w:rsidR="00B4061A" w:rsidRPr="00E87D73">
        <w:rPr>
          <w:rFonts w:ascii="Times New Roman" w:eastAsia="Times New Roman" w:hAnsi="Times New Roman" w:cs="Times New Roman"/>
          <w:bCs/>
          <w:sz w:val="24"/>
          <w:szCs w:val="24"/>
          <w:lang w:eastAsia="en-AU"/>
        </w:rPr>
        <w:t xml:space="preserve">, </w:t>
      </w:r>
      <w:r w:rsidR="00172EFB">
        <w:rPr>
          <w:rFonts w:ascii="Times New Roman" w:eastAsia="Times New Roman" w:hAnsi="Times New Roman" w:cs="Times New Roman"/>
          <w:bCs/>
          <w:sz w:val="24"/>
          <w:szCs w:val="24"/>
          <w:lang w:eastAsia="en-AU"/>
        </w:rPr>
        <w:t xml:space="preserve">the </w:t>
      </w:r>
      <w:r w:rsidR="00B4061A" w:rsidRPr="00E87D73">
        <w:rPr>
          <w:rFonts w:ascii="Times New Roman" w:eastAsia="Times New Roman" w:hAnsi="Times New Roman" w:cs="Times New Roman"/>
          <w:bCs/>
          <w:sz w:val="24"/>
          <w:szCs w:val="24"/>
          <w:lang w:eastAsia="en-AU"/>
        </w:rPr>
        <w:t xml:space="preserve">manner of administration </w:t>
      </w:r>
      <w:r w:rsidR="00172EFB">
        <w:rPr>
          <w:rFonts w:ascii="Times New Roman" w:eastAsia="Times New Roman" w:hAnsi="Times New Roman" w:cs="Times New Roman"/>
          <w:bCs/>
          <w:sz w:val="24"/>
          <w:szCs w:val="24"/>
          <w:lang w:eastAsia="en-AU"/>
        </w:rPr>
        <w:t>of that drug in that form</w:t>
      </w:r>
      <w:r w:rsidR="00B03FA5">
        <w:rPr>
          <w:rFonts w:ascii="Times New Roman" w:eastAsia="Times New Roman" w:hAnsi="Times New Roman" w:cs="Times New Roman"/>
          <w:bCs/>
          <w:sz w:val="24"/>
          <w:szCs w:val="24"/>
          <w:lang w:eastAsia="en-AU"/>
        </w:rPr>
        <w:t>,</w:t>
      </w:r>
      <w:r w:rsidR="00172EFB">
        <w:rPr>
          <w:rFonts w:ascii="Times New Roman" w:eastAsia="Times New Roman" w:hAnsi="Times New Roman" w:cs="Times New Roman"/>
          <w:bCs/>
          <w:sz w:val="24"/>
          <w:szCs w:val="24"/>
          <w:lang w:eastAsia="en-AU"/>
        </w:rPr>
        <w:t xml:space="preserve"> </w:t>
      </w:r>
      <w:r w:rsidR="00B4061A" w:rsidRPr="00E87D73">
        <w:rPr>
          <w:rFonts w:ascii="Times New Roman" w:eastAsia="Times New Roman" w:hAnsi="Times New Roman" w:cs="Times New Roman"/>
          <w:bCs/>
          <w:sz w:val="24"/>
          <w:szCs w:val="24"/>
          <w:lang w:eastAsia="en-AU"/>
        </w:rPr>
        <w:t xml:space="preserve">and </w:t>
      </w:r>
      <w:r w:rsidR="00172EFB">
        <w:rPr>
          <w:rFonts w:ascii="Times New Roman" w:eastAsia="Times New Roman" w:hAnsi="Times New Roman" w:cs="Times New Roman"/>
          <w:bCs/>
          <w:sz w:val="24"/>
          <w:szCs w:val="24"/>
          <w:lang w:eastAsia="en-AU"/>
        </w:rPr>
        <w:t xml:space="preserve">the </w:t>
      </w:r>
      <w:r w:rsidR="00B4061A" w:rsidRPr="00E87D73">
        <w:rPr>
          <w:rFonts w:ascii="Times New Roman" w:eastAsia="Times New Roman" w:hAnsi="Times New Roman" w:cs="Times New Roman"/>
          <w:bCs/>
          <w:sz w:val="24"/>
          <w:szCs w:val="24"/>
          <w:lang w:eastAsia="en-AU"/>
        </w:rPr>
        <w:t xml:space="preserve">brand of </w:t>
      </w:r>
      <w:r w:rsidR="00B03FA5">
        <w:rPr>
          <w:rFonts w:ascii="Times New Roman" w:eastAsia="Times New Roman" w:hAnsi="Times New Roman" w:cs="Times New Roman"/>
          <w:bCs/>
          <w:sz w:val="24"/>
          <w:szCs w:val="24"/>
          <w:lang w:eastAsia="en-AU"/>
        </w:rPr>
        <w:t>that</w:t>
      </w:r>
      <w:r w:rsidR="00B4061A" w:rsidRPr="00E87D73">
        <w:rPr>
          <w:rFonts w:ascii="Times New Roman" w:eastAsia="Times New Roman" w:hAnsi="Times New Roman" w:cs="Times New Roman"/>
          <w:bCs/>
          <w:sz w:val="24"/>
          <w:szCs w:val="24"/>
          <w:lang w:eastAsia="en-AU"/>
        </w:rPr>
        <w:t xml:space="preserve"> </w:t>
      </w:r>
      <w:r w:rsidR="00172EFB">
        <w:rPr>
          <w:rFonts w:ascii="Times New Roman" w:eastAsia="Times New Roman" w:hAnsi="Times New Roman" w:cs="Times New Roman"/>
          <w:bCs/>
          <w:sz w:val="24"/>
          <w:szCs w:val="24"/>
          <w:lang w:eastAsia="en-AU"/>
        </w:rPr>
        <w:t xml:space="preserve">drug </w:t>
      </w:r>
      <w:r w:rsidR="00B03FA5">
        <w:rPr>
          <w:rFonts w:ascii="Times New Roman" w:eastAsia="Times New Roman" w:hAnsi="Times New Roman" w:cs="Times New Roman"/>
          <w:bCs/>
          <w:sz w:val="24"/>
          <w:szCs w:val="24"/>
          <w:lang w:eastAsia="en-AU"/>
        </w:rPr>
        <w:t xml:space="preserve">in that form </w:t>
      </w:r>
      <w:r w:rsidR="00172EFB">
        <w:rPr>
          <w:rFonts w:ascii="Times New Roman" w:eastAsia="Times New Roman" w:hAnsi="Times New Roman" w:cs="Times New Roman"/>
          <w:bCs/>
          <w:sz w:val="24"/>
          <w:szCs w:val="24"/>
          <w:lang w:eastAsia="en-AU"/>
        </w:rPr>
        <w:t>with that manner of administration</w:t>
      </w:r>
      <w:r w:rsidR="00B4061A" w:rsidRPr="00E87D73">
        <w:rPr>
          <w:rFonts w:ascii="Times New Roman" w:eastAsia="Times New Roman" w:hAnsi="Times New Roman" w:cs="Times New Roman"/>
          <w:bCs/>
          <w:sz w:val="24"/>
          <w:szCs w:val="24"/>
          <w:lang w:eastAsia="en-AU"/>
        </w:rPr>
        <w:t>.</w:t>
      </w:r>
    </w:p>
    <w:p w14:paraId="12FE37FB" w14:textId="2E31C9E3" w:rsidR="00AB3080" w:rsidRPr="00E87D73" w:rsidRDefault="00AB3080" w:rsidP="00167955">
      <w:pPr>
        <w:spacing w:after="0" w:line="240" w:lineRule="auto"/>
        <w:rPr>
          <w:rFonts w:ascii="Times New Roman" w:eastAsia="Times New Roman" w:hAnsi="Times New Roman" w:cs="Times New Roman"/>
          <w:bCs/>
          <w:sz w:val="24"/>
          <w:szCs w:val="24"/>
          <w:lang w:eastAsia="en-AU"/>
        </w:rPr>
      </w:pPr>
    </w:p>
    <w:p w14:paraId="2422311F" w14:textId="7DB1D673" w:rsidR="008B7788" w:rsidRPr="00E87D73" w:rsidRDefault="008B7788" w:rsidP="00167955">
      <w:pPr>
        <w:spacing w:after="0" w:line="240" w:lineRule="auto"/>
        <w:rPr>
          <w:rFonts w:ascii="Times New Roman" w:eastAsia="Times New Roman" w:hAnsi="Times New Roman" w:cs="Times New Roman"/>
          <w:bCs/>
          <w:sz w:val="24"/>
          <w:szCs w:val="24"/>
          <w:u w:val="single"/>
          <w:lang w:eastAsia="en-AU"/>
        </w:rPr>
      </w:pPr>
      <w:r w:rsidRPr="00E87D73">
        <w:rPr>
          <w:rFonts w:ascii="Times New Roman" w:eastAsia="Times New Roman" w:hAnsi="Times New Roman" w:cs="Times New Roman"/>
          <w:bCs/>
          <w:sz w:val="24"/>
          <w:szCs w:val="24"/>
          <w:u w:val="single"/>
          <w:lang w:eastAsia="en-AU"/>
        </w:rPr>
        <w:t>Declaration of drugs and medicinal preparations for extemporaneously-prepared pharmaceutical benefits</w:t>
      </w:r>
    </w:p>
    <w:p w14:paraId="23D49DAE" w14:textId="77777777" w:rsidR="00FC4A0F" w:rsidRPr="00E87D73" w:rsidRDefault="00FC4A0F" w:rsidP="00167955">
      <w:pPr>
        <w:spacing w:after="0" w:line="240" w:lineRule="auto"/>
        <w:rPr>
          <w:rFonts w:ascii="Times New Roman" w:eastAsia="Times New Roman" w:hAnsi="Times New Roman" w:cs="Times New Roman"/>
          <w:bCs/>
          <w:sz w:val="24"/>
          <w:szCs w:val="24"/>
          <w:u w:val="single"/>
          <w:lang w:eastAsia="en-AU"/>
        </w:rPr>
      </w:pPr>
    </w:p>
    <w:p w14:paraId="26D57D9D" w14:textId="4CFAA1F0" w:rsidR="000E5270" w:rsidRPr="00E87D73" w:rsidRDefault="009A442E"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FC4A0F" w:rsidRPr="00E87D73">
        <w:rPr>
          <w:rFonts w:ascii="Times New Roman" w:eastAsia="Times New Roman" w:hAnsi="Times New Roman" w:cs="Times New Roman"/>
          <w:bCs/>
          <w:sz w:val="24"/>
          <w:szCs w:val="24"/>
          <w:lang w:eastAsia="en-AU"/>
        </w:rPr>
        <w:t xml:space="preserve">ubsections </w:t>
      </w:r>
      <w:r w:rsidR="00A31B9C" w:rsidRPr="00E87D73">
        <w:rPr>
          <w:rFonts w:ascii="Times New Roman" w:eastAsia="Times New Roman" w:hAnsi="Times New Roman" w:cs="Times New Roman"/>
          <w:bCs/>
          <w:sz w:val="24"/>
          <w:szCs w:val="24"/>
          <w:lang w:eastAsia="en-AU"/>
        </w:rPr>
        <w:t>6</w:t>
      </w:r>
      <w:r w:rsidR="00FC4A0F" w:rsidRPr="00E87D73">
        <w:rPr>
          <w:rFonts w:ascii="Times New Roman" w:eastAsia="Times New Roman" w:hAnsi="Times New Roman" w:cs="Times New Roman"/>
          <w:bCs/>
          <w:sz w:val="24"/>
          <w:szCs w:val="24"/>
          <w:lang w:eastAsia="en-AU"/>
        </w:rPr>
        <w:t xml:space="preserve">(2) and </w:t>
      </w:r>
      <w:r w:rsidR="00DF0456">
        <w:rPr>
          <w:rFonts w:ascii="Times New Roman" w:eastAsia="Times New Roman" w:hAnsi="Times New Roman" w:cs="Times New Roman"/>
          <w:bCs/>
          <w:sz w:val="24"/>
          <w:szCs w:val="24"/>
          <w:lang w:eastAsia="en-AU"/>
        </w:rPr>
        <w:t>6</w:t>
      </w:r>
      <w:r w:rsidR="00FC4A0F" w:rsidRPr="00E87D73">
        <w:rPr>
          <w:rFonts w:ascii="Times New Roman" w:eastAsia="Times New Roman" w:hAnsi="Times New Roman" w:cs="Times New Roman"/>
          <w:bCs/>
          <w:sz w:val="24"/>
          <w:szCs w:val="24"/>
          <w:lang w:eastAsia="en-AU"/>
        </w:rPr>
        <w:t xml:space="preserve">(3) </w:t>
      </w:r>
      <w:r w:rsidR="00183D3E">
        <w:rPr>
          <w:rFonts w:ascii="Times New Roman" w:eastAsia="Times New Roman" w:hAnsi="Times New Roman" w:cs="Times New Roman"/>
          <w:bCs/>
          <w:sz w:val="24"/>
          <w:szCs w:val="24"/>
          <w:lang w:eastAsia="en-AU"/>
        </w:rPr>
        <w:t>of th</w:t>
      </w:r>
      <w:r w:rsidR="009435EF">
        <w:rPr>
          <w:rFonts w:ascii="Times New Roman" w:eastAsia="Times New Roman" w:hAnsi="Times New Roman" w:cs="Times New Roman"/>
          <w:bCs/>
          <w:sz w:val="24"/>
          <w:szCs w:val="24"/>
          <w:lang w:eastAsia="en-AU"/>
        </w:rPr>
        <w:t>e 2024 Listing I</w:t>
      </w:r>
      <w:r w:rsidR="00183D3E">
        <w:rPr>
          <w:rFonts w:ascii="Times New Roman" w:eastAsia="Times New Roman" w:hAnsi="Times New Roman" w:cs="Times New Roman"/>
          <w:bCs/>
          <w:sz w:val="24"/>
          <w:szCs w:val="24"/>
          <w:lang w:eastAsia="en-AU"/>
        </w:rPr>
        <w:t xml:space="preserve">nstrument </w:t>
      </w:r>
      <w:r>
        <w:rPr>
          <w:rFonts w:ascii="Times New Roman" w:eastAsia="Times New Roman" w:hAnsi="Times New Roman" w:cs="Times New Roman"/>
          <w:bCs/>
          <w:sz w:val="24"/>
          <w:szCs w:val="24"/>
          <w:lang w:eastAsia="en-AU"/>
        </w:rPr>
        <w:t xml:space="preserve">declare drugs and medicinal preparations for the purposes of </w:t>
      </w:r>
      <w:r w:rsidR="00FC4A0F" w:rsidRPr="00E87D73">
        <w:rPr>
          <w:rFonts w:ascii="Times New Roman" w:eastAsia="Times New Roman" w:hAnsi="Times New Roman" w:cs="Times New Roman"/>
          <w:bCs/>
          <w:sz w:val="24"/>
          <w:szCs w:val="24"/>
          <w:lang w:eastAsia="en-AU"/>
        </w:rPr>
        <w:t>extemporaneously-prepared pharmaceutical benefits</w:t>
      </w:r>
      <w:r>
        <w:rPr>
          <w:rFonts w:ascii="Times New Roman" w:eastAsia="Times New Roman" w:hAnsi="Times New Roman" w:cs="Times New Roman"/>
          <w:bCs/>
          <w:sz w:val="24"/>
          <w:szCs w:val="24"/>
          <w:lang w:eastAsia="en-AU"/>
        </w:rPr>
        <w:t xml:space="preserve">. </w:t>
      </w:r>
      <w:r w:rsidR="00255A13">
        <w:rPr>
          <w:rFonts w:ascii="Times New Roman" w:eastAsia="Times New Roman" w:hAnsi="Times New Roman" w:cs="Times New Roman"/>
          <w:bCs/>
          <w:sz w:val="24"/>
          <w:szCs w:val="24"/>
          <w:lang w:eastAsia="en-AU"/>
        </w:rPr>
        <w:t>Th</w:t>
      </w:r>
      <w:r w:rsidR="00FC4A0F" w:rsidRPr="00E87D73">
        <w:rPr>
          <w:rFonts w:ascii="Times New Roman" w:eastAsia="Times New Roman" w:hAnsi="Times New Roman" w:cs="Times New Roman"/>
          <w:bCs/>
          <w:sz w:val="24"/>
          <w:szCs w:val="24"/>
          <w:lang w:eastAsia="en-AU"/>
        </w:rPr>
        <w:t>ere are no determinations of form, manner of administration or brand in relation to these listed drugs</w:t>
      </w:r>
      <w:r w:rsidR="00255A13">
        <w:rPr>
          <w:rFonts w:ascii="Times New Roman" w:eastAsia="Times New Roman" w:hAnsi="Times New Roman" w:cs="Times New Roman"/>
          <w:bCs/>
          <w:sz w:val="24"/>
          <w:szCs w:val="24"/>
          <w:lang w:eastAsia="en-AU"/>
        </w:rPr>
        <w:t xml:space="preserve"> and medicinal preparations</w:t>
      </w:r>
      <w:r w:rsidR="00FC4A0F" w:rsidRPr="00E87D73">
        <w:rPr>
          <w:rFonts w:ascii="Times New Roman" w:eastAsia="Times New Roman" w:hAnsi="Times New Roman" w:cs="Times New Roman"/>
          <w:bCs/>
          <w:sz w:val="24"/>
          <w:szCs w:val="24"/>
          <w:lang w:eastAsia="en-AU"/>
        </w:rPr>
        <w:t>.</w:t>
      </w:r>
    </w:p>
    <w:p w14:paraId="315D4062" w14:textId="77777777" w:rsidR="008B7788" w:rsidRPr="00E87D73" w:rsidRDefault="008B7788" w:rsidP="00167955">
      <w:pPr>
        <w:spacing w:after="0" w:line="240" w:lineRule="auto"/>
        <w:rPr>
          <w:rFonts w:ascii="Times New Roman" w:eastAsia="Times New Roman" w:hAnsi="Times New Roman" w:cs="Times New Roman"/>
          <w:bCs/>
          <w:sz w:val="24"/>
          <w:szCs w:val="24"/>
          <w:lang w:eastAsia="en-AU"/>
        </w:rPr>
      </w:pPr>
    </w:p>
    <w:p w14:paraId="49E0446D" w14:textId="5F0900F0" w:rsidR="000C5F03" w:rsidRPr="00E87D73" w:rsidRDefault="00EB1B3F" w:rsidP="00167955">
      <w:pPr>
        <w:spacing w:after="0" w:line="240" w:lineRule="auto"/>
        <w:rPr>
          <w:rFonts w:ascii="Times New Roman" w:eastAsia="Times New Roman" w:hAnsi="Times New Roman" w:cs="Times New Roman"/>
          <w:bCs/>
          <w:sz w:val="24"/>
          <w:szCs w:val="24"/>
          <w:lang w:eastAsia="en-AU"/>
        </w:rPr>
      </w:pPr>
      <w:r w:rsidRPr="00E87D73">
        <w:rPr>
          <w:rFonts w:ascii="Times New Roman" w:eastAsia="Times New Roman" w:hAnsi="Times New Roman" w:cs="Times New Roman"/>
          <w:bCs/>
          <w:sz w:val="24"/>
          <w:szCs w:val="24"/>
          <w:lang w:eastAsia="en-AU"/>
        </w:rPr>
        <w:t xml:space="preserve">Paragraphs </w:t>
      </w:r>
      <w:r w:rsidR="00641920" w:rsidRPr="00E87D73">
        <w:rPr>
          <w:rFonts w:ascii="Times New Roman" w:eastAsia="Times New Roman" w:hAnsi="Times New Roman" w:cs="Times New Roman"/>
          <w:bCs/>
          <w:sz w:val="24"/>
          <w:szCs w:val="24"/>
          <w:lang w:eastAsia="en-AU"/>
        </w:rPr>
        <w:t>6</w:t>
      </w:r>
      <w:r w:rsidRPr="00E87D73">
        <w:rPr>
          <w:rFonts w:ascii="Times New Roman" w:eastAsia="Times New Roman" w:hAnsi="Times New Roman" w:cs="Times New Roman"/>
          <w:bCs/>
          <w:sz w:val="24"/>
          <w:szCs w:val="24"/>
          <w:lang w:eastAsia="en-AU"/>
        </w:rPr>
        <w:t xml:space="preserve">(2)(a) and </w:t>
      </w:r>
      <w:r w:rsidR="00641920" w:rsidRPr="00E87D73">
        <w:rPr>
          <w:rFonts w:ascii="Times New Roman" w:eastAsia="Times New Roman" w:hAnsi="Times New Roman" w:cs="Times New Roman"/>
          <w:bCs/>
          <w:sz w:val="24"/>
          <w:szCs w:val="24"/>
          <w:lang w:eastAsia="en-AU"/>
        </w:rPr>
        <w:t>6</w:t>
      </w:r>
      <w:r w:rsidRPr="00E87D73">
        <w:rPr>
          <w:rFonts w:ascii="Times New Roman" w:eastAsia="Times New Roman" w:hAnsi="Times New Roman" w:cs="Times New Roman"/>
          <w:bCs/>
          <w:sz w:val="24"/>
          <w:szCs w:val="24"/>
          <w:lang w:eastAsia="en-AU"/>
        </w:rPr>
        <w:t xml:space="preserve">(2)(b) of the </w:t>
      </w:r>
      <w:r w:rsidR="000A6FEB">
        <w:rPr>
          <w:rFonts w:ascii="Times New Roman" w:eastAsia="Times New Roman" w:hAnsi="Times New Roman" w:cs="Times New Roman"/>
          <w:bCs/>
          <w:sz w:val="24"/>
          <w:szCs w:val="24"/>
          <w:lang w:eastAsia="en-AU"/>
        </w:rPr>
        <w:t>2024 Listing I</w:t>
      </w:r>
      <w:r w:rsidR="006E1EF2">
        <w:rPr>
          <w:rFonts w:ascii="Times New Roman" w:eastAsia="Times New Roman" w:hAnsi="Times New Roman" w:cs="Times New Roman"/>
          <w:bCs/>
          <w:sz w:val="24"/>
          <w:szCs w:val="24"/>
          <w:lang w:eastAsia="en-AU"/>
        </w:rPr>
        <w:t>nstrument</w:t>
      </w:r>
      <w:r w:rsidR="006E1EF2" w:rsidRPr="00E87D73">
        <w:rPr>
          <w:rFonts w:ascii="Times New Roman" w:eastAsia="Times New Roman" w:hAnsi="Times New Roman" w:cs="Times New Roman"/>
          <w:bCs/>
          <w:sz w:val="24"/>
          <w:szCs w:val="24"/>
          <w:lang w:eastAsia="en-AU"/>
        </w:rPr>
        <w:t xml:space="preserve"> </w:t>
      </w:r>
      <w:r w:rsidRPr="00E87D73">
        <w:rPr>
          <w:rFonts w:ascii="Times New Roman" w:eastAsia="Times New Roman" w:hAnsi="Times New Roman" w:cs="Times New Roman"/>
          <w:bCs/>
          <w:sz w:val="24"/>
          <w:szCs w:val="24"/>
          <w:lang w:eastAsia="en-AU"/>
        </w:rPr>
        <w:t xml:space="preserve">are made </w:t>
      </w:r>
      <w:r w:rsidR="00AC738F" w:rsidRPr="00E87D73">
        <w:rPr>
          <w:rFonts w:ascii="Times New Roman" w:eastAsia="Times New Roman" w:hAnsi="Times New Roman" w:cs="Times New Roman"/>
          <w:bCs/>
          <w:sz w:val="24"/>
          <w:szCs w:val="24"/>
          <w:lang w:eastAsia="en-AU"/>
        </w:rPr>
        <w:t>for the purposes</w:t>
      </w:r>
      <w:r w:rsidRPr="00E87D73">
        <w:rPr>
          <w:rFonts w:ascii="Times New Roman" w:eastAsia="Times New Roman" w:hAnsi="Times New Roman" w:cs="Times New Roman"/>
          <w:bCs/>
          <w:sz w:val="24"/>
          <w:szCs w:val="24"/>
          <w:lang w:eastAsia="en-AU"/>
        </w:rPr>
        <w:t xml:space="preserve"> </w:t>
      </w:r>
      <w:r w:rsidR="000E74C3">
        <w:rPr>
          <w:rFonts w:ascii="Times New Roman" w:eastAsia="Times New Roman" w:hAnsi="Times New Roman" w:cs="Times New Roman"/>
          <w:bCs/>
          <w:sz w:val="24"/>
          <w:szCs w:val="24"/>
          <w:lang w:eastAsia="en-AU"/>
        </w:rPr>
        <w:t xml:space="preserve">of </w:t>
      </w:r>
      <w:r w:rsidRPr="00E87D73">
        <w:rPr>
          <w:rFonts w:ascii="Times New Roman" w:eastAsia="Times New Roman" w:hAnsi="Times New Roman" w:cs="Times New Roman"/>
          <w:bCs/>
          <w:sz w:val="24"/>
          <w:szCs w:val="24"/>
          <w:lang w:eastAsia="en-AU"/>
        </w:rPr>
        <w:t>paragraph 85(2)(</w:t>
      </w:r>
      <w:r w:rsidR="00D717AD" w:rsidRPr="00E87D73">
        <w:rPr>
          <w:rFonts w:ascii="Times New Roman" w:eastAsia="Times New Roman" w:hAnsi="Times New Roman" w:cs="Times New Roman"/>
          <w:bCs/>
          <w:sz w:val="24"/>
          <w:szCs w:val="24"/>
          <w:lang w:eastAsia="en-AU"/>
        </w:rPr>
        <w:t>a</w:t>
      </w:r>
      <w:r w:rsidRPr="00E87D73">
        <w:rPr>
          <w:rFonts w:ascii="Times New Roman" w:eastAsia="Times New Roman" w:hAnsi="Times New Roman" w:cs="Times New Roman"/>
          <w:bCs/>
          <w:sz w:val="24"/>
          <w:szCs w:val="24"/>
          <w:lang w:eastAsia="en-AU"/>
        </w:rPr>
        <w:t>) of the Act.</w:t>
      </w:r>
      <w:r w:rsidR="000A6FEB">
        <w:rPr>
          <w:rFonts w:ascii="Times New Roman" w:eastAsia="Times New Roman" w:hAnsi="Times New Roman" w:cs="Times New Roman"/>
          <w:bCs/>
          <w:sz w:val="24"/>
          <w:szCs w:val="24"/>
          <w:lang w:eastAsia="en-AU"/>
        </w:rPr>
        <w:t xml:space="preserve"> </w:t>
      </w:r>
      <w:r w:rsidR="00B94154" w:rsidRPr="00E87D73">
        <w:rPr>
          <w:rFonts w:ascii="Times New Roman" w:eastAsia="Times New Roman" w:hAnsi="Times New Roman" w:cs="Times New Roman"/>
          <w:bCs/>
          <w:sz w:val="24"/>
          <w:szCs w:val="24"/>
          <w:lang w:eastAsia="en-AU"/>
        </w:rPr>
        <w:t xml:space="preserve">Paragraph </w:t>
      </w:r>
      <w:r w:rsidR="00641920" w:rsidRPr="00E87D73">
        <w:rPr>
          <w:rFonts w:ascii="Times New Roman" w:eastAsia="Times New Roman" w:hAnsi="Times New Roman" w:cs="Times New Roman"/>
          <w:bCs/>
          <w:sz w:val="24"/>
          <w:szCs w:val="24"/>
          <w:lang w:eastAsia="en-AU"/>
        </w:rPr>
        <w:t>6</w:t>
      </w:r>
      <w:r w:rsidR="00B94154" w:rsidRPr="00E87D73">
        <w:rPr>
          <w:rFonts w:ascii="Times New Roman" w:eastAsia="Times New Roman" w:hAnsi="Times New Roman" w:cs="Times New Roman"/>
          <w:bCs/>
          <w:sz w:val="24"/>
          <w:szCs w:val="24"/>
          <w:lang w:eastAsia="en-AU"/>
        </w:rPr>
        <w:t>(2)(a) provides that Part VII of the Act applies to a drug or medicinal preparation mentioned in column 1 of the table in Part 1 of Schedule 2</w:t>
      </w:r>
      <w:r w:rsidR="00597CFC" w:rsidRPr="00E87D73">
        <w:rPr>
          <w:rFonts w:ascii="Times New Roman" w:eastAsia="Times New Roman" w:hAnsi="Times New Roman" w:cs="Times New Roman"/>
          <w:bCs/>
          <w:sz w:val="24"/>
          <w:szCs w:val="24"/>
          <w:lang w:eastAsia="en-AU"/>
        </w:rPr>
        <w:t xml:space="preserve"> to th</w:t>
      </w:r>
      <w:r w:rsidR="00F21FE2">
        <w:rPr>
          <w:rFonts w:ascii="Times New Roman" w:eastAsia="Times New Roman" w:hAnsi="Times New Roman" w:cs="Times New Roman"/>
          <w:bCs/>
          <w:sz w:val="24"/>
          <w:szCs w:val="24"/>
          <w:lang w:eastAsia="en-AU"/>
        </w:rPr>
        <w:t>e 2024 Listing</w:t>
      </w:r>
      <w:r w:rsidR="00597CFC" w:rsidRPr="00E87D73">
        <w:rPr>
          <w:rFonts w:ascii="Times New Roman" w:eastAsia="Times New Roman" w:hAnsi="Times New Roman" w:cs="Times New Roman"/>
          <w:bCs/>
          <w:sz w:val="24"/>
          <w:szCs w:val="24"/>
          <w:lang w:eastAsia="en-AU"/>
        </w:rPr>
        <w:t xml:space="preserve"> </w:t>
      </w:r>
      <w:r w:rsidR="00F21FE2">
        <w:rPr>
          <w:rFonts w:ascii="Times New Roman" w:eastAsia="Times New Roman" w:hAnsi="Times New Roman" w:cs="Times New Roman"/>
          <w:bCs/>
          <w:sz w:val="24"/>
          <w:szCs w:val="24"/>
          <w:lang w:eastAsia="en-AU"/>
        </w:rPr>
        <w:t>I</w:t>
      </w:r>
      <w:r w:rsidR="00597CFC" w:rsidRPr="00E87D73">
        <w:rPr>
          <w:rFonts w:ascii="Times New Roman" w:eastAsia="Times New Roman" w:hAnsi="Times New Roman" w:cs="Times New Roman"/>
          <w:bCs/>
          <w:sz w:val="24"/>
          <w:szCs w:val="24"/>
          <w:lang w:eastAsia="en-AU"/>
        </w:rPr>
        <w:t>nstrument</w:t>
      </w:r>
      <w:r w:rsidR="00B94154" w:rsidRPr="00E87D73">
        <w:rPr>
          <w:rFonts w:ascii="Times New Roman" w:eastAsia="Times New Roman" w:hAnsi="Times New Roman" w:cs="Times New Roman"/>
          <w:bCs/>
          <w:sz w:val="24"/>
          <w:szCs w:val="24"/>
          <w:lang w:eastAsia="en-AU"/>
        </w:rPr>
        <w:t>.</w:t>
      </w:r>
      <w:r w:rsidR="00030207" w:rsidRPr="00E87D73">
        <w:rPr>
          <w:rFonts w:ascii="Times New Roman" w:eastAsia="Times New Roman" w:hAnsi="Times New Roman" w:cs="Times New Roman"/>
          <w:bCs/>
          <w:sz w:val="24"/>
          <w:szCs w:val="24"/>
          <w:lang w:eastAsia="en-AU"/>
        </w:rPr>
        <w:t xml:space="preserve"> </w:t>
      </w:r>
      <w:r w:rsidR="00EA1699" w:rsidRPr="00E87D73">
        <w:rPr>
          <w:rFonts w:ascii="Times New Roman" w:eastAsia="Times New Roman" w:hAnsi="Times New Roman" w:cs="Times New Roman"/>
          <w:bCs/>
          <w:sz w:val="24"/>
          <w:szCs w:val="24"/>
          <w:lang w:eastAsia="en-AU"/>
        </w:rPr>
        <w:t xml:space="preserve">Paragraph </w:t>
      </w:r>
      <w:r w:rsidR="00641920" w:rsidRPr="00E87D73">
        <w:rPr>
          <w:rFonts w:ascii="Times New Roman" w:eastAsia="Times New Roman" w:hAnsi="Times New Roman" w:cs="Times New Roman"/>
          <w:bCs/>
          <w:sz w:val="24"/>
          <w:szCs w:val="24"/>
          <w:lang w:eastAsia="en-AU"/>
        </w:rPr>
        <w:t>6</w:t>
      </w:r>
      <w:r w:rsidR="00EA1699" w:rsidRPr="00E87D73">
        <w:rPr>
          <w:rFonts w:ascii="Times New Roman" w:eastAsia="Times New Roman" w:hAnsi="Times New Roman" w:cs="Times New Roman"/>
          <w:bCs/>
          <w:sz w:val="24"/>
          <w:szCs w:val="24"/>
          <w:lang w:eastAsia="en-AU"/>
        </w:rPr>
        <w:t>(2)(</w:t>
      </w:r>
      <w:r w:rsidR="00C54060" w:rsidRPr="00E87D73">
        <w:rPr>
          <w:rFonts w:ascii="Times New Roman" w:eastAsia="Times New Roman" w:hAnsi="Times New Roman" w:cs="Times New Roman"/>
          <w:bCs/>
          <w:sz w:val="24"/>
          <w:szCs w:val="24"/>
          <w:lang w:eastAsia="en-AU"/>
        </w:rPr>
        <w:t>b</w:t>
      </w:r>
      <w:r w:rsidR="00EA1699" w:rsidRPr="00E87D73">
        <w:rPr>
          <w:rFonts w:ascii="Times New Roman" w:eastAsia="Times New Roman" w:hAnsi="Times New Roman" w:cs="Times New Roman"/>
          <w:bCs/>
          <w:sz w:val="24"/>
          <w:szCs w:val="24"/>
          <w:lang w:eastAsia="en-AU"/>
        </w:rPr>
        <w:t>) provides that</w:t>
      </w:r>
      <w:r w:rsidR="003B166F" w:rsidRPr="00E87D73">
        <w:rPr>
          <w:rFonts w:ascii="Times New Roman" w:eastAsia="Times New Roman" w:hAnsi="Times New Roman" w:cs="Times New Roman"/>
          <w:bCs/>
          <w:sz w:val="24"/>
          <w:szCs w:val="24"/>
          <w:lang w:eastAsia="en-AU"/>
        </w:rPr>
        <w:t xml:space="preserve"> </w:t>
      </w:r>
      <w:r w:rsidR="00EA1699" w:rsidRPr="00E87D73">
        <w:rPr>
          <w:rFonts w:ascii="Times New Roman" w:eastAsia="Times New Roman" w:hAnsi="Times New Roman" w:cs="Times New Roman"/>
          <w:bCs/>
          <w:sz w:val="24"/>
          <w:szCs w:val="24"/>
          <w:lang w:eastAsia="en-AU"/>
        </w:rPr>
        <w:t>Part VII of the Act applies to a</w:t>
      </w:r>
      <w:r w:rsidR="000C5F03" w:rsidRPr="00E87D73">
        <w:rPr>
          <w:rFonts w:ascii="Times New Roman" w:eastAsia="Times New Roman" w:hAnsi="Times New Roman" w:cs="Times New Roman"/>
          <w:bCs/>
          <w:sz w:val="24"/>
          <w:szCs w:val="24"/>
          <w:lang w:eastAsia="en-AU"/>
        </w:rPr>
        <w:t xml:space="preserve"> medicinal preparation composed of one or more drugs or medicinal preparations mentioned in </w:t>
      </w:r>
      <w:r w:rsidR="00C54060" w:rsidRPr="00E87D73">
        <w:rPr>
          <w:rFonts w:ascii="Times New Roman" w:eastAsia="Times New Roman" w:hAnsi="Times New Roman" w:cs="Times New Roman"/>
          <w:bCs/>
          <w:sz w:val="24"/>
          <w:szCs w:val="24"/>
          <w:lang w:eastAsia="en-AU"/>
        </w:rPr>
        <w:t xml:space="preserve">column 1 of the table in Part 1 of Schedule </w:t>
      </w:r>
      <w:r w:rsidR="00597CFC" w:rsidRPr="00E87D73">
        <w:rPr>
          <w:rFonts w:ascii="Times New Roman" w:eastAsia="Times New Roman" w:hAnsi="Times New Roman" w:cs="Times New Roman"/>
          <w:bCs/>
          <w:sz w:val="24"/>
          <w:szCs w:val="24"/>
          <w:lang w:eastAsia="en-AU"/>
        </w:rPr>
        <w:t>2</w:t>
      </w:r>
      <w:r w:rsidR="000C5F03" w:rsidRPr="00E87D73">
        <w:rPr>
          <w:rFonts w:ascii="Times New Roman" w:eastAsia="Times New Roman" w:hAnsi="Times New Roman" w:cs="Times New Roman"/>
          <w:bCs/>
          <w:sz w:val="24"/>
          <w:szCs w:val="24"/>
          <w:lang w:eastAsia="en-AU"/>
        </w:rPr>
        <w:t>.</w:t>
      </w:r>
    </w:p>
    <w:p w14:paraId="065EF30F" w14:textId="77777777" w:rsidR="006246EE" w:rsidRPr="00E87D73" w:rsidRDefault="006246EE" w:rsidP="00167955">
      <w:pPr>
        <w:spacing w:after="0" w:line="240" w:lineRule="auto"/>
        <w:rPr>
          <w:rFonts w:ascii="Times New Roman" w:eastAsia="Times New Roman" w:hAnsi="Times New Roman" w:cs="Times New Roman"/>
          <w:bCs/>
          <w:sz w:val="24"/>
          <w:szCs w:val="24"/>
          <w:lang w:eastAsia="en-AU"/>
        </w:rPr>
      </w:pPr>
    </w:p>
    <w:p w14:paraId="45620C02" w14:textId="469FF92E" w:rsidR="00DE4488" w:rsidRPr="002642C2" w:rsidRDefault="006246EE" w:rsidP="00167955">
      <w:pPr>
        <w:spacing w:after="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Subsection </w:t>
      </w:r>
      <w:r w:rsidR="00641920" w:rsidRPr="00A22E0C">
        <w:rPr>
          <w:rFonts w:ascii="Times New Roman" w:eastAsia="Times New Roman" w:hAnsi="Times New Roman" w:cs="Times New Roman"/>
          <w:bCs/>
          <w:sz w:val="24"/>
          <w:szCs w:val="24"/>
          <w:lang w:eastAsia="en-AU"/>
        </w:rPr>
        <w:t>6</w:t>
      </w:r>
      <w:r w:rsidRPr="00A22E0C">
        <w:rPr>
          <w:rFonts w:ascii="Times New Roman" w:eastAsia="Times New Roman" w:hAnsi="Times New Roman" w:cs="Times New Roman"/>
          <w:bCs/>
          <w:sz w:val="24"/>
          <w:szCs w:val="24"/>
          <w:lang w:eastAsia="en-AU"/>
        </w:rPr>
        <w:t>(3) of the</w:t>
      </w:r>
      <w:r w:rsidR="002C557B" w:rsidRPr="00A22E0C">
        <w:rPr>
          <w:rFonts w:ascii="Times New Roman" w:eastAsia="Times New Roman" w:hAnsi="Times New Roman" w:cs="Times New Roman"/>
          <w:bCs/>
          <w:sz w:val="24"/>
          <w:szCs w:val="24"/>
          <w:lang w:eastAsia="en-AU"/>
        </w:rPr>
        <w:t xml:space="preserve"> 2024 Listing</w:t>
      </w:r>
      <w:r w:rsidRPr="00A22E0C">
        <w:rPr>
          <w:rFonts w:ascii="Times New Roman" w:eastAsia="Times New Roman" w:hAnsi="Times New Roman" w:cs="Times New Roman"/>
          <w:bCs/>
          <w:sz w:val="24"/>
          <w:szCs w:val="24"/>
          <w:lang w:eastAsia="en-AU"/>
        </w:rPr>
        <w:t xml:space="preserve"> </w:t>
      </w:r>
      <w:r w:rsidR="002C557B" w:rsidRPr="00A22E0C">
        <w:rPr>
          <w:rFonts w:ascii="Times New Roman" w:eastAsia="Times New Roman" w:hAnsi="Times New Roman" w:cs="Times New Roman"/>
          <w:bCs/>
          <w:sz w:val="24"/>
          <w:szCs w:val="24"/>
          <w:lang w:eastAsia="en-AU"/>
        </w:rPr>
        <w:t>I</w:t>
      </w:r>
      <w:r w:rsidRPr="00A22E0C">
        <w:rPr>
          <w:rFonts w:ascii="Times New Roman" w:eastAsia="Times New Roman" w:hAnsi="Times New Roman" w:cs="Times New Roman"/>
          <w:bCs/>
          <w:sz w:val="24"/>
          <w:szCs w:val="24"/>
          <w:lang w:eastAsia="en-AU"/>
        </w:rPr>
        <w:t xml:space="preserve">nstrument is made </w:t>
      </w:r>
      <w:r w:rsidR="00E27445" w:rsidRPr="00A22E0C">
        <w:rPr>
          <w:rFonts w:ascii="Times New Roman" w:eastAsia="Times New Roman" w:hAnsi="Times New Roman" w:cs="Times New Roman"/>
          <w:bCs/>
          <w:sz w:val="24"/>
          <w:szCs w:val="24"/>
          <w:lang w:eastAsia="en-AU"/>
        </w:rPr>
        <w:t>for the purposes of</w:t>
      </w:r>
      <w:r w:rsidRPr="00A22E0C">
        <w:rPr>
          <w:rFonts w:ascii="Times New Roman" w:eastAsia="Times New Roman" w:hAnsi="Times New Roman" w:cs="Times New Roman"/>
          <w:bCs/>
          <w:sz w:val="24"/>
          <w:szCs w:val="24"/>
          <w:lang w:eastAsia="en-AU"/>
        </w:rPr>
        <w:t xml:space="preserve"> paragraph 85(2)(b) of the Act.</w:t>
      </w:r>
      <w:r w:rsidR="00F21FE2" w:rsidRPr="00A22E0C">
        <w:rPr>
          <w:rFonts w:ascii="Times New Roman" w:hAnsi="Times New Roman" w:cs="Times New Roman"/>
          <w:lang w:eastAsia="en-AU"/>
        </w:rPr>
        <w:t xml:space="preserve"> </w:t>
      </w:r>
      <w:r w:rsidR="00087308" w:rsidRPr="00A22E0C">
        <w:rPr>
          <w:rFonts w:ascii="Times New Roman" w:hAnsi="Times New Roman" w:cs="Times New Roman"/>
          <w:sz w:val="24"/>
          <w:szCs w:val="24"/>
          <w:lang w:eastAsia="en-AU"/>
        </w:rPr>
        <w:t>Paragraph 85(2)(</w:t>
      </w:r>
      <w:r w:rsidR="000E6A55" w:rsidRPr="00A22E0C">
        <w:rPr>
          <w:rFonts w:ascii="Times New Roman" w:hAnsi="Times New Roman" w:cs="Times New Roman"/>
          <w:sz w:val="24"/>
          <w:szCs w:val="24"/>
          <w:lang w:eastAsia="en-AU"/>
        </w:rPr>
        <w:t>b</w:t>
      </w:r>
      <w:r w:rsidR="00087308" w:rsidRPr="00A22E0C">
        <w:rPr>
          <w:rFonts w:ascii="Times New Roman" w:hAnsi="Times New Roman" w:cs="Times New Roman"/>
          <w:sz w:val="24"/>
          <w:szCs w:val="24"/>
          <w:lang w:eastAsia="en-AU"/>
        </w:rPr>
        <w:t xml:space="preserve">) empowers the Minister to </w:t>
      </w:r>
      <w:r w:rsidR="00A83D11" w:rsidRPr="00A22E0C">
        <w:rPr>
          <w:rFonts w:ascii="Times New Roman" w:hAnsi="Times New Roman" w:cs="Times New Roman"/>
          <w:sz w:val="24"/>
          <w:szCs w:val="24"/>
          <w:lang w:eastAsia="en-AU"/>
        </w:rPr>
        <w:t xml:space="preserve">declare </w:t>
      </w:r>
      <w:r w:rsidR="00EB6D4C" w:rsidRPr="00A22E0C">
        <w:rPr>
          <w:rFonts w:ascii="Times New Roman" w:hAnsi="Times New Roman" w:cs="Times New Roman"/>
          <w:sz w:val="24"/>
          <w:szCs w:val="24"/>
          <w:lang w:eastAsia="en-AU"/>
        </w:rPr>
        <w:t xml:space="preserve">that Part VII of the Act applies to </w:t>
      </w:r>
      <w:r w:rsidR="00087308" w:rsidRPr="00A22E0C">
        <w:rPr>
          <w:rFonts w:ascii="Times New Roman" w:hAnsi="Times New Roman" w:cs="Times New Roman"/>
          <w:sz w:val="24"/>
          <w:szCs w:val="24"/>
          <w:lang w:eastAsia="en-AU"/>
        </w:rPr>
        <w:t xml:space="preserve">medicinal preparations </w:t>
      </w:r>
      <w:r w:rsidR="00A83D11" w:rsidRPr="00A22E0C">
        <w:rPr>
          <w:rFonts w:ascii="Times New Roman" w:hAnsi="Times New Roman" w:cs="Times New Roman"/>
          <w:sz w:val="24"/>
          <w:szCs w:val="24"/>
          <w:lang w:eastAsia="en-AU"/>
        </w:rPr>
        <w:t>composed of</w:t>
      </w:r>
      <w:r w:rsidR="002642C2" w:rsidRPr="00A22E0C">
        <w:rPr>
          <w:rFonts w:ascii="Times New Roman" w:hAnsi="Times New Roman" w:cs="Times New Roman"/>
          <w:sz w:val="24"/>
          <w:szCs w:val="24"/>
          <w:lang w:eastAsia="en-AU"/>
        </w:rPr>
        <w:t xml:space="preserve"> </w:t>
      </w:r>
      <w:r w:rsidR="00DE4488" w:rsidRPr="00A22E0C">
        <w:rPr>
          <w:rFonts w:ascii="Times New Roman" w:hAnsi="Times New Roman" w:cs="Times New Roman"/>
          <w:sz w:val="24"/>
          <w:szCs w:val="24"/>
          <w:lang w:eastAsia="en-AU"/>
        </w:rPr>
        <w:t xml:space="preserve">one or more of the drugs and medicinal preparations </w:t>
      </w:r>
      <w:r w:rsidR="00F4394D" w:rsidRPr="00A22E0C">
        <w:rPr>
          <w:rFonts w:ascii="Times New Roman" w:hAnsi="Times New Roman" w:cs="Times New Roman"/>
          <w:sz w:val="24"/>
          <w:szCs w:val="24"/>
          <w:lang w:eastAsia="en-AU"/>
        </w:rPr>
        <w:t>declared under</w:t>
      </w:r>
      <w:r w:rsidR="00DE4488" w:rsidRPr="00A22E0C">
        <w:rPr>
          <w:rFonts w:ascii="Times New Roman" w:hAnsi="Times New Roman" w:cs="Times New Roman"/>
          <w:sz w:val="24"/>
          <w:szCs w:val="24"/>
          <w:lang w:eastAsia="en-AU"/>
        </w:rPr>
        <w:t xml:space="preserve"> paragraph </w:t>
      </w:r>
      <w:r w:rsidR="00CD318A" w:rsidRPr="00A22E0C">
        <w:rPr>
          <w:rFonts w:ascii="Times New Roman" w:hAnsi="Times New Roman" w:cs="Times New Roman"/>
          <w:sz w:val="24"/>
          <w:szCs w:val="24"/>
          <w:lang w:eastAsia="en-AU"/>
        </w:rPr>
        <w:t>85(2)</w:t>
      </w:r>
      <w:r w:rsidR="00DE4488" w:rsidRPr="00A22E0C">
        <w:rPr>
          <w:rFonts w:ascii="Times New Roman" w:hAnsi="Times New Roman" w:cs="Times New Roman"/>
          <w:sz w:val="24"/>
          <w:szCs w:val="24"/>
          <w:lang w:eastAsia="en-AU"/>
        </w:rPr>
        <w:t>(a) and</w:t>
      </w:r>
      <w:r w:rsidR="002642C2" w:rsidRPr="002642C2">
        <w:rPr>
          <w:rFonts w:ascii="Times New Roman" w:eastAsia="Times New Roman" w:hAnsi="Times New Roman" w:cs="Times New Roman"/>
          <w:bCs/>
          <w:sz w:val="24"/>
          <w:szCs w:val="24"/>
          <w:lang w:eastAsia="en-AU"/>
        </w:rPr>
        <w:t xml:space="preserve"> </w:t>
      </w:r>
      <w:r w:rsidR="00DE4488" w:rsidRPr="002642C2">
        <w:rPr>
          <w:rFonts w:ascii="Times New Roman" w:eastAsia="Times New Roman" w:hAnsi="Times New Roman" w:cs="Times New Roman"/>
          <w:bCs/>
          <w:sz w:val="24"/>
          <w:szCs w:val="24"/>
          <w:lang w:eastAsia="en-AU"/>
        </w:rPr>
        <w:t xml:space="preserve">one or more </w:t>
      </w:r>
      <w:r w:rsidR="004F5E09" w:rsidRPr="002642C2">
        <w:rPr>
          <w:rFonts w:ascii="Times New Roman" w:eastAsia="Times New Roman" w:hAnsi="Times New Roman" w:cs="Times New Roman"/>
          <w:bCs/>
          <w:sz w:val="24"/>
          <w:szCs w:val="24"/>
          <w:lang w:eastAsia="en-AU"/>
        </w:rPr>
        <w:t>additives declared by the Minister</w:t>
      </w:r>
      <w:r w:rsidR="00DE4488" w:rsidRPr="002642C2">
        <w:rPr>
          <w:rFonts w:ascii="Times New Roman" w:eastAsia="Times New Roman" w:hAnsi="Times New Roman" w:cs="Times New Roman"/>
          <w:bCs/>
          <w:sz w:val="24"/>
          <w:szCs w:val="24"/>
          <w:lang w:eastAsia="en-AU"/>
        </w:rPr>
        <w:t>.</w:t>
      </w:r>
    </w:p>
    <w:p w14:paraId="00DE2568" w14:textId="77777777" w:rsidR="00CA6C80" w:rsidRPr="00E87D73" w:rsidRDefault="00CA6C80" w:rsidP="00167955">
      <w:pPr>
        <w:spacing w:after="0" w:line="240" w:lineRule="auto"/>
        <w:rPr>
          <w:rFonts w:ascii="Times New Roman" w:eastAsia="Times New Roman" w:hAnsi="Times New Roman" w:cs="Times New Roman"/>
          <w:bCs/>
          <w:sz w:val="24"/>
          <w:szCs w:val="24"/>
          <w:lang w:eastAsia="en-AU"/>
        </w:rPr>
      </w:pPr>
    </w:p>
    <w:p w14:paraId="3EC4425E" w14:textId="088C06E2" w:rsidR="00E53A57" w:rsidRPr="00E87D73" w:rsidRDefault="00C45667" w:rsidP="00167955">
      <w:pPr>
        <w:spacing w:after="0" w:line="240" w:lineRule="auto"/>
        <w:rPr>
          <w:rFonts w:ascii="Times New Roman" w:eastAsia="Times New Roman" w:hAnsi="Times New Roman" w:cs="Times New Roman"/>
          <w:bCs/>
          <w:sz w:val="24"/>
          <w:szCs w:val="24"/>
          <w:lang w:eastAsia="en-AU"/>
        </w:rPr>
      </w:pPr>
      <w:r w:rsidRPr="00E87D73">
        <w:rPr>
          <w:rFonts w:ascii="Times New Roman" w:eastAsia="Times New Roman" w:hAnsi="Times New Roman" w:cs="Times New Roman"/>
          <w:bCs/>
          <w:sz w:val="24"/>
          <w:szCs w:val="24"/>
          <w:lang w:eastAsia="en-AU"/>
        </w:rPr>
        <w:t>S</w:t>
      </w:r>
      <w:r w:rsidR="00F43940" w:rsidRPr="00E87D73">
        <w:rPr>
          <w:rFonts w:ascii="Times New Roman" w:eastAsia="Times New Roman" w:hAnsi="Times New Roman" w:cs="Times New Roman"/>
          <w:bCs/>
          <w:sz w:val="24"/>
          <w:szCs w:val="24"/>
          <w:lang w:eastAsia="en-AU"/>
        </w:rPr>
        <w:t xml:space="preserve">ubsection </w:t>
      </w:r>
      <w:r w:rsidR="00523731" w:rsidRPr="00E87D73">
        <w:rPr>
          <w:rFonts w:ascii="Times New Roman" w:eastAsia="Times New Roman" w:hAnsi="Times New Roman" w:cs="Times New Roman"/>
          <w:bCs/>
          <w:sz w:val="24"/>
          <w:szCs w:val="24"/>
          <w:lang w:eastAsia="en-AU"/>
        </w:rPr>
        <w:t>6</w:t>
      </w:r>
      <w:r w:rsidR="00F43940" w:rsidRPr="00E87D73">
        <w:rPr>
          <w:rFonts w:ascii="Times New Roman" w:eastAsia="Times New Roman" w:hAnsi="Times New Roman" w:cs="Times New Roman"/>
          <w:bCs/>
          <w:sz w:val="24"/>
          <w:szCs w:val="24"/>
          <w:lang w:eastAsia="en-AU"/>
        </w:rPr>
        <w:t xml:space="preserve">(3) </w:t>
      </w:r>
      <w:r w:rsidRPr="00E87D73">
        <w:rPr>
          <w:rFonts w:ascii="Times New Roman" w:eastAsia="Times New Roman" w:hAnsi="Times New Roman" w:cs="Times New Roman"/>
          <w:bCs/>
          <w:sz w:val="24"/>
          <w:szCs w:val="24"/>
          <w:lang w:eastAsia="en-AU"/>
        </w:rPr>
        <w:t xml:space="preserve">provides that </w:t>
      </w:r>
      <w:r w:rsidR="0010030F" w:rsidRPr="00E87D73">
        <w:rPr>
          <w:rFonts w:ascii="Times New Roman" w:eastAsia="Times New Roman" w:hAnsi="Times New Roman" w:cs="Times New Roman"/>
          <w:bCs/>
          <w:sz w:val="24"/>
          <w:szCs w:val="24"/>
          <w:lang w:eastAsia="en-AU"/>
        </w:rPr>
        <w:t>Part VII of the Act applies to</w:t>
      </w:r>
      <w:r w:rsidR="00023EEF" w:rsidRPr="00E87D73">
        <w:rPr>
          <w:rFonts w:ascii="Times New Roman" w:eastAsia="Times New Roman" w:hAnsi="Times New Roman" w:cs="Times New Roman"/>
          <w:bCs/>
          <w:sz w:val="24"/>
          <w:szCs w:val="24"/>
          <w:lang w:eastAsia="en-AU"/>
        </w:rPr>
        <w:t>:</w:t>
      </w:r>
    </w:p>
    <w:p w14:paraId="032B9950" w14:textId="0909F6D4" w:rsidR="009B50EC" w:rsidRPr="00E87D73" w:rsidRDefault="00BE5B81" w:rsidP="00102702">
      <w:pPr>
        <w:pStyle w:val="ListParagraph"/>
        <w:numPr>
          <w:ilvl w:val="0"/>
          <w:numId w:val="4"/>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E87D73">
        <w:rPr>
          <w:rFonts w:ascii="Times New Roman" w:eastAsia="Times New Roman" w:hAnsi="Times New Roman" w:cs="Times New Roman"/>
          <w:bCs/>
          <w:sz w:val="24"/>
          <w:szCs w:val="24"/>
          <w:lang w:eastAsia="en-AU"/>
        </w:rPr>
        <w:t>the</w:t>
      </w:r>
      <w:r w:rsidR="009B50EC" w:rsidRPr="00E87D73">
        <w:rPr>
          <w:rFonts w:ascii="Times New Roman" w:eastAsia="Times New Roman" w:hAnsi="Times New Roman" w:cs="Times New Roman"/>
          <w:bCs/>
          <w:sz w:val="24"/>
          <w:szCs w:val="24"/>
          <w:lang w:eastAsia="en-AU"/>
        </w:rPr>
        <w:t xml:space="preserve"> class of drugs and medicinal preparations consisting of </w:t>
      </w:r>
      <w:r w:rsidR="00A751F8">
        <w:rPr>
          <w:rFonts w:ascii="Times New Roman" w:eastAsia="Times New Roman" w:hAnsi="Times New Roman" w:cs="Times New Roman"/>
          <w:bCs/>
          <w:sz w:val="24"/>
          <w:szCs w:val="24"/>
          <w:lang w:eastAsia="en-AU"/>
        </w:rPr>
        <w:t>each d</w:t>
      </w:r>
      <w:r w:rsidR="009B50EC" w:rsidRPr="00E87D73">
        <w:rPr>
          <w:rFonts w:ascii="Times New Roman" w:eastAsia="Times New Roman" w:hAnsi="Times New Roman" w:cs="Times New Roman"/>
          <w:bCs/>
          <w:sz w:val="24"/>
          <w:szCs w:val="24"/>
          <w:lang w:eastAsia="en-AU"/>
        </w:rPr>
        <w:t>rug and medicinal preparation mentioned in column 1 of the table in Part 1 of Schedule 2</w:t>
      </w:r>
      <w:r w:rsidR="00583E99">
        <w:rPr>
          <w:rFonts w:ascii="Times New Roman" w:eastAsia="Times New Roman" w:hAnsi="Times New Roman" w:cs="Times New Roman"/>
          <w:bCs/>
          <w:sz w:val="24"/>
          <w:szCs w:val="24"/>
          <w:lang w:eastAsia="en-AU"/>
        </w:rPr>
        <w:t xml:space="preserve"> </w:t>
      </w:r>
      <w:r w:rsidR="00510668">
        <w:rPr>
          <w:rFonts w:ascii="Times New Roman" w:eastAsia="Times New Roman" w:hAnsi="Times New Roman" w:cs="Times New Roman"/>
          <w:bCs/>
          <w:sz w:val="24"/>
          <w:szCs w:val="24"/>
          <w:lang w:eastAsia="en-AU"/>
        </w:rPr>
        <w:t xml:space="preserve">to the 2024 Listing Instrument </w:t>
      </w:r>
      <w:r w:rsidR="00583E99">
        <w:rPr>
          <w:rFonts w:ascii="Times New Roman" w:eastAsia="Times New Roman" w:hAnsi="Times New Roman" w:cs="Times New Roman"/>
          <w:bCs/>
          <w:sz w:val="24"/>
          <w:szCs w:val="24"/>
          <w:lang w:eastAsia="en-AU"/>
        </w:rPr>
        <w:t>(see paragraph 6(3)(a))</w:t>
      </w:r>
      <w:r w:rsidR="009B50EC" w:rsidRPr="00E87D73">
        <w:rPr>
          <w:rFonts w:ascii="Times New Roman" w:eastAsia="Times New Roman" w:hAnsi="Times New Roman" w:cs="Times New Roman"/>
          <w:bCs/>
          <w:sz w:val="24"/>
          <w:szCs w:val="24"/>
          <w:lang w:eastAsia="en-AU"/>
        </w:rPr>
        <w:t>; and</w:t>
      </w:r>
    </w:p>
    <w:p w14:paraId="3AA543BE" w14:textId="060B69D6" w:rsidR="009B50EC" w:rsidRPr="00E87D73" w:rsidRDefault="009B50EC" w:rsidP="001A7591">
      <w:pPr>
        <w:pStyle w:val="ListParagraph"/>
        <w:numPr>
          <w:ilvl w:val="0"/>
          <w:numId w:val="4"/>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E87D73">
        <w:rPr>
          <w:rFonts w:ascii="Times New Roman" w:eastAsia="Times New Roman" w:hAnsi="Times New Roman" w:cs="Times New Roman"/>
          <w:bCs/>
          <w:sz w:val="24"/>
          <w:szCs w:val="24"/>
          <w:lang w:eastAsia="en-AU"/>
        </w:rPr>
        <w:t>additives mentioned in the table in Part 2 of Schedule 2</w:t>
      </w:r>
      <w:r w:rsidR="00B815F8" w:rsidRPr="00E87D73">
        <w:rPr>
          <w:rFonts w:ascii="Times New Roman" w:eastAsia="Times New Roman" w:hAnsi="Times New Roman" w:cs="Times New Roman"/>
          <w:bCs/>
          <w:sz w:val="24"/>
          <w:szCs w:val="24"/>
          <w:lang w:eastAsia="en-AU"/>
        </w:rPr>
        <w:t xml:space="preserve"> to </w:t>
      </w:r>
      <w:r w:rsidR="00510668">
        <w:rPr>
          <w:rFonts w:ascii="Times New Roman" w:eastAsia="Times New Roman" w:hAnsi="Times New Roman" w:cs="Times New Roman"/>
          <w:bCs/>
          <w:sz w:val="24"/>
          <w:szCs w:val="24"/>
          <w:lang w:eastAsia="en-AU"/>
        </w:rPr>
        <w:t>the 2024 Listing Instrument</w:t>
      </w:r>
      <w:r w:rsidR="00583E99">
        <w:rPr>
          <w:rFonts w:ascii="Times New Roman" w:eastAsia="Times New Roman" w:hAnsi="Times New Roman" w:cs="Times New Roman"/>
          <w:bCs/>
          <w:sz w:val="24"/>
          <w:szCs w:val="24"/>
          <w:lang w:eastAsia="en-AU"/>
        </w:rPr>
        <w:t xml:space="preserve"> (see paragraph 6(3)(b))</w:t>
      </w:r>
      <w:r w:rsidRPr="00E87D73">
        <w:rPr>
          <w:rFonts w:ascii="Times New Roman" w:eastAsia="Times New Roman" w:hAnsi="Times New Roman" w:cs="Times New Roman"/>
          <w:bCs/>
          <w:sz w:val="24"/>
          <w:szCs w:val="24"/>
          <w:lang w:eastAsia="en-AU"/>
        </w:rPr>
        <w:t>.</w:t>
      </w:r>
    </w:p>
    <w:p w14:paraId="1CC0E8A3" w14:textId="77777777" w:rsidR="00AD15CF" w:rsidRPr="00E87D73" w:rsidRDefault="00AD15CF" w:rsidP="00167955">
      <w:pPr>
        <w:spacing w:after="0" w:line="240" w:lineRule="auto"/>
        <w:rPr>
          <w:rFonts w:ascii="Times New Roman" w:eastAsia="Times New Roman" w:hAnsi="Times New Roman" w:cs="Times New Roman"/>
          <w:bCs/>
          <w:sz w:val="24"/>
          <w:szCs w:val="24"/>
          <w:lang w:eastAsia="en-AU"/>
        </w:rPr>
      </w:pPr>
    </w:p>
    <w:p w14:paraId="5FC71597" w14:textId="065BE645" w:rsidR="0022094B" w:rsidRDefault="00C97B63" w:rsidP="00167955">
      <w:pPr>
        <w:spacing w:after="0" w:line="240" w:lineRule="auto"/>
        <w:rPr>
          <w:rFonts w:ascii="Times New Roman" w:eastAsia="Times New Roman" w:hAnsi="Times New Roman" w:cs="Times New Roman"/>
          <w:bCs/>
          <w:sz w:val="24"/>
          <w:szCs w:val="24"/>
          <w:lang w:eastAsia="en-AU"/>
        </w:rPr>
      </w:pPr>
      <w:r w:rsidRPr="00E87D73">
        <w:rPr>
          <w:rFonts w:ascii="Times New Roman" w:eastAsia="Times New Roman" w:hAnsi="Times New Roman" w:cs="Times New Roman"/>
          <w:bCs/>
          <w:sz w:val="24"/>
          <w:szCs w:val="24"/>
          <w:lang w:eastAsia="en-AU"/>
        </w:rPr>
        <w:t xml:space="preserve">A note </w:t>
      </w:r>
      <w:r w:rsidR="00EA4722" w:rsidRPr="00E87D73">
        <w:rPr>
          <w:rFonts w:ascii="Times New Roman" w:eastAsia="Times New Roman" w:hAnsi="Times New Roman" w:cs="Times New Roman"/>
          <w:bCs/>
          <w:sz w:val="24"/>
          <w:szCs w:val="24"/>
          <w:lang w:eastAsia="en-AU"/>
        </w:rPr>
        <w:t xml:space="preserve">to subsection </w:t>
      </w:r>
      <w:r w:rsidR="00523731" w:rsidRPr="00E87D73">
        <w:rPr>
          <w:rFonts w:ascii="Times New Roman" w:eastAsia="Times New Roman" w:hAnsi="Times New Roman" w:cs="Times New Roman"/>
          <w:bCs/>
          <w:sz w:val="24"/>
          <w:szCs w:val="24"/>
          <w:lang w:eastAsia="en-AU"/>
        </w:rPr>
        <w:t>6</w:t>
      </w:r>
      <w:r w:rsidR="00EA4722" w:rsidRPr="00E87D73">
        <w:rPr>
          <w:rFonts w:ascii="Times New Roman" w:eastAsia="Times New Roman" w:hAnsi="Times New Roman" w:cs="Times New Roman"/>
          <w:bCs/>
          <w:sz w:val="24"/>
          <w:szCs w:val="24"/>
          <w:lang w:eastAsia="en-AU"/>
        </w:rPr>
        <w:t xml:space="preserve">(3) states that </w:t>
      </w:r>
      <w:r w:rsidR="00FC3C40" w:rsidRPr="00E87D73">
        <w:rPr>
          <w:rFonts w:ascii="Times New Roman" w:eastAsia="Times New Roman" w:hAnsi="Times New Roman" w:cs="Times New Roman"/>
          <w:bCs/>
          <w:sz w:val="24"/>
          <w:szCs w:val="24"/>
          <w:lang w:eastAsia="en-AU"/>
        </w:rPr>
        <w:t xml:space="preserve">Part VII of the Act applies to medicinal preparations composed of one or more of the drugs and medicinal preparations included in the class </w:t>
      </w:r>
      <w:r w:rsidR="00FC3C40" w:rsidRPr="00E87D73">
        <w:rPr>
          <w:rFonts w:ascii="Times New Roman" w:eastAsia="Times New Roman" w:hAnsi="Times New Roman" w:cs="Times New Roman"/>
          <w:bCs/>
          <w:sz w:val="24"/>
          <w:szCs w:val="24"/>
          <w:lang w:eastAsia="en-AU"/>
        </w:rPr>
        <w:lastRenderedPageBreak/>
        <w:t xml:space="preserve">mentioned in paragraph </w:t>
      </w:r>
      <w:r w:rsidR="00523731" w:rsidRPr="00E87D73">
        <w:rPr>
          <w:rFonts w:ascii="Times New Roman" w:eastAsia="Times New Roman" w:hAnsi="Times New Roman" w:cs="Times New Roman"/>
          <w:bCs/>
          <w:sz w:val="24"/>
          <w:szCs w:val="24"/>
          <w:lang w:eastAsia="en-AU"/>
        </w:rPr>
        <w:t>6</w:t>
      </w:r>
      <w:r w:rsidR="006905C9" w:rsidRPr="00E87D73">
        <w:rPr>
          <w:rFonts w:ascii="Times New Roman" w:eastAsia="Times New Roman" w:hAnsi="Times New Roman" w:cs="Times New Roman"/>
          <w:bCs/>
          <w:sz w:val="24"/>
          <w:szCs w:val="24"/>
          <w:lang w:eastAsia="en-AU"/>
        </w:rPr>
        <w:t>(3)(</w:t>
      </w:r>
      <w:r w:rsidR="00FC3C40" w:rsidRPr="00E87D73">
        <w:rPr>
          <w:rFonts w:ascii="Times New Roman" w:eastAsia="Times New Roman" w:hAnsi="Times New Roman" w:cs="Times New Roman"/>
          <w:bCs/>
          <w:sz w:val="24"/>
          <w:szCs w:val="24"/>
          <w:lang w:eastAsia="en-AU"/>
        </w:rPr>
        <w:t xml:space="preserve">a) of the </w:t>
      </w:r>
      <w:r w:rsidR="006905C9" w:rsidRPr="00E87D73">
        <w:rPr>
          <w:rFonts w:ascii="Times New Roman" w:eastAsia="Times New Roman" w:hAnsi="Times New Roman" w:cs="Times New Roman"/>
          <w:bCs/>
          <w:sz w:val="24"/>
          <w:szCs w:val="24"/>
          <w:lang w:eastAsia="en-AU"/>
        </w:rPr>
        <w:t>instrument</w:t>
      </w:r>
      <w:r w:rsidR="00FC3C40" w:rsidRPr="00E87D73">
        <w:rPr>
          <w:rFonts w:ascii="Times New Roman" w:eastAsia="Times New Roman" w:hAnsi="Times New Roman" w:cs="Times New Roman"/>
          <w:bCs/>
          <w:sz w:val="24"/>
          <w:szCs w:val="24"/>
          <w:lang w:eastAsia="en-AU"/>
        </w:rPr>
        <w:t xml:space="preserve"> and one or more additives mentioned in paragraph </w:t>
      </w:r>
      <w:r w:rsidR="00523731" w:rsidRPr="00E87D73">
        <w:rPr>
          <w:rFonts w:ascii="Times New Roman" w:eastAsia="Times New Roman" w:hAnsi="Times New Roman" w:cs="Times New Roman"/>
          <w:bCs/>
          <w:sz w:val="24"/>
          <w:szCs w:val="24"/>
          <w:lang w:eastAsia="en-AU"/>
        </w:rPr>
        <w:t>6</w:t>
      </w:r>
      <w:r w:rsidR="006905C9" w:rsidRPr="00E87D73">
        <w:rPr>
          <w:rFonts w:ascii="Times New Roman" w:eastAsia="Times New Roman" w:hAnsi="Times New Roman" w:cs="Times New Roman"/>
          <w:bCs/>
          <w:sz w:val="24"/>
          <w:szCs w:val="24"/>
          <w:lang w:eastAsia="en-AU"/>
        </w:rPr>
        <w:t>(3)(b) of the instrument.</w:t>
      </w:r>
    </w:p>
    <w:p w14:paraId="275AC444" w14:textId="77777777" w:rsidR="0024010B" w:rsidRDefault="0024010B" w:rsidP="00167955">
      <w:pPr>
        <w:spacing w:after="0" w:line="240" w:lineRule="auto"/>
        <w:rPr>
          <w:rFonts w:ascii="Times New Roman" w:eastAsia="Times New Roman" w:hAnsi="Times New Roman" w:cs="Times New Roman"/>
          <w:bCs/>
          <w:sz w:val="24"/>
          <w:szCs w:val="24"/>
          <w:lang w:eastAsia="en-AU"/>
        </w:rPr>
      </w:pPr>
    </w:p>
    <w:p w14:paraId="02BD8EA1" w14:textId="0E9DAC2D" w:rsidR="0024010B" w:rsidRDefault="0024010B"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6 corresponds to section 5 of the 2012 Listing Instrument.</w:t>
      </w:r>
    </w:p>
    <w:p w14:paraId="0BFBB3A7" w14:textId="77777777" w:rsidR="00CE57AE" w:rsidRDefault="00CE57AE" w:rsidP="00167955">
      <w:pPr>
        <w:spacing w:after="0" w:line="240" w:lineRule="auto"/>
        <w:rPr>
          <w:rFonts w:ascii="Times New Roman" w:eastAsia="Times New Roman" w:hAnsi="Times New Roman" w:cs="Times New Roman"/>
          <w:b/>
          <w:sz w:val="24"/>
          <w:szCs w:val="24"/>
          <w:lang w:eastAsia="en-AU"/>
        </w:rPr>
      </w:pPr>
    </w:p>
    <w:p w14:paraId="0E839768" w14:textId="71237234" w:rsidR="00E53A57" w:rsidRPr="000B19F0" w:rsidRDefault="00F35A73" w:rsidP="00167955">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w:t>
      </w:r>
      <w:r w:rsidR="00523731">
        <w:rPr>
          <w:rFonts w:ascii="Times New Roman" w:eastAsia="Times New Roman" w:hAnsi="Times New Roman" w:cs="Times New Roman"/>
          <w:b/>
          <w:sz w:val="24"/>
          <w:szCs w:val="24"/>
          <w:lang w:eastAsia="en-AU"/>
        </w:rPr>
        <w:t>7</w:t>
      </w:r>
      <w:r>
        <w:rPr>
          <w:rFonts w:ascii="Times New Roman" w:eastAsia="Times New Roman" w:hAnsi="Times New Roman" w:cs="Times New Roman"/>
          <w:b/>
          <w:sz w:val="24"/>
          <w:szCs w:val="24"/>
          <w:lang w:eastAsia="en-AU"/>
        </w:rPr>
        <w:t xml:space="preserve"> – </w:t>
      </w:r>
      <w:r w:rsidR="00956249" w:rsidRPr="00956249">
        <w:rPr>
          <w:rFonts w:ascii="Times New Roman" w:eastAsia="Times New Roman" w:hAnsi="Times New Roman" w:cs="Times New Roman"/>
          <w:b/>
          <w:sz w:val="24"/>
          <w:szCs w:val="24"/>
          <w:lang w:eastAsia="en-AU"/>
        </w:rPr>
        <w:t>Form or forms of a listed drug (Act s</w:t>
      </w:r>
      <w:r w:rsidR="0057461D">
        <w:rPr>
          <w:rFonts w:ascii="Times New Roman" w:eastAsia="Times New Roman" w:hAnsi="Times New Roman" w:cs="Times New Roman"/>
          <w:b/>
          <w:sz w:val="24"/>
          <w:szCs w:val="24"/>
          <w:lang w:eastAsia="en-AU"/>
        </w:rPr>
        <w:t xml:space="preserve"> </w:t>
      </w:r>
      <w:r w:rsidR="00956249" w:rsidRPr="00956249">
        <w:rPr>
          <w:rFonts w:ascii="Times New Roman" w:eastAsia="Times New Roman" w:hAnsi="Times New Roman" w:cs="Times New Roman"/>
          <w:b/>
          <w:sz w:val="24"/>
          <w:szCs w:val="24"/>
          <w:lang w:eastAsia="en-AU"/>
        </w:rPr>
        <w:t>85(3))</w:t>
      </w:r>
    </w:p>
    <w:p w14:paraId="07594354" w14:textId="77777777" w:rsidR="00956249" w:rsidRPr="000B19F0" w:rsidRDefault="00956249" w:rsidP="00167955">
      <w:pPr>
        <w:spacing w:after="0" w:line="240" w:lineRule="auto"/>
        <w:rPr>
          <w:rFonts w:ascii="Times New Roman" w:eastAsia="Times New Roman" w:hAnsi="Times New Roman" w:cs="Times New Roman"/>
          <w:b/>
          <w:sz w:val="24"/>
          <w:szCs w:val="24"/>
          <w:lang w:eastAsia="en-AU"/>
        </w:rPr>
      </w:pPr>
    </w:p>
    <w:p w14:paraId="24FCAA12" w14:textId="4FEACB85" w:rsidR="00DB3E57" w:rsidRDefault="00E53A57" w:rsidP="00167955">
      <w:pPr>
        <w:spacing w:after="0" w:line="240" w:lineRule="auto"/>
        <w:rPr>
          <w:rFonts w:ascii="Times New Roman" w:eastAsia="Times New Roman" w:hAnsi="Times New Roman" w:cs="Times New Roman"/>
          <w:bCs/>
          <w:sz w:val="24"/>
          <w:szCs w:val="24"/>
          <w:lang w:eastAsia="en-AU"/>
        </w:rPr>
      </w:pPr>
      <w:r w:rsidRPr="002148F7">
        <w:rPr>
          <w:rFonts w:ascii="Times New Roman" w:eastAsia="Times New Roman" w:hAnsi="Times New Roman" w:cs="Times New Roman"/>
          <w:bCs/>
          <w:sz w:val="24"/>
          <w:szCs w:val="24"/>
          <w:lang w:eastAsia="en-AU"/>
        </w:rPr>
        <w:t>Section</w:t>
      </w:r>
      <w:r w:rsidR="00DF1BA7">
        <w:rPr>
          <w:rFonts w:ascii="Times New Roman" w:eastAsia="Times New Roman" w:hAnsi="Times New Roman" w:cs="Times New Roman"/>
          <w:bCs/>
          <w:sz w:val="24"/>
          <w:szCs w:val="24"/>
          <w:lang w:eastAsia="en-AU"/>
        </w:rPr>
        <w:t xml:space="preserve"> </w:t>
      </w:r>
      <w:r w:rsidR="00523731">
        <w:rPr>
          <w:rFonts w:ascii="Times New Roman" w:eastAsia="Times New Roman" w:hAnsi="Times New Roman" w:cs="Times New Roman"/>
          <w:bCs/>
          <w:sz w:val="24"/>
          <w:szCs w:val="24"/>
          <w:lang w:eastAsia="en-AU"/>
        </w:rPr>
        <w:t>7</w:t>
      </w:r>
      <w:r w:rsidRPr="002148F7">
        <w:rPr>
          <w:rFonts w:ascii="Times New Roman" w:eastAsia="Times New Roman" w:hAnsi="Times New Roman" w:cs="Times New Roman"/>
          <w:bCs/>
          <w:sz w:val="24"/>
          <w:szCs w:val="24"/>
          <w:lang w:eastAsia="en-AU"/>
        </w:rPr>
        <w:t xml:space="preserve"> determines, for</w:t>
      </w:r>
      <w:r w:rsidR="00320E4E">
        <w:rPr>
          <w:rFonts w:ascii="Times New Roman" w:eastAsia="Times New Roman" w:hAnsi="Times New Roman" w:cs="Times New Roman"/>
          <w:bCs/>
          <w:sz w:val="24"/>
          <w:szCs w:val="24"/>
          <w:lang w:eastAsia="en-AU"/>
        </w:rPr>
        <w:t xml:space="preserve"> the purposes of</w:t>
      </w:r>
      <w:r w:rsidRPr="002148F7">
        <w:rPr>
          <w:rFonts w:ascii="Times New Roman" w:eastAsia="Times New Roman" w:hAnsi="Times New Roman" w:cs="Times New Roman"/>
          <w:bCs/>
          <w:sz w:val="24"/>
          <w:szCs w:val="24"/>
          <w:lang w:eastAsia="en-AU"/>
        </w:rPr>
        <w:t xml:space="preserve"> subsection 85(3) of the Act, the </w:t>
      </w:r>
      <w:r w:rsidR="00513399">
        <w:rPr>
          <w:rFonts w:ascii="Times New Roman" w:eastAsia="Times New Roman" w:hAnsi="Times New Roman" w:cs="Times New Roman"/>
          <w:bCs/>
          <w:sz w:val="24"/>
          <w:szCs w:val="24"/>
          <w:lang w:eastAsia="en-AU"/>
        </w:rPr>
        <w:t xml:space="preserve">form </w:t>
      </w:r>
      <w:r w:rsidR="00F224FB">
        <w:rPr>
          <w:rFonts w:ascii="Times New Roman" w:eastAsia="Times New Roman" w:hAnsi="Times New Roman" w:cs="Times New Roman"/>
          <w:bCs/>
          <w:sz w:val="24"/>
          <w:szCs w:val="24"/>
          <w:lang w:eastAsia="en-AU"/>
        </w:rPr>
        <w:t xml:space="preserve">or forms </w:t>
      </w:r>
      <w:r w:rsidR="0013015C">
        <w:rPr>
          <w:rFonts w:ascii="Times New Roman" w:eastAsia="Times New Roman" w:hAnsi="Times New Roman" w:cs="Times New Roman"/>
          <w:bCs/>
          <w:sz w:val="24"/>
          <w:szCs w:val="24"/>
          <w:lang w:eastAsia="en-AU"/>
        </w:rPr>
        <w:t xml:space="preserve">of </w:t>
      </w:r>
      <w:r w:rsidR="00B85EF1">
        <w:rPr>
          <w:rFonts w:ascii="Times New Roman" w:eastAsia="Times New Roman" w:hAnsi="Times New Roman" w:cs="Times New Roman"/>
          <w:bCs/>
          <w:sz w:val="24"/>
          <w:szCs w:val="24"/>
          <w:lang w:eastAsia="en-AU"/>
        </w:rPr>
        <w:t>each</w:t>
      </w:r>
      <w:r w:rsidRPr="002148F7">
        <w:rPr>
          <w:rFonts w:ascii="Times New Roman" w:eastAsia="Times New Roman" w:hAnsi="Times New Roman" w:cs="Times New Roman"/>
          <w:bCs/>
          <w:sz w:val="24"/>
          <w:szCs w:val="24"/>
          <w:lang w:eastAsia="en-AU"/>
        </w:rPr>
        <w:t xml:space="preserve"> listed drug in Schedule 1</w:t>
      </w:r>
      <w:r w:rsidR="00977C94" w:rsidRPr="00977C94">
        <w:rPr>
          <w:rFonts w:ascii="Times New Roman" w:eastAsia="Times New Roman" w:hAnsi="Times New Roman" w:cs="Times New Roman"/>
          <w:bCs/>
          <w:sz w:val="24"/>
          <w:szCs w:val="24"/>
          <w:lang w:eastAsia="en-AU"/>
        </w:rPr>
        <w:t xml:space="preserve"> </w:t>
      </w:r>
      <w:r w:rsidR="00977C94">
        <w:rPr>
          <w:rFonts w:ascii="Times New Roman" w:eastAsia="Times New Roman" w:hAnsi="Times New Roman" w:cs="Times New Roman"/>
          <w:bCs/>
          <w:sz w:val="24"/>
          <w:szCs w:val="24"/>
          <w:lang w:eastAsia="en-AU"/>
        </w:rPr>
        <w:t>to th</w:t>
      </w:r>
      <w:r w:rsidR="00940B21">
        <w:rPr>
          <w:rFonts w:ascii="Times New Roman" w:eastAsia="Times New Roman" w:hAnsi="Times New Roman" w:cs="Times New Roman"/>
          <w:bCs/>
          <w:sz w:val="24"/>
          <w:szCs w:val="24"/>
          <w:lang w:eastAsia="en-AU"/>
        </w:rPr>
        <w:t>e 2024 Listing I</w:t>
      </w:r>
      <w:r w:rsidR="00977C94">
        <w:rPr>
          <w:rFonts w:ascii="Times New Roman" w:eastAsia="Times New Roman" w:hAnsi="Times New Roman" w:cs="Times New Roman"/>
          <w:bCs/>
          <w:sz w:val="24"/>
          <w:szCs w:val="24"/>
          <w:lang w:eastAsia="en-AU"/>
        </w:rPr>
        <w:t>nstrument</w:t>
      </w:r>
      <w:r w:rsidRPr="002148F7">
        <w:rPr>
          <w:rFonts w:ascii="Times New Roman" w:eastAsia="Times New Roman" w:hAnsi="Times New Roman" w:cs="Times New Roman"/>
          <w:bCs/>
          <w:sz w:val="24"/>
          <w:szCs w:val="24"/>
          <w:lang w:eastAsia="en-AU"/>
        </w:rPr>
        <w:t xml:space="preserve">. </w:t>
      </w:r>
      <w:r w:rsidR="00513399">
        <w:rPr>
          <w:rFonts w:ascii="Times New Roman" w:eastAsia="Times New Roman" w:hAnsi="Times New Roman" w:cs="Times New Roman"/>
          <w:bCs/>
          <w:sz w:val="24"/>
          <w:szCs w:val="24"/>
          <w:lang w:eastAsia="en-AU"/>
        </w:rPr>
        <w:t>The form</w:t>
      </w:r>
      <w:r w:rsidR="00714B01" w:rsidRPr="00714B01">
        <w:rPr>
          <w:rFonts w:ascii="Times New Roman" w:eastAsia="Times New Roman" w:hAnsi="Times New Roman" w:cs="Times New Roman"/>
          <w:bCs/>
          <w:sz w:val="24"/>
          <w:szCs w:val="24"/>
          <w:lang w:eastAsia="en-AU"/>
        </w:rPr>
        <w:t xml:space="preserve"> </w:t>
      </w:r>
      <w:r w:rsidR="0013015C">
        <w:rPr>
          <w:rFonts w:ascii="Times New Roman" w:eastAsia="Times New Roman" w:hAnsi="Times New Roman" w:cs="Times New Roman"/>
          <w:bCs/>
          <w:sz w:val="24"/>
          <w:szCs w:val="24"/>
          <w:lang w:eastAsia="en-AU"/>
        </w:rPr>
        <w:t xml:space="preserve">is </w:t>
      </w:r>
      <w:r w:rsidR="003B2E42">
        <w:rPr>
          <w:rFonts w:ascii="Times New Roman" w:eastAsia="Times New Roman" w:hAnsi="Times New Roman" w:cs="Times New Roman"/>
          <w:bCs/>
          <w:sz w:val="24"/>
          <w:szCs w:val="24"/>
          <w:lang w:eastAsia="en-AU"/>
        </w:rPr>
        <w:t xml:space="preserve">set out </w:t>
      </w:r>
      <w:r w:rsidR="00714B01" w:rsidRPr="00714B01">
        <w:rPr>
          <w:rFonts w:ascii="Times New Roman" w:eastAsia="Times New Roman" w:hAnsi="Times New Roman" w:cs="Times New Roman"/>
          <w:bCs/>
          <w:sz w:val="24"/>
          <w:szCs w:val="24"/>
          <w:lang w:eastAsia="en-AU"/>
        </w:rPr>
        <w:t xml:space="preserve">in the column of the table </w:t>
      </w:r>
      <w:r w:rsidR="009939F1">
        <w:rPr>
          <w:rFonts w:ascii="Times New Roman" w:eastAsia="Times New Roman" w:hAnsi="Times New Roman" w:cs="Times New Roman"/>
          <w:bCs/>
          <w:sz w:val="24"/>
          <w:szCs w:val="24"/>
          <w:lang w:eastAsia="en-AU"/>
        </w:rPr>
        <w:t xml:space="preserve">in Schedule 1 </w:t>
      </w:r>
      <w:r w:rsidR="00714B01" w:rsidRPr="00714B01">
        <w:rPr>
          <w:rFonts w:ascii="Times New Roman" w:eastAsia="Times New Roman" w:hAnsi="Times New Roman" w:cs="Times New Roman"/>
          <w:bCs/>
          <w:sz w:val="24"/>
          <w:szCs w:val="24"/>
          <w:lang w:eastAsia="en-AU"/>
        </w:rPr>
        <w:t>headed “Form”.</w:t>
      </w:r>
    </w:p>
    <w:p w14:paraId="1D57616A" w14:textId="77777777" w:rsidR="0024010B" w:rsidRDefault="0024010B" w:rsidP="00167955">
      <w:pPr>
        <w:spacing w:after="0" w:line="240" w:lineRule="auto"/>
        <w:rPr>
          <w:rFonts w:ascii="Times New Roman" w:eastAsia="Times New Roman" w:hAnsi="Times New Roman" w:cs="Times New Roman"/>
          <w:bCs/>
          <w:sz w:val="24"/>
          <w:szCs w:val="24"/>
          <w:lang w:eastAsia="en-AU"/>
        </w:rPr>
      </w:pPr>
    </w:p>
    <w:p w14:paraId="1F0D3229" w14:textId="0127E476" w:rsidR="0024010B" w:rsidRDefault="0024010B"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7 corresponds to section 6 of the 2012 Listing Instrument.</w:t>
      </w:r>
    </w:p>
    <w:p w14:paraId="4E5D99D1" w14:textId="77777777" w:rsidR="000B19F0" w:rsidRDefault="000B19F0" w:rsidP="00167955">
      <w:pPr>
        <w:spacing w:after="0" w:line="240" w:lineRule="auto"/>
        <w:rPr>
          <w:rFonts w:ascii="Times New Roman" w:eastAsia="Times New Roman" w:hAnsi="Times New Roman" w:cs="Times New Roman"/>
          <w:b/>
          <w:bCs/>
          <w:color w:val="000000"/>
          <w:sz w:val="24"/>
          <w:szCs w:val="24"/>
          <w:lang w:eastAsia="en-AU"/>
        </w:rPr>
      </w:pPr>
    </w:p>
    <w:p w14:paraId="4A0AA61A" w14:textId="77E1389D" w:rsidR="00DB3E57" w:rsidRDefault="00DB3E57" w:rsidP="00167955">
      <w:pPr>
        <w:spacing w:after="0" w:line="240" w:lineRule="auto"/>
        <w:rPr>
          <w:rFonts w:ascii="Times New Roman" w:eastAsia="Times New Roman" w:hAnsi="Times New Roman" w:cs="Times New Roman"/>
          <w:b/>
          <w:sz w:val="24"/>
          <w:szCs w:val="24"/>
          <w:lang w:eastAsia="en-AU"/>
        </w:rPr>
      </w:pPr>
      <w:r w:rsidRPr="00DB3E57">
        <w:rPr>
          <w:rFonts w:ascii="Times New Roman" w:eastAsia="Times New Roman" w:hAnsi="Times New Roman" w:cs="Times New Roman"/>
          <w:b/>
          <w:sz w:val="24"/>
          <w:szCs w:val="24"/>
          <w:lang w:eastAsia="en-AU"/>
        </w:rPr>
        <w:t>Section </w:t>
      </w:r>
      <w:r w:rsidR="00523731">
        <w:rPr>
          <w:rFonts w:ascii="Times New Roman" w:eastAsia="Times New Roman" w:hAnsi="Times New Roman" w:cs="Times New Roman"/>
          <w:b/>
          <w:sz w:val="24"/>
          <w:szCs w:val="24"/>
          <w:lang w:eastAsia="en-AU"/>
        </w:rPr>
        <w:t>8</w:t>
      </w:r>
      <w:r w:rsidR="00F35A73">
        <w:rPr>
          <w:rFonts w:ascii="Times New Roman" w:eastAsia="Times New Roman" w:hAnsi="Times New Roman" w:cs="Times New Roman"/>
          <w:b/>
          <w:sz w:val="24"/>
          <w:szCs w:val="24"/>
          <w:lang w:eastAsia="en-AU"/>
        </w:rPr>
        <w:t xml:space="preserve"> – </w:t>
      </w:r>
      <w:r w:rsidR="00F35A73" w:rsidRPr="000B19F0">
        <w:rPr>
          <w:rFonts w:ascii="Times New Roman" w:eastAsia="Times New Roman" w:hAnsi="Times New Roman" w:cs="Times New Roman"/>
          <w:b/>
          <w:sz w:val="24"/>
          <w:szCs w:val="24"/>
          <w:lang w:eastAsia="en-AU"/>
        </w:rPr>
        <w:t>Manner of administration of a form of a listed drug (Act s</w:t>
      </w:r>
      <w:r w:rsidR="0057461D">
        <w:rPr>
          <w:rFonts w:ascii="Times New Roman" w:eastAsia="Times New Roman" w:hAnsi="Times New Roman" w:cs="Times New Roman"/>
          <w:b/>
          <w:sz w:val="24"/>
          <w:szCs w:val="24"/>
          <w:lang w:eastAsia="en-AU"/>
        </w:rPr>
        <w:t xml:space="preserve"> </w:t>
      </w:r>
      <w:r w:rsidR="00F35A73" w:rsidRPr="000B19F0">
        <w:rPr>
          <w:rFonts w:ascii="Times New Roman" w:eastAsia="Times New Roman" w:hAnsi="Times New Roman" w:cs="Times New Roman"/>
          <w:b/>
          <w:sz w:val="24"/>
          <w:szCs w:val="24"/>
          <w:lang w:eastAsia="en-AU"/>
        </w:rPr>
        <w:t>85(5))</w:t>
      </w:r>
    </w:p>
    <w:p w14:paraId="1E5B184B" w14:textId="77777777" w:rsidR="000B19F0" w:rsidRDefault="000B19F0" w:rsidP="00167955">
      <w:pPr>
        <w:spacing w:after="0" w:line="240" w:lineRule="auto"/>
        <w:rPr>
          <w:rFonts w:ascii="Times New Roman" w:eastAsia="Times New Roman" w:hAnsi="Times New Roman" w:cs="Times New Roman"/>
          <w:color w:val="000000"/>
          <w:sz w:val="24"/>
          <w:szCs w:val="24"/>
          <w:lang w:eastAsia="en-AU"/>
        </w:rPr>
      </w:pPr>
    </w:p>
    <w:p w14:paraId="15931408" w14:textId="640D6AF1" w:rsidR="00DB3E57" w:rsidRDefault="00320E4E" w:rsidP="00167955">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w:t>
      </w:r>
      <w:r w:rsidR="00DB3E57" w:rsidRPr="00DB3E57">
        <w:rPr>
          <w:rFonts w:ascii="Times New Roman" w:eastAsia="Times New Roman" w:hAnsi="Times New Roman" w:cs="Times New Roman"/>
          <w:color w:val="000000"/>
          <w:sz w:val="24"/>
          <w:szCs w:val="24"/>
          <w:lang w:eastAsia="en-AU"/>
        </w:rPr>
        <w:t> </w:t>
      </w:r>
      <w:r w:rsidR="00523731">
        <w:rPr>
          <w:rFonts w:ascii="Times New Roman" w:eastAsia="Times New Roman" w:hAnsi="Times New Roman" w:cs="Times New Roman"/>
          <w:color w:val="000000"/>
          <w:sz w:val="24"/>
          <w:szCs w:val="24"/>
          <w:lang w:eastAsia="en-AU"/>
        </w:rPr>
        <w:t>8</w:t>
      </w:r>
      <w:r w:rsidR="00DB3E57" w:rsidRPr="00DB3E57">
        <w:rPr>
          <w:rFonts w:ascii="Times New Roman" w:eastAsia="Times New Roman" w:hAnsi="Times New Roman" w:cs="Times New Roman"/>
          <w:color w:val="000000"/>
          <w:sz w:val="24"/>
          <w:szCs w:val="24"/>
          <w:lang w:eastAsia="en-AU"/>
        </w:rPr>
        <w:t xml:space="preserve"> determines, for </w:t>
      </w:r>
      <w:r>
        <w:rPr>
          <w:rFonts w:ascii="Times New Roman" w:eastAsia="Times New Roman" w:hAnsi="Times New Roman" w:cs="Times New Roman"/>
          <w:color w:val="000000"/>
          <w:sz w:val="24"/>
          <w:szCs w:val="24"/>
          <w:lang w:eastAsia="en-AU"/>
        </w:rPr>
        <w:t xml:space="preserve">the purposes </w:t>
      </w:r>
      <w:r w:rsidR="00DE4EAB">
        <w:rPr>
          <w:rFonts w:ascii="Times New Roman" w:eastAsia="Times New Roman" w:hAnsi="Times New Roman" w:cs="Times New Roman"/>
          <w:color w:val="000000"/>
          <w:sz w:val="24"/>
          <w:szCs w:val="24"/>
          <w:lang w:eastAsia="en-AU"/>
        </w:rPr>
        <w:t xml:space="preserve">of </w:t>
      </w:r>
      <w:r w:rsidR="00DB3E57" w:rsidRPr="00DB3E57">
        <w:rPr>
          <w:rFonts w:ascii="Times New Roman" w:eastAsia="Times New Roman" w:hAnsi="Times New Roman" w:cs="Times New Roman"/>
          <w:color w:val="000000"/>
          <w:sz w:val="24"/>
          <w:szCs w:val="24"/>
          <w:lang w:eastAsia="en-AU"/>
        </w:rPr>
        <w:t>subsection 85(5) of the Act, the manner of administration of the forms of the listed drugs in Schedule 1</w:t>
      </w:r>
      <w:r w:rsidR="00A0645D">
        <w:rPr>
          <w:rFonts w:ascii="Times New Roman" w:eastAsia="Times New Roman" w:hAnsi="Times New Roman" w:cs="Times New Roman"/>
          <w:color w:val="000000"/>
          <w:sz w:val="24"/>
          <w:szCs w:val="24"/>
          <w:lang w:eastAsia="en-AU"/>
        </w:rPr>
        <w:t>.</w:t>
      </w:r>
      <w:r w:rsidR="008E3140">
        <w:rPr>
          <w:rFonts w:ascii="Times New Roman" w:eastAsia="Times New Roman" w:hAnsi="Times New Roman" w:cs="Times New Roman"/>
          <w:color w:val="000000"/>
          <w:sz w:val="24"/>
          <w:szCs w:val="24"/>
          <w:lang w:eastAsia="en-AU"/>
        </w:rPr>
        <w:t xml:space="preserve"> </w:t>
      </w:r>
      <w:r w:rsidR="00A0645D">
        <w:rPr>
          <w:rFonts w:ascii="Times New Roman" w:eastAsia="Times New Roman" w:hAnsi="Times New Roman" w:cs="Times New Roman"/>
          <w:color w:val="000000"/>
          <w:sz w:val="24"/>
          <w:szCs w:val="24"/>
          <w:lang w:eastAsia="en-AU"/>
        </w:rPr>
        <w:t xml:space="preserve">The manner of administration </w:t>
      </w:r>
      <w:r w:rsidR="004E5930">
        <w:rPr>
          <w:rFonts w:ascii="Times New Roman" w:eastAsia="Times New Roman" w:hAnsi="Times New Roman" w:cs="Times New Roman"/>
          <w:bCs/>
          <w:sz w:val="24"/>
          <w:szCs w:val="24"/>
          <w:lang w:eastAsia="en-AU"/>
        </w:rPr>
        <w:t>is set out</w:t>
      </w:r>
      <w:r w:rsidR="008E3140" w:rsidRPr="00714B01">
        <w:rPr>
          <w:rFonts w:ascii="Times New Roman" w:eastAsia="Times New Roman" w:hAnsi="Times New Roman" w:cs="Times New Roman"/>
          <w:bCs/>
          <w:sz w:val="24"/>
          <w:szCs w:val="24"/>
          <w:lang w:eastAsia="en-AU"/>
        </w:rPr>
        <w:t xml:space="preserve"> </w:t>
      </w:r>
      <w:r w:rsidR="00921704">
        <w:rPr>
          <w:rFonts w:ascii="Times New Roman" w:eastAsia="Times New Roman" w:hAnsi="Times New Roman" w:cs="Times New Roman"/>
          <w:bCs/>
          <w:sz w:val="24"/>
          <w:szCs w:val="24"/>
          <w:lang w:eastAsia="en-AU"/>
        </w:rPr>
        <w:t xml:space="preserve">in </w:t>
      </w:r>
      <w:r w:rsidR="008E3140" w:rsidRPr="00714B01">
        <w:rPr>
          <w:rFonts w:ascii="Times New Roman" w:eastAsia="Times New Roman" w:hAnsi="Times New Roman" w:cs="Times New Roman"/>
          <w:bCs/>
          <w:sz w:val="24"/>
          <w:szCs w:val="24"/>
          <w:lang w:eastAsia="en-AU"/>
        </w:rPr>
        <w:t xml:space="preserve">the column of the table </w:t>
      </w:r>
      <w:r w:rsidR="002D7285" w:rsidRPr="002148F7">
        <w:rPr>
          <w:rFonts w:ascii="Times New Roman" w:eastAsia="Times New Roman" w:hAnsi="Times New Roman" w:cs="Times New Roman"/>
          <w:bCs/>
          <w:sz w:val="24"/>
          <w:szCs w:val="24"/>
          <w:lang w:eastAsia="en-AU"/>
        </w:rPr>
        <w:t>in Schedule 1</w:t>
      </w:r>
      <w:r w:rsidR="002F1B5D" w:rsidRPr="002F1B5D">
        <w:rPr>
          <w:rFonts w:ascii="Times New Roman" w:eastAsia="Times New Roman" w:hAnsi="Times New Roman" w:cs="Times New Roman"/>
          <w:bCs/>
          <w:sz w:val="24"/>
          <w:szCs w:val="24"/>
          <w:lang w:eastAsia="en-AU"/>
        </w:rPr>
        <w:t xml:space="preserve"> </w:t>
      </w:r>
      <w:r w:rsidR="008E3140" w:rsidRPr="00714B01">
        <w:rPr>
          <w:rFonts w:ascii="Times New Roman" w:eastAsia="Times New Roman" w:hAnsi="Times New Roman" w:cs="Times New Roman"/>
          <w:bCs/>
          <w:sz w:val="24"/>
          <w:szCs w:val="24"/>
          <w:lang w:eastAsia="en-AU"/>
        </w:rPr>
        <w:t>headed “</w:t>
      </w:r>
      <w:r w:rsidR="00857975" w:rsidRPr="00857975">
        <w:rPr>
          <w:rFonts w:ascii="Times New Roman" w:eastAsia="Times New Roman" w:hAnsi="Times New Roman" w:cs="Times New Roman"/>
          <w:bCs/>
          <w:sz w:val="24"/>
          <w:szCs w:val="24"/>
          <w:lang w:eastAsia="en-AU"/>
        </w:rPr>
        <w:t>Manner of Administration</w:t>
      </w:r>
      <w:r w:rsidR="008E3140" w:rsidRPr="00714B01">
        <w:rPr>
          <w:rFonts w:ascii="Times New Roman" w:eastAsia="Times New Roman" w:hAnsi="Times New Roman" w:cs="Times New Roman"/>
          <w:bCs/>
          <w:sz w:val="24"/>
          <w:szCs w:val="24"/>
          <w:lang w:eastAsia="en-AU"/>
        </w:rPr>
        <w:t>”</w:t>
      </w:r>
      <w:r w:rsidR="00DB3E57" w:rsidRPr="00DB3E57">
        <w:rPr>
          <w:rFonts w:ascii="Times New Roman" w:eastAsia="Times New Roman" w:hAnsi="Times New Roman" w:cs="Times New Roman"/>
          <w:color w:val="000000"/>
          <w:sz w:val="24"/>
          <w:szCs w:val="24"/>
          <w:lang w:eastAsia="en-AU"/>
        </w:rPr>
        <w:t>.</w:t>
      </w:r>
    </w:p>
    <w:p w14:paraId="3AF4F7DC" w14:textId="77777777" w:rsidR="0024010B" w:rsidRDefault="0024010B" w:rsidP="00167955">
      <w:pPr>
        <w:spacing w:after="0" w:line="240" w:lineRule="auto"/>
        <w:rPr>
          <w:rFonts w:ascii="Times New Roman" w:eastAsia="Times New Roman" w:hAnsi="Times New Roman" w:cs="Times New Roman"/>
          <w:color w:val="000000"/>
          <w:sz w:val="24"/>
          <w:szCs w:val="24"/>
          <w:lang w:eastAsia="en-AU"/>
        </w:rPr>
      </w:pPr>
    </w:p>
    <w:p w14:paraId="3283892C" w14:textId="4E6D0D79" w:rsidR="0024010B" w:rsidRPr="0024010B" w:rsidRDefault="0024010B"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8 corresponds to section 7 of the 2012 Listing Instrument.</w:t>
      </w:r>
    </w:p>
    <w:p w14:paraId="4E4E4ED1" w14:textId="77777777" w:rsidR="000B19F0" w:rsidRDefault="000B19F0" w:rsidP="00167955">
      <w:pPr>
        <w:spacing w:after="0" w:line="240" w:lineRule="auto"/>
        <w:rPr>
          <w:rFonts w:ascii="Times New Roman" w:eastAsia="Times New Roman" w:hAnsi="Times New Roman" w:cs="Times New Roman"/>
          <w:b/>
          <w:bCs/>
          <w:color w:val="000000"/>
          <w:sz w:val="24"/>
          <w:szCs w:val="24"/>
          <w:lang w:eastAsia="en-AU"/>
        </w:rPr>
      </w:pPr>
    </w:p>
    <w:p w14:paraId="29D4CD87" w14:textId="1645C577" w:rsidR="000B19F0" w:rsidRDefault="000B19F0" w:rsidP="00167955">
      <w:pPr>
        <w:spacing w:after="0" w:line="240" w:lineRule="auto"/>
        <w:rPr>
          <w:rFonts w:ascii="Times New Roman" w:eastAsia="Times New Roman" w:hAnsi="Times New Roman" w:cs="Times New Roman"/>
          <w:b/>
          <w:sz w:val="24"/>
          <w:szCs w:val="24"/>
          <w:lang w:eastAsia="en-AU"/>
        </w:rPr>
      </w:pPr>
      <w:r w:rsidRPr="000B19F0">
        <w:rPr>
          <w:rFonts w:ascii="Times New Roman" w:eastAsia="Times New Roman" w:hAnsi="Times New Roman" w:cs="Times New Roman"/>
          <w:b/>
          <w:sz w:val="24"/>
          <w:szCs w:val="24"/>
          <w:lang w:eastAsia="en-AU"/>
        </w:rPr>
        <w:t xml:space="preserve">Section </w:t>
      </w:r>
      <w:r w:rsidR="00523731">
        <w:rPr>
          <w:rFonts w:ascii="Times New Roman" w:eastAsia="Times New Roman" w:hAnsi="Times New Roman" w:cs="Times New Roman"/>
          <w:b/>
          <w:sz w:val="24"/>
          <w:szCs w:val="24"/>
          <w:lang w:eastAsia="en-AU"/>
        </w:rPr>
        <w:t>9</w:t>
      </w:r>
      <w:r w:rsidRPr="000B19F0">
        <w:rPr>
          <w:rFonts w:ascii="Times New Roman" w:eastAsia="Times New Roman" w:hAnsi="Times New Roman" w:cs="Times New Roman"/>
          <w:b/>
          <w:sz w:val="24"/>
          <w:szCs w:val="24"/>
          <w:lang w:eastAsia="en-AU"/>
        </w:rPr>
        <w:t xml:space="preserve"> – Brand of a pharmaceutical item (Act s</w:t>
      </w:r>
      <w:r w:rsidR="0057461D">
        <w:rPr>
          <w:rFonts w:ascii="Times New Roman" w:eastAsia="Times New Roman" w:hAnsi="Times New Roman" w:cs="Times New Roman"/>
          <w:b/>
          <w:sz w:val="24"/>
          <w:szCs w:val="24"/>
          <w:lang w:eastAsia="en-AU"/>
        </w:rPr>
        <w:t xml:space="preserve"> </w:t>
      </w:r>
      <w:r w:rsidRPr="000B19F0">
        <w:rPr>
          <w:rFonts w:ascii="Times New Roman" w:eastAsia="Times New Roman" w:hAnsi="Times New Roman" w:cs="Times New Roman"/>
          <w:b/>
          <w:sz w:val="24"/>
          <w:szCs w:val="24"/>
          <w:lang w:eastAsia="en-AU"/>
        </w:rPr>
        <w:t>85(6))</w:t>
      </w:r>
    </w:p>
    <w:p w14:paraId="060229DF" w14:textId="77777777" w:rsidR="000B19F0" w:rsidRDefault="000B19F0" w:rsidP="00167955">
      <w:pPr>
        <w:spacing w:after="0" w:line="240" w:lineRule="auto"/>
        <w:rPr>
          <w:rFonts w:ascii="Times New Roman" w:eastAsia="Times New Roman" w:hAnsi="Times New Roman" w:cs="Times New Roman"/>
          <w:b/>
          <w:sz w:val="24"/>
          <w:szCs w:val="24"/>
          <w:lang w:eastAsia="en-AU"/>
        </w:rPr>
      </w:pPr>
    </w:p>
    <w:p w14:paraId="44CCD422" w14:textId="542A4C11" w:rsidR="001516E8" w:rsidRDefault="000644AF"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w:t>
      </w:r>
      <w:r w:rsidR="00523731">
        <w:rPr>
          <w:rFonts w:ascii="Times New Roman" w:eastAsia="Times New Roman" w:hAnsi="Times New Roman" w:cs="Times New Roman"/>
          <w:bCs/>
          <w:sz w:val="24"/>
          <w:szCs w:val="24"/>
          <w:lang w:eastAsia="en-AU"/>
        </w:rPr>
        <w:t>9</w:t>
      </w:r>
      <w:r>
        <w:rPr>
          <w:rFonts w:ascii="Times New Roman" w:eastAsia="Times New Roman" w:hAnsi="Times New Roman" w:cs="Times New Roman"/>
          <w:bCs/>
          <w:sz w:val="24"/>
          <w:szCs w:val="24"/>
          <w:lang w:eastAsia="en-AU"/>
        </w:rPr>
        <w:t xml:space="preserve"> </w:t>
      </w:r>
      <w:r w:rsidR="00BC69AB" w:rsidRPr="00DB3E57">
        <w:rPr>
          <w:rFonts w:ascii="Times New Roman" w:eastAsia="Times New Roman" w:hAnsi="Times New Roman" w:cs="Times New Roman"/>
          <w:color w:val="000000"/>
          <w:sz w:val="24"/>
          <w:szCs w:val="24"/>
          <w:lang w:eastAsia="en-AU"/>
        </w:rPr>
        <w:t>determines</w:t>
      </w:r>
      <w:r w:rsidR="00BC69AB">
        <w:rPr>
          <w:rFonts w:ascii="Times New Roman" w:eastAsia="Times New Roman" w:hAnsi="Times New Roman" w:cs="Times New Roman"/>
          <w:bCs/>
          <w:sz w:val="24"/>
          <w:szCs w:val="24"/>
          <w:lang w:eastAsia="en-AU"/>
        </w:rPr>
        <w:t xml:space="preserve">, </w:t>
      </w:r>
      <w:r w:rsidRPr="000644AF">
        <w:rPr>
          <w:rFonts w:ascii="Times New Roman" w:eastAsia="Times New Roman" w:hAnsi="Times New Roman" w:cs="Times New Roman"/>
          <w:bCs/>
          <w:sz w:val="24"/>
          <w:szCs w:val="24"/>
          <w:lang w:eastAsia="en-AU"/>
        </w:rPr>
        <w:t xml:space="preserve">for </w:t>
      </w:r>
      <w:r w:rsidR="00182467">
        <w:rPr>
          <w:rFonts w:ascii="Times New Roman" w:eastAsia="Times New Roman" w:hAnsi="Times New Roman" w:cs="Times New Roman"/>
          <w:bCs/>
          <w:sz w:val="24"/>
          <w:szCs w:val="24"/>
          <w:lang w:eastAsia="en-AU"/>
        </w:rPr>
        <w:t xml:space="preserve">the purposes of </w:t>
      </w:r>
      <w:r w:rsidRPr="000644AF">
        <w:rPr>
          <w:rFonts w:ascii="Times New Roman" w:eastAsia="Times New Roman" w:hAnsi="Times New Roman" w:cs="Times New Roman"/>
          <w:bCs/>
          <w:sz w:val="24"/>
          <w:szCs w:val="24"/>
          <w:lang w:eastAsia="en-AU"/>
        </w:rPr>
        <w:t>subsection 85(6) of the Act, the brands of the pharmaceutical items</w:t>
      </w:r>
      <w:r w:rsidR="00FB2AD1">
        <w:rPr>
          <w:rFonts w:ascii="Times New Roman" w:eastAsia="Times New Roman" w:hAnsi="Times New Roman" w:cs="Times New Roman"/>
          <w:bCs/>
          <w:sz w:val="24"/>
          <w:szCs w:val="24"/>
          <w:lang w:eastAsia="en-AU"/>
        </w:rPr>
        <w:t xml:space="preserve"> in Schedule 1</w:t>
      </w:r>
      <w:r w:rsidR="002F1B5D" w:rsidRPr="002F1B5D">
        <w:rPr>
          <w:rFonts w:ascii="Times New Roman" w:eastAsia="Times New Roman" w:hAnsi="Times New Roman" w:cs="Times New Roman"/>
          <w:bCs/>
          <w:sz w:val="24"/>
          <w:szCs w:val="24"/>
          <w:lang w:eastAsia="en-AU"/>
        </w:rPr>
        <w:t xml:space="preserve"> </w:t>
      </w:r>
      <w:r w:rsidR="002F1B5D">
        <w:rPr>
          <w:rFonts w:ascii="Times New Roman" w:eastAsia="Times New Roman" w:hAnsi="Times New Roman" w:cs="Times New Roman"/>
          <w:bCs/>
          <w:sz w:val="24"/>
          <w:szCs w:val="24"/>
          <w:lang w:eastAsia="en-AU"/>
        </w:rPr>
        <w:t>to this instrument</w:t>
      </w:r>
      <w:r w:rsidR="00C94BBF">
        <w:rPr>
          <w:rFonts w:ascii="Times New Roman" w:eastAsia="Times New Roman" w:hAnsi="Times New Roman" w:cs="Times New Roman"/>
          <w:bCs/>
          <w:sz w:val="24"/>
          <w:szCs w:val="24"/>
          <w:lang w:eastAsia="en-AU"/>
        </w:rPr>
        <w:t>.</w:t>
      </w:r>
    </w:p>
    <w:p w14:paraId="0F19A192" w14:textId="77777777" w:rsidR="001516E8" w:rsidRDefault="001516E8" w:rsidP="00167955">
      <w:pPr>
        <w:spacing w:after="0" w:line="240" w:lineRule="auto"/>
        <w:rPr>
          <w:rFonts w:ascii="Times New Roman" w:eastAsia="Times New Roman" w:hAnsi="Times New Roman" w:cs="Times New Roman"/>
          <w:bCs/>
          <w:sz w:val="24"/>
          <w:szCs w:val="24"/>
          <w:lang w:eastAsia="en-AU"/>
        </w:rPr>
      </w:pPr>
    </w:p>
    <w:p w14:paraId="043EBCA1" w14:textId="70E34075" w:rsidR="00E06D22" w:rsidRDefault="007D2120"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Where the Minister has declared </w:t>
      </w:r>
      <w:r w:rsidR="00A36257">
        <w:rPr>
          <w:rFonts w:ascii="Times New Roman" w:eastAsia="Times New Roman" w:hAnsi="Times New Roman" w:cs="Times New Roman"/>
          <w:bCs/>
          <w:sz w:val="24"/>
          <w:szCs w:val="24"/>
          <w:lang w:eastAsia="en-AU"/>
        </w:rPr>
        <w:t xml:space="preserve">or determined </w:t>
      </w:r>
      <w:r>
        <w:rPr>
          <w:rFonts w:ascii="Times New Roman" w:eastAsia="Times New Roman" w:hAnsi="Times New Roman" w:cs="Times New Roman"/>
          <w:bCs/>
          <w:sz w:val="24"/>
          <w:szCs w:val="24"/>
          <w:lang w:eastAsia="en-AU"/>
        </w:rPr>
        <w:t>a drug or medicinal preparation</w:t>
      </w:r>
      <w:r w:rsidR="00A36257">
        <w:rPr>
          <w:rFonts w:ascii="Times New Roman" w:eastAsia="Times New Roman" w:hAnsi="Times New Roman" w:cs="Times New Roman"/>
          <w:bCs/>
          <w:sz w:val="24"/>
          <w:szCs w:val="24"/>
          <w:lang w:eastAsia="en-AU"/>
        </w:rPr>
        <w:t xml:space="preserve">, a form of that drug and a manner of administration of </w:t>
      </w:r>
      <w:r w:rsidR="002A58AA">
        <w:rPr>
          <w:rFonts w:ascii="Times New Roman" w:eastAsia="Times New Roman" w:hAnsi="Times New Roman" w:cs="Times New Roman"/>
          <w:bCs/>
          <w:sz w:val="24"/>
          <w:szCs w:val="24"/>
          <w:lang w:eastAsia="en-AU"/>
        </w:rPr>
        <w:t xml:space="preserve">that form of the drug, then the drug in that form with that manner of administration is a </w:t>
      </w:r>
      <w:r w:rsidR="00F56585">
        <w:rPr>
          <w:rFonts w:ascii="Times New Roman" w:eastAsia="Times New Roman" w:hAnsi="Times New Roman" w:cs="Times New Roman"/>
          <w:bCs/>
          <w:sz w:val="24"/>
          <w:szCs w:val="24"/>
          <w:lang w:eastAsia="en-AU"/>
        </w:rPr>
        <w:t xml:space="preserve">pharmaceutical item </w:t>
      </w:r>
      <w:r w:rsidR="002A58AA">
        <w:rPr>
          <w:rFonts w:ascii="Times New Roman" w:eastAsia="Times New Roman" w:hAnsi="Times New Roman" w:cs="Times New Roman"/>
          <w:bCs/>
          <w:sz w:val="24"/>
          <w:szCs w:val="24"/>
          <w:lang w:eastAsia="en-AU"/>
        </w:rPr>
        <w:t xml:space="preserve">(see section 84AB of the Act). </w:t>
      </w:r>
      <w:r w:rsidR="001516E8">
        <w:rPr>
          <w:rFonts w:ascii="Times New Roman" w:eastAsia="Times New Roman" w:hAnsi="Times New Roman" w:cs="Times New Roman"/>
          <w:bCs/>
          <w:sz w:val="24"/>
          <w:szCs w:val="24"/>
          <w:lang w:eastAsia="en-AU"/>
        </w:rPr>
        <w:t xml:space="preserve">The </w:t>
      </w:r>
      <w:r w:rsidR="00E06D22">
        <w:rPr>
          <w:rFonts w:ascii="Times New Roman" w:eastAsia="Times New Roman" w:hAnsi="Times New Roman" w:cs="Times New Roman"/>
          <w:bCs/>
          <w:sz w:val="24"/>
          <w:szCs w:val="24"/>
          <w:lang w:eastAsia="en-AU"/>
        </w:rPr>
        <w:t xml:space="preserve">“brand” </w:t>
      </w:r>
      <w:r w:rsidR="00E06D22" w:rsidRPr="00E06D22">
        <w:rPr>
          <w:rFonts w:ascii="Times New Roman" w:eastAsia="Times New Roman" w:hAnsi="Times New Roman" w:cs="Times New Roman"/>
          <w:bCs/>
          <w:sz w:val="24"/>
          <w:szCs w:val="24"/>
          <w:lang w:eastAsia="en-AU"/>
        </w:rPr>
        <w:t xml:space="preserve">of a pharmaceutical item </w:t>
      </w:r>
      <w:r w:rsidR="001516E8">
        <w:rPr>
          <w:rFonts w:ascii="Times New Roman" w:eastAsia="Times New Roman" w:hAnsi="Times New Roman" w:cs="Times New Roman"/>
          <w:bCs/>
          <w:sz w:val="24"/>
          <w:szCs w:val="24"/>
          <w:lang w:eastAsia="en-AU"/>
        </w:rPr>
        <w:t xml:space="preserve">is defined by section 84 of the Act </w:t>
      </w:r>
      <w:r w:rsidR="00E06D22" w:rsidRPr="00E06D22">
        <w:rPr>
          <w:rFonts w:ascii="Times New Roman" w:eastAsia="Times New Roman" w:hAnsi="Times New Roman" w:cs="Times New Roman"/>
          <w:bCs/>
          <w:sz w:val="24"/>
          <w:szCs w:val="24"/>
          <w:lang w:eastAsia="en-AU"/>
        </w:rPr>
        <w:t>to mean</w:t>
      </w:r>
      <w:r w:rsidR="00E06D22">
        <w:rPr>
          <w:rFonts w:ascii="Times New Roman" w:eastAsia="Times New Roman" w:hAnsi="Times New Roman" w:cs="Times New Roman"/>
          <w:bCs/>
          <w:sz w:val="24"/>
          <w:szCs w:val="24"/>
          <w:lang w:eastAsia="en-AU"/>
        </w:rPr>
        <w:t>:</w:t>
      </w:r>
    </w:p>
    <w:p w14:paraId="57C8354E" w14:textId="2F8E2901" w:rsidR="00E06D22" w:rsidRPr="00E06D22" w:rsidRDefault="00E06D22" w:rsidP="00102702">
      <w:pPr>
        <w:pStyle w:val="ListParagraph"/>
        <w:numPr>
          <w:ilvl w:val="0"/>
          <w:numId w:val="8"/>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E06D22">
        <w:rPr>
          <w:rFonts w:ascii="Times New Roman" w:eastAsia="Times New Roman" w:hAnsi="Times New Roman" w:cs="Times New Roman"/>
          <w:bCs/>
          <w:sz w:val="24"/>
          <w:szCs w:val="24"/>
          <w:lang w:eastAsia="en-AU"/>
        </w:rPr>
        <w:t>the trade name under which the person who is or will be the responsible person supplies the pharmaceutical item; or</w:t>
      </w:r>
    </w:p>
    <w:p w14:paraId="36B1E94C" w14:textId="7BC7D697" w:rsidR="00E06D22" w:rsidRPr="00E06D22" w:rsidRDefault="00E06D22" w:rsidP="001A7591">
      <w:pPr>
        <w:pStyle w:val="ListParagraph"/>
        <w:numPr>
          <w:ilvl w:val="0"/>
          <w:numId w:val="8"/>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E06D22">
        <w:rPr>
          <w:rFonts w:ascii="Times New Roman" w:eastAsia="Times New Roman" w:hAnsi="Times New Roman" w:cs="Times New Roman"/>
          <w:bCs/>
          <w:sz w:val="24"/>
          <w:szCs w:val="24"/>
          <w:lang w:eastAsia="en-AU"/>
        </w:rPr>
        <w:t>if there is no trade name—the name of the person who is or will be the responsible person.</w:t>
      </w:r>
    </w:p>
    <w:p w14:paraId="55F85AAC" w14:textId="77777777" w:rsidR="00E06D22" w:rsidRDefault="00E06D22" w:rsidP="001A7591">
      <w:pPr>
        <w:spacing w:after="0" w:line="240" w:lineRule="auto"/>
        <w:rPr>
          <w:rFonts w:ascii="Times New Roman" w:eastAsia="Times New Roman" w:hAnsi="Times New Roman" w:cs="Times New Roman"/>
          <w:bCs/>
          <w:sz w:val="24"/>
          <w:szCs w:val="24"/>
          <w:lang w:eastAsia="en-AU"/>
        </w:rPr>
      </w:pPr>
    </w:p>
    <w:p w14:paraId="04B9DAF5" w14:textId="3D5FF683" w:rsidR="005B4567" w:rsidRDefault="00784F32"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color w:val="000000"/>
          <w:sz w:val="24"/>
          <w:szCs w:val="24"/>
          <w:lang w:eastAsia="en-AU"/>
        </w:rPr>
        <w:t>T</w:t>
      </w:r>
      <w:r w:rsidR="007A63D3">
        <w:rPr>
          <w:rFonts w:ascii="Times New Roman" w:eastAsia="Times New Roman" w:hAnsi="Times New Roman" w:cs="Times New Roman"/>
          <w:color w:val="000000"/>
          <w:sz w:val="24"/>
          <w:szCs w:val="24"/>
          <w:lang w:eastAsia="en-AU"/>
        </w:rPr>
        <w:t>he</w:t>
      </w:r>
      <w:r w:rsidR="007A63D3">
        <w:rPr>
          <w:rFonts w:ascii="Times New Roman" w:eastAsia="Times New Roman" w:hAnsi="Times New Roman" w:cs="Times New Roman"/>
          <w:bCs/>
          <w:sz w:val="24"/>
          <w:szCs w:val="24"/>
          <w:lang w:eastAsia="en-AU"/>
        </w:rPr>
        <w:t xml:space="preserve"> </w:t>
      </w:r>
      <w:r w:rsidR="00C94BBF">
        <w:rPr>
          <w:rFonts w:ascii="Times New Roman" w:eastAsia="Times New Roman" w:hAnsi="Times New Roman" w:cs="Times New Roman"/>
          <w:bCs/>
          <w:sz w:val="24"/>
          <w:szCs w:val="24"/>
          <w:lang w:eastAsia="en-AU"/>
        </w:rPr>
        <w:t xml:space="preserve">brand of </w:t>
      </w:r>
      <w:r>
        <w:rPr>
          <w:rFonts w:ascii="Times New Roman" w:eastAsia="Times New Roman" w:hAnsi="Times New Roman" w:cs="Times New Roman"/>
          <w:bCs/>
          <w:sz w:val="24"/>
          <w:szCs w:val="24"/>
          <w:lang w:eastAsia="en-AU"/>
        </w:rPr>
        <w:t xml:space="preserve">a </w:t>
      </w:r>
      <w:r w:rsidR="00C94BBF">
        <w:rPr>
          <w:rFonts w:ascii="Times New Roman" w:eastAsia="Times New Roman" w:hAnsi="Times New Roman" w:cs="Times New Roman"/>
          <w:bCs/>
          <w:sz w:val="24"/>
          <w:szCs w:val="24"/>
          <w:lang w:eastAsia="en-AU"/>
        </w:rPr>
        <w:t xml:space="preserve">pharmaceutical item </w:t>
      </w:r>
      <w:r>
        <w:rPr>
          <w:rFonts w:ascii="Times New Roman" w:eastAsia="Times New Roman" w:hAnsi="Times New Roman" w:cs="Times New Roman"/>
          <w:bCs/>
          <w:sz w:val="24"/>
          <w:szCs w:val="24"/>
          <w:lang w:eastAsia="en-AU"/>
        </w:rPr>
        <w:t xml:space="preserve">is </w:t>
      </w:r>
      <w:r w:rsidR="003B2E42">
        <w:rPr>
          <w:rFonts w:ascii="Times New Roman" w:eastAsia="Times New Roman" w:hAnsi="Times New Roman" w:cs="Times New Roman"/>
          <w:bCs/>
          <w:sz w:val="24"/>
          <w:szCs w:val="24"/>
          <w:lang w:eastAsia="en-AU"/>
        </w:rPr>
        <w:t>set out</w:t>
      </w:r>
      <w:r w:rsidR="00C94BBF">
        <w:rPr>
          <w:rFonts w:ascii="Times New Roman" w:eastAsia="Times New Roman" w:hAnsi="Times New Roman" w:cs="Times New Roman"/>
          <w:bCs/>
          <w:sz w:val="24"/>
          <w:szCs w:val="24"/>
          <w:lang w:eastAsia="en-AU"/>
        </w:rPr>
        <w:t xml:space="preserve"> </w:t>
      </w:r>
      <w:r w:rsidR="000644AF" w:rsidRPr="000644AF">
        <w:rPr>
          <w:rFonts w:ascii="Times New Roman" w:eastAsia="Times New Roman" w:hAnsi="Times New Roman" w:cs="Times New Roman"/>
          <w:bCs/>
          <w:sz w:val="24"/>
          <w:szCs w:val="24"/>
          <w:lang w:eastAsia="en-AU"/>
        </w:rPr>
        <w:t xml:space="preserve">in </w:t>
      </w:r>
      <w:r w:rsidR="00875DE3">
        <w:rPr>
          <w:rFonts w:ascii="Times New Roman" w:eastAsia="Times New Roman" w:hAnsi="Times New Roman" w:cs="Times New Roman"/>
          <w:bCs/>
          <w:sz w:val="24"/>
          <w:szCs w:val="24"/>
          <w:lang w:eastAsia="en-AU"/>
        </w:rPr>
        <w:t>the</w:t>
      </w:r>
      <w:r w:rsidR="00065553" w:rsidRPr="00065553">
        <w:rPr>
          <w:rFonts w:ascii="Times New Roman" w:eastAsia="Times New Roman" w:hAnsi="Times New Roman" w:cs="Times New Roman"/>
          <w:bCs/>
          <w:sz w:val="24"/>
          <w:szCs w:val="24"/>
          <w:lang w:eastAsia="en-AU"/>
        </w:rPr>
        <w:t xml:space="preserve"> column</w:t>
      </w:r>
      <w:r w:rsidR="001A1228">
        <w:rPr>
          <w:rFonts w:ascii="Times New Roman" w:eastAsia="Times New Roman" w:hAnsi="Times New Roman" w:cs="Times New Roman"/>
          <w:bCs/>
          <w:sz w:val="24"/>
          <w:szCs w:val="24"/>
          <w:lang w:eastAsia="en-AU"/>
        </w:rPr>
        <w:t xml:space="preserve"> of the table</w:t>
      </w:r>
      <w:r w:rsidR="00065553" w:rsidRPr="00065553">
        <w:rPr>
          <w:rFonts w:ascii="Times New Roman" w:eastAsia="Times New Roman" w:hAnsi="Times New Roman" w:cs="Times New Roman"/>
          <w:bCs/>
          <w:sz w:val="24"/>
          <w:szCs w:val="24"/>
          <w:lang w:eastAsia="en-AU"/>
        </w:rPr>
        <w:t xml:space="preserve"> </w:t>
      </w:r>
      <w:r w:rsidR="0036778F">
        <w:rPr>
          <w:rFonts w:ascii="Times New Roman" w:eastAsia="Times New Roman" w:hAnsi="Times New Roman" w:cs="Times New Roman"/>
          <w:bCs/>
          <w:sz w:val="24"/>
          <w:szCs w:val="24"/>
          <w:lang w:eastAsia="en-AU"/>
        </w:rPr>
        <w:t>in Schedule 1</w:t>
      </w:r>
      <w:r w:rsidR="002F1B5D" w:rsidRPr="002F1B5D">
        <w:rPr>
          <w:rFonts w:ascii="Times New Roman" w:eastAsia="Times New Roman" w:hAnsi="Times New Roman" w:cs="Times New Roman"/>
          <w:bCs/>
          <w:sz w:val="24"/>
          <w:szCs w:val="24"/>
          <w:lang w:eastAsia="en-AU"/>
        </w:rPr>
        <w:t xml:space="preserve"> </w:t>
      </w:r>
      <w:r w:rsidR="00065553" w:rsidRPr="00065553">
        <w:rPr>
          <w:rFonts w:ascii="Times New Roman" w:eastAsia="Times New Roman" w:hAnsi="Times New Roman" w:cs="Times New Roman"/>
          <w:bCs/>
          <w:sz w:val="24"/>
          <w:szCs w:val="24"/>
          <w:lang w:eastAsia="en-AU"/>
        </w:rPr>
        <w:t>headed “Brand”</w:t>
      </w:r>
      <w:r w:rsidR="000644AF" w:rsidRPr="000644AF">
        <w:rPr>
          <w:rFonts w:ascii="Times New Roman" w:eastAsia="Times New Roman" w:hAnsi="Times New Roman" w:cs="Times New Roman"/>
          <w:bCs/>
          <w:sz w:val="24"/>
          <w:szCs w:val="24"/>
          <w:lang w:eastAsia="en-AU"/>
        </w:rPr>
        <w:t>.</w:t>
      </w:r>
    </w:p>
    <w:p w14:paraId="62594DFF" w14:textId="77777777" w:rsidR="00F34F16" w:rsidRPr="003941DA" w:rsidRDefault="00F34F16" w:rsidP="00167955">
      <w:pPr>
        <w:spacing w:after="0" w:line="240" w:lineRule="auto"/>
        <w:rPr>
          <w:rFonts w:ascii="Times New Roman" w:eastAsia="Times New Roman" w:hAnsi="Times New Roman" w:cs="Times New Roman"/>
          <w:bCs/>
          <w:sz w:val="24"/>
          <w:szCs w:val="24"/>
          <w:lang w:eastAsia="en-AU"/>
        </w:rPr>
      </w:pPr>
    </w:p>
    <w:p w14:paraId="6588C5FA" w14:textId="0227416A" w:rsidR="0024010B" w:rsidRDefault="0024010B"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9 corresponds to </w:t>
      </w:r>
      <w:r w:rsidR="00B24B9B">
        <w:rPr>
          <w:rFonts w:ascii="Times New Roman" w:eastAsia="Times New Roman" w:hAnsi="Times New Roman" w:cs="Times New Roman"/>
          <w:bCs/>
          <w:sz w:val="24"/>
          <w:szCs w:val="24"/>
          <w:lang w:eastAsia="en-AU"/>
        </w:rPr>
        <w:t>subsection</w:t>
      </w:r>
      <w:r>
        <w:rPr>
          <w:rFonts w:ascii="Times New Roman" w:eastAsia="Times New Roman" w:hAnsi="Times New Roman" w:cs="Times New Roman"/>
          <w:bCs/>
          <w:sz w:val="24"/>
          <w:szCs w:val="24"/>
          <w:lang w:eastAsia="en-AU"/>
        </w:rPr>
        <w:t xml:space="preserve"> </w:t>
      </w:r>
      <w:r w:rsidR="00B24B9B">
        <w:rPr>
          <w:rFonts w:ascii="Times New Roman" w:eastAsia="Times New Roman" w:hAnsi="Times New Roman" w:cs="Times New Roman"/>
          <w:bCs/>
          <w:sz w:val="24"/>
          <w:szCs w:val="24"/>
          <w:lang w:eastAsia="en-AU"/>
        </w:rPr>
        <w:t>8(1)</w:t>
      </w:r>
      <w:r>
        <w:rPr>
          <w:rFonts w:ascii="Times New Roman" w:eastAsia="Times New Roman" w:hAnsi="Times New Roman" w:cs="Times New Roman"/>
          <w:bCs/>
          <w:sz w:val="24"/>
          <w:szCs w:val="24"/>
          <w:lang w:eastAsia="en-AU"/>
        </w:rPr>
        <w:t xml:space="preserve"> of the 2012 Listing Instrument.</w:t>
      </w:r>
    </w:p>
    <w:p w14:paraId="70A05289" w14:textId="77777777" w:rsidR="00D34345" w:rsidRDefault="00D34345" w:rsidP="00167955">
      <w:pPr>
        <w:spacing w:after="0" w:line="240" w:lineRule="auto"/>
        <w:rPr>
          <w:rFonts w:ascii="Times New Roman" w:eastAsia="Times New Roman" w:hAnsi="Times New Roman" w:cs="Times New Roman"/>
          <w:b/>
          <w:sz w:val="24"/>
          <w:szCs w:val="24"/>
          <w:lang w:eastAsia="en-AU"/>
        </w:rPr>
      </w:pPr>
    </w:p>
    <w:p w14:paraId="41850C51" w14:textId="2580D3BC" w:rsidR="00D34345" w:rsidRDefault="00EC049F" w:rsidP="00167955">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w:t>
      </w:r>
      <w:r w:rsidR="00C34FAA">
        <w:rPr>
          <w:rFonts w:ascii="Times New Roman" w:eastAsia="Times New Roman" w:hAnsi="Times New Roman" w:cs="Times New Roman"/>
          <w:b/>
          <w:sz w:val="24"/>
          <w:szCs w:val="24"/>
          <w:lang w:eastAsia="en-AU"/>
        </w:rPr>
        <w:t>10</w:t>
      </w:r>
      <w:r w:rsidR="008811F3">
        <w:rPr>
          <w:rFonts w:ascii="Times New Roman" w:eastAsia="Times New Roman" w:hAnsi="Times New Roman" w:cs="Times New Roman"/>
          <w:b/>
          <w:sz w:val="24"/>
          <w:szCs w:val="24"/>
          <w:lang w:eastAsia="en-AU"/>
        </w:rPr>
        <w:t xml:space="preserve"> </w:t>
      </w:r>
      <w:r w:rsidR="008811F3" w:rsidRPr="000B19F0">
        <w:rPr>
          <w:rFonts w:ascii="Times New Roman" w:eastAsia="Times New Roman" w:hAnsi="Times New Roman" w:cs="Times New Roman"/>
          <w:b/>
          <w:sz w:val="24"/>
          <w:szCs w:val="24"/>
          <w:lang w:eastAsia="en-AU"/>
        </w:rPr>
        <w:t xml:space="preserve">– </w:t>
      </w:r>
      <w:r w:rsidR="008811F3">
        <w:rPr>
          <w:rFonts w:ascii="Times New Roman" w:eastAsia="Times New Roman" w:hAnsi="Times New Roman" w:cs="Times New Roman"/>
          <w:b/>
          <w:sz w:val="24"/>
          <w:szCs w:val="24"/>
          <w:lang w:eastAsia="en-AU"/>
        </w:rPr>
        <w:t xml:space="preserve"> </w:t>
      </w:r>
      <w:r w:rsidR="00D34345" w:rsidRPr="00D34345">
        <w:rPr>
          <w:rFonts w:ascii="Times New Roman" w:eastAsia="Times New Roman" w:hAnsi="Times New Roman" w:cs="Times New Roman"/>
          <w:b/>
          <w:sz w:val="24"/>
          <w:szCs w:val="24"/>
          <w:lang w:eastAsia="en-AU"/>
        </w:rPr>
        <w:t>Responsible person for a brand of a pharmaceutical item (Act s</w:t>
      </w:r>
      <w:r w:rsidR="0057461D">
        <w:rPr>
          <w:rFonts w:ascii="Times New Roman" w:eastAsia="Times New Roman" w:hAnsi="Times New Roman" w:cs="Times New Roman"/>
          <w:b/>
          <w:sz w:val="24"/>
          <w:szCs w:val="24"/>
          <w:lang w:eastAsia="en-AU"/>
        </w:rPr>
        <w:t xml:space="preserve"> </w:t>
      </w:r>
      <w:r w:rsidR="00D34345" w:rsidRPr="00D34345">
        <w:rPr>
          <w:rFonts w:ascii="Times New Roman" w:eastAsia="Times New Roman" w:hAnsi="Times New Roman" w:cs="Times New Roman"/>
          <w:b/>
          <w:sz w:val="24"/>
          <w:szCs w:val="24"/>
          <w:lang w:eastAsia="en-AU"/>
        </w:rPr>
        <w:t>84AF(1))</w:t>
      </w:r>
    </w:p>
    <w:p w14:paraId="661FDAB4" w14:textId="77777777" w:rsidR="00EC049F" w:rsidRDefault="00EC049F" w:rsidP="00167955">
      <w:pPr>
        <w:spacing w:after="0" w:line="240" w:lineRule="auto"/>
        <w:rPr>
          <w:rFonts w:ascii="Times New Roman" w:eastAsia="Times New Roman" w:hAnsi="Times New Roman" w:cs="Times New Roman"/>
          <w:b/>
          <w:sz w:val="24"/>
          <w:szCs w:val="24"/>
          <w:lang w:eastAsia="en-AU"/>
        </w:rPr>
      </w:pPr>
    </w:p>
    <w:p w14:paraId="726E23EC" w14:textId="6B5FBEB8" w:rsidR="00823332" w:rsidRPr="00633509" w:rsidRDefault="00BD26D9"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5E1331">
        <w:rPr>
          <w:rFonts w:ascii="Times New Roman" w:eastAsia="Times New Roman" w:hAnsi="Times New Roman" w:cs="Times New Roman"/>
          <w:bCs/>
          <w:sz w:val="24"/>
          <w:szCs w:val="24"/>
          <w:lang w:eastAsia="en-AU"/>
        </w:rPr>
        <w:t>ubs</w:t>
      </w:r>
      <w:r w:rsidRPr="00BD26D9">
        <w:rPr>
          <w:rFonts w:ascii="Times New Roman" w:eastAsia="Times New Roman" w:hAnsi="Times New Roman" w:cs="Times New Roman"/>
          <w:bCs/>
          <w:sz w:val="24"/>
          <w:szCs w:val="24"/>
          <w:lang w:eastAsia="en-AU"/>
        </w:rPr>
        <w:t>ection 84AF</w:t>
      </w:r>
      <w:r w:rsidR="005E1331">
        <w:rPr>
          <w:rFonts w:ascii="Times New Roman" w:eastAsia="Times New Roman" w:hAnsi="Times New Roman" w:cs="Times New Roman"/>
          <w:bCs/>
          <w:sz w:val="24"/>
          <w:szCs w:val="24"/>
          <w:lang w:eastAsia="en-AU"/>
        </w:rPr>
        <w:t>(1)</w:t>
      </w:r>
      <w:r w:rsidRPr="00BD26D9">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of the Act </w:t>
      </w:r>
      <w:r w:rsidRPr="00BD26D9">
        <w:rPr>
          <w:rFonts w:ascii="Times New Roman" w:eastAsia="Times New Roman" w:hAnsi="Times New Roman" w:cs="Times New Roman"/>
          <w:bCs/>
          <w:sz w:val="24"/>
          <w:szCs w:val="24"/>
          <w:lang w:eastAsia="en-AU"/>
        </w:rPr>
        <w:t>provides that the Minister may, by legislative instrument, determine the responsible person for a brand of a pharmaceutical item. The responsible person is the person who has notified the Minister t</w:t>
      </w:r>
      <w:r w:rsidR="00063E4E">
        <w:rPr>
          <w:rFonts w:ascii="Times New Roman" w:eastAsia="Times New Roman" w:hAnsi="Times New Roman" w:cs="Times New Roman"/>
          <w:bCs/>
          <w:sz w:val="24"/>
          <w:szCs w:val="24"/>
          <w:lang w:eastAsia="en-AU"/>
        </w:rPr>
        <w:t>hat t</w:t>
      </w:r>
      <w:r w:rsidRPr="00BD26D9">
        <w:rPr>
          <w:rFonts w:ascii="Times New Roman" w:eastAsia="Times New Roman" w:hAnsi="Times New Roman" w:cs="Times New Roman"/>
          <w:bCs/>
          <w:sz w:val="24"/>
          <w:szCs w:val="24"/>
          <w:lang w:eastAsia="en-AU"/>
        </w:rPr>
        <w:t xml:space="preserve">hey are, or will be, the supplier of a particular brand of a pharmaceutical item to wholesalers, or in cases where no wholesalers are involved, to approved pharmacists directly. </w:t>
      </w:r>
      <w:r w:rsidR="00823332" w:rsidRPr="00633509">
        <w:rPr>
          <w:rFonts w:ascii="Times New Roman" w:eastAsia="Times New Roman" w:hAnsi="Times New Roman" w:cs="Times New Roman"/>
          <w:bCs/>
          <w:sz w:val="24"/>
          <w:szCs w:val="24"/>
          <w:lang w:eastAsia="en-AU"/>
        </w:rPr>
        <w:t>The</w:t>
      </w:r>
      <w:r w:rsidR="001A7591">
        <w:rPr>
          <w:rFonts w:ascii="Times New Roman" w:eastAsia="Times New Roman" w:hAnsi="Times New Roman" w:cs="Times New Roman"/>
          <w:bCs/>
          <w:sz w:val="24"/>
          <w:szCs w:val="24"/>
          <w:lang w:eastAsia="en-AU"/>
        </w:rPr>
        <w:t xml:space="preserve"> </w:t>
      </w:r>
      <w:r w:rsidR="00823332" w:rsidRPr="00633509">
        <w:rPr>
          <w:rFonts w:ascii="Times New Roman" w:eastAsia="Times New Roman" w:hAnsi="Times New Roman" w:cs="Times New Roman"/>
          <w:bCs/>
          <w:sz w:val="24"/>
          <w:szCs w:val="24"/>
          <w:lang w:eastAsia="en-AU"/>
        </w:rPr>
        <w:t>same person must be the responsible person for all pharmaceutical items that have a particular brand.</w:t>
      </w:r>
    </w:p>
    <w:p w14:paraId="6D881C73" w14:textId="77777777" w:rsidR="00823332" w:rsidRPr="00633509" w:rsidRDefault="00823332" w:rsidP="00167955">
      <w:pPr>
        <w:pStyle w:val="listparagraph0"/>
        <w:spacing w:before="0" w:beforeAutospacing="0" w:after="0" w:afterAutospacing="0"/>
        <w:rPr>
          <w:bCs/>
        </w:rPr>
      </w:pPr>
    </w:p>
    <w:p w14:paraId="0340E5F7" w14:textId="061D1B9E" w:rsidR="00823332" w:rsidRPr="00633509" w:rsidRDefault="00823332" w:rsidP="00167955">
      <w:pPr>
        <w:pStyle w:val="listparagraph0"/>
        <w:spacing w:before="0" w:beforeAutospacing="0" w:after="0" w:afterAutospacing="0"/>
        <w:rPr>
          <w:bCs/>
        </w:rPr>
      </w:pPr>
      <w:r w:rsidRPr="00633509">
        <w:rPr>
          <w:bCs/>
        </w:rPr>
        <w:lastRenderedPageBreak/>
        <w:t xml:space="preserve">The Act imposes obligations on the responsible person in relation to </w:t>
      </w:r>
      <w:r w:rsidR="00800041">
        <w:rPr>
          <w:bCs/>
        </w:rPr>
        <w:t xml:space="preserve">matters such as compliance with any applicable </w:t>
      </w:r>
      <w:r w:rsidR="002E2EB8">
        <w:rPr>
          <w:bCs/>
        </w:rPr>
        <w:t xml:space="preserve">obligations under </w:t>
      </w:r>
      <w:r w:rsidRPr="00633509">
        <w:rPr>
          <w:bCs/>
        </w:rPr>
        <w:t>price disclosure</w:t>
      </w:r>
      <w:r w:rsidR="003526B6">
        <w:rPr>
          <w:bCs/>
        </w:rPr>
        <w:t xml:space="preserve"> (see Division 3B of the Act)</w:t>
      </w:r>
      <w:r w:rsidR="0097676A">
        <w:rPr>
          <w:bCs/>
        </w:rPr>
        <w:t>,</w:t>
      </w:r>
      <w:r w:rsidRPr="00633509">
        <w:rPr>
          <w:bCs/>
        </w:rPr>
        <w:t xml:space="preserve"> guarantee of supply</w:t>
      </w:r>
      <w:r w:rsidR="002E2EB8">
        <w:rPr>
          <w:bCs/>
        </w:rPr>
        <w:t xml:space="preserve"> </w:t>
      </w:r>
      <w:r w:rsidR="00371158">
        <w:rPr>
          <w:bCs/>
        </w:rPr>
        <w:t xml:space="preserve">(see Division 3C of the Act) </w:t>
      </w:r>
      <w:r w:rsidR="002E2EB8">
        <w:rPr>
          <w:bCs/>
        </w:rPr>
        <w:t>and minimum stockholding requirement</w:t>
      </w:r>
      <w:r w:rsidR="006823E8">
        <w:rPr>
          <w:bCs/>
        </w:rPr>
        <w:t>s (see Division 3CAA of the Act)</w:t>
      </w:r>
      <w:r w:rsidR="002E2EB8">
        <w:rPr>
          <w:bCs/>
        </w:rPr>
        <w:t>. I</w:t>
      </w:r>
      <w:r w:rsidRPr="00633509">
        <w:rPr>
          <w:bCs/>
        </w:rPr>
        <w:t xml:space="preserve">t is </w:t>
      </w:r>
      <w:r w:rsidR="0097676A">
        <w:rPr>
          <w:bCs/>
        </w:rPr>
        <w:t xml:space="preserve">also </w:t>
      </w:r>
      <w:r w:rsidRPr="00633509">
        <w:rPr>
          <w:bCs/>
        </w:rPr>
        <w:t>the responsible person with whom price negotiations occur.</w:t>
      </w:r>
    </w:p>
    <w:p w14:paraId="26BD7571" w14:textId="77777777" w:rsidR="00BD26D9" w:rsidRDefault="00BD26D9" w:rsidP="00167955">
      <w:pPr>
        <w:spacing w:after="0" w:line="240" w:lineRule="auto"/>
        <w:rPr>
          <w:rFonts w:ascii="Times New Roman" w:eastAsia="Times New Roman" w:hAnsi="Times New Roman" w:cs="Times New Roman"/>
          <w:bCs/>
          <w:sz w:val="24"/>
          <w:szCs w:val="24"/>
          <w:lang w:eastAsia="en-AU"/>
        </w:rPr>
      </w:pPr>
    </w:p>
    <w:p w14:paraId="43E6FBD2" w14:textId="5A47AC76" w:rsidR="00F95201" w:rsidRDefault="00EC049F"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w:t>
      </w:r>
      <w:r w:rsidR="00C34FAA">
        <w:rPr>
          <w:rFonts w:ascii="Times New Roman" w:eastAsia="Times New Roman" w:hAnsi="Times New Roman" w:cs="Times New Roman"/>
          <w:bCs/>
          <w:sz w:val="24"/>
          <w:szCs w:val="24"/>
          <w:lang w:eastAsia="en-AU"/>
        </w:rPr>
        <w:t>10</w:t>
      </w:r>
      <w:r>
        <w:rPr>
          <w:rFonts w:ascii="Times New Roman" w:eastAsia="Times New Roman" w:hAnsi="Times New Roman" w:cs="Times New Roman"/>
          <w:bCs/>
          <w:sz w:val="24"/>
          <w:szCs w:val="24"/>
          <w:lang w:eastAsia="en-AU"/>
        </w:rPr>
        <w:t xml:space="preserve"> </w:t>
      </w:r>
      <w:r w:rsidR="00FF4BB4">
        <w:rPr>
          <w:rFonts w:ascii="Times New Roman" w:eastAsia="Times New Roman" w:hAnsi="Times New Roman" w:cs="Times New Roman"/>
          <w:bCs/>
          <w:sz w:val="24"/>
          <w:szCs w:val="24"/>
          <w:lang w:eastAsia="en-AU"/>
        </w:rPr>
        <w:t xml:space="preserve">of the </w:t>
      </w:r>
      <w:r w:rsidR="006823E8">
        <w:rPr>
          <w:rFonts w:ascii="Times New Roman" w:eastAsia="Times New Roman" w:hAnsi="Times New Roman" w:cs="Times New Roman"/>
          <w:bCs/>
          <w:sz w:val="24"/>
          <w:szCs w:val="24"/>
          <w:lang w:eastAsia="en-AU"/>
        </w:rPr>
        <w:t>2024 Listing I</w:t>
      </w:r>
      <w:r w:rsidR="00FF4BB4">
        <w:rPr>
          <w:rFonts w:ascii="Times New Roman" w:eastAsia="Times New Roman" w:hAnsi="Times New Roman" w:cs="Times New Roman"/>
          <w:bCs/>
          <w:sz w:val="24"/>
          <w:szCs w:val="24"/>
          <w:lang w:eastAsia="en-AU"/>
        </w:rPr>
        <w:t xml:space="preserve">nstrument </w:t>
      </w:r>
      <w:r w:rsidR="00E12E88">
        <w:rPr>
          <w:rFonts w:ascii="Times New Roman" w:eastAsia="Times New Roman" w:hAnsi="Times New Roman" w:cs="Times New Roman"/>
          <w:bCs/>
          <w:sz w:val="24"/>
          <w:szCs w:val="24"/>
          <w:lang w:eastAsia="en-AU"/>
        </w:rPr>
        <w:t>provides that, for</w:t>
      </w:r>
      <w:r w:rsidR="00E12E88" w:rsidRPr="00E12E88">
        <w:rPr>
          <w:rFonts w:ascii="Times New Roman" w:eastAsia="Times New Roman" w:hAnsi="Times New Roman" w:cs="Times New Roman"/>
          <w:bCs/>
          <w:sz w:val="24"/>
          <w:szCs w:val="24"/>
          <w:lang w:eastAsia="en-AU"/>
        </w:rPr>
        <w:t xml:space="preserve"> the purposes of subsection 84AF(1) of the Act, the responsible person for a brand of a pharmaceutical item mentioned in Schedule 1 is the person represented</w:t>
      </w:r>
      <w:r w:rsidR="009F4F5B">
        <w:rPr>
          <w:rFonts w:ascii="Times New Roman" w:eastAsia="Times New Roman" w:hAnsi="Times New Roman" w:cs="Times New Roman"/>
          <w:bCs/>
          <w:sz w:val="24"/>
          <w:szCs w:val="24"/>
          <w:lang w:eastAsia="en-AU"/>
        </w:rPr>
        <w:t xml:space="preserve"> </w:t>
      </w:r>
      <w:r w:rsidR="00E12E88" w:rsidRPr="00E12E88">
        <w:rPr>
          <w:rFonts w:ascii="Times New Roman" w:eastAsia="Times New Roman" w:hAnsi="Times New Roman" w:cs="Times New Roman"/>
          <w:bCs/>
          <w:sz w:val="24"/>
          <w:szCs w:val="24"/>
          <w:lang w:eastAsia="en-AU"/>
        </w:rPr>
        <w:t>by the code mentioned in relation to the brand in the column of the table in Schedule 1 headed “Responsible Person”.</w:t>
      </w:r>
      <w:r w:rsidR="00FA076F">
        <w:rPr>
          <w:rFonts w:ascii="Times New Roman" w:eastAsia="Times New Roman" w:hAnsi="Times New Roman" w:cs="Times New Roman"/>
          <w:bCs/>
          <w:sz w:val="24"/>
          <w:szCs w:val="24"/>
          <w:lang w:eastAsia="en-AU"/>
        </w:rPr>
        <w:t xml:space="preserve"> </w:t>
      </w:r>
      <w:r w:rsidR="00145EEB">
        <w:rPr>
          <w:rFonts w:ascii="Times New Roman" w:eastAsia="Times New Roman" w:hAnsi="Times New Roman" w:cs="Times New Roman"/>
          <w:bCs/>
          <w:sz w:val="24"/>
          <w:szCs w:val="24"/>
          <w:lang w:eastAsia="en-AU"/>
        </w:rPr>
        <w:t xml:space="preserve">Schedule 3 of the 2024 Listing Instrument identifies the </w:t>
      </w:r>
      <w:r w:rsidR="00791F23">
        <w:rPr>
          <w:rFonts w:ascii="Times New Roman" w:eastAsia="Times New Roman" w:hAnsi="Times New Roman" w:cs="Times New Roman"/>
          <w:bCs/>
          <w:sz w:val="24"/>
          <w:szCs w:val="24"/>
          <w:lang w:eastAsia="en-AU"/>
        </w:rPr>
        <w:t>person represented by a code.</w:t>
      </w:r>
    </w:p>
    <w:p w14:paraId="2D4366AB" w14:textId="77777777" w:rsidR="00F95201" w:rsidRDefault="00F95201" w:rsidP="00167955">
      <w:pPr>
        <w:spacing w:after="0" w:line="240" w:lineRule="auto"/>
        <w:rPr>
          <w:rFonts w:ascii="Times New Roman" w:eastAsia="Times New Roman" w:hAnsi="Times New Roman" w:cs="Times New Roman"/>
          <w:bCs/>
          <w:sz w:val="24"/>
          <w:szCs w:val="24"/>
          <w:lang w:eastAsia="en-AU"/>
        </w:rPr>
      </w:pPr>
    </w:p>
    <w:p w14:paraId="3428282F" w14:textId="370541F8" w:rsidR="00103257" w:rsidRDefault="00103257"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10 corresponds to subsections 8(2), 8(3) and 8(4) of the 2012 Listing Instrument.</w:t>
      </w:r>
    </w:p>
    <w:p w14:paraId="3F266ADF" w14:textId="77777777" w:rsidR="008811F3" w:rsidRDefault="008811F3" w:rsidP="00167955">
      <w:pPr>
        <w:spacing w:after="0" w:line="240" w:lineRule="auto"/>
        <w:rPr>
          <w:rFonts w:ascii="Times New Roman" w:eastAsia="Times New Roman" w:hAnsi="Times New Roman" w:cs="Times New Roman"/>
          <w:bCs/>
          <w:sz w:val="24"/>
          <w:szCs w:val="24"/>
          <w:lang w:eastAsia="en-AU"/>
        </w:rPr>
      </w:pPr>
    </w:p>
    <w:p w14:paraId="5DCAAA08" w14:textId="2E692C58" w:rsidR="008811F3" w:rsidRDefault="008811F3" w:rsidP="00167955">
      <w:pPr>
        <w:spacing w:after="0" w:line="240" w:lineRule="auto"/>
        <w:rPr>
          <w:rFonts w:ascii="Times New Roman" w:eastAsia="Times New Roman" w:hAnsi="Times New Roman" w:cs="Times New Roman"/>
          <w:b/>
          <w:sz w:val="24"/>
          <w:szCs w:val="24"/>
          <w:lang w:eastAsia="en-AU"/>
        </w:rPr>
      </w:pPr>
      <w:r w:rsidRPr="008811F3">
        <w:rPr>
          <w:rFonts w:ascii="Times New Roman" w:eastAsia="Times New Roman" w:hAnsi="Times New Roman" w:cs="Times New Roman"/>
          <w:b/>
          <w:sz w:val="24"/>
          <w:szCs w:val="24"/>
          <w:lang w:eastAsia="en-AU"/>
        </w:rPr>
        <w:t xml:space="preserve">Section </w:t>
      </w:r>
      <w:r w:rsidR="00AE5ACB">
        <w:rPr>
          <w:rFonts w:ascii="Times New Roman" w:eastAsia="Times New Roman" w:hAnsi="Times New Roman" w:cs="Times New Roman"/>
          <w:b/>
          <w:sz w:val="24"/>
          <w:szCs w:val="24"/>
          <w:lang w:eastAsia="en-AU"/>
        </w:rPr>
        <w:t>11</w:t>
      </w:r>
      <w:r>
        <w:rPr>
          <w:rFonts w:ascii="Times New Roman" w:eastAsia="Times New Roman" w:hAnsi="Times New Roman" w:cs="Times New Roman"/>
          <w:b/>
          <w:sz w:val="24"/>
          <w:szCs w:val="24"/>
          <w:lang w:eastAsia="en-AU"/>
        </w:rPr>
        <w:t xml:space="preserve"> </w:t>
      </w:r>
      <w:r w:rsidRPr="000B19F0">
        <w:rPr>
          <w:rFonts w:ascii="Times New Roman" w:eastAsia="Times New Roman" w:hAnsi="Times New Roman" w:cs="Times New Roman"/>
          <w:b/>
          <w:sz w:val="24"/>
          <w:szCs w:val="24"/>
          <w:lang w:eastAsia="en-AU"/>
        </w:rPr>
        <w:t xml:space="preserve">– </w:t>
      </w:r>
      <w:r w:rsidRPr="008811F3">
        <w:rPr>
          <w:rFonts w:ascii="Times New Roman" w:eastAsia="Times New Roman" w:hAnsi="Times New Roman" w:cs="Times New Roman"/>
          <w:b/>
          <w:sz w:val="24"/>
          <w:szCs w:val="24"/>
          <w:lang w:eastAsia="en-AU"/>
        </w:rPr>
        <w:t>Schedule equivalents of brands of pharmaceutical items (Act s</w:t>
      </w:r>
      <w:r w:rsidR="0057461D">
        <w:rPr>
          <w:rFonts w:ascii="Times New Roman" w:eastAsia="Times New Roman" w:hAnsi="Times New Roman" w:cs="Times New Roman"/>
          <w:b/>
          <w:sz w:val="24"/>
          <w:szCs w:val="24"/>
          <w:lang w:eastAsia="en-AU"/>
        </w:rPr>
        <w:t xml:space="preserve"> </w:t>
      </w:r>
      <w:r w:rsidRPr="008811F3">
        <w:rPr>
          <w:rFonts w:ascii="Times New Roman" w:eastAsia="Times New Roman" w:hAnsi="Times New Roman" w:cs="Times New Roman"/>
          <w:b/>
          <w:sz w:val="24"/>
          <w:szCs w:val="24"/>
          <w:lang w:eastAsia="en-AU"/>
        </w:rPr>
        <w:t>85(6A))</w:t>
      </w:r>
    </w:p>
    <w:p w14:paraId="7CD18F09" w14:textId="77777777" w:rsidR="00EC049F" w:rsidRPr="008811F3" w:rsidRDefault="00EC049F" w:rsidP="00167955">
      <w:pPr>
        <w:spacing w:after="0" w:line="240" w:lineRule="auto"/>
        <w:rPr>
          <w:rFonts w:ascii="Times New Roman" w:eastAsia="Times New Roman" w:hAnsi="Times New Roman" w:cs="Times New Roman"/>
          <w:bCs/>
          <w:sz w:val="24"/>
          <w:szCs w:val="24"/>
          <w:lang w:eastAsia="en-AU"/>
        </w:rPr>
      </w:pPr>
    </w:p>
    <w:p w14:paraId="2998E212" w14:textId="0AB00A8E" w:rsidR="00C16D45" w:rsidRDefault="00A379F9"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Under s</w:t>
      </w:r>
      <w:r w:rsidR="00DB2759">
        <w:rPr>
          <w:rFonts w:ascii="Times New Roman" w:eastAsia="Times New Roman" w:hAnsi="Times New Roman" w:cs="Times New Roman"/>
          <w:bCs/>
          <w:sz w:val="24"/>
          <w:szCs w:val="24"/>
          <w:lang w:eastAsia="en-AU"/>
        </w:rPr>
        <w:t>ubs</w:t>
      </w:r>
      <w:r>
        <w:rPr>
          <w:rFonts w:ascii="Times New Roman" w:eastAsia="Times New Roman" w:hAnsi="Times New Roman" w:cs="Times New Roman"/>
          <w:bCs/>
          <w:sz w:val="24"/>
          <w:szCs w:val="24"/>
          <w:lang w:eastAsia="en-AU"/>
        </w:rPr>
        <w:t xml:space="preserve">ection 85(6A) of the Act, </w:t>
      </w:r>
      <w:r w:rsidR="00370883">
        <w:rPr>
          <w:rFonts w:ascii="Times New Roman" w:eastAsia="Times New Roman" w:hAnsi="Times New Roman" w:cs="Times New Roman"/>
          <w:bCs/>
          <w:sz w:val="24"/>
          <w:szCs w:val="24"/>
          <w:lang w:eastAsia="en-AU"/>
        </w:rPr>
        <w:t>if</w:t>
      </w:r>
      <w:r w:rsidRPr="007C4AC3">
        <w:rPr>
          <w:rFonts w:ascii="Times New Roman" w:eastAsia="Times New Roman" w:hAnsi="Times New Roman" w:cs="Times New Roman"/>
          <w:bCs/>
          <w:sz w:val="24"/>
          <w:szCs w:val="24"/>
          <w:lang w:eastAsia="en-AU"/>
        </w:rPr>
        <w:t xml:space="preserve"> the Minister determines a brand of a pharmaceutical item under subsection </w:t>
      </w:r>
      <w:r>
        <w:rPr>
          <w:rFonts w:ascii="Times New Roman" w:eastAsia="Times New Roman" w:hAnsi="Times New Roman" w:cs="Times New Roman"/>
          <w:bCs/>
          <w:sz w:val="24"/>
          <w:szCs w:val="24"/>
          <w:lang w:eastAsia="en-AU"/>
        </w:rPr>
        <w:t>85</w:t>
      </w:r>
      <w:r w:rsidRPr="007C4AC3">
        <w:rPr>
          <w:rFonts w:ascii="Times New Roman" w:eastAsia="Times New Roman" w:hAnsi="Times New Roman" w:cs="Times New Roman"/>
          <w:bCs/>
          <w:sz w:val="24"/>
          <w:szCs w:val="24"/>
          <w:lang w:eastAsia="en-AU"/>
        </w:rPr>
        <w:t>(6)</w:t>
      </w:r>
      <w:r>
        <w:rPr>
          <w:rFonts w:ascii="Times New Roman" w:eastAsia="Times New Roman" w:hAnsi="Times New Roman" w:cs="Times New Roman"/>
          <w:bCs/>
          <w:sz w:val="24"/>
          <w:szCs w:val="24"/>
          <w:lang w:eastAsia="en-AU"/>
        </w:rPr>
        <w:t xml:space="preserve"> of the Act</w:t>
      </w:r>
      <w:r w:rsidRPr="007C4AC3">
        <w:rPr>
          <w:rFonts w:ascii="Times New Roman" w:eastAsia="Times New Roman" w:hAnsi="Times New Roman" w:cs="Times New Roman"/>
          <w:bCs/>
          <w:sz w:val="24"/>
          <w:szCs w:val="24"/>
          <w:lang w:eastAsia="en-AU"/>
        </w:rPr>
        <w:t xml:space="preserve"> the Minister may, by legislative instrument, determine that, for the purposes of paragraph 103(2A)(b)</w:t>
      </w:r>
      <w:r>
        <w:rPr>
          <w:rFonts w:ascii="Times New Roman" w:eastAsia="Times New Roman" w:hAnsi="Times New Roman" w:cs="Times New Roman"/>
          <w:bCs/>
          <w:sz w:val="24"/>
          <w:szCs w:val="24"/>
          <w:lang w:eastAsia="en-AU"/>
        </w:rPr>
        <w:t xml:space="preserve"> of the Act</w:t>
      </w:r>
      <w:r w:rsidRPr="007C4AC3">
        <w:rPr>
          <w:rFonts w:ascii="Times New Roman" w:eastAsia="Times New Roman" w:hAnsi="Times New Roman" w:cs="Times New Roman"/>
          <w:bCs/>
          <w:sz w:val="24"/>
          <w:szCs w:val="24"/>
          <w:lang w:eastAsia="en-AU"/>
        </w:rPr>
        <w:t>, the brand is to be treated as equivalent to one or more other brands of pharmaceutical items.</w:t>
      </w:r>
      <w:r w:rsidR="00AC303C">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Subsection</w:t>
      </w:r>
      <w:r w:rsidRPr="007C4AC3">
        <w:rPr>
          <w:rFonts w:ascii="Times New Roman" w:eastAsia="Times New Roman" w:hAnsi="Times New Roman" w:cs="Times New Roman"/>
          <w:bCs/>
          <w:sz w:val="24"/>
          <w:szCs w:val="24"/>
          <w:lang w:eastAsia="en-AU"/>
        </w:rPr>
        <w:t xml:space="preserve"> 103(2A)</w:t>
      </w:r>
      <w:r>
        <w:rPr>
          <w:rFonts w:ascii="Times New Roman" w:eastAsia="Times New Roman" w:hAnsi="Times New Roman" w:cs="Times New Roman"/>
          <w:bCs/>
          <w:sz w:val="24"/>
          <w:szCs w:val="24"/>
          <w:lang w:eastAsia="en-AU"/>
        </w:rPr>
        <w:t xml:space="preserve"> of the Act </w:t>
      </w:r>
      <w:r w:rsidR="002F1FBE">
        <w:rPr>
          <w:rFonts w:ascii="Times New Roman" w:eastAsia="Times New Roman" w:hAnsi="Times New Roman" w:cs="Times New Roman"/>
          <w:bCs/>
          <w:sz w:val="24"/>
          <w:szCs w:val="24"/>
          <w:lang w:eastAsia="en-AU"/>
        </w:rPr>
        <w:t>is</w:t>
      </w:r>
      <w:r>
        <w:rPr>
          <w:rFonts w:ascii="Times New Roman" w:eastAsia="Times New Roman" w:hAnsi="Times New Roman" w:cs="Times New Roman"/>
          <w:bCs/>
          <w:sz w:val="24"/>
          <w:szCs w:val="24"/>
          <w:lang w:eastAsia="en-AU"/>
        </w:rPr>
        <w:t xml:space="preserve"> an exception to the offence provision in subsection</w:t>
      </w:r>
      <w:r w:rsidRPr="007C4AC3">
        <w:rPr>
          <w:rFonts w:ascii="Times New Roman" w:eastAsia="Times New Roman" w:hAnsi="Times New Roman" w:cs="Times New Roman"/>
          <w:bCs/>
          <w:sz w:val="24"/>
          <w:szCs w:val="24"/>
          <w:lang w:eastAsia="en-AU"/>
        </w:rPr>
        <w:t xml:space="preserve"> 103(2)</w:t>
      </w:r>
      <w:r>
        <w:rPr>
          <w:rFonts w:ascii="Times New Roman" w:eastAsia="Times New Roman" w:hAnsi="Times New Roman" w:cs="Times New Roman"/>
          <w:bCs/>
          <w:sz w:val="24"/>
          <w:szCs w:val="24"/>
          <w:lang w:eastAsia="en-AU"/>
        </w:rPr>
        <w:t xml:space="preserve"> of the Act.</w:t>
      </w:r>
    </w:p>
    <w:p w14:paraId="53012375" w14:textId="77777777" w:rsidR="00482086" w:rsidRDefault="00482086" w:rsidP="00167955">
      <w:pPr>
        <w:spacing w:after="0" w:line="240" w:lineRule="auto"/>
        <w:rPr>
          <w:rFonts w:ascii="Times New Roman" w:eastAsia="Times New Roman" w:hAnsi="Times New Roman" w:cs="Times New Roman"/>
          <w:bCs/>
          <w:sz w:val="24"/>
          <w:szCs w:val="24"/>
          <w:lang w:eastAsia="en-AU"/>
        </w:rPr>
      </w:pPr>
    </w:p>
    <w:p w14:paraId="457E3672" w14:textId="6DBA2AF3" w:rsidR="00A379F9" w:rsidRDefault="002F1FBE"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Paragraph</w:t>
      </w:r>
      <w:r w:rsidR="00A379F9">
        <w:rPr>
          <w:rFonts w:ascii="Times New Roman" w:eastAsia="Times New Roman" w:hAnsi="Times New Roman" w:cs="Times New Roman"/>
          <w:bCs/>
          <w:sz w:val="24"/>
          <w:szCs w:val="24"/>
          <w:lang w:eastAsia="en-AU"/>
        </w:rPr>
        <w:t xml:space="preserve"> 103(2)</w:t>
      </w:r>
      <w:r>
        <w:rPr>
          <w:rFonts w:ascii="Times New Roman" w:eastAsia="Times New Roman" w:hAnsi="Times New Roman" w:cs="Times New Roman"/>
          <w:bCs/>
          <w:sz w:val="24"/>
          <w:szCs w:val="24"/>
          <w:lang w:eastAsia="en-AU"/>
        </w:rPr>
        <w:t>(a)</w:t>
      </w:r>
      <w:r w:rsidR="00A379F9">
        <w:rPr>
          <w:rFonts w:ascii="Times New Roman" w:eastAsia="Times New Roman" w:hAnsi="Times New Roman" w:cs="Times New Roman"/>
          <w:bCs/>
          <w:sz w:val="24"/>
          <w:szCs w:val="24"/>
          <w:lang w:eastAsia="en-AU"/>
        </w:rPr>
        <w:t xml:space="preserve"> of the Act makes it an offence for a pharmacist to supply </w:t>
      </w:r>
      <w:r w:rsidR="00A379F9" w:rsidRPr="00F40E44">
        <w:rPr>
          <w:rFonts w:ascii="Times New Roman" w:eastAsia="Times New Roman" w:hAnsi="Times New Roman" w:cs="Times New Roman"/>
          <w:bCs/>
          <w:sz w:val="24"/>
          <w:szCs w:val="24"/>
          <w:lang w:eastAsia="en-AU"/>
        </w:rPr>
        <w:t xml:space="preserve">anything other than the pharmaceutical benefit that is directed to be supplied in </w:t>
      </w:r>
      <w:r w:rsidR="00A379F9">
        <w:rPr>
          <w:rFonts w:ascii="Times New Roman" w:eastAsia="Times New Roman" w:hAnsi="Times New Roman" w:cs="Times New Roman"/>
          <w:bCs/>
          <w:sz w:val="24"/>
          <w:szCs w:val="24"/>
          <w:lang w:eastAsia="en-AU"/>
        </w:rPr>
        <w:t>a</w:t>
      </w:r>
      <w:r w:rsidR="00A379F9" w:rsidRPr="00F40E44">
        <w:rPr>
          <w:rFonts w:ascii="Times New Roman" w:eastAsia="Times New Roman" w:hAnsi="Times New Roman" w:cs="Times New Roman"/>
          <w:bCs/>
          <w:sz w:val="24"/>
          <w:szCs w:val="24"/>
          <w:lang w:eastAsia="en-AU"/>
        </w:rPr>
        <w:t xml:space="preserve"> prescription</w:t>
      </w:r>
      <w:r w:rsidR="00A379F9">
        <w:rPr>
          <w:rFonts w:ascii="Times New Roman" w:eastAsia="Times New Roman" w:hAnsi="Times New Roman" w:cs="Times New Roman"/>
          <w:bCs/>
          <w:sz w:val="24"/>
          <w:szCs w:val="24"/>
          <w:lang w:eastAsia="en-AU"/>
        </w:rPr>
        <w:t xml:space="preserve"> presented to the pharmacist.</w:t>
      </w:r>
    </w:p>
    <w:p w14:paraId="2560B593" w14:textId="77777777" w:rsidR="00060E8D" w:rsidRDefault="00060E8D" w:rsidP="00167955">
      <w:pPr>
        <w:spacing w:after="0" w:line="240" w:lineRule="auto"/>
        <w:rPr>
          <w:rFonts w:ascii="Times New Roman" w:eastAsia="Times New Roman" w:hAnsi="Times New Roman" w:cs="Times New Roman"/>
          <w:bCs/>
          <w:sz w:val="24"/>
          <w:szCs w:val="24"/>
          <w:lang w:eastAsia="en-AU"/>
        </w:rPr>
      </w:pPr>
    </w:p>
    <w:p w14:paraId="64F4F0D5" w14:textId="77777777" w:rsidR="00060E8D" w:rsidRDefault="00060E8D" w:rsidP="00167955">
      <w:pPr>
        <w:spacing w:after="0" w:line="240" w:lineRule="auto"/>
        <w:rPr>
          <w:rFonts w:ascii="Times New Roman" w:eastAsia="Times New Roman" w:hAnsi="Times New Roman" w:cs="Times New Roman"/>
          <w:bCs/>
          <w:sz w:val="24"/>
          <w:szCs w:val="24"/>
          <w:lang w:eastAsia="en-AU"/>
        </w:rPr>
      </w:pPr>
      <w:r w:rsidRPr="00AE489F">
        <w:rPr>
          <w:rFonts w:ascii="Times New Roman" w:eastAsia="Times New Roman" w:hAnsi="Times New Roman" w:cs="Times New Roman"/>
          <w:bCs/>
          <w:sz w:val="24"/>
          <w:szCs w:val="24"/>
          <w:lang w:eastAsia="en-AU"/>
        </w:rPr>
        <w:t xml:space="preserve">Section 11 of the </w:t>
      </w:r>
      <w:r>
        <w:rPr>
          <w:rFonts w:ascii="Times New Roman" w:eastAsia="Times New Roman" w:hAnsi="Times New Roman" w:cs="Times New Roman"/>
          <w:bCs/>
          <w:sz w:val="24"/>
          <w:szCs w:val="24"/>
          <w:lang w:eastAsia="en-AU"/>
        </w:rPr>
        <w:t>2024 Listing I</w:t>
      </w:r>
      <w:r w:rsidRPr="00AE489F">
        <w:rPr>
          <w:rFonts w:ascii="Times New Roman" w:eastAsia="Times New Roman" w:hAnsi="Times New Roman" w:cs="Times New Roman"/>
          <w:bCs/>
          <w:sz w:val="24"/>
          <w:szCs w:val="24"/>
          <w:lang w:eastAsia="en-AU"/>
        </w:rPr>
        <w:t xml:space="preserve">nstrument provides that, for the purposes of subsection 85(6A) of the Act, a brand of a pharmaceutical item included in a schedule equivalent group in the table in Schedule 5 is, for the purposes of paragraph 103(2A)(b) of the Act, to be treated as equivalent to </w:t>
      </w:r>
      <w:r>
        <w:rPr>
          <w:rFonts w:ascii="Times New Roman" w:eastAsia="Times New Roman" w:hAnsi="Times New Roman" w:cs="Times New Roman"/>
          <w:bCs/>
          <w:sz w:val="24"/>
          <w:szCs w:val="24"/>
          <w:lang w:eastAsia="en-AU"/>
        </w:rPr>
        <w:t xml:space="preserve">every </w:t>
      </w:r>
      <w:r w:rsidRPr="00AE489F">
        <w:rPr>
          <w:rFonts w:ascii="Times New Roman" w:eastAsia="Times New Roman" w:hAnsi="Times New Roman" w:cs="Times New Roman"/>
          <w:bCs/>
          <w:sz w:val="24"/>
          <w:szCs w:val="24"/>
          <w:lang w:eastAsia="en-AU"/>
        </w:rPr>
        <w:t xml:space="preserve">other brand of a pharmaceutical item that is included in that </w:t>
      </w:r>
      <w:r>
        <w:rPr>
          <w:rFonts w:ascii="Times New Roman" w:eastAsia="Times New Roman" w:hAnsi="Times New Roman" w:cs="Times New Roman"/>
          <w:bCs/>
          <w:sz w:val="24"/>
          <w:szCs w:val="24"/>
          <w:lang w:eastAsia="en-AU"/>
        </w:rPr>
        <w:t xml:space="preserve">same </w:t>
      </w:r>
      <w:r w:rsidRPr="00AE489F">
        <w:rPr>
          <w:rFonts w:ascii="Times New Roman" w:eastAsia="Times New Roman" w:hAnsi="Times New Roman" w:cs="Times New Roman"/>
          <w:bCs/>
          <w:sz w:val="24"/>
          <w:szCs w:val="24"/>
          <w:lang w:eastAsia="en-AU"/>
        </w:rPr>
        <w:t>schedule equivalent group.</w:t>
      </w:r>
    </w:p>
    <w:p w14:paraId="15FB9E7D" w14:textId="77777777" w:rsidR="00A379F9" w:rsidRDefault="00A379F9" w:rsidP="00167955">
      <w:pPr>
        <w:spacing w:after="0" w:line="240" w:lineRule="auto"/>
        <w:rPr>
          <w:rFonts w:ascii="Times New Roman" w:eastAsia="Times New Roman" w:hAnsi="Times New Roman" w:cs="Times New Roman"/>
          <w:bCs/>
          <w:sz w:val="24"/>
          <w:szCs w:val="24"/>
          <w:lang w:eastAsia="en-AU"/>
        </w:rPr>
      </w:pPr>
    </w:p>
    <w:p w14:paraId="16BC9F47" w14:textId="283DC6B1" w:rsidR="0088015C" w:rsidRDefault="003D56BA"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This</w:t>
      </w:r>
      <w:r w:rsidR="00FC1051">
        <w:rPr>
          <w:rFonts w:ascii="Times New Roman" w:eastAsia="Times New Roman" w:hAnsi="Times New Roman" w:cs="Times New Roman"/>
          <w:bCs/>
          <w:sz w:val="24"/>
          <w:szCs w:val="24"/>
          <w:lang w:eastAsia="en-AU"/>
        </w:rPr>
        <w:t xml:space="preserve"> </w:t>
      </w:r>
      <w:r w:rsidR="00F434FE">
        <w:rPr>
          <w:rFonts w:ascii="Times New Roman" w:eastAsia="Times New Roman" w:hAnsi="Times New Roman" w:cs="Times New Roman"/>
          <w:bCs/>
          <w:sz w:val="24"/>
          <w:szCs w:val="24"/>
          <w:lang w:eastAsia="en-AU"/>
        </w:rPr>
        <w:t>means that where a prescription directs the supply of a pharmaceutical benefit</w:t>
      </w:r>
      <w:r w:rsidR="00B244B5">
        <w:rPr>
          <w:rFonts w:ascii="Times New Roman" w:eastAsia="Times New Roman" w:hAnsi="Times New Roman" w:cs="Times New Roman"/>
          <w:bCs/>
          <w:sz w:val="24"/>
          <w:szCs w:val="24"/>
          <w:lang w:eastAsia="en-AU"/>
        </w:rPr>
        <w:t xml:space="preserve"> </w:t>
      </w:r>
      <w:r w:rsidR="001B3340">
        <w:rPr>
          <w:rFonts w:ascii="Times New Roman" w:eastAsia="Times New Roman" w:hAnsi="Times New Roman" w:cs="Times New Roman"/>
          <w:bCs/>
          <w:sz w:val="24"/>
          <w:szCs w:val="24"/>
          <w:lang w:eastAsia="en-AU"/>
        </w:rPr>
        <w:t xml:space="preserve">(the prescribed benefit) </w:t>
      </w:r>
      <w:r w:rsidR="00B244B5">
        <w:rPr>
          <w:rFonts w:ascii="Times New Roman" w:eastAsia="Times New Roman" w:hAnsi="Times New Roman" w:cs="Times New Roman"/>
          <w:bCs/>
          <w:sz w:val="24"/>
          <w:szCs w:val="24"/>
          <w:lang w:eastAsia="en-AU"/>
        </w:rPr>
        <w:t xml:space="preserve">that is </w:t>
      </w:r>
      <w:r w:rsidR="002C2290">
        <w:rPr>
          <w:rFonts w:ascii="Times New Roman" w:eastAsia="Times New Roman" w:hAnsi="Times New Roman" w:cs="Times New Roman"/>
          <w:bCs/>
          <w:sz w:val="24"/>
          <w:szCs w:val="24"/>
          <w:lang w:eastAsia="en-AU"/>
        </w:rPr>
        <w:t>mentioned in a schedule equivalent group in Schedule 5</w:t>
      </w:r>
      <w:r w:rsidR="00F434FE">
        <w:rPr>
          <w:rFonts w:ascii="Times New Roman" w:eastAsia="Times New Roman" w:hAnsi="Times New Roman" w:cs="Times New Roman"/>
          <w:bCs/>
          <w:sz w:val="24"/>
          <w:szCs w:val="24"/>
          <w:lang w:eastAsia="en-AU"/>
        </w:rPr>
        <w:t xml:space="preserve">, </w:t>
      </w:r>
      <w:r w:rsidR="00FC1051">
        <w:rPr>
          <w:rFonts w:ascii="Times New Roman" w:eastAsia="Times New Roman" w:hAnsi="Times New Roman" w:cs="Times New Roman"/>
          <w:bCs/>
          <w:sz w:val="24"/>
          <w:szCs w:val="24"/>
          <w:lang w:eastAsia="en-AU"/>
        </w:rPr>
        <w:t>a</w:t>
      </w:r>
      <w:r w:rsidR="00A379F9">
        <w:rPr>
          <w:rFonts w:ascii="Times New Roman" w:eastAsia="Times New Roman" w:hAnsi="Times New Roman" w:cs="Times New Roman"/>
          <w:bCs/>
          <w:sz w:val="24"/>
          <w:szCs w:val="24"/>
          <w:lang w:eastAsia="en-AU"/>
        </w:rPr>
        <w:t xml:space="preserve"> pharmacist</w:t>
      </w:r>
      <w:r w:rsidR="00060E8D">
        <w:rPr>
          <w:rFonts w:ascii="Times New Roman" w:eastAsia="Times New Roman" w:hAnsi="Times New Roman" w:cs="Times New Roman"/>
          <w:bCs/>
          <w:sz w:val="24"/>
          <w:szCs w:val="24"/>
          <w:lang w:eastAsia="en-AU"/>
        </w:rPr>
        <w:t xml:space="preserve"> </w:t>
      </w:r>
      <w:r w:rsidR="002C2290">
        <w:rPr>
          <w:rFonts w:ascii="Times New Roman" w:eastAsia="Times New Roman" w:hAnsi="Times New Roman" w:cs="Times New Roman"/>
          <w:bCs/>
          <w:sz w:val="24"/>
          <w:szCs w:val="24"/>
          <w:lang w:eastAsia="en-AU"/>
        </w:rPr>
        <w:t xml:space="preserve">may </w:t>
      </w:r>
      <w:r w:rsidR="000249C8">
        <w:rPr>
          <w:rFonts w:ascii="Times New Roman" w:eastAsia="Times New Roman" w:hAnsi="Times New Roman" w:cs="Times New Roman"/>
          <w:bCs/>
          <w:sz w:val="24"/>
          <w:szCs w:val="24"/>
          <w:lang w:eastAsia="en-AU"/>
        </w:rPr>
        <w:t xml:space="preserve">supply </w:t>
      </w:r>
      <w:r w:rsidR="002C2290">
        <w:rPr>
          <w:rFonts w:ascii="Times New Roman" w:eastAsia="Times New Roman" w:hAnsi="Times New Roman" w:cs="Times New Roman"/>
          <w:bCs/>
          <w:sz w:val="24"/>
          <w:szCs w:val="24"/>
          <w:lang w:eastAsia="en-AU"/>
        </w:rPr>
        <w:t xml:space="preserve">any of the other </w:t>
      </w:r>
      <w:r w:rsidR="00366B59">
        <w:rPr>
          <w:rFonts w:ascii="Times New Roman" w:eastAsia="Times New Roman" w:hAnsi="Times New Roman" w:cs="Times New Roman"/>
          <w:bCs/>
          <w:sz w:val="24"/>
          <w:szCs w:val="24"/>
          <w:lang w:eastAsia="en-AU"/>
        </w:rPr>
        <w:t>pharmaceutical benefit</w:t>
      </w:r>
      <w:r w:rsidR="002C2290">
        <w:rPr>
          <w:rFonts w:ascii="Times New Roman" w:eastAsia="Times New Roman" w:hAnsi="Times New Roman" w:cs="Times New Roman"/>
          <w:bCs/>
          <w:sz w:val="24"/>
          <w:szCs w:val="24"/>
          <w:lang w:eastAsia="en-AU"/>
        </w:rPr>
        <w:t>s in the group</w:t>
      </w:r>
      <w:r w:rsidR="000F4DAF">
        <w:rPr>
          <w:rFonts w:ascii="Times New Roman" w:eastAsia="Times New Roman" w:hAnsi="Times New Roman" w:cs="Times New Roman"/>
          <w:bCs/>
          <w:sz w:val="24"/>
          <w:szCs w:val="24"/>
          <w:lang w:eastAsia="en-AU"/>
        </w:rPr>
        <w:t xml:space="preserve"> without committing an offence under </w:t>
      </w:r>
      <w:r w:rsidR="0088015C">
        <w:rPr>
          <w:rFonts w:ascii="Times New Roman" w:eastAsia="Times New Roman" w:hAnsi="Times New Roman" w:cs="Times New Roman"/>
          <w:bCs/>
          <w:sz w:val="24"/>
          <w:szCs w:val="24"/>
          <w:lang w:eastAsia="en-AU"/>
        </w:rPr>
        <w:t xml:space="preserve">paragraph </w:t>
      </w:r>
      <w:r w:rsidR="009B6032">
        <w:rPr>
          <w:rFonts w:ascii="Times New Roman" w:eastAsia="Times New Roman" w:hAnsi="Times New Roman" w:cs="Times New Roman"/>
          <w:bCs/>
          <w:sz w:val="24"/>
          <w:szCs w:val="24"/>
          <w:lang w:eastAsia="en-AU"/>
        </w:rPr>
        <w:t>103(2)</w:t>
      </w:r>
      <w:r w:rsidR="0088015C">
        <w:rPr>
          <w:rFonts w:ascii="Times New Roman" w:eastAsia="Times New Roman" w:hAnsi="Times New Roman" w:cs="Times New Roman"/>
          <w:bCs/>
          <w:sz w:val="24"/>
          <w:szCs w:val="24"/>
          <w:lang w:eastAsia="en-AU"/>
        </w:rPr>
        <w:t>(a) provided that:</w:t>
      </w:r>
    </w:p>
    <w:p w14:paraId="0AA3B3FE" w14:textId="64FC3D81" w:rsidR="00B8397A" w:rsidRPr="00A22E0C" w:rsidRDefault="00D7519E" w:rsidP="00A22E0C">
      <w:pPr>
        <w:pStyle w:val="ListParagraph"/>
        <w:numPr>
          <w:ilvl w:val="0"/>
          <w:numId w:val="25"/>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B539CB" w:rsidRPr="00A22E0C">
        <w:rPr>
          <w:rFonts w:ascii="Times New Roman" w:eastAsia="Times New Roman" w:hAnsi="Times New Roman" w:cs="Times New Roman"/>
          <w:bCs/>
          <w:sz w:val="24"/>
          <w:szCs w:val="24"/>
          <w:lang w:eastAsia="en-AU"/>
        </w:rPr>
        <w:t>he prescriber had not indicated in the prescription that only th</w:t>
      </w:r>
      <w:r w:rsidR="001B3340" w:rsidRPr="00A22E0C">
        <w:rPr>
          <w:rFonts w:ascii="Times New Roman" w:eastAsia="Times New Roman" w:hAnsi="Times New Roman" w:cs="Times New Roman"/>
          <w:bCs/>
          <w:sz w:val="24"/>
          <w:szCs w:val="24"/>
          <w:lang w:eastAsia="en-AU"/>
        </w:rPr>
        <w:t>e prescribed pharmaceu</w:t>
      </w:r>
      <w:r w:rsidR="00B539CB" w:rsidRPr="00A22E0C">
        <w:rPr>
          <w:rFonts w:ascii="Times New Roman" w:eastAsia="Times New Roman" w:hAnsi="Times New Roman" w:cs="Times New Roman"/>
          <w:bCs/>
          <w:sz w:val="24"/>
          <w:szCs w:val="24"/>
          <w:lang w:eastAsia="en-AU"/>
        </w:rPr>
        <w:t xml:space="preserve">tical benefit </w:t>
      </w:r>
      <w:r w:rsidR="00B8397A" w:rsidRPr="00A22E0C">
        <w:rPr>
          <w:rFonts w:ascii="Times New Roman" w:eastAsia="Times New Roman" w:hAnsi="Times New Roman" w:cs="Times New Roman"/>
          <w:bCs/>
          <w:sz w:val="24"/>
          <w:szCs w:val="24"/>
          <w:lang w:eastAsia="en-AU"/>
        </w:rPr>
        <w:t>may be supplied;</w:t>
      </w:r>
    </w:p>
    <w:p w14:paraId="6E46D63F" w14:textId="4A943A7A" w:rsidR="001B3340" w:rsidRPr="00A22E0C" w:rsidRDefault="00D7519E" w:rsidP="00A22E0C">
      <w:pPr>
        <w:pStyle w:val="ListParagraph"/>
        <w:numPr>
          <w:ilvl w:val="0"/>
          <w:numId w:val="25"/>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B8397A" w:rsidRPr="00A22E0C">
        <w:rPr>
          <w:rFonts w:ascii="Times New Roman" w:eastAsia="Times New Roman" w:hAnsi="Times New Roman" w:cs="Times New Roman"/>
          <w:bCs/>
          <w:sz w:val="24"/>
          <w:szCs w:val="24"/>
          <w:lang w:eastAsia="en-AU"/>
        </w:rPr>
        <w:t>he Schedule of Pharmaceutical Benefits states that the</w:t>
      </w:r>
      <w:r w:rsidR="001B3340" w:rsidRPr="00A22E0C">
        <w:rPr>
          <w:rFonts w:ascii="Times New Roman" w:eastAsia="Times New Roman" w:hAnsi="Times New Roman" w:cs="Times New Roman"/>
          <w:bCs/>
          <w:sz w:val="24"/>
          <w:szCs w:val="24"/>
          <w:lang w:eastAsia="en-AU"/>
        </w:rPr>
        <w:t xml:space="preserve"> prescribed pharmaceutical benefit and the other pharmaceutical benefit are equivalent;</w:t>
      </w:r>
    </w:p>
    <w:p w14:paraId="6E706F1C" w14:textId="0CCE0E0F" w:rsidR="00A75587" w:rsidRPr="00A22E0C" w:rsidRDefault="00D7519E" w:rsidP="00A22E0C">
      <w:pPr>
        <w:pStyle w:val="ListParagraph"/>
        <w:numPr>
          <w:ilvl w:val="0"/>
          <w:numId w:val="25"/>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A75587" w:rsidRPr="00A22E0C">
        <w:rPr>
          <w:rFonts w:ascii="Times New Roman" w:eastAsia="Times New Roman" w:hAnsi="Times New Roman" w:cs="Times New Roman"/>
          <w:bCs/>
          <w:sz w:val="24"/>
          <w:szCs w:val="24"/>
          <w:lang w:eastAsia="en-AU"/>
        </w:rPr>
        <w:t>he other pharmaceutical benefit is a listed brand of pharmaceutical item;</w:t>
      </w:r>
    </w:p>
    <w:p w14:paraId="70FBEA8A" w14:textId="72512F83" w:rsidR="00A379F9" w:rsidRPr="00A22E0C" w:rsidRDefault="00D7519E" w:rsidP="00A22E0C">
      <w:pPr>
        <w:pStyle w:val="ListParagraph"/>
        <w:numPr>
          <w:ilvl w:val="0"/>
          <w:numId w:val="25"/>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A75587" w:rsidRPr="00A22E0C">
        <w:rPr>
          <w:rFonts w:ascii="Times New Roman" w:eastAsia="Times New Roman" w:hAnsi="Times New Roman" w:cs="Times New Roman"/>
          <w:bCs/>
          <w:sz w:val="24"/>
          <w:szCs w:val="24"/>
          <w:lang w:eastAsia="en-AU"/>
        </w:rPr>
        <w:t xml:space="preserve">upplying the other pharmaceutical benefit would not </w:t>
      </w:r>
      <w:r w:rsidRPr="00A22E0C">
        <w:rPr>
          <w:rFonts w:ascii="Times New Roman" w:eastAsia="Times New Roman" w:hAnsi="Times New Roman" w:cs="Times New Roman"/>
          <w:bCs/>
          <w:sz w:val="24"/>
          <w:szCs w:val="24"/>
          <w:lang w:eastAsia="en-AU"/>
        </w:rPr>
        <w:t>contravene an applicable State or Territory law</w:t>
      </w:r>
      <w:r w:rsidR="00A379F9" w:rsidRPr="00A22E0C">
        <w:rPr>
          <w:rFonts w:ascii="Times New Roman" w:eastAsia="Times New Roman" w:hAnsi="Times New Roman" w:cs="Times New Roman"/>
          <w:bCs/>
          <w:sz w:val="24"/>
          <w:szCs w:val="24"/>
          <w:lang w:eastAsia="en-AU"/>
        </w:rPr>
        <w:t>.</w:t>
      </w:r>
    </w:p>
    <w:p w14:paraId="1E59AE43" w14:textId="77777777" w:rsidR="009B6032" w:rsidRDefault="009B6032" w:rsidP="00167955">
      <w:pPr>
        <w:spacing w:after="0" w:line="240" w:lineRule="auto"/>
        <w:rPr>
          <w:rFonts w:ascii="Times New Roman" w:eastAsia="Times New Roman" w:hAnsi="Times New Roman" w:cs="Times New Roman"/>
          <w:bCs/>
          <w:sz w:val="24"/>
          <w:szCs w:val="24"/>
          <w:lang w:eastAsia="en-AU"/>
        </w:rPr>
      </w:pPr>
    </w:p>
    <w:p w14:paraId="6E714E24" w14:textId="3BD06976" w:rsidR="00AB4444" w:rsidRDefault="00AB4444"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determination of schedule equivalence supports </w:t>
      </w:r>
      <w:r w:rsidR="00E54135">
        <w:rPr>
          <w:rFonts w:ascii="Times New Roman" w:eastAsia="Times New Roman" w:hAnsi="Times New Roman" w:cs="Times New Roman"/>
          <w:bCs/>
          <w:sz w:val="24"/>
          <w:szCs w:val="24"/>
          <w:lang w:eastAsia="en-AU"/>
        </w:rPr>
        <w:t xml:space="preserve">brand substitution at the point of supply without the need for a new prescription, for example where </w:t>
      </w:r>
      <w:r w:rsidR="00110C5B">
        <w:rPr>
          <w:rFonts w:ascii="Times New Roman" w:eastAsia="Times New Roman" w:hAnsi="Times New Roman" w:cs="Times New Roman"/>
          <w:bCs/>
          <w:sz w:val="24"/>
          <w:szCs w:val="24"/>
          <w:lang w:eastAsia="en-AU"/>
        </w:rPr>
        <w:t xml:space="preserve">the prescribed pharmaceutical benefit </w:t>
      </w:r>
      <w:r w:rsidR="007C428F">
        <w:rPr>
          <w:rFonts w:ascii="Times New Roman" w:eastAsia="Times New Roman" w:hAnsi="Times New Roman" w:cs="Times New Roman"/>
          <w:bCs/>
          <w:sz w:val="24"/>
          <w:szCs w:val="24"/>
          <w:lang w:eastAsia="en-AU"/>
        </w:rPr>
        <w:t>is</w:t>
      </w:r>
      <w:r w:rsidR="00110C5B">
        <w:rPr>
          <w:rFonts w:ascii="Times New Roman" w:eastAsia="Times New Roman" w:hAnsi="Times New Roman" w:cs="Times New Roman"/>
          <w:bCs/>
          <w:sz w:val="24"/>
          <w:szCs w:val="24"/>
          <w:lang w:eastAsia="en-AU"/>
        </w:rPr>
        <w:t xml:space="preserve"> out of stock or to promote the use of </w:t>
      </w:r>
      <w:r w:rsidR="007C428F">
        <w:rPr>
          <w:rFonts w:ascii="Times New Roman" w:eastAsia="Times New Roman" w:hAnsi="Times New Roman" w:cs="Times New Roman"/>
          <w:bCs/>
          <w:sz w:val="24"/>
          <w:szCs w:val="24"/>
          <w:lang w:eastAsia="en-AU"/>
        </w:rPr>
        <w:t>generic alternatives.</w:t>
      </w:r>
    </w:p>
    <w:p w14:paraId="3F8F64A0" w14:textId="77777777" w:rsidR="00AB4444" w:rsidRDefault="00AB4444" w:rsidP="00167955">
      <w:pPr>
        <w:spacing w:after="0" w:line="240" w:lineRule="auto"/>
        <w:rPr>
          <w:rFonts w:ascii="Times New Roman" w:eastAsia="Times New Roman" w:hAnsi="Times New Roman" w:cs="Times New Roman"/>
          <w:bCs/>
          <w:sz w:val="24"/>
          <w:szCs w:val="24"/>
          <w:lang w:eastAsia="en-AU"/>
        </w:rPr>
      </w:pPr>
    </w:p>
    <w:p w14:paraId="4E05DE21" w14:textId="456AA76A" w:rsidR="00D65FF4" w:rsidRDefault="00103257"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lastRenderedPageBreak/>
        <w:t xml:space="preserve">Section 11 </w:t>
      </w:r>
      <w:r w:rsidR="0019292D">
        <w:rPr>
          <w:rFonts w:ascii="Times New Roman" w:eastAsia="Times New Roman" w:hAnsi="Times New Roman" w:cs="Times New Roman"/>
          <w:bCs/>
          <w:sz w:val="24"/>
          <w:szCs w:val="24"/>
          <w:lang w:eastAsia="en-AU"/>
        </w:rPr>
        <w:t xml:space="preserve">of this instrument </w:t>
      </w:r>
      <w:r>
        <w:rPr>
          <w:rFonts w:ascii="Times New Roman" w:eastAsia="Times New Roman" w:hAnsi="Times New Roman" w:cs="Times New Roman"/>
          <w:bCs/>
          <w:sz w:val="24"/>
          <w:szCs w:val="24"/>
          <w:lang w:eastAsia="en-AU"/>
        </w:rPr>
        <w:t>corresponds to section 8</w:t>
      </w:r>
      <w:r w:rsidR="00521A85">
        <w:rPr>
          <w:rFonts w:ascii="Times New Roman" w:eastAsia="Times New Roman" w:hAnsi="Times New Roman" w:cs="Times New Roman"/>
          <w:bCs/>
          <w:sz w:val="24"/>
          <w:szCs w:val="24"/>
          <w:lang w:eastAsia="en-AU"/>
        </w:rPr>
        <w:t xml:space="preserve">A </w:t>
      </w:r>
      <w:r>
        <w:rPr>
          <w:rFonts w:ascii="Times New Roman" w:eastAsia="Times New Roman" w:hAnsi="Times New Roman" w:cs="Times New Roman"/>
          <w:bCs/>
          <w:sz w:val="24"/>
          <w:szCs w:val="24"/>
          <w:lang w:eastAsia="en-AU"/>
        </w:rPr>
        <w:t>of the 2012 Listing Instrument.</w:t>
      </w:r>
      <w:r w:rsidR="00521A85">
        <w:rPr>
          <w:rFonts w:ascii="Times New Roman" w:eastAsia="Times New Roman" w:hAnsi="Times New Roman" w:cs="Times New Roman"/>
          <w:bCs/>
          <w:sz w:val="24"/>
          <w:szCs w:val="24"/>
          <w:lang w:eastAsia="en-AU"/>
        </w:rPr>
        <w:t xml:space="preserve"> </w:t>
      </w:r>
      <w:r w:rsidR="00EE71AB">
        <w:rPr>
          <w:rFonts w:ascii="Times New Roman" w:eastAsia="Times New Roman" w:hAnsi="Times New Roman" w:cs="Times New Roman"/>
          <w:bCs/>
          <w:sz w:val="24"/>
          <w:szCs w:val="24"/>
          <w:lang w:eastAsia="en-AU"/>
        </w:rPr>
        <w:t xml:space="preserve">The </w:t>
      </w:r>
      <w:r w:rsidR="00D574F4">
        <w:rPr>
          <w:rFonts w:ascii="Times New Roman" w:eastAsia="Times New Roman" w:hAnsi="Times New Roman" w:cs="Times New Roman"/>
          <w:bCs/>
          <w:sz w:val="24"/>
          <w:szCs w:val="24"/>
          <w:lang w:eastAsia="en-AU"/>
        </w:rPr>
        <w:t>2012 Listing Ins</w:t>
      </w:r>
      <w:r w:rsidR="00EE71AB">
        <w:rPr>
          <w:rFonts w:ascii="Times New Roman" w:eastAsia="Times New Roman" w:hAnsi="Times New Roman" w:cs="Times New Roman"/>
          <w:bCs/>
          <w:sz w:val="24"/>
          <w:szCs w:val="24"/>
          <w:lang w:eastAsia="en-AU"/>
        </w:rPr>
        <w:t>trument used t</w:t>
      </w:r>
      <w:r w:rsidR="00A11FA1">
        <w:rPr>
          <w:rFonts w:ascii="Times New Roman" w:eastAsia="Times New Roman" w:hAnsi="Times New Roman" w:cs="Times New Roman"/>
          <w:bCs/>
          <w:sz w:val="24"/>
          <w:szCs w:val="24"/>
          <w:lang w:eastAsia="en-AU"/>
        </w:rPr>
        <w:t>hree</w:t>
      </w:r>
      <w:r w:rsidR="00EE71AB">
        <w:rPr>
          <w:rFonts w:ascii="Times New Roman" w:eastAsia="Times New Roman" w:hAnsi="Times New Roman" w:cs="Times New Roman"/>
          <w:bCs/>
          <w:sz w:val="24"/>
          <w:szCs w:val="24"/>
          <w:lang w:eastAsia="en-AU"/>
        </w:rPr>
        <w:t xml:space="preserve"> mechanisms to identify pharmaceutical benefits determined to be </w:t>
      </w:r>
      <w:r w:rsidR="001A6B6D">
        <w:rPr>
          <w:rFonts w:ascii="Times New Roman" w:eastAsia="Times New Roman" w:hAnsi="Times New Roman" w:cs="Times New Roman"/>
          <w:bCs/>
          <w:sz w:val="24"/>
          <w:szCs w:val="24"/>
          <w:lang w:eastAsia="en-AU"/>
        </w:rPr>
        <w:t xml:space="preserve">treated as </w:t>
      </w:r>
      <w:r w:rsidR="00EE71AB">
        <w:rPr>
          <w:rFonts w:ascii="Times New Roman" w:eastAsia="Times New Roman" w:hAnsi="Times New Roman" w:cs="Times New Roman"/>
          <w:bCs/>
          <w:sz w:val="24"/>
          <w:szCs w:val="24"/>
          <w:lang w:eastAsia="en-AU"/>
        </w:rPr>
        <w:t>equivalent under subsection 85(6A)</w:t>
      </w:r>
      <w:r w:rsidR="00100247">
        <w:rPr>
          <w:rFonts w:ascii="Times New Roman" w:eastAsia="Times New Roman" w:hAnsi="Times New Roman" w:cs="Times New Roman"/>
          <w:bCs/>
          <w:sz w:val="24"/>
          <w:szCs w:val="24"/>
          <w:lang w:eastAsia="en-AU"/>
        </w:rPr>
        <w:t xml:space="preserve"> – the inclusion of the letter</w:t>
      </w:r>
      <w:r w:rsidR="00C64767">
        <w:rPr>
          <w:rFonts w:ascii="Times New Roman" w:eastAsia="Times New Roman" w:hAnsi="Times New Roman" w:cs="Times New Roman"/>
          <w:bCs/>
          <w:sz w:val="24"/>
          <w:szCs w:val="24"/>
          <w:lang w:eastAsia="en-AU"/>
        </w:rPr>
        <w:t>s</w:t>
      </w:r>
      <w:r w:rsidR="00100247">
        <w:rPr>
          <w:rFonts w:ascii="Times New Roman" w:eastAsia="Times New Roman" w:hAnsi="Times New Roman" w:cs="Times New Roman"/>
          <w:bCs/>
          <w:sz w:val="24"/>
          <w:szCs w:val="24"/>
          <w:lang w:eastAsia="en-AU"/>
        </w:rPr>
        <w:t xml:space="preserve"> ‘a’ </w:t>
      </w:r>
      <w:r w:rsidR="00A11FA1">
        <w:rPr>
          <w:rFonts w:ascii="Times New Roman" w:eastAsia="Times New Roman" w:hAnsi="Times New Roman" w:cs="Times New Roman"/>
          <w:bCs/>
          <w:sz w:val="24"/>
          <w:szCs w:val="24"/>
          <w:lang w:eastAsia="en-AU"/>
        </w:rPr>
        <w:t xml:space="preserve">or ‘b’ </w:t>
      </w:r>
      <w:r w:rsidR="00100247">
        <w:rPr>
          <w:rFonts w:ascii="Times New Roman" w:eastAsia="Times New Roman" w:hAnsi="Times New Roman" w:cs="Times New Roman"/>
          <w:bCs/>
          <w:sz w:val="24"/>
          <w:szCs w:val="24"/>
          <w:lang w:eastAsia="en-AU"/>
        </w:rPr>
        <w:t xml:space="preserve">against brands of a pharmaceutical item </w:t>
      </w:r>
      <w:r w:rsidR="001A6B6D">
        <w:rPr>
          <w:rFonts w:ascii="Times New Roman" w:eastAsia="Times New Roman" w:hAnsi="Times New Roman" w:cs="Times New Roman"/>
          <w:bCs/>
          <w:sz w:val="24"/>
          <w:szCs w:val="24"/>
          <w:lang w:eastAsia="en-AU"/>
        </w:rPr>
        <w:t xml:space="preserve">to be treated as equivalent </w:t>
      </w:r>
      <w:r w:rsidR="00D65FF4">
        <w:rPr>
          <w:rFonts w:ascii="Times New Roman" w:eastAsia="Times New Roman" w:hAnsi="Times New Roman" w:cs="Times New Roman"/>
          <w:bCs/>
          <w:sz w:val="24"/>
          <w:szCs w:val="24"/>
          <w:lang w:eastAsia="en-AU"/>
        </w:rPr>
        <w:t>(</w:t>
      </w:r>
      <w:r w:rsidR="002D6ACE">
        <w:rPr>
          <w:rFonts w:ascii="Times New Roman" w:eastAsia="Times New Roman" w:hAnsi="Times New Roman" w:cs="Times New Roman"/>
          <w:bCs/>
          <w:sz w:val="24"/>
          <w:szCs w:val="24"/>
          <w:lang w:eastAsia="en-AU"/>
        </w:rPr>
        <w:t>known as “a-flagging”</w:t>
      </w:r>
      <w:r w:rsidR="00A11FA1">
        <w:rPr>
          <w:rFonts w:ascii="Times New Roman" w:eastAsia="Times New Roman" w:hAnsi="Times New Roman" w:cs="Times New Roman"/>
          <w:bCs/>
          <w:sz w:val="24"/>
          <w:szCs w:val="24"/>
          <w:lang w:eastAsia="en-AU"/>
        </w:rPr>
        <w:t xml:space="preserve"> and </w:t>
      </w:r>
      <w:r w:rsidR="00A11FA1" w:rsidRPr="00962FE5">
        <w:rPr>
          <w:rFonts w:ascii="Times New Roman" w:eastAsia="Times New Roman" w:hAnsi="Times New Roman" w:cs="Times New Roman"/>
          <w:bCs/>
          <w:sz w:val="24"/>
          <w:szCs w:val="24"/>
          <w:lang w:eastAsia="en-AU"/>
        </w:rPr>
        <w:t>“b</w:t>
      </w:r>
      <w:r w:rsidR="00C64767" w:rsidRPr="00962FE5">
        <w:rPr>
          <w:rFonts w:ascii="Times New Roman" w:eastAsia="Times New Roman" w:hAnsi="Times New Roman" w:cs="Times New Roman"/>
          <w:bCs/>
          <w:sz w:val="24"/>
          <w:szCs w:val="24"/>
          <w:lang w:eastAsia="en-AU"/>
        </w:rPr>
        <w:t>-flagging”</w:t>
      </w:r>
      <w:r w:rsidR="002D6ACE" w:rsidRPr="00962FE5">
        <w:rPr>
          <w:rFonts w:ascii="Times New Roman" w:eastAsia="Times New Roman" w:hAnsi="Times New Roman" w:cs="Times New Roman"/>
          <w:bCs/>
          <w:sz w:val="24"/>
          <w:szCs w:val="24"/>
          <w:lang w:eastAsia="en-AU"/>
        </w:rPr>
        <w:t>)</w:t>
      </w:r>
      <w:r w:rsidR="002D6ACE">
        <w:rPr>
          <w:rFonts w:ascii="Times New Roman" w:eastAsia="Times New Roman" w:hAnsi="Times New Roman" w:cs="Times New Roman"/>
          <w:bCs/>
          <w:sz w:val="24"/>
          <w:szCs w:val="24"/>
          <w:lang w:eastAsia="en-AU"/>
        </w:rPr>
        <w:t xml:space="preserve"> </w:t>
      </w:r>
      <w:r w:rsidR="001A6B6D">
        <w:rPr>
          <w:rFonts w:ascii="Times New Roman" w:eastAsia="Times New Roman" w:hAnsi="Times New Roman" w:cs="Times New Roman"/>
          <w:bCs/>
          <w:sz w:val="24"/>
          <w:szCs w:val="24"/>
          <w:lang w:eastAsia="en-AU"/>
        </w:rPr>
        <w:t xml:space="preserve">and also the specification of </w:t>
      </w:r>
      <w:r w:rsidR="00D65FF4">
        <w:rPr>
          <w:rFonts w:ascii="Times New Roman" w:eastAsia="Times New Roman" w:hAnsi="Times New Roman" w:cs="Times New Roman"/>
          <w:bCs/>
          <w:sz w:val="24"/>
          <w:szCs w:val="24"/>
          <w:lang w:eastAsia="en-AU"/>
        </w:rPr>
        <w:t xml:space="preserve">schedule equivalent </w:t>
      </w:r>
      <w:r w:rsidR="001A6B6D">
        <w:rPr>
          <w:rFonts w:ascii="Times New Roman" w:eastAsia="Times New Roman" w:hAnsi="Times New Roman" w:cs="Times New Roman"/>
          <w:bCs/>
          <w:sz w:val="24"/>
          <w:szCs w:val="24"/>
          <w:lang w:eastAsia="en-AU"/>
        </w:rPr>
        <w:t xml:space="preserve">groups in </w:t>
      </w:r>
      <w:r w:rsidR="00B01C79">
        <w:rPr>
          <w:rFonts w:ascii="Times New Roman" w:eastAsia="Times New Roman" w:hAnsi="Times New Roman" w:cs="Times New Roman"/>
          <w:bCs/>
          <w:sz w:val="24"/>
          <w:szCs w:val="24"/>
          <w:lang w:eastAsia="en-AU"/>
        </w:rPr>
        <w:t>Schedule 5 of the 2012 Listing Instrument.</w:t>
      </w:r>
    </w:p>
    <w:p w14:paraId="6AAB3CD3" w14:textId="77777777" w:rsidR="00D65FF4" w:rsidRDefault="00D65FF4" w:rsidP="00167955">
      <w:pPr>
        <w:spacing w:after="0" w:line="240" w:lineRule="auto"/>
        <w:rPr>
          <w:rFonts w:ascii="Times New Roman" w:eastAsia="Times New Roman" w:hAnsi="Times New Roman" w:cs="Times New Roman"/>
          <w:bCs/>
          <w:sz w:val="24"/>
          <w:szCs w:val="24"/>
          <w:lang w:eastAsia="en-AU"/>
        </w:rPr>
      </w:pPr>
    </w:p>
    <w:p w14:paraId="2F4A23D5" w14:textId="27A5554A" w:rsidR="00103257" w:rsidRDefault="00D65FF4"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2024 Listing Instrument </w:t>
      </w:r>
      <w:r w:rsidR="002D6ACE">
        <w:rPr>
          <w:rFonts w:ascii="Times New Roman" w:eastAsia="Times New Roman" w:hAnsi="Times New Roman" w:cs="Times New Roman"/>
          <w:bCs/>
          <w:sz w:val="24"/>
          <w:szCs w:val="24"/>
          <w:lang w:eastAsia="en-AU"/>
        </w:rPr>
        <w:t xml:space="preserve">no longer uses a-flagging and </w:t>
      </w:r>
      <w:r w:rsidR="000F3874" w:rsidRPr="002D6ACE">
        <w:rPr>
          <w:rFonts w:ascii="Times New Roman" w:eastAsia="Times New Roman" w:hAnsi="Times New Roman" w:cs="Times New Roman"/>
          <w:bCs/>
          <w:sz w:val="24"/>
          <w:szCs w:val="24"/>
          <w:lang w:eastAsia="en-AU"/>
        </w:rPr>
        <w:t xml:space="preserve">Schedule 5 </w:t>
      </w:r>
      <w:r w:rsidR="002D6ACE" w:rsidRPr="00A22E0C">
        <w:rPr>
          <w:rFonts w:ascii="Times New Roman" w:eastAsia="Times New Roman" w:hAnsi="Times New Roman" w:cs="Times New Roman"/>
          <w:bCs/>
          <w:sz w:val="24"/>
          <w:szCs w:val="24"/>
          <w:lang w:eastAsia="en-AU"/>
        </w:rPr>
        <w:t xml:space="preserve">is </w:t>
      </w:r>
      <w:r w:rsidR="000F3874" w:rsidRPr="002D6ACE">
        <w:rPr>
          <w:rFonts w:ascii="Times New Roman" w:eastAsia="Times New Roman" w:hAnsi="Times New Roman" w:cs="Times New Roman"/>
          <w:bCs/>
          <w:sz w:val="24"/>
          <w:szCs w:val="24"/>
          <w:lang w:eastAsia="en-AU"/>
        </w:rPr>
        <w:t xml:space="preserve">the sole location for </w:t>
      </w:r>
      <w:r w:rsidR="002B4924" w:rsidRPr="002D6ACE">
        <w:rPr>
          <w:rFonts w:ascii="Times New Roman" w:eastAsia="Times New Roman" w:hAnsi="Times New Roman" w:cs="Times New Roman"/>
          <w:bCs/>
          <w:sz w:val="24"/>
          <w:szCs w:val="24"/>
          <w:lang w:eastAsia="en-AU"/>
        </w:rPr>
        <w:t>details of the schedule equivalent groups.</w:t>
      </w:r>
    </w:p>
    <w:p w14:paraId="2D250234" w14:textId="77777777" w:rsidR="002F3BB7" w:rsidRDefault="002F3BB7" w:rsidP="00167955">
      <w:pPr>
        <w:spacing w:after="0" w:line="240" w:lineRule="auto"/>
        <w:rPr>
          <w:rFonts w:ascii="Times New Roman" w:eastAsia="Times New Roman" w:hAnsi="Times New Roman" w:cs="Times New Roman"/>
          <w:bCs/>
          <w:sz w:val="24"/>
          <w:szCs w:val="24"/>
          <w:lang w:eastAsia="en-AU"/>
        </w:rPr>
      </w:pPr>
    </w:p>
    <w:p w14:paraId="7D8A30F7" w14:textId="77777777" w:rsidR="002F3BB7" w:rsidRPr="00AC25A3" w:rsidRDefault="002F3BB7" w:rsidP="00167955">
      <w:pPr>
        <w:spacing w:after="0" w:line="240" w:lineRule="auto"/>
        <w:rPr>
          <w:rFonts w:ascii="Times New Roman" w:eastAsia="Times New Roman" w:hAnsi="Times New Roman" w:cs="Times New Roman"/>
          <w:b/>
          <w:sz w:val="24"/>
          <w:szCs w:val="24"/>
          <w:lang w:eastAsia="en-AU"/>
        </w:rPr>
      </w:pPr>
      <w:bookmarkStart w:id="0" w:name="_Toc147313420"/>
      <w:r w:rsidRPr="00AC25A3">
        <w:rPr>
          <w:rFonts w:ascii="Times New Roman" w:eastAsia="Times New Roman" w:hAnsi="Times New Roman" w:cs="Times New Roman"/>
          <w:b/>
          <w:sz w:val="24"/>
          <w:szCs w:val="24"/>
          <w:lang w:eastAsia="en-AU"/>
        </w:rPr>
        <w:t>Part 3—Prescription of pharmaceutical benefits</w:t>
      </w:r>
      <w:bookmarkEnd w:id="0"/>
    </w:p>
    <w:p w14:paraId="6A90084A" w14:textId="77777777" w:rsidR="002F3BB7" w:rsidRPr="00AC25A3" w:rsidRDefault="002F3BB7" w:rsidP="00167955">
      <w:pPr>
        <w:spacing w:after="0" w:line="240" w:lineRule="auto"/>
        <w:rPr>
          <w:rFonts w:ascii="Times New Roman" w:eastAsia="Times New Roman" w:hAnsi="Times New Roman" w:cs="Times New Roman"/>
          <w:b/>
          <w:sz w:val="24"/>
          <w:szCs w:val="24"/>
          <w:lang w:eastAsia="en-AU"/>
        </w:rPr>
      </w:pPr>
      <w:bookmarkStart w:id="1" w:name="_Toc147313421"/>
    </w:p>
    <w:p w14:paraId="398574FC" w14:textId="34137C30" w:rsidR="002F3BB7" w:rsidRPr="00AC25A3" w:rsidRDefault="002F3BB7" w:rsidP="00167955">
      <w:pPr>
        <w:spacing w:after="0" w:line="240" w:lineRule="auto"/>
        <w:rPr>
          <w:rFonts w:ascii="Times New Roman" w:eastAsia="Times New Roman" w:hAnsi="Times New Roman" w:cs="Times New Roman"/>
          <w:b/>
          <w:sz w:val="24"/>
          <w:szCs w:val="24"/>
          <w:lang w:eastAsia="en-AU"/>
        </w:rPr>
      </w:pPr>
      <w:r w:rsidRPr="00AC25A3">
        <w:rPr>
          <w:rFonts w:ascii="Times New Roman" w:eastAsia="Times New Roman" w:hAnsi="Times New Roman" w:cs="Times New Roman"/>
          <w:b/>
          <w:sz w:val="24"/>
          <w:szCs w:val="24"/>
          <w:lang w:eastAsia="en-AU"/>
        </w:rPr>
        <w:t>Division 1—Authorised prescribers and prescription circumstances</w:t>
      </w:r>
      <w:bookmarkEnd w:id="1"/>
    </w:p>
    <w:p w14:paraId="453855B7" w14:textId="77777777" w:rsidR="002F3BB7" w:rsidRPr="00AC25A3" w:rsidRDefault="002F3BB7" w:rsidP="00167955">
      <w:pPr>
        <w:spacing w:after="0" w:line="240" w:lineRule="auto"/>
        <w:rPr>
          <w:rFonts w:ascii="Times New Roman" w:eastAsia="Times New Roman" w:hAnsi="Times New Roman" w:cs="Times New Roman"/>
          <w:bCs/>
          <w:sz w:val="24"/>
          <w:szCs w:val="24"/>
          <w:lang w:eastAsia="en-AU"/>
        </w:rPr>
      </w:pPr>
    </w:p>
    <w:p w14:paraId="621C664E" w14:textId="36F3E3EE" w:rsidR="007C6C03" w:rsidRPr="00B30340" w:rsidRDefault="00FB4B33" w:rsidP="00167955">
      <w:pPr>
        <w:spacing w:after="0" w:line="240" w:lineRule="auto"/>
        <w:rPr>
          <w:rFonts w:ascii="Times New Roman" w:eastAsia="Times New Roman" w:hAnsi="Times New Roman" w:cs="Times New Roman"/>
          <w:b/>
          <w:sz w:val="24"/>
          <w:szCs w:val="24"/>
          <w:lang w:eastAsia="en-AU"/>
        </w:rPr>
      </w:pPr>
      <w:r w:rsidRPr="00AC25A3">
        <w:rPr>
          <w:rFonts w:ascii="Times New Roman" w:eastAsia="Times New Roman" w:hAnsi="Times New Roman" w:cs="Times New Roman"/>
          <w:b/>
          <w:sz w:val="24"/>
          <w:szCs w:val="24"/>
          <w:lang w:eastAsia="en-AU"/>
        </w:rPr>
        <w:t xml:space="preserve">Section </w:t>
      </w:r>
      <w:r w:rsidR="00C475FD" w:rsidRPr="00AC25A3">
        <w:rPr>
          <w:rFonts w:ascii="Times New Roman" w:eastAsia="Times New Roman" w:hAnsi="Times New Roman" w:cs="Times New Roman"/>
          <w:b/>
          <w:sz w:val="24"/>
          <w:szCs w:val="24"/>
          <w:lang w:eastAsia="en-AU"/>
        </w:rPr>
        <w:t>12</w:t>
      </w:r>
      <w:r w:rsidR="00DC18A4" w:rsidRPr="00AC25A3">
        <w:rPr>
          <w:rFonts w:ascii="Times New Roman" w:eastAsia="Times New Roman" w:hAnsi="Times New Roman" w:cs="Times New Roman"/>
          <w:b/>
          <w:sz w:val="24"/>
          <w:szCs w:val="24"/>
          <w:lang w:eastAsia="en-AU"/>
        </w:rPr>
        <w:t xml:space="preserve"> – </w:t>
      </w:r>
      <w:r w:rsidR="00B30340" w:rsidRPr="00AC25A3">
        <w:rPr>
          <w:rFonts w:ascii="Times New Roman" w:eastAsia="Times New Roman" w:hAnsi="Times New Roman" w:cs="Times New Roman"/>
          <w:b/>
          <w:sz w:val="24"/>
          <w:szCs w:val="24"/>
          <w:lang w:eastAsia="en-AU"/>
        </w:rPr>
        <w:t>Authorised prescribers (Act s</w:t>
      </w:r>
      <w:r w:rsidR="0057461D" w:rsidRPr="00AC25A3">
        <w:rPr>
          <w:rFonts w:ascii="Times New Roman" w:eastAsia="Times New Roman" w:hAnsi="Times New Roman" w:cs="Times New Roman"/>
          <w:b/>
          <w:sz w:val="24"/>
          <w:szCs w:val="24"/>
          <w:lang w:eastAsia="en-AU"/>
        </w:rPr>
        <w:t xml:space="preserve"> </w:t>
      </w:r>
      <w:r w:rsidR="00B30340" w:rsidRPr="00AC25A3">
        <w:rPr>
          <w:rFonts w:ascii="Times New Roman" w:eastAsia="Times New Roman" w:hAnsi="Times New Roman" w:cs="Times New Roman"/>
          <w:b/>
          <w:sz w:val="24"/>
          <w:szCs w:val="24"/>
          <w:lang w:eastAsia="en-AU"/>
        </w:rPr>
        <w:t>88)</w:t>
      </w:r>
    </w:p>
    <w:p w14:paraId="5F58D787" w14:textId="77777777" w:rsidR="00824C86" w:rsidRDefault="00824C86" w:rsidP="00167955">
      <w:pPr>
        <w:shd w:val="clear" w:color="auto" w:fill="FFFFFF"/>
        <w:spacing w:after="0" w:line="253" w:lineRule="atLeast"/>
        <w:rPr>
          <w:rFonts w:ascii="Times New Roman" w:eastAsia="Times New Roman" w:hAnsi="Times New Roman" w:cs="Times New Roman"/>
          <w:color w:val="000000"/>
          <w:sz w:val="24"/>
          <w:szCs w:val="24"/>
          <w:lang w:eastAsia="en-AU"/>
        </w:rPr>
      </w:pPr>
    </w:p>
    <w:p w14:paraId="3EFDB286" w14:textId="7C9471DE" w:rsidR="004B0E16" w:rsidRPr="00FC1DFE" w:rsidRDefault="00824C86" w:rsidP="00167955">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S</w:t>
      </w:r>
      <w:r w:rsidRPr="00B778D9">
        <w:rPr>
          <w:rFonts w:ascii="Times New Roman" w:eastAsia="Times New Roman" w:hAnsi="Times New Roman" w:cs="Times New Roman"/>
          <w:color w:val="000000"/>
          <w:sz w:val="24"/>
          <w:szCs w:val="24"/>
          <w:lang w:eastAsia="en-AU"/>
        </w:rPr>
        <w:t>ection </w:t>
      </w:r>
      <w:r w:rsidR="00B778D9" w:rsidRPr="00B778D9">
        <w:rPr>
          <w:rFonts w:ascii="Times New Roman" w:eastAsia="Times New Roman" w:hAnsi="Times New Roman" w:cs="Times New Roman"/>
          <w:color w:val="000000"/>
          <w:sz w:val="24"/>
          <w:szCs w:val="24"/>
          <w:lang w:eastAsia="en-AU"/>
        </w:rPr>
        <w:t xml:space="preserve">88 </w:t>
      </w:r>
      <w:r w:rsidR="00B778D9">
        <w:rPr>
          <w:rFonts w:ascii="Times New Roman" w:eastAsia="Times New Roman" w:hAnsi="Times New Roman" w:cs="Times New Roman"/>
          <w:color w:val="000000"/>
          <w:sz w:val="24"/>
          <w:szCs w:val="24"/>
          <w:lang w:eastAsia="en-AU"/>
        </w:rPr>
        <w:t xml:space="preserve">of the Act </w:t>
      </w:r>
      <w:r w:rsidR="00954F8A">
        <w:rPr>
          <w:rFonts w:ascii="Times New Roman" w:eastAsia="Times New Roman" w:hAnsi="Times New Roman" w:cs="Times New Roman"/>
          <w:color w:val="000000"/>
          <w:sz w:val="24"/>
          <w:szCs w:val="24"/>
          <w:lang w:eastAsia="en-AU"/>
        </w:rPr>
        <w:t>enable</w:t>
      </w:r>
      <w:r w:rsidR="002904F2">
        <w:rPr>
          <w:rFonts w:ascii="Times New Roman" w:eastAsia="Times New Roman" w:hAnsi="Times New Roman" w:cs="Times New Roman"/>
          <w:color w:val="000000"/>
          <w:sz w:val="24"/>
          <w:szCs w:val="24"/>
          <w:lang w:eastAsia="en-AU"/>
        </w:rPr>
        <w:t xml:space="preserve">s the Minister to determine the pharmaceutical benefits that, </w:t>
      </w:r>
      <w:r w:rsidR="00B778D9" w:rsidRPr="00B778D9">
        <w:rPr>
          <w:rFonts w:ascii="Times New Roman" w:eastAsia="Times New Roman" w:hAnsi="Times New Roman" w:cs="Times New Roman"/>
          <w:color w:val="000000"/>
          <w:sz w:val="24"/>
          <w:szCs w:val="24"/>
          <w:lang w:eastAsia="en-AU"/>
        </w:rPr>
        <w:t>subject to Part VII</w:t>
      </w:r>
      <w:r w:rsidR="0047601F">
        <w:rPr>
          <w:rFonts w:ascii="Times New Roman" w:eastAsia="Times New Roman" w:hAnsi="Times New Roman" w:cs="Times New Roman"/>
          <w:color w:val="000000"/>
          <w:sz w:val="24"/>
          <w:szCs w:val="24"/>
          <w:lang w:eastAsia="en-AU"/>
        </w:rPr>
        <w:t xml:space="preserve"> of the Act</w:t>
      </w:r>
      <w:r w:rsidR="00B778D9" w:rsidRPr="00B778D9">
        <w:rPr>
          <w:rFonts w:ascii="Times New Roman" w:eastAsia="Times New Roman" w:hAnsi="Times New Roman" w:cs="Times New Roman"/>
          <w:color w:val="000000"/>
          <w:sz w:val="24"/>
          <w:szCs w:val="24"/>
          <w:lang w:eastAsia="en-AU"/>
        </w:rPr>
        <w:t xml:space="preserve">, </w:t>
      </w:r>
      <w:r w:rsidR="002904F2">
        <w:rPr>
          <w:rFonts w:ascii="Times New Roman" w:eastAsia="Times New Roman" w:hAnsi="Times New Roman" w:cs="Times New Roman"/>
          <w:color w:val="000000"/>
          <w:sz w:val="24"/>
          <w:szCs w:val="24"/>
          <w:lang w:eastAsia="en-AU"/>
        </w:rPr>
        <w:t xml:space="preserve">are </w:t>
      </w:r>
      <w:r w:rsidR="00B778D9" w:rsidRPr="00B778D9">
        <w:rPr>
          <w:rFonts w:ascii="Times New Roman" w:eastAsia="Times New Roman" w:hAnsi="Times New Roman" w:cs="Times New Roman"/>
          <w:color w:val="000000"/>
          <w:sz w:val="24"/>
          <w:szCs w:val="24"/>
          <w:lang w:eastAsia="en-AU"/>
        </w:rPr>
        <w:t xml:space="preserve">authorised to </w:t>
      </w:r>
      <w:r w:rsidR="002904F2">
        <w:rPr>
          <w:rFonts w:ascii="Times New Roman" w:eastAsia="Times New Roman" w:hAnsi="Times New Roman" w:cs="Times New Roman"/>
          <w:color w:val="000000"/>
          <w:sz w:val="24"/>
          <w:szCs w:val="24"/>
          <w:lang w:eastAsia="en-AU"/>
        </w:rPr>
        <w:t xml:space="preserve">be </w:t>
      </w:r>
      <w:r w:rsidR="00B778D9" w:rsidRPr="00B778D9">
        <w:rPr>
          <w:rFonts w:ascii="Times New Roman" w:eastAsia="Times New Roman" w:hAnsi="Times New Roman" w:cs="Times New Roman"/>
          <w:color w:val="000000"/>
          <w:sz w:val="24"/>
          <w:szCs w:val="24"/>
          <w:lang w:eastAsia="en-AU"/>
        </w:rPr>
        <w:t>prescri</w:t>
      </w:r>
      <w:r w:rsidR="002904F2">
        <w:rPr>
          <w:rFonts w:ascii="Times New Roman" w:eastAsia="Times New Roman" w:hAnsi="Times New Roman" w:cs="Times New Roman"/>
          <w:color w:val="000000"/>
          <w:sz w:val="24"/>
          <w:szCs w:val="24"/>
          <w:lang w:eastAsia="en-AU"/>
        </w:rPr>
        <w:t xml:space="preserve">bed </w:t>
      </w:r>
      <w:r w:rsidR="001A18A3">
        <w:rPr>
          <w:rFonts w:ascii="Times New Roman" w:eastAsia="Times New Roman" w:hAnsi="Times New Roman" w:cs="Times New Roman"/>
          <w:color w:val="000000"/>
          <w:sz w:val="24"/>
          <w:szCs w:val="24"/>
          <w:lang w:eastAsia="en-AU"/>
        </w:rPr>
        <w:t xml:space="preserve">by medical practitioners, </w:t>
      </w:r>
      <w:r w:rsidR="00B778D9" w:rsidRPr="00B778D9">
        <w:rPr>
          <w:rFonts w:ascii="Times New Roman" w:eastAsia="Times New Roman" w:hAnsi="Times New Roman" w:cs="Times New Roman"/>
          <w:color w:val="000000"/>
          <w:sz w:val="24"/>
          <w:szCs w:val="24"/>
          <w:lang w:eastAsia="en-AU"/>
        </w:rPr>
        <w:t>participating dental practitioners</w:t>
      </w:r>
      <w:r w:rsidR="001A18A3">
        <w:rPr>
          <w:rFonts w:ascii="Times New Roman" w:eastAsia="Times New Roman" w:hAnsi="Times New Roman" w:cs="Times New Roman"/>
          <w:color w:val="000000"/>
          <w:sz w:val="24"/>
          <w:szCs w:val="24"/>
          <w:lang w:eastAsia="en-AU"/>
        </w:rPr>
        <w:t xml:space="preserve">, </w:t>
      </w:r>
      <w:r w:rsidR="00B778D9" w:rsidRPr="00B778D9">
        <w:rPr>
          <w:rFonts w:ascii="Times New Roman" w:eastAsia="Times New Roman" w:hAnsi="Times New Roman" w:cs="Times New Roman"/>
          <w:color w:val="000000"/>
          <w:sz w:val="24"/>
          <w:szCs w:val="24"/>
          <w:lang w:eastAsia="en-AU"/>
        </w:rPr>
        <w:t>authorised optometrists</w:t>
      </w:r>
      <w:r w:rsidR="001A18A3">
        <w:rPr>
          <w:rFonts w:ascii="Times New Roman" w:eastAsia="Times New Roman" w:hAnsi="Times New Roman" w:cs="Times New Roman"/>
          <w:color w:val="000000"/>
          <w:sz w:val="24"/>
          <w:szCs w:val="24"/>
          <w:lang w:eastAsia="en-AU"/>
        </w:rPr>
        <w:t xml:space="preserve">, </w:t>
      </w:r>
      <w:r w:rsidR="00B778D9" w:rsidRPr="00B778D9">
        <w:rPr>
          <w:rFonts w:ascii="Times New Roman" w:eastAsia="Times New Roman" w:hAnsi="Times New Roman" w:cs="Times New Roman"/>
          <w:color w:val="000000"/>
          <w:sz w:val="24"/>
          <w:szCs w:val="24"/>
          <w:lang w:eastAsia="en-AU"/>
        </w:rPr>
        <w:t>authorised midwives and</w:t>
      </w:r>
      <w:r w:rsidR="001A18A3">
        <w:rPr>
          <w:rFonts w:ascii="Times New Roman" w:eastAsia="Times New Roman" w:hAnsi="Times New Roman" w:cs="Times New Roman"/>
          <w:color w:val="000000"/>
          <w:sz w:val="24"/>
          <w:szCs w:val="24"/>
          <w:lang w:eastAsia="en-AU"/>
        </w:rPr>
        <w:t xml:space="preserve"> </w:t>
      </w:r>
      <w:r w:rsidR="00B778D9" w:rsidRPr="00B778D9">
        <w:rPr>
          <w:rFonts w:ascii="Times New Roman" w:eastAsia="Times New Roman" w:hAnsi="Times New Roman" w:cs="Times New Roman"/>
          <w:color w:val="000000"/>
          <w:sz w:val="24"/>
          <w:szCs w:val="24"/>
          <w:lang w:eastAsia="en-AU"/>
        </w:rPr>
        <w:t>authorised nurse practitioners.</w:t>
      </w:r>
    </w:p>
    <w:p w14:paraId="688F01D0" w14:textId="77777777" w:rsidR="00481DF8" w:rsidRDefault="00481DF8" w:rsidP="00167955">
      <w:pPr>
        <w:spacing w:after="0" w:line="240" w:lineRule="auto"/>
        <w:rPr>
          <w:rFonts w:ascii="Times New Roman" w:eastAsia="Times New Roman" w:hAnsi="Times New Roman" w:cs="Times New Roman"/>
          <w:bCs/>
          <w:sz w:val="24"/>
          <w:szCs w:val="24"/>
          <w:highlight w:val="yellow"/>
          <w:lang w:eastAsia="en-AU"/>
        </w:rPr>
      </w:pPr>
    </w:p>
    <w:p w14:paraId="031137E8" w14:textId="76D2D2E8" w:rsidR="0058483C" w:rsidRDefault="00E71F13"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In accordance with s</w:t>
      </w:r>
      <w:r w:rsidR="000955EB" w:rsidRPr="0047601F">
        <w:rPr>
          <w:rFonts w:ascii="Times New Roman" w:eastAsia="Times New Roman" w:hAnsi="Times New Roman" w:cs="Times New Roman"/>
          <w:bCs/>
          <w:sz w:val="24"/>
          <w:szCs w:val="24"/>
          <w:lang w:eastAsia="en-AU"/>
        </w:rPr>
        <w:t>ubsection</w:t>
      </w:r>
      <w:r w:rsidR="00B30340" w:rsidRPr="0047601F">
        <w:rPr>
          <w:rFonts w:ascii="Times New Roman" w:eastAsia="Times New Roman" w:hAnsi="Times New Roman" w:cs="Times New Roman"/>
          <w:bCs/>
          <w:sz w:val="24"/>
          <w:szCs w:val="24"/>
          <w:lang w:eastAsia="en-AU"/>
        </w:rPr>
        <w:t xml:space="preserve"> </w:t>
      </w:r>
      <w:r w:rsidR="00C475FD" w:rsidRPr="0047601F">
        <w:rPr>
          <w:rFonts w:ascii="Times New Roman" w:eastAsia="Times New Roman" w:hAnsi="Times New Roman" w:cs="Times New Roman"/>
          <w:bCs/>
          <w:sz w:val="24"/>
          <w:szCs w:val="24"/>
          <w:lang w:eastAsia="en-AU"/>
        </w:rPr>
        <w:t>12</w:t>
      </w:r>
      <w:r w:rsidR="000955EB" w:rsidRPr="0047601F">
        <w:rPr>
          <w:rFonts w:ascii="Times New Roman" w:eastAsia="Times New Roman" w:hAnsi="Times New Roman" w:cs="Times New Roman"/>
          <w:bCs/>
          <w:sz w:val="24"/>
          <w:szCs w:val="24"/>
          <w:lang w:eastAsia="en-AU"/>
        </w:rPr>
        <w:t>(1)</w:t>
      </w:r>
      <w:r w:rsidR="00B30340" w:rsidRPr="0047601F">
        <w:rPr>
          <w:rFonts w:ascii="Times New Roman" w:eastAsia="Times New Roman" w:hAnsi="Times New Roman" w:cs="Times New Roman"/>
          <w:bCs/>
          <w:sz w:val="24"/>
          <w:szCs w:val="24"/>
          <w:lang w:eastAsia="en-AU"/>
        </w:rPr>
        <w:t xml:space="preserve"> of </w:t>
      </w:r>
      <w:r w:rsidR="00B41FDF" w:rsidRPr="0047601F">
        <w:rPr>
          <w:rFonts w:ascii="Times New Roman" w:eastAsia="Times New Roman" w:hAnsi="Times New Roman" w:cs="Times New Roman"/>
          <w:bCs/>
          <w:sz w:val="24"/>
          <w:szCs w:val="24"/>
          <w:lang w:eastAsia="en-AU"/>
        </w:rPr>
        <w:t>th</w:t>
      </w:r>
      <w:r w:rsidR="00522B67">
        <w:rPr>
          <w:rFonts w:ascii="Times New Roman" w:eastAsia="Times New Roman" w:hAnsi="Times New Roman" w:cs="Times New Roman"/>
          <w:bCs/>
          <w:sz w:val="24"/>
          <w:szCs w:val="24"/>
          <w:lang w:eastAsia="en-AU"/>
        </w:rPr>
        <w:t>e 2024 Listing I</w:t>
      </w:r>
      <w:r w:rsidR="00B30340" w:rsidRPr="0047601F">
        <w:rPr>
          <w:rFonts w:ascii="Times New Roman" w:eastAsia="Times New Roman" w:hAnsi="Times New Roman" w:cs="Times New Roman"/>
          <w:bCs/>
          <w:sz w:val="24"/>
          <w:szCs w:val="24"/>
          <w:lang w:eastAsia="en-AU"/>
        </w:rPr>
        <w:t>nstrument</w:t>
      </w:r>
      <w:r w:rsidR="00B12F9E">
        <w:rPr>
          <w:rFonts w:ascii="Times New Roman" w:eastAsia="Times New Roman" w:hAnsi="Times New Roman" w:cs="Times New Roman"/>
          <w:bCs/>
          <w:sz w:val="24"/>
          <w:szCs w:val="24"/>
          <w:lang w:eastAsia="en-AU"/>
        </w:rPr>
        <w:t xml:space="preserve">, </w:t>
      </w:r>
      <w:r w:rsidR="002E726E">
        <w:rPr>
          <w:rFonts w:ascii="Times New Roman" w:eastAsia="Times New Roman" w:hAnsi="Times New Roman" w:cs="Times New Roman"/>
          <w:bCs/>
          <w:sz w:val="24"/>
          <w:szCs w:val="24"/>
          <w:lang w:eastAsia="en-AU"/>
        </w:rPr>
        <w:t>the column</w:t>
      </w:r>
      <w:r w:rsidR="000A1A2B">
        <w:rPr>
          <w:rFonts w:ascii="Times New Roman" w:eastAsia="Times New Roman" w:hAnsi="Times New Roman" w:cs="Times New Roman"/>
          <w:bCs/>
          <w:sz w:val="24"/>
          <w:szCs w:val="24"/>
          <w:lang w:eastAsia="en-AU"/>
        </w:rPr>
        <w:t xml:space="preserve"> of the table in Part 1 of Schedule 1</w:t>
      </w:r>
      <w:r w:rsidR="002E726E">
        <w:rPr>
          <w:rFonts w:ascii="Times New Roman" w:eastAsia="Times New Roman" w:hAnsi="Times New Roman" w:cs="Times New Roman"/>
          <w:bCs/>
          <w:sz w:val="24"/>
          <w:szCs w:val="24"/>
          <w:lang w:eastAsia="en-AU"/>
        </w:rPr>
        <w:t xml:space="preserve"> </w:t>
      </w:r>
      <w:r w:rsidR="00962342">
        <w:rPr>
          <w:rFonts w:ascii="Times New Roman" w:eastAsia="Times New Roman" w:hAnsi="Times New Roman" w:cs="Times New Roman"/>
          <w:bCs/>
          <w:sz w:val="24"/>
          <w:szCs w:val="24"/>
          <w:lang w:eastAsia="en-AU"/>
        </w:rPr>
        <w:t xml:space="preserve">headed “Authorised Prescriber” </w:t>
      </w:r>
      <w:r w:rsidR="00D9472E">
        <w:rPr>
          <w:rFonts w:ascii="Times New Roman" w:eastAsia="Times New Roman" w:hAnsi="Times New Roman" w:cs="Times New Roman"/>
          <w:bCs/>
          <w:sz w:val="24"/>
          <w:szCs w:val="24"/>
          <w:lang w:eastAsia="en-AU"/>
        </w:rPr>
        <w:t xml:space="preserve">identifies the </w:t>
      </w:r>
      <w:r w:rsidR="002E726E">
        <w:rPr>
          <w:rFonts w:ascii="Times New Roman" w:eastAsia="Times New Roman" w:hAnsi="Times New Roman" w:cs="Times New Roman"/>
          <w:bCs/>
          <w:sz w:val="24"/>
          <w:szCs w:val="24"/>
          <w:lang w:eastAsia="en-AU"/>
        </w:rPr>
        <w:t xml:space="preserve">classes </w:t>
      </w:r>
      <w:r w:rsidR="00D9472E">
        <w:rPr>
          <w:rFonts w:ascii="Times New Roman" w:eastAsia="Times New Roman" w:hAnsi="Times New Roman" w:cs="Times New Roman"/>
          <w:bCs/>
          <w:sz w:val="24"/>
          <w:szCs w:val="24"/>
          <w:lang w:eastAsia="en-AU"/>
        </w:rPr>
        <w:t xml:space="preserve">of prescribers who </w:t>
      </w:r>
      <w:r w:rsidR="002E726E">
        <w:rPr>
          <w:rFonts w:ascii="Times New Roman" w:eastAsia="Times New Roman" w:hAnsi="Times New Roman" w:cs="Times New Roman"/>
          <w:bCs/>
          <w:sz w:val="24"/>
          <w:szCs w:val="24"/>
          <w:lang w:eastAsia="en-AU"/>
        </w:rPr>
        <w:t xml:space="preserve">can </w:t>
      </w:r>
      <w:r w:rsidR="0067510C">
        <w:rPr>
          <w:rFonts w:ascii="Times New Roman" w:eastAsia="Times New Roman" w:hAnsi="Times New Roman" w:cs="Times New Roman"/>
          <w:bCs/>
          <w:sz w:val="24"/>
          <w:szCs w:val="24"/>
          <w:lang w:eastAsia="en-AU"/>
        </w:rPr>
        <w:t xml:space="preserve">write </w:t>
      </w:r>
      <w:r w:rsidR="00B12F9E">
        <w:rPr>
          <w:rFonts w:ascii="Times New Roman" w:eastAsia="Times New Roman" w:hAnsi="Times New Roman" w:cs="Times New Roman"/>
          <w:bCs/>
          <w:sz w:val="24"/>
          <w:szCs w:val="24"/>
          <w:lang w:eastAsia="en-AU"/>
        </w:rPr>
        <w:t>a prescription for the supply</w:t>
      </w:r>
      <w:r w:rsidR="002E726E">
        <w:rPr>
          <w:rFonts w:ascii="Times New Roman" w:eastAsia="Times New Roman" w:hAnsi="Times New Roman" w:cs="Times New Roman"/>
          <w:bCs/>
          <w:sz w:val="24"/>
          <w:szCs w:val="24"/>
          <w:lang w:eastAsia="en-AU"/>
        </w:rPr>
        <w:t xml:space="preserve"> of the benefit as follows</w:t>
      </w:r>
      <w:r w:rsidR="00B12F9E">
        <w:rPr>
          <w:rFonts w:ascii="Times New Roman" w:eastAsia="Times New Roman" w:hAnsi="Times New Roman" w:cs="Times New Roman"/>
          <w:bCs/>
          <w:sz w:val="24"/>
          <w:szCs w:val="24"/>
          <w:lang w:eastAsia="en-AU"/>
        </w:rPr>
        <w:t>:</w:t>
      </w:r>
    </w:p>
    <w:p w14:paraId="733702E5" w14:textId="77777777" w:rsidR="00962342" w:rsidRPr="00A22E0C" w:rsidRDefault="002C0637" w:rsidP="00A22E0C">
      <w:pPr>
        <w:pStyle w:val="ListParagraph"/>
        <w:numPr>
          <w:ilvl w:val="0"/>
          <w:numId w:val="26"/>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if the initials “MP” </w:t>
      </w:r>
      <w:r w:rsidR="00962342" w:rsidRPr="00A22E0C">
        <w:rPr>
          <w:rFonts w:ascii="Times New Roman" w:eastAsia="Times New Roman" w:hAnsi="Times New Roman" w:cs="Times New Roman"/>
          <w:bCs/>
          <w:sz w:val="24"/>
          <w:szCs w:val="24"/>
          <w:lang w:eastAsia="en-AU"/>
        </w:rPr>
        <w:t>are mentioned – medical practitioners;</w:t>
      </w:r>
    </w:p>
    <w:p w14:paraId="4322CCDF" w14:textId="0D4577C4" w:rsidR="0009299A" w:rsidRPr="00A22E0C" w:rsidRDefault="00962342" w:rsidP="00A22E0C">
      <w:pPr>
        <w:pStyle w:val="ListParagraph"/>
        <w:numPr>
          <w:ilvl w:val="0"/>
          <w:numId w:val="26"/>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if the initials </w:t>
      </w:r>
      <w:r w:rsidR="00242C73" w:rsidRPr="00A22E0C">
        <w:rPr>
          <w:rFonts w:ascii="Times New Roman" w:eastAsia="Times New Roman" w:hAnsi="Times New Roman" w:cs="Times New Roman"/>
          <w:bCs/>
          <w:sz w:val="24"/>
          <w:szCs w:val="24"/>
          <w:lang w:eastAsia="en-AU"/>
        </w:rPr>
        <w:t>“</w:t>
      </w:r>
      <w:r w:rsidR="00850FFE" w:rsidRPr="00A22E0C">
        <w:rPr>
          <w:rFonts w:ascii="Times New Roman" w:eastAsia="Times New Roman" w:hAnsi="Times New Roman" w:cs="Times New Roman"/>
          <w:bCs/>
          <w:sz w:val="24"/>
          <w:szCs w:val="24"/>
          <w:lang w:eastAsia="en-AU"/>
        </w:rPr>
        <w:t>PDP</w:t>
      </w:r>
      <w:r w:rsidR="00242C73" w:rsidRPr="00A22E0C">
        <w:rPr>
          <w:rFonts w:ascii="Times New Roman" w:eastAsia="Times New Roman" w:hAnsi="Times New Roman" w:cs="Times New Roman"/>
          <w:bCs/>
          <w:sz w:val="24"/>
          <w:szCs w:val="24"/>
          <w:lang w:eastAsia="en-AU"/>
        </w:rPr>
        <w:t>”</w:t>
      </w:r>
      <w:r w:rsidR="00850FFE" w:rsidRPr="00A22E0C">
        <w:rPr>
          <w:rFonts w:ascii="Times New Roman" w:eastAsia="Times New Roman" w:hAnsi="Times New Roman" w:cs="Times New Roman"/>
          <w:bCs/>
          <w:sz w:val="24"/>
          <w:szCs w:val="24"/>
          <w:lang w:eastAsia="en-AU"/>
        </w:rPr>
        <w:t xml:space="preserve"> </w:t>
      </w:r>
      <w:r w:rsidR="0009299A" w:rsidRPr="00A22E0C">
        <w:rPr>
          <w:rFonts w:ascii="Times New Roman" w:eastAsia="Times New Roman" w:hAnsi="Times New Roman" w:cs="Times New Roman"/>
          <w:bCs/>
          <w:sz w:val="24"/>
          <w:szCs w:val="24"/>
          <w:lang w:eastAsia="en-AU"/>
        </w:rPr>
        <w:t xml:space="preserve">are mentioned - </w:t>
      </w:r>
      <w:r w:rsidR="00850FFE" w:rsidRPr="00A22E0C">
        <w:rPr>
          <w:rFonts w:ascii="Times New Roman" w:eastAsia="Times New Roman" w:hAnsi="Times New Roman" w:cs="Times New Roman"/>
          <w:bCs/>
          <w:sz w:val="24"/>
          <w:szCs w:val="24"/>
          <w:lang w:eastAsia="en-AU"/>
        </w:rPr>
        <w:t>participating dental practitioner</w:t>
      </w:r>
      <w:r w:rsidR="00600FE9" w:rsidRPr="00A22E0C">
        <w:rPr>
          <w:rFonts w:ascii="Times New Roman" w:eastAsia="Times New Roman" w:hAnsi="Times New Roman" w:cs="Times New Roman"/>
          <w:bCs/>
          <w:sz w:val="24"/>
          <w:szCs w:val="24"/>
          <w:lang w:eastAsia="en-AU"/>
        </w:rPr>
        <w:t>s</w:t>
      </w:r>
      <w:r w:rsidR="0009299A" w:rsidRPr="00A22E0C">
        <w:rPr>
          <w:rFonts w:ascii="Times New Roman" w:eastAsia="Times New Roman" w:hAnsi="Times New Roman" w:cs="Times New Roman"/>
          <w:bCs/>
          <w:sz w:val="24"/>
          <w:szCs w:val="24"/>
          <w:lang w:eastAsia="en-AU"/>
        </w:rPr>
        <w:t>;</w:t>
      </w:r>
    </w:p>
    <w:p w14:paraId="120997DE" w14:textId="0CC5D22D" w:rsidR="0009299A" w:rsidRPr="00A22E0C" w:rsidRDefault="00153396" w:rsidP="00A22E0C">
      <w:pPr>
        <w:pStyle w:val="ListParagraph"/>
        <w:numPr>
          <w:ilvl w:val="0"/>
          <w:numId w:val="26"/>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i</w:t>
      </w:r>
      <w:r w:rsidR="0009299A" w:rsidRPr="00A22E0C">
        <w:rPr>
          <w:rFonts w:ascii="Times New Roman" w:eastAsia="Times New Roman" w:hAnsi="Times New Roman" w:cs="Times New Roman"/>
          <w:bCs/>
          <w:sz w:val="24"/>
          <w:szCs w:val="24"/>
          <w:lang w:eastAsia="en-AU"/>
        </w:rPr>
        <w:t xml:space="preserve">f the initials </w:t>
      </w:r>
      <w:r w:rsidR="00242C73" w:rsidRPr="00A22E0C">
        <w:rPr>
          <w:rFonts w:ascii="Times New Roman" w:eastAsia="Times New Roman" w:hAnsi="Times New Roman" w:cs="Times New Roman"/>
          <w:bCs/>
          <w:sz w:val="24"/>
          <w:szCs w:val="24"/>
          <w:lang w:eastAsia="en-AU"/>
        </w:rPr>
        <w:t>“</w:t>
      </w:r>
      <w:r w:rsidR="00850FFE" w:rsidRPr="00A22E0C">
        <w:rPr>
          <w:rFonts w:ascii="Times New Roman" w:eastAsia="Times New Roman" w:hAnsi="Times New Roman" w:cs="Times New Roman"/>
          <w:bCs/>
          <w:sz w:val="24"/>
          <w:szCs w:val="24"/>
          <w:lang w:eastAsia="en-AU"/>
        </w:rPr>
        <w:t>AO</w:t>
      </w:r>
      <w:r w:rsidR="00242C73" w:rsidRPr="00A22E0C">
        <w:rPr>
          <w:rFonts w:ascii="Times New Roman" w:eastAsia="Times New Roman" w:hAnsi="Times New Roman" w:cs="Times New Roman"/>
          <w:bCs/>
          <w:sz w:val="24"/>
          <w:szCs w:val="24"/>
          <w:lang w:eastAsia="en-AU"/>
        </w:rPr>
        <w:t>”</w:t>
      </w:r>
      <w:r w:rsidR="00850FFE" w:rsidRPr="00A22E0C">
        <w:rPr>
          <w:rFonts w:ascii="Times New Roman" w:eastAsia="Times New Roman" w:hAnsi="Times New Roman" w:cs="Times New Roman"/>
          <w:bCs/>
          <w:sz w:val="24"/>
          <w:szCs w:val="24"/>
          <w:lang w:eastAsia="en-AU"/>
        </w:rPr>
        <w:t xml:space="preserve"> </w:t>
      </w:r>
      <w:r w:rsidR="0009299A" w:rsidRPr="00A22E0C">
        <w:rPr>
          <w:rFonts w:ascii="Times New Roman" w:eastAsia="Times New Roman" w:hAnsi="Times New Roman" w:cs="Times New Roman"/>
          <w:bCs/>
          <w:sz w:val="24"/>
          <w:szCs w:val="24"/>
          <w:lang w:eastAsia="en-AU"/>
        </w:rPr>
        <w:t xml:space="preserve">are mentioned - </w:t>
      </w:r>
      <w:r w:rsidR="00850FFE" w:rsidRPr="00A22E0C">
        <w:rPr>
          <w:rFonts w:ascii="Times New Roman" w:eastAsia="Times New Roman" w:hAnsi="Times New Roman" w:cs="Times New Roman"/>
          <w:bCs/>
          <w:sz w:val="24"/>
          <w:szCs w:val="24"/>
          <w:lang w:eastAsia="en-AU"/>
        </w:rPr>
        <w:t>authorised optometrist</w:t>
      </w:r>
      <w:r w:rsidR="00600FE9" w:rsidRPr="00A22E0C">
        <w:rPr>
          <w:rFonts w:ascii="Times New Roman" w:eastAsia="Times New Roman" w:hAnsi="Times New Roman" w:cs="Times New Roman"/>
          <w:bCs/>
          <w:sz w:val="24"/>
          <w:szCs w:val="24"/>
          <w:lang w:eastAsia="en-AU"/>
        </w:rPr>
        <w:t>s</w:t>
      </w:r>
      <w:r w:rsidR="0009299A" w:rsidRPr="00A22E0C">
        <w:rPr>
          <w:rFonts w:ascii="Times New Roman" w:eastAsia="Times New Roman" w:hAnsi="Times New Roman" w:cs="Times New Roman"/>
          <w:bCs/>
          <w:sz w:val="24"/>
          <w:szCs w:val="24"/>
          <w:lang w:eastAsia="en-AU"/>
        </w:rPr>
        <w:t>;</w:t>
      </w:r>
    </w:p>
    <w:p w14:paraId="5EAD9938" w14:textId="1C1CB71B" w:rsidR="0009299A" w:rsidRPr="00A22E0C" w:rsidRDefault="0009299A" w:rsidP="00A22E0C">
      <w:pPr>
        <w:pStyle w:val="ListParagraph"/>
        <w:numPr>
          <w:ilvl w:val="0"/>
          <w:numId w:val="26"/>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if the initials </w:t>
      </w:r>
      <w:r w:rsidR="00242C73" w:rsidRPr="00A22E0C">
        <w:rPr>
          <w:rFonts w:ascii="Times New Roman" w:eastAsia="Times New Roman" w:hAnsi="Times New Roman" w:cs="Times New Roman"/>
          <w:bCs/>
          <w:sz w:val="24"/>
          <w:szCs w:val="24"/>
          <w:lang w:eastAsia="en-AU"/>
        </w:rPr>
        <w:t>“</w:t>
      </w:r>
      <w:r w:rsidR="00B334E5" w:rsidRPr="00A22E0C">
        <w:rPr>
          <w:rFonts w:ascii="Times New Roman" w:eastAsia="Times New Roman" w:hAnsi="Times New Roman" w:cs="Times New Roman"/>
          <w:bCs/>
          <w:sz w:val="24"/>
          <w:szCs w:val="24"/>
          <w:lang w:eastAsia="en-AU"/>
        </w:rPr>
        <w:t>MW</w:t>
      </w:r>
      <w:r w:rsidR="00242C73" w:rsidRPr="00A22E0C">
        <w:rPr>
          <w:rFonts w:ascii="Times New Roman" w:eastAsia="Times New Roman" w:hAnsi="Times New Roman" w:cs="Times New Roman"/>
          <w:bCs/>
          <w:sz w:val="24"/>
          <w:szCs w:val="24"/>
          <w:lang w:eastAsia="en-AU"/>
        </w:rPr>
        <w:t>”</w:t>
      </w:r>
      <w:r w:rsidR="00850FFE" w:rsidRPr="00A22E0C">
        <w:rPr>
          <w:rFonts w:ascii="Times New Roman" w:eastAsia="Times New Roman" w:hAnsi="Times New Roman" w:cs="Times New Roman"/>
          <w:bCs/>
          <w:sz w:val="24"/>
          <w:szCs w:val="24"/>
          <w:lang w:eastAsia="en-AU"/>
        </w:rPr>
        <w:t xml:space="preserve"> </w:t>
      </w:r>
      <w:r w:rsidRPr="00A22E0C">
        <w:rPr>
          <w:rFonts w:ascii="Times New Roman" w:eastAsia="Times New Roman" w:hAnsi="Times New Roman" w:cs="Times New Roman"/>
          <w:bCs/>
          <w:sz w:val="24"/>
          <w:szCs w:val="24"/>
          <w:lang w:eastAsia="en-AU"/>
        </w:rPr>
        <w:t xml:space="preserve">are mentioned - </w:t>
      </w:r>
      <w:r w:rsidR="00850FFE" w:rsidRPr="00A22E0C">
        <w:rPr>
          <w:rFonts w:ascii="Times New Roman" w:eastAsia="Times New Roman" w:hAnsi="Times New Roman" w:cs="Times New Roman"/>
          <w:bCs/>
          <w:sz w:val="24"/>
          <w:szCs w:val="24"/>
          <w:lang w:eastAsia="en-AU"/>
        </w:rPr>
        <w:t xml:space="preserve">authorised </w:t>
      </w:r>
      <w:r w:rsidR="00600FE9" w:rsidRPr="00A22E0C">
        <w:rPr>
          <w:rFonts w:ascii="Times New Roman" w:eastAsia="Times New Roman" w:hAnsi="Times New Roman" w:cs="Times New Roman"/>
          <w:bCs/>
          <w:sz w:val="24"/>
          <w:szCs w:val="24"/>
          <w:lang w:eastAsia="en-AU"/>
        </w:rPr>
        <w:t>midwives</w:t>
      </w:r>
      <w:r w:rsidRPr="00A22E0C">
        <w:rPr>
          <w:rFonts w:ascii="Times New Roman" w:eastAsia="Times New Roman" w:hAnsi="Times New Roman" w:cs="Times New Roman"/>
          <w:bCs/>
          <w:sz w:val="24"/>
          <w:szCs w:val="24"/>
          <w:lang w:eastAsia="en-AU"/>
        </w:rPr>
        <w:t>;</w:t>
      </w:r>
    </w:p>
    <w:p w14:paraId="3728ED70" w14:textId="1C53ECBB" w:rsidR="00CF05E7" w:rsidRPr="00A22E0C" w:rsidRDefault="0009299A" w:rsidP="00A22E0C">
      <w:pPr>
        <w:pStyle w:val="ListParagraph"/>
        <w:numPr>
          <w:ilvl w:val="0"/>
          <w:numId w:val="26"/>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if the initials </w:t>
      </w:r>
      <w:r w:rsidR="00242C73" w:rsidRPr="00A22E0C">
        <w:rPr>
          <w:rFonts w:ascii="Times New Roman" w:eastAsia="Times New Roman" w:hAnsi="Times New Roman" w:cs="Times New Roman"/>
          <w:bCs/>
          <w:sz w:val="24"/>
          <w:szCs w:val="24"/>
          <w:lang w:eastAsia="en-AU"/>
        </w:rPr>
        <w:t>“</w:t>
      </w:r>
      <w:r w:rsidR="00B334E5" w:rsidRPr="00A22E0C">
        <w:rPr>
          <w:rFonts w:ascii="Times New Roman" w:eastAsia="Times New Roman" w:hAnsi="Times New Roman" w:cs="Times New Roman"/>
          <w:bCs/>
          <w:sz w:val="24"/>
          <w:szCs w:val="24"/>
          <w:lang w:eastAsia="en-AU"/>
        </w:rPr>
        <w:t>NP</w:t>
      </w:r>
      <w:r w:rsidR="00242C73" w:rsidRPr="00A22E0C">
        <w:rPr>
          <w:rFonts w:ascii="Times New Roman" w:eastAsia="Times New Roman" w:hAnsi="Times New Roman" w:cs="Times New Roman"/>
          <w:bCs/>
          <w:sz w:val="24"/>
          <w:szCs w:val="24"/>
          <w:lang w:eastAsia="en-AU"/>
        </w:rPr>
        <w:t>”</w:t>
      </w:r>
      <w:r w:rsidR="00850FFE" w:rsidRPr="00A22E0C">
        <w:rPr>
          <w:rFonts w:ascii="Times New Roman" w:eastAsia="Times New Roman" w:hAnsi="Times New Roman" w:cs="Times New Roman"/>
          <w:bCs/>
          <w:sz w:val="24"/>
          <w:szCs w:val="24"/>
          <w:lang w:eastAsia="en-AU"/>
        </w:rPr>
        <w:t xml:space="preserve"> </w:t>
      </w:r>
      <w:r w:rsidRPr="00A22E0C">
        <w:rPr>
          <w:rFonts w:ascii="Times New Roman" w:eastAsia="Times New Roman" w:hAnsi="Times New Roman" w:cs="Times New Roman"/>
          <w:bCs/>
          <w:sz w:val="24"/>
          <w:szCs w:val="24"/>
          <w:lang w:eastAsia="en-AU"/>
        </w:rPr>
        <w:t xml:space="preserve">are mentioned - </w:t>
      </w:r>
      <w:r w:rsidR="00850FFE" w:rsidRPr="00A22E0C">
        <w:rPr>
          <w:rFonts w:ascii="Times New Roman" w:eastAsia="Times New Roman" w:hAnsi="Times New Roman" w:cs="Times New Roman"/>
          <w:bCs/>
          <w:sz w:val="24"/>
          <w:szCs w:val="24"/>
          <w:lang w:eastAsia="en-AU"/>
        </w:rPr>
        <w:t>authorised nurse practitioner</w:t>
      </w:r>
      <w:r w:rsidR="00600FE9" w:rsidRPr="00A22E0C">
        <w:rPr>
          <w:rFonts w:ascii="Times New Roman" w:eastAsia="Times New Roman" w:hAnsi="Times New Roman" w:cs="Times New Roman"/>
          <w:bCs/>
          <w:sz w:val="24"/>
          <w:szCs w:val="24"/>
          <w:lang w:eastAsia="en-AU"/>
        </w:rPr>
        <w:t>s</w:t>
      </w:r>
      <w:r w:rsidR="00850FFE" w:rsidRPr="00A22E0C">
        <w:rPr>
          <w:rFonts w:ascii="Times New Roman" w:eastAsia="Times New Roman" w:hAnsi="Times New Roman" w:cs="Times New Roman"/>
          <w:bCs/>
          <w:sz w:val="24"/>
          <w:szCs w:val="24"/>
          <w:lang w:eastAsia="en-AU"/>
        </w:rPr>
        <w:t>.</w:t>
      </w:r>
    </w:p>
    <w:p w14:paraId="040C5C0E" w14:textId="77777777" w:rsidR="00DF72E1" w:rsidRDefault="00DF72E1" w:rsidP="00167955">
      <w:pPr>
        <w:spacing w:after="0" w:line="240" w:lineRule="auto"/>
        <w:rPr>
          <w:rFonts w:ascii="Times New Roman" w:eastAsia="Times New Roman" w:hAnsi="Times New Roman" w:cs="Times New Roman"/>
          <w:bCs/>
          <w:sz w:val="24"/>
          <w:szCs w:val="24"/>
          <w:lang w:eastAsia="en-AU"/>
        </w:rPr>
      </w:pPr>
    </w:p>
    <w:p w14:paraId="0FDF5ADE" w14:textId="14A9477A" w:rsidR="00BF2B14" w:rsidRPr="00CF1E54" w:rsidRDefault="00BF2B14" w:rsidP="00167955">
      <w:pPr>
        <w:spacing w:after="0" w:line="240" w:lineRule="auto"/>
        <w:rPr>
          <w:rFonts w:ascii="Times New Roman" w:eastAsia="Times New Roman" w:hAnsi="Times New Roman" w:cs="Times New Roman"/>
          <w:bCs/>
          <w:sz w:val="24"/>
          <w:szCs w:val="24"/>
          <w:lang w:eastAsia="en-AU"/>
        </w:rPr>
      </w:pPr>
      <w:r w:rsidRPr="00CF1E54">
        <w:rPr>
          <w:rFonts w:ascii="Times New Roman" w:eastAsia="Times New Roman" w:hAnsi="Times New Roman" w:cs="Times New Roman"/>
          <w:bCs/>
          <w:sz w:val="24"/>
          <w:szCs w:val="24"/>
          <w:lang w:eastAsia="en-AU"/>
        </w:rPr>
        <w:t xml:space="preserve">Subsection </w:t>
      </w:r>
      <w:r w:rsidR="00C475FD" w:rsidRPr="00CF1E54">
        <w:rPr>
          <w:rFonts w:ascii="Times New Roman" w:eastAsia="Times New Roman" w:hAnsi="Times New Roman" w:cs="Times New Roman"/>
          <w:bCs/>
          <w:sz w:val="24"/>
          <w:szCs w:val="24"/>
          <w:lang w:eastAsia="en-AU"/>
        </w:rPr>
        <w:t>12</w:t>
      </w:r>
      <w:r w:rsidRPr="00CF1E54">
        <w:rPr>
          <w:rFonts w:ascii="Times New Roman" w:eastAsia="Times New Roman" w:hAnsi="Times New Roman" w:cs="Times New Roman"/>
          <w:bCs/>
          <w:sz w:val="24"/>
          <w:szCs w:val="24"/>
          <w:lang w:eastAsia="en-AU"/>
        </w:rPr>
        <w:t xml:space="preserve">(2) of </w:t>
      </w:r>
      <w:r w:rsidR="00057832" w:rsidRPr="00CF1E54">
        <w:rPr>
          <w:rFonts w:ascii="Times New Roman" w:eastAsia="Times New Roman" w:hAnsi="Times New Roman" w:cs="Times New Roman"/>
          <w:bCs/>
          <w:sz w:val="24"/>
          <w:szCs w:val="24"/>
          <w:lang w:eastAsia="en-AU"/>
        </w:rPr>
        <w:t>th</w:t>
      </w:r>
      <w:r w:rsidR="00153396">
        <w:rPr>
          <w:rFonts w:ascii="Times New Roman" w:eastAsia="Times New Roman" w:hAnsi="Times New Roman" w:cs="Times New Roman"/>
          <w:bCs/>
          <w:sz w:val="24"/>
          <w:szCs w:val="24"/>
          <w:lang w:eastAsia="en-AU"/>
        </w:rPr>
        <w:t>e 2024 Listing I</w:t>
      </w:r>
      <w:r w:rsidRPr="00CF1E54">
        <w:rPr>
          <w:rFonts w:ascii="Times New Roman" w:eastAsia="Times New Roman" w:hAnsi="Times New Roman" w:cs="Times New Roman"/>
          <w:bCs/>
          <w:sz w:val="24"/>
          <w:szCs w:val="24"/>
          <w:lang w:eastAsia="en-AU"/>
        </w:rPr>
        <w:t xml:space="preserve">nstrument </w:t>
      </w:r>
      <w:r w:rsidR="002205FF" w:rsidRPr="00CF1E54">
        <w:rPr>
          <w:rFonts w:ascii="Times New Roman" w:eastAsia="Times New Roman" w:hAnsi="Times New Roman" w:cs="Times New Roman"/>
          <w:bCs/>
          <w:sz w:val="24"/>
          <w:szCs w:val="24"/>
          <w:lang w:eastAsia="en-AU"/>
        </w:rPr>
        <w:t>pr</w:t>
      </w:r>
      <w:r w:rsidR="001B7EB3" w:rsidRPr="00CF1E54">
        <w:rPr>
          <w:rFonts w:ascii="Times New Roman" w:eastAsia="Times New Roman" w:hAnsi="Times New Roman" w:cs="Times New Roman"/>
          <w:bCs/>
          <w:sz w:val="24"/>
          <w:szCs w:val="24"/>
          <w:lang w:eastAsia="en-AU"/>
        </w:rPr>
        <w:t xml:space="preserve">ovides that </w:t>
      </w:r>
      <w:r w:rsidR="002B522E" w:rsidRPr="00CF1E54">
        <w:rPr>
          <w:rFonts w:ascii="Times New Roman" w:eastAsia="Times New Roman" w:hAnsi="Times New Roman" w:cs="Times New Roman"/>
          <w:bCs/>
          <w:sz w:val="24"/>
          <w:szCs w:val="24"/>
          <w:lang w:eastAsia="en-AU"/>
        </w:rPr>
        <w:t>a medical practitioner is authorised to write a prescription for the supply of an extemporaneously</w:t>
      </w:r>
      <w:r w:rsidR="00D911E1" w:rsidRPr="00CF1E54">
        <w:rPr>
          <w:rFonts w:ascii="Times New Roman" w:eastAsia="Times New Roman" w:hAnsi="Times New Roman" w:cs="Times New Roman"/>
          <w:bCs/>
          <w:sz w:val="24"/>
          <w:szCs w:val="24"/>
          <w:lang w:eastAsia="en-AU"/>
        </w:rPr>
        <w:t>-</w:t>
      </w:r>
      <w:r w:rsidR="002B522E" w:rsidRPr="00CF1E54">
        <w:rPr>
          <w:rFonts w:ascii="Times New Roman" w:eastAsia="Times New Roman" w:hAnsi="Times New Roman" w:cs="Times New Roman"/>
          <w:bCs/>
          <w:sz w:val="24"/>
          <w:szCs w:val="24"/>
          <w:lang w:eastAsia="en-AU"/>
        </w:rPr>
        <w:t>prepared pharmaceutical benefit</w:t>
      </w:r>
      <w:r w:rsidR="00AF455F" w:rsidRPr="00CF1E54">
        <w:rPr>
          <w:rFonts w:ascii="Times New Roman" w:eastAsia="Times New Roman" w:hAnsi="Times New Roman" w:cs="Times New Roman"/>
          <w:bCs/>
          <w:sz w:val="24"/>
          <w:szCs w:val="24"/>
          <w:lang w:eastAsia="en-AU"/>
        </w:rPr>
        <w:t xml:space="preserve"> (</w:t>
      </w:r>
      <w:r w:rsidR="00CF1E54">
        <w:rPr>
          <w:rFonts w:ascii="Times New Roman" w:eastAsia="Times New Roman" w:hAnsi="Times New Roman" w:cs="Times New Roman"/>
          <w:bCs/>
          <w:sz w:val="24"/>
          <w:szCs w:val="24"/>
          <w:lang w:eastAsia="en-AU"/>
        </w:rPr>
        <w:t xml:space="preserve">i.e. a pharmaceutical benefit </w:t>
      </w:r>
      <w:r w:rsidR="001F23D3">
        <w:rPr>
          <w:rFonts w:ascii="Times New Roman" w:eastAsia="Times New Roman" w:hAnsi="Times New Roman" w:cs="Times New Roman"/>
          <w:bCs/>
          <w:sz w:val="24"/>
          <w:szCs w:val="24"/>
          <w:lang w:eastAsia="en-AU"/>
        </w:rPr>
        <w:t xml:space="preserve">that is a listed drug mentioned </w:t>
      </w:r>
      <w:r w:rsidR="00CF1E54">
        <w:rPr>
          <w:rFonts w:ascii="Times New Roman" w:eastAsia="Times New Roman" w:hAnsi="Times New Roman" w:cs="Times New Roman"/>
          <w:bCs/>
          <w:sz w:val="24"/>
          <w:szCs w:val="24"/>
          <w:lang w:eastAsia="en-AU"/>
        </w:rPr>
        <w:t>in Schedule 2</w:t>
      </w:r>
      <w:r w:rsidR="001F23D3">
        <w:rPr>
          <w:rFonts w:ascii="Times New Roman" w:eastAsia="Times New Roman" w:hAnsi="Times New Roman" w:cs="Times New Roman"/>
          <w:bCs/>
          <w:sz w:val="24"/>
          <w:szCs w:val="24"/>
          <w:lang w:eastAsia="en-AU"/>
        </w:rPr>
        <w:t xml:space="preserve"> or that contains such a drug</w:t>
      </w:r>
      <w:r w:rsidR="00AF455F" w:rsidRPr="00CF1E54">
        <w:rPr>
          <w:rFonts w:ascii="Times New Roman" w:eastAsia="Times New Roman" w:hAnsi="Times New Roman" w:cs="Times New Roman"/>
          <w:bCs/>
          <w:sz w:val="24"/>
          <w:szCs w:val="24"/>
          <w:lang w:eastAsia="en-AU"/>
        </w:rPr>
        <w:t>)</w:t>
      </w:r>
      <w:r w:rsidR="002B522E" w:rsidRPr="00CF1E54">
        <w:rPr>
          <w:rFonts w:ascii="Times New Roman" w:eastAsia="Times New Roman" w:hAnsi="Times New Roman" w:cs="Times New Roman"/>
          <w:bCs/>
          <w:sz w:val="24"/>
          <w:szCs w:val="24"/>
          <w:lang w:eastAsia="en-AU"/>
        </w:rPr>
        <w:t>.</w:t>
      </w:r>
    </w:p>
    <w:p w14:paraId="6816FA8E" w14:textId="77777777" w:rsidR="00384818" w:rsidRDefault="00384818" w:rsidP="00167955">
      <w:pPr>
        <w:spacing w:after="0" w:line="240" w:lineRule="auto"/>
        <w:rPr>
          <w:rFonts w:ascii="Times New Roman" w:eastAsia="Times New Roman" w:hAnsi="Times New Roman" w:cs="Times New Roman"/>
          <w:bCs/>
          <w:sz w:val="24"/>
          <w:szCs w:val="24"/>
          <w:lang w:eastAsia="en-AU"/>
        </w:rPr>
      </w:pPr>
    </w:p>
    <w:p w14:paraId="06F8901E" w14:textId="7108DB4E" w:rsidR="00445FDF" w:rsidRDefault="00445FDF"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12 corresponds to sections 9 and 9A of the 2012 Listing Instrument.</w:t>
      </w:r>
    </w:p>
    <w:p w14:paraId="6728C699" w14:textId="77777777" w:rsidR="00445FDF" w:rsidRPr="00CF1E54" w:rsidRDefault="00445FDF" w:rsidP="00167955">
      <w:pPr>
        <w:spacing w:after="0" w:line="240" w:lineRule="auto"/>
        <w:rPr>
          <w:rFonts w:ascii="Times New Roman" w:eastAsia="Times New Roman" w:hAnsi="Times New Roman" w:cs="Times New Roman"/>
          <w:bCs/>
          <w:sz w:val="24"/>
          <w:szCs w:val="24"/>
          <w:lang w:eastAsia="en-AU"/>
        </w:rPr>
      </w:pPr>
    </w:p>
    <w:p w14:paraId="41BFC355" w14:textId="457C03D7" w:rsidR="00384818" w:rsidRDefault="00384818" w:rsidP="00167955">
      <w:pPr>
        <w:spacing w:after="0" w:line="240" w:lineRule="auto"/>
        <w:rPr>
          <w:rFonts w:ascii="Times New Roman" w:eastAsia="Times New Roman" w:hAnsi="Times New Roman" w:cs="Times New Roman"/>
          <w:b/>
          <w:sz w:val="24"/>
          <w:szCs w:val="24"/>
          <w:lang w:eastAsia="en-AU"/>
        </w:rPr>
      </w:pPr>
      <w:r w:rsidRPr="00CF1E54">
        <w:rPr>
          <w:rFonts w:ascii="Times New Roman" w:eastAsia="Times New Roman" w:hAnsi="Times New Roman" w:cs="Times New Roman"/>
          <w:b/>
          <w:sz w:val="24"/>
          <w:szCs w:val="24"/>
          <w:lang w:eastAsia="en-AU"/>
        </w:rPr>
        <w:t xml:space="preserve">Section </w:t>
      </w:r>
      <w:r w:rsidR="00B525B6" w:rsidRPr="00CF1E54">
        <w:rPr>
          <w:rFonts w:ascii="Times New Roman" w:eastAsia="Times New Roman" w:hAnsi="Times New Roman" w:cs="Times New Roman"/>
          <w:b/>
          <w:sz w:val="24"/>
          <w:szCs w:val="24"/>
          <w:lang w:eastAsia="en-AU"/>
        </w:rPr>
        <w:t>13</w:t>
      </w:r>
      <w:r w:rsidRPr="00CF1E54">
        <w:rPr>
          <w:rFonts w:ascii="Times New Roman" w:eastAsia="Times New Roman" w:hAnsi="Times New Roman" w:cs="Times New Roman"/>
          <w:b/>
          <w:sz w:val="24"/>
          <w:szCs w:val="24"/>
          <w:lang w:eastAsia="en-AU"/>
        </w:rPr>
        <w:t xml:space="preserve"> –</w:t>
      </w:r>
      <w:r w:rsidRPr="000B19F0">
        <w:rPr>
          <w:rFonts w:ascii="Times New Roman" w:eastAsia="Times New Roman" w:hAnsi="Times New Roman" w:cs="Times New Roman"/>
          <w:b/>
          <w:sz w:val="24"/>
          <w:szCs w:val="24"/>
          <w:lang w:eastAsia="en-AU"/>
        </w:rPr>
        <w:t xml:space="preserve"> </w:t>
      </w:r>
      <w:r w:rsidRPr="00384818">
        <w:rPr>
          <w:rFonts w:ascii="Times New Roman" w:eastAsia="Times New Roman" w:hAnsi="Times New Roman" w:cs="Times New Roman"/>
          <w:b/>
          <w:sz w:val="24"/>
          <w:szCs w:val="24"/>
          <w:lang w:eastAsia="en-AU"/>
        </w:rPr>
        <w:t>Prescription of ready</w:t>
      </w:r>
      <w:r w:rsidRPr="00384818">
        <w:rPr>
          <w:rFonts w:ascii="Times New Roman" w:eastAsia="Times New Roman" w:hAnsi="Times New Roman" w:cs="Times New Roman"/>
          <w:b/>
          <w:sz w:val="24"/>
          <w:szCs w:val="24"/>
          <w:lang w:eastAsia="en-AU"/>
        </w:rPr>
        <w:noBreakHyphen/>
        <w:t>prepared pharmaceutical benefits in certain circumstances (Act s</w:t>
      </w:r>
      <w:r w:rsidR="0057461D">
        <w:rPr>
          <w:rFonts w:ascii="Times New Roman" w:eastAsia="Times New Roman" w:hAnsi="Times New Roman" w:cs="Times New Roman"/>
          <w:b/>
          <w:sz w:val="24"/>
          <w:szCs w:val="24"/>
          <w:lang w:eastAsia="en-AU"/>
        </w:rPr>
        <w:t xml:space="preserve"> </w:t>
      </w:r>
      <w:r w:rsidRPr="00384818">
        <w:rPr>
          <w:rFonts w:ascii="Times New Roman" w:eastAsia="Times New Roman" w:hAnsi="Times New Roman" w:cs="Times New Roman"/>
          <w:b/>
          <w:sz w:val="24"/>
          <w:szCs w:val="24"/>
          <w:lang w:eastAsia="en-AU"/>
        </w:rPr>
        <w:t>85(7))</w:t>
      </w:r>
    </w:p>
    <w:p w14:paraId="05ABB74A" w14:textId="77777777" w:rsidR="00826A93" w:rsidRPr="007B6373" w:rsidRDefault="00826A93" w:rsidP="00167955">
      <w:pPr>
        <w:spacing w:after="0" w:line="240" w:lineRule="auto"/>
        <w:rPr>
          <w:rFonts w:ascii="Times New Roman" w:eastAsia="Times New Roman" w:hAnsi="Times New Roman" w:cs="Times New Roman"/>
          <w:bCs/>
          <w:sz w:val="24"/>
          <w:szCs w:val="24"/>
          <w:lang w:eastAsia="en-AU"/>
        </w:rPr>
      </w:pPr>
    </w:p>
    <w:p w14:paraId="29E52B90" w14:textId="65E13B5F" w:rsidR="000D6582" w:rsidRDefault="00EB6F77" w:rsidP="00167955">
      <w:pPr>
        <w:spacing w:after="0"/>
        <w:rPr>
          <w:rFonts w:ascii="Times New Roman" w:eastAsia="Times New Roman" w:hAnsi="Times New Roman" w:cs="Times New Roman"/>
          <w:bCs/>
          <w:sz w:val="24"/>
          <w:szCs w:val="24"/>
          <w:lang w:eastAsia="en-AU"/>
        </w:rPr>
      </w:pPr>
      <w:r w:rsidRPr="00C05CB5">
        <w:rPr>
          <w:rFonts w:ascii="Times New Roman" w:eastAsia="Times New Roman" w:hAnsi="Times New Roman" w:cs="Times New Roman"/>
          <w:bCs/>
          <w:sz w:val="24"/>
          <w:szCs w:val="24"/>
          <w:lang w:eastAsia="en-AU"/>
        </w:rPr>
        <w:t xml:space="preserve">Under </w:t>
      </w:r>
      <w:r w:rsidR="00A157B4" w:rsidRPr="005F2610">
        <w:rPr>
          <w:rFonts w:ascii="Times New Roman" w:eastAsia="Times New Roman" w:hAnsi="Times New Roman" w:cs="Times New Roman"/>
          <w:bCs/>
          <w:sz w:val="24"/>
          <w:szCs w:val="24"/>
          <w:lang w:eastAsia="en-AU"/>
        </w:rPr>
        <w:t>subsection</w:t>
      </w:r>
      <w:r w:rsidR="00293291">
        <w:rPr>
          <w:rFonts w:ascii="Times New Roman" w:eastAsia="Times New Roman" w:hAnsi="Times New Roman" w:cs="Times New Roman"/>
          <w:bCs/>
          <w:sz w:val="24"/>
          <w:szCs w:val="24"/>
          <w:lang w:eastAsia="en-AU"/>
        </w:rPr>
        <w:t xml:space="preserve"> </w:t>
      </w:r>
      <w:r w:rsidRPr="00C05CB5">
        <w:rPr>
          <w:rFonts w:ascii="Times New Roman" w:eastAsia="Times New Roman" w:hAnsi="Times New Roman" w:cs="Times New Roman"/>
          <w:bCs/>
          <w:sz w:val="24"/>
          <w:szCs w:val="24"/>
          <w:lang w:eastAsia="en-AU"/>
        </w:rPr>
        <w:t>85(7) of the Act the Minister may, by legislative instrument, determine that a particular pharmaceutical benefit is to be a relevant pharmaceutical benefit for the purposes of section 88A of the Act</w:t>
      </w:r>
      <w:r w:rsidR="000D6582">
        <w:rPr>
          <w:rFonts w:ascii="Times New Roman" w:eastAsia="Times New Roman" w:hAnsi="Times New Roman" w:cs="Times New Roman"/>
          <w:bCs/>
          <w:sz w:val="24"/>
          <w:szCs w:val="24"/>
          <w:lang w:eastAsia="en-AU"/>
        </w:rPr>
        <w:t xml:space="preserve"> and </w:t>
      </w:r>
      <w:r w:rsidR="000D6582" w:rsidRPr="000D6582">
        <w:rPr>
          <w:rFonts w:ascii="Times New Roman" w:eastAsia="Times New Roman" w:hAnsi="Times New Roman" w:cs="Times New Roman"/>
          <w:bCs/>
          <w:sz w:val="24"/>
          <w:szCs w:val="24"/>
          <w:lang w:eastAsia="en-AU"/>
        </w:rPr>
        <w:t>the circumstances in which a prescription for the supply of the pharmaceutical benefit may be written.</w:t>
      </w:r>
    </w:p>
    <w:p w14:paraId="3B126D4E" w14:textId="77777777" w:rsidR="00167955" w:rsidRPr="000D6582" w:rsidRDefault="00167955" w:rsidP="00167955">
      <w:pPr>
        <w:spacing w:after="0"/>
        <w:rPr>
          <w:rFonts w:ascii="Times New Roman" w:eastAsia="Times New Roman" w:hAnsi="Times New Roman" w:cs="Times New Roman"/>
          <w:bCs/>
          <w:sz w:val="24"/>
          <w:szCs w:val="24"/>
          <w:lang w:eastAsia="en-AU"/>
        </w:rPr>
      </w:pPr>
    </w:p>
    <w:p w14:paraId="19CA87F2" w14:textId="14871B19" w:rsidR="0082771C" w:rsidRDefault="0082771C"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88A of the Act provides that w</w:t>
      </w:r>
      <w:r w:rsidRPr="005F2610">
        <w:rPr>
          <w:rFonts w:ascii="Times New Roman" w:eastAsia="Times New Roman" w:hAnsi="Times New Roman" w:cs="Times New Roman"/>
          <w:bCs/>
          <w:sz w:val="24"/>
          <w:szCs w:val="24"/>
          <w:lang w:eastAsia="en-AU"/>
        </w:rPr>
        <w:t>here a pharmaceutical benefit is determined under subsection 85(7)</w:t>
      </w:r>
      <w:r>
        <w:rPr>
          <w:rFonts w:ascii="Times New Roman" w:eastAsia="Times New Roman" w:hAnsi="Times New Roman" w:cs="Times New Roman"/>
          <w:bCs/>
          <w:sz w:val="24"/>
          <w:szCs w:val="24"/>
          <w:lang w:eastAsia="en-AU"/>
        </w:rPr>
        <w:t xml:space="preserve"> of the Act</w:t>
      </w:r>
      <w:r w:rsidRPr="005F2610">
        <w:rPr>
          <w:rFonts w:ascii="Times New Roman" w:eastAsia="Times New Roman" w:hAnsi="Times New Roman" w:cs="Times New Roman"/>
          <w:bCs/>
          <w:sz w:val="24"/>
          <w:szCs w:val="24"/>
          <w:lang w:eastAsia="en-AU"/>
        </w:rPr>
        <w:t xml:space="preserve"> to be a relevant pharmaceutical benefit, the writing of a </w:t>
      </w:r>
      <w:r w:rsidRPr="005F2610">
        <w:rPr>
          <w:rFonts w:ascii="Times New Roman" w:eastAsia="Times New Roman" w:hAnsi="Times New Roman" w:cs="Times New Roman"/>
          <w:bCs/>
          <w:sz w:val="24"/>
          <w:szCs w:val="24"/>
          <w:lang w:eastAsia="en-AU"/>
        </w:rPr>
        <w:lastRenderedPageBreak/>
        <w:t xml:space="preserve">prescription for the supply of the benefit is authorised under Part </w:t>
      </w:r>
      <w:r>
        <w:rPr>
          <w:rFonts w:ascii="Times New Roman" w:eastAsia="Times New Roman" w:hAnsi="Times New Roman" w:cs="Times New Roman"/>
          <w:bCs/>
          <w:sz w:val="24"/>
          <w:szCs w:val="24"/>
          <w:lang w:eastAsia="en-AU"/>
        </w:rPr>
        <w:t xml:space="preserve">VII of the Act </w:t>
      </w:r>
      <w:r w:rsidRPr="005F2610">
        <w:rPr>
          <w:rFonts w:ascii="Times New Roman" w:eastAsia="Times New Roman" w:hAnsi="Times New Roman" w:cs="Times New Roman"/>
          <w:bCs/>
          <w:sz w:val="24"/>
          <w:szCs w:val="24"/>
          <w:lang w:eastAsia="en-AU"/>
        </w:rPr>
        <w:t>only in circumstances specified in th</w:t>
      </w:r>
      <w:r w:rsidR="00EB6F77">
        <w:rPr>
          <w:rFonts w:ascii="Times New Roman" w:eastAsia="Times New Roman" w:hAnsi="Times New Roman" w:cs="Times New Roman"/>
          <w:bCs/>
          <w:sz w:val="24"/>
          <w:szCs w:val="24"/>
          <w:lang w:eastAsia="en-AU"/>
        </w:rPr>
        <w:t>e</w:t>
      </w:r>
      <w:r w:rsidRPr="005F2610">
        <w:rPr>
          <w:rFonts w:ascii="Times New Roman" w:eastAsia="Times New Roman" w:hAnsi="Times New Roman" w:cs="Times New Roman"/>
          <w:bCs/>
          <w:sz w:val="24"/>
          <w:szCs w:val="24"/>
          <w:lang w:eastAsia="en-AU"/>
        </w:rPr>
        <w:t xml:space="preserve"> determination.</w:t>
      </w:r>
    </w:p>
    <w:p w14:paraId="3FDCA0E3" w14:textId="77777777" w:rsidR="0082771C" w:rsidRDefault="0082771C" w:rsidP="00167955">
      <w:pPr>
        <w:spacing w:after="0" w:line="240" w:lineRule="auto"/>
        <w:rPr>
          <w:rFonts w:ascii="Times New Roman" w:eastAsia="Times New Roman" w:hAnsi="Times New Roman" w:cs="Times New Roman"/>
          <w:bCs/>
          <w:sz w:val="24"/>
          <w:szCs w:val="24"/>
          <w:lang w:eastAsia="en-AU"/>
        </w:rPr>
      </w:pPr>
    </w:p>
    <w:p w14:paraId="00D7CBED" w14:textId="1CF10843" w:rsidR="00EF47A3" w:rsidRDefault="00273F90"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13 of the 2024 Listing instrument </w:t>
      </w:r>
      <w:r w:rsidR="0060606E" w:rsidRPr="00C05CB5">
        <w:rPr>
          <w:rFonts w:ascii="Times New Roman" w:eastAsia="Times New Roman" w:hAnsi="Times New Roman" w:cs="Times New Roman"/>
          <w:bCs/>
          <w:sz w:val="24"/>
          <w:szCs w:val="24"/>
          <w:lang w:eastAsia="en-AU"/>
        </w:rPr>
        <w:t>provides</w:t>
      </w:r>
      <w:r w:rsidR="00EF47A3">
        <w:rPr>
          <w:rFonts w:ascii="Times New Roman" w:eastAsia="Times New Roman" w:hAnsi="Times New Roman" w:cs="Times New Roman"/>
          <w:bCs/>
          <w:sz w:val="24"/>
          <w:szCs w:val="24"/>
          <w:lang w:eastAsia="en-AU"/>
        </w:rPr>
        <w:t>:</w:t>
      </w:r>
    </w:p>
    <w:p w14:paraId="3E8ECE00" w14:textId="3D27BD6E" w:rsidR="005D5118" w:rsidRPr="00A22E0C" w:rsidRDefault="003041C7" w:rsidP="00A22E0C">
      <w:pPr>
        <w:pStyle w:val="ListParagraph"/>
        <w:numPr>
          <w:ilvl w:val="0"/>
          <w:numId w:val="27"/>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if a circumstances code </w:t>
      </w:r>
      <w:r w:rsidR="00493677" w:rsidRPr="00A22E0C">
        <w:rPr>
          <w:rFonts w:ascii="Times New Roman" w:eastAsia="Times New Roman" w:hAnsi="Times New Roman" w:cs="Times New Roman"/>
          <w:bCs/>
          <w:sz w:val="24"/>
          <w:szCs w:val="24"/>
          <w:lang w:eastAsia="en-AU"/>
        </w:rPr>
        <w:t>(i</w:t>
      </w:r>
      <w:r w:rsidR="00EA5071">
        <w:rPr>
          <w:rFonts w:ascii="Times New Roman" w:eastAsia="Times New Roman" w:hAnsi="Times New Roman" w:cs="Times New Roman"/>
          <w:bCs/>
          <w:sz w:val="24"/>
          <w:szCs w:val="24"/>
          <w:lang w:eastAsia="en-AU"/>
        </w:rPr>
        <w:t>.</w:t>
      </w:r>
      <w:r w:rsidR="00493677" w:rsidRPr="00A22E0C">
        <w:rPr>
          <w:rFonts w:ascii="Times New Roman" w:eastAsia="Times New Roman" w:hAnsi="Times New Roman" w:cs="Times New Roman"/>
          <w:bCs/>
          <w:sz w:val="24"/>
          <w:szCs w:val="24"/>
          <w:lang w:eastAsia="en-AU"/>
        </w:rPr>
        <w:t>e</w:t>
      </w:r>
      <w:r w:rsidR="00EA5071">
        <w:rPr>
          <w:rFonts w:ascii="Times New Roman" w:eastAsia="Times New Roman" w:hAnsi="Times New Roman" w:cs="Times New Roman"/>
          <w:bCs/>
          <w:sz w:val="24"/>
          <w:szCs w:val="24"/>
          <w:lang w:eastAsia="en-AU"/>
        </w:rPr>
        <w:t>.</w:t>
      </w:r>
      <w:r w:rsidR="00493677" w:rsidRPr="00A22E0C">
        <w:rPr>
          <w:rFonts w:ascii="Times New Roman" w:eastAsia="Times New Roman" w:hAnsi="Times New Roman" w:cs="Times New Roman"/>
          <w:bCs/>
          <w:sz w:val="24"/>
          <w:szCs w:val="24"/>
          <w:lang w:eastAsia="en-AU"/>
        </w:rPr>
        <w:t xml:space="preserve"> the letter C followed by a number) </w:t>
      </w:r>
      <w:r w:rsidRPr="00A22E0C">
        <w:rPr>
          <w:rFonts w:ascii="Times New Roman" w:eastAsia="Times New Roman" w:hAnsi="Times New Roman" w:cs="Times New Roman"/>
          <w:bCs/>
          <w:sz w:val="24"/>
          <w:szCs w:val="24"/>
          <w:lang w:eastAsia="en-AU"/>
        </w:rPr>
        <w:t xml:space="preserve">is mentioned in the column of the table in Part 1 of Schedule 1 headed “Circumstances” in relation to a </w:t>
      </w:r>
      <w:r w:rsidR="00035B28" w:rsidRPr="00A22E0C">
        <w:rPr>
          <w:rFonts w:ascii="Times New Roman" w:eastAsia="Times New Roman" w:hAnsi="Times New Roman" w:cs="Times New Roman"/>
          <w:bCs/>
          <w:sz w:val="24"/>
          <w:szCs w:val="24"/>
          <w:lang w:eastAsia="en-AU"/>
        </w:rPr>
        <w:t>pharmaceutical benefit</w:t>
      </w:r>
      <w:r w:rsidR="00EA7103" w:rsidRPr="00A22E0C">
        <w:rPr>
          <w:rFonts w:ascii="Times New Roman" w:eastAsia="Times New Roman" w:hAnsi="Times New Roman" w:cs="Times New Roman"/>
          <w:bCs/>
          <w:sz w:val="24"/>
          <w:szCs w:val="24"/>
          <w:lang w:eastAsia="en-AU"/>
        </w:rPr>
        <w:t>, the benefit</w:t>
      </w:r>
      <w:r w:rsidR="00035B28" w:rsidRPr="00A22E0C">
        <w:rPr>
          <w:rFonts w:ascii="Times New Roman" w:eastAsia="Times New Roman" w:hAnsi="Times New Roman" w:cs="Times New Roman"/>
          <w:bCs/>
          <w:sz w:val="24"/>
          <w:szCs w:val="24"/>
          <w:lang w:eastAsia="en-AU"/>
        </w:rPr>
        <w:t xml:space="preserve"> </w:t>
      </w:r>
      <w:r w:rsidRPr="00A22E0C">
        <w:rPr>
          <w:rFonts w:ascii="Times New Roman" w:eastAsia="Times New Roman" w:hAnsi="Times New Roman" w:cs="Times New Roman"/>
          <w:bCs/>
          <w:sz w:val="24"/>
          <w:szCs w:val="24"/>
          <w:lang w:eastAsia="en-AU"/>
        </w:rPr>
        <w:t>is a relevant pharmaceutical benefit for the purposes of section 88A of the Act</w:t>
      </w:r>
      <w:r w:rsidR="003C5635" w:rsidRPr="00A22E0C">
        <w:rPr>
          <w:rFonts w:ascii="Times New Roman" w:eastAsia="Times New Roman" w:hAnsi="Times New Roman" w:cs="Times New Roman"/>
          <w:bCs/>
          <w:sz w:val="24"/>
          <w:szCs w:val="24"/>
          <w:lang w:eastAsia="en-AU"/>
        </w:rPr>
        <w:t>; and</w:t>
      </w:r>
    </w:p>
    <w:p w14:paraId="1BBE7EE9" w14:textId="2137384B" w:rsidR="000D37FF" w:rsidRDefault="004B4B6F" w:rsidP="008431BC">
      <w:pPr>
        <w:pStyle w:val="ListParagraph"/>
        <w:numPr>
          <w:ilvl w:val="0"/>
          <w:numId w:val="27"/>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the circumstances mentioned in the column of the table in </w:t>
      </w:r>
      <w:r w:rsidR="00A478DF">
        <w:rPr>
          <w:rFonts w:ascii="Times New Roman" w:eastAsia="Times New Roman" w:hAnsi="Times New Roman" w:cs="Times New Roman"/>
          <w:bCs/>
          <w:sz w:val="24"/>
          <w:szCs w:val="24"/>
          <w:lang w:eastAsia="en-AU"/>
        </w:rPr>
        <w:t xml:space="preserve">Part 1 of </w:t>
      </w:r>
      <w:r w:rsidRPr="00A22E0C">
        <w:rPr>
          <w:rFonts w:ascii="Times New Roman" w:eastAsia="Times New Roman" w:hAnsi="Times New Roman" w:cs="Times New Roman"/>
          <w:bCs/>
          <w:sz w:val="24"/>
          <w:szCs w:val="24"/>
          <w:lang w:eastAsia="en-AU"/>
        </w:rPr>
        <w:t xml:space="preserve">Schedule 4 headed “Circumstances and Purposes” </w:t>
      </w:r>
      <w:r w:rsidR="008431BC" w:rsidRPr="00A22E0C">
        <w:rPr>
          <w:rFonts w:ascii="Times New Roman" w:eastAsia="Times New Roman" w:hAnsi="Times New Roman" w:cs="Times New Roman"/>
          <w:bCs/>
          <w:sz w:val="24"/>
          <w:szCs w:val="24"/>
          <w:lang w:eastAsia="en-AU"/>
        </w:rPr>
        <w:t xml:space="preserve">for </w:t>
      </w:r>
      <w:r w:rsidRPr="00A22E0C">
        <w:rPr>
          <w:rFonts w:ascii="Times New Roman" w:eastAsia="Times New Roman" w:hAnsi="Times New Roman" w:cs="Times New Roman"/>
          <w:bCs/>
          <w:sz w:val="24"/>
          <w:szCs w:val="24"/>
          <w:lang w:eastAsia="en-AU"/>
        </w:rPr>
        <w:t xml:space="preserve">the </w:t>
      </w:r>
      <w:r w:rsidR="008431BC" w:rsidRPr="00A22E0C">
        <w:rPr>
          <w:rFonts w:ascii="Times New Roman" w:eastAsia="Times New Roman" w:hAnsi="Times New Roman" w:cs="Times New Roman"/>
          <w:bCs/>
          <w:sz w:val="24"/>
          <w:szCs w:val="24"/>
          <w:lang w:eastAsia="en-AU"/>
        </w:rPr>
        <w:t xml:space="preserve">relevant </w:t>
      </w:r>
      <w:r w:rsidRPr="00A22E0C">
        <w:rPr>
          <w:rFonts w:ascii="Times New Roman" w:eastAsia="Times New Roman" w:hAnsi="Times New Roman" w:cs="Times New Roman"/>
          <w:bCs/>
          <w:sz w:val="24"/>
          <w:szCs w:val="24"/>
          <w:lang w:eastAsia="en-AU"/>
        </w:rPr>
        <w:t>circumstances code</w:t>
      </w:r>
      <w:r w:rsidR="007E5C05" w:rsidRPr="00A22E0C">
        <w:rPr>
          <w:rFonts w:ascii="Times New Roman" w:eastAsia="Times New Roman" w:hAnsi="Times New Roman" w:cs="Times New Roman"/>
          <w:bCs/>
          <w:sz w:val="24"/>
          <w:szCs w:val="24"/>
          <w:lang w:eastAsia="en-AU"/>
        </w:rPr>
        <w:t xml:space="preserve"> </w:t>
      </w:r>
      <w:r w:rsidRPr="00A22E0C">
        <w:rPr>
          <w:rFonts w:ascii="Times New Roman" w:eastAsia="Times New Roman" w:hAnsi="Times New Roman" w:cs="Times New Roman"/>
          <w:bCs/>
          <w:sz w:val="24"/>
          <w:szCs w:val="24"/>
          <w:lang w:eastAsia="en-AU"/>
        </w:rPr>
        <w:t>are circumstances in which a prescription for the supply of the pharmaceutical benefit may be written</w:t>
      </w:r>
      <w:r w:rsidR="000D37FF">
        <w:rPr>
          <w:rFonts w:ascii="Times New Roman" w:eastAsia="Times New Roman" w:hAnsi="Times New Roman" w:cs="Times New Roman"/>
          <w:bCs/>
          <w:sz w:val="24"/>
          <w:szCs w:val="24"/>
          <w:lang w:eastAsia="en-AU"/>
        </w:rPr>
        <w:t>; and</w:t>
      </w:r>
    </w:p>
    <w:p w14:paraId="67B199E8" w14:textId="4C46C52E" w:rsidR="003D5FA5" w:rsidRDefault="003D5FA5" w:rsidP="0053552C">
      <w:pPr>
        <w:pStyle w:val="ListParagraph"/>
        <w:numPr>
          <w:ilvl w:val="0"/>
          <w:numId w:val="27"/>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if the column of the table in </w:t>
      </w:r>
      <w:r w:rsidR="00A478DF">
        <w:rPr>
          <w:rFonts w:ascii="Times New Roman" w:eastAsia="Times New Roman" w:hAnsi="Times New Roman" w:cs="Times New Roman"/>
          <w:bCs/>
          <w:sz w:val="24"/>
          <w:szCs w:val="24"/>
          <w:lang w:eastAsia="en-AU"/>
        </w:rPr>
        <w:t xml:space="preserve">Part 1 of </w:t>
      </w:r>
      <w:r w:rsidRPr="00A22E0C">
        <w:rPr>
          <w:rFonts w:ascii="Times New Roman" w:eastAsia="Times New Roman" w:hAnsi="Times New Roman" w:cs="Times New Roman"/>
          <w:bCs/>
          <w:sz w:val="24"/>
          <w:szCs w:val="24"/>
          <w:lang w:eastAsia="en-AU"/>
        </w:rPr>
        <w:t>Schedule 4 headed “Authority Requirements” in relation to the circumstances code is not blank, it is part of the circumstances that the writing of the prescription must be authorised by the Chief Executive Medicare in accordance with section 19 of the 2024 Listing Instrument.</w:t>
      </w:r>
    </w:p>
    <w:p w14:paraId="15795DB1" w14:textId="0CAF90BE" w:rsidR="008431BC" w:rsidRPr="00A41BAC" w:rsidRDefault="008431BC" w:rsidP="00167955">
      <w:pPr>
        <w:spacing w:after="0" w:line="240" w:lineRule="auto"/>
        <w:rPr>
          <w:rFonts w:ascii="Times New Roman" w:eastAsia="Times New Roman" w:hAnsi="Times New Roman" w:cs="Times New Roman"/>
          <w:bCs/>
          <w:sz w:val="24"/>
          <w:szCs w:val="24"/>
          <w:lang w:eastAsia="en-AU"/>
        </w:rPr>
      </w:pPr>
    </w:p>
    <w:p w14:paraId="2115A789" w14:textId="389B01F3" w:rsidR="00077458" w:rsidRDefault="007864E5"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circumstances in which a particular pharmaceutical benefit can be prescribed can be complex</w:t>
      </w:r>
      <w:r w:rsidR="0002743B">
        <w:rPr>
          <w:rFonts w:ascii="Times New Roman" w:eastAsia="Times New Roman" w:hAnsi="Times New Roman" w:cs="Times New Roman"/>
          <w:bCs/>
          <w:sz w:val="24"/>
          <w:szCs w:val="24"/>
          <w:lang w:eastAsia="en-AU"/>
        </w:rPr>
        <w:t xml:space="preserve">. A particular pharmaceutical benefit may also be able to be prescribed in many different circumstances. </w:t>
      </w:r>
      <w:r w:rsidR="003518FC">
        <w:rPr>
          <w:rFonts w:ascii="Times New Roman" w:eastAsia="Times New Roman" w:hAnsi="Times New Roman" w:cs="Times New Roman"/>
          <w:bCs/>
          <w:sz w:val="24"/>
          <w:szCs w:val="24"/>
          <w:lang w:eastAsia="en-AU"/>
        </w:rPr>
        <w:t xml:space="preserve">The same circumstance could also apply to many different pharmaceutical benefits (for example different brands of the same pharmaceutical item). </w:t>
      </w:r>
      <w:r w:rsidR="0002743B">
        <w:rPr>
          <w:rFonts w:ascii="Times New Roman" w:eastAsia="Times New Roman" w:hAnsi="Times New Roman" w:cs="Times New Roman"/>
          <w:bCs/>
          <w:sz w:val="24"/>
          <w:szCs w:val="24"/>
          <w:lang w:eastAsia="en-AU"/>
        </w:rPr>
        <w:t>The use of circumstances codes in Part 1 of Schedule 1</w:t>
      </w:r>
      <w:r w:rsidR="00901CBE">
        <w:rPr>
          <w:rFonts w:ascii="Times New Roman" w:eastAsia="Times New Roman" w:hAnsi="Times New Roman" w:cs="Times New Roman"/>
          <w:bCs/>
          <w:sz w:val="24"/>
          <w:szCs w:val="24"/>
          <w:lang w:eastAsia="en-AU"/>
        </w:rPr>
        <w:t xml:space="preserve">, along with detailed specification of the content of those codes in </w:t>
      </w:r>
      <w:r w:rsidR="003518FC">
        <w:rPr>
          <w:rFonts w:ascii="Times New Roman" w:eastAsia="Times New Roman" w:hAnsi="Times New Roman" w:cs="Times New Roman"/>
          <w:bCs/>
          <w:sz w:val="24"/>
          <w:szCs w:val="24"/>
          <w:lang w:eastAsia="en-AU"/>
        </w:rPr>
        <w:t xml:space="preserve">Schedule 4, </w:t>
      </w:r>
      <w:r w:rsidR="001B75A9">
        <w:rPr>
          <w:rFonts w:ascii="Times New Roman" w:eastAsia="Times New Roman" w:hAnsi="Times New Roman" w:cs="Times New Roman"/>
          <w:bCs/>
          <w:sz w:val="24"/>
          <w:szCs w:val="24"/>
          <w:lang w:eastAsia="en-AU"/>
        </w:rPr>
        <w:t>keeps the 2024 Listing Instrument a manageable size.</w:t>
      </w:r>
    </w:p>
    <w:p w14:paraId="4570FB28" w14:textId="77777777" w:rsidR="00077458" w:rsidRDefault="00077458" w:rsidP="00167955">
      <w:pPr>
        <w:spacing w:after="0" w:line="240" w:lineRule="auto"/>
        <w:rPr>
          <w:rFonts w:ascii="Times New Roman" w:eastAsia="Times New Roman" w:hAnsi="Times New Roman" w:cs="Times New Roman"/>
          <w:bCs/>
          <w:sz w:val="24"/>
          <w:szCs w:val="24"/>
          <w:lang w:eastAsia="en-AU"/>
        </w:rPr>
      </w:pPr>
    </w:p>
    <w:p w14:paraId="2F84529A" w14:textId="6D3629F9" w:rsidR="00B7443C" w:rsidRDefault="00B7443C"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13 corresponds to section 10 of the 2012 Listing Instrument.</w:t>
      </w:r>
    </w:p>
    <w:p w14:paraId="148685D1" w14:textId="77777777" w:rsidR="00B7443C" w:rsidRDefault="00B7443C" w:rsidP="00167955">
      <w:pPr>
        <w:spacing w:after="0" w:line="240" w:lineRule="auto"/>
        <w:rPr>
          <w:rFonts w:ascii="Times New Roman" w:eastAsia="Times New Roman" w:hAnsi="Times New Roman" w:cs="Times New Roman"/>
          <w:bCs/>
          <w:sz w:val="24"/>
          <w:szCs w:val="24"/>
          <w:lang w:eastAsia="en-AU"/>
        </w:rPr>
      </w:pPr>
    </w:p>
    <w:p w14:paraId="04FB2710" w14:textId="41AC3BE7" w:rsidR="00793DA0" w:rsidRPr="00AB060E" w:rsidRDefault="00793DA0" w:rsidP="00167955">
      <w:pPr>
        <w:spacing w:after="0" w:line="240" w:lineRule="auto"/>
        <w:rPr>
          <w:rFonts w:ascii="Times New Roman" w:eastAsia="Times New Roman" w:hAnsi="Times New Roman" w:cs="Times New Roman"/>
          <w:b/>
          <w:sz w:val="24"/>
          <w:szCs w:val="24"/>
          <w:lang w:eastAsia="en-AU"/>
        </w:rPr>
      </w:pPr>
      <w:r w:rsidRPr="00AB060E">
        <w:rPr>
          <w:rFonts w:ascii="Times New Roman" w:eastAsia="Times New Roman" w:hAnsi="Times New Roman" w:cs="Times New Roman"/>
          <w:b/>
          <w:sz w:val="24"/>
          <w:szCs w:val="24"/>
          <w:lang w:eastAsia="en-AU"/>
        </w:rPr>
        <w:t xml:space="preserve">Section </w:t>
      </w:r>
      <w:r w:rsidR="007A2E85" w:rsidRPr="00AB060E">
        <w:rPr>
          <w:rFonts w:ascii="Times New Roman" w:eastAsia="Times New Roman" w:hAnsi="Times New Roman" w:cs="Times New Roman"/>
          <w:b/>
          <w:sz w:val="24"/>
          <w:szCs w:val="24"/>
          <w:lang w:eastAsia="en-AU"/>
        </w:rPr>
        <w:t>14</w:t>
      </w:r>
      <w:r w:rsidRPr="00AB060E">
        <w:rPr>
          <w:rFonts w:ascii="Times New Roman" w:eastAsia="Times New Roman" w:hAnsi="Times New Roman" w:cs="Times New Roman"/>
          <w:b/>
          <w:sz w:val="24"/>
          <w:szCs w:val="24"/>
          <w:lang w:eastAsia="en-AU"/>
        </w:rPr>
        <w:t xml:space="preserve"> – Prescription of extemporaneously</w:t>
      </w:r>
      <w:r w:rsidRPr="00AB060E">
        <w:rPr>
          <w:rFonts w:ascii="Times New Roman" w:eastAsia="Times New Roman" w:hAnsi="Times New Roman" w:cs="Times New Roman"/>
          <w:b/>
          <w:sz w:val="24"/>
          <w:szCs w:val="24"/>
          <w:lang w:eastAsia="en-AU"/>
        </w:rPr>
        <w:noBreakHyphen/>
        <w:t>prepared pharmaceutical benefits in certain circumstances (Act s</w:t>
      </w:r>
      <w:r w:rsidR="0057461D" w:rsidRPr="00AB060E">
        <w:rPr>
          <w:rFonts w:ascii="Times New Roman" w:eastAsia="Times New Roman" w:hAnsi="Times New Roman" w:cs="Times New Roman"/>
          <w:b/>
          <w:sz w:val="24"/>
          <w:szCs w:val="24"/>
          <w:lang w:eastAsia="en-AU"/>
        </w:rPr>
        <w:t xml:space="preserve"> </w:t>
      </w:r>
      <w:r w:rsidRPr="00AB060E">
        <w:rPr>
          <w:rFonts w:ascii="Times New Roman" w:eastAsia="Times New Roman" w:hAnsi="Times New Roman" w:cs="Times New Roman"/>
          <w:b/>
          <w:sz w:val="24"/>
          <w:szCs w:val="24"/>
          <w:lang w:eastAsia="en-AU"/>
        </w:rPr>
        <w:t>85(7))</w:t>
      </w:r>
    </w:p>
    <w:p w14:paraId="00210FEE" w14:textId="77777777" w:rsidR="00793DA0" w:rsidRPr="00AB060E" w:rsidRDefault="00793DA0" w:rsidP="00167955">
      <w:pPr>
        <w:spacing w:after="0" w:line="240" w:lineRule="auto"/>
        <w:rPr>
          <w:rFonts w:ascii="Times New Roman" w:eastAsia="Times New Roman" w:hAnsi="Times New Roman" w:cs="Times New Roman"/>
          <w:bCs/>
          <w:sz w:val="24"/>
          <w:szCs w:val="24"/>
          <w:lang w:eastAsia="en-AU"/>
        </w:rPr>
      </w:pPr>
    </w:p>
    <w:p w14:paraId="06DBFB33" w14:textId="2DA68AB7" w:rsidR="00A93CBA" w:rsidRPr="0066183C" w:rsidRDefault="00793DA0" w:rsidP="00167955">
      <w:pPr>
        <w:spacing w:after="0" w:line="240" w:lineRule="auto"/>
        <w:rPr>
          <w:rFonts w:ascii="Times New Roman" w:eastAsia="Times New Roman" w:hAnsi="Times New Roman" w:cs="Times New Roman"/>
          <w:bCs/>
          <w:sz w:val="24"/>
          <w:szCs w:val="24"/>
          <w:lang w:eastAsia="en-AU"/>
        </w:rPr>
      </w:pPr>
      <w:r w:rsidRPr="0066183C">
        <w:rPr>
          <w:rFonts w:ascii="Times New Roman" w:eastAsia="Times New Roman" w:hAnsi="Times New Roman" w:cs="Times New Roman"/>
          <w:bCs/>
          <w:sz w:val="24"/>
          <w:szCs w:val="24"/>
          <w:lang w:eastAsia="en-AU"/>
        </w:rPr>
        <w:t xml:space="preserve">Section </w:t>
      </w:r>
      <w:r w:rsidR="007A2E85" w:rsidRPr="0066183C">
        <w:rPr>
          <w:rFonts w:ascii="Times New Roman" w:eastAsia="Times New Roman" w:hAnsi="Times New Roman" w:cs="Times New Roman"/>
          <w:bCs/>
          <w:sz w:val="24"/>
          <w:szCs w:val="24"/>
          <w:lang w:eastAsia="en-AU"/>
        </w:rPr>
        <w:t>14</w:t>
      </w:r>
      <w:r w:rsidR="00B54D7D" w:rsidRPr="0066183C">
        <w:rPr>
          <w:rFonts w:ascii="Times New Roman" w:eastAsia="Times New Roman" w:hAnsi="Times New Roman" w:cs="Times New Roman"/>
          <w:bCs/>
          <w:sz w:val="24"/>
          <w:szCs w:val="24"/>
          <w:lang w:eastAsia="en-AU"/>
        </w:rPr>
        <w:t xml:space="preserve"> </w:t>
      </w:r>
      <w:r w:rsidR="00D64C9D" w:rsidRPr="0066183C">
        <w:rPr>
          <w:rFonts w:ascii="Times New Roman" w:eastAsia="Times New Roman" w:hAnsi="Times New Roman" w:cs="Times New Roman"/>
          <w:bCs/>
          <w:sz w:val="24"/>
          <w:szCs w:val="24"/>
          <w:lang w:eastAsia="en-AU"/>
        </w:rPr>
        <w:t xml:space="preserve">of the </w:t>
      </w:r>
      <w:r w:rsidR="00981CBD">
        <w:rPr>
          <w:rFonts w:ascii="Times New Roman" w:eastAsia="Times New Roman" w:hAnsi="Times New Roman" w:cs="Times New Roman"/>
          <w:bCs/>
          <w:sz w:val="24"/>
          <w:szCs w:val="24"/>
          <w:lang w:eastAsia="en-AU"/>
        </w:rPr>
        <w:t>2024 Listing I</w:t>
      </w:r>
      <w:r w:rsidR="00D64C9D" w:rsidRPr="0066183C">
        <w:rPr>
          <w:rFonts w:ascii="Times New Roman" w:eastAsia="Times New Roman" w:hAnsi="Times New Roman" w:cs="Times New Roman"/>
          <w:bCs/>
          <w:sz w:val="24"/>
          <w:szCs w:val="24"/>
          <w:lang w:eastAsia="en-AU"/>
        </w:rPr>
        <w:t xml:space="preserve">nstrument </w:t>
      </w:r>
      <w:r w:rsidR="00A93CBA" w:rsidRPr="0066183C">
        <w:rPr>
          <w:rFonts w:ascii="Times New Roman" w:eastAsia="Times New Roman" w:hAnsi="Times New Roman" w:cs="Times New Roman"/>
          <w:bCs/>
          <w:sz w:val="24"/>
          <w:szCs w:val="24"/>
          <w:lang w:eastAsia="en-AU"/>
        </w:rPr>
        <w:t>outlines</w:t>
      </w:r>
      <w:r w:rsidR="000E47E7" w:rsidRPr="0066183C">
        <w:rPr>
          <w:rFonts w:ascii="Times New Roman" w:eastAsia="Times New Roman" w:hAnsi="Times New Roman" w:cs="Times New Roman"/>
          <w:bCs/>
          <w:sz w:val="24"/>
          <w:szCs w:val="24"/>
          <w:lang w:eastAsia="en-AU"/>
        </w:rPr>
        <w:t xml:space="preserve">, for the purposes of subsection </w:t>
      </w:r>
      <w:r w:rsidR="000E122E" w:rsidRPr="0066183C">
        <w:rPr>
          <w:rFonts w:ascii="Times New Roman" w:eastAsia="Times New Roman" w:hAnsi="Times New Roman" w:cs="Times New Roman"/>
          <w:bCs/>
          <w:sz w:val="24"/>
          <w:szCs w:val="24"/>
          <w:lang w:eastAsia="en-AU"/>
        </w:rPr>
        <w:t>85(7) of the Act,</w:t>
      </w:r>
      <w:r w:rsidR="00A93CBA" w:rsidRPr="0066183C">
        <w:rPr>
          <w:rFonts w:ascii="Times New Roman" w:eastAsia="Times New Roman" w:hAnsi="Times New Roman" w:cs="Times New Roman"/>
          <w:bCs/>
          <w:sz w:val="24"/>
          <w:szCs w:val="24"/>
          <w:lang w:eastAsia="en-AU"/>
        </w:rPr>
        <w:t xml:space="preserve"> the circumstances in which </w:t>
      </w:r>
      <w:r w:rsidR="003C1C10" w:rsidRPr="0066183C">
        <w:rPr>
          <w:rFonts w:ascii="Times New Roman" w:eastAsia="Times New Roman" w:hAnsi="Times New Roman" w:cs="Times New Roman"/>
          <w:bCs/>
          <w:sz w:val="24"/>
          <w:szCs w:val="24"/>
          <w:lang w:eastAsia="en-AU"/>
        </w:rPr>
        <w:t xml:space="preserve">a </w:t>
      </w:r>
      <w:r w:rsidR="00A93CBA" w:rsidRPr="0066183C">
        <w:rPr>
          <w:rFonts w:ascii="Times New Roman" w:eastAsia="Times New Roman" w:hAnsi="Times New Roman" w:cs="Times New Roman"/>
          <w:bCs/>
          <w:sz w:val="24"/>
          <w:szCs w:val="24"/>
          <w:lang w:eastAsia="en-AU"/>
        </w:rPr>
        <w:t>prescription</w:t>
      </w:r>
      <w:r w:rsidR="00A61BA0" w:rsidRPr="0066183C">
        <w:rPr>
          <w:rFonts w:ascii="Times New Roman" w:eastAsia="Times New Roman" w:hAnsi="Times New Roman" w:cs="Times New Roman"/>
          <w:bCs/>
          <w:sz w:val="24"/>
          <w:szCs w:val="24"/>
          <w:lang w:eastAsia="en-AU"/>
        </w:rPr>
        <w:t xml:space="preserve"> can be written</w:t>
      </w:r>
      <w:r w:rsidR="00726302" w:rsidRPr="0066183C">
        <w:rPr>
          <w:rFonts w:ascii="Times New Roman" w:eastAsia="Times New Roman" w:hAnsi="Times New Roman" w:cs="Times New Roman"/>
          <w:bCs/>
          <w:sz w:val="24"/>
          <w:szCs w:val="24"/>
          <w:lang w:eastAsia="en-AU"/>
        </w:rPr>
        <w:t xml:space="preserve"> </w:t>
      </w:r>
      <w:r w:rsidR="00A93CBA" w:rsidRPr="0066183C">
        <w:rPr>
          <w:rFonts w:ascii="Times New Roman" w:eastAsia="Times New Roman" w:hAnsi="Times New Roman" w:cs="Times New Roman"/>
          <w:bCs/>
          <w:sz w:val="24"/>
          <w:szCs w:val="24"/>
          <w:lang w:eastAsia="en-AU"/>
        </w:rPr>
        <w:t>for the supply of extemporaneously</w:t>
      </w:r>
      <w:r w:rsidR="00A93CBA" w:rsidRPr="0066183C">
        <w:rPr>
          <w:rFonts w:ascii="Times New Roman" w:eastAsia="Times New Roman" w:hAnsi="Times New Roman" w:cs="Times New Roman"/>
          <w:bCs/>
          <w:sz w:val="24"/>
          <w:szCs w:val="24"/>
          <w:lang w:eastAsia="en-AU"/>
        </w:rPr>
        <w:noBreakHyphen/>
        <w:t>prepared pharmaceutical benefits</w:t>
      </w:r>
      <w:r w:rsidR="006B2C60" w:rsidRPr="0066183C">
        <w:rPr>
          <w:rFonts w:ascii="Times New Roman" w:eastAsia="Times New Roman" w:hAnsi="Times New Roman" w:cs="Times New Roman"/>
          <w:bCs/>
          <w:sz w:val="24"/>
          <w:szCs w:val="24"/>
          <w:lang w:eastAsia="en-AU"/>
        </w:rPr>
        <w:t xml:space="preserve"> mentioned in Schedule 2 to th</w:t>
      </w:r>
      <w:r w:rsidR="007967DD">
        <w:rPr>
          <w:rFonts w:ascii="Times New Roman" w:eastAsia="Times New Roman" w:hAnsi="Times New Roman" w:cs="Times New Roman"/>
          <w:bCs/>
          <w:sz w:val="24"/>
          <w:szCs w:val="24"/>
          <w:lang w:eastAsia="en-AU"/>
        </w:rPr>
        <w:t xml:space="preserve">e </w:t>
      </w:r>
      <w:r w:rsidR="00981CBD">
        <w:rPr>
          <w:rFonts w:ascii="Times New Roman" w:eastAsia="Times New Roman" w:hAnsi="Times New Roman" w:cs="Times New Roman"/>
          <w:bCs/>
          <w:sz w:val="24"/>
          <w:szCs w:val="24"/>
          <w:lang w:eastAsia="en-AU"/>
        </w:rPr>
        <w:t>i</w:t>
      </w:r>
      <w:r w:rsidR="006B2C60" w:rsidRPr="0066183C">
        <w:rPr>
          <w:rFonts w:ascii="Times New Roman" w:eastAsia="Times New Roman" w:hAnsi="Times New Roman" w:cs="Times New Roman"/>
          <w:bCs/>
          <w:sz w:val="24"/>
          <w:szCs w:val="24"/>
          <w:lang w:eastAsia="en-AU"/>
        </w:rPr>
        <w:t>nstrument</w:t>
      </w:r>
      <w:r w:rsidR="00A93CBA" w:rsidRPr="0066183C">
        <w:rPr>
          <w:rFonts w:ascii="Times New Roman" w:eastAsia="Times New Roman" w:hAnsi="Times New Roman" w:cs="Times New Roman"/>
          <w:bCs/>
          <w:sz w:val="24"/>
          <w:szCs w:val="24"/>
          <w:lang w:eastAsia="en-AU"/>
        </w:rPr>
        <w:t>.</w:t>
      </w:r>
    </w:p>
    <w:p w14:paraId="0BFC155E" w14:textId="77777777" w:rsidR="001B1CB2" w:rsidRPr="0066183C" w:rsidRDefault="001B1CB2" w:rsidP="00167955">
      <w:pPr>
        <w:spacing w:after="0" w:line="240" w:lineRule="auto"/>
        <w:rPr>
          <w:rFonts w:ascii="Times New Roman" w:eastAsia="Times New Roman" w:hAnsi="Times New Roman" w:cs="Times New Roman"/>
          <w:bCs/>
          <w:sz w:val="24"/>
          <w:szCs w:val="24"/>
          <w:lang w:eastAsia="en-AU"/>
        </w:rPr>
      </w:pPr>
    </w:p>
    <w:p w14:paraId="1D37F4E5" w14:textId="00FED7D3" w:rsidR="005E76AB" w:rsidRDefault="008F297A" w:rsidP="00167955">
      <w:pPr>
        <w:spacing w:after="0" w:line="240" w:lineRule="auto"/>
        <w:rPr>
          <w:rFonts w:ascii="Times New Roman" w:eastAsia="Times New Roman" w:hAnsi="Times New Roman" w:cs="Times New Roman"/>
          <w:bCs/>
          <w:sz w:val="24"/>
          <w:szCs w:val="24"/>
          <w:lang w:eastAsia="en-AU"/>
        </w:rPr>
      </w:pPr>
      <w:r w:rsidRPr="0066183C">
        <w:rPr>
          <w:rFonts w:ascii="Times New Roman" w:eastAsia="Times New Roman" w:hAnsi="Times New Roman" w:cs="Times New Roman"/>
          <w:bCs/>
          <w:sz w:val="24"/>
          <w:szCs w:val="24"/>
          <w:lang w:eastAsia="en-AU"/>
        </w:rPr>
        <w:t>Sub</w:t>
      </w:r>
      <w:r w:rsidR="00981CBD">
        <w:rPr>
          <w:rFonts w:ascii="Times New Roman" w:eastAsia="Times New Roman" w:hAnsi="Times New Roman" w:cs="Times New Roman"/>
          <w:bCs/>
          <w:sz w:val="24"/>
          <w:szCs w:val="24"/>
          <w:lang w:eastAsia="en-AU"/>
        </w:rPr>
        <w:t xml:space="preserve">section </w:t>
      </w:r>
      <w:r w:rsidR="00691336" w:rsidRPr="0066183C">
        <w:rPr>
          <w:rFonts w:ascii="Times New Roman" w:eastAsia="Times New Roman" w:hAnsi="Times New Roman" w:cs="Times New Roman"/>
          <w:bCs/>
          <w:sz w:val="24"/>
          <w:szCs w:val="24"/>
          <w:lang w:eastAsia="en-AU"/>
        </w:rPr>
        <w:t>1</w:t>
      </w:r>
      <w:r w:rsidR="005060B1" w:rsidRPr="0066183C">
        <w:rPr>
          <w:rFonts w:ascii="Times New Roman" w:eastAsia="Times New Roman" w:hAnsi="Times New Roman" w:cs="Times New Roman"/>
          <w:bCs/>
          <w:sz w:val="24"/>
          <w:szCs w:val="24"/>
          <w:lang w:eastAsia="en-AU"/>
        </w:rPr>
        <w:t>4</w:t>
      </w:r>
      <w:r w:rsidR="00691336" w:rsidRPr="0066183C">
        <w:rPr>
          <w:rFonts w:ascii="Times New Roman" w:eastAsia="Times New Roman" w:hAnsi="Times New Roman" w:cs="Times New Roman"/>
          <w:bCs/>
          <w:sz w:val="24"/>
          <w:szCs w:val="24"/>
          <w:lang w:eastAsia="en-AU"/>
        </w:rPr>
        <w:t>(1)</w:t>
      </w:r>
      <w:r w:rsidR="00532D7F" w:rsidRPr="0066183C">
        <w:rPr>
          <w:rFonts w:ascii="Times New Roman" w:eastAsia="Times New Roman" w:hAnsi="Times New Roman" w:cs="Times New Roman"/>
          <w:bCs/>
          <w:sz w:val="24"/>
          <w:szCs w:val="24"/>
          <w:lang w:eastAsia="en-AU"/>
        </w:rPr>
        <w:t xml:space="preserve"> provides</w:t>
      </w:r>
      <w:r w:rsidR="005E76AB">
        <w:rPr>
          <w:rFonts w:ascii="Times New Roman" w:eastAsia="Times New Roman" w:hAnsi="Times New Roman" w:cs="Times New Roman"/>
          <w:bCs/>
          <w:sz w:val="24"/>
          <w:szCs w:val="24"/>
          <w:lang w:eastAsia="en-AU"/>
        </w:rPr>
        <w:t>:</w:t>
      </w:r>
    </w:p>
    <w:p w14:paraId="5C476EEE" w14:textId="1BB302D6" w:rsidR="00532D7F" w:rsidRPr="00A22E0C" w:rsidRDefault="000A7B83" w:rsidP="00102702">
      <w:pPr>
        <w:pStyle w:val="ListParagraph"/>
        <w:numPr>
          <w:ilvl w:val="1"/>
          <w:numId w:val="30"/>
        </w:numPr>
        <w:spacing w:before="120" w:after="0"/>
        <w:ind w:left="714" w:hanging="357"/>
        <w:contextualSpacing w:val="0"/>
        <w:rPr>
          <w:rFonts w:ascii="Times New Roman" w:hAnsi="Times New Roman" w:cs="Times New Roman"/>
          <w:sz w:val="24"/>
          <w:szCs w:val="24"/>
          <w:lang w:eastAsia="en-AU"/>
        </w:rPr>
      </w:pPr>
      <w:r w:rsidRPr="00211CDD">
        <w:rPr>
          <w:rFonts w:ascii="Times New Roman" w:eastAsia="Times New Roman" w:hAnsi="Times New Roman" w:cs="Times New Roman"/>
          <w:bCs/>
          <w:sz w:val="24"/>
          <w:szCs w:val="24"/>
          <w:lang w:eastAsia="en-AU"/>
        </w:rPr>
        <w:t>if circumstances are mentioned in column 2 of an item in the table in Part 1 of Schedule 2</w:t>
      </w:r>
      <w:r w:rsidR="003312F5" w:rsidRPr="00211CDD">
        <w:rPr>
          <w:rFonts w:ascii="Times New Roman" w:eastAsia="Times New Roman" w:hAnsi="Times New Roman" w:cs="Times New Roman"/>
          <w:bCs/>
          <w:sz w:val="24"/>
          <w:szCs w:val="24"/>
          <w:lang w:eastAsia="en-AU"/>
        </w:rPr>
        <w:t>,</w:t>
      </w:r>
      <w:r w:rsidRPr="00211CDD">
        <w:rPr>
          <w:rFonts w:ascii="Times New Roman" w:eastAsia="Times New Roman" w:hAnsi="Times New Roman" w:cs="Times New Roman"/>
          <w:bCs/>
          <w:sz w:val="24"/>
          <w:szCs w:val="24"/>
          <w:lang w:eastAsia="en-AU"/>
        </w:rPr>
        <w:t xml:space="preserve"> </w:t>
      </w:r>
      <w:r w:rsidR="00532D7F" w:rsidRPr="00211CDD">
        <w:rPr>
          <w:rFonts w:ascii="Times New Roman" w:eastAsia="Times New Roman" w:hAnsi="Times New Roman" w:cs="Times New Roman"/>
          <w:bCs/>
          <w:sz w:val="24"/>
          <w:szCs w:val="24"/>
          <w:lang w:eastAsia="en-AU"/>
        </w:rPr>
        <w:t xml:space="preserve">the </w:t>
      </w:r>
      <w:r w:rsidR="006D29A8" w:rsidRPr="00211CDD">
        <w:rPr>
          <w:rFonts w:ascii="Times New Roman" w:eastAsia="Times New Roman" w:hAnsi="Times New Roman" w:cs="Times New Roman"/>
          <w:bCs/>
          <w:sz w:val="24"/>
          <w:szCs w:val="24"/>
          <w:lang w:eastAsia="en-AU"/>
        </w:rPr>
        <w:t>listed drug</w:t>
      </w:r>
      <w:r w:rsidR="00532D7F" w:rsidRPr="00211CDD">
        <w:rPr>
          <w:rFonts w:ascii="Times New Roman" w:eastAsia="Times New Roman" w:hAnsi="Times New Roman" w:cs="Times New Roman"/>
          <w:bCs/>
          <w:sz w:val="24"/>
          <w:szCs w:val="24"/>
          <w:lang w:eastAsia="en-AU"/>
        </w:rPr>
        <w:t xml:space="preserve"> </w:t>
      </w:r>
      <w:r w:rsidR="00964A6C" w:rsidRPr="00211CDD">
        <w:rPr>
          <w:rFonts w:ascii="Times New Roman" w:eastAsia="Times New Roman" w:hAnsi="Times New Roman" w:cs="Times New Roman"/>
          <w:bCs/>
          <w:sz w:val="24"/>
          <w:szCs w:val="24"/>
          <w:lang w:eastAsia="en-AU"/>
        </w:rPr>
        <w:t xml:space="preserve">in column 1 of that item </w:t>
      </w:r>
      <w:r w:rsidR="00532D7F" w:rsidRPr="00211CDD">
        <w:rPr>
          <w:rFonts w:ascii="Times New Roman" w:eastAsia="Times New Roman" w:hAnsi="Times New Roman" w:cs="Times New Roman"/>
          <w:bCs/>
          <w:sz w:val="24"/>
          <w:szCs w:val="24"/>
          <w:lang w:eastAsia="en-AU"/>
        </w:rPr>
        <w:t>is a relevant pharmaceutical benefit for the purposes of section 88A of the Act</w:t>
      </w:r>
      <w:r w:rsidR="005E76AB" w:rsidRPr="00211CDD">
        <w:rPr>
          <w:rFonts w:ascii="Times New Roman" w:eastAsia="Times New Roman" w:hAnsi="Times New Roman" w:cs="Times New Roman"/>
          <w:bCs/>
          <w:sz w:val="24"/>
          <w:szCs w:val="24"/>
          <w:lang w:eastAsia="en-AU"/>
        </w:rPr>
        <w:t xml:space="preserve"> and </w:t>
      </w:r>
      <w:r w:rsidR="005E76AB" w:rsidRPr="00A22E0C">
        <w:rPr>
          <w:rFonts w:ascii="Times New Roman" w:hAnsi="Times New Roman" w:cs="Times New Roman"/>
          <w:sz w:val="24"/>
          <w:szCs w:val="24"/>
          <w:lang w:eastAsia="en-AU"/>
        </w:rPr>
        <w:t>a</w:t>
      </w:r>
      <w:r w:rsidR="00F570E4" w:rsidRPr="00A22E0C">
        <w:rPr>
          <w:rFonts w:ascii="Times New Roman" w:hAnsi="Times New Roman" w:cs="Times New Roman"/>
          <w:sz w:val="24"/>
          <w:szCs w:val="24"/>
          <w:lang w:eastAsia="en-AU"/>
        </w:rPr>
        <w:t>n extemporaneously</w:t>
      </w:r>
      <w:r w:rsidR="004C2633" w:rsidRPr="00A22E0C">
        <w:rPr>
          <w:rFonts w:ascii="Times New Roman" w:hAnsi="Times New Roman" w:cs="Times New Roman"/>
          <w:sz w:val="24"/>
          <w:szCs w:val="24"/>
          <w:lang w:eastAsia="en-AU"/>
        </w:rPr>
        <w:t>-</w:t>
      </w:r>
      <w:r w:rsidR="00F570E4" w:rsidRPr="00A22E0C">
        <w:rPr>
          <w:rFonts w:ascii="Times New Roman" w:hAnsi="Times New Roman" w:cs="Times New Roman"/>
          <w:sz w:val="24"/>
          <w:szCs w:val="24"/>
          <w:lang w:eastAsia="en-AU"/>
        </w:rPr>
        <w:t>prepared pharmaceutical benefit that contains the listed drug is a</w:t>
      </w:r>
      <w:r w:rsidR="00872448" w:rsidRPr="00A22E0C">
        <w:rPr>
          <w:rFonts w:ascii="Times New Roman" w:hAnsi="Times New Roman" w:cs="Times New Roman"/>
          <w:sz w:val="24"/>
          <w:szCs w:val="24"/>
          <w:lang w:eastAsia="en-AU"/>
        </w:rPr>
        <w:t>lso a</w:t>
      </w:r>
      <w:r w:rsidR="00F570E4" w:rsidRPr="00A22E0C">
        <w:rPr>
          <w:rFonts w:ascii="Times New Roman" w:hAnsi="Times New Roman" w:cs="Times New Roman"/>
          <w:sz w:val="24"/>
          <w:szCs w:val="24"/>
          <w:lang w:eastAsia="en-AU"/>
        </w:rPr>
        <w:t xml:space="preserve"> relevant pharmaceutical benefit</w:t>
      </w:r>
      <w:r w:rsidR="00E925A9">
        <w:rPr>
          <w:rFonts w:ascii="Times New Roman" w:hAnsi="Times New Roman" w:cs="Times New Roman"/>
          <w:sz w:val="24"/>
          <w:szCs w:val="24"/>
          <w:lang w:eastAsia="en-AU"/>
        </w:rPr>
        <w:t>;</w:t>
      </w:r>
    </w:p>
    <w:p w14:paraId="0B3A6A4E" w14:textId="580EE4AF" w:rsidR="00211CDD" w:rsidRPr="00A22E0C" w:rsidRDefault="00B01DC8" w:rsidP="00102702">
      <w:pPr>
        <w:pStyle w:val="ListParagraph"/>
        <w:numPr>
          <w:ilvl w:val="0"/>
          <w:numId w:val="30"/>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the circumstances </w:t>
      </w:r>
      <w:r w:rsidR="00660557" w:rsidRPr="00A22E0C">
        <w:rPr>
          <w:rFonts w:ascii="Times New Roman" w:eastAsia="Times New Roman" w:hAnsi="Times New Roman" w:cs="Times New Roman"/>
          <w:bCs/>
          <w:sz w:val="24"/>
          <w:szCs w:val="24"/>
          <w:lang w:eastAsia="en-AU"/>
        </w:rPr>
        <w:t>are the circumstances under which</w:t>
      </w:r>
      <w:r w:rsidR="007F5E4C" w:rsidRPr="00A22E0C">
        <w:rPr>
          <w:rFonts w:ascii="Times New Roman" w:eastAsia="Times New Roman" w:hAnsi="Times New Roman" w:cs="Times New Roman"/>
          <w:bCs/>
          <w:sz w:val="24"/>
          <w:szCs w:val="24"/>
          <w:lang w:eastAsia="en-AU"/>
        </w:rPr>
        <w:t xml:space="preserve"> a prescription for the supply of</w:t>
      </w:r>
      <w:r w:rsidR="00660557" w:rsidRPr="00A22E0C">
        <w:rPr>
          <w:rFonts w:ascii="Times New Roman" w:eastAsia="Times New Roman" w:hAnsi="Times New Roman" w:cs="Times New Roman"/>
          <w:bCs/>
          <w:sz w:val="24"/>
          <w:szCs w:val="24"/>
          <w:lang w:eastAsia="en-AU"/>
        </w:rPr>
        <w:t xml:space="preserve"> the listed drug</w:t>
      </w:r>
      <w:r w:rsidR="00594F6C">
        <w:rPr>
          <w:rFonts w:ascii="Times New Roman" w:eastAsia="Times New Roman" w:hAnsi="Times New Roman" w:cs="Times New Roman"/>
          <w:bCs/>
          <w:sz w:val="24"/>
          <w:szCs w:val="24"/>
          <w:lang w:eastAsia="en-AU"/>
        </w:rPr>
        <w:t xml:space="preserve">, or a prescription for the supply of </w:t>
      </w:r>
      <w:r w:rsidR="000934C4">
        <w:rPr>
          <w:rFonts w:ascii="Times New Roman" w:eastAsia="Times New Roman" w:hAnsi="Times New Roman" w:cs="Times New Roman"/>
          <w:bCs/>
          <w:sz w:val="24"/>
          <w:szCs w:val="24"/>
          <w:lang w:eastAsia="en-AU"/>
        </w:rPr>
        <w:t xml:space="preserve">a </w:t>
      </w:r>
      <w:r w:rsidR="00911043">
        <w:rPr>
          <w:rFonts w:ascii="Times New Roman" w:eastAsia="Times New Roman" w:hAnsi="Times New Roman" w:cs="Times New Roman"/>
          <w:bCs/>
          <w:sz w:val="24"/>
          <w:szCs w:val="24"/>
          <w:lang w:eastAsia="en-AU"/>
        </w:rPr>
        <w:t>pharmaceutical benefit that is a relevant pharmaceutical benefit only because it</w:t>
      </w:r>
      <w:r w:rsidR="007F5E4C" w:rsidRPr="00A22E0C">
        <w:rPr>
          <w:rFonts w:ascii="Times New Roman" w:eastAsia="Times New Roman" w:hAnsi="Times New Roman" w:cs="Times New Roman"/>
          <w:bCs/>
          <w:sz w:val="24"/>
          <w:szCs w:val="24"/>
          <w:lang w:eastAsia="en-AU"/>
        </w:rPr>
        <w:t xml:space="preserve"> </w:t>
      </w:r>
      <w:r w:rsidR="004C2633" w:rsidRPr="00A22E0C">
        <w:rPr>
          <w:rFonts w:ascii="Times New Roman" w:eastAsia="Times New Roman" w:hAnsi="Times New Roman" w:cs="Times New Roman"/>
          <w:bCs/>
          <w:sz w:val="24"/>
          <w:szCs w:val="24"/>
          <w:lang w:eastAsia="en-AU"/>
        </w:rPr>
        <w:t>contains the listed drug</w:t>
      </w:r>
      <w:r w:rsidR="00510668">
        <w:rPr>
          <w:rFonts w:ascii="Times New Roman" w:eastAsia="Times New Roman" w:hAnsi="Times New Roman" w:cs="Times New Roman"/>
          <w:bCs/>
          <w:sz w:val="24"/>
          <w:szCs w:val="24"/>
          <w:lang w:eastAsia="en-AU"/>
        </w:rPr>
        <w:t>, can be written</w:t>
      </w:r>
      <w:r w:rsidR="00872448" w:rsidRPr="00A22E0C">
        <w:rPr>
          <w:rFonts w:ascii="Times New Roman" w:eastAsia="Times New Roman" w:hAnsi="Times New Roman" w:cs="Times New Roman"/>
          <w:bCs/>
          <w:sz w:val="24"/>
          <w:szCs w:val="24"/>
          <w:lang w:eastAsia="en-AU"/>
        </w:rPr>
        <w:t>.</w:t>
      </w:r>
    </w:p>
    <w:p w14:paraId="4D7349BD" w14:textId="77777777" w:rsidR="00211CDD" w:rsidRDefault="00211CDD" w:rsidP="00167955">
      <w:pPr>
        <w:spacing w:after="0" w:line="240" w:lineRule="auto"/>
        <w:rPr>
          <w:rFonts w:ascii="Times New Roman" w:eastAsia="Times New Roman" w:hAnsi="Times New Roman" w:cs="Times New Roman"/>
          <w:bCs/>
          <w:sz w:val="24"/>
          <w:szCs w:val="24"/>
          <w:lang w:eastAsia="en-AU"/>
        </w:rPr>
      </w:pPr>
    </w:p>
    <w:p w14:paraId="3EBE68D8" w14:textId="285607B8" w:rsidR="00382EA1" w:rsidRPr="00532D7F" w:rsidRDefault="00382EA1" w:rsidP="00167955">
      <w:pPr>
        <w:spacing w:after="0" w:line="240" w:lineRule="auto"/>
        <w:rPr>
          <w:rFonts w:ascii="Times New Roman" w:eastAsia="Times New Roman" w:hAnsi="Times New Roman" w:cs="Times New Roman"/>
          <w:bCs/>
          <w:sz w:val="24"/>
          <w:szCs w:val="24"/>
          <w:lang w:eastAsia="en-AU"/>
        </w:rPr>
      </w:pPr>
      <w:r w:rsidRPr="00314F80">
        <w:rPr>
          <w:rFonts w:ascii="Times New Roman" w:eastAsia="Times New Roman" w:hAnsi="Times New Roman" w:cs="Times New Roman"/>
          <w:bCs/>
          <w:sz w:val="24"/>
          <w:szCs w:val="24"/>
          <w:lang w:eastAsia="en-AU"/>
        </w:rPr>
        <w:t>Subsection 1</w:t>
      </w:r>
      <w:r w:rsidR="005060B1" w:rsidRPr="00314F80">
        <w:rPr>
          <w:rFonts w:ascii="Times New Roman" w:eastAsia="Times New Roman" w:hAnsi="Times New Roman" w:cs="Times New Roman"/>
          <w:bCs/>
          <w:sz w:val="24"/>
          <w:szCs w:val="24"/>
          <w:lang w:eastAsia="en-AU"/>
        </w:rPr>
        <w:t>4</w:t>
      </w:r>
      <w:r w:rsidRPr="00314F80">
        <w:rPr>
          <w:rFonts w:ascii="Times New Roman" w:eastAsia="Times New Roman" w:hAnsi="Times New Roman" w:cs="Times New Roman"/>
          <w:bCs/>
          <w:sz w:val="24"/>
          <w:szCs w:val="24"/>
          <w:lang w:eastAsia="en-AU"/>
        </w:rPr>
        <w:t xml:space="preserve">(2) provides that if </w:t>
      </w:r>
      <w:r w:rsidR="00393659" w:rsidRPr="00314F80">
        <w:rPr>
          <w:rFonts w:ascii="Times New Roman" w:eastAsia="Times New Roman" w:hAnsi="Times New Roman" w:cs="Times New Roman"/>
          <w:bCs/>
          <w:sz w:val="24"/>
          <w:szCs w:val="24"/>
          <w:lang w:eastAsia="en-AU"/>
        </w:rPr>
        <w:t xml:space="preserve">a pharmaceutical benefit contains 2 or more listed drugs </w:t>
      </w:r>
      <w:r w:rsidR="00F351DD" w:rsidRPr="00314F80">
        <w:rPr>
          <w:rFonts w:ascii="Times New Roman" w:eastAsia="Times New Roman" w:hAnsi="Times New Roman" w:cs="Times New Roman"/>
          <w:bCs/>
          <w:sz w:val="24"/>
          <w:szCs w:val="24"/>
          <w:lang w:eastAsia="en-AU"/>
        </w:rPr>
        <w:t xml:space="preserve">(the </w:t>
      </w:r>
      <w:r w:rsidR="00F351DD">
        <w:rPr>
          <w:rFonts w:ascii="Times New Roman" w:eastAsia="Times New Roman" w:hAnsi="Times New Roman" w:cs="Times New Roman"/>
          <w:bCs/>
          <w:sz w:val="24"/>
          <w:szCs w:val="24"/>
          <w:lang w:eastAsia="en-AU"/>
        </w:rPr>
        <w:t>“</w:t>
      </w:r>
      <w:r w:rsidR="00F351DD" w:rsidRPr="00392E45">
        <w:rPr>
          <w:rFonts w:ascii="Times New Roman" w:eastAsia="Times New Roman" w:hAnsi="Times New Roman" w:cs="Times New Roman"/>
          <w:bCs/>
          <w:sz w:val="24"/>
          <w:szCs w:val="24"/>
          <w:lang w:eastAsia="en-AU"/>
        </w:rPr>
        <w:t>component drugs</w:t>
      </w:r>
      <w:r w:rsidR="00F351DD">
        <w:rPr>
          <w:rFonts w:ascii="Times New Roman" w:eastAsia="Times New Roman" w:hAnsi="Times New Roman" w:cs="Times New Roman"/>
          <w:bCs/>
          <w:sz w:val="24"/>
          <w:szCs w:val="24"/>
          <w:lang w:eastAsia="en-AU"/>
        </w:rPr>
        <w:t>”</w:t>
      </w:r>
      <w:r w:rsidR="00F351DD" w:rsidRPr="00314F80">
        <w:rPr>
          <w:rFonts w:ascii="Times New Roman" w:eastAsia="Times New Roman" w:hAnsi="Times New Roman" w:cs="Times New Roman"/>
          <w:bCs/>
          <w:sz w:val="24"/>
          <w:szCs w:val="24"/>
          <w:lang w:eastAsia="en-AU"/>
        </w:rPr>
        <w:t>)</w:t>
      </w:r>
      <w:r w:rsidR="00F351DD">
        <w:rPr>
          <w:rFonts w:ascii="Times New Roman" w:eastAsia="Times New Roman" w:hAnsi="Times New Roman" w:cs="Times New Roman"/>
          <w:bCs/>
          <w:sz w:val="24"/>
          <w:szCs w:val="24"/>
          <w:lang w:eastAsia="en-AU"/>
        </w:rPr>
        <w:t xml:space="preserve"> </w:t>
      </w:r>
      <w:r w:rsidR="00390062">
        <w:rPr>
          <w:rFonts w:ascii="Times New Roman" w:eastAsia="Times New Roman" w:hAnsi="Times New Roman" w:cs="Times New Roman"/>
          <w:bCs/>
          <w:sz w:val="24"/>
          <w:szCs w:val="24"/>
          <w:lang w:eastAsia="en-AU"/>
        </w:rPr>
        <w:t xml:space="preserve">mentioned in column 1 of </w:t>
      </w:r>
      <w:r w:rsidR="00F351DD">
        <w:rPr>
          <w:rFonts w:ascii="Times New Roman" w:eastAsia="Times New Roman" w:hAnsi="Times New Roman" w:cs="Times New Roman"/>
          <w:bCs/>
          <w:sz w:val="24"/>
          <w:szCs w:val="24"/>
          <w:lang w:eastAsia="en-AU"/>
        </w:rPr>
        <w:t xml:space="preserve">an item in Part 1 of Schedule 2 </w:t>
      </w:r>
      <w:r w:rsidR="00393659" w:rsidRPr="00314F80">
        <w:rPr>
          <w:rFonts w:ascii="Times New Roman" w:eastAsia="Times New Roman" w:hAnsi="Times New Roman" w:cs="Times New Roman"/>
          <w:bCs/>
          <w:sz w:val="24"/>
          <w:szCs w:val="24"/>
          <w:lang w:eastAsia="en-AU"/>
        </w:rPr>
        <w:t xml:space="preserve">that are </w:t>
      </w:r>
      <w:r w:rsidR="00393659" w:rsidRPr="00314F80">
        <w:rPr>
          <w:rFonts w:ascii="Times New Roman" w:eastAsia="Times New Roman" w:hAnsi="Times New Roman" w:cs="Times New Roman"/>
          <w:bCs/>
          <w:sz w:val="24"/>
          <w:szCs w:val="24"/>
          <w:lang w:eastAsia="en-AU"/>
        </w:rPr>
        <w:lastRenderedPageBreak/>
        <w:t xml:space="preserve">relevant pharmaceutical benefits, then, for the purposes of paragraph 85(7)(b) of the Act, a prescription for the supply of the pharmaceutical </w:t>
      </w:r>
      <w:r w:rsidR="00577AEC" w:rsidRPr="00314F80">
        <w:rPr>
          <w:rFonts w:ascii="Times New Roman" w:eastAsia="Times New Roman" w:hAnsi="Times New Roman" w:cs="Times New Roman"/>
          <w:bCs/>
          <w:sz w:val="24"/>
          <w:szCs w:val="24"/>
          <w:lang w:eastAsia="en-AU"/>
        </w:rPr>
        <w:t xml:space="preserve">benefit </w:t>
      </w:r>
      <w:r w:rsidR="00393659" w:rsidRPr="00314F80">
        <w:rPr>
          <w:rFonts w:ascii="Times New Roman" w:eastAsia="Times New Roman" w:hAnsi="Times New Roman" w:cs="Times New Roman"/>
          <w:bCs/>
          <w:sz w:val="24"/>
          <w:szCs w:val="24"/>
          <w:lang w:eastAsia="en-AU"/>
        </w:rPr>
        <w:t>may be written only if the circumstances mentioned in column 2 of the table in Part 1 of Schedule 2 for every component drug exist.</w:t>
      </w:r>
    </w:p>
    <w:p w14:paraId="63E6FC65" w14:textId="77777777" w:rsidR="000B21A2" w:rsidRDefault="000B21A2" w:rsidP="00167955">
      <w:pPr>
        <w:spacing w:after="0" w:line="240" w:lineRule="auto"/>
        <w:rPr>
          <w:rFonts w:ascii="Times New Roman" w:eastAsia="Times New Roman" w:hAnsi="Times New Roman" w:cs="Times New Roman"/>
          <w:bCs/>
          <w:sz w:val="24"/>
          <w:szCs w:val="24"/>
          <w:lang w:eastAsia="en-AU"/>
        </w:rPr>
      </w:pPr>
    </w:p>
    <w:p w14:paraId="2630A355" w14:textId="0772F118" w:rsidR="003D2BC6" w:rsidRDefault="003D2BC6"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14 corresponds to section 16 of the 2012 Listing Instrument.</w:t>
      </w:r>
    </w:p>
    <w:p w14:paraId="3BBB7D04" w14:textId="77777777" w:rsidR="003D2BC6" w:rsidRDefault="003D2BC6" w:rsidP="00167955">
      <w:pPr>
        <w:spacing w:after="0" w:line="240" w:lineRule="auto"/>
        <w:rPr>
          <w:rFonts w:ascii="Times New Roman" w:eastAsia="Times New Roman" w:hAnsi="Times New Roman" w:cs="Times New Roman"/>
          <w:bCs/>
          <w:sz w:val="24"/>
          <w:szCs w:val="24"/>
          <w:lang w:eastAsia="en-AU"/>
        </w:rPr>
      </w:pPr>
    </w:p>
    <w:p w14:paraId="316D8D45" w14:textId="77777777" w:rsidR="000B21A2" w:rsidRPr="000B21A2" w:rsidRDefault="000B21A2" w:rsidP="00167955">
      <w:pPr>
        <w:spacing w:after="0" w:line="240" w:lineRule="auto"/>
        <w:rPr>
          <w:rFonts w:ascii="Times New Roman" w:eastAsia="Times New Roman" w:hAnsi="Times New Roman" w:cs="Times New Roman"/>
          <w:b/>
          <w:sz w:val="24"/>
          <w:szCs w:val="24"/>
          <w:lang w:eastAsia="en-AU"/>
        </w:rPr>
      </w:pPr>
      <w:r w:rsidRPr="003B402C">
        <w:rPr>
          <w:rFonts w:ascii="Times New Roman" w:eastAsia="Times New Roman" w:hAnsi="Times New Roman" w:cs="Times New Roman"/>
          <w:b/>
          <w:sz w:val="24"/>
          <w:szCs w:val="24"/>
          <w:lang w:eastAsia="en-AU"/>
        </w:rPr>
        <w:t>Division 2—Maximum quantities and repeats</w:t>
      </w:r>
    </w:p>
    <w:p w14:paraId="52D15F44" w14:textId="41E6248F" w:rsidR="000B21A2" w:rsidRPr="000B21A2" w:rsidRDefault="000B21A2" w:rsidP="00167955">
      <w:pPr>
        <w:spacing w:after="0" w:line="240" w:lineRule="auto"/>
        <w:rPr>
          <w:rFonts w:ascii="Times New Roman" w:eastAsia="Times New Roman" w:hAnsi="Times New Roman" w:cs="Times New Roman"/>
          <w:bCs/>
          <w:sz w:val="24"/>
          <w:szCs w:val="24"/>
          <w:lang w:eastAsia="en-AU"/>
        </w:rPr>
      </w:pPr>
    </w:p>
    <w:p w14:paraId="19FE855B" w14:textId="0782DCDF" w:rsidR="000B21A2" w:rsidRPr="0098513A" w:rsidRDefault="000B21A2" w:rsidP="00167955">
      <w:pPr>
        <w:spacing w:after="0" w:line="240" w:lineRule="auto"/>
        <w:rPr>
          <w:rFonts w:ascii="Times New Roman" w:eastAsia="Times New Roman" w:hAnsi="Times New Roman" w:cs="Times New Roman"/>
          <w:b/>
          <w:sz w:val="24"/>
          <w:szCs w:val="24"/>
          <w:lang w:eastAsia="en-AU"/>
        </w:rPr>
      </w:pPr>
      <w:r w:rsidRPr="0098513A">
        <w:rPr>
          <w:rFonts w:ascii="Times New Roman" w:eastAsia="Times New Roman" w:hAnsi="Times New Roman" w:cs="Times New Roman"/>
          <w:b/>
          <w:sz w:val="24"/>
          <w:szCs w:val="24"/>
          <w:lang w:eastAsia="en-AU"/>
        </w:rPr>
        <w:t xml:space="preserve">Section </w:t>
      </w:r>
      <w:r w:rsidR="000F510B" w:rsidRPr="0098513A">
        <w:rPr>
          <w:rFonts w:ascii="Times New Roman" w:eastAsia="Times New Roman" w:hAnsi="Times New Roman" w:cs="Times New Roman"/>
          <w:b/>
          <w:sz w:val="24"/>
          <w:szCs w:val="24"/>
          <w:lang w:eastAsia="en-AU"/>
        </w:rPr>
        <w:t>15</w:t>
      </w:r>
      <w:r w:rsidRPr="0098513A">
        <w:rPr>
          <w:rFonts w:ascii="Times New Roman" w:eastAsia="Times New Roman" w:hAnsi="Times New Roman" w:cs="Times New Roman"/>
          <w:b/>
          <w:sz w:val="24"/>
          <w:szCs w:val="24"/>
          <w:lang w:eastAsia="en-AU"/>
        </w:rPr>
        <w:t xml:space="preserve"> - Maximum quantity (number of units)—ready</w:t>
      </w:r>
      <w:r w:rsidR="001A3EC1" w:rsidRPr="0098513A">
        <w:rPr>
          <w:rFonts w:ascii="Times New Roman" w:eastAsia="Times New Roman" w:hAnsi="Times New Roman" w:cs="Times New Roman"/>
          <w:b/>
          <w:sz w:val="24"/>
          <w:szCs w:val="24"/>
          <w:lang w:eastAsia="en-AU"/>
        </w:rPr>
        <w:t>-</w:t>
      </w:r>
      <w:r w:rsidRPr="0098513A">
        <w:rPr>
          <w:rFonts w:ascii="Times New Roman" w:eastAsia="Times New Roman" w:hAnsi="Times New Roman" w:cs="Times New Roman"/>
          <w:b/>
          <w:sz w:val="24"/>
          <w:szCs w:val="24"/>
          <w:lang w:eastAsia="en-AU"/>
        </w:rPr>
        <w:t>prepared pharmaceutical benefits (Act s</w:t>
      </w:r>
      <w:r w:rsidR="0057461D" w:rsidRPr="0098513A">
        <w:rPr>
          <w:rFonts w:ascii="Times New Roman" w:eastAsia="Times New Roman" w:hAnsi="Times New Roman" w:cs="Times New Roman"/>
          <w:b/>
          <w:sz w:val="24"/>
          <w:szCs w:val="24"/>
          <w:lang w:eastAsia="en-AU"/>
        </w:rPr>
        <w:t xml:space="preserve"> </w:t>
      </w:r>
      <w:r w:rsidRPr="0098513A">
        <w:rPr>
          <w:rFonts w:ascii="Times New Roman" w:eastAsia="Times New Roman" w:hAnsi="Times New Roman" w:cs="Times New Roman"/>
          <w:b/>
          <w:sz w:val="24"/>
          <w:szCs w:val="24"/>
          <w:lang w:eastAsia="en-AU"/>
        </w:rPr>
        <w:t>85A(2)(a), (2A) and (3A))</w:t>
      </w:r>
    </w:p>
    <w:p w14:paraId="11ED1A27" w14:textId="77777777" w:rsidR="000B21A2" w:rsidRPr="0098513A" w:rsidRDefault="000B21A2" w:rsidP="00167955">
      <w:pPr>
        <w:spacing w:after="0" w:line="240" w:lineRule="auto"/>
        <w:rPr>
          <w:rFonts w:ascii="Times New Roman" w:eastAsia="Times New Roman" w:hAnsi="Times New Roman" w:cs="Times New Roman"/>
          <w:bCs/>
          <w:sz w:val="24"/>
          <w:szCs w:val="24"/>
          <w:lang w:eastAsia="en-AU"/>
        </w:rPr>
      </w:pPr>
    </w:p>
    <w:p w14:paraId="7AE78BA5" w14:textId="3B277D11" w:rsidR="00E45A97" w:rsidRPr="0098513A" w:rsidRDefault="009A6663"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Subs</w:t>
      </w:r>
      <w:r w:rsidR="0000320F" w:rsidRPr="0098513A">
        <w:rPr>
          <w:rFonts w:ascii="Times New Roman" w:eastAsia="Times New Roman" w:hAnsi="Times New Roman" w:cs="Times New Roman"/>
          <w:bCs/>
          <w:sz w:val="24"/>
          <w:szCs w:val="24"/>
          <w:lang w:eastAsia="en-AU"/>
        </w:rPr>
        <w:t>ection</w:t>
      </w:r>
      <w:r w:rsidR="00EF247A" w:rsidRPr="0098513A">
        <w:rPr>
          <w:rFonts w:ascii="Times New Roman" w:eastAsia="Times New Roman" w:hAnsi="Times New Roman" w:cs="Times New Roman"/>
          <w:bCs/>
          <w:sz w:val="24"/>
          <w:szCs w:val="24"/>
          <w:lang w:eastAsia="en-AU"/>
        </w:rPr>
        <w:t xml:space="preserve"> </w:t>
      </w:r>
      <w:r w:rsidR="000F510B" w:rsidRPr="0098513A">
        <w:rPr>
          <w:rFonts w:ascii="Times New Roman" w:eastAsia="Times New Roman" w:hAnsi="Times New Roman" w:cs="Times New Roman"/>
          <w:bCs/>
          <w:sz w:val="24"/>
          <w:szCs w:val="24"/>
          <w:lang w:eastAsia="en-AU"/>
        </w:rPr>
        <w:t>15</w:t>
      </w:r>
      <w:r>
        <w:rPr>
          <w:rFonts w:ascii="Times New Roman" w:eastAsia="Times New Roman" w:hAnsi="Times New Roman" w:cs="Times New Roman"/>
          <w:bCs/>
          <w:sz w:val="24"/>
          <w:szCs w:val="24"/>
          <w:lang w:eastAsia="en-AU"/>
        </w:rPr>
        <w:t xml:space="preserve">(1) </w:t>
      </w:r>
      <w:r w:rsidR="00385C43">
        <w:rPr>
          <w:rFonts w:ascii="Times New Roman" w:eastAsia="Times New Roman" w:hAnsi="Times New Roman" w:cs="Times New Roman"/>
          <w:bCs/>
          <w:sz w:val="24"/>
          <w:szCs w:val="24"/>
          <w:lang w:eastAsia="en-AU"/>
        </w:rPr>
        <w:t xml:space="preserve">outlines that </w:t>
      </w:r>
      <w:r w:rsidR="00EC5555">
        <w:rPr>
          <w:rFonts w:ascii="Times New Roman" w:eastAsia="Times New Roman" w:hAnsi="Times New Roman" w:cs="Times New Roman"/>
          <w:bCs/>
          <w:sz w:val="24"/>
          <w:szCs w:val="24"/>
          <w:lang w:eastAsia="en-AU"/>
        </w:rPr>
        <w:t xml:space="preserve">section 15 </w:t>
      </w:r>
      <w:r w:rsidR="00FA470C" w:rsidRPr="0098513A">
        <w:rPr>
          <w:rFonts w:ascii="Times New Roman" w:eastAsia="Times New Roman" w:hAnsi="Times New Roman" w:cs="Times New Roman"/>
          <w:bCs/>
          <w:sz w:val="24"/>
          <w:szCs w:val="24"/>
          <w:lang w:eastAsia="en-AU"/>
        </w:rPr>
        <w:t>determin</w:t>
      </w:r>
      <w:r w:rsidR="00CF098F">
        <w:rPr>
          <w:rFonts w:ascii="Times New Roman" w:eastAsia="Times New Roman" w:hAnsi="Times New Roman" w:cs="Times New Roman"/>
          <w:bCs/>
          <w:sz w:val="24"/>
          <w:szCs w:val="24"/>
          <w:lang w:eastAsia="en-AU"/>
        </w:rPr>
        <w:t xml:space="preserve">es </w:t>
      </w:r>
      <w:r w:rsidR="00FA470C" w:rsidRPr="0098513A">
        <w:rPr>
          <w:rFonts w:ascii="Times New Roman" w:eastAsia="Times New Roman" w:hAnsi="Times New Roman" w:cs="Times New Roman"/>
          <w:bCs/>
          <w:sz w:val="24"/>
          <w:szCs w:val="24"/>
          <w:lang w:eastAsia="en-AU"/>
        </w:rPr>
        <w:t>th</w:t>
      </w:r>
      <w:r w:rsidR="00C52091" w:rsidRPr="0098513A">
        <w:rPr>
          <w:rFonts w:ascii="Times New Roman" w:eastAsia="Times New Roman" w:hAnsi="Times New Roman" w:cs="Times New Roman"/>
          <w:bCs/>
          <w:sz w:val="24"/>
          <w:szCs w:val="24"/>
          <w:lang w:eastAsia="en-AU"/>
        </w:rPr>
        <w:t>re</w:t>
      </w:r>
      <w:r w:rsidR="00FA470C" w:rsidRPr="0098513A">
        <w:rPr>
          <w:rFonts w:ascii="Times New Roman" w:eastAsia="Times New Roman" w:hAnsi="Times New Roman" w:cs="Times New Roman"/>
          <w:bCs/>
          <w:sz w:val="24"/>
          <w:szCs w:val="24"/>
          <w:lang w:eastAsia="en-AU"/>
        </w:rPr>
        <w:t>e</w:t>
      </w:r>
      <w:r w:rsidR="00C52091" w:rsidRPr="0098513A">
        <w:rPr>
          <w:rFonts w:ascii="Times New Roman" w:eastAsia="Times New Roman" w:hAnsi="Times New Roman" w:cs="Times New Roman"/>
          <w:bCs/>
          <w:sz w:val="24"/>
          <w:szCs w:val="24"/>
          <w:lang w:eastAsia="en-AU"/>
        </w:rPr>
        <w:t xml:space="preserve"> </w:t>
      </w:r>
      <w:r w:rsidR="00875A92" w:rsidRPr="0098513A">
        <w:rPr>
          <w:rFonts w:ascii="Times New Roman" w:eastAsia="Times New Roman" w:hAnsi="Times New Roman" w:cs="Times New Roman"/>
          <w:bCs/>
          <w:sz w:val="24"/>
          <w:szCs w:val="24"/>
          <w:lang w:eastAsia="en-AU"/>
        </w:rPr>
        <w:t>matters affecting the writing</w:t>
      </w:r>
      <w:r w:rsidR="00385C43">
        <w:rPr>
          <w:rFonts w:ascii="Times New Roman" w:eastAsia="Times New Roman" w:hAnsi="Times New Roman" w:cs="Times New Roman"/>
          <w:bCs/>
          <w:sz w:val="24"/>
          <w:szCs w:val="24"/>
          <w:lang w:eastAsia="en-AU"/>
        </w:rPr>
        <w:t xml:space="preserve"> </w:t>
      </w:r>
      <w:r w:rsidR="00875A92" w:rsidRPr="0098513A">
        <w:rPr>
          <w:rFonts w:ascii="Times New Roman" w:eastAsia="Times New Roman" w:hAnsi="Times New Roman" w:cs="Times New Roman"/>
          <w:bCs/>
          <w:sz w:val="24"/>
          <w:szCs w:val="24"/>
          <w:lang w:eastAsia="en-AU"/>
        </w:rPr>
        <w:t xml:space="preserve">of </w:t>
      </w:r>
      <w:r w:rsidR="002A3FAE" w:rsidRPr="0098513A">
        <w:rPr>
          <w:rFonts w:ascii="Times New Roman" w:eastAsia="Times New Roman" w:hAnsi="Times New Roman" w:cs="Times New Roman"/>
          <w:bCs/>
          <w:sz w:val="24"/>
          <w:szCs w:val="24"/>
          <w:lang w:eastAsia="en-AU"/>
        </w:rPr>
        <w:t xml:space="preserve">prescriptions for the supply of </w:t>
      </w:r>
      <w:r w:rsidR="008B3CC4" w:rsidRPr="0098513A">
        <w:rPr>
          <w:rFonts w:ascii="Times New Roman" w:eastAsia="Times New Roman" w:hAnsi="Times New Roman" w:cs="Times New Roman"/>
          <w:bCs/>
          <w:sz w:val="24"/>
          <w:szCs w:val="24"/>
          <w:lang w:eastAsia="en-AU"/>
        </w:rPr>
        <w:t>r</w:t>
      </w:r>
      <w:r w:rsidR="002A3FAE" w:rsidRPr="0098513A">
        <w:rPr>
          <w:rFonts w:ascii="Times New Roman" w:eastAsia="Times New Roman" w:hAnsi="Times New Roman" w:cs="Times New Roman"/>
          <w:bCs/>
          <w:sz w:val="24"/>
          <w:szCs w:val="24"/>
          <w:lang w:eastAsia="en-AU"/>
        </w:rPr>
        <w:t>eady</w:t>
      </w:r>
      <w:r w:rsidR="008B3CC4" w:rsidRPr="0098513A">
        <w:rPr>
          <w:rFonts w:ascii="Times New Roman" w:eastAsia="Times New Roman" w:hAnsi="Times New Roman" w:cs="Times New Roman"/>
          <w:bCs/>
          <w:sz w:val="24"/>
          <w:szCs w:val="24"/>
          <w:lang w:eastAsia="en-AU"/>
        </w:rPr>
        <w:t>-</w:t>
      </w:r>
      <w:r w:rsidR="002A3FAE" w:rsidRPr="0098513A">
        <w:rPr>
          <w:rFonts w:ascii="Times New Roman" w:eastAsia="Times New Roman" w:hAnsi="Times New Roman" w:cs="Times New Roman"/>
          <w:bCs/>
          <w:sz w:val="24"/>
          <w:szCs w:val="24"/>
          <w:lang w:eastAsia="en-AU"/>
        </w:rPr>
        <w:t>prepared pharmaceutical benefit</w:t>
      </w:r>
      <w:r w:rsidR="008B3CC4" w:rsidRPr="0098513A">
        <w:rPr>
          <w:rFonts w:ascii="Times New Roman" w:eastAsia="Times New Roman" w:hAnsi="Times New Roman" w:cs="Times New Roman"/>
          <w:bCs/>
          <w:sz w:val="24"/>
          <w:szCs w:val="24"/>
          <w:lang w:eastAsia="en-AU"/>
        </w:rPr>
        <w:t>s</w:t>
      </w:r>
      <w:r w:rsidR="000476D9" w:rsidRPr="0098513A">
        <w:rPr>
          <w:rFonts w:ascii="Times New Roman" w:eastAsia="Times New Roman" w:hAnsi="Times New Roman" w:cs="Times New Roman"/>
          <w:bCs/>
          <w:sz w:val="24"/>
          <w:szCs w:val="24"/>
          <w:lang w:eastAsia="en-AU"/>
        </w:rPr>
        <w:t xml:space="preserve"> </w:t>
      </w:r>
      <w:r w:rsidR="002A3FAE" w:rsidRPr="0098513A">
        <w:rPr>
          <w:rFonts w:ascii="Times New Roman" w:eastAsia="Times New Roman" w:hAnsi="Times New Roman" w:cs="Times New Roman"/>
          <w:bCs/>
          <w:sz w:val="24"/>
          <w:szCs w:val="24"/>
          <w:lang w:eastAsia="en-AU"/>
        </w:rPr>
        <w:t>having a pharmaceutical item</w:t>
      </w:r>
      <w:r w:rsidR="00385C43">
        <w:rPr>
          <w:rFonts w:ascii="Times New Roman" w:eastAsia="Times New Roman" w:hAnsi="Times New Roman" w:cs="Times New Roman"/>
          <w:bCs/>
          <w:sz w:val="24"/>
          <w:szCs w:val="24"/>
          <w:lang w:eastAsia="en-AU"/>
        </w:rPr>
        <w:t xml:space="preserve"> by authorised prescribers for the benefit</w:t>
      </w:r>
      <w:r w:rsidR="00E45A97" w:rsidRPr="0098513A">
        <w:rPr>
          <w:rFonts w:ascii="Times New Roman" w:eastAsia="Times New Roman" w:hAnsi="Times New Roman" w:cs="Times New Roman"/>
          <w:bCs/>
          <w:sz w:val="24"/>
          <w:szCs w:val="24"/>
          <w:lang w:eastAsia="en-AU"/>
        </w:rPr>
        <w:t>.</w:t>
      </w:r>
    </w:p>
    <w:p w14:paraId="24687EC9" w14:textId="77777777" w:rsidR="005A5D19" w:rsidRPr="0098513A" w:rsidRDefault="005A5D19" w:rsidP="00167955">
      <w:pPr>
        <w:spacing w:after="0" w:line="240" w:lineRule="auto"/>
        <w:rPr>
          <w:rFonts w:ascii="Times New Roman" w:eastAsia="Times New Roman" w:hAnsi="Times New Roman" w:cs="Times New Roman"/>
          <w:bCs/>
          <w:sz w:val="24"/>
          <w:szCs w:val="24"/>
          <w:lang w:eastAsia="en-AU"/>
        </w:rPr>
      </w:pPr>
    </w:p>
    <w:p w14:paraId="173D9483" w14:textId="74F5D50B" w:rsidR="005A5D19" w:rsidRPr="0098513A" w:rsidRDefault="005A5D19" w:rsidP="00167955">
      <w:pPr>
        <w:spacing w:after="0" w:line="240" w:lineRule="auto"/>
        <w:rPr>
          <w:rFonts w:ascii="Times New Roman" w:eastAsia="Times New Roman" w:hAnsi="Times New Roman" w:cs="Times New Roman"/>
          <w:bCs/>
          <w:sz w:val="24"/>
          <w:szCs w:val="24"/>
          <w:u w:val="single"/>
          <w:lang w:eastAsia="en-AU"/>
        </w:rPr>
      </w:pPr>
      <w:r w:rsidRPr="0098513A">
        <w:rPr>
          <w:rFonts w:ascii="Times New Roman" w:eastAsia="Times New Roman" w:hAnsi="Times New Roman" w:cs="Times New Roman"/>
          <w:bCs/>
          <w:sz w:val="24"/>
          <w:szCs w:val="24"/>
          <w:u w:val="single"/>
          <w:lang w:eastAsia="en-AU"/>
        </w:rPr>
        <w:t>Determination of maximum number of units</w:t>
      </w:r>
    </w:p>
    <w:p w14:paraId="362A6512" w14:textId="77777777" w:rsidR="00E45A97" w:rsidRPr="0098513A" w:rsidRDefault="00E45A97" w:rsidP="00167955">
      <w:pPr>
        <w:spacing w:after="0" w:line="240" w:lineRule="auto"/>
        <w:rPr>
          <w:rFonts w:ascii="Times New Roman" w:eastAsia="Times New Roman" w:hAnsi="Times New Roman" w:cs="Times New Roman"/>
          <w:bCs/>
          <w:sz w:val="24"/>
          <w:szCs w:val="24"/>
          <w:lang w:eastAsia="en-AU"/>
        </w:rPr>
      </w:pPr>
    </w:p>
    <w:p w14:paraId="5D10B776" w14:textId="4F22B8BC" w:rsidR="007922C3" w:rsidRDefault="007922C3" w:rsidP="00167955">
      <w:pPr>
        <w:spacing w:after="0" w:line="240" w:lineRule="auto"/>
        <w:rPr>
          <w:rFonts w:ascii="Times New Roman" w:eastAsia="Times New Roman" w:hAnsi="Times New Roman" w:cs="Times New Roman"/>
          <w:bCs/>
          <w:sz w:val="24"/>
          <w:szCs w:val="24"/>
          <w:lang w:eastAsia="en-AU"/>
        </w:rPr>
      </w:pPr>
      <w:r w:rsidRPr="0098513A">
        <w:rPr>
          <w:rFonts w:ascii="Times New Roman" w:eastAsia="Times New Roman" w:hAnsi="Times New Roman" w:cs="Times New Roman"/>
          <w:bCs/>
          <w:sz w:val="24"/>
          <w:szCs w:val="24"/>
          <w:lang w:eastAsia="en-AU"/>
        </w:rPr>
        <w:t xml:space="preserve">Paragraph 85A(2)(a) of the Act provides </w:t>
      </w:r>
      <w:r w:rsidR="00E86018" w:rsidRPr="0098513A">
        <w:rPr>
          <w:rFonts w:ascii="Times New Roman" w:eastAsia="Times New Roman" w:hAnsi="Times New Roman" w:cs="Times New Roman"/>
          <w:bCs/>
          <w:sz w:val="24"/>
          <w:szCs w:val="24"/>
          <w:lang w:eastAsia="en-AU"/>
        </w:rPr>
        <w:t xml:space="preserve">that the Minister may determine the maximum </w:t>
      </w:r>
      <w:r w:rsidR="002D6031" w:rsidRPr="0098513A">
        <w:rPr>
          <w:rFonts w:ascii="Times New Roman" w:eastAsia="Times New Roman" w:hAnsi="Times New Roman" w:cs="Times New Roman"/>
          <w:bCs/>
          <w:sz w:val="24"/>
          <w:szCs w:val="24"/>
          <w:lang w:eastAsia="en-AU"/>
        </w:rPr>
        <w:t>quantity or number of units</w:t>
      </w:r>
      <w:r w:rsidR="00E86018" w:rsidRPr="0098513A">
        <w:rPr>
          <w:rFonts w:ascii="Times New Roman" w:eastAsia="Times New Roman" w:hAnsi="Times New Roman" w:cs="Times New Roman"/>
          <w:bCs/>
          <w:sz w:val="24"/>
          <w:szCs w:val="24"/>
          <w:lang w:eastAsia="en-AU"/>
        </w:rPr>
        <w:t xml:space="preserve"> </w:t>
      </w:r>
      <w:r w:rsidR="00B221E8" w:rsidRPr="0098513A">
        <w:rPr>
          <w:rFonts w:ascii="Times New Roman" w:eastAsia="Times New Roman" w:hAnsi="Times New Roman" w:cs="Times New Roman"/>
          <w:bCs/>
          <w:sz w:val="24"/>
          <w:szCs w:val="24"/>
          <w:lang w:eastAsia="en-AU"/>
        </w:rPr>
        <w:t xml:space="preserve">of </w:t>
      </w:r>
      <w:r w:rsidR="003B180E">
        <w:rPr>
          <w:rFonts w:ascii="Times New Roman" w:eastAsia="Times New Roman" w:hAnsi="Times New Roman" w:cs="Times New Roman"/>
          <w:bCs/>
          <w:sz w:val="24"/>
          <w:szCs w:val="24"/>
          <w:lang w:eastAsia="en-AU"/>
        </w:rPr>
        <w:t xml:space="preserve">a </w:t>
      </w:r>
      <w:r w:rsidR="006602A7" w:rsidRPr="0098513A">
        <w:rPr>
          <w:rFonts w:ascii="Times New Roman" w:eastAsia="Times New Roman" w:hAnsi="Times New Roman" w:cs="Times New Roman"/>
          <w:bCs/>
          <w:sz w:val="24"/>
          <w:szCs w:val="24"/>
          <w:lang w:eastAsia="en-AU"/>
        </w:rPr>
        <w:t xml:space="preserve">pharmaceutical </w:t>
      </w:r>
      <w:r w:rsidR="0054741D" w:rsidRPr="0098513A">
        <w:rPr>
          <w:rFonts w:ascii="Times New Roman" w:eastAsia="Times New Roman" w:hAnsi="Times New Roman" w:cs="Times New Roman"/>
          <w:bCs/>
          <w:sz w:val="24"/>
          <w:szCs w:val="24"/>
          <w:lang w:eastAsia="en-AU"/>
        </w:rPr>
        <w:t>item</w:t>
      </w:r>
      <w:r w:rsidR="00B221E8" w:rsidRPr="0098513A">
        <w:rPr>
          <w:rFonts w:ascii="Times New Roman" w:eastAsia="Times New Roman" w:hAnsi="Times New Roman" w:cs="Times New Roman"/>
          <w:bCs/>
          <w:sz w:val="24"/>
          <w:szCs w:val="24"/>
          <w:lang w:eastAsia="en-AU"/>
        </w:rPr>
        <w:t xml:space="preserve"> </w:t>
      </w:r>
      <w:r w:rsidR="00021372" w:rsidRPr="0098513A">
        <w:rPr>
          <w:rFonts w:ascii="Times New Roman" w:eastAsia="Times New Roman" w:hAnsi="Times New Roman" w:cs="Times New Roman"/>
          <w:bCs/>
          <w:sz w:val="24"/>
          <w:szCs w:val="24"/>
          <w:lang w:eastAsia="en-AU"/>
        </w:rPr>
        <w:t>(if the pharmaceutical benefit has a pharmaceutical item)</w:t>
      </w:r>
      <w:r w:rsidR="00CC331C" w:rsidRPr="0098513A">
        <w:rPr>
          <w:rFonts w:ascii="Times New Roman" w:eastAsia="Times New Roman" w:hAnsi="Times New Roman" w:cs="Times New Roman"/>
          <w:bCs/>
          <w:sz w:val="24"/>
          <w:szCs w:val="24"/>
          <w:lang w:eastAsia="en-AU"/>
        </w:rPr>
        <w:t xml:space="preserve"> </w:t>
      </w:r>
      <w:r w:rsidR="003B180E">
        <w:rPr>
          <w:rFonts w:ascii="Times New Roman" w:eastAsia="Times New Roman" w:hAnsi="Times New Roman" w:cs="Times New Roman"/>
          <w:bCs/>
          <w:sz w:val="24"/>
          <w:szCs w:val="24"/>
          <w:lang w:eastAsia="en-AU"/>
        </w:rPr>
        <w:t xml:space="preserve">or otherwise a pharmaceutical benefit </w:t>
      </w:r>
      <w:r w:rsidR="00E86018" w:rsidRPr="0098513A">
        <w:rPr>
          <w:rFonts w:ascii="Times New Roman" w:eastAsia="Times New Roman" w:hAnsi="Times New Roman" w:cs="Times New Roman"/>
          <w:bCs/>
          <w:sz w:val="24"/>
          <w:szCs w:val="24"/>
          <w:lang w:eastAsia="en-AU"/>
        </w:rPr>
        <w:t xml:space="preserve">that may, in one prescription, </w:t>
      </w:r>
      <w:r w:rsidR="00FA1325" w:rsidRPr="0098513A">
        <w:rPr>
          <w:rFonts w:ascii="Times New Roman" w:eastAsia="Times New Roman" w:hAnsi="Times New Roman" w:cs="Times New Roman"/>
          <w:bCs/>
          <w:sz w:val="24"/>
          <w:szCs w:val="24"/>
          <w:lang w:eastAsia="en-AU"/>
        </w:rPr>
        <w:t xml:space="preserve">be </w:t>
      </w:r>
      <w:r w:rsidR="00E86018" w:rsidRPr="0098513A">
        <w:rPr>
          <w:rFonts w:ascii="Times New Roman" w:eastAsia="Times New Roman" w:hAnsi="Times New Roman" w:cs="Times New Roman"/>
          <w:bCs/>
          <w:sz w:val="24"/>
          <w:szCs w:val="24"/>
          <w:lang w:eastAsia="en-AU"/>
        </w:rPr>
        <w:t>direct</w:t>
      </w:r>
      <w:r w:rsidR="00B221E8" w:rsidRPr="0098513A">
        <w:rPr>
          <w:rFonts w:ascii="Times New Roman" w:eastAsia="Times New Roman" w:hAnsi="Times New Roman" w:cs="Times New Roman"/>
          <w:bCs/>
          <w:sz w:val="24"/>
          <w:szCs w:val="24"/>
          <w:lang w:eastAsia="en-AU"/>
        </w:rPr>
        <w:t>ed</w:t>
      </w:r>
      <w:r w:rsidR="00E86018" w:rsidRPr="0098513A">
        <w:rPr>
          <w:rFonts w:ascii="Times New Roman" w:eastAsia="Times New Roman" w:hAnsi="Times New Roman" w:cs="Times New Roman"/>
          <w:bCs/>
          <w:sz w:val="24"/>
          <w:szCs w:val="24"/>
          <w:lang w:eastAsia="en-AU"/>
        </w:rPr>
        <w:t xml:space="preserve"> to be supplied on the one occasion.</w:t>
      </w:r>
      <w:r w:rsidR="0040542C" w:rsidRPr="0098513A">
        <w:rPr>
          <w:rFonts w:ascii="Times New Roman" w:eastAsia="Times New Roman" w:hAnsi="Times New Roman" w:cs="Times New Roman"/>
          <w:bCs/>
          <w:sz w:val="24"/>
          <w:szCs w:val="24"/>
          <w:lang w:eastAsia="en-AU"/>
        </w:rPr>
        <w:t xml:space="preserve"> The Minister may determine the maximum quantity or number of units for all purposes or for particular purposes.</w:t>
      </w:r>
    </w:p>
    <w:p w14:paraId="01C286EF" w14:textId="77777777" w:rsidR="00F96A31" w:rsidRDefault="00F96A31" w:rsidP="00167955">
      <w:pPr>
        <w:spacing w:after="0" w:line="240" w:lineRule="auto"/>
        <w:rPr>
          <w:rFonts w:ascii="Times New Roman" w:eastAsia="Times New Roman" w:hAnsi="Times New Roman" w:cs="Times New Roman"/>
          <w:bCs/>
          <w:sz w:val="24"/>
          <w:szCs w:val="24"/>
          <w:lang w:eastAsia="en-AU"/>
        </w:rPr>
      </w:pPr>
    </w:p>
    <w:p w14:paraId="29F6681B" w14:textId="35155EDC" w:rsidR="00C67134" w:rsidRPr="00293D77" w:rsidRDefault="005545E6" w:rsidP="00167955">
      <w:pPr>
        <w:spacing w:after="0" w:line="240" w:lineRule="auto"/>
        <w:rPr>
          <w:rFonts w:ascii="Times New Roman" w:eastAsia="Times New Roman" w:hAnsi="Times New Roman" w:cs="Times New Roman"/>
          <w:bCs/>
          <w:sz w:val="24"/>
          <w:szCs w:val="24"/>
          <w:lang w:eastAsia="en-AU"/>
        </w:rPr>
      </w:pPr>
      <w:r w:rsidRPr="00293D77">
        <w:rPr>
          <w:rFonts w:ascii="Times New Roman" w:eastAsia="Times New Roman" w:hAnsi="Times New Roman" w:cs="Times New Roman"/>
          <w:bCs/>
          <w:sz w:val="24"/>
          <w:szCs w:val="24"/>
          <w:lang w:eastAsia="en-AU"/>
        </w:rPr>
        <w:t xml:space="preserve">Subsection </w:t>
      </w:r>
      <w:r w:rsidR="000F510B" w:rsidRPr="00293D77">
        <w:rPr>
          <w:rFonts w:ascii="Times New Roman" w:eastAsia="Times New Roman" w:hAnsi="Times New Roman" w:cs="Times New Roman"/>
          <w:bCs/>
          <w:sz w:val="24"/>
          <w:szCs w:val="24"/>
          <w:lang w:eastAsia="en-AU"/>
        </w:rPr>
        <w:t>15</w:t>
      </w:r>
      <w:r w:rsidRPr="00293D77">
        <w:rPr>
          <w:rFonts w:ascii="Times New Roman" w:eastAsia="Times New Roman" w:hAnsi="Times New Roman" w:cs="Times New Roman"/>
          <w:bCs/>
          <w:sz w:val="24"/>
          <w:szCs w:val="24"/>
          <w:lang w:eastAsia="en-AU"/>
        </w:rPr>
        <w:t xml:space="preserve">(2) </w:t>
      </w:r>
      <w:r w:rsidR="00B86078" w:rsidRPr="00293D77">
        <w:rPr>
          <w:rFonts w:ascii="Times New Roman" w:eastAsia="Times New Roman" w:hAnsi="Times New Roman" w:cs="Times New Roman"/>
          <w:bCs/>
          <w:sz w:val="24"/>
          <w:szCs w:val="24"/>
          <w:lang w:eastAsia="en-AU"/>
        </w:rPr>
        <w:t xml:space="preserve">of the </w:t>
      </w:r>
      <w:r w:rsidR="003E620F">
        <w:rPr>
          <w:rFonts w:ascii="Times New Roman" w:eastAsia="Times New Roman" w:hAnsi="Times New Roman" w:cs="Times New Roman"/>
          <w:bCs/>
          <w:sz w:val="24"/>
          <w:szCs w:val="24"/>
          <w:lang w:eastAsia="en-AU"/>
        </w:rPr>
        <w:t>2024 Listing I</w:t>
      </w:r>
      <w:r w:rsidR="00B86078" w:rsidRPr="00293D77">
        <w:rPr>
          <w:rFonts w:ascii="Times New Roman" w:eastAsia="Times New Roman" w:hAnsi="Times New Roman" w:cs="Times New Roman"/>
          <w:bCs/>
          <w:sz w:val="24"/>
          <w:szCs w:val="24"/>
          <w:lang w:eastAsia="en-AU"/>
        </w:rPr>
        <w:t xml:space="preserve">nstrument </w:t>
      </w:r>
      <w:r w:rsidR="000C039F" w:rsidRPr="00293D77">
        <w:rPr>
          <w:rFonts w:ascii="Times New Roman" w:eastAsia="Times New Roman" w:hAnsi="Times New Roman" w:cs="Times New Roman"/>
          <w:bCs/>
          <w:sz w:val="24"/>
          <w:szCs w:val="24"/>
          <w:lang w:eastAsia="en-AU"/>
        </w:rPr>
        <w:t>provides</w:t>
      </w:r>
      <w:r w:rsidR="00073F1C" w:rsidRPr="00293D77">
        <w:rPr>
          <w:rFonts w:ascii="Times New Roman" w:eastAsia="Times New Roman" w:hAnsi="Times New Roman" w:cs="Times New Roman"/>
          <w:bCs/>
          <w:sz w:val="24"/>
          <w:szCs w:val="24"/>
          <w:lang w:eastAsia="en-AU"/>
        </w:rPr>
        <w:t xml:space="preserve"> that</w:t>
      </w:r>
      <w:r w:rsidR="00001D6A" w:rsidRPr="00293D77">
        <w:rPr>
          <w:rFonts w:ascii="Times New Roman" w:eastAsia="Times New Roman" w:hAnsi="Times New Roman" w:cs="Times New Roman"/>
          <w:bCs/>
          <w:sz w:val="24"/>
          <w:szCs w:val="24"/>
          <w:lang w:eastAsia="en-AU"/>
        </w:rPr>
        <w:t>, if only one number of units is mentioned</w:t>
      </w:r>
      <w:r w:rsidR="00270232" w:rsidRPr="00293D77">
        <w:rPr>
          <w:rFonts w:ascii="Times New Roman" w:eastAsia="Times New Roman" w:hAnsi="Times New Roman" w:cs="Times New Roman"/>
          <w:bCs/>
          <w:sz w:val="24"/>
          <w:szCs w:val="24"/>
          <w:lang w:eastAsia="en-AU"/>
        </w:rPr>
        <w:t xml:space="preserve"> in the column of the table in Part 1 of Schedule 1 headed “Maximum Quantity”</w:t>
      </w:r>
      <w:r w:rsidR="00EB2273">
        <w:rPr>
          <w:rFonts w:ascii="Times New Roman" w:eastAsia="Times New Roman" w:hAnsi="Times New Roman" w:cs="Times New Roman"/>
          <w:bCs/>
          <w:sz w:val="24"/>
          <w:szCs w:val="24"/>
          <w:lang w:eastAsia="en-AU"/>
        </w:rPr>
        <w:t xml:space="preserve"> (the “maximum quantity column”)</w:t>
      </w:r>
      <w:r w:rsidR="00001D6A" w:rsidRPr="00293D77">
        <w:rPr>
          <w:rFonts w:ascii="Times New Roman" w:eastAsia="Times New Roman" w:hAnsi="Times New Roman" w:cs="Times New Roman"/>
          <w:bCs/>
          <w:sz w:val="24"/>
          <w:szCs w:val="24"/>
          <w:lang w:eastAsia="en-AU"/>
        </w:rPr>
        <w:t>,</w:t>
      </w:r>
      <w:r w:rsidR="001876E3" w:rsidRPr="00293D77">
        <w:rPr>
          <w:rFonts w:ascii="Times New Roman" w:eastAsia="Times New Roman" w:hAnsi="Times New Roman" w:cs="Times New Roman"/>
          <w:bCs/>
          <w:sz w:val="24"/>
          <w:szCs w:val="24"/>
          <w:lang w:eastAsia="en-AU"/>
        </w:rPr>
        <w:t xml:space="preserve"> in relation to </w:t>
      </w:r>
      <w:r w:rsidR="00834963" w:rsidRPr="00293D77">
        <w:rPr>
          <w:rFonts w:ascii="Times New Roman" w:eastAsia="Times New Roman" w:hAnsi="Times New Roman" w:cs="Times New Roman"/>
          <w:bCs/>
          <w:sz w:val="24"/>
          <w:szCs w:val="24"/>
          <w:lang w:eastAsia="en-AU"/>
        </w:rPr>
        <w:t>brands of a pharmaceutical item and a kind of authorised prescriber,</w:t>
      </w:r>
      <w:r w:rsidR="00073F1C" w:rsidRPr="00293D77">
        <w:rPr>
          <w:rFonts w:ascii="Times New Roman" w:eastAsia="Times New Roman" w:hAnsi="Times New Roman" w:cs="Times New Roman"/>
          <w:bCs/>
          <w:sz w:val="24"/>
          <w:szCs w:val="24"/>
          <w:lang w:eastAsia="en-AU"/>
        </w:rPr>
        <w:t xml:space="preserve"> t</w:t>
      </w:r>
      <w:r w:rsidR="00074E98" w:rsidRPr="00293D77">
        <w:rPr>
          <w:rFonts w:ascii="Times New Roman" w:eastAsia="Times New Roman" w:hAnsi="Times New Roman" w:cs="Times New Roman"/>
          <w:bCs/>
          <w:sz w:val="24"/>
          <w:szCs w:val="24"/>
          <w:lang w:eastAsia="en-AU"/>
        </w:rPr>
        <w:t>hat number</w:t>
      </w:r>
      <w:r w:rsidR="0000066B" w:rsidRPr="00293D77">
        <w:rPr>
          <w:rFonts w:ascii="Times New Roman" w:eastAsia="Times New Roman" w:hAnsi="Times New Roman" w:cs="Times New Roman"/>
          <w:bCs/>
          <w:sz w:val="24"/>
          <w:szCs w:val="24"/>
          <w:lang w:eastAsia="en-AU"/>
        </w:rPr>
        <w:t xml:space="preserve"> is</w:t>
      </w:r>
      <w:r w:rsidR="00073F1C" w:rsidRPr="00293D77">
        <w:rPr>
          <w:rFonts w:ascii="Times New Roman" w:eastAsia="Times New Roman" w:hAnsi="Times New Roman" w:cs="Times New Roman"/>
          <w:bCs/>
          <w:sz w:val="24"/>
          <w:szCs w:val="24"/>
          <w:lang w:eastAsia="en-AU"/>
        </w:rPr>
        <w:t xml:space="preserve"> </w:t>
      </w:r>
      <w:r w:rsidR="006A52A6" w:rsidRPr="00293D77">
        <w:rPr>
          <w:rFonts w:ascii="Times New Roman" w:eastAsia="Times New Roman" w:hAnsi="Times New Roman" w:cs="Times New Roman"/>
          <w:bCs/>
          <w:sz w:val="24"/>
          <w:szCs w:val="24"/>
          <w:lang w:eastAsia="en-AU"/>
        </w:rPr>
        <w:t xml:space="preserve">the maximum number of units of </w:t>
      </w:r>
      <w:r w:rsidR="00297E03" w:rsidRPr="00293D77">
        <w:rPr>
          <w:rFonts w:ascii="Times New Roman" w:eastAsia="Times New Roman" w:hAnsi="Times New Roman" w:cs="Times New Roman"/>
          <w:bCs/>
          <w:sz w:val="24"/>
          <w:szCs w:val="24"/>
          <w:lang w:eastAsia="en-AU"/>
        </w:rPr>
        <w:t>a</w:t>
      </w:r>
      <w:r w:rsidR="006A52A6" w:rsidRPr="00293D77">
        <w:rPr>
          <w:rFonts w:ascii="Times New Roman" w:eastAsia="Times New Roman" w:hAnsi="Times New Roman" w:cs="Times New Roman"/>
          <w:bCs/>
          <w:sz w:val="24"/>
          <w:szCs w:val="24"/>
          <w:lang w:eastAsia="en-AU"/>
        </w:rPr>
        <w:t xml:space="preserve"> pharmaceutical item </w:t>
      </w:r>
      <w:r w:rsidR="00297E03" w:rsidRPr="00293D77">
        <w:rPr>
          <w:rFonts w:ascii="Times New Roman" w:eastAsia="Times New Roman" w:hAnsi="Times New Roman" w:cs="Times New Roman"/>
          <w:bCs/>
          <w:sz w:val="24"/>
          <w:szCs w:val="24"/>
          <w:lang w:eastAsia="en-AU"/>
        </w:rPr>
        <w:t xml:space="preserve">that can be prescribed by </w:t>
      </w:r>
      <w:r w:rsidR="001A256C" w:rsidRPr="00293D77">
        <w:rPr>
          <w:rFonts w:ascii="Times New Roman" w:eastAsia="Times New Roman" w:hAnsi="Times New Roman" w:cs="Times New Roman"/>
          <w:bCs/>
          <w:sz w:val="24"/>
          <w:szCs w:val="24"/>
          <w:lang w:eastAsia="en-AU"/>
        </w:rPr>
        <w:t>that kind of</w:t>
      </w:r>
      <w:r w:rsidR="00297E03" w:rsidRPr="00293D77">
        <w:rPr>
          <w:rFonts w:ascii="Times New Roman" w:eastAsia="Times New Roman" w:hAnsi="Times New Roman" w:cs="Times New Roman"/>
          <w:bCs/>
          <w:sz w:val="24"/>
          <w:szCs w:val="24"/>
          <w:lang w:eastAsia="en-AU"/>
        </w:rPr>
        <w:t xml:space="preserve"> authorised </w:t>
      </w:r>
      <w:r w:rsidR="006A52A6" w:rsidRPr="00293D77">
        <w:rPr>
          <w:rFonts w:ascii="Times New Roman" w:eastAsia="Times New Roman" w:hAnsi="Times New Roman" w:cs="Times New Roman"/>
          <w:bCs/>
          <w:sz w:val="24"/>
          <w:szCs w:val="24"/>
          <w:lang w:eastAsia="en-AU"/>
        </w:rPr>
        <w:t>prescriber for all purposes.</w:t>
      </w:r>
    </w:p>
    <w:p w14:paraId="66E2B259" w14:textId="77777777" w:rsidR="00C67134" w:rsidRPr="00293D77" w:rsidRDefault="00C67134" w:rsidP="00167955">
      <w:pPr>
        <w:spacing w:after="0" w:line="240" w:lineRule="auto"/>
        <w:rPr>
          <w:rFonts w:ascii="Times New Roman" w:eastAsia="Times New Roman" w:hAnsi="Times New Roman" w:cs="Times New Roman"/>
          <w:bCs/>
          <w:sz w:val="24"/>
          <w:szCs w:val="24"/>
          <w:lang w:eastAsia="en-AU"/>
        </w:rPr>
      </w:pPr>
    </w:p>
    <w:p w14:paraId="477F213D" w14:textId="2B9011CD" w:rsidR="005545E6" w:rsidRDefault="00311C2C" w:rsidP="00167955">
      <w:pPr>
        <w:spacing w:after="0" w:line="240" w:lineRule="auto"/>
        <w:rPr>
          <w:rFonts w:ascii="Times New Roman" w:eastAsia="Times New Roman" w:hAnsi="Times New Roman" w:cs="Times New Roman"/>
          <w:bCs/>
          <w:sz w:val="24"/>
          <w:szCs w:val="24"/>
          <w:lang w:eastAsia="en-AU"/>
        </w:rPr>
      </w:pPr>
      <w:r w:rsidRPr="00293D77">
        <w:rPr>
          <w:rFonts w:ascii="Times New Roman" w:eastAsia="Times New Roman" w:hAnsi="Times New Roman" w:cs="Times New Roman"/>
          <w:bCs/>
          <w:sz w:val="24"/>
          <w:szCs w:val="24"/>
          <w:lang w:eastAsia="en-AU"/>
        </w:rPr>
        <w:t>If more than one number of units is mentioned in the</w:t>
      </w:r>
      <w:r w:rsidR="00944DD2">
        <w:rPr>
          <w:rFonts w:ascii="Times New Roman" w:eastAsia="Times New Roman" w:hAnsi="Times New Roman" w:cs="Times New Roman"/>
          <w:bCs/>
          <w:sz w:val="24"/>
          <w:szCs w:val="24"/>
          <w:lang w:eastAsia="en-AU"/>
        </w:rPr>
        <w:t xml:space="preserve"> maximum quantity</w:t>
      </w:r>
      <w:r w:rsidRPr="00293D77">
        <w:rPr>
          <w:rFonts w:ascii="Times New Roman" w:eastAsia="Times New Roman" w:hAnsi="Times New Roman" w:cs="Times New Roman"/>
          <w:bCs/>
          <w:sz w:val="24"/>
          <w:szCs w:val="24"/>
          <w:lang w:eastAsia="en-AU"/>
        </w:rPr>
        <w:t xml:space="preserve"> column then subsection </w:t>
      </w:r>
      <w:r w:rsidR="000F510B" w:rsidRPr="00293D77">
        <w:rPr>
          <w:rFonts w:ascii="Times New Roman" w:eastAsia="Times New Roman" w:hAnsi="Times New Roman" w:cs="Times New Roman"/>
          <w:bCs/>
          <w:sz w:val="24"/>
          <w:szCs w:val="24"/>
          <w:lang w:eastAsia="en-AU"/>
        </w:rPr>
        <w:t>15</w:t>
      </w:r>
      <w:r w:rsidRPr="00293D77">
        <w:rPr>
          <w:rFonts w:ascii="Times New Roman" w:eastAsia="Times New Roman" w:hAnsi="Times New Roman" w:cs="Times New Roman"/>
          <w:bCs/>
          <w:sz w:val="24"/>
          <w:szCs w:val="24"/>
          <w:lang w:eastAsia="en-AU"/>
        </w:rPr>
        <w:t xml:space="preserve">(3) </w:t>
      </w:r>
      <w:r w:rsidR="00641794">
        <w:rPr>
          <w:rFonts w:ascii="Times New Roman" w:eastAsia="Times New Roman" w:hAnsi="Times New Roman" w:cs="Times New Roman"/>
          <w:bCs/>
          <w:sz w:val="24"/>
          <w:szCs w:val="24"/>
          <w:lang w:eastAsia="en-AU"/>
        </w:rPr>
        <w:t xml:space="preserve">sets out </w:t>
      </w:r>
      <w:r w:rsidRPr="00293D77">
        <w:rPr>
          <w:rFonts w:ascii="Times New Roman" w:eastAsia="Times New Roman" w:hAnsi="Times New Roman" w:cs="Times New Roman"/>
          <w:bCs/>
          <w:sz w:val="24"/>
          <w:szCs w:val="24"/>
          <w:lang w:eastAsia="en-AU"/>
        </w:rPr>
        <w:t xml:space="preserve">the rules regarding </w:t>
      </w:r>
      <w:r w:rsidR="00E1288A" w:rsidRPr="00293D77">
        <w:rPr>
          <w:rFonts w:ascii="Times New Roman" w:eastAsia="Times New Roman" w:hAnsi="Times New Roman" w:cs="Times New Roman"/>
          <w:bCs/>
          <w:sz w:val="24"/>
          <w:szCs w:val="24"/>
          <w:lang w:eastAsia="en-AU"/>
        </w:rPr>
        <w:t>the maximum number of units for that pharmaceutical item.</w:t>
      </w:r>
      <w:r w:rsidR="008962EF">
        <w:rPr>
          <w:rFonts w:ascii="Times New Roman" w:eastAsia="Times New Roman" w:hAnsi="Times New Roman" w:cs="Times New Roman"/>
          <w:bCs/>
          <w:sz w:val="24"/>
          <w:szCs w:val="24"/>
          <w:lang w:eastAsia="en-AU"/>
        </w:rPr>
        <w:t xml:space="preserve"> It provides:</w:t>
      </w:r>
    </w:p>
    <w:p w14:paraId="5B05BC61" w14:textId="4AAA1DD6" w:rsidR="001C2E53" w:rsidRPr="00A22E0C" w:rsidRDefault="00BC5DE0" w:rsidP="00A22E0C">
      <w:pPr>
        <w:pStyle w:val="ListParagraph"/>
        <w:numPr>
          <w:ilvl w:val="0"/>
          <w:numId w:val="31"/>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w</w:t>
      </w:r>
      <w:r w:rsidR="003301B4" w:rsidRPr="00A22E0C">
        <w:rPr>
          <w:rFonts w:ascii="Times New Roman" w:eastAsia="Times New Roman" w:hAnsi="Times New Roman" w:cs="Times New Roman"/>
          <w:bCs/>
          <w:sz w:val="24"/>
          <w:szCs w:val="24"/>
          <w:lang w:eastAsia="en-AU"/>
        </w:rPr>
        <w:t xml:space="preserve">here a purposes code </w:t>
      </w:r>
      <w:r w:rsidR="006C5D90" w:rsidRPr="00A22E0C">
        <w:rPr>
          <w:rFonts w:ascii="Times New Roman" w:eastAsia="Times New Roman" w:hAnsi="Times New Roman" w:cs="Times New Roman"/>
          <w:bCs/>
          <w:sz w:val="24"/>
          <w:szCs w:val="24"/>
          <w:lang w:eastAsia="en-AU"/>
        </w:rPr>
        <w:t>(i</w:t>
      </w:r>
      <w:r w:rsidR="00546B6F">
        <w:rPr>
          <w:rFonts w:ascii="Times New Roman" w:eastAsia="Times New Roman" w:hAnsi="Times New Roman" w:cs="Times New Roman"/>
          <w:bCs/>
          <w:sz w:val="24"/>
          <w:szCs w:val="24"/>
          <w:lang w:eastAsia="en-AU"/>
        </w:rPr>
        <w:t>.</w:t>
      </w:r>
      <w:r w:rsidR="006C5D90" w:rsidRPr="00A22E0C">
        <w:rPr>
          <w:rFonts w:ascii="Times New Roman" w:eastAsia="Times New Roman" w:hAnsi="Times New Roman" w:cs="Times New Roman"/>
          <w:bCs/>
          <w:sz w:val="24"/>
          <w:szCs w:val="24"/>
          <w:lang w:eastAsia="en-AU"/>
        </w:rPr>
        <w:t>e</w:t>
      </w:r>
      <w:r w:rsidR="00546B6F">
        <w:rPr>
          <w:rFonts w:ascii="Times New Roman" w:eastAsia="Times New Roman" w:hAnsi="Times New Roman" w:cs="Times New Roman"/>
          <w:bCs/>
          <w:sz w:val="24"/>
          <w:szCs w:val="24"/>
          <w:lang w:eastAsia="en-AU"/>
        </w:rPr>
        <w:t>.</w:t>
      </w:r>
      <w:r w:rsidR="006C5D90" w:rsidRPr="00A22E0C">
        <w:rPr>
          <w:rFonts w:ascii="Times New Roman" w:eastAsia="Times New Roman" w:hAnsi="Times New Roman" w:cs="Times New Roman"/>
          <w:bCs/>
          <w:sz w:val="24"/>
          <w:szCs w:val="24"/>
          <w:lang w:eastAsia="en-AU"/>
        </w:rPr>
        <w:t xml:space="preserve"> the letter P followed by a number) </w:t>
      </w:r>
      <w:r w:rsidR="00415DB4" w:rsidRPr="00A22E0C">
        <w:rPr>
          <w:rFonts w:ascii="Times New Roman" w:eastAsia="Times New Roman" w:hAnsi="Times New Roman" w:cs="Times New Roman"/>
          <w:bCs/>
          <w:sz w:val="24"/>
          <w:szCs w:val="24"/>
          <w:lang w:eastAsia="en-AU"/>
        </w:rPr>
        <w:t xml:space="preserve">is mentioned in the column </w:t>
      </w:r>
      <w:r w:rsidR="000A18E6" w:rsidRPr="00A22E0C">
        <w:rPr>
          <w:rFonts w:ascii="Times New Roman" w:eastAsia="Times New Roman" w:hAnsi="Times New Roman" w:cs="Times New Roman"/>
          <w:bCs/>
          <w:sz w:val="24"/>
          <w:szCs w:val="24"/>
          <w:lang w:eastAsia="en-AU"/>
        </w:rPr>
        <w:t xml:space="preserve">of the table </w:t>
      </w:r>
      <w:r w:rsidR="00177BDC" w:rsidRPr="00A22E0C">
        <w:rPr>
          <w:rFonts w:ascii="Times New Roman" w:eastAsia="Times New Roman" w:hAnsi="Times New Roman" w:cs="Times New Roman"/>
          <w:bCs/>
          <w:sz w:val="24"/>
          <w:szCs w:val="24"/>
          <w:lang w:eastAsia="en-AU"/>
        </w:rPr>
        <w:t xml:space="preserve">in Part 1 of Schedule 1 </w:t>
      </w:r>
      <w:r w:rsidR="000A18E6" w:rsidRPr="00A22E0C">
        <w:rPr>
          <w:rFonts w:ascii="Times New Roman" w:eastAsia="Times New Roman" w:hAnsi="Times New Roman" w:cs="Times New Roman"/>
          <w:bCs/>
          <w:sz w:val="24"/>
          <w:szCs w:val="24"/>
          <w:lang w:eastAsia="en-AU"/>
        </w:rPr>
        <w:t>headed “Purposes”</w:t>
      </w:r>
      <w:r w:rsidR="009E700A" w:rsidRPr="00A22E0C">
        <w:rPr>
          <w:rFonts w:ascii="Times New Roman" w:eastAsia="Times New Roman" w:hAnsi="Times New Roman" w:cs="Times New Roman"/>
          <w:bCs/>
          <w:sz w:val="24"/>
          <w:szCs w:val="24"/>
          <w:lang w:eastAsia="en-AU"/>
        </w:rPr>
        <w:t xml:space="preserve"> in relation to the number of units</w:t>
      </w:r>
      <w:r w:rsidR="00415DB4" w:rsidRPr="00A22E0C">
        <w:rPr>
          <w:rFonts w:ascii="Times New Roman" w:eastAsia="Times New Roman" w:hAnsi="Times New Roman" w:cs="Times New Roman"/>
          <w:bCs/>
          <w:sz w:val="24"/>
          <w:szCs w:val="24"/>
          <w:lang w:eastAsia="en-AU"/>
        </w:rPr>
        <w:t>, that number is the maximum number of units of the pharmaceutical item for that kind of authorised prescriber for the purposes mentioned in the table in Part 1 of Schedule 4 for that purposes code</w:t>
      </w:r>
      <w:r w:rsidR="006001FD">
        <w:rPr>
          <w:rFonts w:ascii="Times New Roman" w:eastAsia="Times New Roman" w:hAnsi="Times New Roman" w:cs="Times New Roman"/>
          <w:bCs/>
          <w:sz w:val="24"/>
          <w:szCs w:val="24"/>
          <w:lang w:eastAsia="en-AU"/>
        </w:rPr>
        <w:t xml:space="preserve"> (see paragraph 15(3)(a))</w:t>
      </w:r>
      <w:r w:rsidR="001C2E53" w:rsidRPr="00A22E0C">
        <w:rPr>
          <w:rFonts w:ascii="Times New Roman" w:eastAsia="Times New Roman" w:hAnsi="Times New Roman" w:cs="Times New Roman"/>
          <w:bCs/>
          <w:sz w:val="24"/>
          <w:szCs w:val="24"/>
          <w:lang w:eastAsia="en-AU"/>
        </w:rPr>
        <w:t>; and</w:t>
      </w:r>
    </w:p>
    <w:p w14:paraId="0EBE2A65" w14:textId="69442CC9" w:rsidR="0028142A" w:rsidRPr="00A22E0C" w:rsidRDefault="0028142A" w:rsidP="00A22E0C">
      <w:pPr>
        <w:pStyle w:val="ListParagraph"/>
        <w:numPr>
          <w:ilvl w:val="0"/>
          <w:numId w:val="31"/>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where </w:t>
      </w:r>
      <w:r w:rsidR="00D068B6" w:rsidRPr="00A22E0C">
        <w:rPr>
          <w:rFonts w:ascii="Times New Roman" w:eastAsia="Times New Roman" w:hAnsi="Times New Roman" w:cs="Times New Roman"/>
          <w:bCs/>
          <w:sz w:val="24"/>
          <w:szCs w:val="24"/>
          <w:lang w:eastAsia="en-AU"/>
        </w:rPr>
        <w:t xml:space="preserve">no </w:t>
      </w:r>
      <w:r w:rsidRPr="00A22E0C">
        <w:rPr>
          <w:rFonts w:ascii="Times New Roman" w:eastAsia="Times New Roman" w:hAnsi="Times New Roman" w:cs="Times New Roman"/>
          <w:bCs/>
          <w:sz w:val="24"/>
          <w:szCs w:val="24"/>
          <w:lang w:eastAsia="en-AU"/>
        </w:rPr>
        <w:t>purposes code is mentioned</w:t>
      </w:r>
      <w:r w:rsidR="001C2E53" w:rsidRPr="00A22E0C">
        <w:rPr>
          <w:rFonts w:ascii="Times New Roman" w:eastAsia="Times New Roman" w:hAnsi="Times New Roman" w:cs="Times New Roman"/>
          <w:bCs/>
          <w:sz w:val="24"/>
          <w:szCs w:val="24"/>
          <w:lang w:eastAsia="en-AU"/>
        </w:rPr>
        <w:t xml:space="preserve"> in relation to the number of units</w:t>
      </w:r>
      <w:r w:rsidR="007966AC" w:rsidRPr="00A22E0C">
        <w:rPr>
          <w:rFonts w:ascii="Times New Roman" w:eastAsia="Times New Roman" w:hAnsi="Times New Roman" w:cs="Times New Roman"/>
          <w:bCs/>
          <w:sz w:val="24"/>
          <w:szCs w:val="24"/>
          <w:lang w:eastAsia="en-AU"/>
        </w:rPr>
        <w:t>, that number</w:t>
      </w:r>
      <w:r w:rsidR="0093094F" w:rsidRPr="000A1DFF">
        <w:t xml:space="preserve"> </w:t>
      </w:r>
      <w:r w:rsidR="0093094F" w:rsidRPr="00A22E0C">
        <w:rPr>
          <w:rFonts w:ascii="Times New Roman" w:eastAsia="Times New Roman" w:hAnsi="Times New Roman" w:cs="Times New Roman"/>
          <w:bCs/>
          <w:sz w:val="24"/>
          <w:szCs w:val="24"/>
          <w:lang w:eastAsia="en-AU"/>
        </w:rPr>
        <w:t>is the maximum number of units of the pharmaceutical item for that kind of authorised prescriber for all purposes</w:t>
      </w:r>
      <w:r w:rsidR="001C2E53" w:rsidRPr="00A22E0C">
        <w:rPr>
          <w:rFonts w:ascii="Times New Roman" w:eastAsia="Times New Roman" w:hAnsi="Times New Roman" w:cs="Times New Roman"/>
          <w:bCs/>
          <w:sz w:val="24"/>
          <w:szCs w:val="24"/>
          <w:lang w:eastAsia="en-AU"/>
        </w:rPr>
        <w:t>,</w:t>
      </w:r>
      <w:r w:rsidR="0093094F" w:rsidRPr="00A22E0C">
        <w:rPr>
          <w:rFonts w:ascii="Times New Roman" w:eastAsia="Times New Roman" w:hAnsi="Times New Roman" w:cs="Times New Roman"/>
          <w:bCs/>
          <w:sz w:val="24"/>
          <w:szCs w:val="24"/>
          <w:lang w:eastAsia="en-AU"/>
        </w:rPr>
        <w:t xml:space="preserve"> other than purposes to which paragraph </w:t>
      </w:r>
      <w:r w:rsidR="000F510B" w:rsidRPr="00A22E0C">
        <w:rPr>
          <w:rFonts w:ascii="Times New Roman" w:eastAsia="Times New Roman" w:hAnsi="Times New Roman" w:cs="Times New Roman"/>
          <w:bCs/>
          <w:sz w:val="24"/>
          <w:szCs w:val="24"/>
          <w:lang w:eastAsia="en-AU"/>
        </w:rPr>
        <w:t>15</w:t>
      </w:r>
      <w:r w:rsidR="0093094F" w:rsidRPr="00A22E0C">
        <w:rPr>
          <w:rFonts w:ascii="Times New Roman" w:eastAsia="Times New Roman" w:hAnsi="Times New Roman" w:cs="Times New Roman"/>
          <w:bCs/>
          <w:sz w:val="24"/>
          <w:szCs w:val="24"/>
          <w:lang w:eastAsia="en-AU"/>
        </w:rPr>
        <w:t>(3)(a) applies</w:t>
      </w:r>
      <w:r w:rsidR="006001FD">
        <w:rPr>
          <w:rFonts w:ascii="Times New Roman" w:eastAsia="Times New Roman" w:hAnsi="Times New Roman" w:cs="Times New Roman"/>
          <w:bCs/>
          <w:sz w:val="24"/>
          <w:szCs w:val="24"/>
          <w:lang w:eastAsia="en-AU"/>
        </w:rPr>
        <w:t xml:space="preserve"> (see paragraph 15(3)(b))</w:t>
      </w:r>
      <w:r w:rsidR="0093094F" w:rsidRPr="00A22E0C">
        <w:rPr>
          <w:rFonts w:ascii="Times New Roman" w:eastAsia="Times New Roman" w:hAnsi="Times New Roman" w:cs="Times New Roman"/>
          <w:bCs/>
          <w:sz w:val="24"/>
          <w:szCs w:val="24"/>
          <w:lang w:eastAsia="en-AU"/>
        </w:rPr>
        <w:t>.</w:t>
      </w:r>
    </w:p>
    <w:p w14:paraId="5DBA8A16" w14:textId="77777777" w:rsidR="00FA6687" w:rsidRPr="009E28DA" w:rsidRDefault="00FA6687" w:rsidP="00167955">
      <w:pPr>
        <w:spacing w:after="0" w:line="240" w:lineRule="auto"/>
        <w:rPr>
          <w:rFonts w:ascii="Times New Roman" w:eastAsia="Times New Roman" w:hAnsi="Times New Roman" w:cs="Times New Roman"/>
          <w:bCs/>
          <w:sz w:val="24"/>
          <w:szCs w:val="24"/>
          <w:highlight w:val="yellow"/>
          <w:lang w:eastAsia="en-AU"/>
        </w:rPr>
      </w:pPr>
    </w:p>
    <w:p w14:paraId="5C0464D5" w14:textId="5F5AB5FE" w:rsidR="0022343E" w:rsidRDefault="00FA6687" w:rsidP="00167955">
      <w:pPr>
        <w:spacing w:after="0" w:line="240" w:lineRule="auto"/>
        <w:rPr>
          <w:rFonts w:ascii="Times New Roman" w:eastAsia="Times New Roman" w:hAnsi="Times New Roman" w:cs="Times New Roman"/>
          <w:bCs/>
          <w:sz w:val="24"/>
          <w:szCs w:val="24"/>
          <w:lang w:eastAsia="en-AU"/>
        </w:rPr>
      </w:pPr>
      <w:r w:rsidRPr="000A1DFF">
        <w:rPr>
          <w:rFonts w:ascii="Times New Roman" w:eastAsia="Times New Roman" w:hAnsi="Times New Roman" w:cs="Times New Roman"/>
          <w:bCs/>
          <w:sz w:val="24"/>
          <w:szCs w:val="24"/>
          <w:lang w:eastAsia="en-AU"/>
        </w:rPr>
        <w:t xml:space="preserve">For example, a </w:t>
      </w:r>
      <w:r w:rsidR="000F40E7" w:rsidRPr="000A1DFF">
        <w:rPr>
          <w:rFonts w:ascii="Times New Roman" w:eastAsia="Times New Roman" w:hAnsi="Times New Roman" w:cs="Times New Roman"/>
          <w:bCs/>
          <w:sz w:val="24"/>
          <w:szCs w:val="24"/>
          <w:lang w:eastAsia="en-AU"/>
        </w:rPr>
        <w:t xml:space="preserve">pharmaceutical item </w:t>
      </w:r>
      <w:r w:rsidR="00DF33F4" w:rsidRPr="000A1DFF">
        <w:rPr>
          <w:rFonts w:ascii="Times New Roman" w:eastAsia="Times New Roman" w:hAnsi="Times New Roman" w:cs="Times New Roman"/>
          <w:bCs/>
          <w:sz w:val="24"/>
          <w:szCs w:val="24"/>
          <w:lang w:eastAsia="en-AU"/>
        </w:rPr>
        <w:t xml:space="preserve">might have </w:t>
      </w:r>
      <w:r w:rsidR="00533E69" w:rsidRPr="000A1DFF">
        <w:rPr>
          <w:rFonts w:ascii="Times New Roman" w:eastAsia="Times New Roman" w:hAnsi="Times New Roman" w:cs="Times New Roman"/>
          <w:bCs/>
          <w:sz w:val="24"/>
          <w:szCs w:val="24"/>
          <w:lang w:eastAsia="en-AU"/>
        </w:rPr>
        <w:t>maximu</w:t>
      </w:r>
      <w:r w:rsidR="00DF33F4" w:rsidRPr="000A1DFF">
        <w:rPr>
          <w:rFonts w:ascii="Times New Roman" w:eastAsia="Times New Roman" w:hAnsi="Times New Roman" w:cs="Times New Roman"/>
          <w:bCs/>
          <w:sz w:val="24"/>
          <w:szCs w:val="24"/>
          <w:lang w:eastAsia="en-AU"/>
        </w:rPr>
        <w:t>m quantit</w:t>
      </w:r>
      <w:r w:rsidR="009468AB">
        <w:rPr>
          <w:rFonts w:ascii="Times New Roman" w:eastAsia="Times New Roman" w:hAnsi="Times New Roman" w:cs="Times New Roman"/>
          <w:bCs/>
          <w:sz w:val="24"/>
          <w:szCs w:val="24"/>
          <w:lang w:eastAsia="en-AU"/>
        </w:rPr>
        <w:t>ies</w:t>
      </w:r>
      <w:r w:rsidR="00533E69" w:rsidRPr="000A1DFF">
        <w:rPr>
          <w:rFonts w:ascii="Times New Roman" w:eastAsia="Times New Roman" w:hAnsi="Times New Roman" w:cs="Times New Roman"/>
          <w:bCs/>
          <w:sz w:val="24"/>
          <w:szCs w:val="24"/>
          <w:lang w:eastAsia="en-AU"/>
        </w:rPr>
        <w:t xml:space="preserve"> of 8 units</w:t>
      </w:r>
      <w:r w:rsidR="00DF33F4" w:rsidRPr="000A1DFF">
        <w:rPr>
          <w:rFonts w:ascii="Times New Roman" w:eastAsia="Times New Roman" w:hAnsi="Times New Roman" w:cs="Times New Roman"/>
          <w:bCs/>
          <w:sz w:val="24"/>
          <w:szCs w:val="24"/>
          <w:lang w:eastAsia="en-AU"/>
        </w:rPr>
        <w:t xml:space="preserve"> </w:t>
      </w:r>
      <w:r w:rsidR="009468AB">
        <w:rPr>
          <w:rFonts w:ascii="Times New Roman" w:eastAsia="Times New Roman" w:hAnsi="Times New Roman" w:cs="Times New Roman"/>
          <w:bCs/>
          <w:sz w:val="24"/>
          <w:szCs w:val="24"/>
          <w:lang w:eastAsia="en-AU"/>
        </w:rPr>
        <w:t xml:space="preserve">and </w:t>
      </w:r>
      <w:r w:rsidR="00533E69" w:rsidRPr="000A1DFF">
        <w:rPr>
          <w:rFonts w:ascii="Times New Roman" w:eastAsia="Times New Roman" w:hAnsi="Times New Roman" w:cs="Times New Roman"/>
          <w:bCs/>
          <w:sz w:val="24"/>
          <w:szCs w:val="24"/>
          <w:lang w:eastAsia="en-AU"/>
        </w:rPr>
        <w:t xml:space="preserve">12 units </w:t>
      </w:r>
      <w:r w:rsidR="00DF33F4" w:rsidRPr="000A1DFF">
        <w:rPr>
          <w:rFonts w:ascii="Times New Roman" w:eastAsia="Times New Roman" w:hAnsi="Times New Roman" w:cs="Times New Roman"/>
          <w:bCs/>
          <w:sz w:val="24"/>
          <w:szCs w:val="24"/>
          <w:lang w:eastAsia="en-AU"/>
        </w:rPr>
        <w:t xml:space="preserve">for </w:t>
      </w:r>
      <w:r w:rsidR="001B1134" w:rsidRPr="000A1DFF">
        <w:rPr>
          <w:rFonts w:ascii="Times New Roman" w:eastAsia="Times New Roman" w:hAnsi="Times New Roman" w:cs="Times New Roman"/>
          <w:bCs/>
          <w:sz w:val="24"/>
          <w:szCs w:val="24"/>
          <w:lang w:eastAsia="en-AU"/>
        </w:rPr>
        <w:t xml:space="preserve">the </w:t>
      </w:r>
      <w:r w:rsidR="00DF33F4" w:rsidRPr="000A1DFF">
        <w:rPr>
          <w:rFonts w:ascii="Times New Roman" w:eastAsia="Times New Roman" w:hAnsi="Times New Roman" w:cs="Times New Roman"/>
          <w:bCs/>
          <w:sz w:val="24"/>
          <w:szCs w:val="24"/>
          <w:lang w:eastAsia="en-AU"/>
        </w:rPr>
        <w:t>brand</w:t>
      </w:r>
      <w:r w:rsidR="00BD0E3B">
        <w:rPr>
          <w:rFonts w:ascii="Times New Roman" w:eastAsia="Times New Roman" w:hAnsi="Times New Roman" w:cs="Times New Roman"/>
          <w:bCs/>
          <w:sz w:val="24"/>
          <w:szCs w:val="24"/>
          <w:lang w:eastAsia="en-AU"/>
        </w:rPr>
        <w:t>s</w:t>
      </w:r>
      <w:r w:rsidR="00DF33F4" w:rsidRPr="000A1DFF">
        <w:rPr>
          <w:rFonts w:ascii="Times New Roman" w:eastAsia="Times New Roman" w:hAnsi="Times New Roman" w:cs="Times New Roman"/>
          <w:bCs/>
          <w:sz w:val="24"/>
          <w:szCs w:val="24"/>
          <w:lang w:eastAsia="en-AU"/>
        </w:rPr>
        <w:t xml:space="preserve"> of </w:t>
      </w:r>
      <w:r w:rsidR="00BD0E3B">
        <w:rPr>
          <w:rFonts w:ascii="Times New Roman" w:eastAsia="Times New Roman" w:hAnsi="Times New Roman" w:cs="Times New Roman"/>
          <w:bCs/>
          <w:sz w:val="24"/>
          <w:szCs w:val="24"/>
          <w:lang w:eastAsia="en-AU"/>
        </w:rPr>
        <w:t>the</w:t>
      </w:r>
      <w:r w:rsidR="009468AB">
        <w:rPr>
          <w:rFonts w:ascii="Times New Roman" w:eastAsia="Times New Roman" w:hAnsi="Times New Roman" w:cs="Times New Roman"/>
          <w:bCs/>
          <w:sz w:val="24"/>
          <w:szCs w:val="24"/>
          <w:lang w:eastAsia="en-AU"/>
        </w:rPr>
        <w:t xml:space="preserve"> </w:t>
      </w:r>
      <w:r w:rsidR="00270C85" w:rsidRPr="000A1DFF">
        <w:rPr>
          <w:rFonts w:ascii="Times New Roman" w:eastAsia="Times New Roman" w:hAnsi="Times New Roman" w:cs="Times New Roman"/>
          <w:bCs/>
          <w:sz w:val="24"/>
          <w:szCs w:val="24"/>
          <w:lang w:eastAsia="en-AU"/>
        </w:rPr>
        <w:t>pharmaceutical item</w:t>
      </w:r>
      <w:r w:rsidR="00644067">
        <w:rPr>
          <w:rFonts w:ascii="Times New Roman" w:eastAsia="Times New Roman" w:hAnsi="Times New Roman" w:cs="Times New Roman"/>
          <w:bCs/>
          <w:sz w:val="24"/>
          <w:szCs w:val="24"/>
          <w:lang w:eastAsia="en-AU"/>
        </w:rPr>
        <w:t xml:space="preserve">, with a purposes code </w:t>
      </w:r>
      <w:r w:rsidR="000F1E08">
        <w:rPr>
          <w:rFonts w:ascii="Times New Roman" w:eastAsia="Times New Roman" w:hAnsi="Times New Roman" w:cs="Times New Roman"/>
          <w:bCs/>
          <w:sz w:val="24"/>
          <w:szCs w:val="24"/>
          <w:lang w:eastAsia="en-AU"/>
        </w:rPr>
        <w:t>only specified for the 12 units</w:t>
      </w:r>
      <w:r w:rsidR="00DF33F4" w:rsidRPr="000A1DFF">
        <w:rPr>
          <w:rFonts w:ascii="Times New Roman" w:eastAsia="Times New Roman" w:hAnsi="Times New Roman" w:cs="Times New Roman"/>
          <w:bCs/>
          <w:sz w:val="24"/>
          <w:szCs w:val="24"/>
          <w:lang w:eastAsia="en-AU"/>
        </w:rPr>
        <w:t>.</w:t>
      </w:r>
      <w:r w:rsidR="000F1E08">
        <w:rPr>
          <w:rFonts w:ascii="Times New Roman" w:eastAsia="Times New Roman" w:hAnsi="Times New Roman" w:cs="Times New Roman"/>
          <w:bCs/>
          <w:sz w:val="24"/>
          <w:szCs w:val="24"/>
          <w:lang w:eastAsia="en-AU"/>
        </w:rPr>
        <w:t xml:space="preserve"> In that case</w:t>
      </w:r>
      <w:r w:rsidR="00D0242B" w:rsidRPr="000A1DFF">
        <w:rPr>
          <w:rFonts w:ascii="Times New Roman" w:eastAsia="Times New Roman" w:hAnsi="Times New Roman" w:cs="Times New Roman"/>
          <w:bCs/>
          <w:sz w:val="24"/>
          <w:szCs w:val="24"/>
          <w:lang w:eastAsia="en-AU"/>
        </w:rPr>
        <w:t xml:space="preserve">, </w:t>
      </w:r>
      <w:r w:rsidR="000F1F59" w:rsidRPr="000A1DFF">
        <w:rPr>
          <w:rFonts w:ascii="Times New Roman" w:eastAsia="Times New Roman" w:hAnsi="Times New Roman" w:cs="Times New Roman"/>
          <w:bCs/>
          <w:sz w:val="24"/>
          <w:szCs w:val="24"/>
          <w:lang w:eastAsia="en-AU"/>
        </w:rPr>
        <w:t>the relevant</w:t>
      </w:r>
      <w:r w:rsidR="00D0242B" w:rsidRPr="000A1DFF">
        <w:rPr>
          <w:rFonts w:ascii="Times New Roman" w:eastAsia="Times New Roman" w:hAnsi="Times New Roman" w:cs="Times New Roman"/>
          <w:bCs/>
          <w:sz w:val="24"/>
          <w:szCs w:val="24"/>
          <w:lang w:eastAsia="en-AU"/>
        </w:rPr>
        <w:t xml:space="preserve"> authorised prescriber</w:t>
      </w:r>
      <w:r w:rsidR="000F1F59" w:rsidRPr="000A1DFF">
        <w:rPr>
          <w:rFonts w:ascii="Times New Roman" w:eastAsia="Times New Roman" w:hAnsi="Times New Roman" w:cs="Times New Roman"/>
          <w:bCs/>
          <w:sz w:val="24"/>
          <w:szCs w:val="24"/>
          <w:lang w:eastAsia="en-AU"/>
        </w:rPr>
        <w:t>(s)</w:t>
      </w:r>
      <w:r w:rsidR="00D0242B" w:rsidRPr="000A1DFF">
        <w:rPr>
          <w:rFonts w:ascii="Times New Roman" w:eastAsia="Times New Roman" w:hAnsi="Times New Roman" w:cs="Times New Roman"/>
          <w:bCs/>
          <w:sz w:val="24"/>
          <w:szCs w:val="24"/>
          <w:lang w:eastAsia="en-AU"/>
        </w:rPr>
        <w:t xml:space="preserve"> can write a prescription for </w:t>
      </w:r>
      <w:r w:rsidR="005C127E">
        <w:rPr>
          <w:rFonts w:ascii="Times New Roman" w:eastAsia="Times New Roman" w:hAnsi="Times New Roman" w:cs="Times New Roman"/>
          <w:bCs/>
          <w:sz w:val="24"/>
          <w:szCs w:val="24"/>
          <w:lang w:eastAsia="en-AU"/>
        </w:rPr>
        <w:t xml:space="preserve">up to </w:t>
      </w:r>
      <w:r w:rsidR="00D0242B" w:rsidRPr="000A1DFF">
        <w:rPr>
          <w:rFonts w:ascii="Times New Roman" w:eastAsia="Times New Roman" w:hAnsi="Times New Roman" w:cs="Times New Roman"/>
          <w:bCs/>
          <w:sz w:val="24"/>
          <w:szCs w:val="24"/>
          <w:lang w:eastAsia="en-AU"/>
        </w:rPr>
        <w:t xml:space="preserve">8 units </w:t>
      </w:r>
      <w:r w:rsidR="000F1E08">
        <w:rPr>
          <w:rFonts w:ascii="Times New Roman" w:eastAsia="Times New Roman" w:hAnsi="Times New Roman" w:cs="Times New Roman"/>
          <w:bCs/>
          <w:sz w:val="24"/>
          <w:szCs w:val="24"/>
          <w:lang w:eastAsia="en-AU"/>
        </w:rPr>
        <w:t xml:space="preserve">of </w:t>
      </w:r>
      <w:r w:rsidR="0012799F">
        <w:rPr>
          <w:rFonts w:ascii="Times New Roman" w:eastAsia="Times New Roman" w:hAnsi="Times New Roman" w:cs="Times New Roman"/>
          <w:bCs/>
          <w:sz w:val="24"/>
          <w:szCs w:val="24"/>
          <w:lang w:eastAsia="en-AU"/>
        </w:rPr>
        <w:t xml:space="preserve">pharmaceutical benefits containing the pharmaceutical item </w:t>
      </w:r>
      <w:r w:rsidR="00D0242B" w:rsidRPr="000A1DFF">
        <w:rPr>
          <w:rFonts w:ascii="Times New Roman" w:eastAsia="Times New Roman" w:hAnsi="Times New Roman" w:cs="Times New Roman"/>
          <w:bCs/>
          <w:sz w:val="24"/>
          <w:szCs w:val="24"/>
          <w:lang w:eastAsia="en-AU"/>
        </w:rPr>
        <w:t xml:space="preserve">for all purposes </w:t>
      </w:r>
      <w:r w:rsidR="00D0242B" w:rsidRPr="000A1DFF">
        <w:rPr>
          <w:rFonts w:ascii="Times New Roman" w:eastAsia="Times New Roman" w:hAnsi="Times New Roman" w:cs="Times New Roman"/>
          <w:bCs/>
          <w:i/>
          <w:iCs/>
          <w:sz w:val="24"/>
          <w:szCs w:val="24"/>
          <w:lang w:eastAsia="en-AU"/>
        </w:rPr>
        <w:t>other than</w:t>
      </w:r>
      <w:r w:rsidR="00D0242B" w:rsidRPr="000A1DFF">
        <w:rPr>
          <w:rFonts w:ascii="Times New Roman" w:eastAsia="Times New Roman" w:hAnsi="Times New Roman" w:cs="Times New Roman"/>
          <w:bCs/>
          <w:sz w:val="24"/>
          <w:szCs w:val="24"/>
          <w:lang w:eastAsia="en-AU"/>
        </w:rPr>
        <w:t xml:space="preserve"> the purposes outlined in the purposes code for </w:t>
      </w:r>
      <w:r w:rsidR="00BD0E3B">
        <w:rPr>
          <w:rFonts w:ascii="Times New Roman" w:eastAsia="Times New Roman" w:hAnsi="Times New Roman" w:cs="Times New Roman"/>
          <w:bCs/>
          <w:sz w:val="24"/>
          <w:szCs w:val="24"/>
          <w:lang w:eastAsia="en-AU"/>
        </w:rPr>
        <w:t>the</w:t>
      </w:r>
      <w:r w:rsidR="00FA3B83" w:rsidRPr="000A1DFF">
        <w:rPr>
          <w:rFonts w:ascii="Times New Roman" w:eastAsia="Times New Roman" w:hAnsi="Times New Roman" w:cs="Times New Roman"/>
          <w:bCs/>
          <w:sz w:val="24"/>
          <w:szCs w:val="24"/>
          <w:lang w:eastAsia="en-AU"/>
        </w:rPr>
        <w:t xml:space="preserve"> maximum </w:t>
      </w:r>
      <w:r w:rsidR="00AF6A00" w:rsidRPr="000A1DFF">
        <w:rPr>
          <w:rFonts w:ascii="Times New Roman" w:eastAsia="Times New Roman" w:hAnsi="Times New Roman" w:cs="Times New Roman"/>
          <w:bCs/>
          <w:sz w:val="24"/>
          <w:szCs w:val="24"/>
          <w:lang w:eastAsia="en-AU"/>
        </w:rPr>
        <w:t>number</w:t>
      </w:r>
      <w:r w:rsidR="00FA3B83" w:rsidRPr="000A1DFF">
        <w:rPr>
          <w:rFonts w:ascii="Times New Roman" w:eastAsia="Times New Roman" w:hAnsi="Times New Roman" w:cs="Times New Roman"/>
          <w:bCs/>
          <w:sz w:val="24"/>
          <w:szCs w:val="24"/>
          <w:lang w:eastAsia="en-AU"/>
        </w:rPr>
        <w:t xml:space="preserve"> of 12 units</w:t>
      </w:r>
      <w:r w:rsidR="002B37B5" w:rsidRPr="000A1DFF">
        <w:rPr>
          <w:rFonts w:ascii="Times New Roman" w:eastAsia="Times New Roman" w:hAnsi="Times New Roman" w:cs="Times New Roman"/>
          <w:bCs/>
          <w:sz w:val="24"/>
          <w:szCs w:val="24"/>
          <w:lang w:eastAsia="en-AU"/>
        </w:rPr>
        <w:t>.</w:t>
      </w:r>
    </w:p>
    <w:p w14:paraId="613199A9" w14:textId="77777777" w:rsidR="0022343E" w:rsidRDefault="0022343E" w:rsidP="00167955">
      <w:pPr>
        <w:spacing w:after="0" w:line="240" w:lineRule="auto"/>
        <w:rPr>
          <w:rFonts w:ascii="Times New Roman" w:eastAsia="Times New Roman" w:hAnsi="Times New Roman" w:cs="Times New Roman"/>
          <w:bCs/>
          <w:sz w:val="24"/>
          <w:szCs w:val="24"/>
          <w:lang w:eastAsia="en-AU"/>
        </w:rPr>
      </w:pPr>
    </w:p>
    <w:p w14:paraId="0718CCED" w14:textId="3604AEDC" w:rsidR="005F2B4A" w:rsidRPr="000A1DFF" w:rsidRDefault="002B37B5" w:rsidP="00167955">
      <w:pPr>
        <w:spacing w:after="0" w:line="240" w:lineRule="auto"/>
        <w:rPr>
          <w:rFonts w:ascii="Times New Roman" w:eastAsia="Times New Roman" w:hAnsi="Times New Roman" w:cs="Times New Roman"/>
          <w:bCs/>
          <w:sz w:val="24"/>
          <w:szCs w:val="24"/>
          <w:lang w:eastAsia="en-AU"/>
        </w:rPr>
      </w:pPr>
      <w:r w:rsidRPr="000A1DFF">
        <w:rPr>
          <w:rFonts w:ascii="Times New Roman" w:eastAsia="Times New Roman" w:hAnsi="Times New Roman" w:cs="Times New Roman"/>
          <w:bCs/>
          <w:sz w:val="24"/>
          <w:szCs w:val="24"/>
          <w:lang w:eastAsia="en-AU"/>
        </w:rPr>
        <w:lastRenderedPageBreak/>
        <w:t>The</w:t>
      </w:r>
      <w:r w:rsidR="005C127E">
        <w:rPr>
          <w:rFonts w:ascii="Times New Roman" w:eastAsia="Times New Roman" w:hAnsi="Times New Roman" w:cs="Times New Roman"/>
          <w:bCs/>
          <w:sz w:val="24"/>
          <w:szCs w:val="24"/>
          <w:lang w:eastAsia="en-AU"/>
        </w:rPr>
        <w:t xml:space="preserve"> content of </w:t>
      </w:r>
      <w:r w:rsidRPr="000A1DFF">
        <w:rPr>
          <w:rFonts w:ascii="Times New Roman" w:eastAsia="Times New Roman" w:hAnsi="Times New Roman" w:cs="Times New Roman"/>
          <w:bCs/>
          <w:sz w:val="24"/>
          <w:szCs w:val="24"/>
          <w:lang w:eastAsia="en-AU"/>
        </w:rPr>
        <w:t xml:space="preserve">purposes </w:t>
      </w:r>
      <w:r w:rsidR="005C127E">
        <w:rPr>
          <w:rFonts w:ascii="Times New Roman" w:eastAsia="Times New Roman" w:hAnsi="Times New Roman" w:cs="Times New Roman"/>
          <w:bCs/>
          <w:sz w:val="24"/>
          <w:szCs w:val="24"/>
          <w:lang w:eastAsia="en-AU"/>
        </w:rPr>
        <w:t xml:space="preserve">codes is </w:t>
      </w:r>
      <w:r w:rsidRPr="000A1DFF">
        <w:rPr>
          <w:rFonts w:ascii="Times New Roman" w:eastAsia="Times New Roman" w:hAnsi="Times New Roman" w:cs="Times New Roman"/>
          <w:bCs/>
          <w:sz w:val="24"/>
          <w:szCs w:val="24"/>
          <w:lang w:eastAsia="en-AU"/>
        </w:rPr>
        <w:t>outlined in Part 1 of Schedule 4 to th</w:t>
      </w:r>
      <w:r w:rsidR="005C127E">
        <w:rPr>
          <w:rFonts w:ascii="Times New Roman" w:eastAsia="Times New Roman" w:hAnsi="Times New Roman" w:cs="Times New Roman"/>
          <w:bCs/>
          <w:sz w:val="24"/>
          <w:szCs w:val="24"/>
          <w:lang w:eastAsia="en-AU"/>
        </w:rPr>
        <w:t>e 2024 Listing I</w:t>
      </w:r>
      <w:r w:rsidRPr="000A1DFF">
        <w:rPr>
          <w:rFonts w:ascii="Times New Roman" w:eastAsia="Times New Roman" w:hAnsi="Times New Roman" w:cs="Times New Roman"/>
          <w:bCs/>
          <w:sz w:val="24"/>
          <w:szCs w:val="24"/>
          <w:lang w:eastAsia="en-AU"/>
        </w:rPr>
        <w:t>nstrument</w:t>
      </w:r>
      <w:r w:rsidR="00FA3B83" w:rsidRPr="000A1DFF">
        <w:rPr>
          <w:rFonts w:ascii="Times New Roman" w:eastAsia="Times New Roman" w:hAnsi="Times New Roman" w:cs="Times New Roman"/>
          <w:bCs/>
          <w:sz w:val="24"/>
          <w:szCs w:val="24"/>
          <w:lang w:eastAsia="en-AU"/>
        </w:rPr>
        <w:t>.</w:t>
      </w:r>
    </w:p>
    <w:p w14:paraId="7D6710CD" w14:textId="77777777" w:rsidR="003868A4" w:rsidRPr="000A1DFF" w:rsidRDefault="003868A4" w:rsidP="00167955">
      <w:pPr>
        <w:spacing w:after="0" w:line="240" w:lineRule="auto"/>
        <w:rPr>
          <w:rFonts w:ascii="Times New Roman" w:eastAsia="Times New Roman" w:hAnsi="Times New Roman" w:cs="Times New Roman"/>
          <w:bCs/>
          <w:sz w:val="24"/>
          <w:szCs w:val="24"/>
          <w:lang w:eastAsia="en-AU"/>
        </w:rPr>
      </w:pPr>
    </w:p>
    <w:p w14:paraId="711AD808" w14:textId="02A90F12" w:rsidR="005A5D19" w:rsidRPr="000A1DFF" w:rsidRDefault="00350EBA" w:rsidP="00167955">
      <w:pPr>
        <w:spacing w:after="0" w:line="240" w:lineRule="auto"/>
        <w:rPr>
          <w:rFonts w:ascii="Times New Roman" w:eastAsia="Times New Roman" w:hAnsi="Times New Roman" w:cs="Times New Roman"/>
          <w:bCs/>
          <w:sz w:val="24"/>
          <w:szCs w:val="24"/>
          <w:u w:val="single"/>
          <w:lang w:eastAsia="en-AU"/>
        </w:rPr>
      </w:pPr>
      <w:r w:rsidRPr="000A1DFF">
        <w:rPr>
          <w:rFonts w:ascii="Times New Roman" w:eastAsia="Times New Roman" w:hAnsi="Times New Roman" w:cs="Times New Roman"/>
          <w:bCs/>
          <w:sz w:val="24"/>
          <w:szCs w:val="24"/>
          <w:u w:val="single"/>
          <w:lang w:eastAsia="en-AU"/>
        </w:rPr>
        <w:t xml:space="preserve">Conditions for writing </w:t>
      </w:r>
      <w:r w:rsidR="006314B1" w:rsidRPr="000A1DFF">
        <w:rPr>
          <w:rFonts w:ascii="Times New Roman" w:eastAsia="Times New Roman" w:hAnsi="Times New Roman" w:cs="Times New Roman"/>
          <w:bCs/>
          <w:sz w:val="24"/>
          <w:szCs w:val="24"/>
          <w:u w:val="single"/>
          <w:lang w:eastAsia="en-AU"/>
        </w:rPr>
        <w:t xml:space="preserve">a </w:t>
      </w:r>
      <w:r w:rsidRPr="000A1DFF">
        <w:rPr>
          <w:rFonts w:ascii="Times New Roman" w:eastAsia="Times New Roman" w:hAnsi="Times New Roman" w:cs="Times New Roman"/>
          <w:bCs/>
          <w:sz w:val="24"/>
          <w:szCs w:val="24"/>
          <w:u w:val="single"/>
          <w:lang w:eastAsia="en-AU"/>
        </w:rPr>
        <w:t>prescription</w:t>
      </w:r>
      <w:r w:rsidR="00C00430" w:rsidRPr="000A1DFF">
        <w:rPr>
          <w:rFonts w:ascii="Times New Roman" w:eastAsia="Times New Roman" w:hAnsi="Times New Roman" w:cs="Times New Roman"/>
          <w:bCs/>
          <w:sz w:val="24"/>
          <w:szCs w:val="24"/>
          <w:u w:val="single"/>
          <w:lang w:eastAsia="en-AU"/>
        </w:rPr>
        <w:t xml:space="preserve"> for the maximum number of units </w:t>
      </w:r>
    </w:p>
    <w:p w14:paraId="6DD9BAA9" w14:textId="77777777" w:rsidR="00350EBA" w:rsidRPr="000A1DFF" w:rsidRDefault="00350EBA" w:rsidP="00167955">
      <w:pPr>
        <w:spacing w:after="0" w:line="240" w:lineRule="auto"/>
        <w:rPr>
          <w:rFonts w:ascii="Times New Roman" w:eastAsia="Times New Roman" w:hAnsi="Times New Roman" w:cs="Times New Roman"/>
          <w:bCs/>
          <w:sz w:val="24"/>
          <w:szCs w:val="24"/>
          <w:lang w:eastAsia="en-AU"/>
        </w:rPr>
      </w:pPr>
    </w:p>
    <w:p w14:paraId="12F16EB0" w14:textId="21AB02B3" w:rsidR="007F3298" w:rsidRDefault="007F3298" w:rsidP="00167955">
      <w:pPr>
        <w:spacing w:after="0" w:line="240" w:lineRule="auto"/>
        <w:rPr>
          <w:rFonts w:ascii="Times New Roman" w:eastAsia="Times New Roman" w:hAnsi="Times New Roman" w:cs="Times New Roman"/>
          <w:bCs/>
          <w:sz w:val="24"/>
          <w:szCs w:val="24"/>
          <w:lang w:eastAsia="en-AU"/>
        </w:rPr>
      </w:pPr>
      <w:r w:rsidRPr="005D362B">
        <w:rPr>
          <w:rFonts w:ascii="Times New Roman" w:eastAsia="Times New Roman" w:hAnsi="Times New Roman" w:cs="Times New Roman"/>
          <w:bCs/>
          <w:sz w:val="24"/>
          <w:szCs w:val="24"/>
          <w:lang w:eastAsia="en-AU"/>
        </w:rPr>
        <w:t>Subsection 85A(2A) of the Act</w:t>
      </w:r>
      <w:r w:rsidR="003C520D">
        <w:rPr>
          <w:rFonts w:ascii="Times New Roman" w:eastAsia="Times New Roman" w:hAnsi="Times New Roman" w:cs="Times New Roman"/>
          <w:bCs/>
          <w:sz w:val="24"/>
          <w:szCs w:val="24"/>
          <w:lang w:eastAsia="en-AU"/>
        </w:rPr>
        <w:t xml:space="preserve"> relevantly</w:t>
      </w:r>
      <w:r w:rsidRPr="005D362B">
        <w:rPr>
          <w:rFonts w:ascii="Times New Roman" w:eastAsia="Times New Roman" w:hAnsi="Times New Roman" w:cs="Times New Roman"/>
          <w:bCs/>
          <w:sz w:val="24"/>
          <w:szCs w:val="24"/>
          <w:lang w:eastAsia="en-AU"/>
        </w:rPr>
        <w:t xml:space="preserve"> provides </w:t>
      </w:r>
      <w:r w:rsidR="005D362B" w:rsidRPr="005D362B">
        <w:rPr>
          <w:rFonts w:ascii="Times New Roman" w:eastAsia="Times New Roman" w:hAnsi="Times New Roman" w:cs="Times New Roman"/>
          <w:bCs/>
          <w:sz w:val="24"/>
          <w:szCs w:val="24"/>
          <w:lang w:eastAsia="en-AU"/>
        </w:rPr>
        <w:t xml:space="preserve">the Minister may determine that particular conditions must be satisfied when writing a prescription to which a determination under paragraph </w:t>
      </w:r>
      <w:r w:rsidR="001E1674" w:rsidRPr="005D362B">
        <w:rPr>
          <w:rFonts w:ascii="Times New Roman" w:eastAsia="Times New Roman" w:hAnsi="Times New Roman" w:cs="Times New Roman"/>
          <w:bCs/>
          <w:sz w:val="24"/>
          <w:szCs w:val="24"/>
          <w:lang w:eastAsia="en-AU"/>
        </w:rPr>
        <w:t>85A</w:t>
      </w:r>
      <w:r w:rsidR="005D362B" w:rsidRPr="005D362B">
        <w:rPr>
          <w:rFonts w:ascii="Times New Roman" w:eastAsia="Times New Roman" w:hAnsi="Times New Roman" w:cs="Times New Roman"/>
          <w:bCs/>
          <w:sz w:val="24"/>
          <w:szCs w:val="24"/>
          <w:lang w:eastAsia="en-AU"/>
        </w:rPr>
        <w:t>(2)(a) applies</w:t>
      </w:r>
      <w:r w:rsidR="00DD4335">
        <w:rPr>
          <w:rFonts w:ascii="Times New Roman" w:eastAsia="Times New Roman" w:hAnsi="Times New Roman" w:cs="Times New Roman"/>
          <w:bCs/>
          <w:sz w:val="24"/>
          <w:szCs w:val="24"/>
          <w:lang w:eastAsia="en-AU"/>
        </w:rPr>
        <w:t xml:space="preserve"> (i.e. a determination by the Minister about the maximum quantity or number of units)</w:t>
      </w:r>
      <w:r w:rsidR="005D362B">
        <w:rPr>
          <w:rFonts w:ascii="Times New Roman" w:eastAsia="Times New Roman" w:hAnsi="Times New Roman" w:cs="Times New Roman"/>
          <w:bCs/>
          <w:sz w:val="24"/>
          <w:szCs w:val="24"/>
          <w:lang w:eastAsia="en-AU"/>
        </w:rPr>
        <w:t>.</w:t>
      </w:r>
    </w:p>
    <w:p w14:paraId="17BD2405" w14:textId="77777777" w:rsidR="00F731F0" w:rsidRDefault="00F731F0" w:rsidP="00167955">
      <w:pPr>
        <w:spacing w:after="0" w:line="240" w:lineRule="auto"/>
        <w:rPr>
          <w:rFonts w:ascii="Times New Roman" w:eastAsia="Times New Roman" w:hAnsi="Times New Roman" w:cs="Times New Roman"/>
          <w:bCs/>
          <w:sz w:val="24"/>
          <w:szCs w:val="24"/>
          <w:lang w:eastAsia="en-AU"/>
        </w:rPr>
      </w:pPr>
    </w:p>
    <w:p w14:paraId="198324F1" w14:textId="6CB502BD" w:rsidR="007941DB" w:rsidRDefault="009B37B3"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Subsection 15(4)</w:t>
      </w:r>
      <w:r w:rsidR="002A044B" w:rsidRPr="000A1DFF">
        <w:rPr>
          <w:rFonts w:ascii="Times New Roman" w:eastAsia="Times New Roman" w:hAnsi="Times New Roman" w:cs="Times New Roman"/>
          <w:bCs/>
          <w:sz w:val="24"/>
          <w:szCs w:val="24"/>
          <w:lang w:eastAsia="en-AU"/>
        </w:rPr>
        <w:t xml:space="preserve"> </w:t>
      </w:r>
      <w:r w:rsidR="007941DB" w:rsidRPr="003B0807">
        <w:rPr>
          <w:rFonts w:ascii="Times New Roman" w:eastAsia="Times New Roman" w:hAnsi="Times New Roman" w:cs="Times New Roman"/>
          <w:bCs/>
          <w:sz w:val="24"/>
          <w:szCs w:val="24"/>
          <w:lang w:eastAsia="en-AU"/>
        </w:rPr>
        <w:t>provides that,</w:t>
      </w:r>
      <w:r w:rsidR="00943F8D" w:rsidRPr="003B0807">
        <w:rPr>
          <w:rFonts w:ascii="Times New Roman" w:eastAsia="Times New Roman" w:hAnsi="Times New Roman" w:cs="Times New Roman"/>
          <w:bCs/>
          <w:sz w:val="24"/>
          <w:szCs w:val="24"/>
          <w:lang w:eastAsia="en-AU"/>
        </w:rPr>
        <w:t xml:space="preserve"> if the </w:t>
      </w:r>
      <w:r w:rsidR="00944DD2">
        <w:rPr>
          <w:rFonts w:ascii="Times New Roman" w:eastAsia="Times New Roman" w:hAnsi="Times New Roman" w:cs="Times New Roman"/>
          <w:bCs/>
          <w:sz w:val="24"/>
          <w:szCs w:val="24"/>
          <w:lang w:eastAsia="en-AU"/>
        </w:rPr>
        <w:t xml:space="preserve">maximum quantity </w:t>
      </w:r>
      <w:r w:rsidR="00943F8D" w:rsidRPr="003B0807">
        <w:rPr>
          <w:rFonts w:ascii="Times New Roman" w:eastAsia="Times New Roman" w:hAnsi="Times New Roman" w:cs="Times New Roman"/>
          <w:bCs/>
          <w:sz w:val="24"/>
          <w:szCs w:val="24"/>
          <w:lang w:eastAsia="en-AU"/>
        </w:rPr>
        <w:t xml:space="preserve">column includes a conditions code </w:t>
      </w:r>
      <w:r w:rsidR="00FC554F">
        <w:rPr>
          <w:rFonts w:ascii="Times New Roman" w:eastAsia="Times New Roman" w:hAnsi="Times New Roman" w:cs="Times New Roman"/>
          <w:bCs/>
          <w:sz w:val="24"/>
          <w:szCs w:val="24"/>
          <w:lang w:eastAsia="en-AU"/>
        </w:rPr>
        <w:t xml:space="preserve">(i.e. the letters CN followed by a number) </w:t>
      </w:r>
      <w:r w:rsidR="00943F8D" w:rsidRPr="003B0807">
        <w:rPr>
          <w:rFonts w:ascii="Times New Roman" w:eastAsia="Times New Roman" w:hAnsi="Times New Roman" w:cs="Times New Roman"/>
          <w:bCs/>
          <w:sz w:val="24"/>
          <w:szCs w:val="24"/>
          <w:lang w:eastAsia="en-AU"/>
        </w:rPr>
        <w:t xml:space="preserve">together with the maximum number of units, it is a condition when writing a prescription to which that maximum applies that </w:t>
      </w:r>
      <w:r w:rsidR="007215FF" w:rsidRPr="003B0807">
        <w:rPr>
          <w:rFonts w:ascii="Times New Roman" w:eastAsia="Times New Roman" w:hAnsi="Times New Roman" w:cs="Times New Roman"/>
          <w:bCs/>
          <w:sz w:val="24"/>
          <w:szCs w:val="24"/>
          <w:lang w:eastAsia="en-AU"/>
        </w:rPr>
        <w:t xml:space="preserve">writing </w:t>
      </w:r>
      <w:r w:rsidR="00585A6B" w:rsidRPr="003B0807">
        <w:rPr>
          <w:rFonts w:ascii="Times New Roman" w:eastAsia="Times New Roman" w:hAnsi="Times New Roman" w:cs="Times New Roman"/>
          <w:bCs/>
          <w:sz w:val="24"/>
          <w:szCs w:val="24"/>
          <w:lang w:eastAsia="en-AU"/>
        </w:rPr>
        <w:t xml:space="preserve">the </w:t>
      </w:r>
      <w:r w:rsidR="00943F8D" w:rsidRPr="003B0807">
        <w:rPr>
          <w:rFonts w:ascii="Times New Roman" w:eastAsia="Times New Roman" w:hAnsi="Times New Roman" w:cs="Times New Roman"/>
          <w:bCs/>
          <w:sz w:val="24"/>
          <w:szCs w:val="24"/>
          <w:lang w:eastAsia="en-AU"/>
        </w:rPr>
        <w:t xml:space="preserve">prescription must be authorised by the Chief Executive Medicare in accordance with section </w:t>
      </w:r>
      <w:r w:rsidR="007F0683" w:rsidRPr="003B0807">
        <w:rPr>
          <w:rFonts w:ascii="Times New Roman" w:eastAsia="Times New Roman" w:hAnsi="Times New Roman" w:cs="Times New Roman"/>
          <w:bCs/>
          <w:sz w:val="24"/>
          <w:szCs w:val="24"/>
          <w:lang w:eastAsia="en-AU"/>
        </w:rPr>
        <w:t>19</w:t>
      </w:r>
      <w:r w:rsidR="00943F8D" w:rsidRPr="003B0807">
        <w:rPr>
          <w:rFonts w:ascii="Times New Roman" w:eastAsia="Times New Roman" w:hAnsi="Times New Roman" w:cs="Times New Roman"/>
          <w:bCs/>
          <w:sz w:val="24"/>
          <w:szCs w:val="24"/>
          <w:lang w:eastAsia="en-AU"/>
        </w:rPr>
        <w:t>.</w:t>
      </w:r>
    </w:p>
    <w:p w14:paraId="706F2E4F" w14:textId="77777777" w:rsidR="007941DB" w:rsidRDefault="007941DB" w:rsidP="00167955">
      <w:pPr>
        <w:spacing w:after="0" w:line="240" w:lineRule="auto"/>
        <w:rPr>
          <w:rFonts w:ascii="Times New Roman" w:eastAsia="Times New Roman" w:hAnsi="Times New Roman" w:cs="Times New Roman"/>
          <w:bCs/>
          <w:sz w:val="24"/>
          <w:szCs w:val="24"/>
          <w:lang w:eastAsia="en-AU"/>
        </w:rPr>
      </w:pPr>
    </w:p>
    <w:p w14:paraId="7719CB3C" w14:textId="050CAE3A" w:rsidR="0058045F" w:rsidRDefault="0058045F" w:rsidP="00167955">
      <w:pPr>
        <w:spacing w:after="0" w:line="240" w:lineRule="auto"/>
        <w:rPr>
          <w:rFonts w:ascii="Times New Roman" w:eastAsia="Times New Roman" w:hAnsi="Times New Roman" w:cs="Times New Roman"/>
          <w:bCs/>
          <w:sz w:val="24"/>
          <w:szCs w:val="24"/>
          <w:lang w:eastAsia="en-AU"/>
        </w:rPr>
      </w:pPr>
      <w:r w:rsidRPr="0058045F">
        <w:rPr>
          <w:rFonts w:ascii="Times New Roman" w:eastAsia="Times New Roman" w:hAnsi="Times New Roman" w:cs="Times New Roman"/>
          <w:bCs/>
          <w:sz w:val="24"/>
          <w:szCs w:val="24"/>
          <w:u w:val="single"/>
          <w:lang w:eastAsia="en-AU"/>
        </w:rPr>
        <w:t>Rules for authorising variation of maximum number of units</w:t>
      </w:r>
    </w:p>
    <w:p w14:paraId="6FB885DC" w14:textId="77777777" w:rsidR="0058045F" w:rsidRDefault="0058045F" w:rsidP="00167955">
      <w:pPr>
        <w:spacing w:after="0" w:line="240" w:lineRule="auto"/>
        <w:rPr>
          <w:rFonts w:ascii="Times New Roman" w:eastAsia="Times New Roman" w:hAnsi="Times New Roman" w:cs="Times New Roman"/>
          <w:bCs/>
          <w:sz w:val="24"/>
          <w:szCs w:val="24"/>
          <w:lang w:eastAsia="en-AU"/>
        </w:rPr>
      </w:pPr>
    </w:p>
    <w:p w14:paraId="7AA7EB8C" w14:textId="7736FE2C" w:rsidR="003904B2" w:rsidRPr="009245DB" w:rsidRDefault="00AE5614" w:rsidP="00167955">
      <w:pPr>
        <w:spacing w:after="0" w:line="240" w:lineRule="auto"/>
        <w:rPr>
          <w:rFonts w:ascii="Times New Roman" w:eastAsia="Times New Roman" w:hAnsi="Times New Roman" w:cs="Times New Roman"/>
          <w:bCs/>
          <w:sz w:val="24"/>
          <w:szCs w:val="24"/>
          <w:lang w:eastAsia="en-AU"/>
        </w:rPr>
      </w:pPr>
      <w:bookmarkStart w:id="2" w:name="_Hlk159328614"/>
      <w:r>
        <w:rPr>
          <w:rFonts w:ascii="Times New Roman" w:eastAsia="Times New Roman" w:hAnsi="Times New Roman" w:cs="Times New Roman"/>
          <w:bCs/>
          <w:sz w:val="24"/>
          <w:szCs w:val="24"/>
          <w:lang w:eastAsia="en-AU"/>
        </w:rPr>
        <w:t>R</w:t>
      </w:r>
      <w:r w:rsidR="00A0296F">
        <w:rPr>
          <w:rFonts w:ascii="Times New Roman" w:eastAsia="Times New Roman" w:hAnsi="Times New Roman" w:cs="Times New Roman"/>
          <w:bCs/>
          <w:sz w:val="24"/>
          <w:szCs w:val="24"/>
          <w:lang w:eastAsia="en-AU"/>
        </w:rPr>
        <w:t xml:space="preserve">egulations </w:t>
      </w:r>
      <w:r>
        <w:rPr>
          <w:rFonts w:ascii="Times New Roman" w:eastAsia="Times New Roman" w:hAnsi="Times New Roman" w:cs="Times New Roman"/>
          <w:bCs/>
          <w:sz w:val="24"/>
          <w:szCs w:val="24"/>
          <w:lang w:eastAsia="en-AU"/>
        </w:rPr>
        <w:t xml:space="preserve">made for subsection 85A(3) of the Act </w:t>
      </w:r>
      <w:r w:rsidR="00A0296F">
        <w:rPr>
          <w:rFonts w:ascii="Times New Roman" w:eastAsia="Times New Roman" w:hAnsi="Times New Roman" w:cs="Times New Roman"/>
          <w:bCs/>
          <w:sz w:val="24"/>
          <w:szCs w:val="24"/>
          <w:lang w:eastAsia="en-AU"/>
        </w:rPr>
        <w:t>provide the Minister with the power to authorise</w:t>
      </w:r>
      <w:r w:rsidR="00E14B5F">
        <w:rPr>
          <w:rFonts w:ascii="Times New Roman" w:eastAsia="Times New Roman" w:hAnsi="Times New Roman" w:cs="Times New Roman"/>
          <w:bCs/>
          <w:sz w:val="24"/>
          <w:szCs w:val="24"/>
          <w:lang w:eastAsia="en-AU"/>
        </w:rPr>
        <w:t xml:space="preserve"> </w:t>
      </w:r>
      <w:r w:rsidR="00E14B5F" w:rsidRPr="00E14B5F">
        <w:rPr>
          <w:rFonts w:ascii="Times New Roman" w:eastAsia="Times New Roman" w:hAnsi="Times New Roman" w:cs="Times New Roman"/>
          <w:bCs/>
          <w:sz w:val="24"/>
          <w:szCs w:val="24"/>
          <w:lang w:eastAsia="en-AU"/>
        </w:rPr>
        <w:t xml:space="preserve">the variation of the application of a determination </w:t>
      </w:r>
      <w:r w:rsidR="00035C06">
        <w:rPr>
          <w:rFonts w:ascii="Times New Roman" w:eastAsia="Times New Roman" w:hAnsi="Times New Roman" w:cs="Times New Roman"/>
          <w:bCs/>
          <w:sz w:val="24"/>
          <w:szCs w:val="24"/>
          <w:lang w:eastAsia="en-AU"/>
        </w:rPr>
        <w:t xml:space="preserve">regarding the maximum number of units </w:t>
      </w:r>
      <w:r w:rsidR="001411B9">
        <w:rPr>
          <w:rFonts w:ascii="Times New Roman" w:eastAsia="Times New Roman" w:hAnsi="Times New Roman" w:cs="Times New Roman"/>
          <w:bCs/>
          <w:sz w:val="24"/>
          <w:szCs w:val="24"/>
          <w:lang w:eastAsia="en-AU"/>
        </w:rPr>
        <w:t>of a pharmaceutical item that a PBS prescriber may direct to be supplied on the one occasion.</w:t>
      </w:r>
      <w:r w:rsidR="00E14B5F" w:rsidRPr="00E14B5F">
        <w:rPr>
          <w:rFonts w:ascii="Times New Roman" w:eastAsia="Times New Roman" w:hAnsi="Times New Roman" w:cs="Times New Roman"/>
          <w:bCs/>
          <w:sz w:val="24"/>
          <w:szCs w:val="24"/>
          <w:lang w:eastAsia="en-AU"/>
        </w:rPr>
        <w:t xml:space="preserve"> </w:t>
      </w:r>
      <w:r w:rsidR="004B3761">
        <w:rPr>
          <w:rFonts w:ascii="Times New Roman" w:eastAsia="Times New Roman" w:hAnsi="Times New Roman" w:cs="Times New Roman"/>
          <w:bCs/>
          <w:sz w:val="24"/>
          <w:szCs w:val="24"/>
          <w:lang w:eastAsia="en-AU"/>
        </w:rPr>
        <w:t xml:space="preserve">The relevant provisions are in </w:t>
      </w:r>
      <w:r w:rsidR="000E78C7">
        <w:rPr>
          <w:rFonts w:ascii="Times New Roman" w:eastAsia="Times New Roman" w:hAnsi="Times New Roman" w:cs="Times New Roman"/>
          <w:bCs/>
          <w:sz w:val="24"/>
          <w:szCs w:val="24"/>
          <w:lang w:eastAsia="en-AU"/>
        </w:rPr>
        <w:t xml:space="preserve">the </w:t>
      </w:r>
      <w:r w:rsidR="000E78C7" w:rsidRPr="000E78C7">
        <w:rPr>
          <w:rFonts w:ascii="Times New Roman" w:eastAsia="Times New Roman" w:hAnsi="Times New Roman" w:cs="Times New Roman"/>
          <w:bCs/>
          <w:i/>
          <w:iCs/>
          <w:sz w:val="24"/>
          <w:szCs w:val="24"/>
          <w:lang w:eastAsia="en-AU"/>
        </w:rPr>
        <w:t>National Health (Pharmaceutical Benefits) Regulations 2017</w:t>
      </w:r>
      <w:r w:rsidR="000E78C7">
        <w:rPr>
          <w:rFonts w:ascii="Times New Roman" w:eastAsia="Times New Roman" w:hAnsi="Times New Roman" w:cs="Times New Roman"/>
          <w:bCs/>
          <w:sz w:val="24"/>
          <w:szCs w:val="24"/>
          <w:lang w:eastAsia="en-AU"/>
        </w:rPr>
        <w:t>.</w:t>
      </w:r>
      <w:r w:rsidR="003904B2" w:rsidRPr="003904B2">
        <w:rPr>
          <w:rFonts w:ascii="Times New Roman" w:eastAsia="Times New Roman" w:hAnsi="Times New Roman" w:cs="Times New Roman"/>
          <w:bCs/>
          <w:sz w:val="24"/>
          <w:szCs w:val="24"/>
          <w:lang w:eastAsia="en-AU"/>
        </w:rPr>
        <w:t xml:space="preserve"> </w:t>
      </w:r>
      <w:r w:rsidR="003904B2" w:rsidRPr="009245DB">
        <w:rPr>
          <w:rFonts w:ascii="Times New Roman" w:eastAsia="Times New Roman" w:hAnsi="Times New Roman" w:cs="Times New Roman"/>
          <w:bCs/>
          <w:sz w:val="24"/>
          <w:szCs w:val="24"/>
          <w:lang w:eastAsia="en-AU"/>
        </w:rPr>
        <w:t xml:space="preserve">Subsection 85A(3A) of the Act provides that the Minister may </w:t>
      </w:r>
      <w:r w:rsidR="003904B2">
        <w:rPr>
          <w:rFonts w:ascii="Times New Roman" w:eastAsia="Times New Roman" w:hAnsi="Times New Roman" w:cs="Times New Roman"/>
          <w:bCs/>
          <w:sz w:val="24"/>
          <w:szCs w:val="24"/>
          <w:lang w:eastAsia="en-AU"/>
        </w:rPr>
        <w:t xml:space="preserve">also </w:t>
      </w:r>
      <w:r w:rsidR="003904B2" w:rsidRPr="009245DB">
        <w:rPr>
          <w:rFonts w:ascii="Times New Roman" w:eastAsia="Times New Roman" w:hAnsi="Times New Roman" w:cs="Times New Roman"/>
          <w:bCs/>
          <w:sz w:val="24"/>
          <w:szCs w:val="24"/>
          <w:lang w:eastAsia="en-AU"/>
        </w:rPr>
        <w:t>determine rules that must be applied when deciding whether to vary the maximum number of units.</w:t>
      </w:r>
    </w:p>
    <w:p w14:paraId="6DF345E4" w14:textId="77777777" w:rsidR="00AB666C" w:rsidRDefault="00AB666C" w:rsidP="00167955">
      <w:pPr>
        <w:spacing w:after="0" w:line="240" w:lineRule="auto"/>
        <w:rPr>
          <w:rFonts w:ascii="Times New Roman" w:eastAsia="Times New Roman" w:hAnsi="Times New Roman" w:cs="Times New Roman"/>
          <w:bCs/>
          <w:sz w:val="24"/>
          <w:szCs w:val="24"/>
          <w:lang w:eastAsia="en-AU"/>
        </w:rPr>
      </w:pPr>
    </w:p>
    <w:bookmarkEnd w:id="2"/>
    <w:p w14:paraId="628AE76A" w14:textId="7D7B94AD" w:rsidR="00AB666C" w:rsidRPr="009245DB" w:rsidRDefault="008411DB"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Decisions whether to var</w:t>
      </w:r>
      <w:r w:rsidR="003904B2">
        <w:rPr>
          <w:rFonts w:ascii="Times New Roman" w:eastAsia="Times New Roman" w:hAnsi="Times New Roman" w:cs="Times New Roman"/>
          <w:bCs/>
          <w:sz w:val="24"/>
          <w:szCs w:val="24"/>
          <w:lang w:eastAsia="en-AU"/>
        </w:rPr>
        <w:t xml:space="preserve">y the maximum number of units in relation to a particular prescription </w:t>
      </w:r>
      <w:r w:rsidR="004F3433">
        <w:rPr>
          <w:rFonts w:ascii="Times New Roman" w:eastAsia="Times New Roman" w:hAnsi="Times New Roman" w:cs="Times New Roman"/>
          <w:bCs/>
          <w:sz w:val="24"/>
          <w:szCs w:val="24"/>
          <w:lang w:eastAsia="en-AU"/>
        </w:rPr>
        <w:t>are</w:t>
      </w:r>
      <w:r w:rsidR="00AB666C">
        <w:rPr>
          <w:rFonts w:ascii="Times New Roman" w:eastAsia="Times New Roman" w:hAnsi="Times New Roman" w:cs="Times New Roman"/>
          <w:bCs/>
          <w:sz w:val="24"/>
          <w:szCs w:val="24"/>
          <w:lang w:eastAsia="en-AU"/>
        </w:rPr>
        <w:t xml:space="preserve"> made</w:t>
      </w:r>
      <w:r w:rsidR="0085052D">
        <w:rPr>
          <w:rFonts w:ascii="Times New Roman" w:eastAsia="Times New Roman" w:hAnsi="Times New Roman" w:cs="Times New Roman"/>
          <w:bCs/>
          <w:sz w:val="24"/>
          <w:szCs w:val="24"/>
          <w:lang w:eastAsia="en-AU"/>
        </w:rPr>
        <w:t xml:space="preserve"> by delegates in Services Australia</w:t>
      </w:r>
      <w:r w:rsidR="00246C97" w:rsidRPr="009245DB">
        <w:rPr>
          <w:rFonts w:ascii="Times New Roman" w:eastAsia="Times New Roman" w:hAnsi="Times New Roman" w:cs="Times New Roman"/>
          <w:bCs/>
          <w:sz w:val="24"/>
          <w:szCs w:val="24"/>
          <w:lang w:eastAsia="en-AU"/>
        </w:rPr>
        <w:t>.</w:t>
      </w:r>
    </w:p>
    <w:p w14:paraId="29DE0D39" w14:textId="77777777" w:rsidR="00770CDC" w:rsidRPr="009245DB" w:rsidRDefault="00770CDC" w:rsidP="00167955">
      <w:pPr>
        <w:spacing w:after="0" w:line="240" w:lineRule="auto"/>
        <w:rPr>
          <w:rFonts w:ascii="Times New Roman" w:eastAsia="Times New Roman" w:hAnsi="Times New Roman" w:cs="Times New Roman"/>
          <w:bCs/>
          <w:sz w:val="24"/>
          <w:szCs w:val="24"/>
          <w:lang w:eastAsia="en-AU"/>
        </w:rPr>
      </w:pPr>
    </w:p>
    <w:p w14:paraId="666AE4E0" w14:textId="13C1E562" w:rsidR="008C3AFC" w:rsidRPr="009245DB" w:rsidRDefault="008C3AFC" w:rsidP="00167955">
      <w:pPr>
        <w:spacing w:after="0" w:line="240" w:lineRule="auto"/>
        <w:rPr>
          <w:rFonts w:ascii="Times New Roman" w:eastAsia="Times New Roman" w:hAnsi="Times New Roman" w:cs="Times New Roman"/>
          <w:bCs/>
          <w:sz w:val="24"/>
          <w:szCs w:val="24"/>
          <w:lang w:eastAsia="en-AU"/>
        </w:rPr>
      </w:pPr>
      <w:r w:rsidRPr="009245DB">
        <w:rPr>
          <w:rFonts w:ascii="Times New Roman" w:eastAsia="Times New Roman" w:hAnsi="Times New Roman" w:cs="Times New Roman"/>
          <w:bCs/>
          <w:sz w:val="24"/>
          <w:szCs w:val="24"/>
          <w:lang w:eastAsia="en-AU"/>
        </w:rPr>
        <w:t xml:space="preserve">Subsection </w:t>
      </w:r>
      <w:r w:rsidR="007F0683" w:rsidRPr="009245DB">
        <w:rPr>
          <w:rFonts w:ascii="Times New Roman" w:eastAsia="Times New Roman" w:hAnsi="Times New Roman" w:cs="Times New Roman"/>
          <w:bCs/>
          <w:sz w:val="24"/>
          <w:szCs w:val="24"/>
          <w:lang w:eastAsia="en-AU"/>
        </w:rPr>
        <w:t>15</w:t>
      </w:r>
      <w:r w:rsidRPr="009245DB">
        <w:rPr>
          <w:rFonts w:ascii="Times New Roman" w:eastAsia="Times New Roman" w:hAnsi="Times New Roman" w:cs="Times New Roman"/>
          <w:bCs/>
          <w:sz w:val="24"/>
          <w:szCs w:val="24"/>
          <w:lang w:eastAsia="en-AU"/>
        </w:rPr>
        <w:t xml:space="preserve">(5) of the </w:t>
      </w:r>
      <w:r w:rsidR="00E22BAC">
        <w:rPr>
          <w:rFonts w:ascii="Times New Roman" w:eastAsia="Times New Roman" w:hAnsi="Times New Roman" w:cs="Times New Roman"/>
          <w:bCs/>
          <w:sz w:val="24"/>
          <w:szCs w:val="24"/>
          <w:lang w:eastAsia="en-AU"/>
        </w:rPr>
        <w:t>2024 Listing I</w:t>
      </w:r>
      <w:r w:rsidRPr="009245DB">
        <w:rPr>
          <w:rFonts w:ascii="Times New Roman" w:eastAsia="Times New Roman" w:hAnsi="Times New Roman" w:cs="Times New Roman"/>
          <w:bCs/>
          <w:sz w:val="24"/>
          <w:szCs w:val="24"/>
          <w:lang w:eastAsia="en-AU"/>
        </w:rPr>
        <w:t xml:space="preserve">nstrument </w:t>
      </w:r>
      <w:r w:rsidR="001365DF">
        <w:rPr>
          <w:rFonts w:ascii="Times New Roman" w:eastAsia="Times New Roman" w:hAnsi="Times New Roman" w:cs="Times New Roman"/>
          <w:bCs/>
          <w:sz w:val="24"/>
          <w:szCs w:val="24"/>
          <w:lang w:eastAsia="en-AU"/>
        </w:rPr>
        <w:t xml:space="preserve">will apply where </w:t>
      </w:r>
      <w:r w:rsidR="00433E03" w:rsidRPr="009245DB">
        <w:rPr>
          <w:rFonts w:ascii="Times New Roman" w:eastAsia="Times New Roman" w:hAnsi="Times New Roman" w:cs="Times New Roman"/>
          <w:bCs/>
          <w:sz w:val="24"/>
          <w:szCs w:val="24"/>
          <w:lang w:eastAsia="en-AU"/>
        </w:rPr>
        <w:t xml:space="preserve">the column of the table in Part 1 of Schedule 1 headed “Variations” includes a variation code </w:t>
      </w:r>
      <w:r w:rsidR="00DF5CDF">
        <w:rPr>
          <w:rFonts w:ascii="Times New Roman" w:eastAsia="Times New Roman" w:hAnsi="Times New Roman" w:cs="Times New Roman"/>
          <w:bCs/>
          <w:sz w:val="24"/>
          <w:szCs w:val="24"/>
          <w:lang w:eastAsia="en-AU"/>
        </w:rPr>
        <w:t xml:space="preserve">(i.e. the letter V followed by a number) </w:t>
      </w:r>
      <w:r w:rsidR="00433E03" w:rsidRPr="009245DB">
        <w:rPr>
          <w:rFonts w:ascii="Times New Roman" w:eastAsia="Times New Roman" w:hAnsi="Times New Roman" w:cs="Times New Roman"/>
          <w:bCs/>
          <w:sz w:val="24"/>
          <w:szCs w:val="24"/>
          <w:lang w:eastAsia="en-AU"/>
        </w:rPr>
        <w:t>in relation to a maximum number of units</w:t>
      </w:r>
      <w:r w:rsidR="001365DF">
        <w:rPr>
          <w:rFonts w:ascii="Times New Roman" w:eastAsia="Times New Roman" w:hAnsi="Times New Roman" w:cs="Times New Roman"/>
          <w:bCs/>
          <w:sz w:val="24"/>
          <w:szCs w:val="24"/>
          <w:lang w:eastAsia="en-AU"/>
        </w:rPr>
        <w:t xml:space="preserve">. In that case, </w:t>
      </w:r>
      <w:r w:rsidR="00433E03" w:rsidRPr="009245DB">
        <w:rPr>
          <w:rFonts w:ascii="Times New Roman" w:eastAsia="Times New Roman" w:hAnsi="Times New Roman" w:cs="Times New Roman"/>
          <w:bCs/>
          <w:sz w:val="24"/>
          <w:szCs w:val="24"/>
          <w:lang w:eastAsia="en-AU"/>
        </w:rPr>
        <w:t>the rules mentioned in the column of the table</w:t>
      </w:r>
      <w:r w:rsidR="00DF5CDF">
        <w:rPr>
          <w:rFonts w:ascii="Times New Roman" w:eastAsia="Times New Roman" w:hAnsi="Times New Roman" w:cs="Times New Roman"/>
          <w:bCs/>
          <w:sz w:val="24"/>
          <w:szCs w:val="24"/>
          <w:lang w:eastAsia="en-AU"/>
        </w:rPr>
        <w:t xml:space="preserve"> </w:t>
      </w:r>
      <w:r w:rsidR="00433E03" w:rsidRPr="009245DB">
        <w:rPr>
          <w:rFonts w:ascii="Times New Roman" w:eastAsia="Times New Roman" w:hAnsi="Times New Roman" w:cs="Times New Roman"/>
          <w:bCs/>
          <w:sz w:val="24"/>
          <w:szCs w:val="24"/>
          <w:lang w:eastAsia="en-AU"/>
        </w:rPr>
        <w:t xml:space="preserve">in Part 2 of Schedule 4 headed “Variation Rules” in relation to the variation code must be applied when deciding whether to authorise a variation of that maximum </w:t>
      </w:r>
      <w:r w:rsidR="00905883" w:rsidRPr="009245DB">
        <w:rPr>
          <w:rFonts w:ascii="Times New Roman" w:eastAsia="Times New Roman" w:hAnsi="Times New Roman" w:cs="Times New Roman"/>
          <w:bCs/>
          <w:sz w:val="24"/>
          <w:szCs w:val="24"/>
          <w:lang w:eastAsia="en-AU"/>
        </w:rPr>
        <w:t xml:space="preserve">number of units </w:t>
      </w:r>
      <w:r w:rsidR="00433E03" w:rsidRPr="009245DB">
        <w:rPr>
          <w:rFonts w:ascii="Times New Roman" w:eastAsia="Times New Roman" w:hAnsi="Times New Roman" w:cs="Times New Roman"/>
          <w:bCs/>
          <w:sz w:val="24"/>
          <w:szCs w:val="24"/>
          <w:lang w:eastAsia="en-AU"/>
        </w:rPr>
        <w:t>(to the extent that those rules relate to the number of units).</w:t>
      </w:r>
    </w:p>
    <w:p w14:paraId="5B500908" w14:textId="77777777" w:rsidR="0085565C" w:rsidRPr="009245DB" w:rsidRDefault="0085565C" w:rsidP="00167955">
      <w:pPr>
        <w:spacing w:after="0" w:line="240" w:lineRule="auto"/>
        <w:rPr>
          <w:rFonts w:ascii="Times New Roman" w:eastAsia="Times New Roman" w:hAnsi="Times New Roman" w:cs="Times New Roman"/>
          <w:bCs/>
          <w:sz w:val="24"/>
          <w:szCs w:val="24"/>
          <w:lang w:eastAsia="en-AU"/>
        </w:rPr>
      </w:pPr>
    </w:p>
    <w:p w14:paraId="09088A34" w14:textId="6FA84777" w:rsidR="0085565C" w:rsidRPr="00CC18E5" w:rsidRDefault="0085565C" w:rsidP="00167955">
      <w:pPr>
        <w:spacing w:after="0" w:line="240" w:lineRule="auto"/>
        <w:rPr>
          <w:rFonts w:ascii="Times New Roman" w:eastAsia="Times New Roman" w:hAnsi="Times New Roman" w:cs="Times New Roman"/>
          <w:bCs/>
          <w:sz w:val="24"/>
          <w:szCs w:val="24"/>
          <w:lang w:eastAsia="en-AU"/>
        </w:rPr>
      </w:pPr>
      <w:r w:rsidRPr="00CC18E5">
        <w:rPr>
          <w:rFonts w:ascii="Times New Roman" w:eastAsia="Times New Roman" w:hAnsi="Times New Roman" w:cs="Times New Roman"/>
          <w:bCs/>
          <w:sz w:val="24"/>
          <w:szCs w:val="24"/>
          <w:lang w:eastAsia="en-AU"/>
        </w:rPr>
        <w:t xml:space="preserve">A note to </w:t>
      </w:r>
      <w:r w:rsidR="00815CE7" w:rsidRPr="00CC18E5">
        <w:rPr>
          <w:rFonts w:ascii="Times New Roman" w:eastAsia="Times New Roman" w:hAnsi="Times New Roman" w:cs="Times New Roman"/>
          <w:bCs/>
          <w:sz w:val="24"/>
          <w:szCs w:val="24"/>
          <w:lang w:eastAsia="en-AU"/>
        </w:rPr>
        <w:t xml:space="preserve">subsection </w:t>
      </w:r>
      <w:r w:rsidR="00F618BB" w:rsidRPr="00CC18E5">
        <w:rPr>
          <w:rFonts w:ascii="Times New Roman" w:eastAsia="Times New Roman" w:hAnsi="Times New Roman" w:cs="Times New Roman"/>
          <w:bCs/>
          <w:sz w:val="24"/>
          <w:szCs w:val="24"/>
          <w:lang w:eastAsia="en-AU"/>
        </w:rPr>
        <w:t>15</w:t>
      </w:r>
      <w:r w:rsidR="00815CE7" w:rsidRPr="00CC18E5">
        <w:rPr>
          <w:rFonts w:ascii="Times New Roman" w:eastAsia="Times New Roman" w:hAnsi="Times New Roman" w:cs="Times New Roman"/>
          <w:bCs/>
          <w:sz w:val="24"/>
          <w:szCs w:val="24"/>
          <w:lang w:eastAsia="en-AU"/>
        </w:rPr>
        <w:t xml:space="preserve">(5) of the instrument </w:t>
      </w:r>
      <w:r w:rsidR="008611A3">
        <w:rPr>
          <w:rFonts w:ascii="Times New Roman" w:eastAsia="Times New Roman" w:hAnsi="Times New Roman" w:cs="Times New Roman"/>
          <w:bCs/>
          <w:sz w:val="24"/>
          <w:szCs w:val="24"/>
          <w:lang w:eastAsia="en-AU"/>
        </w:rPr>
        <w:t xml:space="preserve">outlines </w:t>
      </w:r>
      <w:r w:rsidRPr="00CC18E5">
        <w:rPr>
          <w:rFonts w:ascii="Times New Roman" w:eastAsia="Times New Roman" w:hAnsi="Times New Roman" w:cs="Times New Roman"/>
          <w:bCs/>
          <w:sz w:val="24"/>
          <w:szCs w:val="24"/>
          <w:lang w:eastAsia="en-AU"/>
        </w:rPr>
        <w:t xml:space="preserve">that variation </w:t>
      </w:r>
      <w:r w:rsidR="00815CE7" w:rsidRPr="00CC18E5">
        <w:rPr>
          <w:rFonts w:ascii="Times New Roman" w:eastAsia="Times New Roman" w:hAnsi="Times New Roman" w:cs="Times New Roman"/>
          <w:bCs/>
          <w:sz w:val="24"/>
          <w:szCs w:val="24"/>
          <w:lang w:eastAsia="en-AU"/>
        </w:rPr>
        <w:t>r</w:t>
      </w:r>
      <w:r w:rsidRPr="00CC18E5">
        <w:rPr>
          <w:rFonts w:ascii="Times New Roman" w:eastAsia="Times New Roman" w:hAnsi="Times New Roman" w:cs="Times New Roman"/>
          <w:bCs/>
          <w:sz w:val="24"/>
          <w:szCs w:val="24"/>
          <w:lang w:eastAsia="en-AU"/>
        </w:rPr>
        <w:t xml:space="preserve">ules </w:t>
      </w:r>
      <w:r w:rsidR="008611A3">
        <w:rPr>
          <w:rFonts w:ascii="Times New Roman" w:eastAsia="Times New Roman" w:hAnsi="Times New Roman" w:cs="Times New Roman"/>
          <w:bCs/>
          <w:sz w:val="24"/>
          <w:szCs w:val="24"/>
          <w:lang w:eastAsia="en-AU"/>
        </w:rPr>
        <w:t xml:space="preserve">can also </w:t>
      </w:r>
      <w:r w:rsidRPr="00CC18E5">
        <w:rPr>
          <w:rFonts w:ascii="Times New Roman" w:eastAsia="Times New Roman" w:hAnsi="Times New Roman" w:cs="Times New Roman"/>
          <w:bCs/>
          <w:sz w:val="24"/>
          <w:szCs w:val="24"/>
          <w:lang w:eastAsia="en-AU"/>
        </w:rPr>
        <w:t>relat</w:t>
      </w:r>
      <w:r w:rsidR="008611A3">
        <w:rPr>
          <w:rFonts w:ascii="Times New Roman" w:eastAsia="Times New Roman" w:hAnsi="Times New Roman" w:cs="Times New Roman"/>
          <w:bCs/>
          <w:sz w:val="24"/>
          <w:szCs w:val="24"/>
          <w:lang w:eastAsia="en-AU"/>
        </w:rPr>
        <w:t>e</w:t>
      </w:r>
      <w:r w:rsidRPr="00CC18E5">
        <w:rPr>
          <w:rFonts w:ascii="Times New Roman" w:eastAsia="Times New Roman" w:hAnsi="Times New Roman" w:cs="Times New Roman"/>
          <w:bCs/>
          <w:sz w:val="24"/>
          <w:szCs w:val="24"/>
          <w:lang w:eastAsia="en-AU"/>
        </w:rPr>
        <w:t xml:space="preserve"> to the maximum number of repeats.</w:t>
      </w:r>
    </w:p>
    <w:p w14:paraId="3A9CF574" w14:textId="77777777" w:rsidR="003337C9" w:rsidRPr="00CC18E5" w:rsidRDefault="003337C9" w:rsidP="00167955">
      <w:pPr>
        <w:spacing w:after="0" w:line="240" w:lineRule="auto"/>
        <w:rPr>
          <w:rFonts w:ascii="Times New Roman" w:eastAsia="Times New Roman" w:hAnsi="Times New Roman" w:cs="Times New Roman"/>
          <w:bCs/>
          <w:sz w:val="24"/>
          <w:szCs w:val="24"/>
          <w:lang w:eastAsia="en-AU"/>
        </w:rPr>
      </w:pPr>
    </w:p>
    <w:p w14:paraId="24970924" w14:textId="64669E69" w:rsidR="003337C9" w:rsidRPr="00CC18E5" w:rsidRDefault="003337C9" w:rsidP="00167955">
      <w:pPr>
        <w:spacing w:after="0" w:line="240" w:lineRule="auto"/>
        <w:rPr>
          <w:rFonts w:ascii="Times New Roman" w:eastAsia="Times New Roman" w:hAnsi="Times New Roman" w:cs="Times New Roman"/>
          <w:bCs/>
          <w:sz w:val="24"/>
          <w:szCs w:val="24"/>
          <w:lang w:eastAsia="en-AU"/>
        </w:rPr>
      </w:pPr>
      <w:r w:rsidRPr="00CC18E5">
        <w:rPr>
          <w:rFonts w:ascii="Times New Roman" w:eastAsia="Times New Roman" w:hAnsi="Times New Roman" w:cs="Times New Roman"/>
          <w:bCs/>
          <w:sz w:val="24"/>
          <w:szCs w:val="24"/>
          <w:lang w:eastAsia="en-AU"/>
        </w:rPr>
        <w:t xml:space="preserve">Subsection 15(5) is a new provision intended to </w:t>
      </w:r>
      <w:r w:rsidR="003B75F1">
        <w:rPr>
          <w:rFonts w:ascii="Times New Roman" w:eastAsia="Times New Roman" w:hAnsi="Times New Roman" w:cs="Times New Roman"/>
          <w:bCs/>
          <w:sz w:val="24"/>
          <w:szCs w:val="24"/>
          <w:lang w:eastAsia="en-AU"/>
        </w:rPr>
        <w:t xml:space="preserve">more accurately reflect that </w:t>
      </w:r>
      <w:r w:rsidR="00835F30">
        <w:rPr>
          <w:rFonts w:ascii="Times New Roman" w:eastAsia="Times New Roman" w:hAnsi="Times New Roman" w:cs="Times New Roman"/>
          <w:bCs/>
          <w:sz w:val="24"/>
          <w:szCs w:val="24"/>
          <w:lang w:eastAsia="en-AU"/>
        </w:rPr>
        <w:t xml:space="preserve">binding </w:t>
      </w:r>
      <w:r w:rsidR="00F574EB" w:rsidRPr="00CC18E5">
        <w:rPr>
          <w:rFonts w:ascii="Times New Roman" w:eastAsia="Times New Roman" w:hAnsi="Times New Roman" w:cs="Times New Roman"/>
          <w:bCs/>
          <w:sz w:val="24"/>
          <w:szCs w:val="24"/>
          <w:lang w:eastAsia="en-AU"/>
        </w:rPr>
        <w:t>rules</w:t>
      </w:r>
      <w:r w:rsidR="00835F30">
        <w:rPr>
          <w:rFonts w:ascii="Times New Roman" w:eastAsia="Times New Roman" w:hAnsi="Times New Roman" w:cs="Times New Roman"/>
          <w:bCs/>
          <w:sz w:val="24"/>
          <w:szCs w:val="24"/>
          <w:lang w:eastAsia="en-AU"/>
        </w:rPr>
        <w:t xml:space="preserve"> ab</w:t>
      </w:r>
      <w:r w:rsidR="00384142">
        <w:rPr>
          <w:rFonts w:ascii="Times New Roman" w:eastAsia="Times New Roman" w:hAnsi="Times New Roman" w:cs="Times New Roman"/>
          <w:bCs/>
          <w:sz w:val="24"/>
          <w:szCs w:val="24"/>
          <w:lang w:eastAsia="en-AU"/>
        </w:rPr>
        <w:t xml:space="preserve">out the </w:t>
      </w:r>
      <w:r w:rsidR="00835F30">
        <w:rPr>
          <w:rFonts w:ascii="Times New Roman" w:eastAsia="Times New Roman" w:hAnsi="Times New Roman" w:cs="Times New Roman"/>
          <w:bCs/>
          <w:sz w:val="24"/>
          <w:szCs w:val="24"/>
          <w:lang w:eastAsia="en-AU"/>
        </w:rPr>
        <w:t>variation of maximum numbers of units</w:t>
      </w:r>
      <w:r w:rsidR="00384142">
        <w:rPr>
          <w:rFonts w:ascii="Times New Roman" w:eastAsia="Times New Roman" w:hAnsi="Times New Roman" w:cs="Times New Roman"/>
          <w:bCs/>
          <w:sz w:val="24"/>
          <w:szCs w:val="24"/>
          <w:lang w:eastAsia="en-AU"/>
        </w:rPr>
        <w:t xml:space="preserve"> that </w:t>
      </w:r>
      <w:r w:rsidR="00DF58BD" w:rsidRPr="00CC18E5">
        <w:rPr>
          <w:rFonts w:ascii="Times New Roman" w:eastAsia="Times New Roman" w:hAnsi="Times New Roman" w:cs="Times New Roman"/>
          <w:bCs/>
          <w:sz w:val="24"/>
          <w:szCs w:val="24"/>
          <w:lang w:eastAsia="en-AU"/>
        </w:rPr>
        <w:t>can be prescribed for supply on one occasion</w:t>
      </w:r>
      <w:r w:rsidR="00195EF7">
        <w:rPr>
          <w:rFonts w:ascii="Times New Roman" w:eastAsia="Times New Roman" w:hAnsi="Times New Roman" w:cs="Times New Roman"/>
          <w:bCs/>
          <w:sz w:val="24"/>
          <w:szCs w:val="24"/>
          <w:lang w:eastAsia="en-AU"/>
        </w:rPr>
        <w:t xml:space="preserve"> are not part of the </w:t>
      </w:r>
      <w:r w:rsidR="00E63F54">
        <w:rPr>
          <w:rFonts w:ascii="Times New Roman" w:eastAsia="Times New Roman" w:hAnsi="Times New Roman" w:cs="Times New Roman"/>
          <w:bCs/>
          <w:sz w:val="24"/>
          <w:szCs w:val="24"/>
          <w:lang w:eastAsia="en-AU"/>
        </w:rPr>
        <w:t xml:space="preserve">general </w:t>
      </w:r>
      <w:r w:rsidR="00195EF7">
        <w:rPr>
          <w:rFonts w:ascii="Times New Roman" w:eastAsia="Times New Roman" w:hAnsi="Times New Roman" w:cs="Times New Roman"/>
          <w:bCs/>
          <w:sz w:val="24"/>
          <w:szCs w:val="24"/>
          <w:lang w:eastAsia="en-AU"/>
        </w:rPr>
        <w:t xml:space="preserve">circumstances for writing a </w:t>
      </w:r>
      <w:r w:rsidR="00E63F54">
        <w:rPr>
          <w:rFonts w:ascii="Times New Roman" w:eastAsia="Times New Roman" w:hAnsi="Times New Roman" w:cs="Times New Roman"/>
          <w:bCs/>
          <w:sz w:val="24"/>
          <w:szCs w:val="24"/>
          <w:lang w:eastAsia="en-AU"/>
        </w:rPr>
        <w:t xml:space="preserve">prescription determined for subsection </w:t>
      </w:r>
      <w:r w:rsidR="003039FD">
        <w:rPr>
          <w:rFonts w:ascii="Times New Roman" w:eastAsia="Times New Roman" w:hAnsi="Times New Roman" w:cs="Times New Roman"/>
          <w:bCs/>
          <w:sz w:val="24"/>
          <w:szCs w:val="24"/>
          <w:lang w:eastAsia="en-AU"/>
        </w:rPr>
        <w:t>85(7) of the Act</w:t>
      </w:r>
      <w:r w:rsidR="00250929" w:rsidRPr="00CC18E5">
        <w:rPr>
          <w:rFonts w:ascii="Times New Roman" w:eastAsia="Times New Roman" w:hAnsi="Times New Roman" w:cs="Times New Roman"/>
          <w:bCs/>
          <w:sz w:val="24"/>
          <w:szCs w:val="24"/>
          <w:lang w:eastAsia="en-AU"/>
        </w:rPr>
        <w:t>. T</w:t>
      </w:r>
      <w:r w:rsidR="00383561" w:rsidRPr="00CC18E5">
        <w:rPr>
          <w:rFonts w:ascii="Times New Roman" w:eastAsia="Times New Roman" w:hAnsi="Times New Roman" w:cs="Times New Roman"/>
          <w:bCs/>
          <w:sz w:val="24"/>
          <w:szCs w:val="24"/>
          <w:lang w:eastAsia="en-AU"/>
        </w:rPr>
        <w:t xml:space="preserve">hese </w:t>
      </w:r>
      <w:r w:rsidR="00DF58BD" w:rsidRPr="00CC18E5">
        <w:rPr>
          <w:rFonts w:ascii="Times New Roman" w:eastAsia="Times New Roman" w:hAnsi="Times New Roman" w:cs="Times New Roman"/>
          <w:bCs/>
          <w:sz w:val="24"/>
          <w:szCs w:val="24"/>
          <w:lang w:eastAsia="en-AU"/>
        </w:rPr>
        <w:t xml:space="preserve">variation </w:t>
      </w:r>
      <w:r w:rsidR="00383561" w:rsidRPr="00CC18E5">
        <w:rPr>
          <w:rFonts w:ascii="Times New Roman" w:eastAsia="Times New Roman" w:hAnsi="Times New Roman" w:cs="Times New Roman"/>
          <w:bCs/>
          <w:sz w:val="24"/>
          <w:szCs w:val="24"/>
          <w:lang w:eastAsia="en-AU"/>
        </w:rPr>
        <w:t xml:space="preserve">rules are </w:t>
      </w:r>
      <w:r w:rsidR="00C1601E" w:rsidRPr="00CC18E5">
        <w:rPr>
          <w:rFonts w:ascii="Times New Roman" w:eastAsia="Times New Roman" w:hAnsi="Times New Roman" w:cs="Times New Roman"/>
          <w:bCs/>
          <w:sz w:val="24"/>
          <w:szCs w:val="24"/>
          <w:lang w:eastAsia="en-AU"/>
        </w:rPr>
        <w:t xml:space="preserve">now </w:t>
      </w:r>
      <w:r w:rsidR="00383561" w:rsidRPr="00CC18E5">
        <w:rPr>
          <w:rFonts w:ascii="Times New Roman" w:eastAsia="Times New Roman" w:hAnsi="Times New Roman" w:cs="Times New Roman"/>
          <w:bCs/>
          <w:sz w:val="24"/>
          <w:szCs w:val="24"/>
          <w:lang w:eastAsia="en-AU"/>
        </w:rPr>
        <w:t xml:space="preserve">identified in </w:t>
      </w:r>
      <w:r w:rsidR="00C1601E" w:rsidRPr="00CC18E5">
        <w:rPr>
          <w:rFonts w:ascii="Times New Roman" w:eastAsia="Times New Roman" w:hAnsi="Times New Roman" w:cs="Times New Roman"/>
          <w:bCs/>
          <w:sz w:val="24"/>
          <w:szCs w:val="24"/>
          <w:lang w:eastAsia="en-AU"/>
        </w:rPr>
        <w:t>a separate P</w:t>
      </w:r>
      <w:r w:rsidR="00383561" w:rsidRPr="00CC18E5">
        <w:rPr>
          <w:rFonts w:ascii="Times New Roman" w:eastAsia="Times New Roman" w:hAnsi="Times New Roman" w:cs="Times New Roman"/>
          <w:bCs/>
          <w:sz w:val="24"/>
          <w:szCs w:val="24"/>
          <w:lang w:eastAsia="en-AU"/>
        </w:rPr>
        <w:t>art 2 of Schedule 4 to this instrument.</w:t>
      </w:r>
      <w:r w:rsidR="00250929" w:rsidRPr="00CC18E5">
        <w:rPr>
          <w:rFonts w:ascii="Times New Roman" w:eastAsia="Times New Roman" w:hAnsi="Times New Roman" w:cs="Times New Roman"/>
          <w:bCs/>
          <w:sz w:val="24"/>
          <w:szCs w:val="24"/>
          <w:lang w:eastAsia="en-AU"/>
        </w:rPr>
        <w:t xml:space="preserve"> In the 2012 Listing Instrument these rules were outlined in </w:t>
      </w:r>
      <w:r w:rsidR="00416ADB" w:rsidRPr="00CC18E5">
        <w:rPr>
          <w:rFonts w:ascii="Times New Roman" w:eastAsia="Times New Roman" w:hAnsi="Times New Roman" w:cs="Times New Roman"/>
          <w:bCs/>
          <w:sz w:val="24"/>
          <w:szCs w:val="24"/>
          <w:lang w:eastAsia="en-AU"/>
        </w:rPr>
        <w:t xml:space="preserve">Part 1 of Schedule 4 to that instrument but it is more appropriate for these rules to be </w:t>
      </w:r>
      <w:r w:rsidR="005A5C44" w:rsidRPr="00CC18E5">
        <w:rPr>
          <w:rFonts w:ascii="Times New Roman" w:eastAsia="Times New Roman" w:hAnsi="Times New Roman" w:cs="Times New Roman"/>
          <w:bCs/>
          <w:sz w:val="24"/>
          <w:szCs w:val="24"/>
          <w:lang w:eastAsia="en-AU"/>
        </w:rPr>
        <w:t>outlined</w:t>
      </w:r>
      <w:r w:rsidR="00416ADB" w:rsidRPr="00CC18E5">
        <w:rPr>
          <w:rFonts w:ascii="Times New Roman" w:eastAsia="Times New Roman" w:hAnsi="Times New Roman" w:cs="Times New Roman"/>
          <w:bCs/>
          <w:sz w:val="24"/>
          <w:szCs w:val="24"/>
          <w:lang w:eastAsia="en-AU"/>
        </w:rPr>
        <w:t xml:space="preserve"> in a separate part of Schedule 4.</w:t>
      </w:r>
    </w:p>
    <w:p w14:paraId="10F188BF" w14:textId="77777777" w:rsidR="003968D2" w:rsidRPr="00CC18E5" w:rsidRDefault="003968D2" w:rsidP="00167955">
      <w:pPr>
        <w:spacing w:after="0" w:line="240" w:lineRule="auto"/>
        <w:rPr>
          <w:rFonts w:ascii="Times New Roman" w:eastAsia="Times New Roman" w:hAnsi="Times New Roman" w:cs="Times New Roman"/>
          <w:bCs/>
          <w:sz w:val="24"/>
          <w:szCs w:val="24"/>
          <w:lang w:eastAsia="en-AU"/>
        </w:rPr>
      </w:pPr>
    </w:p>
    <w:p w14:paraId="32180594" w14:textId="10899CC6" w:rsidR="003968D2" w:rsidRPr="009245DB" w:rsidRDefault="00234211" w:rsidP="00167955">
      <w:pPr>
        <w:spacing w:after="0" w:line="240" w:lineRule="auto"/>
        <w:rPr>
          <w:rFonts w:ascii="Times New Roman" w:eastAsia="Times New Roman" w:hAnsi="Times New Roman" w:cs="Times New Roman"/>
          <w:bCs/>
          <w:sz w:val="24"/>
          <w:szCs w:val="24"/>
          <w:lang w:eastAsia="en-AU"/>
        </w:rPr>
      </w:pPr>
      <w:r w:rsidRPr="00CC18E5">
        <w:rPr>
          <w:rFonts w:ascii="Times New Roman" w:eastAsia="Times New Roman" w:hAnsi="Times New Roman" w:cs="Times New Roman"/>
          <w:bCs/>
          <w:sz w:val="24"/>
          <w:szCs w:val="24"/>
          <w:lang w:eastAsia="en-AU"/>
        </w:rPr>
        <w:t>Apart from</w:t>
      </w:r>
      <w:r w:rsidR="00732A9E" w:rsidRPr="00CC18E5">
        <w:rPr>
          <w:rFonts w:ascii="Times New Roman" w:eastAsia="Times New Roman" w:hAnsi="Times New Roman" w:cs="Times New Roman"/>
          <w:bCs/>
          <w:sz w:val="24"/>
          <w:szCs w:val="24"/>
          <w:lang w:eastAsia="en-AU"/>
        </w:rPr>
        <w:t xml:space="preserve"> the</w:t>
      </w:r>
      <w:r w:rsidR="003337C9" w:rsidRPr="00CC18E5">
        <w:rPr>
          <w:rFonts w:ascii="Times New Roman" w:eastAsia="Times New Roman" w:hAnsi="Times New Roman" w:cs="Times New Roman"/>
          <w:bCs/>
          <w:sz w:val="24"/>
          <w:szCs w:val="24"/>
          <w:lang w:eastAsia="en-AU"/>
        </w:rPr>
        <w:t xml:space="preserve"> </w:t>
      </w:r>
      <w:r w:rsidR="00620345" w:rsidRPr="00CC18E5">
        <w:rPr>
          <w:rFonts w:ascii="Times New Roman" w:eastAsia="Times New Roman" w:hAnsi="Times New Roman" w:cs="Times New Roman"/>
          <w:bCs/>
          <w:sz w:val="24"/>
          <w:szCs w:val="24"/>
          <w:lang w:eastAsia="en-AU"/>
        </w:rPr>
        <w:t xml:space="preserve">previously mentioned </w:t>
      </w:r>
      <w:r w:rsidR="003337C9" w:rsidRPr="00CC18E5">
        <w:rPr>
          <w:rFonts w:ascii="Times New Roman" w:eastAsia="Times New Roman" w:hAnsi="Times New Roman" w:cs="Times New Roman"/>
          <w:bCs/>
          <w:sz w:val="24"/>
          <w:szCs w:val="24"/>
          <w:lang w:eastAsia="en-AU"/>
        </w:rPr>
        <w:t xml:space="preserve">new </w:t>
      </w:r>
      <w:r w:rsidR="00732A9E" w:rsidRPr="00CC18E5">
        <w:rPr>
          <w:rFonts w:ascii="Times New Roman" w:eastAsia="Times New Roman" w:hAnsi="Times New Roman" w:cs="Times New Roman"/>
          <w:bCs/>
          <w:sz w:val="24"/>
          <w:szCs w:val="24"/>
          <w:lang w:eastAsia="en-AU"/>
        </w:rPr>
        <w:t>provision in subsection 15(5), section</w:t>
      </w:r>
      <w:r w:rsidR="003968D2" w:rsidRPr="00CC18E5">
        <w:rPr>
          <w:rFonts w:ascii="Times New Roman" w:eastAsia="Times New Roman" w:hAnsi="Times New Roman" w:cs="Times New Roman"/>
          <w:bCs/>
          <w:sz w:val="24"/>
          <w:szCs w:val="24"/>
          <w:lang w:eastAsia="en-AU"/>
        </w:rPr>
        <w:t xml:space="preserve"> 15 corresponds to section </w:t>
      </w:r>
      <w:r w:rsidR="005A1F3C" w:rsidRPr="00CC18E5">
        <w:rPr>
          <w:rFonts w:ascii="Times New Roman" w:eastAsia="Times New Roman" w:hAnsi="Times New Roman" w:cs="Times New Roman"/>
          <w:bCs/>
          <w:sz w:val="24"/>
          <w:szCs w:val="24"/>
          <w:lang w:eastAsia="en-AU"/>
        </w:rPr>
        <w:t>17 and section 18</w:t>
      </w:r>
      <w:r w:rsidR="003968D2" w:rsidRPr="00CC18E5">
        <w:rPr>
          <w:rFonts w:ascii="Times New Roman" w:eastAsia="Times New Roman" w:hAnsi="Times New Roman" w:cs="Times New Roman"/>
          <w:bCs/>
          <w:sz w:val="24"/>
          <w:szCs w:val="24"/>
          <w:lang w:eastAsia="en-AU"/>
        </w:rPr>
        <w:t xml:space="preserve"> of the 2012 Listing Instrument.</w:t>
      </w:r>
    </w:p>
    <w:p w14:paraId="1B6CBEE4" w14:textId="77777777" w:rsidR="00122FCF" w:rsidRPr="009245DB" w:rsidRDefault="00122FCF" w:rsidP="00167955">
      <w:pPr>
        <w:spacing w:after="0" w:line="240" w:lineRule="auto"/>
        <w:rPr>
          <w:rFonts w:ascii="Times New Roman" w:eastAsia="Times New Roman" w:hAnsi="Times New Roman" w:cs="Times New Roman"/>
          <w:bCs/>
          <w:sz w:val="24"/>
          <w:szCs w:val="24"/>
          <w:lang w:eastAsia="en-AU"/>
        </w:rPr>
      </w:pPr>
    </w:p>
    <w:p w14:paraId="1C27D799" w14:textId="42600338" w:rsidR="009374D2" w:rsidRPr="009245DB" w:rsidRDefault="009374D2" w:rsidP="00167955">
      <w:pPr>
        <w:spacing w:after="0" w:line="240" w:lineRule="auto"/>
        <w:rPr>
          <w:rFonts w:ascii="Times New Roman" w:eastAsia="Times New Roman" w:hAnsi="Times New Roman" w:cs="Times New Roman"/>
          <w:b/>
          <w:sz w:val="24"/>
          <w:szCs w:val="24"/>
          <w:lang w:eastAsia="en-AU"/>
        </w:rPr>
      </w:pPr>
      <w:r w:rsidRPr="009245DB">
        <w:rPr>
          <w:rFonts w:ascii="Times New Roman" w:eastAsia="Times New Roman" w:hAnsi="Times New Roman" w:cs="Times New Roman"/>
          <w:b/>
          <w:sz w:val="24"/>
          <w:szCs w:val="24"/>
          <w:lang w:eastAsia="en-AU"/>
        </w:rPr>
        <w:lastRenderedPageBreak/>
        <w:t xml:space="preserve">Section </w:t>
      </w:r>
      <w:r w:rsidR="00F618BB" w:rsidRPr="009245DB">
        <w:rPr>
          <w:rFonts w:ascii="Times New Roman" w:eastAsia="Times New Roman" w:hAnsi="Times New Roman" w:cs="Times New Roman"/>
          <w:b/>
          <w:sz w:val="24"/>
          <w:szCs w:val="24"/>
          <w:lang w:eastAsia="en-AU"/>
        </w:rPr>
        <w:t>16</w:t>
      </w:r>
      <w:r w:rsidRPr="009245DB">
        <w:rPr>
          <w:rFonts w:ascii="Times New Roman" w:eastAsia="Times New Roman" w:hAnsi="Times New Roman" w:cs="Times New Roman"/>
          <w:b/>
          <w:sz w:val="24"/>
          <w:szCs w:val="24"/>
          <w:lang w:eastAsia="en-AU"/>
        </w:rPr>
        <w:t xml:space="preserve"> - Maximum number of repeats—ready</w:t>
      </w:r>
      <w:r w:rsidR="001A3EC1" w:rsidRPr="009245DB">
        <w:rPr>
          <w:rFonts w:ascii="Times New Roman" w:eastAsia="Times New Roman" w:hAnsi="Times New Roman" w:cs="Times New Roman"/>
          <w:b/>
          <w:sz w:val="24"/>
          <w:szCs w:val="24"/>
          <w:lang w:eastAsia="en-AU"/>
        </w:rPr>
        <w:t>-</w:t>
      </w:r>
      <w:r w:rsidRPr="009245DB">
        <w:rPr>
          <w:rFonts w:ascii="Times New Roman" w:eastAsia="Times New Roman" w:hAnsi="Times New Roman" w:cs="Times New Roman"/>
          <w:b/>
          <w:sz w:val="24"/>
          <w:szCs w:val="24"/>
          <w:lang w:eastAsia="en-AU"/>
        </w:rPr>
        <w:t>prepared pharmaceutical benefits (Act s</w:t>
      </w:r>
      <w:r w:rsidR="0057461D" w:rsidRPr="009245DB">
        <w:rPr>
          <w:rFonts w:ascii="Times New Roman" w:eastAsia="Times New Roman" w:hAnsi="Times New Roman" w:cs="Times New Roman"/>
          <w:b/>
          <w:sz w:val="24"/>
          <w:szCs w:val="24"/>
          <w:lang w:eastAsia="en-AU"/>
        </w:rPr>
        <w:t xml:space="preserve"> </w:t>
      </w:r>
      <w:r w:rsidRPr="009245DB">
        <w:rPr>
          <w:rFonts w:ascii="Times New Roman" w:eastAsia="Times New Roman" w:hAnsi="Times New Roman" w:cs="Times New Roman"/>
          <w:b/>
          <w:sz w:val="24"/>
          <w:szCs w:val="24"/>
          <w:lang w:eastAsia="en-AU"/>
        </w:rPr>
        <w:t>85A(2)(b), (2A) and (3A))</w:t>
      </w:r>
    </w:p>
    <w:p w14:paraId="075D809A" w14:textId="77777777" w:rsidR="00122FCF" w:rsidRPr="009245DB" w:rsidRDefault="00122FCF" w:rsidP="00167955">
      <w:pPr>
        <w:spacing w:after="0" w:line="240" w:lineRule="auto"/>
        <w:rPr>
          <w:rFonts w:ascii="Times New Roman" w:eastAsia="Times New Roman" w:hAnsi="Times New Roman" w:cs="Times New Roman"/>
          <w:bCs/>
          <w:sz w:val="24"/>
          <w:szCs w:val="24"/>
          <w:lang w:eastAsia="en-AU"/>
        </w:rPr>
      </w:pPr>
    </w:p>
    <w:p w14:paraId="0CAAAC0D" w14:textId="3ACBD6B0" w:rsidR="009B5FB9" w:rsidRPr="009245DB" w:rsidRDefault="00C30A06"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Subs</w:t>
      </w:r>
      <w:r w:rsidR="009B5FB9" w:rsidRPr="009245DB">
        <w:rPr>
          <w:rFonts w:ascii="Times New Roman" w:eastAsia="Times New Roman" w:hAnsi="Times New Roman" w:cs="Times New Roman"/>
          <w:bCs/>
          <w:sz w:val="24"/>
          <w:szCs w:val="24"/>
          <w:lang w:eastAsia="en-AU"/>
        </w:rPr>
        <w:t xml:space="preserve">ection </w:t>
      </w:r>
      <w:r>
        <w:rPr>
          <w:rFonts w:ascii="Times New Roman" w:eastAsia="Times New Roman" w:hAnsi="Times New Roman" w:cs="Times New Roman"/>
          <w:bCs/>
          <w:sz w:val="24"/>
          <w:szCs w:val="24"/>
          <w:lang w:eastAsia="en-AU"/>
        </w:rPr>
        <w:t xml:space="preserve">16(1) outlines that section 16 determines </w:t>
      </w:r>
      <w:r w:rsidR="009B5FB9" w:rsidRPr="009245DB">
        <w:rPr>
          <w:rFonts w:ascii="Times New Roman" w:eastAsia="Times New Roman" w:hAnsi="Times New Roman" w:cs="Times New Roman"/>
          <w:bCs/>
          <w:sz w:val="24"/>
          <w:szCs w:val="24"/>
          <w:lang w:eastAsia="en-AU"/>
        </w:rPr>
        <w:t>three matters affecting the writing, by authorised prescribers, of prescriptions for the supply of ready-prepared pharmaceutical benefits having a pharmaceutical item.</w:t>
      </w:r>
    </w:p>
    <w:p w14:paraId="0A9735AF" w14:textId="77777777" w:rsidR="009B5FB9" w:rsidRPr="009245DB" w:rsidRDefault="009B5FB9" w:rsidP="00167955">
      <w:pPr>
        <w:spacing w:after="0" w:line="240" w:lineRule="auto"/>
        <w:rPr>
          <w:rFonts w:ascii="Times New Roman" w:eastAsia="Times New Roman" w:hAnsi="Times New Roman" w:cs="Times New Roman"/>
          <w:bCs/>
          <w:sz w:val="24"/>
          <w:szCs w:val="24"/>
          <w:lang w:eastAsia="en-AU"/>
        </w:rPr>
      </w:pPr>
    </w:p>
    <w:p w14:paraId="65F32E93" w14:textId="7A5B0962" w:rsidR="009B5FB9" w:rsidRPr="009245DB" w:rsidRDefault="009B5FB9" w:rsidP="00167955">
      <w:pPr>
        <w:spacing w:after="0" w:line="240" w:lineRule="auto"/>
        <w:rPr>
          <w:rFonts w:ascii="Times New Roman" w:eastAsia="Times New Roman" w:hAnsi="Times New Roman" w:cs="Times New Roman"/>
          <w:bCs/>
          <w:sz w:val="24"/>
          <w:szCs w:val="24"/>
          <w:u w:val="single"/>
          <w:lang w:eastAsia="en-AU"/>
        </w:rPr>
      </w:pPr>
      <w:r w:rsidRPr="009245DB">
        <w:rPr>
          <w:rFonts w:ascii="Times New Roman" w:eastAsia="Times New Roman" w:hAnsi="Times New Roman" w:cs="Times New Roman"/>
          <w:bCs/>
          <w:sz w:val="24"/>
          <w:szCs w:val="24"/>
          <w:u w:val="single"/>
          <w:lang w:eastAsia="en-AU"/>
        </w:rPr>
        <w:t xml:space="preserve">Determination of maximum number of </w:t>
      </w:r>
      <w:r w:rsidR="00455904" w:rsidRPr="009245DB">
        <w:rPr>
          <w:rFonts w:ascii="Times New Roman" w:eastAsia="Times New Roman" w:hAnsi="Times New Roman" w:cs="Times New Roman"/>
          <w:bCs/>
          <w:sz w:val="24"/>
          <w:szCs w:val="24"/>
          <w:u w:val="single"/>
          <w:lang w:eastAsia="en-AU"/>
        </w:rPr>
        <w:t>repeats</w:t>
      </w:r>
    </w:p>
    <w:p w14:paraId="6541A57E" w14:textId="222C46F4" w:rsidR="00922429" w:rsidRDefault="00922429" w:rsidP="00167955">
      <w:pPr>
        <w:spacing w:after="0" w:line="240" w:lineRule="auto"/>
        <w:rPr>
          <w:rFonts w:ascii="Times New Roman" w:eastAsia="Times New Roman" w:hAnsi="Times New Roman" w:cs="Times New Roman"/>
          <w:bCs/>
          <w:sz w:val="24"/>
          <w:szCs w:val="24"/>
          <w:lang w:eastAsia="en-AU"/>
        </w:rPr>
      </w:pPr>
      <w:r w:rsidRPr="009245DB">
        <w:rPr>
          <w:rFonts w:ascii="Times New Roman" w:eastAsia="Times New Roman" w:hAnsi="Times New Roman" w:cs="Times New Roman"/>
          <w:bCs/>
          <w:sz w:val="24"/>
          <w:szCs w:val="24"/>
          <w:lang w:eastAsia="en-AU"/>
        </w:rPr>
        <w:t>Paragraph 85A(2)(b) of the Act provides that the Minister may determine the maximum number of occasions on which the supply of a pharmaceutical benefit may, in one prescription, be directed to be repeated. The Minister may determine the maximum number of repeats for all purposes or for particular purposes.</w:t>
      </w:r>
    </w:p>
    <w:p w14:paraId="0ED28F30" w14:textId="77777777" w:rsidR="00DC1A12" w:rsidRPr="009245DB" w:rsidRDefault="00DC1A12" w:rsidP="00167955">
      <w:pPr>
        <w:spacing w:after="0" w:line="240" w:lineRule="auto"/>
        <w:rPr>
          <w:rFonts w:ascii="Times New Roman" w:eastAsia="Times New Roman" w:hAnsi="Times New Roman" w:cs="Times New Roman"/>
          <w:bCs/>
          <w:sz w:val="24"/>
          <w:szCs w:val="24"/>
          <w:lang w:eastAsia="en-AU"/>
        </w:rPr>
      </w:pPr>
    </w:p>
    <w:p w14:paraId="03C9FC52" w14:textId="0A5005F0" w:rsidR="00A462CE" w:rsidRPr="009245DB" w:rsidRDefault="00A462CE" w:rsidP="00167955">
      <w:pPr>
        <w:spacing w:after="0" w:line="240" w:lineRule="auto"/>
        <w:rPr>
          <w:rFonts w:ascii="Times New Roman" w:eastAsia="Times New Roman" w:hAnsi="Times New Roman" w:cs="Times New Roman"/>
          <w:bCs/>
          <w:sz w:val="24"/>
          <w:szCs w:val="24"/>
          <w:lang w:eastAsia="en-AU"/>
        </w:rPr>
      </w:pPr>
      <w:r w:rsidRPr="009245DB">
        <w:rPr>
          <w:rFonts w:ascii="Times New Roman" w:eastAsia="Times New Roman" w:hAnsi="Times New Roman" w:cs="Times New Roman"/>
          <w:bCs/>
          <w:sz w:val="24"/>
          <w:szCs w:val="24"/>
          <w:lang w:eastAsia="en-AU"/>
        </w:rPr>
        <w:t xml:space="preserve">Subsection </w:t>
      </w:r>
      <w:r w:rsidR="00F618BB" w:rsidRPr="009245DB">
        <w:rPr>
          <w:rFonts w:ascii="Times New Roman" w:eastAsia="Times New Roman" w:hAnsi="Times New Roman" w:cs="Times New Roman"/>
          <w:bCs/>
          <w:sz w:val="24"/>
          <w:szCs w:val="24"/>
          <w:lang w:eastAsia="en-AU"/>
        </w:rPr>
        <w:t>16</w:t>
      </w:r>
      <w:r w:rsidRPr="009245DB">
        <w:rPr>
          <w:rFonts w:ascii="Times New Roman" w:eastAsia="Times New Roman" w:hAnsi="Times New Roman" w:cs="Times New Roman"/>
          <w:bCs/>
          <w:sz w:val="24"/>
          <w:szCs w:val="24"/>
          <w:lang w:eastAsia="en-AU"/>
        </w:rPr>
        <w:t xml:space="preserve">(2) </w:t>
      </w:r>
      <w:r w:rsidR="00B70E27">
        <w:rPr>
          <w:rFonts w:ascii="Times New Roman" w:eastAsia="Times New Roman" w:hAnsi="Times New Roman" w:cs="Times New Roman"/>
          <w:bCs/>
          <w:sz w:val="24"/>
          <w:szCs w:val="24"/>
          <w:lang w:eastAsia="en-AU"/>
        </w:rPr>
        <w:t xml:space="preserve">of the 2024 Listing Instrument </w:t>
      </w:r>
      <w:r w:rsidRPr="009245DB">
        <w:rPr>
          <w:rFonts w:ascii="Times New Roman" w:eastAsia="Times New Roman" w:hAnsi="Times New Roman" w:cs="Times New Roman"/>
          <w:bCs/>
          <w:sz w:val="24"/>
          <w:szCs w:val="24"/>
          <w:lang w:eastAsia="en-AU"/>
        </w:rPr>
        <w:t>provides that, if only one number is mentioned in the column of the table in Part 1 of Schedule 1 headed “</w:t>
      </w:r>
      <w:r w:rsidR="00056571" w:rsidRPr="009245DB">
        <w:rPr>
          <w:rFonts w:ascii="Times New Roman" w:eastAsia="Times New Roman" w:hAnsi="Times New Roman" w:cs="Times New Roman"/>
          <w:bCs/>
          <w:sz w:val="24"/>
          <w:szCs w:val="24"/>
          <w:lang w:eastAsia="en-AU"/>
        </w:rPr>
        <w:t>Number of Repeats</w:t>
      </w:r>
      <w:r w:rsidRPr="009245DB">
        <w:rPr>
          <w:rFonts w:ascii="Times New Roman" w:eastAsia="Times New Roman" w:hAnsi="Times New Roman" w:cs="Times New Roman"/>
          <w:bCs/>
          <w:sz w:val="24"/>
          <w:szCs w:val="24"/>
          <w:lang w:eastAsia="en-AU"/>
        </w:rPr>
        <w:t>”</w:t>
      </w:r>
      <w:r w:rsidR="00DA13E8">
        <w:rPr>
          <w:rFonts w:ascii="Times New Roman" w:eastAsia="Times New Roman" w:hAnsi="Times New Roman" w:cs="Times New Roman"/>
          <w:bCs/>
          <w:sz w:val="24"/>
          <w:szCs w:val="24"/>
          <w:lang w:eastAsia="en-AU"/>
        </w:rPr>
        <w:t xml:space="preserve"> (the “repeats column”)</w:t>
      </w:r>
      <w:r w:rsidRPr="009245DB">
        <w:rPr>
          <w:rFonts w:ascii="Times New Roman" w:eastAsia="Times New Roman" w:hAnsi="Times New Roman" w:cs="Times New Roman"/>
          <w:bCs/>
          <w:sz w:val="24"/>
          <w:szCs w:val="24"/>
          <w:lang w:eastAsia="en-AU"/>
        </w:rPr>
        <w:t xml:space="preserve">, </w:t>
      </w:r>
      <w:r w:rsidR="00D578D7" w:rsidRPr="009245DB">
        <w:rPr>
          <w:rFonts w:ascii="Times New Roman" w:eastAsia="Times New Roman" w:hAnsi="Times New Roman" w:cs="Times New Roman"/>
          <w:bCs/>
          <w:sz w:val="24"/>
          <w:szCs w:val="24"/>
          <w:lang w:eastAsia="en-AU"/>
        </w:rPr>
        <w:t xml:space="preserve">in relation to </w:t>
      </w:r>
      <w:r w:rsidR="00DA626E" w:rsidRPr="009245DB">
        <w:rPr>
          <w:rFonts w:ascii="Times New Roman" w:eastAsia="Times New Roman" w:hAnsi="Times New Roman" w:cs="Times New Roman"/>
          <w:bCs/>
          <w:sz w:val="24"/>
          <w:szCs w:val="24"/>
          <w:lang w:eastAsia="en-AU"/>
        </w:rPr>
        <w:t xml:space="preserve">the pharmaceutical benefit and a kind of authorised prescriber, </w:t>
      </w:r>
      <w:r w:rsidRPr="009245DB">
        <w:rPr>
          <w:rFonts w:ascii="Times New Roman" w:eastAsia="Times New Roman" w:hAnsi="Times New Roman" w:cs="Times New Roman"/>
          <w:bCs/>
          <w:sz w:val="24"/>
          <w:szCs w:val="24"/>
          <w:lang w:eastAsia="en-AU"/>
        </w:rPr>
        <w:t xml:space="preserve">that number is the </w:t>
      </w:r>
      <w:r w:rsidR="00586FCD" w:rsidRPr="009245DB">
        <w:rPr>
          <w:rFonts w:ascii="Times New Roman" w:eastAsia="Times New Roman" w:hAnsi="Times New Roman" w:cs="Times New Roman"/>
          <w:bCs/>
          <w:sz w:val="24"/>
          <w:szCs w:val="24"/>
          <w:lang w:eastAsia="en-AU"/>
        </w:rPr>
        <w:t>maximum number of occasions</w:t>
      </w:r>
      <w:r w:rsidRPr="009245DB">
        <w:rPr>
          <w:rFonts w:ascii="Times New Roman" w:eastAsia="Times New Roman" w:hAnsi="Times New Roman" w:cs="Times New Roman"/>
          <w:bCs/>
          <w:sz w:val="24"/>
          <w:szCs w:val="24"/>
          <w:lang w:eastAsia="en-AU"/>
        </w:rPr>
        <w:t xml:space="preserve"> </w:t>
      </w:r>
      <w:r w:rsidR="00B93A0D">
        <w:rPr>
          <w:rFonts w:ascii="Times New Roman" w:eastAsia="Times New Roman" w:hAnsi="Times New Roman" w:cs="Times New Roman"/>
          <w:bCs/>
          <w:sz w:val="24"/>
          <w:szCs w:val="24"/>
          <w:lang w:eastAsia="en-AU"/>
        </w:rPr>
        <w:t>that a supply of the pharmaceutical benefit</w:t>
      </w:r>
      <w:r w:rsidRPr="009245DB">
        <w:rPr>
          <w:rFonts w:ascii="Times New Roman" w:eastAsia="Times New Roman" w:hAnsi="Times New Roman" w:cs="Times New Roman"/>
          <w:bCs/>
          <w:sz w:val="24"/>
          <w:szCs w:val="24"/>
          <w:lang w:eastAsia="en-AU"/>
        </w:rPr>
        <w:t xml:space="preserve"> can be </w:t>
      </w:r>
      <w:r w:rsidR="00B93A0D">
        <w:rPr>
          <w:rFonts w:ascii="Times New Roman" w:eastAsia="Times New Roman" w:hAnsi="Times New Roman" w:cs="Times New Roman"/>
          <w:bCs/>
          <w:sz w:val="24"/>
          <w:szCs w:val="24"/>
          <w:lang w:eastAsia="en-AU"/>
        </w:rPr>
        <w:t xml:space="preserve">directed in one </w:t>
      </w:r>
      <w:r w:rsidRPr="009245DB">
        <w:rPr>
          <w:rFonts w:ascii="Times New Roman" w:eastAsia="Times New Roman" w:hAnsi="Times New Roman" w:cs="Times New Roman"/>
          <w:bCs/>
          <w:sz w:val="24"/>
          <w:szCs w:val="24"/>
          <w:lang w:eastAsia="en-AU"/>
        </w:rPr>
        <w:t>prescri</w:t>
      </w:r>
      <w:r w:rsidR="00B93A0D">
        <w:rPr>
          <w:rFonts w:ascii="Times New Roman" w:eastAsia="Times New Roman" w:hAnsi="Times New Roman" w:cs="Times New Roman"/>
          <w:bCs/>
          <w:sz w:val="24"/>
          <w:szCs w:val="24"/>
          <w:lang w:eastAsia="en-AU"/>
        </w:rPr>
        <w:t>ption</w:t>
      </w:r>
      <w:r w:rsidRPr="009245DB">
        <w:rPr>
          <w:rFonts w:ascii="Times New Roman" w:eastAsia="Times New Roman" w:hAnsi="Times New Roman" w:cs="Times New Roman"/>
          <w:bCs/>
          <w:sz w:val="24"/>
          <w:szCs w:val="24"/>
          <w:lang w:eastAsia="en-AU"/>
        </w:rPr>
        <w:t xml:space="preserve"> by an authorised prescriber for all purposes.</w:t>
      </w:r>
    </w:p>
    <w:p w14:paraId="21940FFD" w14:textId="77777777" w:rsidR="00D43BB9" w:rsidRPr="009245DB" w:rsidRDefault="00D43BB9" w:rsidP="00167955">
      <w:pPr>
        <w:spacing w:after="0" w:line="240" w:lineRule="auto"/>
        <w:rPr>
          <w:rFonts w:ascii="Times New Roman" w:eastAsia="Times New Roman" w:hAnsi="Times New Roman" w:cs="Times New Roman"/>
          <w:bCs/>
          <w:sz w:val="24"/>
          <w:szCs w:val="24"/>
          <w:lang w:eastAsia="en-AU"/>
        </w:rPr>
      </w:pPr>
    </w:p>
    <w:p w14:paraId="58982C88" w14:textId="71B5C251" w:rsidR="00E053FF" w:rsidRPr="009245DB" w:rsidRDefault="000A4C4D"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E053FF" w:rsidRPr="009245DB">
        <w:rPr>
          <w:rFonts w:ascii="Times New Roman" w:eastAsia="Times New Roman" w:hAnsi="Times New Roman" w:cs="Times New Roman"/>
          <w:bCs/>
          <w:sz w:val="24"/>
          <w:szCs w:val="24"/>
          <w:lang w:eastAsia="en-AU"/>
        </w:rPr>
        <w:t xml:space="preserve">ubsection </w:t>
      </w:r>
      <w:r w:rsidR="00F618BB" w:rsidRPr="009245DB">
        <w:rPr>
          <w:rFonts w:ascii="Times New Roman" w:eastAsia="Times New Roman" w:hAnsi="Times New Roman" w:cs="Times New Roman"/>
          <w:bCs/>
          <w:sz w:val="24"/>
          <w:szCs w:val="24"/>
          <w:lang w:eastAsia="en-AU"/>
        </w:rPr>
        <w:t>16</w:t>
      </w:r>
      <w:r w:rsidR="00E053FF" w:rsidRPr="009245DB">
        <w:rPr>
          <w:rFonts w:ascii="Times New Roman" w:eastAsia="Times New Roman" w:hAnsi="Times New Roman" w:cs="Times New Roman"/>
          <w:bCs/>
          <w:sz w:val="24"/>
          <w:szCs w:val="24"/>
          <w:lang w:eastAsia="en-AU"/>
        </w:rPr>
        <w:t xml:space="preserve">(3) </w:t>
      </w:r>
      <w:r w:rsidR="00943B61" w:rsidRPr="009245DB">
        <w:rPr>
          <w:rFonts w:ascii="Times New Roman" w:eastAsia="Times New Roman" w:hAnsi="Times New Roman" w:cs="Times New Roman"/>
          <w:bCs/>
          <w:sz w:val="24"/>
          <w:szCs w:val="24"/>
          <w:lang w:eastAsia="en-AU"/>
        </w:rPr>
        <w:t>sets out</w:t>
      </w:r>
      <w:r w:rsidR="00E053FF" w:rsidRPr="009245DB">
        <w:rPr>
          <w:rFonts w:ascii="Times New Roman" w:eastAsia="Times New Roman" w:hAnsi="Times New Roman" w:cs="Times New Roman"/>
          <w:bCs/>
          <w:sz w:val="24"/>
          <w:szCs w:val="24"/>
          <w:lang w:eastAsia="en-AU"/>
        </w:rPr>
        <w:t xml:space="preserve"> the rules regarding the maximum number of </w:t>
      </w:r>
      <w:r w:rsidR="00006AC1" w:rsidRPr="009245DB">
        <w:rPr>
          <w:rFonts w:ascii="Times New Roman" w:eastAsia="Times New Roman" w:hAnsi="Times New Roman" w:cs="Times New Roman"/>
          <w:bCs/>
          <w:sz w:val="24"/>
          <w:szCs w:val="24"/>
          <w:lang w:eastAsia="en-AU"/>
        </w:rPr>
        <w:t xml:space="preserve">repeats </w:t>
      </w:r>
      <w:r>
        <w:rPr>
          <w:rFonts w:ascii="Times New Roman" w:eastAsia="Times New Roman" w:hAnsi="Times New Roman" w:cs="Times New Roman"/>
          <w:bCs/>
          <w:sz w:val="24"/>
          <w:szCs w:val="24"/>
          <w:lang w:eastAsia="en-AU"/>
        </w:rPr>
        <w:t xml:space="preserve">where more than one </w:t>
      </w:r>
      <w:r w:rsidR="005122A8">
        <w:rPr>
          <w:rFonts w:ascii="Times New Roman" w:eastAsia="Times New Roman" w:hAnsi="Times New Roman" w:cs="Times New Roman"/>
          <w:bCs/>
          <w:sz w:val="24"/>
          <w:szCs w:val="24"/>
          <w:lang w:eastAsia="en-AU"/>
        </w:rPr>
        <w:t xml:space="preserve">number is mentioned in the </w:t>
      </w:r>
      <w:r w:rsidR="00025630">
        <w:rPr>
          <w:rFonts w:ascii="Times New Roman" w:eastAsia="Times New Roman" w:hAnsi="Times New Roman" w:cs="Times New Roman"/>
          <w:bCs/>
          <w:sz w:val="24"/>
          <w:szCs w:val="24"/>
          <w:lang w:eastAsia="en-AU"/>
        </w:rPr>
        <w:t xml:space="preserve">repeats </w:t>
      </w:r>
      <w:r w:rsidR="005122A8">
        <w:rPr>
          <w:rFonts w:ascii="Times New Roman" w:eastAsia="Times New Roman" w:hAnsi="Times New Roman" w:cs="Times New Roman"/>
          <w:bCs/>
          <w:sz w:val="24"/>
          <w:szCs w:val="24"/>
          <w:lang w:eastAsia="en-AU"/>
        </w:rPr>
        <w:t>column</w:t>
      </w:r>
      <w:r w:rsidR="00E053FF" w:rsidRPr="009245DB">
        <w:rPr>
          <w:rFonts w:ascii="Times New Roman" w:eastAsia="Times New Roman" w:hAnsi="Times New Roman" w:cs="Times New Roman"/>
          <w:bCs/>
          <w:sz w:val="24"/>
          <w:szCs w:val="24"/>
          <w:lang w:eastAsia="en-AU"/>
        </w:rPr>
        <w:t>.</w:t>
      </w:r>
      <w:r w:rsidR="008962EF">
        <w:rPr>
          <w:rFonts w:ascii="Times New Roman" w:eastAsia="Times New Roman" w:hAnsi="Times New Roman" w:cs="Times New Roman"/>
          <w:bCs/>
          <w:sz w:val="24"/>
          <w:szCs w:val="24"/>
          <w:lang w:eastAsia="en-AU"/>
        </w:rPr>
        <w:t xml:space="preserve"> It provides:</w:t>
      </w:r>
    </w:p>
    <w:p w14:paraId="2187F60F" w14:textId="3B008FE5" w:rsidR="00E053FF" w:rsidRPr="00A22E0C" w:rsidRDefault="00E053FF" w:rsidP="00102702">
      <w:pPr>
        <w:pStyle w:val="ListParagraph"/>
        <w:numPr>
          <w:ilvl w:val="0"/>
          <w:numId w:val="32"/>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where a purposes code is mentioned in the column of the table </w:t>
      </w:r>
      <w:r w:rsidR="004F1359" w:rsidRPr="00A22E0C">
        <w:rPr>
          <w:rFonts w:ascii="Times New Roman" w:eastAsia="Times New Roman" w:hAnsi="Times New Roman" w:cs="Times New Roman"/>
          <w:bCs/>
          <w:sz w:val="24"/>
          <w:szCs w:val="24"/>
          <w:lang w:eastAsia="en-AU"/>
        </w:rPr>
        <w:t xml:space="preserve">in Part 1 of Schedule 1 </w:t>
      </w:r>
      <w:r w:rsidRPr="00A22E0C">
        <w:rPr>
          <w:rFonts w:ascii="Times New Roman" w:eastAsia="Times New Roman" w:hAnsi="Times New Roman" w:cs="Times New Roman"/>
          <w:bCs/>
          <w:sz w:val="24"/>
          <w:szCs w:val="24"/>
          <w:lang w:eastAsia="en-AU"/>
        </w:rPr>
        <w:t>headed “Purposes”</w:t>
      </w:r>
      <w:r w:rsidR="005527D8" w:rsidRPr="00A22E0C">
        <w:rPr>
          <w:rFonts w:ascii="Times New Roman" w:eastAsia="Times New Roman" w:hAnsi="Times New Roman" w:cs="Times New Roman"/>
          <w:bCs/>
          <w:sz w:val="24"/>
          <w:szCs w:val="24"/>
          <w:lang w:eastAsia="en-AU"/>
        </w:rPr>
        <w:t xml:space="preserve"> in relation to the number</w:t>
      </w:r>
      <w:r w:rsidR="009E700A" w:rsidRPr="00A22E0C">
        <w:rPr>
          <w:rFonts w:ascii="Times New Roman" w:eastAsia="Times New Roman" w:hAnsi="Times New Roman" w:cs="Times New Roman"/>
          <w:bCs/>
          <w:sz w:val="24"/>
          <w:szCs w:val="24"/>
          <w:lang w:eastAsia="en-AU"/>
        </w:rPr>
        <w:t xml:space="preserve"> of repeats</w:t>
      </w:r>
      <w:r w:rsidRPr="00A22E0C">
        <w:rPr>
          <w:rFonts w:ascii="Times New Roman" w:eastAsia="Times New Roman" w:hAnsi="Times New Roman" w:cs="Times New Roman"/>
          <w:bCs/>
          <w:sz w:val="24"/>
          <w:szCs w:val="24"/>
          <w:lang w:eastAsia="en-AU"/>
        </w:rPr>
        <w:t xml:space="preserve">, that number is the maximum number of </w:t>
      </w:r>
      <w:r w:rsidR="004F5E02" w:rsidRPr="00A22E0C">
        <w:rPr>
          <w:rFonts w:ascii="Times New Roman" w:eastAsia="Times New Roman" w:hAnsi="Times New Roman" w:cs="Times New Roman"/>
          <w:bCs/>
          <w:sz w:val="24"/>
          <w:szCs w:val="24"/>
          <w:lang w:eastAsia="en-AU"/>
        </w:rPr>
        <w:t>repeats</w:t>
      </w:r>
      <w:r w:rsidRPr="00A22E0C">
        <w:rPr>
          <w:rFonts w:ascii="Times New Roman" w:eastAsia="Times New Roman" w:hAnsi="Times New Roman" w:cs="Times New Roman"/>
          <w:bCs/>
          <w:sz w:val="24"/>
          <w:szCs w:val="24"/>
          <w:lang w:eastAsia="en-AU"/>
        </w:rPr>
        <w:t xml:space="preserve"> of the pharmaceutical item for that kind of authorised prescriber for the purposes mentioned in the table in Part 1 of Schedule 4 for that purposes code</w:t>
      </w:r>
      <w:r w:rsidR="003122FC">
        <w:rPr>
          <w:rFonts w:ascii="Times New Roman" w:eastAsia="Times New Roman" w:hAnsi="Times New Roman" w:cs="Times New Roman"/>
          <w:bCs/>
          <w:sz w:val="24"/>
          <w:szCs w:val="24"/>
          <w:lang w:eastAsia="en-AU"/>
        </w:rPr>
        <w:t xml:space="preserve"> (see </w:t>
      </w:r>
      <w:r w:rsidR="003122FC" w:rsidRPr="00A22E0C">
        <w:rPr>
          <w:rFonts w:ascii="Times New Roman" w:eastAsia="Times New Roman" w:hAnsi="Times New Roman" w:cs="Times New Roman"/>
          <w:bCs/>
          <w:sz w:val="24"/>
          <w:szCs w:val="24"/>
          <w:lang w:eastAsia="en-AU"/>
        </w:rPr>
        <w:t>paragraph 16(3)(a)</w:t>
      </w:r>
      <w:r w:rsidR="003122FC">
        <w:rPr>
          <w:rFonts w:ascii="Times New Roman" w:eastAsia="Times New Roman" w:hAnsi="Times New Roman" w:cs="Times New Roman"/>
          <w:bCs/>
          <w:sz w:val="24"/>
          <w:szCs w:val="24"/>
          <w:lang w:eastAsia="en-AU"/>
        </w:rPr>
        <w:t>)</w:t>
      </w:r>
      <w:r w:rsidR="008962EF">
        <w:rPr>
          <w:rFonts w:ascii="Times New Roman" w:eastAsia="Times New Roman" w:hAnsi="Times New Roman" w:cs="Times New Roman"/>
          <w:bCs/>
          <w:sz w:val="24"/>
          <w:szCs w:val="24"/>
          <w:lang w:eastAsia="en-AU"/>
        </w:rPr>
        <w:t>; and</w:t>
      </w:r>
    </w:p>
    <w:p w14:paraId="6A43B397" w14:textId="3B8F9D2E" w:rsidR="00E053FF" w:rsidRPr="00A22E0C" w:rsidRDefault="00E053FF" w:rsidP="00102702">
      <w:pPr>
        <w:pStyle w:val="ListParagraph"/>
        <w:numPr>
          <w:ilvl w:val="0"/>
          <w:numId w:val="32"/>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A22E0C">
        <w:rPr>
          <w:rFonts w:ascii="Times New Roman" w:eastAsia="Times New Roman" w:hAnsi="Times New Roman" w:cs="Times New Roman"/>
          <w:bCs/>
          <w:sz w:val="24"/>
          <w:szCs w:val="24"/>
          <w:lang w:eastAsia="en-AU"/>
        </w:rPr>
        <w:t xml:space="preserve">where </w:t>
      </w:r>
      <w:r w:rsidR="008962EF">
        <w:rPr>
          <w:rFonts w:ascii="Times New Roman" w:eastAsia="Times New Roman" w:hAnsi="Times New Roman" w:cs="Times New Roman"/>
          <w:bCs/>
          <w:sz w:val="24"/>
          <w:szCs w:val="24"/>
          <w:lang w:eastAsia="en-AU"/>
        </w:rPr>
        <w:t>no</w:t>
      </w:r>
      <w:r w:rsidRPr="00A22E0C">
        <w:rPr>
          <w:rFonts w:ascii="Times New Roman" w:eastAsia="Times New Roman" w:hAnsi="Times New Roman" w:cs="Times New Roman"/>
          <w:bCs/>
          <w:sz w:val="24"/>
          <w:szCs w:val="24"/>
          <w:lang w:eastAsia="en-AU"/>
        </w:rPr>
        <w:t xml:space="preserve"> purposes code is mentioned </w:t>
      </w:r>
      <w:r w:rsidR="003D44D7" w:rsidRPr="00A22E0C">
        <w:rPr>
          <w:rFonts w:ascii="Times New Roman" w:eastAsia="Times New Roman" w:hAnsi="Times New Roman" w:cs="Times New Roman"/>
          <w:bCs/>
          <w:sz w:val="24"/>
          <w:szCs w:val="24"/>
          <w:lang w:eastAsia="en-AU"/>
        </w:rPr>
        <w:t>in relation to the number of repeats</w:t>
      </w:r>
      <w:r w:rsidRPr="00A22E0C">
        <w:rPr>
          <w:rFonts w:ascii="Times New Roman" w:eastAsia="Times New Roman" w:hAnsi="Times New Roman" w:cs="Times New Roman"/>
          <w:bCs/>
          <w:sz w:val="24"/>
          <w:szCs w:val="24"/>
          <w:lang w:eastAsia="en-AU"/>
        </w:rPr>
        <w:t>, that number</w:t>
      </w:r>
      <w:r w:rsidRPr="009245DB">
        <w:t xml:space="preserve"> </w:t>
      </w:r>
      <w:r w:rsidRPr="00A22E0C">
        <w:rPr>
          <w:rFonts w:ascii="Times New Roman" w:eastAsia="Times New Roman" w:hAnsi="Times New Roman" w:cs="Times New Roman"/>
          <w:bCs/>
          <w:sz w:val="24"/>
          <w:szCs w:val="24"/>
          <w:lang w:eastAsia="en-AU"/>
        </w:rPr>
        <w:t xml:space="preserve">is the maximum number of </w:t>
      </w:r>
      <w:r w:rsidR="00F75D55" w:rsidRPr="00A22E0C">
        <w:rPr>
          <w:rFonts w:ascii="Times New Roman" w:eastAsia="Times New Roman" w:hAnsi="Times New Roman" w:cs="Times New Roman"/>
          <w:bCs/>
          <w:sz w:val="24"/>
          <w:szCs w:val="24"/>
          <w:lang w:eastAsia="en-AU"/>
        </w:rPr>
        <w:t>repeats</w:t>
      </w:r>
      <w:r w:rsidRPr="00A22E0C">
        <w:rPr>
          <w:rFonts w:ascii="Times New Roman" w:eastAsia="Times New Roman" w:hAnsi="Times New Roman" w:cs="Times New Roman"/>
          <w:bCs/>
          <w:sz w:val="24"/>
          <w:szCs w:val="24"/>
          <w:lang w:eastAsia="en-AU"/>
        </w:rPr>
        <w:t xml:space="preserve"> of the pharmaceutical item for that kind of authorised prescriber for all purposes other than purposes to which paragraph </w:t>
      </w:r>
      <w:r w:rsidR="00F618BB" w:rsidRPr="00A22E0C">
        <w:rPr>
          <w:rFonts w:ascii="Times New Roman" w:eastAsia="Times New Roman" w:hAnsi="Times New Roman" w:cs="Times New Roman"/>
          <w:bCs/>
          <w:sz w:val="24"/>
          <w:szCs w:val="24"/>
          <w:lang w:eastAsia="en-AU"/>
        </w:rPr>
        <w:t>16</w:t>
      </w:r>
      <w:r w:rsidRPr="00A22E0C">
        <w:rPr>
          <w:rFonts w:ascii="Times New Roman" w:eastAsia="Times New Roman" w:hAnsi="Times New Roman" w:cs="Times New Roman"/>
          <w:bCs/>
          <w:sz w:val="24"/>
          <w:szCs w:val="24"/>
          <w:lang w:eastAsia="en-AU"/>
        </w:rPr>
        <w:t>(3)(a) applies</w:t>
      </w:r>
      <w:r w:rsidR="003122FC">
        <w:rPr>
          <w:rFonts w:ascii="Times New Roman" w:eastAsia="Times New Roman" w:hAnsi="Times New Roman" w:cs="Times New Roman"/>
          <w:bCs/>
          <w:sz w:val="24"/>
          <w:szCs w:val="24"/>
          <w:lang w:eastAsia="en-AU"/>
        </w:rPr>
        <w:t xml:space="preserve"> (see </w:t>
      </w:r>
      <w:r w:rsidR="003122FC" w:rsidRPr="00A22E0C">
        <w:rPr>
          <w:rFonts w:ascii="Times New Roman" w:eastAsia="Times New Roman" w:hAnsi="Times New Roman" w:cs="Times New Roman"/>
          <w:bCs/>
          <w:sz w:val="24"/>
          <w:szCs w:val="24"/>
          <w:lang w:eastAsia="en-AU"/>
        </w:rPr>
        <w:t>paragraph 16(3)(</w:t>
      </w:r>
      <w:r w:rsidR="003122FC">
        <w:rPr>
          <w:rFonts w:ascii="Times New Roman" w:eastAsia="Times New Roman" w:hAnsi="Times New Roman" w:cs="Times New Roman"/>
          <w:bCs/>
          <w:sz w:val="24"/>
          <w:szCs w:val="24"/>
          <w:lang w:eastAsia="en-AU"/>
        </w:rPr>
        <w:t>b</w:t>
      </w:r>
      <w:r w:rsidR="003122FC" w:rsidRPr="00A22E0C">
        <w:rPr>
          <w:rFonts w:ascii="Times New Roman" w:eastAsia="Times New Roman" w:hAnsi="Times New Roman" w:cs="Times New Roman"/>
          <w:bCs/>
          <w:sz w:val="24"/>
          <w:szCs w:val="24"/>
          <w:lang w:eastAsia="en-AU"/>
        </w:rPr>
        <w:t>)</w:t>
      </w:r>
      <w:r w:rsidR="003122FC">
        <w:rPr>
          <w:rFonts w:ascii="Times New Roman" w:eastAsia="Times New Roman" w:hAnsi="Times New Roman" w:cs="Times New Roman"/>
          <w:bCs/>
          <w:sz w:val="24"/>
          <w:szCs w:val="24"/>
          <w:lang w:eastAsia="en-AU"/>
        </w:rPr>
        <w:t>)</w:t>
      </w:r>
      <w:r w:rsidRPr="00A22E0C">
        <w:rPr>
          <w:rFonts w:ascii="Times New Roman" w:eastAsia="Times New Roman" w:hAnsi="Times New Roman" w:cs="Times New Roman"/>
          <w:bCs/>
          <w:sz w:val="24"/>
          <w:szCs w:val="24"/>
          <w:lang w:eastAsia="en-AU"/>
        </w:rPr>
        <w:t>.</w:t>
      </w:r>
    </w:p>
    <w:p w14:paraId="26E7530F" w14:textId="77777777" w:rsidR="00D43BB9" w:rsidRPr="009245DB" w:rsidRDefault="00D43BB9" w:rsidP="00167955">
      <w:pPr>
        <w:spacing w:after="0" w:line="240" w:lineRule="auto"/>
        <w:rPr>
          <w:rFonts w:ascii="Times New Roman" w:eastAsia="Times New Roman" w:hAnsi="Times New Roman" w:cs="Times New Roman"/>
          <w:bCs/>
          <w:sz w:val="24"/>
          <w:szCs w:val="24"/>
          <w:lang w:eastAsia="en-AU"/>
        </w:rPr>
      </w:pPr>
    </w:p>
    <w:p w14:paraId="0BAF6D95" w14:textId="583F9531" w:rsidR="00C00430" w:rsidRPr="009245DB" w:rsidRDefault="00C00430" w:rsidP="00167955">
      <w:pPr>
        <w:spacing w:after="0" w:line="240" w:lineRule="auto"/>
        <w:rPr>
          <w:rFonts w:ascii="Times New Roman" w:eastAsia="Times New Roman" w:hAnsi="Times New Roman" w:cs="Times New Roman"/>
          <w:bCs/>
          <w:sz w:val="24"/>
          <w:szCs w:val="24"/>
          <w:u w:val="single"/>
          <w:lang w:eastAsia="en-AU"/>
        </w:rPr>
      </w:pPr>
      <w:r w:rsidRPr="009245DB">
        <w:rPr>
          <w:rFonts w:ascii="Times New Roman" w:eastAsia="Times New Roman" w:hAnsi="Times New Roman" w:cs="Times New Roman"/>
          <w:bCs/>
          <w:sz w:val="24"/>
          <w:szCs w:val="24"/>
          <w:u w:val="single"/>
          <w:lang w:eastAsia="en-AU"/>
        </w:rPr>
        <w:t>Conditions for writing a prescription for the maximum number of repeats</w:t>
      </w:r>
    </w:p>
    <w:p w14:paraId="1F51B2AC" w14:textId="77777777" w:rsidR="00730A54" w:rsidRPr="009245DB" w:rsidRDefault="00730A54" w:rsidP="00167955">
      <w:pPr>
        <w:spacing w:after="0" w:line="240" w:lineRule="auto"/>
        <w:rPr>
          <w:rFonts w:ascii="Times New Roman" w:eastAsia="Times New Roman" w:hAnsi="Times New Roman" w:cs="Times New Roman"/>
          <w:bCs/>
          <w:sz w:val="24"/>
          <w:szCs w:val="24"/>
          <w:lang w:eastAsia="en-AU"/>
        </w:rPr>
      </w:pPr>
    </w:p>
    <w:p w14:paraId="2783E862" w14:textId="1F9D1784" w:rsidR="00C4234B" w:rsidRPr="009245DB" w:rsidRDefault="00354553"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311433">
        <w:rPr>
          <w:rFonts w:ascii="Times New Roman" w:eastAsia="Times New Roman" w:hAnsi="Times New Roman" w:cs="Times New Roman"/>
          <w:bCs/>
          <w:sz w:val="24"/>
          <w:szCs w:val="24"/>
          <w:lang w:eastAsia="en-AU"/>
        </w:rPr>
        <w:t>ubsection 16(4)</w:t>
      </w:r>
      <w:r w:rsidR="009B29FB" w:rsidRPr="009245DB">
        <w:rPr>
          <w:rFonts w:ascii="Times New Roman" w:eastAsia="Times New Roman" w:hAnsi="Times New Roman" w:cs="Times New Roman"/>
          <w:bCs/>
          <w:sz w:val="24"/>
          <w:szCs w:val="24"/>
          <w:lang w:eastAsia="en-AU"/>
        </w:rPr>
        <w:t xml:space="preserve"> sets out conditions that must be satisfied </w:t>
      </w:r>
      <w:r w:rsidR="00261C7D" w:rsidRPr="009245DB">
        <w:rPr>
          <w:rFonts w:ascii="Times New Roman" w:eastAsia="Times New Roman" w:hAnsi="Times New Roman" w:cs="Times New Roman"/>
          <w:bCs/>
          <w:sz w:val="24"/>
          <w:szCs w:val="24"/>
          <w:lang w:eastAsia="en-AU"/>
        </w:rPr>
        <w:t xml:space="preserve">by an authorised prescriber </w:t>
      </w:r>
      <w:r w:rsidR="009B29FB" w:rsidRPr="009245DB">
        <w:rPr>
          <w:rFonts w:ascii="Times New Roman" w:eastAsia="Times New Roman" w:hAnsi="Times New Roman" w:cs="Times New Roman"/>
          <w:bCs/>
          <w:sz w:val="24"/>
          <w:szCs w:val="24"/>
          <w:lang w:eastAsia="en-AU"/>
        </w:rPr>
        <w:t xml:space="preserve">when writing a prescription </w:t>
      </w:r>
      <w:r w:rsidR="00716B94" w:rsidRPr="009245DB">
        <w:rPr>
          <w:rFonts w:ascii="Times New Roman" w:eastAsia="Times New Roman" w:hAnsi="Times New Roman" w:cs="Times New Roman"/>
          <w:bCs/>
          <w:sz w:val="24"/>
          <w:szCs w:val="24"/>
          <w:lang w:eastAsia="en-AU"/>
        </w:rPr>
        <w:t>directing</w:t>
      </w:r>
      <w:r w:rsidR="00804634" w:rsidRPr="009245DB">
        <w:rPr>
          <w:rFonts w:ascii="Times New Roman" w:eastAsia="Times New Roman" w:hAnsi="Times New Roman" w:cs="Times New Roman"/>
          <w:bCs/>
          <w:sz w:val="24"/>
          <w:szCs w:val="24"/>
          <w:lang w:eastAsia="en-AU"/>
        </w:rPr>
        <w:t xml:space="preserve"> the maximum number of repeats for a pharmaceutical </w:t>
      </w:r>
      <w:r w:rsidR="00594995">
        <w:rPr>
          <w:rFonts w:ascii="Times New Roman" w:eastAsia="Times New Roman" w:hAnsi="Times New Roman" w:cs="Times New Roman"/>
          <w:bCs/>
          <w:sz w:val="24"/>
          <w:szCs w:val="24"/>
          <w:lang w:eastAsia="en-AU"/>
        </w:rPr>
        <w:t>benefit.</w:t>
      </w:r>
      <w:r>
        <w:rPr>
          <w:rFonts w:ascii="Times New Roman" w:eastAsia="Times New Roman" w:hAnsi="Times New Roman" w:cs="Times New Roman"/>
          <w:bCs/>
          <w:sz w:val="24"/>
          <w:szCs w:val="24"/>
          <w:lang w:eastAsia="en-AU"/>
        </w:rPr>
        <w:t xml:space="preserve"> It </w:t>
      </w:r>
      <w:r w:rsidR="00C4234B" w:rsidRPr="009245DB">
        <w:rPr>
          <w:rFonts w:ascii="Times New Roman" w:eastAsia="Times New Roman" w:hAnsi="Times New Roman" w:cs="Times New Roman"/>
          <w:bCs/>
          <w:sz w:val="24"/>
          <w:szCs w:val="24"/>
          <w:lang w:eastAsia="en-AU"/>
        </w:rPr>
        <w:t xml:space="preserve">provides that, if the </w:t>
      </w:r>
      <w:r w:rsidR="00025630">
        <w:rPr>
          <w:rFonts w:ascii="Times New Roman" w:eastAsia="Times New Roman" w:hAnsi="Times New Roman" w:cs="Times New Roman"/>
          <w:bCs/>
          <w:sz w:val="24"/>
          <w:szCs w:val="24"/>
          <w:lang w:eastAsia="en-AU"/>
        </w:rPr>
        <w:t xml:space="preserve">repeats </w:t>
      </w:r>
      <w:r w:rsidR="00C4234B" w:rsidRPr="009245DB">
        <w:rPr>
          <w:rFonts w:ascii="Times New Roman" w:eastAsia="Times New Roman" w:hAnsi="Times New Roman" w:cs="Times New Roman"/>
          <w:bCs/>
          <w:sz w:val="24"/>
          <w:szCs w:val="24"/>
          <w:lang w:eastAsia="en-AU"/>
        </w:rPr>
        <w:t xml:space="preserve">column includes a conditions code </w:t>
      </w:r>
      <w:r w:rsidR="007C2085" w:rsidRPr="009245DB">
        <w:rPr>
          <w:rFonts w:ascii="Times New Roman" w:eastAsia="Times New Roman" w:hAnsi="Times New Roman" w:cs="Times New Roman"/>
          <w:bCs/>
          <w:sz w:val="24"/>
          <w:szCs w:val="24"/>
          <w:lang w:eastAsia="en-AU"/>
        </w:rPr>
        <w:t xml:space="preserve">together with the maximum number of </w:t>
      </w:r>
      <w:r w:rsidR="00BA0EB0" w:rsidRPr="009245DB">
        <w:rPr>
          <w:rFonts w:ascii="Times New Roman" w:eastAsia="Times New Roman" w:hAnsi="Times New Roman" w:cs="Times New Roman"/>
          <w:bCs/>
          <w:sz w:val="24"/>
          <w:szCs w:val="24"/>
          <w:lang w:eastAsia="en-AU"/>
        </w:rPr>
        <w:t>repeats</w:t>
      </w:r>
      <w:r w:rsidR="00C4234B" w:rsidRPr="009245DB">
        <w:rPr>
          <w:rFonts w:ascii="Times New Roman" w:eastAsia="Times New Roman" w:hAnsi="Times New Roman" w:cs="Times New Roman"/>
          <w:bCs/>
          <w:sz w:val="24"/>
          <w:szCs w:val="24"/>
          <w:lang w:eastAsia="en-AU"/>
        </w:rPr>
        <w:t xml:space="preserve">, it is a condition when writing a prescription to which that maximum applies that </w:t>
      </w:r>
      <w:r w:rsidR="0048747B" w:rsidRPr="009245DB">
        <w:rPr>
          <w:rFonts w:ascii="Times New Roman" w:eastAsia="Times New Roman" w:hAnsi="Times New Roman" w:cs="Times New Roman"/>
          <w:bCs/>
          <w:sz w:val="24"/>
          <w:szCs w:val="24"/>
          <w:lang w:eastAsia="en-AU"/>
        </w:rPr>
        <w:t xml:space="preserve">writing </w:t>
      </w:r>
      <w:r w:rsidR="00C4234B" w:rsidRPr="009245DB">
        <w:rPr>
          <w:rFonts w:ascii="Times New Roman" w:eastAsia="Times New Roman" w:hAnsi="Times New Roman" w:cs="Times New Roman"/>
          <w:bCs/>
          <w:sz w:val="24"/>
          <w:szCs w:val="24"/>
          <w:lang w:eastAsia="en-AU"/>
        </w:rPr>
        <w:t xml:space="preserve">the prescription must be authorised by the Chief Executive Medicare in accordance with section </w:t>
      </w:r>
      <w:r w:rsidR="00F618BB" w:rsidRPr="009245DB">
        <w:rPr>
          <w:rFonts w:ascii="Times New Roman" w:eastAsia="Times New Roman" w:hAnsi="Times New Roman" w:cs="Times New Roman"/>
          <w:bCs/>
          <w:sz w:val="24"/>
          <w:szCs w:val="24"/>
          <w:lang w:eastAsia="en-AU"/>
        </w:rPr>
        <w:t>19</w:t>
      </w:r>
      <w:r w:rsidR="00C4234B" w:rsidRPr="009245DB">
        <w:rPr>
          <w:rFonts w:ascii="Times New Roman" w:eastAsia="Times New Roman" w:hAnsi="Times New Roman" w:cs="Times New Roman"/>
          <w:bCs/>
          <w:sz w:val="24"/>
          <w:szCs w:val="24"/>
          <w:lang w:eastAsia="en-AU"/>
        </w:rPr>
        <w:t>.</w:t>
      </w:r>
    </w:p>
    <w:p w14:paraId="16A72158" w14:textId="77777777" w:rsidR="0036144F" w:rsidRPr="009245DB" w:rsidRDefault="0036144F" w:rsidP="00167955">
      <w:pPr>
        <w:spacing w:after="0" w:line="240" w:lineRule="auto"/>
        <w:rPr>
          <w:rFonts w:ascii="Times New Roman" w:eastAsia="Times New Roman" w:hAnsi="Times New Roman" w:cs="Times New Roman"/>
          <w:bCs/>
          <w:sz w:val="24"/>
          <w:szCs w:val="24"/>
          <w:lang w:eastAsia="en-AU"/>
        </w:rPr>
      </w:pPr>
    </w:p>
    <w:p w14:paraId="67580E8D" w14:textId="60FE4B93" w:rsidR="0036144F" w:rsidRPr="009245DB" w:rsidRDefault="0036144F" w:rsidP="00167955">
      <w:pPr>
        <w:spacing w:after="0" w:line="240" w:lineRule="auto"/>
        <w:rPr>
          <w:rFonts w:ascii="Times New Roman" w:eastAsia="Times New Roman" w:hAnsi="Times New Roman" w:cs="Times New Roman"/>
          <w:bCs/>
          <w:sz w:val="24"/>
          <w:szCs w:val="24"/>
          <w:u w:val="single"/>
          <w:lang w:eastAsia="en-AU"/>
        </w:rPr>
      </w:pPr>
      <w:r w:rsidRPr="009245DB">
        <w:rPr>
          <w:rFonts w:ascii="Times New Roman" w:eastAsia="Times New Roman" w:hAnsi="Times New Roman" w:cs="Times New Roman"/>
          <w:bCs/>
          <w:sz w:val="24"/>
          <w:szCs w:val="24"/>
          <w:u w:val="single"/>
          <w:lang w:eastAsia="en-AU"/>
        </w:rPr>
        <w:t>Rules for authorising variation of maximum number of repeats</w:t>
      </w:r>
    </w:p>
    <w:p w14:paraId="14272BB3" w14:textId="77777777" w:rsidR="003A1D30" w:rsidRPr="009245DB" w:rsidRDefault="003A1D30" w:rsidP="00167955">
      <w:pPr>
        <w:spacing w:after="0" w:line="240" w:lineRule="auto"/>
        <w:rPr>
          <w:rFonts w:ascii="Times New Roman" w:eastAsia="Times New Roman" w:hAnsi="Times New Roman" w:cs="Times New Roman"/>
          <w:bCs/>
          <w:sz w:val="24"/>
          <w:szCs w:val="24"/>
          <w:u w:val="single"/>
          <w:lang w:eastAsia="en-AU"/>
        </w:rPr>
      </w:pPr>
    </w:p>
    <w:p w14:paraId="7CAEF147" w14:textId="689BD5D4" w:rsidR="00594995" w:rsidRDefault="00594995" w:rsidP="00167955">
      <w:pPr>
        <w:spacing w:after="0"/>
        <w:rPr>
          <w:rFonts w:ascii="Times New Roman" w:eastAsia="Times New Roman" w:hAnsi="Times New Roman" w:cs="Times New Roman"/>
          <w:bCs/>
          <w:sz w:val="24"/>
          <w:szCs w:val="24"/>
          <w:lang w:eastAsia="en-AU"/>
        </w:rPr>
      </w:pPr>
      <w:r w:rsidRPr="00594995">
        <w:rPr>
          <w:rFonts w:ascii="Times New Roman" w:eastAsia="Times New Roman" w:hAnsi="Times New Roman" w:cs="Times New Roman"/>
          <w:bCs/>
          <w:sz w:val="24"/>
          <w:szCs w:val="24"/>
          <w:lang w:eastAsia="en-AU"/>
        </w:rPr>
        <w:t xml:space="preserve">Regulations made for subsection 85A(3) of the Act provide the Minister with the power to authorise the variation of the application of a determination regarding the maximum number of </w:t>
      </w:r>
      <w:r>
        <w:rPr>
          <w:rFonts w:ascii="Times New Roman" w:eastAsia="Times New Roman" w:hAnsi="Times New Roman" w:cs="Times New Roman"/>
          <w:bCs/>
          <w:sz w:val="24"/>
          <w:szCs w:val="24"/>
          <w:lang w:eastAsia="en-AU"/>
        </w:rPr>
        <w:t>repeats</w:t>
      </w:r>
      <w:r w:rsidRPr="00594995">
        <w:rPr>
          <w:rFonts w:ascii="Times New Roman" w:eastAsia="Times New Roman" w:hAnsi="Times New Roman" w:cs="Times New Roman"/>
          <w:bCs/>
          <w:sz w:val="24"/>
          <w:szCs w:val="24"/>
          <w:lang w:eastAsia="en-AU"/>
        </w:rPr>
        <w:t xml:space="preserve"> of a pharmaceutical</w:t>
      </w:r>
      <w:r w:rsidR="0039748B">
        <w:rPr>
          <w:rFonts w:ascii="Times New Roman" w:eastAsia="Times New Roman" w:hAnsi="Times New Roman" w:cs="Times New Roman"/>
          <w:bCs/>
          <w:sz w:val="24"/>
          <w:szCs w:val="24"/>
          <w:lang w:eastAsia="en-AU"/>
        </w:rPr>
        <w:t xml:space="preserve"> benefit</w:t>
      </w:r>
      <w:r w:rsidRPr="00594995">
        <w:rPr>
          <w:rFonts w:ascii="Times New Roman" w:eastAsia="Times New Roman" w:hAnsi="Times New Roman" w:cs="Times New Roman"/>
          <w:bCs/>
          <w:sz w:val="24"/>
          <w:szCs w:val="24"/>
          <w:lang w:eastAsia="en-AU"/>
        </w:rPr>
        <w:t xml:space="preserve"> that a PBS prescriber may direct to be supplied</w:t>
      </w:r>
      <w:r w:rsidR="0039748B">
        <w:rPr>
          <w:rFonts w:ascii="Times New Roman" w:eastAsia="Times New Roman" w:hAnsi="Times New Roman" w:cs="Times New Roman"/>
          <w:bCs/>
          <w:sz w:val="24"/>
          <w:szCs w:val="24"/>
          <w:lang w:eastAsia="en-AU"/>
        </w:rPr>
        <w:t xml:space="preserve"> in a prescription</w:t>
      </w:r>
      <w:r w:rsidRPr="00594995">
        <w:rPr>
          <w:rFonts w:ascii="Times New Roman" w:eastAsia="Times New Roman" w:hAnsi="Times New Roman" w:cs="Times New Roman"/>
          <w:bCs/>
          <w:sz w:val="24"/>
          <w:szCs w:val="24"/>
          <w:lang w:eastAsia="en-AU"/>
        </w:rPr>
        <w:t xml:space="preserve">. The relevant provisions are in </w:t>
      </w:r>
      <w:r w:rsidRPr="00A22E0C">
        <w:rPr>
          <w:rFonts w:ascii="Times New Roman" w:eastAsia="Times New Roman" w:hAnsi="Times New Roman" w:cs="Times New Roman"/>
          <w:bCs/>
          <w:i/>
          <w:iCs/>
          <w:sz w:val="24"/>
          <w:szCs w:val="24"/>
          <w:lang w:eastAsia="en-AU"/>
        </w:rPr>
        <w:t>the National Health (Pharmaceutical Benefits) Regulations 2017</w:t>
      </w:r>
      <w:r w:rsidRPr="00594995">
        <w:rPr>
          <w:rFonts w:ascii="Times New Roman" w:eastAsia="Times New Roman" w:hAnsi="Times New Roman" w:cs="Times New Roman"/>
          <w:bCs/>
          <w:sz w:val="24"/>
          <w:szCs w:val="24"/>
          <w:lang w:eastAsia="en-AU"/>
        </w:rPr>
        <w:t xml:space="preserve">. Subsection 85A(3A) of the Act provides that the Minister may also </w:t>
      </w:r>
      <w:r w:rsidRPr="00594995">
        <w:rPr>
          <w:rFonts w:ascii="Times New Roman" w:eastAsia="Times New Roman" w:hAnsi="Times New Roman" w:cs="Times New Roman"/>
          <w:bCs/>
          <w:sz w:val="24"/>
          <w:szCs w:val="24"/>
          <w:lang w:eastAsia="en-AU"/>
        </w:rPr>
        <w:lastRenderedPageBreak/>
        <w:t xml:space="preserve">determine rules that must be applied when deciding whether to vary the maximum number of </w:t>
      </w:r>
      <w:r w:rsidR="0039748B">
        <w:rPr>
          <w:rFonts w:ascii="Times New Roman" w:eastAsia="Times New Roman" w:hAnsi="Times New Roman" w:cs="Times New Roman"/>
          <w:bCs/>
          <w:sz w:val="24"/>
          <w:szCs w:val="24"/>
          <w:lang w:eastAsia="en-AU"/>
        </w:rPr>
        <w:t>repeats</w:t>
      </w:r>
      <w:r w:rsidRPr="00594995">
        <w:rPr>
          <w:rFonts w:ascii="Times New Roman" w:eastAsia="Times New Roman" w:hAnsi="Times New Roman" w:cs="Times New Roman"/>
          <w:bCs/>
          <w:sz w:val="24"/>
          <w:szCs w:val="24"/>
          <w:lang w:eastAsia="en-AU"/>
        </w:rPr>
        <w:t>.</w:t>
      </w:r>
    </w:p>
    <w:p w14:paraId="736C0BDD" w14:textId="77777777" w:rsidR="00167955" w:rsidRPr="00594995" w:rsidRDefault="00167955" w:rsidP="00167955">
      <w:pPr>
        <w:spacing w:after="0"/>
        <w:rPr>
          <w:rFonts w:ascii="Times New Roman" w:eastAsia="Times New Roman" w:hAnsi="Times New Roman" w:cs="Times New Roman"/>
          <w:bCs/>
          <w:sz w:val="24"/>
          <w:szCs w:val="24"/>
          <w:lang w:eastAsia="en-AU"/>
        </w:rPr>
      </w:pPr>
    </w:p>
    <w:p w14:paraId="366EAF30" w14:textId="636D8563" w:rsidR="0039748B" w:rsidRDefault="0039748B" w:rsidP="00167955">
      <w:pPr>
        <w:spacing w:after="0"/>
        <w:rPr>
          <w:rFonts w:ascii="Times New Roman" w:eastAsia="Times New Roman" w:hAnsi="Times New Roman" w:cs="Times New Roman"/>
          <w:bCs/>
          <w:sz w:val="24"/>
          <w:szCs w:val="24"/>
          <w:lang w:eastAsia="en-AU"/>
        </w:rPr>
      </w:pPr>
      <w:r w:rsidRPr="0039748B">
        <w:rPr>
          <w:rFonts w:ascii="Times New Roman" w:eastAsia="Times New Roman" w:hAnsi="Times New Roman" w:cs="Times New Roman"/>
          <w:bCs/>
          <w:sz w:val="24"/>
          <w:szCs w:val="24"/>
          <w:lang w:eastAsia="en-AU"/>
        </w:rPr>
        <w:t>Decisions whether to vary the maximum number of</w:t>
      </w:r>
      <w:r>
        <w:rPr>
          <w:rFonts w:ascii="Times New Roman" w:eastAsia="Times New Roman" w:hAnsi="Times New Roman" w:cs="Times New Roman"/>
          <w:bCs/>
          <w:sz w:val="24"/>
          <w:szCs w:val="24"/>
          <w:lang w:eastAsia="en-AU"/>
        </w:rPr>
        <w:t xml:space="preserve"> repeats</w:t>
      </w:r>
      <w:r w:rsidRPr="0039748B">
        <w:rPr>
          <w:rFonts w:ascii="Times New Roman" w:eastAsia="Times New Roman" w:hAnsi="Times New Roman" w:cs="Times New Roman"/>
          <w:bCs/>
          <w:sz w:val="24"/>
          <w:szCs w:val="24"/>
          <w:lang w:eastAsia="en-AU"/>
        </w:rPr>
        <w:t xml:space="preserve"> in relation to a particular prescription are made by delegates in Services Australia.</w:t>
      </w:r>
    </w:p>
    <w:p w14:paraId="6817E678" w14:textId="77777777" w:rsidR="00167955" w:rsidRPr="0039748B" w:rsidRDefault="00167955" w:rsidP="00167955">
      <w:pPr>
        <w:spacing w:after="0"/>
        <w:rPr>
          <w:rFonts w:ascii="Times New Roman" w:eastAsia="Times New Roman" w:hAnsi="Times New Roman" w:cs="Times New Roman"/>
          <w:bCs/>
          <w:sz w:val="24"/>
          <w:szCs w:val="24"/>
          <w:lang w:eastAsia="en-AU"/>
        </w:rPr>
      </w:pPr>
    </w:p>
    <w:p w14:paraId="2B85F904" w14:textId="49BBF5F1" w:rsidR="003A1D30" w:rsidRPr="009245DB" w:rsidRDefault="003A1D30" w:rsidP="00167955">
      <w:pPr>
        <w:spacing w:after="0" w:line="240" w:lineRule="auto"/>
        <w:rPr>
          <w:rFonts w:ascii="Times New Roman" w:eastAsia="Times New Roman" w:hAnsi="Times New Roman" w:cs="Times New Roman"/>
          <w:bCs/>
          <w:sz w:val="24"/>
          <w:szCs w:val="24"/>
          <w:lang w:eastAsia="en-AU"/>
        </w:rPr>
      </w:pPr>
      <w:r w:rsidRPr="009245DB">
        <w:rPr>
          <w:rFonts w:ascii="Times New Roman" w:eastAsia="Times New Roman" w:hAnsi="Times New Roman" w:cs="Times New Roman"/>
          <w:bCs/>
          <w:sz w:val="24"/>
          <w:szCs w:val="24"/>
          <w:lang w:eastAsia="en-AU"/>
        </w:rPr>
        <w:t xml:space="preserve">Subsection </w:t>
      </w:r>
      <w:r w:rsidR="00F618BB" w:rsidRPr="009245DB">
        <w:rPr>
          <w:rFonts w:ascii="Times New Roman" w:eastAsia="Times New Roman" w:hAnsi="Times New Roman" w:cs="Times New Roman"/>
          <w:bCs/>
          <w:sz w:val="24"/>
          <w:szCs w:val="24"/>
          <w:lang w:eastAsia="en-AU"/>
        </w:rPr>
        <w:t>16</w:t>
      </w:r>
      <w:r w:rsidRPr="009245DB">
        <w:rPr>
          <w:rFonts w:ascii="Times New Roman" w:eastAsia="Times New Roman" w:hAnsi="Times New Roman" w:cs="Times New Roman"/>
          <w:bCs/>
          <w:sz w:val="24"/>
          <w:szCs w:val="24"/>
          <w:lang w:eastAsia="en-AU"/>
        </w:rPr>
        <w:t xml:space="preserve">(5) of the </w:t>
      </w:r>
      <w:r w:rsidR="0039748B">
        <w:rPr>
          <w:rFonts w:ascii="Times New Roman" w:eastAsia="Times New Roman" w:hAnsi="Times New Roman" w:cs="Times New Roman"/>
          <w:bCs/>
          <w:sz w:val="24"/>
          <w:szCs w:val="24"/>
          <w:lang w:eastAsia="en-AU"/>
        </w:rPr>
        <w:t>2024 Listing I</w:t>
      </w:r>
      <w:r w:rsidRPr="009245DB">
        <w:rPr>
          <w:rFonts w:ascii="Times New Roman" w:eastAsia="Times New Roman" w:hAnsi="Times New Roman" w:cs="Times New Roman"/>
          <w:bCs/>
          <w:sz w:val="24"/>
          <w:szCs w:val="24"/>
          <w:lang w:eastAsia="en-AU"/>
        </w:rPr>
        <w:t xml:space="preserve">nstrument provides that if the column of the table in Part 1 of Schedule 1 headed “Variations” includes a variation code in relation to a maximum number of </w:t>
      </w:r>
      <w:r w:rsidR="00367198" w:rsidRPr="009245DB">
        <w:rPr>
          <w:rFonts w:ascii="Times New Roman" w:eastAsia="Times New Roman" w:hAnsi="Times New Roman" w:cs="Times New Roman"/>
          <w:bCs/>
          <w:sz w:val="24"/>
          <w:szCs w:val="24"/>
          <w:lang w:eastAsia="en-AU"/>
        </w:rPr>
        <w:t>repeats</w:t>
      </w:r>
      <w:r w:rsidRPr="009245DB">
        <w:rPr>
          <w:rFonts w:ascii="Times New Roman" w:eastAsia="Times New Roman" w:hAnsi="Times New Roman" w:cs="Times New Roman"/>
          <w:bCs/>
          <w:sz w:val="24"/>
          <w:szCs w:val="24"/>
          <w:lang w:eastAsia="en-AU"/>
        </w:rPr>
        <w:t>, the rules mentioned in the column of the table in Part 2 of Schedule 4 headed “Variation Rules” in relation to the variation code must be applied when deciding whether to authorise a variation of that maximum</w:t>
      </w:r>
      <w:r w:rsidR="00905883" w:rsidRPr="009245DB">
        <w:rPr>
          <w:rFonts w:ascii="Times New Roman" w:eastAsia="Times New Roman" w:hAnsi="Times New Roman" w:cs="Times New Roman"/>
          <w:bCs/>
          <w:sz w:val="24"/>
          <w:szCs w:val="24"/>
          <w:lang w:eastAsia="en-AU"/>
        </w:rPr>
        <w:t xml:space="preserve"> number of repeats</w:t>
      </w:r>
      <w:r w:rsidRPr="009245DB">
        <w:rPr>
          <w:rFonts w:ascii="Times New Roman" w:eastAsia="Times New Roman" w:hAnsi="Times New Roman" w:cs="Times New Roman"/>
          <w:bCs/>
          <w:sz w:val="24"/>
          <w:szCs w:val="24"/>
          <w:lang w:eastAsia="en-AU"/>
        </w:rPr>
        <w:t xml:space="preserve"> (to the extent that those rules relate to the number of </w:t>
      </w:r>
      <w:r w:rsidR="00872E2C" w:rsidRPr="009245DB">
        <w:rPr>
          <w:rFonts w:ascii="Times New Roman" w:eastAsia="Times New Roman" w:hAnsi="Times New Roman" w:cs="Times New Roman"/>
          <w:bCs/>
          <w:sz w:val="24"/>
          <w:szCs w:val="24"/>
          <w:lang w:eastAsia="en-AU"/>
        </w:rPr>
        <w:t>repeats</w:t>
      </w:r>
      <w:r w:rsidRPr="009245DB">
        <w:rPr>
          <w:rFonts w:ascii="Times New Roman" w:eastAsia="Times New Roman" w:hAnsi="Times New Roman" w:cs="Times New Roman"/>
          <w:bCs/>
          <w:sz w:val="24"/>
          <w:szCs w:val="24"/>
          <w:lang w:eastAsia="en-AU"/>
        </w:rPr>
        <w:t>).</w:t>
      </w:r>
    </w:p>
    <w:p w14:paraId="2AE98E29" w14:textId="77777777" w:rsidR="008E4240" w:rsidRPr="009245DB" w:rsidRDefault="008E4240" w:rsidP="00167955">
      <w:pPr>
        <w:spacing w:after="0" w:line="240" w:lineRule="auto"/>
        <w:rPr>
          <w:rFonts w:ascii="Times New Roman" w:eastAsia="Times New Roman" w:hAnsi="Times New Roman" w:cs="Times New Roman"/>
          <w:bCs/>
          <w:sz w:val="24"/>
          <w:szCs w:val="24"/>
          <w:lang w:eastAsia="en-AU"/>
        </w:rPr>
      </w:pPr>
    </w:p>
    <w:p w14:paraId="791B0B9F" w14:textId="3723020C" w:rsidR="008E4240" w:rsidRDefault="008E4240" w:rsidP="00167955">
      <w:pPr>
        <w:spacing w:after="0" w:line="240" w:lineRule="auto"/>
        <w:rPr>
          <w:rFonts w:ascii="Times New Roman" w:eastAsia="Times New Roman" w:hAnsi="Times New Roman" w:cs="Times New Roman"/>
          <w:bCs/>
          <w:sz w:val="24"/>
          <w:szCs w:val="24"/>
          <w:lang w:eastAsia="en-AU"/>
        </w:rPr>
      </w:pPr>
      <w:r w:rsidRPr="009245DB">
        <w:rPr>
          <w:rFonts w:ascii="Times New Roman" w:eastAsia="Times New Roman" w:hAnsi="Times New Roman" w:cs="Times New Roman"/>
          <w:bCs/>
          <w:sz w:val="24"/>
          <w:szCs w:val="24"/>
          <w:lang w:eastAsia="en-AU"/>
        </w:rPr>
        <w:t xml:space="preserve">A note to subsection </w:t>
      </w:r>
      <w:r w:rsidR="0004367F" w:rsidRPr="009245DB">
        <w:rPr>
          <w:rFonts w:ascii="Times New Roman" w:eastAsia="Times New Roman" w:hAnsi="Times New Roman" w:cs="Times New Roman"/>
          <w:bCs/>
          <w:sz w:val="24"/>
          <w:szCs w:val="24"/>
          <w:lang w:eastAsia="en-AU"/>
        </w:rPr>
        <w:t>16</w:t>
      </w:r>
      <w:r w:rsidRPr="009245DB">
        <w:rPr>
          <w:rFonts w:ascii="Times New Roman" w:eastAsia="Times New Roman" w:hAnsi="Times New Roman" w:cs="Times New Roman"/>
          <w:bCs/>
          <w:sz w:val="24"/>
          <w:szCs w:val="24"/>
          <w:lang w:eastAsia="en-AU"/>
        </w:rPr>
        <w:t>(5</w:t>
      </w:r>
      <w:r w:rsidR="0039748B">
        <w:rPr>
          <w:rFonts w:ascii="Times New Roman" w:eastAsia="Times New Roman" w:hAnsi="Times New Roman" w:cs="Times New Roman"/>
          <w:bCs/>
          <w:sz w:val="24"/>
          <w:szCs w:val="24"/>
          <w:lang w:eastAsia="en-AU"/>
        </w:rPr>
        <w:t>)</w:t>
      </w:r>
      <w:r w:rsidRPr="009245DB">
        <w:rPr>
          <w:rFonts w:ascii="Times New Roman" w:eastAsia="Times New Roman" w:hAnsi="Times New Roman" w:cs="Times New Roman"/>
          <w:bCs/>
          <w:sz w:val="24"/>
          <w:szCs w:val="24"/>
          <w:lang w:eastAsia="en-AU"/>
        </w:rPr>
        <w:t xml:space="preserve"> mentions that variation rules can also be made that relate to the maximum number of </w:t>
      </w:r>
      <w:r w:rsidR="00466320" w:rsidRPr="009245DB">
        <w:rPr>
          <w:rFonts w:ascii="Times New Roman" w:eastAsia="Times New Roman" w:hAnsi="Times New Roman" w:cs="Times New Roman"/>
          <w:bCs/>
          <w:sz w:val="24"/>
          <w:szCs w:val="24"/>
          <w:lang w:eastAsia="en-AU"/>
        </w:rPr>
        <w:t>units</w:t>
      </w:r>
      <w:r w:rsidRPr="009245DB">
        <w:rPr>
          <w:rFonts w:ascii="Times New Roman" w:eastAsia="Times New Roman" w:hAnsi="Times New Roman" w:cs="Times New Roman"/>
          <w:bCs/>
          <w:sz w:val="24"/>
          <w:szCs w:val="24"/>
          <w:lang w:eastAsia="en-AU"/>
        </w:rPr>
        <w:t>.</w:t>
      </w:r>
    </w:p>
    <w:p w14:paraId="39B5129F" w14:textId="77777777" w:rsidR="00234211" w:rsidRDefault="00234211" w:rsidP="00167955">
      <w:pPr>
        <w:spacing w:after="0" w:line="240" w:lineRule="auto"/>
        <w:rPr>
          <w:rFonts w:ascii="Times New Roman" w:eastAsia="Times New Roman" w:hAnsi="Times New Roman" w:cs="Times New Roman"/>
          <w:bCs/>
          <w:sz w:val="24"/>
          <w:szCs w:val="24"/>
          <w:lang w:eastAsia="en-AU"/>
        </w:rPr>
      </w:pPr>
    </w:p>
    <w:p w14:paraId="0B42372F" w14:textId="17AAD03E" w:rsidR="0086072F" w:rsidRPr="00CC18E5" w:rsidRDefault="00234211" w:rsidP="00167955">
      <w:pPr>
        <w:spacing w:after="0" w:line="240" w:lineRule="auto"/>
        <w:rPr>
          <w:rFonts w:ascii="Times New Roman" w:eastAsia="Times New Roman" w:hAnsi="Times New Roman" w:cs="Times New Roman"/>
          <w:bCs/>
          <w:sz w:val="24"/>
          <w:szCs w:val="24"/>
          <w:lang w:eastAsia="en-AU"/>
        </w:rPr>
      </w:pPr>
      <w:r w:rsidRPr="00CC18E5">
        <w:rPr>
          <w:rFonts w:ascii="Times New Roman" w:eastAsia="Times New Roman" w:hAnsi="Times New Roman" w:cs="Times New Roman"/>
          <w:bCs/>
          <w:sz w:val="24"/>
          <w:szCs w:val="24"/>
          <w:lang w:eastAsia="en-AU"/>
        </w:rPr>
        <w:t>Subsection 16(5</w:t>
      </w:r>
      <w:r w:rsidR="0086072F">
        <w:rPr>
          <w:rFonts w:ascii="Times New Roman" w:eastAsia="Times New Roman" w:hAnsi="Times New Roman" w:cs="Times New Roman"/>
          <w:bCs/>
          <w:sz w:val="24"/>
          <w:szCs w:val="24"/>
          <w:lang w:eastAsia="en-AU"/>
        </w:rPr>
        <w:t xml:space="preserve">) </w:t>
      </w:r>
      <w:r w:rsidR="0086072F" w:rsidRPr="00CC18E5">
        <w:rPr>
          <w:rFonts w:ascii="Times New Roman" w:eastAsia="Times New Roman" w:hAnsi="Times New Roman" w:cs="Times New Roman"/>
          <w:bCs/>
          <w:sz w:val="24"/>
          <w:szCs w:val="24"/>
          <w:lang w:eastAsia="en-AU"/>
        </w:rPr>
        <w:t xml:space="preserve">is a new provision intended to </w:t>
      </w:r>
      <w:r w:rsidR="0086072F">
        <w:rPr>
          <w:rFonts w:ascii="Times New Roman" w:eastAsia="Times New Roman" w:hAnsi="Times New Roman" w:cs="Times New Roman"/>
          <w:bCs/>
          <w:sz w:val="24"/>
          <w:szCs w:val="24"/>
          <w:lang w:eastAsia="en-AU"/>
        </w:rPr>
        <w:t xml:space="preserve">more accurately reflect that binding </w:t>
      </w:r>
      <w:r w:rsidR="0086072F" w:rsidRPr="00CC18E5">
        <w:rPr>
          <w:rFonts w:ascii="Times New Roman" w:eastAsia="Times New Roman" w:hAnsi="Times New Roman" w:cs="Times New Roman"/>
          <w:bCs/>
          <w:sz w:val="24"/>
          <w:szCs w:val="24"/>
          <w:lang w:eastAsia="en-AU"/>
        </w:rPr>
        <w:t>rules</w:t>
      </w:r>
      <w:r w:rsidR="0086072F">
        <w:rPr>
          <w:rFonts w:ascii="Times New Roman" w:eastAsia="Times New Roman" w:hAnsi="Times New Roman" w:cs="Times New Roman"/>
          <w:bCs/>
          <w:sz w:val="24"/>
          <w:szCs w:val="24"/>
          <w:lang w:eastAsia="en-AU"/>
        </w:rPr>
        <w:t xml:space="preserve"> about the variation of maximum numbers of repeats are not part of the general circumstances for writing a prescription determined for subsection 85(7) of the Act</w:t>
      </w:r>
      <w:r w:rsidR="0086072F" w:rsidRPr="00CC18E5">
        <w:rPr>
          <w:rFonts w:ascii="Times New Roman" w:eastAsia="Times New Roman" w:hAnsi="Times New Roman" w:cs="Times New Roman"/>
          <w:bCs/>
          <w:sz w:val="24"/>
          <w:szCs w:val="24"/>
          <w:lang w:eastAsia="en-AU"/>
        </w:rPr>
        <w:t>. These variation rules are now identified in a separate Part 2 of Schedule 4 to this instrument. In the 2012 Listing Instrument these rules were outlined in Part 1 of Schedule 4 to that instrument but it is more appropriate for these rules to be outlined in a separate part of Schedule 4.</w:t>
      </w:r>
    </w:p>
    <w:p w14:paraId="795C5EBF" w14:textId="064BB941" w:rsidR="00234211" w:rsidRPr="00CC18E5" w:rsidRDefault="00234211" w:rsidP="00167955">
      <w:pPr>
        <w:spacing w:after="0" w:line="240" w:lineRule="auto"/>
        <w:rPr>
          <w:rFonts w:ascii="Times New Roman" w:eastAsia="Times New Roman" w:hAnsi="Times New Roman" w:cs="Times New Roman"/>
          <w:bCs/>
          <w:sz w:val="24"/>
          <w:szCs w:val="24"/>
          <w:lang w:eastAsia="en-AU"/>
        </w:rPr>
      </w:pPr>
    </w:p>
    <w:p w14:paraId="532CD10A" w14:textId="3D670CAB" w:rsidR="00234211" w:rsidRPr="009245DB" w:rsidRDefault="00234211" w:rsidP="00167955">
      <w:pPr>
        <w:spacing w:after="0" w:line="240" w:lineRule="auto"/>
        <w:rPr>
          <w:rFonts w:ascii="Times New Roman" w:eastAsia="Times New Roman" w:hAnsi="Times New Roman" w:cs="Times New Roman"/>
          <w:bCs/>
          <w:sz w:val="24"/>
          <w:szCs w:val="24"/>
          <w:lang w:eastAsia="en-AU"/>
        </w:rPr>
      </w:pPr>
      <w:r w:rsidRPr="00CC18E5">
        <w:rPr>
          <w:rFonts w:ascii="Times New Roman" w:eastAsia="Times New Roman" w:hAnsi="Times New Roman" w:cs="Times New Roman"/>
          <w:bCs/>
          <w:sz w:val="24"/>
          <w:szCs w:val="24"/>
          <w:lang w:eastAsia="en-AU"/>
        </w:rPr>
        <w:t>Apart from the previously mentioned new provision in subsection 1</w:t>
      </w:r>
      <w:r w:rsidR="00921DF8" w:rsidRPr="00CC18E5">
        <w:rPr>
          <w:rFonts w:ascii="Times New Roman" w:eastAsia="Times New Roman" w:hAnsi="Times New Roman" w:cs="Times New Roman"/>
          <w:bCs/>
          <w:sz w:val="24"/>
          <w:szCs w:val="24"/>
          <w:lang w:eastAsia="en-AU"/>
        </w:rPr>
        <w:t>6</w:t>
      </w:r>
      <w:r w:rsidRPr="00CC18E5">
        <w:rPr>
          <w:rFonts w:ascii="Times New Roman" w:eastAsia="Times New Roman" w:hAnsi="Times New Roman" w:cs="Times New Roman"/>
          <w:bCs/>
          <w:sz w:val="24"/>
          <w:szCs w:val="24"/>
          <w:lang w:eastAsia="en-AU"/>
        </w:rPr>
        <w:t xml:space="preserve">(5), section </w:t>
      </w:r>
      <w:r w:rsidR="00921DF8" w:rsidRPr="00CC18E5">
        <w:rPr>
          <w:rFonts w:ascii="Times New Roman" w:eastAsia="Times New Roman" w:hAnsi="Times New Roman" w:cs="Times New Roman"/>
          <w:bCs/>
          <w:sz w:val="24"/>
          <w:szCs w:val="24"/>
          <w:lang w:eastAsia="en-AU"/>
        </w:rPr>
        <w:t>16</w:t>
      </w:r>
      <w:r w:rsidRPr="00CC18E5">
        <w:rPr>
          <w:rFonts w:ascii="Times New Roman" w:eastAsia="Times New Roman" w:hAnsi="Times New Roman" w:cs="Times New Roman"/>
          <w:bCs/>
          <w:sz w:val="24"/>
          <w:szCs w:val="24"/>
          <w:lang w:eastAsia="en-AU"/>
        </w:rPr>
        <w:t xml:space="preserve"> corresponds to section </w:t>
      </w:r>
      <w:r w:rsidR="00CC18E5" w:rsidRPr="00CC18E5">
        <w:rPr>
          <w:rFonts w:ascii="Times New Roman" w:eastAsia="Times New Roman" w:hAnsi="Times New Roman" w:cs="Times New Roman"/>
          <w:bCs/>
          <w:sz w:val="24"/>
          <w:szCs w:val="24"/>
          <w:lang w:eastAsia="en-AU"/>
        </w:rPr>
        <w:t>20</w:t>
      </w:r>
      <w:r w:rsidRPr="00CC18E5">
        <w:rPr>
          <w:rFonts w:ascii="Times New Roman" w:eastAsia="Times New Roman" w:hAnsi="Times New Roman" w:cs="Times New Roman"/>
          <w:bCs/>
          <w:sz w:val="24"/>
          <w:szCs w:val="24"/>
          <w:lang w:eastAsia="en-AU"/>
        </w:rPr>
        <w:t xml:space="preserve"> and section </w:t>
      </w:r>
      <w:r w:rsidR="00CC18E5" w:rsidRPr="00CC18E5">
        <w:rPr>
          <w:rFonts w:ascii="Times New Roman" w:eastAsia="Times New Roman" w:hAnsi="Times New Roman" w:cs="Times New Roman"/>
          <w:bCs/>
          <w:sz w:val="24"/>
          <w:szCs w:val="24"/>
          <w:lang w:eastAsia="en-AU"/>
        </w:rPr>
        <w:t>21</w:t>
      </w:r>
      <w:r w:rsidRPr="00CC18E5">
        <w:rPr>
          <w:rFonts w:ascii="Times New Roman" w:eastAsia="Times New Roman" w:hAnsi="Times New Roman" w:cs="Times New Roman"/>
          <w:bCs/>
          <w:sz w:val="24"/>
          <w:szCs w:val="24"/>
          <w:lang w:eastAsia="en-AU"/>
        </w:rPr>
        <w:t xml:space="preserve"> of the 2012 Listing Instrument.</w:t>
      </w:r>
    </w:p>
    <w:p w14:paraId="248C2E1E" w14:textId="77777777" w:rsidR="004F61E2" w:rsidRPr="009245DB" w:rsidRDefault="004F61E2" w:rsidP="00167955">
      <w:pPr>
        <w:spacing w:after="0" w:line="240" w:lineRule="auto"/>
        <w:rPr>
          <w:rFonts w:ascii="Times New Roman" w:eastAsia="Times New Roman" w:hAnsi="Times New Roman" w:cs="Times New Roman"/>
          <w:b/>
          <w:sz w:val="24"/>
          <w:szCs w:val="24"/>
          <w:lang w:eastAsia="en-AU"/>
        </w:rPr>
      </w:pPr>
    </w:p>
    <w:p w14:paraId="46863DF1" w14:textId="78685BA0" w:rsidR="00882606" w:rsidRPr="009245DB" w:rsidRDefault="00882606" w:rsidP="00167955">
      <w:pPr>
        <w:spacing w:after="0" w:line="240" w:lineRule="auto"/>
        <w:rPr>
          <w:rFonts w:ascii="Times New Roman" w:eastAsia="Times New Roman" w:hAnsi="Times New Roman" w:cs="Times New Roman"/>
          <w:b/>
          <w:sz w:val="24"/>
          <w:szCs w:val="24"/>
          <w:lang w:eastAsia="en-AU"/>
        </w:rPr>
      </w:pPr>
      <w:r w:rsidRPr="009245DB">
        <w:rPr>
          <w:rFonts w:ascii="Times New Roman" w:eastAsia="Times New Roman" w:hAnsi="Times New Roman" w:cs="Times New Roman"/>
          <w:b/>
          <w:sz w:val="24"/>
          <w:szCs w:val="24"/>
          <w:lang w:eastAsia="en-AU"/>
        </w:rPr>
        <w:t xml:space="preserve">Section </w:t>
      </w:r>
      <w:r w:rsidR="000537B8" w:rsidRPr="009245DB">
        <w:rPr>
          <w:rFonts w:ascii="Times New Roman" w:eastAsia="Times New Roman" w:hAnsi="Times New Roman" w:cs="Times New Roman"/>
          <w:b/>
          <w:sz w:val="24"/>
          <w:szCs w:val="24"/>
          <w:lang w:eastAsia="en-AU"/>
        </w:rPr>
        <w:t>17</w:t>
      </w:r>
      <w:r w:rsidRPr="009245DB">
        <w:rPr>
          <w:rFonts w:ascii="Times New Roman" w:eastAsia="Times New Roman" w:hAnsi="Times New Roman" w:cs="Times New Roman"/>
          <w:b/>
          <w:sz w:val="24"/>
          <w:szCs w:val="24"/>
          <w:lang w:eastAsia="en-AU"/>
        </w:rPr>
        <w:t xml:space="preserve"> - Maximum quantity—extemporaneously</w:t>
      </w:r>
      <w:r w:rsidRPr="009245DB">
        <w:rPr>
          <w:rFonts w:ascii="Times New Roman" w:eastAsia="Times New Roman" w:hAnsi="Times New Roman" w:cs="Times New Roman"/>
          <w:b/>
          <w:sz w:val="24"/>
          <w:szCs w:val="24"/>
          <w:lang w:eastAsia="en-AU"/>
        </w:rPr>
        <w:noBreakHyphen/>
        <w:t>prepared pharmaceutical benefits (Act s</w:t>
      </w:r>
      <w:r w:rsidR="0057461D" w:rsidRPr="009245DB">
        <w:rPr>
          <w:rFonts w:ascii="Times New Roman" w:eastAsia="Times New Roman" w:hAnsi="Times New Roman" w:cs="Times New Roman"/>
          <w:b/>
          <w:sz w:val="24"/>
          <w:szCs w:val="24"/>
          <w:lang w:eastAsia="en-AU"/>
        </w:rPr>
        <w:t xml:space="preserve"> </w:t>
      </w:r>
      <w:r w:rsidRPr="009245DB">
        <w:rPr>
          <w:rFonts w:ascii="Times New Roman" w:eastAsia="Times New Roman" w:hAnsi="Times New Roman" w:cs="Times New Roman"/>
          <w:b/>
          <w:sz w:val="24"/>
          <w:szCs w:val="24"/>
          <w:lang w:eastAsia="en-AU"/>
        </w:rPr>
        <w:t>85A(2)(a))</w:t>
      </w:r>
    </w:p>
    <w:p w14:paraId="31E7F804" w14:textId="77777777" w:rsidR="006352B8" w:rsidRPr="009245DB" w:rsidRDefault="006352B8" w:rsidP="00167955">
      <w:pPr>
        <w:spacing w:after="0" w:line="240" w:lineRule="auto"/>
        <w:rPr>
          <w:rFonts w:ascii="Times New Roman" w:eastAsia="Times New Roman" w:hAnsi="Times New Roman" w:cs="Times New Roman"/>
          <w:bCs/>
          <w:sz w:val="24"/>
          <w:szCs w:val="24"/>
          <w:u w:val="single"/>
          <w:lang w:eastAsia="en-AU"/>
        </w:rPr>
      </w:pPr>
    </w:p>
    <w:p w14:paraId="6EEA8C58" w14:textId="355DD01E" w:rsidR="00B01033" w:rsidRPr="009245DB" w:rsidRDefault="006352B8" w:rsidP="00167955">
      <w:pPr>
        <w:spacing w:after="0" w:line="240" w:lineRule="auto"/>
        <w:rPr>
          <w:rFonts w:ascii="Times New Roman" w:eastAsia="Times New Roman" w:hAnsi="Times New Roman" w:cs="Times New Roman"/>
          <w:bCs/>
          <w:sz w:val="24"/>
          <w:szCs w:val="24"/>
          <w:lang w:eastAsia="en-AU"/>
        </w:rPr>
      </w:pPr>
      <w:r w:rsidRPr="009245DB">
        <w:rPr>
          <w:rFonts w:ascii="Times New Roman" w:eastAsia="Times New Roman" w:hAnsi="Times New Roman" w:cs="Times New Roman"/>
          <w:bCs/>
          <w:sz w:val="24"/>
          <w:szCs w:val="24"/>
          <w:lang w:eastAsia="en-AU"/>
        </w:rPr>
        <w:t xml:space="preserve">Section </w:t>
      </w:r>
      <w:r w:rsidR="000537B8" w:rsidRPr="009245DB">
        <w:rPr>
          <w:rFonts w:ascii="Times New Roman" w:eastAsia="Times New Roman" w:hAnsi="Times New Roman" w:cs="Times New Roman"/>
          <w:bCs/>
          <w:sz w:val="24"/>
          <w:szCs w:val="24"/>
          <w:lang w:eastAsia="en-AU"/>
        </w:rPr>
        <w:t>17</w:t>
      </w:r>
      <w:r w:rsidR="00194704">
        <w:rPr>
          <w:rFonts w:ascii="Times New Roman" w:eastAsia="Times New Roman" w:hAnsi="Times New Roman" w:cs="Times New Roman"/>
          <w:bCs/>
          <w:sz w:val="24"/>
          <w:szCs w:val="24"/>
          <w:lang w:eastAsia="en-AU"/>
        </w:rPr>
        <w:t>, made for</w:t>
      </w:r>
      <w:r w:rsidR="00BD3279" w:rsidRPr="00BD3279">
        <w:rPr>
          <w:rFonts w:ascii="Times New Roman" w:eastAsia="Times New Roman" w:hAnsi="Times New Roman" w:cs="Times New Roman"/>
          <w:bCs/>
          <w:sz w:val="24"/>
          <w:szCs w:val="24"/>
          <w:lang w:eastAsia="en-AU"/>
        </w:rPr>
        <w:t xml:space="preserve"> </w:t>
      </w:r>
      <w:r w:rsidR="00BD3279" w:rsidRPr="009245DB">
        <w:rPr>
          <w:rFonts w:ascii="Times New Roman" w:eastAsia="Times New Roman" w:hAnsi="Times New Roman" w:cs="Times New Roman"/>
          <w:bCs/>
          <w:sz w:val="24"/>
          <w:szCs w:val="24"/>
          <w:lang w:eastAsia="en-AU"/>
        </w:rPr>
        <w:t>the purposes of paragraph 85A(2)(a) of the Act</w:t>
      </w:r>
      <w:r w:rsidR="00BD3279">
        <w:rPr>
          <w:rFonts w:ascii="Times New Roman" w:eastAsia="Times New Roman" w:hAnsi="Times New Roman" w:cs="Times New Roman"/>
          <w:bCs/>
          <w:sz w:val="24"/>
          <w:szCs w:val="24"/>
          <w:lang w:eastAsia="en-AU"/>
        </w:rPr>
        <w:t>,</w:t>
      </w:r>
      <w:r w:rsidRPr="009245DB">
        <w:rPr>
          <w:rFonts w:ascii="Times New Roman" w:eastAsia="Times New Roman" w:hAnsi="Times New Roman" w:cs="Times New Roman"/>
          <w:bCs/>
          <w:sz w:val="24"/>
          <w:szCs w:val="24"/>
          <w:lang w:eastAsia="en-AU"/>
        </w:rPr>
        <w:t xml:space="preserve"> provides for </w:t>
      </w:r>
      <w:r w:rsidR="00087480" w:rsidRPr="009245DB">
        <w:rPr>
          <w:rFonts w:ascii="Times New Roman" w:eastAsia="Times New Roman" w:hAnsi="Times New Roman" w:cs="Times New Roman"/>
          <w:bCs/>
          <w:sz w:val="24"/>
          <w:szCs w:val="24"/>
          <w:lang w:eastAsia="en-AU"/>
        </w:rPr>
        <w:t>the maximum quantity of an extemporaneously</w:t>
      </w:r>
      <w:r w:rsidR="00106354" w:rsidRPr="009245DB">
        <w:rPr>
          <w:rFonts w:ascii="Times New Roman" w:eastAsia="Times New Roman" w:hAnsi="Times New Roman" w:cs="Times New Roman"/>
          <w:bCs/>
          <w:sz w:val="24"/>
          <w:szCs w:val="24"/>
          <w:lang w:eastAsia="en-AU"/>
        </w:rPr>
        <w:t>-</w:t>
      </w:r>
      <w:r w:rsidR="00087480" w:rsidRPr="009245DB">
        <w:rPr>
          <w:rFonts w:ascii="Times New Roman" w:eastAsia="Times New Roman" w:hAnsi="Times New Roman" w:cs="Times New Roman"/>
          <w:bCs/>
          <w:sz w:val="24"/>
          <w:szCs w:val="24"/>
          <w:lang w:eastAsia="en-AU"/>
        </w:rPr>
        <w:t>prepared pharmaceutical benefit</w:t>
      </w:r>
      <w:r w:rsidR="006C4449" w:rsidRPr="009245DB">
        <w:rPr>
          <w:rFonts w:ascii="Times New Roman" w:eastAsia="Times New Roman" w:hAnsi="Times New Roman" w:cs="Times New Roman"/>
          <w:bCs/>
          <w:sz w:val="24"/>
          <w:szCs w:val="24"/>
          <w:lang w:eastAsia="en-AU"/>
        </w:rPr>
        <w:t xml:space="preserve"> in Part 3 of Schedule 2</w:t>
      </w:r>
      <w:r w:rsidR="007B4ADE" w:rsidRPr="009245DB">
        <w:rPr>
          <w:rFonts w:ascii="Times New Roman" w:eastAsia="Times New Roman" w:hAnsi="Times New Roman" w:cs="Times New Roman"/>
          <w:bCs/>
          <w:sz w:val="24"/>
          <w:szCs w:val="24"/>
          <w:lang w:eastAsia="en-AU"/>
        </w:rPr>
        <w:t xml:space="preserve"> to the instrument</w:t>
      </w:r>
      <w:r w:rsidR="00087480" w:rsidRPr="009245DB">
        <w:rPr>
          <w:rFonts w:ascii="Times New Roman" w:eastAsia="Times New Roman" w:hAnsi="Times New Roman" w:cs="Times New Roman"/>
          <w:bCs/>
          <w:sz w:val="24"/>
          <w:szCs w:val="24"/>
          <w:lang w:eastAsia="en-AU"/>
        </w:rPr>
        <w:t>.</w:t>
      </w:r>
    </w:p>
    <w:p w14:paraId="7294A739" w14:textId="77777777" w:rsidR="00F675D0" w:rsidRPr="009245DB" w:rsidRDefault="00F675D0" w:rsidP="00167955">
      <w:pPr>
        <w:spacing w:after="0" w:line="240" w:lineRule="auto"/>
        <w:rPr>
          <w:rFonts w:ascii="Times New Roman" w:eastAsia="Times New Roman" w:hAnsi="Times New Roman" w:cs="Times New Roman"/>
          <w:bCs/>
          <w:sz w:val="24"/>
          <w:szCs w:val="24"/>
          <w:lang w:eastAsia="en-AU"/>
        </w:rPr>
      </w:pPr>
    </w:p>
    <w:p w14:paraId="78B1D4B3" w14:textId="6B05DA20" w:rsidR="004F61E2" w:rsidRDefault="000069B6"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D41E1A" w:rsidRPr="009245DB">
        <w:rPr>
          <w:rFonts w:ascii="Times New Roman" w:eastAsia="Times New Roman" w:hAnsi="Times New Roman" w:cs="Times New Roman"/>
          <w:bCs/>
          <w:sz w:val="24"/>
          <w:szCs w:val="24"/>
          <w:lang w:eastAsia="en-AU"/>
        </w:rPr>
        <w:t>he maximum quantity of an extemporaneously</w:t>
      </w:r>
      <w:r w:rsidR="00427088" w:rsidRPr="009245DB">
        <w:rPr>
          <w:rFonts w:ascii="Times New Roman" w:eastAsia="Times New Roman" w:hAnsi="Times New Roman" w:cs="Times New Roman"/>
          <w:bCs/>
          <w:sz w:val="24"/>
          <w:szCs w:val="24"/>
          <w:lang w:eastAsia="en-AU"/>
        </w:rPr>
        <w:t>-</w:t>
      </w:r>
      <w:r w:rsidR="00D41E1A" w:rsidRPr="009245DB">
        <w:rPr>
          <w:rFonts w:ascii="Times New Roman" w:eastAsia="Times New Roman" w:hAnsi="Times New Roman" w:cs="Times New Roman"/>
          <w:bCs/>
          <w:sz w:val="24"/>
          <w:szCs w:val="24"/>
          <w:lang w:eastAsia="en-AU"/>
        </w:rPr>
        <w:t>prepared pharmaceutical benefit, of a type mentioned in column 1 of an item in the table in Part 3 of Schedule 2</w:t>
      </w:r>
      <w:r w:rsidR="000C36D0">
        <w:rPr>
          <w:rFonts w:ascii="Times New Roman" w:eastAsia="Times New Roman" w:hAnsi="Times New Roman" w:cs="Times New Roman"/>
          <w:bCs/>
          <w:sz w:val="24"/>
          <w:szCs w:val="24"/>
          <w:lang w:eastAsia="en-AU"/>
        </w:rPr>
        <w:t>,</w:t>
      </w:r>
      <w:r w:rsidR="00D41E1A" w:rsidRPr="009245DB">
        <w:rPr>
          <w:rFonts w:ascii="Times New Roman" w:eastAsia="Times New Roman" w:hAnsi="Times New Roman" w:cs="Times New Roman"/>
          <w:bCs/>
          <w:sz w:val="24"/>
          <w:szCs w:val="24"/>
          <w:lang w:eastAsia="en-AU"/>
        </w:rPr>
        <w:t xml:space="preserve"> that </w:t>
      </w:r>
      <w:r w:rsidR="00393692">
        <w:rPr>
          <w:rFonts w:ascii="Times New Roman" w:eastAsia="Times New Roman" w:hAnsi="Times New Roman" w:cs="Times New Roman"/>
          <w:bCs/>
          <w:sz w:val="24"/>
          <w:szCs w:val="24"/>
          <w:lang w:eastAsia="en-AU"/>
        </w:rPr>
        <w:t xml:space="preserve">may be </w:t>
      </w:r>
      <w:r w:rsidR="00D41E1A" w:rsidRPr="009245DB">
        <w:rPr>
          <w:rFonts w:ascii="Times New Roman" w:eastAsia="Times New Roman" w:hAnsi="Times New Roman" w:cs="Times New Roman"/>
          <w:bCs/>
          <w:sz w:val="24"/>
          <w:szCs w:val="24"/>
          <w:lang w:eastAsia="en-AU"/>
        </w:rPr>
        <w:t>direct</w:t>
      </w:r>
      <w:r w:rsidR="000C36D0">
        <w:rPr>
          <w:rFonts w:ascii="Times New Roman" w:eastAsia="Times New Roman" w:hAnsi="Times New Roman" w:cs="Times New Roman"/>
          <w:bCs/>
          <w:sz w:val="24"/>
          <w:szCs w:val="24"/>
          <w:lang w:eastAsia="en-AU"/>
        </w:rPr>
        <w:t>ed</w:t>
      </w:r>
      <w:r w:rsidR="00D41E1A" w:rsidRPr="009245DB">
        <w:rPr>
          <w:rFonts w:ascii="Times New Roman" w:eastAsia="Times New Roman" w:hAnsi="Times New Roman" w:cs="Times New Roman"/>
          <w:bCs/>
          <w:sz w:val="24"/>
          <w:szCs w:val="24"/>
          <w:lang w:eastAsia="en-AU"/>
        </w:rPr>
        <w:t xml:space="preserve"> to be supplied on any one occasion is the quantity mentioned in column 2 of the item</w:t>
      </w:r>
      <w:r w:rsidR="001C4582" w:rsidRPr="009245DB">
        <w:rPr>
          <w:rFonts w:ascii="Times New Roman" w:eastAsia="Times New Roman" w:hAnsi="Times New Roman" w:cs="Times New Roman"/>
          <w:bCs/>
          <w:sz w:val="24"/>
          <w:szCs w:val="24"/>
          <w:lang w:eastAsia="en-AU"/>
        </w:rPr>
        <w:t>.</w:t>
      </w:r>
      <w:r w:rsidR="002A1131">
        <w:rPr>
          <w:rFonts w:ascii="Times New Roman" w:eastAsia="Times New Roman" w:hAnsi="Times New Roman" w:cs="Times New Roman"/>
          <w:bCs/>
          <w:sz w:val="24"/>
          <w:szCs w:val="24"/>
          <w:lang w:eastAsia="en-AU"/>
        </w:rPr>
        <w:t xml:space="preserve"> </w:t>
      </w:r>
      <w:r w:rsidR="001D2296">
        <w:rPr>
          <w:rFonts w:ascii="Times New Roman" w:eastAsia="Times New Roman" w:hAnsi="Times New Roman" w:cs="Times New Roman"/>
          <w:bCs/>
          <w:sz w:val="24"/>
          <w:szCs w:val="24"/>
          <w:lang w:eastAsia="en-AU"/>
        </w:rPr>
        <w:t>Only medical practitioners are authorised to prescribe e</w:t>
      </w:r>
      <w:r w:rsidR="002A1131">
        <w:rPr>
          <w:rFonts w:ascii="Times New Roman" w:eastAsia="Times New Roman" w:hAnsi="Times New Roman" w:cs="Times New Roman"/>
          <w:bCs/>
          <w:sz w:val="24"/>
          <w:szCs w:val="24"/>
          <w:lang w:eastAsia="en-AU"/>
        </w:rPr>
        <w:t>xtemporaneously-prepared pharmaceutical benefits</w:t>
      </w:r>
      <w:r w:rsidR="001D2296">
        <w:rPr>
          <w:rFonts w:ascii="Times New Roman" w:eastAsia="Times New Roman" w:hAnsi="Times New Roman" w:cs="Times New Roman"/>
          <w:bCs/>
          <w:sz w:val="24"/>
          <w:szCs w:val="24"/>
          <w:lang w:eastAsia="en-AU"/>
        </w:rPr>
        <w:t>.</w:t>
      </w:r>
    </w:p>
    <w:p w14:paraId="24D6AC30" w14:textId="77777777" w:rsidR="000C0AEC" w:rsidRPr="00CC18E5" w:rsidRDefault="000C0AEC" w:rsidP="00167955">
      <w:pPr>
        <w:spacing w:after="0" w:line="240" w:lineRule="auto"/>
        <w:rPr>
          <w:rFonts w:ascii="Times New Roman" w:eastAsia="Times New Roman" w:hAnsi="Times New Roman" w:cs="Times New Roman"/>
          <w:bCs/>
          <w:sz w:val="24"/>
          <w:szCs w:val="24"/>
          <w:lang w:eastAsia="en-AU"/>
        </w:rPr>
      </w:pPr>
    </w:p>
    <w:p w14:paraId="36959DE2" w14:textId="5A8DE58D" w:rsidR="000C0AEC" w:rsidRPr="009245DB" w:rsidRDefault="000C0AEC"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17 </w:t>
      </w:r>
      <w:r w:rsidRPr="00CC18E5">
        <w:rPr>
          <w:rFonts w:ascii="Times New Roman" w:eastAsia="Times New Roman" w:hAnsi="Times New Roman" w:cs="Times New Roman"/>
          <w:bCs/>
          <w:sz w:val="24"/>
          <w:szCs w:val="24"/>
          <w:lang w:eastAsia="en-AU"/>
        </w:rPr>
        <w:t xml:space="preserve">corresponds to section </w:t>
      </w:r>
      <w:r>
        <w:rPr>
          <w:rFonts w:ascii="Times New Roman" w:eastAsia="Times New Roman" w:hAnsi="Times New Roman" w:cs="Times New Roman"/>
          <w:bCs/>
          <w:sz w:val="24"/>
          <w:szCs w:val="24"/>
          <w:lang w:eastAsia="en-AU"/>
        </w:rPr>
        <w:t>19</w:t>
      </w:r>
      <w:r w:rsidRPr="00CC18E5">
        <w:rPr>
          <w:rFonts w:ascii="Times New Roman" w:eastAsia="Times New Roman" w:hAnsi="Times New Roman" w:cs="Times New Roman"/>
          <w:bCs/>
          <w:sz w:val="24"/>
          <w:szCs w:val="24"/>
          <w:lang w:eastAsia="en-AU"/>
        </w:rPr>
        <w:t xml:space="preserve"> of the 2012 Listing Instrument.</w:t>
      </w:r>
    </w:p>
    <w:p w14:paraId="1C8F7256" w14:textId="77777777" w:rsidR="004F61E2" w:rsidRPr="009245DB" w:rsidRDefault="004F61E2" w:rsidP="00167955">
      <w:pPr>
        <w:spacing w:after="0" w:line="240" w:lineRule="auto"/>
        <w:rPr>
          <w:rFonts w:ascii="Times New Roman" w:eastAsia="Times New Roman" w:hAnsi="Times New Roman" w:cs="Times New Roman"/>
          <w:bCs/>
          <w:sz w:val="24"/>
          <w:szCs w:val="24"/>
          <w:lang w:eastAsia="en-AU"/>
        </w:rPr>
      </w:pPr>
    </w:p>
    <w:p w14:paraId="31CD9011" w14:textId="10AC29AB" w:rsidR="006352B8" w:rsidRPr="009245DB" w:rsidRDefault="00DB48E8" w:rsidP="00167955">
      <w:pPr>
        <w:spacing w:after="0" w:line="240" w:lineRule="auto"/>
        <w:rPr>
          <w:rFonts w:ascii="Times New Roman" w:eastAsia="Times New Roman" w:hAnsi="Times New Roman" w:cs="Times New Roman"/>
          <w:b/>
          <w:sz w:val="24"/>
          <w:szCs w:val="24"/>
          <w:lang w:eastAsia="en-AU"/>
        </w:rPr>
      </w:pPr>
      <w:r w:rsidRPr="009245DB">
        <w:rPr>
          <w:rFonts w:ascii="Times New Roman" w:eastAsia="Times New Roman" w:hAnsi="Times New Roman" w:cs="Times New Roman"/>
          <w:b/>
          <w:sz w:val="24"/>
          <w:szCs w:val="24"/>
          <w:lang w:eastAsia="en-AU"/>
        </w:rPr>
        <w:t xml:space="preserve">Section </w:t>
      </w:r>
      <w:r w:rsidR="0079408A" w:rsidRPr="009245DB">
        <w:rPr>
          <w:rFonts w:ascii="Times New Roman" w:eastAsia="Times New Roman" w:hAnsi="Times New Roman" w:cs="Times New Roman"/>
          <w:b/>
          <w:sz w:val="24"/>
          <w:szCs w:val="24"/>
          <w:lang w:eastAsia="en-AU"/>
        </w:rPr>
        <w:t>18</w:t>
      </w:r>
      <w:r w:rsidRPr="009245DB">
        <w:rPr>
          <w:rFonts w:ascii="Times New Roman" w:eastAsia="Times New Roman" w:hAnsi="Times New Roman" w:cs="Times New Roman"/>
          <w:b/>
          <w:sz w:val="24"/>
          <w:szCs w:val="24"/>
          <w:lang w:eastAsia="en-AU"/>
        </w:rPr>
        <w:t xml:space="preserve"> - </w:t>
      </w:r>
      <w:r w:rsidR="004F61E2" w:rsidRPr="009245DB">
        <w:rPr>
          <w:rFonts w:ascii="Times New Roman" w:eastAsia="Times New Roman" w:hAnsi="Times New Roman" w:cs="Times New Roman"/>
          <w:b/>
          <w:sz w:val="24"/>
          <w:szCs w:val="24"/>
          <w:lang w:eastAsia="en-AU"/>
        </w:rPr>
        <w:t>Maximum number of repeats—extemporaneously</w:t>
      </w:r>
      <w:r w:rsidR="004F61E2" w:rsidRPr="009245DB">
        <w:rPr>
          <w:rFonts w:ascii="Times New Roman" w:eastAsia="Times New Roman" w:hAnsi="Times New Roman" w:cs="Times New Roman"/>
          <w:b/>
          <w:sz w:val="24"/>
          <w:szCs w:val="24"/>
          <w:lang w:eastAsia="en-AU"/>
        </w:rPr>
        <w:noBreakHyphen/>
        <w:t>prepared</w:t>
      </w:r>
      <w:r w:rsidR="00471C0A" w:rsidRPr="009245DB">
        <w:rPr>
          <w:rFonts w:ascii="Times New Roman" w:eastAsia="Times New Roman" w:hAnsi="Times New Roman" w:cs="Times New Roman"/>
          <w:b/>
          <w:sz w:val="24"/>
          <w:szCs w:val="24"/>
          <w:lang w:eastAsia="en-AU"/>
        </w:rPr>
        <w:t xml:space="preserve"> </w:t>
      </w:r>
      <w:r w:rsidR="004F61E2" w:rsidRPr="009245DB">
        <w:rPr>
          <w:rFonts w:ascii="Times New Roman" w:eastAsia="Times New Roman" w:hAnsi="Times New Roman" w:cs="Times New Roman"/>
          <w:b/>
          <w:sz w:val="24"/>
          <w:szCs w:val="24"/>
          <w:lang w:eastAsia="en-AU"/>
        </w:rPr>
        <w:t>pharmaceutical benefits (Act s</w:t>
      </w:r>
      <w:r w:rsidR="0057461D" w:rsidRPr="009245DB">
        <w:rPr>
          <w:rFonts w:ascii="Times New Roman" w:eastAsia="Times New Roman" w:hAnsi="Times New Roman" w:cs="Times New Roman"/>
          <w:b/>
          <w:sz w:val="24"/>
          <w:szCs w:val="24"/>
          <w:lang w:eastAsia="en-AU"/>
        </w:rPr>
        <w:t xml:space="preserve"> </w:t>
      </w:r>
      <w:r w:rsidR="004F61E2" w:rsidRPr="009245DB">
        <w:rPr>
          <w:rFonts w:ascii="Times New Roman" w:eastAsia="Times New Roman" w:hAnsi="Times New Roman" w:cs="Times New Roman"/>
          <w:b/>
          <w:sz w:val="24"/>
          <w:szCs w:val="24"/>
          <w:lang w:eastAsia="en-AU"/>
        </w:rPr>
        <w:t>85A(2)(b))</w:t>
      </w:r>
    </w:p>
    <w:p w14:paraId="379CDE24" w14:textId="77777777" w:rsidR="004F61E2" w:rsidRPr="009245DB" w:rsidRDefault="004F61E2" w:rsidP="00167955">
      <w:pPr>
        <w:spacing w:after="0" w:line="240" w:lineRule="auto"/>
        <w:rPr>
          <w:rFonts w:ascii="Times New Roman" w:eastAsia="Times New Roman" w:hAnsi="Times New Roman" w:cs="Times New Roman"/>
          <w:b/>
          <w:sz w:val="24"/>
          <w:szCs w:val="24"/>
          <w:lang w:eastAsia="en-AU"/>
        </w:rPr>
      </w:pPr>
    </w:p>
    <w:p w14:paraId="1FCA4D0B" w14:textId="6EEDB3DB" w:rsidR="004F61E2" w:rsidRPr="009245DB" w:rsidRDefault="004F61E2" w:rsidP="00167955">
      <w:pPr>
        <w:spacing w:after="0" w:line="240" w:lineRule="auto"/>
        <w:rPr>
          <w:rFonts w:ascii="Times New Roman" w:eastAsia="Times New Roman" w:hAnsi="Times New Roman" w:cs="Times New Roman"/>
          <w:bCs/>
          <w:sz w:val="24"/>
          <w:szCs w:val="24"/>
          <w:lang w:eastAsia="en-AU"/>
        </w:rPr>
      </w:pPr>
      <w:r w:rsidRPr="009245DB">
        <w:rPr>
          <w:rFonts w:ascii="Times New Roman" w:eastAsia="Times New Roman" w:hAnsi="Times New Roman" w:cs="Times New Roman"/>
          <w:bCs/>
          <w:sz w:val="24"/>
          <w:szCs w:val="24"/>
          <w:lang w:eastAsia="en-AU"/>
        </w:rPr>
        <w:t xml:space="preserve">Section </w:t>
      </w:r>
      <w:r w:rsidR="0079408A" w:rsidRPr="009245DB">
        <w:rPr>
          <w:rFonts w:ascii="Times New Roman" w:eastAsia="Times New Roman" w:hAnsi="Times New Roman" w:cs="Times New Roman"/>
          <w:bCs/>
          <w:sz w:val="24"/>
          <w:szCs w:val="24"/>
          <w:lang w:eastAsia="en-AU"/>
        </w:rPr>
        <w:t>18</w:t>
      </w:r>
      <w:r w:rsidR="001D2296">
        <w:rPr>
          <w:rFonts w:ascii="Times New Roman" w:eastAsia="Times New Roman" w:hAnsi="Times New Roman" w:cs="Times New Roman"/>
          <w:bCs/>
          <w:sz w:val="24"/>
          <w:szCs w:val="24"/>
          <w:lang w:eastAsia="en-AU"/>
        </w:rPr>
        <w:t xml:space="preserve">, made for the purposes of </w:t>
      </w:r>
      <w:r w:rsidR="001D2296" w:rsidRPr="009245DB">
        <w:rPr>
          <w:rFonts w:ascii="Times New Roman" w:eastAsia="Times New Roman" w:hAnsi="Times New Roman" w:cs="Times New Roman"/>
          <w:bCs/>
          <w:sz w:val="24"/>
          <w:szCs w:val="24"/>
          <w:lang w:eastAsia="en-AU"/>
        </w:rPr>
        <w:t>paragraph 85A(2)(b) of the Act</w:t>
      </w:r>
      <w:r w:rsidR="001D2296">
        <w:rPr>
          <w:rFonts w:ascii="Times New Roman" w:eastAsia="Times New Roman" w:hAnsi="Times New Roman" w:cs="Times New Roman"/>
          <w:bCs/>
          <w:sz w:val="24"/>
          <w:szCs w:val="24"/>
          <w:lang w:eastAsia="en-AU"/>
        </w:rPr>
        <w:t>,</w:t>
      </w:r>
      <w:r w:rsidRPr="009245DB">
        <w:rPr>
          <w:rFonts w:ascii="Times New Roman" w:eastAsia="Times New Roman" w:hAnsi="Times New Roman" w:cs="Times New Roman"/>
          <w:bCs/>
          <w:sz w:val="24"/>
          <w:szCs w:val="24"/>
          <w:lang w:eastAsia="en-AU"/>
        </w:rPr>
        <w:t xml:space="preserve"> provides for </w:t>
      </w:r>
      <w:r w:rsidR="005876FE" w:rsidRPr="009245DB">
        <w:rPr>
          <w:rFonts w:ascii="Times New Roman" w:eastAsia="Times New Roman" w:hAnsi="Times New Roman" w:cs="Times New Roman"/>
          <w:bCs/>
          <w:sz w:val="24"/>
          <w:szCs w:val="24"/>
          <w:lang w:eastAsia="en-AU"/>
        </w:rPr>
        <w:t xml:space="preserve">the maximum number of occasions </w:t>
      </w:r>
      <w:r w:rsidR="001D2296">
        <w:rPr>
          <w:rFonts w:ascii="Times New Roman" w:eastAsia="Times New Roman" w:hAnsi="Times New Roman" w:cs="Times New Roman"/>
          <w:bCs/>
          <w:sz w:val="24"/>
          <w:szCs w:val="24"/>
          <w:lang w:eastAsia="en-AU"/>
        </w:rPr>
        <w:t xml:space="preserve">that </w:t>
      </w:r>
      <w:r w:rsidR="005876FE" w:rsidRPr="009245DB">
        <w:rPr>
          <w:rFonts w:ascii="Times New Roman" w:eastAsia="Times New Roman" w:hAnsi="Times New Roman" w:cs="Times New Roman"/>
          <w:bCs/>
          <w:sz w:val="24"/>
          <w:szCs w:val="24"/>
          <w:lang w:eastAsia="en-AU"/>
        </w:rPr>
        <w:t>the supply of an extemporaneously</w:t>
      </w:r>
      <w:r w:rsidR="001A3EC1" w:rsidRPr="009245DB">
        <w:rPr>
          <w:rFonts w:ascii="Times New Roman" w:eastAsia="Times New Roman" w:hAnsi="Times New Roman" w:cs="Times New Roman"/>
          <w:bCs/>
          <w:sz w:val="24"/>
          <w:szCs w:val="24"/>
          <w:lang w:eastAsia="en-AU"/>
        </w:rPr>
        <w:t>-</w:t>
      </w:r>
      <w:r w:rsidR="005876FE" w:rsidRPr="009245DB">
        <w:rPr>
          <w:rFonts w:ascii="Times New Roman" w:eastAsia="Times New Roman" w:hAnsi="Times New Roman" w:cs="Times New Roman"/>
          <w:bCs/>
          <w:sz w:val="24"/>
          <w:szCs w:val="24"/>
          <w:lang w:eastAsia="en-AU"/>
        </w:rPr>
        <w:t>prepared pharmaceutical benefit</w:t>
      </w:r>
      <w:r w:rsidR="0007363B">
        <w:rPr>
          <w:rFonts w:ascii="Times New Roman" w:eastAsia="Times New Roman" w:hAnsi="Times New Roman" w:cs="Times New Roman"/>
          <w:bCs/>
          <w:sz w:val="24"/>
          <w:szCs w:val="24"/>
          <w:lang w:eastAsia="en-AU"/>
        </w:rPr>
        <w:t xml:space="preserve"> may be directed to be supplied </w:t>
      </w:r>
      <w:r w:rsidR="009C0D6B">
        <w:rPr>
          <w:rFonts w:ascii="Times New Roman" w:eastAsia="Times New Roman" w:hAnsi="Times New Roman" w:cs="Times New Roman"/>
          <w:bCs/>
          <w:sz w:val="24"/>
          <w:szCs w:val="24"/>
          <w:lang w:eastAsia="en-AU"/>
        </w:rPr>
        <w:t>in one prescription</w:t>
      </w:r>
      <w:r w:rsidR="00DB48E8" w:rsidRPr="009245DB">
        <w:rPr>
          <w:rFonts w:ascii="Times New Roman" w:eastAsia="Times New Roman" w:hAnsi="Times New Roman" w:cs="Times New Roman"/>
          <w:bCs/>
          <w:sz w:val="24"/>
          <w:szCs w:val="24"/>
          <w:lang w:eastAsia="en-AU"/>
        </w:rPr>
        <w:t>.</w:t>
      </w:r>
    </w:p>
    <w:p w14:paraId="70DBFDBF" w14:textId="77777777" w:rsidR="00CA615B" w:rsidRPr="009245DB" w:rsidRDefault="00CA615B" w:rsidP="00167955">
      <w:pPr>
        <w:spacing w:after="0" w:line="240" w:lineRule="auto"/>
        <w:rPr>
          <w:rFonts w:ascii="Times New Roman" w:eastAsia="Times New Roman" w:hAnsi="Times New Roman" w:cs="Times New Roman"/>
          <w:bCs/>
          <w:sz w:val="24"/>
          <w:szCs w:val="24"/>
          <w:lang w:eastAsia="en-AU"/>
        </w:rPr>
      </w:pPr>
    </w:p>
    <w:p w14:paraId="6D7165DF" w14:textId="70ADB8EF" w:rsidR="002819FE" w:rsidRDefault="009C0D6B"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w:t>
      </w:r>
      <w:r w:rsidR="00471C0A" w:rsidRPr="009245DB">
        <w:rPr>
          <w:rFonts w:ascii="Times New Roman" w:eastAsia="Times New Roman" w:hAnsi="Times New Roman" w:cs="Times New Roman"/>
          <w:bCs/>
          <w:sz w:val="24"/>
          <w:szCs w:val="24"/>
          <w:lang w:eastAsia="en-AU"/>
        </w:rPr>
        <w:t>maximum number of occasions that an extemporaneously</w:t>
      </w:r>
      <w:r w:rsidR="001A3EC1" w:rsidRPr="009245DB">
        <w:rPr>
          <w:rFonts w:ascii="Times New Roman" w:eastAsia="Times New Roman" w:hAnsi="Times New Roman" w:cs="Times New Roman"/>
          <w:bCs/>
          <w:sz w:val="24"/>
          <w:szCs w:val="24"/>
          <w:lang w:eastAsia="en-AU"/>
        </w:rPr>
        <w:t>-</w:t>
      </w:r>
      <w:r w:rsidR="00471C0A" w:rsidRPr="009245DB">
        <w:rPr>
          <w:rFonts w:ascii="Times New Roman" w:eastAsia="Times New Roman" w:hAnsi="Times New Roman" w:cs="Times New Roman"/>
          <w:bCs/>
          <w:sz w:val="24"/>
          <w:szCs w:val="24"/>
          <w:lang w:eastAsia="en-AU"/>
        </w:rPr>
        <w:t>prepared pharmaceutical benefit of a type mentioned in column 1 of an item in the table in Part 3 of Schedule 2</w:t>
      </w:r>
      <w:r w:rsidR="002819FE">
        <w:rPr>
          <w:rFonts w:ascii="Times New Roman" w:eastAsia="Times New Roman" w:hAnsi="Times New Roman" w:cs="Times New Roman"/>
          <w:bCs/>
          <w:sz w:val="24"/>
          <w:szCs w:val="24"/>
          <w:lang w:eastAsia="en-AU"/>
        </w:rPr>
        <w:t xml:space="preserve"> may </w:t>
      </w:r>
      <w:r w:rsidR="002819FE">
        <w:rPr>
          <w:rFonts w:ascii="Times New Roman" w:eastAsia="Times New Roman" w:hAnsi="Times New Roman" w:cs="Times New Roman"/>
          <w:bCs/>
          <w:sz w:val="24"/>
          <w:szCs w:val="24"/>
          <w:lang w:eastAsia="en-AU"/>
        </w:rPr>
        <w:lastRenderedPageBreak/>
        <w:t xml:space="preserve">directed to be supplied in one prescription </w:t>
      </w:r>
      <w:r w:rsidR="00471C0A" w:rsidRPr="009245DB">
        <w:rPr>
          <w:rFonts w:ascii="Times New Roman" w:eastAsia="Times New Roman" w:hAnsi="Times New Roman" w:cs="Times New Roman"/>
          <w:bCs/>
          <w:sz w:val="24"/>
          <w:szCs w:val="24"/>
          <w:lang w:eastAsia="en-AU"/>
        </w:rPr>
        <w:t>is the number mentioned in column 3 of the item.</w:t>
      </w:r>
      <w:r w:rsidR="002819FE" w:rsidRPr="002819FE">
        <w:rPr>
          <w:rFonts w:ascii="Times New Roman" w:eastAsia="Times New Roman" w:hAnsi="Times New Roman" w:cs="Times New Roman"/>
          <w:bCs/>
          <w:sz w:val="24"/>
          <w:szCs w:val="24"/>
          <w:lang w:eastAsia="en-AU"/>
        </w:rPr>
        <w:t xml:space="preserve"> </w:t>
      </w:r>
      <w:r w:rsidR="002819FE">
        <w:rPr>
          <w:rFonts w:ascii="Times New Roman" w:eastAsia="Times New Roman" w:hAnsi="Times New Roman" w:cs="Times New Roman"/>
          <w:bCs/>
          <w:sz w:val="24"/>
          <w:szCs w:val="24"/>
          <w:lang w:eastAsia="en-AU"/>
        </w:rPr>
        <w:t>Only medical practitioners are authorised to prescribe extemporaneously-prepared pharmaceutical benefits.</w:t>
      </w:r>
    </w:p>
    <w:p w14:paraId="325DFB52" w14:textId="77777777" w:rsidR="002819FE" w:rsidRPr="00CC18E5" w:rsidRDefault="002819FE" w:rsidP="00167955">
      <w:pPr>
        <w:spacing w:after="0" w:line="240" w:lineRule="auto"/>
        <w:rPr>
          <w:rFonts w:ascii="Times New Roman" w:eastAsia="Times New Roman" w:hAnsi="Times New Roman" w:cs="Times New Roman"/>
          <w:bCs/>
          <w:sz w:val="24"/>
          <w:szCs w:val="24"/>
          <w:lang w:eastAsia="en-AU"/>
        </w:rPr>
      </w:pPr>
    </w:p>
    <w:p w14:paraId="09A14120" w14:textId="539C916C" w:rsidR="000C0AEC" w:rsidRDefault="000C0AEC"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18 </w:t>
      </w:r>
      <w:r w:rsidRPr="00CC18E5">
        <w:rPr>
          <w:rFonts w:ascii="Times New Roman" w:eastAsia="Times New Roman" w:hAnsi="Times New Roman" w:cs="Times New Roman"/>
          <w:bCs/>
          <w:sz w:val="24"/>
          <w:szCs w:val="24"/>
          <w:lang w:eastAsia="en-AU"/>
        </w:rPr>
        <w:t xml:space="preserve">corresponds to section </w:t>
      </w:r>
      <w:r w:rsidR="00F03386">
        <w:rPr>
          <w:rFonts w:ascii="Times New Roman" w:eastAsia="Times New Roman" w:hAnsi="Times New Roman" w:cs="Times New Roman"/>
          <w:bCs/>
          <w:sz w:val="24"/>
          <w:szCs w:val="24"/>
          <w:lang w:eastAsia="en-AU"/>
        </w:rPr>
        <w:t>22</w:t>
      </w:r>
      <w:r w:rsidRPr="00CC18E5">
        <w:rPr>
          <w:rFonts w:ascii="Times New Roman" w:eastAsia="Times New Roman" w:hAnsi="Times New Roman" w:cs="Times New Roman"/>
          <w:bCs/>
          <w:sz w:val="24"/>
          <w:szCs w:val="24"/>
          <w:lang w:eastAsia="en-AU"/>
        </w:rPr>
        <w:t xml:space="preserve"> of the 2012 Listing Instrument.</w:t>
      </w:r>
    </w:p>
    <w:p w14:paraId="27740560" w14:textId="77777777" w:rsidR="000C0AEC" w:rsidRDefault="000C0AEC" w:rsidP="00167955">
      <w:pPr>
        <w:spacing w:after="0" w:line="240" w:lineRule="auto"/>
        <w:rPr>
          <w:rFonts w:ascii="Times New Roman" w:eastAsia="Times New Roman" w:hAnsi="Times New Roman" w:cs="Times New Roman"/>
          <w:bCs/>
          <w:sz w:val="24"/>
          <w:szCs w:val="24"/>
          <w:lang w:eastAsia="en-AU"/>
        </w:rPr>
      </w:pPr>
    </w:p>
    <w:p w14:paraId="347FFC21" w14:textId="77777777" w:rsidR="00AD4FB8" w:rsidRPr="00576558" w:rsidRDefault="00AD4FB8" w:rsidP="00167955">
      <w:pPr>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t>Division 3—Authorisation of prescriptions</w:t>
      </w:r>
    </w:p>
    <w:p w14:paraId="10985C59" w14:textId="77777777" w:rsidR="00AD4FB8" w:rsidRPr="00576558" w:rsidRDefault="00AD4FB8" w:rsidP="00167955">
      <w:pPr>
        <w:spacing w:after="0" w:line="240" w:lineRule="auto"/>
        <w:rPr>
          <w:rFonts w:ascii="Times New Roman" w:eastAsia="Times New Roman" w:hAnsi="Times New Roman" w:cs="Times New Roman"/>
          <w:bCs/>
          <w:sz w:val="24"/>
          <w:szCs w:val="24"/>
          <w:lang w:eastAsia="en-AU"/>
        </w:rPr>
      </w:pPr>
    </w:p>
    <w:p w14:paraId="7788BAD7" w14:textId="604872D4" w:rsidR="00DB48E8" w:rsidRPr="00576558" w:rsidRDefault="00AD4FB8" w:rsidP="00167955">
      <w:pPr>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t xml:space="preserve">Section </w:t>
      </w:r>
      <w:r w:rsidR="0079408A" w:rsidRPr="00576558">
        <w:rPr>
          <w:rFonts w:ascii="Times New Roman" w:eastAsia="Times New Roman" w:hAnsi="Times New Roman" w:cs="Times New Roman"/>
          <w:b/>
          <w:sz w:val="24"/>
          <w:szCs w:val="24"/>
          <w:lang w:eastAsia="en-AU"/>
        </w:rPr>
        <w:t>19</w:t>
      </w:r>
      <w:r w:rsidRPr="00576558">
        <w:rPr>
          <w:rFonts w:ascii="Times New Roman" w:eastAsia="Times New Roman" w:hAnsi="Times New Roman" w:cs="Times New Roman"/>
          <w:b/>
          <w:sz w:val="24"/>
          <w:szCs w:val="24"/>
          <w:lang w:eastAsia="en-AU"/>
        </w:rPr>
        <w:t xml:space="preserve"> - Authority required procedures</w:t>
      </w:r>
    </w:p>
    <w:p w14:paraId="2D527B13" w14:textId="77777777" w:rsidR="007867AD" w:rsidRDefault="007867AD" w:rsidP="00167955">
      <w:pPr>
        <w:spacing w:after="0" w:line="240" w:lineRule="auto"/>
        <w:rPr>
          <w:rFonts w:ascii="Times New Roman" w:eastAsia="Times New Roman" w:hAnsi="Times New Roman" w:cs="Times New Roman"/>
          <w:bCs/>
          <w:sz w:val="24"/>
          <w:szCs w:val="24"/>
          <w:lang w:eastAsia="en-AU"/>
        </w:rPr>
      </w:pPr>
    </w:p>
    <w:p w14:paraId="7A171E6A" w14:textId="3883CBF4" w:rsidR="004E08B2" w:rsidRDefault="004E08B2"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19 </w:t>
      </w:r>
      <w:r w:rsidRPr="004E08B2">
        <w:rPr>
          <w:rFonts w:ascii="Times New Roman" w:eastAsia="Times New Roman" w:hAnsi="Times New Roman" w:cs="Times New Roman"/>
          <w:bCs/>
          <w:sz w:val="24"/>
          <w:szCs w:val="24"/>
          <w:lang w:eastAsia="en-AU"/>
        </w:rPr>
        <w:t>set</w:t>
      </w:r>
      <w:r>
        <w:rPr>
          <w:rFonts w:ascii="Times New Roman" w:eastAsia="Times New Roman" w:hAnsi="Times New Roman" w:cs="Times New Roman"/>
          <w:bCs/>
          <w:sz w:val="24"/>
          <w:szCs w:val="24"/>
          <w:lang w:eastAsia="en-AU"/>
        </w:rPr>
        <w:t>s</w:t>
      </w:r>
      <w:r w:rsidRPr="004E08B2">
        <w:rPr>
          <w:rFonts w:ascii="Times New Roman" w:eastAsia="Times New Roman" w:hAnsi="Times New Roman" w:cs="Times New Roman"/>
          <w:bCs/>
          <w:sz w:val="24"/>
          <w:szCs w:val="24"/>
          <w:lang w:eastAsia="en-AU"/>
        </w:rPr>
        <w:t xml:space="preserve"> out </w:t>
      </w:r>
      <w:r w:rsidR="00C2273B">
        <w:rPr>
          <w:rFonts w:ascii="Times New Roman" w:eastAsia="Times New Roman" w:hAnsi="Times New Roman" w:cs="Times New Roman"/>
          <w:bCs/>
          <w:sz w:val="24"/>
          <w:szCs w:val="24"/>
          <w:lang w:eastAsia="en-AU"/>
        </w:rPr>
        <w:t xml:space="preserve">the </w:t>
      </w:r>
      <w:r w:rsidR="0009120A">
        <w:rPr>
          <w:rFonts w:ascii="Times New Roman" w:eastAsia="Times New Roman" w:hAnsi="Times New Roman" w:cs="Times New Roman"/>
          <w:bCs/>
          <w:sz w:val="24"/>
          <w:szCs w:val="24"/>
          <w:lang w:eastAsia="en-AU"/>
        </w:rPr>
        <w:t>procedures (called “authority required procedures”)</w:t>
      </w:r>
      <w:r w:rsidR="00C2273B">
        <w:rPr>
          <w:rFonts w:ascii="Times New Roman" w:eastAsia="Times New Roman" w:hAnsi="Times New Roman" w:cs="Times New Roman"/>
          <w:bCs/>
          <w:sz w:val="24"/>
          <w:szCs w:val="24"/>
          <w:lang w:eastAsia="en-AU"/>
        </w:rPr>
        <w:t xml:space="preserve"> that prescribers must follow to receive authorisation from the Chief Executive Medicare to write a prescription </w:t>
      </w:r>
      <w:r w:rsidR="0009120A">
        <w:rPr>
          <w:rFonts w:ascii="Times New Roman" w:eastAsia="Times New Roman" w:hAnsi="Times New Roman" w:cs="Times New Roman"/>
          <w:bCs/>
          <w:sz w:val="24"/>
          <w:szCs w:val="24"/>
          <w:lang w:eastAsia="en-AU"/>
        </w:rPr>
        <w:t>for the supply of certain pharmaceutical benefits</w:t>
      </w:r>
      <w:r w:rsidR="001F723A">
        <w:rPr>
          <w:rFonts w:ascii="Times New Roman" w:eastAsia="Times New Roman" w:hAnsi="Times New Roman" w:cs="Times New Roman"/>
          <w:bCs/>
          <w:sz w:val="24"/>
          <w:szCs w:val="24"/>
          <w:lang w:eastAsia="en-AU"/>
        </w:rPr>
        <w:t>.</w:t>
      </w:r>
    </w:p>
    <w:p w14:paraId="0D6D80A5" w14:textId="77777777" w:rsidR="004E08B2" w:rsidRPr="00576558" w:rsidRDefault="004E08B2" w:rsidP="00167955">
      <w:pPr>
        <w:spacing w:after="0" w:line="240" w:lineRule="auto"/>
        <w:rPr>
          <w:rFonts w:ascii="Times New Roman" w:eastAsia="Times New Roman" w:hAnsi="Times New Roman" w:cs="Times New Roman"/>
          <w:bCs/>
          <w:sz w:val="24"/>
          <w:szCs w:val="24"/>
          <w:lang w:eastAsia="en-AU"/>
        </w:rPr>
      </w:pPr>
    </w:p>
    <w:p w14:paraId="73437FAF" w14:textId="6FABE45D" w:rsidR="00441D7E" w:rsidRPr="00576558" w:rsidRDefault="00831CA7"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79408A" w:rsidRPr="00576558">
        <w:rPr>
          <w:rFonts w:ascii="Times New Roman" w:eastAsia="Times New Roman" w:hAnsi="Times New Roman" w:cs="Times New Roman"/>
          <w:bCs/>
          <w:sz w:val="24"/>
          <w:szCs w:val="24"/>
          <w:lang w:eastAsia="en-AU"/>
        </w:rPr>
        <w:t>19</w:t>
      </w:r>
      <w:r w:rsidRPr="00576558">
        <w:rPr>
          <w:rFonts w:ascii="Times New Roman" w:eastAsia="Times New Roman" w:hAnsi="Times New Roman" w:cs="Times New Roman"/>
          <w:bCs/>
          <w:sz w:val="24"/>
          <w:szCs w:val="24"/>
          <w:lang w:eastAsia="en-AU"/>
        </w:rPr>
        <w:t xml:space="preserve">(1) provides that </w:t>
      </w:r>
      <w:r w:rsidR="00D83BF1">
        <w:rPr>
          <w:rFonts w:ascii="Times New Roman" w:eastAsia="Times New Roman" w:hAnsi="Times New Roman" w:cs="Times New Roman"/>
          <w:bCs/>
          <w:sz w:val="24"/>
          <w:szCs w:val="24"/>
          <w:lang w:eastAsia="en-AU"/>
        </w:rPr>
        <w:t xml:space="preserve">the </w:t>
      </w:r>
      <w:r w:rsidRPr="00576558">
        <w:rPr>
          <w:rFonts w:ascii="Times New Roman" w:eastAsia="Times New Roman" w:hAnsi="Times New Roman" w:cs="Times New Roman"/>
          <w:bCs/>
          <w:sz w:val="24"/>
          <w:szCs w:val="24"/>
          <w:lang w:eastAsia="en-AU"/>
        </w:rPr>
        <w:t>section</w:t>
      </w:r>
      <w:r w:rsidR="007867AD" w:rsidRPr="00576558">
        <w:rPr>
          <w:rFonts w:ascii="Times New Roman" w:eastAsia="Times New Roman" w:hAnsi="Times New Roman" w:cs="Times New Roman"/>
          <w:bCs/>
          <w:sz w:val="24"/>
          <w:szCs w:val="24"/>
          <w:lang w:eastAsia="en-AU"/>
        </w:rPr>
        <w:t xml:space="preserve"> </w:t>
      </w:r>
      <w:r w:rsidR="00441D7E" w:rsidRPr="00576558">
        <w:rPr>
          <w:rFonts w:ascii="Times New Roman" w:eastAsia="Times New Roman" w:hAnsi="Times New Roman" w:cs="Times New Roman"/>
          <w:bCs/>
          <w:sz w:val="24"/>
          <w:szCs w:val="24"/>
          <w:lang w:eastAsia="en-AU"/>
        </w:rPr>
        <w:t>applies if</w:t>
      </w:r>
      <w:r w:rsidR="00E27131">
        <w:rPr>
          <w:rFonts w:ascii="Times New Roman" w:eastAsia="Times New Roman" w:hAnsi="Times New Roman" w:cs="Times New Roman"/>
          <w:bCs/>
          <w:sz w:val="24"/>
          <w:szCs w:val="24"/>
          <w:lang w:eastAsia="en-AU"/>
        </w:rPr>
        <w:t xml:space="preserve"> either of the following include a requirement for a prescription </w:t>
      </w:r>
      <w:r w:rsidR="00D72929">
        <w:rPr>
          <w:rFonts w:ascii="Times New Roman" w:eastAsia="Times New Roman" w:hAnsi="Times New Roman" w:cs="Times New Roman"/>
          <w:bCs/>
          <w:sz w:val="24"/>
          <w:szCs w:val="24"/>
          <w:lang w:eastAsia="en-AU"/>
        </w:rPr>
        <w:t xml:space="preserve">for a pharmaceutical benefit </w:t>
      </w:r>
      <w:r w:rsidR="00E27131">
        <w:rPr>
          <w:rFonts w:ascii="Times New Roman" w:eastAsia="Times New Roman" w:hAnsi="Times New Roman" w:cs="Times New Roman"/>
          <w:bCs/>
          <w:sz w:val="24"/>
          <w:szCs w:val="24"/>
          <w:lang w:eastAsia="en-AU"/>
        </w:rPr>
        <w:t>to be authorised by the Chief Executive Medicare</w:t>
      </w:r>
      <w:r w:rsidR="00441D7E" w:rsidRPr="00576558">
        <w:rPr>
          <w:rFonts w:ascii="Times New Roman" w:eastAsia="Times New Roman" w:hAnsi="Times New Roman" w:cs="Times New Roman"/>
          <w:bCs/>
          <w:sz w:val="24"/>
          <w:szCs w:val="24"/>
          <w:lang w:eastAsia="en-AU"/>
        </w:rPr>
        <w:t>:</w:t>
      </w:r>
    </w:p>
    <w:p w14:paraId="7F863F8D" w14:textId="70D9E0CF" w:rsidR="00441D7E" w:rsidRPr="00576558" w:rsidRDefault="00441D7E" w:rsidP="00167955">
      <w:pPr>
        <w:pStyle w:val="ListParagraph"/>
        <w:numPr>
          <w:ilvl w:val="0"/>
          <w:numId w:val="6"/>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the circumstances under paragraph 85(7)(b) of the Act in which a prescription for the supply of</w:t>
      </w:r>
      <w:r w:rsidR="00D72929">
        <w:rPr>
          <w:rFonts w:ascii="Times New Roman" w:eastAsia="Times New Roman" w:hAnsi="Times New Roman" w:cs="Times New Roman"/>
          <w:bCs/>
          <w:sz w:val="24"/>
          <w:szCs w:val="24"/>
          <w:lang w:eastAsia="en-AU"/>
        </w:rPr>
        <w:t xml:space="preserve"> the</w:t>
      </w:r>
      <w:r w:rsidRPr="00576558">
        <w:rPr>
          <w:rFonts w:ascii="Times New Roman" w:eastAsia="Times New Roman" w:hAnsi="Times New Roman" w:cs="Times New Roman"/>
          <w:bCs/>
          <w:sz w:val="24"/>
          <w:szCs w:val="24"/>
          <w:lang w:eastAsia="en-AU"/>
        </w:rPr>
        <w:t xml:space="preserve"> pharmaceutical benefit may be written</w:t>
      </w:r>
      <w:r w:rsidR="000D0016" w:rsidRPr="00576558">
        <w:rPr>
          <w:rFonts w:ascii="Times New Roman" w:eastAsia="Times New Roman" w:hAnsi="Times New Roman" w:cs="Times New Roman"/>
          <w:bCs/>
          <w:sz w:val="24"/>
          <w:szCs w:val="24"/>
          <w:lang w:eastAsia="en-AU"/>
        </w:rPr>
        <w:t xml:space="preserve"> </w:t>
      </w:r>
      <w:r w:rsidR="00F4019E" w:rsidRPr="00576558">
        <w:rPr>
          <w:rFonts w:ascii="Times New Roman" w:eastAsia="Times New Roman" w:hAnsi="Times New Roman" w:cs="Times New Roman"/>
          <w:bCs/>
          <w:sz w:val="24"/>
          <w:szCs w:val="24"/>
          <w:lang w:eastAsia="en-AU"/>
        </w:rPr>
        <w:t xml:space="preserve">apply </w:t>
      </w:r>
      <w:r w:rsidR="000D0016" w:rsidRPr="00576558">
        <w:rPr>
          <w:rFonts w:ascii="Times New Roman" w:eastAsia="Times New Roman" w:hAnsi="Times New Roman" w:cs="Times New Roman"/>
          <w:bCs/>
          <w:sz w:val="24"/>
          <w:szCs w:val="24"/>
          <w:lang w:eastAsia="en-AU"/>
        </w:rPr>
        <w:t>(see paragraph 1</w:t>
      </w:r>
      <w:r w:rsidR="005647E1" w:rsidRPr="00576558">
        <w:rPr>
          <w:rFonts w:ascii="Times New Roman" w:eastAsia="Times New Roman" w:hAnsi="Times New Roman" w:cs="Times New Roman"/>
          <w:bCs/>
          <w:sz w:val="24"/>
          <w:szCs w:val="24"/>
          <w:lang w:eastAsia="en-AU"/>
        </w:rPr>
        <w:t>3</w:t>
      </w:r>
      <w:r w:rsidR="000D0016" w:rsidRPr="00576558">
        <w:rPr>
          <w:rFonts w:ascii="Times New Roman" w:eastAsia="Times New Roman" w:hAnsi="Times New Roman" w:cs="Times New Roman"/>
          <w:bCs/>
          <w:sz w:val="24"/>
          <w:szCs w:val="24"/>
          <w:lang w:eastAsia="en-AU"/>
        </w:rPr>
        <w:t>(c))</w:t>
      </w:r>
      <w:r w:rsidRPr="00576558">
        <w:rPr>
          <w:rFonts w:ascii="Times New Roman" w:eastAsia="Times New Roman" w:hAnsi="Times New Roman" w:cs="Times New Roman"/>
          <w:bCs/>
          <w:sz w:val="24"/>
          <w:szCs w:val="24"/>
          <w:lang w:eastAsia="en-AU"/>
        </w:rPr>
        <w:t>; or</w:t>
      </w:r>
    </w:p>
    <w:p w14:paraId="5C41027A" w14:textId="5EDD5E86" w:rsidR="00441D7E" w:rsidRPr="00576558" w:rsidRDefault="00441D7E" w:rsidP="00167955">
      <w:pPr>
        <w:pStyle w:val="ListParagraph"/>
        <w:numPr>
          <w:ilvl w:val="0"/>
          <w:numId w:val="6"/>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the conditions under subsection 85A(2A) of the Act for writing a prescription for the supply of </w:t>
      </w:r>
      <w:r w:rsidR="00D72929">
        <w:rPr>
          <w:rFonts w:ascii="Times New Roman" w:eastAsia="Times New Roman" w:hAnsi="Times New Roman" w:cs="Times New Roman"/>
          <w:bCs/>
          <w:sz w:val="24"/>
          <w:szCs w:val="24"/>
          <w:lang w:eastAsia="en-AU"/>
        </w:rPr>
        <w:t>the</w:t>
      </w:r>
      <w:r w:rsidRPr="00576558">
        <w:rPr>
          <w:rFonts w:ascii="Times New Roman" w:eastAsia="Times New Roman" w:hAnsi="Times New Roman" w:cs="Times New Roman"/>
          <w:bCs/>
          <w:sz w:val="24"/>
          <w:szCs w:val="24"/>
          <w:lang w:eastAsia="en-AU"/>
        </w:rPr>
        <w:t xml:space="preserve"> pharmaceutical benefit</w:t>
      </w:r>
      <w:r w:rsidR="000D0016" w:rsidRPr="00576558">
        <w:rPr>
          <w:rFonts w:ascii="Times New Roman" w:eastAsia="Times New Roman" w:hAnsi="Times New Roman" w:cs="Times New Roman"/>
          <w:bCs/>
          <w:sz w:val="24"/>
          <w:szCs w:val="24"/>
          <w:lang w:eastAsia="en-AU"/>
        </w:rPr>
        <w:t xml:space="preserve"> (see subsections </w:t>
      </w:r>
      <w:r w:rsidR="00020EFB" w:rsidRPr="00576558">
        <w:rPr>
          <w:rFonts w:ascii="Times New Roman" w:eastAsia="Times New Roman" w:hAnsi="Times New Roman" w:cs="Times New Roman"/>
          <w:bCs/>
          <w:sz w:val="24"/>
          <w:szCs w:val="24"/>
          <w:lang w:eastAsia="en-AU"/>
        </w:rPr>
        <w:t>15</w:t>
      </w:r>
      <w:r w:rsidR="0029697E" w:rsidRPr="00576558">
        <w:rPr>
          <w:rFonts w:ascii="Times New Roman" w:eastAsia="Times New Roman" w:hAnsi="Times New Roman" w:cs="Times New Roman"/>
          <w:bCs/>
          <w:sz w:val="24"/>
          <w:szCs w:val="24"/>
          <w:lang w:eastAsia="en-AU"/>
        </w:rPr>
        <w:t>(4)</w:t>
      </w:r>
      <w:r w:rsidR="000D0016" w:rsidRPr="00576558">
        <w:rPr>
          <w:rFonts w:ascii="Times New Roman" w:eastAsia="Times New Roman" w:hAnsi="Times New Roman" w:cs="Times New Roman"/>
          <w:bCs/>
          <w:sz w:val="24"/>
          <w:szCs w:val="24"/>
          <w:lang w:eastAsia="en-AU"/>
        </w:rPr>
        <w:t xml:space="preserve"> and </w:t>
      </w:r>
      <w:r w:rsidR="00020EFB" w:rsidRPr="00576558">
        <w:rPr>
          <w:rFonts w:ascii="Times New Roman" w:eastAsia="Times New Roman" w:hAnsi="Times New Roman" w:cs="Times New Roman"/>
          <w:bCs/>
          <w:sz w:val="24"/>
          <w:szCs w:val="24"/>
          <w:lang w:eastAsia="en-AU"/>
        </w:rPr>
        <w:t>16</w:t>
      </w:r>
      <w:r w:rsidR="0029697E" w:rsidRPr="00576558">
        <w:rPr>
          <w:rFonts w:ascii="Times New Roman" w:eastAsia="Times New Roman" w:hAnsi="Times New Roman" w:cs="Times New Roman"/>
          <w:bCs/>
          <w:sz w:val="24"/>
          <w:szCs w:val="24"/>
          <w:lang w:eastAsia="en-AU"/>
        </w:rPr>
        <w:t>(4)</w:t>
      </w:r>
      <w:r w:rsidR="000D0016" w:rsidRPr="00576558">
        <w:rPr>
          <w:rFonts w:ascii="Times New Roman" w:eastAsia="Times New Roman" w:hAnsi="Times New Roman" w:cs="Times New Roman"/>
          <w:bCs/>
          <w:sz w:val="24"/>
          <w:szCs w:val="24"/>
          <w:lang w:eastAsia="en-AU"/>
        </w:rPr>
        <w:t>)</w:t>
      </w:r>
      <w:r w:rsidR="00E27131">
        <w:rPr>
          <w:rFonts w:ascii="Times New Roman" w:eastAsia="Times New Roman" w:hAnsi="Times New Roman" w:cs="Times New Roman"/>
          <w:bCs/>
          <w:sz w:val="24"/>
          <w:szCs w:val="24"/>
          <w:lang w:eastAsia="en-AU"/>
        </w:rPr>
        <w:t>.</w:t>
      </w:r>
    </w:p>
    <w:p w14:paraId="4543CCF6" w14:textId="77777777" w:rsidR="00B066F5" w:rsidRPr="00576558" w:rsidRDefault="00B066F5" w:rsidP="00167955">
      <w:pPr>
        <w:spacing w:after="0" w:line="240" w:lineRule="auto"/>
        <w:rPr>
          <w:rFonts w:ascii="Times New Roman" w:eastAsia="Times New Roman" w:hAnsi="Times New Roman" w:cs="Times New Roman"/>
          <w:bCs/>
          <w:sz w:val="24"/>
          <w:szCs w:val="24"/>
          <w:lang w:eastAsia="en-AU"/>
        </w:rPr>
      </w:pPr>
    </w:p>
    <w:p w14:paraId="4944BE59" w14:textId="333422D0" w:rsidR="00441D7E" w:rsidRPr="00576558" w:rsidRDefault="00B330E0"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8D0926" w:rsidRPr="00576558">
        <w:rPr>
          <w:rFonts w:ascii="Times New Roman" w:eastAsia="Times New Roman" w:hAnsi="Times New Roman" w:cs="Times New Roman"/>
          <w:bCs/>
          <w:sz w:val="24"/>
          <w:szCs w:val="24"/>
          <w:lang w:eastAsia="en-AU"/>
        </w:rPr>
        <w:t>19</w:t>
      </w:r>
      <w:r w:rsidRPr="00576558">
        <w:rPr>
          <w:rFonts w:ascii="Times New Roman" w:eastAsia="Times New Roman" w:hAnsi="Times New Roman" w:cs="Times New Roman"/>
          <w:bCs/>
          <w:sz w:val="24"/>
          <w:szCs w:val="24"/>
          <w:lang w:eastAsia="en-AU"/>
        </w:rPr>
        <w:t xml:space="preserve">(2) provides </w:t>
      </w:r>
      <w:r w:rsidR="004466F5" w:rsidRPr="00576558">
        <w:rPr>
          <w:rFonts w:ascii="Times New Roman" w:eastAsia="Times New Roman" w:hAnsi="Times New Roman" w:cs="Times New Roman"/>
          <w:bCs/>
          <w:sz w:val="24"/>
          <w:szCs w:val="24"/>
          <w:lang w:eastAsia="en-AU"/>
        </w:rPr>
        <w:t xml:space="preserve">that </w:t>
      </w:r>
      <w:r w:rsidRPr="00576558">
        <w:rPr>
          <w:rFonts w:ascii="Times New Roman" w:eastAsia="Times New Roman" w:hAnsi="Times New Roman" w:cs="Times New Roman"/>
          <w:bCs/>
          <w:sz w:val="24"/>
          <w:szCs w:val="24"/>
          <w:lang w:eastAsia="en-AU"/>
        </w:rPr>
        <w:t>the</w:t>
      </w:r>
      <w:r w:rsidR="00441D7E" w:rsidRPr="00576558">
        <w:rPr>
          <w:rFonts w:ascii="Times New Roman" w:eastAsia="Times New Roman" w:hAnsi="Times New Roman" w:cs="Times New Roman"/>
          <w:bCs/>
          <w:sz w:val="24"/>
          <w:szCs w:val="24"/>
          <w:lang w:eastAsia="en-AU"/>
        </w:rPr>
        <w:t xml:space="preserve"> authorised prescriber requesting authority to write </w:t>
      </w:r>
      <w:r w:rsidR="00343025" w:rsidRPr="00576558">
        <w:rPr>
          <w:rFonts w:ascii="Times New Roman" w:eastAsia="Times New Roman" w:hAnsi="Times New Roman" w:cs="Times New Roman"/>
          <w:bCs/>
          <w:sz w:val="24"/>
          <w:szCs w:val="24"/>
          <w:lang w:eastAsia="en-AU"/>
        </w:rPr>
        <w:t>a</w:t>
      </w:r>
      <w:r w:rsidR="00441D7E" w:rsidRPr="00576558">
        <w:rPr>
          <w:rFonts w:ascii="Times New Roman" w:eastAsia="Times New Roman" w:hAnsi="Times New Roman" w:cs="Times New Roman"/>
          <w:bCs/>
          <w:sz w:val="24"/>
          <w:szCs w:val="24"/>
          <w:lang w:eastAsia="en-AU"/>
        </w:rPr>
        <w:t xml:space="preserve"> prescription must provide details of the proposed prescription to the Chief Executive Medicare.</w:t>
      </w:r>
    </w:p>
    <w:p w14:paraId="76778555" w14:textId="77777777" w:rsidR="009B2107" w:rsidRPr="00576558" w:rsidRDefault="009B2107" w:rsidP="00167955">
      <w:pPr>
        <w:spacing w:after="0" w:line="240" w:lineRule="auto"/>
        <w:rPr>
          <w:rFonts w:ascii="Times New Roman" w:eastAsia="Times New Roman" w:hAnsi="Times New Roman" w:cs="Times New Roman"/>
          <w:bCs/>
          <w:sz w:val="24"/>
          <w:szCs w:val="24"/>
          <w:lang w:eastAsia="en-AU"/>
        </w:rPr>
      </w:pPr>
    </w:p>
    <w:p w14:paraId="6D47374B" w14:textId="799B9CFB" w:rsidR="00441D7E" w:rsidRPr="00576558" w:rsidRDefault="00CB0FDA" w:rsidP="00167955">
      <w:pPr>
        <w:spacing w:after="0" w:line="240" w:lineRule="auto"/>
        <w:rPr>
          <w:rFonts w:ascii="Times New Roman" w:eastAsia="Times New Roman" w:hAnsi="Times New Roman" w:cs="Times New Roman"/>
          <w:bCs/>
          <w:sz w:val="24"/>
          <w:szCs w:val="24"/>
          <w:lang w:eastAsia="en-AU"/>
        </w:rPr>
      </w:pPr>
      <w:r w:rsidRPr="005A1D71">
        <w:rPr>
          <w:rFonts w:ascii="Times New Roman" w:eastAsia="Times New Roman" w:hAnsi="Times New Roman" w:cs="Times New Roman"/>
          <w:bCs/>
          <w:sz w:val="24"/>
          <w:szCs w:val="24"/>
          <w:lang w:eastAsia="en-AU"/>
        </w:rPr>
        <w:t>Subsection 1</w:t>
      </w:r>
      <w:r w:rsidR="008D0926" w:rsidRPr="005A1D71">
        <w:rPr>
          <w:rFonts w:ascii="Times New Roman" w:eastAsia="Times New Roman" w:hAnsi="Times New Roman" w:cs="Times New Roman"/>
          <w:bCs/>
          <w:sz w:val="24"/>
          <w:szCs w:val="24"/>
          <w:lang w:eastAsia="en-AU"/>
        </w:rPr>
        <w:t>9</w:t>
      </w:r>
      <w:r w:rsidRPr="005A1D71">
        <w:rPr>
          <w:rFonts w:ascii="Times New Roman" w:eastAsia="Times New Roman" w:hAnsi="Times New Roman" w:cs="Times New Roman"/>
          <w:bCs/>
          <w:sz w:val="24"/>
          <w:szCs w:val="24"/>
          <w:lang w:eastAsia="en-AU"/>
        </w:rPr>
        <w:t>(</w:t>
      </w:r>
      <w:r w:rsidR="00506D28" w:rsidRPr="005A1D71">
        <w:rPr>
          <w:rFonts w:ascii="Times New Roman" w:eastAsia="Times New Roman" w:hAnsi="Times New Roman" w:cs="Times New Roman"/>
          <w:bCs/>
          <w:sz w:val="24"/>
          <w:szCs w:val="24"/>
          <w:lang w:eastAsia="en-AU"/>
        </w:rPr>
        <w:t>3</w:t>
      </w:r>
      <w:r w:rsidRPr="005A1D71">
        <w:rPr>
          <w:rFonts w:ascii="Times New Roman" w:eastAsia="Times New Roman" w:hAnsi="Times New Roman" w:cs="Times New Roman"/>
          <w:bCs/>
          <w:sz w:val="24"/>
          <w:szCs w:val="24"/>
          <w:lang w:eastAsia="en-AU"/>
        </w:rPr>
        <w:t>) provides</w:t>
      </w:r>
      <w:r w:rsidR="004466F5" w:rsidRPr="005A1D71">
        <w:rPr>
          <w:rFonts w:ascii="Times New Roman" w:eastAsia="Times New Roman" w:hAnsi="Times New Roman" w:cs="Times New Roman"/>
          <w:bCs/>
          <w:sz w:val="24"/>
          <w:szCs w:val="24"/>
          <w:lang w:eastAsia="en-AU"/>
        </w:rPr>
        <w:t xml:space="preserve"> that</w:t>
      </w:r>
      <w:r w:rsidRPr="005A1D71">
        <w:rPr>
          <w:rFonts w:ascii="Times New Roman" w:eastAsia="Times New Roman" w:hAnsi="Times New Roman" w:cs="Times New Roman"/>
          <w:bCs/>
          <w:sz w:val="24"/>
          <w:szCs w:val="24"/>
          <w:lang w:eastAsia="en-AU"/>
        </w:rPr>
        <w:t xml:space="preserve">, if </w:t>
      </w:r>
      <w:r w:rsidR="00441D7E" w:rsidRPr="005A1D71">
        <w:rPr>
          <w:rFonts w:ascii="Times New Roman" w:eastAsia="Times New Roman" w:hAnsi="Times New Roman" w:cs="Times New Roman"/>
          <w:bCs/>
          <w:sz w:val="24"/>
          <w:szCs w:val="24"/>
          <w:lang w:eastAsia="en-AU"/>
        </w:rPr>
        <w:t xml:space="preserve">the column of the table in Part 1 of Schedule 4 headed “Authority Requirements” contains the statement “Compliance with Written Authority Required procedures”, the </w:t>
      </w:r>
      <w:r w:rsidR="00DC6603" w:rsidRPr="005A1D71">
        <w:rPr>
          <w:rFonts w:ascii="Times New Roman" w:eastAsia="Times New Roman" w:hAnsi="Times New Roman" w:cs="Times New Roman"/>
          <w:bCs/>
          <w:sz w:val="24"/>
          <w:szCs w:val="24"/>
          <w:lang w:eastAsia="en-AU"/>
        </w:rPr>
        <w:t xml:space="preserve">details of the proposed prescription </w:t>
      </w:r>
      <w:r w:rsidR="00441D7E" w:rsidRPr="005A1D71">
        <w:rPr>
          <w:rFonts w:ascii="Times New Roman" w:eastAsia="Times New Roman" w:hAnsi="Times New Roman" w:cs="Times New Roman"/>
          <w:bCs/>
          <w:sz w:val="24"/>
          <w:szCs w:val="24"/>
          <w:lang w:eastAsia="en-AU"/>
        </w:rPr>
        <w:t>must be provided in writing.</w:t>
      </w:r>
    </w:p>
    <w:p w14:paraId="17725AA0" w14:textId="77777777" w:rsidR="00CB0FDA" w:rsidRPr="00576558" w:rsidRDefault="00CB0FDA" w:rsidP="00167955">
      <w:pPr>
        <w:spacing w:after="0" w:line="240" w:lineRule="auto"/>
        <w:rPr>
          <w:rFonts w:ascii="Times New Roman" w:eastAsia="Times New Roman" w:hAnsi="Times New Roman" w:cs="Times New Roman"/>
          <w:bCs/>
          <w:sz w:val="24"/>
          <w:szCs w:val="24"/>
          <w:lang w:eastAsia="en-AU"/>
        </w:rPr>
      </w:pPr>
    </w:p>
    <w:p w14:paraId="6021341A" w14:textId="66251791" w:rsidR="00441D7E" w:rsidRDefault="00CB0FDA"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Subsection 1</w:t>
      </w:r>
      <w:r w:rsidR="008D0926" w:rsidRPr="00576558">
        <w:rPr>
          <w:rFonts w:ascii="Times New Roman" w:eastAsia="Times New Roman" w:hAnsi="Times New Roman" w:cs="Times New Roman"/>
          <w:bCs/>
          <w:sz w:val="24"/>
          <w:szCs w:val="24"/>
          <w:lang w:eastAsia="en-AU"/>
        </w:rPr>
        <w:t>9</w:t>
      </w:r>
      <w:r w:rsidRPr="00576558">
        <w:rPr>
          <w:rFonts w:ascii="Times New Roman" w:eastAsia="Times New Roman" w:hAnsi="Times New Roman" w:cs="Times New Roman"/>
          <w:bCs/>
          <w:sz w:val="24"/>
          <w:szCs w:val="24"/>
          <w:lang w:eastAsia="en-AU"/>
        </w:rPr>
        <w:t>(</w:t>
      </w:r>
      <w:r w:rsidR="00506D28" w:rsidRPr="00576558">
        <w:rPr>
          <w:rFonts w:ascii="Times New Roman" w:eastAsia="Times New Roman" w:hAnsi="Times New Roman" w:cs="Times New Roman"/>
          <w:bCs/>
          <w:sz w:val="24"/>
          <w:szCs w:val="24"/>
          <w:lang w:eastAsia="en-AU"/>
        </w:rPr>
        <w:t>4</w:t>
      </w:r>
      <w:r w:rsidRPr="00576558">
        <w:rPr>
          <w:rFonts w:ascii="Times New Roman" w:eastAsia="Times New Roman" w:hAnsi="Times New Roman" w:cs="Times New Roman"/>
          <w:bCs/>
          <w:sz w:val="24"/>
          <w:szCs w:val="24"/>
          <w:lang w:eastAsia="en-AU"/>
        </w:rPr>
        <w:t>) provides</w:t>
      </w:r>
      <w:r w:rsidR="004466F5" w:rsidRPr="00576558">
        <w:rPr>
          <w:rFonts w:ascii="Times New Roman" w:eastAsia="Times New Roman" w:hAnsi="Times New Roman" w:cs="Times New Roman"/>
          <w:bCs/>
          <w:sz w:val="24"/>
          <w:szCs w:val="24"/>
          <w:lang w:eastAsia="en-AU"/>
        </w:rPr>
        <w:t xml:space="preserve"> that</w:t>
      </w:r>
      <w:r w:rsidRPr="00576558">
        <w:rPr>
          <w:rFonts w:ascii="Times New Roman" w:eastAsia="Times New Roman" w:hAnsi="Times New Roman" w:cs="Times New Roman"/>
          <w:bCs/>
          <w:sz w:val="24"/>
          <w:szCs w:val="24"/>
          <w:lang w:eastAsia="en-AU"/>
        </w:rPr>
        <w:t xml:space="preserve">, if the </w:t>
      </w:r>
      <w:r w:rsidR="00441D7E" w:rsidRPr="00576558">
        <w:rPr>
          <w:rFonts w:ascii="Times New Roman" w:eastAsia="Times New Roman" w:hAnsi="Times New Roman" w:cs="Times New Roman"/>
          <w:bCs/>
          <w:sz w:val="24"/>
          <w:szCs w:val="24"/>
          <w:lang w:eastAsia="en-AU"/>
        </w:rPr>
        <w:t>Chief Executive Medicare gives authority to write the prescription, the Chief Executive Medicare must allot a number to the prescription and tell the authorised prescriber that number.</w:t>
      </w:r>
    </w:p>
    <w:p w14:paraId="33A0463B" w14:textId="77777777" w:rsidR="00146B93" w:rsidRDefault="00146B93" w:rsidP="00167955">
      <w:pPr>
        <w:spacing w:after="0" w:line="240" w:lineRule="auto"/>
        <w:rPr>
          <w:rFonts w:ascii="Times New Roman" w:eastAsia="Times New Roman" w:hAnsi="Times New Roman" w:cs="Times New Roman"/>
          <w:bCs/>
          <w:sz w:val="24"/>
          <w:szCs w:val="24"/>
          <w:lang w:eastAsia="en-AU"/>
        </w:rPr>
      </w:pPr>
    </w:p>
    <w:p w14:paraId="574E45F8" w14:textId="14E0873D" w:rsidR="00146B93" w:rsidRPr="00A22E0C" w:rsidRDefault="00146B93" w:rsidP="00167955">
      <w:pPr>
        <w:spacing w:after="0" w:line="240" w:lineRule="auto"/>
        <w:rPr>
          <w:rFonts w:ascii="Times New Roman" w:eastAsia="Times New Roman" w:hAnsi="Times New Roman" w:cs="Times New Roman"/>
          <w:bCs/>
          <w:sz w:val="24"/>
          <w:szCs w:val="24"/>
          <w:u w:val="single"/>
          <w:lang w:eastAsia="en-AU"/>
        </w:rPr>
      </w:pPr>
      <w:r w:rsidRPr="00A22E0C">
        <w:rPr>
          <w:rFonts w:ascii="Times New Roman" w:eastAsia="Times New Roman" w:hAnsi="Times New Roman" w:cs="Times New Roman"/>
          <w:bCs/>
          <w:sz w:val="24"/>
          <w:szCs w:val="24"/>
          <w:u w:val="single"/>
          <w:lang w:eastAsia="en-AU"/>
        </w:rPr>
        <w:t xml:space="preserve">Streamlined authority </w:t>
      </w:r>
      <w:r w:rsidR="00386AC6">
        <w:rPr>
          <w:rFonts w:ascii="Times New Roman" w:eastAsia="Times New Roman" w:hAnsi="Times New Roman" w:cs="Times New Roman"/>
          <w:bCs/>
          <w:sz w:val="24"/>
          <w:szCs w:val="24"/>
          <w:u w:val="single"/>
          <w:lang w:eastAsia="en-AU"/>
        </w:rPr>
        <w:t>required</w:t>
      </w:r>
    </w:p>
    <w:p w14:paraId="3334A86E" w14:textId="77777777" w:rsidR="00D013A9" w:rsidRPr="00576558" w:rsidRDefault="00D013A9" w:rsidP="00167955">
      <w:pPr>
        <w:spacing w:after="0" w:line="240" w:lineRule="auto"/>
        <w:rPr>
          <w:rFonts w:ascii="Times New Roman" w:eastAsia="Times New Roman" w:hAnsi="Times New Roman" w:cs="Times New Roman"/>
          <w:bCs/>
          <w:sz w:val="24"/>
          <w:szCs w:val="24"/>
          <w:lang w:eastAsia="en-AU"/>
        </w:rPr>
      </w:pPr>
    </w:p>
    <w:p w14:paraId="44B26BFA" w14:textId="3139FA7E" w:rsidR="00441D7E" w:rsidRPr="00576558" w:rsidRDefault="0098446F"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Subsection 1</w:t>
      </w:r>
      <w:r w:rsidR="008D0926" w:rsidRPr="00576558">
        <w:rPr>
          <w:rFonts w:ascii="Times New Roman" w:eastAsia="Times New Roman" w:hAnsi="Times New Roman" w:cs="Times New Roman"/>
          <w:bCs/>
          <w:sz w:val="24"/>
          <w:szCs w:val="24"/>
          <w:lang w:eastAsia="en-AU"/>
        </w:rPr>
        <w:t>9</w:t>
      </w:r>
      <w:r w:rsidRPr="00576558">
        <w:rPr>
          <w:rFonts w:ascii="Times New Roman" w:eastAsia="Times New Roman" w:hAnsi="Times New Roman" w:cs="Times New Roman"/>
          <w:bCs/>
          <w:sz w:val="24"/>
          <w:szCs w:val="24"/>
          <w:lang w:eastAsia="en-AU"/>
        </w:rPr>
        <w:t>(5) provides</w:t>
      </w:r>
      <w:r w:rsidR="004466F5" w:rsidRPr="00576558">
        <w:rPr>
          <w:rFonts w:ascii="Times New Roman" w:eastAsia="Times New Roman" w:hAnsi="Times New Roman" w:cs="Times New Roman"/>
          <w:bCs/>
          <w:sz w:val="24"/>
          <w:szCs w:val="24"/>
          <w:lang w:eastAsia="en-AU"/>
        </w:rPr>
        <w:t xml:space="preserve"> that</w:t>
      </w:r>
      <w:r w:rsidRPr="00576558">
        <w:rPr>
          <w:rFonts w:ascii="Times New Roman" w:eastAsia="Times New Roman" w:hAnsi="Times New Roman" w:cs="Times New Roman"/>
          <w:bCs/>
          <w:sz w:val="24"/>
          <w:szCs w:val="24"/>
          <w:lang w:eastAsia="en-AU"/>
        </w:rPr>
        <w:t xml:space="preserve">, if the </w:t>
      </w:r>
      <w:r w:rsidR="00441D7E" w:rsidRPr="00576558">
        <w:rPr>
          <w:rFonts w:ascii="Times New Roman" w:eastAsia="Times New Roman" w:hAnsi="Times New Roman" w:cs="Times New Roman"/>
          <w:bCs/>
          <w:sz w:val="24"/>
          <w:szCs w:val="24"/>
          <w:lang w:eastAsia="en-AU"/>
        </w:rPr>
        <w:t>column of the table in Part 1 of Schedule 4 headed “Authority Requirements” includes a streamlined authority code</w:t>
      </w:r>
      <w:r w:rsidR="005363EC">
        <w:rPr>
          <w:rFonts w:ascii="Times New Roman" w:eastAsia="Times New Roman" w:hAnsi="Times New Roman" w:cs="Times New Roman"/>
          <w:bCs/>
          <w:sz w:val="24"/>
          <w:szCs w:val="24"/>
          <w:lang w:eastAsia="en-AU"/>
        </w:rPr>
        <w:t xml:space="preserve"> (i.e. </w:t>
      </w:r>
      <w:r w:rsidR="005363EC" w:rsidRPr="005363EC">
        <w:rPr>
          <w:rFonts w:ascii="Times New Roman" w:eastAsia="Times New Roman" w:hAnsi="Times New Roman" w:cs="Times New Roman"/>
          <w:bCs/>
          <w:sz w:val="24"/>
          <w:szCs w:val="24"/>
          <w:lang w:eastAsia="en-AU"/>
        </w:rPr>
        <w:t>the words “Streamlined Authority Code” followed by a number</w:t>
      </w:r>
      <w:r w:rsidR="005363EC">
        <w:rPr>
          <w:rFonts w:ascii="Times New Roman" w:eastAsia="Times New Roman" w:hAnsi="Times New Roman" w:cs="Times New Roman"/>
          <w:bCs/>
          <w:sz w:val="24"/>
          <w:szCs w:val="24"/>
          <w:lang w:eastAsia="en-AU"/>
        </w:rPr>
        <w:t>)</w:t>
      </w:r>
      <w:r w:rsidR="00441D7E" w:rsidRPr="00576558">
        <w:rPr>
          <w:rFonts w:ascii="Times New Roman" w:eastAsia="Times New Roman" w:hAnsi="Times New Roman" w:cs="Times New Roman"/>
          <w:bCs/>
          <w:sz w:val="24"/>
          <w:szCs w:val="24"/>
          <w:lang w:eastAsia="en-AU"/>
        </w:rPr>
        <w:t>, writing the prescription is taken to have been authorised by the Chief Executive Medicare.</w:t>
      </w:r>
    </w:p>
    <w:p w14:paraId="52649592" w14:textId="77777777" w:rsidR="0098446F" w:rsidRPr="00576558" w:rsidRDefault="0098446F" w:rsidP="00167955">
      <w:pPr>
        <w:spacing w:after="0" w:line="240" w:lineRule="auto"/>
        <w:rPr>
          <w:rFonts w:ascii="Times New Roman" w:eastAsia="Times New Roman" w:hAnsi="Times New Roman" w:cs="Times New Roman"/>
          <w:bCs/>
          <w:sz w:val="24"/>
          <w:szCs w:val="24"/>
          <w:lang w:eastAsia="en-AU"/>
        </w:rPr>
      </w:pPr>
    </w:p>
    <w:p w14:paraId="5163128F" w14:textId="0EE43FF5" w:rsidR="004068C6" w:rsidRDefault="005363EC"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Notes to </w:t>
      </w:r>
      <w:r w:rsidR="004068C6" w:rsidRPr="00576558">
        <w:rPr>
          <w:rFonts w:ascii="Times New Roman" w:eastAsia="Times New Roman" w:hAnsi="Times New Roman" w:cs="Times New Roman"/>
          <w:bCs/>
          <w:sz w:val="24"/>
          <w:szCs w:val="24"/>
          <w:lang w:eastAsia="en-AU"/>
        </w:rPr>
        <w:t>subsection</w:t>
      </w:r>
      <w:r>
        <w:rPr>
          <w:rFonts w:ascii="Times New Roman" w:eastAsia="Times New Roman" w:hAnsi="Times New Roman" w:cs="Times New Roman"/>
          <w:bCs/>
          <w:sz w:val="24"/>
          <w:szCs w:val="24"/>
          <w:lang w:eastAsia="en-AU"/>
        </w:rPr>
        <w:t xml:space="preserve">s 19(4) and </w:t>
      </w:r>
      <w:r w:rsidR="004068C6" w:rsidRPr="00576558">
        <w:rPr>
          <w:rFonts w:ascii="Times New Roman" w:eastAsia="Times New Roman" w:hAnsi="Times New Roman" w:cs="Times New Roman"/>
          <w:bCs/>
          <w:sz w:val="24"/>
          <w:szCs w:val="24"/>
          <w:lang w:eastAsia="en-AU"/>
        </w:rPr>
        <w:t>1</w:t>
      </w:r>
      <w:r w:rsidR="008D0926" w:rsidRPr="00576558">
        <w:rPr>
          <w:rFonts w:ascii="Times New Roman" w:eastAsia="Times New Roman" w:hAnsi="Times New Roman" w:cs="Times New Roman"/>
          <w:bCs/>
          <w:sz w:val="24"/>
          <w:szCs w:val="24"/>
          <w:lang w:eastAsia="en-AU"/>
        </w:rPr>
        <w:t>9</w:t>
      </w:r>
      <w:r w:rsidR="004068C6" w:rsidRPr="00576558">
        <w:rPr>
          <w:rFonts w:ascii="Times New Roman" w:eastAsia="Times New Roman" w:hAnsi="Times New Roman" w:cs="Times New Roman"/>
          <w:bCs/>
          <w:sz w:val="24"/>
          <w:szCs w:val="24"/>
          <w:lang w:eastAsia="en-AU"/>
        </w:rPr>
        <w:t>(</w:t>
      </w:r>
      <w:r w:rsidR="0047760F" w:rsidRPr="00576558">
        <w:rPr>
          <w:rFonts w:ascii="Times New Roman" w:eastAsia="Times New Roman" w:hAnsi="Times New Roman" w:cs="Times New Roman"/>
          <w:bCs/>
          <w:sz w:val="24"/>
          <w:szCs w:val="24"/>
          <w:lang w:eastAsia="en-AU"/>
        </w:rPr>
        <w:t>5</w:t>
      </w:r>
      <w:r w:rsidR="004068C6" w:rsidRPr="00576558">
        <w:rPr>
          <w:rFonts w:ascii="Times New Roman" w:eastAsia="Times New Roman" w:hAnsi="Times New Roman" w:cs="Times New Roman"/>
          <w:bCs/>
          <w:sz w:val="24"/>
          <w:szCs w:val="24"/>
          <w:lang w:eastAsia="en-AU"/>
        </w:rPr>
        <w:t>) refers the reader to sectio</w:t>
      </w:r>
      <w:r w:rsidR="004F4F02" w:rsidRPr="00576558">
        <w:rPr>
          <w:rFonts w:ascii="Times New Roman" w:eastAsia="Times New Roman" w:hAnsi="Times New Roman" w:cs="Times New Roman"/>
          <w:bCs/>
          <w:sz w:val="24"/>
          <w:szCs w:val="24"/>
          <w:lang w:eastAsia="en-AU"/>
        </w:rPr>
        <w:t>n</w:t>
      </w:r>
      <w:r w:rsidR="004068C6" w:rsidRPr="00576558">
        <w:rPr>
          <w:rFonts w:ascii="Times New Roman" w:eastAsia="Times New Roman" w:hAnsi="Times New Roman" w:cs="Times New Roman"/>
          <w:bCs/>
          <w:sz w:val="24"/>
          <w:szCs w:val="24"/>
          <w:lang w:eastAsia="en-AU"/>
        </w:rPr>
        <w:t xml:space="preserve"> 40 and </w:t>
      </w:r>
      <w:r w:rsidR="004F4F02" w:rsidRPr="00576558">
        <w:rPr>
          <w:rFonts w:ascii="Times New Roman" w:eastAsia="Times New Roman" w:hAnsi="Times New Roman" w:cs="Times New Roman"/>
          <w:bCs/>
          <w:sz w:val="24"/>
          <w:szCs w:val="24"/>
          <w:lang w:eastAsia="en-AU"/>
        </w:rPr>
        <w:t xml:space="preserve">section </w:t>
      </w:r>
      <w:r w:rsidR="004068C6" w:rsidRPr="00576558">
        <w:rPr>
          <w:rFonts w:ascii="Times New Roman" w:eastAsia="Times New Roman" w:hAnsi="Times New Roman" w:cs="Times New Roman"/>
          <w:bCs/>
          <w:sz w:val="24"/>
          <w:szCs w:val="24"/>
          <w:lang w:eastAsia="en-AU"/>
        </w:rPr>
        <w:t xml:space="preserve">41 of the </w:t>
      </w:r>
      <w:r w:rsidR="004068C6" w:rsidRPr="00576558">
        <w:rPr>
          <w:rFonts w:ascii="Times New Roman" w:eastAsia="Times New Roman" w:hAnsi="Times New Roman" w:cs="Times New Roman"/>
          <w:bCs/>
          <w:i/>
          <w:iCs/>
          <w:sz w:val="24"/>
          <w:szCs w:val="24"/>
          <w:lang w:eastAsia="en-AU"/>
        </w:rPr>
        <w:t>National Health (Pharmaceutical Benefits) Regulations 2017</w:t>
      </w:r>
      <w:r>
        <w:rPr>
          <w:rFonts w:ascii="Times New Roman" w:eastAsia="Times New Roman" w:hAnsi="Times New Roman" w:cs="Times New Roman"/>
          <w:bCs/>
          <w:i/>
          <w:iCs/>
          <w:sz w:val="24"/>
          <w:szCs w:val="24"/>
          <w:lang w:eastAsia="en-AU"/>
        </w:rPr>
        <w:t xml:space="preserve">. </w:t>
      </w:r>
      <w:r>
        <w:rPr>
          <w:rFonts w:ascii="Times New Roman" w:eastAsia="Times New Roman" w:hAnsi="Times New Roman" w:cs="Times New Roman"/>
          <w:bCs/>
          <w:sz w:val="24"/>
          <w:szCs w:val="24"/>
          <w:lang w:eastAsia="en-AU"/>
        </w:rPr>
        <w:t xml:space="preserve">Those provisions </w:t>
      </w:r>
      <w:r w:rsidR="004068C6" w:rsidRPr="00576558">
        <w:rPr>
          <w:rFonts w:ascii="Times New Roman" w:eastAsia="Times New Roman" w:hAnsi="Times New Roman" w:cs="Times New Roman"/>
          <w:bCs/>
          <w:sz w:val="24"/>
          <w:szCs w:val="24"/>
          <w:lang w:eastAsia="en-AU"/>
        </w:rPr>
        <w:t xml:space="preserve">set out requirements to write </w:t>
      </w:r>
      <w:r w:rsidR="0047760F" w:rsidRPr="00576558">
        <w:rPr>
          <w:rFonts w:ascii="Times New Roman" w:eastAsia="Times New Roman" w:hAnsi="Times New Roman" w:cs="Times New Roman"/>
          <w:bCs/>
          <w:sz w:val="24"/>
          <w:szCs w:val="24"/>
          <w:lang w:eastAsia="en-AU"/>
        </w:rPr>
        <w:t>the</w:t>
      </w:r>
      <w:r w:rsidR="00713261">
        <w:rPr>
          <w:rFonts w:ascii="Times New Roman" w:eastAsia="Times New Roman" w:hAnsi="Times New Roman" w:cs="Times New Roman"/>
          <w:bCs/>
          <w:sz w:val="24"/>
          <w:szCs w:val="24"/>
          <w:lang w:eastAsia="en-AU"/>
        </w:rPr>
        <w:t xml:space="preserve"> number allocated by the Chief Executive Medicare </w:t>
      </w:r>
      <w:r w:rsidR="00E65CF6">
        <w:rPr>
          <w:rFonts w:ascii="Times New Roman" w:eastAsia="Times New Roman" w:hAnsi="Times New Roman" w:cs="Times New Roman"/>
          <w:bCs/>
          <w:sz w:val="24"/>
          <w:szCs w:val="24"/>
          <w:lang w:eastAsia="en-AU"/>
        </w:rPr>
        <w:t>or the</w:t>
      </w:r>
      <w:r w:rsidR="0047760F" w:rsidRPr="00576558">
        <w:rPr>
          <w:rFonts w:ascii="Times New Roman" w:eastAsia="Times New Roman" w:hAnsi="Times New Roman" w:cs="Times New Roman"/>
          <w:bCs/>
          <w:sz w:val="24"/>
          <w:szCs w:val="24"/>
          <w:lang w:eastAsia="en-AU"/>
        </w:rPr>
        <w:t xml:space="preserve"> streamlined authority code</w:t>
      </w:r>
      <w:r w:rsidR="00E65CF6">
        <w:rPr>
          <w:rFonts w:ascii="Times New Roman" w:eastAsia="Times New Roman" w:hAnsi="Times New Roman" w:cs="Times New Roman"/>
          <w:bCs/>
          <w:sz w:val="24"/>
          <w:szCs w:val="24"/>
          <w:lang w:eastAsia="en-AU"/>
        </w:rPr>
        <w:t xml:space="preserve"> (where applicable)</w:t>
      </w:r>
      <w:r w:rsidR="004068C6" w:rsidRPr="00576558">
        <w:rPr>
          <w:rFonts w:ascii="Times New Roman" w:eastAsia="Times New Roman" w:hAnsi="Times New Roman" w:cs="Times New Roman"/>
          <w:bCs/>
          <w:sz w:val="24"/>
          <w:szCs w:val="24"/>
          <w:lang w:eastAsia="en-AU"/>
        </w:rPr>
        <w:t xml:space="preserve"> on the prescription.</w:t>
      </w:r>
    </w:p>
    <w:p w14:paraId="3032EB1C" w14:textId="77777777" w:rsidR="00B25CA7" w:rsidRDefault="00B25CA7" w:rsidP="00167955">
      <w:pPr>
        <w:spacing w:after="0" w:line="240" w:lineRule="auto"/>
        <w:rPr>
          <w:rFonts w:ascii="Times New Roman" w:eastAsia="Times New Roman" w:hAnsi="Times New Roman" w:cs="Times New Roman"/>
          <w:bCs/>
          <w:sz w:val="24"/>
          <w:szCs w:val="24"/>
          <w:lang w:eastAsia="en-AU"/>
        </w:rPr>
      </w:pPr>
    </w:p>
    <w:p w14:paraId="4B6D33B5" w14:textId="722850DD" w:rsidR="00B25CA7" w:rsidRPr="00A22E0C" w:rsidRDefault="00B25CA7" w:rsidP="005A4C31">
      <w:pPr>
        <w:keepNext/>
        <w:spacing w:after="0" w:line="240" w:lineRule="auto"/>
        <w:rPr>
          <w:rFonts w:ascii="Times New Roman" w:eastAsia="Times New Roman" w:hAnsi="Times New Roman" w:cs="Times New Roman"/>
          <w:bCs/>
          <w:sz w:val="24"/>
          <w:szCs w:val="24"/>
          <w:u w:val="single"/>
          <w:lang w:eastAsia="en-AU"/>
        </w:rPr>
      </w:pPr>
      <w:r w:rsidRPr="00A22E0C">
        <w:rPr>
          <w:rFonts w:ascii="Times New Roman" w:eastAsia="Times New Roman" w:hAnsi="Times New Roman" w:cs="Times New Roman"/>
          <w:bCs/>
          <w:sz w:val="24"/>
          <w:szCs w:val="24"/>
          <w:u w:val="single"/>
          <w:lang w:eastAsia="en-AU"/>
        </w:rPr>
        <w:lastRenderedPageBreak/>
        <w:t>Changes to authority required procedures from 2012 Listing Instrument</w:t>
      </w:r>
    </w:p>
    <w:p w14:paraId="5DFE2C91" w14:textId="77777777" w:rsidR="00485DE7" w:rsidRDefault="00485DE7" w:rsidP="005A4C31">
      <w:pPr>
        <w:keepNext/>
        <w:spacing w:after="0" w:line="240" w:lineRule="auto"/>
        <w:rPr>
          <w:rFonts w:ascii="Times New Roman" w:eastAsia="Times New Roman" w:hAnsi="Times New Roman" w:cs="Times New Roman"/>
          <w:bCs/>
          <w:sz w:val="24"/>
          <w:szCs w:val="24"/>
          <w:lang w:eastAsia="en-AU"/>
        </w:rPr>
      </w:pPr>
    </w:p>
    <w:p w14:paraId="3A162145" w14:textId="5082679E" w:rsidR="00485DE7" w:rsidRDefault="00485DE7"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process for seeking authorisation to write a </w:t>
      </w:r>
      <w:r w:rsidR="00B2442D">
        <w:rPr>
          <w:rFonts w:ascii="Times New Roman" w:eastAsia="Times New Roman" w:hAnsi="Times New Roman" w:cs="Times New Roman"/>
          <w:bCs/>
          <w:sz w:val="24"/>
          <w:szCs w:val="24"/>
          <w:lang w:eastAsia="en-AU"/>
        </w:rPr>
        <w:t>prescription</w:t>
      </w:r>
      <w:r>
        <w:rPr>
          <w:rFonts w:ascii="Times New Roman" w:eastAsia="Times New Roman" w:hAnsi="Times New Roman" w:cs="Times New Roman"/>
          <w:bCs/>
          <w:sz w:val="24"/>
          <w:szCs w:val="24"/>
          <w:lang w:eastAsia="en-AU"/>
        </w:rPr>
        <w:t xml:space="preserve"> in new section </w:t>
      </w:r>
      <w:r w:rsidR="00B2442D">
        <w:rPr>
          <w:rFonts w:ascii="Times New Roman" w:eastAsia="Times New Roman" w:hAnsi="Times New Roman" w:cs="Times New Roman"/>
          <w:bCs/>
          <w:sz w:val="24"/>
          <w:szCs w:val="24"/>
          <w:lang w:eastAsia="en-AU"/>
        </w:rPr>
        <w:t>19</w:t>
      </w:r>
      <w:r>
        <w:rPr>
          <w:rFonts w:ascii="Times New Roman" w:eastAsia="Times New Roman" w:hAnsi="Times New Roman" w:cs="Times New Roman"/>
          <w:bCs/>
          <w:sz w:val="24"/>
          <w:szCs w:val="24"/>
          <w:lang w:eastAsia="en-AU"/>
        </w:rPr>
        <w:t xml:space="preserve"> differ</w:t>
      </w:r>
      <w:r w:rsidR="00265980">
        <w:rPr>
          <w:rFonts w:ascii="Times New Roman" w:eastAsia="Times New Roman" w:hAnsi="Times New Roman" w:cs="Times New Roman"/>
          <w:bCs/>
          <w:sz w:val="24"/>
          <w:szCs w:val="24"/>
          <w:lang w:eastAsia="en-AU"/>
        </w:rPr>
        <w:t>s</w:t>
      </w:r>
      <w:r>
        <w:rPr>
          <w:rFonts w:ascii="Times New Roman" w:eastAsia="Times New Roman" w:hAnsi="Times New Roman" w:cs="Times New Roman"/>
          <w:bCs/>
          <w:sz w:val="24"/>
          <w:szCs w:val="24"/>
          <w:lang w:eastAsia="en-AU"/>
        </w:rPr>
        <w:t xml:space="preserve"> from current section</w:t>
      </w:r>
      <w:r w:rsidR="00B2442D">
        <w:rPr>
          <w:rFonts w:ascii="Times New Roman" w:eastAsia="Times New Roman" w:hAnsi="Times New Roman" w:cs="Times New Roman"/>
          <w:bCs/>
          <w:sz w:val="24"/>
          <w:szCs w:val="24"/>
          <w:lang w:eastAsia="en-AU"/>
        </w:rPr>
        <w:t xml:space="preserve">s 11 to 15 </w:t>
      </w:r>
      <w:r>
        <w:rPr>
          <w:rFonts w:ascii="Times New Roman" w:eastAsia="Times New Roman" w:hAnsi="Times New Roman" w:cs="Times New Roman"/>
          <w:bCs/>
          <w:sz w:val="24"/>
          <w:szCs w:val="24"/>
          <w:lang w:eastAsia="en-AU"/>
        </w:rPr>
        <w:t xml:space="preserve">of the </w:t>
      </w:r>
      <w:r w:rsidR="00B2442D">
        <w:rPr>
          <w:rFonts w:ascii="Times New Roman" w:eastAsia="Times New Roman" w:hAnsi="Times New Roman" w:cs="Times New Roman"/>
          <w:bCs/>
          <w:sz w:val="24"/>
          <w:szCs w:val="24"/>
          <w:lang w:eastAsia="en-AU"/>
        </w:rPr>
        <w:t>2012 Listing Instrument</w:t>
      </w:r>
      <w:r>
        <w:rPr>
          <w:rFonts w:ascii="Times New Roman" w:eastAsia="Times New Roman" w:hAnsi="Times New Roman" w:cs="Times New Roman"/>
          <w:bCs/>
          <w:sz w:val="24"/>
          <w:szCs w:val="24"/>
          <w:lang w:eastAsia="en-AU"/>
        </w:rPr>
        <w:t xml:space="preserve"> as follows:</w:t>
      </w:r>
    </w:p>
    <w:p w14:paraId="7E072596" w14:textId="35CE00A0" w:rsidR="00485DE7" w:rsidRPr="007B44A5" w:rsidRDefault="00485DE7" w:rsidP="00A22E0C">
      <w:pPr>
        <w:pStyle w:val="ListParagraph"/>
        <w:numPr>
          <w:ilvl w:val="0"/>
          <w:numId w:val="21"/>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7B44A5">
        <w:rPr>
          <w:rFonts w:ascii="Times New Roman" w:eastAsia="Times New Roman" w:hAnsi="Times New Roman" w:cs="Times New Roman"/>
          <w:bCs/>
          <w:sz w:val="24"/>
          <w:szCs w:val="24"/>
          <w:lang w:eastAsia="en-AU"/>
        </w:rPr>
        <w:t>the pr</w:t>
      </w:r>
      <w:r>
        <w:rPr>
          <w:rFonts w:ascii="Times New Roman" w:eastAsia="Times New Roman" w:hAnsi="Times New Roman" w:cs="Times New Roman"/>
          <w:bCs/>
          <w:sz w:val="24"/>
          <w:szCs w:val="24"/>
          <w:lang w:eastAsia="en-AU"/>
        </w:rPr>
        <w:t>escriber</w:t>
      </w:r>
      <w:r w:rsidRPr="007B44A5">
        <w:rPr>
          <w:rFonts w:ascii="Times New Roman" w:eastAsia="Times New Roman" w:hAnsi="Times New Roman" w:cs="Times New Roman"/>
          <w:bCs/>
          <w:sz w:val="24"/>
          <w:szCs w:val="24"/>
          <w:lang w:eastAsia="en-AU"/>
        </w:rPr>
        <w:t xml:space="preserve"> submits details of a proposed prescription to </w:t>
      </w:r>
      <w:r w:rsidR="00265980">
        <w:rPr>
          <w:rFonts w:ascii="Times New Roman" w:eastAsia="Times New Roman" w:hAnsi="Times New Roman" w:cs="Times New Roman"/>
          <w:bCs/>
          <w:sz w:val="24"/>
          <w:szCs w:val="24"/>
          <w:lang w:eastAsia="en-AU"/>
        </w:rPr>
        <w:t xml:space="preserve">the Chief Executive Medicare </w:t>
      </w:r>
      <w:r w:rsidR="009A1448">
        <w:rPr>
          <w:rFonts w:ascii="Times New Roman" w:eastAsia="Times New Roman" w:hAnsi="Times New Roman" w:cs="Times New Roman"/>
          <w:bCs/>
          <w:sz w:val="24"/>
          <w:szCs w:val="24"/>
          <w:lang w:eastAsia="en-AU"/>
        </w:rPr>
        <w:t xml:space="preserve">(in practice their delegates within Services Australia) </w:t>
      </w:r>
      <w:r w:rsidRPr="007B44A5">
        <w:rPr>
          <w:rFonts w:ascii="Times New Roman" w:eastAsia="Times New Roman" w:hAnsi="Times New Roman" w:cs="Times New Roman"/>
          <w:bCs/>
          <w:sz w:val="24"/>
          <w:szCs w:val="24"/>
          <w:lang w:eastAsia="en-AU"/>
        </w:rPr>
        <w:t>rather than submit</w:t>
      </w:r>
      <w:r>
        <w:rPr>
          <w:rFonts w:ascii="Times New Roman" w:eastAsia="Times New Roman" w:hAnsi="Times New Roman" w:cs="Times New Roman"/>
          <w:bCs/>
          <w:sz w:val="24"/>
          <w:szCs w:val="24"/>
          <w:lang w:eastAsia="en-AU"/>
        </w:rPr>
        <w:t>ting</w:t>
      </w:r>
      <w:r w:rsidRPr="007B44A5">
        <w:rPr>
          <w:rFonts w:ascii="Times New Roman" w:eastAsia="Times New Roman" w:hAnsi="Times New Roman" w:cs="Times New Roman"/>
          <w:bCs/>
          <w:sz w:val="24"/>
          <w:szCs w:val="24"/>
          <w:lang w:eastAsia="en-AU"/>
        </w:rPr>
        <w:t xml:space="preserve"> the prescription itself</w:t>
      </w:r>
      <w:r>
        <w:rPr>
          <w:rFonts w:ascii="Times New Roman" w:eastAsia="Times New Roman" w:hAnsi="Times New Roman" w:cs="Times New Roman"/>
          <w:bCs/>
          <w:sz w:val="24"/>
          <w:szCs w:val="24"/>
          <w:lang w:eastAsia="en-AU"/>
        </w:rPr>
        <w:t xml:space="preserve"> or a copy of the prescription</w:t>
      </w:r>
      <w:r w:rsidRPr="007B44A5">
        <w:rPr>
          <w:rFonts w:ascii="Times New Roman" w:eastAsia="Times New Roman" w:hAnsi="Times New Roman" w:cs="Times New Roman"/>
          <w:bCs/>
          <w:sz w:val="24"/>
          <w:szCs w:val="24"/>
          <w:lang w:eastAsia="en-AU"/>
        </w:rPr>
        <w:t>;</w:t>
      </w:r>
    </w:p>
    <w:p w14:paraId="7339DD4E" w14:textId="0015A36D" w:rsidR="00485DE7" w:rsidRDefault="008210E9" w:rsidP="00A22E0C">
      <w:pPr>
        <w:pStyle w:val="ListParagraph"/>
        <w:numPr>
          <w:ilvl w:val="0"/>
          <w:numId w:val="21"/>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drafting </w:t>
      </w:r>
      <w:r w:rsidR="00485DE7" w:rsidRPr="007B44A5">
        <w:rPr>
          <w:rFonts w:ascii="Times New Roman" w:eastAsia="Times New Roman" w:hAnsi="Times New Roman" w:cs="Times New Roman"/>
          <w:bCs/>
          <w:sz w:val="24"/>
          <w:szCs w:val="24"/>
          <w:lang w:eastAsia="en-AU"/>
        </w:rPr>
        <w:t xml:space="preserve">about the </w:t>
      </w:r>
      <w:r w:rsidR="00485DE7">
        <w:rPr>
          <w:rFonts w:ascii="Times New Roman" w:eastAsia="Times New Roman" w:hAnsi="Times New Roman" w:cs="Times New Roman"/>
          <w:bCs/>
          <w:sz w:val="24"/>
          <w:szCs w:val="24"/>
          <w:lang w:eastAsia="en-AU"/>
        </w:rPr>
        <w:t xml:space="preserve">different </w:t>
      </w:r>
      <w:r w:rsidR="00485DE7" w:rsidRPr="007B44A5">
        <w:rPr>
          <w:rFonts w:ascii="Times New Roman" w:eastAsia="Times New Roman" w:hAnsi="Times New Roman" w:cs="Times New Roman"/>
          <w:bCs/>
          <w:sz w:val="24"/>
          <w:szCs w:val="24"/>
          <w:lang w:eastAsia="en-AU"/>
        </w:rPr>
        <w:t>channels a pr</w:t>
      </w:r>
      <w:r w:rsidR="00485DE7">
        <w:rPr>
          <w:rFonts w:ascii="Times New Roman" w:eastAsia="Times New Roman" w:hAnsi="Times New Roman" w:cs="Times New Roman"/>
          <w:bCs/>
          <w:sz w:val="24"/>
          <w:szCs w:val="24"/>
          <w:lang w:eastAsia="en-AU"/>
        </w:rPr>
        <w:t>escriber</w:t>
      </w:r>
      <w:r w:rsidR="00485DE7" w:rsidRPr="007B44A5">
        <w:rPr>
          <w:rFonts w:ascii="Times New Roman" w:eastAsia="Times New Roman" w:hAnsi="Times New Roman" w:cs="Times New Roman"/>
          <w:bCs/>
          <w:sz w:val="24"/>
          <w:szCs w:val="24"/>
          <w:lang w:eastAsia="en-AU"/>
        </w:rPr>
        <w:t xml:space="preserve"> can use to submit details of the proposed prescription to Services Australia</w:t>
      </w:r>
      <w:r>
        <w:rPr>
          <w:rFonts w:ascii="Times New Roman" w:eastAsia="Times New Roman" w:hAnsi="Times New Roman" w:cs="Times New Roman"/>
          <w:bCs/>
          <w:sz w:val="24"/>
          <w:szCs w:val="24"/>
          <w:lang w:eastAsia="en-AU"/>
        </w:rPr>
        <w:t xml:space="preserve"> has been simplified</w:t>
      </w:r>
      <w:r w:rsidR="00276071">
        <w:rPr>
          <w:rFonts w:ascii="Times New Roman" w:eastAsia="Times New Roman" w:hAnsi="Times New Roman" w:cs="Times New Roman"/>
          <w:bCs/>
          <w:sz w:val="24"/>
          <w:szCs w:val="24"/>
          <w:lang w:eastAsia="en-AU"/>
        </w:rPr>
        <w:t xml:space="preserve"> </w:t>
      </w:r>
      <w:r w:rsidR="00276071" w:rsidRPr="00276071">
        <w:rPr>
          <w:rFonts w:ascii="Times New Roman" w:eastAsia="Times New Roman" w:hAnsi="Times New Roman" w:cs="Times New Roman"/>
          <w:bCs/>
          <w:sz w:val="24"/>
          <w:szCs w:val="24"/>
          <w:lang w:eastAsia="en-AU"/>
        </w:rPr>
        <w:t>in order to make these administrative processes more adaptable to rapid technology change. Where needed, information about authority application channels will be provided to prescribers on Services Australia’s normal communication platforms as well as via administrative notes published in the online PBS schedule</w:t>
      </w:r>
      <w:r w:rsidR="00485DE7">
        <w:rPr>
          <w:rFonts w:ascii="Times New Roman" w:eastAsia="Times New Roman" w:hAnsi="Times New Roman" w:cs="Times New Roman"/>
          <w:bCs/>
          <w:sz w:val="24"/>
          <w:szCs w:val="24"/>
          <w:lang w:eastAsia="en-AU"/>
        </w:rPr>
        <w:t>;</w:t>
      </w:r>
    </w:p>
    <w:p w14:paraId="0DEBF63F" w14:textId="77777777" w:rsidR="00485DE7" w:rsidRDefault="00485DE7" w:rsidP="00A22E0C">
      <w:pPr>
        <w:pStyle w:val="ListParagraph"/>
        <w:numPr>
          <w:ilvl w:val="0"/>
          <w:numId w:val="21"/>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as Services Australia will now receive details of proposed prescriptions rather than prescriptions that have already been finalised by the prescriber, provisions requiring the prescriber to alter a prescription where requested by the Minister are now redundant and have been omitted;</w:t>
      </w:r>
    </w:p>
    <w:p w14:paraId="30527A92" w14:textId="07025DDD" w:rsidR="00485DE7" w:rsidRPr="007B44A5" w:rsidRDefault="00485DE7" w:rsidP="00A22E0C">
      <w:pPr>
        <w:pStyle w:val="ListParagraph"/>
        <w:numPr>
          <w:ilvl w:val="0"/>
          <w:numId w:val="21"/>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prescribers can no longer ask </w:t>
      </w:r>
      <w:r w:rsidR="0056051E">
        <w:rPr>
          <w:rFonts w:ascii="Times New Roman" w:eastAsia="Times New Roman" w:hAnsi="Times New Roman" w:cs="Times New Roman"/>
          <w:bCs/>
          <w:sz w:val="24"/>
          <w:szCs w:val="24"/>
          <w:lang w:eastAsia="en-AU"/>
        </w:rPr>
        <w:t xml:space="preserve">for the prescription to be sent </w:t>
      </w:r>
      <w:r>
        <w:rPr>
          <w:rFonts w:ascii="Times New Roman" w:eastAsia="Times New Roman" w:hAnsi="Times New Roman" w:cs="Times New Roman"/>
          <w:bCs/>
          <w:sz w:val="24"/>
          <w:szCs w:val="24"/>
          <w:lang w:eastAsia="en-AU"/>
        </w:rPr>
        <w:t>on to the patient</w:t>
      </w:r>
      <w:r w:rsidR="0056051E">
        <w:rPr>
          <w:rFonts w:ascii="Times New Roman" w:eastAsia="Times New Roman" w:hAnsi="Times New Roman" w:cs="Times New Roman"/>
          <w:bCs/>
          <w:sz w:val="24"/>
          <w:szCs w:val="24"/>
          <w:lang w:eastAsia="en-AU"/>
        </w:rPr>
        <w:t xml:space="preserve"> once authorised</w:t>
      </w:r>
      <w:r>
        <w:rPr>
          <w:rFonts w:ascii="Times New Roman" w:eastAsia="Times New Roman" w:hAnsi="Times New Roman" w:cs="Times New Roman"/>
          <w:bCs/>
          <w:sz w:val="24"/>
          <w:szCs w:val="24"/>
          <w:lang w:eastAsia="en-AU"/>
        </w:rPr>
        <w:t>.</w:t>
      </w:r>
    </w:p>
    <w:p w14:paraId="3688EC6F" w14:textId="77777777" w:rsidR="0031655F" w:rsidRPr="00576558" w:rsidRDefault="0031655F" w:rsidP="00167955">
      <w:pPr>
        <w:spacing w:after="0" w:line="240" w:lineRule="auto"/>
        <w:rPr>
          <w:rFonts w:ascii="Times New Roman" w:eastAsia="Times New Roman" w:hAnsi="Times New Roman" w:cs="Times New Roman"/>
          <w:bCs/>
          <w:sz w:val="24"/>
          <w:szCs w:val="24"/>
          <w:lang w:eastAsia="en-AU"/>
        </w:rPr>
      </w:pPr>
    </w:p>
    <w:p w14:paraId="034A1C68" w14:textId="0FB31D2F" w:rsidR="00E46066" w:rsidRDefault="0016235A"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move to r</w:t>
      </w:r>
      <w:r w:rsidR="00B903AF">
        <w:rPr>
          <w:rFonts w:ascii="Times New Roman" w:eastAsia="Times New Roman" w:hAnsi="Times New Roman" w:cs="Times New Roman"/>
          <w:bCs/>
          <w:sz w:val="24"/>
          <w:szCs w:val="24"/>
          <w:lang w:eastAsia="en-AU"/>
        </w:rPr>
        <w:t xml:space="preserve">equiring prescribers to seek authorisation </w:t>
      </w:r>
      <w:r w:rsidR="00440700">
        <w:rPr>
          <w:rFonts w:ascii="Times New Roman" w:eastAsia="Times New Roman" w:hAnsi="Times New Roman" w:cs="Times New Roman"/>
          <w:bCs/>
          <w:sz w:val="24"/>
          <w:szCs w:val="24"/>
          <w:lang w:eastAsia="en-AU"/>
        </w:rPr>
        <w:t xml:space="preserve">of a proposed prescription before it is finalised </w:t>
      </w:r>
      <w:r w:rsidR="00F05323">
        <w:rPr>
          <w:rFonts w:ascii="Times New Roman" w:eastAsia="Times New Roman" w:hAnsi="Times New Roman" w:cs="Times New Roman"/>
          <w:bCs/>
          <w:sz w:val="24"/>
          <w:szCs w:val="24"/>
          <w:lang w:eastAsia="en-AU"/>
        </w:rPr>
        <w:t>improves alignment of processes with the</w:t>
      </w:r>
      <w:r w:rsidR="00857128">
        <w:rPr>
          <w:rFonts w:ascii="Times New Roman" w:eastAsia="Times New Roman" w:hAnsi="Times New Roman" w:cs="Times New Roman"/>
          <w:bCs/>
          <w:sz w:val="24"/>
          <w:szCs w:val="24"/>
          <w:lang w:eastAsia="en-AU"/>
        </w:rPr>
        <w:t xml:space="preserve"> Act</w:t>
      </w:r>
      <w:r w:rsidR="00687095">
        <w:rPr>
          <w:rFonts w:ascii="Times New Roman" w:eastAsia="Times New Roman" w:hAnsi="Times New Roman" w:cs="Times New Roman"/>
          <w:bCs/>
          <w:sz w:val="24"/>
          <w:szCs w:val="24"/>
          <w:lang w:eastAsia="en-AU"/>
        </w:rPr>
        <w:t>.</w:t>
      </w:r>
    </w:p>
    <w:p w14:paraId="48DF23CD" w14:textId="77777777" w:rsidR="00E46066" w:rsidRDefault="00E46066" w:rsidP="00167955">
      <w:pPr>
        <w:spacing w:after="0" w:line="240" w:lineRule="auto"/>
        <w:rPr>
          <w:rFonts w:ascii="Times New Roman" w:eastAsia="Times New Roman" w:hAnsi="Times New Roman" w:cs="Times New Roman"/>
          <w:bCs/>
          <w:sz w:val="24"/>
          <w:szCs w:val="24"/>
          <w:lang w:eastAsia="en-AU"/>
        </w:rPr>
      </w:pPr>
    </w:p>
    <w:p w14:paraId="3DE32D86" w14:textId="5A000717" w:rsidR="0031655F" w:rsidRPr="00576558" w:rsidRDefault="0031655F"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Section 24 of this instrument (discussed below) contains a transitional provision giv</w:t>
      </w:r>
      <w:r w:rsidR="00392054">
        <w:rPr>
          <w:rFonts w:ascii="Times New Roman" w:eastAsia="Times New Roman" w:hAnsi="Times New Roman" w:cs="Times New Roman"/>
          <w:bCs/>
          <w:sz w:val="24"/>
          <w:szCs w:val="24"/>
          <w:lang w:eastAsia="en-AU"/>
        </w:rPr>
        <w:t>ing</w:t>
      </w:r>
      <w:r w:rsidRPr="00576558">
        <w:rPr>
          <w:rFonts w:ascii="Times New Roman" w:eastAsia="Times New Roman" w:hAnsi="Times New Roman" w:cs="Times New Roman"/>
          <w:bCs/>
          <w:sz w:val="24"/>
          <w:szCs w:val="24"/>
          <w:lang w:eastAsia="en-AU"/>
        </w:rPr>
        <w:t xml:space="preserve"> prescribers an additional 3-month period in which to transition from the authority required procedures in the </w:t>
      </w:r>
      <w:r w:rsidR="00AB6F64">
        <w:rPr>
          <w:rFonts w:ascii="Times New Roman" w:eastAsia="Times New Roman" w:hAnsi="Times New Roman" w:cs="Times New Roman"/>
          <w:bCs/>
          <w:sz w:val="24"/>
          <w:szCs w:val="24"/>
          <w:lang w:eastAsia="en-AU"/>
        </w:rPr>
        <w:t>2012 Listing Instrument</w:t>
      </w:r>
      <w:r w:rsidRPr="00576558">
        <w:rPr>
          <w:rFonts w:ascii="Times New Roman" w:eastAsia="Times New Roman" w:hAnsi="Times New Roman" w:cs="Times New Roman"/>
          <w:bCs/>
          <w:sz w:val="24"/>
          <w:szCs w:val="24"/>
          <w:lang w:eastAsia="en-AU"/>
        </w:rPr>
        <w:t xml:space="preserve"> to those in section 19 of th</w:t>
      </w:r>
      <w:r w:rsidR="00392054">
        <w:rPr>
          <w:rFonts w:ascii="Times New Roman" w:eastAsia="Times New Roman" w:hAnsi="Times New Roman" w:cs="Times New Roman"/>
          <w:bCs/>
          <w:sz w:val="24"/>
          <w:szCs w:val="24"/>
          <w:lang w:eastAsia="en-AU"/>
        </w:rPr>
        <w:t>e 2024 Listing I</w:t>
      </w:r>
      <w:r w:rsidRPr="00576558">
        <w:rPr>
          <w:rFonts w:ascii="Times New Roman" w:eastAsia="Times New Roman" w:hAnsi="Times New Roman" w:cs="Times New Roman"/>
          <w:bCs/>
          <w:sz w:val="24"/>
          <w:szCs w:val="24"/>
          <w:lang w:eastAsia="en-AU"/>
        </w:rPr>
        <w:t>nstrument.</w:t>
      </w:r>
    </w:p>
    <w:p w14:paraId="241A6A8C" w14:textId="77777777" w:rsidR="007035C4" w:rsidRPr="00576558" w:rsidRDefault="007035C4" w:rsidP="00167955">
      <w:pPr>
        <w:spacing w:after="0" w:line="240" w:lineRule="auto"/>
        <w:rPr>
          <w:rFonts w:ascii="Times New Roman" w:eastAsia="Times New Roman" w:hAnsi="Times New Roman" w:cs="Times New Roman"/>
          <w:b/>
          <w:sz w:val="24"/>
          <w:szCs w:val="24"/>
          <w:lang w:eastAsia="en-AU"/>
        </w:rPr>
      </w:pPr>
    </w:p>
    <w:p w14:paraId="66F51038" w14:textId="71BF4D9B" w:rsidR="007035C4" w:rsidRPr="00576558" w:rsidRDefault="007035C4" w:rsidP="00167955">
      <w:pPr>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t>Part 4—Quantities of pharmaceutical items</w:t>
      </w:r>
    </w:p>
    <w:p w14:paraId="41C944BE" w14:textId="77777777" w:rsidR="0051760C" w:rsidRPr="00576558" w:rsidRDefault="0051760C" w:rsidP="00167955">
      <w:pPr>
        <w:spacing w:after="0" w:line="240" w:lineRule="auto"/>
        <w:rPr>
          <w:rFonts w:ascii="Times New Roman" w:eastAsia="Times New Roman" w:hAnsi="Times New Roman" w:cs="Times New Roman"/>
          <w:b/>
          <w:sz w:val="24"/>
          <w:szCs w:val="24"/>
          <w:lang w:eastAsia="en-AU"/>
        </w:rPr>
      </w:pPr>
    </w:p>
    <w:p w14:paraId="17070D68" w14:textId="06997D6F" w:rsidR="0051760C" w:rsidRPr="00576558" w:rsidRDefault="0051760C" w:rsidP="00167955">
      <w:pPr>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t xml:space="preserve">Section </w:t>
      </w:r>
      <w:r w:rsidR="00D171DF" w:rsidRPr="00576558">
        <w:rPr>
          <w:rFonts w:ascii="Times New Roman" w:eastAsia="Times New Roman" w:hAnsi="Times New Roman" w:cs="Times New Roman"/>
          <w:b/>
          <w:sz w:val="24"/>
          <w:szCs w:val="24"/>
          <w:lang w:eastAsia="en-AU"/>
        </w:rPr>
        <w:t>20</w:t>
      </w:r>
      <w:r w:rsidRPr="00576558">
        <w:rPr>
          <w:rFonts w:ascii="Times New Roman" w:eastAsia="Times New Roman" w:hAnsi="Times New Roman" w:cs="Times New Roman"/>
          <w:b/>
          <w:sz w:val="24"/>
          <w:szCs w:val="24"/>
          <w:lang w:eastAsia="en-AU"/>
        </w:rPr>
        <w:t xml:space="preserve"> - Pack quantity (Act </w:t>
      </w:r>
      <w:r w:rsidR="00AD1AD6" w:rsidRPr="00576558">
        <w:rPr>
          <w:rFonts w:ascii="Times New Roman" w:eastAsia="Times New Roman" w:hAnsi="Times New Roman" w:cs="Times New Roman"/>
          <w:b/>
          <w:sz w:val="24"/>
          <w:szCs w:val="24"/>
          <w:lang w:eastAsia="en-AU"/>
        </w:rPr>
        <w:t>s</w:t>
      </w:r>
      <w:r w:rsidR="008A4CEE" w:rsidRPr="00576558">
        <w:rPr>
          <w:rFonts w:ascii="Times New Roman" w:eastAsia="Times New Roman" w:hAnsi="Times New Roman" w:cs="Times New Roman"/>
          <w:b/>
          <w:sz w:val="24"/>
          <w:szCs w:val="24"/>
          <w:lang w:eastAsia="en-AU"/>
        </w:rPr>
        <w:t xml:space="preserve"> </w:t>
      </w:r>
      <w:r w:rsidRPr="00576558">
        <w:rPr>
          <w:rFonts w:ascii="Times New Roman" w:eastAsia="Times New Roman" w:hAnsi="Times New Roman" w:cs="Times New Roman"/>
          <w:b/>
          <w:sz w:val="24"/>
          <w:szCs w:val="24"/>
          <w:lang w:eastAsia="en-AU"/>
        </w:rPr>
        <w:t>84AK(2))</w:t>
      </w:r>
    </w:p>
    <w:p w14:paraId="08EC8605" w14:textId="77777777" w:rsidR="007E6147" w:rsidRPr="00576558" w:rsidRDefault="007E6147" w:rsidP="00167955">
      <w:pPr>
        <w:spacing w:after="0" w:line="240" w:lineRule="auto"/>
        <w:rPr>
          <w:rFonts w:ascii="Times New Roman" w:eastAsia="Times New Roman" w:hAnsi="Times New Roman" w:cs="Times New Roman"/>
          <w:bCs/>
          <w:sz w:val="24"/>
          <w:szCs w:val="24"/>
          <w:lang w:eastAsia="en-AU"/>
        </w:rPr>
      </w:pPr>
    </w:p>
    <w:p w14:paraId="335665FF" w14:textId="7E5B8762" w:rsidR="00F150F4" w:rsidRPr="00576558" w:rsidRDefault="000645B3"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84AK(2) of the Act provides </w:t>
      </w:r>
      <w:r w:rsidR="00237F40" w:rsidRPr="00576558">
        <w:rPr>
          <w:rFonts w:ascii="Times New Roman" w:eastAsia="Times New Roman" w:hAnsi="Times New Roman" w:cs="Times New Roman"/>
          <w:bCs/>
          <w:sz w:val="24"/>
          <w:szCs w:val="24"/>
          <w:lang w:eastAsia="en-AU"/>
        </w:rPr>
        <w:t>that the Minister may, by legislative instrument, determine for a listed brand of a pharmaceutical item that one or more quantities or numbers of units of the pharmaceutical item is a pack quantity of the brand.</w:t>
      </w:r>
    </w:p>
    <w:p w14:paraId="02401D3F" w14:textId="77777777" w:rsidR="000645B3" w:rsidRPr="00576558" w:rsidRDefault="000645B3" w:rsidP="00167955">
      <w:pPr>
        <w:spacing w:after="0" w:line="240" w:lineRule="auto"/>
        <w:rPr>
          <w:rFonts w:ascii="Times New Roman" w:eastAsia="Times New Roman" w:hAnsi="Times New Roman" w:cs="Times New Roman"/>
          <w:bCs/>
          <w:sz w:val="24"/>
          <w:szCs w:val="24"/>
          <w:lang w:eastAsia="en-AU"/>
        </w:rPr>
      </w:pPr>
    </w:p>
    <w:p w14:paraId="2F55C771" w14:textId="1865B99C" w:rsidR="000D29E1" w:rsidRDefault="000D29E1"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Section</w:t>
      </w:r>
      <w:r w:rsidR="00D171DF" w:rsidRPr="00576558">
        <w:rPr>
          <w:rFonts w:ascii="Times New Roman" w:eastAsia="Times New Roman" w:hAnsi="Times New Roman" w:cs="Times New Roman"/>
          <w:bCs/>
          <w:sz w:val="24"/>
          <w:szCs w:val="24"/>
          <w:lang w:eastAsia="en-AU"/>
        </w:rPr>
        <w:t xml:space="preserve"> 20</w:t>
      </w:r>
      <w:r w:rsidRPr="00576558">
        <w:rPr>
          <w:rFonts w:ascii="Times New Roman" w:eastAsia="Times New Roman" w:hAnsi="Times New Roman" w:cs="Times New Roman"/>
          <w:bCs/>
          <w:sz w:val="24"/>
          <w:szCs w:val="24"/>
          <w:lang w:eastAsia="en-AU"/>
        </w:rPr>
        <w:t xml:space="preserve"> </w:t>
      </w:r>
      <w:r w:rsidR="006512C0" w:rsidRPr="00576558">
        <w:rPr>
          <w:rFonts w:ascii="Times New Roman" w:eastAsia="Times New Roman" w:hAnsi="Times New Roman" w:cs="Times New Roman"/>
          <w:bCs/>
          <w:sz w:val="24"/>
          <w:szCs w:val="24"/>
          <w:lang w:eastAsia="en-AU"/>
        </w:rPr>
        <w:t>of the</w:t>
      </w:r>
      <w:r w:rsidR="001630FF">
        <w:rPr>
          <w:rFonts w:ascii="Times New Roman" w:eastAsia="Times New Roman" w:hAnsi="Times New Roman" w:cs="Times New Roman"/>
          <w:bCs/>
          <w:sz w:val="24"/>
          <w:szCs w:val="24"/>
          <w:lang w:eastAsia="en-AU"/>
        </w:rPr>
        <w:t xml:space="preserve"> 2024 Listing I</w:t>
      </w:r>
      <w:r w:rsidR="006512C0" w:rsidRPr="00576558">
        <w:rPr>
          <w:rFonts w:ascii="Times New Roman" w:eastAsia="Times New Roman" w:hAnsi="Times New Roman" w:cs="Times New Roman"/>
          <w:bCs/>
          <w:sz w:val="24"/>
          <w:szCs w:val="24"/>
          <w:lang w:eastAsia="en-AU"/>
        </w:rPr>
        <w:t xml:space="preserve">nstrument </w:t>
      </w:r>
      <w:r w:rsidRPr="00576558">
        <w:rPr>
          <w:rFonts w:ascii="Times New Roman" w:eastAsia="Times New Roman" w:hAnsi="Times New Roman" w:cs="Times New Roman"/>
          <w:bCs/>
          <w:sz w:val="24"/>
          <w:szCs w:val="24"/>
          <w:lang w:eastAsia="en-AU"/>
        </w:rPr>
        <w:t>provides</w:t>
      </w:r>
      <w:r w:rsidR="00F67FC9" w:rsidRPr="00576558">
        <w:rPr>
          <w:rFonts w:ascii="Times New Roman" w:eastAsia="Times New Roman" w:hAnsi="Times New Roman" w:cs="Times New Roman"/>
          <w:bCs/>
          <w:sz w:val="24"/>
          <w:szCs w:val="24"/>
          <w:lang w:eastAsia="en-AU"/>
        </w:rPr>
        <w:t xml:space="preserve"> </w:t>
      </w:r>
      <w:r w:rsidR="007E6147" w:rsidRPr="00576558">
        <w:rPr>
          <w:rFonts w:ascii="Times New Roman" w:eastAsia="Times New Roman" w:hAnsi="Times New Roman" w:cs="Times New Roman"/>
          <w:bCs/>
          <w:sz w:val="24"/>
          <w:szCs w:val="24"/>
          <w:lang w:eastAsia="en-AU"/>
        </w:rPr>
        <w:t>that</w:t>
      </w:r>
      <w:r w:rsidR="00E90657" w:rsidRPr="00576558">
        <w:rPr>
          <w:rFonts w:ascii="Times New Roman" w:eastAsia="Times New Roman" w:hAnsi="Times New Roman" w:cs="Times New Roman"/>
          <w:bCs/>
          <w:sz w:val="24"/>
          <w:szCs w:val="24"/>
          <w:lang w:eastAsia="en-AU"/>
        </w:rPr>
        <w:t>, for the purposes of subsection 84AK(2) of the Act,</w:t>
      </w:r>
      <w:r w:rsidR="007E6147" w:rsidRPr="00576558">
        <w:rPr>
          <w:rFonts w:ascii="Times New Roman" w:eastAsia="Times New Roman" w:hAnsi="Times New Roman" w:cs="Times New Roman"/>
          <w:bCs/>
          <w:sz w:val="24"/>
          <w:szCs w:val="24"/>
          <w:lang w:eastAsia="en-AU"/>
        </w:rPr>
        <w:t xml:space="preserve"> </w:t>
      </w:r>
      <w:r w:rsidRPr="00576558">
        <w:rPr>
          <w:rFonts w:ascii="Times New Roman" w:eastAsia="Times New Roman" w:hAnsi="Times New Roman" w:cs="Times New Roman"/>
          <w:bCs/>
          <w:sz w:val="24"/>
          <w:szCs w:val="24"/>
          <w:lang w:eastAsia="en-AU"/>
        </w:rPr>
        <w:t>a number of units of a pharmaceutical item mentioned in the column of a table in Schedule 1 headed “Pack Quantity” in relation to a brand of the pharmaceutical item is a pack quantity of the brand.</w:t>
      </w:r>
    </w:p>
    <w:p w14:paraId="7562D53B" w14:textId="77777777" w:rsidR="002F0474" w:rsidRDefault="002F0474" w:rsidP="00167955">
      <w:pPr>
        <w:spacing w:after="0" w:line="240" w:lineRule="auto"/>
        <w:rPr>
          <w:rFonts w:ascii="Times New Roman" w:eastAsia="Times New Roman" w:hAnsi="Times New Roman" w:cs="Times New Roman"/>
          <w:bCs/>
          <w:sz w:val="24"/>
          <w:szCs w:val="24"/>
          <w:lang w:eastAsia="en-AU"/>
        </w:rPr>
      </w:pPr>
    </w:p>
    <w:p w14:paraId="02F10EA3" w14:textId="657340F4" w:rsidR="005330B8" w:rsidRDefault="00142358"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w:t>
      </w:r>
      <w:r w:rsidR="00115C73">
        <w:rPr>
          <w:rFonts w:ascii="Times New Roman" w:eastAsia="Times New Roman" w:hAnsi="Times New Roman" w:cs="Times New Roman"/>
          <w:bCs/>
          <w:sz w:val="24"/>
          <w:szCs w:val="24"/>
          <w:lang w:eastAsia="en-AU"/>
        </w:rPr>
        <w:t xml:space="preserve">pack quantity or quantities determined for a listed brand of pharmaceutical item is relevant </w:t>
      </w:r>
      <w:r w:rsidR="005330B8">
        <w:rPr>
          <w:rFonts w:ascii="Times New Roman" w:eastAsia="Times New Roman" w:hAnsi="Times New Roman" w:cs="Times New Roman"/>
          <w:bCs/>
          <w:sz w:val="24"/>
          <w:szCs w:val="24"/>
          <w:lang w:eastAsia="en-AU"/>
        </w:rPr>
        <w:t>because</w:t>
      </w:r>
      <w:r w:rsidR="00A12FAC">
        <w:rPr>
          <w:rFonts w:ascii="Times New Roman" w:eastAsia="Times New Roman" w:hAnsi="Times New Roman" w:cs="Times New Roman"/>
          <w:bCs/>
          <w:sz w:val="24"/>
          <w:szCs w:val="24"/>
          <w:lang w:eastAsia="en-AU"/>
        </w:rPr>
        <w:t xml:space="preserve"> the </w:t>
      </w:r>
      <w:r w:rsidR="005330B8">
        <w:rPr>
          <w:rFonts w:ascii="Times New Roman" w:eastAsia="Times New Roman" w:hAnsi="Times New Roman" w:cs="Times New Roman"/>
          <w:bCs/>
          <w:sz w:val="24"/>
          <w:szCs w:val="24"/>
          <w:lang w:eastAsia="en-AU"/>
        </w:rPr>
        <w:t xml:space="preserve">lowest pack quantity of any listed brand of a pharmaceutical item is the pricing quantity for </w:t>
      </w:r>
      <w:r w:rsidR="00CA4C4B">
        <w:rPr>
          <w:rFonts w:ascii="Times New Roman" w:eastAsia="Times New Roman" w:hAnsi="Times New Roman" w:cs="Times New Roman"/>
          <w:bCs/>
          <w:sz w:val="24"/>
          <w:szCs w:val="24"/>
          <w:lang w:eastAsia="en-AU"/>
        </w:rPr>
        <w:t>all brands of the pharmaceutical item. The approved ex-manufacturer price (AEMP) of a listed brand is set by reference to its pricing quantity</w:t>
      </w:r>
      <w:r w:rsidR="00703501">
        <w:rPr>
          <w:rFonts w:ascii="Times New Roman" w:eastAsia="Times New Roman" w:hAnsi="Times New Roman" w:cs="Times New Roman"/>
          <w:bCs/>
          <w:sz w:val="24"/>
          <w:szCs w:val="24"/>
          <w:lang w:eastAsia="en-AU"/>
        </w:rPr>
        <w:t>, with a proportional ex-manufacturer price for other pack quantities of the brand</w:t>
      </w:r>
      <w:r w:rsidR="00A12FAC">
        <w:rPr>
          <w:rFonts w:ascii="Times New Roman" w:eastAsia="Times New Roman" w:hAnsi="Times New Roman" w:cs="Times New Roman"/>
          <w:bCs/>
          <w:sz w:val="24"/>
          <w:szCs w:val="24"/>
          <w:lang w:eastAsia="en-AU"/>
        </w:rPr>
        <w:t>.</w:t>
      </w:r>
    </w:p>
    <w:p w14:paraId="64D76EC9" w14:textId="77777777" w:rsidR="00CA4C4B" w:rsidRDefault="00CA4C4B" w:rsidP="00167955">
      <w:pPr>
        <w:spacing w:after="0" w:line="240" w:lineRule="auto"/>
        <w:rPr>
          <w:rFonts w:ascii="Times New Roman" w:eastAsia="Times New Roman" w:hAnsi="Times New Roman" w:cs="Times New Roman"/>
          <w:bCs/>
          <w:sz w:val="24"/>
          <w:szCs w:val="24"/>
          <w:lang w:eastAsia="en-AU"/>
        </w:rPr>
      </w:pPr>
    </w:p>
    <w:p w14:paraId="3A859FD9" w14:textId="118FC947" w:rsidR="00734400" w:rsidRPr="00576558" w:rsidRDefault="00734400"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20 </w:t>
      </w:r>
      <w:r w:rsidRPr="00CC18E5">
        <w:rPr>
          <w:rFonts w:ascii="Times New Roman" w:eastAsia="Times New Roman" w:hAnsi="Times New Roman" w:cs="Times New Roman"/>
          <w:bCs/>
          <w:sz w:val="24"/>
          <w:szCs w:val="24"/>
          <w:lang w:eastAsia="en-AU"/>
        </w:rPr>
        <w:t xml:space="preserve">corresponds to section </w:t>
      </w:r>
      <w:r>
        <w:rPr>
          <w:rFonts w:ascii="Times New Roman" w:eastAsia="Times New Roman" w:hAnsi="Times New Roman" w:cs="Times New Roman"/>
          <w:bCs/>
          <w:sz w:val="24"/>
          <w:szCs w:val="24"/>
          <w:lang w:eastAsia="en-AU"/>
        </w:rPr>
        <w:t>24</w:t>
      </w:r>
      <w:r w:rsidRPr="00CC18E5">
        <w:rPr>
          <w:rFonts w:ascii="Times New Roman" w:eastAsia="Times New Roman" w:hAnsi="Times New Roman" w:cs="Times New Roman"/>
          <w:bCs/>
          <w:sz w:val="24"/>
          <w:szCs w:val="24"/>
          <w:lang w:eastAsia="en-AU"/>
        </w:rPr>
        <w:t xml:space="preserve"> of the 2012 Listing Instrument.</w:t>
      </w:r>
    </w:p>
    <w:p w14:paraId="0405063B" w14:textId="496DCAF0" w:rsidR="00F46BFA" w:rsidRPr="00576558" w:rsidRDefault="00BF73F2" w:rsidP="005A4C31">
      <w:pPr>
        <w:keepNext/>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lastRenderedPageBreak/>
        <w:t xml:space="preserve">Section </w:t>
      </w:r>
      <w:r w:rsidR="00D171DF" w:rsidRPr="00576558">
        <w:rPr>
          <w:rFonts w:ascii="Times New Roman" w:eastAsia="Times New Roman" w:hAnsi="Times New Roman" w:cs="Times New Roman"/>
          <w:b/>
          <w:sz w:val="24"/>
          <w:szCs w:val="24"/>
          <w:lang w:eastAsia="en-AU"/>
        </w:rPr>
        <w:t>21</w:t>
      </w:r>
      <w:r w:rsidRPr="00576558">
        <w:rPr>
          <w:rFonts w:ascii="Times New Roman" w:eastAsia="Times New Roman" w:hAnsi="Times New Roman" w:cs="Times New Roman"/>
          <w:b/>
          <w:sz w:val="24"/>
          <w:szCs w:val="24"/>
          <w:lang w:eastAsia="en-AU"/>
        </w:rPr>
        <w:t xml:space="preserve"> - Determined quantity (Act </w:t>
      </w:r>
      <w:r w:rsidR="00743406" w:rsidRPr="00576558">
        <w:rPr>
          <w:rFonts w:ascii="Times New Roman" w:eastAsia="Times New Roman" w:hAnsi="Times New Roman" w:cs="Times New Roman"/>
          <w:b/>
          <w:sz w:val="24"/>
          <w:szCs w:val="24"/>
          <w:lang w:eastAsia="en-AU"/>
        </w:rPr>
        <w:t>s</w:t>
      </w:r>
      <w:r w:rsidR="008A4CEE" w:rsidRPr="00576558">
        <w:rPr>
          <w:rFonts w:ascii="Times New Roman" w:eastAsia="Times New Roman" w:hAnsi="Times New Roman" w:cs="Times New Roman"/>
          <w:b/>
          <w:sz w:val="24"/>
          <w:szCs w:val="24"/>
          <w:lang w:eastAsia="en-AU"/>
        </w:rPr>
        <w:t xml:space="preserve"> </w:t>
      </w:r>
      <w:r w:rsidRPr="00576558">
        <w:rPr>
          <w:rFonts w:ascii="Times New Roman" w:eastAsia="Times New Roman" w:hAnsi="Times New Roman" w:cs="Times New Roman"/>
          <w:b/>
          <w:sz w:val="24"/>
          <w:szCs w:val="24"/>
          <w:lang w:eastAsia="en-AU"/>
        </w:rPr>
        <w:t>84AK(3))</w:t>
      </w:r>
    </w:p>
    <w:p w14:paraId="34A2AF25" w14:textId="77777777" w:rsidR="00237F40" w:rsidRPr="00576558" w:rsidRDefault="00237F40" w:rsidP="00167955">
      <w:pPr>
        <w:spacing w:after="0" w:line="240" w:lineRule="auto"/>
        <w:rPr>
          <w:rFonts w:ascii="Times New Roman" w:eastAsia="Times New Roman" w:hAnsi="Times New Roman" w:cs="Times New Roman"/>
          <w:bCs/>
          <w:sz w:val="24"/>
          <w:szCs w:val="24"/>
          <w:lang w:eastAsia="en-AU"/>
        </w:rPr>
      </w:pPr>
    </w:p>
    <w:p w14:paraId="0BA3FBD3" w14:textId="33025A43" w:rsidR="00BF73F2" w:rsidRPr="00576558" w:rsidRDefault="000645B3"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Subsection 84AK(</w:t>
      </w:r>
      <w:r w:rsidR="00B63E8B" w:rsidRPr="00576558">
        <w:rPr>
          <w:rFonts w:ascii="Times New Roman" w:eastAsia="Times New Roman" w:hAnsi="Times New Roman" w:cs="Times New Roman"/>
          <w:bCs/>
          <w:sz w:val="24"/>
          <w:szCs w:val="24"/>
          <w:lang w:eastAsia="en-AU"/>
        </w:rPr>
        <w:t>3</w:t>
      </w:r>
      <w:r w:rsidRPr="00576558">
        <w:rPr>
          <w:rFonts w:ascii="Times New Roman" w:eastAsia="Times New Roman" w:hAnsi="Times New Roman" w:cs="Times New Roman"/>
          <w:bCs/>
          <w:sz w:val="24"/>
          <w:szCs w:val="24"/>
          <w:lang w:eastAsia="en-AU"/>
        </w:rPr>
        <w:t xml:space="preserve">) of the Act provides </w:t>
      </w:r>
      <w:r w:rsidR="00587FED" w:rsidRPr="00576558">
        <w:rPr>
          <w:rFonts w:ascii="Times New Roman" w:eastAsia="Times New Roman" w:hAnsi="Times New Roman" w:cs="Times New Roman"/>
          <w:bCs/>
          <w:sz w:val="24"/>
          <w:szCs w:val="24"/>
          <w:lang w:eastAsia="en-AU"/>
        </w:rPr>
        <w:t>that the Minister may, by legislative instrument, determine for a listed brand of a pharmaceutical item that one or more quantities or numbers of units of the pharmaceutical item is a determined quantity of the brand of the pharmaceutical item.</w:t>
      </w:r>
    </w:p>
    <w:p w14:paraId="6B27C739" w14:textId="77777777" w:rsidR="000645B3" w:rsidRPr="00576558" w:rsidRDefault="000645B3" w:rsidP="00167955">
      <w:pPr>
        <w:spacing w:after="0" w:line="240" w:lineRule="auto"/>
        <w:rPr>
          <w:rFonts w:ascii="Times New Roman" w:eastAsia="Times New Roman" w:hAnsi="Times New Roman" w:cs="Times New Roman"/>
          <w:b/>
          <w:sz w:val="24"/>
          <w:szCs w:val="24"/>
          <w:lang w:eastAsia="en-AU"/>
        </w:rPr>
      </w:pPr>
    </w:p>
    <w:p w14:paraId="79B0ED67" w14:textId="23898D2E" w:rsidR="00F46BFA" w:rsidRDefault="00F46BFA"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Section 2</w:t>
      </w:r>
      <w:r w:rsidR="00D171DF" w:rsidRPr="00576558">
        <w:rPr>
          <w:rFonts w:ascii="Times New Roman" w:eastAsia="Times New Roman" w:hAnsi="Times New Roman" w:cs="Times New Roman"/>
          <w:bCs/>
          <w:sz w:val="24"/>
          <w:szCs w:val="24"/>
          <w:lang w:eastAsia="en-AU"/>
        </w:rPr>
        <w:t>1</w:t>
      </w:r>
      <w:r w:rsidRPr="00576558">
        <w:rPr>
          <w:rFonts w:ascii="Times New Roman" w:eastAsia="Times New Roman" w:hAnsi="Times New Roman" w:cs="Times New Roman"/>
          <w:bCs/>
          <w:sz w:val="24"/>
          <w:szCs w:val="24"/>
          <w:lang w:eastAsia="en-AU"/>
        </w:rPr>
        <w:t xml:space="preserve"> </w:t>
      </w:r>
      <w:r w:rsidR="006512C0" w:rsidRPr="00576558">
        <w:rPr>
          <w:rFonts w:ascii="Times New Roman" w:eastAsia="Times New Roman" w:hAnsi="Times New Roman" w:cs="Times New Roman"/>
          <w:bCs/>
          <w:sz w:val="24"/>
          <w:szCs w:val="24"/>
          <w:lang w:eastAsia="en-AU"/>
        </w:rPr>
        <w:t xml:space="preserve">of the </w:t>
      </w:r>
      <w:r w:rsidR="00593C8B">
        <w:rPr>
          <w:rFonts w:ascii="Times New Roman" w:eastAsia="Times New Roman" w:hAnsi="Times New Roman" w:cs="Times New Roman"/>
          <w:bCs/>
          <w:sz w:val="24"/>
          <w:szCs w:val="24"/>
          <w:lang w:eastAsia="en-AU"/>
        </w:rPr>
        <w:t>2024 Listing I</w:t>
      </w:r>
      <w:r w:rsidR="006512C0" w:rsidRPr="00576558">
        <w:rPr>
          <w:rFonts w:ascii="Times New Roman" w:eastAsia="Times New Roman" w:hAnsi="Times New Roman" w:cs="Times New Roman"/>
          <w:bCs/>
          <w:sz w:val="24"/>
          <w:szCs w:val="24"/>
          <w:lang w:eastAsia="en-AU"/>
        </w:rPr>
        <w:t xml:space="preserve">nstrument </w:t>
      </w:r>
      <w:r w:rsidRPr="00576558">
        <w:rPr>
          <w:rFonts w:ascii="Times New Roman" w:eastAsia="Times New Roman" w:hAnsi="Times New Roman" w:cs="Times New Roman"/>
          <w:bCs/>
          <w:sz w:val="24"/>
          <w:szCs w:val="24"/>
          <w:lang w:eastAsia="en-AU"/>
        </w:rPr>
        <w:t>provides that, for the purposes of subsection 84AK(3) of the Act, a number of units of a pharmaceutical item mentioned in the column of a table in Schedule 1 headed “Determined Quantity”</w:t>
      </w:r>
      <w:r w:rsidR="00D5651C" w:rsidRPr="00576558">
        <w:rPr>
          <w:rFonts w:ascii="Times New Roman" w:eastAsia="Times New Roman" w:hAnsi="Times New Roman" w:cs="Times New Roman"/>
          <w:bCs/>
          <w:sz w:val="24"/>
          <w:szCs w:val="24"/>
          <w:lang w:eastAsia="en-AU"/>
        </w:rPr>
        <w:t>,</w:t>
      </w:r>
      <w:r w:rsidRPr="00576558">
        <w:rPr>
          <w:rFonts w:ascii="Times New Roman" w:eastAsia="Times New Roman" w:hAnsi="Times New Roman" w:cs="Times New Roman"/>
          <w:bCs/>
          <w:sz w:val="24"/>
          <w:szCs w:val="24"/>
          <w:lang w:eastAsia="en-AU"/>
        </w:rPr>
        <w:t xml:space="preserve"> in relation to a brand of the pharmaceutical item</w:t>
      </w:r>
      <w:r w:rsidR="00D5651C" w:rsidRPr="00576558">
        <w:rPr>
          <w:rFonts w:ascii="Times New Roman" w:eastAsia="Times New Roman" w:hAnsi="Times New Roman" w:cs="Times New Roman"/>
          <w:bCs/>
          <w:sz w:val="24"/>
          <w:szCs w:val="24"/>
          <w:lang w:eastAsia="en-AU"/>
        </w:rPr>
        <w:t>,</w:t>
      </w:r>
      <w:r w:rsidRPr="00576558">
        <w:rPr>
          <w:rFonts w:ascii="Times New Roman" w:eastAsia="Times New Roman" w:hAnsi="Times New Roman" w:cs="Times New Roman"/>
          <w:bCs/>
          <w:sz w:val="24"/>
          <w:szCs w:val="24"/>
          <w:lang w:eastAsia="en-AU"/>
        </w:rPr>
        <w:t xml:space="preserve"> is a determined quantity of the brand.</w:t>
      </w:r>
    </w:p>
    <w:p w14:paraId="69C8AD26" w14:textId="77777777" w:rsidR="00593C8B" w:rsidRDefault="00593C8B" w:rsidP="00167955">
      <w:pPr>
        <w:spacing w:after="0" w:line="240" w:lineRule="auto"/>
        <w:rPr>
          <w:rFonts w:ascii="Times New Roman" w:eastAsia="Times New Roman" w:hAnsi="Times New Roman" w:cs="Times New Roman"/>
          <w:bCs/>
          <w:sz w:val="24"/>
          <w:szCs w:val="24"/>
          <w:lang w:eastAsia="en-AU"/>
        </w:rPr>
      </w:pPr>
    </w:p>
    <w:p w14:paraId="611D8927" w14:textId="54296D34" w:rsidR="00593C8B" w:rsidRDefault="00F340A0"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Most brands of pharmaceutical item do not have a determined quantity. </w:t>
      </w:r>
      <w:r w:rsidR="00367A25">
        <w:rPr>
          <w:rFonts w:ascii="Times New Roman" w:eastAsia="Times New Roman" w:hAnsi="Times New Roman" w:cs="Times New Roman"/>
          <w:bCs/>
          <w:sz w:val="24"/>
          <w:szCs w:val="24"/>
          <w:lang w:eastAsia="en-AU"/>
        </w:rPr>
        <w:t xml:space="preserve">A </w:t>
      </w:r>
      <w:r w:rsidR="00367A25" w:rsidRPr="00367A25">
        <w:rPr>
          <w:rFonts w:ascii="Times New Roman" w:eastAsia="Times New Roman" w:hAnsi="Times New Roman" w:cs="Times New Roman"/>
          <w:bCs/>
          <w:sz w:val="24"/>
          <w:szCs w:val="24"/>
          <w:lang w:eastAsia="en-AU"/>
        </w:rPr>
        <w:t xml:space="preserve">determined quantity </w:t>
      </w:r>
      <w:r w:rsidR="003077AC">
        <w:rPr>
          <w:rFonts w:ascii="Times New Roman" w:eastAsia="Times New Roman" w:hAnsi="Times New Roman" w:cs="Times New Roman"/>
          <w:bCs/>
          <w:sz w:val="24"/>
          <w:szCs w:val="24"/>
          <w:lang w:eastAsia="en-AU"/>
        </w:rPr>
        <w:t>may be set w</w:t>
      </w:r>
      <w:r w:rsidR="00367A25" w:rsidRPr="00367A25">
        <w:rPr>
          <w:rFonts w:ascii="Times New Roman" w:eastAsia="Times New Roman" w:hAnsi="Times New Roman" w:cs="Times New Roman"/>
          <w:bCs/>
          <w:sz w:val="24"/>
          <w:szCs w:val="24"/>
          <w:lang w:eastAsia="en-AU"/>
        </w:rPr>
        <w:t xml:space="preserve">hen </w:t>
      </w:r>
      <w:r w:rsidR="0035778E">
        <w:rPr>
          <w:rFonts w:ascii="Times New Roman" w:eastAsia="Times New Roman" w:hAnsi="Times New Roman" w:cs="Times New Roman"/>
          <w:bCs/>
          <w:sz w:val="24"/>
          <w:szCs w:val="24"/>
          <w:lang w:eastAsia="en-AU"/>
        </w:rPr>
        <w:t>m</w:t>
      </w:r>
      <w:r w:rsidR="00367A25" w:rsidRPr="00367A25">
        <w:rPr>
          <w:rFonts w:ascii="Times New Roman" w:eastAsia="Times New Roman" w:hAnsi="Times New Roman" w:cs="Times New Roman"/>
          <w:bCs/>
          <w:sz w:val="24"/>
          <w:szCs w:val="24"/>
          <w:lang w:eastAsia="en-AU"/>
        </w:rPr>
        <w:t>aximum quantity</w:t>
      </w:r>
      <w:r w:rsidR="003077AC">
        <w:rPr>
          <w:rFonts w:ascii="Times New Roman" w:eastAsia="Times New Roman" w:hAnsi="Times New Roman" w:cs="Times New Roman"/>
          <w:bCs/>
          <w:sz w:val="24"/>
          <w:szCs w:val="24"/>
          <w:lang w:eastAsia="en-AU"/>
        </w:rPr>
        <w:t xml:space="preserve"> </w:t>
      </w:r>
      <w:r w:rsidR="0035778E">
        <w:rPr>
          <w:rFonts w:ascii="Times New Roman" w:eastAsia="Times New Roman" w:hAnsi="Times New Roman" w:cs="Times New Roman"/>
          <w:bCs/>
          <w:sz w:val="24"/>
          <w:szCs w:val="24"/>
          <w:lang w:eastAsia="en-AU"/>
        </w:rPr>
        <w:t xml:space="preserve">or number of units </w:t>
      </w:r>
      <w:r w:rsidR="007E0979">
        <w:rPr>
          <w:rFonts w:ascii="Times New Roman" w:eastAsia="Times New Roman" w:hAnsi="Times New Roman" w:cs="Times New Roman"/>
          <w:bCs/>
          <w:sz w:val="24"/>
          <w:szCs w:val="24"/>
          <w:lang w:eastAsia="en-AU"/>
        </w:rPr>
        <w:t xml:space="preserve">has been </w:t>
      </w:r>
      <w:r w:rsidR="0035778E">
        <w:rPr>
          <w:rFonts w:ascii="Times New Roman" w:eastAsia="Times New Roman" w:hAnsi="Times New Roman" w:cs="Times New Roman"/>
          <w:bCs/>
          <w:sz w:val="24"/>
          <w:szCs w:val="24"/>
          <w:lang w:eastAsia="en-AU"/>
        </w:rPr>
        <w:t xml:space="preserve">determined for a pharmaceutical item for the purposes </w:t>
      </w:r>
      <w:r w:rsidR="007E0979">
        <w:rPr>
          <w:rFonts w:ascii="Times New Roman" w:eastAsia="Times New Roman" w:hAnsi="Times New Roman" w:cs="Times New Roman"/>
          <w:bCs/>
          <w:sz w:val="24"/>
          <w:szCs w:val="24"/>
          <w:lang w:eastAsia="en-AU"/>
        </w:rPr>
        <w:t xml:space="preserve">of paragraph 85A(2)(a) of the Act. </w:t>
      </w:r>
      <w:r w:rsidR="00B74ECF">
        <w:rPr>
          <w:rFonts w:ascii="Times New Roman" w:eastAsia="Times New Roman" w:hAnsi="Times New Roman" w:cs="Times New Roman"/>
          <w:bCs/>
          <w:sz w:val="24"/>
          <w:szCs w:val="24"/>
          <w:lang w:eastAsia="en-AU"/>
        </w:rPr>
        <w:t>A</w:t>
      </w:r>
      <w:r w:rsidR="00367A25" w:rsidRPr="00367A25">
        <w:rPr>
          <w:rFonts w:ascii="Times New Roman" w:eastAsia="Times New Roman" w:hAnsi="Times New Roman" w:cs="Times New Roman"/>
          <w:bCs/>
          <w:sz w:val="24"/>
          <w:szCs w:val="24"/>
          <w:lang w:eastAsia="en-AU"/>
        </w:rPr>
        <w:t xml:space="preserve"> number of legislative instruments </w:t>
      </w:r>
      <w:r w:rsidR="00D6312F">
        <w:rPr>
          <w:rFonts w:ascii="Times New Roman" w:eastAsia="Times New Roman" w:hAnsi="Times New Roman" w:cs="Times New Roman"/>
          <w:bCs/>
          <w:sz w:val="24"/>
          <w:szCs w:val="24"/>
          <w:lang w:eastAsia="en-AU"/>
        </w:rPr>
        <w:t xml:space="preserve">generally </w:t>
      </w:r>
      <w:r w:rsidR="00B74ECF">
        <w:rPr>
          <w:rFonts w:ascii="Times New Roman" w:eastAsia="Times New Roman" w:hAnsi="Times New Roman" w:cs="Times New Roman"/>
          <w:bCs/>
          <w:sz w:val="24"/>
          <w:szCs w:val="24"/>
          <w:lang w:eastAsia="en-AU"/>
        </w:rPr>
        <w:t xml:space="preserve">use the maximum quantity for brands of a pharmaceutical </w:t>
      </w:r>
      <w:r w:rsidR="001E4290">
        <w:rPr>
          <w:rFonts w:ascii="Times New Roman" w:eastAsia="Times New Roman" w:hAnsi="Times New Roman" w:cs="Times New Roman"/>
          <w:bCs/>
          <w:sz w:val="24"/>
          <w:szCs w:val="24"/>
          <w:lang w:eastAsia="en-AU"/>
        </w:rPr>
        <w:t xml:space="preserve">item </w:t>
      </w:r>
      <w:r w:rsidR="00367A25" w:rsidRPr="00367A25">
        <w:rPr>
          <w:rFonts w:ascii="Times New Roman" w:eastAsia="Times New Roman" w:hAnsi="Times New Roman" w:cs="Times New Roman"/>
          <w:bCs/>
          <w:sz w:val="24"/>
          <w:szCs w:val="24"/>
          <w:lang w:eastAsia="en-AU"/>
        </w:rPr>
        <w:t xml:space="preserve">as the basis for </w:t>
      </w:r>
      <w:r w:rsidR="00D6312F">
        <w:rPr>
          <w:rFonts w:ascii="Times New Roman" w:eastAsia="Times New Roman" w:hAnsi="Times New Roman" w:cs="Times New Roman"/>
          <w:bCs/>
          <w:sz w:val="24"/>
          <w:szCs w:val="24"/>
          <w:lang w:eastAsia="en-AU"/>
        </w:rPr>
        <w:t xml:space="preserve">calculating </w:t>
      </w:r>
      <w:r w:rsidR="004B09B9">
        <w:rPr>
          <w:rFonts w:ascii="Times New Roman" w:eastAsia="Times New Roman" w:hAnsi="Times New Roman" w:cs="Times New Roman"/>
          <w:bCs/>
          <w:sz w:val="24"/>
          <w:szCs w:val="24"/>
          <w:lang w:eastAsia="en-AU"/>
        </w:rPr>
        <w:t xml:space="preserve">certain </w:t>
      </w:r>
      <w:r w:rsidR="00367A25" w:rsidRPr="00367A25">
        <w:rPr>
          <w:rFonts w:ascii="Times New Roman" w:eastAsia="Times New Roman" w:hAnsi="Times New Roman" w:cs="Times New Roman"/>
          <w:bCs/>
          <w:sz w:val="24"/>
          <w:szCs w:val="24"/>
          <w:lang w:eastAsia="en-AU"/>
        </w:rPr>
        <w:t>mark-ups used in calculating Commonwealth payments for the supply of pharmaceutical benefits</w:t>
      </w:r>
      <w:r w:rsidR="004B09B9">
        <w:rPr>
          <w:rFonts w:ascii="Times New Roman" w:eastAsia="Times New Roman" w:hAnsi="Times New Roman" w:cs="Times New Roman"/>
          <w:bCs/>
          <w:sz w:val="24"/>
          <w:szCs w:val="24"/>
          <w:lang w:eastAsia="en-AU"/>
        </w:rPr>
        <w:t xml:space="preserve">, but provide for the determined quantity to be used </w:t>
      </w:r>
      <w:r w:rsidR="00065FD7">
        <w:rPr>
          <w:rFonts w:ascii="Times New Roman" w:eastAsia="Times New Roman" w:hAnsi="Times New Roman" w:cs="Times New Roman"/>
          <w:bCs/>
          <w:sz w:val="24"/>
          <w:szCs w:val="24"/>
          <w:lang w:eastAsia="en-AU"/>
        </w:rPr>
        <w:t xml:space="preserve">where </w:t>
      </w:r>
      <w:r w:rsidR="00871B96">
        <w:rPr>
          <w:rFonts w:ascii="Times New Roman" w:eastAsia="Times New Roman" w:hAnsi="Times New Roman" w:cs="Times New Roman"/>
          <w:bCs/>
          <w:sz w:val="24"/>
          <w:szCs w:val="24"/>
          <w:lang w:eastAsia="en-AU"/>
        </w:rPr>
        <w:t>no maximum quantity applies.</w:t>
      </w:r>
    </w:p>
    <w:p w14:paraId="0EA6B07C" w14:textId="77777777" w:rsidR="00D01AB7" w:rsidRDefault="00D01AB7" w:rsidP="00167955">
      <w:pPr>
        <w:spacing w:after="0" w:line="240" w:lineRule="auto"/>
        <w:rPr>
          <w:rFonts w:ascii="Times New Roman" w:eastAsia="Times New Roman" w:hAnsi="Times New Roman" w:cs="Times New Roman"/>
          <w:bCs/>
          <w:sz w:val="24"/>
          <w:szCs w:val="24"/>
          <w:lang w:eastAsia="en-AU"/>
        </w:rPr>
      </w:pPr>
    </w:p>
    <w:p w14:paraId="7D40045B" w14:textId="544F3782" w:rsidR="00D01AB7" w:rsidRPr="00576558" w:rsidRDefault="00D01AB7"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21 </w:t>
      </w:r>
      <w:r w:rsidRPr="00CC18E5">
        <w:rPr>
          <w:rFonts w:ascii="Times New Roman" w:eastAsia="Times New Roman" w:hAnsi="Times New Roman" w:cs="Times New Roman"/>
          <w:bCs/>
          <w:sz w:val="24"/>
          <w:szCs w:val="24"/>
          <w:lang w:eastAsia="en-AU"/>
        </w:rPr>
        <w:t xml:space="preserve">corresponds to section </w:t>
      </w:r>
      <w:r>
        <w:rPr>
          <w:rFonts w:ascii="Times New Roman" w:eastAsia="Times New Roman" w:hAnsi="Times New Roman" w:cs="Times New Roman"/>
          <w:bCs/>
          <w:sz w:val="24"/>
          <w:szCs w:val="24"/>
          <w:lang w:eastAsia="en-AU"/>
        </w:rPr>
        <w:t>23</w:t>
      </w:r>
      <w:r w:rsidRPr="00CC18E5">
        <w:rPr>
          <w:rFonts w:ascii="Times New Roman" w:eastAsia="Times New Roman" w:hAnsi="Times New Roman" w:cs="Times New Roman"/>
          <w:bCs/>
          <w:sz w:val="24"/>
          <w:szCs w:val="24"/>
          <w:lang w:eastAsia="en-AU"/>
        </w:rPr>
        <w:t xml:space="preserve"> of the 2012 Listing Instrument.</w:t>
      </w:r>
    </w:p>
    <w:p w14:paraId="42039DD2" w14:textId="77777777" w:rsidR="004F61E2" w:rsidRPr="00576558" w:rsidRDefault="004F61E2" w:rsidP="00167955">
      <w:pPr>
        <w:spacing w:after="0" w:line="240" w:lineRule="auto"/>
        <w:rPr>
          <w:rFonts w:ascii="Times New Roman" w:eastAsia="Times New Roman" w:hAnsi="Times New Roman" w:cs="Times New Roman"/>
          <w:b/>
          <w:sz w:val="24"/>
          <w:szCs w:val="24"/>
          <w:lang w:eastAsia="en-AU"/>
        </w:rPr>
      </w:pPr>
    </w:p>
    <w:p w14:paraId="67B04572" w14:textId="55060DAD" w:rsidR="00C457AD" w:rsidRPr="00576558" w:rsidRDefault="00C457AD" w:rsidP="00167955">
      <w:pPr>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t>Part 5—Supply of pharmaceutical benefits</w:t>
      </w:r>
    </w:p>
    <w:p w14:paraId="2955CDF1" w14:textId="77777777" w:rsidR="00C457AD" w:rsidRPr="00576558" w:rsidRDefault="00C457AD" w:rsidP="00167955">
      <w:pPr>
        <w:spacing w:after="0" w:line="240" w:lineRule="auto"/>
        <w:rPr>
          <w:rFonts w:ascii="Times New Roman" w:eastAsia="Times New Roman" w:hAnsi="Times New Roman" w:cs="Times New Roman"/>
          <w:b/>
          <w:sz w:val="24"/>
          <w:szCs w:val="24"/>
          <w:lang w:eastAsia="en-AU"/>
        </w:rPr>
      </w:pPr>
    </w:p>
    <w:p w14:paraId="42C6B24A" w14:textId="140F3B32" w:rsidR="002A1C36" w:rsidRPr="00576558" w:rsidRDefault="002A1C36" w:rsidP="00167955">
      <w:pPr>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t>Section</w:t>
      </w:r>
      <w:r w:rsidR="00F63EDE" w:rsidRPr="00576558">
        <w:rPr>
          <w:rFonts w:ascii="Times New Roman" w:eastAsia="Times New Roman" w:hAnsi="Times New Roman" w:cs="Times New Roman"/>
          <w:b/>
          <w:sz w:val="24"/>
          <w:szCs w:val="24"/>
          <w:lang w:eastAsia="en-AU"/>
        </w:rPr>
        <w:t xml:space="preserve"> 22</w:t>
      </w:r>
      <w:r w:rsidRPr="00576558">
        <w:rPr>
          <w:rFonts w:ascii="Times New Roman" w:eastAsia="Times New Roman" w:hAnsi="Times New Roman" w:cs="Times New Roman"/>
          <w:b/>
          <w:sz w:val="24"/>
          <w:szCs w:val="24"/>
          <w:lang w:eastAsia="en-AU"/>
        </w:rPr>
        <w:t xml:space="preserve"> - Listed drugs and pharmaceutical benefits that can only be supplied under the prescriber bag provisions (Act s</w:t>
      </w:r>
      <w:r w:rsidR="008A4CEE" w:rsidRPr="00576558">
        <w:rPr>
          <w:rFonts w:ascii="Times New Roman" w:eastAsia="Times New Roman" w:hAnsi="Times New Roman" w:cs="Times New Roman"/>
          <w:b/>
          <w:sz w:val="24"/>
          <w:szCs w:val="24"/>
          <w:lang w:eastAsia="en-AU"/>
        </w:rPr>
        <w:t xml:space="preserve"> </w:t>
      </w:r>
      <w:r w:rsidRPr="00576558">
        <w:rPr>
          <w:rFonts w:ascii="Times New Roman" w:eastAsia="Times New Roman" w:hAnsi="Times New Roman" w:cs="Times New Roman"/>
          <w:b/>
          <w:sz w:val="24"/>
          <w:szCs w:val="24"/>
          <w:lang w:eastAsia="en-AU"/>
        </w:rPr>
        <w:t>85(2AA) and (7A))</w:t>
      </w:r>
    </w:p>
    <w:p w14:paraId="51D3C826" w14:textId="77777777" w:rsidR="00D00754" w:rsidRPr="00576558" w:rsidRDefault="00D00754" w:rsidP="00167955">
      <w:pPr>
        <w:spacing w:after="0" w:line="240" w:lineRule="auto"/>
        <w:rPr>
          <w:rFonts w:ascii="Times New Roman" w:eastAsia="Times New Roman" w:hAnsi="Times New Roman" w:cs="Times New Roman"/>
          <w:b/>
          <w:sz w:val="24"/>
          <w:szCs w:val="24"/>
          <w:lang w:eastAsia="en-AU"/>
        </w:rPr>
      </w:pPr>
    </w:p>
    <w:p w14:paraId="3F67D218" w14:textId="7E116B56" w:rsidR="009C73EF" w:rsidRDefault="002E5467"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Sections 93</w:t>
      </w:r>
      <w:r w:rsidR="00983655">
        <w:rPr>
          <w:rFonts w:ascii="Times New Roman" w:eastAsia="Times New Roman" w:hAnsi="Times New Roman" w:cs="Times New Roman"/>
          <w:bCs/>
          <w:sz w:val="24"/>
          <w:szCs w:val="24"/>
          <w:lang w:eastAsia="en-AU"/>
        </w:rPr>
        <w:t>, 93AA</w:t>
      </w:r>
      <w:r>
        <w:rPr>
          <w:rFonts w:ascii="Times New Roman" w:eastAsia="Times New Roman" w:hAnsi="Times New Roman" w:cs="Times New Roman"/>
          <w:bCs/>
          <w:sz w:val="24"/>
          <w:szCs w:val="24"/>
          <w:lang w:eastAsia="en-AU"/>
        </w:rPr>
        <w:t xml:space="preserve"> and 93AB of the Act enable </w:t>
      </w:r>
      <w:r w:rsidR="00DE05BC" w:rsidRPr="00576558">
        <w:rPr>
          <w:rFonts w:ascii="Times New Roman" w:eastAsia="Times New Roman" w:hAnsi="Times New Roman" w:cs="Times New Roman"/>
          <w:bCs/>
          <w:sz w:val="24"/>
          <w:szCs w:val="24"/>
          <w:lang w:eastAsia="en-AU"/>
        </w:rPr>
        <w:t>medical practitioners</w:t>
      </w:r>
      <w:r w:rsidR="00983655">
        <w:rPr>
          <w:rFonts w:ascii="Times New Roman" w:eastAsia="Times New Roman" w:hAnsi="Times New Roman" w:cs="Times New Roman"/>
          <w:bCs/>
          <w:sz w:val="24"/>
          <w:szCs w:val="24"/>
          <w:lang w:eastAsia="en-AU"/>
        </w:rPr>
        <w:t>, authorised midwives</w:t>
      </w:r>
      <w:r w:rsidR="00DE05BC" w:rsidRPr="00576558">
        <w:rPr>
          <w:rFonts w:ascii="Times New Roman" w:eastAsia="Times New Roman" w:hAnsi="Times New Roman" w:cs="Times New Roman"/>
          <w:bCs/>
          <w:sz w:val="24"/>
          <w:szCs w:val="24"/>
          <w:lang w:eastAsia="en-AU"/>
        </w:rPr>
        <w:t xml:space="preserve"> and authorised nurse practitioners</w:t>
      </w:r>
      <w:r>
        <w:rPr>
          <w:rFonts w:ascii="Times New Roman" w:eastAsia="Times New Roman" w:hAnsi="Times New Roman" w:cs="Times New Roman"/>
          <w:bCs/>
          <w:sz w:val="24"/>
          <w:szCs w:val="24"/>
          <w:lang w:eastAsia="en-AU"/>
        </w:rPr>
        <w:t xml:space="preserve"> to </w:t>
      </w:r>
      <w:r w:rsidR="00DE05BC" w:rsidRPr="00576558">
        <w:rPr>
          <w:rFonts w:ascii="Times New Roman" w:eastAsia="Times New Roman" w:hAnsi="Times New Roman" w:cs="Times New Roman"/>
          <w:bCs/>
          <w:sz w:val="24"/>
          <w:szCs w:val="24"/>
          <w:lang w:eastAsia="en-AU"/>
        </w:rPr>
        <w:t xml:space="preserve">supply </w:t>
      </w:r>
      <w:r w:rsidR="00770AA5">
        <w:rPr>
          <w:rFonts w:ascii="Times New Roman" w:eastAsia="Times New Roman" w:hAnsi="Times New Roman" w:cs="Times New Roman"/>
          <w:bCs/>
          <w:sz w:val="24"/>
          <w:szCs w:val="24"/>
          <w:lang w:eastAsia="en-AU"/>
        </w:rPr>
        <w:t xml:space="preserve">certain </w:t>
      </w:r>
      <w:r w:rsidR="00F73B12" w:rsidRPr="00576558">
        <w:rPr>
          <w:rFonts w:ascii="Times New Roman" w:eastAsia="Times New Roman" w:hAnsi="Times New Roman" w:cs="Times New Roman"/>
          <w:bCs/>
          <w:sz w:val="24"/>
          <w:szCs w:val="24"/>
          <w:lang w:eastAsia="en-AU"/>
        </w:rPr>
        <w:t>pharmaceutical benefits</w:t>
      </w:r>
      <w:r w:rsidR="00DE05BC" w:rsidRPr="00576558">
        <w:rPr>
          <w:rFonts w:ascii="Times New Roman" w:eastAsia="Times New Roman" w:hAnsi="Times New Roman" w:cs="Times New Roman"/>
          <w:bCs/>
          <w:sz w:val="24"/>
          <w:szCs w:val="24"/>
          <w:lang w:eastAsia="en-AU"/>
        </w:rPr>
        <w:t xml:space="preserve"> to patients</w:t>
      </w:r>
      <w:r w:rsidR="00861D2B">
        <w:rPr>
          <w:rFonts w:ascii="Times New Roman" w:eastAsia="Times New Roman" w:hAnsi="Times New Roman" w:cs="Times New Roman"/>
          <w:bCs/>
          <w:sz w:val="24"/>
          <w:szCs w:val="24"/>
          <w:lang w:eastAsia="en-AU"/>
        </w:rPr>
        <w:t>. No</w:t>
      </w:r>
      <w:r w:rsidR="00930300">
        <w:rPr>
          <w:rFonts w:ascii="Times New Roman" w:eastAsia="Times New Roman" w:hAnsi="Times New Roman" w:cs="Times New Roman"/>
          <w:bCs/>
          <w:sz w:val="24"/>
          <w:szCs w:val="24"/>
          <w:lang w:eastAsia="en-AU"/>
        </w:rPr>
        <w:t xml:space="preserve"> prescription</w:t>
      </w:r>
      <w:r w:rsidR="00861D2B">
        <w:rPr>
          <w:rFonts w:ascii="Times New Roman" w:eastAsia="Times New Roman" w:hAnsi="Times New Roman" w:cs="Times New Roman"/>
          <w:bCs/>
          <w:sz w:val="24"/>
          <w:szCs w:val="24"/>
          <w:lang w:eastAsia="en-AU"/>
        </w:rPr>
        <w:t xml:space="preserve"> is required for supplies made under section</w:t>
      </w:r>
      <w:r w:rsidR="00983655">
        <w:rPr>
          <w:rFonts w:ascii="Times New Roman" w:eastAsia="Times New Roman" w:hAnsi="Times New Roman" w:cs="Times New Roman"/>
          <w:bCs/>
          <w:sz w:val="24"/>
          <w:szCs w:val="24"/>
          <w:lang w:eastAsia="en-AU"/>
        </w:rPr>
        <w:t>s</w:t>
      </w:r>
      <w:r w:rsidR="00861D2B">
        <w:rPr>
          <w:rFonts w:ascii="Times New Roman" w:eastAsia="Times New Roman" w:hAnsi="Times New Roman" w:cs="Times New Roman"/>
          <w:bCs/>
          <w:sz w:val="24"/>
          <w:szCs w:val="24"/>
          <w:lang w:eastAsia="en-AU"/>
        </w:rPr>
        <w:t xml:space="preserve"> 93</w:t>
      </w:r>
      <w:r w:rsidR="00983655">
        <w:rPr>
          <w:rFonts w:ascii="Times New Roman" w:eastAsia="Times New Roman" w:hAnsi="Times New Roman" w:cs="Times New Roman"/>
          <w:bCs/>
          <w:sz w:val="24"/>
          <w:szCs w:val="24"/>
          <w:lang w:eastAsia="en-AU"/>
        </w:rPr>
        <w:t>, 93AA</w:t>
      </w:r>
      <w:r w:rsidR="00861D2B">
        <w:rPr>
          <w:rFonts w:ascii="Times New Roman" w:eastAsia="Times New Roman" w:hAnsi="Times New Roman" w:cs="Times New Roman"/>
          <w:bCs/>
          <w:sz w:val="24"/>
          <w:szCs w:val="24"/>
          <w:lang w:eastAsia="en-AU"/>
        </w:rPr>
        <w:t xml:space="preserve"> or 93AB</w:t>
      </w:r>
      <w:r w:rsidR="00930300">
        <w:rPr>
          <w:rFonts w:ascii="Times New Roman" w:eastAsia="Times New Roman" w:hAnsi="Times New Roman" w:cs="Times New Roman"/>
          <w:bCs/>
          <w:sz w:val="24"/>
          <w:szCs w:val="24"/>
          <w:lang w:eastAsia="en-AU"/>
        </w:rPr>
        <w:t xml:space="preserve">. </w:t>
      </w:r>
      <w:r w:rsidR="00DE05BC" w:rsidRPr="00576558">
        <w:rPr>
          <w:rFonts w:ascii="Times New Roman" w:eastAsia="Times New Roman" w:hAnsi="Times New Roman" w:cs="Times New Roman"/>
          <w:bCs/>
          <w:sz w:val="24"/>
          <w:szCs w:val="24"/>
          <w:lang w:eastAsia="en-AU"/>
        </w:rPr>
        <w:t xml:space="preserve">Supplies of pharmaceutical benefits under these arrangements are known as </w:t>
      </w:r>
      <w:r w:rsidR="001F766C" w:rsidRPr="00576558">
        <w:rPr>
          <w:rFonts w:ascii="Times New Roman" w:eastAsia="Times New Roman" w:hAnsi="Times New Roman" w:cs="Times New Roman"/>
          <w:bCs/>
          <w:sz w:val="24"/>
          <w:szCs w:val="24"/>
          <w:lang w:eastAsia="en-AU"/>
        </w:rPr>
        <w:t>“</w:t>
      </w:r>
      <w:r w:rsidR="00DE05BC" w:rsidRPr="00576558">
        <w:rPr>
          <w:rFonts w:ascii="Times New Roman" w:eastAsia="Times New Roman" w:hAnsi="Times New Roman" w:cs="Times New Roman"/>
          <w:bCs/>
          <w:sz w:val="24"/>
          <w:szCs w:val="24"/>
          <w:lang w:eastAsia="en-AU"/>
        </w:rPr>
        <w:t>prescriber bag</w:t>
      </w:r>
      <w:r w:rsidR="001F766C" w:rsidRPr="00576558">
        <w:rPr>
          <w:rFonts w:ascii="Times New Roman" w:eastAsia="Times New Roman" w:hAnsi="Times New Roman" w:cs="Times New Roman"/>
          <w:bCs/>
          <w:sz w:val="24"/>
          <w:szCs w:val="24"/>
          <w:lang w:eastAsia="en-AU"/>
        </w:rPr>
        <w:t>”</w:t>
      </w:r>
      <w:r w:rsidR="00DE05BC" w:rsidRPr="00576558">
        <w:rPr>
          <w:rFonts w:ascii="Times New Roman" w:eastAsia="Times New Roman" w:hAnsi="Times New Roman" w:cs="Times New Roman"/>
          <w:bCs/>
          <w:sz w:val="24"/>
          <w:szCs w:val="24"/>
          <w:lang w:eastAsia="en-AU"/>
        </w:rPr>
        <w:t xml:space="preserve"> supplies</w:t>
      </w:r>
      <w:r w:rsidR="00861D2B">
        <w:rPr>
          <w:rFonts w:ascii="Times New Roman" w:eastAsia="Times New Roman" w:hAnsi="Times New Roman" w:cs="Times New Roman"/>
          <w:bCs/>
          <w:sz w:val="24"/>
          <w:szCs w:val="24"/>
          <w:lang w:eastAsia="en-AU"/>
        </w:rPr>
        <w:t xml:space="preserve"> and </w:t>
      </w:r>
      <w:r w:rsidR="00A248B1">
        <w:rPr>
          <w:rFonts w:ascii="Times New Roman" w:eastAsia="Times New Roman" w:hAnsi="Times New Roman" w:cs="Times New Roman"/>
          <w:bCs/>
          <w:sz w:val="24"/>
          <w:szCs w:val="24"/>
          <w:lang w:eastAsia="en-AU"/>
        </w:rPr>
        <w:t xml:space="preserve">enable relevant practitioners to quickly supply appropriate medicines to patients </w:t>
      </w:r>
      <w:r w:rsidR="00A523C7">
        <w:rPr>
          <w:rFonts w:ascii="Times New Roman" w:eastAsia="Times New Roman" w:hAnsi="Times New Roman" w:cs="Times New Roman"/>
          <w:bCs/>
          <w:sz w:val="24"/>
          <w:szCs w:val="24"/>
          <w:lang w:eastAsia="en-AU"/>
        </w:rPr>
        <w:t>for emergency use</w:t>
      </w:r>
      <w:r w:rsidR="00DE05BC" w:rsidRPr="00576558">
        <w:rPr>
          <w:rFonts w:ascii="Times New Roman" w:eastAsia="Times New Roman" w:hAnsi="Times New Roman" w:cs="Times New Roman"/>
          <w:bCs/>
          <w:sz w:val="24"/>
          <w:szCs w:val="24"/>
          <w:lang w:eastAsia="en-AU"/>
        </w:rPr>
        <w:t xml:space="preserve">. </w:t>
      </w:r>
      <w:r w:rsidR="00983655">
        <w:rPr>
          <w:rFonts w:ascii="Times New Roman" w:eastAsia="Times New Roman" w:hAnsi="Times New Roman" w:cs="Times New Roman"/>
          <w:bCs/>
          <w:sz w:val="24"/>
          <w:szCs w:val="24"/>
          <w:lang w:eastAsia="en-AU"/>
        </w:rPr>
        <w:t>Only medical practitioners and authorised nurse practitioners are currently able to make prescriber bag supplies.</w:t>
      </w:r>
    </w:p>
    <w:p w14:paraId="75CE0B74" w14:textId="77777777" w:rsidR="00FA5831" w:rsidRDefault="00FA5831" w:rsidP="00167955">
      <w:pPr>
        <w:spacing w:after="0" w:line="240" w:lineRule="auto"/>
        <w:rPr>
          <w:rFonts w:ascii="Times New Roman" w:eastAsia="Times New Roman" w:hAnsi="Times New Roman" w:cs="Times New Roman"/>
          <w:bCs/>
          <w:sz w:val="24"/>
          <w:szCs w:val="24"/>
          <w:lang w:eastAsia="en-AU"/>
        </w:rPr>
      </w:pPr>
    </w:p>
    <w:p w14:paraId="27C2E57A" w14:textId="5D3DE669" w:rsidR="00FA5831" w:rsidRPr="00A22E0C" w:rsidRDefault="00FA5831" w:rsidP="00167955">
      <w:pPr>
        <w:spacing w:after="0" w:line="240" w:lineRule="auto"/>
        <w:rPr>
          <w:rFonts w:ascii="Times New Roman" w:eastAsia="Times New Roman" w:hAnsi="Times New Roman" w:cs="Times New Roman"/>
          <w:bCs/>
          <w:sz w:val="24"/>
          <w:szCs w:val="24"/>
          <w:u w:val="single"/>
          <w:lang w:eastAsia="en-AU"/>
        </w:rPr>
      </w:pPr>
      <w:r w:rsidRPr="00A22E0C">
        <w:rPr>
          <w:rFonts w:ascii="Times New Roman" w:eastAsia="Times New Roman" w:hAnsi="Times New Roman" w:cs="Times New Roman"/>
          <w:bCs/>
          <w:sz w:val="24"/>
          <w:szCs w:val="24"/>
          <w:u w:val="single"/>
          <w:lang w:eastAsia="en-AU"/>
        </w:rPr>
        <w:t>Drugs that can only be supplied under prescriber bag provisions</w:t>
      </w:r>
    </w:p>
    <w:p w14:paraId="7E1405ED" w14:textId="77777777" w:rsidR="009C73EF" w:rsidRPr="00576558" w:rsidRDefault="009C73EF" w:rsidP="00167955">
      <w:pPr>
        <w:spacing w:after="0" w:line="240" w:lineRule="auto"/>
        <w:rPr>
          <w:rFonts w:ascii="Times New Roman" w:eastAsia="Times New Roman" w:hAnsi="Times New Roman" w:cs="Times New Roman"/>
          <w:bCs/>
          <w:sz w:val="24"/>
          <w:szCs w:val="24"/>
          <w:lang w:eastAsia="en-AU"/>
        </w:rPr>
      </w:pPr>
    </w:p>
    <w:p w14:paraId="56180720" w14:textId="77568792" w:rsidR="00BC493A" w:rsidRPr="00576558" w:rsidRDefault="00AA2520"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Subsection</w:t>
      </w:r>
      <w:r w:rsidR="009A7751" w:rsidRPr="00576558">
        <w:rPr>
          <w:rFonts w:ascii="Times New Roman" w:eastAsia="Times New Roman" w:hAnsi="Times New Roman" w:cs="Times New Roman"/>
          <w:bCs/>
          <w:sz w:val="24"/>
          <w:szCs w:val="24"/>
          <w:lang w:eastAsia="en-AU"/>
        </w:rPr>
        <w:t xml:space="preserve"> 85(2AA) </w:t>
      </w:r>
      <w:r w:rsidR="003C143F" w:rsidRPr="00576558">
        <w:rPr>
          <w:rFonts w:ascii="Times New Roman" w:eastAsia="Times New Roman" w:hAnsi="Times New Roman" w:cs="Times New Roman"/>
          <w:bCs/>
          <w:sz w:val="24"/>
          <w:szCs w:val="24"/>
          <w:lang w:eastAsia="en-AU"/>
        </w:rPr>
        <w:t xml:space="preserve">of the Act provides that </w:t>
      </w:r>
      <w:r w:rsidR="0036215D" w:rsidRPr="00576558">
        <w:rPr>
          <w:rFonts w:ascii="Times New Roman" w:eastAsia="Times New Roman" w:hAnsi="Times New Roman" w:cs="Times New Roman"/>
          <w:bCs/>
          <w:sz w:val="24"/>
          <w:szCs w:val="24"/>
          <w:lang w:eastAsia="en-AU"/>
        </w:rPr>
        <w:t>if the Pharmaceutical Benefits Advisory Committee (PBAC) has recommend</w:t>
      </w:r>
      <w:r w:rsidR="0036215D">
        <w:rPr>
          <w:rFonts w:ascii="Times New Roman" w:eastAsia="Times New Roman" w:hAnsi="Times New Roman" w:cs="Times New Roman"/>
          <w:bCs/>
          <w:sz w:val="24"/>
          <w:szCs w:val="24"/>
          <w:lang w:eastAsia="en-AU"/>
        </w:rPr>
        <w:t xml:space="preserve">ed that a </w:t>
      </w:r>
      <w:r w:rsidR="007B7A56">
        <w:rPr>
          <w:rFonts w:ascii="Times New Roman" w:eastAsia="Times New Roman" w:hAnsi="Times New Roman" w:cs="Times New Roman"/>
          <w:bCs/>
          <w:sz w:val="24"/>
          <w:szCs w:val="24"/>
          <w:lang w:eastAsia="en-AU"/>
        </w:rPr>
        <w:t>listed drug should only be able to be supplied under one or more of the prescriber bag provisions,</w:t>
      </w:r>
      <w:r w:rsidR="00D2308E">
        <w:rPr>
          <w:rFonts w:ascii="Times New Roman" w:eastAsia="Times New Roman" w:hAnsi="Times New Roman" w:cs="Times New Roman"/>
          <w:bCs/>
          <w:sz w:val="24"/>
          <w:szCs w:val="24"/>
          <w:lang w:eastAsia="en-AU"/>
        </w:rPr>
        <w:t xml:space="preserve"> </w:t>
      </w:r>
      <w:r w:rsidR="003C143F" w:rsidRPr="00576558">
        <w:rPr>
          <w:rFonts w:ascii="Times New Roman" w:eastAsia="Times New Roman" w:hAnsi="Times New Roman" w:cs="Times New Roman"/>
          <w:bCs/>
          <w:sz w:val="24"/>
          <w:szCs w:val="24"/>
          <w:lang w:eastAsia="en-AU"/>
        </w:rPr>
        <w:t xml:space="preserve">the Minister must </w:t>
      </w:r>
      <w:r w:rsidR="00D2308E">
        <w:rPr>
          <w:rFonts w:ascii="Times New Roman" w:eastAsia="Times New Roman" w:hAnsi="Times New Roman" w:cs="Times New Roman"/>
          <w:bCs/>
          <w:sz w:val="24"/>
          <w:szCs w:val="24"/>
          <w:lang w:eastAsia="en-AU"/>
        </w:rPr>
        <w:t>make a declaration to that effect.</w:t>
      </w:r>
    </w:p>
    <w:p w14:paraId="16C1F61E" w14:textId="77777777" w:rsidR="00892632" w:rsidRPr="00576558" w:rsidRDefault="00892632" w:rsidP="00167955">
      <w:pPr>
        <w:spacing w:after="0" w:line="240" w:lineRule="auto"/>
        <w:rPr>
          <w:rFonts w:ascii="Times New Roman" w:eastAsia="Times New Roman" w:hAnsi="Times New Roman" w:cs="Times New Roman"/>
          <w:bCs/>
          <w:sz w:val="24"/>
          <w:szCs w:val="24"/>
          <w:lang w:eastAsia="en-AU"/>
        </w:rPr>
      </w:pPr>
    </w:p>
    <w:p w14:paraId="05B6D9BB" w14:textId="77F30038" w:rsidR="00BB12F1" w:rsidRPr="00576558" w:rsidRDefault="00D00754"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S</w:t>
      </w:r>
      <w:r w:rsidR="007B0AED" w:rsidRPr="00576558">
        <w:rPr>
          <w:rFonts w:ascii="Times New Roman" w:eastAsia="Times New Roman" w:hAnsi="Times New Roman" w:cs="Times New Roman"/>
          <w:bCs/>
          <w:sz w:val="24"/>
          <w:szCs w:val="24"/>
          <w:lang w:eastAsia="en-AU"/>
        </w:rPr>
        <w:t>ubs</w:t>
      </w:r>
      <w:r w:rsidRPr="00576558">
        <w:rPr>
          <w:rFonts w:ascii="Times New Roman" w:eastAsia="Times New Roman" w:hAnsi="Times New Roman" w:cs="Times New Roman"/>
          <w:bCs/>
          <w:sz w:val="24"/>
          <w:szCs w:val="24"/>
          <w:lang w:eastAsia="en-AU"/>
        </w:rPr>
        <w:t xml:space="preserve">ection </w:t>
      </w:r>
      <w:r w:rsidR="00F63EDE" w:rsidRPr="00576558">
        <w:rPr>
          <w:rFonts w:ascii="Times New Roman" w:eastAsia="Times New Roman" w:hAnsi="Times New Roman" w:cs="Times New Roman"/>
          <w:bCs/>
          <w:sz w:val="24"/>
          <w:szCs w:val="24"/>
          <w:lang w:eastAsia="en-AU"/>
        </w:rPr>
        <w:t>22</w:t>
      </w:r>
      <w:r w:rsidR="007B0AED" w:rsidRPr="00576558">
        <w:rPr>
          <w:rFonts w:ascii="Times New Roman" w:eastAsia="Times New Roman" w:hAnsi="Times New Roman" w:cs="Times New Roman"/>
          <w:bCs/>
          <w:sz w:val="24"/>
          <w:szCs w:val="24"/>
          <w:lang w:eastAsia="en-AU"/>
        </w:rPr>
        <w:t>(1)</w:t>
      </w:r>
      <w:r w:rsidRPr="00576558">
        <w:rPr>
          <w:rFonts w:ascii="Times New Roman" w:eastAsia="Times New Roman" w:hAnsi="Times New Roman" w:cs="Times New Roman"/>
          <w:bCs/>
          <w:sz w:val="24"/>
          <w:szCs w:val="24"/>
          <w:lang w:eastAsia="en-AU"/>
        </w:rPr>
        <w:t xml:space="preserve"> </w:t>
      </w:r>
      <w:r w:rsidR="00064548" w:rsidRPr="00576558">
        <w:rPr>
          <w:rFonts w:ascii="Times New Roman" w:eastAsia="Times New Roman" w:hAnsi="Times New Roman" w:cs="Times New Roman"/>
          <w:bCs/>
          <w:sz w:val="24"/>
          <w:szCs w:val="24"/>
          <w:lang w:eastAsia="en-AU"/>
        </w:rPr>
        <w:t>of th</w:t>
      </w:r>
      <w:r w:rsidR="005F64DD">
        <w:rPr>
          <w:rFonts w:ascii="Times New Roman" w:eastAsia="Times New Roman" w:hAnsi="Times New Roman" w:cs="Times New Roman"/>
          <w:bCs/>
          <w:sz w:val="24"/>
          <w:szCs w:val="24"/>
          <w:lang w:eastAsia="en-AU"/>
        </w:rPr>
        <w:t>e 2024 Listing I</w:t>
      </w:r>
      <w:r w:rsidR="00064548" w:rsidRPr="00576558">
        <w:rPr>
          <w:rFonts w:ascii="Times New Roman" w:eastAsia="Times New Roman" w:hAnsi="Times New Roman" w:cs="Times New Roman"/>
          <w:bCs/>
          <w:sz w:val="24"/>
          <w:szCs w:val="24"/>
          <w:lang w:eastAsia="en-AU"/>
        </w:rPr>
        <w:t xml:space="preserve">nstrument </w:t>
      </w:r>
      <w:r w:rsidR="004E3188">
        <w:rPr>
          <w:rFonts w:ascii="Times New Roman" w:eastAsia="Times New Roman" w:hAnsi="Times New Roman" w:cs="Times New Roman"/>
          <w:bCs/>
          <w:sz w:val="24"/>
          <w:szCs w:val="24"/>
          <w:lang w:eastAsia="en-AU"/>
        </w:rPr>
        <w:t xml:space="preserve">has effect </w:t>
      </w:r>
      <w:r w:rsidR="00741DD0" w:rsidRPr="00576558">
        <w:rPr>
          <w:rFonts w:ascii="Times New Roman" w:eastAsia="Times New Roman" w:hAnsi="Times New Roman" w:cs="Times New Roman"/>
          <w:bCs/>
          <w:sz w:val="24"/>
          <w:szCs w:val="24"/>
          <w:lang w:eastAsia="en-AU"/>
        </w:rPr>
        <w:t xml:space="preserve">that </w:t>
      </w:r>
      <w:r w:rsidR="00C15F78">
        <w:rPr>
          <w:rFonts w:ascii="Times New Roman" w:eastAsia="Times New Roman" w:hAnsi="Times New Roman" w:cs="Times New Roman"/>
          <w:bCs/>
          <w:sz w:val="24"/>
          <w:szCs w:val="24"/>
          <w:lang w:eastAsia="en-AU"/>
        </w:rPr>
        <w:t>where one o</w:t>
      </w:r>
      <w:r w:rsidR="007912D9">
        <w:rPr>
          <w:rFonts w:ascii="Times New Roman" w:eastAsia="Times New Roman" w:hAnsi="Times New Roman" w:cs="Times New Roman"/>
          <w:bCs/>
          <w:sz w:val="24"/>
          <w:szCs w:val="24"/>
          <w:lang w:eastAsia="en-AU"/>
        </w:rPr>
        <w:t>r</w:t>
      </w:r>
      <w:r w:rsidR="00C15F78">
        <w:rPr>
          <w:rFonts w:ascii="Times New Roman" w:eastAsia="Times New Roman" w:hAnsi="Times New Roman" w:cs="Times New Roman"/>
          <w:bCs/>
          <w:sz w:val="24"/>
          <w:szCs w:val="24"/>
          <w:lang w:eastAsia="en-AU"/>
        </w:rPr>
        <w:t xml:space="preserve"> more of the codes “D(MP)”, </w:t>
      </w:r>
      <w:r w:rsidR="001E4290">
        <w:rPr>
          <w:rFonts w:ascii="Times New Roman" w:eastAsia="Times New Roman" w:hAnsi="Times New Roman" w:cs="Times New Roman"/>
          <w:bCs/>
          <w:sz w:val="24"/>
          <w:szCs w:val="24"/>
          <w:lang w:eastAsia="en-AU"/>
        </w:rPr>
        <w:t>“</w:t>
      </w:r>
      <w:r w:rsidR="00C15F78">
        <w:rPr>
          <w:rFonts w:ascii="Times New Roman" w:eastAsia="Times New Roman" w:hAnsi="Times New Roman" w:cs="Times New Roman"/>
          <w:bCs/>
          <w:sz w:val="24"/>
          <w:szCs w:val="24"/>
          <w:lang w:eastAsia="en-AU"/>
        </w:rPr>
        <w:t>D</w:t>
      </w:r>
      <w:r w:rsidR="0056578F">
        <w:rPr>
          <w:rFonts w:ascii="Times New Roman" w:eastAsia="Times New Roman" w:hAnsi="Times New Roman" w:cs="Times New Roman"/>
          <w:bCs/>
          <w:sz w:val="24"/>
          <w:szCs w:val="24"/>
          <w:lang w:eastAsia="en-AU"/>
        </w:rPr>
        <w:t xml:space="preserve">(MW)” and “D(NP)” </w:t>
      </w:r>
      <w:r w:rsidR="004E3188">
        <w:rPr>
          <w:rFonts w:ascii="Times New Roman" w:eastAsia="Times New Roman" w:hAnsi="Times New Roman" w:cs="Times New Roman"/>
          <w:bCs/>
          <w:sz w:val="24"/>
          <w:szCs w:val="24"/>
          <w:lang w:eastAsia="en-AU"/>
        </w:rPr>
        <w:t>is mentioned in the</w:t>
      </w:r>
      <w:r w:rsidR="004E3188" w:rsidRPr="004E3188">
        <w:t xml:space="preserve"> </w:t>
      </w:r>
      <w:r w:rsidR="004E3188" w:rsidRPr="004E3188">
        <w:rPr>
          <w:rFonts w:ascii="Times New Roman" w:eastAsia="Times New Roman" w:hAnsi="Times New Roman" w:cs="Times New Roman"/>
          <w:bCs/>
          <w:sz w:val="24"/>
          <w:szCs w:val="24"/>
          <w:lang w:eastAsia="en-AU"/>
        </w:rPr>
        <w:t xml:space="preserve">column of a table in Schedule 1 headed “Section 100/Prescriber Bag only” </w:t>
      </w:r>
      <w:r w:rsidR="000F4A71">
        <w:rPr>
          <w:rFonts w:ascii="Times New Roman" w:eastAsia="Times New Roman" w:hAnsi="Times New Roman" w:cs="Times New Roman"/>
          <w:bCs/>
          <w:sz w:val="24"/>
          <w:szCs w:val="24"/>
          <w:lang w:eastAsia="en-AU"/>
        </w:rPr>
        <w:t xml:space="preserve">(the </w:t>
      </w:r>
      <w:r w:rsidR="00C81843">
        <w:rPr>
          <w:rFonts w:ascii="Times New Roman" w:eastAsia="Times New Roman" w:hAnsi="Times New Roman" w:cs="Times New Roman"/>
          <w:bCs/>
          <w:sz w:val="24"/>
          <w:szCs w:val="24"/>
          <w:lang w:eastAsia="en-AU"/>
        </w:rPr>
        <w:t>“s</w:t>
      </w:r>
      <w:r w:rsidR="000F4A71">
        <w:rPr>
          <w:rFonts w:ascii="Times New Roman" w:eastAsia="Times New Roman" w:hAnsi="Times New Roman" w:cs="Times New Roman"/>
          <w:bCs/>
          <w:sz w:val="24"/>
          <w:szCs w:val="24"/>
          <w:lang w:eastAsia="en-AU"/>
        </w:rPr>
        <w:t>ection 100</w:t>
      </w:r>
      <w:r w:rsidR="00C81843">
        <w:rPr>
          <w:rFonts w:ascii="Times New Roman" w:eastAsia="Times New Roman" w:hAnsi="Times New Roman" w:cs="Times New Roman"/>
          <w:bCs/>
          <w:sz w:val="24"/>
          <w:szCs w:val="24"/>
          <w:lang w:eastAsia="en-AU"/>
        </w:rPr>
        <w:t xml:space="preserve">/prescriber bag only column”) </w:t>
      </w:r>
      <w:r w:rsidR="004E3188" w:rsidRPr="004E3188">
        <w:rPr>
          <w:rFonts w:ascii="Times New Roman" w:eastAsia="Times New Roman" w:hAnsi="Times New Roman" w:cs="Times New Roman"/>
          <w:bCs/>
          <w:sz w:val="24"/>
          <w:szCs w:val="24"/>
          <w:lang w:eastAsia="en-AU"/>
        </w:rPr>
        <w:t>in relation to a listed drug</w:t>
      </w:r>
      <w:r w:rsidR="004E3188">
        <w:rPr>
          <w:rFonts w:ascii="Times New Roman" w:eastAsia="Times New Roman" w:hAnsi="Times New Roman" w:cs="Times New Roman"/>
          <w:bCs/>
          <w:sz w:val="24"/>
          <w:szCs w:val="24"/>
          <w:lang w:eastAsia="en-AU"/>
        </w:rPr>
        <w:t xml:space="preserve">, the </w:t>
      </w:r>
      <w:r w:rsidR="00A4124B">
        <w:rPr>
          <w:rFonts w:ascii="Times New Roman" w:eastAsia="Times New Roman" w:hAnsi="Times New Roman" w:cs="Times New Roman"/>
          <w:bCs/>
          <w:sz w:val="24"/>
          <w:szCs w:val="24"/>
          <w:lang w:eastAsia="en-AU"/>
        </w:rPr>
        <w:t xml:space="preserve">drug </w:t>
      </w:r>
      <w:r w:rsidR="00964A47">
        <w:rPr>
          <w:rFonts w:ascii="Times New Roman" w:eastAsia="Times New Roman" w:hAnsi="Times New Roman" w:cs="Times New Roman"/>
          <w:bCs/>
          <w:sz w:val="24"/>
          <w:szCs w:val="24"/>
          <w:lang w:eastAsia="en-AU"/>
        </w:rPr>
        <w:t>can only be provided under the prescriber bag provisions. If</w:t>
      </w:r>
      <w:r w:rsidR="00BB12F1" w:rsidRPr="00576558">
        <w:rPr>
          <w:rFonts w:ascii="Times New Roman" w:eastAsia="Times New Roman" w:hAnsi="Times New Roman" w:cs="Times New Roman"/>
          <w:bCs/>
          <w:sz w:val="24"/>
          <w:szCs w:val="24"/>
          <w:lang w:eastAsia="en-AU"/>
        </w:rPr>
        <w:t>:</w:t>
      </w:r>
    </w:p>
    <w:p w14:paraId="79E1BDEF" w14:textId="4D0F8621" w:rsidR="00BB12F1" w:rsidRPr="00576558" w:rsidRDefault="003B0B77" w:rsidP="00A22E0C">
      <w:pPr>
        <w:pStyle w:val="ListParagraph"/>
        <w:numPr>
          <w:ilvl w:val="0"/>
          <w:numId w:val="6"/>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code “D(MP)”</w:t>
      </w:r>
      <w:r w:rsidR="00C6555C">
        <w:rPr>
          <w:rFonts w:ascii="Times New Roman" w:eastAsia="Times New Roman" w:hAnsi="Times New Roman" w:cs="Times New Roman"/>
          <w:bCs/>
          <w:sz w:val="24"/>
          <w:szCs w:val="24"/>
          <w:lang w:eastAsia="en-AU"/>
        </w:rPr>
        <w:t xml:space="preserve"> is mentioned </w:t>
      </w:r>
      <w:r w:rsidR="00433F93">
        <w:rPr>
          <w:rFonts w:ascii="Times New Roman" w:eastAsia="Times New Roman" w:hAnsi="Times New Roman" w:cs="Times New Roman"/>
          <w:bCs/>
          <w:sz w:val="24"/>
          <w:szCs w:val="24"/>
          <w:lang w:eastAsia="en-AU"/>
        </w:rPr>
        <w:t>–</w:t>
      </w:r>
      <w:r w:rsidR="00964A47">
        <w:rPr>
          <w:rFonts w:ascii="Times New Roman" w:eastAsia="Times New Roman" w:hAnsi="Times New Roman" w:cs="Times New Roman"/>
          <w:bCs/>
          <w:sz w:val="24"/>
          <w:szCs w:val="24"/>
          <w:lang w:eastAsia="en-AU"/>
        </w:rPr>
        <w:t xml:space="preserve"> </w:t>
      </w:r>
      <w:r w:rsidR="00433F93">
        <w:rPr>
          <w:rFonts w:ascii="Times New Roman" w:eastAsia="Times New Roman" w:hAnsi="Times New Roman" w:cs="Times New Roman"/>
          <w:bCs/>
          <w:sz w:val="24"/>
          <w:szCs w:val="24"/>
          <w:lang w:eastAsia="en-AU"/>
        </w:rPr>
        <w:t xml:space="preserve">the drug can be supplied under </w:t>
      </w:r>
      <w:r w:rsidR="00901FBA" w:rsidRPr="00576558">
        <w:rPr>
          <w:rFonts w:ascii="Times New Roman" w:eastAsia="Times New Roman" w:hAnsi="Times New Roman" w:cs="Times New Roman"/>
          <w:bCs/>
          <w:sz w:val="24"/>
          <w:szCs w:val="24"/>
          <w:lang w:eastAsia="en-AU"/>
        </w:rPr>
        <w:t xml:space="preserve">section 93 </w:t>
      </w:r>
      <w:r w:rsidR="005D18C9" w:rsidRPr="00576558">
        <w:rPr>
          <w:rFonts w:ascii="Times New Roman" w:eastAsia="Times New Roman" w:hAnsi="Times New Roman" w:cs="Times New Roman"/>
          <w:bCs/>
          <w:sz w:val="24"/>
          <w:szCs w:val="24"/>
          <w:lang w:eastAsia="en-AU"/>
        </w:rPr>
        <w:t>of the Act</w:t>
      </w:r>
      <w:r w:rsidR="00433F93">
        <w:rPr>
          <w:rFonts w:ascii="Times New Roman" w:eastAsia="Times New Roman" w:hAnsi="Times New Roman" w:cs="Times New Roman"/>
          <w:bCs/>
          <w:sz w:val="24"/>
          <w:szCs w:val="24"/>
          <w:lang w:eastAsia="en-AU"/>
        </w:rPr>
        <w:t xml:space="preserve"> </w:t>
      </w:r>
      <w:r w:rsidR="00477884">
        <w:rPr>
          <w:rFonts w:ascii="Times New Roman" w:eastAsia="Times New Roman" w:hAnsi="Times New Roman" w:cs="Times New Roman"/>
          <w:bCs/>
          <w:sz w:val="24"/>
          <w:szCs w:val="24"/>
          <w:lang w:eastAsia="en-AU"/>
        </w:rPr>
        <w:t>by medical practitioners; and</w:t>
      </w:r>
    </w:p>
    <w:p w14:paraId="17D2B916" w14:textId="6F8F719E" w:rsidR="00BB12F1" w:rsidRPr="00576558" w:rsidRDefault="00477884" w:rsidP="00A22E0C">
      <w:pPr>
        <w:pStyle w:val="ListParagraph"/>
        <w:numPr>
          <w:ilvl w:val="0"/>
          <w:numId w:val="6"/>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lastRenderedPageBreak/>
        <w:t xml:space="preserve">the code “D(MW)” is mentioned – the drug can be supplied under </w:t>
      </w:r>
      <w:r w:rsidR="005D18C9" w:rsidRPr="00576558">
        <w:rPr>
          <w:rFonts w:ascii="Times New Roman" w:eastAsia="Times New Roman" w:hAnsi="Times New Roman" w:cs="Times New Roman"/>
          <w:bCs/>
          <w:sz w:val="24"/>
          <w:szCs w:val="24"/>
          <w:lang w:eastAsia="en-AU"/>
        </w:rPr>
        <w:t xml:space="preserve">section </w:t>
      </w:r>
      <w:r w:rsidR="0049735A" w:rsidRPr="00576558">
        <w:rPr>
          <w:rFonts w:ascii="Times New Roman" w:eastAsia="Times New Roman" w:hAnsi="Times New Roman" w:cs="Times New Roman"/>
          <w:bCs/>
          <w:sz w:val="24"/>
          <w:szCs w:val="24"/>
          <w:lang w:eastAsia="en-AU"/>
        </w:rPr>
        <w:t>93AA</w:t>
      </w:r>
      <w:r w:rsidR="00886C89" w:rsidRPr="00576558">
        <w:rPr>
          <w:rFonts w:ascii="Times New Roman" w:eastAsia="Times New Roman" w:hAnsi="Times New Roman" w:cs="Times New Roman"/>
          <w:bCs/>
          <w:sz w:val="24"/>
          <w:szCs w:val="24"/>
          <w:lang w:eastAsia="en-AU"/>
        </w:rPr>
        <w:t xml:space="preserve"> </w:t>
      </w:r>
      <w:r w:rsidR="005D18C9" w:rsidRPr="00576558">
        <w:rPr>
          <w:rFonts w:ascii="Times New Roman" w:eastAsia="Times New Roman" w:hAnsi="Times New Roman" w:cs="Times New Roman"/>
          <w:bCs/>
          <w:sz w:val="24"/>
          <w:szCs w:val="24"/>
          <w:lang w:eastAsia="en-AU"/>
        </w:rPr>
        <w:t xml:space="preserve">of the Act </w:t>
      </w:r>
      <w:r>
        <w:rPr>
          <w:rFonts w:ascii="Times New Roman" w:eastAsia="Times New Roman" w:hAnsi="Times New Roman" w:cs="Times New Roman"/>
          <w:bCs/>
          <w:sz w:val="24"/>
          <w:szCs w:val="24"/>
          <w:lang w:eastAsia="en-AU"/>
        </w:rPr>
        <w:t>by a</w:t>
      </w:r>
      <w:r w:rsidR="00886C89" w:rsidRPr="00576558">
        <w:rPr>
          <w:rFonts w:ascii="Times New Roman" w:eastAsia="Times New Roman" w:hAnsi="Times New Roman" w:cs="Times New Roman"/>
          <w:bCs/>
          <w:sz w:val="24"/>
          <w:szCs w:val="24"/>
          <w:lang w:eastAsia="en-AU"/>
        </w:rPr>
        <w:t>uthorised midwives</w:t>
      </w:r>
      <w:r w:rsidR="00BB12F1" w:rsidRPr="00576558">
        <w:rPr>
          <w:rFonts w:ascii="Times New Roman" w:eastAsia="Times New Roman" w:hAnsi="Times New Roman" w:cs="Times New Roman"/>
          <w:bCs/>
          <w:sz w:val="24"/>
          <w:szCs w:val="24"/>
          <w:lang w:eastAsia="en-AU"/>
        </w:rPr>
        <w:t>;</w:t>
      </w:r>
      <w:r w:rsidR="00E003CD" w:rsidRPr="00576558">
        <w:rPr>
          <w:rFonts w:ascii="Times New Roman" w:eastAsia="Times New Roman" w:hAnsi="Times New Roman" w:cs="Times New Roman"/>
          <w:bCs/>
          <w:sz w:val="24"/>
          <w:szCs w:val="24"/>
          <w:lang w:eastAsia="en-AU"/>
        </w:rPr>
        <w:t xml:space="preserve"> and</w:t>
      </w:r>
    </w:p>
    <w:p w14:paraId="208B31D7" w14:textId="6D069CDA" w:rsidR="00BB12F1" w:rsidRPr="00576558" w:rsidRDefault="00477884" w:rsidP="00A22E0C">
      <w:pPr>
        <w:pStyle w:val="ListParagraph"/>
        <w:numPr>
          <w:ilvl w:val="0"/>
          <w:numId w:val="6"/>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code </w:t>
      </w:r>
      <w:r w:rsidR="004D00E9">
        <w:rPr>
          <w:rFonts w:ascii="Times New Roman" w:eastAsia="Times New Roman" w:hAnsi="Times New Roman" w:cs="Times New Roman"/>
          <w:bCs/>
          <w:sz w:val="24"/>
          <w:szCs w:val="24"/>
          <w:lang w:eastAsia="en-AU"/>
        </w:rPr>
        <w:t xml:space="preserve">“D(NP)” is mentioned – the drug can be supplied under </w:t>
      </w:r>
      <w:r w:rsidR="0059706E" w:rsidRPr="00576558">
        <w:rPr>
          <w:rFonts w:ascii="Times New Roman" w:eastAsia="Times New Roman" w:hAnsi="Times New Roman" w:cs="Times New Roman"/>
          <w:bCs/>
          <w:sz w:val="24"/>
          <w:szCs w:val="24"/>
          <w:lang w:eastAsia="en-AU"/>
        </w:rPr>
        <w:t xml:space="preserve">section 93AB of the Act </w:t>
      </w:r>
      <w:r w:rsidR="004D00E9">
        <w:rPr>
          <w:rFonts w:ascii="Times New Roman" w:eastAsia="Times New Roman" w:hAnsi="Times New Roman" w:cs="Times New Roman"/>
          <w:bCs/>
          <w:sz w:val="24"/>
          <w:szCs w:val="24"/>
          <w:lang w:eastAsia="en-AU"/>
        </w:rPr>
        <w:t>by a</w:t>
      </w:r>
      <w:r w:rsidR="0059706E" w:rsidRPr="00576558">
        <w:rPr>
          <w:rFonts w:ascii="Times New Roman" w:eastAsia="Times New Roman" w:hAnsi="Times New Roman" w:cs="Times New Roman"/>
          <w:bCs/>
          <w:sz w:val="24"/>
          <w:szCs w:val="24"/>
          <w:lang w:eastAsia="en-AU"/>
        </w:rPr>
        <w:t>uthorised nurse practitioners.</w:t>
      </w:r>
    </w:p>
    <w:p w14:paraId="09E32338" w14:textId="77777777" w:rsidR="00BB12F1" w:rsidRDefault="00BB12F1" w:rsidP="00167955">
      <w:pPr>
        <w:spacing w:after="0" w:line="240" w:lineRule="auto"/>
        <w:rPr>
          <w:rFonts w:ascii="Times New Roman" w:eastAsia="Times New Roman" w:hAnsi="Times New Roman" w:cs="Times New Roman"/>
          <w:bCs/>
          <w:sz w:val="24"/>
          <w:szCs w:val="24"/>
          <w:lang w:eastAsia="en-AU"/>
        </w:rPr>
      </w:pPr>
    </w:p>
    <w:p w14:paraId="71D99F8E" w14:textId="59FAE5A9" w:rsidR="00FA5831" w:rsidRPr="00A22E0C" w:rsidRDefault="00FA5831" w:rsidP="00167955">
      <w:pPr>
        <w:spacing w:after="0" w:line="240" w:lineRule="auto"/>
        <w:rPr>
          <w:rFonts w:ascii="Times New Roman" w:eastAsia="Times New Roman" w:hAnsi="Times New Roman" w:cs="Times New Roman"/>
          <w:bCs/>
          <w:sz w:val="24"/>
          <w:szCs w:val="24"/>
          <w:u w:val="single"/>
          <w:lang w:eastAsia="en-AU"/>
        </w:rPr>
      </w:pPr>
      <w:r w:rsidRPr="00075090">
        <w:rPr>
          <w:rFonts w:ascii="Times New Roman" w:eastAsia="Times New Roman" w:hAnsi="Times New Roman" w:cs="Times New Roman"/>
          <w:bCs/>
          <w:sz w:val="24"/>
          <w:szCs w:val="24"/>
          <w:u w:val="single"/>
          <w:lang w:eastAsia="en-AU"/>
        </w:rPr>
        <w:t>Phar</w:t>
      </w:r>
      <w:r w:rsidRPr="00A22E0C">
        <w:rPr>
          <w:rFonts w:ascii="Times New Roman" w:eastAsia="Times New Roman" w:hAnsi="Times New Roman" w:cs="Times New Roman"/>
          <w:bCs/>
          <w:sz w:val="24"/>
          <w:szCs w:val="24"/>
          <w:u w:val="single"/>
          <w:lang w:eastAsia="en-AU"/>
        </w:rPr>
        <w:t xml:space="preserve">maceutical benefits that can only be </w:t>
      </w:r>
      <w:r w:rsidR="009A561F" w:rsidRPr="00A22E0C">
        <w:rPr>
          <w:rFonts w:ascii="Times New Roman" w:eastAsia="Times New Roman" w:hAnsi="Times New Roman" w:cs="Times New Roman"/>
          <w:bCs/>
          <w:sz w:val="24"/>
          <w:szCs w:val="24"/>
          <w:u w:val="single"/>
          <w:lang w:eastAsia="en-AU"/>
        </w:rPr>
        <w:t>supplied under prescriber bag provisions</w:t>
      </w:r>
    </w:p>
    <w:p w14:paraId="27835850" w14:textId="77777777" w:rsidR="00FA5831" w:rsidRPr="00576558" w:rsidRDefault="00FA5831" w:rsidP="00167955">
      <w:pPr>
        <w:spacing w:after="0" w:line="240" w:lineRule="auto"/>
        <w:rPr>
          <w:rFonts w:ascii="Times New Roman" w:eastAsia="Times New Roman" w:hAnsi="Times New Roman" w:cs="Times New Roman"/>
          <w:bCs/>
          <w:sz w:val="24"/>
          <w:szCs w:val="24"/>
          <w:lang w:eastAsia="en-AU"/>
        </w:rPr>
      </w:pPr>
    </w:p>
    <w:p w14:paraId="56FE513E" w14:textId="4E0672CD" w:rsidR="00AB2543" w:rsidRPr="00576558" w:rsidRDefault="00AB2543"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Subsection 85(</w:t>
      </w:r>
      <w:r w:rsidR="00ED17A6" w:rsidRPr="00576558">
        <w:rPr>
          <w:rFonts w:ascii="Times New Roman" w:eastAsia="Times New Roman" w:hAnsi="Times New Roman" w:cs="Times New Roman"/>
          <w:bCs/>
          <w:sz w:val="24"/>
          <w:szCs w:val="24"/>
          <w:lang w:eastAsia="en-AU"/>
        </w:rPr>
        <w:t>7</w:t>
      </w:r>
      <w:r w:rsidRPr="00576558">
        <w:rPr>
          <w:rFonts w:ascii="Times New Roman" w:eastAsia="Times New Roman" w:hAnsi="Times New Roman" w:cs="Times New Roman"/>
          <w:bCs/>
          <w:sz w:val="24"/>
          <w:szCs w:val="24"/>
          <w:lang w:eastAsia="en-AU"/>
        </w:rPr>
        <w:t>A) of the Act provides that the Minister may</w:t>
      </w:r>
      <w:r w:rsidR="00370AC1" w:rsidRPr="00576558">
        <w:rPr>
          <w:rFonts w:ascii="Times New Roman" w:eastAsia="Times New Roman" w:hAnsi="Times New Roman" w:cs="Times New Roman"/>
          <w:bCs/>
          <w:sz w:val="24"/>
          <w:szCs w:val="24"/>
          <w:lang w:eastAsia="en-AU"/>
        </w:rPr>
        <w:t xml:space="preserve"> </w:t>
      </w:r>
      <w:r w:rsidRPr="00576558">
        <w:rPr>
          <w:rFonts w:ascii="Times New Roman" w:eastAsia="Times New Roman" w:hAnsi="Times New Roman" w:cs="Times New Roman"/>
          <w:bCs/>
          <w:sz w:val="24"/>
          <w:szCs w:val="24"/>
          <w:lang w:eastAsia="en-AU"/>
        </w:rPr>
        <w:t xml:space="preserve">determine that a particular pharmaceutical benefit can </w:t>
      </w:r>
      <w:r w:rsidR="00F14674">
        <w:rPr>
          <w:rFonts w:ascii="Times New Roman" w:eastAsia="Times New Roman" w:hAnsi="Times New Roman" w:cs="Times New Roman"/>
          <w:bCs/>
          <w:sz w:val="24"/>
          <w:szCs w:val="24"/>
          <w:lang w:eastAsia="en-AU"/>
        </w:rPr>
        <w:t xml:space="preserve">only </w:t>
      </w:r>
      <w:r w:rsidRPr="00576558">
        <w:rPr>
          <w:rFonts w:ascii="Times New Roman" w:eastAsia="Times New Roman" w:hAnsi="Times New Roman" w:cs="Times New Roman"/>
          <w:bCs/>
          <w:sz w:val="24"/>
          <w:szCs w:val="24"/>
          <w:lang w:eastAsia="en-AU"/>
        </w:rPr>
        <w:t>be supplied under one or more of the prescriber bag provision</w:t>
      </w:r>
      <w:r w:rsidR="00370AC1" w:rsidRPr="00576558">
        <w:rPr>
          <w:rFonts w:ascii="Times New Roman" w:eastAsia="Times New Roman" w:hAnsi="Times New Roman" w:cs="Times New Roman"/>
          <w:bCs/>
          <w:sz w:val="24"/>
          <w:szCs w:val="24"/>
          <w:lang w:eastAsia="en-AU"/>
        </w:rPr>
        <w:t>s.</w:t>
      </w:r>
    </w:p>
    <w:p w14:paraId="2C5059E3" w14:textId="77777777" w:rsidR="005D18C9" w:rsidRPr="00576558" w:rsidRDefault="005D18C9" w:rsidP="00167955">
      <w:pPr>
        <w:spacing w:after="0" w:line="240" w:lineRule="auto"/>
        <w:rPr>
          <w:rFonts w:ascii="Times New Roman" w:eastAsia="Times New Roman" w:hAnsi="Times New Roman" w:cs="Times New Roman"/>
          <w:bCs/>
          <w:sz w:val="24"/>
          <w:szCs w:val="24"/>
          <w:lang w:eastAsia="en-AU"/>
        </w:rPr>
      </w:pPr>
    </w:p>
    <w:p w14:paraId="06A38007" w14:textId="32848C4D" w:rsidR="00331862" w:rsidRPr="00576558" w:rsidRDefault="005D18C9"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F63EDE" w:rsidRPr="00576558">
        <w:rPr>
          <w:rFonts w:ascii="Times New Roman" w:eastAsia="Times New Roman" w:hAnsi="Times New Roman" w:cs="Times New Roman"/>
          <w:bCs/>
          <w:sz w:val="24"/>
          <w:szCs w:val="24"/>
          <w:lang w:eastAsia="en-AU"/>
        </w:rPr>
        <w:t>22</w:t>
      </w:r>
      <w:r w:rsidRPr="00576558">
        <w:rPr>
          <w:rFonts w:ascii="Times New Roman" w:eastAsia="Times New Roman" w:hAnsi="Times New Roman" w:cs="Times New Roman"/>
          <w:bCs/>
          <w:sz w:val="24"/>
          <w:szCs w:val="24"/>
          <w:lang w:eastAsia="en-AU"/>
        </w:rPr>
        <w:t>(</w:t>
      </w:r>
      <w:r w:rsidR="003D2BF5" w:rsidRPr="00576558">
        <w:rPr>
          <w:rFonts w:ascii="Times New Roman" w:eastAsia="Times New Roman" w:hAnsi="Times New Roman" w:cs="Times New Roman"/>
          <w:bCs/>
          <w:sz w:val="24"/>
          <w:szCs w:val="24"/>
          <w:lang w:eastAsia="en-AU"/>
        </w:rPr>
        <w:t>2</w:t>
      </w:r>
      <w:r w:rsidRPr="00576558">
        <w:rPr>
          <w:rFonts w:ascii="Times New Roman" w:eastAsia="Times New Roman" w:hAnsi="Times New Roman" w:cs="Times New Roman"/>
          <w:bCs/>
          <w:sz w:val="24"/>
          <w:szCs w:val="24"/>
          <w:lang w:eastAsia="en-AU"/>
        </w:rPr>
        <w:t xml:space="preserve">) </w:t>
      </w:r>
      <w:r w:rsidR="00064548" w:rsidRPr="00576558">
        <w:rPr>
          <w:rFonts w:ascii="Times New Roman" w:eastAsia="Times New Roman" w:hAnsi="Times New Roman" w:cs="Times New Roman"/>
          <w:bCs/>
          <w:sz w:val="24"/>
          <w:szCs w:val="24"/>
          <w:lang w:eastAsia="en-AU"/>
        </w:rPr>
        <w:t>of th</w:t>
      </w:r>
      <w:r w:rsidR="00F14674">
        <w:rPr>
          <w:rFonts w:ascii="Times New Roman" w:eastAsia="Times New Roman" w:hAnsi="Times New Roman" w:cs="Times New Roman"/>
          <w:bCs/>
          <w:sz w:val="24"/>
          <w:szCs w:val="24"/>
          <w:lang w:eastAsia="en-AU"/>
        </w:rPr>
        <w:t>e 2024 Listing I</w:t>
      </w:r>
      <w:r w:rsidR="00064548" w:rsidRPr="00576558">
        <w:rPr>
          <w:rFonts w:ascii="Times New Roman" w:eastAsia="Times New Roman" w:hAnsi="Times New Roman" w:cs="Times New Roman"/>
          <w:bCs/>
          <w:sz w:val="24"/>
          <w:szCs w:val="24"/>
          <w:lang w:eastAsia="en-AU"/>
        </w:rPr>
        <w:t>nstrument</w:t>
      </w:r>
      <w:r w:rsidR="00331862">
        <w:rPr>
          <w:rFonts w:ascii="Times New Roman" w:eastAsia="Times New Roman" w:hAnsi="Times New Roman" w:cs="Times New Roman"/>
          <w:bCs/>
          <w:sz w:val="24"/>
          <w:szCs w:val="24"/>
          <w:lang w:eastAsia="en-AU"/>
        </w:rPr>
        <w:t xml:space="preserve"> has effect </w:t>
      </w:r>
      <w:r w:rsidR="00331862" w:rsidRPr="00576558">
        <w:rPr>
          <w:rFonts w:ascii="Times New Roman" w:eastAsia="Times New Roman" w:hAnsi="Times New Roman" w:cs="Times New Roman"/>
          <w:bCs/>
          <w:sz w:val="24"/>
          <w:szCs w:val="24"/>
          <w:lang w:eastAsia="en-AU"/>
        </w:rPr>
        <w:t xml:space="preserve">that </w:t>
      </w:r>
      <w:r w:rsidR="00331862">
        <w:rPr>
          <w:rFonts w:ascii="Times New Roman" w:eastAsia="Times New Roman" w:hAnsi="Times New Roman" w:cs="Times New Roman"/>
          <w:bCs/>
          <w:sz w:val="24"/>
          <w:szCs w:val="24"/>
          <w:lang w:eastAsia="en-AU"/>
        </w:rPr>
        <w:t>where one o</w:t>
      </w:r>
      <w:r w:rsidR="007912D9">
        <w:rPr>
          <w:rFonts w:ascii="Times New Roman" w:eastAsia="Times New Roman" w:hAnsi="Times New Roman" w:cs="Times New Roman"/>
          <w:bCs/>
          <w:sz w:val="24"/>
          <w:szCs w:val="24"/>
          <w:lang w:eastAsia="en-AU"/>
        </w:rPr>
        <w:t>r</w:t>
      </w:r>
      <w:r w:rsidR="00331862">
        <w:rPr>
          <w:rFonts w:ascii="Times New Roman" w:eastAsia="Times New Roman" w:hAnsi="Times New Roman" w:cs="Times New Roman"/>
          <w:bCs/>
          <w:sz w:val="24"/>
          <w:szCs w:val="24"/>
          <w:lang w:eastAsia="en-AU"/>
        </w:rPr>
        <w:t xml:space="preserve"> more of the codes “PB(MP)”, </w:t>
      </w:r>
      <w:r w:rsidR="001E4290">
        <w:rPr>
          <w:rFonts w:ascii="Times New Roman" w:eastAsia="Times New Roman" w:hAnsi="Times New Roman" w:cs="Times New Roman"/>
          <w:bCs/>
          <w:sz w:val="24"/>
          <w:szCs w:val="24"/>
          <w:lang w:eastAsia="en-AU"/>
        </w:rPr>
        <w:t>“</w:t>
      </w:r>
      <w:r w:rsidR="00331862">
        <w:rPr>
          <w:rFonts w:ascii="Times New Roman" w:eastAsia="Times New Roman" w:hAnsi="Times New Roman" w:cs="Times New Roman"/>
          <w:bCs/>
          <w:sz w:val="24"/>
          <w:szCs w:val="24"/>
          <w:lang w:eastAsia="en-AU"/>
        </w:rPr>
        <w:t xml:space="preserve">PB(MW)” and “PB(NP)” is </w:t>
      </w:r>
      <w:r w:rsidR="00331862" w:rsidRPr="00503524">
        <w:rPr>
          <w:rFonts w:ascii="Times New Roman" w:eastAsia="Times New Roman" w:hAnsi="Times New Roman" w:cs="Times New Roman"/>
          <w:bCs/>
          <w:sz w:val="24"/>
          <w:szCs w:val="24"/>
          <w:lang w:eastAsia="en-AU"/>
        </w:rPr>
        <w:t>mentioned in the</w:t>
      </w:r>
      <w:r w:rsidR="00331862" w:rsidRPr="00503524">
        <w:rPr>
          <w:rFonts w:ascii="Times New Roman" w:hAnsi="Times New Roman" w:cs="Times New Roman"/>
          <w:sz w:val="24"/>
          <w:szCs w:val="24"/>
        </w:rPr>
        <w:t xml:space="preserve"> </w:t>
      </w:r>
      <w:r w:rsidR="00C81843" w:rsidRPr="00503524">
        <w:rPr>
          <w:rFonts w:ascii="Times New Roman" w:hAnsi="Times New Roman" w:cs="Times New Roman"/>
          <w:sz w:val="24"/>
          <w:szCs w:val="24"/>
        </w:rPr>
        <w:t>s</w:t>
      </w:r>
      <w:r w:rsidR="00331862" w:rsidRPr="00503524">
        <w:rPr>
          <w:rFonts w:ascii="Times New Roman" w:eastAsia="Times New Roman" w:hAnsi="Times New Roman" w:cs="Times New Roman"/>
          <w:bCs/>
          <w:sz w:val="24"/>
          <w:szCs w:val="24"/>
          <w:lang w:eastAsia="en-AU"/>
        </w:rPr>
        <w:t>ection 100/</w:t>
      </w:r>
      <w:r w:rsidR="00C81843" w:rsidRPr="00503524">
        <w:rPr>
          <w:rFonts w:ascii="Times New Roman" w:eastAsia="Times New Roman" w:hAnsi="Times New Roman" w:cs="Times New Roman"/>
          <w:bCs/>
          <w:sz w:val="24"/>
          <w:szCs w:val="24"/>
          <w:lang w:eastAsia="en-AU"/>
        </w:rPr>
        <w:t>p</w:t>
      </w:r>
      <w:r w:rsidR="00331862" w:rsidRPr="00503524">
        <w:rPr>
          <w:rFonts w:ascii="Times New Roman" w:eastAsia="Times New Roman" w:hAnsi="Times New Roman" w:cs="Times New Roman"/>
          <w:bCs/>
          <w:sz w:val="24"/>
          <w:szCs w:val="24"/>
          <w:lang w:eastAsia="en-AU"/>
        </w:rPr>
        <w:t>rescriber</w:t>
      </w:r>
      <w:r w:rsidR="00331862" w:rsidRPr="004E3188">
        <w:rPr>
          <w:rFonts w:ascii="Times New Roman" w:eastAsia="Times New Roman" w:hAnsi="Times New Roman" w:cs="Times New Roman"/>
          <w:bCs/>
          <w:sz w:val="24"/>
          <w:szCs w:val="24"/>
          <w:lang w:eastAsia="en-AU"/>
        </w:rPr>
        <w:t xml:space="preserve"> </w:t>
      </w:r>
      <w:r w:rsidR="00C81843">
        <w:rPr>
          <w:rFonts w:ascii="Times New Roman" w:eastAsia="Times New Roman" w:hAnsi="Times New Roman" w:cs="Times New Roman"/>
          <w:bCs/>
          <w:sz w:val="24"/>
          <w:szCs w:val="24"/>
          <w:lang w:eastAsia="en-AU"/>
        </w:rPr>
        <w:t>b</w:t>
      </w:r>
      <w:r w:rsidR="00331862" w:rsidRPr="004E3188">
        <w:rPr>
          <w:rFonts w:ascii="Times New Roman" w:eastAsia="Times New Roman" w:hAnsi="Times New Roman" w:cs="Times New Roman"/>
          <w:bCs/>
          <w:sz w:val="24"/>
          <w:szCs w:val="24"/>
          <w:lang w:eastAsia="en-AU"/>
        </w:rPr>
        <w:t>ag only</w:t>
      </w:r>
      <w:r w:rsidR="00C81843">
        <w:rPr>
          <w:rFonts w:ascii="Times New Roman" w:eastAsia="Times New Roman" w:hAnsi="Times New Roman" w:cs="Times New Roman"/>
          <w:bCs/>
          <w:sz w:val="24"/>
          <w:szCs w:val="24"/>
          <w:lang w:eastAsia="en-AU"/>
        </w:rPr>
        <w:t xml:space="preserve"> column</w:t>
      </w:r>
      <w:r w:rsidR="00331862" w:rsidRPr="004E3188">
        <w:rPr>
          <w:rFonts w:ascii="Times New Roman" w:eastAsia="Times New Roman" w:hAnsi="Times New Roman" w:cs="Times New Roman"/>
          <w:bCs/>
          <w:sz w:val="24"/>
          <w:szCs w:val="24"/>
          <w:lang w:eastAsia="en-AU"/>
        </w:rPr>
        <w:t xml:space="preserve"> in relation to a </w:t>
      </w:r>
      <w:r w:rsidR="00A4124B">
        <w:rPr>
          <w:rFonts w:ascii="Times New Roman" w:eastAsia="Times New Roman" w:hAnsi="Times New Roman" w:cs="Times New Roman"/>
          <w:bCs/>
          <w:sz w:val="24"/>
          <w:szCs w:val="24"/>
          <w:lang w:eastAsia="en-AU"/>
        </w:rPr>
        <w:t>pharmaceutical benefit</w:t>
      </w:r>
      <w:r w:rsidR="00331862">
        <w:rPr>
          <w:rFonts w:ascii="Times New Roman" w:eastAsia="Times New Roman" w:hAnsi="Times New Roman" w:cs="Times New Roman"/>
          <w:bCs/>
          <w:sz w:val="24"/>
          <w:szCs w:val="24"/>
          <w:lang w:eastAsia="en-AU"/>
        </w:rPr>
        <w:t xml:space="preserve">, the </w:t>
      </w:r>
      <w:r w:rsidR="00A4124B">
        <w:rPr>
          <w:rFonts w:ascii="Times New Roman" w:eastAsia="Times New Roman" w:hAnsi="Times New Roman" w:cs="Times New Roman"/>
          <w:bCs/>
          <w:sz w:val="24"/>
          <w:szCs w:val="24"/>
          <w:lang w:eastAsia="en-AU"/>
        </w:rPr>
        <w:t>benefit ca</w:t>
      </w:r>
      <w:r w:rsidR="00331862">
        <w:rPr>
          <w:rFonts w:ascii="Times New Roman" w:eastAsia="Times New Roman" w:hAnsi="Times New Roman" w:cs="Times New Roman"/>
          <w:bCs/>
          <w:sz w:val="24"/>
          <w:szCs w:val="24"/>
          <w:lang w:eastAsia="en-AU"/>
        </w:rPr>
        <w:t>n only be provided under the prescriber bag provisions. If</w:t>
      </w:r>
      <w:r w:rsidR="00331862" w:rsidRPr="00576558">
        <w:rPr>
          <w:rFonts w:ascii="Times New Roman" w:eastAsia="Times New Roman" w:hAnsi="Times New Roman" w:cs="Times New Roman"/>
          <w:bCs/>
          <w:sz w:val="24"/>
          <w:szCs w:val="24"/>
          <w:lang w:eastAsia="en-AU"/>
        </w:rPr>
        <w:t>:</w:t>
      </w:r>
    </w:p>
    <w:p w14:paraId="49733F45" w14:textId="234DC6E9" w:rsidR="00331862" w:rsidRPr="00576558" w:rsidRDefault="00331862" w:rsidP="00331862">
      <w:pPr>
        <w:pStyle w:val="ListParagraph"/>
        <w:numPr>
          <w:ilvl w:val="0"/>
          <w:numId w:val="6"/>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code “</w:t>
      </w:r>
      <w:r w:rsidR="00A4124B">
        <w:rPr>
          <w:rFonts w:ascii="Times New Roman" w:eastAsia="Times New Roman" w:hAnsi="Times New Roman" w:cs="Times New Roman"/>
          <w:bCs/>
          <w:sz w:val="24"/>
          <w:szCs w:val="24"/>
          <w:lang w:eastAsia="en-AU"/>
        </w:rPr>
        <w:t>PB</w:t>
      </w:r>
      <w:r>
        <w:rPr>
          <w:rFonts w:ascii="Times New Roman" w:eastAsia="Times New Roman" w:hAnsi="Times New Roman" w:cs="Times New Roman"/>
          <w:bCs/>
          <w:sz w:val="24"/>
          <w:szCs w:val="24"/>
          <w:lang w:eastAsia="en-AU"/>
        </w:rPr>
        <w:t xml:space="preserve">(MP)” is mentioned – the </w:t>
      </w:r>
      <w:r w:rsidR="00A4124B">
        <w:rPr>
          <w:rFonts w:ascii="Times New Roman" w:eastAsia="Times New Roman" w:hAnsi="Times New Roman" w:cs="Times New Roman"/>
          <w:bCs/>
          <w:sz w:val="24"/>
          <w:szCs w:val="24"/>
          <w:lang w:eastAsia="en-AU"/>
        </w:rPr>
        <w:t xml:space="preserve">pharmaceutical benefit </w:t>
      </w:r>
      <w:r>
        <w:rPr>
          <w:rFonts w:ascii="Times New Roman" w:eastAsia="Times New Roman" w:hAnsi="Times New Roman" w:cs="Times New Roman"/>
          <w:bCs/>
          <w:sz w:val="24"/>
          <w:szCs w:val="24"/>
          <w:lang w:eastAsia="en-AU"/>
        </w:rPr>
        <w:t xml:space="preserve">can be supplied under </w:t>
      </w:r>
      <w:r w:rsidRPr="00576558">
        <w:rPr>
          <w:rFonts w:ascii="Times New Roman" w:eastAsia="Times New Roman" w:hAnsi="Times New Roman" w:cs="Times New Roman"/>
          <w:bCs/>
          <w:sz w:val="24"/>
          <w:szCs w:val="24"/>
          <w:lang w:eastAsia="en-AU"/>
        </w:rPr>
        <w:t>section 93 of the Act</w:t>
      </w:r>
      <w:r>
        <w:rPr>
          <w:rFonts w:ascii="Times New Roman" w:eastAsia="Times New Roman" w:hAnsi="Times New Roman" w:cs="Times New Roman"/>
          <w:bCs/>
          <w:sz w:val="24"/>
          <w:szCs w:val="24"/>
          <w:lang w:eastAsia="en-AU"/>
        </w:rPr>
        <w:t xml:space="preserve"> by medical practitioners; and</w:t>
      </w:r>
    </w:p>
    <w:p w14:paraId="654F12C8" w14:textId="1F9A4B03" w:rsidR="00331862" w:rsidRPr="00576558" w:rsidRDefault="00331862" w:rsidP="00331862">
      <w:pPr>
        <w:pStyle w:val="ListParagraph"/>
        <w:numPr>
          <w:ilvl w:val="0"/>
          <w:numId w:val="6"/>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code “</w:t>
      </w:r>
      <w:r w:rsidR="00A4124B">
        <w:rPr>
          <w:rFonts w:ascii="Times New Roman" w:eastAsia="Times New Roman" w:hAnsi="Times New Roman" w:cs="Times New Roman"/>
          <w:bCs/>
          <w:sz w:val="24"/>
          <w:szCs w:val="24"/>
          <w:lang w:eastAsia="en-AU"/>
        </w:rPr>
        <w:t>PB</w:t>
      </w:r>
      <w:r>
        <w:rPr>
          <w:rFonts w:ascii="Times New Roman" w:eastAsia="Times New Roman" w:hAnsi="Times New Roman" w:cs="Times New Roman"/>
          <w:bCs/>
          <w:sz w:val="24"/>
          <w:szCs w:val="24"/>
          <w:lang w:eastAsia="en-AU"/>
        </w:rPr>
        <w:t xml:space="preserve">(MW)” is mentioned – the </w:t>
      </w:r>
      <w:r w:rsidR="00A4124B">
        <w:rPr>
          <w:rFonts w:ascii="Times New Roman" w:eastAsia="Times New Roman" w:hAnsi="Times New Roman" w:cs="Times New Roman"/>
          <w:bCs/>
          <w:sz w:val="24"/>
          <w:szCs w:val="24"/>
          <w:lang w:eastAsia="en-AU"/>
        </w:rPr>
        <w:t xml:space="preserve">pharmaceutical benefit </w:t>
      </w:r>
      <w:r>
        <w:rPr>
          <w:rFonts w:ascii="Times New Roman" w:eastAsia="Times New Roman" w:hAnsi="Times New Roman" w:cs="Times New Roman"/>
          <w:bCs/>
          <w:sz w:val="24"/>
          <w:szCs w:val="24"/>
          <w:lang w:eastAsia="en-AU"/>
        </w:rPr>
        <w:t xml:space="preserve">can be supplied under </w:t>
      </w:r>
      <w:r w:rsidRPr="00576558">
        <w:rPr>
          <w:rFonts w:ascii="Times New Roman" w:eastAsia="Times New Roman" w:hAnsi="Times New Roman" w:cs="Times New Roman"/>
          <w:bCs/>
          <w:sz w:val="24"/>
          <w:szCs w:val="24"/>
          <w:lang w:eastAsia="en-AU"/>
        </w:rPr>
        <w:t xml:space="preserve">section 93AA of the Act </w:t>
      </w:r>
      <w:r>
        <w:rPr>
          <w:rFonts w:ascii="Times New Roman" w:eastAsia="Times New Roman" w:hAnsi="Times New Roman" w:cs="Times New Roman"/>
          <w:bCs/>
          <w:sz w:val="24"/>
          <w:szCs w:val="24"/>
          <w:lang w:eastAsia="en-AU"/>
        </w:rPr>
        <w:t>by a</w:t>
      </w:r>
      <w:r w:rsidRPr="00576558">
        <w:rPr>
          <w:rFonts w:ascii="Times New Roman" w:eastAsia="Times New Roman" w:hAnsi="Times New Roman" w:cs="Times New Roman"/>
          <w:bCs/>
          <w:sz w:val="24"/>
          <w:szCs w:val="24"/>
          <w:lang w:eastAsia="en-AU"/>
        </w:rPr>
        <w:t>uthorised midwives; and</w:t>
      </w:r>
    </w:p>
    <w:p w14:paraId="25905EE5" w14:textId="7D3C83C2" w:rsidR="00331862" w:rsidRPr="00576558" w:rsidRDefault="00331862" w:rsidP="00331862">
      <w:pPr>
        <w:pStyle w:val="ListParagraph"/>
        <w:numPr>
          <w:ilvl w:val="0"/>
          <w:numId w:val="6"/>
        </w:numPr>
        <w:spacing w:before="120" w:after="0" w:line="240" w:lineRule="auto"/>
        <w:ind w:left="714" w:hanging="357"/>
        <w:contextualSpacing w:val="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code “</w:t>
      </w:r>
      <w:r w:rsidR="00A4124B">
        <w:rPr>
          <w:rFonts w:ascii="Times New Roman" w:eastAsia="Times New Roman" w:hAnsi="Times New Roman" w:cs="Times New Roman"/>
          <w:bCs/>
          <w:sz w:val="24"/>
          <w:szCs w:val="24"/>
          <w:lang w:eastAsia="en-AU"/>
        </w:rPr>
        <w:t>PB</w:t>
      </w:r>
      <w:r>
        <w:rPr>
          <w:rFonts w:ascii="Times New Roman" w:eastAsia="Times New Roman" w:hAnsi="Times New Roman" w:cs="Times New Roman"/>
          <w:bCs/>
          <w:sz w:val="24"/>
          <w:szCs w:val="24"/>
          <w:lang w:eastAsia="en-AU"/>
        </w:rPr>
        <w:t xml:space="preserve">(NP)” is mentioned – the </w:t>
      </w:r>
      <w:r w:rsidR="00A4124B">
        <w:rPr>
          <w:rFonts w:ascii="Times New Roman" w:eastAsia="Times New Roman" w:hAnsi="Times New Roman" w:cs="Times New Roman"/>
          <w:bCs/>
          <w:sz w:val="24"/>
          <w:szCs w:val="24"/>
          <w:lang w:eastAsia="en-AU"/>
        </w:rPr>
        <w:t xml:space="preserve">pharmaceutical benefit </w:t>
      </w:r>
      <w:r>
        <w:rPr>
          <w:rFonts w:ascii="Times New Roman" w:eastAsia="Times New Roman" w:hAnsi="Times New Roman" w:cs="Times New Roman"/>
          <w:bCs/>
          <w:sz w:val="24"/>
          <w:szCs w:val="24"/>
          <w:lang w:eastAsia="en-AU"/>
        </w:rPr>
        <w:t xml:space="preserve">can be supplied under </w:t>
      </w:r>
      <w:r w:rsidRPr="00576558">
        <w:rPr>
          <w:rFonts w:ascii="Times New Roman" w:eastAsia="Times New Roman" w:hAnsi="Times New Roman" w:cs="Times New Roman"/>
          <w:bCs/>
          <w:sz w:val="24"/>
          <w:szCs w:val="24"/>
          <w:lang w:eastAsia="en-AU"/>
        </w:rPr>
        <w:t xml:space="preserve">section 93AB of the Act </w:t>
      </w:r>
      <w:r>
        <w:rPr>
          <w:rFonts w:ascii="Times New Roman" w:eastAsia="Times New Roman" w:hAnsi="Times New Roman" w:cs="Times New Roman"/>
          <w:bCs/>
          <w:sz w:val="24"/>
          <w:szCs w:val="24"/>
          <w:lang w:eastAsia="en-AU"/>
        </w:rPr>
        <w:t>by a</w:t>
      </w:r>
      <w:r w:rsidRPr="00576558">
        <w:rPr>
          <w:rFonts w:ascii="Times New Roman" w:eastAsia="Times New Roman" w:hAnsi="Times New Roman" w:cs="Times New Roman"/>
          <w:bCs/>
          <w:sz w:val="24"/>
          <w:szCs w:val="24"/>
          <w:lang w:eastAsia="en-AU"/>
        </w:rPr>
        <w:t>uthorised nurse practitioners.</w:t>
      </w:r>
    </w:p>
    <w:p w14:paraId="2E9541AC" w14:textId="77777777" w:rsidR="00331862" w:rsidRPr="00576558" w:rsidRDefault="00331862" w:rsidP="00167955">
      <w:pPr>
        <w:spacing w:after="0" w:line="240" w:lineRule="auto"/>
        <w:rPr>
          <w:rFonts w:ascii="Times New Roman" w:eastAsia="Times New Roman" w:hAnsi="Times New Roman" w:cs="Times New Roman"/>
          <w:bCs/>
          <w:sz w:val="24"/>
          <w:szCs w:val="24"/>
          <w:lang w:eastAsia="en-AU"/>
        </w:rPr>
      </w:pPr>
    </w:p>
    <w:p w14:paraId="7E905D26" w14:textId="1597A93B" w:rsidR="007A404E" w:rsidRDefault="00697325"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A note to section </w:t>
      </w:r>
      <w:r w:rsidR="00F63EDE" w:rsidRPr="00576558">
        <w:rPr>
          <w:rFonts w:ascii="Times New Roman" w:eastAsia="Times New Roman" w:hAnsi="Times New Roman" w:cs="Times New Roman"/>
          <w:bCs/>
          <w:sz w:val="24"/>
          <w:szCs w:val="24"/>
          <w:lang w:eastAsia="en-AU"/>
        </w:rPr>
        <w:t>22</w:t>
      </w:r>
      <w:r w:rsidRPr="00576558">
        <w:rPr>
          <w:rFonts w:ascii="Times New Roman" w:eastAsia="Times New Roman" w:hAnsi="Times New Roman" w:cs="Times New Roman"/>
          <w:bCs/>
          <w:sz w:val="24"/>
          <w:szCs w:val="24"/>
          <w:lang w:eastAsia="en-AU"/>
        </w:rPr>
        <w:t xml:space="preserve"> </w:t>
      </w:r>
      <w:r w:rsidR="004E3CEB" w:rsidRPr="00576558">
        <w:rPr>
          <w:rFonts w:ascii="Times New Roman" w:eastAsia="Times New Roman" w:hAnsi="Times New Roman" w:cs="Times New Roman"/>
          <w:bCs/>
          <w:sz w:val="24"/>
          <w:szCs w:val="24"/>
          <w:lang w:eastAsia="en-AU"/>
        </w:rPr>
        <w:t xml:space="preserve">directs the reader to </w:t>
      </w:r>
      <w:r w:rsidR="002F547D" w:rsidRPr="00576558">
        <w:rPr>
          <w:rFonts w:ascii="Times New Roman" w:eastAsia="Times New Roman" w:hAnsi="Times New Roman" w:cs="Times New Roman"/>
          <w:bCs/>
          <w:sz w:val="24"/>
          <w:szCs w:val="24"/>
          <w:lang w:eastAsia="en-AU"/>
        </w:rPr>
        <w:t>subsection 85AAA(3) of the Act for information regarding</w:t>
      </w:r>
      <w:r w:rsidR="00591D20" w:rsidRPr="00576558">
        <w:rPr>
          <w:rFonts w:ascii="Times New Roman" w:eastAsia="Times New Roman" w:hAnsi="Times New Roman" w:cs="Times New Roman"/>
          <w:bCs/>
          <w:sz w:val="24"/>
          <w:szCs w:val="24"/>
          <w:lang w:eastAsia="en-AU"/>
        </w:rPr>
        <w:t xml:space="preserve"> the interaction between a declaration under subsection 85(2AA) of the Act in relation to a drug and a declaration under subsection 85(7A) of the Act in relation to a pharmaceutical benefit that has the drug.</w:t>
      </w:r>
    </w:p>
    <w:p w14:paraId="7302E5FB" w14:textId="77777777" w:rsidR="007A404E" w:rsidRDefault="007A404E" w:rsidP="00167955">
      <w:pPr>
        <w:spacing w:after="0" w:line="240" w:lineRule="auto"/>
        <w:rPr>
          <w:rFonts w:ascii="Times New Roman" w:eastAsia="Times New Roman" w:hAnsi="Times New Roman" w:cs="Times New Roman"/>
          <w:bCs/>
          <w:sz w:val="24"/>
          <w:szCs w:val="24"/>
          <w:lang w:eastAsia="en-AU"/>
        </w:rPr>
      </w:pPr>
    </w:p>
    <w:p w14:paraId="27FF4E7C" w14:textId="76440ABB" w:rsidR="004527D0" w:rsidRDefault="004527D0"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22 </w:t>
      </w:r>
      <w:r w:rsidRPr="00CC18E5">
        <w:rPr>
          <w:rFonts w:ascii="Times New Roman" w:eastAsia="Times New Roman" w:hAnsi="Times New Roman" w:cs="Times New Roman"/>
          <w:bCs/>
          <w:sz w:val="24"/>
          <w:szCs w:val="24"/>
          <w:lang w:eastAsia="en-AU"/>
        </w:rPr>
        <w:t xml:space="preserve">corresponds to section </w:t>
      </w:r>
      <w:r>
        <w:rPr>
          <w:rFonts w:ascii="Times New Roman" w:eastAsia="Times New Roman" w:hAnsi="Times New Roman" w:cs="Times New Roman"/>
          <w:bCs/>
          <w:sz w:val="24"/>
          <w:szCs w:val="24"/>
          <w:lang w:eastAsia="en-AU"/>
        </w:rPr>
        <w:t>26</w:t>
      </w:r>
      <w:r w:rsidRPr="00CC18E5">
        <w:rPr>
          <w:rFonts w:ascii="Times New Roman" w:eastAsia="Times New Roman" w:hAnsi="Times New Roman" w:cs="Times New Roman"/>
          <w:bCs/>
          <w:sz w:val="24"/>
          <w:szCs w:val="24"/>
          <w:lang w:eastAsia="en-AU"/>
        </w:rPr>
        <w:t xml:space="preserve"> of the 2012 Listing Instrument.</w:t>
      </w:r>
    </w:p>
    <w:p w14:paraId="33576866" w14:textId="77777777" w:rsidR="004527D0" w:rsidRPr="00576558" w:rsidRDefault="004527D0" w:rsidP="00167955">
      <w:pPr>
        <w:spacing w:after="0" w:line="240" w:lineRule="auto"/>
        <w:rPr>
          <w:rFonts w:ascii="Times New Roman" w:eastAsia="Times New Roman" w:hAnsi="Times New Roman" w:cs="Times New Roman"/>
          <w:bCs/>
          <w:sz w:val="24"/>
          <w:szCs w:val="24"/>
          <w:lang w:eastAsia="en-AU"/>
        </w:rPr>
      </w:pPr>
    </w:p>
    <w:p w14:paraId="7F85E6A9" w14:textId="275EB71F" w:rsidR="00C457AD" w:rsidRPr="00576558" w:rsidRDefault="00D20EA6" w:rsidP="00167955">
      <w:pPr>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t xml:space="preserve">Section </w:t>
      </w:r>
      <w:r w:rsidR="00E3183A" w:rsidRPr="00576558">
        <w:rPr>
          <w:rFonts w:ascii="Times New Roman" w:eastAsia="Times New Roman" w:hAnsi="Times New Roman" w:cs="Times New Roman"/>
          <w:b/>
          <w:sz w:val="24"/>
          <w:szCs w:val="24"/>
          <w:lang w:eastAsia="en-AU"/>
        </w:rPr>
        <w:t xml:space="preserve">23 </w:t>
      </w:r>
      <w:r w:rsidRPr="00576558">
        <w:rPr>
          <w:rFonts w:ascii="Times New Roman" w:eastAsia="Times New Roman" w:hAnsi="Times New Roman" w:cs="Times New Roman"/>
          <w:b/>
          <w:sz w:val="24"/>
          <w:szCs w:val="24"/>
          <w:lang w:eastAsia="en-AU"/>
        </w:rPr>
        <w:t>- Listed drugs and pharmaceutical benefits that can only be supplied under special arrangements (Act s</w:t>
      </w:r>
      <w:r w:rsidR="008A4CEE" w:rsidRPr="00576558">
        <w:rPr>
          <w:rFonts w:ascii="Times New Roman" w:eastAsia="Times New Roman" w:hAnsi="Times New Roman" w:cs="Times New Roman"/>
          <w:b/>
          <w:sz w:val="24"/>
          <w:szCs w:val="24"/>
          <w:lang w:eastAsia="en-AU"/>
        </w:rPr>
        <w:t xml:space="preserve"> </w:t>
      </w:r>
      <w:r w:rsidRPr="00576558">
        <w:rPr>
          <w:rFonts w:ascii="Times New Roman" w:eastAsia="Times New Roman" w:hAnsi="Times New Roman" w:cs="Times New Roman"/>
          <w:b/>
          <w:sz w:val="24"/>
          <w:szCs w:val="24"/>
          <w:lang w:eastAsia="en-AU"/>
        </w:rPr>
        <w:t>85(2A) and (8))</w:t>
      </w:r>
    </w:p>
    <w:p w14:paraId="0A78BD0D" w14:textId="07AF18D3" w:rsidR="007E3299" w:rsidRPr="00576558" w:rsidRDefault="007E3299" w:rsidP="00167955">
      <w:pPr>
        <w:spacing w:after="0" w:line="240" w:lineRule="auto"/>
        <w:rPr>
          <w:rFonts w:ascii="Times New Roman" w:eastAsia="Times New Roman" w:hAnsi="Times New Roman" w:cs="Times New Roman"/>
          <w:color w:val="000000"/>
          <w:sz w:val="24"/>
          <w:szCs w:val="24"/>
          <w:lang w:eastAsia="en-AU"/>
        </w:rPr>
      </w:pPr>
    </w:p>
    <w:p w14:paraId="3660FC71" w14:textId="2B5CA105" w:rsidR="00C87581" w:rsidRDefault="00C87581"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100 of the Act enables the Minister to make, by legislative instrument, special arrangements </w:t>
      </w:r>
      <w:r w:rsidR="00313EAE">
        <w:rPr>
          <w:rFonts w:ascii="Times New Roman" w:eastAsia="Times New Roman" w:hAnsi="Times New Roman" w:cs="Times New Roman"/>
          <w:bCs/>
          <w:sz w:val="24"/>
          <w:szCs w:val="24"/>
          <w:lang w:eastAsia="en-AU"/>
        </w:rPr>
        <w:t xml:space="preserve">for </w:t>
      </w:r>
      <w:r w:rsidR="00BB1F75">
        <w:rPr>
          <w:rFonts w:ascii="Times New Roman" w:eastAsia="Times New Roman" w:hAnsi="Times New Roman" w:cs="Times New Roman"/>
          <w:bCs/>
          <w:sz w:val="24"/>
          <w:szCs w:val="24"/>
          <w:lang w:eastAsia="en-AU"/>
        </w:rPr>
        <w:t>or in relation to providing that an adequate supply of pharmaceutical benefits will be available</w:t>
      </w:r>
      <w:r w:rsidR="00A2369A">
        <w:rPr>
          <w:rFonts w:ascii="Times New Roman" w:eastAsia="Times New Roman" w:hAnsi="Times New Roman" w:cs="Times New Roman"/>
          <w:bCs/>
          <w:sz w:val="24"/>
          <w:szCs w:val="24"/>
          <w:lang w:eastAsia="en-AU"/>
        </w:rPr>
        <w:t xml:space="preserve">, to persons living in isolated areas, where the </w:t>
      </w:r>
      <w:r w:rsidR="00FF38A3">
        <w:rPr>
          <w:rFonts w:ascii="Times New Roman" w:eastAsia="Times New Roman" w:hAnsi="Times New Roman" w:cs="Times New Roman"/>
          <w:bCs/>
          <w:sz w:val="24"/>
          <w:szCs w:val="24"/>
          <w:lang w:eastAsia="en-AU"/>
        </w:rPr>
        <w:t xml:space="preserve">pharmaceutical benefits can be more conveniently or efficiently supplied under the special arrangement </w:t>
      </w:r>
      <w:r w:rsidR="002B5B31">
        <w:rPr>
          <w:rFonts w:ascii="Times New Roman" w:eastAsia="Times New Roman" w:hAnsi="Times New Roman" w:cs="Times New Roman"/>
          <w:bCs/>
          <w:sz w:val="24"/>
          <w:szCs w:val="24"/>
          <w:lang w:eastAsia="en-AU"/>
        </w:rPr>
        <w:t xml:space="preserve">or to persons </w:t>
      </w:r>
      <w:r w:rsidR="00571000">
        <w:rPr>
          <w:rFonts w:ascii="Times New Roman" w:eastAsia="Times New Roman" w:hAnsi="Times New Roman" w:cs="Times New Roman"/>
          <w:bCs/>
          <w:sz w:val="24"/>
          <w:szCs w:val="24"/>
          <w:lang w:eastAsia="en-AU"/>
        </w:rPr>
        <w:t xml:space="preserve">who are receiving treatment in circumstances in which pharmaceutical benefits available for ‘general supply’ </w:t>
      </w:r>
      <w:r w:rsidR="00957117">
        <w:rPr>
          <w:rFonts w:ascii="Times New Roman" w:eastAsia="Times New Roman" w:hAnsi="Times New Roman" w:cs="Times New Roman"/>
          <w:bCs/>
          <w:sz w:val="24"/>
          <w:szCs w:val="24"/>
          <w:lang w:eastAsia="en-AU"/>
        </w:rPr>
        <w:t>are inadequate for that treatment.</w:t>
      </w:r>
    </w:p>
    <w:p w14:paraId="32075D4F" w14:textId="1B9A04AD" w:rsidR="00313EAE" w:rsidRPr="00313EAE" w:rsidRDefault="00313EAE" w:rsidP="00167955">
      <w:pPr>
        <w:spacing w:after="0" w:line="240" w:lineRule="auto"/>
        <w:rPr>
          <w:rFonts w:ascii="Times New Roman" w:eastAsia="Times New Roman" w:hAnsi="Times New Roman" w:cs="Times New Roman"/>
          <w:bCs/>
          <w:sz w:val="24"/>
          <w:szCs w:val="24"/>
          <w:lang w:eastAsia="en-AU"/>
        </w:rPr>
      </w:pPr>
    </w:p>
    <w:p w14:paraId="74767604" w14:textId="7EB21BBD" w:rsidR="008E573A" w:rsidRDefault="00994C75"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Under the Act the Minister can determine that certain drugs</w:t>
      </w:r>
      <w:r w:rsidR="005E7FEC">
        <w:rPr>
          <w:rFonts w:ascii="Times New Roman" w:eastAsia="Times New Roman" w:hAnsi="Times New Roman" w:cs="Times New Roman"/>
          <w:bCs/>
          <w:sz w:val="24"/>
          <w:szCs w:val="24"/>
          <w:lang w:eastAsia="en-AU"/>
        </w:rPr>
        <w:t xml:space="preserve"> or pharmaceutical benefits may only be supplied under special arrangements. The Minister can also determine that </w:t>
      </w:r>
      <w:r w:rsidR="00902986">
        <w:rPr>
          <w:rFonts w:ascii="Times New Roman" w:eastAsia="Times New Roman" w:hAnsi="Times New Roman" w:cs="Times New Roman"/>
          <w:bCs/>
          <w:sz w:val="24"/>
          <w:szCs w:val="24"/>
          <w:lang w:eastAsia="en-AU"/>
        </w:rPr>
        <w:t>a pharmaceutical benefit can only be supplied under a special arrangement in certain circumstances only.</w:t>
      </w:r>
    </w:p>
    <w:p w14:paraId="0D85BEC3" w14:textId="77777777" w:rsidR="007129BE" w:rsidRDefault="007129BE" w:rsidP="00167955">
      <w:pPr>
        <w:spacing w:after="0" w:line="240" w:lineRule="auto"/>
        <w:rPr>
          <w:rFonts w:ascii="Times New Roman" w:eastAsia="Times New Roman" w:hAnsi="Times New Roman" w:cs="Times New Roman"/>
          <w:bCs/>
          <w:sz w:val="24"/>
          <w:szCs w:val="24"/>
          <w:lang w:eastAsia="en-AU"/>
        </w:rPr>
      </w:pPr>
    </w:p>
    <w:p w14:paraId="1F412622" w14:textId="60A6580B" w:rsidR="007129BE" w:rsidRPr="00A22E0C" w:rsidRDefault="007129BE" w:rsidP="00167955">
      <w:pPr>
        <w:spacing w:after="0" w:line="240" w:lineRule="auto"/>
        <w:rPr>
          <w:rFonts w:ascii="Times New Roman" w:eastAsia="Times New Roman" w:hAnsi="Times New Roman" w:cs="Times New Roman"/>
          <w:bCs/>
          <w:sz w:val="24"/>
          <w:szCs w:val="24"/>
          <w:u w:val="single"/>
          <w:lang w:eastAsia="en-AU"/>
        </w:rPr>
      </w:pPr>
      <w:r w:rsidRPr="00A22E0C">
        <w:rPr>
          <w:rFonts w:ascii="Times New Roman" w:eastAsia="Times New Roman" w:hAnsi="Times New Roman" w:cs="Times New Roman"/>
          <w:bCs/>
          <w:sz w:val="24"/>
          <w:szCs w:val="24"/>
          <w:u w:val="single"/>
          <w:lang w:eastAsia="en-AU"/>
        </w:rPr>
        <w:t>Drugs that can only be supplied under special arrangements</w:t>
      </w:r>
    </w:p>
    <w:p w14:paraId="47F079F8" w14:textId="77777777" w:rsidR="007E3299" w:rsidRPr="00576558" w:rsidRDefault="007E3299" w:rsidP="00167955">
      <w:pPr>
        <w:spacing w:after="0" w:line="240" w:lineRule="auto"/>
        <w:rPr>
          <w:rFonts w:ascii="Times New Roman" w:eastAsia="Times New Roman" w:hAnsi="Times New Roman" w:cs="Times New Roman"/>
          <w:bCs/>
          <w:sz w:val="24"/>
          <w:szCs w:val="24"/>
          <w:lang w:eastAsia="en-AU"/>
        </w:rPr>
      </w:pPr>
    </w:p>
    <w:p w14:paraId="609BCA41" w14:textId="0EE36EF8" w:rsidR="0025277A" w:rsidRPr="00576558" w:rsidRDefault="00D20EA6"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E3183A" w:rsidRPr="00576558">
        <w:rPr>
          <w:rFonts w:ascii="Times New Roman" w:eastAsia="Times New Roman" w:hAnsi="Times New Roman" w:cs="Times New Roman"/>
          <w:bCs/>
          <w:sz w:val="24"/>
          <w:szCs w:val="24"/>
          <w:lang w:eastAsia="en-AU"/>
        </w:rPr>
        <w:t>23</w:t>
      </w:r>
      <w:r w:rsidRPr="00576558">
        <w:rPr>
          <w:rFonts w:ascii="Times New Roman" w:eastAsia="Times New Roman" w:hAnsi="Times New Roman" w:cs="Times New Roman"/>
          <w:bCs/>
          <w:sz w:val="24"/>
          <w:szCs w:val="24"/>
          <w:lang w:eastAsia="en-AU"/>
        </w:rPr>
        <w:t>(1) is made for the purposes of subsection 85(2A) of the Act</w:t>
      </w:r>
      <w:r w:rsidR="000B1380" w:rsidRPr="00576558">
        <w:rPr>
          <w:rFonts w:ascii="Times New Roman" w:eastAsia="Times New Roman" w:hAnsi="Times New Roman" w:cs="Times New Roman"/>
          <w:bCs/>
          <w:sz w:val="24"/>
          <w:szCs w:val="24"/>
          <w:lang w:eastAsia="en-AU"/>
        </w:rPr>
        <w:t xml:space="preserve"> which</w:t>
      </w:r>
      <w:r w:rsidR="0025277A" w:rsidRPr="00576558">
        <w:rPr>
          <w:rFonts w:ascii="Times New Roman" w:eastAsia="Times New Roman" w:hAnsi="Times New Roman" w:cs="Times New Roman"/>
          <w:bCs/>
          <w:sz w:val="24"/>
          <w:szCs w:val="24"/>
          <w:lang w:eastAsia="en-AU"/>
        </w:rPr>
        <w:t xml:space="preserve"> </w:t>
      </w:r>
      <w:r w:rsidR="003C143F" w:rsidRPr="00576558">
        <w:rPr>
          <w:rFonts w:ascii="Times New Roman" w:eastAsia="Times New Roman" w:hAnsi="Times New Roman" w:cs="Times New Roman"/>
          <w:bCs/>
          <w:sz w:val="24"/>
          <w:szCs w:val="24"/>
          <w:lang w:eastAsia="en-AU"/>
        </w:rPr>
        <w:t>provides that</w:t>
      </w:r>
      <w:r w:rsidR="00636016" w:rsidRPr="00576558">
        <w:rPr>
          <w:rFonts w:ascii="Times New Roman" w:eastAsia="Times New Roman" w:hAnsi="Times New Roman" w:cs="Times New Roman"/>
          <w:bCs/>
          <w:sz w:val="24"/>
          <w:szCs w:val="24"/>
          <w:lang w:eastAsia="en-AU"/>
        </w:rPr>
        <w:t xml:space="preserve"> the Minister </w:t>
      </w:r>
      <w:r w:rsidR="003C143F" w:rsidRPr="00576558">
        <w:rPr>
          <w:rFonts w:ascii="Times New Roman" w:eastAsia="Times New Roman" w:hAnsi="Times New Roman" w:cs="Times New Roman"/>
          <w:bCs/>
          <w:sz w:val="24"/>
          <w:szCs w:val="24"/>
          <w:lang w:eastAsia="en-AU"/>
        </w:rPr>
        <w:t>must</w:t>
      </w:r>
      <w:r w:rsidR="00636016" w:rsidRPr="00576558">
        <w:rPr>
          <w:rFonts w:ascii="Times New Roman" w:eastAsia="Times New Roman" w:hAnsi="Times New Roman" w:cs="Times New Roman"/>
          <w:bCs/>
          <w:sz w:val="24"/>
          <w:szCs w:val="24"/>
          <w:lang w:eastAsia="en-AU"/>
        </w:rPr>
        <w:t xml:space="preserve"> declare that a </w:t>
      </w:r>
      <w:r w:rsidR="00902986">
        <w:rPr>
          <w:rFonts w:ascii="Times New Roman" w:eastAsia="Times New Roman" w:hAnsi="Times New Roman" w:cs="Times New Roman"/>
          <w:bCs/>
          <w:sz w:val="24"/>
          <w:szCs w:val="24"/>
          <w:lang w:eastAsia="en-AU"/>
        </w:rPr>
        <w:t xml:space="preserve">listed </w:t>
      </w:r>
      <w:r w:rsidR="00636016" w:rsidRPr="00576558">
        <w:rPr>
          <w:rFonts w:ascii="Times New Roman" w:eastAsia="Times New Roman" w:hAnsi="Times New Roman" w:cs="Times New Roman"/>
          <w:bCs/>
          <w:sz w:val="24"/>
          <w:szCs w:val="24"/>
          <w:lang w:eastAsia="en-AU"/>
        </w:rPr>
        <w:t xml:space="preserve">drug can </w:t>
      </w:r>
      <w:r w:rsidR="00C07D65" w:rsidRPr="00576558">
        <w:rPr>
          <w:rFonts w:ascii="Times New Roman" w:eastAsia="Times New Roman" w:hAnsi="Times New Roman" w:cs="Times New Roman"/>
          <w:bCs/>
          <w:sz w:val="24"/>
          <w:szCs w:val="24"/>
          <w:lang w:eastAsia="en-AU"/>
        </w:rPr>
        <w:t xml:space="preserve">only </w:t>
      </w:r>
      <w:r w:rsidR="00636016" w:rsidRPr="00576558">
        <w:rPr>
          <w:rFonts w:ascii="Times New Roman" w:eastAsia="Times New Roman" w:hAnsi="Times New Roman" w:cs="Times New Roman"/>
          <w:bCs/>
          <w:sz w:val="24"/>
          <w:szCs w:val="24"/>
          <w:lang w:eastAsia="en-AU"/>
        </w:rPr>
        <w:t xml:space="preserve">be supplied under </w:t>
      </w:r>
      <w:r w:rsidR="00B31BCC" w:rsidRPr="00576558">
        <w:rPr>
          <w:rFonts w:ascii="Times New Roman" w:eastAsia="Times New Roman" w:hAnsi="Times New Roman" w:cs="Times New Roman"/>
          <w:bCs/>
          <w:sz w:val="24"/>
          <w:szCs w:val="24"/>
          <w:lang w:eastAsia="en-AU"/>
        </w:rPr>
        <w:t xml:space="preserve">special </w:t>
      </w:r>
      <w:r w:rsidR="00B31BCC" w:rsidRPr="00576558">
        <w:rPr>
          <w:rFonts w:ascii="Times New Roman" w:eastAsia="Times New Roman" w:hAnsi="Times New Roman" w:cs="Times New Roman"/>
          <w:bCs/>
          <w:sz w:val="24"/>
          <w:szCs w:val="24"/>
          <w:lang w:eastAsia="en-AU"/>
        </w:rPr>
        <w:lastRenderedPageBreak/>
        <w:t>arrangements</w:t>
      </w:r>
      <w:r w:rsidR="00F04AA9" w:rsidRPr="00576558">
        <w:rPr>
          <w:rFonts w:ascii="Times New Roman" w:eastAsia="Times New Roman" w:hAnsi="Times New Roman" w:cs="Times New Roman"/>
          <w:bCs/>
          <w:sz w:val="24"/>
          <w:szCs w:val="24"/>
          <w:lang w:eastAsia="en-AU"/>
        </w:rPr>
        <w:t xml:space="preserve"> </w:t>
      </w:r>
      <w:r w:rsidR="00636016" w:rsidRPr="00576558">
        <w:rPr>
          <w:rFonts w:ascii="Times New Roman" w:eastAsia="Times New Roman" w:hAnsi="Times New Roman" w:cs="Times New Roman"/>
          <w:bCs/>
          <w:sz w:val="24"/>
          <w:szCs w:val="24"/>
          <w:lang w:eastAsia="en-AU"/>
        </w:rPr>
        <w:t xml:space="preserve">if the </w:t>
      </w:r>
      <w:r w:rsidR="00CC49F5" w:rsidRPr="00576558">
        <w:rPr>
          <w:rFonts w:ascii="Times New Roman" w:eastAsia="Times New Roman" w:hAnsi="Times New Roman" w:cs="Times New Roman"/>
          <w:bCs/>
          <w:sz w:val="24"/>
          <w:szCs w:val="24"/>
          <w:lang w:eastAsia="en-AU"/>
        </w:rPr>
        <w:t>PBAC</w:t>
      </w:r>
      <w:r w:rsidR="00636016" w:rsidRPr="00576558">
        <w:rPr>
          <w:rFonts w:ascii="Times New Roman" w:eastAsia="Times New Roman" w:hAnsi="Times New Roman" w:cs="Times New Roman"/>
          <w:bCs/>
          <w:sz w:val="24"/>
          <w:szCs w:val="24"/>
          <w:lang w:eastAsia="en-AU"/>
        </w:rPr>
        <w:t xml:space="preserve"> has made a recommendation to that effect under subsection 101(4AA</w:t>
      </w:r>
      <w:r w:rsidR="00AE1586" w:rsidRPr="00576558">
        <w:rPr>
          <w:rFonts w:ascii="Times New Roman" w:eastAsia="Times New Roman" w:hAnsi="Times New Roman" w:cs="Times New Roman"/>
          <w:bCs/>
          <w:sz w:val="24"/>
          <w:szCs w:val="24"/>
          <w:lang w:eastAsia="en-AU"/>
        </w:rPr>
        <w:t>D</w:t>
      </w:r>
      <w:r w:rsidR="00636016" w:rsidRPr="00576558">
        <w:rPr>
          <w:rFonts w:ascii="Times New Roman" w:eastAsia="Times New Roman" w:hAnsi="Times New Roman" w:cs="Times New Roman"/>
          <w:bCs/>
          <w:sz w:val="24"/>
          <w:szCs w:val="24"/>
          <w:lang w:eastAsia="en-AU"/>
        </w:rPr>
        <w:t>) of the Act.</w:t>
      </w:r>
    </w:p>
    <w:p w14:paraId="38818F82" w14:textId="77777777" w:rsidR="0063410F" w:rsidRPr="00576558" w:rsidRDefault="0063410F" w:rsidP="00167955">
      <w:pPr>
        <w:spacing w:after="0" w:line="240" w:lineRule="auto"/>
        <w:rPr>
          <w:rFonts w:ascii="Times New Roman" w:eastAsia="Times New Roman" w:hAnsi="Times New Roman" w:cs="Times New Roman"/>
          <w:bCs/>
          <w:sz w:val="24"/>
          <w:szCs w:val="24"/>
          <w:lang w:eastAsia="en-AU"/>
        </w:rPr>
      </w:pPr>
    </w:p>
    <w:p w14:paraId="77510A80" w14:textId="61BC2AF9" w:rsidR="0063410F" w:rsidRDefault="0063410F"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E3183A" w:rsidRPr="00576558">
        <w:rPr>
          <w:rFonts w:ascii="Times New Roman" w:eastAsia="Times New Roman" w:hAnsi="Times New Roman" w:cs="Times New Roman"/>
          <w:bCs/>
          <w:sz w:val="24"/>
          <w:szCs w:val="24"/>
          <w:lang w:eastAsia="en-AU"/>
        </w:rPr>
        <w:t>23</w:t>
      </w:r>
      <w:r w:rsidRPr="00576558">
        <w:rPr>
          <w:rFonts w:ascii="Times New Roman" w:eastAsia="Times New Roman" w:hAnsi="Times New Roman" w:cs="Times New Roman"/>
          <w:bCs/>
          <w:sz w:val="24"/>
          <w:szCs w:val="24"/>
          <w:lang w:eastAsia="en-AU"/>
        </w:rPr>
        <w:t xml:space="preserve">(1) provides that </w:t>
      </w:r>
      <w:r w:rsidR="00783FA0" w:rsidRPr="00576558">
        <w:rPr>
          <w:rFonts w:ascii="Times New Roman" w:eastAsia="Times New Roman" w:hAnsi="Times New Roman" w:cs="Times New Roman"/>
          <w:bCs/>
          <w:sz w:val="24"/>
          <w:szCs w:val="24"/>
          <w:lang w:eastAsia="en-AU"/>
        </w:rPr>
        <w:t>a</w:t>
      </w:r>
      <w:r w:rsidRPr="00576558">
        <w:rPr>
          <w:rFonts w:ascii="Times New Roman" w:eastAsia="Times New Roman" w:hAnsi="Times New Roman" w:cs="Times New Roman"/>
          <w:bCs/>
          <w:sz w:val="24"/>
          <w:szCs w:val="24"/>
          <w:lang w:eastAsia="en-AU"/>
        </w:rPr>
        <w:t xml:space="preserve"> listed drug can be supplied only under special arrangements if the code </w:t>
      </w:r>
      <w:r w:rsidR="00FA210C">
        <w:rPr>
          <w:rFonts w:ascii="Times New Roman" w:eastAsia="Times New Roman" w:hAnsi="Times New Roman" w:cs="Times New Roman"/>
          <w:bCs/>
          <w:sz w:val="24"/>
          <w:szCs w:val="24"/>
          <w:lang w:eastAsia="en-AU"/>
        </w:rPr>
        <w:t>“</w:t>
      </w:r>
      <w:r w:rsidRPr="00576558">
        <w:rPr>
          <w:rFonts w:ascii="Times New Roman" w:eastAsia="Times New Roman" w:hAnsi="Times New Roman" w:cs="Times New Roman"/>
          <w:bCs/>
          <w:sz w:val="24"/>
          <w:szCs w:val="24"/>
          <w:lang w:eastAsia="en-AU"/>
        </w:rPr>
        <w:t>D(100)</w:t>
      </w:r>
      <w:r w:rsidR="00FA210C">
        <w:rPr>
          <w:rFonts w:ascii="Times New Roman" w:eastAsia="Times New Roman" w:hAnsi="Times New Roman" w:cs="Times New Roman"/>
          <w:bCs/>
          <w:sz w:val="24"/>
          <w:szCs w:val="24"/>
          <w:lang w:eastAsia="en-AU"/>
        </w:rPr>
        <w:t>”</w:t>
      </w:r>
      <w:r w:rsidRPr="00576558">
        <w:rPr>
          <w:rFonts w:ascii="Times New Roman" w:eastAsia="Times New Roman" w:hAnsi="Times New Roman" w:cs="Times New Roman"/>
          <w:bCs/>
          <w:sz w:val="24"/>
          <w:szCs w:val="24"/>
          <w:lang w:eastAsia="en-AU"/>
        </w:rPr>
        <w:t xml:space="preserve"> is mentioned in the </w:t>
      </w:r>
      <w:r w:rsidR="00C81843">
        <w:rPr>
          <w:rFonts w:ascii="Times New Roman" w:eastAsia="Times New Roman" w:hAnsi="Times New Roman" w:cs="Times New Roman"/>
          <w:bCs/>
          <w:sz w:val="24"/>
          <w:szCs w:val="24"/>
          <w:lang w:eastAsia="en-AU"/>
        </w:rPr>
        <w:t>s</w:t>
      </w:r>
      <w:r w:rsidRPr="00576558">
        <w:rPr>
          <w:rFonts w:ascii="Times New Roman" w:eastAsia="Times New Roman" w:hAnsi="Times New Roman" w:cs="Times New Roman"/>
          <w:bCs/>
          <w:sz w:val="24"/>
          <w:szCs w:val="24"/>
          <w:lang w:eastAsia="en-AU"/>
        </w:rPr>
        <w:t>ection 100/</w:t>
      </w:r>
      <w:r w:rsidR="00C81843">
        <w:rPr>
          <w:rFonts w:ascii="Times New Roman" w:eastAsia="Times New Roman" w:hAnsi="Times New Roman" w:cs="Times New Roman"/>
          <w:bCs/>
          <w:sz w:val="24"/>
          <w:szCs w:val="24"/>
          <w:lang w:eastAsia="en-AU"/>
        </w:rPr>
        <w:t>p</w:t>
      </w:r>
      <w:r w:rsidRPr="00576558">
        <w:rPr>
          <w:rFonts w:ascii="Times New Roman" w:eastAsia="Times New Roman" w:hAnsi="Times New Roman" w:cs="Times New Roman"/>
          <w:bCs/>
          <w:sz w:val="24"/>
          <w:szCs w:val="24"/>
          <w:lang w:eastAsia="en-AU"/>
        </w:rPr>
        <w:t xml:space="preserve">rescriber </w:t>
      </w:r>
      <w:r w:rsidR="00C81843">
        <w:rPr>
          <w:rFonts w:ascii="Times New Roman" w:eastAsia="Times New Roman" w:hAnsi="Times New Roman" w:cs="Times New Roman"/>
          <w:bCs/>
          <w:sz w:val="24"/>
          <w:szCs w:val="24"/>
          <w:lang w:eastAsia="en-AU"/>
        </w:rPr>
        <w:t>b</w:t>
      </w:r>
      <w:r w:rsidRPr="00576558">
        <w:rPr>
          <w:rFonts w:ascii="Times New Roman" w:eastAsia="Times New Roman" w:hAnsi="Times New Roman" w:cs="Times New Roman"/>
          <w:bCs/>
          <w:sz w:val="24"/>
          <w:szCs w:val="24"/>
          <w:lang w:eastAsia="en-AU"/>
        </w:rPr>
        <w:t>ag only</w:t>
      </w:r>
      <w:r w:rsidR="00C81843">
        <w:rPr>
          <w:rFonts w:ascii="Times New Roman" w:eastAsia="Times New Roman" w:hAnsi="Times New Roman" w:cs="Times New Roman"/>
          <w:bCs/>
          <w:sz w:val="24"/>
          <w:szCs w:val="24"/>
          <w:lang w:eastAsia="en-AU"/>
        </w:rPr>
        <w:t xml:space="preserve"> column</w:t>
      </w:r>
      <w:r w:rsidR="000F4A71">
        <w:rPr>
          <w:rFonts w:ascii="Times New Roman" w:eastAsia="Times New Roman" w:hAnsi="Times New Roman" w:cs="Times New Roman"/>
          <w:bCs/>
          <w:sz w:val="24"/>
          <w:szCs w:val="24"/>
          <w:lang w:eastAsia="en-AU"/>
        </w:rPr>
        <w:t xml:space="preserve"> </w:t>
      </w:r>
      <w:r w:rsidRPr="00576558">
        <w:rPr>
          <w:rFonts w:ascii="Times New Roman" w:eastAsia="Times New Roman" w:hAnsi="Times New Roman" w:cs="Times New Roman"/>
          <w:bCs/>
          <w:sz w:val="24"/>
          <w:szCs w:val="24"/>
          <w:lang w:eastAsia="en-AU"/>
        </w:rPr>
        <w:t>in relation to the drug.</w:t>
      </w:r>
    </w:p>
    <w:p w14:paraId="37B5DF51" w14:textId="77777777" w:rsidR="007129BE" w:rsidRDefault="007129BE" w:rsidP="00167955">
      <w:pPr>
        <w:spacing w:after="0" w:line="240" w:lineRule="auto"/>
        <w:rPr>
          <w:rFonts w:ascii="Times New Roman" w:eastAsia="Times New Roman" w:hAnsi="Times New Roman" w:cs="Times New Roman"/>
          <w:bCs/>
          <w:sz w:val="24"/>
          <w:szCs w:val="24"/>
          <w:lang w:eastAsia="en-AU"/>
        </w:rPr>
      </w:pPr>
    </w:p>
    <w:p w14:paraId="63FB33E8" w14:textId="0B1782CF" w:rsidR="007129BE" w:rsidRPr="00A22E0C" w:rsidRDefault="007129BE" w:rsidP="00167955">
      <w:pPr>
        <w:spacing w:after="0" w:line="240" w:lineRule="auto"/>
        <w:rPr>
          <w:rFonts w:ascii="Times New Roman" w:eastAsia="Times New Roman" w:hAnsi="Times New Roman" w:cs="Times New Roman"/>
          <w:bCs/>
          <w:sz w:val="24"/>
          <w:szCs w:val="24"/>
          <w:u w:val="single"/>
          <w:lang w:eastAsia="en-AU"/>
        </w:rPr>
      </w:pPr>
      <w:r w:rsidRPr="00A22E0C">
        <w:rPr>
          <w:rFonts w:ascii="Times New Roman" w:eastAsia="Times New Roman" w:hAnsi="Times New Roman" w:cs="Times New Roman"/>
          <w:bCs/>
          <w:sz w:val="24"/>
          <w:szCs w:val="24"/>
          <w:u w:val="single"/>
          <w:lang w:eastAsia="en-AU"/>
        </w:rPr>
        <w:t>Pharmaceutical benefits that can only be supplied under special arrangements</w:t>
      </w:r>
    </w:p>
    <w:p w14:paraId="7FAB7C26" w14:textId="77777777" w:rsidR="00545600" w:rsidRPr="00576558" w:rsidRDefault="00545600" w:rsidP="00167955">
      <w:pPr>
        <w:spacing w:after="0" w:line="240" w:lineRule="auto"/>
        <w:rPr>
          <w:rFonts w:ascii="Times New Roman" w:eastAsia="Times New Roman" w:hAnsi="Times New Roman" w:cs="Times New Roman"/>
          <w:bCs/>
          <w:sz w:val="24"/>
          <w:szCs w:val="24"/>
          <w:lang w:eastAsia="en-AU"/>
        </w:rPr>
      </w:pPr>
    </w:p>
    <w:p w14:paraId="06DA7234" w14:textId="610F2517" w:rsidR="00613B85" w:rsidRPr="00576558" w:rsidRDefault="00545600"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E3183A" w:rsidRPr="00576558">
        <w:rPr>
          <w:rFonts w:ascii="Times New Roman" w:eastAsia="Times New Roman" w:hAnsi="Times New Roman" w:cs="Times New Roman"/>
          <w:bCs/>
          <w:sz w:val="24"/>
          <w:szCs w:val="24"/>
          <w:lang w:eastAsia="en-AU"/>
        </w:rPr>
        <w:t>23</w:t>
      </w:r>
      <w:r w:rsidRPr="00576558">
        <w:rPr>
          <w:rFonts w:ascii="Times New Roman" w:eastAsia="Times New Roman" w:hAnsi="Times New Roman" w:cs="Times New Roman"/>
          <w:bCs/>
          <w:sz w:val="24"/>
          <w:szCs w:val="24"/>
          <w:lang w:eastAsia="en-AU"/>
        </w:rPr>
        <w:t>(2) is made for the purposes of paragraph 85(8)(a) of the Act</w:t>
      </w:r>
      <w:r w:rsidR="00F205A9" w:rsidRPr="00576558">
        <w:rPr>
          <w:rFonts w:ascii="Times New Roman" w:eastAsia="Times New Roman" w:hAnsi="Times New Roman" w:cs="Times New Roman"/>
          <w:bCs/>
          <w:sz w:val="24"/>
          <w:szCs w:val="24"/>
          <w:lang w:eastAsia="en-AU"/>
        </w:rPr>
        <w:t xml:space="preserve"> which</w:t>
      </w:r>
      <w:r w:rsidR="00613B85" w:rsidRPr="00576558">
        <w:rPr>
          <w:rFonts w:ascii="Times New Roman" w:eastAsia="Times New Roman" w:hAnsi="Times New Roman" w:cs="Times New Roman"/>
          <w:bCs/>
          <w:sz w:val="24"/>
          <w:szCs w:val="24"/>
          <w:lang w:eastAsia="en-AU"/>
        </w:rPr>
        <w:t xml:space="preserve"> provides </w:t>
      </w:r>
      <w:r w:rsidR="00983720" w:rsidRPr="00576558">
        <w:rPr>
          <w:rFonts w:ascii="Times New Roman" w:eastAsia="Times New Roman" w:hAnsi="Times New Roman" w:cs="Times New Roman"/>
          <w:bCs/>
          <w:sz w:val="24"/>
          <w:szCs w:val="24"/>
          <w:lang w:eastAsia="en-AU"/>
        </w:rPr>
        <w:t xml:space="preserve">that the Minister may determine that a particular pharmaceutical benefit (other than a pharmaceutical benefit that has a drug covered by subsection </w:t>
      </w:r>
      <w:r w:rsidR="00D97668" w:rsidRPr="00576558">
        <w:rPr>
          <w:rFonts w:ascii="Times New Roman" w:eastAsia="Times New Roman" w:hAnsi="Times New Roman" w:cs="Times New Roman"/>
          <w:bCs/>
          <w:sz w:val="24"/>
          <w:szCs w:val="24"/>
          <w:lang w:eastAsia="en-AU"/>
        </w:rPr>
        <w:t>85</w:t>
      </w:r>
      <w:r w:rsidR="00983720" w:rsidRPr="00576558">
        <w:rPr>
          <w:rFonts w:ascii="Times New Roman" w:eastAsia="Times New Roman" w:hAnsi="Times New Roman" w:cs="Times New Roman"/>
          <w:bCs/>
          <w:sz w:val="24"/>
          <w:szCs w:val="24"/>
          <w:lang w:eastAsia="en-AU"/>
        </w:rPr>
        <w:t xml:space="preserve">(2A)) can be supplied </w:t>
      </w:r>
      <w:r w:rsidR="000E4DAE" w:rsidRPr="00576558">
        <w:rPr>
          <w:rFonts w:ascii="Times New Roman" w:eastAsia="Times New Roman" w:hAnsi="Times New Roman" w:cs="Times New Roman"/>
          <w:bCs/>
          <w:sz w:val="24"/>
          <w:szCs w:val="24"/>
          <w:lang w:eastAsia="en-AU"/>
        </w:rPr>
        <w:t xml:space="preserve">only </w:t>
      </w:r>
      <w:r w:rsidR="00983720" w:rsidRPr="00576558">
        <w:rPr>
          <w:rFonts w:ascii="Times New Roman" w:eastAsia="Times New Roman" w:hAnsi="Times New Roman" w:cs="Times New Roman"/>
          <w:bCs/>
          <w:sz w:val="24"/>
          <w:szCs w:val="24"/>
          <w:lang w:eastAsia="en-AU"/>
        </w:rPr>
        <w:t>under special arrangements</w:t>
      </w:r>
      <w:r w:rsidR="00D97668" w:rsidRPr="00576558">
        <w:rPr>
          <w:rFonts w:ascii="Times New Roman" w:eastAsia="Times New Roman" w:hAnsi="Times New Roman" w:cs="Times New Roman"/>
          <w:bCs/>
          <w:sz w:val="24"/>
          <w:szCs w:val="24"/>
          <w:lang w:eastAsia="en-AU"/>
        </w:rPr>
        <w:t>.</w:t>
      </w:r>
    </w:p>
    <w:p w14:paraId="2FB9F72A" w14:textId="77777777" w:rsidR="00545600" w:rsidRPr="00576558" w:rsidRDefault="00545600" w:rsidP="00167955">
      <w:pPr>
        <w:spacing w:after="0" w:line="240" w:lineRule="auto"/>
        <w:rPr>
          <w:rFonts w:ascii="Times New Roman" w:eastAsia="Times New Roman" w:hAnsi="Times New Roman" w:cs="Times New Roman"/>
          <w:bCs/>
          <w:sz w:val="24"/>
          <w:szCs w:val="24"/>
          <w:lang w:eastAsia="en-AU"/>
        </w:rPr>
      </w:pPr>
    </w:p>
    <w:p w14:paraId="0C4BC1D4" w14:textId="3AB076CE" w:rsidR="00545600" w:rsidRPr="00576558" w:rsidRDefault="00613B85"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E3183A" w:rsidRPr="00576558">
        <w:rPr>
          <w:rFonts w:ascii="Times New Roman" w:eastAsia="Times New Roman" w:hAnsi="Times New Roman" w:cs="Times New Roman"/>
          <w:bCs/>
          <w:sz w:val="24"/>
          <w:szCs w:val="24"/>
          <w:lang w:eastAsia="en-AU"/>
        </w:rPr>
        <w:t>23</w:t>
      </w:r>
      <w:r w:rsidRPr="00576558">
        <w:rPr>
          <w:rFonts w:ascii="Times New Roman" w:eastAsia="Times New Roman" w:hAnsi="Times New Roman" w:cs="Times New Roman"/>
          <w:bCs/>
          <w:sz w:val="24"/>
          <w:szCs w:val="24"/>
          <w:lang w:eastAsia="en-AU"/>
        </w:rPr>
        <w:t xml:space="preserve">(2) </w:t>
      </w:r>
      <w:r w:rsidR="00C40D50" w:rsidRPr="00576558">
        <w:rPr>
          <w:rFonts w:ascii="Times New Roman" w:eastAsia="Times New Roman" w:hAnsi="Times New Roman" w:cs="Times New Roman"/>
          <w:bCs/>
          <w:sz w:val="24"/>
          <w:szCs w:val="24"/>
          <w:lang w:eastAsia="en-AU"/>
        </w:rPr>
        <w:t xml:space="preserve">provides that </w:t>
      </w:r>
      <w:r w:rsidR="00783FA0" w:rsidRPr="00576558">
        <w:rPr>
          <w:rFonts w:ascii="Times New Roman" w:eastAsia="Times New Roman" w:hAnsi="Times New Roman" w:cs="Times New Roman"/>
          <w:bCs/>
          <w:sz w:val="24"/>
          <w:szCs w:val="24"/>
          <w:lang w:eastAsia="en-AU"/>
        </w:rPr>
        <w:t>a</w:t>
      </w:r>
      <w:r w:rsidRPr="00576558">
        <w:rPr>
          <w:rFonts w:ascii="Times New Roman" w:eastAsia="Times New Roman" w:hAnsi="Times New Roman" w:cs="Times New Roman"/>
          <w:bCs/>
          <w:sz w:val="24"/>
          <w:szCs w:val="24"/>
          <w:lang w:eastAsia="en-AU"/>
        </w:rPr>
        <w:t xml:space="preserve"> ready</w:t>
      </w:r>
      <w:r w:rsidR="001A3EC1" w:rsidRPr="00576558">
        <w:rPr>
          <w:rFonts w:ascii="Times New Roman" w:eastAsia="Times New Roman" w:hAnsi="Times New Roman" w:cs="Times New Roman"/>
          <w:bCs/>
          <w:sz w:val="24"/>
          <w:szCs w:val="24"/>
          <w:lang w:eastAsia="en-AU"/>
        </w:rPr>
        <w:t>-</w:t>
      </w:r>
      <w:r w:rsidRPr="00576558">
        <w:rPr>
          <w:rFonts w:ascii="Times New Roman" w:eastAsia="Times New Roman" w:hAnsi="Times New Roman" w:cs="Times New Roman"/>
          <w:bCs/>
          <w:sz w:val="24"/>
          <w:szCs w:val="24"/>
          <w:lang w:eastAsia="en-AU"/>
        </w:rPr>
        <w:t xml:space="preserve">prepared pharmaceutical benefit can </w:t>
      </w:r>
      <w:r w:rsidR="008D4540">
        <w:rPr>
          <w:rFonts w:ascii="Times New Roman" w:eastAsia="Times New Roman" w:hAnsi="Times New Roman" w:cs="Times New Roman"/>
          <w:bCs/>
          <w:sz w:val="24"/>
          <w:szCs w:val="24"/>
          <w:lang w:eastAsia="en-AU"/>
        </w:rPr>
        <w:t xml:space="preserve">only </w:t>
      </w:r>
      <w:r w:rsidRPr="00576558">
        <w:rPr>
          <w:rFonts w:ascii="Times New Roman" w:eastAsia="Times New Roman" w:hAnsi="Times New Roman" w:cs="Times New Roman"/>
          <w:bCs/>
          <w:sz w:val="24"/>
          <w:szCs w:val="24"/>
          <w:lang w:eastAsia="en-AU"/>
        </w:rPr>
        <w:t xml:space="preserve">be supplied under special arrangements if the code </w:t>
      </w:r>
      <w:bookmarkStart w:id="3" w:name="_Hlk150332167"/>
      <w:r w:rsidR="008D4540">
        <w:rPr>
          <w:rFonts w:ascii="Times New Roman" w:eastAsia="Times New Roman" w:hAnsi="Times New Roman" w:cs="Times New Roman"/>
          <w:bCs/>
          <w:sz w:val="24"/>
          <w:szCs w:val="24"/>
          <w:lang w:eastAsia="en-AU"/>
        </w:rPr>
        <w:t>“</w:t>
      </w:r>
      <w:r w:rsidRPr="00576558">
        <w:rPr>
          <w:rFonts w:ascii="Times New Roman" w:eastAsia="Times New Roman" w:hAnsi="Times New Roman" w:cs="Times New Roman"/>
          <w:bCs/>
          <w:sz w:val="24"/>
          <w:szCs w:val="24"/>
          <w:lang w:eastAsia="en-AU"/>
        </w:rPr>
        <w:t>PB</w:t>
      </w:r>
      <w:bookmarkEnd w:id="3"/>
      <w:r w:rsidRPr="00576558">
        <w:rPr>
          <w:rFonts w:ascii="Times New Roman" w:eastAsia="Times New Roman" w:hAnsi="Times New Roman" w:cs="Times New Roman"/>
          <w:bCs/>
          <w:sz w:val="24"/>
          <w:szCs w:val="24"/>
          <w:lang w:eastAsia="en-AU"/>
        </w:rPr>
        <w:t>(100)</w:t>
      </w:r>
      <w:r w:rsidR="008D4540">
        <w:rPr>
          <w:rFonts w:ascii="Times New Roman" w:eastAsia="Times New Roman" w:hAnsi="Times New Roman" w:cs="Times New Roman"/>
          <w:bCs/>
          <w:sz w:val="24"/>
          <w:szCs w:val="24"/>
          <w:lang w:eastAsia="en-AU"/>
        </w:rPr>
        <w:t>”</w:t>
      </w:r>
      <w:r w:rsidRPr="00576558">
        <w:rPr>
          <w:rFonts w:ascii="Times New Roman" w:eastAsia="Times New Roman" w:hAnsi="Times New Roman" w:cs="Times New Roman"/>
          <w:bCs/>
          <w:sz w:val="24"/>
          <w:szCs w:val="24"/>
          <w:lang w:eastAsia="en-AU"/>
        </w:rPr>
        <w:t xml:space="preserve"> is mentioned in the</w:t>
      </w:r>
      <w:r w:rsidR="000F4A71">
        <w:rPr>
          <w:rFonts w:ascii="Times New Roman" w:eastAsia="Times New Roman" w:hAnsi="Times New Roman" w:cs="Times New Roman"/>
          <w:bCs/>
          <w:sz w:val="24"/>
          <w:szCs w:val="24"/>
          <w:lang w:eastAsia="en-AU"/>
        </w:rPr>
        <w:t xml:space="preserve"> </w:t>
      </w:r>
      <w:r w:rsidR="00C81843">
        <w:rPr>
          <w:rFonts w:ascii="Times New Roman" w:eastAsia="Times New Roman" w:hAnsi="Times New Roman" w:cs="Times New Roman"/>
          <w:bCs/>
          <w:sz w:val="24"/>
          <w:szCs w:val="24"/>
          <w:lang w:eastAsia="en-AU"/>
        </w:rPr>
        <w:t>s</w:t>
      </w:r>
      <w:r w:rsidR="000F4A71">
        <w:rPr>
          <w:rFonts w:ascii="Times New Roman" w:eastAsia="Times New Roman" w:hAnsi="Times New Roman" w:cs="Times New Roman"/>
          <w:bCs/>
          <w:sz w:val="24"/>
          <w:szCs w:val="24"/>
          <w:lang w:eastAsia="en-AU"/>
        </w:rPr>
        <w:t>ection 100</w:t>
      </w:r>
      <w:r w:rsidR="00C81843">
        <w:rPr>
          <w:rFonts w:ascii="Times New Roman" w:eastAsia="Times New Roman" w:hAnsi="Times New Roman" w:cs="Times New Roman"/>
          <w:bCs/>
          <w:sz w:val="24"/>
          <w:szCs w:val="24"/>
          <w:lang w:eastAsia="en-AU"/>
        </w:rPr>
        <w:t xml:space="preserve">/prescriber bag </w:t>
      </w:r>
      <w:r w:rsidR="000F4A71">
        <w:rPr>
          <w:rFonts w:ascii="Times New Roman" w:eastAsia="Times New Roman" w:hAnsi="Times New Roman" w:cs="Times New Roman"/>
          <w:bCs/>
          <w:sz w:val="24"/>
          <w:szCs w:val="24"/>
          <w:lang w:eastAsia="en-AU"/>
        </w:rPr>
        <w:t xml:space="preserve">only </w:t>
      </w:r>
      <w:r w:rsidRPr="00576558">
        <w:rPr>
          <w:rFonts w:ascii="Times New Roman" w:eastAsia="Times New Roman" w:hAnsi="Times New Roman" w:cs="Times New Roman"/>
          <w:bCs/>
          <w:sz w:val="24"/>
          <w:szCs w:val="24"/>
          <w:lang w:eastAsia="en-AU"/>
        </w:rPr>
        <w:t>column in relation to the pharmaceutical benefit.</w:t>
      </w:r>
    </w:p>
    <w:p w14:paraId="6AB4F98D" w14:textId="77777777" w:rsidR="004E21A0" w:rsidRDefault="004E21A0" w:rsidP="00167955">
      <w:pPr>
        <w:spacing w:after="0" w:line="240" w:lineRule="auto"/>
        <w:rPr>
          <w:rFonts w:ascii="Times New Roman" w:eastAsia="Times New Roman" w:hAnsi="Times New Roman" w:cs="Times New Roman"/>
          <w:bCs/>
          <w:sz w:val="24"/>
          <w:szCs w:val="24"/>
          <w:lang w:eastAsia="en-AU"/>
        </w:rPr>
      </w:pPr>
    </w:p>
    <w:p w14:paraId="2924DAAA" w14:textId="1811B1B6" w:rsidR="009D6883" w:rsidRPr="00A22E0C" w:rsidRDefault="009D6883" w:rsidP="00167955">
      <w:pPr>
        <w:spacing w:after="0" w:line="240" w:lineRule="auto"/>
        <w:rPr>
          <w:rFonts w:ascii="Times New Roman" w:eastAsia="Times New Roman" w:hAnsi="Times New Roman" w:cs="Times New Roman"/>
          <w:bCs/>
          <w:sz w:val="24"/>
          <w:szCs w:val="24"/>
          <w:u w:val="single"/>
          <w:lang w:eastAsia="en-AU"/>
        </w:rPr>
      </w:pPr>
      <w:r w:rsidRPr="00A22E0C">
        <w:rPr>
          <w:rFonts w:ascii="Times New Roman" w:eastAsia="Times New Roman" w:hAnsi="Times New Roman" w:cs="Times New Roman"/>
          <w:bCs/>
          <w:sz w:val="24"/>
          <w:szCs w:val="24"/>
          <w:u w:val="single"/>
          <w:lang w:eastAsia="en-AU"/>
        </w:rPr>
        <w:t xml:space="preserve">Pharmaceutical benefits that can only be supplied under special arrangements in </w:t>
      </w:r>
      <w:r w:rsidR="00C60642" w:rsidRPr="00A22E0C">
        <w:rPr>
          <w:rFonts w:ascii="Times New Roman" w:eastAsia="Times New Roman" w:hAnsi="Times New Roman" w:cs="Times New Roman"/>
          <w:bCs/>
          <w:sz w:val="24"/>
          <w:szCs w:val="24"/>
          <w:u w:val="single"/>
          <w:lang w:eastAsia="en-AU"/>
        </w:rPr>
        <w:t>certain circumstances</w:t>
      </w:r>
    </w:p>
    <w:p w14:paraId="54EBA4E8" w14:textId="77777777" w:rsidR="009D6883" w:rsidRPr="00576558" w:rsidRDefault="009D6883" w:rsidP="00167955">
      <w:pPr>
        <w:spacing w:after="0" w:line="240" w:lineRule="auto"/>
        <w:rPr>
          <w:rFonts w:ascii="Times New Roman" w:eastAsia="Times New Roman" w:hAnsi="Times New Roman" w:cs="Times New Roman"/>
          <w:bCs/>
          <w:sz w:val="24"/>
          <w:szCs w:val="24"/>
          <w:lang w:eastAsia="en-AU"/>
        </w:rPr>
      </w:pPr>
    </w:p>
    <w:p w14:paraId="78EED7FB" w14:textId="308BC839" w:rsidR="00322B84" w:rsidRPr="00576558" w:rsidRDefault="004E21A0"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E3183A" w:rsidRPr="00576558">
        <w:rPr>
          <w:rFonts w:ascii="Times New Roman" w:eastAsia="Times New Roman" w:hAnsi="Times New Roman" w:cs="Times New Roman"/>
          <w:bCs/>
          <w:sz w:val="24"/>
          <w:szCs w:val="24"/>
          <w:lang w:eastAsia="en-AU"/>
        </w:rPr>
        <w:t>23</w:t>
      </w:r>
      <w:r w:rsidRPr="00576558">
        <w:rPr>
          <w:rFonts w:ascii="Times New Roman" w:eastAsia="Times New Roman" w:hAnsi="Times New Roman" w:cs="Times New Roman"/>
          <w:bCs/>
          <w:sz w:val="24"/>
          <w:szCs w:val="24"/>
          <w:lang w:eastAsia="en-AU"/>
        </w:rPr>
        <w:t>(3) is made for the purposes of paragraph 85(8)(b) of the Act</w:t>
      </w:r>
      <w:r w:rsidR="00093AA9" w:rsidRPr="00576558">
        <w:rPr>
          <w:rFonts w:ascii="Times New Roman" w:eastAsia="Times New Roman" w:hAnsi="Times New Roman" w:cs="Times New Roman"/>
          <w:bCs/>
          <w:sz w:val="24"/>
          <w:szCs w:val="24"/>
          <w:lang w:eastAsia="en-AU"/>
        </w:rPr>
        <w:t xml:space="preserve"> which</w:t>
      </w:r>
      <w:r w:rsidRPr="00576558">
        <w:rPr>
          <w:rFonts w:ascii="Times New Roman" w:eastAsia="Times New Roman" w:hAnsi="Times New Roman" w:cs="Times New Roman"/>
          <w:bCs/>
          <w:sz w:val="24"/>
          <w:szCs w:val="24"/>
          <w:lang w:eastAsia="en-AU"/>
        </w:rPr>
        <w:t xml:space="preserve"> provides </w:t>
      </w:r>
      <w:r w:rsidR="00322B84" w:rsidRPr="00576558">
        <w:rPr>
          <w:rFonts w:ascii="Times New Roman" w:eastAsia="Times New Roman" w:hAnsi="Times New Roman" w:cs="Times New Roman"/>
          <w:bCs/>
          <w:sz w:val="24"/>
          <w:szCs w:val="24"/>
          <w:lang w:eastAsia="en-AU"/>
        </w:rPr>
        <w:t xml:space="preserve">that the Minister may determine that </w:t>
      </w:r>
      <w:r w:rsidR="006A710B" w:rsidRPr="00576558">
        <w:rPr>
          <w:rFonts w:ascii="Times New Roman" w:eastAsia="Times New Roman" w:hAnsi="Times New Roman" w:cs="Times New Roman"/>
          <w:bCs/>
          <w:sz w:val="24"/>
          <w:szCs w:val="24"/>
          <w:lang w:eastAsia="en-AU"/>
        </w:rPr>
        <w:t xml:space="preserve">one or more of the circumstances in which a prescription for the supply of </w:t>
      </w:r>
      <w:r w:rsidR="00C60642">
        <w:rPr>
          <w:rFonts w:ascii="Times New Roman" w:eastAsia="Times New Roman" w:hAnsi="Times New Roman" w:cs="Times New Roman"/>
          <w:bCs/>
          <w:sz w:val="24"/>
          <w:szCs w:val="24"/>
          <w:lang w:eastAsia="en-AU"/>
        </w:rPr>
        <w:t>the</w:t>
      </w:r>
      <w:r w:rsidR="006A710B" w:rsidRPr="00576558">
        <w:rPr>
          <w:rFonts w:ascii="Times New Roman" w:eastAsia="Times New Roman" w:hAnsi="Times New Roman" w:cs="Times New Roman"/>
          <w:bCs/>
          <w:sz w:val="24"/>
          <w:szCs w:val="24"/>
          <w:lang w:eastAsia="en-AU"/>
        </w:rPr>
        <w:t xml:space="preserve"> pharmaceutical benefit may be written are circumstances in which the benefit can be supplied under special arrangements</w:t>
      </w:r>
      <w:r w:rsidR="00322B84" w:rsidRPr="00576558">
        <w:rPr>
          <w:rFonts w:ascii="Times New Roman" w:eastAsia="Times New Roman" w:hAnsi="Times New Roman" w:cs="Times New Roman"/>
          <w:bCs/>
          <w:sz w:val="24"/>
          <w:szCs w:val="24"/>
          <w:lang w:eastAsia="en-AU"/>
        </w:rPr>
        <w:t>.</w:t>
      </w:r>
    </w:p>
    <w:p w14:paraId="5E5449B3" w14:textId="7DE0A401" w:rsidR="004E21A0" w:rsidRPr="00576558" w:rsidRDefault="004E21A0" w:rsidP="00167955">
      <w:pPr>
        <w:spacing w:after="0" w:line="240" w:lineRule="auto"/>
        <w:rPr>
          <w:rFonts w:ascii="Times New Roman" w:eastAsia="Times New Roman" w:hAnsi="Times New Roman" w:cs="Times New Roman"/>
          <w:bCs/>
          <w:sz w:val="24"/>
          <w:szCs w:val="24"/>
          <w:lang w:eastAsia="en-AU"/>
        </w:rPr>
      </w:pPr>
    </w:p>
    <w:p w14:paraId="19C81F1C" w14:textId="257408E8" w:rsidR="004E21A0" w:rsidRPr="00576558" w:rsidRDefault="004E21A0"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E3183A" w:rsidRPr="00576558">
        <w:rPr>
          <w:rFonts w:ascii="Times New Roman" w:eastAsia="Times New Roman" w:hAnsi="Times New Roman" w:cs="Times New Roman"/>
          <w:bCs/>
          <w:sz w:val="24"/>
          <w:szCs w:val="24"/>
          <w:lang w:eastAsia="en-AU"/>
        </w:rPr>
        <w:t>23(</w:t>
      </w:r>
      <w:r w:rsidRPr="00576558">
        <w:rPr>
          <w:rFonts w:ascii="Times New Roman" w:eastAsia="Times New Roman" w:hAnsi="Times New Roman" w:cs="Times New Roman"/>
          <w:bCs/>
          <w:sz w:val="24"/>
          <w:szCs w:val="24"/>
          <w:lang w:eastAsia="en-AU"/>
        </w:rPr>
        <w:t>3)</w:t>
      </w:r>
      <w:r w:rsidR="00A94F22" w:rsidRPr="00576558">
        <w:rPr>
          <w:rFonts w:ascii="Times New Roman" w:eastAsia="Times New Roman" w:hAnsi="Times New Roman" w:cs="Times New Roman"/>
          <w:bCs/>
          <w:sz w:val="24"/>
          <w:szCs w:val="24"/>
          <w:lang w:eastAsia="en-AU"/>
        </w:rPr>
        <w:t xml:space="preserve"> provides that </w:t>
      </w:r>
      <w:r w:rsidR="00122122" w:rsidRPr="00576558">
        <w:rPr>
          <w:rFonts w:ascii="Times New Roman" w:eastAsia="Times New Roman" w:hAnsi="Times New Roman" w:cs="Times New Roman"/>
          <w:bCs/>
          <w:sz w:val="24"/>
          <w:szCs w:val="24"/>
          <w:lang w:eastAsia="en-AU"/>
        </w:rPr>
        <w:t xml:space="preserve">if the code “C(100)” is mentioned in the </w:t>
      </w:r>
      <w:r w:rsidR="00C81843">
        <w:rPr>
          <w:rFonts w:ascii="Times New Roman" w:eastAsia="Times New Roman" w:hAnsi="Times New Roman" w:cs="Times New Roman"/>
          <w:bCs/>
          <w:sz w:val="24"/>
          <w:szCs w:val="24"/>
          <w:lang w:eastAsia="en-AU"/>
        </w:rPr>
        <w:t xml:space="preserve">section 100/prescriber bag only </w:t>
      </w:r>
      <w:r w:rsidR="00122122" w:rsidRPr="00576558">
        <w:rPr>
          <w:rFonts w:ascii="Times New Roman" w:eastAsia="Times New Roman" w:hAnsi="Times New Roman" w:cs="Times New Roman"/>
          <w:bCs/>
          <w:sz w:val="24"/>
          <w:szCs w:val="24"/>
          <w:lang w:eastAsia="en-AU"/>
        </w:rPr>
        <w:t xml:space="preserve">column in relation to </w:t>
      </w:r>
      <w:r w:rsidR="00EC16C6">
        <w:rPr>
          <w:rFonts w:ascii="Times New Roman" w:eastAsia="Times New Roman" w:hAnsi="Times New Roman" w:cs="Times New Roman"/>
          <w:bCs/>
          <w:sz w:val="24"/>
          <w:szCs w:val="24"/>
          <w:lang w:eastAsia="en-AU"/>
        </w:rPr>
        <w:t xml:space="preserve">both </w:t>
      </w:r>
      <w:r w:rsidR="00122122" w:rsidRPr="00576558">
        <w:rPr>
          <w:rFonts w:ascii="Times New Roman" w:eastAsia="Times New Roman" w:hAnsi="Times New Roman" w:cs="Times New Roman"/>
          <w:bCs/>
          <w:sz w:val="24"/>
          <w:szCs w:val="24"/>
          <w:lang w:eastAsia="en-AU"/>
        </w:rPr>
        <w:t xml:space="preserve">a pharmaceutical benefit and a circumstances code, the circumstances mentioned in the table in Schedule 4 for the circumstances code are circumstances in which the pharmaceutical benefit can </w:t>
      </w:r>
      <w:r w:rsidR="00EC16C6">
        <w:rPr>
          <w:rFonts w:ascii="Times New Roman" w:eastAsia="Times New Roman" w:hAnsi="Times New Roman" w:cs="Times New Roman"/>
          <w:bCs/>
          <w:sz w:val="24"/>
          <w:szCs w:val="24"/>
          <w:lang w:eastAsia="en-AU"/>
        </w:rPr>
        <w:t xml:space="preserve">only </w:t>
      </w:r>
      <w:r w:rsidR="00122122" w:rsidRPr="00576558">
        <w:rPr>
          <w:rFonts w:ascii="Times New Roman" w:eastAsia="Times New Roman" w:hAnsi="Times New Roman" w:cs="Times New Roman"/>
          <w:bCs/>
          <w:sz w:val="24"/>
          <w:szCs w:val="24"/>
          <w:lang w:eastAsia="en-AU"/>
        </w:rPr>
        <w:t>be supplied under special arrangements.</w:t>
      </w:r>
    </w:p>
    <w:p w14:paraId="16C8122C" w14:textId="77777777" w:rsidR="00972550" w:rsidRDefault="00972550" w:rsidP="00167955">
      <w:pPr>
        <w:spacing w:after="0" w:line="240" w:lineRule="auto"/>
        <w:rPr>
          <w:rFonts w:ascii="Times New Roman" w:eastAsia="Times New Roman" w:hAnsi="Times New Roman" w:cs="Times New Roman"/>
          <w:bCs/>
          <w:sz w:val="24"/>
          <w:szCs w:val="24"/>
          <w:lang w:eastAsia="en-AU"/>
        </w:rPr>
      </w:pPr>
    </w:p>
    <w:p w14:paraId="3851A66A" w14:textId="11DF1906" w:rsidR="00C14FB0" w:rsidRDefault="00C14FB0"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23 </w:t>
      </w:r>
      <w:r w:rsidRPr="00CC18E5">
        <w:rPr>
          <w:rFonts w:ascii="Times New Roman" w:eastAsia="Times New Roman" w:hAnsi="Times New Roman" w:cs="Times New Roman"/>
          <w:bCs/>
          <w:sz w:val="24"/>
          <w:szCs w:val="24"/>
          <w:lang w:eastAsia="en-AU"/>
        </w:rPr>
        <w:t xml:space="preserve">corresponds to section </w:t>
      </w:r>
      <w:r>
        <w:rPr>
          <w:rFonts w:ascii="Times New Roman" w:eastAsia="Times New Roman" w:hAnsi="Times New Roman" w:cs="Times New Roman"/>
          <w:bCs/>
          <w:sz w:val="24"/>
          <w:szCs w:val="24"/>
          <w:lang w:eastAsia="en-AU"/>
        </w:rPr>
        <w:t>25</w:t>
      </w:r>
      <w:r w:rsidRPr="00CC18E5">
        <w:rPr>
          <w:rFonts w:ascii="Times New Roman" w:eastAsia="Times New Roman" w:hAnsi="Times New Roman" w:cs="Times New Roman"/>
          <w:bCs/>
          <w:sz w:val="24"/>
          <w:szCs w:val="24"/>
          <w:lang w:eastAsia="en-AU"/>
        </w:rPr>
        <w:t xml:space="preserve"> of the 2012 Listing Instrument.</w:t>
      </w:r>
    </w:p>
    <w:p w14:paraId="0E8C9301" w14:textId="77777777" w:rsidR="00C14FB0" w:rsidRPr="00576558" w:rsidRDefault="00C14FB0" w:rsidP="00167955">
      <w:pPr>
        <w:spacing w:after="0" w:line="240" w:lineRule="auto"/>
        <w:rPr>
          <w:rFonts w:ascii="Times New Roman" w:eastAsia="Times New Roman" w:hAnsi="Times New Roman" w:cs="Times New Roman"/>
          <w:bCs/>
          <w:sz w:val="24"/>
          <w:szCs w:val="24"/>
          <w:lang w:eastAsia="en-AU"/>
        </w:rPr>
      </w:pPr>
    </w:p>
    <w:p w14:paraId="3E308B37" w14:textId="18AF1AD9" w:rsidR="00F33909" w:rsidRDefault="00F33909" w:rsidP="00167955">
      <w:pPr>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t>Part 6—Application, saving and transitional provisions</w:t>
      </w:r>
    </w:p>
    <w:p w14:paraId="14C35278" w14:textId="77777777" w:rsidR="004469C1" w:rsidRDefault="004469C1" w:rsidP="00167955">
      <w:pPr>
        <w:spacing w:after="0" w:line="240" w:lineRule="auto"/>
        <w:rPr>
          <w:rFonts w:ascii="Times New Roman" w:eastAsia="Times New Roman" w:hAnsi="Times New Roman" w:cs="Times New Roman"/>
          <w:b/>
          <w:sz w:val="24"/>
          <w:szCs w:val="24"/>
          <w:lang w:eastAsia="en-AU"/>
        </w:rPr>
      </w:pPr>
    </w:p>
    <w:p w14:paraId="0C0C8706" w14:textId="40A3A317" w:rsidR="00231FFA" w:rsidRPr="00576558" w:rsidRDefault="00231FFA" w:rsidP="00167955">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 24 – Transitional provision – authorisation of prescriptions</w:t>
      </w:r>
    </w:p>
    <w:p w14:paraId="4E769F69" w14:textId="77777777" w:rsidR="00F33909" w:rsidRPr="00576558" w:rsidRDefault="00F33909" w:rsidP="00167955">
      <w:pPr>
        <w:spacing w:after="0" w:line="240" w:lineRule="auto"/>
        <w:rPr>
          <w:rFonts w:ascii="Times New Roman" w:eastAsia="Times New Roman" w:hAnsi="Times New Roman" w:cs="Times New Roman"/>
          <w:bCs/>
          <w:sz w:val="24"/>
          <w:szCs w:val="24"/>
          <w:lang w:eastAsia="en-AU"/>
        </w:rPr>
      </w:pPr>
    </w:p>
    <w:p w14:paraId="675993BF" w14:textId="2A4FDEFC" w:rsidR="00F33909" w:rsidRPr="00576558" w:rsidRDefault="00F33909"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Section </w:t>
      </w:r>
      <w:r w:rsidR="000217A4" w:rsidRPr="00576558">
        <w:rPr>
          <w:rFonts w:ascii="Times New Roman" w:eastAsia="Times New Roman" w:hAnsi="Times New Roman" w:cs="Times New Roman"/>
          <w:bCs/>
          <w:sz w:val="24"/>
          <w:szCs w:val="24"/>
          <w:lang w:eastAsia="en-AU"/>
        </w:rPr>
        <w:t>24</w:t>
      </w:r>
      <w:r w:rsidRPr="00576558">
        <w:rPr>
          <w:rFonts w:ascii="Times New Roman" w:eastAsia="Times New Roman" w:hAnsi="Times New Roman" w:cs="Times New Roman"/>
          <w:bCs/>
          <w:sz w:val="24"/>
          <w:szCs w:val="24"/>
          <w:lang w:eastAsia="en-AU"/>
        </w:rPr>
        <w:t xml:space="preserve"> </w:t>
      </w:r>
      <w:r w:rsidR="00C65A36" w:rsidRPr="00576558">
        <w:rPr>
          <w:rFonts w:ascii="Times New Roman" w:eastAsia="Times New Roman" w:hAnsi="Times New Roman" w:cs="Times New Roman"/>
          <w:bCs/>
          <w:sz w:val="24"/>
          <w:szCs w:val="24"/>
          <w:lang w:eastAsia="en-AU"/>
        </w:rPr>
        <w:t>contains a</w:t>
      </w:r>
      <w:r w:rsidRPr="00576558">
        <w:rPr>
          <w:rFonts w:ascii="Times New Roman" w:eastAsia="Times New Roman" w:hAnsi="Times New Roman" w:cs="Times New Roman"/>
          <w:bCs/>
          <w:sz w:val="24"/>
          <w:szCs w:val="24"/>
          <w:lang w:eastAsia="en-AU"/>
        </w:rPr>
        <w:t xml:space="preserve"> </w:t>
      </w:r>
      <w:r w:rsidR="00C65A36" w:rsidRPr="00576558">
        <w:rPr>
          <w:rFonts w:ascii="Times New Roman" w:eastAsia="Times New Roman" w:hAnsi="Times New Roman" w:cs="Times New Roman"/>
          <w:bCs/>
          <w:sz w:val="24"/>
          <w:szCs w:val="24"/>
          <w:lang w:eastAsia="en-AU"/>
        </w:rPr>
        <w:t>t</w:t>
      </w:r>
      <w:r w:rsidRPr="00576558">
        <w:rPr>
          <w:rFonts w:ascii="Times New Roman" w:eastAsia="Times New Roman" w:hAnsi="Times New Roman" w:cs="Times New Roman"/>
          <w:bCs/>
          <w:sz w:val="24"/>
          <w:szCs w:val="24"/>
          <w:lang w:eastAsia="en-AU"/>
        </w:rPr>
        <w:t>ransitional provision</w:t>
      </w:r>
      <w:r w:rsidR="00C65A36" w:rsidRPr="00576558">
        <w:rPr>
          <w:rFonts w:ascii="Times New Roman" w:eastAsia="Times New Roman" w:hAnsi="Times New Roman" w:cs="Times New Roman"/>
          <w:bCs/>
          <w:sz w:val="24"/>
          <w:szCs w:val="24"/>
          <w:lang w:eastAsia="en-AU"/>
        </w:rPr>
        <w:t xml:space="preserve"> regarding the </w:t>
      </w:r>
      <w:r w:rsidR="001C6420">
        <w:rPr>
          <w:rFonts w:ascii="Times New Roman" w:eastAsia="Times New Roman" w:hAnsi="Times New Roman" w:cs="Times New Roman"/>
          <w:bCs/>
          <w:sz w:val="24"/>
          <w:szCs w:val="24"/>
          <w:lang w:eastAsia="en-AU"/>
        </w:rPr>
        <w:t xml:space="preserve">authorisation of prescriptions by the </w:t>
      </w:r>
      <w:r w:rsidR="00DF5803" w:rsidRPr="00576558">
        <w:rPr>
          <w:rFonts w:ascii="Times New Roman" w:eastAsia="Times New Roman" w:hAnsi="Times New Roman" w:cs="Times New Roman"/>
          <w:bCs/>
          <w:sz w:val="24"/>
          <w:szCs w:val="24"/>
          <w:lang w:eastAsia="en-AU"/>
        </w:rPr>
        <w:t>Chief Executive</w:t>
      </w:r>
      <w:r w:rsidR="001C6420">
        <w:rPr>
          <w:rFonts w:ascii="Times New Roman" w:eastAsia="Times New Roman" w:hAnsi="Times New Roman" w:cs="Times New Roman"/>
          <w:bCs/>
          <w:sz w:val="24"/>
          <w:szCs w:val="24"/>
          <w:lang w:eastAsia="en-AU"/>
        </w:rPr>
        <w:t xml:space="preserve"> Medicare</w:t>
      </w:r>
      <w:r w:rsidR="007D0CF4" w:rsidRPr="00576558">
        <w:rPr>
          <w:rFonts w:ascii="Times New Roman" w:eastAsia="Times New Roman" w:hAnsi="Times New Roman" w:cs="Times New Roman"/>
          <w:bCs/>
          <w:sz w:val="24"/>
          <w:szCs w:val="24"/>
          <w:lang w:eastAsia="en-AU"/>
        </w:rPr>
        <w:t>.</w:t>
      </w:r>
    </w:p>
    <w:p w14:paraId="32E2413C" w14:textId="77777777" w:rsidR="007D0CF4" w:rsidRPr="00576558" w:rsidRDefault="007D0CF4" w:rsidP="00167955">
      <w:pPr>
        <w:spacing w:after="0" w:line="240" w:lineRule="auto"/>
        <w:rPr>
          <w:rFonts w:ascii="Times New Roman" w:eastAsia="Times New Roman" w:hAnsi="Times New Roman" w:cs="Times New Roman"/>
          <w:bCs/>
          <w:sz w:val="24"/>
          <w:szCs w:val="24"/>
          <w:lang w:eastAsia="en-AU"/>
        </w:rPr>
      </w:pPr>
    </w:p>
    <w:p w14:paraId="7285ED43" w14:textId="07E53DAB" w:rsidR="00F33909" w:rsidRPr="00576558" w:rsidRDefault="00DF5803"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0217A4" w:rsidRPr="00576558">
        <w:rPr>
          <w:rFonts w:ascii="Times New Roman" w:eastAsia="Times New Roman" w:hAnsi="Times New Roman" w:cs="Times New Roman"/>
          <w:bCs/>
          <w:sz w:val="24"/>
          <w:szCs w:val="24"/>
          <w:lang w:eastAsia="en-AU"/>
        </w:rPr>
        <w:t>24</w:t>
      </w:r>
      <w:r w:rsidRPr="00576558">
        <w:rPr>
          <w:rFonts w:ascii="Times New Roman" w:eastAsia="Times New Roman" w:hAnsi="Times New Roman" w:cs="Times New Roman"/>
          <w:bCs/>
          <w:sz w:val="24"/>
          <w:szCs w:val="24"/>
          <w:lang w:eastAsia="en-AU"/>
        </w:rPr>
        <w:t>(1) provides that the</w:t>
      </w:r>
      <w:r w:rsidR="00F33909" w:rsidRPr="00576558">
        <w:rPr>
          <w:rFonts w:ascii="Times New Roman" w:eastAsia="Times New Roman" w:hAnsi="Times New Roman" w:cs="Times New Roman"/>
          <w:bCs/>
          <w:sz w:val="24"/>
          <w:szCs w:val="24"/>
          <w:lang w:eastAsia="en-AU"/>
        </w:rPr>
        <w:t xml:space="preserve"> section applies in relation to prescriptions for the supply of pharmaceutical benefits written before 1 July 2024.</w:t>
      </w:r>
    </w:p>
    <w:p w14:paraId="60D0D07C" w14:textId="77777777" w:rsidR="00DF5803" w:rsidRPr="00576558" w:rsidRDefault="00DF5803" w:rsidP="00167955">
      <w:pPr>
        <w:spacing w:after="0" w:line="240" w:lineRule="auto"/>
        <w:rPr>
          <w:rFonts w:ascii="Times New Roman" w:eastAsia="Times New Roman" w:hAnsi="Times New Roman" w:cs="Times New Roman"/>
          <w:bCs/>
          <w:sz w:val="24"/>
          <w:szCs w:val="24"/>
          <w:lang w:eastAsia="en-AU"/>
        </w:rPr>
      </w:pPr>
    </w:p>
    <w:p w14:paraId="16EC0C3E" w14:textId="74599716" w:rsidR="00F33909" w:rsidRPr="00576558" w:rsidRDefault="00DF5803"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0217A4" w:rsidRPr="00576558">
        <w:rPr>
          <w:rFonts w:ascii="Times New Roman" w:eastAsia="Times New Roman" w:hAnsi="Times New Roman" w:cs="Times New Roman"/>
          <w:bCs/>
          <w:sz w:val="24"/>
          <w:szCs w:val="24"/>
          <w:lang w:eastAsia="en-AU"/>
        </w:rPr>
        <w:t>24</w:t>
      </w:r>
      <w:r w:rsidRPr="00576558">
        <w:rPr>
          <w:rFonts w:ascii="Times New Roman" w:eastAsia="Times New Roman" w:hAnsi="Times New Roman" w:cs="Times New Roman"/>
          <w:bCs/>
          <w:sz w:val="24"/>
          <w:szCs w:val="24"/>
          <w:lang w:eastAsia="en-AU"/>
        </w:rPr>
        <w:t>(</w:t>
      </w:r>
      <w:r w:rsidR="006B5272" w:rsidRPr="00576558">
        <w:rPr>
          <w:rFonts w:ascii="Times New Roman" w:eastAsia="Times New Roman" w:hAnsi="Times New Roman" w:cs="Times New Roman"/>
          <w:bCs/>
          <w:sz w:val="24"/>
          <w:szCs w:val="24"/>
          <w:lang w:eastAsia="en-AU"/>
        </w:rPr>
        <w:t>2</w:t>
      </w:r>
      <w:r w:rsidRPr="00576558">
        <w:rPr>
          <w:rFonts w:ascii="Times New Roman" w:eastAsia="Times New Roman" w:hAnsi="Times New Roman" w:cs="Times New Roman"/>
          <w:bCs/>
          <w:sz w:val="24"/>
          <w:szCs w:val="24"/>
          <w:lang w:eastAsia="en-AU"/>
        </w:rPr>
        <w:t>) provides that d</w:t>
      </w:r>
      <w:r w:rsidR="00F33909" w:rsidRPr="00576558">
        <w:rPr>
          <w:rFonts w:ascii="Times New Roman" w:eastAsia="Times New Roman" w:hAnsi="Times New Roman" w:cs="Times New Roman"/>
          <w:bCs/>
          <w:sz w:val="24"/>
          <w:szCs w:val="24"/>
          <w:lang w:eastAsia="en-AU"/>
        </w:rPr>
        <w:t xml:space="preserve">espite the repeal of the </w:t>
      </w:r>
      <w:r w:rsidR="00E34D44" w:rsidRPr="00E34D44">
        <w:rPr>
          <w:rFonts w:ascii="Times New Roman" w:eastAsia="Times New Roman" w:hAnsi="Times New Roman" w:cs="Times New Roman"/>
          <w:bCs/>
          <w:sz w:val="24"/>
          <w:szCs w:val="24"/>
          <w:lang w:eastAsia="en-AU"/>
        </w:rPr>
        <w:t>2012 Listing Instrument</w:t>
      </w:r>
      <w:r w:rsidR="007F4F94">
        <w:rPr>
          <w:rFonts w:ascii="Times New Roman" w:eastAsia="Times New Roman" w:hAnsi="Times New Roman" w:cs="Times New Roman"/>
          <w:bCs/>
          <w:sz w:val="24"/>
          <w:szCs w:val="24"/>
          <w:lang w:eastAsia="en-AU"/>
        </w:rPr>
        <w:t>, which will occur on 1 April 2024</w:t>
      </w:r>
      <w:r w:rsidR="00F33909" w:rsidRPr="00576558">
        <w:rPr>
          <w:rFonts w:ascii="Times New Roman" w:eastAsia="Times New Roman" w:hAnsi="Times New Roman" w:cs="Times New Roman"/>
          <w:bCs/>
          <w:sz w:val="24"/>
          <w:szCs w:val="24"/>
          <w:lang w:eastAsia="en-AU"/>
        </w:rPr>
        <w:t>:</w:t>
      </w:r>
    </w:p>
    <w:p w14:paraId="789E6563" w14:textId="75B107BD" w:rsidR="00F33909" w:rsidRPr="00576558" w:rsidRDefault="00F33909" w:rsidP="00A22E0C">
      <w:pPr>
        <w:pStyle w:val="ListParagraph"/>
        <w:numPr>
          <w:ilvl w:val="0"/>
          <w:numId w:val="1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an authorised prescriber may submit a prescription to the Chief Executive Medicare in accordance with section 12 of that instrument as in force immediately before 1</w:t>
      </w:r>
      <w:r w:rsidR="000860D3">
        <w:rPr>
          <w:rFonts w:ascii="Times New Roman" w:eastAsia="Times New Roman" w:hAnsi="Times New Roman" w:cs="Times New Roman"/>
          <w:bCs/>
          <w:sz w:val="24"/>
          <w:szCs w:val="24"/>
          <w:lang w:eastAsia="en-AU"/>
        </w:rPr>
        <w:t> </w:t>
      </w:r>
      <w:r w:rsidRPr="00576558">
        <w:rPr>
          <w:rFonts w:ascii="Times New Roman" w:eastAsia="Times New Roman" w:hAnsi="Times New Roman" w:cs="Times New Roman"/>
          <w:bCs/>
          <w:sz w:val="24"/>
          <w:szCs w:val="24"/>
          <w:lang w:eastAsia="en-AU"/>
        </w:rPr>
        <w:t>April</w:t>
      </w:r>
      <w:r w:rsidR="000860D3">
        <w:rPr>
          <w:rFonts w:ascii="Times New Roman" w:eastAsia="Times New Roman" w:hAnsi="Times New Roman" w:cs="Times New Roman"/>
          <w:bCs/>
          <w:sz w:val="24"/>
          <w:szCs w:val="24"/>
          <w:lang w:eastAsia="en-AU"/>
        </w:rPr>
        <w:t> </w:t>
      </w:r>
      <w:r w:rsidRPr="00576558">
        <w:rPr>
          <w:rFonts w:ascii="Times New Roman" w:eastAsia="Times New Roman" w:hAnsi="Times New Roman" w:cs="Times New Roman"/>
          <w:bCs/>
          <w:sz w:val="24"/>
          <w:szCs w:val="24"/>
          <w:lang w:eastAsia="en-AU"/>
        </w:rPr>
        <w:t>2024; and</w:t>
      </w:r>
    </w:p>
    <w:p w14:paraId="6FA47003" w14:textId="03382065" w:rsidR="00F33909" w:rsidRPr="00576558" w:rsidRDefault="00F33909" w:rsidP="00A22E0C">
      <w:pPr>
        <w:pStyle w:val="ListParagraph"/>
        <w:numPr>
          <w:ilvl w:val="0"/>
          <w:numId w:val="1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lastRenderedPageBreak/>
        <w:t>the Chief Executive Medicare may authorise the prescription in accordance with section 13 of that instrument as in force immediately before 1 April 2024; and</w:t>
      </w:r>
    </w:p>
    <w:p w14:paraId="126A1668" w14:textId="36CFBC4B" w:rsidR="00F33909" w:rsidRPr="00576558" w:rsidRDefault="00F33909" w:rsidP="00A22E0C">
      <w:pPr>
        <w:pStyle w:val="ListParagraph"/>
        <w:numPr>
          <w:ilvl w:val="0"/>
          <w:numId w:val="13"/>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if the </w:t>
      </w:r>
      <w:r w:rsidR="007F4F94">
        <w:rPr>
          <w:rFonts w:ascii="Times New Roman" w:eastAsia="Times New Roman" w:hAnsi="Times New Roman" w:cs="Times New Roman"/>
          <w:bCs/>
          <w:sz w:val="24"/>
          <w:szCs w:val="24"/>
          <w:lang w:eastAsia="en-AU"/>
        </w:rPr>
        <w:t xml:space="preserve">Chief Executive Medicare authorises the </w:t>
      </w:r>
      <w:r w:rsidRPr="00576558">
        <w:rPr>
          <w:rFonts w:ascii="Times New Roman" w:eastAsia="Times New Roman" w:hAnsi="Times New Roman" w:cs="Times New Roman"/>
          <w:bCs/>
          <w:sz w:val="24"/>
          <w:szCs w:val="24"/>
          <w:lang w:eastAsia="en-AU"/>
        </w:rPr>
        <w:t xml:space="preserve">prescription, writing the prescription is taken to have been authorised in accordance with section </w:t>
      </w:r>
      <w:r w:rsidR="00E3183A" w:rsidRPr="00576558">
        <w:rPr>
          <w:rFonts w:ascii="Times New Roman" w:eastAsia="Times New Roman" w:hAnsi="Times New Roman" w:cs="Times New Roman"/>
          <w:bCs/>
          <w:sz w:val="24"/>
          <w:szCs w:val="24"/>
          <w:lang w:eastAsia="en-AU"/>
        </w:rPr>
        <w:t>19</w:t>
      </w:r>
      <w:r w:rsidRPr="00576558">
        <w:rPr>
          <w:rFonts w:ascii="Times New Roman" w:eastAsia="Times New Roman" w:hAnsi="Times New Roman" w:cs="Times New Roman"/>
          <w:bCs/>
          <w:sz w:val="24"/>
          <w:szCs w:val="24"/>
          <w:lang w:eastAsia="en-AU"/>
        </w:rPr>
        <w:t xml:space="preserve"> of th</w:t>
      </w:r>
      <w:r w:rsidR="007F4F94">
        <w:rPr>
          <w:rFonts w:ascii="Times New Roman" w:eastAsia="Times New Roman" w:hAnsi="Times New Roman" w:cs="Times New Roman"/>
          <w:bCs/>
          <w:sz w:val="24"/>
          <w:szCs w:val="24"/>
          <w:lang w:eastAsia="en-AU"/>
        </w:rPr>
        <w:t>e 2024 Listing I</w:t>
      </w:r>
      <w:r w:rsidRPr="00576558">
        <w:rPr>
          <w:rFonts w:ascii="Times New Roman" w:eastAsia="Times New Roman" w:hAnsi="Times New Roman" w:cs="Times New Roman"/>
          <w:bCs/>
          <w:sz w:val="24"/>
          <w:szCs w:val="24"/>
          <w:lang w:eastAsia="en-AU"/>
        </w:rPr>
        <w:t>nstrument.</w:t>
      </w:r>
    </w:p>
    <w:p w14:paraId="1B10CD6E" w14:textId="77777777" w:rsidR="00763E22" w:rsidRPr="00576558" w:rsidRDefault="00763E22" w:rsidP="00167955">
      <w:pPr>
        <w:spacing w:after="0" w:line="240" w:lineRule="auto"/>
        <w:rPr>
          <w:rFonts w:ascii="Times New Roman" w:eastAsia="Times New Roman" w:hAnsi="Times New Roman" w:cs="Times New Roman"/>
          <w:bCs/>
          <w:sz w:val="24"/>
          <w:szCs w:val="24"/>
          <w:lang w:eastAsia="en-AU"/>
        </w:rPr>
      </w:pPr>
    </w:p>
    <w:p w14:paraId="3A8D874C" w14:textId="5A775D2A" w:rsidR="00C01B74" w:rsidRDefault="00DA233F" w:rsidP="00167955">
      <w:pPr>
        <w:spacing w:after="0" w:line="240" w:lineRule="auto"/>
        <w:rPr>
          <w:rFonts w:ascii="Times New Roman" w:eastAsia="Times New Roman" w:hAnsi="Times New Roman" w:cs="Times New Roman"/>
          <w:bCs/>
          <w:sz w:val="24"/>
          <w:szCs w:val="24"/>
          <w:lang w:eastAsia="en-AU"/>
        </w:rPr>
      </w:pPr>
      <w:r w:rsidRPr="00576558">
        <w:rPr>
          <w:rFonts w:ascii="Times New Roman" w:eastAsia="Times New Roman" w:hAnsi="Times New Roman" w:cs="Times New Roman"/>
          <w:bCs/>
          <w:sz w:val="24"/>
          <w:szCs w:val="24"/>
          <w:lang w:eastAsia="en-AU"/>
        </w:rPr>
        <w:t xml:space="preserve">Subsection </w:t>
      </w:r>
      <w:r w:rsidR="00E3183A" w:rsidRPr="00576558">
        <w:rPr>
          <w:rFonts w:ascii="Times New Roman" w:eastAsia="Times New Roman" w:hAnsi="Times New Roman" w:cs="Times New Roman"/>
          <w:bCs/>
          <w:sz w:val="24"/>
          <w:szCs w:val="24"/>
          <w:lang w:eastAsia="en-AU"/>
        </w:rPr>
        <w:t>2</w:t>
      </w:r>
      <w:r w:rsidR="000217A4" w:rsidRPr="00576558">
        <w:rPr>
          <w:rFonts w:ascii="Times New Roman" w:eastAsia="Times New Roman" w:hAnsi="Times New Roman" w:cs="Times New Roman"/>
          <w:bCs/>
          <w:sz w:val="24"/>
          <w:szCs w:val="24"/>
          <w:lang w:eastAsia="en-AU"/>
        </w:rPr>
        <w:t>4</w:t>
      </w:r>
      <w:r w:rsidRPr="00576558">
        <w:rPr>
          <w:rFonts w:ascii="Times New Roman" w:eastAsia="Times New Roman" w:hAnsi="Times New Roman" w:cs="Times New Roman"/>
          <w:bCs/>
          <w:sz w:val="24"/>
          <w:szCs w:val="24"/>
          <w:lang w:eastAsia="en-AU"/>
        </w:rPr>
        <w:t>(</w:t>
      </w:r>
      <w:r w:rsidR="006B5272" w:rsidRPr="00576558">
        <w:rPr>
          <w:rFonts w:ascii="Times New Roman" w:eastAsia="Times New Roman" w:hAnsi="Times New Roman" w:cs="Times New Roman"/>
          <w:bCs/>
          <w:sz w:val="24"/>
          <w:szCs w:val="24"/>
          <w:lang w:eastAsia="en-AU"/>
        </w:rPr>
        <w:t>3</w:t>
      </w:r>
      <w:r w:rsidRPr="00576558">
        <w:rPr>
          <w:rFonts w:ascii="Times New Roman" w:eastAsia="Times New Roman" w:hAnsi="Times New Roman" w:cs="Times New Roman"/>
          <w:bCs/>
          <w:sz w:val="24"/>
          <w:szCs w:val="24"/>
          <w:lang w:eastAsia="en-AU"/>
        </w:rPr>
        <w:t>) provides that if</w:t>
      </w:r>
      <w:r w:rsidR="00F33909" w:rsidRPr="00576558">
        <w:rPr>
          <w:rFonts w:ascii="Times New Roman" w:eastAsia="Times New Roman" w:hAnsi="Times New Roman" w:cs="Times New Roman"/>
          <w:bCs/>
          <w:sz w:val="24"/>
          <w:szCs w:val="24"/>
          <w:lang w:eastAsia="en-AU"/>
        </w:rPr>
        <w:t xml:space="preserve"> the Chief Executive Medicare authorises a prescription under subsection 13(1), (1A) or (1B) of </w:t>
      </w:r>
      <w:r w:rsidR="00A71CB0" w:rsidRPr="00576558">
        <w:rPr>
          <w:rFonts w:ascii="Times New Roman" w:eastAsia="Times New Roman" w:hAnsi="Times New Roman" w:cs="Times New Roman"/>
          <w:bCs/>
          <w:sz w:val="24"/>
          <w:szCs w:val="24"/>
          <w:lang w:eastAsia="en-AU"/>
        </w:rPr>
        <w:t xml:space="preserve">the </w:t>
      </w:r>
      <w:r w:rsidR="00A71CB0" w:rsidRPr="00E34D44">
        <w:rPr>
          <w:rFonts w:ascii="Times New Roman" w:eastAsia="Times New Roman" w:hAnsi="Times New Roman" w:cs="Times New Roman"/>
          <w:bCs/>
          <w:sz w:val="24"/>
          <w:szCs w:val="24"/>
          <w:lang w:eastAsia="en-AU"/>
        </w:rPr>
        <w:t>2012 Listing Instrument</w:t>
      </w:r>
      <w:r w:rsidR="003B59A5" w:rsidRPr="00576558">
        <w:rPr>
          <w:rFonts w:ascii="Times New Roman" w:eastAsia="Times New Roman" w:hAnsi="Times New Roman" w:cs="Times New Roman"/>
          <w:bCs/>
          <w:sz w:val="24"/>
          <w:szCs w:val="24"/>
          <w:lang w:eastAsia="en-AU"/>
        </w:rPr>
        <w:t xml:space="preserve">, </w:t>
      </w:r>
      <w:r w:rsidR="00F33909" w:rsidRPr="00576558">
        <w:rPr>
          <w:rFonts w:ascii="Times New Roman" w:eastAsia="Times New Roman" w:hAnsi="Times New Roman" w:cs="Times New Roman"/>
          <w:bCs/>
          <w:sz w:val="24"/>
          <w:szCs w:val="24"/>
          <w:lang w:eastAsia="en-AU"/>
        </w:rPr>
        <w:t xml:space="preserve">as in force immediately before 1 April 2024, the prescriber is not required to comply with </w:t>
      </w:r>
      <w:r w:rsidR="00F61BB5" w:rsidRPr="00576558">
        <w:rPr>
          <w:rFonts w:ascii="Times New Roman" w:eastAsia="Times New Roman" w:hAnsi="Times New Roman" w:cs="Times New Roman"/>
          <w:bCs/>
          <w:sz w:val="24"/>
          <w:szCs w:val="24"/>
          <w:lang w:eastAsia="en-AU"/>
        </w:rPr>
        <w:t>paragraphs 40(1)(i)</w:t>
      </w:r>
      <w:r w:rsidR="004F6488" w:rsidRPr="00576558">
        <w:rPr>
          <w:rFonts w:ascii="Times New Roman" w:eastAsia="Times New Roman" w:hAnsi="Times New Roman" w:cs="Times New Roman"/>
          <w:bCs/>
          <w:sz w:val="24"/>
          <w:szCs w:val="24"/>
          <w:lang w:eastAsia="en-AU"/>
        </w:rPr>
        <w:t xml:space="preserve"> or 41(3)(a) of the</w:t>
      </w:r>
      <w:r w:rsidR="00F33909" w:rsidRPr="00576558">
        <w:rPr>
          <w:rFonts w:ascii="Times New Roman" w:eastAsia="Times New Roman" w:hAnsi="Times New Roman" w:cs="Times New Roman"/>
          <w:bCs/>
          <w:sz w:val="24"/>
          <w:szCs w:val="24"/>
          <w:lang w:eastAsia="en-AU"/>
        </w:rPr>
        <w:t xml:space="preserve"> </w:t>
      </w:r>
      <w:r w:rsidR="00F33909" w:rsidRPr="00576558">
        <w:rPr>
          <w:rFonts w:ascii="Times New Roman" w:eastAsia="Times New Roman" w:hAnsi="Times New Roman" w:cs="Times New Roman"/>
          <w:bCs/>
          <w:i/>
          <w:iCs/>
          <w:sz w:val="24"/>
          <w:szCs w:val="24"/>
          <w:lang w:eastAsia="en-AU"/>
        </w:rPr>
        <w:t>National Health (Pharmaceutical Benefits) Regulations 2017</w:t>
      </w:r>
      <w:r w:rsidR="00F33909" w:rsidRPr="00576558">
        <w:rPr>
          <w:rFonts w:ascii="Times New Roman" w:eastAsia="Times New Roman" w:hAnsi="Times New Roman" w:cs="Times New Roman"/>
          <w:bCs/>
          <w:sz w:val="24"/>
          <w:szCs w:val="24"/>
          <w:lang w:eastAsia="en-AU"/>
        </w:rPr>
        <w:t xml:space="preserve"> in relation to the prescription</w:t>
      </w:r>
      <w:r w:rsidR="00D00A61" w:rsidRPr="00576558">
        <w:rPr>
          <w:rFonts w:ascii="Times New Roman" w:eastAsia="Times New Roman" w:hAnsi="Times New Roman" w:cs="Times New Roman"/>
          <w:bCs/>
          <w:sz w:val="24"/>
          <w:szCs w:val="24"/>
          <w:lang w:eastAsia="en-AU"/>
        </w:rPr>
        <w:t>.</w:t>
      </w:r>
      <w:r w:rsidR="00CA143C">
        <w:rPr>
          <w:rFonts w:ascii="Times New Roman" w:eastAsia="Times New Roman" w:hAnsi="Times New Roman" w:cs="Times New Roman"/>
          <w:bCs/>
          <w:sz w:val="24"/>
          <w:szCs w:val="24"/>
          <w:lang w:eastAsia="en-AU"/>
        </w:rPr>
        <w:t xml:space="preserve"> </w:t>
      </w:r>
      <w:r w:rsidR="00E21CC8">
        <w:rPr>
          <w:rFonts w:ascii="Times New Roman" w:eastAsia="Times New Roman" w:hAnsi="Times New Roman" w:cs="Times New Roman"/>
          <w:bCs/>
          <w:sz w:val="24"/>
          <w:szCs w:val="24"/>
          <w:lang w:eastAsia="en-AU"/>
        </w:rPr>
        <w:t xml:space="preserve">Those provisions would ordinarily require the prescriber to write </w:t>
      </w:r>
      <w:r w:rsidR="00EB1D7B">
        <w:rPr>
          <w:rFonts w:ascii="Times New Roman" w:eastAsia="Times New Roman" w:hAnsi="Times New Roman" w:cs="Times New Roman"/>
          <w:bCs/>
          <w:sz w:val="24"/>
          <w:szCs w:val="24"/>
          <w:lang w:eastAsia="en-AU"/>
        </w:rPr>
        <w:t xml:space="preserve">the </w:t>
      </w:r>
      <w:r w:rsidR="00C01B74" w:rsidRPr="00576558">
        <w:rPr>
          <w:rFonts w:ascii="Times New Roman" w:eastAsia="Times New Roman" w:hAnsi="Times New Roman" w:cs="Times New Roman"/>
          <w:bCs/>
          <w:sz w:val="24"/>
          <w:szCs w:val="24"/>
          <w:lang w:eastAsia="en-AU"/>
        </w:rPr>
        <w:t xml:space="preserve">authority approval number </w:t>
      </w:r>
      <w:r w:rsidR="00EB1D7B">
        <w:rPr>
          <w:rFonts w:ascii="Times New Roman" w:eastAsia="Times New Roman" w:hAnsi="Times New Roman" w:cs="Times New Roman"/>
          <w:bCs/>
          <w:sz w:val="24"/>
          <w:szCs w:val="24"/>
          <w:lang w:eastAsia="en-AU"/>
        </w:rPr>
        <w:t xml:space="preserve">allotted by the Chief Executive Medicare </w:t>
      </w:r>
      <w:r w:rsidR="00C01B74" w:rsidRPr="00576558">
        <w:rPr>
          <w:rFonts w:ascii="Times New Roman" w:eastAsia="Times New Roman" w:hAnsi="Times New Roman" w:cs="Times New Roman"/>
          <w:bCs/>
          <w:sz w:val="24"/>
          <w:szCs w:val="24"/>
          <w:lang w:eastAsia="en-AU"/>
        </w:rPr>
        <w:t xml:space="preserve">on </w:t>
      </w:r>
      <w:r w:rsidR="00C948C2" w:rsidRPr="00576558">
        <w:rPr>
          <w:rFonts w:ascii="Times New Roman" w:eastAsia="Times New Roman" w:hAnsi="Times New Roman" w:cs="Times New Roman"/>
          <w:bCs/>
          <w:sz w:val="24"/>
          <w:szCs w:val="24"/>
          <w:lang w:eastAsia="en-AU"/>
        </w:rPr>
        <w:t>the</w:t>
      </w:r>
      <w:r w:rsidR="00C01B74" w:rsidRPr="00576558">
        <w:rPr>
          <w:rFonts w:ascii="Times New Roman" w:eastAsia="Times New Roman" w:hAnsi="Times New Roman" w:cs="Times New Roman"/>
          <w:bCs/>
          <w:sz w:val="24"/>
          <w:szCs w:val="24"/>
          <w:lang w:eastAsia="en-AU"/>
        </w:rPr>
        <w:t xml:space="preserve"> prescription or medication chart prescription.</w:t>
      </w:r>
    </w:p>
    <w:p w14:paraId="1BDEA670" w14:textId="77777777" w:rsidR="000B10BE" w:rsidRDefault="000B10BE" w:rsidP="00167955">
      <w:pPr>
        <w:spacing w:after="0" w:line="240" w:lineRule="auto"/>
        <w:rPr>
          <w:rFonts w:ascii="Times New Roman" w:eastAsia="Times New Roman" w:hAnsi="Times New Roman" w:cs="Times New Roman"/>
          <w:bCs/>
          <w:sz w:val="24"/>
          <w:szCs w:val="24"/>
          <w:lang w:eastAsia="en-AU"/>
        </w:rPr>
      </w:pPr>
    </w:p>
    <w:p w14:paraId="1ED00B60" w14:textId="303DFEE2" w:rsidR="000B10BE" w:rsidRPr="00576558" w:rsidRDefault="005A1D71"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24 is intended to allow prescribers a </w:t>
      </w:r>
      <w:r w:rsidR="00E46066">
        <w:rPr>
          <w:rFonts w:ascii="Times New Roman" w:eastAsia="Times New Roman" w:hAnsi="Times New Roman" w:cs="Times New Roman"/>
          <w:bCs/>
          <w:sz w:val="24"/>
          <w:szCs w:val="24"/>
          <w:lang w:eastAsia="en-AU"/>
        </w:rPr>
        <w:t>period to adjust to new arrangements for requesting authorisation</w:t>
      </w:r>
      <w:r w:rsidR="001D73A2">
        <w:rPr>
          <w:rFonts w:ascii="Times New Roman" w:eastAsia="Times New Roman" w:hAnsi="Times New Roman" w:cs="Times New Roman"/>
          <w:bCs/>
          <w:sz w:val="24"/>
          <w:szCs w:val="24"/>
          <w:lang w:eastAsia="en-AU"/>
        </w:rPr>
        <w:t>.</w:t>
      </w:r>
    </w:p>
    <w:p w14:paraId="5C168139" w14:textId="77777777" w:rsidR="00A53399" w:rsidRPr="00576558" w:rsidRDefault="00A53399" w:rsidP="00167955">
      <w:pPr>
        <w:spacing w:after="0" w:line="240" w:lineRule="auto"/>
        <w:rPr>
          <w:rFonts w:ascii="Times New Roman" w:eastAsia="Times New Roman" w:hAnsi="Times New Roman" w:cs="Times New Roman"/>
          <w:b/>
          <w:sz w:val="24"/>
          <w:szCs w:val="24"/>
          <w:lang w:eastAsia="en-AU"/>
        </w:rPr>
      </w:pPr>
    </w:p>
    <w:p w14:paraId="5909AED8" w14:textId="468AB1E8" w:rsidR="00972550" w:rsidRPr="00576558" w:rsidRDefault="00972550" w:rsidP="00167955">
      <w:pPr>
        <w:spacing w:after="0" w:line="240" w:lineRule="auto"/>
        <w:rPr>
          <w:rFonts w:ascii="Times New Roman" w:eastAsia="Times New Roman" w:hAnsi="Times New Roman" w:cs="Times New Roman"/>
          <w:b/>
          <w:sz w:val="24"/>
          <w:szCs w:val="24"/>
          <w:lang w:eastAsia="en-AU"/>
        </w:rPr>
      </w:pPr>
      <w:r w:rsidRPr="00576558">
        <w:rPr>
          <w:rFonts w:ascii="Times New Roman" w:eastAsia="Times New Roman" w:hAnsi="Times New Roman" w:cs="Times New Roman"/>
          <w:b/>
          <w:sz w:val="24"/>
          <w:szCs w:val="24"/>
          <w:lang w:eastAsia="en-AU"/>
        </w:rPr>
        <w:t>Schedule 1</w:t>
      </w:r>
      <w:r w:rsidR="00DD7973" w:rsidRPr="00DD7973">
        <w:rPr>
          <w:rFonts w:ascii="Times New Roman" w:eastAsia="Times New Roman" w:hAnsi="Times New Roman" w:cs="Times New Roman"/>
          <w:b/>
          <w:sz w:val="24"/>
          <w:szCs w:val="24"/>
          <w:lang w:eastAsia="en-AU"/>
        </w:rPr>
        <w:t>—Ready-prepared pharmaceutical benefits</w:t>
      </w:r>
      <w:r w:rsidRPr="00576558">
        <w:rPr>
          <w:rFonts w:ascii="Times New Roman" w:eastAsia="Times New Roman" w:hAnsi="Times New Roman" w:cs="Times New Roman"/>
          <w:b/>
          <w:sz w:val="24"/>
          <w:szCs w:val="24"/>
          <w:lang w:eastAsia="en-AU"/>
        </w:rPr>
        <w:t xml:space="preserve"> </w:t>
      </w:r>
    </w:p>
    <w:p w14:paraId="22383F8D" w14:textId="601BA751" w:rsidR="00FA5349" w:rsidRPr="00A22E0C" w:rsidRDefault="00FA5349" w:rsidP="00167955">
      <w:pPr>
        <w:shd w:val="clear" w:color="auto" w:fill="FFFFFF"/>
        <w:spacing w:before="120" w:after="0" w:line="240" w:lineRule="auto"/>
        <w:rPr>
          <w:rFonts w:ascii="Times New Roman" w:eastAsia="Times New Roman" w:hAnsi="Times New Roman" w:cs="Times New Roman"/>
          <w:color w:val="000000"/>
          <w:u w:val="single"/>
          <w:lang w:eastAsia="en-AU"/>
        </w:rPr>
      </w:pPr>
      <w:r w:rsidRPr="00A22E0C">
        <w:rPr>
          <w:rFonts w:ascii="Times New Roman" w:eastAsia="Times New Roman" w:hAnsi="Times New Roman" w:cs="Times New Roman"/>
          <w:color w:val="000000"/>
          <w:u w:val="single"/>
          <w:lang w:eastAsia="en-AU"/>
        </w:rPr>
        <w:t>Part 1</w:t>
      </w:r>
      <w:r w:rsidR="00102702">
        <w:rPr>
          <w:rFonts w:ascii="Times New Roman" w:eastAsia="Times New Roman" w:hAnsi="Times New Roman" w:cs="Times New Roman"/>
          <w:color w:val="000000"/>
          <w:u w:val="single"/>
          <w:lang w:eastAsia="en-AU"/>
        </w:rPr>
        <w:tab/>
      </w:r>
      <w:r w:rsidR="00EA3A9B" w:rsidRPr="00A22E0C">
        <w:rPr>
          <w:rFonts w:ascii="Times New Roman" w:eastAsia="Times New Roman" w:hAnsi="Times New Roman" w:cs="Times New Roman"/>
          <w:color w:val="000000"/>
          <w:u w:val="single"/>
          <w:lang w:eastAsia="en-AU"/>
        </w:rPr>
        <w:t>Ready</w:t>
      </w:r>
      <w:r w:rsidR="007C4CFB" w:rsidRPr="00A22E0C">
        <w:rPr>
          <w:rFonts w:ascii="Times New Roman" w:eastAsia="Times New Roman" w:hAnsi="Times New Roman" w:cs="Times New Roman"/>
          <w:color w:val="000000"/>
          <w:u w:val="single"/>
          <w:lang w:eastAsia="en-AU"/>
        </w:rPr>
        <w:t>-</w:t>
      </w:r>
      <w:r w:rsidR="00EA3A9B" w:rsidRPr="00A22E0C">
        <w:rPr>
          <w:rFonts w:ascii="Times New Roman" w:eastAsia="Times New Roman" w:hAnsi="Times New Roman" w:cs="Times New Roman"/>
          <w:color w:val="000000"/>
          <w:u w:val="single"/>
          <w:lang w:eastAsia="en-AU"/>
        </w:rPr>
        <w:t>prepared pharmaceutical benefits</w:t>
      </w:r>
    </w:p>
    <w:p w14:paraId="61E87DD2" w14:textId="77777777" w:rsidR="00167955" w:rsidRDefault="00167955"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608F2A9B" w14:textId="64992334" w:rsidR="005C7471" w:rsidRDefault="00EA3A9B"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576558">
        <w:rPr>
          <w:rFonts w:ascii="Times New Roman" w:eastAsia="Times New Roman" w:hAnsi="Times New Roman" w:cs="Times New Roman"/>
          <w:color w:val="000000"/>
          <w:sz w:val="24"/>
          <w:szCs w:val="24"/>
          <w:lang w:eastAsia="en-AU"/>
        </w:rPr>
        <w:t xml:space="preserve">Part 1 of </w:t>
      </w:r>
      <w:r w:rsidR="009E4209" w:rsidRPr="00576558">
        <w:rPr>
          <w:rFonts w:ascii="Times New Roman" w:eastAsia="Times New Roman" w:hAnsi="Times New Roman" w:cs="Times New Roman"/>
          <w:color w:val="000000"/>
          <w:sz w:val="24"/>
          <w:szCs w:val="24"/>
          <w:lang w:eastAsia="en-AU"/>
        </w:rPr>
        <w:t xml:space="preserve">Schedule </w:t>
      </w:r>
      <w:r w:rsidR="00DF4C53" w:rsidRPr="00576558">
        <w:rPr>
          <w:rFonts w:ascii="Times New Roman" w:eastAsia="Times New Roman" w:hAnsi="Times New Roman" w:cs="Times New Roman"/>
          <w:color w:val="000000"/>
          <w:sz w:val="24"/>
          <w:szCs w:val="24"/>
          <w:lang w:eastAsia="en-AU"/>
        </w:rPr>
        <w:t xml:space="preserve">1 </w:t>
      </w:r>
      <w:r w:rsidRPr="00576558">
        <w:rPr>
          <w:rFonts w:ascii="Times New Roman" w:eastAsia="Times New Roman" w:hAnsi="Times New Roman" w:cs="Times New Roman"/>
          <w:color w:val="000000"/>
          <w:sz w:val="24"/>
          <w:szCs w:val="24"/>
          <w:lang w:eastAsia="en-AU"/>
        </w:rPr>
        <w:t xml:space="preserve">to the instrument </w:t>
      </w:r>
      <w:r w:rsidR="00EB4439">
        <w:rPr>
          <w:rFonts w:ascii="Times New Roman" w:eastAsia="Times New Roman" w:hAnsi="Times New Roman" w:cs="Times New Roman"/>
          <w:color w:val="000000"/>
          <w:sz w:val="24"/>
          <w:szCs w:val="24"/>
          <w:lang w:eastAsia="en-AU"/>
        </w:rPr>
        <w:t xml:space="preserve">deals with </w:t>
      </w:r>
      <w:r w:rsidR="00026062" w:rsidRPr="00576558">
        <w:rPr>
          <w:rFonts w:ascii="Times New Roman" w:eastAsia="Times New Roman" w:hAnsi="Times New Roman" w:cs="Times New Roman"/>
          <w:color w:val="000000"/>
          <w:sz w:val="24"/>
          <w:szCs w:val="24"/>
          <w:lang w:eastAsia="en-AU"/>
        </w:rPr>
        <w:t xml:space="preserve">matters relevant to the listing of ready-prepared pharmaceutical benefits on the PBS. The matters dealt with in the various columns </w:t>
      </w:r>
      <w:r w:rsidR="005B7DD1" w:rsidRPr="00576558">
        <w:rPr>
          <w:rFonts w:ascii="Times New Roman" w:eastAsia="Times New Roman" w:hAnsi="Times New Roman" w:cs="Times New Roman"/>
          <w:color w:val="000000"/>
          <w:sz w:val="24"/>
          <w:szCs w:val="24"/>
          <w:lang w:eastAsia="en-AU"/>
        </w:rPr>
        <w:t>in Part 1 of Schedule 1</w:t>
      </w:r>
      <w:r w:rsidR="00026062" w:rsidRPr="00576558">
        <w:rPr>
          <w:rFonts w:ascii="Times New Roman" w:eastAsia="Times New Roman" w:hAnsi="Times New Roman" w:cs="Times New Roman"/>
          <w:color w:val="000000"/>
          <w:sz w:val="24"/>
          <w:szCs w:val="24"/>
          <w:lang w:eastAsia="en-AU"/>
        </w:rPr>
        <w:t>, and the corresponding provisions of the Act and sections of th</w:t>
      </w:r>
      <w:r w:rsidR="00EB4439">
        <w:rPr>
          <w:rFonts w:ascii="Times New Roman" w:eastAsia="Times New Roman" w:hAnsi="Times New Roman" w:cs="Times New Roman"/>
          <w:color w:val="000000"/>
          <w:sz w:val="24"/>
          <w:szCs w:val="24"/>
          <w:lang w:eastAsia="en-AU"/>
        </w:rPr>
        <w:t>e 2024 Listing I</w:t>
      </w:r>
      <w:r w:rsidR="00026062" w:rsidRPr="00576558">
        <w:rPr>
          <w:rFonts w:ascii="Times New Roman" w:eastAsia="Times New Roman" w:hAnsi="Times New Roman" w:cs="Times New Roman"/>
          <w:color w:val="000000"/>
          <w:sz w:val="24"/>
          <w:szCs w:val="24"/>
          <w:lang w:eastAsia="en-AU"/>
        </w:rPr>
        <w:t>nstrument are set out below.</w:t>
      </w:r>
    </w:p>
    <w:p w14:paraId="57A8D5F3" w14:textId="77777777" w:rsidR="00167955" w:rsidRDefault="00167955" w:rsidP="00167955">
      <w:pPr>
        <w:shd w:val="clear" w:color="auto" w:fill="FFFFFF"/>
        <w:spacing w:after="0" w:line="240" w:lineRule="auto"/>
        <w:rPr>
          <w:rFonts w:ascii="Times New Roman" w:eastAsia="Times New Roman" w:hAnsi="Times New Roman" w:cs="Times New Roman"/>
          <w:color w:val="000000"/>
          <w:sz w:val="24"/>
          <w:szCs w:val="24"/>
          <w:lang w:eastAsia="en-AU"/>
        </w:rPr>
      </w:pPr>
    </w:p>
    <w:tbl>
      <w:tblPr>
        <w:tblW w:w="9264" w:type="dxa"/>
        <w:tblCellMar>
          <w:left w:w="0" w:type="dxa"/>
          <w:right w:w="0" w:type="dxa"/>
        </w:tblCellMar>
        <w:tblLook w:val="04A0" w:firstRow="1" w:lastRow="0" w:firstColumn="1" w:lastColumn="0" w:noHBand="0" w:noVBand="1"/>
      </w:tblPr>
      <w:tblGrid>
        <w:gridCol w:w="3095"/>
        <w:gridCol w:w="3087"/>
        <w:gridCol w:w="3082"/>
      </w:tblGrid>
      <w:tr w:rsidR="004D6299" w:rsidRPr="004D6299" w14:paraId="3C009E12" w14:textId="77777777" w:rsidTr="00842949">
        <w:trPr>
          <w:trHeight w:val="206"/>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DF5CD9F" w14:textId="1DE31F05" w:rsidR="004D6299" w:rsidRPr="004D6299" w:rsidRDefault="004D6299" w:rsidP="004D6299">
            <w:pPr>
              <w:spacing w:before="120"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b/>
                <w:bCs/>
                <w:color w:val="000000"/>
                <w:sz w:val="24"/>
                <w:szCs w:val="24"/>
                <w:u w:val="single"/>
                <w:lang w:eastAsia="en-AU"/>
              </w:rPr>
              <w:t xml:space="preserve">Column in </w:t>
            </w:r>
            <w:r>
              <w:rPr>
                <w:rFonts w:ascii="Times New Roman" w:eastAsia="Times New Roman" w:hAnsi="Times New Roman" w:cs="Times New Roman"/>
                <w:b/>
                <w:bCs/>
                <w:color w:val="000000"/>
                <w:sz w:val="24"/>
                <w:szCs w:val="24"/>
                <w:u w:val="single"/>
                <w:lang w:eastAsia="en-AU"/>
              </w:rPr>
              <w:t xml:space="preserve">Part 1 of </w:t>
            </w:r>
            <w:r w:rsidRPr="004D6299">
              <w:rPr>
                <w:rFonts w:ascii="Times New Roman" w:eastAsia="Times New Roman" w:hAnsi="Times New Roman" w:cs="Times New Roman"/>
                <w:b/>
                <w:bCs/>
                <w:color w:val="000000"/>
                <w:sz w:val="24"/>
                <w:szCs w:val="24"/>
                <w:u w:val="single"/>
                <w:lang w:eastAsia="en-AU"/>
              </w:rPr>
              <w:t>Schedule 1</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9DE2926" w14:textId="77777777" w:rsidR="004D6299" w:rsidRPr="004D6299" w:rsidRDefault="004D6299" w:rsidP="004D6299">
            <w:pPr>
              <w:spacing w:before="120"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b/>
                <w:bCs/>
                <w:color w:val="000000"/>
                <w:sz w:val="24"/>
                <w:szCs w:val="24"/>
                <w:u w:val="single"/>
                <w:lang w:eastAsia="en-AU"/>
              </w:rPr>
              <w:t>Provision of the Act</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ADD6F39" w14:textId="77777777" w:rsidR="004D6299" w:rsidRPr="004D6299" w:rsidRDefault="004D6299" w:rsidP="004D6299">
            <w:pPr>
              <w:spacing w:before="120"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b/>
                <w:bCs/>
                <w:color w:val="000000"/>
                <w:sz w:val="24"/>
                <w:szCs w:val="24"/>
                <w:u w:val="single"/>
                <w:lang w:eastAsia="en-AU"/>
              </w:rPr>
              <w:t>Section of this Instrument</w:t>
            </w:r>
          </w:p>
        </w:tc>
      </w:tr>
      <w:tr w:rsidR="004D6299" w:rsidRPr="004D6299" w14:paraId="70A85267" w14:textId="77777777" w:rsidTr="00842949">
        <w:trPr>
          <w:trHeight w:val="2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EBCF380"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Listed Drug</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1D662F9"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85(2)</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89FAC79" w14:textId="62C2E848"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 </w:t>
            </w:r>
            <w:r w:rsidR="00F558FA">
              <w:rPr>
                <w:rFonts w:ascii="Times New Roman" w:eastAsia="Times New Roman" w:hAnsi="Times New Roman" w:cs="Times New Roman"/>
                <w:color w:val="000000"/>
                <w:sz w:val="24"/>
                <w:szCs w:val="24"/>
                <w:lang w:eastAsia="en-AU"/>
              </w:rPr>
              <w:t>6</w:t>
            </w:r>
          </w:p>
        </w:tc>
      </w:tr>
      <w:tr w:rsidR="004D6299" w:rsidRPr="004D6299" w14:paraId="6453CD01" w14:textId="77777777" w:rsidTr="00842949">
        <w:trPr>
          <w:trHeight w:val="2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46E3F52"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Form</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47FD0AF"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85(3)</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6757D47" w14:textId="01507904"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 </w:t>
            </w:r>
            <w:r w:rsidR="00F558FA">
              <w:rPr>
                <w:rFonts w:ascii="Times New Roman" w:eastAsia="Times New Roman" w:hAnsi="Times New Roman" w:cs="Times New Roman"/>
                <w:color w:val="000000"/>
                <w:sz w:val="24"/>
                <w:szCs w:val="24"/>
                <w:lang w:eastAsia="en-AU"/>
              </w:rPr>
              <w:t>7</w:t>
            </w:r>
          </w:p>
        </w:tc>
      </w:tr>
      <w:tr w:rsidR="004D6299" w:rsidRPr="004D6299" w14:paraId="4501EEB4" w14:textId="77777777" w:rsidTr="00842949">
        <w:trPr>
          <w:trHeight w:val="203"/>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DEC92C0"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Manner of Administration</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7C6C576"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85(5)</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F92277F" w14:textId="1E1F382D"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 </w:t>
            </w:r>
            <w:r w:rsidR="00F558FA">
              <w:rPr>
                <w:rFonts w:ascii="Times New Roman" w:eastAsia="Times New Roman" w:hAnsi="Times New Roman" w:cs="Times New Roman"/>
                <w:color w:val="000000"/>
                <w:sz w:val="24"/>
                <w:szCs w:val="24"/>
                <w:lang w:eastAsia="en-AU"/>
              </w:rPr>
              <w:t>8</w:t>
            </w:r>
          </w:p>
        </w:tc>
      </w:tr>
      <w:tr w:rsidR="004D6299" w:rsidRPr="004D6299" w14:paraId="60A87B98" w14:textId="77777777" w:rsidTr="00842949">
        <w:trPr>
          <w:trHeight w:val="2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62F58BD"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Brand</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16C3357"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85(6)</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EFA3AA3" w14:textId="1F7E23F6"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 </w:t>
            </w:r>
            <w:r w:rsidR="00F558FA">
              <w:rPr>
                <w:rFonts w:ascii="Times New Roman" w:eastAsia="Times New Roman" w:hAnsi="Times New Roman" w:cs="Times New Roman"/>
                <w:color w:val="000000"/>
                <w:sz w:val="24"/>
                <w:szCs w:val="24"/>
                <w:lang w:eastAsia="en-AU"/>
              </w:rPr>
              <w:t>9</w:t>
            </w:r>
          </w:p>
        </w:tc>
      </w:tr>
      <w:tr w:rsidR="004D6299" w:rsidRPr="004D6299" w14:paraId="2DFD7A3C" w14:textId="77777777" w:rsidTr="00842949">
        <w:trPr>
          <w:trHeight w:val="2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A9A6424"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Responsible Person</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0007E76"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84AF(1)</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E005659" w14:textId="357F6823"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 </w:t>
            </w:r>
            <w:r w:rsidR="00F558FA">
              <w:rPr>
                <w:rFonts w:ascii="Times New Roman" w:eastAsia="Times New Roman" w:hAnsi="Times New Roman" w:cs="Times New Roman"/>
                <w:color w:val="000000"/>
                <w:sz w:val="24"/>
                <w:szCs w:val="24"/>
                <w:lang w:eastAsia="en-AU"/>
              </w:rPr>
              <w:t>10</w:t>
            </w:r>
          </w:p>
        </w:tc>
      </w:tr>
      <w:tr w:rsidR="004D6299" w:rsidRPr="004D6299" w14:paraId="4A3C26D8" w14:textId="77777777" w:rsidTr="00842949">
        <w:trPr>
          <w:trHeight w:val="341"/>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0472AD5"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Authorised Prescriber</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54321D1" w14:textId="72A424AF"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w:t>
            </w:r>
            <w:r w:rsidR="00027629">
              <w:rPr>
                <w:rFonts w:ascii="Times New Roman" w:eastAsia="Times New Roman" w:hAnsi="Times New Roman" w:cs="Times New Roman"/>
                <w:color w:val="000000"/>
                <w:sz w:val="24"/>
                <w:szCs w:val="24"/>
                <w:lang w:eastAsia="en-AU"/>
              </w:rPr>
              <w:t xml:space="preserve">ection </w:t>
            </w:r>
            <w:r w:rsidRPr="004D6299">
              <w:rPr>
                <w:rFonts w:ascii="Times New Roman" w:eastAsia="Times New Roman" w:hAnsi="Times New Roman" w:cs="Times New Roman"/>
                <w:color w:val="000000"/>
                <w:sz w:val="24"/>
                <w:szCs w:val="24"/>
                <w:lang w:eastAsia="en-AU"/>
              </w:rPr>
              <w:t>88</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2B753342" w14:textId="4CDF53A5"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 </w:t>
            </w:r>
            <w:r w:rsidR="003356E2">
              <w:rPr>
                <w:rFonts w:ascii="Times New Roman" w:eastAsia="Times New Roman" w:hAnsi="Times New Roman" w:cs="Times New Roman"/>
                <w:color w:val="000000"/>
                <w:sz w:val="24"/>
                <w:szCs w:val="24"/>
                <w:lang w:eastAsia="en-AU"/>
              </w:rPr>
              <w:t>12</w:t>
            </w:r>
          </w:p>
        </w:tc>
      </w:tr>
      <w:tr w:rsidR="004D6299" w:rsidRPr="004D6299" w14:paraId="3A881C31" w14:textId="77777777" w:rsidTr="00842949">
        <w:trPr>
          <w:trHeight w:val="2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0AB0B55"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Circumstances</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CDE6DB5" w14:textId="56971102" w:rsidR="004D6299" w:rsidRPr="004D6299" w:rsidRDefault="00027629" w:rsidP="00027629">
            <w:pPr>
              <w:spacing w:after="0" w:line="36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Subsection </w:t>
            </w:r>
            <w:r w:rsidR="004D6299" w:rsidRPr="004D6299">
              <w:rPr>
                <w:rFonts w:ascii="Times New Roman" w:eastAsia="Times New Roman" w:hAnsi="Times New Roman" w:cs="Times New Roman"/>
                <w:color w:val="000000"/>
                <w:sz w:val="24"/>
                <w:szCs w:val="24"/>
                <w:lang w:eastAsia="en-AU"/>
              </w:rPr>
              <w:t>85(7)</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C238A94" w14:textId="2DB98DE6"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 </w:t>
            </w:r>
            <w:r w:rsidR="00543E2E">
              <w:rPr>
                <w:rFonts w:ascii="Times New Roman" w:eastAsia="Times New Roman" w:hAnsi="Times New Roman" w:cs="Times New Roman"/>
                <w:color w:val="000000"/>
                <w:sz w:val="24"/>
                <w:szCs w:val="24"/>
                <w:lang w:eastAsia="en-AU"/>
              </w:rPr>
              <w:t>13</w:t>
            </w:r>
          </w:p>
        </w:tc>
      </w:tr>
      <w:tr w:rsidR="004D6299" w:rsidRPr="004D6299" w14:paraId="18A50C31" w14:textId="77777777" w:rsidTr="00842949">
        <w:trPr>
          <w:trHeight w:val="2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2AE6822"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Purposes</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47DD9C25"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Paragraphs 85A(2)(a) and (b)</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BBC0F56" w14:textId="0CEAF90F"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Sections </w:t>
            </w:r>
            <w:r w:rsidR="00786C06">
              <w:rPr>
                <w:rFonts w:ascii="Times New Roman" w:eastAsia="Times New Roman" w:hAnsi="Times New Roman" w:cs="Times New Roman"/>
                <w:color w:val="000000"/>
                <w:sz w:val="24"/>
                <w:szCs w:val="24"/>
                <w:lang w:eastAsia="en-AU"/>
              </w:rPr>
              <w:t>15</w:t>
            </w:r>
            <w:r w:rsidRPr="004D6299">
              <w:rPr>
                <w:rFonts w:ascii="Times New Roman" w:eastAsia="Times New Roman" w:hAnsi="Times New Roman" w:cs="Times New Roman"/>
                <w:color w:val="000000"/>
                <w:sz w:val="24"/>
                <w:szCs w:val="24"/>
                <w:lang w:eastAsia="en-AU"/>
              </w:rPr>
              <w:t xml:space="preserve"> and </w:t>
            </w:r>
            <w:r w:rsidR="00786C06">
              <w:rPr>
                <w:rFonts w:ascii="Times New Roman" w:eastAsia="Times New Roman" w:hAnsi="Times New Roman" w:cs="Times New Roman"/>
                <w:color w:val="000000"/>
                <w:sz w:val="24"/>
                <w:szCs w:val="24"/>
                <w:lang w:eastAsia="en-AU"/>
              </w:rPr>
              <w:t>16</w:t>
            </w:r>
          </w:p>
        </w:tc>
      </w:tr>
      <w:tr w:rsidR="004D6299" w:rsidRPr="004D6299" w14:paraId="361B4050" w14:textId="77777777" w:rsidTr="00842949">
        <w:trPr>
          <w:trHeight w:val="401"/>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ED18540" w14:textId="1717C798"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Maximum Quantity</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6F1ACBD"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Paragraph 85A(2)(a)</w:t>
            </w:r>
          </w:p>
          <w:p w14:paraId="507C82E2"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85A(2A)</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987B444" w14:textId="55593B92" w:rsidR="004D6299" w:rsidRPr="004D6299" w:rsidRDefault="004D6299" w:rsidP="005D3FC7">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 </w:t>
            </w:r>
            <w:r w:rsidR="005D3FC7">
              <w:rPr>
                <w:rFonts w:ascii="Times New Roman" w:eastAsia="Times New Roman" w:hAnsi="Times New Roman" w:cs="Times New Roman"/>
                <w:color w:val="000000"/>
                <w:sz w:val="24"/>
                <w:szCs w:val="24"/>
                <w:lang w:eastAsia="en-AU"/>
              </w:rPr>
              <w:t>15</w:t>
            </w:r>
          </w:p>
        </w:tc>
      </w:tr>
      <w:tr w:rsidR="004D6299" w:rsidRPr="004D6299" w14:paraId="39CC19F3" w14:textId="77777777" w:rsidTr="00842949">
        <w:trPr>
          <w:trHeight w:val="4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4E7F0BF6" w14:textId="1D0EBF33"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Number of Repeats</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AFAC078"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Paragraph 85A(2)(b)</w:t>
            </w:r>
          </w:p>
          <w:p w14:paraId="00B6AF36"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85A(2A)</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8F4FE4A" w14:textId="23A2371E" w:rsidR="004D6299" w:rsidRPr="004D6299" w:rsidRDefault="00217AAD"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16</w:t>
            </w:r>
          </w:p>
        </w:tc>
      </w:tr>
      <w:tr w:rsidR="005908C1" w:rsidRPr="004D6299" w14:paraId="764BB8DE" w14:textId="77777777" w:rsidTr="00842949">
        <w:trPr>
          <w:trHeight w:val="4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4C9E2871" w14:textId="0E809B04" w:rsidR="005908C1" w:rsidRPr="004D6299" w:rsidRDefault="005908C1" w:rsidP="004D6299">
            <w:pPr>
              <w:spacing w:after="0" w:line="36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Variation</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6A82469F" w14:textId="1D8DBC69" w:rsidR="005908C1" w:rsidRPr="004D6299" w:rsidRDefault="006D13E5" w:rsidP="004D6299">
            <w:pPr>
              <w:spacing w:after="0" w:line="36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Subsection </w:t>
            </w:r>
            <w:r w:rsidRPr="006D13E5">
              <w:rPr>
                <w:rFonts w:ascii="Times New Roman" w:eastAsia="Times New Roman" w:hAnsi="Times New Roman" w:cs="Times New Roman"/>
                <w:color w:val="000000"/>
                <w:sz w:val="24"/>
                <w:szCs w:val="24"/>
                <w:lang w:eastAsia="en-AU"/>
              </w:rPr>
              <w:t>85A(3A)</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22DC3E38" w14:textId="3CD8FF78" w:rsidR="005908C1" w:rsidRPr="004D6299" w:rsidRDefault="00746884" w:rsidP="004D6299">
            <w:pPr>
              <w:spacing w:after="0" w:line="36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Sections </w:t>
            </w:r>
            <w:r w:rsidR="005908C1">
              <w:rPr>
                <w:rFonts w:ascii="Times New Roman" w:eastAsia="Times New Roman" w:hAnsi="Times New Roman" w:cs="Times New Roman"/>
                <w:color w:val="000000"/>
                <w:sz w:val="24"/>
                <w:szCs w:val="24"/>
                <w:lang w:eastAsia="en-AU"/>
              </w:rPr>
              <w:t>15 and 16</w:t>
            </w:r>
          </w:p>
        </w:tc>
      </w:tr>
      <w:tr w:rsidR="00842949" w:rsidRPr="004D6299" w14:paraId="3CBC15BC" w14:textId="77777777" w:rsidTr="00842949">
        <w:trPr>
          <w:trHeight w:val="4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7D6E4AD6" w14:textId="204579CD" w:rsidR="00842949" w:rsidRPr="004D6299" w:rsidRDefault="00842949" w:rsidP="0084294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Pack Quantity</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0B39F3E0" w14:textId="245E5F87" w:rsidR="00842949" w:rsidRPr="004D6299" w:rsidRDefault="00842949" w:rsidP="0084294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84AK(2)</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494D7CDD" w14:textId="53837E68" w:rsidR="00842949" w:rsidRPr="004D6299" w:rsidRDefault="00842949" w:rsidP="0084294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Section 2</w:t>
            </w:r>
            <w:r>
              <w:rPr>
                <w:rFonts w:ascii="Times New Roman" w:eastAsia="Times New Roman" w:hAnsi="Times New Roman" w:cs="Times New Roman"/>
                <w:color w:val="000000"/>
                <w:sz w:val="24"/>
                <w:szCs w:val="24"/>
                <w:lang w:eastAsia="en-AU"/>
              </w:rPr>
              <w:t>0</w:t>
            </w:r>
          </w:p>
        </w:tc>
      </w:tr>
      <w:tr w:rsidR="004D6299" w:rsidRPr="004D6299" w14:paraId="146E5D0B" w14:textId="77777777" w:rsidTr="00842949">
        <w:trPr>
          <w:trHeight w:val="2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660C5A8A"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Determined Quantity</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2FA431E" w14:textId="77777777"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84AK(3)</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5ED875A" w14:textId="1393FB6D" w:rsidR="004D6299" w:rsidRPr="004D6299" w:rsidRDefault="004D6299" w:rsidP="004D629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Section 2</w:t>
            </w:r>
            <w:r w:rsidR="005C6FF6">
              <w:rPr>
                <w:rFonts w:ascii="Times New Roman" w:eastAsia="Times New Roman" w:hAnsi="Times New Roman" w:cs="Times New Roman"/>
                <w:color w:val="000000"/>
                <w:sz w:val="24"/>
                <w:szCs w:val="24"/>
                <w:lang w:eastAsia="en-AU"/>
              </w:rPr>
              <w:t>1</w:t>
            </w:r>
          </w:p>
        </w:tc>
      </w:tr>
      <w:tr w:rsidR="00842949" w:rsidRPr="004D6299" w14:paraId="6C21C2BA" w14:textId="77777777" w:rsidTr="00842949">
        <w:trPr>
          <w:trHeight w:val="202"/>
        </w:trPr>
        <w:tc>
          <w:tcPr>
            <w:tcW w:w="309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68F43534" w14:textId="08BC779C" w:rsidR="00842949" w:rsidRPr="004D6299" w:rsidRDefault="00484FC9" w:rsidP="00842949">
            <w:pPr>
              <w:spacing w:after="0" w:line="36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 xml:space="preserve">Section 100/ </w:t>
            </w:r>
            <w:r w:rsidR="00842949" w:rsidRPr="004D6299">
              <w:rPr>
                <w:rFonts w:ascii="Times New Roman" w:eastAsia="Times New Roman" w:hAnsi="Times New Roman" w:cs="Times New Roman"/>
                <w:color w:val="000000"/>
                <w:sz w:val="24"/>
                <w:szCs w:val="24"/>
                <w:lang w:eastAsia="en-AU"/>
              </w:rPr>
              <w:t>Prescriber bag only</w:t>
            </w:r>
          </w:p>
        </w:tc>
        <w:tc>
          <w:tcPr>
            <w:tcW w:w="308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57E5D3FE" w14:textId="77777777" w:rsidR="00484FC9" w:rsidRDefault="00842949" w:rsidP="0084294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Subsection 85(2AA)</w:t>
            </w:r>
          </w:p>
          <w:p w14:paraId="3E8D5310" w14:textId="55334710" w:rsidR="00484FC9" w:rsidRDefault="00484FC9" w:rsidP="00842949">
            <w:pPr>
              <w:spacing w:after="0" w:line="36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85(2A)</w:t>
            </w:r>
          </w:p>
          <w:p w14:paraId="1C9306D4" w14:textId="414562A1" w:rsidR="00842949" w:rsidRDefault="000D00D1" w:rsidP="0084294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 xml:space="preserve">Subsection </w:t>
            </w:r>
            <w:r w:rsidR="00842949" w:rsidRPr="004D6299">
              <w:rPr>
                <w:rFonts w:ascii="Times New Roman" w:eastAsia="Times New Roman" w:hAnsi="Times New Roman" w:cs="Times New Roman"/>
                <w:color w:val="000000"/>
                <w:sz w:val="24"/>
                <w:szCs w:val="24"/>
                <w:lang w:eastAsia="en-AU"/>
              </w:rPr>
              <w:t>85(7A)</w:t>
            </w:r>
          </w:p>
          <w:p w14:paraId="7BA9ED4B" w14:textId="72916B23" w:rsidR="00484FC9" w:rsidRPr="004D6299" w:rsidRDefault="00484FC9" w:rsidP="00842949">
            <w:pPr>
              <w:spacing w:after="0" w:line="36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85(8)</w:t>
            </w:r>
          </w:p>
        </w:tc>
        <w:tc>
          <w:tcPr>
            <w:tcW w:w="30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41015B8B" w14:textId="4BA57E2C" w:rsidR="00842949" w:rsidRPr="004D6299" w:rsidRDefault="00842949" w:rsidP="00842949">
            <w:pPr>
              <w:spacing w:after="0" w:line="360" w:lineRule="atLeast"/>
              <w:rPr>
                <w:rFonts w:ascii="Times New Roman" w:eastAsia="Times New Roman" w:hAnsi="Times New Roman" w:cs="Times New Roman"/>
                <w:color w:val="000000"/>
                <w:sz w:val="24"/>
                <w:szCs w:val="24"/>
                <w:lang w:eastAsia="en-AU"/>
              </w:rPr>
            </w:pPr>
            <w:r w:rsidRPr="004D6299">
              <w:rPr>
                <w:rFonts w:ascii="Times New Roman" w:eastAsia="Times New Roman" w:hAnsi="Times New Roman" w:cs="Times New Roman"/>
                <w:color w:val="000000"/>
                <w:sz w:val="24"/>
                <w:szCs w:val="24"/>
                <w:lang w:eastAsia="en-AU"/>
              </w:rPr>
              <w:t>Section</w:t>
            </w:r>
            <w:r w:rsidR="00484FC9">
              <w:rPr>
                <w:rFonts w:ascii="Times New Roman" w:eastAsia="Times New Roman" w:hAnsi="Times New Roman" w:cs="Times New Roman"/>
                <w:color w:val="000000"/>
                <w:sz w:val="24"/>
                <w:szCs w:val="24"/>
                <w:lang w:eastAsia="en-AU"/>
              </w:rPr>
              <w:t>s</w:t>
            </w:r>
            <w:r w:rsidRPr="004D6299">
              <w:rPr>
                <w:rFonts w:ascii="Times New Roman" w:eastAsia="Times New Roman" w:hAnsi="Times New Roman" w:cs="Times New Roman"/>
                <w:color w:val="000000"/>
                <w:sz w:val="24"/>
                <w:szCs w:val="24"/>
                <w:lang w:eastAsia="en-AU"/>
              </w:rPr>
              <w:t xml:space="preserve"> 2</w:t>
            </w:r>
            <w:r>
              <w:rPr>
                <w:rFonts w:ascii="Times New Roman" w:eastAsia="Times New Roman" w:hAnsi="Times New Roman" w:cs="Times New Roman"/>
                <w:color w:val="000000"/>
                <w:sz w:val="24"/>
                <w:szCs w:val="24"/>
                <w:lang w:eastAsia="en-AU"/>
              </w:rPr>
              <w:t>2</w:t>
            </w:r>
            <w:r w:rsidR="00484FC9">
              <w:rPr>
                <w:rFonts w:ascii="Times New Roman" w:eastAsia="Times New Roman" w:hAnsi="Times New Roman" w:cs="Times New Roman"/>
                <w:color w:val="000000"/>
                <w:sz w:val="24"/>
                <w:szCs w:val="24"/>
                <w:lang w:eastAsia="en-AU"/>
              </w:rPr>
              <w:t xml:space="preserve"> and 23</w:t>
            </w:r>
          </w:p>
        </w:tc>
      </w:tr>
    </w:tbl>
    <w:p w14:paraId="3E36745A" w14:textId="00B42284" w:rsidR="00883C97" w:rsidRDefault="00883C97" w:rsidP="00883C97">
      <w:pPr>
        <w:shd w:val="clear" w:color="auto" w:fill="FFFFFF"/>
        <w:spacing w:before="240" w:after="0" w:line="240" w:lineRule="auto"/>
        <w:rPr>
          <w:rFonts w:ascii="Times New Roman" w:eastAsia="Times New Roman" w:hAnsi="Times New Roman" w:cs="Times New Roman"/>
          <w:color w:val="000000"/>
          <w:sz w:val="24"/>
          <w:szCs w:val="24"/>
          <w:u w:val="single"/>
          <w:lang w:eastAsia="en-AU"/>
        </w:rPr>
      </w:pPr>
      <w:r w:rsidRPr="00A22E0C">
        <w:rPr>
          <w:rFonts w:ascii="Times New Roman" w:eastAsia="Times New Roman" w:hAnsi="Times New Roman" w:cs="Times New Roman"/>
          <w:color w:val="000000"/>
          <w:sz w:val="24"/>
          <w:szCs w:val="24"/>
          <w:u w:val="single"/>
          <w:lang w:eastAsia="en-AU"/>
        </w:rPr>
        <w:t>Notes to Part 1 of Schedule 1</w:t>
      </w:r>
    </w:p>
    <w:p w14:paraId="75086A12" w14:textId="77777777" w:rsidR="00167955" w:rsidRPr="00A22E0C" w:rsidRDefault="00167955" w:rsidP="00167955">
      <w:pPr>
        <w:shd w:val="clear" w:color="auto" w:fill="FFFFFF"/>
        <w:spacing w:after="0" w:line="240" w:lineRule="auto"/>
        <w:rPr>
          <w:rFonts w:ascii="Times New Roman" w:eastAsia="Times New Roman" w:hAnsi="Times New Roman" w:cs="Times New Roman"/>
          <w:color w:val="000000"/>
          <w:sz w:val="20"/>
          <w:szCs w:val="20"/>
          <w:u w:val="single"/>
          <w:lang w:eastAsia="en-AU"/>
        </w:rPr>
      </w:pPr>
    </w:p>
    <w:p w14:paraId="4A1A7657" w14:textId="0324AA84" w:rsidR="00883C97" w:rsidRDefault="00883C97"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FA08C2">
        <w:rPr>
          <w:rFonts w:ascii="Times New Roman" w:eastAsia="Times New Roman" w:hAnsi="Times New Roman" w:cs="Times New Roman"/>
          <w:color w:val="000000"/>
          <w:sz w:val="24"/>
          <w:szCs w:val="24"/>
          <w:lang w:eastAsia="en-AU"/>
        </w:rPr>
        <w:t>There are three notes included after Part 1 of Schedule 1.</w:t>
      </w:r>
    </w:p>
    <w:p w14:paraId="4F175C0C" w14:textId="77777777" w:rsidR="00167955" w:rsidRPr="00FA08C2" w:rsidRDefault="00167955" w:rsidP="00167955">
      <w:pPr>
        <w:shd w:val="clear" w:color="auto" w:fill="FFFFFF"/>
        <w:spacing w:after="0" w:line="240" w:lineRule="auto"/>
        <w:rPr>
          <w:rFonts w:ascii="Times New Roman" w:eastAsia="Times New Roman" w:hAnsi="Times New Roman" w:cs="Times New Roman"/>
          <w:color w:val="000000"/>
          <w:sz w:val="20"/>
          <w:szCs w:val="20"/>
          <w:lang w:eastAsia="en-AU"/>
        </w:rPr>
      </w:pPr>
    </w:p>
    <w:p w14:paraId="57E7972D" w14:textId="4945CF0B" w:rsidR="00883C97" w:rsidRDefault="00883C97"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FA08C2">
        <w:rPr>
          <w:rFonts w:ascii="Times New Roman" w:eastAsia="Times New Roman" w:hAnsi="Times New Roman" w:cs="Times New Roman"/>
          <w:color w:val="000000"/>
          <w:sz w:val="24"/>
          <w:szCs w:val="24"/>
          <w:lang w:eastAsia="en-AU"/>
        </w:rPr>
        <w:t>Note 2</w:t>
      </w:r>
      <w:r w:rsidR="000256D3">
        <w:rPr>
          <w:rFonts w:ascii="Times New Roman" w:eastAsia="Times New Roman" w:hAnsi="Times New Roman" w:cs="Times New Roman"/>
          <w:color w:val="000000"/>
          <w:sz w:val="24"/>
          <w:szCs w:val="24"/>
          <w:lang w:eastAsia="en-AU"/>
        </w:rPr>
        <w:t xml:space="preserve"> </w:t>
      </w:r>
      <w:r w:rsidRPr="00FA08C2">
        <w:rPr>
          <w:rFonts w:ascii="Times New Roman" w:eastAsia="Times New Roman" w:hAnsi="Times New Roman" w:cs="Times New Roman"/>
          <w:color w:val="000000"/>
          <w:sz w:val="24"/>
          <w:szCs w:val="24"/>
          <w:lang w:eastAsia="en-AU"/>
        </w:rPr>
        <w:t>relates to dual supply pharmaceutical benefits, i.e. pharmaceutical benefits available both for general supply and for supply under special arrangements.</w:t>
      </w:r>
      <w:r w:rsidR="00AC5176">
        <w:rPr>
          <w:rFonts w:ascii="Times New Roman" w:eastAsia="Times New Roman" w:hAnsi="Times New Roman" w:cs="Times New Roman"/>
          <w:color w:val="000000"/>
          <w:sz w:val="24"/>
          <w:szCs w:val="24"/>
          <w:lang w:eastAsia="en-AU"/>
        </w:rPr>
        <w:t xml:space="preserve"> </w:t>
      </w:r>
      <w:r w:rsidR="005F0855">
        <w:rPr>
          <w:rFonts w:ascii="Times New Roman" w:eastAsia="Times New Roman" w:hAnsi="Times New Roman" w:cs="Times New Roman"/>
          <w:color w:val="000000"/>
          <w:sz w:val="24"/>
          <w:szCs w:val="24"/>
          <w:lang w:eastAsia="en-AU"/>
        </w:rPr>
        <w:t>“</w:t>
      </w:r>
      <w:r w:rsidR="00DB7735">
        <w:rPr>
          <w:rFonts w:ascii="Times New Roman" w:eastAsia="Times New Roman" w:hAnsi="Times New Roman" w:cs="Times New Roman"/>
          <w:color w:val="000000"/>
          <w:sz w:val="24"/>
          <w:szCs w:val="24"/>
          <w:lang w:eastAsia="en-AU"/>
        </w:rPr>
        <w:t>Note 2</w:t>
      </w:r>
      <w:r w:rsidR="005F0855">
        <w:rPr>
          <w:rFonts w:ascii="Times New Roman" w:eastAsia="Times New Roman" w:hAnsi="Times New Roman" w:cs="Times New Roman"/>
          <w:color w:val="000000"/>
          <w:sz w:val="24"/>
          <w:szCs w:val="24"/>
          <w:lang w:eastAsia="en-AU"/>
        </w:rPr>
        <w:t xml:space="preserve">” is used in Part 1 of Schedule 1 </w:t>
      </w:r>
      <w:r w:rsidR="002652D1">
        <w:rPr>
          <w:rFonts w:ascii="Times New Roman" w:eastAsia="Times New Roman" w:hAnsi="Times New Roman" w:cs="Times New Roman"/>
          <w:color w:val="000000"/>
          <w:sz w:val="24"/>
          <w:szCs w:val="24"/>
          <w:lang w:eastAsia="en-AU"/>
        </w:rPr>
        <w:t xml:space="preserve">to flag where </w:t>
      </w:r>
      <w:r w:rsidR="004D0599">
        <w:rPr>
          <w:rFonts w:ascii="Times New Roman" w:eastAsia="Times New Roman" w:hAnsi="Times New Roman" w:cs="Times New Roman"/>
          <w:color w:val="000000"/>
          <w:sz w:val="24"/>
          <w:szCs w:val="24"/>
          <w:lang w:eastAsia="en-AU"/>
        </w:rPr>
        <w:t xml:space="preserve">a pharmaceutical benefit may </w:t>
      </w:r>
      <w:r w:rsidR="00D36D03">
        <w:rPr>
          <w:rFonts w:ascii="Times New Roman" w:eastAsia="Times New Roman" w:hAnsi="Times New Roman" w:cs="Times New Roman"/>
          <w:color w:val="000000"/>
          <w:sz w:val="24"/>
          <w:szCs w:val="24"/>
          <w:lang w:eastAsia="en-AU"/>
        </w:rPr>
        <w:t xml:space="preserve">be covered by a </w:t>
      </w:r>
      <w:r w:rsidR="00A13F88">
        <w:rPr>
          <w:rFonts w:ascii="Times New Roman" w:eastAsia="Times New Roman" w:hAnsi="Times New Roman" w:cs="Times New Roman"/>
          <w:color w:val="000000"/>
          <w:sz w:val="24"/>
          <w:szCs w:val="24"/>
          <w:lang w:eastAsia="en-AU"/>
        </w:rPr>
        <w:t xml:space="preserve">special arrangement. The Note </w:t>
      </w:r>
      <w:r w:rsidR="00DB7735">
        <w:rPr>
          <w:rFonts w:ascii="Times New Roman" w:eastAsia="Times New Roman" w:hAnsi="Times New Roman" w:cs="Times New Roman"/>
          <w:color w:val="000000"/>
          <w:sz w:val="24"/>
          <w:szCs w:val="24"/>
          <w:lang w:eastAsia="en-AU"/>
        </w:rPr>
        <w:t>provides that</w:t>
      </w:r>
      <w:r w:rsidRPr="00FA08C2">
        <w:rPr>
          <w:rFonts w:ascii="Times New Roman" w:eastAsia="Times New Roman" w:hAnsi="Times New Roman" w:cs="Times New Roman"/>
          <w:color w:val="000000"/>
          <w:sz w:val="24"/>
          <w:szCs w:val="24"/>
          <w:lang w:eastAsia="en-AU"/>
        </w:rPr>
        <w:t xml:space="preserve"> matters relevant to the</w:t>
      </w:r>
      <w:r w:rsidR="00A13F88">
        <w:rPr>
          <w:rFonts w:ascii="Times New Roman" w:eastAsia="Times New Roman" w:hAnsi="Times New Roman" w:cs="Times New Roman"/>
          <w:color w:val="000000"/>
          <w:sz w:val="24"/>
          <w:szCs w:val="24"/>
          <w:lang w:eastAsia="en-AU"/>
        </w:rPr>
        <w:t xml:space="preserve"> </w:t>
      </w:r>
      <w:r w:rsidRPr="00FA08C2">
        <w:rPr>
          <w:rFonts w:ascii="Times New Roman" w:eastAsia="Times New Roman" w:hAnsi="Times New Roman" w:cs="Times New Roman"/>
          <w:color w:val="000000"/>
          <w:sz w:val="24"/>
          <w:szCs w:val="24"/>
          <w:lang w:eastAsia="en-AU"/>
        </w:rPr>
        <w:t xml:space="preserve">availability </w:t>
      </w:r>
      <w:r w:rsidR="00786F57">
        <w:rPr>
          <w:rFonts w:ascii="Times New Roman" w:eastAsia="Times New Roman" w:hAnsi="Times New Roman" w:cs="Times New Roman"/>
          <w:color w:val="000000"/>
          <w:sz w:val="24"/>
          <w:szCs w:val="24"/>
          <w:lang w:eastAsia="en-AU"/>
        </w:rPr>
        <w:t xml:space="preserve">of the pharmaceutical benefit </w:t>
      </w:r>
      <w:r w:rsidRPr="00FA08C2">
        <w:rPr>
          <w:rFonts w:ascii="Times New Roman" w:eastAsia="Times New Roman" w:hAnsi="Times New Roman" w:cs="Times New Roman"/>
          <w:color w:val="000000"/>
          <w:sz w:val="24"/>
          <w:szCs w:val="24"/>
          <w:lang w:eastAsia="en-AU"/>
        </w:rPr>
        <w:t>for general supply have been set out in Schedule</w:t>
      </w:r>
      <w:r w:rsidR="00AC5176">
        <w:rPr>
          <w:rFonts w:ascii="Times New Roman" w:eastAsia="Times New Roman" w:hAnsi="Times New Roman" w:cs="Times New Roman"/>
          <w:color w:val="000000"/>
          <w:sz w:val="24"/>
          <w:szCs w:val="24"/>
          <w:lang w:eastAsia="en-AU"/>
        </w:rPr>
        <w:t xml:space="preserve"> </w:t>
      </w:r>
      <w:r w:rsidRPr="00FA08C2">
        <w:rPr>
          <w:rFonts w:ascii="Times New Roman" w:eastAsia="Times New Roman" w:hAnsi="Times New Roman" w:cs="Times New Roman"/>
          <w:color w:val="000000"/>
          <w:sz w:val="24"/>
          <w:szCs w:val="24"/>
          <w:lang w:eastAsia="en-AU"/>
        </w:rPr>
        <w:t xml:space="preserve">1. However, </w:t>
      </w:r>
      <w:r w:rsidR="00504EFF">
        <w:rPr>
          <w:rFonts w:ascii="Times New Roman" w:eastAsia="Times New Roman" w:hAnsi="Times New Roman" w:cs="Times New Roman"/>
          <w:color w:val="000000"/>
          <w:sz w:val="24"/>
          <w:szCs w:val="24"/>
          <w:lang w:eastAsia="en-AU"/>
        </w:rPr>
        <w:t xml:space="preserve">section 100 of the Act </w:t>
      </w:r>
      <w:r w:rsidR="0035596B">
        <w:rPr>
          <w:rFonts w:ascii="Times New Roman" w:eastAsia="Times New Roman" w:hAnsi="Times New Roman" w:cs="Times New Roman"/>
          <w:color w:val="000000"/>
          <w:sz w:val="24"/>
          <w:szCs w:val="24"/>
          <w:lang w:eastAsia="en-AU"/>
        </w:rPr>
        <w:t>provides that the Act and instrument</w:t>
      </w:r>
      <w:r w:rsidR="003F6570">
        <w:rPr>
          <w:rFonts w:ascii="Times New Roman" w:eastAsia="Times New Roman" w:hAnsi="Times New Roman" w:cs="Times New Roman"/>
          <w:color w:val="000000"/>
          <w:sz w:val="24"/>
          <w:szCs w:val="24"/>
          <w:lang w:eastAsia="en-AU"/>
        </w:rPr>
        <w:t>s</w:t>
      </w:r>
      <w:r w:rsidR="0035596B">
        <w:rPr>
          <w:rFonts w:ascii="Times New Roman" w:eastAsia="Times New Roman" w:hAnsi="Times New Roman" w:cs="Times New Roman"/>
          <w:color w:val="000000"/>
          <w:sz w:val="24"/>
          <w:szCs w:val="24"/>
          <w:lang w:eastAsia="en-AU"/>
        </w:rPr>
        <w:t xml:space="preserve"> made under it, including the 2024 Listing Instrument, apply subject to </w:t>
      </w:r>
      <w:r w:rsidR="005E40FD">
        <w:rPr>
          <w:rFonts w:ascii="Times New Roman" w:eastAsia="Times New Roman" w:hAnsi="Times New Roman" w:cs="Times New Roman"/>
          <w:color w:val="000000"/>
          <w:sz w:val="24"/>
          <w:szCs w:val="24"/>
          <w:lang w:eastAsia="en-AU"/>
        </w:rPr>
        <w:t xml:space="preserve">any special arrangement. </w:t>
      </w:r>
      <w:r w:rsidRPr="00FA08C2">
        <w:rPr>
          <w:rFonts w:ascii="Times New Roman" w:eastAsia="Times New Roman" w:hAnsi="Times New Roman" w:cs="Times New Roman"/>
          <w:color w:val="000000"/>
          <w:sz w:val="24"/>
          <w:szCs w:val="24"/>
          <w:lang w:eastAsia="en-AU"/>
        </w:rPr>
        <w:t>Note</w:t>
      </w:r>
      <w:r w:rsidR="00AC5176">
        <w:rPr>
          <w:rFonts w:ascii="Times New Roman" w:eastAsia="Times New Roman" w:hAnsi="Times New Roman" w:cs="Times New Roman"/>
          <w:color w:val="000000"/>
          <w:sz w:val="24"/>
          <w:szCs w:val="24"/>
          <w:lang w:eastAsia="en-AU"/>
        </w:rPr>
        <w:t xml:space="preserve"> </w:t>
      </w:r>
      <w:r w:rsidRPr="00FA08C2">
        <w:rPr>
          <w:rFonts w:ascii="Times New Roman" w:eastAsia="Times New Roman" w:hAnsi="Times New Roman" w:cs="Times New Roman"/>
          <w:color w:val="000000"/>
          <w:sz w:val="24"/>
          <w:szCs w:val="24"/>
          <w:lang w:eastAsia="en-AU"/>
        </w:rPr>
        <w:t>2</w:t>
      </w:r>
      <w:r w:rsidR="00AC5176">
        <w:rPr>
          <w:rFonts w:ascii="Times New Roman" w:eastAsia="Times New Roman" w:hAnsi="Times New Roman" w:cs="Times New Roman"/>
          <w:color w:val="000000"/>
          <w:sz w:val="24"/>
          <w:szCs w:val="24"/>
          <w:lang w:eastAsia="en-AU"/>
        </w:rPr>
        <w:t xml:space="preserve"> </w:t>
      </w:r>
      <w:r w:rsidR="00250528">
        <w:rPr>
          <w:rFonts w:ascii="Times New Roman" w:eastAsia="Times New Roman" w:hAnsi="Times New Roman" w:cs="Times New Roman"/>
          <w:color w:val="000000"/>
          <w:sz w:val="24"/>
          <w:szCs w:val="24"/>
          <w:lang w:eastAsia="en-AU"/>
        </w:rPr>
        <w:t xml:space="preserve">also informs </w:t>
      </w:r>
      <w:r w:rsidRPr="00FA08C2">
        <w:rPr>
          <w:rFonts w:ascii="Times New Roman" w:eastAsia="Times New Roman" w:hAnsi="Times New Roman" w:cs="Times New Roman"/>
          <w:color w:val="000000"/>
          <w:sz w:val="24"/>
          <w:szCs w:val="24"/>
          <w:lang w:eastAsia="en-AU"/>
        </w:rPr>
        <w:t xml:space="preserve">readers that modified matters may be provided for in relation to supply under a </w:t>
      </w:r>
      <w:r w:rsidR="005E40FD">
        <w:rPr>
          <w:rFonts w:ascii="Times New Roman" w:eastAsia="Times New Roman" w:hAnsi="Times New Roman" w:cs="Times New Roman"/>
          <w:color w:val="000000"/>
          <w:sz w:val="24"/>
          <w:szCs w:val="24"/>
          <w:lang w:eastAsia="en-AU"/>
        </w:rPr>
        <w:t xml:space="preserve">special </w:t>
      </w:r>
      <w:r w:rsidRPr="00FA08C2">
        <w:rPr>
          <w:rFonts w:ascii="Times New Roman" w:eastAsia="Times New Roman" w:hAnsi="Times New Roman" w:cs="Times New Roman"/>
          <w:color w:val="000000"/>
          <w:sz w:val="24"/>
          <w:szCs w:val="24"/>
          <w:lang w:eastAsia="en-AU"/>
        </w:rPr>
        <w:t>arrangement</w:t>
      </w:r>
      <w:r w:rsidR="00A003EB">
        <w:rPr>
          <w:rFonts w:ascii="Times New Roman" w:eastAsia="Times New Roman" w:hAnsi="Times New Roman" w:cs="Times New Roman"/>
          <w:color w:val="000000"/>
          <w:sz w:val="24"/>
          <w:szCs w:val="24"/>
          <w:lang w:eastAsia="en-AU"/>
        </w:rPr>
        <w:t xml:space="preserve"> instrument</w:t>
      </w:r>
      <w:r w:rsidRPr="00FA08C2">
        <w:rPr>
          <w:rFonts w:ascii="Times New Roman" w:eastAsia="Times New Roman" w:hAnsi="Times New Roman" w:cs="Times New Roman"/>
          <w:color w:val="000000"/>
          <w:sz w:val="24"/>
          <w:szCs w:val="24"/>
          <w:lang w:eastAsia="en-AU"/>
        </w:rPr>
        <w:t xml:space="preserve"> and that </w:t>
      </w:r>
      <w:r w:rsidR="00A003EB">
        <w:rPr>
          <w:rFonts w:ascii="Times New Roman" w:eastAsia="Times New Roman" w:hAnsi="Times New Roman" w:cs="Times New Roman"/>
          <w:color w:val="000000"/>
          <w:sz w:val="24"/>
          <w:szCs w:val="24"/>
          <w:lang w:eastAsia="en-AU"/>
        </w:rPr>
        <w:t>where the benefit is supplied under the special arrangement the modified matters will apply</w:t>
      </w:r>
      <w:r w:rsidR="00EC4545">
        <w:rPr>
          <w:rFonts w:ascii="Times New Roman" w:eastAsia="Times New Roman" w:hAnsi="Times New Roman" w:cs="Times New Roman"/>
          <w:color w:val="000000"/>
          <w:sz w:val="24"/>
          <w:szCs w:val="24"/>
          <w:lang w:eastAsia="en-AU"/>
        </w:rPr>
        <w:t>.</w:t>
      </w:r>
    </w:p>
    <w:p w14:paraId="1AD1E33C" w14:textId="77777777" w:rsidR="00167955" w:rsidRPr="00FA08C2" w:rsidRDefault="00167955" w:rsidP="00167955">
      <w:pPr>
        <w:shd w:val="clear" w:color="auto" w:fill="FFFFFF"/>
        <w:spacing w:after="0" w:line="240" w:lineRule="auto"/>
        <w:rPr>
          <w:rFonts w:ascii="Times New Roman" w:eastAsia="Times New Roman" w:hAnsi="Times New Roman" w:cs="Times New Roman"/>
          <w:color w:val="000000"/>
          <w:sz w:val="20"/>
          <w:szCs w:val="20"/>
          <w:lang w:eastAsia="en-AU"/>
        </w:rPr>
      </w:pPr>
    </w:p>
    <w:p w14:paraId="6A9F8551" w14:textId="2DF0C3B5" w:rsidR="00883C97" w:rsidRDefault="00883C97"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FA08C2">
        <w:rPr>
          <w:rFonts w:ascii="Times New Roman" w:eastAsia="Times New Roman" w:hAnsi="Times New Roman" w:cs="Times New Roman"/>
          <w:color w:val="000000"/>
          <w:sz w:val="24"/>
          <w:szCs w:val="24"/>
          <w:lang w:eastAsia="en-AU"/>
        </w:rPr>
        <w:t>Note 3</w:t>
      </w:r>
      <w:r w:rsidR="00AC5176">
        <w:rPr>
          <w:rFonts w:ascii="Times New Roman" w:eastAsia="Times New Roman" w:hAnsi="Times New Roman" w:cs="Times New Roman"/>
          <w:color w:val="000000"/>
          <w:sz w:val="24"/>
          <w:szCs w:val="24"/>
          <w:lang w:eastAsia="en-AU"/>
        </w:rPr>
        <w:t xml:space="preserve"> </w:t>
      </w:r>
      <w:r w:rsidRPr="00FA08C2">
        <w:rPr>
          <w:rFonts w:ascii="Times New Roman" w:eastAsia="Times New Roman" w:hAnsi="Times New Roman" w:cs="Times New Roman"/>
          <w:color w:val="000000"/>
          <w:sz w:val="24"/>
          <w:szCs w:val="24"/>
          <w:lang w:eastAsia="en-AU"/>
        </w:rPr>
        <w:t>relates to pharmaceutical benefits</w:t>
      </w:r>
      <w:r w:rsidR="000A00EB">
        <w:rPr>
          <w:rFonts w:ascii="Times New Roman" w:eastAsia="Times New Roman" w:hAnsi="Times New Roman" w:cs="Times New Roman"/>
          <w:color w:val="000000"/>
          <w:sz w:val="24"/>
          <w:szCs w:val="24"/>
          <w:lang w:eastAsia="en-AU"/>
        </w:rPr>
        <w:t xml:space="preserve"> that may only be supplied under special arrangements</w:t>
      </w:r>
      <w:r w:rsidR="00E004BE">
        <w:rPr>
          <w:rFonts w:ascii="Times New Roman" w:eastAsia="Times New Roman" w:hAnsi="Times New Roman" w:cs="Times New Roman"/>
          <w:color w:val="000000"/>
          <w:sz w:val="24"/>
          <w:szCs w:val="24"/>
          <w:lang w:eastAsia="en-AU"/>
        </w:rPr>
        <w:t>, either in all circumstances or in the circumstances mentioned in an item in Schedule 1</w:t>
      </w:r>
      <w:r w:rsidRPr="00FA08C2">
        <w:rPr>
          <w:rFonts w:ascii="Times New Roman" w:eastAsia="Times New Roman" w:hAnsi="Times New Roman" w:cs="Times New Roman"/>
          <w:color w:val="000000"/>
          <w:sz w:val="24"/>
          <w:szCs w:val="24"/>
          <w:lang w:eastAsia="en-AU"/>
        </w:rPr>
        <w:t>.</w:t>
      </w:r>
      <w:r w:rsidR="00786F57">
        <w:rPr>
          <w:rFonts w:ascii="Times New Roman" w:eastAsia="Times New Roman" w:hAnsi="Times New Roman" w:cs="Times New Roman"/>
          <w:color w:val="000000"/>
          <w:sz w:val="24"/>
          <w:szCs w:val="24"/>
          <w:lang w:eastAsia="en-AU"/>
        </w:rPr>
        <w:t xml:space="preserve"> “Note 3” is used in Part 1 of Schedule 1 to flag where </w:t>
      </w:r>
      <w:r w:rsidR="001E58B7">
        <w:rPr>
          <w:rFonts w:ascii="Times New Roman" w:eastAsia="Times New Roman" w:hAnsi="Times New Roman" w:cs="Times New Roman"/>
          <w:color w:val="000000"/>
          <w:sz w:val="24"/>
          <w:szCs w:val="24"/>
          <w:lang w:eastAsia="en-AU"/>
        </w:rPr>
        <w:t>a matter has not been determined for a pharmaceutical benefit in the 2024 Listing Instrument</w:t>
      </w:r>
      <w:r w:rsidRPr="00FA08C2">
        <w:rPr>
          <w:rFonts w:ascii="Times New Roman" w:eastAsia="Times New Roman" w:hAnsi="Times New Roman" w:cs="Times New Roman"/>
          <w:color w:val="000000"/>
          <w:sz w:val="24"/>
          <w:szCs w:val="24"/>
          <w:lang w:eastAsia="en-AU"/>
        </w:rPr>
        <w:t>. </w:t>
      </w:r>
      <w:r w:rsidR="001E58B7">
        <w:rPr>
          <w:rFonts w:ascii="Times New Roman" w:eastAsia="Times New Roman" w:hAnsi="Times New Roman" w:cs="Times New Roman"/>
          <w:color w:val="000000"/>
          <w:sz w:val="24"/>
          <w:szCs w:val="24"/>
          <w:lang w:eastAsia="en-AU"/>
        </w:rPr>
        <w:t xml:space="preserve">These </w:t>
      </w:r>
      <w:r w:rsidRPr="00FA08C2">
        <w:rPr>
          <w:rFonts w:ascii="Times New Roman" w:eastAsia="Times New Roman" w:hAnsi="Times New Roman" w:cs="Times New Roman"/>
          <w:color w:val="000000"/>
          <w:sz w:val="24"/>
          <w:szCs w:val="24"/>
          <w:lang w:eastAsia="en-AU"/>
        </w:rPr>
        <w:t xml:space="preserve">matters </w:t>
      </w:r>
      <w:r w:rsidR="001E58B7">
        <w:rPr>
          <w:rFonts w:ascii="Times New Roman" w:eastAsia="Times New Roman" w:hAnsi="Times New Roman" w:cs="Times New Roman"/>
          <w:color w:val="000000"/>
          <w:sz w:val="24"/>
          <w:szCs w:val="24"/>
          <w:lang w:eastAsia="en-AU"/>
        </w:rPr>
        <w:t xml:space="preserve">may be </w:t>
      </w:r>
      <w:r w:rsidRPr="00FA08C2">
        <w:rPr>
          <w:rFonts w:ascii="Times New Roman" w:eastAsia="Times New Roman" w:hAnsi="Times New Roman" w:cs="Times New Roman"/>
          <w:color w:val="000000"/>
          <w:sz w:val="24"/>
          <w:szCs w:val="24"/>
          <w:lang w:eastAsia="en-AU"/>
        </w:rPr>
        <w:t xml:space="preserve">determined in a </w:t>
      </w:r>
      <w:r w:rsidR="001E58B7">
        <w:rPr>
          <w:rFonts w:ascii="Times New Roman" w:eastAsia="Times New Roman" w:hAnsi="Times New Roman" w:cs="Times New Roman"/>
          <w:color w:val="000000"/>
          <w:sz w:val="24"/>
          <w:szCs w:val="24"/>
          <w:lang w:eastAsia="en-AU"/>
        </w:rPr>
        <w:t xml:space="preserve">special arrangement </w:t>
      </w:r>
      <w:r w:rsidRPr="00FA08C2">
        <w:rPr>
          <w:rFonts w:ascii="Times New Roman" w:eastAsia="Times New Roman" w:hAnsi="Times New Roman" w:cs="Times New Roman"/>
          <w:color w:val="000000"/>
          <w:sz w:val="24"/>
          <w:szCs w:val="24"/>
          <w:lang w:eastAsia="en-AU"/>
        </w:rPr>
        <w:t>instrument. </w:t>
      </w:r>
      <w:r w:rsidR="00E9034F">
        <w:rPr>
          <w:rFonts w:ascii="Times New Roman" w:eastAsia="Times New Roman" w:hAnsi="Times New Roman" w:cs="Times New Roman"/>
          <w:color w:val="000000"/>
          <w:sz w:val="24"/>
          <w:szCs w:val="24"/>
          <w:lang w:eastAsia="en-AU"/>
        </w:rPr>
        <w:t xml:space="preserve">The types of matters that most typically may be </w:t>
      </w:r>
      <w:r w:rsidR="00A5437F">
        <w:rPr>
          <w:rFonts w:ascii="Times New Roman" w:eastAsia="Times New Roman" w:hAnsi="Times New Roman" w:cs="Times New Roman"/>
          <w:color w:val="000000"/>
          <w:sz w:val="24"/>
          <w:szCs w:val="24"/>
          <w:lang w:eastAsia="en-AU"/>
        </w:rPr>
        <w:t xml:space="preserve">determined in a special arrangement rather than in the 2024 Listing Instrument are the circumstances in which a prescription </w:t>
      </w:r>
      <w:r w:rsidR="00F054AA">
        <w:rPr>
          <w:rFonts w:ascii="Times New Roman" w:eastAsia="Times New Roman" w:hAnsi="Times New Roman" w:cs="Times New Roman"/>
          <w:color w:val="000000"/>
          <w:sz w:val="24"/>
          <w:szCs w:val="24"/>
          <w:lang w:eastAsia="en-AU"/>
        </w:rPr>
        <w:t xml:space="preserve">for the pharmaceutical benefit may be written, the purposes for which certain </w:t>
      </w:r>
      <w:r w:rsidR="00B45773">
        <w:rPr>
          <w:rFonts w:ascii="Times New Roman" w:eastAsia="Times New Roman" w:hAnsi="Times New Roman" w:cs="Times New Roman"/>
          <w:color w:val="000000"/>
          <w:sz w:val="24"/>
          <w:szCs w:val="24"/>
          <w:lang w:eastAsia="en-AU"/>
        </w:rPr>
        <w:t xml:space="preserve">maximum </w:t>
      </w:r>
      <w:r w:rsidR="00F054AA">
        <w:rPr>
          <w:rFonts w:ascii="Times New Roman" w:eastAsia="Times New Roman" w:hAnsi="Times New Roman" w:cs="Times New Roman"/>
          <w:color w:val="000000"/>
          <w:sz w:val="24"/>
          <w:szCs w:val="24"/>
          <w:lang w:eastAsia="en-AU"/>
        </w:rPr>
        <w:t xml:space="preserve">quantities or </w:t>
      </w:r>
      <w:r w:rsidR="00B45773">
        <w:rPr>
          <w:rFonts w:ascii="Times New Roman" w:eastAsia="Times New Roman" w:hAnsi="Times New Roman" w:cs="Times New Roman"/>
          <w:color w:val="000000"/>
          <w:sz w:val="24"/>
          <w:szCs w:val="24"/>
          <w:lang w:eastAsia="en-AU"/>
        </w:rPr>
        <w:t>numbers of units of the benefit may be prescribed and those quantities</w:t>
      </w:r>
      <w:r w:rsidR="001745B6">
        <w:rPr>
          <w:rFonts w:ascii="Times New Roman" w:eastAsia="Times New Roman" w:hAnsi="Times New Roman" w:cs="Times New Roman"/>
          <w:color w:val="000000"/>
          <w:sz w:val="24"/>
          <w:szCs w:val="24"/>
          <w:lang w:eastAsia="en-AU"/>
        </w:rPr>
        <w:t xml:space="preserve"> or numbers of units</w:t>
      </w:r>
      <w:r w:rsidR="00B45773">
        <w:rPr>
          <w:rFonts w:ascii="Times New Roman" w:eastAsia="Times New Roman" w:hAnsi="Times New Roman" w:cs="Times New Roman"/>
          <w:color w:val="000000"/>
          <w:sz w:val="24"/>
          <w:szCs w:val="24"/>
          <w:lang w:eastAsia="en-AU"/>
        </w:rPr>
        <w:t xml:space="preserve">, </w:t>
      </w:r>
      <w:r w:rsidR="001745B6">
        <w:rPr>
          <w:rFonts w:ascii="Times New Roman" w:eastAsia="Times New Roman" w:hAnsi="Times New Roman" w:cs="Times New Roman"/>
          <w:color w:val="000000"/>
          <w:sz w:val="24"/>
          <w:szCs w:val="24"/>
          <w:lang w:eastAsia="en-AU"/>
        </w:rPr>
        <w:t xml:space="preserve">and the maximum number of times a single prescription can </w:t>
      </w:r>
      <w:r w:rsidR="00665D78">
        <w:rPr>
          <w:rFonts w:ascii="Times New Roman" w:eastAsia="Times New Roman" w:hAnsi="Times New Roman" w:cs="Times New Roman"/>
          <w:color w:val="000000"/>
          <w:sz w:val="24"/>
          <w:szCs w:val="24"/>
          <w:lang w:eastAsia="en-AU"/>
        </w:rPr>
        <w:t xml:space="preserve">direct the supply of the benefit. </w:t>
      </w:r>
      <w:r w:rsidRPr="00FA08C2">
        <w:rPr>
          <w:rFonts w:ascii="Times New Roman" w:eastAsia="Times New Roman" w:hAnsi="Times New Roman" w:cs="Times New Roman"/>
          <w:color w:val="000000"/>
          <w:sz w:val="24"/>
          <w:szCs w:val="24"/>
          <w:lang w:eastAsia="en-AU"/>
        </w:rPr>
        <w:t>For instance, the maximum quantity that may be prescribed may not be a simple number, but may be a complex formula depending on a number of factors.</w:t>
      </w:r>
    </w:p>
    <w:p w14:paraId="0A339C05" w14:textId="77777777" w:rsidR="00167955" w:rsidRPr="00FA08C2" w:rsidRDefault="00167955" w:rsidP="00167955">
      <w:pPr>
        <w:shd w:val="clear" w:color="auto" w:fill="FFFFFF"/>
        <w:spacing w:after="0" w:line="240" w:lineRule="auto"/>
        <w:rPr>
          <w:rFonts w:ascii="Times New Roman" w:eastAsia="Times New Roman" w:hAnsi="Times New Roman" w:cs="Times New Roman"/>
          <w:color w:val="000000"/>
          <w:sz w:val="20"/>
          <w:szCs w:val="20"/>
          <w:lang w:eastAsia="en-AU"/>
        </w:rPr>
      </w:pPr>
    </w:p>
    <w:p w14:paraId="3FBA90D6" w14:textId="118D0A24" w:rsidR="00883C97" w:rsidRDefault="00007420" w:rsidP="00167955">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“Note 4” is used in Part 1 of Schedule 1 to </w:t>
      </w:r>
      <w:r w:rsidR="0012619B">
        <w:rPr>
          <w:rFonts w:ascii="Times New Roman" w:eastAsia="Times New Roman" w:hAnsi="Times New Roman" w:cs="Times New Roman"/>
          <w:color w:val="000000"/>
          <w:sz w:val="24"/>
          <w:szCs w:val="24"/>
          <w:lang w:eastAsia="en-AU"/>
        </w:rPr>
        <w:t xml:space="preserve">indicate pharmaceutical benefits that may only be supplied under one or more of the prescriber bag provisions. The note </w:t>
      </w:r>
      <w:r w:rsidR="00D84F8E">
        <w:rPr>
          <w:rFonts w:ascii="Times New Roman" w:eastAsia="Times New Roman" w:hAnsi="Times New Roman" w:cs="Times New Roman"/>
          <w:color w:val="000000"/>
          <w:sz w:val="24"/>
          <w:szCs w:val="24"/>
          <w:lang w:eastAsia="en-AU"/>
        </w:rPr>
        <w:t xml:space="preserve">informs readers that the pharmaceutical benefit </w:t>
      </w:r>
      <w:r w:rsidR="00AA1F07">
        <w:rPr>
          <w:rFonts w:ascii="Times New Roman" w:eastAsia="Times New Roman" w:hAnsi="Times New Roman" w:cs="Times New Roman"/>
          <w:color w:val="000000"/>
          <w:sz w:val="24"/>
          <w:szCs w:val="24"/>
          <w:lang w:eastAsia="en-AU"/>
        </w:rPr>
        <w:t xml:space="preserve">may only be supplied under </w:t>
      </w:r>
      <w:r w:rsidR="00883C97" w:rsidRPr="00FA08C2">
        <w:rPr>
          <w:rFonts w:ascii="Times New Roman" w:eastAsia="Times New Roman" w:hAnsi="Times New Roman" w:cs="Times New Roman"/>
          <w:color w:val="000000"/>
          <w:sz w:val="24"/>
          <w:szCs w:val="24"/>
          <w:lang w:eastAsia="en-AU"/>
        </w:rPr>
        <w:t xml:space="preserve">the particular prescriber bag provisions referred to in </w:t>
      </w:r>
      <w:r w:rsidR="00883C97" w:rsidRPr="00C35276">
        <w:rPr>
          <w:rFonts w:ascii="Times New Roman" w:eastAsia="Times New Roman" w:hAnsi="Times New Roman" w:cs="Times New Roman"/>
          <w:color w:val="000000"/>
          <w:sz w:val="24"/>
          <w:szCs w:val="24"/>
          <w:lang w:eastAsia="en-AU"/>
        </w:rPr>
        <w:t>the column headed ‘Section 100/Prescriber Bag only’</w:t>
      </w:r>
      <w:r w:rsidR="00AA1F07">
        <w:rPr>
          <w:rFonts w:ascii="Times New Roman" w:eastAsia="Times New Roman" w:hAnsi="Times New Roman" w:cs="Times New Roman"/>
          <w:color w:val="000000"/>
          <w:sz w:val="24"/>
          <w:szCs w:val="24"/>
          <w:lang w:eastAsia="en-AU"/>
        </w:rPr>
        <w:t xml:space="preserve"> and </w:t>
      </w:r>
      <w:r w:rsidR="00883C97" w:rsidRPr="00C35276">
        <w:rPr>
          <w:rFonts w:ascii="Times New Roman" w:eastAsia="Times New Roman" w:hAnsi="Times New Roman" w:cs="Times New Roman"/>
          <w:color w:val="000000"/>
          <w:sz w:val="24"/>
          <w:szCs w:val="24"/>
          <w:lang w:eastAsia="en-AU"/>
        </w:rPr>
        <w:t xml:space="preserve">it is </w:t>
      </w:r>
      <w:r w:rsidR="008C52E8">
        <w:rPr>
          <w:rFonts w:ascii="Times New Roman" w:eastAsia="Times New Roman" w:hAnsi="Times New Roman" w:cs="Times New Roman"/>
          <w:color w:val="000000"/>
          <w:sz w:val="24"/>
          <w:szCs w:val="24"/>
          <w:lang w:eastAsia="en-AU"/>
        </w:rPr>
        <w:t xml:space="preserve">not </w:t>
      </w:r>
      <w:r w:rsidR="00883C97" w:rsidRPr="00C35276">
        <w:rPr>
          <w:rFonts w:ascii="Times New Roman" w:eastAsia="Times New Roman" w:hAnsi="Times New Roman" w:cs="Times New Roman"/>
          <w:color w:val="000000"/>
          <w:sz w:val="24"/>
          <w:szCs w:val="24"/>
          <w:lang w:eastAsia="en-AU"/>
        </w:rPr>
        <w:t>able to be prescribed as a pharmaceutical benefit</w:t>
      </w:r>
      <w:r w:rsidR="008C52E8">
        <w:rPr>
          <w:rFonts w:ascii="Times New Roman" w:eastAsia="Times New Roman" w:hAnsi="Times New Roman" w:cs="Times New Roman"/>
          <w:color w:val="000000"/>
          <w:sz w:val="24"/>
          <w:szCs w:val="24"/>
          <w:lang w:eastAsia="en-AU"/>
        </w:rPr>
        <w:t>. Note 4 also refers reade</w:t>
      </w:r>
      <w:r w:rsidR="00233A0B">
        <w:rPr>
          <w:rFonts w:ascii="Times New Roman" w:eastAsia="Times New Roman" w:hAnsi="Times New Roman" w:cs="Times New Roman"/>
          <w:color w:val="000000"/>
          <w:sz w:val="24"/>
          <w:szCs w:val="24"/>
          <w:lang w:eastAsia="en-AU"/>
        </w:rPr>
        <w:t xml:space="preserve">rs to a legislative instrument made under </w:t>
      </w:r>
      <w:r w:rsidR="00F116E6">
        <w:rPr>
          <w:rFonts w:ascii="Times New Roman" w:eastAsia="Times New Roman" w:hAnsi="Times New Roman" w:cs="Times New Roman"/>
          <w:color w:val="000000"/>
          <w:sz w:val="24"/>
          <w:szCs w:val="24"/>
          <w:lang w:eastAsia="en-AU"/>
        </w:rPr>
        <w:t>the prescriber bag provisions (on 1 April 2024</w:t>
      </w:r>
      <w:r w:rsidR="007E012D">
        <w:rPr>
          <w:rFonts w:ascii="Times New Roman" w:eastAsia="Times New Roman" w:hAnsi="Times New Roman" w:cs="Times New Roman"/>
          <w:color w:val="000000"/>
          <w:sz w:val="24"/>
          <w:szCs w:val="24"/>
          <w:lang w:eastAsia="en-AU"/>
        </w:rPr>
        <w:t>,</w:t>
      </w:r>
      <w:r w:rsidR="00F116E6">
        <w:rPr>
          <w:rFonts w:ascii="Times New Roman" w:eastAsia="Times New Roman" w:hAnsi="Times New Roman" w:cs="Times New Roman"/>
          <w:color w:val="000000"/>
          <w:sz w:val="24"/>
          <w:szCs w:val="24"/>
          <w:lang w:eastAsia="en-AU"/>
        </w:rPr>
        <w:t xml:space="preserve"> the </w:t>
      </w:r>
      <w:r w:rsidR="00F116E6" w:rsidRPr="00A22E0C">
        <w:rPr>
          <w:rFonts w:ascii="Times New Roman" w:eastAsia="Times New Roman" w:hAnsi="Times New Roman" w:cs="Times New Roman"/>
          <w:i/>
          <w:iCs/>
          <w:color w:val="000000"/>
          <w:sz w:val="24"/>
          <w:szCs w:val="24"/>
          <w:lang w:eastAsia="en-AU"/>
        </w:rPr>
        <w:t>National Health (Prescriber Bag Supplies) Determination</w:t>
      </w:r>
      <w:r w:rsidR="005D71D2" w:rsidRPr="005D71D2">
        <w:rPr>
          <w:rFonts w:ascii="Times New Roman" w:eastAsia="Times New Roman" w:hAnsi="Times New Roman" w:cs="Times New Roman"/>
          <w:color w:val="000000"/>
          <w:sz w:val="24"/>
          <w:szCs w:val="24"/>
          <w:lang w:eastAsia="en-AU"/>
        </w:rPr>
        <w:t>)</w:t>
      </w:r>
      <w:r w:rsidR="000827FE" w:rsidRPr="00C35276">
        <w:rPr>
          <w:rFonts w:ascii="Times New Roman" w:eastAsia="Times New Roman" w:hAnsi="Times New Roman" w:cs="Times New Roman"/>
          <w:color w:val="000000"/>
          <w:sz w:val="24"/>
          <w:szCs w:val="24"/>
          <w:lang w:eastAsia="en-AU"/>
        </w:rPr>
        <w:t>.</w:t>
      </w:r>
    </w:p>
    <w:p w14:paraId="6F25D8C3" w14:textId="77777777" w:rsidR="00167955" w:rsidRPr="00C35276" w:rsidRDefault="00167955"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4955410D" w14:textId="6EB4E9CE" w:rsidR="007A539A" w:rsidRPr="00A22E0C" w:rsidRDefault="007A539A" w:rsidP="00167955">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A22E0C">
        <w:rPr>
          <w:rFonts w:ascii="Times New Roman" w:eastAsia="Times New Roman" w:hAnsi="Times New Roman" w:cs="Times New Roman"/>
          <w:color w:val="000000"/>
          <w:sz w:val="24"/>
          <w:szCs w:val="24"/>
          <w:u w:val="single"/>
          <w:lang w:eastAsia="en-AU"/>
        </w:rPr>
        <w:t>Part 2</w:t>
      </w:r>
      <w:r w:rsidR="00102702">
        <w:rPr>
          <w:rFonts w:ascii="Times New Roman" w:eastAsia="Times New Roman" w:hAnsi="Times New Roman" w:cs="Times New Roman"/>
          <w:color w:val="000000"/>
          <w:sz w:val="24"/>
          <w:szCs w:val="24"/>
          <w:u w:val="single"/>
          <w:lang w:eastAsia="en-AU"/>
        </w:rPr>
        <w:tab/>
      </w:r>
      <w:r w:rsidR="002038E6" w:rsidRPr="00A22E0C">
        <w:rPr>
          <w:rFonts w:ascii="Times New Roman" w:eastAsia="Times New Roman" w:hAnsi="Times New Roman" w:cs="Times New Roman"/>
          <w:color w:val="000000"/>
          <w:sz w:val="24"/>
          <w:szCs w:val="24"/>
          <w:u w:val="single"/>
          <w:lang w:eastAsia="en-AU"/>
        </w:rPr>
        <w:t>Ready</w:t>
      </w:r>
      <w:r w:rsidR="007C4CFB" w:rsidRPr="00A22E0C">
        <w:rPr>
          <w:rFonts w:ascii="Times New Roman" w:eastAsia="Times New Roman" w:hAnsi="Times New Roman" w:cs="Times New Roman"/>
          <w:color w:val="000000"/>
          <w:sz w:val="24"/>
          <w:szCs w:val="24"/>
          <w:u w:val="single"/>
          <w:lang w:eastAsia="en-AU"/>
        </w:rPr>
        <w:t>-</w:t>
      </w:r>
      <w:r w:rsidR="002038E6" w:rsidRPr="00A22E0C">
        <w:rPr>
          <w:rFonts w:ascii="Times New Roman" w:eastAsia="Times New Roman" w:hAnsi="Times New Roman" w:cs="Times New Roman"/>
          <w:color w:val="000000"/>
          <w:sz w:val="24"/>
          <w:szCs w:val="24"/>
          <w:u w:val="single"/>
          <w:lang w:eastAsia="en-AU"/>
        </w:rPr>
        <w:t>prepared pharmaceutical benefits for supply only</w:t>
      </w:r>
    </w:p>
    <w:p w14:paraId="182FA598" w14:textId="77777777" w:rsidR="00167955" w:rsidRDefault="00167955"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2614009A" w14:textId="19F99E03" w:rsidR="00555E0E" w:rsidRDefault="002038E6"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C35276">
        <w:rPr>
          <w:rFonts w:ascii="Times New Roman" w:eastAsia="Times New Roman" w:hAnsi="Times New Roman" w:cs="Times New Roman"/>
          <w:color w:val="000000"/>
          <w:sz w:val="24"/>
          <w:szCs w:val="24"/>
          <w:lang w:eastAsia="en-AU"/>
        </w:rPr>
        <w:t xml:space="preserve">Part 2 of Schedule to the </w:t>
      </w:r>
      <w:r w:rsidR="00026251">
        <w:rPr>
          <w:rFonts w:ascii="Times New Roman" w:eastAsia="Times New Roman" w:hAnsi="Times New Roman" w:cs="Times New Roman"/>
          <w:color w:val="000000"/>
          <w:sz w:val="24"/>
          <w:szCs w:val="24"/>
          <w:lang w:eastAsia="en-AU"/>
        </w:rPr>
        <w:t>2024 Listing I</w:t>
      </w:r>
      <w:r w:rsidRPr="00C35276">
        <w:rPr>
          <w:rFonts w:ascii="Times New Roman" w:eastAsia="Times New Roman" w:hAnsi="Times New Roman" w:cs="Times New Roman"/>
          <w:color w:val="000000"/>
          <w:sz w:val="24"/>
          <w:szCs w:val="24"/>
          <w:lang w:eastAsia="en-AU"/>
        </w:rPr>
        <w:t>nstrument sets out</w:t>
      </w:r>
      <w:r w:rsidR="007C4CFB" w:rsidRPr="00C35276">
        <w:rPr>
          <w:rFonts w:ascii="Times New Roman" w:eastAsia="Times New Roman" w:hAnsi="Times New Roman" w:cs="Times New Roman"/>
          <w:color w:val="000000"/>
          <w:sz w:val="24"/>
          <w:szCs w:val="24"/>
          <w:lang w:eastAsia="en-AU"/>
        </w:rPr>
        <w:t xml:space="preserve"> the ready-prepared pharmaceutical benefits available for supply only.</w:t>
      </w:r>
      <w:r w:rsidR="0055100C" w:rsidRPr="00C35276">
        <w:rPr>
          <w:rFonts w:ascii="Times New Roman" w:eastAsia="Times New Roman" w:hAnsi="Times New Roman" w:cs="Times New Roman"/>
          <w:color w:val="000000"/>
          <w:sz w:val="24"/>
          <w:szCs w:val="24"/>
          <w:lang w:eastAsia="en-AU"/>
        </w:rPr>
        <w:t xml:space="preserve"> </w:t>
      </w:r>
      <w:r w:rsidR="00E829C8">
        <w:rPr>
          <w:rFonts w:ascii="Times New Roman" w:eastAsia="Times New Roman" w:hAnsi="Times New Roman" w:cs="Times New Roman"/>
          <w:color w:val="000000"/>
          <w:sz w:val="24"/>
          <w:szCs w:val="24"/>
          <w:lang w:eastAsia="en-AU"/>
        </w:rPr>
        <w:t xml:space="preserve">It </w:t>
      </w:r>
      <w:r w:rsidR="00506101">
        <w:rPr>
          <w:rFonts w:ascii="Times New Roman" w:eastAsia="Times New Roman" w:hAnsi="Times New Roman" w:cs="Times New Roman"/>
          <w:color w:val="000000"/>
          <w:sz w:val="24"/>
          <w:szCs w:val="24"/>
          <w:lang w:eastAsia="en-AU"/>
        </w:rPr>
        <w:t>declares or determines matters for sections 6 to 10 and 20 to 23 of the 2024 Listing Instrument.</w:t>
      </w:r>
    </w:p>
    <w:p w14:paraId="5E0A6DF4" w14:textId="77777777" w:rsidR="00506101" w:rsidRPr="00C35276" w:rsidRDefault="00506101"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66572898" w14:textId="76F07D26" w:rsidR="007C4A60" w:rsidRDefault="00520B8F"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C35276">
        <w:rPr>
          <w:rFonts w:ascii="Times New Roman" w:eastAsia="Times New Roman" w:hAnsi="Times New Roman" w:cs="Times New Roman"/>
          <w:color w:val="000000"/>
          <w:sz w:val="24"/>
          <w:szCs w:val="24"/>
          <w:lang w:eastAsia="en-AU"/>
        </w:rPr>
        <w:t xml:space="preserve">A </w:t>
      </w:r>
      <w:r w:rsidR="00CE570B" w:rsidRPr="00C35276">
        <w:rPr>
          <w:rFonts w:ascii="Times New Roman" w:eastAsia="Times New Roman" w:hAnsi="Times New Roman" w:cs="Times New Roman"/>
          <w:color w:val="000000"/>
          <w:sz w:val="24"/>
          <w:szCs w:val="24"/>
          <w:lang w:eastAsia="en-AU"/>
        </w:rPr>
        <w:t xml:space="preserve">PBS prescription cannot be written for </w:t>
      </w:r>
      <w:r w:rsidRPr="00C35276">
        <w:rPr>
          <w:rFonts w:ascii="Times New Roman" w:eastAsia="Times New Roman" w:hAnsi="Times New Roman" w:cs="Times New Roman"/>
          <w:color w:val="000000"/>
          <w:sz w:val="24"/>
          <w:szCs w:val="24"/>
          <w:lang w:eastAsia="en-AU"/>
        </w:rPr>
        <w:t>the</w:t>
      </w:r>
      <w:r w:rsidR="00CE570B" w:rsidRPr="00C35276">
        <w:rPr>
          <w:rFonts w:ascii="Times New Roman" w:eastAsia="Times New Roman" w:hAnsi="Times New Roman" w:cs="Times New Roman"/>
          <w:color w:val="000000"/>
          <w:sz w:val="24"/>
          <w:szCs w:val="24"/>
          <w:lang w:eastAsia="en-AU"/>
        </w:rPr>
        <w:t xml:space="preserve"> supply </w:t>
      </w:r>
      <w:r w:rsidRPr="00C35276">
        <w:rPr>
          <w:rFonts w:ascii="Times New Roman" w:eastAsia="Times New Roman" w:hAnsi="Times New Roman" w:cs="Times New Roman"/>
          <w:color w:val="000000"/>
          <w:sz w:val="24"/>
          <w:szCs w:val="24"/>
          <w:lang w:eastAsia="en-AU"/>
        </w:rPr>
        <w:t xml:space="preserve">of the pharmaceutical benefits in Part 2 of Schedule 1 </w:t>
      </w:r>
      <w:r w:rsidR="00CE570B" w:rsidRPr="00C35276">
        <w:rPr>
          <w:rFonts w:ascii="Times New Roman" w:eastAsia="Times New Roman" w:hAnsi="Times New Roman" w:cs="Times New Roman"/>
          <w:color w:val="000000"/>
          <w:sz w:val="24"/>
          <w:szCs w:val="24"/>
          <w:lang w:eastAsia="en-AU"/>
        </w:rPr>
        <w:t xml:space="preserve">but these benefits may still be supplied under the PBS </w:t>
      </w:r>
      <w:r w:rsidR="00C848D2" w:rsidRPr="00C35276">
        <w:rPr>
          <w:rFonts w:ascii="Times New Roman" w:eastAsia="Times New Roman" w:hAnsi="Times New Roman" w:cs="Times New Roman"/>
          <w:color w:val="000000"/>
          <w:sz w:val="24"/>
          <w:szCs w:val="24"/>
          <w:lang w:eastAsia="en-AU"/>
        </w:rPr>
        <w:t>where a prescription for their supply was written prior to their removal</w:t>
      </w:r>
      <w:r w:rsidR="00360742" w:rsidRPr="00C35276">
        <w:rPr>
          <w:rFonts w:ascii="Times New Roman" w:eastAsia="Times New Roman" w:hAnsi="Times New Roman" w:cs="Times New Roman"/>
          <w:color w:val="000000"/>
          <w:sz w:val="24"/>
          <w:szCs w:val="24"/>
          <w:lang w:eastAsia="en-AU"/>
        </w:rPr>
        <w:t xml:space="preserve"> from</w:t>
      </w:r>
      <w:r w:rsidR="00C848D2" w:rsidRPr="00C35276">
        <w:rPr>
          <w:rFonts w:ascii="Times New Roman" w:eastAsia="Times New Roman" w:hAnsi="Times New Roman" w:cs="Times New Roman"/>
          <w:color w:val="000000"/>
          <w:sz w:val="24"/>
          <w:szCs w:val="24"/>
          <w:lang w:eastAsia="en-AU"/>
        </w:rPr>
        <w:t xml:space="preserve"> </w:t>
      </w:r>
      <w:r w:rsidR="005B3F9C" w:rsidRPr="00C35276">
        <w:rPr>
          <w:rFonts w:ascii="Times New Roman" w:eastAsia="Times New Roman" w:hAnsi="Times New Roman" w:cs="Times New Roman"/>
          <w:color w:val="000000"/>
          <w:sz w:val="24"/>
          <w:szCs w:val="24"/>
          <w:lang w:eastAsia="en-AU"/>
        </w:rPr>
        <w:t>Part 1 of Schedule 1</w:t>
      </w:r>
      <w:r w:rsidR="00167C33">
        <w:rPr>
          <w:rFonts w:ascii="Times New Roman" w:eastAsia="Times New Roman" w:hAnsi="Times New Roman" w:cs="Times New Roman"/>
          <w:color w:val="000000"/>
          <w:sz w:val="24"/>
          <w:szCs w:val="24"/>
          <w:lang w:eastAsia="en-AU"/>
        </w:rPr>
        <w:t xml:space="preserve"> (or </w:t>
      </w:r>
      <w:r w:rsidR="004263BD">
        <w:rPr>
          <w:rFonts w:ascii="Times New Roman" w:eastAsia="Times New Roman" w:hAnsi="Times New Roman" w:cs="Times New Roman"/>
          <w:color w:val="000000"/>
          <w:sz w:val="24"/>
          <w:szCs w:val="24"/>
          <w:lang w:eastAsia="en-AU"/>
        </w:rPr>
        <w:t xml:space="preserve">in certain </w:t>
      </w:r>
      <w:r w:rsidR="004263BD">
        <w:rPr>
          <w:rFonts w:ascii="Times New Roman" w:eastAsia="Times New Roman" w:hAnsi="Times New Roman" w:cs="Times New Roman"/>
          <w:color w:val="000000"/>
          <w:sz w:val="24"/>
          <w:szCs w:val="24"/>
          <w:lang w:eastAsia="en-AU"/>
        </w:rPr>
        <w:lastRenderedPageBreak/>
        <w:t>circumstances where the Act enables supply without a prescription, such as under continued dispensing arrangements</w:t>
      </w:r>
      <w:r w:rsidR="00433AFA">
        <w:rPr>
          <w:rFonts w:ascii="Times New Roman" w:eastAsia="Times New Roman" w:hAnsi="Times New Roman" w:cs="Times New Roman"/>
          <w:color w:val="000000"/>
          <w:sz w:val="24"/>
          <w:szCs w:val="24"/>
          <w:lang w:eastAsia="en-AU"/>
        </w:rPr>
        <w:t>)</w:t>
      </w:r>
      <w:r w:rsidR="005B3F9C" w:rsidRPr="00C35276">
        <w:rPr>
          <w:rFonts w:ascii="Times New Roman" w:eastAsia="Times New Roman" w:hAnsi="Times New Roman" w:cs="Times New Roman"/>
          <w:color w:val="000000"/>
          <w:sz w:val="24"/>
          <w:szCs w:val="24"/>
          <w:lang w:eastAsia="en-AU"/>
        </w:rPr>
        <w:t>.</w:t>
      </w:r>
    </w:p>
    <w:p w14:paraId="69FFE63B" w14:textId="77777777" w:rsidR="00167955" w:rsidRPr="00167955" w:rsidRDefault="00167955"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1AF81AD2" w14:textId="221A879A" w:rsidR="00972550" w:rsidRPr="00C35276" w:rsidRDefault="00972550" w:rsidP="00167955">
      <w:pPr>
        <w:spacing w:after="0" w:line="240" w:lineRule="auto"/>
        <w:rPr>
          <w:rFonts w:ascii="Times New Roman" w:eastAsia="Times New Roman" w:hAnsi="Times New Roman" w:cs="Times New Roman"/>
          <w:b/>
          <w:sz w:val="24"/>
          <w:szCs w:val="24"/>
          <w:lang w:eastAsia="en-AU"/>
        </w:rPr>
      </w:pPr>
      <w:r w:rsidRPr="00C35276">
        <w:rPr>
          <w:rFonts w:ascii="Times New Roman" w:eastAsia="Times New Roman" w:hAnsi="Times New Roman" w:cs="Times New Roman"/>
          <w:b/>
          <w:sz w:val="24"/>
          <w:szCs w:val="24"/>
          <w:lang w:eastAsia="en-AU"/>
        </w:rPr>
        <w:t>Schedule 2</w:t>
      </w:r>
      <w:r w:rsidR="002F4094" w:rsidRPr="00DD7973">
        <w:rPr>
          <w:rFonts w:ascii="Times New Roman" w:eastAsia="Times New Roman" w:hAnsi="Times New Roman" w:cs="Times New Roman"/>
          <w:b/>
          <w:sz w:val="24"/>
          <w:szCs w:val="24"/>
          <w:lang w:eastAsia="en-AU"/>
        </w:rPr>
        <w:t>—</w:t>
      </w:r>
      <w:r w:rsidR="004030B1" w:rsidRPr="004030B1">
        <w:rPr>
          <w:rFonts w:ascii="Times New Roman" w:eastAsia="Times New Roman" w:hAnsi="Times New Roman" w:cs="Times New Roman"/>
          <w:b/>
          <w:sz w:val="24"/>
          <w:szCs w:val="24"/>
          <w:lang w:eastAsia="en-AU"/>
        </w:rPr>
        <w:t>Extemporaneously-prepared pharmaceutical benefits</w:t>
      </w:r>
    </w:p>
    <w:p w14:paraId="4BCFF6F8" w14:textId="77777777" w:rsidR="00DF553C" w:rsidRPr="00167955" w:rsidRDefault="00DF553C" w:rsidP="00167955">
      <w:pPr>
        <w:spacing w:after="0" w:line="240" w:lineRule="auto"/>
        <w:rPr>
          <w:rFonts w:ascii="Times New Roman" w:eastAsia="Times New Roman" w:hAnsi="Times New Roman" w:cs="Times New Roman"/>
          <w:bCs/>
          <w:sz w:val="24"/>
          <w:szCs w:val="24"/>
          <w:highlight w:val="yellow"/>
          <w:lang w:eastAsia="en-AU"/>
        </w:rPr>
      </w:pPr>
    </w:p>
    <w:p w14:paraId="026BD739" w14:textId="478130BE" w:rsidR="00DF553C" w:rsidRDefault="00DF553C" w:rsidP="00167955">
      <w:pPr>
        <w:spacing w:after="0" w:line="240" w:lineRule="auto"/>
        <w:rPr>
          <w:rFonts w:ascii="Times New Roman" w:eastAsia="Times New Roman" w:hAnsi="Times New Roman" w:cs="Times New Roman"/>
          <w:color w:val="000000"/>
          <w:sz w:val="24"/>
          <w:szCs w:val="24"/>
          <w:lang w:eastAsia="en-AU"/>
        </w:rPr>
      </w:pPr>
      <w:r w:rsidRPr="00DF553C">
        <w:rPr>
          <w:rFonts w:ascii="Times New Roman" w:eastAsia="Times New Roman" w:hAnsi="Times New Roman" w:cs="Times New Roman"/>
          <w:color w:val="000000"/>
          <w:sz w:val="24"/>
          <w:szCs w:val="24"/>
          <w:lang w:eastAsia="en-AU"/>
        </w:rPr>
        <w:t>This Schedule sets out matters relevant to the listing of extemporaneously-prepared pharmaceutical benefits on the PBS</w:t>
      </w:r>
      <w:r w:rsidR="00707529">
        <w:rPr>
          <w:rFonts w:ascii="Times New Roman" w:eastAsia="Times New Roman" w:hAnsi="Times New Roman" w:cs="Times New Roman"/>
          <w:color w:val="000000"/>
          <w:sz w:val="24"/>
          <w:szCs w:val="24"/>
          <w:lang w:eastAsia="en-AU"/>
        </w:rPr>
        <w:t>. It determines matters for sections 6</w:t>
      </w:r>
      <w:r w:rsidR="001D2A50">
        <w:rPr>
          <w:rFonts w:ascii="Times New Roman" w:eastAsia="Times New Roman" w:hAnsi="Times New Roman" w:cs="Times New Roman"/>
          <w:color w:val="000000"/>
          <w:sz w:val="24"/>
          <w:szCs w:val="24"/>
          <w:lang w:eastAsia="en-AU"/>
        </w:rPr>
        <w:t xml:space="preserve">, </w:t>
      </w:r>
      <w:r w:rsidR="00707529">
        <w:rPr>
          <w:rFonts w:ascii="Times New Roman" w:eastAsia="Times New Roman" w:hAnsi="Times New Roman" w:cs="Times New Roman"/>
          <w:color w:val="000000"/>
          <w:sz w:val="24"/>
          <w:szCs w:val="24"/>
          <w:lang w:eastAsia="en-AU"/>
        </w:rPr>
        <w:t>14</w:t>
      </w:r>
      <w:r w:rsidR="001D2A50">
        <w:rPr>
          <w:rFonts w:ascii="Times New Roman" w:eastAsia="Times New Roman" w:hAnsi="Times New Roman" w:cs="Times New Roman"/>
          <w:color w:val="000000"/>
          <w:sz w:val="24"/>
          <w:szCs w:val="24"/>
          <w:lang w:eastAsia="en-AU"/>
        </w:rPr>
        <w:t xml:space="preserve">, 17 and 18 </w:t>
      </w:r>
      <w:r w:rsidR="00707529">
        <w:rPr>
          <w:rFonts w:ascii="Times New Roman" w:eastAsia="Times New Roman" w:hAnsi="Times New Roman" w:cs="Times New Roman"/>
          <w:color w:val="000000"/>
          <w:sz w:val="24"/>
          <w:szCs w:val="24"/>
          <w:lang w:eastAsia="en-AU"/>
        </w:rPr>
        <w:t>of the 2024 Listing Instrument</w:t>
      </w:r>
      <w:r w:rsidRPr="00DF553C">
        <w:rPr>
          <w:rFonts w:ascii="Times New Roman" w:eastAsia="Times New Roman" w:hAnsi="Times New Roman" w:cs="Times New Roman"/>
          <w:color w:val="000000"/>
          <w:sz w:val="24"/>
          <w:szCs w:val="24"/>
          <w:lang w:eastAsia="en-AU"/>
        </w:rPr>
        <w:t>.</w:t>
      </w:r>
    </w:p>
    <w:p w14:paraId="130BD73B" w14:textId="77777777" w:rsidR="007C5A19" w:rsidRDefault="007C5A19" w:rsidP="00167955">
      <w:pPr>
        <w:spacing w:after="0" w:line="240" w:lineRule="auto"/>
        <w:rPr>
          <w:rFonts w:ascii="Times New Roman" w:eastAsia="Times New Roman" w:hAnsi="Times New Roman" w:cs="Times New Roman"/>
          <w:color w:val="000000"/>
          <w:sz w:val="24"/>
          <w:szCs w:val="24"/>
          <w:lang w:eastAsia="en-AU"/>
        </w:rPr>
      </w:pPr>
    </w:p>
    <w:p w14:paraId="3DE20033" w14:textId="354AB011" w:rsidR="007C5A19" w:rsidRPr="00C35276" w:rsidRDefault="007C5A19" w:rsidP="00167955">
      <w:pPr>
        <w:spacing w:after="0" w:line="240" w:lineRule="auto"/>
        <w:rPr>
          <w:rFonts w:ascii="Times New Roman" w:eastAsia="Times New Roman" w:hAnsi="Times New Roman" w:cs="Times New Roman"/>
          <w:color w:val="000000"/>
          <w:sz w:val="24"/>
          <w:szCs w:val="24"/>
          <w:lang w:eastAsia="en-AU"/>
        </w:rPr>
      </w:pPr>
      <w:r w:rsidRPr="00C35276">
        <w:rPr>
          <w:rFonts w:ascii="Times New Roman" w:eastAsia="Times New Roman" w:hAnsi="Times New Roman" w:cs="Times New Roman"/>
          <w:color w:val="000000"/>
          <w:sz w:val="24"/>
          <w:szCs w:val="24"/>
          <w:lang w:eastAsia="en-AU"/>
        </w:rPr>
        <w:t xml:space="preserve">Part 1 </w:t>
      </w:r>
      <w:r w:rsidR="00855E98" w:rsidRPr="00C35276">
        <w:rPr>
          <w:rFonts w:ascii="Times New Roman" w:eastAsia="Times New Roman" w:hAnsi="Times New Roman" w:cs="Times New Roman"/>
          <w:color w:val="000000"/>
          <w:sz w:val="24"/>
          <w:szCs w:val="24"/>
          <w:lang w:eastAsia="en-AU"/>
        </w:rPr>
        <w:t xml:space="preserve">of Schedule 2 </w:t>
      </w:r>
      <w:r w:rsidRPr="00C35276">
        <w:rPr>
          <w:rFonts w:ascii="Times New Roman" w:eastAsia="Times New Roman" w:hAnsi="Times New Roman" w:cs="Times New Roman"/>
          <w:color w:val="000000"/>
          <w:sz w:val="24"/>
          <w:szCs w:val="24"/>
          <w:lang w:eastAsia="en-AU"/>
        </w:rPr>
        <w:t>sets out</w:t>
      </w:r>
      <w:r w:rsidR="009D5A09">
        <w:rPr>
          <w:rFonts w:ascii="Times New Roman" w:eastAsia="Times New Roman" w:hAnsi="Times New Roman" w:cs="Times New Roman"/>
          <w:color w:val="000000"/>
          <w:sz w:val="24"/>
          <w:szCs w:val="24"/>
          <w:lang w:eastAsia="en-AU"/>
        </w:rPr>
        <w:t xml:space="preserve"> </w:t>
      </w:r>
      <w:r w:rsidRPr="00C35276">
        <w:rPr>
          <w:rFonts w:ascii="Times New Roman" w:eastAsia="Times New Roman" w:hAnsi="Times New Roman" w:cs="Times New Roman"/>
          <w:color w:val="000000"/>
          <w:sz w:val="24"/>
          <w:szCs w:val="24"/>
          <w:lang w:eastAsia="en-AU"/>
        </w:rPr>
        <w:t>the listed drugs that are or may be contained in extemporaneously</w:t>
      </w:r>
      <w:r w:rsidR="008A60E3" w:rsidRPr="00C35276">
        <w:rPr>
          <w:rFonts w:ascii="Times New Roman" w:eastAsia="Times New Roman" w:hAnsi="Times New Roman" w:cs="Times New Roman"/>
          <w:color w:val="000000"/>
          <w:sz w:val="24"/>
          <w:szCs w:val="24"/>
          <w:lang w:eastAsia="en-AU"/>
        </w:rPr>
        <w:t>-</w:t>
      </w:r>
      <w:r w:rsidRPr="00C35276">
        <w:rPr>
          <w:rFonts w:ascii="Times New Roman" w:eastAsia="Times New Roman" w:hAnsi="Times New Roman" w:cs="Times New Roman"/>
          <w:color w:val="000000"/>
          <w:sz w:val="24"/>
          <w:szCs w:val="24"/>
          <w:lang w:eastAsia="en-AU"/>
        </w:rPr>
        <w:t>prepared pharmaceutical benefits</w:t>
      </w:r>
      <w:r w:rsidR="00855E98" w:rsidRPr="00C35276">
        <w:rPr>
          <w:rFonts w:ascii="Times New Roman" w:eastAsia="Times New Roman" w:hAnsi="Times New Roman" w:cs="Times New Roman"/>
          <w:color w:val="000000"/>
          <w:sz w:val="24"/>
          <w:szCs w:val="24"/>
          <w:lang w:eastAsia="en-AU"/>
        </w:rPr>
        <w:t xml:space="preserve"> as well as</w:t>
      </w:r>
      <w:r w:rsidR="008A60E3" w:rsidRPr="00C35276">
        <w:rPr>
          <w:rFonts w:ascii="Times New Roman" w:eastAsia="Times New Roman" w:hAnsi="Times New Roman" w:cs="Times New Roman"/>
          <w:color w:val="000000"/>
          <w:sz w:val="24"/>
          <w:szCs w:val="24"/>
          <w:lang w:eastAsia="en-AU"/>
        </w:rPr>
        <w:t xml:space="preserve"> </w:t>
      </w:r>
      <w:r w:rsidRPr="00C35276">
        <w:rPr>
          <w:rFonts w:ascii="Times New Roman" w:eastAsia="Times New Roman" w:hAnsi="Times New Roman" w:cs="Times New Roman"/>
          <w:color w:val="000000"/>
          <w:sz w:val="24"/>
          <w:szCs w:val="24"/>
          <w:lang w:eastAsia="en-AU"/>
        </w:rPr>
        <w:t xml:space="preserve">matters relating to </w:t>
      </w:r>
      <w:r w:rsidR="006C011A" w:rsidRPr="00C35276">
        <w:rPr>
          <w:rFonts w:ascii="Times New Roman" w:eastAsia="Times New Roman" w:hAnsi="Times New Roman" w:cs="Times New Roman"/>
          <w:color w:val="000000"/>
          <w:sz w:val="24"/>
          <w:szCs w:val="24"/>
          <w:lang w:eastAsia="en-AU"/>
        </w:rPr>
        <w:t xml:space="preserve">circumstances in which a </w:t>
      </w:r>
      <w:r w:rsidRPr="00C35276">
        <w:rPr>
          <w:rFonts w:ascii="Times New Roman" w:eastAsia="Times New Roman" w:hAnsi="Times New Roman" w:cs="Times New Roman"/>
          <w:color w:val="000000"/>
          <w:sz w:val="24"/>
          <w:szCs w:val="24"/>
          <w:lang w:eastAsia="en-AU"/>
        </w:rPr>
        <w:t>prescription</w:t>
      </w:r>
      <w:r w:rsidR="008A60E3" w:rsidRPr="00C35276">
        <w:rPr>
          <w:rFonts w:ascii="Times New Roman" w:eastAsia="Times New Roman" w:hAnsi="Times New Roman" w:cs="Times New Roman"/>
          <w:color w:val="000000"/>
          <w:sz w:val="24"/>
          <w:szCs w:val="24"/>
          <w:lang w:eastAsia="en-AU"/>
        </w:rPr>
        <w:t xml:space="preserve"> </w:t>
      </w:r>
      <w:r w:rsidR="006C011A" w:rsidRPr="00C35276">
        <w:rPr>
          <w:rFonts w:ascii="Times New Roman" w:eastAsia="Times New Roman" w:hAnsi="Times New Roman" w:cs="Times New Roman"/>
          <w:color w:val="000000"/>
          <w:sz w:val="24"/>
          <w:szCs w:val="24"/>
          <w:lang w:eastAsia="en-AU"/>
        </w:rPr>
        <w:t>may be written for the supply of</w:t>
      </w:r>
      <w:r w:rsidR="008A60E3" w:rsidRPr="00C35276">
        <w:rPr>
          <w:rFonts w:ascii="Times New Roman" w:eastAsia="Times New Roman" w:hAnsi="Times New Roman" w:cs="Times New Roman"/>
          <w:color w:val="000000"/>
          <w:sz w:val="24"/>
          <w:szCs w:val="24"/>
          <w:lang w:eastAsia="en-AU"/>
        </w:rPr>
        <w:t xml:space="preserve"> </w:t>
      </w:r>
      <w:r w:rsidR="00E41FE9">
        <w:rPr>
          <w:rFonts w:ascii="Times New Roman" w:eastAsia="Times New Roman" w:hAnsi="Times New Roman" w:cs="Times New Roman"/>
          <w:color w:val="000000"/>
          <w:sz w:val="24"/>
          <w:szCs w:val="24"/>
          <w:lang w:eastAsia="en-AU"/>
        </w:rPr>
        <w:t xml:space="preserve">those </w:t>
      </w:r>
      <w:r w:rsidR="008A60E3" w:rsidRPr="00C35276">
        <w:rPr>
          <w:rFonts w:ascii="Times New Roman" w:eastAsia="Times New Roman" w:hAnsi="Times New Roman" w:cs="Times New Roman"/>
          <w:color w:val="000000"/>
          <w:sz w:val="24"/>
          <w:szCs w:val="24"/>
          <w:lang w:eastAsia="en-AU"/>
        </w:rPr>
        <w:t>benefits</w:t>
      </w:r>
      <w:r w:rsidRPr="00C35276">
        <w:rPr>
          <w:rFonts w:ascii="Times New Roman" w:eastAsia="Times New Roman" w:hAnsi="Times New Roman" w:cs="Times New Roman"/>
          <w:color w:val="000000"/>
          <w:sz w:val="24"/>
          <w:szCs w:val="24"/>
          <w:lang w:eastAsia="en-AU"/>
        </w:rPr>
        <w:t>.</w:t>
      </w:r>
    </w:p>
    <w:p w14:paraId="1513FA8C" w14:textId="77777777" w:rsidR="00FC0AF0" w:rsidRPr="00C35276" w:rsidRDefault="00FC0AF0" w:rsidP="00167955">
      <w:pPr>
        <w:spacing w:after="0" w:line="240" w:lineRule="auto"/>
        <w:rPr>
          <w:rFonts w:ascii="Times New Roman" w:eastAsia="Times New Roman" w:hAnsi="Times New Roman" w:cs="Times New Roman"/>
          <w:color w:val="000000"/>
          <w:sz w:val="24"/>
          <w:szCs w:val="24"/>
          <w:lang w:eastAsia="en-AU"/>
        </w:rPr>
      </w:pPr>
    </w:p>
    <w:p w14:paraId="57FE748F" w14:textId="3121CC77" w:rsidR="00FC0AF0" w:rsidRPr="006C7FF3" w:rsidRDefault="00FC0AF0" w:rsidP="00167955">
      <w:pPr>
        <w:spacing w:after="0" w:line="240" w:lineRule="auto"/>
        <w:rPr>
          <w:rFonts w:ascii="Times New Roman" w:eastAsia="Times New Roman" w:hAnsi="Times New Roman" w:cs="Times New Roman"/>
          <w:color w:val="000000"/>
          <w:sz w:val="24"/>
          <w:szCs w:val="24"/>
          <w:lang w:eastAsia="en-AU"/>
        </w:rPr>
      </w:pPr>
      <w:r w:rsidRPr="006C7FF3">
        <w:rPr>
          <w:rFonts w:ascii="Times New Roman" w:eastAsia="Times New Roman" w:hAnsi="Times New Roman" w:cs="Times New Roman"/>
          <w:color w:val="000000"/>
          <w:sz w:val="24"/>
          <w:szCs w:val="24"/>
          <w:lang w:eastAsia="en-AU"/>
        </w:rPr>
        <w:t>Part 2 of Schedule 2 sets out</w:t>
      </w:r>
      <w:r w:rsidR="00C662C0" w:rsidRPr="006C7FF3">
        <w:rPr>
          <w:rFonts w:ascii="Times New Roman" w:eastAsia="Times New Roman" w:hAnsi="Times New Roman" w:cs="Times New Roman"/>
          <w:color w:val="000000"/>
          <w:sz w:val="24"/>
          <w:szCs w:val="24"/>
          <w:lang w:eastAsia="en-AU"/>
        </w:rPr>
        <w:t xml:space="preserve"> the additives that may be contained in extemporaneously</w:t>
      </w:r>
      <w:r w:rsidR="00FE01B5" w:rsidRPr="006C7FF3">
        <w:rPr>
          <w:rFonts w:ascii="Times New Roman" w:eastAsia="Times New Roman" w:hAnsi="Times New Roman" w:cs="Times New Roman"/>
          <w:color w:val="000000"/>
          <w:sz w:val="24"/>
          <w:szCs w:val="24"/>
          <w:lang w:eastAsia="en-AU"/>
        </w:rPr>
        <w:t>-</w:t>
      </w:r>
      <w:r w:rsidR="00C662C0" w:rsidRPr="006C7FF3">
        <w:rPr>
          <w:rFonts w:ascii="Times New Roman" w:eastAsia="Times New Roman" w:hAnsi="Times New Roman" w:cs="Times New Roman"/>
          <w:color w:val="000000"/>
          <w:sz w:val="24"/>
          <w:szCs w:val="24"/>
          <w:lang w:eastAsia="en-AU"/>
        </w:rPr>
        <w:t>prepared pharmaceutical benefits.</w:t>
      </w:r>
    </w:p>
    <w:p w14:paraId="2E0FA14D" w14:textId="77777777" w:rsidR="007A51F4" w:rsidRPr="006C7FF3" w:rsidRDefault="007A51F4" w:rsidP="00167955">
      <w:pPr>
        <w:spacing w:after="0" w:line="240" w:lineRule="auto"/>
        <w:rPr>
          <w:rFonts w:ascii="Times New Roman" w:eastAsia="Times New Roman" w:hAnsi="Times New Roman" w:cs="Times New Roman"/>
          <w:color w:val="000000"/>
          <w:sz w:val="24"/>
          <w:szCs w:val="24"/>
          <w:lang w:eastAsia="en-AU"/>
        </w:rPr>
      </w:pPr>
    </w:p>
    <w:p w14:paraId="640D668B" w14:textId="776B9C04" w:rsidR="007A51F4" w:rsidRPr="006C7FF3" w:rsidRDefault="007A51F4" w:rsidP="00167955">
      <w:pPr>
        <w:spacing w:after="0" w:line="240" w:lineRule="auto"/>
        <w:rPr>
          <w:rFonts w:ascii="Times New Roman" w:eastAsia="Times New Roman" w:hAnsi="Times New Roman" w:cs="Times New Roman"/>
          <w:color w:val="000000"/>
          <w:sz w:val="24"/>
          <w:szCs w:val="24"/>
          <w:lang w:eastAsia="en-AU"/>
        </w:rPr>
      </w:pPr>
      <w:r w:rsidRPr="006C7FF3">
        <w:rPr>
          <w:rFonts w:ascii="Times New Roman" w:eastAsia="Times New Roman" w:hAnsi="Times New Roman" w:cs="Times New Roman"/>
          <w:color w:val="000000"/>
          <w:sz w:val="24"/>
          <w:szCs w:val="24"/>
          <w:lang w:eastAsia="en-AU"/>
        </w:rPr>
        <w:t>Part 3 of Schedule 2 sets out</w:t>
      </w:r>
      <w:r w:rsidR="007D1318" w:rsidRPr="006C7FF3">
        <w:rPr>
          <w:rFonts w:ascii="Times New Roman" w:eastAsia="Times New Roman" w:hAnsi="Times New Roman" w:cs="Times New Roman"/>
          <w:color w:val="000000"/>
          <w:sz w:val="24"/>
          <w:szCs w:val="24"/>
          <w:lang w:eastAsia="en-AU"/>
        </w:rPr>
        <w:t xml:space="preserve"> the maximum quantities and numbers of repeats for certain types of extemporaneously-prepared pharmaceutical benefits.</w:t>
      </w:r>
    </w:p>
    <w:p w14:paraId="34655F6B" w14:textId="17ED1FD0" w:rsidR="00972550" w:rsidRPr="00102702" w:rsidRDefault="00972550" w:rsidP="00167955">
      <w:pPr>
        <w:spacing w:after="0" w:line="240" w:lineRule="auto"/>
        <w:rPr>
          <w:rFonts w:ascii="Times New Roman" w:eastAsia="Times New Roman" w:hAnsi="Times New Roman" w:cs="Times New Roman"/>
          <w:bCs/>
          <w:sz w:val="24"/>
          <w:szCs w:val="24"/>
          <w:lang w:eastAsia="en-AU"/>
        </w:rPr>
      </w:pPr>
    </w:p>
    <w:p w14:paraId="77C9A40F" w14:textId="2BDEE8CF" w:rsidR="00972550" w:rsidRPr="006C7FF3" w:rsidRDefault="00972550" w:rsidP="00167955">
      <w:pPr>
        <w:spacing w:after="0" w:line="240" w:lineRule="auto"/>
        <w:rPr>
          <w:rFonts w:ascii="Times New Roman" w:eastAsia="Times New Roman" w:hAnsi="Times New Roman" w:cs="Times New Roman"/>
          <w:b/>
          <w:sz w:val="24"/>
          <w:szCs w:val="24"/>
          <w:lang w:eastAsia="en-AU"/>
        </w:rPr>
      </w:pPr>
      <w:r w:rsidRPr="006C7FF3">
        <w:rPr>
          <w:rFonts w:ascii="Times New Roman" w:eastAsia="Times New Roman" w:hAnsi="Times New Roman" w:cs="Times New Roman"/>
          <w:b/>
          <w:sz w:val="24"/>
          <w:szCs w:val="24"/>
          <w:lang w:eastAsia="en-AU"/>
        </w:rPr>
        <w:t>Schedule 3</w:t>
      </w:r>
      <w:r w:rsidR="004030B1" w:rsidRPr="00DD7973">
        <w:rPr>
          <w:rFonts w:ascii="Times New Roman" w:eastAsia="Times New Roman" w:hAnsi="Times New Roman" w:cs="Times New Roman"/>
          <w:b/>
          <w:sz w:val="24"/>
          <w:szCs w:val="24"/>
          <w:lang w:eastAsia="en-AU"/>
        </w:rPr>
        <w:t>—</w:t>
      </w:r>
      <w:r w:rsidR="004030B1" w:rsidRPr="004030B1">
        <w:rPr>
          <w:rFonts w:ascii="Times New Roman" w:eastAsia="Times New Roman" w:hAnsi="Times New Roman" w:cs="Times New Roman"/>
          <w:b/>
          <w:sz w:val="24"/>
          <w:szCs w:val="24"/>
          <w:lang w:eastAsia="en-AU"/>
        </w:rPr>
        <w:t>Responsible persons</w:t>
      </w:r>
    </w:p>
    <w:p w14:paraId="1E7FD982" w14:textId="77777777" w:rsidR="00B23DAC" w:rsidRPr="00102702" w:rsidRDefault="00B23DAC" w:rsidP="00167955">
      <w:pPr>
        <w:spacing w:after="0" w:line="240" w:lineRule="auto"/>
        <w:rPr>
          <w:rFonts w:ascii="Times New Roman" w:eastAsia="Times New Roman" w:hAnsi="Times New Roman" w:cs="Times New Roman"/>
          <w:bCs/>
          <w:sz w:val="24"/>
          <w:szCs w:val="24"/>
          <w:lang w:eastAsia="en-AU"/>
        </w:rPr>
      </w:pPr>
    </w:p>
    <w:p w14:paraId="7E112AB5" w14:textId="6F7441D2" w:rsidR="00B23DAC" w:rsidRPr="006C7FF3" w:rsidRDefault="00177D52" w:rsidP="0016795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This </w:t>
      </w:r>
      <w:r w:rsidR="00B23DAC" w:rsidRPr="006C7FF3">
        <w:rPr>
          <w:rFonts w:ascii="Times New Roman" w:eastAsia="Times New Roman" w:hAnsi="Times New Roman" w:cs="Times New Roman"/>
          <w:bCs/>
          <w:sz w:val="24"/>
          <w:szCs w:val="24"/>
          <w:lang w:eastAsia="en-AU"/>
        </w:rPr>
        <w:t>Schedule sets out the name of the responsible person and their ABN</w:t>
      </w:r>
      <w:r w:rsidR="001A3125" w:rsidRPr="006C7FF3">
        <w:rPr>
          <w:rFonts w:ascii="Times New Roman" w:eastAsia="Times New Roman" w:hAnsi="Times New Roman" w:cs="Times New Roman"/>
          <w:bCs/>
          <w:sz w:val="24"/>
          <w:szCs w:val="24"/>
          <w:lang w:eastAsia="en-AU"/>
        </w:rPr>
        <w:t xml:space="preserve"> (</w:t>
      </w:r>
      <w:r w:rsidR="00B23DAC" w:rsidRPr="006C7FF3">
        <w:rPr>
          <w:rFonts w:ascii="Times New Roman" w:eastAsia="Times New Roman" w:hAnsi="Times New Roman" w:cs="Times New Roman"/>
          <w:bCs/>
          <w:sz w:val="24"/>
          <w:szCs w:val="24"/>
          <w:lang w:eastAsia="en-AU"/>
        </w:rPr>
        <w:t>if any</w:t>
      </w:r>
      <w:r w:rsidR="001A3125" w:rsidRPr="006C7FF3">
        <w:rPr>
          <w:rFonts w:ascii="Times New Roman" w:eastAsia="Times New Roman" w:hAnsi="Times New Roman" w:cs="Times New Roman"/>
          <w:bCs/>
          <w:sz w:val="24"/>
          <w:szCs w:val="24"/>
          <w:lang w:eastAsia="en-AU"/>
        </w:rPr>
        <w:t>)</w:t>
      </w:r>
      <w:r w:rsidR="00B23DAC" w:rsidRPr="006C7FF3">
        <w:rPr>
          <w:rFonts w:ascii="Times New Roman" w:eastAsia="Times New Roman" w:hAnsi="Times New Roman" w:cs="Times New Roman"/>
          <w:bCs/>
          <w:sz w:val="24"/>
          <w:szCs w:val="24"/>
          <w:lang w:eastAsia="en-AU"/>
        </w:rPr>
        <w:t xml:space="preserve"> for each code</w:t>
      </w:r>
      <w:r w:rsidR="00934736" w:rsidRPr="006C7FF3">
        <w:rPr>
          <w:rFonts w:ascii="Times New Roman" w:eastAsia="Times New Roman" w:hAnsi="Times New Roman" w:cs="Times New Roman"/>
          <w:bCs/>
          <w:sz w:val="24"/>
          <w:szCs w:val="24"/>
          <w:lang w:eastAsia="en-AU"/>
        </w:rPr>
        <w:t xml:space="preserve"> </w:t>
      </w:r>
      <w:r w:rsidR="006F5968">
        <w:rPr>
          <w:rFonts w:ascii="Times New Roman" w:eastAsia="Times New Roman" w:hAnsi="Times New Roman" w:cs="Times New Roman"/>
          <w:bCs/>
          <w:sz w:val="24"/>
          <w:szCs w:val="24"/>
          <w:lang w:eastAsia="en-AU"/>
        </w:rPr>
        <w:t xml:space="preserve">used to identify the responsible person for a brand of pharmaceutical item </w:t>
      </w:r>
      <w:r w:rsidR="00934736" w:rsidRPr="006C7FF3">
        <w:rPr>
          <w:rFonts w:ascii="Times New Roman" w:eastAsia="Times New Roman" w:hAnsi="Times New Roman" w:cs="Times New Roman"/>
          <w:bCs/>
          <w:sz w:val="24"/>
          <w:szCs w:val="24"/>
          <w:lang w:eastAsia="en-AU"/>
        </w:rPr>
        <w:t>in Schedule 1</w:t>
      </w:r>
      <w:r w:rsidR="00B23DAC" w:rsidRPr="006C7FF3">
        <w:rPr>
          <w:rFonts w:ascii="Times New Roman" w:eastAsia="Times New Roman" w:hAnsi="Times New Roman" w:cs="Times New Roman"/>
          <w:bCs/>
          <w:sz w:val="24"/>
          <w:szCs w:val="24"/>
          <w:lang w:eastAsia="en-AU"/>
        </w:rPr>
        <w:t>.</w:t>
      </w:r>
      <w:r w:rsidR="003B68F8">
        <w:rPr>
          <w:rFonts w:ascii="Times New Roman" w:eastAsia="Times New Roman" w:hAnsi="Times New Roman" w:cs="Times New Roman"/>
          <w:bCs/>
          <w:sz w:val="24"/>
          <w:szCs w:val="24"/>
          <w:lang w:eastAsia="en-AU"/>
        </w:rPr>
        <w:t xml:space="preserve"> It is made for the purposes of section 10 of the </w:t>
      </w:r>
      <w:r w:rsidR="0054222A">
        <w:rPr>
          <w:rFonts w:ascii="Times New Roman" w:eastAsia="Times New Roman" w:hAnsi="Times New Roman" w:cs="Times New Roman"/>
          <w:bCs/>
          <w:sz w:val="24"/>
          <w:szCs w:val="24"/>
          <w:lang w:eastAsia="en-AU"/>
        </w:rPr>
        <w:t>2024 Listing Instrument.</w:t>
      </w:r>
    </w:p>
    <w:p w14:paraId="0F34E992" w14:textId="77777777" w:rsidR="00972550" w:rsidRPr="00167955" w:rsidRDefault="00972550" w:rsidP="00167955">
      <w:pPr>
        <w:spacing w:after="0" w:line="240" w:lineRule="auto"/>
        <w:rPr>
          <w:rFonts w:ascii="Times New Roman" w:eastAsia="Times New Roman" w:hAnsi="Times New Roman" w:cs="Times New Roman"/>
          <w:bCs/>
          <w:sz w:val="24"/>
          <w:szCs w:val="24"/>
          <w:lang w:eastAsia="en-AU"/>
        </w:rPr>
      </w:pPr>
    </w:p>
    <w:p w14:paraId="7143A298" w14:textId="69DEB779" w:rsidR="00972550" w:rsidRPr="006C7FF3" w:rsidRDefault="00972550" w:rsidP="00167955">
      <w:pPr>
        <w:spacing w:after="0" w:line="240" w:lineRule="auto"/>
        <w:rPr>
          <w:rFonts w:ascii="Times New Roman" w:eastAsia="Times New Roman" w:hAnsi="Times New Roman" w:cs="Times New Roman"/>
          <w:b/>
          <w:sz w:val="24"/>
          <w:szCs w:val="24"/>
          <w:lang w:eastAsia="en-AU"/>
        </w:rPr>
      </w:pPr>
      <w:r w:rsidRPr="006C7FF3">
        <w:rPr>
          <w:rFonts w:ascii="Times New Roman" w:eastAsia="Times New Roman" w:hAnsi="Times New Roman" w:cs="Times New Roman"/>
          <w:b/>
          <w:sz w:val="24"/>
          <w:szCs w:val="24"/>
          <w:lang w:eastAsia="en-AU"/>
        </w:rPr>
        <w:t>Schedule 4</w:t>
      </w:r>
      <w:r w:rsidR="006A0220" w:rsidRPr="00DD7973">
        <w:rPr>
          <w:rFonts w:ascii="Times New Roman" w:eastAsia="Times New Roman" w:hAnsi="Times New Roman" w:cs="Times New Roman"/>
          <w:b/>
          <w:sz w:val="24"/>
          <w:szCs w:val="24"/>
          <w:lang w:eastAsia="en-AU"/>
        </w:rPr>
        <w:t>—</w:t>
      </w:r>
      <w:r w:rsidR="006641C5" w:rsidRPr="006641C5">
        <w:rPr>
          <w:rFonts w:ascii="Times New Roman" w:eastAsia="Times New Roman" w:hAnsi="Times New Roman" w:cs="Times New Roman"/>
          <w:b/>
          <w:sz w:val="24"/>
          <w:szCs w:val="24"/>
          <w:lang w:eastAsia="en-AU"/>
        </w:rPr>
        <w:t>Circumstances, purposes, conditions and variations</w:t>
      </w:r>
    </w:p>
    <w:p w14:paraId="240BF354" w14:textId="2FCDA23E" w:rsidR="001D783D" w:rsidRPr="00EE5950" w:rsidRDefault="001D783D" w:rsidP="00167955">
      <w:pPr>
        <w:shd w:val="clear" w:color="auto" w:fill="FFFFFF"/>
        <w:spacing w:before="120" w:after="0" w:line="240" w:lineRule="auto"/>
        <w:rPr>
          <w:rFonts w:ascii="Times New Roman" w:eastAsia="Times New Roman" w:hAnsi="Times New Roman" w:cs="Times New Roman"/>
          <w:color w:val="000000"/>
          <w:sz w:val="20"/>
          <w:szCs w:val="20"/>
          <w:u w:val="single"/>
          <w:lang w:eastAsia="en-AU"/>
        </w:rPr>
      </w:pPr>
      <w:r w:rsidRPr="00A22E0C">
        <w:rPr>
          <w:rFonts w:ascii="Times New Roman" w:eastAsia="Times New Roman" w:hAnsi="Times New Roman" w:cs="Times New Roman"/>
          <w:color w:val="000000"/>
          <w:sz w:val="24"/>
          <w:szCs w:val="24"/>
          <w:u w:val="single"/>
          <w:lang w:eastAsia="en-AU"/>
        </w:rPr>
        <w:t>Part 1</w:t>
      </w:r>
      <w:r w:rsidR="00102702">
        <w:rPr>
          <w:rFonts w:ascii="Times New Roman" w:eastAsia="Times New Roman" w:hAnsi="Times New Roman" w:cs="Times New Roman"/>
          <w:color w:val="000000"/>
          <w:sz w:val="24"/>
          <w:szCs w:val="24"/>
          <w:u w:val="single"/>
          <w:lang w:eastAsia="en-AU"/>
        </w:rPr>
        <w:tab/>
      </w:r>
      <w:r w:rsidRPr="00A22E0C">
        <w:rPr>
          <w:rFonts w:ascii="Times New Roman" w:eastAsia="Times New Roman" w:hAnsi="Times New Roman" w:cs="Times New Roman"/>
          <w:color w:val="000000"/>
          <w:sz w:val="24"/>
          <w:szCs w:val="24"/>
          <w:u w:val="single"/>
          <w:lang w:eastAsia="en-AU"/>
        </w:rPr>
        <w:t>Circumstances, purposes</w:t>
      </w:r>
      <w:r w:rsidR="00EE5950" w:rsidRPr="00A22E0C">
        <w:rPr>
          <w:rFonts w:ascii="Times New Roman" w:eastAsia="Times New Roman" w:hAnsi="Times New Roman" w:cs="Times New Roman"/>
          <w:color w:val="000000"/>
          <w:sz w:val="24"/>
          <w:szCs w:val="24"/>
          <w:u w:val="single"/>
          <w:lang w:eastAsia="en-AU"/>
        </w:rPr>
        <w:t xml:space="preserve"> </w:t>
      </w:r>
      <w:r w:rsidR="00A6327D" w:rsidRPr="00A22E0C">
        <w:rPr>
          <w:rFonts w:ascii="Times New Roman" w:eastAsia="Times New Roman" w:hAnsi="Times New Roman" w:cs="Times New Roman"/>
          <w:color w:val="000000"/>
          <w:sz w:val="24"/>
          <w:szCs w:val="24"/>
          <w:u w:val="single"/>
          <w:lang w:eastAsia="en-AU"/>
        </w:rPr>
        <w:t xml:space="preserve">and </w:t>
      </w:r>
      <w:r w:rsidRPr="00A22E0C">
        <w:rPr>
          <w:rFonts w:ascii="Times New Roman" w:eastAsia="Times New Roman" w:hAnsi="Times New Roman" w:cs="Times New Roman"/>
          <w:color w:val="000000"/>
          <w:sz w:val="24"/>
          <w:szCs w:val="24"/>
          <w:u w:val="single"/>
          <w:lang w:eastAsia="en-AU"/>
        </w:rPr>
        <w:t>conditions</w:t>
      </w:r>
      <w:r w:rsidR="00EE5950" w:rsidRPr="00A22E0C">
        <w:rPr>
          <w:rFonts w:ascii="Times New Roman" w:eastAsia="Times New Roman" w:hAnsi="Times New Roman" w:cs="Times New Roman"/>
          <w:color w:val="000000"/>
          <w:sz w:val="24"/>
          <w:szCs w:val="24"/>
          <w:u w:val="single"/>
          <w:lang w:eastAsia="en-AU"/>
        </w:rPr>
        <w:t xml:space="preserve"> </w:t>
      </w:r>
    </w:p>
    <w:p w14:paraId="10DD3FFF" w14:textId="77777777" w:rsidR="00167955" w:rsidRDefault="00167955"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7982B448" w14:textId="755D218E" w:rsidR="001D783D" w:rsidRDefault="001D783D"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865C34">
        <w:rPr>
          <w:rFonts w:ascii="Times New Roman" w:eastAsia="Times New Roman" w:hAnsi="Times New Roman" w:cs="Times New Roman"/>
          <w:color w:val="000000"/>
          <w:sz w:val="24"/>
          <w:szCs w:val="24"/>
          <w:lang w:eastAsia="en-AU"/>
        </w:rPr>
        <w:t xml:space="preserve">Part 1 of Schedule 4 relates to </w:t>
      </w:r>
      <w:r w:rsidR="00B45DE9" w:rsidRPr="00865C34">
        <w:rPr>
          <w:rFonts w:ascii="Times New Roman" w:eastAsia="Times New Roman" w:hAnsi="Times New Roman" w:cs="Times New Roman"/>
          <w:color w:val="000000"/>
          <w:sz w:val="24"/>
          <w:szCs w:val="24"/>
          <w:lang w:eastAsia="en-AU"/>
        </w:rPr>
        <w:t xml:space="preserve">sections </w:t>
      </w:r>
      <w:r w:rsidR="00722C53" w:rsidRPr="00865C34">
        <w:rPr>
          <w:rFonts w:ascii="Times New Roman" w:eastAsia="Times New Roman" w:hAnsi="Times New Roman" w:cs="Times New Roman"/>
          <w:color w:val="000000"/>
          <w:sz w:val="24"/>
          <w:szCs w:val="24"/>
          <w:lang w:eastAsia="en-AU"/>
        </w:rPr>
        <w:t>13</w:t>
      </w:r>
      <w:r w:rsidR="00B45DE9" w:rsidRPr="00865C34">
        <w:rPr>
          <w:rFonts w:ascii="Times New Roman" w:eastAsia="Times New Roman" w:hAnsi="Times New Roman" w:cs="Times New Roman"/>
          <w:color w:val="000000"/>
          <w:sz w:val="24"/>
          <w:szCs w:val="24"/>
          <w:lang w:eastAsia="en-AU"/>
        </w:rPr>
        <w:t xml:space="preserve">, </w:t>
      </w:r>
      <w:r w:rsidR="00535F40" w:rsidRPr="00865C34">
        <w:rPr>
          <w:rFonts w:ascii="Times New Roman" w:eastAsia="Times New Roman" w:hAnsi="Times New Roman" w:cs="Times New Roman"/>
          <w:color w:val="000000"/>
          <w:sz w:val="24"/>
          <w:szCs w:val="24"/>
          <w:lang w:eastAsia="en-AU"/>
        </w:rPr>
        <w:t>15</w:t>
      </w:r>
      <w:r w:rsidR="00AF1972" w:rsidRPr="00865C34">
        <w:rPr>
          <w:rFonts w:ascii="Times New Roman" w:eastAsia="Times New Roman" w:hAnsi="Times New Roman" w:cs="Times New Roman"/>
          <w:color w:val="000000"/>
          <w:sz w:val="24"/>
          <w:szCs w:val="24"/>
          <w:lang w:eastAsia="en-AU"/>
        </w:rPr>
        <w:t xml:space="preserve">, </w:t>
      </w:r>
      <w:r w:rsidR="00830496" w:rsidRPr="00865C34">
        <w:rPr>
          <w:rFonts w:ascii="Times New Roman" w:eastAsia="Times New Roman" w:hAnsi="Times New Roman" w:cs="Times New Roman"/>
          <w:color w:val="000000"/>
          <w:sz w:val="24"/>
          <w:szCs w:val="24"/>
          <w:lang w:eastAsia="en-AU"/>
        </w:rPr>
        <w:t>1</w:t>
      </w:r>
      <w:r w:rsidR="00201108" w:rsidRPr="00865C34">
        <w:rPr>
          <w:rFonts w:ascii="Times New Roman" w:eastAsia="Times New Roman" w:hAnsi="Times New Roman" w:cs="Times New Roman"/>
          <w:color w:val="000000"/>
          <w:sz w:val="24"/>
          <w:szCs w:val="24"/>
          <w:lang w:eastAsia="en-AU"/>
        </w:rPr>
        <w:t>6</w:t>
      </w:r>
      <w:r w:rsidR="00AF1972" w:rsidRPr="00865C34">
        <w:rPr>
          <w:rFonts w:ascii="Times New Roman" w:eastAsia="Times New Roman" w:hAnsi="Times New Roman" w:cs="Times New Roman"/>
          <w:color w:val="000000"/>
          <w:sz w:val="24"/>
          <w:szCs w:val="24"/>
          <w:lang w:eastAsia="en-AU"/>
        </w:rPr>
        <w:t xml:space="preserve">, </w:t>
      </w:r>
      <w:r w:rsidR="00201108" w:rsidRPr="00865C34">
        <w:rPr>
          <w:rFonts w:ascii="Times New Roman" w:eastAsia="Times New Roman" w:hAnsi="Times New Roman" w:cs="Times New Roman"/>
          <w:color w:val="000000"/>
          <w:sz w:val="24"/>
          <w:szCs w:val="24"/>
          <w:lang w:eastAsia="en-AU"/>
        </w:rPr>
        <w:t>19</w:t>
      </w:r>
      <w:r w:rsidR="00AF1972" w:rsidRPr="00865C34">
        <w:rPr>
          <w:rFonts w:ascii="Times New Roman" w:eastAsia="Times New Roman" w:hAnsi="Times New Roman" w:cs="Times New Roman"/>
          <w:color w:val="000000"/>
          <w:sz w:val="24"/>
          <w:szCs w:val="24"/>
          <w:lang w:eastAsia="en-AU"/>
        </w:rPr>
        <w:t xml:space="preserve"> and </w:t>
      </w:r>
      <w:r w:rsidR="00201108" w:rsidRPr="00865C34">
        <w:rPr>
          <w:rFonts w:ascii="Times New Roman" w:eastAsia="Times New Roman" w:hAnsi="Times New Roman" w:cs="Times New Roman"/>
          <w:color w:val="000000"/>
          <w:sz w:val="24"/>
          <w:szCs w:val="24"/>
          <w:lang w:eastAsia="en-AU"/>
        </w:rPr>
        <w:t>23</w:t>
      </w:r>
      <w:r w:rsidR="00B45DE9" w:rsidRPr="00865C34">
        <w:rPr>
          <w:rFonts w:ascii="Times New Roman" w:eastAsia="Times New Roman" w:hAnsi="Times New Roman" w:cs="Times New Roman"/>
          <w:color w:val="000000"/>
          <w:sz w:val="24"/>
          <w:szCs w:val="24"/>
          <w:lang w:eastAsia="en-AU"/>
        </w:rPr>
        <w:t xml:space="preserve"> of th</w:t>
      </w:r>
      <w:r w:rsidR="005A0838">
        <w:rPr>
          <w:rFonts w:ascii="Times New Roman" w:eastAsia="Times New Roman" w:hAnsi="Times New Roman" w:cs="Times New Roman"/>
          <w:color w:val="000000"/>
          <w:sz w:val="24"/>
          <w:szCs w:val="24"/>
          <w:lang w:eastAsia="en-AU"/>
        </w:rPr>
        <w:t>e 2024 Listing I</w:t>
      </w:r>
      <w:r w:rsidR="00B45DE9" w:rsidRPr="00865C34">
        <w:rPr>
          <w:rFonts w:ascii="Times New Roman" w:eastAsia="Times New Roman" w:hAnsi="Times New Roman" w:cs="Times New Roman"/>
          <w:color w:val="000000"/>
          <w:sz w:val="24"/>
          <w:szCs w:val="24"/>
          <w:lang w:eastAsia="en-AU"/>
        </w:rPr>
        <w:t>nstrument</w:t>
      </w:r>
      <w:r w:rsidRPr="00865C34">
        <w:rPr>
          <w:rFonts w:ascii="Times New Roman" w:eastAsia="Times New Roman" w:hAnsi="Times New Roman" w:cs="Times New Roman"/>
          <w:color w:val="000000"/>
          <w:sz w:val="24"/>
          <w:szCs w:val="24"/>
          <w:lang w:eastAsia="en-AU"/>
        </w:rPr>
        <w:t>.</w:t>
      </w:r>
    </w:p>
    <w:p w14:paraId="334D7753" w14:textId="77777777" w:rsidR="00102702" w:rsidRPr="00102702" w:rsidRDefault="00102702"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22584043" w14:textId="4237D25F" w:rsidR="00B72C19" w:rsidRDefault="005A0838" w:rsidP="00167955">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table in Part 1 </w:t>
      </w:r>
      <w:r w:rsidR="00F63E67">
        <w:rPr>
          <w:rFonts w:ascii="Times New Roman" w:eastAsia="Times New Roman" w:hAnsi="Times New Roman" w:cs="Times New Roman"/>
          <w:color w:val="000000"/>
          <w:sz w:val="24"/>
          <w:szCs w:val="24"/>
          <w:lang w:eastAsia="en-AU"/>
        </w:rPr>
        <w:t>provides detailed conten</w:t>
      </w:r>
      <w:r w:rsidR="00C4657F">
        <w:rPr>
          <w:rFonts w:ascii="Times New Roman" w:eastAsia="Times New Roman" w:hAnsi="Times New Roman" w:cs="Times New Roman"/>
          <w:color w:val="000000"/>
          <w:sz w:val="24"/>
          <w:szCs w:val="24"/>
          <w:lang w:eastAsia="en-AU"/>
        </w:rPr>
        <w:t xml:space="preserve">t for </w:t>
      </w:r>
      <w:r w:rsidR="00786993">
        <w:rPr>
          <w:rFonts w:ascii="Times New Roman" w:eastAsia="Times New Roman" w:hAnsi="Times New Roman" w:cs="Times New Roman"/>
          <w:color w:val="000000"/>
          <w:sz w:val="24"/>
          <w:szCs w:val="24"/>
          <w:lang w:eastAsia="en-AU"/>
        </w:rPr>
        <w:t xml:space="preserve">the </w:t>
      </w:r>
      <w:r w:rsidR="00501D2C">
        <w:rPr>
          <w:rFonts w:ascii="Times New Roman" w:eastAsia="Times New Roman" w:hAnsi="Times New Roman" w:cs="Times New Roman"/>
          <w:color w:val="000000"/>
          <w:sz w:val="24"/>
          <w:szCs w:val="24"/>
          <w:lang w:eastAsia="en-AU"/>
        </w:rPr>
        <w:t xml:space="preserve">circumstances </w:t>
      </w:r>
      <w:r w:rsidR="00786993">
        <w:rPr>
          <w:rFonts w:ascii="Times New Roman" w:eastAsia="Times New Roman" w:hAnsi="Times New Roman" w:cs="Times New Roman"/>
          <w:color w:val="000000"/>
          <w:sz w:val="24"/>
          <w:szCs w:val="24"/>
          <w:lang w:eastAsia="en-AU"/>
        </w:rPr>
        <w:t>codes</w:t>
      </w:r>
      <w:r w:rsidR="00B74D64">
        <w:rPr>
          <w:rFonts w:ascii="Times New Roman" w:eastAsia="Times New Roman" w:hAnsi="Times New Roman" w:cs="Times New Roman"/>
          <w:color w:val="000000"/>
          <w:sz w:val="24"/>
          <w:szCs w:val="24"/>
          <w:lang w:eastAsia="en-AU"/>
        </w:rPr>
        <w:t xml:space="preserve">, </w:t>
      </w:r>
      <w:r w:rsidR="00501D2C">
        <w:rPr>
          <w:rFonts w:ascii="Times New Roman" w:eastAsia="Times New Roman" w:hAnsi="Times New Roman" w:cs="Times New Roman"/>
          <w:color w:val="000000"/>
          <w:sz w:val="24"/>
          <w:szCs w:val="24"/>
          <w:lang w:eastAsia="en-AU"/>
        </w:rPr>
        <w:t xml:space="preserve">purposes </w:t>
      </w:r>
      <w:r w:rsidR="00786993">
        <w:rPr>
          <w:rFonts w:ascii="Times New Roman" w:eastAsia="Times New Roman" w:hAnsi="Times New Roman" w:cs="Times New Roman"/>
          <w:color w:val="000000"/>
          <w:sz w:val="24"/>
          <w:szCs w:val="24"/>
          <w:lang w:eastAsia="en-AU"/>
        </w:rPr>
        <w:t xml:space="preserve">codes </w:t>
      </w:r>
      <w:r w:rsidR="00B74D64">
        <w:rPr>
          <w:rFonts w:ascii="Times New Roman" w:eastAsia="Times New Roman" w:hAnsi="Times New Roman" w:cs="Times New Roman"/>
          <w:color w:val="000000"/>
          <w:sz w:val="24"/>
          <w:szCs w:val="24"/>
          <w:lang w:eastAsia="en-AU"/>
        </w:rPr>
        <w:t xml:space="preserve">and </w:t>
      </w:r>
      <w:r w:rsidR="00501D2C">
        <w:rPr>
          <w:rFonts w:ascii="Times New Roman" w:eastAsia="Times New Roman" w:hAnsi="Times New Roman" w:cs="Times New Roman"/>
          <w:color w:val="000000"/>
          <w:sz w:val="24"/>
          <w:szCs w:val="24"/>
          <w:lang w:eastAsia="en-AU"/>
        </w:rPr>
        <w:t xml:space="preserve">conditions </w:t>
      </w:r>
      <w:r w:rsidR="00B74D64">
        <w:rPr>
          <w:rFonts w:ascii="Times New Roman" w:eastAsia="Times New Roman" w:hAnsi="Times New Roman" w:cs="Times New Roman"/>
          <w:color w:val="000000"/>
          <w:sz w:val="24"/>
          <w:szCs w:val="24"/>
          <w:lang w:eastAsia="en-AU"/>
        </w:rPr>
        <w:t xml:space="preserve">codes </w:t>
      </w:r>
      <w:r w:rsidR="00090140">
        <w:rPr>
          <w:rFonts w:ascii="Times New Roman" w:eastAsia="Times New Roman" w:hAnsi="Times New Roman" w:cs="Times New Roman"/>
          <w:color w:val="000000"/>
          <w:sz w:val="24"/>
          <w:szCs w:val="24"/>
          <w:lang w:eastAsia="en-AU"/>
        </w:rPr>
        <w:t>appearing in the “Circumstances</w:t>
      </w:r>
      <w:r w:rsidR="0009169A">
        <w:rPr>
          <w:rFonts w:ascii="Times New Roman" w:eastAsia="Times New Roman" w:hAnsi="Times New Roman" w:cs="Times New Roman"/>
          <w:color w:val="000000"/>
          <w:sz w:val="24"/>
          <w:szCs w:val="24"/>
          <w:lang w:eastAsia="en-AU"/>
        </w:rPr>
        <w:t>”</w:t>
      </w:r>
      <w:r w:rsidR="00B74D64">
        <w:rPr>
          <w:rFonts w:ascii="Times New Roman" w:eastAsia="Times New Roman" w:hAnsi="Times New Roman" w:cs="Times New Roman"/>
          <w:color w:val="000000"/>
          <w:sz w:val="24"/>
          <w:szCs w:val="24"/>
          <w:lang w:eastAsia="en-AU"/>
        </w:rPr>
        <w:t xml:space="preserve">, </w:t>
      </w:r>
      <w:r w:rsidR="0009169A">
        <w:rPr>
          <w:rFonts w:ascii="Times New Roman" w:eastAsia="Times New Roman" w:hAnsi="Times New Roman" w:cs="Times New Roman"/>
          <w:color w:val="000000"/>
          <w:sz w:val="24"/>
          <w:szCs w:val="24"/>
          <w:lang w:eastAsia="en-AU"/>
        </w:rPr>
        <w:t>“Purposes”</w:t>
      </w:r>
      <w:r w:rsidR="00B74D64">
        <w:rPr>
          <w:rFonts w:ascii="Times New Roman" w:eastAsia="Times New Roman" w:hAnsi="Times New Roman" w:cs="Times New Roman"/>
          <w:color w:val="000000"/>
          <w:sz w:val="24"/>
          <w:szCs w:val="24"/>
          <w:lang w:eastAsia="en-AU"/>
        </w:rPr>
        <w:t xml:space="preserve"> and “Conditions”</w:t>
      </w:r>
      <w:r w:rsidR="00786993">
        <w:rPr>
          <w:rFonts w:ascii="Times New Roman" w:eastAsia="Times New Roman" w:hAnsi="Times New Roman" w:cs="Times New Roman"/>
          <w:color w:val="000000"/>
          <w:sz w:val="24"/>
          <w:szCs w:val="24"/>
          <w:lang w:eastAsia="en-AU"/>
        </w:rPr>
        <w:t xml:space="preserve"> </w:t>
      </w:r>
      <w:r w:rsidR="0009169A">
        <w:rPr>
          <w:rFonts w:ascii="Times New Roman" w:eastAsia="Times New Roman" w:hAnsi="Times New Roman" w:cs="Times New Roman"/>
          <w:color w:val="000000"/>
          <w:sz w:val="24"/>
          <w:szCs w:val="24"/>
          <w:lang w:eastAsia="en-AU"/>
        </w:rPr>
        <w:t>columns</w:t>
      </w:r>
      <w:r w:rsidR="00B74D64">
        <w:rPr>
          <w:rFonts w:ascii="Times New Roman" w:eastAsia="Times New Roman" w:hAnsi="Times New Roman" w:cs="Times New Roman"/>
          <w:color w:val="000000"/>
          <w:sz w:val="24"/>
          <w:szCs w:val="24"/>
          <w:lang w:eastAsia="en-AU"/>
        </w:rPr>
        <w:t>, respectively, in</w:t>
      </w:r>
      <w:r w:rsidR="0009169A">
        <w:rPr>
          <w:rFonts w:ascii="Times New Roman" w:eastAsia="Times New Roman" w:hAnsi="Times New Roman" w:cs="Times New Roman"/>
          <w:color w:val="000000"/>
          <w:sz w:val="24"/>
          <w:szCs w:val="24"/>
          <w:lang w:eastAsia="en-AU"/>
        </w:rPr>
        <w:t xml:space="preserve"> </w:t>
      </w:r>
      <w:r w:rsidR="00786993">
        <w:rPr>
          <w:rFonts w:ascii="Times New Roman" w:eastAsia="Times New Roman" w:hAnsi="Times New Roman" w:cs="Times New Roman"/>
          <w:color w:val="000000"/>
          <w:sz w:val="24"/>
          <w:szCs w:val="24"/>
          <w:lang w:eastAsia="en-AU"/>
        </w:rPr>
        <w:t>Schedule 1</w:t>
      </w:r>
      <w:r w:rsidR="00033723">
        <w:rPr>
          <w:rFonts w:ascii="Times New Roman" w:eastAsia="Times New Roman" w:hAnsi="Times New Roman" w:cs="Times New Roman"/>
          <w:color w:val="000000"/>
          <w:sz w:val="24"/>
          <w:szCs w:val="24"/>
          <w:lang w:eastAsia="en-AU"/>
        </w:rPr>
        <w:t xml:space="preserve"> for</w:t>
      </w:r>
      <w:r w:rsidR="00360B0D">
        <w:rPr>
          <w:rFonts w:ascii="Times New Roman" w:eastAsia="Times New Roman" w:hAnsi="Times New Roman" w:cs="Times New Roman"/>
          <w:color w:val="000000"/>
          <w:sz w:val="24"/>
          <w:szCs w:val="24"/>
          <w:lang w:eastAsia="en-AU"/>
        </w:rPr>
        <w:t xml:space="preserve"> ready-prepared</w:t>
      </w:r>
      <w:r w:rsidR="00033723">
        <w:rPr>
          <w:rFonts w:ascii="Times New Roman" w:eastAsia="Times New Roman" w:hAnsi="Times New Roman" w:cs="Times New Roman"/>
          <w:color w:val="000000"/>
          <w:sz w:val="24"/>
          <w:szCs w:val="24"/>
          <w:lang w:eastAsia="en-AU"/>
        </w:rPr>
        <w:t xml:space="preserve"> pharmaceutical benefits</w:t>
      </w:r>
      <w:r w:rsidR="00786993">
        <w:rPr>
          <w:rFonts w:ascii="Times New Roman" w:eastAsia="Times New Roman" w:hAnsi="Times New Roman" w:cs="Times New Roman"/>
          <w:color w:val="000000"/>
          <w:sz w:val="24"/>
          <w:szCs w:val="24"/>
          <w:lang w:eastAsia="en-AU"/>
        </w:rPr>
        <w:t>.</w:t>
      </w:r>
    </w:p>
    <w:p w14:paraId="264B1509" w14:textId="728E6F2F" w:rsidR="001D783D" w:rsidRPr="00A22E0C" w:rsidRDefault="002D0D19" w:rsidP="00167955">
      <w:pPr>
        <w:pStyle w:val="ListParagraph"/>
        <w:numPr>
          <w:ilvl w:val="0"/>
          <w:numId w:val="33"/>
        </w:numPr>
        <w:shd w:val="clear" w:color="auto" w:fill="FFFFFF"/>
        <w:spacing w:before="120" w:after="0" w:line="240" w:lineRule="auto"/>
        <w:ind w:left="714" w:hanging="357"/>
        <w:contextualSpacing w:val="0"/>
        <w:rPr>
          <w:rFonts w:ascii="Times New Roman" w:eastAsia="Times New Roman" w:hAnsi="Times New Roman" w:cs="Times New Roman"/>
          <w:color w:val="000000"/>
          <w:sz w:val="24"/>
          <w:szCs w:val="24"/>
          <w:lang w:eastAsia="en-AU"/>
        </w:rPr>
      </w:pPr>
      <w:r w:rsidRPr="00A22E0C">
        <w:rPr>
          <w:rFonts w:ascii="Times New Roman" w:eastAsia="Times New Roman" w:hAnsi="Times New Roman" w:cs="Times New Roman"/>
          <w:color w:val="000000"/>
          <w:sz w:val="24"/>
          <w:szCs w:val="24"/>
          <w:lang w:eastAsia="en-AU"/>
        </w:rPr>
        <w:t>The c</w:t>
      </w:r>
      <w:r w:rsidR="00F03EDC" w:rsidRPr="00A22E0C">
        <w:rPr>
          <w:rFonts w:ascii="Times New Roman" w:eastAsia="Times New Roman" w:hAnsi="Times New Roman" w:cs="Times New Roman"/>
          <w:color w:val="000000"/>
          <w:sz w:val="24"/>
          <w:szCs w:val="24"/>
          <w:lang w:eastAsia="en-AU"/>
        </w:rPr>
        <w:t xml:space="preserve">ircumstances </w:t>
      </w:r>
      <w:r w:rsidRPr="00A22E0C">
        <w:rPr>
          <w:rFonts w:ascii="Times New Roman" w:eastAsia="Times New Roman" w:hAnsi="Times New Roman" w:cs="Times New Roman"/>
          <w:color w:val="000000"/>
          <w:sz w:val="24"/>
          <w:szCs w:val="24"/>
          <w:lang w:eastAsia="en-AU"/>
        </w:rPr>
        <w:t>are the circumstances in which a prescription for the supply of the pharmaceutical benefit may be written</w:t>
      </w:r>
      <w:r w:rsidR="00EB3DF5">
        <w:rPr>
          <w:rFonts w:ascii="Times New Roman" w:eastAsia="Times New Roman" w:hAnsi="Times New Roman" w:cs="Times New Roman"/>
          <w:color w:val="000000"/>
          <w:sz w:val="24"/>
          <w:szCs w:val="24"/>
          <w:lang w:eastAsia="en-AU"/>
        </w:rPr>
        <w:t xml:space="preserve"> (see section 13)</w:t>
      </w:r>
      <w:r w:rsidR="00D91570">
        <w:rPr>
          <w:rFonts w:ascii="Times New Roman" w:eastAsia="Times New Roman" w:hAnsi="Times New Roman" w:cs="Times New Roman"/>
          <w:color w:val="000000"/>
          <w:sz w:val="24"/>
          <w:szCs w:val="24"/>
          <w:lang w:eastAsia="en-AU"/>
        </w:rPr>
        <w:t>.</w:t>
      </w:r>
      <w:r w:rsidR="00D91570" w:rsidRPr="00D91570">
        <w:rPr>
          <w:rFonts w:ascii="Times New Roman" w:eastAsia="Times New Roman" w:hAnsi="Times New Roman" w:cs="Times New Roman"/>
          <w:color w:val="000000"/>
          <w:sz w:val="24"/>
          <w:szCs w:val="24"/>
          <w:lang w:eastAsia="en-AU"/>
        </w:rPr>
        <w:t xml:space="preserve"> </w:t>
      </w:r>
      <w:r w:rsidR="00D91570">
        <w:rPr>
          <w:rFonts w:ascii="Times New Roman" w:eastAsia="Times New Roman" w:hAnsi="Times New Roman" w:cs="Times New Roman"/>
          <w:color w:val="000000"/>
          <w:sz w:val="24"/>
          <w:szCs w:val="24"/>
          <w:lang w:eastAsia="en-AU"/>
        </w:rPr>
        <w:t xml:space="preserve">The </w:t>
      </w:r>
      <w:r w:rsidR="00071BF7">
        <w:rPr>
          <w:rFonts w:ascii="Times New Roman" w:eastAsia="Times New Roman" w:hAnsi="Times New Roman" w:cs="Times New Roman"/>
          <w:color w:val="000000"/>
          <w:sz w:val="24"/>
          <w:szCs w:val="24"/>
          <w:lang w:eastAsia="en-AU"/>
        </w:rPr>
        <w:t xml:space="preserve">circumstances </w:t>
      </w:r>
      <w:r w:rsidR="00D91570">
        <w:rPr>
          <w:rFonts w:ascii="Times New Roman" w:eastAsia="Times New Roman" w:hAnsi="Times New Roman" w:cs="Times New Roman"/>
          <w:color w:val="000000"/>
          <w:sz w:val="24"/>
          <w:szCs w:val="24"/>
          <w:lang w:eastAsia="en-AU"/>
        </w:rPr>
        <w:t xml:space="preserve">may include a requirement </w:t>
      </w:r>
      <w:r w:rsidR="00071BF7">
        <w:rPr>
          <w:rFonts w:ascii="Times New Roman" w:eastAsia="Times New Roman" w:hAnsi="Times New Roman" w:cs="Times New Roman"/>
          <w:color w:val="000000"/>
          <w:sz w:val="24"/>
          <w:szCs w:val="24"/>
          <w:lang w:eastAsia="en-AU"/>
        </w:rPr>
        <w:t xml:space="preserve">that the </w:t>
      </w:r>
      <w:r w:rsidR="00D91570">
        <w:rPr>
          <w:rFonts w:ascii="Times New Roman" w:eastAsia="Times New Roman" w:hAnsi="Times New Roman" w:cs="Times New Roman"/>
          <w:color w:val="000000"/>
          <w:sz w:val="24"/>
          <w:szCs w:val="24"/>
          <w:lang w:eastAsia="en-AU"/>
        </w:rPr>
        <w:t xml:space="preserve">Chief Executive Medicare </w:t>
      </w:r>
      <w:r w:rsidR="00071BF7">
        <w:rPr>
          <w:rFonts w:ascii="Times New Roman" w:eastAsia="Times New Roman" w:hAnsi="Times New Roman" w:cs="Times New Roman"/>
          <w:color w:val="000000"/>
          <w:sz w:val="24"/>
          <w:szCs w:val="24"/>
          <w:lang w:eastAsia="en-AU"/>
        </w:rPr>
        <w:t xml:space="preserve">authorises the </w:t>
      </w:r>
      <w:r w:rsidR="00D91570">
        <w:rPr>
          <w:rFonts w:ascii="Times New Roman" w:eastAsia="Times New Roman" w:hAnsi="Times New Roman" w:cs="Times New Roman"/>
          <w:color w:val="000000"/>
          <w:sz w:val="24"/>
          <w:szCs w:val="24"/>
          <w:lang w:eastAsia="en-AU"/>
        </w:rPr>
        <w:t xml:space="preserve">writing </w:t>
      </w:r>
      <w:r w:rsidR="00071BF7">
        <w:rPr>
          <w:rFonts w:ascii="Times New Roman" w:eastAsia="Times New Roman" w:hAnsi="Times New Roman" w:cs="Times New Roman"/>
          <w:color w:val="000000"/>
          <w:sz w:val="24"/>
          <w:szCs w:val="24"/>
          <w:lang w:eastAsia="en-AU"/>
        </w:rPr>
        <w:t xml:space="preserve">of </w:t>
      </w:r>
      <w:r w:rsidR="00D91570">
        <w:rPr>
          <w:rFonts w:ascii="Times New Roman" w:eastAsia="Times New Roman" w:hAnsi="Times New Roman" w:cs="Times New Roman"/>
          <w:color w:val="000000"/>
          <w:sz w:val="24"/>
          <w:szCs w:val="24"/>
          <w:lang w:eastAsia="en-AU"/>
        </w:rPr>
        <w:t>the prescription</w:t>
      </w:r>
      <w:r w:rsidR="00071BF7">
        <w:rPr>
          <w:rFonts w:ascii="Times New Roman" w:eastAsia="Times New Roman" w:hAnsi="Times New Roman" w:cs="Times New Roman"/>
          <w:color w:val="000000"/>
          <w:sz w:val="24"/>
          <w:szCs w:val="24"/>
          <w:lang w:eastAsia="en-AU"/>
        </w:rPr>
        <w:t>;</w:t>
      </w:r>
    </w:p>
    <w:p w14:paraId="3DCFBC65" w14:textId="714567DA" w:rsidR="002D0D19" w:rsidRPr="00A22E0C" w:rsidRDefault="002D0D19" w:rsidP="00167955">
      <w:pPr>
        <w:pStyle w:val="ListParagraph"/>
        <w:numPr>
          <w:ilvl w:val="0"/>
          <w:numId w:val="33"/>
        </w:numPr>
        <w:shd w:val="clear" w:color="auto" w:fill="FFFFFF"/>
        <w:spacing w:before="120" w:after="0" w:line="240" w:lineRule="auto"/>
        <w:ind w:left="714" w:hanging="357"/>
        <w:contextualSpacing w:val="0"/>
        <w:rPr>
          <w:rFonts w:ascii="Times New Roman" w:eastAsia="Times New Roman" w:hAnsi="Times New Roman" w:cs="Times New Roman"/>
          <w:color w:val="000000"/>
          <w:sz w:val="24"/>
          <w:szCs w:val="24"/>
          <w:lang w:eastAsia="en-AU"/>
        </w:rPr>
      </w:pPr>
      <w:r w:rsidRPr="00A22E0C">
        <w:rPr>
          <w:rFonts w:ascii="Times New Roman" w:eastAsia="Times New Roman" w:hAnsi="Times New Roman" w:cs="Times New Roman"/>
          <w:color w:val="000000"/>
          <w:sz w:val="24"/>
          <w:szCs w:val="24"/>
          <w:lang w:eastAsia="en-AU"/>
        </w:rPr>
        <w:t xml:space="preserve">The purposes are the purposes for which a prescriber may direct </w:t>
      </w:r>
      <w:r w:rsidR="000F28E4" w:rsidRPr="00A22E0C">
        <w:rPr>
          <w:rFonts w:ascii="Times New Roman" w:eastAsia="Times New Roman" w:hAnsi="Times New Roman" w:cs="Times New Roman"/>
          <w:color w:val="000000"/>
          <w:sz w:val="24"/>
          <w:szCs w:val="24"/>
          <w:lang w:eastAsia="en-AU"/>
        </w:rPr>
        <w:t xml:space="preserve">that a maximum quantity of the pharmaceutical benefit may be directed to be supplied on one occasion </w:t>
      </w:r>
      <w:r w:rsidR="00147F4C">
        <w:rPr>
          <w:rFonts w:ascii="Times New Roman" w:eastAsia="Times New Roman" w:hAnsi="Times New Roman" w:cs="Times New Roman"/>
          <w:color w:val="000000"/>
          <w:sz w:val="24"/>
          <w:szCs w:val="24"/>
          <w:lang w:eastAsia="en-AU"/>
        </w:rPr>
        <w:t xml:space="preserve">(see section 15) </w:t>
      </w:r>
      <w:r w:rsidR="000F28E4" w:rsidRPr="00A22E0C">
        <w:rPr>
          <w:rFonts w:ascii="Times New Roman" w:eastAsia="Times New Roman" w:hAnsi="Times New Roman" w:cs="Times New Roman"/>
          <w:color w:val="000000"/>
          <w:sz w:val="24"/>
          <w:szCs w:val="24"/>
          <w:lang w:eastAsia="en-AU"/>
        </w:rPr>
        <w:t xml:space="preserve">and/or purposes for which a prescriber may </w:t>
      </w:r>
      <w:r w:rsidR="00460B28" w:rsidRPr="00A22E0C">
        <w:rPr>
          <w:rFonts w:ascii="Times New Roman" w:eastAsia="Times New Roman" w:hAnsi="Times New Roman" w:cs="Times New Roman"/>
          <w:color w:val="000000"/>
          <w:sz w:val="24"/>
          <w:szCs w:val="24"/>
          <w:lang w:eastAsia="en-AU"/>
        </w:rPr>
        <w:t xml:space="preserve">include the maximum number of </w:t>
      </w:r>
      <w:r w:rsidR="002E6E5E" w:rsidRPr="00A22E0C">
        <w:rPr>
          <w:rFonts w:ascii="Times New Roman" w:eastAsia="Times New Roman" w:hAnsi="Times New Roman" w:cs="Times New Roman"/>
          <w:color w:val="000000"/>
          <w:sz w:val="24"/>
          <w:szCs w:val="24"/>
          <w:lang w:eastAsia="en-AU"/>
        </w:rPr>
        <w:t xml:space="preserve">occasions </w:t>
      </w:r>
      <w:r w:rsidR="00460B28" w:rsidRPr="00A22E0C">
        <w:rPr>
          <w:rFonts w:ascii="Times New Roman" w:eastAsia="Times New Roman" w:hAnsi="Times New Roman" w:cs="Times New Roman"/>
          <w:color w:val="000000"/>
          <w:sz w:val="24"/>
          <w:szCs w:val="24"/>
          <w:lang w:eastAsia="en-AU"/>
        </w:rPr>
        <w:t>a single prescription</w:t>
      </w:r>
      <w:r w:rsidR="0015485D" w:rsidRPr="00A22E0C">
        <w:rPr>
          <w:rFonts w:ascii="Times New Roman" w:eastAsia="Times New Roman" w:hAnsi="Times New Roman" w:cs="Times New Roman"/>
          <w:color w:val="000000"/>
          <w:sz w:val="24"/>
          <w:szCs w:val="24"/>
          <w:lang w:eastAsia="en-AU"/>
        </w:rPr>
        <w:t xml:space="preserve"> can direct the supply of the pharmaceutical benefit</w:t>
      </w:r>
      <w:r w:rsidR="00147F4C">
        <w:rPr>
          <w:rFonts w:ascii="Times New Roman" w:eastAsia="Times New Roman" w:hAnsi="Times New Roman" w:cs="Times New Roman"/>
          <w:color w:val="000000"/>
          <w:sz w:val="24"/>
          <w:szCs w:val="24"/>
          <w:lang w:eastAsia="en-AU"/>
        </w:rPr>
        <w:t xml:space="preserve"> (see section 16)</w:t>
      </w:r>
      <w:r w:rsidR="00460B28" w:rsidRPr="00A22E0C">
        <w:rPr>
          <w:rFonts w:ascii="Times New Roman" w:eastAsia="Times New Roman" w:hAnsi="Times New Roman" w:cs="Times New Roman"/>
          <w:color w:val="000000"/>
          <w:sz w:val="24"/>
          <w:szCs w:val="24"/>
          <w:lang w:eastAsia="en-AU"/>
        </w:rPr>
        <w:t>;</w:t>
      </w:r>
    </w:p>
    <w:p w14:paraId="22AEF077" w14:textId="5D4C54C2" w:rsidR="00460B28" w:rsidRPr="00102702" w:rsidRDefault="00460B28" w:rsidP="00167955">
      <w:pPr>
        <w:pStyle w:val="ListParagraph"/>
        <w:numPr>
          <w:ilvl w:val="0"/>
          <w:numId w:val="33"/>
        </w:numPr>
        <w:shd w:val="clear" w:color="auto" w:fill="FFFFFF"/>
        <w:spacing w:before="120" w:after="0" w:line="240" w:lineRule="auto"/>
        <w:ind w:left="714" w:hanging="357"/>
        <w:contextualSpacing w:val="0"/>
        <w:rPr>
          <w:rFonts w:ascii="Times New Roman" w:eastAsia="Times New Roman" w:hAnsi="Times New Roman" w:cs="Times New Roman"/>
          <w:color w:val="000000"/>
          <w:sz w:val="20"/>
          <w:szCs w:val="20"/>
          <w:lang w:eastAsia="en-AU"/>
        </w:rPr>
      </w:pPr>
      <w:r w:rsidRPr="00A22E0C">
        <w:rPr>
          <w:rFonts w:ascii="Times New Roman" w:eastAsia="Times New Roman" w:hAnsi="Times New Roman" w:cs="Times New Roman"/>
          <w:color w:val="000000"/>
          <w:sz w:val="24"/>
          <w:szCs w:val="24"/>
          <w:lang w:eastAsia="en-AU"/>
        </w:rPr>
        <w:t xml:space="preserve">The conditions are the conditions </w:t>
      </w:r>
      <w:r w:rsidR="0015485D" w:rsidRPr="00A22E0C">
        <w:rPr>
          <w:rFonts w:ascii="Times New Roman" w:eastAsia="Times New Roman" w:hAnsi="Times New Roman" w:cs="Times New Roman"/>
          <w:color w:val="000000"/>
          <w:sz w:val="24"/>
          <w:szCs w:val="24"/>
          <w:lang w:eastAsia="en-AU"/>
        </w:rPr>
        <w:t xml:space="preserve">that must be satisfied </w:t>
      </w:r>
      <w:r w:rsidR="00574BEB" w:rsidRPr="00A22E0C">
        <w:rPr>
          <w:rFonts w:ascii="Times New Roman" w:eastAsia="Times New Roman" w:hAnsi="Times New Roman" w:cs="Times New Roman"/>
          <w:color w:val="000000"/>
          <w:sz w:val="24"/>
          <w:szCs w:val="24"/>
          <w:lang w:eastAsia="en-AU"/>
        </w:rPr>
        <w:t>when writing a prescription for maximum quantity or maximum number of repeats</w:t>
      </w:r>
      <w:r w:rsidR="00360B0D">
        <w:rPr>
          <w:rFonts w:ascii="Times New Roman" w:eastAsia="Times New Roman" w:hAnsi="Times New Roman" w:cs="Times New Roman"/>
          <w:color w:val="000000"/>
          <w:sz w:val="24"/>
          <w:szCs w:val="24"/>
          <w:lang w:eastAsia="en-AU"/>
        </w:rPr>
        <w:t xml:space="preserve"> (see sections 15 and 16)</w:t>
      </w:r>
      <w:r w:rsidR="00571BDE">
        <w:rPr>
          <w:rFonts w:ascii="Times New Roman" w:eastAsia="Times New Roman" w:hAnsi="Times New Roman" w:cs="Times New Roman"/>
          <w:color w:val="000000"/>
          <w:sz w:val="24"/>
          <w:szCs w:val="24"/>
          <w:lang w:eastAsia="en-AU"/>
        </w:rPr>
        <w:t xml:space="preserve">. The conditions may also include a condition that the Chief Executive Medicare </w:t>
      </w:r>
      <w:r w:rsidR="00071BF7">
        <w:rPr>
          <w:rFonts w:ascii="Times New Roman" w:eastAsia="Times New Roman" w:hAnsi="Times New Roman" w:cs="Times New Roman"/>
          <w:color w:val="000000"/>
          <w:sz w:val="24"/>
          <w:szCs w:val="24"/>
          <w:lang w:eastAsia="en-AU"/>
        </w:rPr>
        <w:t xml:space="preserve">has authorised the </w:t>
      </w:r>
      <w:r w:rsidR="00571BDE">
        <w:rPr>
          <w:rFonts w:ascii="Times New Roman" w:eastAsia="Times New Roman" w:hAnsi="Times New Roman" w:cs="Times New Roman"/>
          <w:color w:val="000000"/>
          <w:sz w:val="24"/>
          <w:szCs w:val="24"/>
          <w:lang w:eastAsia="en-AU"/>
        </w:rPr>
        <w:t xml:space="preserve">writing </w:t>
      </w:r>
      <w:r w:rsidR="00071BF7">
        <w:rPr>
          <w:rFonts w:ascii="Times New Roman" w:eastAsia="Times New Roman" w:hAnsi="Times New Roman" w:cs="Times New Roman"/>
          <w:color w:val="000000"/>
          <w:sz w:val="24"/>
          <w:szCs w:val="24"/>
          <w:lang w:eastAsia="en-AU"/>
        </w:rPr>
        <w:t xml:space="preserve">of </w:t>
      </w:r>
      <w:r w:rsidR="00571BDE">
        <w:rPr>
          <w:rFonts w:ascii="Times New Roman" w:eastAsia="Times New Roman" w:hAnsi="Times New Roman" w:cs="Times New Roman"/>
          <w:color w:val="000000"/>
          <w:sz w:val="24"/>
          <w:szCs w:val="24"/>
          <w:lang w:eastAsia="en-AU"/>
        </w:rPr>
        <w:t>the prescription</w:t>
      </w:r>
      <w:r w:rsidR="00574BEB" w:rsidRPr="00A22E0C">
        <w:rPr>
          <w:rFonts w:ascii="Times New Roman" w:eastAsia="Times New Roman" w:hAnsi="Times New Roman" w:cs="Times New Roman"/>
          <w:color w:val="000000"/>
          <w:sz w:val="24"/>
          <w:szCs w:val="24"/>
          <w:lang w:eastAsia="en-AU"/>
        </w:rPr>
        <w:t>.</w:t>
      </w:r>
    </w:p>
    <w:p w14:paraId="735B7D25" w14:textId="77777777" w:rsidR="00102702" w:rsidRPr="00167955" w:rsidRDefault="00102702"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238E3BD9" w14:textId="04C6DEEF" w:rsidR="00225715" w:rsidRPr="00A22E0C" w:rsidRDefault="000D5A68" w:rsidP="005A4C31">
      <w:pPr>
        <w:keepNext/>
        <w:shd w:val="clear" w:color="auto" w:fill="FFFFFF"/>
        <w:spacing w:after="0" w:line="240" w:lineRule="auto"/>
        <w:rPr>
          <w:rFonts w:ascii="Times New Roman" w:eastAsia="Times New Roman" w:hAnsi="Times New Roman" w:cs="Times New Roman"/>
          <w:i/>
          <w:iCs/>
          <w:color w:val="000000"/>
          <w:sz w:val="24"/>
          <w:szCs w:val="24"/>
          <w:lang w:eastAsia="en-AU"/>
        </w:rPr>
      </w:pPr>
      <w:r>
        <w:rPr>
          <w:rFonts w:ascii="Times New Roman" w:eastAsia="Times New Roman" w:hAnsi="Times New Roman" w:cs="Times New Roman"/>
          <w:i/>
          <w:iCs/>
          <w:color w:val="000000"/>
          <w:sz w:val="24"/>
          <w:szCs w:val="24"/>
          <w:lang w:eastAsia="en-AU"/>
        </w:rPr>
        <w:lastRenderedPageBreak/>
        <w:t xml:space="preserve">Authority required </w:t>
      </w:r>
      <w:r w:rsidR="00B07394">
        <w:rPr>
          <w:rFonts w:ascii="Times New Roman" w:eastAsia="Times New Roman" w:hAnsi="Times New Roman" w:cs="Times New Roman"/>
          <w:i/>
          <w:iCs/>
          <w:color w:val="000000"/>
          <w:sz w:val="24"/>
          <w:szCs w:val="24"/>
          <w:lang w:eastAsia="en-AU"/>
        </w:rPr>
        <w:t>procedures</w:t>
      </w:r>
    </w:p>
    <w:p w14:paraId="2972BCE2" w14:textId="37FBC13D" w:rsidR="001D783D" w:rsidRDefault="001A3654" w:rsidP="00167955">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Where the</w:t>
      </w:r>
      <w:r w:rsidR="00D91570">
        <w:rPr>
          <w:rFonts w:ascii="Times New Roman" w:eastAsia="Times New Roman" w:hAnsi="Times New Roman" w:cs="Times New Roman"/>
          <w:color w:val="000000"/>
          <w:sz w:val="24"/>
          <w:szCs w:val="24"/>
          <w:lang w:eastAsia="en-AU"/>
        </w:rPr>
        <w:t xml:space="preserve"> column headed “Authority Requirements (part of Circumstance</w:t>
      </w:r>
      <w:r w:rsidR="00D14A39">
        <w:rPr>
          <w:rFonts w:ascii="Times New Roman" w:eastAsia="Times New Roman" w:hAnsi="Times New Roman" w:cs="Times New Roman"/>
          <w:color w:val="000000"/>
          <w:sz w:val="24"/>
          <w:szCs w:val="24"/>
          <w:lang w:eastAsia="en-AU"/>
        </w:rPr>
        <w:t>; or Conditions</w:t>
      </w:r>
      <w:r w:rsidR="00AE35A4">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sidR="00160BBC">
        <w:rPr>
          <w:rFonts w:ascii="Times New Roman" w:eastAsia="Times New Roman" w:hAnsi="Times New Roman" w:cs="Times New Roman"/>
          <w:color w:val="000000"/>
          <w:sz w:val="24"/>
          <w:szCs w:val="24"/>
          <w:lang w:eastAsia="en-AU"/>
        </w:rPr>
        <w:t xml:space="preserve">(“authority required column”) </w:t>
      </w:r>
      <w:r>
        <w:rPr>
          <w:rFonts w:ascii="Times New Roman" w:eastAsia="Times New Roman" w:hAnsi="Times New Roman" w:cs="Times New Roman"/>
          <w:color w:val="000000"/>
          <w:sz w:val="24"/>
          <w:szCs w:val="24"/>
          <w:lang w:eastAsia="en-AU"/>
        </w:rPr>
        <w:t xml:space="preserve">includes </w:t>
      </w:r>
      <w:r w:rsidR="002D5B76">
        <w:rPr>
          <w:rFonts w:ascii="Times New Roman" w:eastAsia="Times New Roman" w:hAnsi="Times New Roman" w:cs="Times New Roman"/>
          <w:color w:val="000000"/>
          <w:sz w:val="24"/>
          <w:szCs w:val="24"/>
          <w:lang w:eastAsia="en-AU"/>
        </w:rPr>
        <w:t>a streamlined authority code, writing of the prescription is taken to have been authorised by the Chief Executive Medicare</w:t>
      </w:r>
      <w:r w:rsidR="00BD670C">
        <w:rPr>
          <w:rFonts w:ascii="Times New Roman" w:eastAsia="Times New Roman" w:hAnsi="Times New Roman" w:cs="Times New Roman"/>
          <w:color w:val="000000"/>
          <w:sz w:val="24"/>
          <w:szCs w:val="24"/>
          <w:lang w:eastAsia="en-AU"/>
        </w:rPr>
        <w:t xml:space="preserve"> (see section 19). </w:t>
      </w:r>
      <w:r w:rsidR="005D4F65">
        <w:rPr>
          <w:rFonts w:ascii="Times New Roman" w:eastAsia="Times New Roman" w:hAnsi="Times New Roman" w:cs="Times New Roman"/>
          <w:color w:val="000000"/>
          <w:sz w:val="24"/>
          <w:szCs w:val="24"/>
          <w:lang w:eastAsia="en-AU"/>
        </w:rPr>
        <w:t xml:space="preserve">Under sections 40 and 41 of the </w:t>
      </w:r>
      <w:r w:rsidR="005D4F65" w:rsidRPr="00A22E0C">
        <w:rPr>
          <w:rFonts w:ascii="Times New Roman" w:eastAsia="Times New Roman" w:hAnsi="Times New Roman" w:cs="Times New Roman"/>
          <w:i/>
          <w:iCs/>
          <w:color w:val="000000"/>
          <w:sz w:val="24"/>
          <w:szCs w:val="24"/>
          <w:lang w:eastAsia="en-AU"/>
        </w:rPr>
        <w:t>National Health (Pharmaceutical Benefits) Regulations 201</w:t>
      </w:r>
      <w:r w:rsidR="00F85576" w:rsidRPr="00A22E0C">
        <w:rPr>
          <w:rFonts w:ascii="Times New Roman" w:eastAsia="Times New Roman" w:hAnsi="Times New Roman" w:cs="Times New Roman"/>
          <w:i/>
          <w:iCs/>
          <w:color w:val="000000"/>
          <w:sz w:val="24"/>
          <w:szCs w:val="24"/>
          <w:lang w:eastAsia="en-AU"/>
        </w:rPr>
        <w:t>7</w:t>
      </w:r>
      <w:r w:rsidR="00F85576">
        <w:rPr>
          <w:rFonts w:ascii="Times New Roman" w:eastAsia="Times New Roman" w:hAnsi="Times New Roman" w:cs="Times New Roman"/>
          <w:color w:val="000000"/>
          <w:sz w:val="24"/>
          <w:szCs w:val="24"/>
          <w:lang w:eastAsia="en-AU"/>
        </w:rPr>
        <w:t>, t</w:t>
      </w:r>
      <w:r w:rsidR="00BD670C">
        <w:rPr>
          <w:rFonts w:ascii="Times New Roman" w:eastAsia="Times New Roman" w:hAnsi="Times New Roman" w:cs="Times New Roman"/>
          <w:color w:val="000000"/>
          <w:sz w:val="24"/>
          <w:szCs w:val="24"/>
          <w:lang w:eastAsia="en-AU"/>
        </w:rPr>
        <w:t xml:space="preserve">he streamlined authority code is required to be </w:t>
      </w:r>
      <w:r w:rsidR="005D4F65">
        <w:rPr>
          <w:rFonts w:ascii="Times New Roman" w:eastAsia="Times New Roman" w:hAnsi="Times New Roman" w:cs="Times New Roman"/>
          <w:color w:val="000000"/>
          <w:sz w:val="24"/>
          <w:szCs w:val="24"/>
          <w:lang w:eastAsia="en-AU"/>
        </w:rPr>
        <w:t>written on the prescription</w:t>
      </w:r>
      <w:r w:rsidR="00F85576">
        <w:rPr>
          <w:rFonts w:ascii="Times New Roman" w:eastAsia="Times New Roman" w:hAnsi="Times New Roman" w:cs="Times New Roman"/>
          <w:color w:val="000000"/>
          <w:sz w:val="24"/>
          <w:szCs w:val="24"/>
          <w:lang w:eastAsia="en-AU"/>
        </w:rPr>
        <w:t>.</w:t>
      </w:r>
    </w:p>
    <w:p w14:paraId="1E5EF27D" w14:textId="77777777" w:rsidR="00102702" w:rsidRPr="00167955" w:rsidRDefault="00102702"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160DC813" w14:textId="5B515933" w:rsidR="00225715" w:rsidRDefault="001C1368" w:rsidP="00167955">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Where the </w:t>
      </w:r>
      <w:r w:rsidR="00160BBC">
        <w:rPr>
          <w:rFonts w:ascii="Times New Roman" w:eastAsia="Times New Roman" w:hAnsi="Times New Roman" w:cs="Times New Roman"/>
          <w:color w:val="000000"/>
          <w:sz w:val="24"/>
          <w:szCs w:val="24"/>
          <w:lang w:eastAsia="en-AU"/>
        </w:rPr>
        <w:t xml:space="preserve">authority required </w:t>
      </w:r>
      <w:r>
        <w:rPr>
          <w:rFonts w:ascii="Times New Roman" w:eastAsia="Times New Roman" w:hAnsi="Times New Roman" w:cs="Times New Roman"/>
          <w:color w:val="000000"/>
          <w:sz w:val="24"/>
          <w:szCs w:val="24"/>
          <w:lang w:eastAsia="en-AU"/>
        </w:rPr>
        <w:t xml:space="preserve">column contains the statement “Compliance with </w:t>
      </w:r>
      <w:r w:rsidR="002926E5">
        <w:rPr>
          <w:rFonts w:ascii="Times New Roman" w:eastAsia="Times New Roman" w:hAnsi="Times New Roman" w:cs="Times New Roman"/>
          <w:color w:val="000000"/>
          <w:sz w:val="24"/>
          <w:szCs w:val="24"/>
          <w:lang w:eastAsia="en-AU"/>
        </w:rPr>
        <w:t xml:space="preserve">Written Authority Required Procedures”, the details of the proposed </w:t>
      </w:r>
      <w:r w:rsidR="00885500">
        <w:rPr>
          <w:rFonts w:ascii="Times New Roman" w:eastAsia="Times New Roman" w:hAnsi="Times New Roman" w:cs="Times New Roman"/>
          <w:color w:val="000000"/>
          <w:sz w:val="24"/>
          <w:szCs w:val="24"/>
          <w:lang w:eastAsia="en-AU"/>
        </w:rPr>
        <w:t xml:space="preserve">prescription must be provided to the Chief Executive Medicare in writing </w:t>
      </w:r>
      <w:r>
        <w:rPr>
          <w:rFonts w:ascii="Times New Roman" w:eastAsia="Times New Roman" w:hAnsi="Times New Roman" w:cs="Times New Roman"/>
          <w:color w:val="000000"/>
          <w:sz w:val="24"/>
          <w:szCs w:val="24"/>
          <w:lang w:eastAsia="en-AU"/>
        </w:rPr>
        <w:t>(see section 19).</w:t>
      </w:r>
    </w:p>
    <w:p w14:paraId="20A7DCAE" w14:textId="77777777" w:rsidR="00102702" w:rsidRDefault="00102702"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0BA6E038" w14:textId="5AD7E520" w:rsidR="000D5A68" w:rsidRDefault="000D5A68"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075090">
        <w:rPr>
          <w:rFonts w:ascii="Times New Roman" w:eastAsia="Times New Roman" w:hAnsi="Times New Roman" w:cs="Times New Roman"/>
          <w:color w:val="000000"/>
          <w:sz w:val="24"/>
          <w:szCs w:val="24"/>
          <w:lang w:eastAsia="en-AU"/>
        </w:rPr>
        <w:t xml:space="preserve">The </w:t>
      </w:r>
      <w:r w:rsidR="006C546D" w:rsidRPr="00075090">
        <w:rPr>
          <w:rFonts w:ascii="Times New Roman" w:eastAsia="Times New Roman" w:hAnsi="Times New Roman" w:cs="Times New Roman"/>
          <w:color w:val="000000"/>
          <w:sz w:val="24"/>
          <w:szCs w:val="24"/>
          <w:lang w:eastAsia="en-AU"/>
        </w:rPr>
        <w:t xml:space="preserve">content of the “Circumstances and Purposes” </w:t>
      </w:r>
      <w:r w:rsidR="00160BBC" w:rsidRPr="00075090">
        <w:rPr>
          <w:rFonts w:ascii="Times New Roman" w:eastAsia="Times New Roman" w:hAnsi="Times New Roman" w:cs="Times New Roman"/>
          <w:color w:val="000000"/>
          <w:sz w:val="24"/>
          <w:szCs w:val="24"/>
          <w:lang w:eastAsia="en-AU"/>
        </w:rPr>
        <w:t>col</w:t>
      </w:r>
      <w:r w:rsidR="0046243F" w:rsidRPr="00075090">
        <w:rPr>
          <w:rFonts w:ascii="Times New Roman" w:eastAsia="Times New Roman" w:hAnsi="Times New Roman" w:cs="Times New Roman"/>
          <w:color w:val="000000"/>
          <w:sz w:val="24"/>
          <w:szCs w:val="24"/>
          <w:lang w:eastAsia="en-AU"/>
        </w:rPr>
        <w:t xml:space="preserve">umn </w:t>
      </w:r>
      <w:r w:rsidR="00202B8D" w:rsidRPr="00075090">
        <w:rPr>
          <w:rFonts w:ascii="Times New Roman" w:eastAsia="Times New Roman" w:hAnsi="Times New Roman" w:cs="Times New Roman"/>
          <w:color w:val="000000"/>
          <w:sz w:val="24"/>
          <w:szCs w:val="24"/>
          <w:lang w:eastAsia="en-AU"/>
        </w:rPr>
        <w:t xml:space="preserve">may also set out </w:t>
      </w:r>
      <w:r w:rsidR="00567916" w:rsidRPr="00075090">
        <w:rPr>
          <w:rFonts w:ascii="Times New Roman" w:eastAsia="Times New Roman" w:hAnsi="Times New Roman" w:cs="Times New Roman"/>
          <w:color w:val="000000"/>
          <w:sz w:val="24"/>
          <w:szCs w:val="24"/>
          <w:lang w:eastAsia="en-AU"/>
        </w:rPr>
        <w:t>requirements relating to authority required procedures</w:t>
      </w:r>
      <w:r w:rsidR="00B60228" w:rsidRPr="00075090">
        <w:rPr>
          <w:rFonts w:ascii="Times New Roman" w:eastAsia="Times New Roman" w:hAnsi="Times New Roman" w:cs="Times New Roman"/>
          <w:color w:val="000000"/>
          <w:sz w:val="24"/>
          <w:szCs w:val="24"/>
          <w:lang w:eastAsia="en-AU"/>
        </w:rPr>
        <w:t xml:space="preserve"> including </w:t>
      </w:r>
      <w:r w:rsidR="002D7155" w:rsidRPr="00075090">
        <w:rPr>
          <w:rFonts w:ascii="Times New Roman" w:eastAsia="Times New Roman" w:hAnsi="Times New Roman" w:cs="Times New Roman"/>
          <w:color w:val="000000"/>
          <w:sz w:val="24"/>
          <w:szCs w:val="24"/>
          <w:lang w:eastAsia="en-AU"/>
        </w:rPr>
        <w:t>requirements for requests for authorisation by the Chief Executive Medicare to be accompanied</w:t>
      </w:r>
      <w:r w:rsidR="00E60E0B" w:rsidRPr="00075090">
        <w:rPr>
          <w:rFonts w:ascii="Times New Roman" w:eastAsia="Times New Roman" w:hAnsi="Times New Roman" w:cs="Times New Roman"/>
          <w:color w:val="000000"/>
          <w:sz w:val="24"/>
          <w:szCs w:val="24"/>
          <w:lang w:eastAsia="en-AU"/>
        </w:rPr>
        <w:t xml:space="preserve"> by specified documents or information or for requests to be made using particular channels</w:t>
      </w:r>
      <w:r w:rsidR="00A75B16" w:rsidRPr="00075090">
        <w:rPr>
          <w:rFonts w:ascii="Times New Roman" w:eastAsia="Times New Roman" w:hAnsi="Times New Roman" w:cs="Times New Roman"/>
          <w:color w:val="000000"/>
          <w:sz w:val="24"/>
          <w:szCs w:val="24"/>
          <w:lang w:eastAsia="en-AU"/>
        </w:rPr>
        <w:t>. This may also have the effect that the authority application must be made in writing.</w:t>
      </w:r>
    </w:p>
    <w:p w14:paraId="71A49B68" w14:textId="77777777" w:rsidR="00102702" w:rsidRDefault="00102702"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634EAE56" w14:textId="185932B5" w:rsidR="001D1A6C" w:rsidRDefault="001511A2"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2F311F">
        <w:rPr>
          <w:rFonts w:ascii="Times New Roman" w:eastAsia="Times New Roman" w:hAnsi="Times New Roman" w:cs="Times New Roman"/>
          <w:color w:val="000000"/>
          <w:sz w:val="24"/>
          <w:szCs w:val="24"/>
          <w:lang w:eastAsia="en-AU"/>
        </w:rPr>
        <w:t>Part 1 of Schedule 4 also outlines</w:t>
      </w:r>
      <w:r w:rsidR="00331499" w:rsidRPr="002F311F">
        <w:rPr>
          <w:rFonts w:ascii="Times New Roman" w:eastAsia="Times New Roman" w:hAnsi="Times New Roman" w:cs="Times New Roman"/>
          <w:color w:val="000000"/>
          <w:sz w:val="24"/>
          <w:szCs w:val="24"/>
          <w:lang w:eastAsia="en-AU"/>
        </w:rPr>
        <w:t xml:space="preserve">, for the purposes of subsection 23(3) of the </w:t>
      </w:r>
      <w:r w:rsidR="0004353A">
        <w:rPr>
          <w:rFonts w:ascii="Times New Roman" w:eastAsia="Times New Roman" w:hAnsi="Times New Roman" w:cs="Times New Roman"/>
          <w:color w:val="000000"/>
          <w:sz w:val="24"/>
          <w:szCs w:val="24"/>
          <w:lang w:eastAsia="en-AU"/>
        </w:rPr>
        <w:t>2024 Listing I</w:t>
      </w:r>
      <w:r w:rsidR="00331499" w:rsidRPr="002F311F">
        <w:rPr>
          <w:rFonts w:ascii="Times New Roman" w:eastAsia="Times New Roman" w:hAnsi="Times New Roman" w:cs="Times New Roman"/>
          <w:color w:val="000000"/>
          <w:sz w:val="24"/>
          <w:szCs w:val="24"/>
          <w:lang w:eastAsia="en-AU"/>
        </w:rPr>
        <w:t>nstrument,</w:t>
      </w:r>
      <w:r w:rsidRPr="002F311F">
        <w:rPr>
          <w:rFonts w:ascii="Times New Roman" w:eastAsia="Times New Roman" w:hAnsi="Times New Roman" w:cs="Times New Roman"/>
          <w:color w:val="000000"/>
          <w:sz w:val="24"/>
          <w:szCs w:val="24"/>
          <w:lang w:eastAsia="en-AU"/>
        </w:rPr>
        <w:t xml:space="preserve"> the circumstances in which a </w:t>
      </w:r>
      <w:r w:rsidR="005C509C" w:rsidRPr="002F311F">
        <w:rPr>
          <w:rFonts w:ascii="Times New Roman" w:eastAsia="Times New Roman" w:hAnsi="Times New Roman" w:cs="Times New Roman"/>
          <w:color w:val="000000"/>
          <w:sz w:val="24"/>
          <w:szCs w:val="24"/>
          <w:lang w:eastAsia="en-AU"/>
        </w:rPr>
        <w:t xml:space="preserve">pharmaceutical benefit may </w:t>
      </w:r>
      <w:r w:rsidR="0004353A">
        <w:rPr>
          <w:rFonts w:ascii="Times New Roman" w:eastAsia="Times New Roman" w:hAnsi="Times New Roman" w:cs="Times New Roman"/>
          <w:color w:val="000000"/>
          <w:sz w:val="24"/>
          <w:szCs w:val="24"/>
          <w:lang w:eastAsia="en-AU"/>
        </w:rPr>
        <w:t xml:space="preserve">only </w:t>
      </w:r>
      <w:r w:rsidR="005C509C" w:rsidRPr="002F311F">
        <w:rPr>
          <w:rFonts w:ascii="Times New Roman" w:eastAsia="Times New Roman" w:hAnsi="Times New Roman" w:cs="Times New Roman"/>
          <w:color w:val="000000"/>
          <w:sz w:val="24"/>
          <w:szCs w:val="24"/>
          <w:lang w:eastAsia="en-AU"/>
        </w:rPr>
        <w:t>be supplied under a section 100 arrangement.</w:t>
      </w:r>
    </w:p>
    <w:p w14:paraId="14013BAE" w14:textId="77777777" w:rsidR="00102702" w:rsidRPr="002F311F" w:rsidRDefault="00102702"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0CF3B4D5" w14:textId="29AF7C94" w:rsidR="001D783D" w:rsidRPr="002F311F" w:rsidRDefault="001D783D" w:rsidP="00167955">
      <w:pPr>
        <w:shd w:val="clear" w:color="auto" w:fill="FFFFFF"/>
        <w:tabs>
          <w:tab w:val="left" w:pos="993"/>
        </w:tabs>
        <w:spacing w:after="0" w:line="240" w:lineRule="auto"/>
        <w:rPr>
          <w:rFonts w:ascii="Times New Roman" w:eastAsia="Times New Roman" w:hAnsi="Times New Roman" w:cs="Times New Roman"/>
          <w:b/>
          <w:bCs/>
          <w:color w:val="000000"/>
          <w:sz w:val="24"/>
          <w:szCs w:val="24"/>
          <w:u w:val="single"/>
          <w:lang w:eastAsia="en-AU"/>
        </w:rPr>
      </w:pPr>
      <w:r w:rsidRPr="002F311F">
        <w:rPr>
          <w:rFonts w:ascii="Times New Roman" w:eastAsia="Times New Roman" w:hAnsi="Times New Roman" w:cs="Times New Roman"/>
          <w:b/>
          <w:bCs/>
          <w:color w:val="000000"/>
          <w:sz w:val="24"/>
          <w:szCs w:val="24"/>
          <w:u w:val="single"/>
          <w:lang w:eastAsia="en-AU"/>
        </w:rPr>
        <w:t>Part 2</w:t>
      </w:r>
      <w:r w:rsidR="00102702">
        <w:rPr>
          <w:rFonts w:ascii="Times New Roman" w:eastAsia="Times New Roman" w:hAnsi="Times New Roman" w:cs="Times New Roman"/>
          <w:b/>
          <w:bCs/>
          <w:color w:val="000000"/>
          <w:sz w:val="24"/>
          <w:szCs w:val="24"/>
          <w:u w:val="single"/>
          <w:lang w:eastAsia="en-AU"/>
        </w:rPr>
        <w:tab/>
      </w:r>
      <w:r w:rsidRPr="002F311F">
        <w:rPr>
          <w:rFonts w:ascii="Times New Roman" w:eastAsia="Times New Roman" w:hAnsi="Times New Roman" w:cs="Times New Roman"/>
          <w:b/>
          <w:bCs/>
          <w:color w:val="000000"/>
          <w:sz w:val="24"/>
          <w:szCs w:val="24"/>
          <w:u w:val="single"/>
          <w:lang w:eastAsia="en-AU"/>
        </w:rPr>
        <w:t>Variation rules</w:t>
      </w:r>
    </w:p>
    <w:p w14:paraId="6C7366BC" w14:textId="77777777" w:rsidR="00167955" w:rsidRDefault="00167955"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76A68158" w14:textId="610DE0BC" w:rsidR="004B7000" w:rsidRDefault="00B45DE9"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2F311F">
        <w:rPr>
          <w:rFonts w:ascii="Times New Roman" w:eastAsia="Times New Roman" w:hAnsi="Times New Roman" w:cs="Times New Roman"/>
          <w:color w:val="000000"/>
          <w:sz w:val="24"/>
          <w:szCs w:val="24"/>
          <w:lang w:eastAsia="en-AU"/>
        </w:rPr>
        <w:t xml:space="preserve">Part </w:t>
      </w:r>
      <w:r w:rsidR="004C206F" w:rsidRPr="002F311F">
        <w:rPr>
          <w:rFonts w:ascii="Times New Roman" w:eastAsia="Times New Roman" w:hAnsi="Times New Roman" w:cs="Times New Roman"/>
          <w:color w:val="000000"/>
          <w:sz w:val="24"/>
          <w:szCs w:val="24"/>
          <w:lang w:eastAsia="en-AU"/>
        </w:rPr>
        <w:t>2</w:t>
      </w:r>
      <w:r w:rsidRPr="002F311F">
        <w:rPr>
          <w:rFonts w:ascii="Times New Roman" w:eastAsia="Times New Roman" w:hAnsi="Times New Roman" w:cs="Times New Roman"/>
          <w:color w:val="000000"/>
          <w:sz w:val="24"/>
          <w:szCs w:val="24"/>
          <w:lang w:eastAsia="en-AU"/>
        </w:rPr>
        <w:t xml:space="preserve"> of Schedule 4 relates to </w:t>
      </w:r>
      <w:r w:rsidR="0026558A" w:rsidRPr="002F311F">
        <w:rPr>
          <w:rFonts w:ascii="Times New Roman" w:eastAsia="Times New Roman" w:hAnsi="Times New Roman" w:cs="Times New Roman"/>
          <w:color w:val="000000"/>
          <w:sz w:val="24"/>
          <w:szCs w:val="24"/>
          <w:lang w:eastAsia="en-AU"/>
        </w:rPr>
        <w:t>s</w:t>
      </w:r>
      <w:r w:rsidR="00EF6B6E" w:rsidRPr="002F311F">
        <w:rPr>
          <w:rFonts w:ascii="Times New Roman" w:eastAsia="Times New Roman" w:hAnsi="Times New Roman" w:cs="Times New Roman"/>
          <w:color w:val="000000"/>
          <w:sz w:val="24"/>
          <w:szCs w:val="24"/>
          <w:lang w:eastAsia="en-AU"/>
        </w:rPr>
        <w:t>ubs</w:t>
      </w:r>
      <w:r w:rsidR="0026558A" w:rsidRPr="002F311F">
        <w:rPr>
          <w:rFonts w:ascii="Times New Roman" w:eastAsia="Times New Roman" w:hAnsi="Times New Roman" w:cs="Times New Roman"/>
          <w:color w:val="000000"/>
          <w:sz w:val="24"/>
          <w:szCs w:val="24"/>
          <w:lang w:eastAsia="en-AU"/>
        </w:rPr>
        <w:t>ections 15</w:t>
      </w:r>
      <w:r w:rsidR="000D2FE4" w:rsidRPr="002F311F">
        <w:rPr>
          <w:rFonts w:ascii="Times New Roman" w:eastAsia="Times New Roman" w:hAnsi="Times New Roman" w:cs="Times New Roman"/>
          <w:color w:val="000000"/>
          <w:sz w:val="24"/>
          <w:szCs w:val="24"/>
          <w:lang w:eastAsia="en-AU"/>
        </w:rPr>
        <w:t>(5)</w:t>
      </w:r>
      <w:r w:rsidR="0026558A" w:rsidRPr="002F311F">
        <w:rPr>
          <w:rFonts w:ascii="Times New Roman" w:eastAsia="Times New Roman" w:hAnsi="Times New Roman" w:cs="Times New Roman"/>
          <w:color w:val="000000"/>
          <w:sz w:val="24"/>
          <w:szCs w:val="24"/>
          <w:lang w:eastAsia="en-AU"/>
        </w:rPr>
        <w:t xml:space="preserve"> and 16</w:t>
      </w:r>
      <w:r w:rsidR="000D2FE4" w:rsidRPr="002F311F">
        <w:rPr>
          <w:rFonts w:ascii="Times New Roman" w:eastAsia="Times New Roman" w:hAnsi="Times New Roman" w:cs="Times New Roman"/>
          <w:color w:val="000000"/>
          <w:sz w:val="24"/>
          <w:szCs w:val="24"/>
          <w:lang w:eastAsia="en-AU"/>
        </w:rPr>
        <w:t>(5)</w:t>
      </w:r>
      <w:r w:rsidR="0026558A" w:rsidRPr="002F311F">
        <w:rPr>
          <w:rFonts w:ascii="Times New Roman" w:eastAsia="Times New Roman" w:hAnsi="Times New Roman" w:cs="Times New Roman"/>
          <w:color w:val="000000"/>
          <w:sz w:val="24"/>
          <w:szCs w:val="24"/>
          <w:lang w:eastAsia="en-AU"/>
        </w:rPr>
        <w:t xml:space="preserve"> </w:t>
      </w:r>
      <w:r w:rsidRPr="002F311F">
        <w:rPr>
          <w:rFonts w:ascii="Times New Roman" w:eastAsia="Times New Roman" w:hAnsi="Times New Roman" w:cs="Times New Roman"/>
          <w:color w:val="000000"/>
          <w:sz w:val="24"/>
          <w:szCs w:val="24"/>
          <w:lang w:eastAsia="en-AU"/>
        </w:rPr>
        <w:t>of th</w:t>
      </w:r>
      <w:r w:rsidR="004363D4">
        <w:rPr>
          <w:rFonts w:ascii="Times New Roman" w:eastAsia="Times New Roman" w:hAnsi="Times New Roman" w:cs="Times New Roman"/>
          <w:color w:val="000000"/>
          <w:sz w:val="24"/>
          <w:szCs w:val="24"/>
          <w:lang w:eastAsia="en-AU"/>
        </w:rPr>
        <w:t>e 2024 Listing I</w:t>
      </w:r>
      <w:r w:rsidRPr="002F311F">
        <w:rPr>
          <w:rFonts w:ascii="Times New Roman" w:eastAsia="Times New Roman" w:hAnsi="Times New Roman" w:cs="Times New Roman"/>
          <w:color w:val="000000"/>
          <w:sz w:val="24"/>
          <w:szCs w:val="24"/>
          <w:lang w:eastAsia="en-AU"/>
        </w:rPr>
        <w:t>nstrument</w:t>
      </w:r>
      <w:r w:rsidR="004C206F" w:rsidRPr="002F311F">
        <w:rPr>
          <w:rFonts w:ascii="Times New Roman" w:eastAsia="Times New Roman" w:hAnsi="Times New Roman" w:cs="Times New Roman"/>
          <w:color w:val="000000"/>
          <w:sz w:val="24"/>
          <w:szCs w:val="24"/>
          <w:lang w:eastAsia="en-AU"/>
        </w:rPr>
        <w:t>.</w:t>
      </w:r>
    </w:p>
    <w:p w14:paraId="4E5D7334" w14:textId="77777777" w:rsidR="00102702" w:rsidRPr="002F311F" w:rsidRDefault="00102702"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7D577913" w14:textId="20A7EFC5" w:rsidR="004C206F" w:rsidRDefault="000D2FE4"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2F311F">
        <w:rPr>
          <w:rFonts w:ascii="Times New Roman" w:eastAsia="Times New Roman" w:hAnsi="Times New Roman" w:cs="Times New Roman"/>
          <w:color w:val="000000"/>
          <w:sz w:val="24"/>
          <w:szCs w:val="24"/>
          <w:lang w:eastAsia="en-AU"/>
        </w:rPr>
        <w:t>Th</w:t>
      </w:r>
      <w:r w:rsidR="008A55E9">
        <w:rPr>
          <w:rFonts w:ascii="Times New Roman" w:eastAsia="Times New Roman" w:hAnsi="Times New Roman" w:cs="Times New Roman"/>
          <w:color w:val="000000"/>
          <w:sz w:val="24"/>
          <w:szCs w:val="24"/>
          <w:lang w:eastAsia="en-AU"/>
        </w:rPr>
        <w:t>e</w:t>
      </w:r>
      <w:r w:rsidRPr="002F311F">
        <w:rPr>
          <w:rFonts w:ascii="Times New Roman" w:eastAsia="Times New Roman" w:hAnsi="Times New Roman" w:cs="Times New Roman"/>
          <w:color w:val="000000"/>
          <w:sz w:val="24"/>
          <w:szCs w:val="24"/>
          <w:lang w:eastAsia="en-AU"/>
        </w:rPr>
        <w:t xml:space="preserve"> Part </w:t>
      </w:r>
      <w:r w:rsidR="004C206F" w:rsidRPr="002F311F">
        <w:rPr>
          <w:rFonts w:ascii="Times New Roman" w:eastAsia="Times New Roman" w:hAnsi="Times New Roman" w:cs="Times New Roman"/>
          <w:color w:val="000000"/>
          <w:sz w:val="24"/>
          <w:szCs w:val="24"/>
          <w:lang w:eastAsia="en-AU"/>
        </w:rPr>
        <w:t xml:space="preserve">sets out the </w:t>
      </w:r>
      <w:r w:rsidR="00D570D8">
        <w:rPr>
          <w:rFonts w:ascii="Times New Roman" w:eastAsia="Times New Roman" w:hAnsi="Times New Roman" w:cs="Times New Roman"/>
          <w:color w:val="000000"/>
          <w:sz w:val="24"/>
          <w:szCs w:val="24"/>
          <w:lang w:eastAsia="en-AU"/>
        </w:rPr>
        <w:t xml:space="preserve">details of </w:t>
      </w:r>
      <w:r w:rsidR="00AF23FC" w:rsidRPr="002F311F">
        <w:rPr>
          <w:rFonts w:ascii="Times New Roman" w:eastAsia="Times New Roman" w:hAnsi="Times New Roman" w:cs="Times New Roman"/>
          <w:color w:val="000000"/>
          <w:sz w:val="24"/>
          <w:szCs w:val="24"/>
          <w:lang w:eastAsia="en-AU"/>
        </w:rPr>
        <w:t xml:space="preserve">rules </w:t>
      </w:r>
      <w:r w:rsidR="00CD39FC">
        <w:rPr>
          <w:rFonts w:ascii="Times New Roman" w:eastAsia="Times New Roman" w:hAnsi="Times New Roman" w:cs="Times New Roman"/>
          <w:color w:val="000000"/>
          <w:sz w:val="24"/>
          <w:szCs w:val="24"/>
          <w:lang w:eastAsia="en-AU"/>
        </w:rPr>
        <w:t xml:space="preserve">identified by </w:t>
      </w:r>
      <w:r w:rsidR="0049076F">
        <w:rPr>
          <w:rFonts w:ascii="Times New Roman" w:eastAsia="Times New Roman" w:hAnsi="Times New Roman" w:cs="Times New Roman"/>
          <w:color w:val="000000"/>
          <w:sz w:val="24"/>
          <w:szCs w:val="24"/>
          <w:lang w:eastAsia="en-AU"/>
        </w:rPr>
        <w:t xml:space="preserve">variation </w:t>
      </w:r>
      <w:r w:rsidR="00CD39FC">
        <w:rPr>
          <w:rFonts w:ascii="Times New Roman" w:eastAsia="Times New Roman" w:hAnsi="Times New Roman" w:cs="Times New Roman"/>
          <w:color w:val="000000"/>
          <w:sz w:val="24"/>
          <w:szCs w:val="24"/>
          <w:lang w:eastAsia="en-AU"/>
        </w:rPr>
        <w:t xml:space="preserve">codes in Part 1 of Schedule 1 </w:t>
      </w:r>
      <w:r w:rsidR="00AF23FC" w:rsidRPr="002F311F">
        <w:rPr>
          <w:rFonts w:ascii="Times New Roman" w:eastAsia="Times New Roman" w:hAnsi="Times New Roman" w:cs="Times New Roman"/>
          <w:color w:val="000000"/>
          <w:sz w:val="24"/>
          <w:szCs w:val="24"/>
          <w:lang w:eastAsia="en-AU"/>
        </w:rPr>
        <w:t xml:space="preserve">that must be applied </w:t>
      </w:r>
      <w:r w:rsidR="00954401" w:rsidRPr="002F311F">
        <w:rPr>
          <w:rFonts w:ascii="Times New Roman" w:eastAsia="Times New Roman" w:hAnsi="Times New Roman" w:cs="Times New Roman"/>
          <w:color w:val="000000"/>
          <w:sz w:val="24"/>
          <w:szCs w:val="24"/>
          <w:lang w:eastAsia="en-AU"/>
        </w:rPr>
        <w:t xml:space="preserve">by the Minister </w:t>
      </w:r>
      <w:r w:rsidR="008A55E9">
        <w:rPr>
          <w:rFonts w:ascii="Times New Roman" w:eastAsia="Times New Roman" w:hAnsi="Times New Roman" w:cs="Times New Roman"/>
          <w:color w:val="000000"/>
          <w:sz w:val="24"/>
          <w:szCs w:val="24"/>
          <w:lang w:eastAsia="en-AU"/>
        </w:rPr>
        <w:t xml:space="preserve">(or their delegate) </w:t>
      </w:r>
      <w:r w:rsidR="00AF23FC" w:rsidRPr="002F311F">
        <w:rPr>
          <w:rFonts w:ascii="Times New Roman" w:eastAsia="Times New Roman" w:hAnsi="Times New Roman" w:cs="Times New Roman"/>
          <w:color w:val="000000"/>
          <w:sz w:val="24"/>
          <w:szCs w:val="24"/>
          <w:lang w:eastAsia="en-AU"/>
        </w:rPr>
        <w:t xml:space="preserve">when making a decision </w:t>
      </w:r>
      <w:r w:rsidR="00120435" w:rsidRPr="002F311F">
        <w:rPr>
          <w:rFonts w:ascii="Times New Roman" w:eastAsia="Times New Roman" w:hAnsi="Times New Roman" w:cs="Times New Roman"/>
          <w:color w:val="000000"/>
          <w:sz w:val="24"/>
          <w:szCs w:val="24"/>
          <w:lang w:eastAsia="en-AU"/>
        </w:rPr>
        <w:t xml:space="preserve">whether </w:t>
      </w:r>
      <w:r w:rsidR="00AF23FC" w:rsidRPr="002F311F">
        <w:rPr>
          <w:rFonts w:ascii="Times New Roman" w:eastAsia="Times New Roman" w:hAnsi="Times New Roman" w:cs="Times New Roman"/>
          <w:color w:val="000000"/>
          <w:sz w:val="24"/>
          <w:szCs w:val="24"/>
          <w:lang w:eastAsia="en-AU"/>
        </w:rPr>
        <w:t xml:space="preserve">to vary </w:t>
      </w:r>
      <w:r w:rsidR="00A92E9E">
        <w:rPr>
          <w:rFonts w:ascii="Times New Roman" w:eastAsia="Times New Roman" w:hAnsi="Times New Roman" w:cs="Times New Roman"/>
          <w:color w:val="000000"/>
          <w:sz w:val="24"/>
          <w:szCs w:val="24"/>
          <w:lang w:eastAsia="en-AU"/>
        </w:rPr>
        <w:t xml:space="preserve">the application of </w:t>
      </w:r>
      <w:r w:rsidR="00AF23FC" w:rsidRPr="002F311F">
        <w:rPr>
          <w:rFonts w:ascii="Times New Roman" w:eastAsia="Times New Roman" w:hAnsi="Times New Roman" w:cs="Times New Roman"/>
          <w:color w:val="000000"/>
          <w:sz w:val="24"/>
          <w:szCs w:val="24"/>
          <w:lang w:eastAsia="en-AU"/>
        </w:rPr>
        <w:t>a deter</w:t>
      </w:r>
      <w:r w:rsidR="00EF6B6E" w:rsidRPr="002F311F">
        <w:rPr>
          <w:rFonts w:ascii="Times New Roman" w:eastAsia="Times New Roman" w:hAnsi="Times New Roman" w:cs="Times New Roman"/>
          <w:color w:val="000000"/>
          <w:sz w:val="24"/>
          <w:szCs w:val="24"/>
          <w:lang w:eastAsia="en-AU"/>
        </w:rPr>
        <w:t xml:space="preserve">mination under subsection </w:t>
      </w:r>
      <w:r w:rsidR="00120435" w:rsidRPr="002F311F">
        <w:rPr>
          <w:rFonts w:ascii="Times New Roman" w:eastAsia="Times New Roman" w:hAnsi="Times New Roman" w:cs="Times New Roman"/>
          <w:color w:val="000000"/>
          <w:sz w:val="24"/>
          <w:szCs w:val="24"/>
          <w:lang w:eastAsia="en-AU"/>
        </w:rPr>
        <w:t>85A(2)(a) or (2)(b) of the Act regarding</w:t>
      </w:r>
      <w:r w:rsidR="008A55E9">
        <w:rPr>
          <w:rFonts w:ascii="Times New Roman" w:eastAsia="Times New Roman" w:hAnsi="Times New Roman" w:cs="Times New Roman"/>
          <w:color w:val="000000"/>
          <w:sz w:val="24"/>
          <w:szCs w:val="24"/>
          <w:lang w:eastAsia="en-AU"/>
        </w:rPr>
        <w:t xml:space="preserve"> the</w:t>
      </w:r>
      <w:r w:rsidR="00AF23FC" w:rsidRPr="002F311F">
        <w:rPr>
          <w:rFonts w:ascii="Times New Roman" w:eastAsia="Times New Roman" w:hAnsi="Times New Roman" w:cs="Times New Roman"/>
          <w:color w:val="000000"/>
          <w:sz w:val="24"/>
          <w:szCs w:val="24"/>
          <w:lang w:eastAsia="en-AU"/>
        </w:rPr>
        <w:t xml:space="preserve"> maximum </w:t>
      </w:r>
      <w:r w:rsidR="00F54E6F" w:rsidRPr="002F311F">
        <w:rPr>
          <w:rFonts w:ascii="Times New Roman" w:eastAsia="Times New Roman" w:hAnsi="Times New Roman" w:cs="Times New Roman"/>
          <w:color w:val="000000"/>
          <w:sz w:val="24"/>
          <w:szCs w:val="24"/>
          <w:lang w:eastAsia="en-AU"/>
        </w:rPr>
        <w:t>number of units of a</w:t>
      </w:r>
      <w:r w:rsidR="009B1067">
        <w:rPr>
          <w:rFonts w:ascii="Times New Roman" w:eastAsia="Times New Roman" w:hAnsi="Times New Roman" w:cs="Times New Roman"/>
          <w:color w:val="000000"/>
          <w:sz w:val="24"/>
          <w:szCs w:val="24"/>
          <w:lang w:eastAsia="en-AU"/>
        </w:rPr>
        <w:t xml:space="preserve"> ready-prepared pharmaceutical benefit </w:t>
      </w:r>
      <w:r w:rsidR="00A92E9E">
        <w:rPr>
          <w:rFonts w:ascii="Times New Roman" w:eastAsia="Times New Roman" w:hAnsi="Times New Roman" w:cs="Times New Roman"/>
          <w:color w:val="000000"/>
          <w:sz w:val="24"/>
          <w:szCs w:val="24"/>
          <w:lang w:eastAsia="en-AU"/>
        </w:rPr>
        <w:t xml:space="preserve">that can be directed to be supplied on </w:t>
      </w:r>
      <w:r w:rsidR="00240E0B">
        <w:rPr>
          <w:rFonts w:ascii="Times New Roman" w:eastAsia="Times New Roman" w:hAnsi="Times New Roman" w:cs="Times New Roman"/>
          <w:color w:val="000000"/>
          <w:sz w:val="24"/>
          <w:szCs w:val="24"/>
          <w:lang w:eastAsia="en-AU"/>
        </w:rPr>
        <w:t xml:space="preserve">the one occasion </w:t>
      </w:r>
      <w:r w:rsidR="00B27836">
        <w:rPr>
          <w:rFonts w:ascii="Times New Roman" w:eastAsia="Times New Roman" w:hAnsi="Times New Roman" w:cs="Times New Roman"/>
          <w:color w:val="000000"/>
          <w:sz w:val="24"/>
          <w:szCs w:val="24"/>
          <w:lang w:eastAsia="en-AU"/>
        </w:rPr>
        <w:t>and/</w:t>
      </w:r>
      <w:r w:rsidR="00120435" w:rsidRPr="002F311F">
        <w:rPr>
          <w:rFonts w:ascii="Times New Roman" w:eastAsia="Times New Roman" w:hAnsi="Times New Roman" w:cs="Times New Roman"/>
          <w:color w:val="000000"/>
          <w:sz w:val="24"/>
          <w:szCs w:val="24"/>
          <w:lang w:eastAsia="en-AU"/>
        </w:rPr>
        <w:t xml:space="preserve">or the </w:t>
      </w:r>
      <w:r w:rsidR="00C1391A" w:rsidRPr="002F311F">
        <w:rPr>
          <w:rFonts w:ascii="Times New Roman" w:eastAsia="Times New Roman" w:hAnsi="Times New Roman" w:cs="Times New Roman"/>
          <w:color w:val="000000"/>
          <w:sz w:val="24"/>
          <w:szCs w:val="24"/>
          <w:lang w:eastAsia="en-AU"/>
        </w:rPr>
        <w:t xml:space="preserve">maximum </w:t>
      </w:r>
      <w:r w:rsidR="00120435" w:rsidRPr="002F311F">
        <w:rPr>
          <w:rFonts w:ascii="Times New Roman" w:eastAsia="Times New Roman" w:hAnsi="Times New Roman" w:cs="Times New Roman"/>
          <w:color w:val="000000"/>
          <w:sz w:val="24"/>
          <w:szCs w:val="24"/>
          <w:lang w:eastAsia="en-AU"/>
        </w:rPr>
        <w:t xml:space="preserve">number of </w:t>
      </w:r>
      <w:r w:rsidR="00240E0B">
        <w:rPr>
          <w:rFonts w:ascii="Times New Roman" w:eastAsia="Times New Roman" w:hAnsi="Times New Roman" w:cs="Times New Roman"/>
          <w:color w:val="000000"/>
          <w:sz w:val="24"/>
          <w:szCs w:val="24"/>
          <w:lang w:eastAsia="en-AU"/>
        </w:rPr>
        <w:t>times a single prescription can direct the supply of</w:t>
      </w:r>
      <w:r w:rsidR="00A12AC1">
        <w:rPr>
          <w:rFonts w:ascii="Times New Roman" w:eastAsia="Times New Roman" w:hAnsi="Times New Roman" w:cs="Times New Roman"/>
          <w:color w:val="000000"/>
          <w:sz w:val="24"/>
          <w:szCs w:val="24"/>
          <w:lang w:eastAsia="en-AU"/>
        </w:rPr>
        <w:t xml:space="preserve"> </w:t>
      </w:r>
      <w:r w:rsidR="00240E0B">
        <w:rPr>
          <w:rFonts w:ascii="Times New Roman" w:eastAsia="Times New Roman" w:hAnsi="Times New Roman" w:cs="Times New Roman"/>
          <w:color w:val="000000"/>
          <w:sz w:val="24"/>
          <w:szCs w:val="24"/>
          <w:lang w:eastAsia="en-AU"/>
        </w:rPr>
        <w:t xml:space="preserve">a </w:t>
      </w:r>
      <w:r w:rsidR="001075B3">
        <w:rPr>
          <w:rFonts w:ascii="Times New Roman" w:eastAsia="Times New Roman" w:hAnsi="Times New Roman" w:cs="Times New Roman"/>
          <w:color w:val="000000"/>
          <w:sz w:val="24"/>
          <w:szCs w:val="24"/>
          <w:lang w:eastAsia="en-AU"/>
        </w:rPr>
        <w:t xml:space="preserve">ready-prepared </w:t>
      </w:r>
      <w:r w:rsidR="00C1391A" w:rsidRPr="002F311F">
        <w:rPr>
          <w:rFonts w:ascii="Times New Roman" w:eastAsia="Times New Roman" w:hAnsi="Times New Roman" w:cs="Times New Roman"/>
          <w:color w:val="000000"/>
          <w:sz w:val="24"/>
          <w:szCs w:val="24"/>
          <w:lang w:eastAsia="en-AU"/>
        </w:rPr>
        <w:t>pharmaceutical benefit</w:t>
      </w:r>
      <w:r w:rsidR="00120435" w:rsidRPr="002F311F">
        <w:rPr>
          <w:rFonts w:ascii="Times New Roman" w:eastAsia="Times New Roman" w:hAnsi="Times New Roman" w:cs="Times New Roman"/>
          <w:color w:val="000000"/>
          <w:sz w:val="24"/>
          <w:szCs w:val="24"/>
          <w:lang w:eastAsia="en-AU"/>
        </w:rPr>
        <w:t>.</w:t>
      </w:r>
    </w:p>
    <w:p w14:paraId="544C7659" w14:textId="77777777" w:rsidR="00102702" w:rsidRDefault="00102702"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7AFC8C3D" w14:textId="65A60C7D" w:rsidR="00EB47CE" w:rsidRDefault="00EB47CE" w:rsidP="00167955">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content of these rules was previously included in </w:t>
      </w:r>
      <w:r w:rsidR="00FA5E6E">
        <w:rPr>
          <w:rFonts w:ascii="Times New Roman" w:eastAsia="Times New Roman" w:hAnsi="Times New Roman" w:cs="Times New Roman"/>
          <w:color w:val="000000"/>
          <w:sz w:val="24"/>
          <w:szCs w:val="24"/>
          <w:lang w:eastAsia="en-AU"/>
        </w:rPr>
        <w:t>Schedule 4 of the 2012 Listing Instrument.</w:t>
      </w:r>
    </w:p>
    <w:p w14:paraId="02900EA9" w14:textId="77777777" w:rsidR="00102702" w:rsidRPr="002F311F" w:rsidRDefault="00102702" w:rsidP="00167955">
      <w:pPr>
        <w:shd w:val="clear" w:color="auto" w:fill="FFFFFF"/>
        <w:spacing w:after="0" w:line="240" w:lineRule="auto"/>
        <w:rPr>
          <w:rFonts w:ascii="Times New Roman" w:eastAsia="Times New Roman" w:hAnsi="Times New Roman" w:cs="Times New Roman"/>
          <w:color w:val="000000"/>
          <w:sz w:val="24"/>
          <w:szCs w:val="24"/>
          <w:lang w:eastAsia="en-AU"/>
        </w:rPr>
      </w:pPr>
    </w:p>
    <w:p w14:paraId="6A78EA1D" w14:textId="5581D4F6" w:rsidR="00116F3A" w:rsidRDefault="00116F3A" w:rsidP="00167955">
      <w:pPr>
        <w:shd w:val="clear" w:color="auto" w:fill="FFFFFF"/>
        <w:spacing w:after="0" w:line="240" w:lineRule="auto"/>
        <w:rPr>
          <w:rFonts w:ascii="Times New Roman" w:eastAsia="Times New Roman" w:hAnsi="Times New Roman" w:cs="Times New Roman"/>
          <w:b/>
          <w:bCs/>
          <w:color w:val="000000"/>
          <w:sz w:val="24"/>
          <w:szCs w:val="24"/>
          <w:u w:val="single"/>
          <w:lang w:eastAsia="en-AU"/>
        </w:rPr>
      </w:pPr>
      <w:r w:rsidRPr="002F311F">
        <w:rPr>
          <w:rFonts w:ascii="Times New Roman" w:eastAsia="Times New Roman" w:hAnsi="Times New Roman" w:cs="Times New Roman"/>
          <w:b/>
          <w:bCs/>
          <w:color w:val="000000"/>
          <w:sz w:val="24"/>
          <w:szCs w:val="24"/>
          <w:u w:val="single"/>
          <w:lang w:eastAsia="en-AU"/>
        </w:rPr>
        <w:t>A note on documents incorporated by reference into Schedule 4</w:t>
      </w:r>
    </w:p>
    <w:p w14:paraId="4A290331" w14:textId="77777777" w:rsidR="00167955" w:rsidRPr="00167955" w:rsidRDefault="00167955" w:rsidP="00167955">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53717370" w14:textId="04F39BDC" w:rsidR="00E7678C" w:rsidRPr="002F311F" w:rsidRDefault="00116F3A" w:rsidP="00167955">
      <w:pPr>
        <w:shd w:val="clear" w:color="auto" w:fill="FFFFFF"/>
        <w:spacing w:after="0" w:line="240" w:lineRule="auto"/>
        <w:rPr>
          <w:rFonts w:ascii="Times New Roman" w:eastAsia="Times New Roman" w:hAnsi="Times New Roman" w:cs="Times New Roman"/>
          <w:color w:val="000000"/>
          <w:sz w:val="24"/>
          <w:szCs w:val="24"/>
          <w:lang w:eastAsia="en-AU"/>
        </w:rPr>
      </w:pPr>
      <w:r w:rsidRPr="002F311F">
        <w:rPr>
          <w:rFonts w:ascii="Times New Roman" w:eastAsia="Times New Roman" w:hAnsi="Times New Roman" w:cs="Times New Roman"/>
          <w:color w:val="000000"/>
          <w:sz w:val="24"/>
          <w:szCs w:val="24"/>
          <w:lang w:eastAsia="en-AU"/>
        </w:rPr>
        <w:t xml:space="preserve">There are various documents </w:t>
      </w:r>
      <w:r w:rsidR="00EA7A57" w:rsidRPr="002F311F">
        <w:rPr>
          <w:rFonts w:ascii="Times New Roman" w:eastAsia="Times New Roman" w:hAnsi="Times New Roman" w:cs="Times New Roman"/>
          <w:color w:val="000000"/>
          <w:sz w:val="24"/>
          <w:szCs w:val="24"/>
          <w:lang w:eastAsia="en-AU"/>
        </w:rPr>
        <w:t>in</w:t>
      </w:r>
      <w:r w:rsidR="00493390" w:rsidRPr="002F311F">
        <w:rPr>
          <w:rFonts w:ascii="Times New Roman" w:eastAsia="Times New Roman" w:hAnsi="Times New Roman" w:cs="Times New Roman"/>
          <w:color w:val="000000"/>
          <w:sz w:val="24"/>
          <w:szCs w:val="24"/>
          <w:lang w:eastAsia="en-AU"/>
        </w:rPr>
        <w:t>corporated by reference into</w:t>
      </w:r>
      <w:r w:rsidR="00EA7A57" w:rsidRPr="002F311F">
        <w:rPr>
          <w:rFonts w:ascii="Times New Roman" w:eastAsia="Times New Roman" w:hAnsi="Times New Roman" w:cs="Times New Roman"/>
          <w:color w:val="000000"/>
          <w:sz w:val="24"/>
          <w:szCs w:val="24"/>
          <w:lang w:eastAsia="en-AU"/>
        </w:rPr>
        <w:t xml:space="preserve"> Schedule 4 </w:t>
      </w:r>
      <w:r w:rsidR="00493390" w:rsidRPr="002F311F">
        <w:rPr>
          <w:rFonts w:ascii="Times New Roman" w:eastAsia="Times New Roman" w:hAnsi="Times New Roman" w:cs="Times New Roman"/>
          <w:color w:val="000000"/>
          <w:sz w:val="24"/>
          <w:szCs w:val="24"/>
          <w:lang w:eastAsia="en-AU"/>
        </w:rPr>
        <w:t>to th</w:t>
      </w:r>
      <w:r w:rsidR="00A16ECB">
        <w:rPr>
          <w:rFonts w:ascii="Times New Roman" w:eastAsia="Times New Roman" w:hAnsi="Times New Roman" w:cs="Times New Roman"/>
          <w:color w:val="000000"/>
          <w:sz w:val="24"/>
          <w:szCs w:val="24"/>
          <w:lang w:eastAsia="en-AU"/>
        </w:rPr>
        <w:t>e 2024 Listing I</w:t>
      </w:r>
      <w:r w:rsidR="00493390" w:rsidRPr="002F311F">
        <w:rPr>
          <w:rFonts w:ascii="Times New Roman" w:eastAsia="Times New Roman" w:hAnsi="Times New Roman" w:cs="Times New Roman"/>
          <w:color w:val="000000"/>
          <w:sz w:val="24"/>
          <w:szCs w:val="24"/>
          <w:lang w:eastAsia="en-AU"/>
        </w:rPr>
        <w:t>nstrument</w:t>
      </w:r>
      <w:r w:rsidR="00EA7A57" w:rsidRPr="002F311F">
        <w:rPr>
          <w:rFonts w:ascii="Times New Roman" w:eastAsia="Times New Roman" w:hAnsi="Times New Roman" w:cs="Times New Roman"/>
          <w:i/>
          <w:iCs/>
          <w:color w:val="000000"/>
          <w:sz w:val="24"/>
          <w:szCs w:val="24"/>
          <w:lang w:eastAsia="en-AU"/>
        </w:rPr>
        <w:t>.</w:t>
      </w:r>
      <w:r w:rsidR="000A4029">
        <w:rPr>
          <w:rFonts w:ascii="Times New Roman" w:eastAsia="Times New Roman" w:hAnsi="Times New Roman" w:cs="Times New Roman"/>
          <w:color w:val="000000"/>
          <w:sz w:val="24"/>
          <w:szCs w:val="24"/>
          <w:lang w:eastAsia="en-AU"/>
        </w:rPr>
        <w:t xml:space="preserve"> </w:t>
      </w:r>
      <w:r w:rsidR="00C818D1">
        <w:rPr>
          <w:rFonts w:ascii="Times New Roman" w:eastAsia="Times New Roman" w:hAnsi="Times New Roman" w:cs="Times New Roman"/>
          <w:color w:val="000000"/>
          <w:sz w:val="24"/>
          <w:szCs w:val="24"/>
          <w:lang w:eastAsia="en-AU"/>
        </w:rPr>
        <w:t xml:space="preserve">All Commonwealth Acts and legislative instruments are incorporated as in force from time to time. All other </w:t>
      </w:r>
      <w:r w:rsidR="00EA7A57" w:rsidRPr="002F311F">
        <w:rPr>
          <w:rFonts w:ascii="Times New Roman" w:eastAsia="Times New Roman" w:hAnsi="Times New Roman" w:cs="Times New Roman"/>
          <w:color w:val="000000"/>
          <w:sz w:val="24"/>
          <w:szCs w:val="24"/>
          <w:lang w:eastAsia="en-AU"/>
        </w:rPr>
        <w:t>documents</w:t>
      </w:r>
      <w:r w:rsidRPr="002F311F">
        <w:rPr>
          <w:rFonts w:ascii="Times New Roman" w:eastAsia="Times New Roman" w:hAnsi="Times New Roman" w:cs="Times New Roman"/>
          <w:color w:val="000000"/>
          <w:sz w:val="24"/>
          <w:szCs w:val="24"/>
          <w:lang w:eastAsia="en-AU"/>
        </w:rPr>
        <w:t xml:space="preserve"> are incorporated as in force at </w:t>
      </w:r>
      <w:r w:rsidR="00CA4B87" w:rsidRPr="002F311F">
        <w:rPr>
          <w:rFonts w:ascii="Times New Roman" w:eastAsia="Times New Roman" w:hAnsi="Times New Roman" w:cs="Times New Roman"/>
          <w:color w:val="000000"/>
          <w:sz w:val="24"/>
          <w:szCs w:val="24"/>
          <w:lang w:eastAsia="en-AU"/>
        </w:rPr>
        <w:t>the date th</w:t>
      </w:r>
      <w:r w:rsidR="00A16ECB">
        <w:rPr>
          <w:rFonts w:ascii="Times New Roman" w:eastAsia="Times New Roman" w:hAnsi="Times New Roman" w:cs="Times New Roman"/>
          <w:color w:val="000000"/>
          <w:sz w:val="24"/>
          <w:szCs w:val="24"/>
          <w:lang w:eastAsia="en-AU"/>
        </w:rPr>
        <w:t>e 2024 Listing I</w:t>
      </w:r>
      <w:r w:rsidR="00CA4B87" w:rsidRPr="002F311F">
        <w:rPr>
          <w:rFonts w:ascii="Times New Roman" w:eastAsia="Times New Roman" w:hAnsi="Times New Roman" w:cs="Times New Roman"/>
          <w:color w:val="000000"/>
          <w:sz w:val="24"/>
          <w:szCs w:val="24"/>
          <w:lang w:eastAsia="en-AU"/>
        </w:rPr>
        <w:t>nstrument commences (i.e. 1 April 2024)</w:t>
      </w:r>
      <w:r w:rsidR="000A4029">
        <w:rPr>
          <w:rFonts w:ascii="Times New Roman" w:eastAsia="Times New Roman" w:hAnsi="Times New Roman" w:cs="Times New Roman"/>
          <w:color w:val="000000"/>
          <w:sz w:val="24"/>
          <w:szCs w:val="24"/>
          <w:lang w:eastAsia="en-AU"/>
        </w:rPr>
        <w:t xml:space="preserve">, except where </w:t>
      </w:r>
      <w:r w:rsidR="00504470">
        <w:rPr>
          <w:rFonts w:ascii="Times New Roman" w:eastAsia="Times New Roman" w:hAnsi="Times New Roman" w:cs="Times New Roman"/>
          <w:color w:val="000000"/>
          <w:sz w:val="24"/>
          <w:szCs w:val="24"/>
          <w:lang w:eastAsia="en-AU"/>
        </w:rPr>
        <w:t xml:space="preserve">the </w:t>
      </w:r>
      <w:r w:rsidR="009F250B">
        <w:rPr>
          <w:rFonts w:ascii="Times New Roman" w:eastAsia="Times New Roman" w:hAnsi="Times New Roman" w:cs="Times New Roman"/>
          <w:color w:val="000000"/>
          <w:sz w:val="24"/>
          <w:szCs w:val="24"/>
          <w:lang w:eastAsia="en-AU"/>
        </w:rPr>
        <w:t xml:space="preserve">2024 Listing Instrument expressly refers to a </w:t>
      </w:r>
      <w:r w:rsidR="00DA3328">
        <w:rPr>
          <w:rFonts w:ascii="Times New Roman" w:eastAsia="Times New Roman" w:hAnsi="Times New Roman" w:cs="Times New Roman"/>
          <w:color w:val="000000"/>
          <w:sz w:val="24"/>
          <w:szCs w:val="24"/>
          <w:lang w:eastAsia="en-AU"/>
        </w:rPr>
        <w:t>version of the document</w:t>
      </w:r>
      <w:r w:rsidR="008C55FB">
        <w:rPr>
          <w:rFonts w:ascii="Times New Roman" w:eastAsia="Times New Roman" w:hAnsi="Times New Roman" w:cs="Times New Roman"/>
          <w:color w:val="000000"/>
          <w:sz w:val="24"/>
          <w:szCs w:val="24"/>
          <w:lang w:eastAsia="en-AU"/>
        </w:rPr>
        <w:t xml:space="preserve"> that predates 1 April 2024</w:t>
      </w:r>
      <w:r w:rsidR="00EA7A57" w:rsidRPr="002F311F">
        <w:rPr>
          <w:rFonts w:ascii="Times New Roman" w:eastAsia="Times New Roman" w:hAnsi="Times New Roman" w:cs="Times New Roman"/>
          <w:color w:val="000000"/>
          <w:sz w:val="24"/>
          <w:szCs w:val="24"/>
          <w:lang w:eastAsia="en-AU"/>
        </w:rPr>
        <w:t>.</w:t>
      </w:r>
    </w:p>
    <w:p w14:paraId="5803A0FF" w14:textId="77777777" w:rsidR="004315F1" w:rsidRPr="00102702" w:rsidRDefault="004315F1" w:rsidP="00167955">
      <w:pPr>
        <w:spacing w:after="0" w:line="240" w:lineRule="auto"/>
        <w:rPr>
          <w:rFonts w:ascii="Times New Roman" w:eastAsia="Times New Roman" w:hAnsi="Times New Roman" w:cs="Times New Roman"/>
          <w:bCs/>
          <w:sz w:val="24"/>
          <w:szCs w:val="24"/>
          <w:lang w:eastAsia="en-AU"/>
        </w:rPr>
      </w:pPr>
    </w:p>
    <w:p w14:paraId="25E001EC" w14:textId="3BBA4F0D" w:rsidR="00972550" w:rsidRPr="002F311F" w:rsidRDefault="00972550" w:rsidP="004512F5">
      <w:pPr>
        <w:spacing w:after="0" w:line="240" w:lineRule="auto"/>
        <w:rPr>
          <w:rFonts w:ascii="Times New Roman" w:eastAsia="Times New Roman" w:hAnsi="Times New Roman" w:cs="Times New Roman"/>
          <w:b/>
          <w:sz w:val="24"/>
          <w:szCs w:val="24"/>
          <w:lang w:eastAsia="en-AU"/>
        </w:rPr>
      </w:pPr>
      <w:r w:rsidRPr="002F311F">
        <w:rPr>
          <w:rFonts w:ascii="Times New Roman" w:eastAsia="Times New Roman" w:hAnsi="Times New Roman" w:cs="Times New Roman"/>
          <w:b/>
          <w:sz w:val="24"/>
          <w:szCs w:val="24"/>
          <w:lang w:eastAsia="en-AU"/>
        </w:rPr>
        <w:t xml:space="preserve">Schedule </w:t>
      </w:r>
      <w:r w:rsidR="00E94F73" w:rsidRPr="002F311F">
        <w:rPr>
          <w:rFonts w:ascii="Times New Roman" w:eastAsia="Times New Roman" w:hAnsi="Times New Roman" w:cs="Times New Roman"/>
          <w:b/>
          <w:sz w:val="24"/>
          <w:szCs w:val="24"/>
          <w:lang w:eastAsia="en-AU"/>
        </w:rPr>
        <w:t>5</w:t>
      </w:r>
      <w:r w:rsidR="007F29C6" w:rsidRPr="002F311F">
        <w:rPr>
          <w:rFonts w:ascii="Times New Roman" w:eastAsia="Times New Roman" w:hAnsi="Times New Roman" w:cs="Times New Roman"/>
          <w:b/>
          <w:sz w:val="24"/>
          <w:szCs w:val="24"/>
          <w:lang w:eastAsia="en-AU"/>
        </w:rPr>
        <w:t>—Schedule equivalent groups of brands of pharmaceutical items</w:t>
      </w:r>
    </w:p>
    <w:p w14:paraId="4977DF67" w14:textId="77777777" w:rsidR="001E0752" w:rsidRPr="002F311F" w:rsidRDefault="001E0752" w:rsidP="004512F5">
      <w:pPr>
        <w:tabs>
          <w:tab w:val="left" w:pos="3870"/>
        </w:tabs>
        <w:spacing w:after="0" w:line="240" w:lineRule="auto"/>
        <w:rPr>
          <w:rFonts w:ascii="Times New Roman" w:eastAsia="Times New Roman" w:hAnsi="Times New Roman" w:cs="Times New Roman"/>
          <w:bCs/>
          <w:sz w:val="24"/>
          <w:szCs w:val="24"/>
          <w:lang w:eastAsia="en-AU"/>
        </w:rPr>
      </w:pPr>
    </w:p>
    <w:p w14:paraId="6C2D6E6B" w14:textId="7AA9E290" w:rsidR="00BD0A01" w:rsidRPr="002F311F" w:rsidRDefault="00197A18" w:rsidP="004512F5">
      <w:pPr>
        <w:spacing w:after="0" w:line="240" w:lineRule="auto"/>
        <w:rPr>
          <w:rFonts w:ascii="Times New Roman" w:eastAsia="Times New Roman" w:hAnsi="Times New Roman" w:cs="Times New Roman"/>
          <w:bCs/>
          <w:sz w:val="24"/>
          <w:szCs w:val="24"/>
          <w:lang w:eastAsia="en-AU"/>
        </w:rPr>
      </w:pPr>
      <w:r w:rsidRPr="002F311F">
        <w:rPr>
          <w:rFonts w:ascii="Times New Roman" w:eastAsia="Times New Roman" w:hAnsi="Times New Roman" w:cs="Times New Roman"/>
          <w:bCs/>
          <w:sz w:val="24"/>
          <w:szCs w:val="24"/>
          <w:lang w:eastAsia="en-AU"/>
        </w:rPr>
        <w:t xml:space="preserve">Schedule </w:t>
      </w:r>
      <w:r w:rsidR="00E94F73" w:rsidRPr="002F311F">
        <w:rPr>
          <w:rFonts w:ascii="Times New Roman" w:eastAsia="Times New Roman" w:hAnsi="Times New Roman" w:cs="Times New Roman"/>
          <w:bCs/>
          <w:sz w:val="24"/>
          <w:szCs w:val="24"/>
          <w:lang w:eastAsia="en-AU"/>
        </w:rPr>
        <w:t>5</w:t>
      </w:r>
      <w:r w:rsidRPr="002F311F">
        <w:rPr>
          <w:rFonts w:ascii="Times New Roman" w:eastAsia="Times New Roman" w:hAnsi="Times New Roman" w:cs="Times New Roman"/>
          <w:bCs/>
          <w:sz w:val="24"/>
          <w:szCs w:val="24"/>
          <w:lang w:eastAsia="en-AU"/>
        </w:rPr>
        <w:t xml:space="preserve"> </w:t>
      </w:r>
      <w:r w:rsidR="00BD0A01" w:rsidRPr="002F311F">
        <w:rPr>
          <w:rFonts w:ascii="Times New Roman" w:eastAsia="Times New Roman" w:hAnsi="Times New Roman" w:cs="Times New Roman"/>
          <w:bCs/>
          <w:sz w:val="24"/>
          <w:szCs w:val="24"/>
          <w:lang w:eastAsia="en-AU"/>
        </w:rPr>
        <w:t xml:space="preserve">contains a table that </w:t>
      </w:r>
      <w:r w:rsidR="00665E94" w:rsidRPr="002F311F">
        <w:rPr>
          <w:rFonts w:ascii="Times New Roman" w:eastAsia="Times New Roman" w:hAnsi="Times New Roman" w:cs="Times New Roman"/>
          <w:bCs/>
          <w:sz w:val="24"/>
          <w:szCs w:val="24"/>
          <w:lang w:eastAsia="en-AU"/>
        </w:rPr>
        <w:t xml:space="preserve">sets out schedule equivalent groups and the brands of pharmaceutical items included in the groups, for the purposes of section </w:t>
      </w:r>
      <w:r w:rsidR="0026558A" w:rsidRPr="002F311F">
        <w:rPr>
          <w:rFonts w:ascii="Times New Roman" w:eastAsia="Times New Roman" w:hAnsi="Times New Roman" w:cs="Times New Roman"/>
          <w:bCs/>
          <w:sz w:val="24"/>
          <w:szCs w:val="24"/>
          <w:lang w:eastAsia="en-AU"/>
        </w:rPr>
        <w:t>11</w:t>
      </w:r>
      <w:r w:rsidR="00665E94" w:rsidRPr="002F311F">
        <w:rPr>
          <w:rFonts w:ascii="Times New Roman" w:eastAsia="Times New Roman" w:hAnsi="Times New Roman" w:cs="Times New Roman"/>
          <w:bCs/>
          <w:sz w:val="24"/>
          <w:szCs w:val="24"/>
          <w:lang w:eastAsia="en-AU"/>
        </w:rPr>
        <w:t>.</w:t>
      </w:r>
    </w:p>
    <w:p w14:paraId="4F3814A2" w14:textId="77777777" w:rsidR="00BD0A01" w:rsidRPr="002F311F" w:rsidRDefault="00BD0A01" w:rsidP="004512F5">
      <w:pPr>
        <w:spacing w:after="0" w:line="240" w:lineRule="auto"/>
        <w:rPr>
          <w:rFonts w:ascii="Times New Roman" w:eastAsia="Times New Roman" w:hAnsi="Times New Roman" w:cs="Times New Roman"/>
          <w:bCs/>
          <w:sz w:val="24"/>
          <w:szCs w:val="24"/>
          <w:lang w:eastAsia="en-AU"/>
        </w:rPr>
      </w:pPr>
    </w:p>
    <w:p w14:paraId="6608E210" w14:textId="10AEF109" w:rsidR="00D8747D" w:rsidRPr="002F311F" w:rsidRDefault="00BE1EED" w:rsidP="004512F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lastRenderedPageBreak/>
        <w:t>A</w:t>
      </w:r>
      <w:r w:rsidR="00643F3B">
        <w:rPr>
          <w:rFonts w:ascii="Times New Roman" w:eastAsia="Times New Roman" w:hAnsi="Times New Roman" w:cs="Times New Roman"/>
          <w:bCs/>
          <w:sz w:val="24"/>
          <w:szCs w:val="24"/>
          <w:lang w:eastAsia="en-AU"/>
        </w:rPr>
        <w:t xml:space="preserve"> </w:t>
      </w:r>
      <w:r w:rsidR="00197A18" w:rsidRPr="002F311F">
        <w:rPr>
          <w:rFonts w:ascii="Times New Roman" w:eastAsia="Times New Roman" w:hAnsi="Times New Roman" w:cs="Times New Roman"/>
          <w:bCs/>
          <w:sz w:val="24"/>
          <w:szCs w:val="24"/>
          <w:lang w:eastAsia="en-AU"/>
        </w:rPr>
        <w:t xml:space="preserve">brand of a pharmaceutical item </w:t>
      </w:r>
      <w:r w:rsidR="00CC1C17" w:rsidRPr="002F311F">
        <w:rPr>
          <w:rFonts w:ascii="Times New Roman" w:eastAsia="Times New Roman" w:hAnsi="Times New Roman" w:cs="Times New Roman"/>
          <w:bCs/>
          <w:sz w:val="24"/>
          <w:szCs w:val="24"/>
          <w:lang w:eastAsia="en-AU"/>
        </w:rPr>
        <w:t xml:space="preserve">included in a </w:t>
      </w:r>
      <w:r w:rsidR="00CB3274" w:rsidRPr="002F311F">
        <w:rPr>
          <w:rFonts w:ascii="Times New Roman" w:eastAsia="Times New Roman" w:hAnsi="Times New Roman" w:cs="Times New Roman"/>
          <w:bCs/>
          <w:sz w:val="24"/>
          <w:szCs w:val="24"/>
          <w:lang w:eastAsia="en-AU"/>
        </w:rPr>
        <w:t xml:space="preserve">schedule equivalent group in the table </w:t>
      </w:r>
      <w:r w:rsidR="00197A18" w:rsidRPr="002F311F">
        <w:rPr>
          <w:rFonts w:ascii="Times New Roman" w:eastAsia="Times New Roman" w:hAnsi="Times New Roman" w:cs="Times New Roman"/>
          <w:bCs/>
          <w:sz w:val="24"/>
          <w:szCs w:val="24"/>
          <w:lang w:eastAsia="en-AU"/>
        </w:rPr>
        <w:t xml:space="preserve">can be treated as equivalent to </w:t>
      </w:r>
      <w:r>
        <w:rPr>
          <w:rFonts w:ascii="Times New Roman" w:eastAsia="Times New Roman" w:hAnsi="Times New Roman" w:cs="Times New Roman"/>
          <w:bCs/>
          <w:sz w:val="24"/>
          <w:szCs w:val="24"/>
          <w:lang w:eastAsia="en-AU"/>
        </w:rPr>
        <w:t xml:space="preserve">each </w:t>
      </w:r>
      <w:r w:rsidR="00197A18" w:rsidRPr="002F311F">
        <w:rPr>
          <w:rFonts w:ascii="Times New Roman" w:eastAsia="Times New Roman" w:hAnsi="Times New Roman" w:cs="Times New Roman"/>
          <w:bCs/>
          <w:sz w:val="24"/>
          <w:szCs w:val="24"/>
          <w:lang w:eastAsia="en-AU"/>
        </w:rPr>
        <w:t xml:space="preserve">other brand of </w:t>
      </w:r>
      <w:r>
        <w:rPr>
          <w:rFonts w:ascii="Times New Roman" w:eastAsia="Times New Roman" w:hAnsi="Times New Roman" w:cs="Times New Roman"/>
          <w:bCs/>
          <w:sz w:val="24"/>
          <w:szCs w:val="24"/>
          <w:lang w:eastAsia="en-AU"/>
        </w:rPr>
        <w:t xml:space="preserve">a </w:t>
      </w:r>
      <w:r w:rsidR="00197A18" w:rsidRPr="002F311F">
        <w:rPr>
          <w:rFonts w:ascii="Times New Roman" w:eastAsia="Times New Roman" w:hAnsi="Times New Roman" w:cs="Times New Roman"/>
          <w:bCs/>
          <w:sz w:val="24"/>
          <w:szCs w:val="24"/>
          <w:lang w:eastAsia="en-AU"/>
        </w:rPr>
        <w:t>pharmaceutical item</w:t>
      </w:r>
      <w:r w:rsidR="00D8747D" w:rsidRPr="002F311F">
        <w:rPr>
          <w:rFonts w:ascii="Times New Roman" w:eastAsia="Times New Roman" w:hAnsi="Times New Roman" w:cs="Times New Roman"/>
          <w:bCs/>
          <w:sz w:val="24"/>
          <w:szCs w:val="24"/>
          <w:lang w:eastAsia="en-AU"/>
        </w:rPr>
        <w:t xml:space="preserve"> included in that schedule equivalent group</w:t>
      </w:r>
      <w:r>
        <w:rPr>
          <w:rFonts w:ascii="Times New Roman" w:eastAsia="Times New Roman" w:hAnsi="Times New Roman" w:cs="Times New Roman"/>
          <w:bCs/>
          <w:sz w:val="24"/>
          <w:szCs w:val="24"/>
          <w:lang w:eastAsia="en-AU"/>
        </w:rPr>
        <w:t xml:space="preserve">, for the purposes of </w:t>
      </w:r>
      <w:r w:rsidR="0078011C">
        <w:rPr>
          <w:rFonts w:ascii="Times New Roman" w:eastAsia="Times New Roman" w:hAnsi="Times New Roman" w:cs="Times New Roman"/>
          <w:bCs/>
          <w:sz w:val="24"/>
          <w:szCs w:val="24"/>
          <w:lang w:eastAsia="en-AU"/>
        </w:rPr>
        <w:t>paragraph 103(2A)(b) of the Act</w:t>
      </w:r>
      <w:r w:rsidR="00197A18" w:rsidRPr="002F311F">
        <w:rPr>
          <w:rFonts w:ascii="Times New Roman" w:eastAsia="Times New Roman" w:hAnsi="Times New Roman" w:cs="Times New Roman"/>
          <w:bCs/>
          <w:sz w:val="24"/>
          <w:szCs w:val="24"/>
          <w:lang w:eastAsia="en-AU"/>
        </w:rPr>
        <w:t>.</w:t>
      </w:r>
    </w:p>
    <w:p w14:paraId="4B22BDBB" w14:textId="77777777" w:rsidR="00646814" w:rsidRPr="002F311F" w:rsidRDefault="00646814" w:rsidP="004512F5">
      <w:pPr>
        <w:spacing w:after="0" w:line="240" w:lineRule="auto"/>
        <w:rPr>
          <w:rFonts w:ascii="Times New Roman" w:eastAsia="Times New Roman" w:hAnsi="Times New Roman" w:cs="Times New Roman"/>
          <w:bCs/>
          <w:sz w:val="24"/>
          <w:szCs w:val="24"/>
          <w:lang w:eastAsia="en-AU"/>
        </w:rPr>
      </w:pPr>
    </w:p>
    <w:p w14:paraId="08B95470" w14:textId="22619CE5" w:rsidR="00CE1B48" w:rsidRPr="002F311F" w:rsidRDefault="00CE1B48" w:rsidP="004512F5">
      <w:pPr>
        <w:spacing w:after="0" w:line="240" w:lineRule="auto"/>
        <w:rPr>
          <w:rFonts w:ascii="Times New Roman" w:eastAsia="Times New Roman" w:hAnsi="Times New Roman" w:cs="Times New Roman"/>
          <w:b/>
          <w:sz w:val="24"/>
          <w:szCs w:val="24"/>
          <w:lang w:eastAsia="en-AU"/>
        </w:rPr>
      </w:pPr>
      <w:r w:rsidRPr="002F311F">
        <w:rPr>
          <w:rFonts w:ascii="Times New Roman" w:eastAsia="Times New Roman" w:hAnsi="Times New Roman" w:cs="Times New Roman"/>
          <w:b/>
          <w:sz w:val="24"/>
          <w:szCs w:val="24"/>
          <w:lang w:eastAsia="en-AU"/>
        </w:rPr>
        <w:t>Schedule 6</w:t>
      </w:r>
      <w:r w:rsidRPr="002F311F">
        <w:t xml:space="preserve"> </w:t>
      </w:r>
      <w:r w:rsidRPr="002F311F">
        <w:rPr>
          <w:rFonts w:ascii="Times New Roman" w:eastAsia="Times New Roman" w:hAnsi="Times New Roman" w:cs="Times New Roman"/>
          <w:b/>
          <w:sz w:val="24"/>
          <w:szCs w:val="24"/>
          <w:lang w:eastAsia="en-AU"/>
        </w:rPr>
        <w:t>—General statement for drugs for the treatment of hepatitis C</w:t>
      </w:r>
    </w:p>
    <w:p w14:paraId="48E8F3CD" w14:textId="77777777" w:rsidR="00CE1B48" w:rsidRPr="00102702" w:rsidRDefault="00CE1B48" w:rsidP="004512F5">
      <w:pPr>
        <w:spacing w:after="0" w:line="240" w:lineRule="auto"/>
        <w:rPr>
          <w:rFonts w:ascii="Times New Roman" w:eastAsia="Times New Roman" w:hAnsi="Times New Roman" w:cs="Times New Roman"/>
          <w:bCs/>
          <w:sz w:val="24"/>
          <w:szCs w:val="24"/>
          <w:lang w:eastAsia="en-AU"/>
        </w:rPr>
      </w:pPr>
    </w:p>
    <w:p w14:paraId="2BDDD245" w14:textId="3AAA8990" w:rsidR="002B5AE7" w:rsidRDefault="00CE1B48" w:rsidP="004512F5">
      <w:pPr>
        <w:spacing w:after="0" w:line="240" w:lineRule="auto"/>
        <w:rPr>
          <w:rFonts w:ascii="Times New Roman" w:eastAsia="Times New Roman" w:hAnsi="Times New Roman" w:cs="Times New Roman"/>
          <w:bCs/>
          <w:sz w:val="24"/>
          <w:szCs w:val="24"/>
          <w:lang w:eastAsia="en-AU"/>
        </w:rPr>
      </w:pPr>
      <w:r w:rsidRPr="002F311F">
        <w:rPr>
          <w:rFonts w:ascii="Times New Roman" w:eastAsia="Times New Roman" w:hAnsi="Times New Roman" w:cs="Times New Roman"/>
          <w:bCs/>
          <w:sz w:val="24"/>
          <w:szCs w:val="24"/>
          <w:lang w:eastAsia="en-AU"/>
        </w:rPr>
        <w:t xml:space="preserve">Some of the circumstances </w:t>
      </w:r>
      <w:r w:rsidR="00764825">
        <w:rPr>
          <w:rFonts w:ascii="Times New Roman" w:eastAsia="Times New Roman" w:hAnsi="Times New Roman" w:cs="Times New Roman"/>
          <w:bCs/>
          <w:sz w:val="24"/>
          <w:szCs w:val="24"/>
          <w:lang w:eastAsia="en-AU"/>
        </w:rPr>
        <w:t xml:space="preserve">and purpose </w:t>
      </w:r>
      <w:r w:rsidRPr="002F311F">
        <w:rPr>
          <w:rFonts w:ascii="Times New Roman" w:eastAsia="Times New Roman" w:hAnsi="Times New Roman" w:cs="Times New Roman"/>
          <w:bCs/>
          <w:sz w:val="24"/>
          <w:szCs w:val="24"/>
          <w:lang w:eastAsia="en-AU"/>
        </w:rPr>
        <w:t xml:space="preserve">mentioned in Schedule 4 to the </w:t>
      </w:r>
      <w:r w:rsidR="00D52197">
        <w:rPr>
          <w:rFonts w:ascii="Times New Roman" w:eastAsia="Times New Roman" w:hAnsi="Times New Roman" w:cs="Times New Roman"/>
          <w:bCs/>
          <w:sz w:val="24"/>
          <w:szCs w:val="24"/>
          <w:lang w:eastAsia="en-AU"/>
        </w:rPr>
        <w:t>2024 Listing I</w:t>
      </w:r>
      <w:r w:rsidRPr="002F311F">
        <w:rPr>
          <w:rFonts w:ascii="Times New Roman" w:eastAsia="Times New Roman" w:hAnsi="Times New Roman" w:cs="Times New Roman"/>
          <w:bCs/>
          <w:sz w:val="24"/>
          <w:szCs w:val="24"/>
          <w:lang w:eastAsia="en-AU"/>
        </w:rPr>
        <w:t xml:space="preserve">nstrument </w:t>
      </w:r>
      <w:r w:rsidR="00DD61B1">
        <w:rPr>
          <w:rFonts w:ascii="Times New Roman" w:eastAsia="Times New Roman" w:hAnsi="Times New Roman" w:cs="Times New Roman"/>
          <w:bCs/>
          <w:sz w:val="24"/>
          <w:szCs w:val="24"/>
          <w:lang w:eastAsia="en-AU"/>
        </w:rPr>
        <w:t xml:space="preserve">require that a patient meets the criteria set out in </w:t>
      </w:r>
      <w:r w:rsidRPr="002F311F">
        <w:rPr>
          <w:rFonts w:ascii="Times New Roman" w:eastAsia="Times New Roman" w:hAnsi="Times New Roman" w:cs="Times New Roman"/>
          <w:bCs/>
          <w:sz w:val="24"/>
          <w:szCs w:val="24"/>
          <w:lang w:eastAsia="en-AU"/>
        </w:rPr>
        <w:t xml:space="preserve">the General </w:t>
      </w:r>
      <w:r w:rsidR="00403A25" w:rsidRPr="002F311F">
        <w:rPr>
          <w:rFonts w:ascii="Times New Roman" w:eastAsia="Times New Roman" w:hAnsi="Times New Roman" w:cs="Times New Roman"/>
          <w:bCs/>
          <w:sz w:val="24"/>
          <w:szCs w:val="24"/>
          <w:lang w:eastAsia="en-AU"/>
        </w:rPr>
        <w:t>s</w:t>
      </w:r>
      <w:r w:rsidRPr="002F311F">
        <w:rPr>
          <w:rFonts w:ascii="Times New Roman" w:eastAsia="Times New Roman" w:hAnsi="Times New Roman" w:cs="Times New Roman"/>
          <w:bCs/>
          <w:sz w:val="24"/>
          <w:szCs w:val="24"/>
          <w:lang w:eastAsia="en-AU"/>
        </w:rPr>
        <w:t>tatement for drugs for the treatment of hepatitis C</w:t>
      </w:r>
      <w:r w:rsidR="006C4981">
        <w:rPr>
          <w:rFonts w:ascii="Times New Roman" w:eastAsia="Times New Roman" w:hAnsi="Times New Roman" w:cs="Times New Roman"/>
          <w:bCs/>
          <w:sz w:val="24"/>
          <w:szCs w:val="24"/>
          <w:lang w:eastAsia="en-AU"/>
        </w:rPr>
        <w:t>, for example circumstances relating to g</w:t>
      </w:r>
      <w:r w:rsidR="006C4981" w:rsidRPr="006C4981">
        <w:rPr>
          <w:rFonts w:ascii="Times New Roman" w:eastAsia="Times New Roman" w:hAnsi="Times New Roman" w:cs="Times New Roman"/>
          <w:bCs/>
          <w:sz w:val="24"/>
          <w:szCs w:val="24"/>
          <w:lang w:eastAsia="en-AU"/>
        </w:rPr>
        <w:t>lecaprevir with pibrentasvir</w:t>
      </w:r>
      <w:r w:rsidR="006C4981">
        <w:rPr>
          <w:rFonts w:ascii="Times New Roman" w:eastAsia="Times New Roman" w:hAnsi="Times New Roman" w:cs="Times New Roman"/>
          <w:bCs/>
          <w:sz w:val="24"/>
          <w:szCs w:val="24"/>
          <w:lang w:eastAsia="en-AU"/>
        </w:rPr>
        <w:t xml:space="preserve">. </w:t>
      </w:r>
      <w:r w:rsidRPr="002F311F">
        <w:rPr>
          <w:rFonts w:ascii="Times New Roman" w:eastAsia="Times New Roman" w:hAnsi="Times New Roman" w:cs="Times New Roman"/>
          <w:bCs/>
          <w:sz w:val="24"/>
          <w:szCs w:val="24"/>
          <w:lang w:eastAsia="en-AU"/>
        </w:rPr>
        <w:t xml:space="preserve">This Statement is set out in </w:t>
      </w:r>
      <w:r w:rsidR="006D277C" w:rsidRPr="002F311F">
        <w:rPr>
          <w:rFonts w:ascii="Times New Roman" w:eastAsia="Times New Roman" w:hAnsi="Times New Roman" w:cs="Times New Roman"/>
          <w:bCs/>
          <w:sz w:val="24"/>
          <w:szCs w:val="24"/>
          <w:lang w:eastAsia="en-AU"/>
        </w:rPr>
        <w:t>Schedule 6</w:t>
      </w:r>
      <w:r w:rsidRPr="002F311F">
        <w:rPr>
          <w:rFonts w:ascii="Times New Roman" w:eastAsia="Times New Roman" w:hAnsi="Times New Roman" w:cs="Times New Roman"/>
          <w:bCs/>
          <w:sz w:val="24"/>
          <w:szCs w:val="24"/>
          <w:lang w:eastAsia="en-AU"/>
        </w:rPr>
        <w:t>.</w:t>
      </w:r>
    </w:p>
    <w:p w14:paraId="6E8C3B10" w14:textId="6B98AC6B" w:rsidR="002B5AE7" w:rsidRPr="00765FBF" w:rsidRDefault="002B5AE7" w:rsidP="002B5AE7">
      <w:pPr>
        <w:spacing w:after="0" w:line="240" w:lineRule="auto"/>
        <w:jc w:val="right"/>
        <w:rPr>
          <w:rFonts w:ascii="Times New Roman" w:eastAsia="Times New Roman" w:hAnsi="Times New Roman" w:cs="Times New Roman"/>
          <w:b/>
          <w:sz w:val="24"/>
          <w:szCs w:val="24"/>
          <w:lang w:eastAsia="en-AU"/>
        </w:rPr>
      </w:pPr>
      <w:r>
        <w:rPr>
          <w:rFonts w:ascii="Times New Roman" w:eastAsia="Times New Roman" w:hAnsi="Times New Roman" w:cs="Times New Roman"/>
          <w:bCs/>
          <w:sz w:val="24"/>
          <w:szCs w:val="24"/>
          <w:lang w:eastAsia="en-AU"/>
        </w:rPr>
        <w:br w:type="column"/>
      </w:r>
      <w:r w:rsidRPr="00765FBF">
        <w:rPr>
          <w:rFonts w:ascii="Times New Roman" w:eastAsia="Times New Roman" w:hAnsi="Times New Roman" w:cs="Times New Roman"/>
          <w:b/>
          <w:sz w:val="24"/>
          <w:szCs w:val="24"/>
          <w:lang w:eastAsia="en-AU"/>
        </w:rPr>
        <w:lastRenderedPageBreak/>
        <w:t>ATTACHMENT A</w:t>
      </w:r>
      <w:r>
        <w:rPr>
          <w:rFonts w:ascii="Times New Roman" w:eastAsia="Times New Roman" w:hAnsi="Times New Roman" w:cs="Times New Roman"/>
          <w:b/>
          <w:sz w:val="24"/>
          <w:szCs w:val="24"/>
          <w:lang w:eastAsia="en-AU"/>
        </w:rPr>
        <w:t xml:space="preserve"> – PART 2</w:t>
      </w:r>
    </w:p>
    <w:p w14:paraId="31E2B1E2" w14:textId="77777777" w:rsidR="00312958" w:rsidRPr="00312958" w:rsidRDefault="00312958" w:rsidP="006B364C">
      <w:pPr>
        <w:spacing w:before="360" w:after="0" w:line="240" w:lineRule="auto"/>
        <w:jc w:val="center"/>
        <w:rPr>
          <w:rFonts w:ascii="Times New Roman" w:eastAsia="Times New Roman" w:hAnsi="Times New Roman" w:cs="Times New Roman"/>
          <w:b/>
          <w:lang w:eastAsia="en-AU"/>
        </w:rPr>
      </w:pPr>
      <w:r w:rsidRPr="006B364C">
        <w:rPr>
          <w:rFonts w:ascii="Times New Roman" w:eastAsia="Times New Roman" w:hAnsi="Times New Roman" w:cs="Times New Roman"/>
          <w:b/>
          <w:lang w:eastAsia="en-AU"/>
        </w:rPr>
        <w:t>SUMMARY OF CHANGES TO THE PHARMACEUTICAL BENEFITS SCHEME</w:t>
      </w:r>
      <w:bookmarkStart w:id="4" w:name="_Hlk108765734"/>
      <w:r w:rsidRPr="006B364C">
        <w:rPr>
          <w:rFonts w:ascii="Times New Roman" w:eastAsia="Times New Roman" w:hAnsi="Times New Roman" w:cs="Times New Roman"/>
          <w:b/>
          <w:lang w:eastAsia="en-AU"/>
        </w:rPr>
        <w:br/>
        <w:t>MADE BY THIS INSTRUMENT</w:t>
      </w:r>
      <w:bookmarkEnd w:id="4"/>
    </w:p>
    <w:p w14:paraId="60CEF1AF" w14:textId="4FAAEDAB" w:rsidR="00312958" w:rsidRPr="00312958" w:rsidRDefault="00312958" w:rsidP="00343061">
      <w:pPr>
        <w:widowControl w:val="0"/>
        <w:spacing w:before="48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t>Drug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312958" w:rsidRPr="00312958" w14:paraId="5F240D32" w14:textId="77777777" w:rsidTr="00D24EA6">
        <w:trPr>
          <w:trHeight w:val="20"/>
        </w:trPr>
        <w:tc>
          <w:tcPr>
            <w:tcW w:w="9808" w:type="dxa"/>
          </w:tcPr>
          <w:p w14:paraId="7E1AA475" w14:textId="77777777" w:rsidR="00312958" w:rsidRPr="00DB1290" w:rsidRDefault="00312958" w:rsidP="00312958">
            <w:pPr>
              <w:spacing w:before="60"/>
              <w:ind w:left="-62"/>
              <w:rPr>
                <w:color w:val="000000"/>
                <w:sz w:val="22"/>
                <w:szCs w:val="22"/>
              </w:rPr>
            </w:pPr>
            <w:r w:rsidRPr="00DB1290">
              <w:rPr>
                <w:b/>
                <w:i/>
                <w:sz w:val="22"/>
                <w:szCs w:val="22"/>
              </w:rPr>
              <w:t>Listed Drug</w:t>
            </w:r>
          </w:p>
        </w:tc>
      </w:tr>
      <w:tr w:rsidR="00312958" w:rsidRPr="00312958" w14:paraId="7B7C189E" w14:textId="77777777" w:rsidTr="00D24EA6">
        <w:trPr>
          <w:trHeight w:val="20"/>
        </w:trPr>
        <w:tc>
          <w:tcPr>
            <w:tcW w:w="9808" w:type="dxa"/>
          </w:tcPr>
          <w:p w14:paraId="051B1833" w14:textId="77777777" w:rsidR="00312958" w:rsidRPr="00DB1290" w:rsidRDefault="00312958" w:rsidP="00312958">
            <w:pPr>
              <w:spacing w:before="60" w:after="60"/>
              <w:ind w:left="-62"/>
              <w:rPr>
                <w:color w:val="000000"/>
                <w:sz w:val="22"/>
                <w:szCs w:val="22"/>
              </w:rPr>
            </w:pPr>
            <w:r w:rsidRPr="00DB1290">
              <w:rPr>
                <w:color w:val="000000"/>
                <w:sz w:val="22"/>
                <w:szCs w:val="22"/>
              </w:rPr>
              <w:t>Inclisiran</w:t>
            </w:r>
          </w:p>
        </w:tc>
      </w:tr>
    </w:tbl>
    <w:p w14:paraId="62C95929" w14:textId="77777777" w:rsidR="00312958" w:rsidRPr="00312958" w:rsidRDefault="00312958" w:rsidP="00312958">
      <w:pPr>
        <w:widowControl w:val="0"/>
        <w:spacing w:before="24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t>Drugs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312958" w:rsidRPr="00312958" w14:paraId="64383ACE" w14:textId="77777777" w:rsidTr="00D24EA6">
        <w:trPr>
          <w:trHeight w:val="20"/>
        </w:trPr>
        <w:tc>
          <w:tcPr>
            <w:tcW w:w="9808" w:type="dxa"/>
          </w:tcPr>
          <w:p w14:paraId="616E6C29" w14:textId="77777777" w:rsidR="00312958" w:rsidRPr="00DE4914" w:rsidRDefault="00312958" w:rsidP="00312958">
            <w:pPr>
              <w:spacing w:before="60"/>
              <w:ind w:left="-62"/>
              <w:rPr>
                <w:color w:val="000000"/>
                <w:sz w:val="22"/>
                <w:szCs w:val="22"/>
              </w:rPr>
            </w:pPr>
            <w:r w:rsidRPr="00DE4914">
              <w:rPr>
                <w:b/>
                <w:i/>
                <w:sz w:val="22"/>
                <w:szCs w:val="22"/>
              </w:rPr>
              <w:t>Listed Drug</w:t>
            </w:r>
          </w:p>
        </w:tc>
      </w:tr>
      <w:tr w:rsidR="00312958" w:rsidRPr="00312958" w14:paraId="75E1E05F" w14:textId="77777777" w:rsidTr="00D24EA6">
        <w:trPr>
          <w:trHeight w:val="20"/>
        </w:trPr>
        <w:tc>
          <w:tcPr>
            <w:tcW w:w="9808" w:type="dxa"/>
          </w:tcPr>
          <w:p w14:paraId="5C34EFD7" w14:textId="77777777" w:rsidR="00312958" w:rsidRPr="00DE4914" w:rsidRDefault="00312958" w:rsidP="00312958">
            <w:pPr>
              <w:spacing w:before="60" w:after="60"/>
              <w:ind w:left="-62"/>
              <w:rPr>
                <w:color w:val="000000"/>
                <w:sz w:val="22"/>
                <w:szCs w:val="22"/>
              </w:rPr>
            </w:pPr>
            <w:r w:rsidRPr="00DE4914">
              <w:rPr>
                <w:color w:val="000000"/>
                <w:sz w:val="22"/>
                <w:szCs w:val="22"/>
              </w:rPr>
              <w:t>Abacavir with lamivudine and zidovudine</w:t>
            </w:r>
          </w:p>
        </w:tc>
      </w:tr>
      <w:tr w:rsidR="00312958" w:rsidRPr="00312958" w14:paraId="6DFEBDA0" w14:textId="77777777" w:rsidTr="00D24EA6">
        <w:trPr>
          <w:trHeight w:val="20"/>
        </w:trPr>
        <w:tc>
          <w:tcPr>
            <w:tcW w:w="9808" w:type="dxa"/>
          </w:tcPr>
          <w:p w14:paraId="75699179" w14:textId="77777777" w:rsidR="00312958" w:rsidRPr="00DE4914" w:rsidRDefault="00312958" w:rsidP="00312958">
            <w:pPr>
              <w:spacing w:before="60" w:after="60"/>
              <w:ind w:left="-62"/>
              <w:rPr>
                <w:color w:val="000000"/>
                <w:sz w:val="22"/>
                <w:szCs w:val="22"/>
              </w:rPr>
            </w:pPr>
            <w:r w:rsidRPr="00DE4914">
              <w:rPr>
                <w:color w:val="000000"/>
                <w:sz w:val="22"/>
                <w:szCs w:val="22"/>
              </w:rPr>
              <w:t>Fosamprenavir</w:t>
            </w:r>
          </w:p>
        </w:tc>
      </w:tr>
      <w:tr w:rsidR="00312958" w:rsidRPr="00312958" w14:paraId="62138E98" w14:textId="77777777" w:rsidTr="00D24EA6">
        <w:trPr>
          <w:trHeight w:val="20"/>
        </w:trPr>
        <w:tc>
          <w:tcPr>
            <w:tcW w:w="9808" w:type="dxa"/>
          </w:tcPr>
          <w:p w14:paraId="60BD87E7" w14:textId="77777777" w:rsidR="00312958" w:rsidRPr="00DE4914" w:rsidRDefault="00312958" w:rsidP="00312958">
            <w:pPr>
              <w:spacing w:before="60" w:after="60"/>
              <w:ind w:left="-62"/>
              <w:rPr>
                <w:color w:val="000000"/>
                <w:sz w:val="22"/>
                <w:szCs w:val="22"/>
              </w:rPr>
            </w:pPr>
            <w:r w:rsidRPr="00DE4914">
              <w:rPr>
                <w:color w:val="000000"/>
                <w:sz w:val="22"/>
                <w:szCs w:val="22"/>
              </w:rPr>
              <w:t>Tropisetron</w:t>
            </w:r>
          </w:p>
        </w:tc>
      </w:tr>
    </w:tbl>
    <w:p w14:paraId="235249B8" w14:textId="77777777" w:rsidR="00312958" w:rsidRPr="00312958" w:rsidRDefault="00312958" w:rsidP="00312958">
      <w:pPr>
        <w:spacing w:before="24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t>Forms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268"/>
        <w:gridCol w:w="7483"/>
      </w:tblGrid>
      <w:tr w:rsidR="00312958" w:rsidRPr="00312958" w14:paraId="0C630963" w14:textId="77777777" w:rsidTr="00D24EA6">
        <w:trPr>
          <w:trHeight w:val="20"/>
        </w:trPr>
        <w:tc>
          <w:tcPr>
            <w:tcW w:w="2268" w:type="dxa"/>
          </w:tcPr>
          <w:p w14:paraId="26E2CBEC" w14:textId="77777777" w:rsidR="00312958" w:rsidRPr="00DE4914" w:rsidRDefault="00312958" w:rsidP="00312958">
            <w:pPr>
              <w:spacing w:before="60"/>
              <w:ind w:left="-62"/>
              <w:rPr>
                <w:rFonts w:eastAsia="Arial"/>
                <w:sz w:val="22"/>
                <w:szCs w:val="22"/>
                <w:lang w:eastAsia="zh-CN"/>
              </w:rPr>
            </w:pPr>
            <w:r w:rsidRPr="00DE4914">
              <w:rPr>
                <w:b/>
                <w:i/>
                <w:sz w:val="22"/>
                <w:szCs w:val="22"/>
              </w:rPr>
              <w:t>Listed Drug</w:t>
            </w:r>
          </w:p>
        </w:tc>
        <w:tc>
          <w:tcPr>
            <w:tcW w:w="7483" w:type="dxa"/>
          </w:tcPr>
          <w:p w14:paraId="65B5D96D" w14:textId="77777777" w:rsidR="00312958" w:rsidRPr="00DE4914" w:rsidRDefault="00312958" w:rsidP="00312958">
            <w:pPr>
              <w:spacing w:before="60"/>
              <w:ind w:left="-62"/>
              <w:rPr>
                <w:color w:val="000000"/>
                <w:sz w:val="22"/>
                <w:szCs w:val="22"/>
              </w:rPr>
            </w:pPr>
            <w:r w:rsidRPr="00DE4914">
              <w:rPr>
                <w:b/>
                <w:i/>
                <w:sz w:val="22"/>
                <w:szCs w:val="22"/>
              </w:rPr>
              <w:t>Form</w:t>
            </w:r>
          </w:p>
        </w:tc>
      </w:tr>
      <w:tr w:rsidR="00312958" w:rsidRPr="00312958" w14:paraId="31907F2C" w14:textId="77777777" w:rsidTr="00D24EA6">
        <w:trPr>
          <w:trHeight w:val="20"/>
        </w:trPr>
        <w:tc>
          <w:tcPr>
            <w:tcW w:w="2268" w:type="dxa"/>
            <w:shd w:val="clear" w:color="auto" w:fill="auto"/>
          </w:tcPr>
          <w:p w14:paraId="4E6BC5D3" w14:textId="77777777" w:rsidR="00312958" w:rsidRPr="00DE4914" w:rsidRDefault="00312958" w:rsidP="00312958">
            <w:pPr>
              <w:spacing w:before="60" w:after="60"/>
              <w:ind w:left="-62"/>
              <w:rPr>
                <w:bCs/>
                <w:iCs/>
                <w:sz w:val="22"/>
                <w:szCs w:val="22"/>
              </w:rPr>
            </w:pPr>
            <w:r w:rsidRPr="00DE4914">
              <w:rPr>
                <w:bCs/>
                <w:iCs/>
                <w:sz w:val="22"/>
                <w:szCs w:val="22"/>
              </w:rPr>
              <w:t>Ethosuximide</w:t>
            </w:r>
          </w:p>
        </w:tc>
        <w:tc>
          <w:tcPr>
            <w:tcW w:w="7483" w:type="dxa"/>
            <w:shd w:val="clear" w:color="auto" w:fill="auto"/>
          </w:tcPr>
          <w:p w14:paraId="17910599" w14:textId="77777777" w:rsidR="00312958" w:rsidRPr="00DE4914" w:rsidRDefault="00312958" w:rsidP="00312958">
            <w:pPr>
              <w:spacing w:before="60" w:after="60"/>
              <w:ind w:left="-62"/>
              <w:rPr>
                <w:sz w:val="22"/>
                <w:szCs w:val="22"/>
              </w:rPr>
            </w:pPr>
            <w:r w:rsidRPr="00DE4914">
              <w:rPr>
                <w:sz w:val="22"/>
                <w:szCs w:val="22"/>
              </w:rPr>
              <w:t>Capsule 250 mg (s19A)</w:t>
            </w:r>
          </w:p>
        </w:tc>
      </w:tr>
      <w:tr w:rsidR="00312958" w:rsidRPr="00312958" w14:paraId="1EA30161" w14:textId="77777777" w:rsidTr="00D24EA6">
        <w:trPr>
          <w:trHeight w:val="20"/>
        </w:trPr>
        <w:tc>
          <w:tcPr>
            <w:tcW w:w="2268" w:type="dxa"/>
            <w:shd w:val="clear" w:color="auto" w:fill="auto"/>
          </w:tcPr>
          <w:p w14:paraId="0F6B847E" w14:textId="77777777" w:rsidR="00312958" w:rsidRPr="00DE4914" w:rsidRDefault="00312958" w:rsidP="00312958">
            <w:pPr>
              <w:spacing w:before="60" w:after="60"/>
              <w:ind w:left="-62"/>
              <w:rPr>
                <w:bCs/>
                <w:iCs/>
                <w:sz w:val="22"/>
                <w:szCs w:val="22"/>
              </w:rPr>
            </w:pPr>
            <w:r w:rsidRPr="00DE4914">
              <w:rPr>
                <w:bCs/>
                <w:iCs/>
                <w:sz w:val="22"/>
                <w:szCs w:val="22"/>
              </w:rPr>
              <w:t>Teriparatide</w:t>
            </w:r>
          </w:p>
        </w:tc>
        <w:tc>
          <w:tcPr>
            <w:tcW w:w="7483" w:type="dxa"/>
            <w:shd w:val="clear" w:color="auto" w:fill="auto"/>
          </w:tcPr>
          <w:p w14:paraId="2AC69085" w14:textId="77777777" w:rsidR="00312958" w:rsidRPr="00DE4914" w:rsidRDefault="00312958" w:rsidP="00312958">
            <w:pPr>
              <w:spacing w:before="60" w:after="60"/>
              <w:ind w:left="-62"/>
              <w:rPr>
                <w:bCs/>
                <w:iCs/>
                <w:sz w:val="22"/>
                <w:szCs w:val="22"/>
              </w:rPr>
            </w:pPr>
            <w:r w:rsidRPr="00DE4914">
              <w:rPr>
                <w:bCs/>
                <w:iCs/>
                <w:sz w:val="22"/>
                <w:szCs w:val="22"/>
              </w:rPr>
              <w:t>Injection 250 micrograms per mL, 2.4 mL in multi-dose pre-filled pen</w:t>
            </w:r>
          </w:p>
        </w:tc>
      </w:tr>
    </w:tbl>
    <w:p w14:paraId="6E78AF84" w14:textId="77777777" w:rsidR="00312958" w:rsidRPr="00312958" w:rsidRDefault="00312958" w:rsidP="00312958">
      <w:pPr>
        <w:spacing w:before="240" w:after="0" w:line="240" w:lineRule="auto"/>
        <w:rPr>
          <w:rFonts w:ascii="Times New Roman" w:eastAsia="Times New Roman" w:hAnsi="Times New Roman" w:cs="Times New Roman"/>
          <w:b/>
          <w:sz w:val="24"/>
          <w:szCs w:val="24"/>
          <w:lang w:eastAsia="en-AU"/>
        </w:rPr>
      </w:pPr>
      <w:bookmarkStart w:id="5" w:name="_Hlk137718503"/>
      <w:r w:rsidRPr="00312958">
        <w:rPr>
          <w:rFonts w:ascii="Times New Roman" w:eastAsia="Times New Roman" w:hAnsi="Times New Roman" w:cs="Times New Roman"/>
          <w:b/>
          <w:sz w:val="24"/>
          <w:szCs w:val="24"/>
          <w:lang w:eastAsia="en-AU"/>
        </w:rPr>
        <w:t>Forms Deleted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268"/>
        <w:gridCol w:w="7483"/>
      </w:tblGrid>
      <w:tr w:rsidR="00312958" w:rsidRPr="00312958" w14:paraId="3C363F0D" w14:textId="77777777" w:rsidTr="00D24EA6">
        <w:trPr>
          <w:trHeight w:val="20"/>
        </w:trPr>
        <w:tc>
          <w:tcPr>
            <w:tcW w:w="2268" w:type="dxa"/>
          </w:tcPr>
          <w:p w14:paraId="26F24D85" w14:textId="77777777" w:rsidR="00312958" w:rsidRPr="00DE4914" w:rsidRDefault="00312958" w:rsidP="00312958">
            <w:pPr>
              <w:spacing w:before="60"/>
              <w:ind w:left="-62"/>
              <w:rPr>
                <w:rFonts w:eastAsia="Arial"/>
                <w:sz w:val="22"/>
                <w:szCs w:val="22"/>
                <w:lang w:eastAsia="zh-CN"/>
              </w:rPr>
            </w:pPr>
            <w:r w:rsidRPr="00DE4914">
              <w:rPr>
                <w:b/>
                <w:i/>
                <w:sz w:val="22"/>
                <w:szCs w:val="22"/>
              </w:rPr>
              <w:t>Listed Drug</w:t>
            </w:r>
          </w:p>
        </w:tc>
        <w:tc>
          <w:tcPr>
            <w:tcW w:w="7483" w:type="dxa"/>
          </w:tcPr>
          <w:p w14:paraId="3894B6D1" w14:textId="77777777" w:rsidR="00312958" w:rsidRPr="00DE4914" w:rsidRDefault="00312958" w:rsidP="00312958">
            <w:pPr>
              <w:spacing w:before="60"/>
              <w:ind w:left="-62"/>
              <w:rPr>
                <w:color w:val="000000"/>
                <w:sz w:val="22"/>
                <w:szCs w:val="22"/>
              </w:rPr>
            </w:pPr>
            <w:r w:rsidRPr="00DE4914">
              <w:rPr>
                <w:b/>
                <w:i/>
                <w:sz w:val="22"/>
                <w:szCs w:val="22"/>
              </w:rPr>
              <w:t>Form</w:t>
            </w:r>
          </w:p>
        </w:tc>
      </w:tr>
      <w:tr w:rsidR="00312958" w:rsidRPr="00312958" w14:paraId="11C8FF70" w14:textId="77777777" w:rsidTr="00D24EA6">
        <w:trPr>
          <w:trHeight w:val="20"/>
        </w:trPr>
        <w:tc>
          <w:tcPr>
            <w:tcW w:w="2268" w:type="dxa"/>
            <w:shd w:val="clear" w:color="auto" w:fill="auto"/>
          </w:tcPr>
          <w:p w14:paraId="081DA85F" w14:textId="77777777" w:rsidR="00312958" w:rsidRPr="00DE4914" w:rsidRDefault="00312958" w:rsidP="00312958">
            <w:pPr>
              <w:spacing w:before="60" w:after="60"/>
              <w:ind w:left="-62"/>
              <w:rPr>
                <w:bCs/>
                <w:iCs/>
                <w:sz w:val="22"/>
                <w:szCs w:val="22"/>
              </w:rPr>
            </w:pPr>
            <w:r w:rsidRPr="00DE4914">
              <w:rPr>
                <w:bCs/>
                <w:iCs/>
                <w:sz w:val="22"/>
                <w:szCs w:val="22"/>
              </w:rPr>
              <w:t>Lopinavir with ritonavir</w:t>
            </w:r>
          </w:p>
        </w:tc>
        <w:tc>
          <w:tcPr>
            <w:tcW w:w="7483" w:type="dxa"/>
            <w:shd w:val="clear" w:color="auto" w:fill="auto"/>
          </w:tcPr>
          <w:p w14:paraId="74D10566" w14:textId="77777777" w:rsidR="00312958" w:rsidRPr="00DE4914" w:rsidRDefault="00312958" w:rsidP="00312958">
            <w:pPr>
              <w:spacing w:before="60" w:after="60"/>
              <w:ind w:left="-62"/>
              <w:rPr>
                <w:sz w:val="22"/>
                <w:szCs w:val="22"/>
              </w:rPr>
            </w:pPr>
            <w:r w:rsidRPr="00DE4914">
              <w:rPr>
                <w:sz w:val="22"/>
                <w:szCs w:val="22"/>
              </w:rPr>
              <w:t>Tablet 100 mg-25 mg</w:t>
            </w:r>
          </w:p>
        </w:tc>
      </w:tr>
      <w:tr w:rsidR="00312958" w:rsidRPr="00312958" w14:paraId="59929030" w14:textId="77777777" w:rsidTr="00D24EA6">
        <w:trPr>
          <w:trHeight w:val="20"/>
        </w:trPr>
        <w:tc>
          <w:tcPr>
            <w:tcW w:w="2268" w:type="dxa"/>
            <w:shd w:val="clear" w:color="auto" w:fill="auto"/>
          </w:tcPr>
          <w:p w14:paraId="66FC1605" w14:textId="77777777" w:rsidR="00312958" w:rsidRPr="00DE4914" w:rsidRDefault="00312958" w:rsidP="00312958">
            <w:pPr>
              <w:spacing w:before="60" w:after="60"/>
              <w:ind w:left="-62"/>
              <w:rPr>
                <w:bCs/>
                <w:iCs/>
                <w:sz w:val="22"/>
                <w:szCs w:val="22"/>
              </w:rPr>
            </w:pPr>
            <w:r w:rsidRPr="00DE4914">
              <w:rPr>
                <w:bCs/>
                <w:iCs/>
                <w:sz w:val="22"/>
                <w:szCs w:val="22"/>
              </w:rPr>
              <w:t>Methylprednisolone</w:t>
            </w:r>
          </w:p>
        </w:tc>
        <w:tc>
          <w:tcPr>
            <w:tcW w:w="7483" w:type="dxa"/>
            <w:shd w:val="clear" w:color="auto" w:fill="auto"/>
          </w:tcPr>
          <w:p w14:paraId="6FE5AFB4" w14:textId="77777777" w:rsidR="00312958" w:rsidRPr="00DE4914" w:rsidRDefault="00312958" w:rsidP="00312958">
            <w:pPr>
              <w:spacing w:before="60" w:after="60"/>
              <w:ind w:left="-62"/>
              <w:rPr>
                <w:sz w:val="22"/>
                <w:szCs w:val="22"/>
              </w:rPr>
            </w:pPr>
            <w:r w:rsidRPr="00DE4914">
              <w:rPr>
                <w:sz w:val="22"/>
                <w:szCs w:val="22"/>
              </w:rPr>
              <w:t>Powder for injection 40 mg (as sodium succinate)</w:t>
            </w:r>
          </w:p>
        </w:tc>
      </w:tr>
      <w:tr w:rsidR="00312958" w:rsidRPr="00312958" w14:paraId="21BE2E32" w14:textId="77777777" w:rsidTr="00D24EA6">
        <w:trPr>
          <w:trHeight w:val="20"/>
        </w:trPr>
        <w:tc>
          <w:tcPr>
            <w:tcW w:w="2268" w:type="dxa"/>
            <w:vMerge w:val="restart"/>
            <w:shd w:val="clear" w:color="auto" w:fill="auto"/>
          </w:tcPr>
          <w:p w14:paraId="66B26EC1" w14:textId="77777777" w:rsidR="00312958" w:rsidRPr="00DE4914" w:rsidRDefault="00312958" w:rsidP="00312958">
            <w:pPr>
              <w:spacing w:before="60" w:after="60"/>
              <w:ind w:left="-62"/>
              <w:rPr>
                <w:bCs/>
                <w:iCs/>
                <w:sz w:val="22"/>
                <w:szCs w:val="22"/>
              </w:rPr>
            </w:pPr>
            <w:r w:rsidRPr="00DE4914">
              <w:rPr>
                <w:bCs/>
                <w:iCs/>
                <w:sz w:val="22"/>
                <w:szCs w:val="22"/>
              </w:rPr>
              <w:t>Morphine</w:t>
            </w:r>
          </w:p>
        </w:tc>
        <w:tc>
          <w:tcPr>
            <w:tcW w:w="7483" w:type="dxa"/>
            <w:shd w:val="clear" w:color="auto" w:fill="auto"/>
          </w:tcPr>
          <w:p w14:paraId="664FE2D7" w14:textId="77777777" w:rsidR="00312958" w:rsidRPr="00DE4914" w:rsidRDefault="00312958" w:rsidP="00312958">
            <w:pPr>
              <w:spacing w:before="60" w:after="60"/>
              <w:ind w:left="-62"/>
              <w:rPr>
                <w:sz w:val="22"/>
                <w:szCs w:val="22"/>
              </w:rPr>
            </w:pPr>
            <w:r w:rsidRPr="00DE4914">
              <w:rPr>
                <w:sz w:val="22"/>
                <w:szCs w:val="22"/>
              </w:rPr>
              <w:t>Sachet containing controlled release granules for oral suspension, containing morphine sulfate pentahydrate 20 mg per sachet</w:t>
            </w:r>
          </w:p>
        </w:tc>
      </w:tr>
      <w:tr w:rsidR="00312958" w:rsidRPr="00312958" w14:paraId="04A08D6A" w14:textId="77777777" w:rsidTr="00D24EA6">
        <w:trPr>
          <w:trHeight w:val="20"/>
        </w:trPr>
        <w:tc>
          <w:tcPr>
            <w:tcW w:w="2268" w:type="dxa"/>
            <w:vMerge/>
            <w:shd w:val="clear" w:color="auto" w:fill="auto"/>
          </w:tcPr>
          <w:p w14:paraId="17FEF0B5" w14:textId="77777777" w:rsidR="00312958" w:rsidRPr="00DE4914" w:rsidRDefault="00312958" w:rsidP="00312958">
            <w:pPr>
              <w:spacing w:before="60" w:after="60"/>
              <w:ind w:left="-62"/>
              <w:rPr>
                <w:bCs/>
                <w:iCs/>
                <w:sz w:val="22"/>
                <w:szCs w:val="22"/>
              </w:rPr>
            </w:pPr>
          </w:p>
        </w:tc>
        <w:tc>
          <w:tcPr>
            <w:tcW w:w="7483" w:type="dxa"/>
            <w:shd w:val="clear" w:color="auto" w:fill="auto"/>
          </w:tcPr>
          <w:p w14:paraId="2A65209A" w14:textId="77777777" w:rsidR="00312958" w:rsidRPr="00DE4914" w:rsidRDefault="00312958" w:rsidP="00312958">
            <w:pPr>
              <w:spacing w:before="60" w:after="60"/>
              <w:ind w:left="-62"/>
              <w:rPr>
                <w:sz w:val="22"/>
                <w:szCs w:val="22"/>
              </w:rPr>
            </w:pPr>
            <w:r w:rsidRPr="00DE4914">
              <w:rPr>
                <w:sz w:val="22"/>
                <w:szCs w:val="22"/>
              </w:rPr>
              <w:t>Sachet containing controlled release granules for oral suspension, containing morphine sulfate pentahydrate 30 mg per sachet</w:t>
            </w:r>
          </w:p>
        </w:tc>
      </w:tr>
      <w:tr w:rsidR="00312958" w:rsidRPr="00312958" w14:paraId="14427784" w14:textId="77777777" w:rsidTr="00D24EA6">
        <w:trPr>
          <w:trHeight w:val="20"/>
        </w:trPr>
        <w:tc>
          <w:tcPr>
            <w:tcW w:w="2268" w:type="dxa"/>
            <w:vMerge/>
            <w:shd w:val="clear" w:color="auto" w:fill="auto"/>
          </w:tcPr>
          <w:p w14:paraId="1E5DCA57" w14:textId="77777777" w:rsidR="00312958" w:rsidRPr="00DE4914" w:rsidRDefault="00312958" w:rsidP="00312958">
            <w:pPr>
              <w:spacing w:before="60" w:after="60"/>
              <w:ind w:left="-62"/>
              <w:rPr>
                <w:bCs/>
                <w:iCs/>
                <w:sz w:val="22"/>
                <w:szCs w:val="22"/>
              </w:rPr>
            </w:pPr>
          </w:p>
        </w:tc>
        <w:tc>
          <w:tcPr>
            <w:tcW w:w="7483" w:type="dxa"/>
            <w:shd w:val="clear" w:color="auto" w:fill="auto"/>
          </w:tcPr>
          <w:p w14:paraId="0F28333D" w14:textId="77777777" w:rsidR="00312958" w:rsidRPr="00DE4914" w:rsidRDefault="00312958" w:rsidP="00312958">
            <w:pPr>
              <w:spacing w:before="60" w:after="60"/>
              <w:ind w:left="-62"/>
              <w:rPr>
                <w:sz w:val="22"/>
                <w:szCs w:val="22"/>
              </w:rPr>
            </w:pPr>
            <w:r w:rsidRPr="00DE4914">
              <w:rPr>
                <w:sz w:val="22"/>
                <w:szCs w:val="22"/>
              </w:rPr>
              <w:t>Sachet containing controlled release granules for oral suspension, containing morphine sulfate pentahydrate 60 mg per sachet</w:t>
            </w:r>
          </w:p>
        </w:tc>
      </w:tr>
      <w:tr w:rsidR="00312958" w:rsidRPr="00312958" w14:paraId="00B9701B" w14:textId="77777777" w:rsidTr="00D24EA6">
        <w:trPr>
          <w:trHeight w:val="20"/>
        </w:trPr>
        <w:tc>
          <w:tcPr>
            <w:tcW w:w="2268" w:type="dxa"/>
            <w:vMerge/>
            <w:shd w:val="clear" w:color="auto" w:fill="auto"/>
          </w:tcPr>
          <w:p w14:paraId="54EFB9F3" w14:textId="77777777" w:rsidR="00312958" w:rsidRPr="00DE4914" w:rsidRDefault="00312958" w:rsidP="00312958">
            <w:pPr>
              <w:spacing w:before="60" w:after="60"/>
              <w:ind w:left="-62"/>
              <w:rPr>
                <w:bCs/>
                <w:iCs/>
                <w:sz w:val="22"/>
                <w:szCs w:val="22"/>
              </w:rPr>
            </w:pPr>
          </w:p>
        </w:tc>
        <w:tc>
          <w:tcPr>
            <w:tcW w:w="7483" w:type="dxa"/>
            <w:shd w:val="clear" w:color="auto" w:fill="auto"/>
          </w:tcPr>
          <w:p w14:paraId="0BBD858F" w14:textId="77777777" w:rsidR="00312958" w:rsidRPr="00DE4914" w:rsidRDefault="00312958" w:rsidP="00312958">
            <w:pPr>
              <w:spacing w:before="60" w:after="60"/>
              <w:ind w:left="-62"/>
              <w:rPr>
                <w:sz w:val="22"/>
                <w:szCs w:val="22"/>
              </w:rPr>
            </w:pPr>
            <w:r w:rsidRPr="00DE4914">
              <w:rPr>
                <w:sz w:val="22"/>
                <w:szCs w:val="22"/>
              </w:rPr>
              <w:t>Sachet containing controlled release granules for oral suspension, containing morphine sulfate pentahydrate 100 mg per sachet</w:t>
            </w:r>
          </w:p>
        </w:tc>
      </w:tr>
      <w:tr w:rsidR="00312958" w:rsidRPr="00312958" w14:paraId="40CAF4E8" w14:textId="77777777" w:rsidTr="00D24EA6">
        <w:trPr>
          <w:trHeight w:val="20"/>
        </w:trPr>
        <w:tc>
          <w:tcPr>
            <w:tcW w:w="2268" w:type="dxa"/>
            <w:vMerge/>
            <w:shd w:val="clear" w:color="auto" w:fill="auto"/>
          </w:tcPr>
          <w:p w14:paraId="650E7547" w14:textId="77777777" w:rsidR="00312958" w:rsidRPr="00DE4914" w:rsidRDefault="00312958" w:rsidP="00312958">
            <w:pPr>
              <w:spacing w:before="60" w:after="60"/>
              <w:ind w:left="-62"/>
              <w:rPr>
                <w:bCs/>
                <w:iCs/>
                <w:sz w:val="22"/>
                <w:szCs w:val="22"/>
              </w:rPr>
            </w:pPr>
          </w:p>
        </w:tc>
        <w:tc>
          <w:tcPr>
            <w:tcW w:w="7483" w:type="dxa"/>
            <w:shd w:val="clear" w:color="auto" w:fill="auto"/>
          </w:tcPr>
          <w:p w14:paraId="76B60AD8" w14:textId="77777777" w:rsidR="00312958" w:rsidRPr="00DE4914" w:rsidRDefault="00312958" w:rsidP="00312958">
            <w:pPr>
              <w:spacing w:before="60" w:after="60"/>
              <w:ind w:left="-62"/>
              <w:rPr>
                <w:sz w:val="22"/>
                <w:szCs w:val="22"/>
              </w:rPr>
            </w:pPr>
            <w:r w:rsidRPr="00DE4914">
              <w:rPr>
                <w:sz w:val="22"/>
                <w:szCs w:val="22"/>
              </w:rPr>
              <w:t>Sachet containing controlled release granules for oral suspension, containing morphine sulfate pentahydrate 200 mg per sachet</w:t>
            </w:r>
          </w:p>
        </w:tc>
      </w:tr>
    </w:tbl>
    <w:p w14:paraId="45224C9C" w14:textId="77777777" w:rsidR="00312958" w:rsidRPr="00312958" w:rsidRDefault="00312958" w:rsidP="00DE4914">
      <w:pPr>
        <w:keepNext/>
        <w:spacing w:before="24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lastRenderedPageBreak/>
        <w:t>Brands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268"/>
        <w:gridCol w:w="7483"/>
      </w:tblGrid>
      <w:tr w:rsidR="00312958" w:rsidRPr="00312958" w14:paraId="34C99A98" w14:textId="77777777" w:rsidTr="00D24EA6">
        <w:trPr>
          <w:trHeight w:val="283"/>
        </w:trPr>
        <w:tc>
          <w:tcPr>
            <w:tcW w:w="2268" w:type="dxa"/>
          </w:tcPr>
          <w:p w14:paraId="4FE1DED4" w14:textId="77777777" w:rsidR="00312958" w:rsidRPr="00DE4914" w:rsidRDefault="00312958" w:rsidP="00DE4914">
            <w:pPr>
              <w:keepNext/>
              <w:spacing w:before="60"/>
              <w:ind w:left="-62"/>
              <w:rPr>
                <w:rFonts w:eastAsia="Arial"/>
                <w:b/>
                <w:sz w:val="22"/>
                <w:szCs w:val="22"/>
                <w:lang w:eastAsia="zh-CN"/>
              </w:rPr>
            </w:pPr>
            <w:r w:rsidRPr="00DE4914">
              <w:rPr>
                <w:b/>
                <w:i/>
                <w:sz w:val="22"/>
                <w:szCs w:val="22"/>
              </w:rPr>
              <w:t>Listed Drug</w:t>
            </w:r>
          </w:p>
        </w:tc>
        <w:tc>
          <w:tcPr>
            <w:tcW w:w="7483" w:type="dxa"/>
          </w:tcPr>
          <w:p w14:paraId="272E42E9" w14:textId="77777777" w:rsidR="00312958" w:rsidRPr="00DE4914" w:rsidRDefault="00312958" w:rsidP="00DE4914">
            <w:pPr>
              <w:keepNext/>
              <w:spacing w:before="60"/>
              <w:ind w:left="-62"/>
              <w:rPr>
                <w:rFonts w:eastAsia="Arial"/>
                <w:b/>
                <w:sz w:val="22"/>
                <w:szCs w:val="22"/>
                <w:lang w:eastAsia="zh-CN"/>
              </w:rPr>
            </w:pPr>
            <w:r w:rsidRPr="00DE4914">
              <w:rPr>
                <w:b/>
                <w:i/>
                <w:sz w:val="22"/>
                <w:szCs w:val="22"/>
              </w:rPr>
              <w:t>Form and Brand</w:t>
            </w:r>
          </w:p>
        </w:tc>
      </w:tr>
      <w:tr w:rsidR="00312958" w:rsidRPr="00312958" w14:paraId="1F58C2E6" w14:textId="77777777" w:rsidTr="00D24EA6">
        <w:tc>
          <w:tcPr>
            <w:tcW w:w="2268" w:type="dxa"/>
          </w:tcPr>
          <w:p w14:paraId="353C8AAB" w14:textId="77777777" w:rsidR="00312958" w:rsidRPr="00DE4914" w:rsidRDefault="00312958" w:rsidP="00312958">
            <w:pPr>
              <w:spacing w:before="60" w:after="60"/>
              <w:ind w:left="-62"/>
              <w:rPr>
                <w:bCs/>
                <w:sz w:val="22"/>
                <w:szCs w:val="22"/>
              </w:rPr>
            </w:pPr>
            <w:r w:rsidRPr="00DE4914">
              <w:rPr>
                <w:bCs/>
                <w:sz w:val="22"/>
                <w:szCs w:val="22"/>
              </w:rPr>
              <w:t>Azithromycin</w:t>
            </w:r>
          </w:p>
        </w:tc>
        <w:tc>
          <w:tcPr>
            <w:tcW w:w="7483" w:type="dxa"/>
          </w:tcPr>
          <w:p w14:paraId="6EA0869A" w14:textId="77777777" w:rsidR="00312958" w:rsidRPr="00DE4914" w:rsidRDefault="00312958" w:rsidP="00312958">
            <w:pPr>
              <w:widowControl w:val="0"/>
              <w:spacing w:before="60" w:after="60"/>
              <w:ind w:left="-62"/>
              <w:rPr>
                <w:bCs/>
                <w:sz w:val="22"/>
                <w:szCs w:val="22"/>
              </w:rPr>
            </w:pPr>
            <w:r w:rsidRPr="00DE4914">
              <w:rPr>
                <w:bCs/>
                <w:sz w:val="22"/>
                <w:szCs w:val="22"/>
              </w:rPr>
              <w:t xml:space="preserve">Tablet 500 mg (as dihydrate) </w:t>
            </w:r>
            <w:r w:rsidRPr="00DE4914">
              <w:rPr>
                <w:bCs/>
                <w:i/>
                <w:iCs/>
                <w:sz w:val="22"/>
                <w:szCs w:val="22"/>
              </w:rPr>
              <w:t>(Azithromycin Viatris)</w:t>
            </w:r>
          </w:p>
        </w:tc>
      </w:tr>
      <w:tr w:rsidR="00312958" w:rsidRPr="00312958" w14:paraId="272A4243" w14:textId="77777777" w:rsidTr="00D24EA6">
        <w:tc>
          <w:tcPr>
            <w:tcW w:w="2268" w:type="dxa"/>
            <w:vMerge w:val="restart"/>
          </w:tcPr>
          <w:p w14:paraId="2B39BC43" w14:textId="77777777" w:rsidR="00312958" w:rsidRPr="00DE4914" w:rsidRDefault="00312958" w:rsidP="00312958">
            <w:pPr>
              <w:spacing w:before="60" w:after="60"/>
              <w:ind w:left="-62"/>
              <w:rPr>
                <w:bCs/>
                <w:sz w:val="22"/>
                <w:szCs w:val="22"/>
              </w:rPr>
            </w:pPr>
            <w:r w:rsidRPr="00DE4914">
              <w:rPr>
                <w:bCs/>
                <w:sz w:val="22"/>
                <w:szCs w:val="22"/>
              </w:rPr>
              <w:t>Cefaclor</w:t>
            </w:r>
          </w:p>
        </w:tc>
        <w:tc>
          <w:tcPr>
            <w:tcW w:w="7483" w:type="dxa"/>
          </w:tcPr>
          <w:p w14:paraId="60F80D7C" w14:textId="77777777" w:rsidR="00312958" w:rsidRPr="00DE4914" w:rsidRDefault="00312958" w:rsidP="00312958">
            <w:pPr>
              <w:spacing w:before="60" w:after="60"/>
              <w:ind w:left="-63"/>
              <w:rPr>
                <w:bCs/>
                <w:sz w:val="22"/>
                <w:szCs w:val="22"/>
              </w:rPr>
            </w:pPr>
            <w:r w:rsidRPr="00DE4914">
              <w:rPr>
                <w:bCs/>
                <w:sz w:val="22"/>
                <w:szCs w:val="22"/>
              </w:rPr>
              <w:t xml:space="preserve">Powder for oral suspension 125 mg (as monohydrate) per 5 mL, 100 mL </w:t>
            </w:r>
            <w:r w:rsidRPr="00DE4914">
              <w:rPr>
                <w:bCs/>
                <w:i/>
                <w:iCs/>
                <w:sz w:val="22"/>
                <w:szCs w:val="22"/>
              </w:rPr>
              <w:t>(Cefaclor SUN)</w:t>
            </w:r>
          </w:p>
        </w:tc>
      </w:tr>
      <w:tr w:rsidR="00312958" w:rsidRPr="00312958" w14:paraId="1630A269" w14:textId="77777777" w:rsidTr="00D24EA6">
        <w:tc>
          <w:tcPr>
            <w:tcW w:w="2268" w:type="dxa"/>
            <w:vMerge/>
          </w:tcPr>
          <w:p w14:paraId="1B3CD39E" w14:textId="77777777" w:rsidR="00312958" w:rsidRPr="00DE4914" w:rsidRDefault="00312958" w:rsidP="00312958">
            <w:pPr>
              <w:spacing w:before="60" w:after="60"/>
              <w:ind w:left="-62"/>
              <w:rPr>
                <w:bCs/>
                <w:sz w:val="22"/>
                <w:szCs w:val="22"/>
              </w:rPr>
            </w:pPr>
          </w:p>
        </w:tc>
        <w:tc>
          <w:tcPr>
            <w:tcW w:w="7483" w:type="dxa"/>
          </w:tcPr>
          <w:p w14:paraId="078F0E9F" w14:textId="77777777" w:rsidR="00312958" w:rsidRPr="00DE4914" w:rsidRDefault="00312958" w:rsidP="00312958">
            <w:pPr>
              <w:widowControl w:val="0"/>
              <w:spacing w:before="60" w:after="60"/>
              <w:ind w:left="-62"/>
              <w:rPr>
                <w:bCs/>
                <w:sz w:val="22"/>
                <w:szCs w:val="22"/>
              </w:rPr>
            </w:pPr>
            <w:r w:rsidRPr="00DE4914">
              <w:rPr>
                <w:bCs/>
                <w:sz w:val="22"/>
                <w:szCs w:val="22"/>
              </w:rPr>
              <w:t xml:space="preserve">Powder for oral suspension 250 mg (as monohydrate) per 5 mL, 75 mL </w:t>
            </w:r>
            <w:r w:rsidRPr="00DE4914">
              <w:rPr>
                <w:bCs/>
                <w:i/>
                <w:iCs/>
                <w:sz w:val="22"/>
                <w:szCs w:val="22"/>
              </w:rPr>
              <w:t>(Cefaclor SUN)</w:t>
            </w:r>
          </w:p>
        </w:tc>
      </w:tr>
      <w:tr w:rsidR="00312958" w:rsidRPr="00312958" w14:paraId="18D093C9" w14:textId="77777777" w:rsidTr="00D24EA6">
        <w:tc>
          <w:tcPr>
            <w:tcW w:w="2268" w:type="dxa"/>
            <w:vMerge w:val="restart"/>
          </w:tcPr>
          <w:p w14:paraId="62D355E8" w14:textId="77777777" w:rsidR="00312958" w:rsidRPr="00DE4914" w:rsidRDefault="00312958" w:rsidP="00312958">
            <w:pPr>
              <w:widowControl w:val="0"/>
              <w:spacing w:before="60" w:after="60"/>
              <w:ind w:left="-62"/>
              <w:rPr>
                <w:sz w:val="22"/>
                <w:szCs w:val="22"/>
              </w:rPr>
            </w:pPr>
            <w:r w:rsidRPr="00DE4914">
              <w:rPr>
                <w:sz w:val="22"/>
                <w:szCs w:val="22"/>
              </w:rPr>
              <w:t>Diclofenac</w:t>
            </w:r>
          </w:p>
        </w:tc>
        <w:tc>
          <w:tcPr>
            <w:tcW w:w="7483" w:type="dxa"/>
          </w:tcPr>
          <w:p w14:paraId="60939539" w14:textId="77777777" w:rsidR="00312958" w:rsidRPr="00DE4914" w:rsidRDefault="00312958" w:rsidP="00312958">
            <w:pPr>
              <w:widowControl w:val="0"/>
              <w:spacing w:before="60" w:after="60"/>
              <w:ind w:left="-62"/>
              <w:rPr>
                <w:sz w:val="22"/>
                <w:szCs w:val="22"/>
              </w:rPr>
            </w:pPr>
            <w:r w:rsidRPr="00DE4914">
              <w:rPr>
                <w:sz w:val="22"/>
                <w:szCs w:val="22"/>
              </w:rPr>
              <w:t xml:space="preserve">Tablet (enteric coated) containing diclofenac sodium 25 mg </w:t>
            </w:r>
            <w:r w:rsidRPr="00DE4914">
              <w:rPr>
                <w:i/>
                <w:iCs/>
                <w:sz w:val="22"/>
                <w:szCs w:val="22"/>
              </w:rPr>
              <w:t>(Fenac EC)</w:t>
            </w:r>
          </w:p>
        </w:tc>
      </w:tr>
      <w:tr w:rsidR="00312958" w:rsidRPr="00312958" w14:paraId="4F9CBDDC" w14:textId="77777777" w:rsidTr="00D24EA6">
        <w:tc>
          <w:tcPr>
            <w:tcW w:w="2268" w:type="dxa"/>
            <w:vMerge/>
          </w:tcPr>
          <w:p w14:paraId="14C244F6" w14:textId="77777777" w:rsidR="00312958" w:rsidRPr="00DE4914" w:rsidRDefault="00312958" w:rsidP="00312958">
            <w:pPr>
              <w:widowControl w:val="0"/>
              <w:spacing w:before="60" w:after="60"/>
              <w:ind w:left="-62"/>
              <w:rPr>
                <w:sz w:val="22"/>
                <w:szCs w:val="22"/>
              </w:rPr>
            </w:pPr>
          </w:p>
        </w:tc>
        <w:tc>
          <w:tcPr>
            <w:tcW w:w="7483" w:type="dxa"/>
          </w:tcPr>
          <w:p w14:paraId="7BDC5B05" w14:textId="77777777" w:rsidR="00312958" w:rsidRPr="00DE4914" w:rsidRDefault="00312958" w:rsidP="00312958">
            <w:pPr>
              <w:widowControl w:val="0"/>
              <w:spacing w:before="60" w:after="60"/>
              <w:ind w:left="-62"/>
              <w:rPr>
                <w:sz w:val="22"/>
                <w:szCs w:val="22"/>
              </w:rPr>
            </w:pPr>
            <w:r w:rsidRPr="00DE4914">
              <w:rPr>
                <w:sz w:val="22"/>
                <w:szCs w:val="22"/>
              </w:rPr>
              <w:t xml:space="preserve">Tablet (enteric coated) containing diclofenac sodium 50 mg </w:t>
            </w:r>
            <w:r w:rsidRPr="00DE4914">
              <w:rPr>
                <w:i/>
                <w:iCs/>
                <w:sz w:val="22"/>
                <w:szCs w:val="22"/>
              </w:rPr>
              <w:t>(Fenac EC)</w:t>
            </w:r>
          </w:p>
        </w:tc>
      </w:tr>
      <w:tr w:rsidR="00312958" w:rsidRPr="00312958" w14:paraId="2C61440C" w14:textId="77777777" w:rsidTr="00D24EA6">
        <w:tc>
          <w:tcPr>
            <w:tcW w:w="2268" w:type="dxa"/>
            <w:vMerge w:val="restart"/>
          </w:tcPr>
          <w:p w14:paraId="4B2C8241" w14:textId="77777777" w:rsidR="00312958" w:rsidRPr="00DE4914" w:rsidRDefault="00312958" w:rsidP="00312958">
            <w:pPr>
              <w:widowControl w:val="0"/>
              <w:spacing w:before="60" w:after="60"/>
              <w:ind w:left="-62"/>
              <w:rPr>
                <w:sz w:val="22"/>
                <w:szCs w:val="22"/>
              </w:rPr>
            </w:pPr>
            <w:r w:rsidRPr="00DE4914">
              <w:rPr>
                <w:sz w:val="22"/>
                <w:szCs w:val="22"/>
              </w:rPr>
              <w:t>Fluticasone propionate with salmeterol</w:t>
            </w:r>
          </w:p>
        </w:tc>
        <w:tc>
          <w:tcPr>
            <w:tcW w:w="7483" w:type="dxa"/>
          </w:tcPr>
          <w:p w14:paraId="058DCF95" w14:textId="77777777" w:rsidR="00312958" w:rsidRPr="00DE4914" w:rsidRDefault="00312958" w:rsidP="00312958">
            <w:pPr>
              <w:widowControl w:val="0"/>
              <w:spacing w:before="60" w:after="60"/>
              <w:ind w:left="-62"/>
              <w:rPr>
                <w:sz w:val="22"/>
                <w:szCs w:val="22"/>
              </w:rPr>
            </w:pPr>
            <w:r w:rsidRPr="00DE4914">
              <w:rPr>
                <w:sz w:val="22"/>
                <w:szCs w:val="22"/>
              </w:rPr>
              <w:t xml:space="preserve">Powder for oral inhalation in breath actuated device containing fluticasone propionate 250 micrograms with salmeterol 50 micrograms (as xinafoate) per dose, 60 doses </w:t>
            </w:r>
            <w:r w:rsidRPr="00DE4914">
              <w:rPr>
                <w:i/>
                <w:iCs/>
                <w:sz w:val="22"/>
                <w:szCs w:val="22"/>
              </w:rPr>
              <w:t>(Salflumix Easyhaler 250/50)</w:t>
            </w:r>
          </w:p>
        </w:tc>
      </w:tr>
      <w:tr w:rsidR="00312958" w:rsidRPr="00312958" w14:paraId="5B2CF22D" w14:textId="77777777" w:rsidTr="00D24EA6">
        <w:tc>
          <w:tcPr>
            <w:tcW w:w="2268" w:type="dxa"/>
            <w:vMerge/>
          </w:tcPr>
          <w:p w14:paraId="2A7C4DB0" w14:textId="77777777" w:rsidR="00312958" w:rsidRPr="00DE4914" w:rsidRDefault="00312958" w:rsidP="00312958">
            <w:pPr>
              <w:widowControl w:val="0"/>
              <w:spacing w:before="60" w:after="60"/>
              <w:ind w:left="-62"/>
              <w:rPr>
                <w:sz w:val="22"/>
                <w:szCs w:val="22"/>
              </w:rPr>
            </w:pPr>
          </w:p>
        </w:tc>
        <w:tc>
          <w:tcPr>
            <w:tcW w:w="7483" w:type="dxa"/>
          </w:tcPr>
          <w:p w14:paraId="7DBD1DCB" w14:textId="77777777" w:rsidR="00312958" w:rsidRPr="00DE4914" w:rsidRDefault="00312958" w:rsidP="00312958">
            <w:pPr>
              <w:widowControl w:val="0"/>
              <w:spacing w:before="60" w:after="60"/>
              <w:ind w:left="-62"/>
              <w:rPr>
                <w:sz w:val="22"/>
                <w:szCs w:val="22"/>
              </w:rPr>
            </w:pPr>
            <w:r w:rsidRPr="00DE4914">
              <w:rPr>
                <w:sz w:val="22"/>
                <w:szCs w:val="22"/>
              </w:rPr>
              <w:t xml:space="preserve">Powder for oral inhalation in breath actuated device containing fluticasone propionate 500 micrograms with salmeterol 50 micrograms (as xinafoate) per dose, 60 doses </w:t>
            </w:r>
            <w:r w:rsidRPr="00DE4914">
              <w:rPr>
                <w:i/>
                <w:iCs/>
                <w:sz w:val="22"/>
                <w:szCs w:val="22"/>
              </w:rPr>
              <w:t>(Salflumix Easyhaler 500/50)</w:t>
            </w:r>
          </w:p>
        </w:tc>
      </w:tr>
      <w:tr w:rsidR="00312958" w:rsidRPr="00312958" w14:paraId="683A18A0" w14:textId="77777777" w:rsidTr="00D24EA6">
        <w:tc>
          <w:tcPr>
            <w:tcW w:w="2268" w:type="dxa"/>
          </w:tcPr>
          <w:p w14:paraId="665384E2" w14:textId="77777777" w:rsidR="00312958" w:rsidRPr="00DE4914" w:rsidRDefault="00312958" w:rsidP="00312958">
            <w:pPr>
              <w:widowControl w:val="0"/>
              <w:spacing w:before="60" w:after="60"/>
              <w:ind w:left="-62"/>
              <w:rPr>
                <w:bCs/>
                <w:sz w:val="22"/>
                <w:szCs w:val="22"/>
              </w:rPr>
            </w:pPr>
            <w:r w:rsidRPr="00DE4914">
              <w:rPr>
                <w:bCs/>
                <w:sz w:val="22"/>
                <w:szCs w:val="22"/>
              </w:rPr>
              <w:t>Fosaprepitant</w:t>
            </w:r>
          </w:p>
        </w:tc>
        <w:tc>
          <w:tcPr>
            <w:tcW w:w="7483" w:type="dxa"/>
          </w:tcPr>
          <w:p w14:paraId="2D1DB875" w14:textId="77777777" w:rsidR="00312958" w:rsidRPr="00DE4914" w:rsidRDefault="00312958" w:rsidP="00312958">
            <w:pPr>
              <w:widowControl w:val="0"/>
              <w:spacing w:before="60" w:after="60"/>
              <w:ind w:left="-62"/>
              <w:rPr>
                <w:bCs/>
                <w:i/>
                <w:iCs/>
                <w:sz w:val="22"/>
                <w:szCs w:val="22"/>
              </w:rPr>
            </w:pPr>
            <w:r w:rsidRPr="00DE4914">
              <w:rPr>
                <w:bCs/>
                <w:sz w:val="22"/>
                <w:szCs w:val="22"/>
              </w:rPr>
              <w:t>Powder for I.V. infusion 150 mg</w:t>
            </w:r>
            <w:r w:rsidRPr="00DE4914">
              <w:rPr>
                <w:bCs/>
                <w:i/>
                <w:iCs/>
                <w:sz w:val="22"/>
                <w:szCs w:val="22"/>
              </w:rPr>
              <w:t xml:space="preserve"> (FOSAPREPITANT MEDSURGE)</w:t>
            </w:r>
          </w:p>
        </w:tc>
      </w:tr>
      <w:tr w:rsidR="00312958" w:rsidRPr="00312958" w14:paraId="47482413" w14:textId="77777777" w:rsidTr="00D24EA6">
        <w:tc>
          <w:tcPr>
            <w:tcW w:w="2268" w:type="dxa"/>
            <w:vMerge w:val="restart"/>
          </w:tcPr>
          <w:p w14:paraId="17CF8DD7" w14:textId="77777777" w:rsidR="00312958" w:rsidRPr="00DE4914" w:rsidRDefault="00312958" w:rsidP="00312958">
            <w:pPr>
              <w:spacing w:before="60" w:after="60"/>
              <w:ind w:left="-62"/>
              <w:rPr>
                <w:bCs/>
                <w:sz w:val="22"/>
                <w:szCs w:val="22"/>
              </w:rPr>
            </w:pPr>
            <w:r w:rsidRPr="00DE4914">
              <w:rPr>
                <w:bCs/>
                <w:sz w:val="22"/>
                <w:szCs w:val="22"/>
              </w:rPr>
              <w:t>Imatinib</w:t>
            </w:r>
          </w:p>
        </w:tc>
        <w:tc>
          <w:tcPr>
            <w:tcW w:w="7483" w:type="dxa"/>
          </w:tcPr>
          <w:p w14:paraId="1081312C" w14:textId="77777777" w:rsidR="00312958" w:rsidRPr="00DE4914" w:rsidRDefault="00312958" w:rsidP="00312958">
            <w:pPr>
              <w:widowControl w:val="0"/>
              <w:spacing w:before="60" w:after="60"/>
              <w:ind w:left="-62"/>
              <w:rPr>
                <w:bCs/>
                <w:sz w:val="22"/>
                <w:szCs w:val="22"/>
              </w:rPr>
            </w:pPr>
            <w:r w:rsidRPr="00DE4914">
              <w:rPr>
                <w:bCs/>
                <w:sz w:val="22"/>
                <w:szCs w:val="22"/>
              </w:rPr>
              <w:t xml:space="preserve">Tablet 100 mg (as mesilate) </w:t>
            </w:r>
            <w:r w:rsidRPr="00DE4914">
              <w:rPr>
                <w:bCs/>
                <w:i/>
                <w:iCs/>
                <w:sz w:val="22"/>
                <w:szCs w:val="22"/>
              </w:rPr>
              <w:t>(Imatinib Sandoz)</w:t>
            </w:r>
          </w:p>
        </w:tc>
      </w:tr>
      <w:tr w:rsidR="00312958" w:rsidRPr="00312958" w14:paraId="3E287556" w14:textId="77777777" w:rsidTr="00D24EA6">
        <w:tc>
          <w:tcPr>
            <w:tcW w:w="2268" w:type="dxa"/>
            <w:vMerge/>
          </w:tcPr>
          <w:p w14:paraId="359CC47F" w14:textId="77777777" w:rsidR="00312958" w:rsidRPr="00DE4914" w:rsidRDefault="00312958" w:rsidP="00312958">
            <w:pPr>
              <w:widowControl w:val="0"/>
              <w:spacing w:before="60" w:after="60"/>
              <w:ind w:left="-62"/>
              <w:rPr>
                <w:bCs/>
                <w:sz w:val="22"/>
                <w:szCs w:val="22"/>
              </w:rPr>
            </w:pPr>
          </w:p>
        </w:tc>
        <w:tc>
          <w:tcPr>
            <w:tcW w:w="7483" w:type="dxa"/>
          </w:tcPr>
          <w:p w14:paraId="5A2AFC93" w14:textId="77777777" w:rsidR="00312958" w:rsidRPr="00DE4914" w:rsidRDefault="00312958" w:rsidP="00312958">
            <w:pPr>
              <w:widowControl w:val="0"/>
              <w:spacing w:before="60" w:after="60"/>
              <w:ind w:left="-62"/>
              <w:rPr>
                <w:sz w:val="22"/>
                <w:szCs w:val="22"/>
              </w:rPr>
            </w:pPr>
            <w:r w:rsidRPr="00DE4914">
              <w:rPr>
                <w:sz w:val="22"/>
                <w:szCs w:val="22"/>
              </w:rPr>
              <w:t xml:space="preserve">Tablet 400 mg (as mesilate) </w:t>
            </w:r>
            <w:r w:rsidRPr="00DE4914">
              <w:rPr>
                <w:i/>
                <w:iCs/>
                <w:sz w:val="22"/>
                <w:szCs w:val="22"/>
              </w:rPr>
              <w:t>(Imatinib Sandoz)</w:t>
            </w:r>
          </w:p>
        </w:tc>
      </w:tr>
      <w:tr w:rsidR="00312958" w:rsidRPr="00312958" w14:paraId="789BA3B5" w14:textId="77777777" w:rsidTr="00D24EA6">
        <w:tc>
          <w:tcPr>
            <w:tcW w:w="2268" w:type="dxa"/>
            <w:vMerge w:val="restart"/>
          </w:tcPr>
          <w:p w14:paraId="312A273B" w14:textId="77777777" w:rsidR="00312958" w:rsidRPr="00DE4914" w:rsidRDefault="00312958" w:rsidP="00312958">
            <w:pPr>
              <w:spacing w:before="60" w:after="60"/>
              <w:ind w:left="-62"/>
              <w:rPr>
                <w:bCs/>
                <w:sz w:val="22"/>
                <w:szCs w:val="22"/>
              </w:rPr>
            </w:pPr>
            <w:r w:rsidRPr="00DE4914">
              <w:rPr>
                <w:bCs/>
                <w:sz w:val="22"/>
                <w:szCs w:val="22"/>
              </w:rPr>
              <w:t>Irbesartan</w:t>
            </w:r>
          </w:p>
        </w:tc>
        <w:tc>
          <w:tcPr>
            <w:tcW w:w="7483" w:type="dxa"/>
          </w:tcPr>
          <w:p w14:paraId="392FC4BF" w14:textId="77777777" w:rsidR="00312958" w:rsidRPr="00DE4914" w:rsidRDefault="00312958" w:rsidP="00312958">
            <w:pPr>
              <w:widowControl w:val="0"/>
              <w:spacing w:before="60" w:after="60"/>
              <w:ind w:left="-62"/>
              <w:rPr>
                <w:sz w:val="22"/>
                <w:szCs w:val="22"/>
              </w:rPr>
            </w:pPr>
            <w:r w:rsidRPr="00DE4914">
              <w:rPr>
                <w:sz w:val="22"/>
                <w:szCs w:val="22"/>
              </w:rPr>
              <w:t xml:space="preserve">Tablet 75 mg </w:t>
            </w:r>
            <w:r w:rsidRPr="00DE4914">
              <w:rPr>
                <w:i/>
                <w:iCs/>
                <w:sz w:val="22"/>
                <w:szCs w:val="22"/>
              </w:rPr>
              <w:t>(Blooms Irbesartan)</w:t>
            </w:r>
          </w:p>
        </w:tc>
      </w:tr>
      <w:tr w:rsidR="00312958" w:rsidRPr="00312958" w14:paraId="2C8203DB" w14:textId="77777777" w:rsidTr="00D24EA6">
        <w:tc>
          <w:tcPr>
            <w:tcW w:w="2268" w:type="dxa"/>
            <w:vMerge/>
          </w:tcPr>
          <w:p w14:paraId="05E44C2C" w14:textId="77777777" w:rsidR="00312958" w:rsidRPr="00DE4914" w:rsidRDefault="00312958" w:rsidP="00312958">
            <w:pPr>
              <w:widowControl w:val="0"/>
              <w:spacing w:before="60" w:after="60"/>
              <w:ind w:left="-62"/>
              <w:rPr>
                <w:sz w:val="22"/>
                <w:szCs w:val="22"/>
              </w:rPr>
            </w:pPr>
          </w:p>
        </w:tc>
        <w:tc>
          <w:tcPr>
            <w:tcW w:w="7483" w:type="dxa"/>
          </w:tcPr>
          <w:p w14:paraId="224AD960" w14:textId="77777777" w:rsidR="00312958" w:rsidRPr="00DE4914" w:rsidRDefault="00312958" w:rsidP="00312958">
            <w:pPr>
              <w:widowControl w:val="0"/>
              <w:spacing w:before="60" w:after="60"/>
              <w:ind w:left="-62"/>
              <w:rPr>
                <w:sz w:val="22"/>
                <w:szCs w:val="22"/>
              </w:rPr>
            </w:pPr>
            <w:r w:rsidRPr="00DE4914">
              <w:rPr>
                <w:sz w:val="22"/>
                <w:szCs w:val="22"/>
              </w:rPr>
              <w:t xml:space="preserve">Tablet 150 mg </w:t>
            </w:r>
            <w:r w:rsidRPr="00DE4914">
              <w:rPr>
                <w:i/>
                <w:iCs/>
                <w:sz w:val="22"/>
                <w:szCs w:val="22"/>
              </w:rPr>
              <w:t>(Blooms Irbesartan)</w:t>
            </w:r>
          </w:p>
        </w:tc>
      </w:tr>
      <w:tr w:rsidR="00312958" w:rsidRPr="00312958" w14:paraId="1E3D96AA" w14:textId="77777777" w:rsidTr="00D24EA6">
        <w:tc>
          <w:tcPr>
            <w:tcW w:w="2268" w:type="dxa"/>
            <w:vMerge/>
          </w:tcPr>
          <w:p w14:paraId="12DAA315" w14:textId="77777777" w:rsidR="00312958" w:rsidRPr="00DE4914" w:rsidRDefault="00312958" w:rsidP="00312958">
            <w:pPr>
              <w:spacing w:before="60" w:after="60"/>
              <w:ind w:left="-62"/>
              <w:rPr>
                <w:sz w:val="22"/>
                <w:szCs w:val="22"/>
              </w:rPr>
            </w:pPr>
          </w:p>
        </w:tc>
        <w:tc>
          <w:tcPr>
            <w:tcW w:w="7483" w:type="dxa"/>
          </w:tcPr>
          <w:p w14:paraId="68AF0AC8" w14:textId="77777777" w:rsidR="00312958" w:rsidRPr="00DE4914" w:rsidRDefault="00312958" w:rsidP="00312958">
            <w:pPr>
              <w:widowControl w:val="0"/>
              <w:spacing w:before="60" w:after="60"/>
              <w:ind w:left="-62"/>
              <w:rPr>
                <w:sz w:val="22"/>
                <w:szCs w:val="22"/>
              </w:rPr>
            </w:pPr>
            <w:r w:rsidRPr="00DE4914">
              <w:rPr>
                <w:sz w:val="22"/>
                <w:szCs w:val="22"/>
              </w:rPr>
              <w:t xml:space="preserve">Tablet 300 mg </w:t>
            </w:r>
            <w:r w:rsidRPr="00DE4914">
              <w:rPr>
                <w:i/>
                <w:iCs/>
                <w:sz w:val="22"/>
                <w:szCs w:val="22"/>
              </w:rPr>
              <w:t>(Blooms Irbesartan)</w:t>
            </w:r>
          </w:p>
        </w:tc>
      </w:tr>
      <w:tr w:rsidR="00312958" w:rsidRPr="00312958" w14:paraId="48FF968B" w14:textId="77777777" w:rsidTr="00D24EA6">
        <w:tc>
          <w:tcPr>
            <w:tcW w:w="2268" w:type="dxa"/>
          </w:tcPr>
          <w:p w14:paraId="3BC9C2D6" w14:textId="77777777" w:rsidR="00312958" w:rsidRPr="00DE4914" w:rsidRDefault="00312958" w:rsidP="00312958">
            <w:pPr>
              <w:spacing w:before="60" w:after="60"/>
              <w:ind w:left="-62"/>
              <w:rPr>
                <w:sz w:val="22"/>
                <w:szCs w:val="22"/>
              </w:rPr>
            </w:pPr>
            <w:r w:rsidRPr="00DE4914">
              <w:rPr>
                <w:sz w:val="22"/>
                <w:szCs w:val="22"/>
              </w:rPr>
              <w:t>Methyldopa</w:t>
            </w:r>
          </w:p>
        </w:tc>
        <w:tc>
          <w:tcPr>
            <w:tcW w:w="7483" w:type="dxa"/>
          </w:tcPr>
          <w:p w14:paraId="464465BB" w14:textId="77777777" w:rsidR="00312958" w:rsidRPr="00DE4914" w:rsidRDefault="00312958" w:rsidP="00312958">
            <w:pPr>
              <w:widowControl w:val="0"/>
              <w:spacing w:before="60" w:after="60"/>
              <w:ind w:left="-62"/>
              <w:rPr>
                <w:sz w:val="22"/>
                <w:szCs w:val="22"/>
              </w:rPr>
            </w:pPr>
            <w:r w:rsidRPr="00DE4914">
              <w:rPr>
                <w:sz w:val="22"/>
                <w:szCs w:val="22"/>
              </w:rPr>
              <w:t xml:space="preserve">Tablet 250 mg (as sesquihydrate) </w:t>
            </w:r>
            <w:r w:rsidRPr="00DE4914">
              <w:rPr>
                <w:i/>
                <w:iCs/>
                <w:sz w:val="22"/>
                <w:szCs w:val="22"/>
              </w:rPr>
              <w:t>(Hydopa)</w:t>
            </w:r>
          </w:p>
        </w:tc>
      </w:tr>
      <w:tr w:rsidR="00312958" w:rsidRPr="00312958" w14:paraId="056BDF16" w14:textId="77777777" w:rsidTr="00D24EA6">
        <w:tc>
          <w:tcPr>
            <w:tcW w:w="2268" w:type="dxa"/>
          </w:tcPr>
          <w:p w14:paraId="103F23A6" w14:textId="77777777" w:rsidR="00312958" w:rsidRPr="00DE4914" w:rsidRDefault="00312958" w:rsidP="00312958">
            <w:pPr>
              <w:spacing w:before="60" w:after="60"/>
              <w:ind w:left="-62"/>
              <w:rPr>
                <w:bCs/>
                <w:sz w:val="22"/>
                <w:szCs w:val="22"/>
              </w:rPr>
            </w:pPr>
            <w:r w:rsidRPr="00DE4914">
              <w:rPr>
                <w:bCs/>
                <w:sz w:val="22"/>
                <w:szCs w:val="22"/>
              </w:rPr>
              <w:t>Mycophenolic acid</w:t>
            </w:r>
          </w:p>
        </w:tc>
        <w:tc>
          <w:tcPr>
            <w:tcW w:w="7483" w:type="dxa"/>
          </w:tcPr>
          <w:p w14:paraId="61473FEA" w14:textId="77777777" w:rsidR="00312958" w:rsidRPr="00DE4914" w:rsidRDefault="00312958" w:rsidP="00312958">
            <w:pPr>
              <w:widowControl w:val="0"/>
              <w:spacing w:before="60" w:after="60"/>
              <w:ind w:left="-62"/>
              <w:rPr>
                <w:sz w:val="22"/>
                <w:szCs w:val="22"/>
              </w:rPr>
            </w:pPr>
            <w:r w:rsidRPr="00DE4914">
              <w:rPr>
                <w:sz w:val="22"/>
                <w:szCs w:val="22"/>
              </w:rPr>
              <w:t xml:space="preserve">Tablet containing mycophenolate mofetil 500 mg </w:t>
            </w:r>
            <w:r w:rsidRPr="00DE4914">
              <w:rPr>
                <w:i/>
                <w:iCs/>
                <w:sz w:val="22"/>
                <w:szCs w:val="22"/>
              </w:rPr>
              <w:t>(ARX-MYCOPHENOLATE)</w:t>
            </w:r>
          </w:p>
        </w:tc>
      </w:tr>
      <w:tr w:rsidR="00312958" w:rsidRPr="00312958" w14:paraId="7684D779" w14:textId="77777777" w:rsidTr="00D24EA6">
        <w:tc>
          <w:tcPr>
            <w:tcW w:w="2268" w:type="dxa"/>
          </w:tcPr>
          <w:p w14:paraId="1659F1C3" w14:textId="77777777" w:rsidR="00312958" w:rsidRPr="00DE4914" w:rsidRDefault="00312958" w:rsidP="00312958">
            <w:pPr>
              <w:spacing w:before="60" w:after="60"/>
              <w:ind w:left="-62"/>
              <w:rPr>
                <w:bCs/>
                <w:sz w:val="22"/>
                <w:szCs w:val="22"/>
              </w:rPr>
            </w:pPr>
            <w:r w:rsidRPr="00DE4914">
              <w:rPr>
                <w:bCs/>
                <w:sz w:val="22"/>
                <w:szCs w:val="22"/>
              </w:rPr>
              <w:t>Olanzapine</w:t>
            </w:r>
          </w:p>
        </w:tc>
        <w:tc>
          <w:tcPr>
            <w:tcW w:w="7483" w:type="dxa"/>
          </w:tcPr>
          <w:p w14:paraId="139C841C" w14:textId="77777777" w:rsidR="00312958" w:rsidRPr="00DE4914" w:rsidRDefault="00312958" w:rsidP="00312958">
            <w:pPr>
              <w:widowControl w:val="0"/>
              <w:spacing w:before="60" w:after="60"/>
              <w:ind w:left="-62"/>
              <w:rPr>
                <w:sz w:val="22"/>
                <w:szCs w:val="22"/>
              </w:rPr>
            </w:pPr>
            <w:r w:rsidRPr="00DE4914">
              <w:rPr>
                <w:sz w:val="22"/>
                <w:szCs w:val="22"/>
              </w:rPr>
              <w:t xml:space="preserve">Tablet 7.5 mg </w:t>
            </w:r>
            <w:r w:rsidRPr="00DE4914">
              <w:rPr>
                <w:i/>
                <w:iCs/>
                <w:sz w:val="22"/>
                <w:szCs w:val="22"/>
              </w:rPr>
              <w:t>(APO-OLANZAPINE)</w:t>
            </w:r>
          </w:p>
        </w:tc>
      </w:tr>
      <w:tr w:rsidR="00312958" w:rsidRPr="00312958" w14:paraId="3CFEF5D5" w14:textId="77777777" w:rsidTr="00D24EA6">
        <w:tc>
          <w:tcPr>
            <w:tcW w:w="2268" w:type="dxa"/>
            <w:vMerge w:val="restart"/>
          </w:tcPr>
          <w:p w14:paraId="614B2ABA" w14:textId="77777777" w:rsidR="00312958" w:rsidRPr="00DE4914" w:rsidRDefault="00312958" w:rsidP="00312958">
            <w:pPr>
              <w:spacing w:before="60" w:after="60"/>
              <w:ind w:left="-62"/>
              <w:rPr>
                <w:bCs/>
                <w:sz w:val="22"/>
                <w:szCs w:val="22"/>
              </w:rPr>
            </w:pPr>
            <w:r w:rsidRPr="00DE4914">
              <w:rPr>
                <w:bCs/>
                <w:sz w:val="22"/>
                <w:szCs w:val="22"/>
              </w:rPr>
              <w:t>Pomalidomide</w:t>
            </w:r>
          </w:p>
        </w:tc>
        <w:tc>
          <w:tcPr>
            <w:tcW w:w="7483" w:type="dxa"/>
          </w:tcPr>
          <w:p w14:paraId="1BB2FF75" w14:textId="77777777" w:rsidR="00312958" w:rsidRPr="00DE4914" w:rsidRDefault="00312958" w:rsidP="00312958">
            <w:pPr>
              <w:widowControl w:val="0"/>
              <w:spacing w:before="60" w:after="60"/>
              <w:ind w:left="-62"/>
              <w:rPr>
                <w:sz w:val="22"/>
                <w:szCs w:val="22"/>
              </w:rPr>
            </w:pPr>
            <w:r w:rsidRPr="00DE4914">
              <w:rPr>
                <w:sz w:val="22"/>
                <w:szCs w:val="22"/>
              </w:rPr>
              <w:t xml:space="preserve">Capsule 1 mg </w:t>
            </w:r>
            <w:r w:rsidRPr="00DE4914">
              <w:rPr>
                <w:i/>
                <w:iCs/>
                <w:sz w:val="22"/>
                <w:szCs w:val="22"/>
              </w:rPr>
              <w:t>(Pomalidomide Sandoz)</w:t>
            </w:r>
          </w:p>
        </w:tc>
      </w:tr>
      <w:tr w:rsidR="00312958" w:rsidRPr="00312958" w14:paraId="20283C59" w14:textId="77777777" w:rsidTr="00D24EA6">
        <w:tc>
          <w:tcPr>
            <w:tcW w:w="2268" w:type="dxa"/>
            <w:vMerge/>
          </w:tcPr>
          <w:p w14:paraId="1C29CD6A" w14:textId="77777777" w:rsidR="00312958" w:rsidRPr="00DE4914" w:rsidRDefault="00312958" w:rsidP="00312958">
            <w:pPr>
              <w:spacing w:before="60" w:after="60"/>
              <w:ind w:left="-62"/>
              <w:rPr>
                <w:bCs/>
                <w:sz w:val="22"/>
                <w:szCs w:val="22"/>
              </w:rPr>
            </w:pPr>
          </w:p>
        </w:tc>
        <w:tc>
          <w:tcPr>
            <w:tcW w:w="7483" w:type="dxa"/>
          </w:tcPr>
          <w:p w14:paraId="0ABA179B" w14:textId="77777777" w:rsidR="00312958" w:rsidRPr="00DE4914" w:rsidRDefault="00312958" w:rsidP="00312958">
            <w:pPr>
              <w:widowControl w:val="0"/>
              <w:spacing w:before="60" w:after="60"/>
              <w:ind w:left="-62"/>
              <w:rPr>
                <w:sz w:val="22"/>
                <w:szCs w:val="22"/>
              </w:rPr>
            </w:pPr>
            <w:r w:rsidRPr="00DE4914">
              <w:rPr>
                <w:sz w:val="22"/>
                <w:szCs w:val="22"/>
              </w:rPr>
              <w:t xml:space="preserve">Capsule 2 mg </w:t>
            </w:r>
            <w:r w:rsidRPr="00DE4914">
              <w:rPr>
                <w:i/>
                <w:iCs/>
                <w:sz w:val="22"/>
                <w:szCs w:val="22"/>
              </w:rPr>
              <w:t>(Pomalidomide Sandoz)</w:t>
            </w:r>
          </w:p>
        </w:tc>
      </w:tr>
      <w:tr w:rsidR="00312958" w:rsidRPr="00312958" w14:paraId="3602ADDE" w14:textId="77777777" w:rsidTr="00D24EA6">
        <w:tc>
          <w:tcPr>
            <w:tcW w:w="2268" w:type="dxa"/>
            <w:vMerge w:val="restart"/>
          </w:tcPr>
          <w:p w14:paraId="429FEE29" w14:textId="77777777" w:rsidR="00312958" w:rsidRPr="00DE4914" w:rsidRDefault="00312958" w:rsidP="00312958">
            <w:pPr>
              <w:spacing w:before="60" w:after="60"/>
              <w:ind w:left="-62"/>
              <w:rPr>
                <w:bCs/>
                <w:sz w:val="22"/>
                <w:szCs w:val="22"/>
              </w:rPr>
            </w:pPr>
            <w:r w:rsidRPr="00DE4914">
              <w:rPr>
                <w:bCs/>
                <w:sz w:val="22"/>
                <w:szCs w:val="22"/>
              </w:rPr>
              <w:t>Pramipexole</w:t>
            </w:r>
          </w:p>
        </w:tc>
        <w:tc>
          <w:tcPr>
            <w:tcW w:w="7483" w:type="dxa"/>
          </w:tcPr>
          <w:p w14:paraId="0C806DD8" w14:textId="77777777" w:rsidR="00312958" w:rsidRPr="00DE4914" w:rsidRDefault="00312958" w:rsidP="00312958">
            <w:pPr>
              <w:widowControl w:val="0"/>
              <w:spacing w:before="60" w:after="60"/>
              <w:ind w:left="-62"/>
              <w:rPr>
                <w:sz w:val="22"/>
                <w:szCs w:val="22"/>
              </w:rPr>
            </w:pPr>
            <w:r w:rsidRPr="00DE4914">
              <w:rPr>
                <w:sz w:val="22"/>
                <w:szCs w:val="22"/>
              </w:rPr>
              <w:t xml:space="preserve">Tablet containing pramipexole dihydrochloride monohydrate 125 micrograms </w:t>
            </w:r>
            <w:r w:rsidRPr="00DE4914">
              <w:rPr>
                <w:i/>
                <w:iCs/>
                <w:sz w:val="22"/>
                <w:szCs w:val="22"/>
              </w:rPr>
              <w:t>(APO-Pramipexole)</w:t>
            </w:r>
          </w:p>
        </w:tc>
      </w:tr>
      <w:tr w:rsidR="00312958" w:rsidRPr="00312958" w14:paraId="37DDDA3C" w14:textId="77777777" w:rsidTr="00D24EA6">
        <w:tc>
          <w:tcPr>
            <w:tcW w:w="2268" w:type="dxa"/>
            <w:vMerge/>
          </w:tcPr>
          <w:p w14:paraId="1FD4F28B" w14:textId="77777777" w:rsidR="00312958" w:rsidRPr="00DE4914" w:rsidRDefault="00312958" w:rsidP="00312958">
            <w:pPr>
              <w:spacing w:before="60" w:after="60"/>
              <w:ind w:left="-62"/>
              <w:rPr>
                <w:bCs/>
                <w:sz w:val="22"/>
                <w:szCs w:val="22"/>
              </w:rPr>
            </w:pPr>
          </w:p>
        </w:tc>
        <w:tc>
          <w:tcPr>
            <w:tcW w:w="7483" w:type="dxa"/>
          </w:tcPr>
          <w:p w14:paraId="4769909E" w14:textId="77777777" w:rsidR="00312958" w:rsidRPr="00DE4914" w:rsidRDefault="00312958" w:rsidP="00312958">
            <w:pPr>
              <w:widowControl w:val="0"/>
              <w:spacing w:before="60" w:after="60"/>
              <w:ind w:left="-62"/>
              <w:rPr>
                <w:sz w:val="22"/>
                <w:szCs w:val="22"/>
              </w:rPr>
            </w:pPr>
            <w:r w:rsidRPr="00DE4914">
              <w:rPr>
                <w:sz w:val="22"/>
                <w:szCs w:val="22"/>
              </w:rPr>
              <w:t xml:space="preserve">Tablet containing pramipexole dihydrochloride monohydrate 250 micrograms </w:t>
            </w:r>
            <w:r w:rsidRPr="00DE4914">
              <w:rPr>
                <w:i/>
                <w:iCs/>
                <w:sz w:val="22"/>
                <w:szCs w:val="22"/>
              </w:rPr>
              <w:t>(APO-Pramipexole)</w:t>
            </w:r>
          </w:p>
        </w:tc>
      </w:tr>
      <w:tr w:rsidR="00312958" w:rsidRPr="00312958" w14:paraId="04DD9FE8" w14:textId="77777777" w:rsidTr="00D24EA6">
        <w:tc>
          <w:tcPr>
            <w:tcW w:w="2268" w:type="dxa"/>
            <w:vMerge w:val="restart"/>
          </w:tcPr>
          <w:p w14:paraId="550A0BA8" w14:textId="77777777" w:rsidR="00312958" w:rsidRPr="00DE4914" w:rsidRDefault="00312958" w:rsidP="00312958">
            <w:pPr>
              <w:spacing w:before="60" w:after="60"/>
              <w:ind w:left="-62"/>
              <w:rPr>
                <w:bCs/>
                <w:sz w:val="22"/>
                <w:szCs w:val="22"/>
              </w:rPr>
            </w:pPr>
            <w:r w:rsidRPr="00DE4914">
              <w:rPr>
                <w:bCs/>
                <w:sz w:val="22"/>
                <w:szCs w:val="22"/>
              </w:rPr>
              <w:t>Quetiapine</w:t>
            </w:r>
          </w:p>
        </w:tc>
        <w:tc>
          <w:tcPr>
            <w:tcW w:w="7483" w:type="dxa"/>
          </w:tcPr>
          <w:p w14:paraId="7D6E2064" w14:textId="77777777" w:rsidR="00312958" w:rsidRPr="00DE4914" w:rsidRDefault="00312958" w:rsidP="00312958">
            <w:pPr>
              <w:widowControl w:val="0"/>
              <w:spacing w:before="60" w:after="60"/>
              <w:ind w:left="-62"/>
              <w:rPr>
                <w:sz w:val="22"/>
                <w:szCs w:val="22"/>
              </w:rPr>
            </w:pPr>
            <w:r w:rsidRPr="00DE4914">
              <w:rPr>
                <w:sz w:val="22"/>
                <w:szCs w:val="22"/>
              </w:rPr>
              <w:t xml:space="preserve">Tablet 25 mg (as fumarate) </w:t>
            </w:r>
            <w:r w:rsidRPr="00DE4914">
              <w:rPr>
                <w:i/>
                <w:iCs/>
                <w:sz w:val="22"/>
                <w:szCs w:val="22"/>
              </w:rPr>
              <w:t>(APX-QUETIAPINE)</w:t>
            </w:r>
          </w:p>
        </w:tc>
      </w:tr>
      <w:tr w:rsidR="00312958" w:rsidRPr="00312958" w14:paraId="094DA362" w14:textId="77777777" w:rsidTr="00D24EA6">
        <w:tc>
          <w:tcPr>
            <w:tcW w:w="2268" w:type="dxa"/>
            <w:vMerge/>
          </w:tcPr>
          <w:p w14:paraId="454C3942" w14:textId="77777777" w:rsidR="00312958" w:rsidRPr="00DE4914" w:rsidRDefault="00312958" w:rsidP="00312958">
            <w:pPr>
              <w:spacing w:before="60" w:after="60"/>
              <w:ind w:left="-62"/>
              <w:rPr>
                <w:bCs/>
                <w:sz w:val="22"/>
                <w:szCs w:val="22"/>
              </w:rPr>
            </w:pPr>
          </w:p>
        </w:tc>
        <w:tc>
          <w:tcPr>
            <w:tcW w:w="7483" w:type="dxa"/>
          </w:tcPr>
          <w:p w14:paraId="183D78BD" w14:textId="77777777" w:rsidR="00312958" w:rsidRPr="00DE4914" w:rsidRDefault="00312958" w:rsidP="00312958">
            <w:pPr>
              <w:widowControl w:val="0"/>
              <w:spacing w:before="60" w:after="60"/>
              <w:ind w:left="-62"/>
              <w:rPr>
                <w:sz w:val="22"/>
                <w:szCs w:val="22"/>
              </w:rPr>
            </w:pPr>
            <w:r w:rsidRPr="00DE4914">
              <w:rPr>
                <w:sz w:val="22"/>
                <w:szCs w:val="22"/>
              </w:rPr>
              <w:t xml:space="preserve">Tablet 200 mg (as fumarate) </w:t>
            </w:r>
            <w:r w:rsidRPr="00DE4914">
              <w:rPr>
                <w:i/>
                <w:iCs/>
                <w:sz w:val="22"/>
                <w:szCs w:val="22"/>
              </w:rPr>
              <w:t>(APX-QUETIAPINE)</w:t>
            </w:r>
          </w:p>
        </w:tc>
      </w:tr>
      <w:tr w:rsidR="00312958" w:rsidRPr="00312958" w14:paraId="09F3987C" w14:textId="77777777" w:rsidTr="00D24EA6">
        <w:tc>
          <w:tcPr>
            <w:tcW w:w="2268" w:type="dxa"/>
            <w:vMerge/>
          </w:tcPr>
          <w:p w14:paraId="0281AD57" w14:textId="77777777" w:rsidR="00312958" w:rsidRPr="00DE4914" w:rsidRDefault="00312958" w:rsidP="00312958">
            <w:pPr>
              <w:spacing w:before="60" w:after="60"/>
              <w:ind w:left="-62"/>
              <w:rPr>
                <w:bCs/>
                <w:sz w:val="22"/>
                <w:szCs w:val="22"/>
              </w:rPr>
            </w:pPr>
          </w:p>
        </w:tc>
        <w:tc>
          <w:tcPr>
            <w:tcW w:w="7483" w:type="dxa"/>
          </w:tcPr>
          <w:p w14:paraId="43E381B3" w14:textId="77777777" w:rsidR="00312958" w:rsidRPr="00DE4914" w:rsidRDefault="00312958" w:rsidP="00312958">
            <w:pPr>
              <w:widowControl w:val="0"/>
              <w:spacing w:before="60" w:after="60"/>
              <w:ind w:left="-62"/>
              <w:rPr>
                <w:sz w:val="22"/>
                <w:szCs w:val="22"/>
              </w:rPr>
            </w:pPr>
            <w:r w:rsidRPr="00DE4914">
              <w:rPr>
                <w:sz w:val="22"/>
                <w:szCs w:val="22"/>
              </w:rPr>
              <w:t xml:space="preserve">Tablet 300 mg (as fumarate) </w:t>
            </w:r>
            <w:r w:rsidRPr="00DE4914">
              <w:rPr>
                <w:i/>
                <w:iCs/>
                <w:sz w:val="22"/>
                <w:szCs w:val="22"/>
              </w:rPr>
              <w:t>(APX-QUETIAPINE)</w:t>
            </w:r>
          </w:p>
        </w:tc>
      </w:tr>
      <w:tr w:rsidR="00312958" w:rsidRPr="00312958" w14:paraId="173070E9" w14:textId="77777777" w:rsidTr="00D24EA6">
        <w:tc>
          <w:tcPr>
            <w:tcW w:w="2268" w:type="dxa"/>
          </w:tcPr>
          <w:p w14:paraId="612D791A" w14:textId="77777777" w:rsidR="00312958" w:rsidRPr="00DE4914" w:rsidRDefault="00312958" w:rsidP="00312958">
            <w:pPr>
              <w:spacing w:before="60" w:after="60"/>
              <w:ind w:left="-62"/>
              <w:rPr>
                <w:bCs/>
                <w:sz w:val="22"/>
                <w:szCs w:val="22"/>
              </w:rPr>
            </w:pPr>
            <w:r w:rsidRPr="00DE4914">
              <w:rPr>
                <w:bCs/>
                <w:sz w:val="22"/>
                <w:szCs w:val="22"/>
              </w:rPr>
              <w:lastRenderedPageBreak/>
              <w:t>Tenofovir with emtricitabine</w:t>
            </w:r>
          </w:p>
        </w:tc>
        <w:tc>
          <w:tcPr>
            <w:tcW w:w="7483" w:type="dxa"/>
          </w:tcPr>
          <w:p w14:paraId="288BD328" w14:textId="77777777" w:rsidR="00312958" w:rsidRPr="00DE4914" w:rsidRDefault="00312958" w:rsidP="00312958">
            <w:pPr>
              <w:widowControl w:val="0"/>
              <w:spacing w:before="60" w:after="60"/>
              <w:ind w:left="-62"/>
              <w:rPr>
                <w:sz w:val="22"/>
                <w:szCs w:val="22"/>
              </w:rPr>
            </w:pPr>
            <w:r w:rsidRPr="00DE4914">
              <w:rPr>
                <w:sz w:val="22"/>
                <w:szCs w:val="22"/>
              </w:rPr>
              <w:t xml:space="preserve">Tablet containing tenofovir disoproxil fumarate 300 mg with emtricitabine 200 mg </w:t>
            </w:r>
            <w:r w:rsidRPr="00DE4914">
              <w:rPr>
                <w:i/>
                <w:iCs/>
                <w:sz w:val="22"/>
                <w:szCs w:val="22"/>
              </w:rPr>
              <w:t>(TENOFOVIR/EMTRICITABINE 300/200 ARX)</w:t>
            </w:r>
          </w:p>
        </w:tc>
      </w:tr>
    </w:tbl>
    <w:bookmarkEnd w:id="5"/>
    <w:p w14:paraId="18BCDC92" w14:textId="77777777" w:rsidR="00312958" w:rsidRPr="00312958" w:rsidRDefault="00312958" w:rsidP="00312958">
      <w:pPr>
        <w:spacing w:before="24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t>Brands Deleted</w:t>
      </w:r>
    </w:p>
    <w:tbl>
      <w:tblPr>
        <w:tblStyle w:val="TableGrid"/>
        <w:tblpPr w:leftFromText="180" w:rightFromText="180" w:vertAnchor="text" w:tblpY="1"/>
        <w:tblOverlap w:val="never"/>
        <w:tblW w:w="9751" w:type="dxa"/>
        <w:tblLayout w:type="fixed"/>
        <w:tblCellMar>
          <w:top w:w="57" w:type="dxa"/>
          <w:left w:w="57" w:type="dxa"/>
          <w:bottom w:w="57" w:type="dxa"/>
          <w:right w:w="57" w:type="dxa"/>
        </w:tblCellMar>
        <w:tblLook w:val="04A0" w:firstRow="1" w:lastRow="0" w:firstColumn="1" w:lastColumn="0" w:noHBand="0" w:noVBand="1"/>
      </w:tblPr>
      <w:tblGrid>
        <w:gridCol w:w="2268"/>
        <w:gridCol w:w="7483"/>
      </w:tblGrid>
      <w:tr w:rsidR="00312958" w:rsidRPr="00312958" w14:paraId="0F453304" w14:textId="77777777" w:rsidTr="00D24EA6">
        <w:trPr>
          <w:trHeight w:val="283"/>
        </w:trPr>
        <w:tc>
          <w:tcPr>
            <w:tcW w:w="2268" w:type="dxa"/>
          </w:tcPr>
          <w:p w14:paraId="20667953" w14:textId="77777777" w:rsidR="00312958" w:rsidRPr="00DE4914" w:rsidRDefault="00312958" w:rsidP="00312958">
            <w:pPr>
              <w:spacing w:before="60"/>
              <w:ind w:left="-62"/>
              <w:rPr>
                <w:rFonts w:eastAsia="Arial"/>
                <w:b/>
                <w:sz w:val="22"/>
                <w:szCs w:val="22"/>
                <w:lang w:eastAsia="zh-CN"/>
              </w:rPr>
            </w:pPr>
            <w:r w:rsidRPr="00DE4914">
              <w:rPr>
                <w:b/>
                <w:i/>
                <w:sz w:val="22"/>
                <w:szCs w:val="22"/>
              </w:rPr>
              <w:t>Listed Drug</w:t>
            </w:r>
          </w:p>
        </w:tc>
        <w:tc>
          <w:tcPr>
            <w:tcW w:w="7483" w:type="dxa"/>
          </w:tcPr>
          <w:p w14:paraId="1649260B" w14:textId="77777777" w:rsidR="00312958" w:rsidRPr="00DE4914" w:rsidRDefault="00312958" w:rsidP="00312958">
            <w:pPr>
              <w:spacing w:before="60"/>
              <w:ind w:left="-62"/>
              <w:rPr>
                <w:rFonts w:eastAsia="Arial"/>
                <w:b/>
                <w:sz w:val="22"/>
                <w:szCs w:val="22"/>
                <w:lang w:eastAsia="zh-CN"/>
              </w:rPr>
            </w:pPr>
            <w:r w:rsidRPr="00DE4914">
              <w:rPr>
                <w:b/>
                <w:i/>
                <w:sz w:val="22"/>
                <w:szCs w:val="22"/>
              </w:rPr>
              <w:t>Form and Brand</w:t>
            </w:r>
          </w:p>
        </w:tc>
      </w:tr>
      <w:tr w:rsidR="00312958" w:rsidRPr="00312958" w14:paraId="5A00C843" w14:textId="77777777" w:rsidTr="00D24EA6">
        <w:tc>
          <w:tcPr>
            <w:tcW w:w="2268" w:type="dxa"/>
            <w:vMerge w:val="restart"/>
          </w:tcPr>
          <w:p w14:paraId="6CC2CAB6" w14:textId="77777777" w:rsidR="00312958" w:rsidRPr="00DE4914" w:rsidRDefault="00312958" w:rsidP="00312958">
            <w:pPr>
              <w:spacing w:before="60" w:after="60"/>
              <w:ind w:left="-62"/>
              <w:rPr>
                <w:bCs/>
                <w:sz w:val="22"/>
                <w:szCs w:val="22"/>
              </w:rPr>
            </w:pPr>
            <w:r w:rsidRPr="00DE4914">
              <w:rPr>
                <w:bCs/>
                <w:sz w:val="22"/>
                <w:szCs w:val="22"/>
              </w:rPr>
              <w:t>Diclofenac</w:t>
            </w:r>
          </w:p>
        </w:tc>
        <w:tc>
          <w:tcPr>
            <w:tcW w:w="7483" w:type="dxa"/>
          </w:tcPr>
          <w:p w14:paraId="07E7930B" w14:textId="77777777" w:rsidR="00312958" w:rsidRPr="00DE4914" w:rsidRDefault="00312958" w:rsidP="00312958">
            <w:pPr>
              <w:spacing w:before="60" w:after="60"/>
              <w:ind w:left="-62"/>
              <w:rPr>
                <w:bCs/>
                <w:sz w:val="22"/>
                <w:szCs w:val="22"/>
              </w:rPr>
            </w:pPr>
            <w:r w:rsidRPr="00DE4914">
              <w:rPr>
                <w:bCs/>
                <w:sz w:val="22"/>
                <w:szCs w:val="22"/>
              </w:rPr>
              <w:t xml:space="preserve">Tablet (enteric coated) containing diclofenac sodium 25 mg </w:t>
            </w:r>
            <w:r w:rsidRPr="00DE4914">
              <w:rPr>
                <w:bCs/>
                <w:i/>
                <w:iCs/>
                <w:sz w:val="22"/>
                <w:szCs w:val="22"/>
              </w:rPr>
              <w:t>(Fenac 25)</w:t>
            </w:r>
          </w:p>
        </w:tc>
      </w:tr>
      <w:tr w:rsidR="00312958" w:rsidRPr="00312958" w14:paraId="554B1B20" w14:textId="77777777" w:rsidTr="00D24EA6">
        <w:tc>
          <w:tcPr>
            <w:tcW w:w="2268" w:type="dxa"/>
            <w:vMerge/>
          </w:tcPr>
          <w:p w14:paraId="6B0FA62D" w14:textId="77777777" w:rsidR="00312958" w:rsidRPr="00DE4914" w:rsidRDefault="00312958" w:rsidP="00312958">
            <w:pPr>
              <w:spacing w:before="60" w:after="60"/>
              <w:ind w:left="-62"/>
              <w:rPr>
                <w:bCs/>
                <w:sz w:val="22"/>
                <w:szCs w:val="22"/>
              </w:rPr>
            </w:pPr>
          </w:p>
        </w:tc>
        <w:tc>
          <w:tcPr>
            <w:tcW w:w="7483" w:type="dxa"/>
          </w:tcPr>
          <w:p w14:paraId="52670582" w14:textId="77777777" w:rsidR="00312958" w:rsidRPr="00DE4914" w:rsidRDefault="00312958" w:rsidP="00312958">
            <w:pPr>
              <w:widowControl w:val="0"/>
              <w:spacing w:before="60" w:after="60"/>
              <w:ind w:left="-62"/>
              <w:jc w:val="both"/>
              <w:rPr>
                <w:bCs/>
                <w:sz w:val="22"/>
                <w:szCs w:val="22"/>
              </w:rPr>
            </w:pPr>
            <w:r w:rsidRPr="00DE4914">
              <w:rPr>
                <w:bCs/>
                <w:sz w:val="22"/>
                <w:szCs w:val="22"/>
              </w:rPr>
              <w:t xml:space="preserve">Tablet (enteric coated) containing diclofenac sodium 50 mg </w:t>
            </w:r>
            <w:r w:rsidRPr="00DE4914">
              <w:rPr>
                <w:bCs/>
                <w:i/>
                <w:iCs/>
                <w:sz w:val="22"/>
                <w:szCs w:val="22"/>
              </w:rPr>
              <w:t>(Fenac)</w:t>
            </w:r>
          </w:p>
        </w:tc>
      </w:tr>
      <w:tr w:rsidR="00312958" w:rsidRPr="00312958" w14:paraId="00DF8455" w14:textId="77777777" w:rsidTr="00D24EA6">
        <w:tc>
          <w:tcPr>
            <w:tcW w:w="2268" w:type="dxa"/>
          </w:tcPr>
          <w:p w14:paraId="3D5C7EBB" w14:textId="77777777" w:rsidR="00312958" w:rsidRPr="00DE4914" w:rsidRDefault="00312958" w:rsidP="00312958">
            <w:pPr>
              <w:spacing w:before="60" w:after="60"/>
              <w:ind w:left="-62"/>
              <w:jc w:val="both"/>
              <w:rPr>
                <w:bCs/>
                <w:sz w:val="22"/>
                <w:szCs w:val="22"/>
              </w:rPr>
            </w:pPr>
            <w:r w:rsidRPr="00DE4914">
              <w:rPr>
                <w:bCs/>
                <w:sz w:val="22"/>
                <w:szCs w:val="22"/>
              </w:rPr>
              <w:t>Erythromycin</w:t>
            </w:r>
          </w:p>
        </w:tc>
        <w:tc>
          <w:tcPr>
            <w:tcW w:w="7483" w:type="dxa"/>
          </w:tcPr>
          <w:p w14:paraId="20769930" w14:textId="77777777" w:rsidR="00312958" w:rsidRPr="00DE4914" w:rsidRDefault="00312958" w:rsidP="00312958">
            <w:pPr>
              <w:spacing w:before="60" w:after="60"/>
              <w:ind w:left="-62"/>
              <w:jc w:val="both"/>
              <w:rPr>
                <w:bCs/>
                <w:sz w:val="22"/>
                <w:szCs w:val="22"/>
              </w:rPr>
            </w:pPr>
            <w:r w:rsidRPr="00DE4914">
              <w:rPr>
                <w:bCs/>
                <w:sz w:val="22"/>
                <w:szCs w:val="22"/>
              </w:rPr>
              <w:t xml:space="preserve">Capsule 250 mg (containing enteric coated pellets) </w:t>
            </w:r>
            <w:r w:rsidRPr="00DE4914">
              <w:rPr>
                <w:bCs/>
                <w:i/>
                <w:iCs/>
                <w:sz w:val="22"/>
                <w:szCs w:val="22"/>
              </w:rPr>
              <w:t>(Eryc)</w:t>
            </w:r>
          </w:p>
        </w:tc>
      </w:tr>
      <w:tr w:rsidR="00312958" w:rsidRPr="00312958" w14:paraId="301704DC" w14:textId="77777777" w:rsidTr="00D24EA6">
        <w:tc>
          <w:tcPr>
            <w:tcW w:w="2268" w:type="dxa"/>
            <w:vMerge w:val="restart"/>
          </w:tcPr>
          <w:p w14:paraId="19E465B5" w14:textId="77777777" w:rsidR="00312958" w:rsidRPr="00DE4914" w:rsidRDefault="00312958" w:rsidP="00312958">
            <w:pPr>
              <w:spacing w:before="60" w:after="60"/>
              <w:ind w:left="-62"/>
              <w:jc w:val="both"/>
              <w:rPr>
                <w:bCs/>
                <w:sz w:val="22"/>
                <w:szCs w:val="22"/>
              </w:rPr>
            </w:pPr>
            <w:r w:rsidRPr="00DE4914">
              <w:rPr>
                <w:bCs/>
                <w:sz w:val="22"/>
                <w:szCs w:val="22"/>
              </w:rPr>
              <w:t>Glimepiride</w:t>
            </w:r>
          </w:p>
        </w:tc>
        <w:tc>
          <w:tcPr>
            <w:tcW w:w="7483" w:type="dxa"/>
          </w:tcPr>
          <w:p w14:paraId="6A1E8667" w14:textId="77777777" w:rsidR="00312958" w:rsidRPr="00DE4914" w:rsidRDefault="00312958" w:rsidP="00312958">
            <w:pPr>
              <w:spacing w:before="60" w:after="60"/>
              <w:ind w:left="-62"/>
              <w:jc w:val="both"/>
              <w:rPr>
                <w:bCs/>
                <w:i/>
                <w:iCs/>
                <w:sz w:val="22"/>
                <w:szCs w:val="22"/>
              </w:rPr>
            </w:pPr>
            <w:r w:rsidRPr="00DE4914">
              <w:rPr>
                <w:bCs/>
                <w:sz w:val="22"/>
                <w:szCs w:val="22"/>
              </w:rPr>
              <w:t>Tablet 1 mg</w:t>
            </w:r>
            <w:r w:rsidRPr="00DE4914">
              <w:rPr>
                <w:bCs/>
                <w:i/>
                <w:iCs/>
                <w:sz w:val="22"/>
                <w:szCs w:val="22"/>
              </w:rPr>
              <w:t xml:space="preserve"> (Aylide 1)</w:t>
            </w:r>
          </w:p>
        </w:tc>
      </w:tr>
      <w:tr w:rsidR="00312958" w:rsidRPr="00312958" w14:paraId="68EFB1B6" w14:textId="77777777" w:rsidTr="00D24EA6">
        <w:tc>
          <w:tcPr>
            <w:tcW w:w="2268" w:type="dxa"/>
            <w:vMerge/>
          </w:tcPr>
          <w:p w14:paraId="7E222936" w14:textId="77777777" w:rsidR="00312958" w:rsidRPr="00DE4914" w:rsidRDefault="00312958" w:rsidP="00312958">
            <w:pPr>
              <w:spacing w:before="60" w:after="60"/>
              <w:ind w:left="-62"/>
              <w:rPr>
                <w:bCs/>
                <w:sz w:val="22"/>
                <w:szCs w:val="22"/>
              </w:rPr>
            </w:pPr>
          </w:p>
        </w:tc>
        <w:tc>
          <w:tcPr>
            <w:tcW w:w="7483" w:type="dxa"/>
          </w:tcPr>
          <w:p w14:paraId="7F93ECC8" w14:textId="77777777" w:rsidR="00312958" w:rsidRPr="00DE4914" w:rsidRDefault="00312958" w:rsidP="00312958">
            <w:pPr>
              <w:spacing w:before="60" w:after="60"/>
              <w:ind w:left="-62"/>
              <w:jc w:val="both"/>
              <w:rPr>
                <w:bCs/>
                <w:sz w:val="22"/>
                <w:szCs w:val="22"/>
              </w:rPr>
            </w:pPr>
            <w:r w:rsidRPr="00DE4914">
              <w:rPr>
                <w:bCs/>
                <w:sz w:val="22"/>
                <w:szCs w:val="22"/>
              </w:rPr>
              <w:t xml:space="preserve">Tablet 2 mg </w:t>
            </w:r>
            <w:r w:rsidRPr="00DE4914">
              <w:rPr>
                <w:bCs/>
                <w:i/>
                <w:iCs/>
                <w:sz w:val="22"/>
                <w:szCs w:val="22"/>
              </w:rPr>
              <w:t>(Aylide 2)</w:t>
            </w:r>
          </w:p>
        </w:tc>
      </w:tr>
      <w:tr w:rsidR="00312958" w:rsidRPr="00312958" w14:paraId="6D3CE545" w14:textId="77777777" w:rsidTr="00D24EA6">
        <w:tc>
          <w:tcPr>
            <w:tcW w:w="2268" w:type="dxa"/>
            <w:vMerge/>
          </w:tcPr>
          <w:p w14:paraId="4E81731A" w14:textId="77777777" w:rsidR="00312958" w:rsidRPr="00DE4914" w:rsidRDefault="00312958" w:rsidP="00312958">
            <w:pPr>
              <w:spacing w:before="60" w:after="60"/>
              <w:ind w:left="-62"/>
              <w:jc w:val="both"/>
              <w:rPr>
                <w:sz w:val="22"/>
                <w:szCs w:val="22"/>
              </w:rPr>
            </w:pPr>
          </w:p>
        </w:tc>
        <w:tc>
          <w:tcPr>
            <w:tcW w:w="7483" w:type="dxa"/>
          </w:tcPr>
          <w:p w14:paraId="57297A12" w14:textId="77777777" w:rsidR="00312958" w:rsidRPr="00DE4914" w:rsidRDefault="00312958" w:rsidP="00312958">
            <w:pPr>
              <w:spacing w:before="60" w:after="60"/>
              <w:ind w:left="-62"/>
              <w:jc w:val="both"/>
              <w:rPr>
                <w:sz w:val="22"/>
                <w:szCs w:val="22"/>
              </w:rPr>
            </w:pPr>
            <w:r w:rsidRPr="00DE4914">
              <w:rPr>
                <w:sz w:val="22"/>
                <w:szCs w:val="22"/>
              </w:rPr>
              <w:t xml:space="preserve">Tablet 3 mg </w:t>
            </w:r>
            <w:r w:rsidRPr="00DE4914">
              <w:rPr>
                <w:i/>
                <w:iCs/>
                <w:sz w:val="22"/>
                <w:szCs w:val="22"/>
              </w:rPr>
              <w:t>(Aylide 3)</w:t>
            </w:r>
          </w:p>
        </w:tc>
      </w:tr>
      <w:tr w:rsidR="00312958" w:rsidRPr="00312958" w14:paraId="0B7EEDE5" w14:textId="77777777" w:rsidTr="00D24EA6">
        <w:tc>
          <w:tcPr>
            <w:tcW w:w="2268" w:type="dxa"/>
            <w:vMerge/>
          </w:tcPr>
          <w:p w14:paraId="54347503" w14:textId="77777777" w:rsidR="00312958" w:rsidRPr="00DE4914" w:rsidRDefault="00312958" w:rsidP="00312958">
            <w:pPr>
              <w:spacing w:before="60" w:after="60"/>
              <w:ind w:left="-62"/>
              <w:jc w:val="both"/>
              <w:rPr>
                <w:sz w:val="22"/>
                <w:szCs w:val="22"/>
              </w:rPr>
            </w:pPr>
          </w:p>
        </w:tc>
        <w:tc>
          <w:tcPr>
            <w:tcW w:w="7483" w:type="dxa"/>
          </w:tcPr>
          <w:p w14:paraId="7B79D21F" w14:textId="77777777" w:rsidR="00312958" w:rsidRPr="00DE4914" w:rsidRDefault="00312958" w:rsidP="00312958">
            <w:pPr>
              <w:spacing w:before="60" w:after="60"/>
              <w:ind w:left="-62"/>
              <w:rPr>
                <w:sz w:val="22"/>
                <w:szCs w:val="22"/>
              </w:rPr>
            </w:pPr>
            <w:r w:rsidRPr="00DE4914">
              <w:rPr>
                <w:sz w:val="22"/>
                <w:szCs w:val="22"/>
              </w:rPr>
              <w:t xml:space="preserve">Tablet 4 mg </w:t>
            </w:r>
            <w:r w:rsidRPr="00DE4914">
              <w:rPr>
                <w:i/>
                <w:iCs/>
                <w:sz w:val="22"/>
                <w:szCs w:val="22"/>
              </w:rPr>
              <w:t>(Aylide 4)</w:t>
            </w:r>
          </w:p>
        </w:tc>
      </w:tr>
      <w:tr w:rsidR="00312958" w:rsidRPr="00312958" w14:paraId="451C2073" w14:textId="77777777" w:rsidTr="00D24EA6">
        <w:tc>
          <w:tcPr>
            <w:tcW w:w="2268" w:type="dxa"/>
            <w:vMerge w:val="restart"/>
          </w:tcPr>
          <w:p w14:paraId="1F791CC5" w14:textId="77777777" w:rsidR="00312958" w:rsidRPr="00DE4914" w:rsidRDefault="00312958" w:rsidP="00312958">
            <w:pPr>
              <w:spacing w:before="60" w:after="60"/>
              <w:ind w:left="-62"/>
              <w:rPr>
                <w:sz w:val="22"/>
                <w:szCs w:val="22"/>
              </w:rPr>
            </w:pPr>
            <w:r w:rsidRPr="00DE4914">
              <w:rPr>
                <w:sz w:val="22"/>
                <w:szCs w:val="22"/>
              </w:rPr>
              <w:t>Lurasidone</w:t>
            </w:r>
          </w:p>
        </w:tc>
        <w:tc>
          <w:tcPr>
            <w:tcW w:w="7483" w:type="dxa"/>
          </w:tcPr>
          <w:p w14:paraId="04517C59" w14:textId="77777777" w:rsidR="00312958" w:rsidRPr="00DE4914" w:rsidRDefault="00312958" w:rsidP="00312958">
            <w:pPr>
              <w:spacing w:before="60" w:after="60"/>
              <w:ind w:left="-62"/>
              <w:rPr>
                <w:sz w:val="22"/>
                <w:szCs w:val="22"/>
              </w:rPr>
            </w:pPr>
            <w:r w:rsidRPr="00DE4914">
              <w:rPr>
                <w:sz w:val="22"/>
                <w:szCs w:val="22"/>
              </w:rPr>
              <w:t xml:space="preserve">Tablet containing lurasidone hydrochloride 40 mg </w:t>
            </w:r>
            <w:r w:rsidRPr="00DE4914">
              <w:rPr>
                <w:i/>
                <w:iCs/>
                <w:sz w:val="22"/>
                <w:szCs w:val="22"/>
              </w:rPr>
              <w:t>(Ardix Lurasidone)</w:t>
            </w:r>
          </w:p>
        </w:tc>
      </w:tr>
      <w:tr w:rsidR="00312958" w:rsidRPr="00312958" w14:paraId="22B4DD70" w14:textId="77777777" w:rsidTr="00D24EA6">
        <w:tc>
          <w:tcPr>
            <w:tcW w:w="2268" w:type="dxa"/>
            <w:vMerge/>
          </w:tcPr>
          <w:p w14:paraId="6315A581" w14:textId="77777777" w:rsidR="00312958" w:rsidRPr="00DE4914" w:rsidRDefault="00312958" w:rsidP="00312958">
            <w:pPr>
              <w:spacing w:before="60" w:after="60"/>
              <w:ind w:left="-62"/>
              <w:rPr>
                <w:sz w:val="22"/>
                <w:szCs w:val="22"/>
              </w:rPr>
            </w:pPr>
          </w:p>
        </w:tc>
        <w:tc>
          <w:tcPr>
            <w:tcW w:w="7483" w:type="dxa"/>
          </w:tcPr>
          <w:p w14:paraId="507B3BE0" w14:textId="77777777" w:rsidR="00312958" w:rsidRPr="00DE4914" w:rsidRDefault="00312958" w:rsidP="00312958">
            <w:pPr>
              <w:spacing w:before="60" w:after="60"/>
              <w:ind w:left="-62"/>
              <w:rPr>
                <w:sz w:val="22"/>
                <w:szCs w:val="22"/>
              </w:rPr>
            </w:pPr>
            <w:r w:rsidRPr="00DE4914">
              <w:rPr>
                <w:sz w:val="22"/>
                <w:szCs w:val="22"/>
              </w:rPr>
              <w:t xml:space="preserve">Tablet containing lurasidone hydrochloride 80 mg </w:t>
            </w:r>
            <w:r w:rsidRPr="00DE4914">
              <w:rPr>
                <w:i/>
                <w:iCs/>
                <w:sz w:val="22"/>
                <w:szCs w:val="22"/>
              </w:rPr>
              <w:t>(Ardix Lurasidone)</w:t>
            </w:r>
          </w:p>
        </w:tc>
      </w:tr>
      <w:tr w:rsidR="00312958" w:rsidRPr="00312958" w14:paraId="4B56EF65" w14:textId="77777777" w:rsidTr="00D24EA6">
        <w:tc>
          <w:tcPr>
            <w:tcW w:w="2268" w:type="dxa"/>
            <w:vMerge w:val="restart"/>
          </w:tcPr>
          <w:p w14:paraId="0F9FDC18" w14:textId="77777777" w:rsidR="00312958" w:rsidRPr="00DE4914" w:rsidRDefault="00312958" w:rsidP="00312958">
            <w:pPr>
              <w:spacing w:before="60" w:after="60"/>
              <w:ind w:left="-62"/>
              <w:rPr>
                <w:sz w:val="22"/>
                <w:szCs w:val="22"/>
              </w:rPr>
            </w:pPr>
            <w:r w:rsidRPr="00DE4914">
              <w:rPr>
                <w:sz w:val="22"/>
                <w:szCs w:val="22"/>
              </w:rPr>
              <w:t>Pregabalin</w:t>
            </w:r>
          </w:p>
        </w:tc>
        <w:tc>
          <w:tcPr>
            <w:tcW w:w="7483" w:type="dxa"/>
          </w:tcPr>
          <w:p w14:paraId="02CB465C" w14:textId="77777777" w:rsidR="00312958" w:rsidRPr="00DE4914" w:rsidRDefault="00312958" w:rsidP="00312958">
            <w:pPr>
              <w:spacing w:before="60" w:after="60"/>
              <w:ind w:left="-62"/>
              <w:rPr>
                <w:sz w:val="22"/>
                <w:szCs w:val="22"/>
              </w:rPr>
            </w:pPr>
            <w:r w:rsidRPr="00DE4914">
              <w:rPr>
                <w:sz w:val="22"/>
                <w:szCs w:val="22"/>
              </w:rPr>
              <w:t xml:space="preserve">Capsule 75 mg </w:t>
            </w:r>
            <w:r w:rsidRPr="00DE4914">
              <w:rPr>
                <w:i/>
                <w:iCs/>
                <w:sz w:val="22"/>
                <w:szCs w:val="22"/>
              </w:rPr>
              <w:t>(Pregabalin GH)</w:t>
            </w:r>
          </w:p>
        </w:tc>
      </w:tr>
      <w:tr w:rsidR="00312958" w:rsidRPr="00312958" w14:paraId="634AC68E" w14:textId="77777777" w:rsidTr="00D24EA6">
        <w:tc>
          <w:tcPr>
            <w:tcW w:w="2268" w:type="dxa"/>
            <w:vMerge/>
          </w:tcPr>
          <w:p w14:paraId="612AC378" w14:textId="77777777" w:rsidR="00312958" w:rsidRPr="00DE4914" w:rsidRDefault="00312958" w:rsidP="00312958">
            <w:pPr>
              <w:spacing w:before="60" w:after="60"/>
              <w:ind w:left="-62"/>
              <w:rPr>
                <w:sz w:val="22"/>
                <w:szCs w:val="22"/>
                <w:highlight w:val="yellow"/>
              </w:rPr>
            </w:pPr>
          </w:p>
        </w:tc>
        <w:tc>
          <w:tcPr>
            <w:tcW w:w="7483" w:type="dxa"/>
          </w:tcPr>
          <w:p w14:paraId="4099B1E7" w14:textId="77777777" w:rsidR="00312958" w:rsidRPr="00DE4914" w:rsidRDefault="00312958" w:rsidP="00312958">
            <w:pPr>
              <w:spacing w:before="60" w:after="60"/>
              <w:ind w:left="-62"/>
              <w:rPr>
                <w:sz w:val="22"/>
                <w:szCs w:val="22"/>
              </w:rPr>
            </w:pPr>
            <w:r w:rsidRPr="00DE4914">
              <w:rPr>
                <w:sz w:val="22"/>
                <w:szCs w:val="22"/>
              </w:rPr>
              <w:t xml:space="preserve">Capsule 150 mg </w:t>
            </w:r>
            <w:r w:rsidRPr="00DE4914">
              <w:rPr>
                <w:i/>
                <w:iCs/>
                <w:sz w:val="22"/>
                <w:szCs w:val="22"/>
              </w:rPr>
              <w:t>(Pregabalin GH)</w:t>
            </w:r>
          </w:p>
        </w:tc>
      </w:tr>
      <w:tr w:rsidR="00312958" w:rsidRPr="00312958" w14:paraId="43682841" w14:textId="77777777" w:rsidTr="00D24EA6">
        <w:tc>
          <w:tcPr>
            <w:tcW w:w="2268" w:type="dxa"/>
          </w:tcPr>
          <w:p w14:paraId="46B0150B" w14:textId="77777777" w:rsidR="00312958" w:rsidRPr="00DE4914" w:rsidRDefault="00312958" w:rsidP="00312958">
            <w:pPr>
              <w:spacing w:before="60" w:after="60"/>
              <w:ind w:left="-62"/>
              <w:rPr>
                <w:bCs/>
                <w:sz w:val="22"/>
                <w:szCs w:val="22"/>
              </w:rPr>
            </w:pPr>
            <w:r w:rsidRPr="00DE4914">
              <w:rPr>
                <w:bCs/>
                <w:sz w:val="22"/>
                <w:szCs w:val="22"/>
              </w:rPr>
              <w:t>Prochlorperazine</w:t>
            </w:r>
          </w:p>
        </w:tc>
        <w:tc>
          <w:tcPr>
            <w:tcW w:w="7483" w:type="dxa"/>
          </w:tcPr>
          <w:p w14:paraId="6C243091" w14:textId="77777777" w:rsidR="00312958" w:rsidRPr="00DE4914" w:rsidRDefault="00312958" w:rsidP="00312958">
            <w:pPr>
              <w:spacing w:before="60" w:after="60"/>
              <w:ind w:left="-62"/>
              <w:rPr>
                <w:bCs/>
                <w:sz w:val="22"/>
                <w:szCs w:val="22"/>
              </w:rPr>
            </w:pPr>
            <w:r w:rsidRPr="00DE4914">
              <w:rPr>
                <w:bCs/>
                <w:sz w:val="22"/>
                <w:szCs w:val="22"/>
              </w:rPr>
              <w:t xml:space="preserve">Tablet containing prochlorperazine maleate 5 mg </w:t>
            </w:r>
            <w:r w:rsidRPr="00DE4914">
              <w:rPr>
                <w:bCs/>
                <w:i/>
                <w:iCs/>
                <w:sz w:val="22"/>
                <w:szCs w:val="22"/>
              </w:rPr>
              <w:t>(Stemzine)</w:t>
            </w:r>
          </w:p>
        </w:tc>
      </w:tr>
      <w:tr w:rsidR="00312958" w:rsidRPr="00312958" w14:paraId="78B9E2E5" w14:textId="77777777" w:rsidTr="00D24EA6">
        <w:tc>
          <w:tcPr>
            <w:tcW w:w="2268" w:type="dxa"/>
            <w:vMerge w:val="restart"/>
          </w:tcPr>
          <w:p w14:paraId="0DDD2FF1" w14:textId="77777777" w:rsidR="00312958" w:rsidRPr="00DE4914" w:rsidRDefault="00312958" w:rsidP="00312958">
            <w:pPr>
              <w:spacing w:before="60" w:after="60"/>
              <w:ind w:left="-62"/>
              <w:rPr>
                <w:sz w:val="22"/>
                <w:szCs w:val="22"/>
              </w:rPr>
            </w:pPr>
            <w:r w:rsidRPr="00DE4914">
              <w:rPr>
                <w:sz w:val="22"/>
                <w:szCs w:val="22"/>
              </w:rPr>
              <w:t>Risperidone</w:t>
            </w:r>
          </w:p>
        </w:tc>
        <w:tc>
          <w:tcPr>
            <w:tcW w:w="7483" w:type="dxa"/>
          </w:tcPr>
          <w:p w14:paraId="7984DA5C" w14:textId="77777777" w:rsidR="00312958" w:rsidRPr="00DE4914" w:rsidRDefault="00312958" w:rsidP="00312958">
            <w:pPr>
              <w:spacing w:before="60" w:after="60"/>
              <w:ind w:left="-62"/>
              <w:rPr>
                <w:sz w:val="22"/>
                <w:szCs w:val="22"/>
              </w:rPr>
            </w:pPr>
            <w:r w:rsidRPr="00DE4914">
              <w:rPr>
                <w:sz w:val="22"/>
                <w:szCs w:val="22"/>
              </w:rPr>
              <w:t xml:space="preserve">Tablet 1 mg </w:t>
            </w:r>
            <w:r w:rsidRPr="00DE4914">
              <w:rPr>
                <w:i/>
                <w:iCs/>
                <w:sz w:val="22"/>
                <w:szCs w:val="22"/>
              </w:rPr>
              <w:t>(Risperidone generichealth)</w:t>
            </w:r>
          </w:p>
        </w:tc>
      </w:tr>
      <w:tr w:rsidR="00312958" w:rsidRPr="00312958" w14:paraId="112E0C94" w14:textId="77777777" w:rsidTr="00D24EA6">
        <w:tc>
          <w:tcPr>
            <w:tcW w:w="2268" w:type="dxa"/>
            <w:vMerge/>
          </w:tcPr>
          <w:p w14:paraId="0E42658D" w14:textId="77777777" w:rsidR="00312958" w:rsidRPr="00DE4914" w:rsidRDefault="00312958" w:rsidP="00312958">
            <w:pPr>
              <w:spacing w:before="60" w:after="60"/>
              <w:ind w:left="-62"/>
              <w:rPr>
                <w:bCs/>
                <w:sz w:val="22"/>
                <w:szCs w:val="22"/>
              </w:rPr>
            </w:pPr>
          </w:p>
        </w:tc>
        <w:tc>
          <w:tcPr>
            <w:tcW w:w="7483" w:type="dxa"/>
          </w:tcPr>
          <w:p w14:paraId="243E9D87" w14:textId="77777777" w:rsidR="00312958" w:rsidRPr="00DE4914" w:rsidRDefault="00312958" w:rsidP="00312958">
            <w:pPr>
              <w:spacing w:before="60" w:after="60"/>
              <w:ind w:left="-62"/>
              <w:rPr>
                <w:bCs/>
                <w:sz w:val="22"/>
                <w:szCs w:val="22"/>
              </w:rPr>
            </w:pPr>
            <w:r w:rsidRPr="00DE4914">
              <w:rPr>
                <w:bCs/>
                <w:sz w:val="22"/>
                <w:szCs w:val="22"/>
              </w:rPr>
              <w:t xml:space="preserve">Tablet 2 mg </w:t>
            </w:r>
            <w:r w:rsidRPr="00DE4914">
              <w:rPr>
                <w:i/>
                <w:iCs/>
                <w:sz w:val="22"/>
                <w:szCs w:val="22"/>
              </w:rPr>
              <w:t>(Risperidone generichealth)</w:t>
            </w:r>
          </w:p>
        </w:tc>
      </w:tr>
      <w:tr w:rsidR="00312958" w:rsidRPr="00312958" w14:paraId="72D6022C" w14:textId="77777777" w:rsidTr="00D24EA6">
        <w:tc>
          <w:tcPr>
            <w:tcW w:w="2268" w:type="dxa"/>
            <w:vMerge/>
          </w:tcPr>
          <w:p w14:paraId="2EA536A6" w14:textId="77777777" w:rsidR="00312958" w:rsidRPr="00DE4914" w:rsidRDefault="00312958" w:rsidP="00312958">
            <w:pPr>
              <w:spacing w:before="60" w:after="60"/>
              <w:ind w:left="-62"/>
              <w:rPr>
                <w:sz w:val="22"/>
                <w:szCs w:val="22"/>
              </w:rPr>
            </w:pPr>
          </w:p>
        </w:tc>
        <w:tc>
          <w:tcPr>
            <w:tcW w:w="7483" w:type="dxa"/>
          </w:tcPr>
          <w:p w14:paraId="132E5094" w14:textId="77777777" w:rsidR="00312958" w:rsidRPr="00DE4914" w:rsidRDefault="00312958" w:rsidP="00312958">
            <w:pPr>
              <w:spacing w:before="60" w:after="60"/>
              <w:ind w:left="-62"/>
              <w:rPr>
                <w:sz w:val="22"/>
                <w:szCs w:val="22"/>
              </w:rPr>
            </w:pPr>
            <w:r w:rsidRPr="00DE4914">
              <w:rPr>
                <w:sz w:val="22"/>
                <w:szCs w:val="22"/>
              </w:rPr>
              <w:t xml:space="preserve">Tablet 3 mg </w:t>
            </w:r>
            <w:r w:rsidRPr="00DE4914">
              <w:rPr>
                <w:i/>
                <w:iCs/>
                <w:sz w:val="22"/>
                <w:szCs w:val="22"/>
              </w:rPr>
              <w:t>(Risperidone generichealth)</w:t>
            </w:r>
          </w:p>
        </w:tc>
      </w:tr>
      <w:tr w:rsidR="00312958" w:rsidRPr="00312958" w14:paraId="604C2FA2" w14:textId="77777777" w:rsidTr="00D24EA6">
        <w:tc>
          <w:tcPr>
            <w:tcW w:w="2268" w:type="dxa"/>
          </w:tcPr>
          <w:p w14:paraId="171E4BF8" w14:textId="77777777" w:rsidR="00312958" w:rsidRPr="00DE4914" w:rsidRDefault="00312958" w:rsidP="00312958">
            <w:pPr>
              <w:spacing w:before="60" w:after="60"/>
              <w:ind w:left="-62"/>
              <w:rPr>
                <w:bCs/>
                <w:sz w:val="22"/>
                <w:szCs w:val="22"/>
              </w:rPr>
            </w:pPr>
            <w:r w:rsidRPr="00DE4914">
              <w:rPr>
                <w:bCs/>
                <w:sz w:val="22"/>
                <w:szCs w:val="22"/>
              </w:rPr>
              <w:t>Vinorelbine</w:t>
            </w:r>
          </w:p>
        </w:tc>
        <w:tc>
          <w:tcPr>
            <w:tcW w:w="7483" w:type="dxa"/>
          </w:tcPr>
          <w:p w14:paraId="005537D9" w14:textId="77777777" w:rsidR="00312958" w:rsidRPr="00DE4914" w:rsidRDefault="00312958" w:rsidP="00312958">
            <w:pPr>
              <w:spacing w:before="60" w:after="60"/>
              <w:ind w:left="-62"/>
              <w:rPr>
                <w:sz w:val="22"/>
                <w:szCs w:val="22"/>
              </w:rPr>
            </w:pPr>
            <w:r w:rsidRPr="00DE4914">
              <w:rPr>
                <w:sz w:val="22"/>
                <w:szCs w:val="22"/>
              </w:rPr>
              <w:t xml:space="preserve">Solution for I.V. infusion 10 mg (as tartrate) in 1 mL </w:t>
            </w:r>
            <w:r w:rsidRPr="00DE4914">
              <w:rPr>
                <w:i/>
                <w:iCs/>
                <w:sz w:val="22"/>
                <w:szCs w:val="22"/>
              </w:rPr>
              <w:t>(Navelbine)</w:t>
            </w:r>
          </w:p>
        </w:tc>
      </w:tr>
      <w:tr w:rsidR="00312958" w:rsidRPr="00312958" w14:paraId="1E698161" w14:textId="77777777" w:rsidTr="00D24EA6">
        <w:tc>
          <w:tcPr>
            <w:tcW w:w="2268" w:type="dxa"/>
          </w:tcPr>
          <w:p w14:paraId="65CC55B5" w14:textId="77777777" w:rsidR="00312958" w:rsidRPr="00DE4914" w:rsidRDefault="00312958" w:rsidP="00312958">
            <w:pPr>
              <w:spacing w:before="60" w:after="60"/>
              <w:ind w:left="-62"/>
              <w:rPr>
                <w:bCs/>
                <w:sz w:val="22"/>
                <w:szCs w:val="22"/>
              </w:rPr>
            </w:pPr>
            <w:r w:rsidRPr="00DE4914">
              <w:rPr>
                <w:bCs/>
                <w:sz w:val="22"/>
                <w:szCs w:val="22"/>
              </w:rPr>
              <w:t>Voriconazole</w:t>
            </w:r>
          </w:p>
        </w:tc>
        <w:tc>
          <w:tcPr>
            <w:tcW w:w="7483" w:type="dxa"/>
          </w:tcPr>
          <w:p w14:paraId="6B00F2A5" w14:textId="77777777" w:rsidR="00312958" w:rsidRPr="00DE4914" w:rsidRDefault="00312958" w:rsidP="00312958">
            <w:pPr>
              <w:spacing w:before="60" w:after="60"/>
              <w:ind w:left="-62"/>
              <w:rPr>
                <w:sz w:val="22"/>
                <w:szCs w:val="22"/>
              </w:rPr>
            </w:pPr>
            <w:r w:rsidRPr="00DE4914">
              <w:rPr>
                <w:sz w:val="22"/>
                <w:szCs w:val="22"/>
              </w:rPr>
              <w:t xml:space="preserve">Tablet 200 mg </w:t>
            </w:r>
            <w:r w:rsidRPr="00DE4914">
              <w:rPr>
                <w:i/>
                <w:iCs/>
                <w:sz w:val="22"/>
                <w:szCs w:val="22"/>
              </w:rPr>
              <w:t>(Vfend)</w:t>
            </w:r>
          </w:p>
        </w:tc>
      </w:tr>
    </w:tbl>
    <w:p w14:paraId="50952D32" w14:textId="77777777" w:rsidR="00312958" w:rsidRPr="00312958" w:rsidRDefault="00312958" w:rsidP="00312958">
      <w:pPr>
        <w:widowControl w:val="0"/>
        <w:spacing w:before="240" w:after="0" w:line="240" w:lineRule="auto"/>
        <w:rPr>
          <w:rFonts w:ascii="Times New Roman" w:eastAsia="Times New Roman" w:hAnsi="Times New Roman" w:cs="Times New Roman"/>
          <w:b/>
          <w:sz w:val="24"/>
          <w:szCs w:val="24"/>
          <w:lang w:eastAsia="en-AU"/>
        </w:rPr>
      </w:pPr>
      <w:bookmarkStart w:id="6" w:name="_Hlk138175907"/>
      <w:bookmarkStart w:id="7" w:name="_Hlk137741280"/>
      <w:r w:rsidRPr="00312958">
        <w:rPr>
          <w:rFonts w:ascii="Times New Roman" w:eastAsia="Times New Roman" w:hAnsi="Times New Roman" w:cs="Times New Roman"/>
          <w:b/>
          <w:sz w:val="24"/>
          <w:szCs w:val="24"/>
          <w:lang w:eastAsia="en-AU"/>
        </w:rPr>
        <w:t>Alteration of Maximum Quantity</w:t>
      </w:r>
    </w:p>
    <w:tbl>
      <w:tblPr>
        <w:tblStyle w:val="TableGrid"/>
        <w:tblW w:w="5418" w:type="pct"/>
        <w:tblCellMar>
          <w:top w:w="57" w:type="dxa"/>
          <w:left w:w="57" w:type="dxa"/>
          <w:bottom w:w="57" w:type="dxa"/>
          <w:right w:w="57" w:type="dxa"/>
        </w:tblCellMar>
        <w:tblLook w:val="01E0" w:firstRow="1" w:lastRow="1" w:firstColumn="1" w:lastColumn="1" w:noHBand="0" w:noVBand="0"/>
      </w:tblPr>
      <w:tblGrid>
        <w:gridCol w:w="2123"/>
        <w:gridCol w:w="2548"/>
        <w:gridCol w:w="1426"/>
        <w:gridCol w:w="1557"/>
        <w:gridCol w:w="992"/>
        <w:gridCol w:w="1135"/>
      </w:tblGrid>
      <w:tr w:rsidR="00312958" w:rsidRPr="00312958" w14:paraId="606D6346" w14:textId="77777777" w:rsidTr="006B364C">
        <w:trPr>
          <w:trHeight w:val="388"/>
        </w:trPr>
        <w:tc>
          <w:tcPr>
            <w:tcW w:w="1085" w:type="pct"/>
            <w:vAlign w:val="center"/>
          </w:tcPr>
          <w:p w14:paraId="05F3B188" w14:textId="77777777" w:rsidR="00312958" w:rsidRPr="00DE4914" w:rsidRDefault="00312958" w:rsidP="00312958">
            <w:pPr>
              <w:widowControl w:val="0"/>
              <w:spacing w:before="60"/>
              <w:ind w:left="-62"/>
              <w:jc w:val="both"/>
              <w:rPr>
                <w:b/>
                <w:i/>
                <w:sz w:val="22"/>
                <w:szCs w:val="22"/>
              </w:rPr>
            </w:pPr>
            <w:r w:rsidRPr="00DE4914">
              <w:rPr>
                <w:b/>
                <w:i/>
                <w:sz w:val="22"/>
                <w:szCs w:val="22"/>
              </w:rPr>
              <w:t>Listed Drug</w:t>
            </w:r>
          </w:p>
        </w:tc>
        <w:tc>
          <w:tcPr>
            <w:tcW w:w="1302" w:type="pct"/>
            <w:vAlign w:val="center"/>
          </w:tcPr>
          <w:p w14:paraId="70EE6421" w14:textId="77777777" w:rsidR="00312958" w:rsidRPr="00DE4914" w:rsidRDefault="00312958" w:rsidP="00312958">
            <w:pPr>
              <w:widowControl w:val="0"/>
              <w:spacing w:before="60"/>
              <w:ind w:left="-62"/>
              <w:jc w:val="both"/>
              <w:rPr>
                <w:b/>
                <w:i/>
                <w:sz w:val="22"/>
                <w:szCs w:val="22"/>
              </w:rPr>
            </w:pPr>
            <w:r w:rsidRPr="00DE4914">
              <w:rPr>
                <w:b/>
                <w:i/>
                <w:sz w:val="22"/>
                <w:szCs w:val="22"/>
              </w:rPr>
              <w:t>Form</w:t>
            </w:r>
          </w:p>
        </w:tc>
        <w:tc>
          <w:tcPr>
            <w:tcW w:w="729" w:type="pct"/>
            <w:vAlign w:val="center"/>
          </w:tcPr>
          <w:p w14:paraId="048428E6" w14:textId="77777777" w:rsidR="00312958" w:rsidRPr="00DE4914" w:rsidRDefault="00312958" w:rsidP="00312958">
            <w:pPr>
              <w:widowControl w:val="0"/>
              <w:spacing w:before="60"/>
              <w:ind w:left="-62"/>
              <w:jc w:val="both"/>
              <w:rPr>
                <w:b/>
                <w:i/>
                <w:sz w:val="22"/>
                <w:szCs w:val="22"/>
              </w:rPr>
            </w:pPr>
            <w:r w:rsidRPr="00DE4914">
              <w:rPr>
                <w:b/>
                <w:i/>
                <w:sz w:val="22"/>
                <w:szCs w:val="22"/>
              </w:rPr>
              <w:t>Brand Name</w:t>
            </w:r>
          </w:p>
        </w:tc>
        <w:tc>
          <w:tcPr>
            <w:tcW w:w="796" w:type="pct"/>
            <w:vAlign w:val="center"/>
          </w:tcPr>
          <w:p w14:paraId="5D21AA0A" w14:textId="77777777" w:rsidR="00312958" w:rsidRPr="00DE4914" w:rsidRDefault="00312958" w:rsidP="00312958">
            <w:pPr>
              <w:widowControl w:val="0"/>
              <w:spacing w:before="60"/>
              <w:ind w:left="-62"/>
              <w:rPr>
                <w:b/>
                <w:i/>
                <w:sz w:val="22"/>
                <w:szCs w:val="22"/>
              </w:rPr>
            </w:pPr>
            <w:r w:rsidRPr="00DE4914">
              <w:rPr>
                <w:b/>
                <w:i/>
                <w:sz w:val="22"/>
                <w:szCs w:val="22"/>
              </w:rPr>
              <w:t>Circumstances Code</w:t>
            </w:r>
          </w:p>
        </w:tc>
        <w:tc>
          <w:tcPr>
            <w:tcW w:w="1087" w:type="pct"/>
            <w:gridSpan w:val="2"/>
            <w:vAlign w:val="center"/>
          </w:tcPr>
          <w:p w14:paraId="6F851B18" w14:textId="77777777" w:rsidR="00312958" w:rsidRPr="00DE4914" w:rsidRDefault="00312958" w:rsidP="00312958">
            <w:pPr>
              <w:widowControl w:val="0"/>
              <w:spacing w:before="60"/>
              <w:ind w:left="-62"/>
              <w:jc w:val="both"/>
              <w:rPr>
                <w:b/>
                <w:i/>
                <w:sz w:val="22"/>
                <w:szCs w:val="22"/>
              </w:rPr>
            </w:pPr>
            <w:r w:rsidRPr="00DE4914">
              <w:rPr>
                <w:b/>
                <w:i/>
                <w:sz w:val="22"/>
                <w:szCs w:val="22"/>
              </w:rPr>
              <w:t>Maximum Quantity</w:t>
            </w:r>
          </w:p>
        </w:tc>
      </w:tr>
      <w:tr w:rsidR="00312958" w:rsidRPr="00312958" w14:paraId="154466B1" w14:textId="77777777" w:rsidTr="006B364C">
        <w:trPr>
          <w:trHeight w:val="291"/>
        </w:trPr>
        <w:tc>
          <w:tcPr>
            <w:tcW w:w="1085" w:type="pct"/>
          </w:tcPr>
          <w:p w14:paraId="5F86627F" w14:textId="77777777" w:rsidR="00312958" w:rsidRPr="00DE4914" w:rsidRDefault="00312958" w:rsidP="00312958">
            <w:pPr>
              <w:spacing w:before="60" w:after="60"/>
              <w:ind w:left="-62"/>
              <w:rPr>
                <w:sz w:val="22"/>
                <w:szCs w:val="22"/>
              </w:rPr>
            </w:pPr>
            <w:r w:rsidRPr="00DE4914">
              <w:rPr>
                <w:sz w:val="22"/>
                <w:szCs w:val="22"/>
              </w:rPr>
              <w:t>Choriogonadotropin alfa</w:t>
            </w:r>
          </w:p>
        </w:tc>
        <w:tc>
          <w:tcPr>
            <w:tcW w:w="1302" w:type="pct"/>
          </w:tcPr>
          <w:p w14:paraId="417D9BD2" w14:textId="77777777" w:rsidR="00312958" w:rsidRPr="00DE4914" w:rsidRDefault="00312958" w:rsidP="00312958">
            <w:pPr>
              <w:spacing w:before="60" w:after="60"/>
              <w:ind w:left="-62"/>
              <w:rPr>
                <w:sz w:val="22"/>
                <w:szCs w:val="22"/>
              </w:rPr>
            </w:pPr>
            <w:r w:rsidRPr="00DE4914">
              <w:rPr>
                <w:sz w:val="22"/>
                <w:szCs w:val="22"/>
              </w:rPr>
              <w:t>Solution for injection 250 micrograms in 0.5 mL pre</w:t>
            </w:r>
            <w:r w:rsidRPr="00DE4914">
              <w:rPr>
                <w:sz w:val="22"/>
                <w:szCs w:val="22"/>
              </w:rPr>
              <w:noBreakHyphen/>
              <w:t>filled pen</w:t>
            </w:r>
          </w:p>
        </w:tc>
        <w:tc>
          <w:tcPr>
            <w:tcW w:w="729" w:type="pct"/>
          </w:tcPr>
          <w:p w14:paraId="0ACFA088" w14:textId="77777777" w:rsidR="00312958" w:rsidRPr="00DE4914" w:rsidRDefault="00312958" w:rsidP="00312958">
            <w:pPr>
              <w:spacing w:before="60" w:after="60"/>
              <w:ind w:left="-62"/>
              <w:rPr>
                <w:i/>
                <w:iCs/>
                <w:sz w:val="22"/>
                <w:szCs w:val="22"/>
              </w:rPr>
            </w:pPr>
            <w:r w:rsidRPr="00DE4914">
              <w:rPr>
                <w:i/>
                <w:iCs/>
                <w:sz w:val="22"/>
                <w:szCs w:val="22"/>
              </w:rPr>
              <w:t>Ovidrel</w:t>
            </w:r>
          </w:p>
        </w:tc>
        <w:tc>
          <w:tcPr>
            <w:tcW w:w="796" w:type="pct"/>
          </w:tcPr>
          <w:p w14:paraId="5A4E41B2" w14:textId="77777777" w:rsidR="00312958" w:rsidRPr="00DE4914" w:rsidRDefault="00312958" w:rsidP="00312958">
            <w:pPr>
              <w:widowControl w:val="0"/>
              <w:spacing w:before="60" w:after="60"/>
              <w:ind w:left="-62"/>
              <w:rPr>
                <w:bCs/>
                <w:iCs/>
                <w:sz w:val="22"/>
                <w:szCs w:val="22"/>
              </w:rPr>
            </w:pPr>
            <w:r w:rsidRPr="00DE4914">
              <w:rPr>
                <w:bCs/>
                <w:iCs/>
                <w:sz w:val="22"/>
                <w:szCs w:val="22"/>
              </w:rPr>
              <w:t>C14096</w:t>
            </w:r>
          </w:p>
        </w:tc>
        <w:tc>
          <w:tcPr>
            <w:tcW w:w="507" w:type="pct"/>
          </w:tcPr>
          <w:p w14:paraId="073B1DAA" w14:textId="77777777" w:rsidR="00312958" w:rsidRPr="00DE4914" w:rsidRDefault="00312958" w:rsidP="00312958">
            <w:pPr>
              <w:widowControl w:val="0"/>
              <w:spacing w:before="60" w:after="60"/>
              <w:ind w:left="-62"/>
              <w:rPr>
                <w:b/>
                <w:sz w:val="22"/>
                <w:szCs w:val="22"/>
              </w:rPr>
            </w:pPr>
            <w:r w:rsidRPr="00DE4914">
              <w:rPr>
                <w:b/>
                <w:i/>
                <w:sz w:val="22"/>
                <w:szCs w:val="22"/>
              </w:rPr>
              <w:t>From:</w:t>
            </w:r>
            <w:r w:rsidRPr="00DE4914">
              <w:rPr>
                <w:sz w:val="22"/>
                <w:szCs w:val="22"/>
              </w:rPr>
              <w:t xml:space="preserve"> 1</w:t>
            </w:r>
          </w:p>
        </w:tc>
        <w:tc>
          <w:tcPr>
            <w:tcW w:w="580" w:type="pct"/>
          </w:tcPr>
          <w:p w14:paraId="01EDA7A0" w14:textId="77777777" w:rsidR="00312958" w:rsidRPr="00DE4914" w:rsidRDefault="00312958" w:rsidP="00312958">
            <w:pPr>
              <w:widowControl w:val="0"/>
              <w:spacing w:before="60" w:after="60"/>
              <w:ind w:left="-62"/>
              <w:rPr>
                <w:b/>
                <w:sz w:val="22"/>
                <w:szCs w:val="22"/>
              </w:rPr>
            </w:pPr>
            <w:r w:rsidRPr="00DE4914">
              <w:rPr>
                <w:b/>
                <w:i/>
                <w:sz w:val="22"/>
                <w:szCs w:val="22"/>
              </w:rPr>
              <w:t>To:</w:t>
            </w:r>
            <w:r w:rsidRPr="00DE4914">
              <w:rPr>
                <w:rFonts w:eastAsiaTheme="minorHAnsi"/>
                <w:b/>
                <w:sz w:val="22"/>
                <w:szCs w:val="22"/>
              </w:rPr>
              <w:t xml:space="preserve"> </w:t>
            </w:r>
            <w:r w:rsidRPr="00DE4914">
              <w:rPr>
                <w:rFonts w:eastAsiaTheme="minorHAnsi"/>
                <w:bCs/>
                <w:sz w:val="22"/>
                <w:szCs w:val="22"/>
              </w:rPr>
              <w:t>4</w:t>
            </w:r>
          </w:p>
        </w:tc>
      </w:tr>
    </w:tbl>
    <w:p w14:paraId="7C24454E" w14:textId="77777777" w:rsidR="00312958" w:rsidRPr="00312958" w:rsidRDefault="00312958" w:rsidP="00312958">
      <w:pPr>
        <w:widowControl w:val="0"/>
        <w:spacing w:before="24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t>Alteration of Responsible Person Code</w:t>
      </w:r>
    </w:p>
    <w:tbl>
      <w:tblPr>
        <w:tblStyle w:val="TableGrid"/>
        <w:tblW w:w="5418" w:type="pct"/>
        <w:tblLayout w:type="fixed"/>
        <w:tblCellMar>
          <w:top w:w="57" w:type="dxa"/>
          <w:left w:w="57" w:type="dxa"/>
          <w:bottom w:w="57" w:type="dxa"/>
          <w:right w:w="57" w:type="dxa"/>
        </w:tblCellMar>
        <w:tblLook w:val="01E0" w:firstRow="1" w:lastRow="1" w:firstColumn="1" w:lastColumn="1" w:noHBand="0" w:noVBand="0"/>
      </w:tblPr>
      <w:tblGrid>
        <w:gridCol w:w="2124"/>
        <w:gridCol w:w="3830"/>
        <w:gridCol w:w="1700"/>
        <w:gridCol w:w="1135"/>
        <w:gridCol w:w="992"/>
      </w:tblGrid>
      <w:tr w:rsidR="00312958" w:rsidRPr="00312958" w14:paraId="5D9E329A" w14:textId="77777777" w:rsidTr="006B364C">
        <w:trPr>
          <w:trHeight w:val="295"/>
        </w:trPr>
        <w:tc>
          <w:tcPr>
            <w:tcW w:w="1086" w:type="pct"/>
          </w:tcPr>
          <w:p w14:paraId="1683AA3D" w14:textId="77777777" w:rsidR="00312958" w:rsidRPr="00DE4914" w:rsidRDefault="00312958" w:rsidP="00312958">
            <w:pPr>
              <w:spacing w:before="60"/>
              <w:ind w:left="-62"/>
              <w:rPr>
                <w:b/>
                <w:i/>
                <w:sz w:val="22"/>
                <w:szCs w:val="22"/>
              </w:rPr>
            </w:pPr>
            <w:r w:rsidRPr="00DE4914">
              <w:rPr>
                <w:b/>
                <w:i/>
                <w:sz w:val="22"/>
                <w:szCs w:val="22"/>
              </w:rPr>
              <w:t>Listed Drug</w:t>
            </w:r>
          </w:p>
        </w:tc>
        <w:tc>
          <w:tcPr>
            <w:tcW w:w="1958" w:type="pct"/>
          </w:tcPr>
          <w:p w14:paraId="5426A506" w14:textId="77777777" w:rsidR="00312958" w:rsidRPr="00DE4914" w:rsidRDefault="00312958" w:rsidP="00312958">
            <w:pPr>
              <w:spacing w:before="60"/>
              <w:ind w:left="-62"/>
              <w:rPr>
                <w:b/>
                <w:i/>
                <w:sz w:val="22"/>
                <w:szCs w:val="22"/>
              </w:rPr>
            </w:pPr>
            <w:r w:rsidRPr="00DE4914">
              <w:rPr>
                <w:b/>
                <w:i/>
                <w:sz w:val="22"/>
                <w:szCs w:val="22"/>
              </w:rPr>
              <w:t>Form</w:t>
            </w:r>
          </w:p>
        </w:tc>
        <w:tc>
          <w:tcPr>
            <w:tcW w:w="869" w:type="pct"/>
          </w:tcPr>
          <w:p w14:paraId="6995C03A" w14:textId="77777777" w:rsidR="00312958" w:rsidRPr="00DE4914" w:rsidRDefault="00312958" w:rsidP="00312958">
            <w:pPr>
              <w:spacing w:before="60"/>
              <w:ind w:left="-62"/>
              <w:rPr>
                <w:b/>
                <w:i/>
                <w:sz w:val="22"/>
                <w:szCs w:val="22"/>
              </w:rPr>
            </w:pPr>
            <w:r w:rsidRPr="00DE4914">
              <w:rPr>
                <w:b/>
                <w:i/>
                <w:sz w:val="22"/>
                <w:szCs w:val="22"/>
              </w:rPr>
              <w:t>Brand Name</w:t>
            </w:r>
          </w:p>
        </w:tc>
        <w:tc>
          <w:tcPr>
            <w:tcW w:w="1087" w:type="pct"/>
            <w:gridSpan w:val="2"/>
          </w:tcPr>
          <w:p w14:paraId="30FC643D" w14:textId="77777777" w:rsidR="00312958" w:rsidRPr="00DE4914" w:rsidRDefault="00312958" w:rsidP="00312958">
            <w:pPr>
              <w:spacing w:before="60"/>
              <w:ind w:left="-62"/>
              <w:rPr>
                <w:b/>
                <w:i/>
                <w:sz w:val="22"/>
                <w:szCs w:val="22"/>
              </w:rPr>
            </w:pPr>
            <w:r w:rsidRPr="00DE4914">
              <w:rPr>
                <w:b/>
                <w:i/>
                <w:sz w:val="22"/>
                <w:szCs w:val="22"/>
              </w:rPr>
              <w:t>Responsible Person</w:t>
            </w:r>
          </w:p>
        </w:tc>
      </w:tr>
      <w:tr w:rsidR="00312958" w:rsidRPr="00312958" w14:paraId="19F28988" w14:textId="77777777" w:rsidTr="006B364C">
        <w:trPr>
          <w:trHeight w:val="295"/>
        </w:trPr>
        <w:tc>
          <w:tcPr>
            <w:tcW w:w="1086" w:type="pct"/>
            <w:vMerge w:val="restart"/>
          </w:tcPr>
          <w:p w14:paraId="190831DD" w14:textId="77777777" w:rsidR="00312958" w:rsidRPr="00DE4914" w:rsidRDefault="00312958" w:rsidP="00312958">
            <w:pPr>
              <w:spacing w:before="60" w:after="60"/>
              <w:ind w:left="-62"/>
              <w:rPr>
                <w:sz w:val="22"/>
                <w:szCs w:val="22"/>
              </w:rPr>
            </w:pPr>
            <w:r w:rsidRPr="00DE4914">
              <w:rPr>
                <w:sz w:val="22"/>
                <w:szCs w:val="22"/>
              </w:rPr>
              <w:t>Ambrisentan</w:t>
            </w:r>
          </w:p>
        </w:tc>
        <w:tc>
          <w:tcPr>
            <w:tcW w:w="1958" w:type="pct"/>
          </w:tcPr>
          <w:p w14:paraId="6A6D9EAF" w14:textId="77777777" w:rsidR="00312958" w:rsidRPr="00DE4914" w:rsidRDefault="00312958" w:rsidP="00312958">
            <w:pPr>
              <w:spacing w:before="60" w:after="60"/>
              <w:ind w:left="-62"/>
              <w:rPr>
                <w:sz w:val="22"/>
                <w:szCs w:val="22"/>
              </w:rPr>
            </w:pPr>
            <w:r w:rsidRPr="00DE4914">
              <w:rPr>
                <w:sz w:val="22"/>
                <w:szCs w:val="22"/>
              </w:rPr>
              <w:t>Tablet 5 mg</w:t>
            </w:r>
          </w:p>
        </w:tc>
        <w:tc>
          <w:tcPr>
            <w:tcW w:w="869" w:type="pct"/>
          </w:tcPr>
          <w:p w14:paraId="0A6D90A5" w14:textId="77777777" w:rsidR="00312958" w:rsidRPr="00DE4914" w:rsidRDefault="00312958" w:rsidP="00312958">
            <w:pPr>
              <w:spacing w:before="60" w:after="60"/>
              <w:ind w:left="-62"/>
              <w:rPr>
                <w:i/>
                <w:iCs/>
                <w:sz w:val="22"/>
                <w:szCs w:val="22"/>
              </w:rPr>
            </w:pPr>
            <w:r w:rsidRPr="00DE4914">
              <w:rPr>
                <w:i/>
                <w:iCs/>
                <w:sz w:val="22"/>
                <w:szCs w:val="22"/>
              </w:rPr>
              <w:t>PULMORIS</w:t>
            </w:r>
          </w:p>
        </w:tc>
        <w:tc>
          <w:tcPr>
            <w:tcW w:w="580" w:type="pct"/>
          </w:tcPr>
          <w:p w14:paraId="2852C117"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YC</w:t>
            </w:r>
          </w:p>
        </w:tc>
        <w:tc>
          <w:tcPr>
            <w:tcW w:w="507" w:type="pct"/>
          </w:tcPr>
          <w:p w14:paraId="09C65D36"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XT</w:t>
            </w:r>
          </w:p>
        </w:tc>
      </w:tr>
      <w:tr w:rsidR="00312958" w:rsidRPr="00312958" w14:paraId="12E128D0" w14:textId="77777777" w:rsidTr="006B364C">
        <w:trPr>
          <w:trHeight w:val="295"/>
        </w:trPr>
        <w:tc>
          <w:tcPr>
            <w:tcW w:w="1086" w:type="pct"/>
            <w:vMerge/>
          </w:tcPr>
          <w:p w14:paraId="0892E0A1" w14:textId="77777777" w:rsidR="00312958" w:rsidRPr="00DE4914" w:rsidRDefault="00312958" w:rsidP="00312958">
            <w:pPr>
              <w:spacing w:before="60" w:after="60"/>
              <w:ind w:left="-62"/>
              <w:rPr>
                <w:sz w:val="22"/>
                <w:szCs w:val="22"/>
              </w:rPr>
            </w:pPr>
          </w:p>
        </w:tc>
        <w:tc>
          <w:tcPr>
            <w:tcW w:w="1958" w:type="pct"/>
          </w:tcPr>
          <w:p w14:paraId="05C03923" w14:textId="77777777" w:rsidR="00312958" w:rsidRPr="00DE4914" w:rsidRDefault="00312958" w:rsidP="00312958">
            <w:pPr>
              <w:spacing w:before="60" w:after="60"/>
              <w:ind w:left="-62"/>
              <w:rPr>
                <w:sz w:val="22"/>
                <w:szCs w:val="22"/>
              </w:rPr>
            </w:pPr>
            <w:r w:rsidRPr="00DE4914">
              <w:rPr>
                <w:sz w:val="22"/>
                <w:szCs w:val="22"/>
              </w:rPr>
              <w:t>Tablet 10 mg</w:t>
            </w:r>
          </w:p>
        </w:tc>
        <w:tc>
          <w:tcPr>
            <w:tcW w:w="869" w:type="pct"/>
          </w:tcPr>
          <w:p w14:paraId="3A5CB37B" w14:textId="77777777" w:rsidR="00312958" w:rsidRPr="00DE4914" w:rsidRDefault="00312958" w:rsidP="00312958">
            <w:pPr>
              <w:spacing w:before="60" w:after="60"/>
              <w:ind w:left="-62"/>
              <w:rPr>
                <w:i/>
                <w:iCs/>
                <w:sz w:val="22"/>
                <w:szCs w:val="22"/>
              </w:rPr>
            </w:pPr>
            <w:r w:rsidRPr="00DE4914">
              <w:rPr>
                <w:i/>
                <w:iCs/>
                <w:sz w:val="22"/>
                <w:szCs w:val="22"/>
              </w:rPr>
              <w:t>PULMORIS</w:t>
            </w:r>
          </w:p>
        </w:tc>
        <w:tc>
          <w:tcPr>
            <w:tcW w:w="580" w:type="pct"/>
          </w:tcPr>
          <w:p w14:paraId="115E3F44"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YC</w:t>
            </w:r>
          </w:p>
        </w:tc>
        <w:tc>
          <w:tcPr>
            <w:tcW w:w="507" w:type="pct"/>
          </w:tcPr>
          <w:p w14:paraId="67ADD56A"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XT</w:t>
            </w:r>
          </w:p>
        </w:tc>
      </w:tr>
      <w:tr w:rsidR="00312958" w:rsidRPr="00312958" w14:paraId="264B0D92" w14:textId="77777777" w:rsidTr="006B364C">
        <w:trPr>
          <w:trHeight w:val="295"/>
        </w:trPr>
        <w:tc>
          <w:tcPr>
            <w:tcW w:w="1086" w:type="pct"/>
            <w:vMerge w:val="restart"/>
          </w:tcPr>
          <w:p w14:paraId="62E77D37" w14:textId="77777777" w:rsidR="00312958" w:rsidRPr="00DE4914" w:rsidRDefault="00312958" w:rsidP="00312958">
            <w:pPr>
              <w:spacing w:before="60" w:after="60"/>
              <w:ind w:left="-62"/>
              <w:rPr>
                <w:sz w:val="22"/>
                <w:szCs w:val="22"/>
              </w:rPr>
            </w:pPr>
            <w:r w:rsidRPr="00DE4914">
              <w:rPr>
                <w:sz w:val="22"/>
                <w:szCs w:val="22"/>
              </w:rPr>
              <w:t>Bevacizumab</w:t>
            </w:r>
          </w:p>
        </w:tc>
        <w:tc>
          <w:tcPr>
            <w:tcW w:w="1958" w:type="pct"/>
          </w:tcPr>
          <w:p w14:paraId="65BB9606" w14:textId="77777777" w:rsidR="00312958" w:rsidRPr="00DE4914" w:rsidRDefault="00312958" w:rsidP="00312958">
            <w:pPr>
              <w:spacing w:before="60" w:after="60"/>
              <w:ind w:left="-62"/>
              <w:rPr>
                <w:sz w:val="22"/>
                <w:szCs w:val="22"/>
              </w:rPr>
            </w:pPr>
            <w:r w:rsidRPr="00DE4914">
              <w:rPr>
                <w:sz w:val="22"/>
                <w:szCs w:val="22"/>
              </w:rPr>
              <w:t>Solution for I.V. infusion 100 mg in 4 mL</w:t>
            </w:r>
          </w:p>
        </w:tc>
        <w:tc>
          <w:tcPr>
            <w:tcW w:w="869" w:type="pct"/>
          </w:tcPr>
          <w:p w14:paraId="6877455C" w14:textId="77777777" w:rsidR="00312958" w:rsidRPr="00DE4914" w:rsidRDefault="00312958" w:rsidP="00312958">
            <w:pPr>
              <w:spacing w:before="60" w:after="60"/>
              <w:ind w:left="-62"/>
              <w:rPr>
                <w:i/>
                <w:iCs/>
                <w:sz w:val="22"/>
                <w:szCs w:val="22"/>
              </w:rPr>
            </w:pPr>
            <w:r w:rsidRPr="00DE4914">
              <w:rPr>
                <w:i/>
                <w:iCs/>
                <w:sz w:val="22"/>
                <w:szCs w:val="22"/>
              </w:rPr>
              <w:t>Abevmy</w:t>
            </w:r>
          </w:p>
        </w:tc>
        <w:tc>
          <w:tcPr>
            <w:tcW w:w="580" w:type="pct"/>
          </w:tcPr>
          <w:p w14:paraId="42ACCAD1"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AF</w:t>
            </w:r>
          </w:p>
        </w:tc>
        <w:tc>
          <w:tcPr>
            <w:tcW w:w="507" w:type="pct"/>
          </w:tcPr>
          <w:p w14:paraId="79ED7915"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SZ</w:t>
            </w:r>
          </w:p>
        </w:tc>
      </w:tr>
      <w:tr w:rsidR="00312958" w:rsidRPr="00312958" w14:paraId="13126186" w14:textId="77777777" w:rsidTr="006B364C">
        <w:trPr>
          <w:trHeight w:val="295"/>
        </w:trPr>
        <w:tc>
          <w:tcPr>
            <w:tcW w:w="1086" w:type="pct"/>
            <w:vMerge/>
          </w:tcPr>
          <w:p w14:paraId="28546618" w14:textId="77777777" w:rsidR="00312958" w:rsidRPr="00DE4914" w:rsidRDefault="00312958" w:rsidP="00312958">
            <w:pPr>
              <w:spacing w:before="60" w:after="60"/>
              <w:ind w:left="-62"/>
              <w:rPr>
                <w:sz w:val="22"/>
                <w:szCs w:val="22"/>
              </w:rPr>
            </w:pPr>
          </w:p>
        </w:tc>
        <w:tc>
          <w:tcPr>
            <w:tcW w:w="1958" w:type="pct"/>
          </w:tcPr>
          <w:p w14:paraId="48DD6835" w14:textId="41EF5AC7" w:rsidR="00312958" w:rsidRPr="00DE4914" w:rsidRDefault="00312958" w:rsidP="00312958">
            <w:pPr>
              <w:spacing w:before="60" w:after="60"/>
              <w:ind w:left="-62"/>
              <w:rPr>
                <w:sz w:val="22"/>
                <w:szCs w:val="22"/>
              </w:rPr>
            </w:pPr>
            <w:r w:rsidRPr="00DE4914">
              <w:rPr>
                <w:sz w:val="22"/>
                <w:szCs w:val="22"/>
              </w:rPr>
              <w:t>Solution for I.V. infusion 400 mg in 16</w:t>
            </w:r>
            <w:r w:rsidR="00343061">
              <w:rPr>
                <w:sz w:val="22"/>
                <w:szCs w:val="22"/>
              </w:rPr>
              <w:t> </w:t>
            </w:r>
            <w:r w:rsidRPr="00DE4914">
              <w:rPr>
                <w:sz w:val="22"/>
                <w:szCs w:val="22"/>
              </w:rPr>
              <w:t>mL</w:t>
            </w:r>
          </w:p>
        </w:tc>
        <w:tc>
          <w:tcPr>
            <w:tcW w:w="869" w:type="pct"/>
          </w:tcPr>
          <w:p w14:paraId="70F389A6" w14:textId="77777777" w:rsidR="00312958" w:rsidRPr="00DE4914" w:rsidRDefault="00312958" w:rsidP="00312958">
            <w:pPr>
              <w:spacing w:before="60" w:after="60"/>
              <w:ind w:left="-62"/>
              <w:rPr>
                <w:i/>
                <w:iCs/>
                <w:sz w:val="22"/>
                <w:szCs w:val="22"/>
              </w:rPr>
            </w:pPr>
            <w:r w:rsidRPr="00DE4914">
              <w:rPr>
                <w:i/>
                <w:iCs/>
                <w:sz w:val="22"/>
                <w:szCs w:val="22"/>
              </w:rPr>
              <w:t>Abevmy</w:t>
            </w:r>
          </w:p>
        </w:tc>
        <w:tc>
          <w:tcPr>
            <w:tcW w:w="580" w:type="pct"/>
          </w:tcPr>
          <w:p w14:paraId="49F4A1AF"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AF</w:t>
            </w:r>
          </w:p>
        </w:tc>
        <w:tc>
          <w:tcPr>
            <w:tcW w:w="507" w:type="pct"/>
          </w:tcPr>
          <w:p w14:paraId="48EBA47E"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SZ</w:t>
            </w:r>
          </w:p>
        </w:tc>
      </w:tr>
      <w:tr w:rsidR="00312958" w:rsidRPr="00312958" w14:paraId="4A3CC37E" w14:textId="77777777" w:rsidTr="006B364C">
        <w:trPr>
          <w:trHeight w:val="295"/>
        </w:trPr>
        <w:tc>
          <w:tcPr>
            <w:tcW w:w="1086" w:type="pct"/>
            <w:vMerge w:val="restart"/>
          </w:tcPr>
          <w:p w14:paraId="43340CCC" w14:textId="77777777" w:rsidR="00312958" w:rsidRPr="00DE4914" w:rsidRDefault="00312958" w:rsidP="00312958">
            <w:pPr>
              <w:keepNext/>
              <w:spacing w:before="60" w:after="60"/>
              <w:ind w:left="-62"/>
              <w:rPr>
                <w:sz w:val="22"/>
                <w:szCs w:val="22"/>
              </w:rPr>
            </w:pPr>
            <w:r w:rsidRPr="00DE4914">
              <w:rPr>
                <w:sz w:val="22"/>
                <w:szCs w:val="22"/>
              </w:rPr>
              <w:t>Candesartan</w:t>
            </w:r>
          </w:p>
        </w:tc>
        <w:tc>
          <w:tcPr>
            <w:tcW w:w="1958" w:type="pct"/>
          </w:tcPr>
          <w:p w14:paraId="3EDBD403" w14:textId="6E9F99DA" w:rsidR="00312958" w:rsidRPr="00DE4914" w:rsidRDefault="00312958" w:rsidP="00312958">
            <w:pPr>
              <w:keepNext/>
              <w:spacing w:before="60" w:after="60"/>
              <w:ind w:left="-62"/>
              <w:rPr>
                <w:sz w:val="22"/>
                <w:szCs w:val="22"/>
              </w:rPr>
            </w:pPr>
            <w:r w:rsidRPr="00DE4914">
              <w:rPr>
                <w:sz w:val="22"/>
                <w:szCs w:val="22"/>
              </w:rPr>
              <w:t>Tablet containing candesartan cilexetil 4</w:t>
            </w:r>
            <w:r w:rsidR="00343061">
              <w:rPr>
                <w:sz w:val="22"/>
                <w:szCs w:val="22"/>
              </w:rPr>
              <w:t> </w:t>
            </w:r>
            <w:r w:rsidRPr="00DE4914">
              <w:rPr>
                <w:sz w:val="22"/>
                <w:szCs w:val="22"/>
              </w:rPr>
              <w:t>mg</w:t>
            </w:r>
          </w:p>
        </w:tc>
        <w:tc>
          <w:tcPr>
            <w:tcW w:w="869" w:type="pct"/>
          </w:tcPr>
          <w:p w14:paraId="12615221" w14:textId="77777777" w:rsidR="00312958" w:rsidRPr="00DE4914" w:rsidRDefault="00312958" w:rsidP="00312958">
            <w:pPr>
              <w:keepNext/>
              <w:spacing w:before="60" w:after="60"/>
              <w:ind w:left="-62"/>
              <w:rPr>
                <w:i/>
                <w:iCs/>
                <w:sz w:val="22"/>
                <w:szCs w:val="22"/>
              </w:rPr>
            </w:pPr>
            <w:r w:rsidRPr="00DE4914">
              <w:rPr>
                <w:i/>
                <w:iCs/>
                <w:sz w:val="22"/>
                <w:szCs w:val="22"/>
              </w:rPr>
              <w:t>Atacand</w:t>
            </w:r>
          </w:p>
        </w:tc>
        <w:tc>
          <w:tcPr>
            <w:tcW w:w="580" w:type="pct"/>
          </w:tcPr>
          <w:p w14:paraId="3A988A10" w14:textId="77777777" w:rsidR="00312958" w:rsidRPr="00DE4914" w:rsidRDefault="00312958" w:rsidP="00312958">
            <w:pPr>
              <w:keepNext/>
              <w:spacing w:before="60" w:after="60"/>
              <w:ind w:left="-62"/>
              <w:rPr>
                <w:b/>
                <w:bCs/>
                <w:i/>
                <w:iCs/>
                <w:sz w:val="22"/>
                <w:szCs w:val="22"/>
              </w:rPr>
            </w:pPr>
            <w:r w:rsidRPr="00DE4914">
              <w:rPr>
                <w:b/>
                <w:bCs/>
                <w:i/>
                <w:iCs/>
                <w:sz w:val="22"/>
                <w:szCs w:val="22"/>
              </w:rPr>
              <w:t>From:</w:t>
            </w:r>
            <w:r w:rsidRPr="00DE4914">
              <w:rPr>
                <w:sz w:val="22"/>
                <w:szCs w:val="22"/>
              </w:rPr>
              <w:t xml:space="preserve"> AP</w:t>
            </w:r>
          </w:p>
        </w:tc>
        <w:tc>
          <w:tcPr>
            <w:tcW w:w="507" w:type="pct"/>
          </w:tcPr>
          <w:p w14:paraId="08F56BFF" w14:textId="77777777" w:rsidR="00312958" w:rsidRPr="00DE4914" w:rsidRDefault="00312958" w:rsidP="00312958">
            <w:pPr>
              <w:keepNext/>
              <w:spacing w:before="60" w:after="60"/>
              <w:ind w:left="-62"/>
              <w:rPr>
                <w:b/>
                <w:bCs/>
                <w:i/>
                <w:iCs/>
                <w:sz w:val="22"/>
                <w:szCs w:val="22"/>
              </w:rPr>
            </w:pPr>
            <w:r w:rsidRPr="00DE4914">
              <w:rPr>
                <w:b/>
                <w:bCs/>
                <w:i/>
                <w:iCs/>
                <w:sz w:val="22"/>
                <w:szCs w:val="22"/>
              </w:rPr>
              <w:t>To:</w:t>
            </w:r>
            <w:r w:rsidRPr="00DE4914">
              <w:rPr>
                <w:sz w:val="22"/>
                <w:szCs w:val="22"/>
              </w:rPr>
              <w:t xml:space="preserve"> LM</w:t>
            </w:r>
          </w:p>
        </w:tc>
      </w:tr>
      <w:tr w:rsidR="00312958" w:rsidRPr="00312958" w14:paraId="5826F07E" w14:textId="77777777" w:rsidTr="006B364C">
        <w:trPr>
          <w:trHeight w:val="295"/>
        </w:trPr>
        <w:tc>
          <w:tcPr>
            <w:tcW w:w="1086" w:type="pct"/>
            <w:vMerge/>
          </w:tcPr>
          <w:p w14:paraId="182498E9" w14:textId="77777777" w:rsidR="00312958" w:rsidRPr="00DE4914" w:rsidRDefault="00312958" w:rsidP="00312958">
            <w:pPr>
              <w:spacing w:before="60" w:after="60"/>
              <w:ind w:left="-62"/>
              <w:rPr>
                <w:sz w:val="22"/>
                <w:szCs w:val="22"/>
              </w:rPr>
            </w:pPr>
          </w:p>
        </w:tc>
        <w:tc>
          <w:tcPr>
            <w:tcW w:w="1958" w:type="pct"/>
          </w:tcPr>
          <w:p w14:paraId="4F0AD7D8" w14:textId="1379D2EF" w:rsidR="00312958" w:rsidRPr="00DE4914" w:rsidRDefault="00312958" w:rsidP="00312958">
            <w:pPr>
              <w:spacing w:before="60" w:after="60"/>
              <w:ind w:left="-62"/>
              <w:rPr>
                <w:sz w:val="22"/>
                <w:szCs w:val="22"/>
              </w:rPr>
            </w:pPr>
            <w:r w:rsidRPr="00DE4914">
              <w:rPr>
                <w:sz w:val="22"/>
                <w:szCs w:val="22"/>
              </w:rPr>
              <w:t>Tablet containing candesartan cilexetil 8</w:t>
            </w:r>
            <w:r w:rsidR="00343061">
              <w:rPr>
                <w:sz w:val="22"/>
                <w:szCs w:val="22"/>
              </w:rPr>
              <w:t> </w:t>
            </w:r>
            <w:r w:rsidRPr="00DE4914">
              <w:rPr>
                <w:sz w:val="22"/>
                <w:szCs w:val="22"/>
              </w:rPr>
              <w:t>mg</w:t>
            </w:r>
          </w:p>
        </w:tc>
        <w:tc>
          <w:tcPr>
            <w:tcW w:w="869" w:type="pct"/>
          </w:tcPr>
          <w:p w14:paraId="6E0751F5" w14:textId="77777777" w:rsidR="00312958" w:rsidRPr="00DE4914" w:rsidRDefault="00312958" w:rsidP="00312958">
            <w:pPr>
              <w:spacing w:before="60" w:after="60"/>
              <w:ind w:left="-62"/>
              <w:rPr>
                <w:i/>
                <w:iCs/>
                <w:sz w:val="22"/>
                <w:szCs w:val="22"/>
              </w:rPr>
            </w:pPr>
            <w:r w:rsidRPr="00DE4914">
              <w:rPr>
                <w:i/>
                <w:iCs/>
                <w:sz w:val="22"/>
                <w:szCs w:val="22"/>
              </w:rPr>
              <w:t>Atacand</w:t>
            </w:r>
          </w:p>
        </w:tc>
        <w:tc>
          <w:tcPr>
            <w:tcW w:w="580" w:type="pct"/>
          </w:tcPr>
          <w:p w14:paraId="29E011B3"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AP</w:t>
            </w:r>
          </w:p>
        </w:tc>
        <w:tc>
          <w:tcPr>
            <w:tcW w:w="507" w:type="pct"/>
          </w:tcPr>
          <w:p w14:paraId="1413D6DF"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LM</w:t>
            </w:r>
          </w:p>
        </w:tc>
      </w:tr>
      <w:tr w:rsidR="00312958" w:rsidRPr="00312958" w14:paraId="625F496F" w14:textId="77777777" w:rsidTr="006B364C">
        <w:trPr>
          <w:trHeight w:val="295"/>
        </w:trPr>
        <w:tc>
          <w:tcPr>
            <w:tcW w:w="1086" w:type="pct"/>
            <w:vMerge/>
          </w:tcPr>
          <w:p w14:paraId="68E4F68D" w14:textId="77777777" w:rsidR="00312958" w:rsidRPr="00DE4914" w:rsidRDefault="00312958" w:rsidP="00312958">
            <w:pPr>
              <w:spacing w:before="60" w:after="60"/>
              <w:ind w:left="-62"/>
              <w:rPr>
                <w:sz w:val="22"/>
                <w:szCs w:val="22"/>
              </w:rPr>
            </w:pPr>
          </w:p>
        </w:tc>
        <w:tc>
          <w:tcPr>
            <w:tcW w:w="1958" w:type="pct"/>
          </w:tcPr>
          <w:p w14:paraId="32D364D4" w14:textId="16CF7F5B" w:rsidR="00312958" w:rsidRPr="00DE4914" w:rsidRDefault="00312958" w:rsidP="00312958">
            <w:pPr>
              <w:spacing w:before="60" w:after="60"/>
              <w:ind w:left="-62"/>
              <w:rPr>
                <w:sz w:val="22"/>
                <w:szCs w:val="22"/>
              </w:rPr>
            </w:pPr>
            <w:r w:rsidRPr="00DE4914">
              <w:rPr>
                <w:sz w:val="22"/>
                <w:szCs w:val="22"/>
              </w:rPr>
              <w:t>Tablet containing candesartan cilexetil 16</w:t>
            </w:r>
            <w:r w:rsidR="00343061">
              <w:rPr>
                <w:sz w:val="22"/>
                <w:szCs w:val="22"/>
              </w:rPr>
              <w:t> </w:t>
            </w:r>
            <w:r w:rsidRPr="00DE4914">
              <w:rPr>
                <w:sz w:val="22"/>
                <w:szCs w:val="22"/>
              </w:rPr>
              <w:t>mg</w:t>
            </w:r>
          </w:p>
        </w:tc>
        <w:tc>
          <w:tcPr>
            <w:tcW w:w="869" w:type="pct"/>
          </w:tcPr>
          <w:p w14:paraId="72CFD82D" w14:textId="77777777" w:rsidR="00312958" w:rsidRPr="00DE4914" w:rsidRDefault="00312958" w:rsidP="00312958">
            <w:pPr>
              <w:spacing w:before="60" w:after="60"/>
              <w:ind w:left="-62"/>
              <w:rPr>
                <w:i/>
                <w:iCs/>
                <w:sz w:val="22"/>
                <w:szCs w:val="22"/>
              </w:rPr>
            </w:pPr>
            <w:r w:rsidRPr="00DE4914">
              <w:rPr>
                <w:i/>
                <w:iCs/>
                <w:sz w:val="22"/>
                <w:szCs w:val="22"/>
              </w:rPr>
              <w:t>Atacand</w:t>
            </w:r>
          </w:p>
        </w:tc>
        <w:tc>
          <w:tcPr>
            <w:tcW w:w="580" w:type="pct"/>
          </w:tcPr>
          <w:p w14:paraId="2AA53B46"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AP</w:t>
            </w:r>
          </w:p>
        </w:tc>
        <w:tc>
          <w:tcPr>
            <w:tcW w:w="507" w:type="pct"/>
          </w:tcPr>
          <w:p w14:paraId="1FDFA8E6"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LM</w:t>
            </w:r>
          </w:p>
        </w:tc>
      </w:tr>
      <w:tr w:rsidR="00312958" w:rsidRPr="00312958" w14:paraId="44FFB1F3" w14:textId="77777777" w:rsidTr="006B364C">
        <w:trPr>
          <w:trHeight w:val="295"/>
        </w:trPr>
        <w:tc>
          <w:tcPr>
            <w:tcW w:w="1086" w:type="pct"/>
            <w:vMerge/>
          </w:tcPr>
          <w:p w14:paraId="7C9104E8" w14:textId="77777777" w:rsidR="00312958" w:rsidRPr="00DE4914" w:rsidRDefault="00312958" w:rsidP="00312958">
            <w:pPr>
              <w:spacing w:before="60" w:after="60"/>
              <w:ind w:left="-62"/>
              <w:rPr>
                <w:sz w:val="22"/>
                <w:szCs w:val="22"/>
              </w:rPr>
            </w:pPr>
          </w:p>
        </w:tc>
        <w:tc>
          <w:tcPr>
            <w:tcW w:w="1958" w:type="pct"/>
          </w:tcPr>
          <w:p w14:paraId="62763376" w14:textId="394C359D" w:rsidR="00312958" w:rsidRPr="00DE4914" w:rsidRDefault="00312958" w:rsidP="00312958">
            <w:pPr>
              <w:spacing w:before="60" w:after="60"/>
              <w:ind w:left="-62"/>
              <w:rPr>
                <w:sz w:val="22"/>
                <w:szCs w:val="22"/>
              </w:rPr>
            </w:pPr>
            <w:r w:rsidRPr="00DE4914">
              <w:rPr>
                <w:sz w:val="22"/>
                <w:szCs w:val="22"/>
              </w:rPr>
              <w:t>Tablet containing candesartan cilexetil 32</w:t>
            </w:r>
            <w:r w:rsidR="00343061">
              <w:rPr>
                <w:sz w:val="22"/>
                <w:szCs w:val="22"/>
              </w:rPr>
              <w:t> </w:t>
            </w:r>
            <w:r w:rsidRPr="00DE4914">
              <w:rPr>
                <w:sz w:val="22"/>
                <w:szCs w:val="22"/>
              </w:rPr>
              <w:t>mg</w:t>
            </w:r>
          </w:p>
        </w:tc>
        <w:tc>
          <w:tcPr>
            <w:tcW w:w="869" w:type="pct"/>
          </w:tcPr>
          <w:p w14:paraId="6BA12762" w14:textId="77777777" w:rsidR="00312958" w:rsidRPr="00DE4914" w:rsidRDefault="00312958" w:rsidP="00312958">
            <w:pPr>
              <w:spacing w:before="60" w:after="60"/>
              <w:ind w:left="-62"/>
              <w:rPr>
                <w:i/>
                <w:iCs/>
                <w:sz w:val="22"/>
                <w:szCs w:val="22"/>
              </w:rPr>
            </w:pPr>
            <w:r w:rsidRPr="00DE4914">
              <w:rPr>
                <w:i/>
                <w:iCs/>
                <w:sz w:val="22"/>
                <w:szCs w:val="22"/>
              </w:rPr>
              <w:t>Atacand</w:t>
            </w:r>
          </w:p>
        </w:tc>
        <w:tc>
          <w:tcPr>
            <w:tcW w:w="580" w:type="pct"/>
          </w:tcPr>
          <w:p w14:paraId="2070BB90"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AP</w:t>
            </w:r>
          </w:p>
        </w:tc>
        <w:tc>
          <w:tcPr>
            <w:tcW w:w="507" w:type="pct"/>
          </w:tcPr>
          <w:p w14:paraId="1FD83897"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LM</w:t>
            </w:r>
          </w:p>
        </w:tc>
      </w:tr>
      <w:tr w:rsidR="00312958" w:rsidRPr="00312958" w14:paraId="7812F7F2" w14:textId="77777777" w:rsidTr="006B364C">
        <w:trPr>
          <w:trHeight w:val="295"/>
        </w:trPr>
        <w:tc>
          <w:tcPr>
            <w:tcW w:w="1086" w:type="pct"/>
            <w:vMerge w:val="restart"/>
          </w:tcPr>
          <w:p w14:paraId="205AA0DB" w14:textId="77777777" w:rsidR="00312958" w:rsidRPr="00DE4914" w:rsidRDefault="00312958" w:rsidP="00312958">
            <w:pPr>
              <w:spacing w:before="60" w:after="60"/>
              <w:ind w:left="-62"/>
              <w:rPr>
                <w:sz w:val="22"/>
                <w:szCs w:val="22"/>
              </w:rPr>
            </w:pPr>
            <w:r w:rsidRPr="00DE4914">
              <w:rPr>
                <w:sz w:val="22"/>
                <w:szCs w:val="22"/>
              </w:rPr>
              <w:t>Candesartan with hydrochlorothiazide</w:t>
            </w:r>
          </w:p>
        </w:tc>
        <w:tc>
          <w:tcPr>
            <w:tcW w:w="1958" w:type="pct"/>
          </w:tcPr>
          <w:p w14:paraId="4FD9A269" w14:textId="24F2CA36" w:rsidR="00312958" w:rsidRPr="00DE4914" w:rsidRDefault="00312958" w:rsidP="00312958">
            <w:pPr>
              <w:spacing w:before="60" w:after="60"/>
              <w:ind w:left="-62"/>
              <w:rPr>
                <w:sz w:val="22"/>
                <w:szCs w:val="22"/>
              </w:rPr>
            </w:pPr>
            <w:r w:rsidRPr="00DE4914">
              <w:rPr>
                <w:sz w:val="22"/>
                <w:szCs w:val="22"/>
              </w:rPr>
              <w:t>Tablet containing candesartan cilexetil 16</w:t>
            </w:r>
            <w:r w:rsidR="00343061">
              <w:rPr>
                <w:sz w:val="22"/>
                <w:szCs w:val="22"/>
              </w:rPr>
              <w:t> </w:t>
            </w:r>
            <w:r w:rsidRPr="00DE4914">
              <w:rPr>
                <w:sz w:val="22"/>
                <w:szCs w:val="22"/>
              </w:rPr>
              <w:t>mg with hydrochlorothiazide 12.5 mg</w:t>
            </w:r>
          </w:p>
        </w:tc>
        <w:tc>
          <w:tcPr>
            <w:tcW w:w="869" w:type="pct"/>
          </w:tcPr>
          <w:p w14:paraId="6B388077" w14:textId="77777777" w:rsidR="00312958" w:rsidRPr="00DE4914" w:rsidRDefault="00312958" w:rsidP="00312958">
            <w:pPr>
              <w:spacing w:before="60" w:after="60"/>
              <w:ind w:left="-62"/>
              <w:rPr>
                <w:i/>
                <w:iCs/>
                <w:sz w:val="22"/>
                <w:szCs w:val="22"/>
              </w:rPr>
            </w:pPr>
            <w:r w:rsidRPr="00DE4914">
              <w:rPr>
                <w:i/>
                <w:iCs/>
                <w:sz w:val="22"/>
                <w:szCs w:val="22"/>
              </w:rPr>
              <w:t>Atacand Plus 16/12.5</w:t>
            </w:r>
          </w:p>
        </w:tc>
        <w:tc>
          <w:tcPr>
            <w:tcW w:w="580" w:type="pct"/>
          </w:tcPr>
          <w:p w14:paraId="71A54BC4"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AP</w:t>
            </w:r>
          </w:p>
        </w:tc>
        <w:tc>
          <w:tcPr>
            <w:tcW w:w="507" w:type="pct"/>
          </w:tcPr>
          <w:p w14:paraId="6D5885D4"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LM</w:t>
            </w:r>
          </w:p>
        </w:tc>
      </w:tr>
      <w:tr w:rsidR="00312958" w:rsidRPr="00312958" w14:paraId="251D8F97" w14:textId="77777777" w:rsidTr="006B364C">
        <w:trPr>
          <w:trHeight w:val="295"/>
        </w:trPr>
        <w:tc>
          <w:tcPr>
            <w:tcW w:w="1086" w:type="pct"/>
            <w:vMerge/>
          </w:tcPr>
          <w:p w14:paraId="0ABEE857" w14:textId="77777777" w:rsidR="00312958" w:rsidRPr="00DE4914" w:rsidRDefault="00312958" w:rsidP="00312958">
            <w:pPr>
              <w:spacing w:before="60" w:after="60"/>
              <w:ind w:left="-62"/>
              <w:rPr>
                <w:sz w:val="22"/>
                <w:szCs w:val="22"/>
              </w:rPr>
            </w:pPr>
          </w:p>
        </w:tc>
        <w:tc>
          <w:tcPr>
            <w:tcW w:w="1958" w:type="pct"/>
          </w:tcPr>
          <w:p w14:paraId="58E41AF6" w14:textId="7F8E42DF" w:rsidR="00312958" w:rsidRPr="00DE4914" w:rsidRDefault="00312958" w:rsidP="00312958">
            <w:pPr>
              <w:spacing w:before="60" w:after="60"/>
              <w:ind w:left="-62"/>
              <w:rPr>
                <w:sz w:val="22"/>
                <w:szCs w:val="22"/>
              </w:rPr>
            </w:pPr>
            <w:r w:rsidRPr="00DE4914">
              <w:rPr>
                <w:sz w:val="22"/>
                <w:szCs w:val="22"/>
              </w:rPr>
              <w:t>Tablet containing candesartan cilexetil 32</w:t>
            </w:r>
            <w:r w:rsidR="00343061">
              <w:rPr>
                <w:sz w:val="22"/>
                <w:szCs w:val="22"/>
              </w:rPr>
              <w:t> </w:t>
            </w:r>
            <w:r w:rsidRPr="00DE4914">
              <w:rPr>
                <w:sz w:val="22"/>
                <w:szCs w:val="22"/>
              </w:rPr>
              <w:t>mg with hydrochlorothiazide 12.5 mg</w:t>
            </w:r>
          </w:p>
        </w:tc>
        <w:tc>
          <w:tcPr>
            <w:tcW w:w="869" w:type="pct"/>
          </w:tcPr>
          <w:p w14:paraId="41EB228A" w14:textId="77777777" w:rsidR="00312958" w:rsidRPr="00DE4914" w:rsidRDefault="00312958" w:rsidP="00312958">
            <w:pPr>
              <w:spacing w:before="60" w:after="60"/>
              <w:ind w:left="-62"/>
              <w:rPr>
                <w:i/>
                <w:iCs/>
                <w:sz w:val="22"/>
                <w:szCs w:val="22"/>
              </w:rPr>
            </w:pPr>
            <w:r w:rsidRPr="00DE4914">
              <w:rPr>
                <w:i/>
                <w:iCs/>
                <w:sz w:val="22"/>
                <w:szCs w:val="22"/>
              </w:rPr>
              <w:t>Atacand Plus 32/12.5</w:t>
            </w:r>
          </w:p>
        </w:tc>
        <w:tc>
          <w:tcPr>
            <w:tcW w:w="580" w:type="pct"/>
          </w:tcPr>
          <w:p w14:paraId="7498D36F"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AP</w:t>
            </w:r>
          </w:p>
        </w:tc>
        <w:tc>
          <w:tcPr>
            <w:tcW w:w="507" w:type="pct"/>
          </w:tcPr>
          <w:p w14:paraId="25F43838"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LM</w:t>
            </w:r>
          </w:p>
        </w:tc>
      </w:tr>
      <w:tr w:rsidR="00312958" w:rsidRPr="00312958" w14:paraId="04522573" w14:textId="77777777" w:rsidTr="006B364C">
        <w:trPr>
          <w:trHeight w:val="295"/>
        </w:trPr>
        <w:tc>
          <w:tcPr>
            <w:tcW w:w="1086" w:type="pct"/>
            <w:vMerge/>
          </w:tcPr>
          <w:p w14:paraId="7A1A6620" w14:textId="77777777" w:rsidR="00312958" w:rsidRPr="00DE4914" w:rsidRDefault="00312958" w:rsidP="00312958">
            <w:pPr>
              <w:spacing w:before="60" w:after="60"/>
              <w:ind w:left="-62"/>
              <w:rPr>
                <w:sz w:val="22"/>
                <w:szCs w:val="22"/>
              </w:rPr>
            </w:pPr>
          </w:p>
        </w:tc>
        <w:tc>
          <w:tcPr>
            <w:tcW w:w="1958" w:type="pct"/>
          </w:tcPr>
          <w:p w14:paraId="61CCC465" w14:textId="47B61DF4" w:rsidR="00312958" w:rsidRPr="00DE4914" w:rsidRDefault="00312958" w:rsidP="00312958">
            <w:pPr>
              <w:spacing w:before="60" w:after="60"/>
              <w:ind w:left="-62"/>
              <w:rPr>
                <w:sz w:val="22"/>
                <w:szCs w:val="22"/>
              </w:rPr>
            </w:pPr>
            <w:r w:rsidRPr="00DE4914">
              <w:rPr>
                <w:sz w:val="22"/>
                <w:szCs w:val="22"/>
              </w:rPr>
              <w:t>Tablet containing candesartan cilexetil 32</w:t>
            </w:r>
            <w:r w:rsidR="00343061">
              <w:rPr>
                <w:sz w:val="22"/>
                <w:szCs w:val="22"/>
              </w:rPr>
              <w:t> </w:t>
            </w:r>
            <w:r w:rsidRPr="00DE4914">
              <w:rPr>
                <w:sz w:val="22"/>
                <w:szCs w:val="22"/>
              </w:rPr>
              <w:t>mg with hydrochlorothiazide 25 mg</w:t>
            </w:r>
          </w:p>
        </w:tc>
        <w:tc>
          <w:tcPr>
            <w:tcW w:w="869" w:type="pct"/>
          </w:tcPr>
          <w:p w14:paraId="079750C1" w14:textId="77777777" w:rsidR="00312958" w:rsidRPr="00DE4914" w:rsidRDefault="00312958" w:rsidP="00312958">
            <w:pPr>
              <w:spacing w:before="60" w:after="60"/>
              <w:ind w:left="-62"/>
              <w:rPr>
                <w:i/>
                <w:iCs/>
                <w:sz w:val="22"/>
                <w:szCs w:val="22"/>
              </w:rPr>
            </w:pPr>
            <w:r w:rsidRPr="00DE4914">
              <w:rPr>
                <w:i/>
                <w:iCs/>
                <w:sz w:val="22"/>
                <w:szCs w:val="22"/>
              </w:rPr>
              <w:t>Atacand Plus 32/25</w:t>
            </w:r>
          </w:p>
        </w:tc>
        <w:tc>
          <w:tcPr>
            <w:tcW w:w="580" w:type="pct"/>
          </w:tcPr>
          <w:p w14:paraId="5301AB78"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AP</w:t>
            </w:r>
          </w:p>
        </w:tc>
        <w:tc>
          <w:tcPr>
            <w:tcW w:w="507" w:type="pct"/>
          </w:tcPr>
          <w:p w14:paraId="021BECA5"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LM</w:t>
            </w:r>
          </w:p>
        </w:tc>
      </w:tr>
      <w:tr w:rsidR="00312958" w:rsidRPr="00312958" w14:paraId="479CC8CB" w14:textId="77777777" w:rsidTr="006B364C">
        <w:trPr>
          <w:trHeight w:val="295"/>
        </w:trPr>
        <w:tc>
          <w:tcPr>
            <w:tcW w:w="1086" w:type="pct"/>
            <w:vMerge w:val="restart"/>
          </w:tcPr>
          <w:p w14:paraId="5E736666" w14:textId="77777777" w:rsidR="00312958" w:rsidRPr="00DE4914" w:rsidRDefault="00312958" w:rsidP="00312958">
            <w:pPr>
              <w:spacing w:before="60" w:after="60"/>
              <w:ind w:left="-62"/>
              <w:rPr>
                <w:sz w:val="22"/>
                <w:szCs w:val="22"/>
              </w:rPr>
            </w:pPr>
            <w:r w:rsidRPr="00DE4914">
              <w:rPr>
                <w:sz w:val="22"/>
                <w:szCs w:val="22"/>
              </w:rPr>
              <w:t>Carbamazepine</w:t>
            </w:r>
          </w:p>
        </w:tc>
        <w:tc>
          <w:tcPr>
            <w:tcW w:w="1958" w:type="pct"/>
          </w:tcPr>
          <w:p w14:paraId="0C2C3BAD" w14:textId="77777777" w:rsidR="00312958" w:rsidRPr="00DE4914" w:rsidRDefault="00312958" w:rsidP="00312958">
            <w:pPr>
              <w:spacing w:before="60" w:after="60"/>
              <w:ind w:left="-62"/>
              <w:rPr>
                <w:sz w:val="22"/>
                <w:szCs w:val="22"/>
              </w:rPr>
            </w:pPr>
            <w:r w:rsidRPr="00DE4914">
              <w:rPr>
                <w:sz w:val="22"/>
                <w:szCs w:val="22"/>
              </w:rPr>
              <w:t>Tablet 100 mg</w:t>
            </w:r>
          </w:p>
        </w:tc>
        <w:tc>
          <w:tcPr>
            <w:tcW w:w="869" w:type="pct"/>
          </w:tcPr>
          <w:p w14:paraId="17FA243B" w14:textId="77777777" w:rsidR="00312958" w:rsidRPr="00DE4914" w:rsidRDefault="00312958" w:rsidP="00312958">
            <w:pPr>
              <w:spacing w:before="60" w:after="60"/>
              <w:ind w:left="-62"/>
              <w:rPr>
                <w:i/>
                <w:iCs/>
                <w:sz w:val="22"/>
                <w:szCs w:val="22"/>
              </w:rPr>
            </w:pPr>
            <w:r w:rsidRPr="00DE4914">
              <w:rPr>
                <w:i/>
                <w:iCs/>
                <w:sz w:val="22"/>
                <w:szCs w:val="22"/>
              </w:rPr>
              <w:t>Carbamazepine Sandoz</w:t>
            </w:r>
          </w:p>
        </w:tc>
        <w:tc>
          <w:tcPr>
            <w:tcW w:w="580" w:type="pct"/>
          </w:tcPr>
          <w:p w14:paraId="724CB0BD"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SZ</w:t>
            </w:r>
          </w:p>
        </w:tc>
        <w:tc>
          <w:tcPr>
            <w:tcW w:w="507" w:type="pct"/>
          </w:tcPr>
          <w:p w14:paraId="0325438A"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NM</w:t>
            </w:r>
          </w:p>
        </w:tc>
      </w:tr>
      <w:tr w:rsidR="00312958" w:rsidRPr="00312958" w14:paraId="0595F6F2" w14:textId="77777777" w:rsidTr="006B364C">
        <w:trPr>
          <w:trHeight w:val="295"/>
        </w:trPr>
        <w:tc>
          <w:tcPr>
            <w:tcW w:w="1086" w:type="pct"/>
            <w:vMerge/>
          </w:tcPr>
          <w:p w14:paraId="64CFEE69" w14:textId="77777777" w:rsidR="00312958" w:rsidRPr="00DE4914" w:rsidRDefault="00312958" w:rsidP="00312958">
            <w:pPr>
              <w:spacing w:before="60" w:after="60"/>
              <w:ind w:left="-62"/>
              <w:rPr>
                <w:sz w:val="22"/>
                <w:szCs w:val="22"/>
              </w:rPr>
            </w:pPr>
          </w:p>
        </w:tc>
        <w:tc>
          <w:tcPr>
            <w:tcW w:w="1958" w:type="pct"/>
          </w:tcPr>
          <w:p w14:paraId="17FA1ABF" w14:textId="77777777" w:rsidR="00312958" w:rsidRPr="00DE4914" w:rsidRDefault="00312958" w:rsidP="00312958">
            <w:pPr>
              <w:spacing w:before="60" w:after="60"/>
              <w:ind w:left="-62"/>
              <w:rPr>
                <w:sz w:val="22"/>
                <w:szCs w:val="22"/>
              </w:rPr>
            </w:pPr>
            <w:r w:rsidRPr="00DE4914">
              <w:rPr>
                <w:sz w:val="22"/>
                <w:szCs w:val="22"/>
              </w:rPr>
              <w:t>Tablet 200 mg</w:t>
            </w:r>
          </w:p>
        </w:tc>
        <w:tc>
          <w:tcPr>
            <w:tcW w:w="869" w:type="pct"/>
          </w:tcPr>
          <w:p w14:paraId="70E0DABD" w14:textId="77777777" w:rsidR="00312958" w:rsidRPr="00DE4914" w:rsidRDefault="00312958" w:rsidP="00312958">
            <w:pPr>
              <w:spacing w:before="60" w:after="60"/>
              <w:ind w:left="-62"/>
              <w:rPr>
                <w:i/>
                <w:iCs/>
                <w:sz w:val="22"/>
                <w:szCs w:val="22"/>
              </w:rPr>
            </w:pPr>
            <w:r w:rsidRPr="00DE4914">
              <w:rPr>
                <w:i/>
                <w:iCs/>
                <w:sz w:val="22"/>
                <w:szCs w:val="22"/>
              </w:rPr>
              <w:t>Carbamazepine Sandoz</w:t>
            </w:r>
          </w:p>
        </w:tc>
        <w:tc>
          <w:tcPr>
            <w:tcW w:w="580" w:type="pct"/>
          </w:tcPr>
          <w:p w14:paraId="7D347E31"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SZ</w:t>
            </w:r>
          </w:p>
        </w:tc>
        <w:tc>
          <w:tcPr>
            <w:tcW w:w="507" w:type="pct"/>
          </w:tcPr>
          <w:p w14:paraId="61DA0F9D"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NM</w:t>
            </w:r>
          </w:p>
        </w:tc>
      </w:tr>
      <w:tr w:rsidR="00312958" w:rsidRPr="00312958" w14:paraId="08EA016A" w14:textId="77777777" w:rsidTr="006B364C">
        <w:trPr>
          <w:trHeight w:val="295"/>
        </w:trPr>
        <w:tc>
          <w:tcPr>
            <w:tcW w:w="1086" w:type="pct"/>
            <w:vMerge w:val="restart"/>
          </w:tcPr>
          <w:p w14:paraId="652F4D85" w14:textId="77777777" w:rsidR="00312958" w:rsidRPr="00DE4914" w:rsidRDefault="00312958" w:rsidP="00312958">
            <w:pPr>
              <w:spacing w:before="60" w:after="60"/>
              <w:ind w:left="-62"/>
              <w:rPr>
                <w:sz w:val="22"/>
                <w:szCs w:val="22"/>
              </w:rPr>
            </w:pPr>
            <w:r w:rsidRPr="00DE4914">
              <w:rPr>
                <w:sz w:val="22"/>
                <w:szCs w:val="22"/>
              </w:rPr>
              <w:t>Ciclosporin</w:t>
            </w:r>
          </w:p>
        </w:tc>
        <w:tc>
          <w:tcPr>
            <w:tcW w:w="1958" w:type="pct"/>
          </w:tcPr>
          <w:p w14:paraId="62BDDC94" w14:textId="77777777" w:rsidR="00312958" w:rsidRPr="00DE4914" w:rsidRDefault="00312958" w:rsidP="00312958">
            <w:pPr>
              <w:spacing w:before="60" w:after="60"/>
              <w:ind w:left="-62"/>
              <w:rPr>
                <w:sz w:val="22"/>
                <w:szCs w:val="22"/>
              </w:rPr>
            </w:pPr>
            <w:r w:rsidRPr="00DE4914">
              <w:rPr>
                <w:sz w:val="22"/>
                <w:szCs w:val="22"/>
              </w:rPr>
              <w:t>Capsule 25 mg</w:t>
            </w:r>
          </w:p>
        </w:tc>
        <w:tc>
          <w:tcPr>
            <w:tcW w:w="869" w:type="pct"/>
          </w:tcPr>
          <w:p w14:paraId="28C3FDDF" w14:textId="77777777" w:rsidR="00312958" w:rsidRPr="00DE4914" w:rsidRDefault="00312958" w:rsidP="00312958">
            <w:pPr>
              <w:spacing w:before="60" w:after="60"/>
              <w:ind w:left="-62"/>
              <w:rPr>
                <w:i/>
                <w:iCs/>
                <w:sz w:val="22"/>
                <w:szCs w:val="22"/>
              </w:rPr>
            </w:pPr>
            <w:r w:rsidRPr="00DE4914">
              <w:rPr>
                <w:i/>
                <w:iCs/>
                <w:sz w:val="22"/>
                <w:szCs w:val="22"/>
              </w:rPr>
              <w:t>Cyclosporin Sandoz</w:t>
            </w:r>
          </w:p>
        </w:tc>
        <w:tc>
          <w:tcPr>
            <w:tcW w:w="580" w:type="pct"/>
          </w:tcPr>
          <w:p w14:paraId="01EF2144"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SZ</w:t>
            </w:r>
          </w:p>
        </w:tc>
        <w:tc>
          <w:tcPr>
            <w:tcW w:w="507" w:type="pct"/>
          </w:tcPr>
          <w:p w14:paraId="4DDBEB98"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NM</w:t>
            </w:r>
          </w:p>
        </w:tc>
      </w:tr>
      <w:tr w:rsidR="00312958" w:rsidRPr="00312958" w14:paraId="209BF8C5" w14:textId="77777777" w:rsidTr="006B364C">
        <w:trPr>
          <w:trHeight w:val="295"/>
        </w:trPr>
        <w:tc>
          <w:tcPr>
            <w:tcW w:w="1086" w:type="pct"/>
            <w:vMerge/>
          </w:tcPr>
          <w:p w14:paraId="1444E5CD" w14:textId="77777777" w:rsidR="00312958" w:rsidRPr="00DE4914" w:rsidRDefault="00312958" w:rsidP="00312958">
            <w:pPr>
              <w:spacing w:before="60" w:after="60"/>
              <w:ind w:left="-62"/>
              <w:rPr>
                <w:sz w:val="22"/>
                <w:szCs w:val="22"/>
              </w:rPr>
            </w:pPr>
          </w:p>
        </w:tc>
        <w:tc>
          <w:tcPr>
            <w:tcW w:w="1958" w:type="pct"/>
          </w:tcPr>
          <w:p w14:paraId="323095FB" w14:textId="77777777" w:rsidR="00312958" w:rsidRPr="00DE4914" w:rsidRDefault="00312958" w:rsidP="00312958">
            <w:pPr>
              <w:spacing w:before="60" w:after="60"/>
              <w:ind w:left="-62"/>
              <w:rPr>
                <w:sz w:val="22"/>
                <w:szCs w:val="22"/>
              </w:rPr>
            </w:pPr>
            <w:r w:rsidRPr="00DE4914">
              <w:rPr>
                <w:sz w:val="22"/>
                <w:szCs w:val="22"/>
              </w:rPr>
              <w:t>Capsule 50 mg</w:t>
            </w:r>
          </w:p>
        </w:tc>
        <w:tc>
          <w:tcPr>
            <w:tcW w:w="869" w:type="pct"/>
          </w:tcPr>
          <w:p w14:paraId="0CF693FB" w14:textId="77777777" w:rsidR="00312958" w:rsidRPr="00DE4914" w:rsidRDefault="00312958" w:rsidP="00312958">
            <w:pPr>
              <w:spacing w:before="60" w:after="60"/>
              <w:ind w:left="-62"/>
              <w:rPr>
                <w:i/>
                <w:iCs/>
                <w:sz w:val="22"/>
                <w:szCs w:val="22"/>
              </w:rPr>
            </w:pPr>
            <w:r w:rsidRPr="00DE4914">
              <w:rPr>
                <w:i/>
                <w:iCs/>
                <w:sz w:val="22"/>
                <w:szCs w:val="22"/>
              </w:rPr>
              <w:t>Cyclosporin Sandoz</w:t>
            </w:r>
          </w:p>
        </w:tc>
        <w:tc>
          <w:tcPr>
            <w:tcW w:w="580" w:type="pct"/>
          </w:tcPr>
          <w:p w14:paraId="6A97B6D5"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SZ</w:t>
            </w:r>
          </w:p>
        </w:tc>
        <w:tc>
          <w:tcPr>
            <w:tcW w:w="507" w:type="pct"/>
          </w:tcPr>
          <w:p w14:paraId="594E017D"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NM</w:t>
            </w:r>
          </w:p>
        </w:tc>
      </w:tr>
      <w:tr w:rsidR="00312958" w:rsidRPr="00312958" w14:paraId="3F2EFDEF" w14:textId="77777777" w:rsidTr="006B364C">
        <w:trPr>
          <w:trHeight w:val="295"/>
        </w:trPr>
        <w:tc>
          <w:tcPr>
            <w:tcW w:w="1086" w:type="pct"/>
            <w:vMerge/>
          </w:tcPr>
          <w:p w14:paraId="1AA367AC" w14:textId="77777777" w:rsidR="00312958" w:rsidRPr="00DE4914" w:rsidRDefault="00312958" w:rsidP="00312958">
            <w:pPr>
              <w:spacing w:before="60" w:after="60"/>
              <w:ind w:left="-62"/>
              <w:rPr>
                <w:sz w:val="22"/>
                <w:szCs w:val="22"/>
              </w:rPr>
            </w:pPr>
          </w:p>
        </w:tc>
        <w:tc>
          <w:tcPr>
            <w:tcW w:w="1958" w:type="pct"/>
          </w:tcPr>
          <w:p w14:paraId="09CCFD9D" w14:textId="77777777" w:rsidR="00312958" w:rsidRPr="00DE4914" w:rsidRDefault="00312958" w:rsidP="00312958">
            <w:pPr>
              <w:spacing w:before="60" w:after="60"/>
              <w:ind w:left="-62"/>
              <w:rPr>
                <w:sz w:val="22"/>
                <w:szCs w:val="22"/>
              </w:rPr>
            </w:pPr>
            <w:r w:rsidRPr="00DE4914">
              <w:rPr>
                <w:sz w:val="22"/>
                <w:szCs w:val="22"/>
              </w:rPr>
              <w:t>Capsule 100 mg</w:t>
            </w:r>
          </w:p>
        </w:tc>
        <w:tc>
          <w:tcPr>
            <w:tcW w:w="869" w:type="pct"/>
          </w:tcPr>
          <w:p w14:paraId="182A387E" w14:textId="77777777" w:rsidR="00312958" w:rsidRPr="00DE4914" w:rsidRDefault="00312958" w:rsidP="00312958">
            <w:pPr>
              <w:spacing w:before="60" w:after="60"/>
              <w:ind w:left="-62"/>
              <w:rPr>
                <w:i/>
                <w:iCs/>
                <w:sz w:val="22"/>
                <w:szCs w:val="22"/>
              </w:rPr>
            </w:pPr>
            <w:r w:rsidRPr="00DE4914">
              <w:rPr>
                <w:i/>
                <w:iCs/>
                <w:sz w:val="22"/>
                <w:szCs w:val="22"/>
              </w:rPr>
              <w:t>Cyclosporin Sandoz</w:t>
            </w:r>
          </w:p>
        </w:tc>
        <w:tc>
          <w:tcPr>
            <w:tcW w:w="580" w:type="pct"/>
          </w:tcPr>
          <w:p w14:paraId="26C6060D"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SZ</w:t>
            </w:r>
          </w:p>
        </w:tc>
        <w:tc>
          <w:tcPr>
            <w:tcW w:w="507" w:type="pct"/>
          </w:tcPr>
          <w:p w14:paraId="15E2F71E"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NM</w:t>
            </w:r>
          </w:p>
        </w:tc>
      </w:tr>
      <w:tr w:rsidR="00312958" w:rsidRPr="00312958" w14:paraId="0C1018C2" w14:textId="77777777" w:rsidTr="006B364C">
        <w:trPr>
          <w:trHeight w:val="295"/>
        </w:trPr>
        <w:tc>
          <w:tcPr>
            <w:tcW w:w="1086" w:type="pct"/>
          </w:tcPr>
          <w:p w14:paraId="08D090F8" w14:textId="77777777" w:rsidR="00312958" w:rsidRPr="00DE4914" w:rsidRDefault="00312958" w:rsidP="00312958">
            <w:pPr>
              <w:spacing w:before="60" w:after="60"/>
              <w:ind w:left="-62"/>
              <w:rPr>
                <w:sz w:val="22"/>
                <w:szCs w:val="22"/>
              </w:rPr>
            </w:pPr>
            <w:r w:rsidRPr="00DE4914">
              <w:rPr>
                <w:sz w:val="22"/>
                <w:szCs w:val="22"/>
              </w:rPr>
              <w:t>Clindamycin</w:t>
            </w:r>
          </w:p>
        </w:tc>
        <w:tc>
          <w:tcPr>
            <w:tcW w:w="1958" w:type="pct"/>
          </w:tcPr>
          <w:p w14:paraId="44563716" w14:textId="77777777" w:rsidR="00312958" w:rsidRPr="00DE4914" w:rsidRDefault="00312958" w:rsidP="00312958">
            <w:pPr>
              <w:spacing w:before="60" w:after="60"/>
              <w:ind w:left="-62"/>
              <w:rPr>
                <w:sz w:val="22"/>
                <w:szCs w:val="22"/>
              </w:rPr>
            </w:pPr>
            <w:r w:rsidRPr="00DE4914">
              <w:rPr>
                <w:sz w:val="22"/>
                <w:szCs w:val="22"/>
              </w:rPr>
              <w:t>Capsule 150 mg (as hydrochloride)</w:t>
            </w:r>
          </w:p>
        </w:tc>
        <w:tc>
          <w:tcPr>
            <w:tcW w:w="869" w:type="pct"/>
          </w:tcPr>
          <w:p w14:paraId="3A8C1B4A" w14:textId="77777777" w:rsidR="00312958" w:rsidRPr="00DE4914" w:rsidRDefault="00312958" w:rsidP="00312958">
            <w:pPr>
              <w:spacing w:before="60" w:after="60"/>
              <w:ind w:left="-62"/>
              <w:rPr>
                <w:i/>
                <w:iCs/>
                <w:sz w:val="22"/>
                <w:szCs w:val="22"/>
              </w:rPr>
            </w:pPr>
            <w:r w:rsidRPr="00DE4914">
              <w:rPr>
                <w:i/>
                <w:iCs/>
                <w:sz w:val="22"/>
                <w:szCs w:val="22"/>
              </w:rPr>
              <w:t>Clindamycin LU</w:t>
            </w:r>
          </w:p>
        </w:tc>
        <w:tc>
          <w:tcPr>
            <w:tcW w:w="580" w:type="pct"/>
          </w:tcPr>
          <w:p w14:paraId="2BFFA69F"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LV</w:t>
            </w:r>
          </w:p>
        </w:tc>
        <w:tc>
          <w:tcPr>
            <w:tcW w:w="507" w:type="pct"/>
          </w:tcPr>
          <w:p w14:paraId="09A7F935"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XT</w:t>
            </w:r>
          </w:p>
        </w:tc>
      </w:tr>
      <w:tr w:rsidR="00312958" w:rsidRPr="00312958" w14:paraId="7EB00342" w14:textId="77777777" w:rsidTr="006B364C">
        <w:trPr>
          <w:trHeight w:val="295"/>
        </w:trPr>
        <w:tc>
          <w:tcPr>
            <w:tcW w:w="1086" w:type="pct"/>
          </w:tcPr>
          <w:p w14:paraId="60928E49" w14:textId="77777777" w:rsidR="00312958" w:rsidRPr="00DE4914" w:rsidRDefault="00312958" w:rsidP="00312958">
            <w:pPr>
              <w:spacing w:before="60" w:after="60"/>
              <w:ind w:left="-62"/>
              <w:rPr>
                <w:sz w:val="22"/>
                <w:szCs w:val="22"/>
              </w:rPr>
            </w:pPr>
            <w:r w:rsidRPr="00DE4914">
              <w:rPr>
                <w:sz w:val="22"/>
                <w:szCs w:val="22"/>
              </w:rPr>
              <w:t>Fenofibrate</w:t>
            </w:r>
          </w:p>
        </w:tc>
        <w:tc>
          <w:tcPr>
            <w:tcW w:w="1958" w:type="pct"/>
          </w:tcPr>
          <w:p w14:paraId="71696F1E" w14:textId="77777777" w:rsidR="00312958" w:rsidRPr="00DE4914" w:rsidRDefault="00312958" w:rsidP="00312958">
            <w:pPr>
              <w:spacing w:before="60" w:after="60"/>
              <w:ind w:left="-62"/>
              <w:rPr>
                <w:sz w:val="22"/>
                <w:szCs w:val="22"/>
              </w:rPr>
            </w:pPr>
            <w:r w:rsidRPr="00DE4914">
              <w:rPr>
                <w:sz w:val="22"/>
                <w:szCs w:val="22"/>
              </w:rPr>
              <w:t>Tablet 145 mg</w:t>
            </w:r>
          </w:p>
        </w:tc>
        <w:tc>
          <w:tcPr>
            <w:tcW w:w="869" w:type="pct"/>
          </w:tcPr>
          <w:p w14:paraId="74D8C19D" w14:textId="77777777" w:rsidR="00312958" w:rsidRPr="00DE4914" w:rsidRDefault="00312958" w:rsidP="00312958">
            <w:pPr>
              <w:spacing w:before="60" w:after="60"/>
              <w:ind w:left="-62"/>
              <w:rPr>
                <w:i/>
                <w:iCs/>
                <w:sz w:val="22"/>
                <w:szCs w:val="22"/>
              </w:rPr>
            </w:pPr>
            <w:r w:rsidRPr="00DE4914">
              <w:rPr>
                <w:i/>
                <w:iCs/>
                <w:sz w:val="22"/>
                <w:szCs w:val="22"/>
              </w:rPr>
              <w:t>Fenocol</w:t>
            </w:r>
          </w:p>
        </w:tc>
        <w:tc>
          <w:tcPr>
            <w:tcW w:w="580" w:type="pct"/>
          </w:tcPr>
          <w:p w14:paraId="3A889DA5"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YC</w:t>
            </w:r>
          </w:p>
        </w:tc>
        <w:tc>
          <w:tcPr>
            <w:tcW w:w="507" w:type="pct"/>
          </w:tcPr>
          <w:p w14:paraId="2614954A"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XT</w:t>
            </w:r>
          </w:p>
        </w:tc>
      </w:tr>
      <w:tr w:rsidR="00312958" w:rsidRPr="00312958" w14:paraId="76840CDE" w14:textId="77777777" w:rsidTr="006B364C">
        <w:trPr>
          <w:trHeight w:val="295"/>
        </w:trPr>
        <w:tc>
          <w:tcPr>
            <w:tcW w:w="1086" w:type="pct"/>
            <w:vMerge w:val="restart"/>
          </w:tcPr>
          <w:p w14:paraId="4179F0D7" w14:textId="77777777" w:rsidR="00312958" w:rsidRPr="00DE4914" w:rsidRDefault="00312958" w:rsidP="00312958">
            <w:pPr>
              <w:spacing w:before="60" w:after="60"/>
              <w:ind w:left="-62"/>
              <w:rPr>
                <w:sz w:val="22"/>
                <w:szCs w:val="22"/>
              </w:rPr>
            </w:pPr>
            <w:r w:rsidRPr="00DE4914">
              <w:rPr>
                <w:sz w:val="22"/>
                <w:szCs w:val="22"/>
              </w:rPr>
              <w:t>Ferric carboxymaltose</w:t>
            </w:r>
          </w:p>
        </w:tc>
        <w:tc>
          <w:tcPr>
            <w:tcW w:w="1958" w:type="pct"/>
          </w:tcPr>
          <w:p w14:paraId="7E19374D" w14:textId="77777777" w:rsidR="00312958" w:rsidRPr="00DE4914" w:rsidRDefault="00312958" w:rsidP="00312958">
            <w:pPr>
              <w:spacing w:before="60" w:after="60"/>
              <w:ind w:left="-62"/>
              <w:rPr>
                <w:sz w:val="22"/>
                <w:szCs w:val="22"/>
              </w:rPr>
            </w:pPr>
            <w:r w:rsidRPr="00DE4914">
              <w:rPr>
                <w:sz w:val="22"/>
                <w:szCs w:val="22"/>
              </w:rPr>
              <w:t>Injection 500 mg (iron) in 10 mL</w:t>
            </w:r>
          </w:p>
        </w:tc>
        <w:tc>
          <w:tcPr>
            <w:tcW w:w="869" w:type="pct"/>
          </w:tcPr>
          <w:p w14:paraId="286B84F4" w14:textId="77777777" w:rsidR="00312958" w:rsidRPr="00DE4914" w:rsidRDefault="00312958" w:rsidP="00312958">
            <w:pPr>
              <w:spacing w:before="60" w:after="60"/>
              <w:ind w:left="-62"/>
              <w:rPr>
                <w:i/>
                <w:iCs/>
                <w:sz w:val="22"/>
                <w:szCs w:val="22"/>
              </w:rPr>
            </w:pPr>
            <w:r w:rsidRPr="00DE4914">
              <w:rPr>
                <w:i/>
                <w:iCs/>
                <w:sz w:val="22"/>
                <w:szCs w:val="22"/>
              </w:rPr>
              <w:t>Ferinject</w:t>
            </w:r>
          </w:p>
        </w:tc>
        <w:tc>
          <w:tcPr>
            <w:tcW w:w="580" w:type="pct"/>
          </w:tcPr>
          <w:p w14:paraId="3FD84168"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VL</w:t>
            </w:r>
          </w:p>
        </w:tc>
        <w:tc>
          <w:tcPr>
            <w:tcW w:w="507" w:type="pct"/>
          </w:tcPr>
          <w:p w14:paraId="66521888"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CS</w:t>
            </w:r>
          </w:p>
        </w:tc>
      </w:tr>
      <w:tr w:rsidR="00312958" w:rsidRPr="00312958" w14:paraId="75CCAE38" w14:textId="77777777" w:rsidTr="006B364C">
        <w:trPr>
          <w:trHeight w:val="295"/>
        </w:trPr>
        <w:tc>
          <w:tcPr>
            <w:tcW w:w="1086" w:type="pct"/>
            <w:vMerge/>
          </w:tcPr>
          <w:p w14:paraId="42EE9D54" w14:textId="77777777" w:rsidR="00312958" w:rsidRPr="00DE4914" w:rsidRDefault="00312958" w:rsidP="00312958">
            <w:pPr>
              <w:spacing w:before="60" w:after="60"/>
              <w:ind w:left="-62"/>
              <w:rPr>
                <w:sz w:val="22"/>
                <w:szCs w:val="22"/>
              </w:rPr>
            </w:pPr>
          </w:p>
        </w:tc>
        <w:tc>
          <w:tcPr>
            <w:tcW w:w="1958" w:type="pct"/>
          </w:tcPr>
          <w:p w14:paraId="571682F2" w14:textId="77777777" w:rsidR="00312958" w:rsidRPr="00DE4914" w:rsidRDefault="00312958" w:rsidP="00312958">
            <w:pPr>
              <w:spacing w:before="60" w:after="60"/>
              <w:ind w:left="-62"/>
              <w:rPr>
                <w:sz w:val="22"/>
                <w:szCs w:val="22"/>
              </w:rPr>
            </w:pPr>
            <w:r w:rsidRPr="00DE4914">
              <w:rPr>
                <w:sz w:val="22"/>
                <w:szCs w:val="22"/>
              </w:rPr>
              <w:t>Injection 1000 mg (iron) in 20 mL</w:t>
            </w:r>
          </w:p>
        </w:tc>
        <w:tc>
          <w:tcPr>
            <w:tcW w:w="869" w:type="pct"/>
          </w:tcPr>
          <w:p w14:paraId="15AA592E" w14:textId="77777777" w:rsidR="00312958" w:rsidRPr="00DE4914" w:rsidRDefault="00312958" w:rsidP="00312958">
            <w:pPr>
              <w:spacing w:before="60" w:after="60"/>
              <w:ind w:left="-62"/>
              <w:rPr>
                <w:i/>
                <w:iCs/>
                <w:sz w:val="22"/>
                <w:szCs w:val="22"/>
              </w:rPr>
            </w:pPr>
            <w:r w:rsidRPr="00DE4914">
              <w:rPr>
                <w:i/>
                <w:iCs/>
                <w:sz w:val="22"/>
                <w:szCs w:val="22"/>
              </w:rPr>
              <w:t>Ferinject</w:t>
            </w:r>
          </w:p>
        </w:tc>
        <w:tc>
          <w:tcPr>
            <w:tcW w:w="580" w:type="pct"/>
          </w:tcPr>
          <w:p w14:paraId="432BF654"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VL</w:t>
            </w:r>
          </w:p>
        </w:tc>
        <w:tc>
          <w:tcPr>
            <w:tcW w:w="507" w:type="pct"/>
          </w:tcPr>
          <w:p w14:paraId="0895CC56"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CS</w:t>
            </w:r>
          </w:p>
        </w:tc>
      </w:tr>
      <w:tr w:rsidR="00312958" w:rsidRPr="00312958" w14:paraId="2C02A1B0" w14:textId="77777777" w:rsidTr="006B364C">
        <w:trPr>
          <w:trHeight w:val="295"/>
        </w:trPr>
        <w:tc>
          <w:tcPr>
            <w:tcW w:w="1086" w:type="pct"/>
          </w:tcPr>
          <w:p w14:paraId="48449646" w14:textId="77777777" w:rsidR="00312958" w:rsidRPr="00DE4914" w:rsidRDefault="00312958" w:rsidP="00312958">
            <w:pPr>
              <w:spacing w:before="60" w:after="60"/>
              <w:ind w:left="-62"/>
              <w:rPr>
                <w:sz w:val="22"/>
                <w:szCs w:val="22"/>
              </w:rPr>
            </w:pPr>
            <w:r w:rsidRPr="00DE4914">
              <w:rPr>
                <w:sz w:val="22"/>
                <w:szCs w:val="22"/>
              </w:rPr>
              <w:t>Mefenamic acid</w:t>
            </w:r>
          </w:p>
        </w:tc>
        <w:tc>
          <w:tcPr>
            <w:tcW w:w="1958" w:type="pct"/>
          </w:tcPr>
          <w:p w14:paraId="0A45E60E" w14:textId="77777777" w:rsidR="00312958" w:rsidRPr="00DE4914" w:rsidRDefault="00312958" w:rsidP="00312958">
            <w:pPr>
              <w:spacing w:before="60" w:after="60"/>
              <w:ind w:left="-62"/>
              <w:rPr>
                <w:sz w:val="22"/>
                <w:szCs w:val="22"/>
              </w:rPr>
            </w:pPr>
            <w:r w:rsidRPr="00DE4914">
              <w:rPr>
                <w:sz w:val="22"/>
                <w:szCs w:val="22"/>
              </w:rPr>
              <w:t>Capsule 250 mg</w:t>
            </w:r>
          </w:p>
        </w:tc>
        <w:tc>
          <w:tcPr>
            <w:tcW w:w="869" w:type="pct"/>
          </w:tcPr>
          <w:p w14:paraId="36976CC5" w14:textId="77777777" w:rsidR="00312958" w:rsidRPr="00DE4914" w:rsidRDefault="00312958" w:rsidP="00312958">
            <w:pPr>
              <w:spacing w:before="60" w:after="60"/>
              <w:ind w:left="-62"/>
              <w:rPr>
                <w:i/>
                <w:iCs/>
                <w:sz w:val="22"/>
                <w:szCs w:val="22"/>
              </w:rPr>
            </w:pPr>
            <w:r w:rsidRPr="00DE4914">
              <w:rPr>
                <w:i/>
                <w:iCs/>
                <w:sz w:val="22"/>
                <w:szCs w:val="22"/>
              </w:rPr>
              <w:t>FEMIN</w:t>
            </w:r>
          </w:p>
        </w:tc>
        <w:tc>
          <w:tcPr>
            <w:tcW w:w="580" w:type="pct"/>
          </w:tcPr>
          <w:p w14:paraId="6A34988E"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LI</w:t>
            </w:r>
          </w:p>
        </w:tc>
        <w:tc>
          <w:tcPr>
            <w:tcW w:w="507" w:type="pct"/>
          </w:tcPr>
          <w:p w14:paraId="7ECD7B5D"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XT</w:t>
            </w:r>
          </w:p>
        </w:tc>
      </w:tr>
      <w:tr w:rsidR="00312958" w:rsidRPr="00312958" w14:paraId="6C9D07D3" w14:textId="77777777" w:rsidTr="006B364C">
        <w:trPr>
          <w:trHeight w:val="295"/>
        </w:trPr>
        <w:tc>
          <w:tcPr>
            <w:tcW w:w="1086" w:type="pct"/>
          </w:tcPr>
          <w:p w14:paraId="7C019CFF" w14:textId="77777777" w:rsidR="00312958" w:rsidRPr="00DE4914" w:rsidRDefault="00312958" w:rsidP="00312958">
            <w:pPr>
              <w:spacing w:before="60" w:after="60"/>
              <w:ind w:left="-62"/>
              <w:rPr>
                <w:sz w:val="22"/>
                <w:szCs w:val="22"/>
              </w:rPr>
            </w:pPr>
            <w:r w:rsidRPr="00DE4914">
              <w:rPr>
                <w:sz w:val="22"/>
                <w:szCs w:val="22"/>
              </w:rPr>
              <w:t>Paracetamol</w:t>
            </w:r>
          </w:p>
        </w:tc>
        <w:tc>
          <w:tcPr>
            <w:tcW w:w="1958" w:type="pct"/>
          </w:tcPr>
          <w:p w14:paraId="64F0EE73" w14:textId="77777777" w:rsidR="00312958" w:rsidRPr="00DE4914" w:rsidRDefault="00312958" w:rsidP="00312958">
            <w:pPr>
              <w:spacing w:before="60" w:after="60"/>
              <w:ind w:left="-62"/>
              <w:rPr>
                <w:sz w:val="22"/>
                <w:szCs w:val="22"/>
              </w:rPr>
            </w:pPr>
            <w:r w:rsidRPr="00DE4914">
              <w:rPr>
                <w:sz w:val="22"/>
                <w:szCs w:val="22"/>
              </w:rPr>
              <w:t>Tablet 500 mg</w:t>
            </w:r>
          </w:p>
        </w:tc>
        <w:tc>
          <w:tcPr>
            <w:tcW w:w="869" w:type="pct"/>
          </w:tcPr>
          <w:p w14:paraId="09F8AFE3" w14:textId="77777777" w:rsidR="00312958" w:rsidRPr="00DE4914" w:rsidRDefault="00312958" w:rsidP="00312958">
            <w:pPr>
              <w:spacing w:before="60" w:after="60"/>
              <w:ind w:left="-62"/>
              <w:rPr>
                <w:i/>
                <w:iCs/>
                <w:sz w:val="22"/>
                <w:szCs w:val="22"/>
              </w:rPr>
            </w:pPr>
            <w:r w:rsidRPr="00DE4914">
              <w:rPr>
                <w:i/>
                <w:iCs/>
                <w:sz w:val="22"/>
                <w:szCs w:val="22"/>
              </w:rPr>
              <w:t>Febridol</w:t>
            </w:r>
          </w:p>
        </w:tc>
        <w:tc>
          <w:tcPr>
            <w:tcW w:w="580" w:type="pct"/>
          </w:tcPr>
          <w:p w14:paraId="24803F7B"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EA</w:t>
            </w:r>
          </w:p>
        </w:tc>
        <w:tc>
          <w:tcPr>
            <w:tcW w:w="507" w:type="pct"/>
          </w:tcPr>
          <w:p w14:paraId="67100502"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XT</w:t>
            </w:r>
          </w:p>
        </w:tc>
      </w:tr>
      <w:tr w:rsidR="00312958" w:rsidRPr="00312958" w14:paraId="55D9BE4A" w14:textId="77777777" w:rsidTr="006B364C">
        <w:trPr>
          <w:trHeight w:val="295"/>
        </w:trPr>
        <w:tc>
          <w:tcPr>
            <w:tcW w:w="1086" w:type="pct"/>
          </w:tcPr>
          <w:p w14:paraId="5F420B48" w14:textId="77777777" w:rsidR="00312958" w:rsidRPr="00DE4914" w:rsidRDefault="00312958" w:rsidP="00312958">
            <w:pPr>
              <w:spacing w:before="60" w:after="60"/>
              <w:ind w:left="-62"/>
              <w:rPr>
                <w:sz w:val="22"/>
                <w:szCs w:val="22"/>
              </w:rPr>
            </w:pPr>
            <w:r w:rsidRPr="00DE4914">
              <w:rPr>
                <w:sz w:val="22"/>
                <w:szCs w:val="22"/>
              </w:rPr>
              <w:lastRenderedPageBreak/>
              <w:t>Ripretinib</w:t>
            </w:r>
          </w:p>
        </w:tc>
        <w:tc>
          <w:tcPr>
            <w:tcW w:w="1958" w:type="pct"/>
          </w:tcPr>
          <w:p w14:paraId="03B7BD13" w14:textId="77777777" w:rsidR="00312958" w:rsidRPr="00DE4914" w:rsidRDefault="00312958" w:rsidP="00312958">
            <w:pPr>
              <w:spacing w:before="60" w:after="60"/>
              <w:ind w:left="-62"/>
              <w:rPr>
                <w:sz w:val="22"/>
                <w:szCs w:val="22"/>
              </w:rPr>
            </w:pPr>
            <w:r w:rsidRPr="00DE4914">
              <w:rPr>
                <w:sz w:val="22"/>
                <w:szCs w:val="22"/>
              </w:rPr>
              <w:t>Tablet 50 mg</w:t>
            </w:r>
          </w:p>
        </w:tc>
        <w:tc>
          <w:tcPr>
            <w:tcW w:w="869" w:type="pct"/>
          </w:tcPr>
          <w:p w14:paraId="3ADD354E" w14:textId="77777777" w:rsidR="00312958" w:rsidRPr="00DE4914" w:rsidRDefault="00312958" w:rsidP="00312958">
            <w:pPr>
              <w:spacing w:before="60" w:after="60"/>
              <w:ind w:left="-62"/>
              <w:rPr>
                <w:i/>
                <w:iCs/>
                <w:sz w:val="22"/>
                <w:szCs w:val="22"/>
              </w:rPr>
            </w:pPr>
            <w:r w:rsidRPr="00DE4914">
              <w:rPr>
                <w:i/>
                <w:iCs/>
                <w:sz w:val="22"/>
                <w:szCs w:val="22"/>
              </w:rPr>
              <w:t>Qinlock</w:t>
            </w:r>
          </w:p>
        </w:tc>
        <w:tc>
          <w:tcPr>
            <w:tcW w:w="580" w:type="pct"/>
          </w:tcPr>
          <w:p w14:paraId="5352BC0A"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TS</w:t>
            </w:r>
          </w:p>
        </w:tc>
        <w:tc>
          <w:tcPr>
            <w:tcW w:w="507" w:type="pct"/>
          </w:tcPr>
          <w:p w14:paraId="2804A925"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ZB</w:t>
            </w:r>
          </w:p>
        </w:tc>
      </w:tr>
      <w:tr w:rsidR="00312958" w:rsidRPr="00312958" w14:paraId="0CE23091" w14:textId="77777777" w:rsidTr="006B364C">
        <w:trPr>
          <w:trHeight w:val="295"/>
        </w:trPr>
        <w:tc>
          <w:tcPr>
            <w:tcW w:w="1086" w:type="pct"/>
          </w:tcPr>
          <w:p w14:paraId="1D661286" w14:textId="77777777" w:rsidR="00312958" w:rsidRPr="00DE4914" w:rsidRDefault="00312958" w:rsidP="00312958">
            <w:pPr>
              <w:spacing w:before="60" w:after="60"/>
              <w:ind w:left="-62"/>
              <w:rPr>
                <w:sz w:val="22"/>
                <w:szCs w:val="22"/>
              </w:rPr>
            </w:pPr>
            <w:r w:rsidRPr="00DE4914">
              <w:rPr>
                <w:sz w:val="22"/>
                <w:szCs w:val="22"/>
              </w:rPr>
              <w:t>Trastuzumab</w:t>
            </w:r>
          </w:p>
        </w:tc>
        <w:tc>
          <w:tcPr>
            <w:tcW w:w="1958" w:type="pct"/>
          </w:tcPr>
          <w:p w14:paraId="6FE158E5" w14:textId="77777777" w:rsidR="00312958" w:rsidRPr="00DE4914" w:rsidRDefault="00312958" w:rsidP="00312958">
            <w:pPr>
              <w:spacing w:before="60" w:after="60"/>
              <w:ind w:left="-62"/>
              <w:rPr>
                <w:sz w:val="22"/>
                <w:szCs w:val="22"/>
              </w:rPr>
            </w:pPr>
            <w:r w:rsidRPr="00DE4914">
              <w:rPr>
                <w:sz w:val="22"/>
                <w:szCs w:val="22"/>
              </w:rPr>
              <w:t>Powder for I.V. infusion 150 mg</w:t>
            </w:r>
          </w:p>
        </w:tc>
        <w:tc>
          <w:tcPr>
            <w:tcW w:w="869" w:type="pct"/>
          </w:tcPr>
          <w:p w14:paraId="331C4E91" w14:textId="77777777" w:rsidR="00312958" w:rsidRPr="00DE4914" w:rsidRDefault="00312958" w:rsidP="00312958">
            <w:pPr>
              <w:spacing w:before="60" w:after="60"/>
              <w:ind w:left="-62"/>
              <w:rPr>
                <w:i/>
                <w:iCs/>
                <w:sz w:val="22"/>
                <w:szCs w:val="22"/>
              </w:rPr>
            </w:pPr>
            <w:r w:rsidRPr="00DE4914">
              <w:rPr>
                <w:i/>
                <w:iCs/>
                <w:sz w:val="22"/>
                <w:szCs w:val="22"/>
              </w:rPr>
              <w:t>Ogivri</w:t>
            </w:r>
          </w:p>
        </w:tc>
        <w:tc>
          <w:tcPr>
            <w:tcW w:w="580" w:type="pct"/>
          </w:tcPr>
          <w:p w14:paraId="5FFED070"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AF</w:t>
            </w:r>
          </w:p>
        </w:tc>
        <w:tc>
          <w:tcPr>
            <w:tcW w:w="507" w:type="pct"/>
          </w:tcPr>
          <w:p w14:paraId="4D8F48A1"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SZ</w:t>
            </w:r>
          </w:p>
        </w:tc>
      </w:tr>
      <w:tr w:rsidR="00312958" w:rsidRPr="00312958" w14:paraId="2566F373" w14:textId="77777777" w:rsidTr="006B364C">
        <w:trPr>
          <w:trHeight w:val="295"/>
        </w:trPr>
        <w:tc>
          <w:tcPr>
            <w:tcW w:w="1086" w:type="pct"/>
            <w:vMerge w:val="restart"/>
          </w:tcPr>
          <w:p w14:paraId="5C6DE99D" w14:textId="77777777" w:rsidR="00312958" w:rsidRPr="00DE4914" w:rsidRDefault="00312958" w:rsidP="00312958">
            <w:pPr>
              <w:spacing w:before="60" w:after="60"/>
              <w:ind w:left="-62"/>
              <w:rPr>
                <w:sz w:val="22"/>
                <w:szCs w:val="22"/>
              </w:rPr>
            </w:pPr>
            <w:r w:rsidRPr="00DE4914">
              <w:rPr>
                <w:sz w:val="22"/>
                <w:szCs w:val="22"/>
              </w:rPr>
              <w:t>Vinorelbine</w:t>
            </w:r>
          </w:p>
        </w:tc>
        <w:tc>
          <w:tcPr>
            <w:tcW w:w="1958" w:type="pct"/>
          </w:tcPr>
          <w:p w14:paraId="7FA81C0D" w14:textId="77777777" w:rsidR="00312958" w:rsidRPr="00DE4914" w:rsidRDefault="00312958" w:rsidP="00312958">
            <w:pPr>
              <w:spacing w:before="60" w:after="60"/>
              <w:ind w:left="-62"/>
              <w:rPr>
                <w:sz w:val="22"/>
                <w:szCs w:val="22"/>
              </w:rPr>
            </w:pPr>
            <w:r w:rsidRPr="00DE4914">
              <w:rPr>
                <w:sz w:val="22"/>
                <w:szCs w:val="22"/>
              </w:rPr>
              <w:t>Capsule 20 mg (as tartrate)</w:t>
            </w:r>
          </w:p>
        </w:tc>
        <w:tc>
          <w:tcPr>
            <w:tcW w:w="869" w:type="pct"/>
          </w:tcPr>
          <w:p w14:paraId="6F490DC4" w14:textId="77777777" w:rsidR="00312958" w:rsidRPr="00DE4914" w:rsidRDefault="00312958" w:rsidP="00312958">
            <w:pPr>
              <w:spacing w:before="60" w:after="60"/>
              <w:ind w:left="-62"/>
              <w:rPr>
                <w:i/>
                <w:iCs/>
                <w:sz w:val="22"/>
                <w:szCs w:val="22"/>
              </w:rPr>
            </w:pPr>
            <w:r w:rsidRPr="00DE4914">
              <w:rPr>
                <w:i/>
                <w:iCs/>
                <w:sz w:val="22"/>
                <w:szCs w:val="22"/>
              </w:rPr>
              <w:t>Velabine</w:t>
            </w:r>
          </w:p>
        </w:tc>
        <w:tc>
          <w:tcPr>
            <w:tcW w:w="580" w:type="pct"/>
          </w:tcPr>
          <w:p w14:paraId="60A1F989"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LI</w:t>
            </w:r>
          </w:p>
        </w:tc>
        <w:tc>
          <w:tcPr>
            <w:tcW w:w="507" w:type="pct"/>
          </w:tcPr>
          <w:p w14:paraId="40EED4CF"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XT</w:t>
            </w:r>
          </w:p>
        </w:tc>
      </w:tr>
      <w:tr w:rsidR="00312958" w:rsidRPr="00312958" w14:paraId="2249B60D" w14:textId="77777777" w:rsidTr="006B364C">
        <w:trPr>
          <w:trHeight w:val="295"/>
        </w:trPr>
        <w:tc>
          <w:tcPr>
            <w:tcW w:w="1086" w:type="pct"/>
            <w:vMerge/>
          </w:tcPr>
          <w:p w14:paraId="79964BFB" w14:textId="77777777" w:rsidR="00312958" w:rsidRPr="00DE4914" w:rsidRDefault="00312958" w:rsidP="00312958">
            <w:pPr>
              <w:spacing w:before="60" w:after="60"/>
              <w:ind w:left="-62"/>
              <w:rPr>
                <w:sz w:val="22"/>
                <w:szCs w:val="22"/>
              </w:rPr>
            </w:pPr>
          </w:p>
        </w:tc>
        <w:tc>
          <w:tcPr>
            <w:tcW w:w="1958" w:type="pct"/>
          </w:tcPr>
          <w:p w14:paraId="15EDC7C9" w14:textId="77777777" w:rsidR="00312958" w:rsidRPr="00DE4914" w:rsidRDefault="00312958" w:rsidP="00312958">
            <w:pPr>
              <w:spacing w:before="60" w:after="60"/>
              <w:ind w:left="-62"/>
              <w:rPr>
                <w:sz w:val="22"/>
                <w:szCs w:val="22"/>
              </w:rPr>
            </w:pPr>
            <w:r w:rsidRPr="00DE4914">
              <w:rPr>
                <w:sz w:val="22"/>
                <w:szCs w:val="22"/>
              </w:rPr>
              <w:t>Capsule 30 mg (as tartrate)</w:t>
            </w:r>
          </w:p>
        </w:tc>
        <w:tc>
          <w:tcPr>
            <w:tcW w:w="869" w:type="pct"/>
          </w:tcPr>
          <w:p w14:paraId="5E161733" w14:textId="77777777" w:rsidR="00312958" w:rsidRPr="00DE4914" w:rsidRDefault="00312958" w:rsidP="00312958">
            <w:pPr>
              <w:spacing w:before="60" w:after="60"/>
              <w:ind w:left="-62"/>
              <w:rPr>
                <w:i/>
                <w:iCs/>
                <w:sz w:val="22"/>
                <w:szCs w:val="22"/>
              </w:rPr>
            </w:pPr>
            <w:r w:rsidRPr="00DE4914">
              <w:rPr>
                <w:i/>
                <w:iCs/>
                <w:sz w:val="22"/>
                <w:szCs w:val="22"/>
              </w:rPr>
              <w:t>Velabine</w:t>
            </w:r>
          </w:p>
        </w:tc>
        <w:tc>
          <w:tcPr>
            <w:tcW w:w="580" w:type="pct"/>
          </w:tcPr>
          <w:p w14:paraId="1084EDAD" w14:textId="77777777" w:rsidR="00312958" w:rsidRPr="00DE4914" w:rsidRDefault="00312958" w:rsidP="00312958">
            <w:pPr>
              <w:spacing w:before="60" w:after="60"/>
              <w:ind w:left="-62"/>
              <w:rPr>
                <w:b/>
                <w:bCs/>
                <w:i/>
                <w:iCs/>
                <w:sz w:val="22"/>
                <w:szCs w:val="22"/>
              </w:rPr>
            </w:pPr>
            <w:r w:rsidRPr="00DE4914">
              <w:rPr>
                <w:b/>
                <w:bCs/>
                <w:i/>
                <w:iCs/>
                <w:sz w:val="22"/>
                <w:szCs w:val="22"/>
              </w:rPr>
              <w:t>From:</w:t>
            </w:r>
            <w:r w:rsidRPr="00DE4914">
              <w:rPr>
                <w:sz w:val="22"/>
                <w:szCs w:val="22"/>
              </w:rPr>
              <w:t xml:space="preserve"> LI</w:t>
            </w:r>
          </w:p>
        </w:tc>
        <w:tc>
          <w:tcPr>
            <w:tcW w:w="507" w:type="pct"/>
          </w:tcPr>
          <w:p w14:paraId="569EB9C6" w14:textId="77777777" w:rsidR="00312958" w:rsidRPr="00DE4914" w:rsidRDefault="00312958" w:rsidP="00312958">
            <w:pPr>
              <w:spacing w:before="60" w:after="60"/>
              <w:ind w:left="-62"/>
              <w:rPr>
                <w:b/>
                <w:bCs/>
                <w:i/>
                <w:iCs/>
                <w:sz w:val="22"/>
                <w:szCs w:val="22"/>
              </w:rPr>
            </w:pPr>
            <w:r w:rsidRPr="00DE4914">
              <w:rPr>
                <w:b/>
                <w:bCs/>
                <w:i/>
                <w:iCs/>
                <w:sz w:val="22"/>
                <w:szCs w:val="22"/>
              </w:rPr>
              <w:t>To:</w:t>
            </w:r>
            <w:r w:rsidRPr="00DE4914">
              <w:rPr>
                <w:sz w:val="22"/>
                <w:szCs w:val="22"/>
              </w:rPr>
              <w:t xml:space="preserve"> XT</w:t>
            </w:r>
          </w:p>
        </w:tc>
      </w:tr>
    </w:tbl>
    <w:bookmarkEnd w:id="6"/>
    <w:p w14:paraId="00D9D164" w14:textId="77777777" w:rsidR="00312958" w:rsidRPr="00312958" w:rsidRDefault="00312958" w:rsidP="00312958">
      <w:pPr>
        <w:widowControl w:val="0"/>
        <w:spacing w:before="24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t>Addition of Pack Quantity</w:t>
      </w:r>
    </w:p>
    <w:tbl>
      <w:tblPr>
        <w:tblStyle w:val="TableGrid"/>
        <w:tblW w:w="5104" w:type="pct"/>
        <w:tblLayout w:type="fixed"/>
        <w:tblCellMar>
          <w:top w:w="57" w:type="dxa"/>
          <w:left w:w="57" w:type="dxa"/>
          <w:bottom w:w="57" w:type="dxa"/>
          <w:right w:w="57" w:type="dxa"/>
        </w:tblCellMar>
        <w:tblLook w:val="01E0" w:firstRow="1" w:lastRow="1" w:firstColumn="1" w:lastColumn="1" w:noHBand="0" w:noVBand="0"/>
      </w:tblPr>
      <w:tblGrid>
        <w:gridCol w:w="1701"/>
        <w:gridCol w:w="3827"/>
        <w:gridCol w:w="2127"/>
        <w:gridCol w:w="1559"/>
      </w:tblGrid>
      <w:tr w:rsidR="00312958" w:rsidRPr="00312958" w14:paraId="0F1C34E6" w14:textId="77777777" w:rsidTr="006B364C">
        <w:trPr>
          <w:trHeight w:val="352"/>
        </w:trPr>
        <w:tc>
          <w:tcPr>
            <w:tcW w:w="923" w:type="pct"/>
            <w:vAlign w:val="center"/>
          </w:tcPr>
          <w:p w14:paraId="3F429370" w14:textId="77777777" w:rsidR="00312958" w:rsidRPr="00DE4914" w:rsidRDefault="00312958" w:rsidP="00312958">
            <w:pPr>
              <w:widowControl w:val="0"/>
              <w:spacing w:before="60"/>
              <w:ind w:left="-62"/>
              <w:rPr>
                <w:b/>
                <w:i/>
                <w:iCs/>
                <w:sz w:val="22"/>
                <w:szCs w:val="22"/>
              </w:rPr>
            </w:pPr>
            <w:r w:rsidRPr="00DE4914">
              <w:rPr>
                <w:b/>
                <w:i/>
                <w:iCs/>
                <w:sz w:val="22"/>
                <w:szCs w:val="22"/>
              </w:rPr>
              <w:t>Listed Drug</w:t>
            </w:r>
          </w:p>
        </w:tc>
        <w:tc>
          <w:tcPr>
            <w:tcW w:w="2077" w:type="pct"/>
            <w:vAlign w:val="center"/>
          </w:tcPr>
          <w:p w14:paraId="781F0CAC" w14:textId="77777777" w:rsidR="00312958" w:rsidRPr="00DE4914" w:rsidRDefault="00312958" w:rsidP="00312958">
            <w:pPr>
              <w:widowControl w:val="0"/>
              <w:spacing w:before="60"/>
              <w:ind w:left="-62"/>
              <w:rPr>
                <w:b/>
                <w:i/>
                <w:iCs/>
                <w:sz w:val="22"/>
                <w:szCs w:val="22"/>
              </w:rPr>
            </w:pPr>
            <w:r w:rsidRPr="00DE4914">
              <w:rPr>
                <w:b/>
                <w:i/>
                <w:iCs/>
                <w:sz w:val="22"/>
                <w:szCs w:val="22"/>
              </w:rPr>
              <w:t>Form</w:t>
            </w:r>
          </w:p>
        </w:tc>
        <w:tc>
          <w:tcPr>
            <w:tcW w:w="1154" w:type="pct"/>
            <w:vAlign w:val="center"/>
          </w:tcPr>
          <w:p w14:paraId="5A3617BF" w14:textId="77777777" w:rsidR="00312958" w:rsidRPr="00DE4914" w:rsidRDefault="00312958" w:rsidP="00312958">
            <w:pPr>
              <w:widowControl w:val="0"/>
              <w:spacing w:before="60"/>
              <w:ind w:left="-62"/>
              <w:rPr>
                <w:b/>
                <w:i/>
                <w:iCs/>
                <w:sz w:val="22"/>
                <w:szCs w:val="22"/>
              </w:rPr>
            </w:pPr>
            <w:r w:rsidRPr="00DE4914">
              <w:rPr>
                <w:b/>
                <w:i/>
                <w:iCs/>
                <w:sz w:val="22"/>
                <w:szCs w:val="22"/>
              </w:rPr>
              <w:t>Brand Name</w:t>
            </w:r>
          </w:p>
        </w:tc>
        <w:tc>
          <w:tcPr>
            <w:tcW w:w="846" w:type="pct"/>
            <w:vAlign w:val="center"/>
          </w:tcPr>
          <w:p w14:paraId="6839DE90" w14:textId="77777777" w:rsidR="00312958" w:rsidRPr="00DE4914" w:rsidRDefault="00312958" w:rsidP="00312958">
            <w:pPr>
              <w:widowControl w:val="0"/>
              <w:spacing w:before="60"/>
              <w:ind w:left="-62"/>
              <w:jc w:val="center"/>
              <w:rPr>
                <w:b/>
                <w:i/>
                <w:iCs/>
                <w:sz w:val="22"/>
                <w:szCs w:val="22"/>
              </w:rPr>
            </w:pPr>
            <w:r w:rsidRPr="00DE4914">
              <w:rPr>
                <w:b/>
                <w:i/>
                <w:iCs/>
                <w:sz w:val="22"/>
                <w:szCs w:val="22"/>
              </w:rPr>
              <w:t>Pack Quantity</w:t>
            </w:r>
          </w:p>
        </w:tc>
      </w:tr>
      <w:tr w:rsidR="00312958" w:rsidRPr="00312958" w14:paraId="293C5719" w14:textId="77777777" w:rsidTr="006B364C">
        <w:trPr>
          <w:trHeight w:val="284"/>
        </w:trPr>
        <w:tc>
          <w:tcPr>
            <w:tcW w:w="923" w:type="pct"/>
            <w:shd w:val="clear" w:color="auto" w:fill="auto"/>
          </w:tcPr>
          <w:p w14:paraId="48261553" w14:textId="77777777" w:rsidR="00312958" w:rsidRPr="00DE4914" w:rsidRDefault="00312958" w:rsidP="00312958">
            <w:pPr>
              <w:spacing w:before="60" w:after="60"/>
              <w:ind w:left="-57"/>
              <w:rPr>
                <w:sz w:val="22"/>
                <w:szCs w:val="22"/>
              </w:rPr>
            </w:pPr>
            <w:r w:rsidRPr="00DE4914">
              <w:rPr>
                <w:sz w:val="22"/>
                <w:szCs w:val="22"/>
              </w:rPr>
              <w:t>Paracetamol</w:t>
            </w:r>
          </w:p>
        </w:tc>
        <w:tc>
          <w:tcPr>
            <w:tcW w:w="2077" w:type="pct"/>
            <w:shd w:val="clear" w:color="auto" w:fill="auto"/>
          </w:tcPr>
          <w:p w14:paraId="780CECB6" w14:textId="77777777" w:rsidR="00312958" w:rsidRPr="00DE4914" w:rsidRDefault="00312958" w:rsidP="00312958">
            <w:pPr>
              <w:spacing w:before="60" w:after="60"/>
              <w:ind w:left="-57"/>
              <w:rPr>
                <w:sz w:val="22"/>
                <w:szCs w:val="22"/>
              </w:rPr>
            </w:pPr>
            <w:r w:rsidRPr="00DE4914">
              <w:rPr>
                <w:sz w:val="22"/>
                <w:szCs w:val="22"/>
              </w:rPr>
              <w:t>Tablet 665 mg (modified release)</w:t>
            </w:r>
          </w:p>
        </w:tc>
        <w:tc>
          <w:tcPr>
            <w:tcW w:w="1154" w:type="pct"/>
            <w:shd w:val="clear" w:color="auto" w:fill="auto"/>
          </w:tcPr>
          <w:p w14:paraId="22E200F9" w14:textId="77777777" w:rsidR="00312958" w:rsidRPr="00DE4914" w:rsidRDefault="00312958" w:rsidP="00312958">
            <w:pPr>
              <w:keepLines/>
              <w:spacing w:before="60" w:after="60"/>
              <w:ind w:left="-62"/>
              <w:rPr>
                <w:i/>
                <w:iCs/>
                <w:sz w:val="22"/>
                <w:szCs w:val="22"/>
              </w:rPr>
            </w:pPr>
            <w:r w:rsidRPr="00DE4914">
              <w:rPr>
                <w:i/>
                <w:iCs/>
                <w:sz w:val="22"/>
                <w:szCs w:val="22"/>
              </w:rPr>
              <w:t>Parapane OSTEO</w:t>
            </w:r>
          </w:p>
        </w:tc>
        <w:tc>
          <w:tcPr>
            <w:tcW w:w="846" w:type="pct"/>
            <w:shd w:val="clear" w:color="auto" w:fill="auto"/>
            <w:vAlign w:val="center"/>
          </w:tcPr>
          <w:p w14:paraId="534C17DD" w14:textId="77777777" w:rsidR="00312958" w:rsidRPr="00DE4914" w:rsidRDefault="00312958" w:rsidP="00312958">
            <w:pPr>
              <w:widowControl w:val="0"/>
              <w:spacing w:before="60" w:after="60"/>
              <w:ind w:left="-62"/>
              <w:jc w:val="center"/>
              <w:rPr>
                <w:sz w:val="22"/>
                <w:szCs w:val="22"/>
              </w:rPr>
            </w:pPr>
            <w:r w:rsidRPr="00DE4914">
              <w:rPr>
                <w:sz w:val="22"/>
                <w:szCs w:val="22"/>
              </w:rPr>
              <w:t>192</w:t>
            </w:r>
          </w:p>
        </w:tc>
      </w:tr>
    </w:tbl>
    <w:p w14:paraId="0AE61D72" w14:textId="77777777" w:rsidR="00312958" w:rsidRPr="00312958" w:rsidRDefault="00312958" w:rsidP="00312958">
      <w:pPr>
        <w:widowControl w:val="0"/>
        <w:spacing w:before="24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t>Addition of Responsible Person</w:t>
      </w:r>
    </w:p>
    <w:tbl>
      <w:tblPr>
        <w:tblStyle w:val="TableGrid"/>
        <w:tblW w:w="2174" w:type="pct"/>
        <w:tblCellMar>
          <w:top w:w="57" w:type="dxa"/>
          <w:left w:w="57" w:type="dxa"/>
          <w:bottom w:w="57" w:type="dxa"/>
          <w:right w:w="57" w:type="dxa"/>
        </w:tblCellMar>
        <w:tblLook w:val="01E0" w:firstRow="1" w:lastRow="1" w:firstColumn="1" w:lastColumn="1" w:noHBand="0" w:noVBand="0"/>
      </w:tblPr>
      <w:tblGrid>
        <w:gridCol w:w="3925"/>
      </w:tblGrid>
      <w:tr w:rsidR="00312958" w:rsidRPr="00312958" w14:paraId="777875F8" w14:textId="77777777" w:rsidTr="00D24EA6">
        <w:trPr>
          <w:trHeight w:val="227"/>
        </w:trPr>
        <w:tc>
          <w:tcPr>
            <w:tcW w:w="5000" w:type="pct"/>
          </w:tcPr>
          <w:p w14:paraId="39045D34" w14:textId="77777777" w:rsidR="00312958" w:rsidRPr="00DE4914" w:rsidRDefault="00312958" w:rsidP="00312958">
            <w:pPr>
              <w:spacing w:before="60"/>
              <w:ind w:left="-62"/>
              <w:jc w:val="both"/>
              <w:rPr>
                <w:rFonts w:ascii="Arial" w:hAnsi="Arial" w:cs="Arial"/>
                <w:color w:val="000000" w:themeColor="text1"/>
                <w:sz w:val="22"/>
                <w:szCs w:val="22"/>
              </w:rPr>
            </w:pPr>
            <w:r w:rsidRPr="00DE4914">
              <w:rPr>
                <w:b/>
                <w:i/>
                <w:sz w:val="22"/>
                <w:szCs w:val="22"/>
              </w:rPr>
              <w:t>Responsible Person and Code</w:t>
            </w:r>
          </w:p>
        </w:tc>
      </w:tr>
      <w:tr w:rsidR="00312958" w:rsidRPr="00312958" w14:paraId="742C43AB" w14:textId="77777777" w:rsidTr="00D24EA6">
        <w:trPr>
          <w:trHeight w:val="227"/>
        </w:trPr>
        <w:tc>
          <w:tcPr>
            <w:tcW w:w="5000" w:type="pct"/>
          </w:tcPr>
          <w:p w14:paraId="6352A261" w14:textId="77777777" w:rsidR="00312958" w:rsidRPr="00DE4914" w:rsidRDefault="00312958" w:rsidP="00312958">
            <w:pPr>
              <w:spacing w:before="60" w:after="60"/>
              <w:ind w:left="-62"/>
              <w:jc w:val="both"/>
              <w:rPr>
                <w:color w:val="000000" w:themeColor="text1"/>
                <w:sz w:val="22"/>
                <w:szCs w:val="22"/>
              </w:rPr>
            </w:pPr>
            <w:r w:rsidRPr="00DE4914">
              <w:rPr>
                <w:color w:val="000000" w:themeColor="text1"/>
                <w:sz w:val="22"/>
                <w:szCs w:val="22"/>
              </w:rPr>
              <w:t xml:space="preserve">Specialised Therapeutics Pm Pty Ltd </w:t>
            </w:r>
            <w:r w:rsidRPr="00DE4914">
              <w:rPr>
                <w:i/>
                <w:iCs/>
                <w:color w:val="000000" w:themeColor="text1"/>
                <w:sz w:val="22"/>
                <w:szCs w:val="22"/>
              </w:rPr>
              <w:t>(ZB)</w:t>
            </w:r>
          </w:p>
        </w:tc>
      </w:tr>
    </w:tbl>
    <w:p w14:paraId="612CEE8E" w14:textId="77777777" w:rsidR="00312958" w:rsidRPr="00312958" w:rsidRDefault="00312958" w:rsidP="00312958">
      <w:pPr>
        <w:widowControl w:val="0"/>
        <w:spacing w:before="24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t>Deletion of Responsible Person</w:t>
      </w:r>
    </w:p>
    <w:tbl>
      <w:tblPr>
        <w:tblStyle w:val="TableGrid"/>
        <w:tblW w:w="2174" w:type="pct"/>
        <w:tblCellMar>
          <w:top w:w="57" w:type="dxa"/>
          <w:left w:w="57" w:type="dxa"/>
          <w:bottom w:w="57" w:type="dxa"/>
          <w:right w:w="57" w:type="dxa"/>
        </w:tblCellMar>
        <w:tblLook w:val="01E0" w:firstRow="1" w:lastRow="1" w:firstColumn="1" w:lastColumn="1" w:noHBand="0" w:noVBand="0"/>
      </w:tblPr>
      <w:tblGrid>
        <w:gridCol w:w="3925"/>
      </w:tblGrid>
      <w:tr w:rsidR="00312958" w:rsidRPr="00312958" w14:paraId="147F5E94" w14:textId="77777777" w:rsidTr="00D24EA6">
        <w:trPr>
          <w:trHeight w:val="227"/>
        </w:trPr>
        <w:tc>
          <w:tcPr>
            <w:tcW w:w="5000" w:type="pct"/>
          </w:tcPr>
          <w:p w14:paraId="13C8AC1C" w14:textId="77777777" w:rsidR="00312958" w:rsidRPr="00DE4914" w:rsidRDefault="00312958" w:rsidP="00312958">
            <w:pPr>
              <w:spacing w:before="60"/>
              <w:ind w:left="-62"/>
              <w:jc w:val="both"/>
              <w:rPr>
                <w:rFonts w:ascii="Arial" w:hAnsi="Arial" w:cs="Arial"/>
                <w:color w:val="000000" w:themeColor="text1"/>
                <w:sz w:val="22"/>
                <w:szCs w:val="22"/>
              </w:rPr>
            </w:pPr>
            <w:r w:rsidRPr="00DE4914">
              <w:rPr>
                <w:b/>
                <w:i/>
                <w:sz w:val="22"/>
                <w:szCs w:val="22"/>
              </w:rPr>
              <w:t>Responsible Person and Code</w:t>
            </w:r>
          </w:p>
        </w:tc>
      </w:tr>
      <w:tr w:rsidR="00312958" w:rsidRPr="00312958" w14:paraId="6882D0B1" w14:textId="77777777" w:rsidTr="00D24EA6">
        <w:trPr>
          <w:trHeight w:val="227"/>
        </w:trPr>
        <w:tc>
          <w:tcPr>
            <w:tcW w:w="5000" w:type="pct"/>
          </w:tcPr>
          <w:p w14:paraId="755C1447" w14:textId="77777777" w:rsidR="00312958" w:rsidRPr="00DE4914" w:rsidRDefault="00312958" w:rsidP="00312958">
            <w:pPr>
              <w:spacing w:before="60" w:after="60"/>
              <w:ind w:left="-62"/>
              <w:jc w:val="both"/>
              <w:rPr>
                <w:color w:val="000000" w:themeColor="text1"/>
                <w:sz w:val="22"/>
                <w:szCs w:val="22"/>
              </w:rPr>
            </w:pPr>
            <w:r w:rsidRPr="00DE4914">
              <w:rPr>
                <w:color w:val="000000" w:themeColor="text1"/>
                <w:sz w:val="22"/>
                <w:szCs w:val="22"/>
              </w:rPr>
              <w:t>Amneal Pharmaceuticals Pty Ltd</w:t>
            </w:r>
            <w:r w:rsidRPr="00DE4914">
              <w:rPr>
                <w:i/>
                <w:iCs/>
                <w:color w:val="000000" w:themeColor="text1"/>
                <w:sz w:val="22"/>
                <w:szCs w:val="22"/>
              </w:rPr>
              <w:t xml:space="preserve"> (EA)</w:t>
            </w:r>
          </w:p>
        </w:tc>
      </w:tr>
      <w:tr w:rsidR="00312958" w:rsidRPr="00312958" w14:paraId="249A5318" w14:textId="77777777" w:rsidTr="00D24EA6">
        <w:trPr>
          <w:trHeight w:val="227"/>
        </w:trPr>
        <w:tc>
          <w:tcPr>
            <w:tcW w:w="5000" w:type="pct"/>
          </w:tcPr>
          <w:p w14:paraId="7D8CFB87" w14:textId="77777777" w:rsidR="00312958" w:rsidRPr="00DE4914" w:rsidRDefault="00312958" w:rsidP="00312958">
            <w:pPr>
              <w:spacing w:before="60" w:after="60"/>
              <w:ind w:left="-62"/>
              <w:jc w:val="both"/>
              <w:rPr>
                <w:color w:val="000000" w:themeColor="text1"/>
                <w:sz w:val="22"/>
                <w:szCs w:val="22"/>
              </w:rPr>
            </w:pPr>
            <w:r w:rsidRPr="00DE4914">
              <w:rPr>
                <w:color w:val="000000" w:themeColor="text1"/>
                <w:sz w:val="22"/>
                <w:szCs w:val="22"/>
              </w:rPr>
              <w:t xml:space="preserve">Luminarie Pty Ltd </w:t>
            </w:r>
            <w:r w:rsidRPr="00DE4914">
              <w:rPr>
                <w:i/>
                <w:iCs/>
                <w:color w:val="000000" w:themeColor="text1"/>
                <w:sz w:val="22"/>
                <w:szCs w:val="22"/>
              </w:rPr>
              <w:t>(LV)</w:t>
            </w:r>
          </w:p>
        </w:tc>
      </w:tr>
      <w:tr w:rsidR="00312958" w:rsidRPr="00312958" w14:paraId="788B6ADD" w14:textId="77777777" w:rsidTr="00D24EA6">
        <w:trPr>
          <w:trHeight w:val="227"/>
        </w:trPr>
        <w:tc>
          <w:tcPr>
            <w:tcW w:w="5000" w:type="pct"/>
          </w:tcPr>
          <w:p w14:paraId="4F728CAB" w14:textId="77777777" w:rsidR="00312958" w:rsidRPr="00DE4914" w:rsidRDefault="00312958" w:rsidP="00312958">
            <w:pPr>
              <w:spacing w:before="60" w:after="60"/>
              <w:ind w:left="-62"/>
              <w:jc w:val="both"/>
              <w:rPr>
                <w:color w:val="000000" w:themeColor="text1"/>
                <w:sz w:val="22"/>
                <w:szCs w:val="22"/>
              </w:rPr>
            </w:pPr>
            <w:r w:rsidRPr="00DE4914">
              <w:rPr>
                <w:color w:val="000000" w:themeColor="text1"/>
                <w:sz w:val="22"/>
                <w:szCs w:val="22"/>
              </w:rPr>
              <w:t xml:space="preserve">Cipla Australia Pty Ltd </w:t>
            </w:r>
            <w:r w:rsidRPr="00DE4914">
              <w:rPr>
                <w:i/>
                <w:iCs/>
                <w:color w:val="000000" w:themeColor="text1"/>
                <w:sz w:val="22"/>
                <w:szCs w:val="22"/>
              </w:rPr>
              <w:t>(YC)</w:t>
            </w:r>
          </w:p>
        </w:tc>
      </w:tr>
    </w:tbl>
    <w:p w14:paraId="178F8BF6" w14:textId="77777777" w:rsidR="00312958" w:rsidRPr="00312958" w:rsidRDefault="00312958" w:rsidP="00312958">
      <w:pPr>
        <w:widowControl w:val="0"/>
        <w:spacing w:before="240" w:after="0" w:line="240" w:lineRule="auto"/>
        <w:rPr>
          <w:rFonts w:ascii="Times New Roman" w:eastAsia="Times New Roman" w:hAnsi="Times New Roman" w:cs="Times New Roman"/>
          <w:b/>
          <w:sz w:val="24"/>
          <w:szCs w:val="24"/>
          <w:lang w:eastAsia="en-AU"/>
        </w:rPr>
      </w:pPr>
      <w:r w:rsidRPr="00312958">
        <w:rPr>
          <w:rFonts w:ascii="Times New Roman" w:eastAsia="Times New Roman" w:hAnsi="Times New Roman" w:cs="Times New Roman"/>
          <w:b/>
          <w:sz w:val="24"/>
          <w:szCs w:val="24"/>
          <w:lang w:eastAsia="en-AU"/>
        </w:rPr>
        <w:t>Alteration of Circumstances in Which a Prescription May be Written</w:t>
      </w:r>
    </w:p>
    <w:tbl>
      <w:tblPr>
        <w:tblStyle w:val="TableGrid"/>
        <w:tblW w:w="8505" w:type="dxa"/>
        <w:tblLayout w:type="fixed"/>
        <w:tblCellMar>
          <w:top w:w="57" w:type="dxa"/>
          <w:left w:w="57" w:type="dxa"/>
          <w:bottom w:w="57" w:type="dxa"/>
          <w:right w:w="57" w:type="dxa"/>
        </w:tblCellMar>
        <w:tblLook w:val="04A0" w:firstRow="1" w:lastRow="0" w:firstColumn="1" w:lastColumn="0" w:noHBand="0" w:noVBand="1"/>
      </w:tblPr>
      <w:tblGrid>
        <w:gridCol w:w="4252"/>
        <w:gridCol w:w="4253"/>
      </w:tblGrid>
      <w:tr w:rsidR="00312958" w:rsidRPr="00312958" w14:paraId="05FE61DA" w14:textId="77777777" w:rsidTr="00343061">
        <w:tc>
          <w:tcPr>
            <w:tcW w:w="8505" w:type="dxa"/>
            <w:gridSpan w:val="2"/>
          </w:tcPr>
          <w:p w14:paraId="78F91097" w14:textId="77777777" w:rsidR="00312958" w:rsidRPr="00DE4914" w:rsidRDefault="00312958" w:rsidP="00312958">
            <w:pPr>
              <w:spacing w:before="60"/>
              <w:ind w:left="-62"/>
              <w:rPr>
                <w:rFonts w:eastAsia="Arial"/>
                <w:sz w:val="22"/>
                <w:szCs w:val="22"/>
                <w:lang w:eastAsia="zh-CN"/>
              </w:rPr>
            </w:pPr>
            <w:r w:rsidRPr="00DE4914">
              <w:rPr>
                <w:b/>
                <w:i/>
                <w:sz w:val="22"/>
                <w:szCs w:val="22"/>
              </w:rPr>
              <w:t>Listed Drug</w:t>
            </w:r>
          </w:p>
        </w:tc>
      </w:tr>
      <w:tr w:rsidR="00312958" w:rsidRPr="00312958" w14:paraId="02528FBC" w14:textId="77777777" w:rsidTr="00D24EA6">
        <w:trPr>
          <w:trHeight w:val="224"/>
        </w:trPr>
        <w:tc>
          <w:tcPr>
            <w:tcW w:w="4252" w:type="dxa"/>
            <w:shd w:val="clear" w:color="auto" w:fill="auto"/>
          </w:tcPr>
          <w:p w14:paraId="0AFC9861" w14:textId="77777777" w:rsidR="00312958" w:rsidRPr="00DE4914" w:rsidRDefault="00312958" w:rsidP="00312958">
            <w:pPr>
              <w:spacing w:before="60" w:after="60"/>
              <w:ind w:left="-62"/>
              <w:rPr>
                <w:sz w:val="22"/>
                <w:szCs w:val="22"/>
              </w:rPr>
            </w:pPr>
            <w:r w:rsidRPr="00DE4914">
              <w:rPr>
                <w:color w:val="000000"/>
                <w:sz w:val="22"/>
                <w:szCs w:val="22"/>
              </w:rPr>
              <w:t>Acalabrutinib</w:t>
            </w:r>
          </w:p>
        </w:tc>
        <w:tc>
          <w:tcPr>
            <w:tcW w:w="4253" w:type="dxa"/>
            <w:shd w:val="clear" w:color="auto" w:fill="auto"/>
          </w:tcPr>
          <w:p w14:paraId="176E6CD9" w14:textId="5BF5F2F5" w:rsidR="00312958" w:rsidRPr="00DE4914" w:rsidRDefault="00343061" w:rsidP="00312958">
            <w:pPr>
              <w:spacing w:before="60" w:after="60"/>
              <w:ind w:left="-62"/>
              <w:rPr>
                <w:sz w:val="22"/>
                <w:szCs w:val="22"/>
              </w:rPr>
            </w:pPr>
            <w:r w:rsidRPr="00DE4914">
              <w:rPr>
                <w:sz w:val="22"/>
                <w:szCs w:val="22"/>
              </w:rPr>
              <w:t>Mecasermin</w:t>
            </w:r>
          </w:p>
        </w:tc>
      </w:tr>
      <w:tr w:rsidR="00343061" w:rsidRPr="00312958" w14:paraId="14DEFA5D" w14:textId="77777777" w:rsidTr="00D24EA6">
        <w:trPr>
          <w:trHeight w:val="224"/>
        </w:trPr>
        <w:tc>
          <w:tcPr>
            <w:tcW w:w="4252" w:type="dxa"/>
            <w:shd w:val="clear" w:color="auto" w:fill="auto"/>
          </w:tcPr>
          <w:p w14:paraId="3460DD0A" w14:textId="77777777" w:rsidR="00343061" w:rsidRPr="00DE4914" w:rsidRDefault="00343061" w:rsidP="00343061">
            <w:pPr>
              <w:spacing w:before="60" w:after="60"/>
              <w:ind w:left="-62"/>
              <w:rPr>
                <w:sz w:val="22"/>
                <w:szCs w:val="22"/>
              </w:rPr>
            </w:pPr>
            <w:r w:rsidRPr="00DE4914">
              <w:rPr>
                <w:sz w:val="22"/>
                <w:szCs w:val="22"/>
              </w:rPr>
              <w:t>Alirocumab</w:t>
            </w:r>
          </w:p>
        </w:tc>
        <w:tc>
          <w:tcPr>
            <w:tcW w:w="4253" w:type="dxa"/>
            <w:shd w:val="clear" w:color="auto" w:fill="auto"/>
          </w:tcPr>
          <w:p w14:paraId="030C95E4" w14:textId="7DD92384" w:rsidR="00343061" w:rsidRPr="00DE4914" w:rsidRDefault="00343061" w:rsidP="00343061">
            <w:pPr>
              <w:spacing w:before="60" w:after="60"/>
              <w:ind w:left="-62"/>
              <w:rPr>
                <w:sz w:val="22"/>
                <w:szCs w:val="22"/>
              </w:rPr>
            </w:pPr>
            <w:r w:rsidRPr="00DE4914">
              <w:rPr>
                <w:sz w:val="22"/>
                <w:szCs w:val="22"/>
              </w:rPr>
              <w:t>Methotrexate</w:t>
            </w:r>
          </w:p>
        </w:tc>
      </w:tr>
      <w:tr w:rsidR="00343061" w:rsidRPr="00312958" w14:paraId="350CF30A" w14:textId="77777777" w:rsidTr="00D24EA6">
        <w:trPr>
          <w:trHeight w:val="224"/>
        </w:trPr>
        <w:tc>
          <w:tcPr>
            <w:tcW w:w="4252" w:type="dxa"/>
            <w:shd w:val="clear" w:color="auto" w:fill="auto"/>
          </w:tcPr>
          <w:p w14:paraId="49376D8C" w14:textId="77777777" w:rsidR="00343061" w:rsidRPr="00DE4914" w:rsidRDefault="00343061" w:rsidP="00343061">
            <w:pPr>
              <w:spacing w:before="60" w:after="60"/>
              <w:ind w:left="-62"/>
              <w:rPr>
                <w:sz w:val="22"/>
                <w:szCs w:val="22"/>
              </w:rPr>
            </w:pPr>
            <w:r w:rsidRPr="00DE4914">
              <w:rPr>
                <w:sz w:val="22"/>
                <w:szCs w:val="22"/>
              </w:rPr>
              <w:t>Avelumab</w:t>
            </w:r>
          </w:p>
        </w:tc>
        <w:tc>
          <w:tcPr>
            <w:tcW w:w="4253" w:type="dxa"/>
            <w:shd w:val="clear" w:color="auto" w:fill="auto"/>
          </w:tcPr>
          <w:p w14:paraId="6E726155" w14:textId="0E3487C7" w:rsidR="00343061" w:rsidRPr="00DE4914" w:rsidRDefault="00343061" w:rsidP="00343061">
            <w:pPr>
              <w:spacing w:before="60" w:after="60"/>
              <w:ind w:left="-62"/>
              <w:rPr>
                <w:sz w:val="22"/>
                <w:szCs w:val="22"/>
              </w:rPr>
            </w:pPr>
            <w:r w:rsidRPr="00DE4914">
              <w:rPr>
                <w:sz w:val="22"/>
                <w:szCs w:val="22"/>
              </w:rPr>
              <w:t>Niraparib</w:t>
            </w:r>
          </w:p>
        </w:tc>
      </w:tr>
      <w:tr w:rsidR="00343061" w:rsidRPr="00312958" w14:paraId="565E7CD7" w14:textId="77777777" w:rsidTr="00D24EA6">
        <w:trPr>
          <w:trHeight w:val="224"/>
        </w:trPr>
        <w:tc>
          <w:tcPr>
            <w:tcW w:w="4252" w:type="dxa"/>
            <w:shd w:val="clear" w:color="auto" w:fill="auto"/>
          </w:tcPr>
          <w:p w14:paraId="4CD49588" w14:textId="77777777" w:rsidR="00343061" w:rsidRPr="00DE4914" w:rsidRDefault="00343061" w:rsidP="00343061">
            <w:pPr>
              <w:spacing w:before="60" w:after="60"/>
              <w:ind w:left="-62"/>
              <w:rPr>
                <w:sz w:val="22"/>
                <w:szCs w:val="22"/>
              </w:rPr>
            </w:pPr>
            <w:r w:rsidRPr="00DE4914">
              <w:rPr>
                <w:sz w:val="22"/>
                <w:szCs w:val="22"/>
              </w:rPr>
              <w:t>Cemiplimab</w:t>
            </w:r>
          </w:p>
        </w:tc>
        <w:tc>
          <w:tcPr>
            <w:tcW w:w="4253" w:type="dxa"/>
            <w:shd w:val="clear" w:color="auto" w:fill="auto"/>
          </w:tcPr>
          <w:p w14:paraId="12796683" w14:textId="1049847C" w:rsidR="00343061" w:rsidRPr="00DE4914" w:rsidRDefault="00343061" w:rsidP="00343061">
            <w:pPr>
              <w:spacing w:before="60" w:after="60"/>
              <w:ind w:left="-62"/>
              <w:rPr>
                <w:sz w:val="22"/>
                <w:szCs w:val="22"/>
              </w:rPr>
            </w:pPr>
            <w:r w:rsidRPr="00DE4914">
              <w:rPr>
                <w:sz w:val="22"/>
                <w:szCs w:val="22"/>
              </w:rPr>
              <w:t>Obeticholic acid</w:t>
            </w:r>
          </w:p>
        </w:tc>
      </w:tr>
      <w:tr w:rsidR="00343061" w:rsidRPr="00312958" w14:paraId="24F938B0" w14:textId="77777777" w:rsidTr="00D24EA6">
        <w:trPr>
          <w:trHeight w:val="224"/>
        </w:trPr>
        <w:tc>
          <w:tcPr>
            <w:tcW w:w="4252" w:type="dxa"/>
            <w:shd w:val="clear" w:color="auto" w:fill="auto"/>
          </w:tcPr>
          <w:p w14:paraId="01E8285D" w14:textId="77777777" w:rsidR="00343061" w:rsidRPr="00DE4914" w:rsidRDefault="00343061" w:rsidP="00343061">
            <w:pPr>
              <w:spacing w:before="60" w:after="60"/>
              <w:ind w:left="-62"/>
              <w:rPr>
                <w:sz w:val="22"/>
                <w:szCs w:val="22"/>
              </w:rPr>
            </w:pPr>
            <w:r w:rsidRPr="00DE4914">
              <w:rPr>
                <w:sz w:val="22"/>
                <w:szCs w:val="22"/>
              </w:rPr>
              <w:t>Certolizumab pegol</w:t>
            </w:r>
          </w:p>
        </w:tc>
        <w:tc>
          <w:tcPr>
            <w:tcW w:w="4253" w:type="dxa"/>
            <w:shd w:val="clear" w:color="auto" w:fill="auto"/>
          </w:tcPr>
          <w:p w14:paraId="42612C9C" w14:textId="6F6C3C72" w:rsidR="00343061" w:rsidRPr="00DE4914" w:rsidRDefault="00343061" w:rsidP="00343061">
            <w:pPr>
              <w:spacing w:before="60" w:after="60"/>
              <w:ind w:left="-62"/>
              <w:rPr>
                <w:sz w:val="22"/>
                <w:szCs w:val="22"/>
              </w:rPr>
            </w:pPr>
            <w:r w:rsidRPr="00DE4914">
              <w:rPr>
                <w:sz w:val="22"/>
                <w:szCs w:val="22"/>
              </w:rPr>
              <w:t>Olaparib</w:t>
            </w:r>
          </w:p>
        </w:tc>
      </w:tr>
      <w:tr w:rsidR="00343061" w:rsidRPr="00312958" w14:paraId="71B0B678" w14:textId="77777777" w:rsidTr="00D24EA6">
        <w:trPr>
          <w:trHeight w:val="224"/>
        </w:trPr>
        <w:tc>
          <w:tcPr>
            <w:tcW w:w="4252" w:type="dxa"/>
            <w:shd w:val="clear" w:color="auto" w:fill="auto"/>
          </w:tcPr>
          <w:p w14:paraId="08008485" w14:textId="77777777" w:rsidR="00343061" w:rsidRPr="00DE4914" w:rsidRDefault="00343061" w:rsidP="00343061">
            <w:pPr>
              <w:spacing w:before="60" w:after="60"/>
              <w:ind w:left="-62"/>
              <w:rPr>
                <w:sz w:val="22"/>
                <w:szCs w:val="22"/>
              </w:rPr>
            </w:pPr>
            <w:r w:rsidRPr="00DE4914">
              <w:rPr>
                <w:sz w:val="22"/>
                <w:szCs w:val="22"/>
              </w:rPr>
              <w:t>Daratumumab</w:t>
            </w:r>
          </w:p>
        </w:tc>
        <w:tc>
          <w:tcPr>
            <w:tcW w:w="4253" w:type="dxa"/>
            <w:shd w:val="clear" w:color="auto" w:fill="auto"/>
          </w:tcPr>
          <w:p w14:paraId="16E887DC" w14:textId="2657D27C" w:rsidR="00343061" w:rsidRPr="00DE4914" w:rsidRDefault="00343061" w:rsidP="00343061">
            <w:pPr>
              <w:spacing w:before="60" w:after="60"/>
              <w:ind w:left="-62"/>
              <w:rPr>
                <w:sz w:val="22"/>
                <w:szCs w:val="22"/>
              </w:rPr>
            </w:pPr>
            <w:r w:rsidRPr="00DE4914">
              <w:rPr>
                <w:sz w:val="22"/>
                <w:szCs w:val="22"/>
              </w:rPr>
              <w:t>Ondansetron</w:t>
            </w:r>
          </w:p>
        </w:tc>
      </w:tr>
      <w:tr w:rsidR="00343061" w:rsidRPr="00312958" w14:paraId="3E81ABAB" w14:textId="77777777" w:rsidTr="00D24EA6">
        <w:trPr>
          <w:trHeight w:val="224"/>
        </w:trPr>
        <w:tc>
          <w:tcPr>
            <w:tcW w:w="4252" w:type="dxa"/>
            <w:shd w:val="clear" w:color="auto" w:fill="auto"/>
          </w:tcPr>
          <w:p w14:paraId="23551899" w14:textId="77777777" w:rsidR="00343061" w:rsidRPr="00DE4914" w:rsidRDefault="00343061" w:rsidP="00343061">
            <w:pPr>
              <w:spacing w:before="60" w:after="60"/>
              <w:ind w:left="-62"/>
              <w:rPr>
                <w:sz w:val="22"/>
                <w:szCs w:val="22"/>
              </w:rPr>
            </w:pPr>
            <w:r w:rsidRPr="00DE4914">
              <w:rPr>
                <w:sz w:val="22"/>
                <w:szCs w:val="22"/>
              </w:rPr>
              <w:t>Empagliflozin</w:t>
            </w:r>
          </w:p>
        </w:tc>
        <w:tc>
          <w:tcPr>
            <w:tcW w:w="4253" w:type="dxa"/>
            <w:shd w:val="clear" w:color="auto" w:fill="auto"/>
          </w:tcPr>
          <w:p w14:paraId="129D7AEE" w14:textId="12329646" w:rsidR="00343061" w:rsidRPr="00DE4914" w:rsidRDefault="00343061" w:rsidP="00343061">
            <w:pPr>
              <w:spacing w:before="60" w:after="60"/>
              <w:ind w:left="-62"/>
              <w:rPr>
                <w:sz w:val="22"/>
                <w:szCs w:val="22"/>
              </w:rPr>
            </w:pPr>
            <w:r w:rsidRPr="00DE4914">
              <w:rPr>
                <w:sz w:val="22"/>
                <w:szCs w:val="22"/>
              </w:rPr>
              <w:t>Pembrolizumab</w:t>
            </w:r>
          </w:p>
        </w:tc>
      </w:tr>
      <w:tr w:rsidR="00343061" w:rsidRPr="00312958" w14:paraId="66FB4FBA" w14:textId="77777777" w:rsidTr="00D24EA6">
        <w:trPr>
          <w:trHeight w:val="224"/>
        </w:trPr>
        <w:tc>
          <w:tcPr>
            <w:tcW w:w="4252" w:type="dxa"/>
            <w:shd w:val="clear" w:color="auto" w:fill="auto"/>
          </w:tcPr>
          <w:p w14:paraId="0FA3833C" w14:textId="77777777" w:rsidR="00343061" w:rsidRPr="00DE4914" w:rsidRDefault="00343061" w:rsidP="00343061">
            <w:pPr>
              <w:spacing w:before="60" w:after="60"/>
              <w:ind w:left="-62"/>
              <w:rPr>
                <w:sz w:val="22"/>
                <w:szCs w:val="22"/>
              </w:rPr>
            </w:pPr>
            <w:r w:rsidRPr="00DE4914">
              <w:rPr>
                <w:sz w:val="22"/>
                <w:szCs w:val="22"/>
              </w:rPr>
              <w:t>Evolocumab</w:t>
            </w:r>
          </w:p>
        </w:tc>
        <w:tc>
          <w:tcPr>
            <w:tcW w:w="4253" w:type="dxa"/>
            <w:shd w:val="clear" w:color="auto" w:fill="auto"/>
          </w:tcPr>
          <w:p w14:paraId="0EEE4C8C" w14:textId="39BBA9E3" w:rsidR="00343061" w:rsidRPr="00DE4914" w:rsidRDefault="00343061" w:rsidP="00343061">
            <w:pPr>
              <w:spacing w:before="60" w:after="60"/>
              <w:ind w:left="-62"/>
              <w:rPr>
                <w:sz w:val="22"/>
                <w:szCs w:val="22"/>
              </w:rPr>
            </w:pPr>
            <w:r w:rsidRPr="00DE4914">
              <w:rPr>
                <w:sz w:val="22"/>
                <w:szCs w:val="22"/>
              </w:rPr>
              <w:t>Secukinumab</w:t>
            </w:r>
          </w:p>
        </w:tc>
      </w:tr>
      <w:tr w:rsidR="00343061" w:rsidRPr="00312958" w14:paraId="65816DE1" w14:textId="77777777" w:rsidTr="00D24EA6">
        <w:trPr>
          <w:trHeight w:val="224"/>
        </w:trPr>
        <w:tc>
          <w:tcPr>
            <w:tcW w:w="4252" w:type="dxa"/>
            <w:shd w:val="clear" w:color="auto" w:fill="auto"/>
          </w:tcPr>
          <w:p w14:paraId="522E8D9A" w14:textId="77777777" w:rsidR="00343061" w:rsidRPr="00DE4914" w:rsidRDefault="00343061" w:rsidP="00343061">
            <w:pPr>
              <w:spacing w:before="60" w:after="60"/>
              <w:ind w:left="-62"/>
              <w:rPr>
                <w:sz w:val="22"/>
                <w:szCs w:val="22"/>
              </w:rPr>
            </w:pPr>
            <w:r w:rsidRPr="00DE4914">
              <w:rPr>
                <w:sz w:val="22"/>
                <w:szCs w:val="22"/>
              </w:rPr>
              <w:t>Fluticasone propionate with salmeterol</w:t>
            </w:r>
          </w:p>
        </w:tc>
        <w:tc>
          <w:tcPr>
            <w:tcW w:w="4253" w:type="dxa"/>
            <w:shd w:val="clear" w:color="auto" w:fill="auto"/>
          </w:tcPr>
          <w:p w14:paraId="5EFB3086" w14:textId="6F71349E" w:rsidR="00343061" w:rsidRPr="00DE4914" w:rsidRDefault="00343061" w:rsidP="00343061">
            <w:pPr>
              <w:spacing w:before="60" w:after="60"/>
              <w:ind w:left="-62"/>
              <w:rPr>
                <w:sz w:val="22"/>
                <w:szCs w:val="22"/>
              </w:rPr>
            </w:pPr>
            <w:r w:rsidRPr="00DE4914">
              <w:rPr>
                <w:sz w:val="22"/>
                <w:szCs w:val="22"/>
              </w:rPr>
              <w:t>Selinexor</w:t>
            </w:r>
          </w:p>
        </w:tc>
      </w:tr>
      <w:tr w:rsidR="00343061" w:rsidRPr="00312958" w14:paraId="2B4735C4" w14:textId="77777777" w:rsidTr="00D24EA6">
        <w:trPr>
          <w:trHeight w:val="224"/>
        </w:trPr>
        <w:tc>
          <w:tcPr>
            <w:tcW w:w="4252" w:type="dxa"/>
            <w:shd w:val="clear" w:color="auto" w:fill="auto"/>
          </w:tcPr>
          <w:p w14:paraId="31612B7A" w14:textId="77777777" w:rsidR="00343061" w:rsidRPr="00DE4914" w:rsidRDefault="00343061" w:rsidP="00343061">
            <w:pPr>
              <w:spacing w:before="60" w:after="60"/>
              <w:ind w:left="-62"/>
              <w:rPr>
                <w:sz w:val="22"/>
                <w:szCs w:val="22"/>
              </w:rPr>
            </w:pPr>
            <w:r w:rsidRPr="00DE4914">
              <w:rPr>
                <w:sz w:val="22"/>
                <w:szCs w:val="22"/>
              </w:rPr>
              <w:t>Gilteritinib</w:t>
            </w:r>
          </w:p>
        </w:tc>
        <w:tc>
          <w:tcPr>
            <w:tcW w:w="4253" w:type="dxa"/>
            <w:shd w:val="clear" w:color="auto" w:fill="auto"/>
          </w:tcPr>
          <w:p w14:paraId="77CDBFE2" w14:textId="64FC725B" w:rsidR="00343061" w:rsidRPr="00DE4914" w:rsidRDefault="00343061" w:rsidP="00343061">
            <w:pPr>
              <w:spacing w:before="60" w:after="60"/>
              <w:ind w:left="-62"/>
              <w:rPr>
                <w:sz w:val="22"/>
                <w:szCs w:val="22"/>
              </w:rPr>
            </w:pPr>
            <w:r w:rsidRPr="00DE4914">
              <w:rPr>
                <w:sz w:val="22"/>
                <w:szCs w:val="22"/>
              </w:rPr>
              <w:t>Tebentafusp</w:t>
            </w:r>
          </w:p>
        </w:tc>
      </w:tr>
      <w:tr w:rsidR="00343061" w:rsidRPr="00312958" w14:paraId="473E9CCA" w14:textId="77777777" w:rsidTr="00D24EA6">
        <w:trPr>
          <w:trHeight w:val="224"/>
        </w:trPr>
        <w:tc>
          <w:tcPr>
            <w:tcW w:w="4252" w:type="dxa"/>
            <w:shd w:val="clear" w:color="auto" w:fill="auto"/>
          </w:tcPr>
          <w:p w14:paraId="65E672FF" w14:textId="77777777" w:rsidR="00343061" w:rsidRPr="00DE4914" w:rsidRDefault="00343061" w:rsidP="00343061">
            <w:pPr>
              <w:spacing w:before="60" w:after="60"/>
              <w:ind w:left="-62"/>
              <w:rPr>
                <w:sz w:val="22"/>
                <w:szCs w:val="22"/>
              </w:rPr>
            </w:pPr>
            <w:r w:rsidRPr="00DE4914">
              <w:rPr>
                <w:sz w:val="22"/>
                <w:szCs w:val="22"/>
              </w:rPr>
              <w:t>Golimumab</w:t>
            </w:r>
          </w:p>
        </w:tc>
        <w:tc>
          <w:tcPr>
            <w:tcW w:w="4253" w:type="dxa"/>
            <w:shd w:val="clear" w:color="auto" w:fill="auto"/>
          </w:tcPr>
          <w:p w14:paraId="54D695D3" w14:textId="43BBE8B2" w:rsidR="00343061" w:rsidRPr="00DE4914" w:rsidRDefault="00343061" w:rsidP="00343061">
            <w:pPr>
              <w:spacing w:before="60" w:after="60"/>
              <w:ind w:left="-62"/>
              <w:rPr>
                <w:sz w:val="22"/>
                <w:szCs w:val="22"/>
              </w:rPr>
            </w:pPr>
            <w:r w:rsidRPr="00DE4914">
              <w:rPr>
                <w:sz w:val="22"/>
                <w:szCs w:val="22"/>
              </w:rPr>
              <w:t>Upadacitinib</w:t>
            </w:r>
          </w:p>
        </w:tc>
      </w:tr>
      <w:tr w:rsidR="00343061" w:rsidRPr="00312958" w14:paraId="1E4873FC" w14:textId="77777777" w:rsidTr="00D24EA6">
        <w:trPr>
          <w:trHeight w:val="224"/>
        </w:trPr>
        <w:tc>
          <w:tcPr>
            <w:tcW w:w="4252" w:type="dxa"/>
            <w:shd w:val="clear" w:color="auto" w:fill="auto"/>
          </w:tcPr>
          <w:p w14:paraId="4811C2C1" w14:textId="77777777" w:rsidR="00343061" w:rsidRPr="00DE4914" w:rsidRDefault="00343061" w:rsidP="00343061">
            <w:pPr>
              <w:spacing w:before="60" w:after="60"/>
              <w:ind w:left="-62"/>
              <w:rPr>
                <w:sz w:val="22"/>
                <w:szCs w:val="22"/>
              </w:rPr>
            </w:pPr>
            <w:r w:rsidRPr="00DE4914">
              <w:rPr>
                <w:sz w:val="22"/>
                <w:szCs w:val="22"/>
              </w:rPr>
              <w:lastRenderedPageBreak/>
              <w:t>Lacosamide</w:t>
            </w:r>
          </w:p>
        </w:tc>
        <w:tc>
          <w:tcPr>
            <w:tcW w:w="4253" w:type="dxa"/>
            <w:shd w:val="clear" w:color="auto" w:fill="auto"/>
          </w:tcPr>
          <w:p w14:paraId="6C6949FE" w14:textId="36E15099" w:rsidR="00343061" w:rsidRPr="00DE4914" w:rsidRDefault="00343061" w:rsidP="00343061">
            <w:pPr>
              <w:spacing w:before="60" w:after="60"/>
              <w:ind w:left="-62"/>
              <w:rPr>
                <w:sz w:val="22"/>
                <w:szCs w:val="22"/>
              </w:rPr>
            </w:pPr>
          </w:p>
        </w:tc>
      </w:tr>
    </w:tbl>
    <w:p w14:paraId="57225F5B" w14:textId="77777777" w:rsidR="00312958" w:rsidRPr="00312958" w:rsidRDefault="00312958" w:rsidP="00312958">
      <w:pPr>
        <w:spacing w:before="240" w:after="0" w:line="240" w:lineRule="auto"/>
        <w:rPr>
          <w:rFonts w:ascii="Times New Roman" w:eastAsia="Times New Roman" w:hAnsi="Times New Roman" w:cs="Times New Roman"/>
          <w:b/>
          <w:sz w:val="24"/>
          <w:lang w:eastAsia="en-AU"/>
        </w:rPr>
      </w:pPr>
      <w:r w:rsidRPr="00312958">
        <w:rPr>
          <w:rFonts w:ascii="Times New Roman" w:eastAsia="Times New Roman" w:hAnsi="Times New Roman" w:cs="Times New Roman"/>
          <w:b/>
          <w:sz w:val="24"/>
          <w:szCs w:val="24"/>
          <w:lang w:eastAsia="en-AU"/>
        </w:rPr>
        <w:t xml:space="preserve">Supply Only – </w:t>
      </w:r>
      <w:r w:rsidRPr="00312958">
        <w:rPr>
          <w:rFonts w:ascii="Times New Roman" w:eastAsia="Times New Roman" w:hAnsi="Times New Roman" w:cs="Times New Roman"/>
          <w:b/>
          <w:sz w:val="24"/>
          <w:lang w:eastAsia="en-AU"/>
        </w:rPr>
        <w:t>Additions</w:t>
      </w:r>
    </w:p>
    <w:tbl>
      <w:tblPr>
        <w:tblStyle w:val="TableGrid"/>
        <w:tblW w:w="9524" w:type="dxa"/>
        <w:tblLayout w:type="fixed"/>
        <w:tblCellMar>
          <w:top w:w="57" w:type="dxa"/>
          <w:left w:w="57" w:type="dxa"/>
          <w:bottom w:w="57" w:type="dxa"/>
          <w:right w:w="57" w:type="dxa"/>
        </w:tblCellMar>
        <w:tblLook w:val="04A0" w:firstRow="1" w:lastRow="0" w:firstColumn="1" w:lastColumn="0" w:noHBand="0" w:noVBand="1"/>
      </w:tblPr>
      <w:tblGrid>
        <w:gridCol w:w="2268"/>
        <w:gridCol w:w="7256"/>
      </w:tblGrid>
      <w:tr w:rsidR="00312958" w:rsidRPr="00312958" w14:paraId="72A625C9" w14:textId="77777777" w:rsidTr="00D24EA6">
        <w:trPr>
          <w:trHeight w:val="283"/>
        </w:trPr>
        <w:tc>
          <w:tcPr>
            <w:tcW w:w="2268" w:type="dxa"/>
          </w:tcPr>
          <w:p w14:paraId="5CB11BC5" w14:textId="77777777" w:rsidR="00312958" w:rsidRPr="00DE4914" w:rsidRDefault="00312958" w:rsidP="00312958">
            <w:pPr>
              <w:spacing w:before="60"/>
              <w:ind w:left="-62"/>
              <w:rPr>
                <w:rFonts w:eastAsia="Arial"/>
                <w:sz w:val="22"/>
                <w:szCs w:val="22"/>
                <w:lang w:eastAsia="zh-CN"/>
              </w:rPr>
            </w:pPr>
            <w:r w:rsidRPr="00DE4914">
              <w:rPr>
                <w:b/>
                <w:i/>
                <w:sz w:val="22"/>
                <w:szCs w:val="22"/>
              </w:rPr>
              <w:t>Listed Drug</w:t>
            </w:r>
          </w:p>
        </w:tc>
        <w:tc>
          <w:tcPr>
            <w:tcW w:w="7256" w:type="dxa"/>
          </w:tcPr>
          <w:p w14:paraId="11833C1F" w14:textId="77777777" w:rsidR="00312958" w:rsidRPr="00DE4914" w:rsidRDefault="00312958" w:rsidP="00312958">
            <w:pPr>
              <w:spacing w:before="60"/>
              <w:ind w:left="-62"/>
              <w:rPr>
                <w:rFonts w:eastAsia="Arial"/>
                <w:sz w:val="22"/>
                <w:szCs w:val="22"/>
                <w:lang w:eastAsia="zh-CN"/>
              </w:rPr>
            </w:pPr>
            <w:r w:rsidRPr="00DE4914">
              <w:rPr>
                <w:b/>
                <w:i/>
                <w:sz w:val="22"/>
                <w:szCs w:val="22"/>
              </w:rPr>
              <w:t>Form</w:t>
            </w:r>
          </w:p>
        </w:tc>
      </w:tr>
      <w:tr w:rsidR="00312958" w:rsidRPr="00312958" w14:paraId="3212FE35" w14:textId="77777777" w:rsidTr="00D24EA6">
        <w:tc>
          <w:tcPr>
            <w:tcW w:w="2268" w:type="dxa"/>
            <w:vMerge w:val="restart"/>
          </w:tcPr>
          <w:p w14:paraId="6B047685" w14:textId="77777777" w:rsidR="00312958" w:rsidRPr="00DE4914" w:rsidRDefault="00312958" w:rsidP="00312958">
            <w:pPr>
              <w:spacing w:before="60" w:after="60"/>
              <w:ind w:left="-62"/>
              <w:rPr>
                <w:sz w:val="22"/>
                <w:szCs w:val="22"/>
              </w:rPr>
            </w:pPr>
            <w:r w:rsidRPr="00DE4914">
              <w:rPr>
                <w:sz w:val="22"/>
                <w:szCs w:val="22"/>
              </w:rPr>
              <w:t>Estradiol</w:t>
            </w:r>
          </w:p>
        </w:tc>
        <w:tc>
          <w:tcPr>
            <w:tcW w:w="7256" w:type="dxa"/>
          </w:tcPr>
          <w:p w14:paraId="2543B8BD" w14:textId="77777777" w:rsidR="00312958" w:rsidRPr="00DE4914" w:rsidRDefault="00312958" w:rsidP="00312958">
            <w:pPr>
              <w:spacing w:before="60" w:after="60"/>
              <w:ind w:left="-62"/>
              <w:rPr>
                <w:sz w:val="22"/>
                <w:szCs w:val="22"/>
              </w:rPr>
            </w:pPr>
            <w:r w:rsidRPr="00DE4914">
              <w:rPr>
                <w:sz w:val="22"/>
                <w:szCs w:val="22"/>
              </w:rPr>
              <w:t>Transdermal patches 2 mg, 4</w:t>
            </w:r>
          </w:p>
        </w:tc>
      </w:tr>
      <w:tr w:rsidR="00312958" w:rsidRPr="00312958" w14:paraId="4C860111" w14:textId="77777777" w:rsidTr="00D24EA6">
        <w:tc>
          <w:tcPr>
            <w:tcW w:w="2268" w:type="dxa"/>
            <w:vMerge/>
          </w:tcPr>
          <w:p w14:paraId="1DAEFF0A" w14:textId="77777777" w:rsidR="00312958" w:rsidRPr="00DE4914" w:rsidRDefault="00312958" w:rsidP="00312958">
            <w:pPr>
              <w:spacing w:before="60" w:after="60"/>
              <w:ind w:left="-62"/>
              <w:rPr>
                <w:sz w:val="22"/>
                <w:szCs w:val="22"/>
              </w:rPr>
            </w:pPr>
          </w:p>
        </w:tc>
        <w:tc>
          <w:tcPr>
            <w:tcW w:w="7256" w:type="dxa"/>
          </w:tcPr>
          <w:p w14:paraId="5D7AD68F" w14:textId="77777777" w:rsidR="00312958" w:rsidRPr="00DE4914" w:rsidRDefault="00312958" w:rsidP="00312958">
            <w:pPr>
              <w:spacing w:before="60" w:after="60"/>
              <w:ind w:left="-62"/>
              <w:rPr>
                <w:sz w:val="22"/>
                <w:szCs w:val="22"/>
              </w:rPr>
            </w:pPr>
            <w:r w:rsidRPr="00DE4914">
              <w:rPr>
                <w:sz w:val="22"/>
                <w:szCs w:val="22"/>
              </w:rPr>
              <w:t>Transdermal patches 3.8 mg, 4</w:t>
            </w:r>
          </w:p>
        </w:tc>
      </w:tr>
      <w:tr w:rsidR="00312958" w:rsidRPr="00312958" w14:paraId="77076BC5" w14:textId="77777777" w:rsidTr="00D24EA6">
        <w:tc>
          <w:tcPr>
            <w:tcW w:w="2268" w:type="dxa"/>
            <w:vMerge/>
          </w:tcPr>
          <w:p w14:paraId="4BE3D034" w14:textId="77777777" w:rsidR="00312958" w:rsidRPr="00DE4914" w:rsidRDefault="00312958" w:rsidP="00312958">
            <w:pPr>
              <w:spacing w:before="60" w:after="60"/>
              <w:ind w:left="-62"/>
              <w:rPr>
                <w:sz w:val="22"/>
                <w:szCs w:val="22"/>
              </w:rPr>
            </w:pPr>
          </w:p>
        </w:tc>
        <w:tc>
          <w:tcPr>
            <w:tcW w:w="7256" w:type="dxa"/>
          </w:tcPr>
          <w:p w14:paraId="7DB72B5C" w14:textId="77777777" w:rsidR="00312958" w:rsidRPr="00DE4914" w:rsidRDefault="00312958" w:rsidP="00312958">
            <w:pPr>
              <w:spacing w:before="60" w:after="60"/>
              <w:ind w:left="-62"/>
              <w:rPr>
                <w:sz w:val="22"/>
                <w:szCs w:val="22"/>
              </w:rPr>
            </w:pPr>
            <w:r w:rsidRPr="00DE4914">
              <w:rPr>
                <w:sz w:val="22"/>
                <w:szCs w:val="22"/>
              </w:rPr>
              <w:t>Transdermal patches 5.7 mg, 4</w:t>
            </w:r>
          </w:p>
        </w:tc>
      </w:tr>
      <w:tr w:rsidR="00312958" w:rsidRPr="00312958" w14:paraId="27BDB914" w14:textId="77777777" w:rsidTr="00D24EA6">
        <w:tc>
          <w:tcPr>
            <w:tcW w:w="2268" w:type="dxa"/>
            <w:vMerge/>
          </w:tcPr>
          <w:p w14:paraId="72BE4E70" w14:textId="77777777" w:rsidR="00312958" w:rsidRPr="00DE4914" w:rsidRDefault="00312958" w:rsidP="00312958">
            <w:pPr>
              <w:spacing w:before="60" w:after="60"/>
              <w:ind w:left="-62"/>
              <w:rPr>
                <w:sz w:val="22"/>
                <w:szCs w:val="22"/>
              </w:rPr>
            </w:pPr>
          </w:p>
        </w:tc>
        <w:tc>
          <w:tcPr>
            <w:tcW w:w="7256" w:type="dxa"/>
          </w:tcPr>
          <w:p w14:paraId="09D411DB" w14:textId="77777777" w:rsidR="00312958" w:rsidRPr="00DE4914" w:rsidRDefault="00312958" w:rsidP="00312958">
            <w:pPr>
              <w:spacing w:before="60" w:after="60"/>
              <w:ind w:left="-62"/>
              <w:rPr>
                <w:sz w:val="22"/>
                <w:szCs w:val="22"/>
              </w:rPr>
            </w:pPr>
            <w:r w:rsidRPr="00DE4914">
              <w:rPr>
                <w:sz w:val="22"/>
                <w:szCs w:val="22"/>
              </w:rPr>
              <w:t>Transdermal patches 7.6 mg, 4</w:t>
            </w:r>
          </w:p>
        </w:tc>
      </w:tr>
      <w:tr w:rsidR="00312958" w:rsidRPr="00312958" w14:paraId="2F6930D6" w14:textId="77777777" w:rsidTr="00D24EA6">
        <w:tc>
          <w:tcPr>
            <w:tcW w:w="2268" w:type="dxa"/>
          </w:tcPr>
          <w:p w14:paraId="347208C9" w14:textId="77777777" w:rsidR="00312958" w:rsidRPr="00DE4914" w:rsidRDefault="00312958" w:rsidP="00312958">
            <w:pPr>
              <w:spacing w:before="60" w:after="60"/>
              <w:ind w:left="-62"/>
              <w:rPr>
                <w:sz w:val="22"/>
                <w:szCs w:val="22"/>
              </w:rPr>
            </w:pPr>
            <w:r w:rsidRPr="00DE4914">
              <w:rPr>
                <w:sz w:val="22"/>
                <w:szCs w:val="22"/>
              </w:rPr>
              <w:t>Paraffin with retinol palmitate</w:t>
            </w:r>
          </w:p>
        </w:tc>
        <w:tc>
          <w:tcPr>
            <w:tcW w:w="7256" w:type="dxa"/>
          </w:tcPr>
          <w:p w14:paraId="15C7DCAA" w14:textId="77777777" w:rsidR="00312958" w:rsidRPr="00DE4914" w:rsidRDefault="00312958" w:rsidP="00312958">
            <w:pPr>
              <w:spacing w:before="60" w:after="60"/>
              <w:ind w:left="-62"/>
              <w:rPr>
                <w:sz w:val="22"/>
                <w:szCs w:val="22"/>
              </w:rPr>
            </w:pPr>
            <w:r w:rsidRPr="00DE4914">
              <w:rPr>
                <w:sz w:val="22"/>
                <w:szCs w:val="22"/>
              </w:rPr>
              <w:t>Eye ointment, compound, containing liquid paraffin, light liquid paraffin, wool fat, white soft paraffin and retinol palmitate, 5 g</w:t>
            </w:r>
          </w:p>
        </w:tc>
      </w:tr>
      <w:tr w:rsidR="00312958" w:rsidRPr="00312958" w14:paraId="0A4C49A6" w14:textId="77777777" w:rsidTr="00D24EA6">
        <w:tc>
          <w:tcPr>
            <w:tcW w:w="2268" w:type="dxa"/>
          </w:tcPr>
          <w:p w14:paraId="71835BBA" w14:textId="77777777" w:rsidR="00312958" w:rsidRPr="00DE4914" w:rsidRDefault="00312958" w:rsidP="00312958">
            <w:pPr>
              <w:spacing w:before="60" w:after="60"/>
              <w:ind w:left="-62"/>
              <w:rPr>
                <w:sz w:val="22"/>
                <w:szCs w:val="22"/>
              </w:rPr>
            </w:pPr>
            <w:r w:rsidRPr="00DE4914">
              <w:rPr>
                <w:sz w:val="22"/>
                <w:szCs w:val="22"/>
              </w:rPr>
              <w:t>Somatropin</w:t>
            </w:r>
          </w:p>
        </w:tc>
        <w:tc>
          <w:tcPr>
            <w:tcW w:w="7256" w:type="dxa"/>
          </w:tcPr>
          <w:p w14:paraId="5762F48A" w14:textId="77777777" w:rsidR="00312958" w:rsidRPr="00DE4914" w:rsidRDefault="00312958" w:rsidP="00312958">
            <w:pPr>
              <w:spacing w:before="60" w:after="60"/>
              <w:ind w:left="-62"/>
              <w:rPr>
                <w:sz w:val="22"/>
                <w:szCs w:val="22"/>
              </w:rPr>
            </w:pPr>
            <w:r w:rsidRPr="00DE4914">
              <w:rPr>
                <w:sz w:val="22"/>
                <w:szCs w:val="22"/>
              </w:rPr>
              <w:t>Solution for injection 10 mg (30 i.u.) in 2 mL cartridge (with preservative)</w:t>
            </w:r>
          </w:p>
        </w:tc>
      </w:tr>
    </w:tbl>
    <w:bookmarkEnd w:id="7"/>
    <w:p w14:paraId="2BB20DEB" w14:textId="7E7B6EA7" w:rsidR="00312958" w:rsidRPr="00312958" w:rsidRDefault="00312958" w:rsidP="00312958">
      <w:pPr>
        <w:spacing w:before="240" w:after="0" w:line="240" w:lineRule="auto"/>
        <w:rPr>
          <w:rFonts w:ascii="Times New Roman" w:eastAsia="Times New Roman" w:hAnsi="Times New Roman" w:cs="Times New Roman"/>
          <w:b/>
          <w:sz w:val="24"/>
          <w:lang w:eastAsia="en-AU"/>
        </w:rPr>
      </w:pPr>
      <w:r w:rsidRPr="00312958">
        <w:rPr>
          <w:rFonts w:ascii="Times New Roman" w:eastAsia="Times New Roman" w:hAnsi="Times New Roman" w:cs="Times New Roman"/>
          <w:b/>
          <w:sz w:val="24"/>
          <w:szCs w:val="24"/>
          <w:lang w:eastAsia="en-AU"/>
        </w:rPr>
        <w:t xml:space="preserve">Supply Only – </w:t>
      </w:r>
      <w:r w:rsidRPr="00312958">
        <w:rPr>
          <w:rFonts w:ascii="Times New Roman" w:eastAsia="Times New Roman" w:hAnsi="Times New Roman" w:cs="Times New Roman"/>
          <w:b/>
          <w:sz w:val="24"/>
          <w:lang w:eastAsia="en-AU"/>
        </w:rPr>
        <w:t>Deletions</w:t>
      </w:r>
    </w:p>
    <w:tbl>
      <w:tblPr>
        <w:tblStyle w:val="TableGrid"/>
        <w:tblW w:w="9524" w:type="dxa"/>
        <w:tblLayout w:type="fixed"/>
        <w:tblCellMar>
          <w:top w:w="57" w:type="dxa"/>
          <w:left w:w="57" w:type="dxa"/>
          <w:bottom w:w="57" w:type="dxa"/>
          <w:right w:w="57" w:type="dxa"/>
        </w:tblCellMar>
        <w:tblLook w:val="04A0" w:firstRow="1" w:lastRow="0" w:firstColumn="1" w:lastColumn="0" w:noHBand="0" w:noVBand="1"/>
      </w:tblPr>
      <w:tblGrid>
        <w:gridCol w:w="2268"/>
        <w:gridCol w:w="7256"/>
      </w:tblGrid>
      <w:tr w:rsidR="00312958" w:rsidRPr="00312958" w14:paraId="42A28A1B" w14:textId="77777777" w:rsidTr="00D24EA6">
        <w:trPr>
          <w:trHeight w:val="283"/>
        </w:trPr>
        <w:tc>
          <w:tcPr>
            <w:tcW w:w="2268" w:type="dxa"/>
          </w:tcPr>
          <w:p w14:paraId="68CCB514" w14:textId="77777777" w:rsidR="00312958" w:rsidRPr="00DE4914" w:rsidRDefault="00312958" w:rsidP="00312958">
            <w:pPr>
              <w:spacing w:before="60"/>
              <w:ind w:left="-62"/>
              <w:rPr>
                <w:rFonts w:eastAsia="Arial"/>
                <w:sz w:val="22"/>
                <w:szCs w:val="22"/>
                <w:lang w:eastAsia="zh-CN"/>
              </w:rPr>
            </w:pPr>
            <w:r w:rsidRPr="00DE4914">
              <w:rPr>
                <w:b/>
                <w:i/>
                <w:sz w:val="22"/>
                <w:szCs w:val="22"/>
              </w:rPr>
              <w:t>Listed Drug</w:t>
            </w:r>
          </w:p>
        </w:tc>
        <w:tc>
          <w:tcPr>
            <w:tcW w:w="7256" w:type="dxa"/>
          </w:tcPr>
          <w:p w14:paraId="104BAFC3" w14:textId="77777777" w:rsidR="00312958" w:rsidRPr="00DE4914" w:rsidRDefault="00312958" w:rsidP="00312958">
            <w:pPr>
              <w:spacing w:before="60"/>
              <w:ind w:left="-62"/>
              <w:rPr>
                <w:rFonts w:eastAsia="Arial"/>
                <w:sz w:val="22"/>
                <w:szCs w:val="22"/>
                <w:lang w:eastAsia="zh-CN"/>
              </w:rPr>
            </w:pPr>
            <w:r w:rsidRPr="00DE4914">
              <w:rPr>
                <w:b/>
                <w:i/>
                <w:sz w:val="22"/>
                <w:szCs w:val="22"/>
              </w:rPr>
              <w:t>Form</w:t>
            </w:r>
          </w:p>
        </w:tc>
      </w:tr>
      <w:tr w:rsidR="00312958" w:rsidRPr="00312958" w14:paraId="2D811D75" w14:textId="77777777" w:rsidTr="00D24EA6">
        <w:trPr>
          <w:trHeight w:val="283"/>
        </w:trPr>
        <w:tc>
          <w:tcPr>
            <w:tcW w:w="2268" w:type="dxa"/>
            <w:vMerge w:val="restart"/>
          </w:tcPr>
          <w:p w14:paraId="70990579" w14:textId="77777777" w:rsidR="00312958" w:rsidRPr="00DE4914" w:rsidRDefault="00312958" w:rsidP="00312958">
            <w:pPr>
              <w:spacing w:before="60" w:after="60"/>
              <w:ind w:left="-62"/>
              <w:rPr>
                <w:bCs/>
                <w:iCs/>
                <w:sz w:val="22"/>
                <w:szCs w:val="22"/>
              </w:rPr>
            </w:pPr>
            <w:r w:rsidRPr="00DE4914">
              <w:rPr>
                <w:sz w:val="22"/>
                <w:szCs w:val="22"/>
              </w:rPr>
              <w:t>Hydralazine</w:t>
            </w:r>
          </w:p>
        </w:tc>
        <w:tc>
          <w:tcPr>
            <w:tcW w:w="7256" w:type="dxa"/>
          </w:tcPr>
          <w:p w14:paraId="3973E0BA" w14:textId="77777777" w:rsidR="00312958" w:rsidRPr="00DE4914" w:rsidRDefault="00312958" w:rsidP="00312958">
            <w:pPr>
              <w:spacing w:before="60" w:after="60"/>
              <w:ind w:left="-62"/>
              <w:rPr>
                <w:bCs/>
                <w:iCs/>
                <w:sz w:val="22"/>
                <w:szCs w:val="22"/>
              </w:rPr>
            </w:pPr>
            <w:r w:rsidRPr="00DE4914">
              <w:rPr>
                <w:sz w:val="22"/>
                <w:szCs w:val="22"/>
              </w:rPr>
              <w:t>Tablet containing hydralazine hydrochloride 25 mg</w:t>
            </w:r>
          </w:p>
        </w:tc>
      </w:tr>
      <w:tr w:rsidR="00312958" w:rsidRPr="00312958" w14:paraId="2530AD9A" w14:textId="77777777" w:rsidTr="00D24EA6">
        <w:trPr>
          <w:trHeight w:val="283"/>
        </w:trPr>
        <w:tc>
          <w:tcPr>
            <w:tcW w:w="2268" w:type="dxa"/>
            <w:vMerge/>
          </w:tcPr>
          <w:p w14:paraId="4D53DBD5" w14:textId="77777777" w:rsidR="00312958" w:rsidRPr="00DE4914" w:rsidRDefault="00312958" w:rsidP="00312958">
            <w:pPr>
              <w:spacing w:before="60" w:after="60"/>
              <w:ind w:left="-62"/>
              <w:rPr>
                <w:bCs/>
                <w:iCs/>
                <w:sz w:val="22"/>
                <w:szCs w:val="22"/>
              </w:rPr>
            </w:pPr>
          </w:p>
        </w:tc>
        <w:tc>
          <w:tcPr>
            <w:tcW w:w="7256" w:type="dxa"/>
          </w:tcPr>
          <w:p w14:paraId="25255B6A" w14:textId="77777777" w:rsidR="00312958" w:rsidRPr="00DE4914" w:rsidRDefault="00312958" w:rsidP="00312958">
            <w:pPr>
              <w:spacing w:before="60" w:after="60"/>
              <w:ind w:left="-62"/>
              <w:rPr>
                <w:bCs/>
                <w:iCs/>
                <w:sz w:val="22"/>
                <w:szCs w:val="22"/>
              </w:rPr>
            </w:pPr>
            <w:r w:rsidRPr="00DE4914">
              <w:rPr>
                <w:sz w:val="22"/>
                <w:szCs w:val="22"/>
              </w:rPr>
              <w:t>Tablet containing hydralazine hydrochloride 50 mg</w:t>
            </w:r>
          </w:p>
        </w:tc>
      </w:tr>
      <w:tr w:rsidR="00312958" w:rsidRPr="00312958" w14:paraId="58015BD7" w14:textId="77777777" w:rsidTr="00D24EA6">
        <w:trPr>
          <w:trHeight w:val="283"/>
        </w:trPr>
        <w:tc>
          <w:tcPr>
            <w:tcW w:w="2268" w:type="dxa"/>
          </w:tcPr>
          <w:p w14:paraId="5780BA58" w14:textId="77777777" w:rsidR="00312958" w:rsidRPr="00DE4914" w:rsidRDefault="00312958" w:rsidP="00312958">
            <w:pPr>
              <w:spacing w:before="60" w:after="60"/>
              <w:ind w:left="-62"/>
              <w:rPr>
                <w:sz w:val="22"/>
                <w:szCs w:val="22"/>
              </w:rPr>
            </w:pPr>
            <w:r w:rsidRPr="00DE4914">
              <w:rPr>
                <w:sz w:val="22"/>
                <w:szCs w:val="22"/>
              </w:rPr>
              <w:t>Sterculia with frangula bark</w:t>
            </w:r>
          </w:p>
        </w:tc>
        <w:tc>
          <w:tcPr>
            <w:tcW w:w="7256" w:type="dxa"/>
          </w:tcPr>
          <w:p w14:paraId="0079B42A" w14:textId="77777777" w:rsidR="00312958" w:rsidRPr="00DE4914" w:rsidRDefault="00312958" w:rsidP="00312958">
            <w:pPr>
              <w:spacing w:before="60" w:after="60"/>
              <w:ind w:left="-62"/>
              <w:rPr>
                <w:sz w:val="22"/>
                <w:szCs w:val="22"/>
              </w:rPr>
            </w:pPr>
            <w:r w:rsidRPr="00DE4914">
              <w:rPr>
                <w:sz w:val="22"/>
                <w:szCs w:val="22"/>
              </w:rPr>
              <w:t>Granules 620 mg-80 mg per g, 500 g</w:t>
            </w:r>
          </w:p>
        </w:tc>
      </w:tr>
      <w:tr w:rsidR="00312958" w:rsidRPr="00312958" w14:paraId="269602D5" w14:textId="77777777" w:rsidTr="00D24EA6">
        <w:trPr>
          <w:trHeight w:val="283"/>
        </w:trPr>
        <w:tc>
          <w:tcPr>
            <w:tcW w:w="2268" w:type="dxa"/>
          </w:tcPr>
          <w:p w14:paraId="472D23DE" w14:textId="77777777" w:rsidR="00312958" w:rsidRPr="00DE4914" w:rsidRDefault="00312958" w:rsidP="00312958">
            <w:pPr>
              <w:spacing w:before="60" w:after="60"/>
              <w:ind w:left="-62"/>
              <w:rPr>
                <w:bCs/>
                <w:iCs/>
                <w:sz w:val="22"/>
                <w:szCs w:val="22"/>
              </w:rPr>
            </w:pPr>
            <w:r w:rsidRPr="00DE4914">
              <w:rPr>
                <w:sz w:val="22"/>
                <w:szCs w:val="22"/>
              </w:rPr>
              <w:t>Triglycerides, medium chain</w:t>
            </w:r>
          </w:p>
        </w:tc>
        <w:tc>
          <w:tcPr>
            <w:tcW w:w="7256" w:type="dxa"/>
          </w:tcPr>
          <w:p w14:paraId="29C5DC02" w14:textId="77777777" w:rsidR="00312958" w:rsidRPr="00DE4914" w:rsidRDefault="00312958" w:rsidP="00312958">
            <w:pPr>
              <w:spacing w:before="60" w:after="60"/>
              <w:ind w:left="-62"/>
              <w:rPr>
                <w:bCs/>
                <w:iCs/>
                <w:sz w:val="22"/>
                <w:szCs w:val="22"/>
              </w:rPr>
            </w:pPr>
            <w:r w:rsidRPr="00DE4914">
              <w:rPr>
                <w:sz w:val="22"/>
                <w:szCs w:val="22"/>
              </w:rPr>
              <w:t>Oral liquid 225 mL, 15 (K.Quik)</w:t>
            </w:r>
          </w:p>
        </w:tc>
      </w:tr>
      <w:tr w:rsidR="00312958" w:rsidRPr="00312958" w14:paraId="3A8615DA" w14:textId="77777777" w:rsidTr="00D24EA6">
        <w:trPr>
          <w:trHeight w:val="283"/>
        </w:trPr>
        <w:tc>
          <w:tcPr>
            <w:tcW w:w="2268" w:type="dxa"/>
          </w:tcPr>
          <w:p w14:paraId="63F77181" w14:textId="77777777" w:rsidR="00312958" w:rsidRPr="00DE4914" w:rsidRDefault="00312958" w:rsidP="00312958">
            <w:pPr>
              <w:spacing w:before="60" w:after="60"/>
              <w:ind w:left="-62"/>
              <w:rPr>
                <w:bCs/>
                <w:iCs/>
                <w:sz w:val="22"/>
                <w:szCs w:val="22"/>
              </w:rPr>
            </w:pPr>
            <w:r w:rsidRPr="00DE4914">
              <w:rPr>
                <w:sz w:val="22"/>
                <w:szCs w:val="22"/>
              </w:rPr>
              <w:t>Triglycerides - medium chain, formula</w:t>
            </w:r>
          </w:p>
        </w:tc>
        <w:tc>
          <w:tcPr>
            <w:tcW w:w="7256" w:type="dxa"/>
          </w:tcPr>
          <w:p w14:paraId="26CA50AF" w14:textId="77777777" w:rsidR="00312958" w:rsidRPr="00DE4914" w:rsidRDefault="00312958" w:rsidP="00312958">
            <w:pPr>
              <w:spacing w:before="60" w:after="60"/>
              <w:ind w:left="-62"/>
              <w:rPr>
                <w:bCs/>
                <w:iCs/>
                <w:sz w:val="22"/>
                <w:szCs w:val="22"/>
              </w:rPr>
            </w:pPr>
            <w:r w:rsidRPr="00DE4914">
              <w:rPr>
                <w:sz w:val="22"/>
                <w:szCs w:val="22"/>
              </w:rPr>
              <w:t>Sachets containing oral powder 16 g, 30 (MCT Pro-Cal)</w:t>
            </w:r>
          </w:p>
        </w:tc>
      </w:tr>
    </w:tbl>
    <w:p w14:paraId="45012296" w14:textId="77777777" w:rsidR="00312958" w:rsidRPr="00312958" w:rsidRDefault="00312958" w:rsidP="00312958">
      <w:pPr>
        <w:keepNext/>
        <w:widowControl w:val="0"/>
        <w:spacing w:before="240" w:after="0" w:line="240" w:lineRule="auto"/>
        <w:rPr>
          <w:rFonts w:ascii="Times New Roman" w:eastAsia="Times New Roman" w:hAnsi="Times New Roman" w:cs="Times New Roman"/>
          <w:b/>
          <w:sz w:val="26"/>
          <w:szCs w:val="26"/>
          <w:lang w:eastAsia="en-AU"/>
        </w:rPr>
      </w:pPr>
      <w:r w:rsidRPr="00312958">
        <w:rPr>
          <w:rFonts w:ascii="Times New Roman" w:eastAsia="Times New Roman" w:hAnsi="Times New Roman" w:cs="Times New Roman"/>
          <w:b/>
          <w:sz w:val="24"/>
          <w:szCs w:val="24"/>
          <w:lang w:eastAsia="en-AU"/>
        </w:rPr>
        <w:t>Documents Incorporated by Reference</w:t>
      </w:r>
    </w:p>
    <w:tbl>
      <w:tblPr>
        <w:tblStyle w:val="TableGrid"/>
        <w:tblW w:w="5261" w:type="pct"/>
        <w:tblLayout w:type="fixed"/>
        <w:tblCellMar>
          <w:top w:w="57" w:type="dxa"/>
          <w:left w:w="57" w:type="dxa"/>
          <w:bottom w:w="57" w:type="dxa"/>
          <w:right w:w="57" w:type="dxa"/>
        </w:tblCellMar>
        <w:tblLook w:val="01E0" w:firstRow="1" w:lastRow="1" w:firstColumn="1" w:lastColumn="1" w:noHBand="0" w:noVBand="0"/>
      </w:tblPr>
      <w:tblGrid>
        <w:gridCol w:w="1700"/>
        <w:gridCol w:w="4538"/>
        <w:gridCol w:w="3259"/>
      </w:tblGrid>
      <w:tr w:rsidR="00312958" w:rsidRPr="00312958" w14:paraId="594B4812" w14:textId="77777777" w:rsidTr="00312958">
        <w:trPr>
          <w:trHeight w:val="340"/>
        </w:trPr>
        <w:tc>
          <w:tcPr>
            <w:tcW w:w="895" w:type="pct"/>
            <w:shd w:val="clear" w:color="auto" w:fill="auto"/>
          </w:tcPr>
          <w:p w14:paraId="5798BEE4" w14:textId="77777777" w:rsidR="00312958" w:rsidRPr="00DE4914" w:rsidRDefault="00312958" w:rsidP="00312958">
            <w:pPr>
              <w:keepNext/>
              <w:widowControl w:val="0"/>
              <w:spacing w:before="60"/>
              <w:ind w:left="-60"/>
              <w:jc w:val="both"/>
              <w:rPr>
                <w:b/>
                <w:i/>
                <w:sz w:val="22"/>
                <w:szCs w:val="22"/>
              </w:rPr>
            </w:pPr>
            <w:r w:rsidRPr="00DE4914">
              <w:rPr>
                <w:b/>
                <w:i/>
                <w:sz w:val="22"/>
                <w:szCs w:val="22"/>
              </w:rPr>
              <w:t>Listed Drug</w:t>
            </w:r>
          </w:p>
        </w:tc>
        <w:tc>
          <w:tcPr>
            <w:tcW w:w="2389" w:type="pct"/>
            <w:shd w:val="clear" w:color="auto" w:fill="auto"/>
          </w:tcPr>
          <w:p w14:paraId="19E007F9" w14:textId="77777777" w:rsidR="00312958" w:rsidRPr="00DE4914" w:rsidRDefault="00312958" w:rsidP="00312958">
            <w:pPr>
              <w:keepNext/>
              <w:widowControl w:val="0"/>
              <w:spacing w:before="60"/>
              <w:ind w:left="-62"/>
              <w:rPr>
                <w:b/>
                <w:i/>
                <w:sz w:val="22"/>
                <w:szCs w:val="22"/>
              </w:rPr>
            </w:pPr>
            <w:r w:rsidRPr="00DE4914">
              <w:rPr>
                <w:b/>
                <w:bCs/>
                <w:i/>
                <w:iCs/>
                <w:sz w:val="22"/>
                <w:szCs w:val="22"/>
              </w:rPr>
              <w:t>Document incorporated</w:t>
            </w:r>
          </w:p>
        </w:tc>
        <w:tc>
          <w:tcPr>
            <w:tcW w:w="1716" w:type="pct"/>
            <w:shd w:val="clear" w:color="auto" w:fill="auto"/>
          </w:tcPr>
          <w:p w14:paraId="429E9873" w14:textId="77777777" w:rsidR="00312958" w:rsidRPr="00DE4914" w:rsidRDefault="00312958" w:rsidP="00312958">
            <w:pPr>
              <w:keepNext/>
              <w:widowControl w:val="0"/>
              <w:spacing w:before="60"/>
              <w:ind w:left="-62"/>
              <w:rPr>
                <w:b/>
                <w:i/>
                <w:sz w:val="22"/>
                <w:szCs w:val="22"/>
              </w:rPr>
            </w:pPr>
            <w:r w:rsidRPr="00DE4914">
              <w:rPr>
                <w:b/>
                <w:bCs/>
                <w:i/>
                <w:iCs/>
                <w:sz w:val="22"/>
                <w:szCs w:val="22"/>
              </w:rPr>
              <w:t>Document access</w:t>
            </w:r>
          </w:p>
        </w:tc>
      </w:tr>
      <w:tr w:rsidR="00312958" w:rsidRPr="00312958" w14:paraId="07CDFC66" w14:textId="77777777" w:rsidTr="00312958">
        <w:trPr>
          <w:trHeight w:val="340"/>
        </w:trPr>
        <w:tc>
          <w:tcPr>
            <w:tcW w:w="895" w:type="pct"/>
            <w:shd w:val="clear" w:color="auto" w:fill="auto"/>
          </w:tcPr>
          <w:p w14:paraId="3818C1A4" w14:textId="77777777" w:rsidR="00312958" w:rsidRPr="00DE4914" w:rsidRDefault="00312958" w:rsidP="00312958">
            <w:pPr>
              <w:spacing w:before="60" w:after="60"/>
              <w:ind w:left="-62"/>
              <w:rPr>
                <w:sz w:val="22"/>
                <w:szCs w:val="22"/>
              </w:rPr>
            </w:pPr>
            <w:r w:rsidRPr="00DE4914">
              <w:rPr>
                <w:sz w:val="22"/>
                <w:szCs w:val="22"/>
              </w:rPr>
              <w:t>Acalabrutinib</w:t>
            </w:r>
          </w:p>
          <w:p w14:paraId="28C98805" w14:textId="77777777" w:rsidR="00312958" w:rsidRPr="00DE4914" w:rsidRDefault="00312958" w:rsidP="00312958">
            <w:pPr>
              <w:spacing w:before="60" w:after="60"/>
              <w:ind w:left="-62"/>
              <w:rPr>
                <w:sz w:val="22"/>
                <w:szCs w:val="22"/>
              </w:rPr>
            </w:pPr>
            <w:r w:rsidRPr="00DE4914">
              <w:rPr>
                <w:sz w:val="22"/>
                <w:szCs w:val="22"/>
              </w:rPr>
              <w:t>Alirocumab</w:t>
            </w:r>
          </w:p>
          <w:p w14:paraId="567400AE" w14:textId="77777777" w:rsidR="00312958" w:rsidRPr="00DE4914" w:rsidRDefault="00312958" w:rsidP="00312958">
            <w:pPr>
              <w:spacing w:before="60" w:after="60"/>
              <w:ind w:left="-62"/>
              <w:rPr>
                <w:sz w:val="22"/>
                <w:szCs w:val="22"/>
              </w:rPr>
            </w:pPr>
            <w:r w:rsidRPr="00DE4914">
              <w:rPr>
                <w:sz w:val="22"/>
                <w:szCs w:val="22"/>
              </w:rPr>
              <w:t>Certolizumab pegol</w:t>
            </w:r>
          </w:p>
          <w:p w14:paraId="3B4AFD63" w14:textId="77777777" w:rsidR="00312958" w:rsidRPr="00DE4914" w:rsidRDefault="00312958" w:rsidP="00312958">
            <w:pPr>
              <w:spacing w:before="60" w:after="60"/>
              <w:ind w:left="-62"/>
              <w:rPr>
                <w:sz w:val="22"/>
                <w:szCs w:val="22"/>
              </w:rPr>
            </w:pPr>
            <w:r w:rsidRPr="00DE4914">
              <w:rPr>
                <w:sz w:val="22"/>
                <w:szCs w:val="22"/>
              </w:rPr>
              <w:t>Evolocumab</w:t>
            </w:r>
          </w:p>
          <w:p w14:paraId="46E78134" w14:textId="77777777" w:rsidR="00312958" w:rsidRPr="00DE4914" w:rsidRDefault="00312958" w:rsidP="00312958">
            <w:pPr>
              <w:spacing w:before="60" w:after="60"/>
              <w:ind w:left="-62"/>
              <w:rPr>
                <w:sz w:val="22"/>
                <w:szCs w:val="22"/>
              </w:rPr>
            </w:pPr>
            <w:r w:rsidRPr="00DE4914">
              <w:rPr>
                <w:sz w:val="22"/>
                <w:szCs w:val="22"/>
              </w:rPr>
              <w:t>Golimumab</w:t>
            </w:r>
          </w:p>
          <w:p w14:paraId="3A54713F" w14:textId="77777777" w:rsidR="00312958" w:rsidRPr="00DE4914" w:rsidRDefault="00312958" w:rsidP="00312958">
            <w:pPr>
              <w:spacing w:before="60" w:after="60"/>
              <w:ind w:left="-62"/>
              <w:rPr>
                <w:sz w:val="22"/>
                <w:szCs w:val="22"/>
              </w:rPr>
            </w:pPr>
            <w:r w:rsidRPr="00DE4914">
              <w:rPr>
                <w:sz w:val="22"/>
                <w:szCs w:val="22"/>
              </w:rPr>
              <w:t>Inclisiran</w:t>
            </w:r>
          </w:p>
          <w:p w14:paraId="32F777C1" w14:textId="77777777" w:rsidR="00312958" w:rsidRPr="00DE4914" w:rsidRDefault="00312958" w:rsidP="00312958">
            <w:pPr>
              <w:spacing w:before="60" w:after="60"/>
              <w:ind w:left="-62"/>
              <w:rPr>
                <w:sz w:val="22"/>
                <w:szCs w:val="22"/>
              </w:rPr>
            </w:pPr>
            <w:r w:rsidRPr="00DE4914">
              <w:rPr>
                <w:sz w:val="22"/>
                <w:szCs w:val="22"/>
              </w:rPr>
              <w:t>Secukinumab</w:t>
            </w:r>
          </w:p>
          <w:p w14:paraId="5AB9EFA4" w14:textId="77777777" w:rsidR="00312958" w:rsidRPr="00DE4914" w:rsidRDefault="00312958" w:rsidP="00312958">
            <w:pPr>
              <w:spacing w:before="60" w:after="60"/>
              <w:ind w:left="-62"/>
              <w:rPr>
                <w:sz w:val="22"/>
                <w:szCs w:val="22"/>
              </w:rPr>
            </w:pPr>
            <w:r w:rsidRPr="00DE4914">
              <w:rPr>
                <w:sz w:val="22"/>
                <w:szCs w:val="22"/>
              </w:rPr>
              <w:t>Tebentafusp</w:t>
            </w:r>
          </w:p>
          <w:p w14:paraId="2A2B6030" w14:textId="77777777" w:rsidR="00312958" w:rsidRPr="00DE4914" w:rsidRDefault="00312958" w:rsidP="00312958">
            <w:pPr>
              <w:spacing w:before="60" w:after="60"/>
              <w:ind w:left="-62"/>
              <w:rPr>
                <w:sz w:val="22"/>
                <w:szCs w:val="22"/>
              </w:rPr>
            </w:pPr>
            <w:r w:rsidRPr="00DE4914">
              <w:rPr>
                <w:sz w:val="22"/>
                <w:szCs w:val="22"/>
              </w:rPr>
              <w:t>Upadacitinib</w:t>
            </w:r>
          </w:p>
        </w:tc>
        <w:tc>
          <w:tcPr>
            <w:tcW w:w="2389" w:type="pct"/>
            <w:shd w:val="clear" w:color="auto" w:fill="auto"/>
          </w:tcPr>
          <w:p w14:paraId="5D15E3B5" w14:textId="7423B693" w:rsidR="00312958" w:rsidRPr="00DE4914" w:rsidRDefault="00312958" w:rsidP="00312958">
            <w:pPr>
              <w:widowControl w:val="0"/>
              <w:spacing w:before="60" w:after="60"/>
              <w:ind w:left="-62"/>
              <w:rPr>
                <w:b/>
                <w:bCs/>
                <w:sz w:val="22"/>
                <w:szCs w:val="22"/>
                <w:lang w:val="en-US"/>
              </w:rPr>
            </w:pPr>
            <w:r w:rsidRPr="00DE4914">
              <w:rPr>
                <w:b/>
                <w:bCs/>
                <w:sz w:val="22"/>
                <w:szCs w:val="22"/>
                <w:lang w:val="en-US"/>
              </w:rPr>
              <w:t>Approved Product Information/Australian Product Information/TGA-approved Product Information.</w:t>
            </w:r>
          </w:p>
          <w:p w14:paraId="2BCD8187" w14:textId="77777777" w:rsidR="00312958" w:rsidRPr="00DE4914" w:rsidRDefault="00312958" w:rsidP="00312958">
            <w:pPr>
              <w:widowControl w:val="0"/>
              <w:spacing w:before="60" w:after="60"/>
              <w:ind w:left="-62"/>
              <w:rPr>
                <w:bCs/>
                <w:sz w:val="22"/>
                <w:szCs w:val="22"/>
                <w:lang w:val="en-US"/>
              </w:rPr>
            </w:pPr>
            <w:r w:rsidRPr="00DE4914">
              <w:rPr>
                <w:bCs/>
                <w:sz w:val="22"/>
                <w:szCs w:val="22"/>
                <w:lang w:val="en-US"/>
              </w:rPr>
              <w:t xml:space="preserve">The document is incorporated as in force on the day this Instrument takes effect, pursuant to paragraph 14(1)(b) of the </w:t>
            </w:r>
            <w:r w:rsidRPr="00DE4914">
              <w:rPr>
                <w:bCs/>
                <w:i/>
                <w:iCs/>
                <w:sz w:val="22"/>
                <w:szCs w:val="22"/>
                <w:lang w:val="en-US"/>
              </w:rPr>
              <w:t>Legislation Act 2003.</w:t>
            </w:r>
          </w:p>
          <w:p w14:paraId="05EEEBAB" w14:textId="77777777" w:rsidR="00312958" w:rsidRPr="00DE4914" w:rsidRDefault="00312958" w:rsidP="00312958">
            <w:pPr>
              <w:widowControl w:val="0"/>
              <w:spacing w:before="60" w:after="60"/>
              <w:ind w:left="-62"/>
              <w:rPr>
                <w:b/>
                <w:bCs/>
                <w:sz w:val="22"/>
                <w:szCs w:val="22"/>
                <w:lang w:val="en-US"/>
              </w:rPr>
            </w:pPr>
            <w:r w:rsidRPr="00DE4914">
              <w:rPr>
                <w:bCs/>
                <w:sz w:val="22"/>
                <w:szCs w:val="22"/>
                <w:lang w:val="en-US"/>
              </w:rPr>
              <w:t>This document provides health professionals with a summary of the scientific information relevant to the safe and effective use of a prescription medicine.</w:t>
            </w:r>
          </w:p>
        </w:tc>
        <w:tc>
          <w:tcPr>
            <w:tcW w:w="1716" w:type="pct"/>
            <w:shd w:val="clear" w:color="auto" w:fill="auto"/>
          </w:tcPr>
          <w:p w14:paraId="39D3A782" w14:textId="77777777" w:rsidR="00312958" w:rsidRPr="00DE4914" w:rsidRDefault="00312958" w:rsidP="00312958">
            <w:pPr>
              <w:keepLines/>
              <w:widowControl w:val="0"/>
              <w:spacing w:before="60" w:after="60"/>
              <w:ind w:left="-62"/>
              <w:rPr>
                <w:bCs/>
                <w:iCs/>
                <w:sz w:val="22"/>
                <w:szCs w:val="22"/>
              </w:rPr>
            </w:pPr>
            <w:r w:rsidRPr="00DE4914">
              <w:rPr>
                <w:bCs/>
                <w:iCs/>
                <w:sz w:val="22"/>
                <w:szCs w:val="22"/>
              </w:rPr>
              <w:t xml:space="preserve">TGA-approved Product Information is available for download for free from the TGA website: </w:t>
            </w:r>
            <w:hyperlink r:id="rId8" w:history="1">
              <w:r w:rsidRPr="00DE4914">
                <w:rPr>
                  <w:bCs/>
                  <w:iCs/>
                  <w:color w:val="0563C1" w:themeColor="hyperlink"/>
                  <w:sz w:val="22"/>
                  <w:szCs w:val="22"/>
                  <w:u w:val="single"/>
                </w:rPr>
                <w:t>https://www.tga.gov.au/product-information-0</w:t>
              </w:r>
            </w:hyperlink>
          </w:p>
        </w:tc>
      </w:tr>
      <w:tr w:rsidR="00312958" w:rsidRPr="00312958" w14:paraId="5B3FD3D6" w14:textId="77777777" w:rsidTr="00312958">
        <w:trPr>
          <w:trHeight w:val="340"/>
        </w:trPr>
        <w:tc>
          <w:tcPr>
            <w:tcW w:w="895" w:type="pct"/>
            <w:shd w:val="clear" w:color="auto" w:fill="auto"/>
          </w:tcPr>
          <w:p w14:paraId="04588430" w14:textId="77777777" w:rsidR="00312958" w:rsidRPr="00DE4914" w:rsidRDefault="00312958" w:rsidP="00312958">
            <w:pPr>
              <w:spacing w:before="60" w:after="60"/>
              <w:ind w:left="-62"/>
              <w:rPr>
                <w:sz w:val="22"/>
                <w:szCs w:val="22"/>
              </w:rPr>
            </w:pPr>
            <w:r w:rsidRPr="00DE4914">
              <w:rPr>
                <w:sz w:val="22"/>
                <w:szCs w:val="22"/>
              </w:rPr>
              <w:lastRenderedPageBreak/>
              <w:t>Certolizumab pegol</w:t>
            </w:r>
          </w:p>
          <w:p w14:paraId="52D3E294" w14:textId="77777777" w:rsidR="00312958" w:rsidRPr="00DE4914" w:rsidRDefault="00312958" w:rsidP="00312958">
            <w:pPr>
              <w:spacing w:before="60" w:after="60"/>
              <w:ind w:left="-62"/>
              <w:rPr>
                <w:sz w:val="22"/>
                <w:szCs w:val="22"/>
              </w:rPr>
            </w:pPr>
            <w:r w:rsidRPr="00DE4914">
              <w:rPr>
                <w:sz w:val="22"/>
                <w:szCs w:val="22"/>
              </w:rPr>
              <w:t>Golimumab</w:t>
            </w:r>
          </w:p>
          <w:p w14:paraId="25A82A00" w14:textId="77777777" w:rsidR="00312958" w:rsidRPr="00DE4914" w:rsidRDefault="00312958" w:rsidP="00312958">
            <w:pPr>
              <w:spacing w:before="60" w:after="60"/>
              <w:ind w:left="-62"/>
              <w:rPr>
                <w:sz w:val="22"/>
                <w:szCs w:val="22"/>
              </w:rPr>
            </w:pPr>
            <w:r w:rsidRPr="00DE4914">
              <w:rPr>
                <w:sz w:val="22"/>
                <w:szCs w:val="22"/>
              </w:rPr>
              <w:t>Secukinumab</w:t>
            </w:r>
          </w:p>
          <w:p w14:paraId="3F5FFA7F" w14:textId="77777777" w:rsidR="00312958" w:rsidRPr="00DE4914" w:rsidRDefault="00312958" w:rsidP="00312958">
            <w:pPr>
              <w:spacing w:before="60" w:after="60"/>
              <w:ind w:left="-62"/>
              <w:rPr>
                <w:sz w:val="22"/>
                <w:szCs w:val="22"/>
              </w:rPr>
            </w:pPr>
            <w:r w:rsidRPr="00DE4914">
              <w:rPr>
                <w:sz w:val="22"/>
                <w:szCs w:val="22"/>
              </w:rPr>
              <w:t>Upadacitinib</w:t>
            </w:r>
          </w:p>
        </w:tc>
        <w:tc>
          <w:tcPr>
            <w:tcW w:w="2389" w:type="pct"/>
            <w:shd w:val="clear" w:color="auto" w:fill="auto"/>
          </w:tcPr>
          <w:p w14:paraId="6019B253" w14:textId="77777777" w:rsidR="00312958" w:rsidRPr="00DE4914" w:rsidRDefault="00312958" w:rsidP="00312958">
            <w:pPr>
              <w:widowControl w:val="0"/>
              <w:spacing w:before="60" w:after="60"/>
              <w:ind w:left="-62"/>
              <w:rPr>
                <w:b/>
                <w:bCs/>
                <w:sz w:val="22"/>
                <w:szCs w:val="22"/>
                <w:lang w:val="en-US"/>
              </w:rPr>
            </w:pPr>
            <w:r w:rsidRPr="00DE4914">
              <w:rPr>
                <w:b/>
                <w:bCs/>
                <w:sz w:val="22"/>
                <w:szCs w:val="22"/>
                <w:lang w:val="en-US"/>
              </w:rPr>
              <w:t>Assessment of Spondyloarthritis International Society (ASAS) criteria</w:t>
            </w:r>
          </w:p>
          <w:p w14:paraId="54DB1256" w14:textId="77777777" w:rsidR="00312958" w:rsidRPr="00DE4914" w:rsidRDefault="00312958" w:rsidP="00312958">
            <w:pPr>
              <w:widowControl w:val="0"/>
              <w:spacing w:before="60" w:after="60"/>
              <w:ind w:left="-62"/>
              <w:rPr>
                <w:sz w:val="22"/>
                <w:szCs w:val="22"/>
                <w:lang w:val="en-US"/>
              </w:rPr>
            </w:pPr>
            <w:r w:rsidRPr="00DE4914">
              <w:rPr>
                <w:sz w:val="22"/>
                <w:szCs w:val="22"/>
                <w:lang w:val="en-US"/>
              </w:rPr>
              <w:t xml:space="preserve">The document is incorporated as in force on the day this Instrument takes effect, pursuant to paragraph 14(1)(b) of the </w:t>
            </w:r>
            <w:r w:rsidRPr="00DE4914">
              <w:rPr>
                <w:i/>
                <w:iCs/>
                <w:sz w:val="22"/>
                <w:szCs w:val="22"/>
                <w:lang w:val="en-US"/>
              </w:rPr>
              <w:t>Legislation Act 2003</w:t>
            </w:r>
            <w:r w:rsidRPr="00DE4914">
              <w:rPr>
                <w:sz w:val="22"/>
                <w:szCs w:val="22"/>
                <w:lang w:val="en-US"/>
              </w:rPr>
              <w:t>.</w:t>
            </w:r>
          </w:p>
          <w:p w14:paraId="735B5491" w14:textId="77777777" w:rsidR="00312958" w:rsidRPr="00DE4914" w:rsidRDefault="00312958" w:rsidP="00312958">
            <w:pPr>
              <w:widowControl w:val="0"/>
              <w:spacing w:before="60" w:after="60"/>
              <w:ind w:left="-62"/>
              <w:rPr>
                <w:b/>
                <w:bCs/>
                <w:sz w:val="22"/>
                <w:szCs w:val="22"/>
                <w:lang w:val="en-US"/>
              </w:rPr>
            </w:pPr>
            <w:r w:rsidRPr="00DE4914">
              <w:rPr>
                <w:sz w:val="22"/>
                <w:szCs w:val="22"/>
                <w:lang w:val="en-US"/>
              </w:rPr>
              <w:t>The document is a self-described handbook on the clinical assessment of spondyloarthritis, with a focus on axial spondyloarthritis. Box 4 and 8, plus Table 2 within the document specifically give the clinician guidance in forming a diagnosis of non-radiographic axial spondyloarthritis.</w:t>
            </w:r>
          </w:p>
        </w:tc>
        <w:tc>
          <w:tcPr>
            <w:tcW w:w="1716" w:type="pct"/>
            <w:shd w:val="clear" w:color="auto" w:fill="auto"/>
          </w:tcPr>
          <w:p w14:paraId="11C82B06" w14:textId="77777777" w:rsidR="00312958" w:rsidRPr="00DE4914" w:rsidRDefault="00312958" w:rsidP="00312958">
            <w:pPr>
              <w:keepLines/>
              <w:widowControl w:val="0"/>
              <w:spacing w:before="60" w:after="60"/>
              <w:ind w:left="-62"/>
              <w:rPr>
                <w:bCs/>
                <w:iCs/>
                <w:sz w:val="22"/>
                <w:szCs w:val="22"/>
              </w:rPr>
            </w:pPr>
            <w:r w:rsidRPr="00DE4914">
              <w:rPr>
                <w:bCs/>
                <w:iCs/>
                <w:sz w:val="22"/>
                <w:szCs w:val="22"/>
              </w:rPr>
              <w:t xml:space="preserve">The ASAS criteria are available for download for free from the ASAS group website: </w:t>
            </w:r>
            <w:hyperlink r:id="rId9" w:history="1">
              <w:r w:rsidRPr="00DE4914">
                <w:rPr>
                  <w:bCs/>
                  <w:iCs/>
                  <w:color w:val="0563C1" w:themeColor="hyperlink"/>
                  <w:sz w:val="22"/>
                  <w:szCs w:val="22"/>
                  <w:u w:val="single"/>
                </w:rPr>
                <w:t>https://www.asas-group.org/wp-content/uploads/2020/07/ASAS-handbook.pdf</w:t>
              </w:r>
            </w:hyperlink>
          </w:p>
          <w:p w14:paraId="472751D5" w14:textId="77777777" w:rsidR="00312958" w:rsidRPr="00DE4914" w:rsidRDefault="00312958" w:rsidP="00312958">
            <w:pPr>
              <w:keepLines/>
              <w:widowControl w:val="0"/>
              <w:spacing w:before="60" w:after="60"/>
              <w:ind w:left="-62"/>
              <w:rPr>
                <w:bCs/>
                <w:iCs/>
                <w:sz w:val="22"/>
                <w:szCs w:val="22"/>
              </w:rPr>
            </w:pPr>
          </w:p>
          <w:p w14:paraId="4A7B2B40" w14:textId="77777777" w:rsidR="00312958" w:rsidRPr="00DE4914" w:rsidRDefault="00312958" w:rsidP="00312958">
            <w:pPr>
              <w:keepLines/>
              <w:widowControl w:val="0"/>
              <w:spacing w:before="60" w:after="60"/>
              <w:ind w:left="-62"/>
              <w:rPr>
                <w:bCs/>
                <w:iCs/>
                <w:sz w:val="22"/>
                <w:szCs w:val="22"/>
              </w:rPr>
            </w:pPr>
            <w:r w:rsidRPr="00DE4914">
              <w:rPr>
                <w:bCs/>
                <w:iCs/>
                <w:sz w:val="22"/>
                <w:szCs w:val="22"/>
              </w:rPr>
              <w:t>The published literature reference is:</w:t>
            </w:r>
          </w:p>
          <w:p w14:paraId="72370C0A" w14:textId="77777777" w:rsidR="00312958" w:rsidRPr="00DE4914" w:rsidRDefault="00312958" w:rsidP="00312958">
            <w:pPr>
              <w:keepLines/>
              <w:widowControl w:val="0"/>
              <w:spacing w:before="60" w:after="60"/>
              <w:ind w:left="-62"/>
              <w:rPr>
                <w:bCs/>
                <w:iCs/>
                <w:sz w:val="22"/>
                <w:szCs w:val="22"/>
              </w:rPr>
            </w:pPr>
            <w:r w:rsidRPr="00DE4914">
              <w:rPr>
                <w:bCs/>
                <w:iCs/>
                <w:sz w:val="22"/>
                <w:szCs w:val="22"/>
              </w:rPr>
              <w:t>Sieper J et al. The Assessment of SpondyloArthritis international Society (ASAS) handbook: a guide to assess spondyloarthritis.</w:t>
            </w:r>
          </w:p>
          <w:p w14:paraId="44D5DB03" w14:textId="77777777" w:rsidR="00312958" w:rsidRPr="00DE4914" w:rsidRDefault="00312958" w:rsidP="00312958">
            <w:pPr>
              <w:keepLines/>
              <w:widowControl w:val="0"/>
              <w:spacing w:before="60" w:after="60"/>
              <w:ind w:left="-62"/>
              <w:rPr>
                <w:bCs/>
                <w:iCs/>
                <w:sz w:val="22"/>
                <w:szCs w:val="22"/>
              </w:rPr>
            </w:pPr>
            <w:r w:rsidRPr="00DE4914">
              <w:rPr>
                <w:bCs/>
                <w:iCs/>
                <w:sz w:val="22"/>
                <w:szCs w:val="22"/>
              </w:rPr>
              <w:t>Ann Rheum Dis 2009; 68; ii1-ii44</w:t>
            </w:r>
          </w:p>
        </w:tc>
      </w:tr>
      <w:tr w:rsidR="00312958" w:rsidRPr="00312958" w14:paraId="69E1C49D" w14:textId="77777777" w:rsidTr="00312958">
        <w:trPr>
          <w:trHeight w:val="340"/>
        </w:trPr>
        <w:tc>
          <w:tcPr>
            <w:tcW w:w="895" w:type="pct"/>
            <w:shd w:val="clear" w:color="auto" w:fill="auto"/>
          </w:tcPr>
          <w:p w14:paraId="3AAE991A" w14:textId="77777777" w:rsidR="00312958" w:rsidRPr="00DE4914" w:rsidRDefault="00312958" w:rsidP="00312958">
            <w:pPr>
              <w:spacing w:before="60" w:after="60"/>
              <w:ind w:left="-62"/>
              <w:rPr>
                <w:sz w:val="22"/>
                <w:szCs w:val="22"/>
              </w:rPr>
            </w:pPr>
            <w:r w:rsidRPr="00DE4914">
              <w:rPr>
                <w:sz w:val="22"/>
                <w:szCs w:val="22"/>
              </w:rPr>
              <w:t>Certolizumab pegol</w:t>
            </w:r>
          </w:p>
          <w:p w14:paraId="5734448C" w14:textId="77777777" w:rsidR="00312958" w:rsidRPr="00DE4914" w:rsidRDefault="00312958" w:rsidP="00312958">
            <w:pPr>
              <w:spacing w:before="60" w:after="60"/>
              <w:ind w:left="-62"/>
              <w:rPr>
                <w:sz w:val="22"/>
                <w:szCs w:val="22"/>
              </w:rPr>
            </w:pPr>
            <w:r w:rsidRPr="00DE4914">
              <w:rPr>
                <w:sz w:val="22"/>
                <w:szCs w:val="22"/>
              </w:rPr>
              <w:t>Golimumab</w:t>
            </w:r>
          </w:p>
          <w:p w14:paraId="0B36A15A" w14:textId="77777777" w:rsidR="00312958" w:rsidRPr="00DE4914" w:rsidRDefault="00312958" w:rsidP="00312958">
            <w:pPr>
              <w:spacing w:before="60" w:after="60"/>
              <w:ind w:left="-62"/>
              <w:rPr>
                <w:sz w:val="22"/>
                <w:szCs w:val="22"/>
              </w:rPr>
            </w:pPr>
            <w:r w:rsidRPr="00DE4914">
              <w:rPr>
                <w:sz w:val="22"/>
                <w:szCs w:val="22"/>
              </w:rPr>
              <w:t>Secukinumab</w:t>
            </w:r>
          </w:p>
          <w:p w14:paraId="49D8C227" w14:textId="77777777" w:rsidR="00312958" w:rsidRPr="00DE4914" w:rsidRDefault="00312958" w:rsidP="00312958">
            <w:pPr>
              <w:spacing w:before="60" w:after="60"/>
              <w:ind w:left="-62"/>
              <w:rPr>
                <w:sz w:val="22"/>
                <w:szCs w:val="22"/>
              </w:rPr>
            </w:pPr>
            <w:r w:rsidRPr="00DE4914">
              <w:rPr>
                <w:sz w:val="22"/>
                <w:szCs w:val="22"/>
              </w:rPr>
              <w:t>Upadacitinib</w:t>
            </w:r>
          </w:p>
        </w:tc>
        <w:tc>
          <w:tcPr>
            <w:tcW w:w="2389" w:type="pct"/>
            <w:shd w:val="clear" w:color="auto" w:fill="auto"/>
          </w:tcPr>
          <w:p w14:paraId="1B9D1E73" w14:textId="7F781243" w:rsidR="00312958" w:rsidRPr="00DE4914" w:rsidRDefault="00312958" w:rsidP="00312958">
            <w:pPr>
              <w:widowControl w:val="0"/>
              <w:spacing w:before="60" w:after="60"/>
              <w:ind w:left="-62"/>
              <w:rPr>
                <w:b/>
                <w:bCs/>
                <w:sz w:val="22"/>
                <w:szCs w:val="22"/>
                <w:lang w:val="en-US"/>
              </w:rPr>
            </w:pPr>
            <w:r w:rsidRPr="00DE4914">
              <w:rPr>
                <w:b/>
                <w:bCs/>
                <w:sz w:val="22"/>
                <w:szCs w:val="22"/>
                <w:lang w:val="en-US"/>
              </w:rPr>
              <w:t>Bath Ankylosing Spondylitis Disease Activity Index (BASDAI).</w:t>
            </w:r>
          </w:p>
          <w:p w14:paraId="75A5D1CE" w14:textId="77777777" w:rsidR="00312958" w:rsidRPr="00DE4914" w:rsidRDefault="00312958" w:rsidP="00312958">
            <w:pPr>
              <w:widowControl w:val="0"/>
              <w:spacing w:before="60" w:after="60"/>
              <w:ind w:left="-62"/>
              <w:rPr>
                <w:sz w:val="22"/>
                <w:szCs w:val="22"/>
                <w:lang w:val="en-US"/>
              </w:rPr>
            </w:pPr>
            <w:r w:rsidRPr="00DE4914">
              <w:rPr>
                <w:sz w:val="22"/>
                <w:szCs w:val="22"/>
                <w:lang w:val="en-US"/>
              </w:rPr>
              <w:t xml:space="preserve">The document is incorporated as in force on the day this Instrument takes effect, pursuant to paragraph 14(1)(b) of the </w:t>
            </w:r>
            <w:r w:rsidRPr="00DE4914">
              <w:rPr>
                <w:i/>
                <w:iCs/>
                <w:sz w:val="22"/>
                <w:szCs w:val="22"/>
                <w:lang w:val="en-US"/>
              </w:rPr>
              <w:t>Legislation Act 2003</w:t>
            </w:r>
            <w:r w:rsidRPr="00DE4914">
              <w:rPr>
                <w:sz w:val="22"/>
                <w:szCs w:val="22"/>
                <w:lang w:val="en-US"/>
              </w:rPr>
              <w:t>.</w:t>
            </w:r>
          </w:p>
          <w:p w14:paraId="756EB63B" w14:textId="77777777" w:rsidR="00312958" w:rsidRPr="00DE4914" w:rsidRDefault="00312958" w:rsidP="00312958">
            <w:pPr>
              <w:widowControl w:val="0"/>
              <w:spacing w:before="60" w:after="60"/>
              <w:ind w:left="-62"/>
              <w:rPr>
                <w:b/>
                <w:bCs/>
                <w:sz w:val="22"/>
                <w:szCs w:val="22"/>
                <w:lang w:val="en-US"/>
              </w:rPr>
            </w:pPr>
            <w:r w:rsidRPr="00DE4914">
              <w:rPr>
                <w:sz w:val="22"/>
                <w:szCs w:val="22"/>
                <w:lang w:val="en-US"/>
              </w:rPr>
              <w:t>The BASDAI is a widely used tool that enables measurement and evaluation of the level of disease activity in Ankylosing Spondylitis.</w:t>
            </w:r>
          </w:p>
        </w:tc>
        <w:tc>
          <w:tcPr>
            <w:tcW w:w="1716" w:type="pct"/>
            <w:shd w:val="clear" w:color="auto" w:fill="auto"/>
          </w:tcPr>
          <w:p w14:paraId="3351F2F1" w14:textId="77777777" w:rsidR="00312958" w:rsidRPr="00DE4914" w:rsidRDefault="00312958" w:rsidP="00312958">
            <w:pPr>
              <w:keepLines/>
              <w:widowControl w:val="0"/>
              <w:spacing w:before="60" w:after="60"/>
              <w:ind w:left="-62"/>
              <w:rPr>
                <w:bCs/>
                <w:iCs/>
                <w:sz w:val="22"/>
                <w:szCs w:val="22"/>
              </w:rPr>
            </w:pPr>
            <w:r w:rsidRPr="00DE4914">
              <w:rPr>
                <w:bCs/>
                <w:iCs/>
                <w:sz w:val="22"/>
                <w:szCs w:val="22"/>
              </w:rPr>
              <w:t xml:space="preserve">The BASDAI is available for download for free from the Services Australia website: </w:t>
            </w:r>
            <w:hyperlink r:id="rId10" w:history="1">
              <w:r w:rsidRPr="00DE4914">
                <w:rPr>
                  <w:bCs/>
                  <w:iCs/>
                  <w:color w:val="0563C1" w:themeColor="hyperlink"/>
                  <w:sz w:val="22"/>
                  <w:szCs w:val="22"/>
                  <w:u w:val="single"/>
                </w:rPr>
                <w:t>www.servicesaustralia.gov.au</w:t>
              </w:r>
            </w:hyperlink>
          </w:p>
        </w:tc>
      </w:tr>
      <w:tr w:rsidR="00312958" w:rsidRPr="00312958" w14:paraId="07B131F4" w14:textId="77777777" w:rsidTr="00312958">
        <w:trPr>
          <w:trHeight w:val="340"/>
        </w:trPr>
        <w:tc>
          <w:tcPr>
            <w:tcW w:w="895" w:type="pct"/>
            <w:shd w:val="clear" w:color="auto" w:fill="auto"/>
          </w:tcPr>
          <w:p w14:paraId="1540BCAA" w14:textId="77777777" w:rsidR="00312958" w:rsidRPr="00DE4914" w:rsidRDefault="00312958" w:rsidP="00312958">
            <w:pPr>
              <w:spacing w:before="60" w:after="60"/>
              <w:ind w:left="-62"/>
              <w:rPr>
                <w:sz w:val="22"/>
                <w:szCs w:val="22"/>
              </w:rPr>
            </w:pPr>
            <w:r w:rsidRPr="00DE4914">
              <w:rPr>
                <w:sz w:val="22"/>
                <w:szCs w:val="22"/>
              </w:rPr>
              <w:t>Alirocumab</w:t>
            </w:r>
          </w:p>
          <w:p w14:paraId="6F92825F" w14:textId="77777777" w:rsidR="00312958" w:rsidRPr="00DE4914" w:rsidRDefault="00312958" w:rsidP="00312958">
            <w:pPr>
              <w:spacing w:before="60" w:after="60"/>
              <w:ind w:left="-62"/>
              <w:rPr>
                <w:sz w:val="22"/>
                <w:szCs w:val="22"/>
              </w:rPr>
            </w:pPr>
            <w:r w:rsidRPr="00DE4914">
              <w:rPr>
                <w:sz w:val="22"/>
                <w:szCs w:val="22"/>
              </w:rPr>
              <w:t>Evolocumab</w:t>
            </w:r>
          </w:p>
          <w:p w14:paraId="62A074B0" w14:textId="77777777" w:rsidR="00312958" w:rsidRPr="00DE4914" w:rsidRDefault="00312958" w:rsidP="00312958">
            <w:pPr>
              <w:spacing w:before="60" w:after="60"/>
              <w:ind w:left="-62"/>
              <w:rPr>
                <w:sz w:val="22"/>
                <w:szCs w:val="22"/>
              </w:rPr>
            </w:pPr>
            <w:r w:rsidRPr="00DE4914">
              <w:rPr>
                <w:sz w:val="22"/>
                <w:szCs w:val="22"/>
              </w:rPr>
              <w:t>Inclisiran</w:t>
            </w:r>
          </w:p>
        </w:tc>
        <w:tc>
          <w:tcPr>
            <w:tcW w:w="2389" w:type="pct"/>
            <w:shd w:val="clear" w:color="auto" w:fill="auto"/>
          </w:tcPr>
          <w:p w14:paraId="40A97FA5" w14:textId="77777777" w:rsidR="00312958" w:rsidRPr="00DE4914" w:rsidRDefault="00312958" w:rsidP="00312958">
            <w:pPr>
              <w:widowControl w:val="0"/>
              <w:spacing w:before="60" w:after="60"/>
              <w:ind w:left="-62"/>
              <w:rPr>
                <w:b/>
                <w:bCs/>
                <w:sz w:val="22"/>
                <w:szCs w:val="22"/>
                <w:lang w:val="en-US"/>
              </w:rPr>
            </w:pPr>
            <w:r w:rsidRPr="00DE4914">
              <w:rPr>
                <w:b/>
                <w:bCs/>
                <w:sz w:val="22"/>
                <w:szCs w:val="22"/>
                <w:lang w:val="en-US"/>
              </w:rPr>
              <w:t>Dutch Lipid Clinic Network Score (DLCNS).</w:t>
            </w:r>
          </w:p>
          <w:p w14:paraId="4192B282" w14:textId="77777777" w:rsidR="00312958" w:rsidRPr="00DE4914" w:rsidRDefault="00312958" w:rsidP="00312958">
            <w:pPr>
              <w:widowControl w:val="0"/>
              <w:spacing w:before="60" w:after="60"/>
              <w:ind w:left="-62"/>
              <w:rPr>
                <w:sz w:val="22"/>
                <w:szCs w:val="22"/>
                <w:lang w:val="en-US"/>
              </w:rPr>
            </w:pPr>
            <w:r w:rsidRPr="00DE4914">
              <w:rPr>
                <w:sz w:val="22"/>
                <w:szCs w:val="22"/>
                <w:lang w:val="en-US"/>
              </w:rPr>
              <w:t xml:space="preserve">The document is incorporated as in force on the day this Instrument takes effect, pursuant to paragraph 14(1)(b) of the </w:t>
            </w:r>
            <w:r w:rsidRPr="00DE4914">
              <w:rPr>
                <w:i/>
                <w:iCs/>
                <w:sz w:val="22"/>
                <w:szCs w:val="22"/>
                <w:lang w:val="en-US"/>
              </w:rPr>
              <w:t>Legislation Act 2003</w:t>
            </w:r>
            <w:r w:rsidRPr="00DE4914">
              <w:rPr>
                <w:sz w:val="22"/>
                <w:szCs w:val="22"/>
                <w:lang w:val="en-US"/>
              </w:rPr>
              <w:t>.</w:t>
            </w:r>
          </w:p>
          <w:p w14:paraId="33D70FB3" w14:textId="77777777" w:rsidR="00312958" w:rsidRPr="00DE4914" w:rsidRDefault="00312958" w:rsidP="00312958">
            <w:pPr>
              <w:widowControl w:val="0"/>
              <w:spacing w:before="60" w:after="60"/>
              <w:ind w:left="-62"/>
              <w:rPr>
                <w:b/>
                <w:bCs/>
                <w:sz w:val="22"/>
                <w:szCs w:val="22"/>
                <w:lang w:val="en-US"/>
              </w:rPr>
            </w:pPr>
            <w:r w:rsidRPr="00DE4914">
              <w:rPr>
                <w:sz w:val="22"/>
                <w:szCs w:val="22"/>
                <w:lang w:val="en-US"/>
              </w:rPr>
              <w:t>The DLCNS is a validated set of criteria used to categorise the likelihood of a patient having Familial Hypercholesterolaemia, by evaluating family history of premature cardiovascular disease (CVD) in first degree relatives, the patient’s own CVD history, their untreated lipid levels and physical signs such as the presence of tendon xanthomata or arcus cornealis prior to the age of 45.</w:t>
            </w:r>
          </w:p>
        </w:tc>
        <w:tc>
          <w:tcPr>
            <w:tcW w:w="1716" w:type="pct"/>
            <w:shd w:val="clear" w:color="auto" w:fill="auto"/>
          </w:tcPr>
          <w:p w14:paraId="5C822423" w14:textId="77777777" w:rsidR="00312958" w:rsidRPr="00DE4914" w:rsidRDefault="00312958" w:rsidP="00312958">
            <w:pPr>
              <w:keepLines/>
              <w:widowControl w:val="0"/>
              <w:spacing w:before="60" w:after="60"/>
              <w:ind w:left="-62"/>
              <w:rPr>
                <w:bCs/>
                <w:iCs/>
                <w:sz w:val="22"/>
                <w:szCs w:val="22"/>
              </w:rPr>
            </w:pPr>
            <w:r w:rsidRPr="00DE4914">
              <w:rPr>
                <w:bCs/>
                <w:iCs/>
                <w:sz w:val="22"/>
                <w:szCs w:val="22"/>
              </w:rPr>
              <w:t xml:space="preserve">The DLCNS is available for download for free from the Royal Australian College of General Practitioners website: </w:t>
            </w:r>
            <w:hyperlink r:id="rId11" w:history="1">
              <w:r w:rsidRPr="00DE4914">
                <w:rPr>
                  <w:bCs/>
                  <w:iCs/>
                  <w:color w:val="0563C1" w:themeColor="hyperlink"/>
                  <w:sz w:val="22"/>
                  <w:szCs w:val="22"/>
                  <w:u w:val="single"/>
                </w:rPr>
                <w:t>https://www.racgp.org.au/FSDEDEV/media/documents/Clinical%20Resources/Guidelines/Red%20Book/Appendix-2B.pdf</w:t>
              </w:r>
            </w:hyperlink>
          </w:p>
        </w:tc>
      </w:tr>
      <w:tr w:rsidR="00312958" w:rsidRPr="00312958" w14:paraId="49A14984" w14:textId="77777777" w:rsidTr="00312958">
        <w:trPr>
          <w:trHeight w:val="340"/>
        </w:trPr>
        <w:tc>
          <w:tcPr>
            <w:tcW w:w="895" w:type="pct"/>
            <w:shd w:val="clear" w:color="auto" w:fill="auto"/>
          </w:tcPr>
          <w:p w14:paraId="33D60BF3" w14:textId="77777777" w:rsidR="00312958" w:rsidRPr="00DE4914" w:rsidRDefault="00312958" w:rsidP="00312958">
            <w:pPr>
              <w:spacing w:before="60" w:after="60"/>
              <w:ind w:left="-62"/>
              <w:rPr>
                <w:sz w:val="22"/>
                <w:szCs w:val="22"/>
              </w:rPr>
            </w:pPr>
            <w:r w:rsidRPr="00DE4914">
              <w:rPr>
                <w:sz w:val="22"/>
                <w:szCs w:val="22"/>
              </w:rPr>
              <w:t>Niraparib</w:t>
            </w:r>
          </w:p>
          <w:p w14:paraId="3595267F" w14:textId="77777777" w:rsidR="00312958" w:rsidRPr="00DE4914" w:rsidRDefault="00312958" w:rsidP="00312958">
            <w:pPr>
              <w:spacing w:before="60" w:after="60"/>
              <w:ind w:left="-62"/>
              <w:rPr>
                <w:sz w:val="22"/>
                <w:szCs w:val="22"/>
              </w:rPr>
            </w:pPr>
            <w:r w:rsidRPr="00DE4914">
              <w:rPr>
                <w:sz w:val="22"/>
                <w:szCs w:val="22"/>
              </w:rPr>
              <w:t>Olaparib</w:t>
            </w:r>
          </w:p>
        </w:tc>
        <w:tc>
          <w:tcPr>
            <w:tcW w:w="2389" w:type="pct"/>
            <w:shd w:val="clear" w:color="auto" w:fill="auto"/>
          </w:tcPr>
          <w:p w14:paraId="35F298F9" w14:textId="77777777" w:rsidR="00312958" w:rsidRPr="00DE4914" w:rsidRDefault="00312958" w:rsidP="00312958">
            <w:pPr>
              <w:widowControl w:val="0"/>
              <w:spacing w:before="60" w:after="60"/>
              <w:ind w:left="-62"/>
              <w:rPr>
                <w:b/>
                <w:bCs/>
                <w:sz w:val="22"/>
                <w:szCs w:val="22"/>
                <w:lang w:val="en-US"/>
              </w:rPr>
            </w:pPr>
            <w:r w:rsidRPr="00DE4914">
              <w:rPr>
                <w:b/>
                <w:bCs/>
                <w:sz w:val="22"/>
                <w:szCs w:val="22"/>
                <w:lang w:val="en-US"/>
              </w:rPr>
              <w:t>Gynaecologic Cancer InterGroup (GCIG) guidelines/GCIG CA-125 response criteria.</w:t>
            </w:r>
          </w:p>
          <w:p w14:paraId="36E36332" w14:textId="77777777" w:rsidR="00312958" w:rsidRPr="00DE4914" w:rsidRDefault="00312958" w:rsidP="00312958">
            <w:pPr>
              <w:widowControl w:val="0"/>
              <w:spacing w:before="60" w:after="60"/>
              <w:ind w:left="-62"/>
              <w:rPr>
                <w:sz w:val="22"/>
                <w:szCs w:val="22"/>
                <w:lang w:val="en-US"/>
              </w:rPr>
            </w:pPr>
            <w:r w:rsidRPr="00DE4914">
              <w:rPr>
                <w:sz w:val="22"/>
                <w:szCs w:val="22"/>
                <w:lang w:val="en-US"/>
              </w:rPr>
              <w:t xml:space="preserve">The document is incorporated as in force on the day this Instrument takes effect, pursuant to paragraph 14(1)(b) of the </w:t>
            </w:r>
            <w:r w:rsidRPr="00DE4914">
              <w:rPr>
                <w:i/>
                <w:iCs/>
                <w:sz w:val="22"/>
                <w:szCs w:val="22"/>
                <w:lang w:val="en-US"/>
              </w:rPr>
              <w:t>Legislation Act 2003</w:t>
            </w:r>
            <w:r w:rsidRPr="00DE4914">
              <w:rPr>
                <w:sz w:val="22"/>
                <w:szCs w:val="22"/>
                <w:lang w:val="en-US"/>
              </w:rPr>
              <w:t>.</w:t>
            </w:r>
          </w:p>
          <w:p w14:paraId="4C614DBB" w14:textId="77777777" w:rsidR="00312958" w:rsidRPr="00DE4914" w:rsidRDefault="00312958" w:rsidP="00312958">
            <w:pPr>
              <w:widowControl w:val="0"/>
              <w:spacing w:before="60" w:after="60"/>
              <w:ind w:left="-62"/>
              <w:rPr>
                <w:b/>
                <w:bCs/>
                <w:sz w:val="22"/>
                <w:szCs w:val="22"/>
                <w:lang w:val="en-US"/>
              </w:rPr>
            </w:pPr>
            <w:r w:rsidRPr="00DE4914">
              <w:rPr>
                <w:sz w:val="22"/>
                <w:szCs w:val="22"/>
                <w:lang w:val="en-US"/>
              </w:rPr>
              <w:t>The GCIG guidelines/GCIG CA-125 response criteria are a set of criteria for defining response and progression of ovarian cancer.</w:t>
            </w:r>
          </w:p>
        </w:tc>
        <w:tc>
          <w:tcPr>
            <w:tcW w:w="1716" w:type="pct"/>
            <w:shd w:val="clear" w:color="auto" w:fill="auto"/>
          </w:tcPr>
          <w:p w14:paraId="4BEFCD3C" w14:textId="77777777" w:rsidR="00312958" w:rsidRPr="00DE4914" w:rsidRDefault="00312958" w:rsidP="00312958">
            <w:pPr>
              <w:widowControl w:val="0"/>
              <w:spacing w:before="60" w:after="60"/>
              <w:ind w:left="-62"/>
              <w:rPr>
                <w:bCs/>
                <w:iCs/>
                <w:sz w:val="22"/>
                <w:szCs w:val="22"/>
              </w:rPr>
            </w:pPr>
            <w:r w:rsidRPr="00DE4914">
              <w:rPr>
                <w:bCs/>
                <w:iCs/>
                <w:sz w:val="22"/>
                <w:szCs w:val="22"/>
              </w:rPr>
              <w:t xml:space="preserve">The GCIG guidelines/GCIG CA-125 response criteria are available for download for free in references from the Oxford University Press website: </w:t>
            </w:r>
            <w:hyperlink r:id="rId12" w:history="1">
              <w:r w:rsidRPr="00DE4914">
                <w:rPr>
                  <w:bCs/>
                  <w:iCs/>
                  <w:color w:val="0563C1" w:themeColor="hyperlink"/>
                  <w:sz w:val="22"/>
                  <w:szCs w:val="22"/>
                  <w:u w:val="single"/>
                </w:rPr>
                <w:t>https://academic.oup.com/jnci/article/96/6/487/2606756</w:t>
              </w:r>
            </w:hyperlink>
          </w:p>
        </w:tc>
      </w:tr>
      <w:tr w:rsidR="00312958" w:rsidRPr="00312958" w14:paraId="14DA76C6" w14:textId="77777777" w:rsidTr="00312958">
        <w:trPr>
          <w:trHeight w:val="340"/>
        </w:trPr>
        <w:tc>
          <w:tcPr>
            <w:tcW w:w="895" w:type="pct"/>
            <w:shd w:val="clear" w:color="auto" w:fill="auto"/>
          </w:tcPr>
          <w:p w14:paraId="4B8E3B2C" w14:textId="77777777" w:rsidR="00312958" w:rsidRPr="00DE4914" w:rsidRDefault="00312958" w:rsidP="00312958">
            <w:pPr>
              <w:spacing w:before="60" w:after="60"/>
              <w:ind w:left="-62"/>
              <w:rPr>
                <w:sz w:val="22"/>
                <w:szCs w:val="22"/>
              </w:rPr>
            </w:pPr>
            <w:r w:rsidRPr="00DE4914">
              <w:rPr>
                <w:sz w:val="22"/>
                <w:szCs w:val="22"/>
              </w:rPr>
              <w:t>Acalabrutinib</w:t>
            </w:r>
          </w:p>
        </w:tc>
        <w:tc>
          <w:tcPr>
            <w:tcW w:w="2389" w:type="pct"/>
            <w:shd w:val="clear" w:color="auto" w:fill="auto"/>
          </w:tcPr>
          <w:p w14:paraId="2A80E83E" w14:textId="77777777" w:rsidR="00312958" w:rsidRPr="00DE4914" w:rsidRDefault="00312958" w:rsidP="00312958">
            <w:pPr>
              <w:widowControl w:val="0"/>
              <w:spacing w:before="60" w:after="60"/>
              <w:ind w:left="-62"/>
              <w:rPr>
                <w:b/>
                <w:bCs/>
                <w:sz w:val="22"/>
                <w:szCs w:val="22"/>
                <w:lang w:val="en-US"/>
              </w:rPr>
            </w:pPr>
            <w:r w:rsidRPr="00DE4914">
              <w:rPr>
                <w:b/>
                <w:bCs/>
                <w:sz w:val="22"/>
                <w:szCs w:val="22"/>
                <w:lang w:val="en-US"/>
              </w:rPr>
              <w:t>International workshop on chronic lymphocytic leukemia (iwCLL) guidance.</w:t>
            </w:r>
          </w:p>
          <w:p w14:paraId="2E5A6386" w14:textId="77777777" w:rsidR="00312958" w:rsidRPr="00DE4914" w:rsidRDefault="00312958" w:rsidP="00312958">
            <w:pPr>
              <w:widowControl w:val="0"/>
              <w:spacing w:before="60" w:after="60"/>
              <w:ind w:left="-62"/>
              <w:rPr>
                <w:sz w:val="22"/>
                <w:szCs w:val="22"/>
                <w:lang w:val="en-US"/>
              </w:rPr>
            </w:pPr>
            <w:r w:rsidRPr="00DE4914">
              <w:rPr>
                <w:sz w:val="22"/>
                <w:szCs w:val="22"/>
                <w:lang w:val="en-US"/>
              </w:rPr>
              <w:t xml:space="preserve">The document is incorporated as in force on the day this Instrument takes effect, pursuant to </w:t>
            </w:r>
            <w:r w:rsidRPr="00DE4914">
              <w:rPr>
                <w:sz w:val="22"/>
                <w:szCs w:val="22"/>
                <w:lang w:val="en-US"/>
              </w:rPr>
              <w:lastRenderedPageBreak/>
              <w:t xml:space="preserve">paragraph 14(1)(b) of the </w:t>
            </w:r>
            <w:r w:rsidRPr="00DE4914">
              <w:rPr>
                <w:i/>
                <w:iCs/>
                <w:sz w:val="22"/>
                <w:szCs w:val="22"/>
                <w:lang w:val="en-US"/>
              </w:rPr>
              <w:t>Legislation Act 2003</w:t>
            </w:r>
            <w:r w:rsidRPr="00DE4914">
              <w:rPr>
                <w:sz w:val="22"/>
                <w:szCs w:val="22"/>
                <w:lang w:val="en-US"/>
              </w:rPr>
              <w:t>.</w:t>
            </w:r>
          </w:p>
          <w:p w14:paraId="5CA8CCB7" w14:textId="77777777" w:rsidR="00312958" w:rsidRPr="00DE4914" w:rsidRDefault="00312958" w:rsidP="00312958">
            <w:pPr>
              <w:widowControl w:val="0"/>
              <w:spacing w:before="60" w:after="60"/>
              <w:ind w:left="-62"/>
              <w:rPr>
                <w:sz w:val="22"/>
                <w:szCs w:val="22"/>
                <w:lang w:val="en-US"/>
              </w:rPr>
            </w:pPr>
            <w:r w:rsidRPr="00DE4914">
              <w:rPr>
                <w:sz w:val="22"/>
                <w:szCs w:val="22"/>
                <w:lang w:val="en-US"/>
              </w:rPr>
              <w:t>This document provides health professionals with guidance on various aspects of management of CLL/SLL. Notably, two of these are:</w:t>
            </w:r>
          </w:p>
          <w:p w14:paraId="52C27BCB" w14:textId="77777777" w:rsidR="00312958" w:rsidRPr="00DE4914" w:rsidRDefault="00312958" w:rsidP="00312958">
            <w:pPr>
              <w:widowControl w:val="0"/>
              <w:spacing w:before="60" w:after="60"/>
              <w:ind w:left="222" w:hanging="284"/>
              <w:rPr>
                <w:sz w:val="22"/>
                <w:szCs w:val="22"/>
                <w:lang w:val="en-US"/>
              </w:rPr>
            </w:pPr>
            <w:r w:rsidRPr="00DE4914">
              <w:rPr>
                <w:sz w:val="22"/>
                <w:szCs w:val="22"/>
                <w:lang w:val="en-US"/>
              </w:rPr>
              <w:t>(1) when to treat versus when to monitor the patient without therapy – see ‘Indications for treatment’ section; and</w:t>
            </w:r>
          </w:p>
          <w:p w14:paraId="0A14097E" w14:textId="77777777" w:rsidR="00312958" w:rsidRPr="00DE4914" w:rsidRDefault="00312958" w:rsidP="00312958">
            <w:pPr>
              <w:widowControl w:val="0"/>
              <w:spacing w:before="60" w:after="60"/>
              <w:ind w:left="222" w:hanging="284"/>
              <w:rPr>
                <w:b/>
                <w:bCs/>
                <w:sz w:val="22"/>
                <w:szCs w:val="22"/>
                <w:lang w:val="en-US"/>
              </w:rPr>
            </w:pPr>
            <w:r w:rsidRPr="00DE4914">
              <w:rPr>
                <w:sz w:val="22"/>
                <w:szCs w:val="22"/>
                <w:lang w:val="en-US"/>
              </w:rPr>
              <w:t>(2) recognising progressive disease – see ‘Definition of response, relapse, and refractory disease’ section.</w:t>
            </w:r>
          </w:p>
        </w:tc>
        <w:tc>
          <w:tcPr>
            <w:tcW w:w="1716" w:type="pct"/>
            <w:shd w:val="clear" w:color="auto" w:fill="auto"/>
          </w:tcPr>
          <w:p w14:paraId="3DBCEC15" w14:textId="77777777" w:rsidR="00312958" w:rsidRPr="00DE4914" w:rsidRDefault="00312958" w:rsidP="00312958">
            <w:pPr>
              <w:widowControl w:val="0"/>
              <w:spacing w:before="60" w:after="60"/>
              <w:ind w:left="-62"/>
              <w:rPr>
                <w:bCs/>
                <w:iCs/>
                <w:sz w:val="22"/>
                <w:szCs w:val="22"/>
              </w:rPr>
            </w:pPr>
            <w:r w:rsidRPr="00DE4914">
              <w:rPr>
                <w:bCs/>
                <w:iCs/>
                <w:sz w:val="22"/>
                <w:szCs w:val="22"/>
              </w:rPr>
              <w:lastRenderedPageBreak/>
              <w:t xml:space="preserve">The iwCLL guidance is available for download for free from the Blood Journal website: </w:t>
            </w:r>
            <w:hyperlink r:id="rId13" w:history="1">
              <w:r w:rsidRPr="00DE4914">
                <w:rPr>
                  <w:bCs/>
                  <w:iCs/>
                  <w:color w:val="0563C1" w:themeColor="hyperlink"/>
                  <w:sz w:val="22"/>
                  <w:szCs w:val="22"/>
                  <w:u w:val="single"/>
                </w:rPr>
                <w:t>https://ashpublications.org/blood/article/131/25/2745/37141/iwCLL-</w:t>
              </w:r>
              <w:r w:rsidRPr="00DE4914">
                <w:rPr>
                  <w:bCs/>
                  <w:iCs/>
                  <w:color w:val="0563C1" w:themeColor="hyperlink"/>
                  <w:sz w:val="22"/>
                  <w:szCs w:val="22"/>
                  <w:u w:val="single"/>
                </w:rPr>
                <w:lastRenderedPageBreak/>
                <w:t>guidelines-for-diagnosis-indications-for</w:t>
              </w:r>
            </w:hyperlink>
          </w:p>
          <w:p w14:paraId="13B9BC25" w14:textId="77777777" w:rsidR="00312958" w:rsidRPr="00DE4914" w:rsidRDefault="00312958" w:rsidP="00312958">
            <w:pPr>
              <w:widowControl w:val="0"/>
              <w:spacing w:before="60" w:after="60"/>
              <w:ind w:left="-62"/>
              <w:rPr>
                <w:bCs/>
                <w:iCs/>
                <w:sz w:val="22"/>
                <w:szCs w:val="22"/>
              </w:rPr>
            </w:pPr>
          </w:p>
          <w:p w14:paraId="57739B1A" w14:textId="77777777" w:rsidR="00312958" w:rsidRPr="00DE4914" w:rsidRDefault="00312958" w:rsidP="00312958">
            <w:pPr>
              <w:widowControl w:val="0"/>
              <w:spacing w:before="60" w:after="60"/>
              <w:ind w:left="-62"/>
              <w:rPr>
                <w:bCs/>
                <w:iCs/>
                <w:sz w:val="22"/>
                <w:szCs w:val="22"/>
              </w:rPr>
            </w:pPr>
            <w:r w:rsidRPr="00DE4914">
              <w:rPr>
                <w:bCs/>
                <w:iCs/>
                <w:sz w:val="22"/>
                <w:szCs w:val="22"/>
              </w:rPr>
              <w:t>The published literature reference is:</w:t>
            </w:r>
          </w:p>
          <w:p w14:paraId="09120F1D" w14:textId="77777777" w:rsidR="00312958" w:rsidRPr="00DE4914" w:rsidRDefault="00312958" w:rsidP="00312958">
            <w:pPr>
              <w:widowControl w:val="0"/>
              <w:spacing w:before="60" w:after="60"/>
              <w:ind w:left="-62"/>
              <w:rPr>
                <w:bCs/>
                <w:iCs/>
                <w:sz w:val="22"/>
                <w:szCs w:val="22"/>
              </w:rPr>
            </w:pPr>
            <w:r w:rsidRPr="00DE4914">
              <w:rPr>
                <w:bCs/>
                <w:iCs/>
                <w:sz w:val="22"/>
                <w:szCs w:val="22"/>
              </w:rPr>
              <w:t>Hallek, M et al. iwCLL guidelines for diagnosis, indications for treatment, response assessment, and supportive management of CLL. Blood vol. 131, 25 (2018): 2745-2760.</w:t>
            </w:r>
          </w:p>
        </w:tc>
      </w:tr>
      <w:tr w:rsidR="00312958" w:rsidRPr="00312958" w14:paraId="3F6AD884" w14:textId="77777777" w:rsidTr="00312958">
        <w:trPr>
          <w:trHeight w:val="340"/>
        </w:trPr>
        <w:tc>
          <w:tcPr>
            <w:tcW w:w="895" w:type="pct"/>
            <w:shd w:val="clear" w:color="auto" w:fill="auto"/>
          </w:tcPr>
          <w:p w14:paraId="1C0B35FD" w14:textId="77777777" w:rsidR="00312958" w:rsidRPr="00DE4914" w:rsidRDefault="00312958" w:rsidP="00312958">
            <w:pPr>
              <w:spacing w:before="60" w:after="60"/>
              <w:ind w:left="-62"/>
              <w:rPr>
                <w:sz w:val="22"/>
                <w:szCs w:val="22"/>
              </w:rPr>
            </w:pPr>
            <w:r w:rsidRPr="00DE4914">
              <w:rPr>
                <w:sz w:val="22"/>
                <w:szCs w:val="22"/>
              </w:rPr>
              <w:lastRenderedPageBreak/>
              <w:t>Niraparib</w:t>
            </w:r>
          </w:p>
          <w:p w14:paraId="7522FD41" w14:textId="77777777" w:rsidR="00312958" w:rsidRPr="00DE4914" w:rsidRDefault="00312958" w:rsidP="00312958">
            <w:pPr>
              <w:spacing w:before="60" w:after="60"/>
              <w:ind w:left="-62"/>
              <w:rPr>
                <w:sz w:val="22"/>
                <w:szCs w:val="22"/>
              </w:rPr>
            </w:pPr>
            <w:r w:rsidRPr="00DE4914">
              <w:rPr>
                <w:sz w:val="22"/>
                <w:szCs w:val="22"/>
              </w:rPr>
              <w:t>Olaparib</w:t>
            </w:r>
          </w:p>
        </w:tc>
        <w:tc>
          <w:tcPr>
            <w:tcW w:w="2389" w:type="pct"/>
            <w:shd w:val="clear" w:color="auto" w:fill="auto"/>
          </w:tcPr>
          <w:p w14:paraId="5A5A985A" w14:textId="77777777" w:rsidR="00312958" w:rsidRPr="00DE4914" w:rsidRDefault="00312958" w:rsidP="00312958">
            <w:pPr>
              <w:widowControl w:val="0"/>
              <w:spacing w:before="60" w:after="60"/>
              <w:ind w:left="-62"/>
              <w:rPr>
                <w:b/>
                <w:bCs/>
                <w:sz w:val="22"/>
                <w:szCs w:val="22"/>
                <w:lang w:val="en-US"/>
              </w:rPr>
            </w:pPr>
            <w:r w:rsidRPr="00DE4914">
              <w:rPr>
                <w:b/>
                <w:bCs/>
                <w:sz w:val="22"/>
                <w:szCs w:val="22"/>
                <w:lang w:val="en-US"/>
              </w:rPr>
              <w:t>The Response Evaluation Criteria in Solid Tumours (RECIST) guidelines.</w:t>
            </w:r>
          </w:p>
          <w:p w14:paraId="6093AAB5" w14:textId="77777777" w:rsidR="00312958" w:rsidRPr="00DE4914" w:rsidRDefault="00312958" w:rsidP="00312958">
            <w:pPr>
              <w:widowControl w:val="0"/>
              <w:spacing w:before="60" w:after="60"/>
              <w:ind w:left="-62"/>
              <w:rPr>
                <w:sz w:val="22"/>
                <w:szCs w:val="22"/>
                <w:lang w:val="en-US"/>
              </w:rPr>
            </w:pPr>
            <w:r w:rsidRPr="00DE4914">
              <w:rPr>
                <w:sz w:val="22"/>
                <w:szCs w:val="22"/>
                <w:lang w:val="en-US"/>
              </w:rPr>
              <w:t xml:space="preserve">The document is incorporated as in force on the day this Instrument takes effect, pursuant to paragraph 14(1)(b) of the </w:t>
            </w:r>
            <w:r w:rsidRPr="00DE4914">
              <w:rPr>
                <w:i/>
                <w:iCs/>
                <w:sz w:val="22"/>
                <w:szCs w:val="22"/>
                <w:lang w:val="en-US"/>
              </w:rPr>
              <w:t>Legislation Act 2003</w:t>
            </w:r>
            <w:r w:rsidRPr="00DE4914">
              <w:rPr>
                <w:sz w:val="22"/>
                <w:szCs w:val="22"/>
                <w:lang w:val="en-US"/>
              </w:rPr>
              <w:t>.</w:t>
            </w:r>
          </w:p>
          <w:p w14:paraId="1C08BED1" w14:textId="77777777" w:rsidR="00312958" w:rsidRPr="00DE4914" w:rsidRDefault="00312958" w:rsidP="00312958">
            <w:pPr>
              <w:widowControl w:val="0"/>
              <w:spacing w:before="60" w:after="60"/>
              <w:ind w:left="-62"/>
              <w:rPr>
                <w:b/>
                <w:bCs/>
                <w:sz w:val="22"/>
                <w:szCs w:val="22"/>
                <w:lang w:val="en-US"/>
              </w:rPr>
            </w:pPr>
            <w:r w:rsidRPr="00DE4914">
              <w:rPr>
                <w:sz w:val="22"/>
                <w:szCs w:val="22"/>
                <w:lang w:val="en-US"/>
              </w:rPr>
              <w:t>The RECIST guidelines are a tool used widely for defining when tumours in cancer patients respond, stabilise and/or progress during treatment.</w:t>
            </w:r>
          </w:p>
        </w:tc>
        <w:tc>
          <w:tcPr>
            <w:tcW w:w="1716" w:type="pct"/>
            <w:shd w:val="clear" w:color="auto" w:fill="auto"/>
          </w:tcPr>
          <w:p w14:paraId="168D2255" w14:textId="77777777" w:rsidR="00312958" w:rsidRPr="00DE4914" w:rsidRDefault="00312958" w:rsidP="00312958">
            <w:pPr>
              <w:spacing w:before="60" w:after="60"/>
              <w:rPr>
                <w:bCs/>
                <w:iCs/>
                <w:sz w:val="22"/>
                <w:szCs w:val="22"/>
              </w:rPr>
            </w:pPr>
            <w:r w:rsidRPr="00DE4914">
              <w:rPr>
                <w:bCs/>
                <w:iCs/>
                <w:sz w:val="22"/>
                <w:szCs w:val="22"/>
              </w:rPr>
              <w:t xml:space="preserve">The RECIST guidelines are available for download for free from the RECIST Working Group website: </w:t>
            </w:r>
            <w:hyperlink r:id="rId14" w:history="1">
              <w:r w:rsidRPr="00DE4914">
                <w:rPr>
                  <w:bCs/>
                  <w:iCs/>
                  <w:color w:val="0563C1" w:themeColor="hyperlink"/>
                  <w:sz w:val="22"/>
                  <w:szCs w:val="22"/>
                  <w:u w:val="single"/>
                </w:rPr>
                <w:t>https://recist.eortc.org/</w:t>
              </w:r>
            </w:hyperlink>
          </w:p>
        </w:tc>
      </w:tr>
      <w:tr w:rsidR="00312958" w:rsidRPr="00312958" w14:paraId="0140C2B1" w14:textId="77777777" w:rsidTr="00312958">
        <w:trPr>
          <w:trHeight w:val="340"/>
        </w:trPr>
        <w:tc>
          <w:tcPr>
            <w:tcW w:w="895" w:type="pct"/>
            <w:shd w:val="clear" w:color="auto" w:fill="auto"/>
          </w:tcPr>
          <w:p w14:paraId="01011E4B" w14:textId="77777777" w:rsidR="00312958" w:rsidRPr="00DE4914" w:rsidRDefault="00312958" w:rsidP="00312958">
            <w:pPr>
              <w:spacing w:before="60" w:after="60"/>
              <w:ind w:left="-62"/>
              <w:rPr>
                <w:sz w:val="22"/>
                <w:szCs w:val="22"/>
              </w:rPr>
            </w:pPr>
            <w:r w:rsidRPr="00DE4914">
              <w:rPr>
                <w:sz w:val="22"/>
                <w:szCs w:val="22"/>
              </w:rPr>
              <w:t>Alirocumab</w:t>
            </w:r>
          </w:p>
          <w:p w14:paraId="22F3CAA9" w14:textId="77777777" w:rsidR="00312958" w:rsidRPr="00DE4914" w:rsidRDefault="00312958" w:rsidP="00312958">
            <w:pPr>
              <w:spacing w:before="60" w:after="60"/>
              <w:ind w:left="-62"/>
              <w:rPr>
                <w:sz w:val="22"/>
                <w:szCs w:val="22"/>
              </w:rPr>
            </w:pPr>
            <w:r w:rsidRPr="00DE4914">
              <w:rPr>
                <w:sz w:val="22"/>
                <w:szCs w:val="22"/>
              </w:rPr>
              <w:t>Evolocumab</w:t>
            </w:r>
          </w:p>
          <w:p w14:paraId="7DB27DB3" w14:textId="77777777" w:rsidR="00312958" w:rsidRPr="00DE4914" w:rsidRDefault="00312958" w:rsidP="00312958">
            <w:pPr>
              <w:spacing w:before="60" w:after="60"/>
              <w:ind w:left="-62"/>
              <w:rPr>
                <w:sz w:val="22"/>
                <w:szCs w:val="22"/>
              </w:rPr>
            </w:pPr>
            <w:r w:rsidRPr="00DE4914">
              <w:rPr>
                <w:sz w:val="22"/>
                <w:szCs w:val="22"/>
              </w:rPr>
              <w:t>Inclisiran</w:t>
            </w:r>
          </w:p>
        </w:tc>
        <w:tc>
          <w:tcPr>
            <w:tcW w:w="2389" w:type="pct"/>
            <w:shd w:val="clear" w:color="auto" w:fill="auto"/>
          </w:tcPr>
          <w:p w14:paraId="438D2C3C" w14:textId="3C618C60" w:rsidR="00312958" w:rsidRPr="00DE4914" w:rsidRDefault="00312958" w:rsidP="00312958">
            <w:pPr>
              <w:widowControl w:val="0"/>
              <w:spacing w:before="60" w:after="60"/>
              <w:ind w:left="-62"/>
              <w:rPr>
                <w:b/>
                <w:bCs/>
                <w:sz w:val="22"/>
                <w:szCs w:val="22"/>
                <w:lang w:val="en-US"/>
              </w:rPr>
            </w:pPr>
            <w:r w:rsidRPr="00DE4914">
              <w:rPr>
                <w:b/>
                <w:bCs/>
                <w:sz w:val="22"/>
                <w:szCs w:val="22"/>
                <w:lang w:val="en-US"/>
              </w:rPr>
              <w:t>Thrombolysis in Myocardial Infarction (TIMI) risk score.</w:t>
            </w:r>
          </w:p>
          <w:p w14:paraId="19E6C0C2" w14:textId="77777777" w:rsidR="00312958" w:rsidRPr="00DE4914" w:rsidRDefault="00312958" w:rsidP="00312958">
            <w:pPr>
              <w:widowControl w:val="0"/>
              <w:spacing w:before="60" w:after="60"/>
              <w:ind w:left="-62"/>
              <w:rPr>
                <w:sz w:val="22"/>
                <w:szCs w:val="22"/>
                <w:lang w:val="en-US"/>
              </w:rPr>
            </w:pPr>
            <w:r w:rsidRPr="00DE4914">
              <w:rPr>
                <w:sz w:val="22"/>
                <w:szCs w:val="22"/>
                <w:lang w:val="en-US"/>
              </w:rPr>
              <w:t xml:space="preserve">The document is incorporated as in force on the day this Instrument takes effect, pursuant to paragraph 14(1)(b) of the </w:t>
            </w:r>
            <w:r w:rsidRPr="00DE4914">
              <w:rPr>
                <w:i/>
                <w:iCs/>
                <w:sz w:val="22"/>
                <w:szCs w:val="22"/>
                <w:lang w:val="en-US"/>
              </w:rPr>
              <w:t>Legislation Act 2003</w:t>
            </w:r>
            <w:r w:rsidRPr="00DE4914">
              <w:rPr>
                <w:sz w:val="22"/>
                <w:szCs w:val="22"/>
                <w:lang w:val="en-US"/>
              </w:rPr>
              <w:t>.</w:t>
            </w:r>
          </w:p>
          <w:p w14:paraId="447D867A" w14:textId="77777777" w:rsidR="00312958" w:rsidRPr="00DE4914" w:rsidRDefault="00312958" w:rsidP="00312958">
            <w:pPr>
              <w:widowControl w:val="0"/>
              <w:spacing w:before="60" w:after="60"/>
              <w:ind w:left="-62"/>
              <w:rPr>
                <w:b/>
                <w:bCs/>
                <w:sz w:val="22"/>
                <w:szCs w:val="22"/>
                <w:lang w:val="en-US"/>
              </w:rPr>
            </w:pPr>
            <w:r w:rsidRPr="00DE4914">
              <w:rPr>
                <w:sz w:val="22"/>
                <w:szCs w:val="22"/>
                <w:lang w:val="en-US"/>
              </w:rPr>
              <w:t>The TIMI score quantifies the risk of having or dying from a heart-related event in the next 14 days.</w:t>
            </w:r>
          </w:p>
        </w:tc>
        <w:tc>
          <w:tcPr>
            <w:tcW w:w="1716" w:type="pct"/>
            <w:shd w:val="clear" w:color="auto" w:fill="auto"/>
          </w:tcPr>
          <w:p w14:paraId="1E9CD269" w14:textId="77777777" w:rsidR="00312958" w:rsidRPr="00DE4914" w:rsidRDefault="00312958" w:rsidP="00312958">
            <w:pPr>
              <w:spacing w:before="60" w:after="60"/>
              <w:rPr>
                <w:bCs/>
                <w:iCs/>
                <w:sz w:val="22"/>
                <w:szCs w:val="22"/>
              </w:rPr>
            </w:pPr>
            <w:r w:rsidRPr="00DE4914">
              <w:rPr>
                <w:bCs/>
                <w:iCs/>
                <w:sz w:val="22"/>
                <w:szCs w:val="22"/>
              </w:rPr>
              <w:t xml:space="preserve">The TIMI risk score is available for download for free from the Journal of the American Medical Association website </w:t>
            </w:r>
            <w:hyperlink r:id="rId15" w:history="1">
              <w:r w:rsidRPr="00DE4914">
                <w:rPr>
                  <w:bCs/>
                  <w:iCs/>
                  <w:color w:val="0563C1" w:themeColor="hyperlink"/>
                  <w:sz w:val="22"/>
                  <w:szCs w:val="22"/>
                  <w:u w:val="single"/>
                </w:rPr>
                <w:t>https://jamanetwork.com/journals/jama/fullarticle/192996</w:t>
              </w:r>
            </w:hyperlink>
          </w:p>
        </w:tc>
      </w:tr>
      <w:tr w:rsidR="00312958" w:rsidRPr="00312958" w14:paraId="23C57789" w14:textId="77777777" w:rsidTr="00312958">
        <w:trPr>
          <w:trHeight w:val="340"/>
        </w:trPr>
        <w:tc>
          <w:tcPr>
            <w:tcW w:w="895" w:type="pct"/>
            <w:shd w:val="clear" w:color="auto" w:fill="auto"/>
          </w:tcPr>
          <w:p w14:paraId="2C79AAC9" w14:textId="77777777" w:rsidR="00312958" w:rsidRPr="00DE4914" w:rsidRDefault="00312958" w:rsidP="00312958">
            <w:pPr>
              <w:keepLines/>
              <w:spacing w:before="60" w:after="60"/>
              <w:ind w:left="-62"/>
              <w:rPr>
                <w:sz w:val="22"/>
                <w:szCs w:val="22"/>
              </w:rPr>
            </w:pPr>
            <w:r w:rsidRPr="00DE4914">
              <w:rPr>
                <w:sz w:val="22"/>
                <w:szCs w:val="22"/>
              </w:rPr>
              <w:t>Cemiplimab</w:t>
            </w:r>
          </w:p>
        </w:tc>
        <w:tc>
          <w:tcPr>
            <w:tcW w:w="2389" w:type="pct"/>
            <w:shd w:val="clear" w:color="auto" w:fill="auto"/>
          </w:tcPr>
          <w:p w14:paraId="5299BA7C" w14:textId="0553186B" w:rsidR="00312958" w:rsidRPr="00DE4914" w:rsidRDefault="00312958" w:rsidP="00312958">
            <w:pPr>
              <w:keepLines/>
              <w:widowControl w:val="0"/>
              <w:spacing w:before="60" w:after="60"/>
              <w:ind w:left="-62"/>
              <w:rPr>
                <w:b/>
                <w:bCs/>
                <w:sz w:val="22"/>
                <w:szCs w:val="22"/>
                <w:lang w:val="en-US"/>
              </w:rPr>
            </w:pPr>
            <w:r w:rsidRPr="00DE4914">
              <w:rPr>
                <w:b/>
                <w:bCs/>
                <w:sz w:val="22"/>
                <w:szCs w:val="22"/>
                <w:lang w:val="en-US"/>
              </w:rPr>
              <w:t>World Health Organization (WHO)/Eastern Cooperative Oncology Group (ECOG) Performance Status/Performance Status Score.</w:t>
            </w:r>
          </w:p>
          <w:p w14:paraId="6E9407BD" w14:textId="77777777" w:rsidR="00312958" w:rsidRPr="00DE4914" w:rsidRDefault="00312958" w:rsidP="00312958">
            <w:pPr>
              <w:keepLines/>
              <w:widowControl w:val="0"/>
              <w:spacing w:before="60" w:after="60"/>
              <w:ind w:left="-62"/>
              <w:rPr>
                <w:sz w:val="22"/>
                <w:szCs w:val="22"/>
                <w:lang w:val="en-US"/>
              </w:rPr>
            </w:pPr>
            <w:r w:rsidRPr="00DE4914">
              <w:rPr>
                <w:sz w:val="22"/>
                <w:szCs w:val="22"/>
                <w:lang w:val="en-US"/>
              </w:rPr>
              <w:t xml:space="preserve">The document is incorporated as in force on the day this Instrument takes effect, pursuant to paragraph 14(1)(b) of the </w:t>
            </w:r>
            <w:r w:rsidRPr="00DE4914">
              <w:rPr>
                <w:i/>
                <w:iCs/>
                <w:sz w:val="22"/>
                <w:szCs w:val="22"/>
                <w:lang w:val="en-US"/>
              </w:rPr>
              <w:t>Legislation Act 2003</w:t>
            </w:r>
            <w:r w:rsidRPr="00DE4914">
              <w:rPr>
                <w:sz w:val="22"/>
                <w:szCs w:val="22"/>
                <w:lang w:val="en-US"/>
              </w:rPr>
              <w:t xml:space="preserve">. </w:t>
            </w:r>
          </w:p>
          <w:p w14:paraId="3FF9DA57" w14:textId="77777777" w:rsidR="00312958" w:rsidRPr="00DE4914" w:rsidRDefault="00312958" w:rsidP="00312958">
            <w:pPr>
              <w:keepLines/>
              <w:widowControl w:val="0"/>
              <w:spacing w:before="60" w:after="60"/>
              <w:ind w:left="-62"/>
              <w:rPr>
                <w:b/>
                <w:bCs/>
                <w:sz w:val="22"/>
                <w:szCs w:val="22"/>
                <w:lang w:val="en-US"/>
              </w:rPr>
            </w:pPr>
            <w:r w:rsidRPr="00DE4914">
              <w:rPr>
                <w:sz w:val="22"/>
                <w:szCs w:val="22"/>
                <w:lang w:val="en-US"/>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716" w:type="pct"/>
            <w:shd w:val="clear" w:color="auto" w:fill="auto"/>
          </w:tcPr>
          <w:p w14:paraId="6F3A1F08" w14:textId="77777777" w:rsidR="00312958" w:rsidRPr="00DE4914" w:rsidRDefault="00312958" w:rsidP="00312958">
            <w:pPr>
              <w:keepLines/>
              <w:spacing w:before="60" w:after="60"/>
              <w:rPr>
                <w:bCs/>
                <w:iCs/>
                <w:sz w:val="22"/>
                <w:szCs w:val="22"/>
              </w:rPr>
            </w:pPr>
            <w:r w:rsidRPr="00DE4914">
              <w:rPr>
                <w:bCs/>
                <w:iCs/>
                <w:sz w:val="22"/>
                <w:szCs w:val="22"/>
              </w:rPr>
              <w:t xml:space="preserve">The WHO/ECOG Performance Status is available for download for free from the ECOG-ACRIN Cancer Research Group website: </w:t>
            </w:r>
            <w:hyperlink r:id="rId16" w:history="1">
              <w:r w:rsidRPr="00DE4914">
                <w:rPr>
                  <w:bCs/>
                  <w:iCs/>
                  <w:color w:val="0563C1" w:themeColor="hyperlink"/>
                  <w:sz w:val="22"/>
                  <w:szCs w:val="22"/>
                  <w:u w:val="single"/>
                </w:rPr>
                <w:t>https://ecog-acrin.org/resources/ecog-performance-status</w:t>
              </w:r>
            </w:hyperlink>
          </w:p>
        </w:tc>
      </w:tr>
    </w:tbl>
    <w:p w14:paraId="1B3676C2" w14:textId="3A3305EA" w:rsidR="00CC2E84" w:rsidRPr="000B19F0" w:rsidRDefault="00CC2E84" w:rsidP="00227874">
      <w:pPr>
        <w:spacing w:after="0" w:line="240" w:lineRule="auto"/>
        <w:rPr>
          <w:rFonts w:ascii="Times New Roman" w:eastAsia="Times New Roman" w:hAnsi="Times New Roman" w:cs="Times New Roman"/>
          <w:b/>
          <w:sz w:val="24"/>
          <w:szCs w:val="24"/>
          <w:lang w:eastAsia="en-AU"/>
        </w:rPr>
      </w:pPr>
      <w:r w:rsidRPr="000B19F0">
        <w:rPr>
          <w:rFonts w:ascii="Times New Roman" w:eastAsia="Times New Roman" w:hAnsi="Times New Roman" w:cs="Times New Roman"/>
          <w:b/>
          <w:sz w:val="24"/>
          <w:szCs w:val="24"/>
          <w:lang w:eastAsia="en-AU"/>
        </w:rPr>
        <w:br w:type="page"/>
      </w:r>
    </w:p>
    <w:p w14:paraId="1376A1EF" w14:textId="77777777" w:rsidR="00CC2E84" w:rsidRPr="00765FBF" w:rsidRDefault="00CC2E84" w:rsidP="00CC2E84">
      <w:pPr>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lastRenderedPageBreak/>
        <w:t>ATTACHMENT B</w:t>
      </w:r>
    </w:p>
    <w:p w14:paraId="492EFCCE" w14:textId="77777777"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p>
    <w:p w14:paraId="266C1D15" w14:textId="77777777" w:rsidR="00214243" w:rsidRPr="00214243" w:rsidRDefault="00214243" w:rsidP="00214243">
      <w:pPr>
        <w:spacing w:after="0" w:line="240" w:lineRule="auto"/>
        <w:jc w:val="center"/>
        <w:rPr>
          <w:rFonts w:ascii="Times New Roman" w:eastAsia="Times New Roman" w:hAnsi="Times New Roman" w:cs="Times New Roman"/>
          <w:b/>
          <w:sz w:val="26"/>
          <w:szCs w:val="26"/>
          <w:lang w:eastAsia="en-AU"/>
        </w:rPr>
      </w:pPr>
      <w:r w:rsidRPr="00214243">
        <w:rPr>
          <w:rFonts w:ascii="Times New Roman" w:eastAsia="Times New Roman" w:hAnsi="Times New Roman" w:cs="Times New Roman"/>
          <w:b/>
          <w:sz w:val="26"/>
          <w:szCs w:val="26"/>
          <w:lang w:eastAsia="en-AU"/>
        </w:rPr>
        <w:t xml:space="preserve">Statement of </w:t>
      </w:r>
      <w:bookmarkStart w:id="8" w:name="_Hlk130902459"/>
      <w:r w:rsidRPr="00214243">
        <w:rPr>
          <w:rFonts w:ascii="Times New Roman" w:eastAsia="Times New Roman" w:hAnsi="Times New Roman" w:cs="Times New Roman"/>
          <w:b/>
          <w:sz w:val="26"/>
          <w:szCs w:val="26"/>
          <w:lang w:eastAsia="en-AU"/>
        </w:rPr>
        <w:t>Compatibility with Human Rights</w:t>
      </w:r>
      <w:bookmarkEnd w:id="8"/>
    </w:p>
    <w:p w14:paraId="1CA476F0" w14:textId="77777777" w:rsidR="00214243" w:rsidRPr="00214243" w:rsidRDefault="00214243" w:rsidP="00214243">
      <w:pPr>
        <w:spacing w:before="120" w:after="0" w:line="240" w:lineRule="auto"/>
        <w:jc w:val="center"/>
        <w:rPr>
          <w:rFonts w:ascii="Times New Roman" w:eastAsia="Times New Roman" w:hAnsi="Times New Roman" w:cs="Times New Roman"/>
          <w:i/>
          <w:lang w:eastAsia="en-AU"/>
        </w:rPr>
      </w:pPr>
      <w:r w:rsidRPr="00214243">
        <w:rPr>
          <w:rFonts w:ascii="Times New Roman" w:eastAsia="Times New Roman" w:hAnsi="Times New Roman" w:cs="Times New Roman"/>
          <w:i/>
          <w:lang w:eastAsia="en-AU"/>
        </w:rPr>
        <w:t>Prepared in accordance with Part 3 of the Human Rights (Parliamentary Scrutiny) Act 2011</w:t>
      </w:r>
    </w:p>
    <w:p w14:paraId="6C739387" w14:textId="6319A848" w:rsidR="00214243" w:rsidRPr="006B364C" w:rsidRDefault="00214243" w:rsidP="00214243">
      <w:pPr>
        <w:spacing w:before="360" w:after="0" w:line="240" w:lineRule="auto"/>
        <w:jc w:val="center"/>
        <w:rPr>
          <w:rFonts w:ascii="Times New Roman" w:eastAsia="Times New Roman" w:hAnsi="Times New Roman" w:cs="Times New Roman"/>
          <w:b/>
          <w:i/>
          <w:lang w:eastAsia="en-AU"/>
        </w:rPr>
      </w:pPr>
      <w:r w:rsidRPr="00214243">
        <w:rPr>
          <w:rFonts w:ascii="Times New Roman" w:eastAsia="Times New Roman" w:hAnsi="Times New Roman" w:cs="Times New Roman"/>
          <w:b/>
          <w:i/>
          <w:lang w:eastAsia="en-AU"/>
        </w:rPr>
        <w:t xml:space="preserve">National Health (Listing </w:t>
      </w:r>
      <w:r w:rsidRPr="006B364C">
        <w:rPr>
          <w:rFonts w:ascii="Times New Roman" w:eastAsia="Times New Roman" w:hAnsi="Times New Roman" w:cs="Times New Roman"/>
          <w:b/>
          <w:i/>
          <w:lang w:eastAsia="en-AU"/>
        </w:rPr>
        <w:t>of Pharmaceutical Benefits) Instrument 2024</w:t>
      </w:r>
    </w:p>
    <w:p w14:paraId="29F2CFC6" w14:textId="77777777" w:rsidR="00214243" w:rsidRPr="006B364C" w:rsidRDefault="00214243" w:rsidP="00214243">
      <w:pPr>
        <w:spacing w:before="120" w:after="120" w:line="240" w:lineRule="auto"/>
        <w:jc w:val="center"/>
        <w:rPr>
          <w:rFonts w:ascii="Times New Roman" w:eastAsia="Times New Roman" w:hAnsi="Times New Roman" w:cs="Times New Roman"/>
          <w:b/>
          <w:lang w:eastAsia="en-AU"/>
        </w:rPr>
      </w:pPr>
      <w:r w:rsidRPr="006B364C">
        <w:rPr>
          <w:rFonts w:ascii="Times New Roman" w:eastAsia="Times New Roman" w:hAnsi="Times New Roman" w:cs="Times New Roman"/>
          <w:b/>
          <w:lang w:eastAsia="en-AU"/>
        </w:rPr>
        <w:t>(PB 26 of 2024)</w:t>
      </w:r>
    </w:p>
    <w:p w14:paraId="40058456" w14:textId="2C43391D" w:rsidR="00CC2E84" w:rsidRPr="00214243" w:rsidRDefault="00CC2E84" w:rsidP="00214243">
      <w:pPr>
        <w:spacing w:before="360" w:after="120" w:line="240" w:lineRule="auto"/>
        <w:rPr>
          <w:rFonts w:ascii="Times New Roman" w:hAnsi="Times New Roman"/>
        </w:rPr>
      </w:pPr>
      <w:r w:rsidRPr="006B364C">
        <w:rPr>
          <w:rFonts w:ascii="Times New Roman" w:hAnsi="Times New Roman"/>
        </w:rPr>
        <w:t xml:space="preserve">This </w:t>
      </w:r>
      <w:r w:rsidR="00B0255F" w:rsidRPr="006B364C">
        <w:rPr>
          <w:rFonts w:ascii="Times New Roman" w:hAnsi="Times New Roman"/>
        </w:rPr>
        <w:t>Disallowable Legislative Instrument</w:t>
      </w:r>
      <w:r w:rsidRPr="006B364C">
        <w:rPr>
          <w:rFonts w:ascii="Times New Roman" w:hAnsi="Times New Roman"/>
        </w:rPr>
        <w:t xml:space="preserve"> is compatible with the human rights</w:t>
      </w:r>
      <w:r w:rsidRPr="00214243">
        <w:rPr>
          <w:rFonts w:ascii="Times New Roman" w:hAnsi="Times New Roman"/>
        </w:rPr>
        <w:t xml:space="preserve"> and freedoms recognised or declared in the international instruments listed in section 3 of the </w:t>
      </w:r>
      <w:r w:rsidRPr="00214243">
        <w:rPr>
          <w:rFonts w:ascii="Times New Roman" w:hAnsi="Times New Roman"/>
          <w:i/>
        </w:rPr>
        <w:t>Human Rights (Parliamentary Scrutiny) Act 2011</w:t>
      </w:r>
      <w:r w:rsidRPr="00214243">
        <w:rPr>
          <w:rFonts w:ascii="Times New Roman" w:hAnsi="Times New Roman"/>
        </w:rPr>
        <w:t>.</w:t>
      </w:r>
    </w:p>
    <w:p w14:paraId="1862C2C0" w14:textId="120F0889" w:rsidR="00CC2E84" w:rsidRPr="00214243" w:rsidRDefault="00CC2E84" w:rsidP="00E135A0">
      <w:pPr>
        <w:spacing w:before="240" w:after="0" w:line="240" w:lineRule="auto"/>
        <w:rPr>
          <w:rFonts w:ascii="Times New Roman" w:hAnsi="Times New Roman"/>
          <w:b/>
          <w:bCs/>
        </w:rPr>
      </w:pPr>
      <w:r w:rsidRPr="00214243">
        <w:rPr>
          <w:rFonts w:ascii="Times New Roman" w:hAnsi="Times New Roman"/>
          <w:b/>
          <w:bCs/>
        </w:rPr>
        <w:t xml:space="preserve">Overview of the </w:t>
      </w:r>
      <w:r w:rsidR="00B0255F" w:rsidRPr="00214243">
        <w:rPr>
          <w:rFonts w:ascii="Times New Roman" w:hAnsi="Times New Roman"/>
          <w:b/>
          <w:bCs/>
        </w:rPr>
        <w:t>Disallowable L</w:t>
      </w:r>
      <w:r w:rsidRPr="00214243">
        <w:rPr>
          <w:rFonts w:ascii="Times New Roman" w:hAnsi="Times New Roman"/>
          <w:b/>
          <w:bCs/>
        </w:rPr>
        <w:t xml:space="preserve">egislative </w:t>
      </w:r>
      <w:r w:rsidR="00B0255F" w:rsidRPr="00214243">
        <w:rPr>
          <w:rFonts w:ascii="Times New Roman" w:hAnsi="Times New Roman"/>
          <w:b/>
          <w:bCs/>
        </w:rPr>
        <w:t>I</w:t>
      </w:r>
      <w:r w:rsidRPr="00214243">
        <w:rPr>
          <w:rFonts w:ascii="Times New Roman" w:hAnsi="Times New Roman"/>
          <w:b/>
          <w:bCs/>
        </w:rPr>
        <w:t>nstrument</w:t>
      </w:r>
    </w:p>
    <w:p w14:paraId="761BC704" w14:textId="5FDC76AB" w:rsidR="00DC1FE8" w:rsidRDefault="003B3740" w:rsidP="006B364C">
      <w:pPr>
        <w:spacing w:before="120" w:after="0" w:line="240" w:lineRule="auto"/>
        <w:jc w:val="both"/>
        <w:rPr>
          <w:rFonts w:ascii="Times New Roman" w:eastAsia="Times New Roman" w:hAnsi="Times New Roman" w:cs="Times New Roman"/>
          <w:lang w:eastAsia="en-AU"/>
        </w:rPr>
      </w:pPr>
      <w:r w:rsidRPr="00214243">
        <w:rPr>
          <w:rFonts w:ascii="Times New Roman" w:hAnsi="Times New Roman" w:cs="Times New Roman"/>
        </w:rPr>
        <w:t xml:space="preserve">The </w:t>
      </w:r>
      <w:r w:rsidRPr="00214243">
        <w:rPr>
          <w:rFonts w:ascii="Times New Roman" w:hAnsi="Times New Roman" w:cs="Times New Roman"/>
          <w:i/>
        </w:rPr>
        <w:t xml:space="preserve">National Health (Listing of Pharmaceutical Benefits) Instrument 2024 </w:t>
      </w:r>
      <w:r w:rsidRPr="00214243">
        <w:rPr>
          <w:rFonts w:ascii="Times New Roman" w:hAnsi="Times New Roman" w:cs="Times New Roman"/>
        </w:rPr>
        <w:t>replaces the</w:t>
      </w:r>
      <w:r w:rsidRPr="002F2308">
        <w:rPr>
          <w:rFonts w:ascii="Times New Roman" w:hAnsi="Times New Roman" w:cs="Times New Roman"/>
          <w:bCs/>
          <w:iCs/>
        </w:rPr>
        <w:t xml:space="preserve"> </w:t>
      </w:r>
      <w:r w:rsidRPr="00214243">
        <w:rPr>
          <w:rFonts w:ascii="Times New Roman" w:hAnsi="Times New Roman" w:cs="Times New Roman"/>
          <w:i/>
        </w:rPr>
        <w:t>National Health (Listing of Pharmaceutical Benefits) Instrument 2012</w:t>
      </w:r>
      <w:r w:rsidR="002A01D7" w:rsidRPr="00214243">
        <w:rPr>
          <w:rFonts w:ascii="Times New Roman" w:hAnsi="Times New Roman" w:cs="Times New Roman"/>
        </w:rPr>
        <w:t xml:space="preserve"> </w:t>
      </w:r>
      <w:r w:rsidR="002A01D7" w:rsidRPr="00214243">
        <w:rPr>
          <w:rFonts w:ascii="Times New Roman" w:hAnsi="Times New Roman" w:cs="Times New Roman"/>
          <w:iCs/>
        </w:rPr>
        <w:t>which sunsets on 1 April 2024</w:t>
      </w:r>
      <w:r w:rsidRPr="00DC1FE8">
        <w:rPr>
          <w:rFonts w:ascii="Times New Roman" w:hAnsi="Times New Roman" w:cs="Times New Roman"/>
          <w:iCs/>
        </w:rPr>
        <w:t xml:space="preserve">. </w:t>
      </w:r>
      <w:r w:rsidRPr="00214243">
        <w:rPr>
          <w:rFonts w:ascii="Times New Roman" w:hAnsi="Times New Roman" w:cs="Times New Roman"/>
        </w:rPr>
        <w:t xml:space="preserve">This instrument determines the pharmaceutical benefits that are on the Pharmaceutical Benefits Scheme (PBS) through declarations of drugs and medicinal preparations, and determinations of forms, manners of administration and brands. </w:t>
      </w:r>
      <w:r w:rsidR="00E135A0" w:rsidRPr="00E135A0">
        <w:rPr>
          <w:rFonts w:ascii="Times New Roman" w:eastAsia="Times New Roman" w:hAnsi="Times New Roman" w:cs="Times New Roman"/>
          <w:lang w:eastAsia="en-AU"/>
        </w:rPr>
        <w:t>It also provides for related matters (responsible persons, prescribing circumstances, schedule equivalence, maximum quantities, number of repeats, determined quantities, pack quantities, section 100 only status and prescriber bag only status).</w:t>
      </w:r>
    </w:p>
    <w:p w14:paraId="194AD909" w14:textId="6D903739" w:rsidR="003B3740" w:rsidRPr="00214243" w:rsidRDefault="00DC1FE8" w:rsidP="006B364C">
      <w:pPr>
        <w:spacing w:before="120" w:after="0" w:line="240" w:lineRule="auto"/>
        <w:jc w:val="both"/>
        <w:rPr>
          <w:rFonts w:ascii="Times New Roman" w:hAnsi="Times New Roman" w:cs="Times New Roman"/>
        </w:rPr>
      </w:pPr>
      <w:r w:rsidRPr="006B364C">
        <w:rPr>
          <w:rFonts w:ascii="Times New Roman" w:hAnsi="Times New Roman" w:cs="Times New Roman"/>
          <w:iCs/>
        </w:rPr>
        <w:t xml:space="preserve">This instrument also </w:t>
      </w:r>
      <w:r w:rsidRPr="006B364C">
        <w:rPr>
          <w:rFonts w:ascii="Times New Roman" w:hAnsi="Times New Roman" w:cs="Times New Roman"/>
        </w:rPr>
        <w:t xml:space="preserve">incorporates a number of changes to medicine listings </w:t>
      </w:r>
      <w:r w:rsidR="00FD6A2E" w:rsidRPr="006B364C">
        <w:rPr>
          <w:rFonts w:ascii="Times New Roman" w:hAnsi="Times New Roman" w:cs="Times New Roman"/>
        </w:rPr>
        <w:t>that</w:t>
      </w:r>
      <w:r w:rsidRPr="006B364C">
        <w:rPr>
          <w:rFonts w:ascii="Times New Roman" w:hAnsi="Times New Roman" w:cs="Times New Roman"/>
        </w:rPr>
        <w:t xml:space="preserve"> are scheduled to take effect on 1 April 2024</w:t>
      </w:r>
      <w:r w:rsidR="00FD6A2E" w:rsidRPr="006B364C">
        <w:rPr>
          <w:rFonts w:ascii="Times New Roman" w:hAnsi="Times New Roman" w:cs="Times New Roman"/>
        </w:rPr>
        <w:t xml:space="preserve"> (</w:t>
      </w:r>
      <w:r w:rsidR="00995A7B" w:rsidRPr="006B364C">
        <w:rPr>
          <w:rFonts w:ascii="Times New Roman" w:hAnsi="Times New Roman" w:cs="Times New Roman"/>
        </w:rPr>
        <w:t>see</w:t>
      </w:r>
      <w:r w:rsidR="00FD6A2E" w:rsidRPr="006B364C">
        <w:rPr>
          <w:rFonts w:ascii="Times New Roman" w:hAnsi="Times New Roman" w:cs="Times New Roman"/>
        </w:rPr>
        <w:t xml:space="preserve"> Analysis)</w:t>
      </w:r>
      <w:r w:rsidRPr="006B364C">
        <w:rPr>
          <w:rFonts w:ascii="Times New Roman" w:hAnsi="Times New Roman" w:cs="Times New Roman"/>
        </w:rPr>
        <w:t>.</w:t>
      </w:r>
    </w:p>
    <w:p w14:paraId="54C9F07B" w14:textId="77777777" w:rsidR="00CC2E84" w:rsidRPr="00214243" w:rsidRDefault="00CC2E84" w:rsidP="00E135A0">
      <w:pPr>
        <w:spacing w:before="240" w:after="0" w:line="240" w:lineRule="auto"/>
      </w:pPr>
      <w:r w:rsidRPr="00214243">
        <w:rPr>
          <w:rFonts w:ascii="Times New Roman" w:hAnsi="Times New Roman"/>
          <w:b/>
          <w:bCs/>
        </w:rPr>
        <w:t>Human rights implications</w:t>
      </w:r>
    </w:p>
    <w:p w14:paraId="232B40B5" w14:textId="77777777" w:rsidR="00E135A0" w:rsidRPr="00E135A0" w:rsidRDefault="00E135A0" w:rsidP="00E135A0">
      <w:pPr>
        <w:spacing w:before="120" w:after="0" w:line="240" w:lineRule="auto"/>
        <w:jc w:val="both"/>
        <w:rPr>
          <w:rFonts w:ascii="Times New Roman" w:eastAsia="Times New Roman" w:hAnsi="Times New Roman" w:cs="Times New Roman"/>
          <w:lang w:eastAsia="en-AU"/>
        </w:rPr>
      </w:pPr>
      <w:r w:rsidRPr="00E135A0">
        <w:rPr>
          <w:rFonts w:ascii="Times New Roman" w:eastAsia="Times New Roman" w:hAnsi="Times New Roman" w:cs="Times New Roman"/>
          <w:lang w:eastAsia="en-AU"/>
        </w:rPr>
        <w:t>The Instrument engages Articles 9 and 12 of the International Covenant on Economic, Social and Cultural Rights (ICESCR), specifically the rights to social security and health.</w:t>
      </w:r>
    </w:p>
    <w:p w14:paraId="4D5E20A4" w14:textId="77777777" w:rsidR="00E135A0" w:rsidRPr="00E135A0" w:rsidRDefault="00E135A0" w:rsidP="00E135A0">
      <w:pPr>
        <w:spacing w:before="120" w:after="0" w:line="240" w:lineRule="auto"/>
        <w:jc w:val="both"/>
        <w:rPr>
          <w:rFonts w:ascii="Times New Roman" w:eastAsia="Times New Roman" w:hAnsi="Times New Roman" w:cs="Times New Roman"/>
          <w:i/>
          <w:iCs/>
          <w:lang w:eastAsia="en-AU"/>
        </w:rPr>
      </w:pPr>
      <w:r w:rsidRPr="00E135A0">
        <w:rPr>
          <w:rFonts w:ascii="Times New Roman" w:eastAsia="Times New Roman" w:hAnsi="Times New Roman" w:cs="Times New Roman"/>
          <w:i/>
          <w:iCs/>
          <w:lang w:eastAsia="en-AU"/>
        </w:rPr>
        <w:t>The Right to Social Security</w:t>
      </w:r>
    </w:p>
    <w:p w14:paraId="2F1718F5" w14:textId="77777777" w:rsidR="00E135A0" w:rsidRPr="00E135A0" w:rsidRDefault="00E135A0" w:rsidP="00E135A0">
      <w:pPr>
        <w:spacing w:before="120" w:after="0" w:line="240" w:lineRule="auto"/>
        <w:jc w:val="both"/>
        <w:rPr>
          <w:rFonts w:ascii="Times New Roman" w:eastAsia="Times New Roman" w:hAnsi="Times New Roman" w:cs="Times New Roman"/>
          <w:lang w:eastAsia="en-AU"/>
        </w:rPr>
      </w:pPr>
      <w:r w:rsidRPr="00E135A0">
        <w:rPr>
          <w:rFonts w:ascii="Times New Roman" w:eastAsia="Times New Roman" w:hAnsi="Times New Roman" w:cs="Times New Roman"/>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253FA1" w14:textId="77777777" w:rsidR="00E135A0" w:rsidRPr="00E135A0" w:rsidRDefault="00E135A0" w:rsidP="00E135A0">
      <w:pPr>
        <w:spacing w:before="120" w:after="0" w:line="240" w:lineRule="auto"/>
        <w:jc w:val="both"/>
        <w:rPr>
          <w:rFonts w:ascii="Times New Roman" w:eastAsia="Times New Roman" w:hAnsi="Times New Roman" w:cs="Times New Roman"/>
          <w:lang w:eastAsia="en-AU"/>
        </w:rPr>
      </w:pPr>
      <w:r w:rsidRPr="00E135A0">
        <w:rPr>
          <w:rFonts w:ascii="Times New Roman" w:eastAsia="Times New Roman" w:hAnsi="Times New Roman" w:cs="Times New Roman"/>
          <w:lang w:eastAsia="en-AU"/>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406C80C" w14:textId="77777777" w:rsidR="00E135A0" w:rsidRPr="00E135A0" w:rsidRDefault="00E135A0" w:rsidP="00E135A0">
      <w:pPr>
        <w:spacing w:before="120" w:after="0" w:line="240" w:lineRule="auto"/>
        <w:jc w:val="both"/>
        <w:rPr>
          <w:rFonts w:ascii="Times New Roman" w:eastAsia="Times New Roman" w:hAnsi="Times New Roman" w:cs="Times New Roman"/>
          <w:lang w:eastAsia="en-AU"/>
        </w:rPr>
      </w:pPr>
      <w:r w:rsidRPr="00E135A0">
        <w:rPr>
          <w:rFonts w:ascii="Times New Roman" w:eastAsia="Times New Roman" w:hAnsi="Times New Roman" w:cs="Times New Roman"/>
          <w:i/>
          <w:iCs/>
          <w:lang w:eastAsia="en-AU"/>
        </w:rPr>
        <w:t>The Right to Health</w:t>
      </w:r>
    </w:p>
    <w:p w14:paraId="533555EA" w14:textId="77777777" w:rsidR="00E135A0" w:rsidRPr="00E135A0" w:rsidRDefault="00E135A0" w:rsidP="00E135A0">
      <w:pPr>
        <w:keepLines/>
        <w:spacing w:before="120" w:after="120" w:line="240" w:lineRule="auto"/>
        <w:jc w:val="both"/>
        <w:rPr>
          <w:rFonts w:ascii="Times New Roman" w:eastAsia="Times New Roman" w:hAnsi="Times New Roman" w:cs="Times New Roman"/>
          <w:lang w:eastAsia="en-AU"/>
        </w:rPr>
      </w:pPr>
      <w:r w:rsidRPr="00E135A0">
        <w:rPr>
          <w:rFonts w:ascii="Times New Roman" w:eastAsia="Times New Roman" w:hAnsi="Times New Roman" w:cs="Times New Roman"/>
          <w:lang w:eastAsia="en-AU"/>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1E2B1AB7" w14:textId="402DDEE1" w:rsidR="00B0255F" w:rsidRPr="00214243" w:rsidRDefault="00E135A0" w:rsidP="00E135A0">
      <w:pPr>
        <w:spacing w:after="0" w:line="240" w:lineRule="auto"/>
        <w:rPr>
          <w:rFonts w:ascii="Times New Roman" w:hAnsi="Times New Roman"/>
        </w:rPr>
      </w:pPr>
      <w:r w:rsidRPr="00E135A0">
        <w:rPr>
          <w:rFonts w:ascii="Times New Roman" w:eastAsia="Times New Roman" w:hAnsi="Times New Roman" w:cs="Times New Roman"/>
          <w:lang w:eastAsia="en-AU"/>
        </w:rPr>
        <w:t xml:space="preserve">The Committee reports that the ‘highest attainable standard of health’ takes into account the country’s available resources. This right may be understood as a right of access to a variety of public health and </w:t>
      </w:r>
      <w:r w:rsidRPr="00E135A0">
        <w:rPr>
          <w:rFonts w:ascii="Times New Roman" w:eastAsia="Times New Roman" w:hAnsi="Times New Roman" w:cs="Times New Roman"/>
          <w:lang w:eastAsia="en-AU"/>
        </w:rPr>
        <w:lastRenderedPageBreak/>
        <w:t>health care facilities, goods, services, programs, and conditions necessary for the realisation of the highest attainable standard of health.</w:t>
      </w:r>
    </w:p>
    <w:p w14:paraId="6BB8F51B" w14:textId="77777777" w:rsidR="00E135A0" w:rsidRPr="00E135A0" w:rsidRDefault="00E135A0" w:rsidP="00E135A0">
      <w:pPr>
        <w:keepNext/>
        <w:spacing w:before="240" w:after="0" w:line="240" w:lineRule="auto"/>
        <w:jc w:val="both"/>
        <w:rPr>
          <w:rFonts w:ascii="Times New Roman" w:eastAsia="Times New Roman" w:hAnsi="Times New Roman" w:cs="Times New Roman"/>
          <w:b/>
          <w:bCs/>
          <w:lang w:eastAsia="en-AU"/>
        </w:rPr>
      </w:pPr>
      <w:r w:rsidRPr="00E135A0">
        <w:rPr>
          <w:rFonts w:ascii="Times New Roman" w:eastAsia="Times New Roman" w:hAnsi="Times New Roman" w:cs="Times New Roman"/>
          <w:b/>
          <w:bCs/>
          <w:lang w:eastAsia="en-AU"/>
        </w:rPr>
        <w:t>Analysis</w:t>
      </w:r>
    </w:p>
    <w:p w14:paraId="319FFF26" w14:textId="555525F7" w:rsidR="00E135A0" w:rsidRPr="00E135A0" w:rsidRDefault="00E135A0" w:rsidP="00E135A0">
      <w:pPr>
        <w:spacing w:before="120" w:after="0" w:line="240" w:lineRule="auto"/>
        <w:jc w:val="both"/>
        <w:rPr>
          <w:rFonts w:ascii="Times New Roman" w:eastAsia="Times New Roman" w:hAnsi="Times New Roman" w:cs="Times New Roman"/>
          <w:lang w:eastAsia="en-AU"/>
        </w:rPr>
      </w:pPr>
      <w:bookmarkStart w:id="9" w:name="_Hlk135824646"/>
      <w:r w:rsidRPr="006B364C">
        <w:rPr>
          <w:rFonts w:ascii="Times New Roman" w:eastAsia="Times New Roman" w:hAnsi="Times New Roman" w:cs="Times New Roman"/>
          <w:lang w:eastAsia="en-AU"/>
        </w:rPr>
        <w:t>The Instrument advances the right to health and the right to social security by providing a new drug, new forms and brands of existing listed drugs, and ensuring the deletion of drugs, forms and brands of listed drugs, does not affect access to subsidised medicines.</w:t>
      </w:r>
      <w:bookmarkEnd w:id="9"/>
      <w:r w:rsidRPr="006B364C">
        <w:rPr>
          <w:rFonts w:ascii="Times New Roman" w:eastAsia="Times New Roman" w:hAnsi="Times New Roman" w:cs="Times New Roman"/>
          <w:lang w:eastAsia="en-AU"/>
        </w:rPr>
        <w:t xml:space="preserve"> The Pharmaceutical Benefits Scheme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Schedule are evidence-based. </w:t>
      </w:r>
      <w:bookmarkStart w:id="10" w:name="_Hlk135824705"/>
      <w:r w:rsidRPr="006B364C">
        <w:rPr>
          <w:rFonts w:ascii="Times New Roman" w:eastAsia="Times New Roman" w:hAnsi="Times New Roman" w:cs="Times New Roman"/>
          <w:lang w:eastAsia="en-AU"/>
        </w:rPr>
        <w:t>The Instrument includes the addition of 1 new drug, 2 new forms of existing drugs, and the addition of 24 new brands across 24 existing forms, which allows for greater patient access to these drugs.</w:t>
      </w:r>
      <w:bookmarkEnd w:id="10"/>
    </w:p>
    <w:p w14:paraId="620C35D6" w14:textId="77777777" w:rsidR="00E135A0" w:rsidRPr="00E135A0" w:rsidRDefault="00E135A0" w:rsidP="00E135A0">
      <w:pPr>
        <w:spacing w:before="120" w:after="0" w:line="240" w:lineRule="auto"/>
        <w:jc w:val="both"/>
        <w:rPr>
          <w:rFonts w:ascii="Times New Roman" w:eastAsia="Times New Roman" w:hAnsi="Times New Roman" w:cs="Times New Roman"/>
          <w:lang w:eastAsia="en-AU"/>
        </w:rPr>
      </w:pPr>
      <w:bookmarkStart w:id="11" w:name="_Hlk97122299"/>
      <w:bookmarkStart w:id="12" w:name="_Hlk89758889"/>
      <w:r w:rsidRPr="00E135A0">
        <w:rPr>
          <w:rFonts w:ascii="Times New Roman" w:eastAsia="Times New Roman" w:hAnsi="Times New Roman" w:cs="Times New Roman"/>
          <w:lang w:eastAsia="en-AU"/>
        </w:rPr>
        <w:t xml:space="preserve">When a sponsor submits a request to delist a drug from the PBS, subsection 101(4AAB) of the </w:t>
      </w:r>
      <w:r w:rsidRPr="00E135A0">
        <w:rPr>
          <w:rFonts w:ascii="Times New Roman" w:eastAsia="Times New Roman" w:hAnsi="Times New Roman" w:cs="Times New Roman"/>
          <w:i/>
          <w:iCs/>
          <w:lang w:eastAsia="en-AU"/>
        </w:rPr>
        <w:t xml:space="preserve">National Health Act 1953 </w:t>
      </w:r>
      <w:r w:rsidRPr="00E135A0">
        <w:rPr>
          <w:rFonts w:ascii="Times New Roman" w:eastAsia="Times New Roman" w:hAnsi="Times New Roman" w:cs="Times New Roman"/>
          <w:lang w:eastAsia="en-AU"/>
        </w:rPr>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097A3534" w14:textId="7E323CFF" w:rsidR="00E135A0" w:rsidRPr="00E135A0" w:rsidRDefault="00E135A0" w:rsidP="00E135A0">
      <w:pPr>
        <w:spacing w:before="120" w:after="0" w:line="240" w:lineRule="auto"/>
        <w:jc w:val="both"/>
        <w:rPr>
          <w:rFonts w:ascii="Times New Roman" w:eastAsia="Times New Roman" w:hAnsi="Times New Roman" w:cs="Times New Roman"/>
          <w:sz w:val="24"/>
          <w:szCs w:val="24"/>
          <w:lang w:eastAsia="en-AU"/>
        </w:rPr>
      </w:pPr>
      <w:r w:rsidRPr="006B364C">
        <w:rPr>
          <w:rFonts w:ascii="Times New Roman" w:eastAsia="Times New Roman" w:hAnsi="Times New Roman" w:cs="Times New Roman"/>
          <w:lang w:eastAsia="en-AU"/>
        </w:rPr>
        <w:t>Written advice from the PBAC is tabled with th</w:t>
      </w:r>
      <w:r w:rsidR="002F2308" w:rsidRPr="006B364C">
        <w:rPr>
          <w:rFonts w:ascii="Times New Roman" w:eastAsia="Times New Roman" w:hAnsi="Times New Roman" w:cs="Times New Roman"/>
          <w:lang w:eastAsia="en-AU"/>
        </w:rPr>
        <w:t>is</w:t>
      </w:r>
      <w:r w:rsidRPr="006B364C">
        <w:rPr>
          <w:rFonts w:ascii="Times New Roman" w:eastAsia="Times New Roman" w:hAnsi="Times New Roman" w:cs="Times New Roman"/>
          <w:lang w:eastAsia="en-AU"/>
        </w:rPr>
        <w:t xml:space="preserve"> </w:t>
      </w:r>
      <w:r w:rsidR="002F2308" w:rsidRPr="006B364C">
        <w:rPr>
          <w:rFonts w:ascii="Times New Roman" w:eastAsia="Times New Roman" w:hAnsi="Times New Roman" w:cs="Times New Roman"/>
          <w:lang w:eastAsia="en-AU"/>
        </w:rPr>
        <w:t xml:space="preserve">Instrument and </w:t>
      </w:r>
      <w:r w:rsidR="009E5F31" w:rsidRPr="006B364C">
        <w:rPr>
          <w:rFonts w:ascii="Times New Roman" w:eastAsia="Times New Roman" w:hAnsi="Times New Roman" w:cs="Times New Roman"/>
          <w:lang w:eastAsia="en-AU"/>
        </w:rPr>
        <w:t xml:space="preserve">will be tabled with </w:t>
      </w:r>
      <w:r w:rsidR="002F2308" w:rsidRPr="006B364C">
        <w:rPr>
          <w:rFonts w:ascii="Times New Roman" w:eastAsia="Times New Roman" w:hAnsi="Times New Roman" w:cs="Times New Roman"/>
          <w:lang w:eastAsia="en-AU"/>
        </w:rPr>
        <w:t xml:space="preserve">any subsequent </w:t>
      </w:r>
      <w:r w:rsidRPr="006B364C">
        <w:rPr>
          <w:rFonts w:ascii="Times New Roman" w:eastAsia="Times New Roman" w:hAnsi="Times New Roman" w:cs="Times New Roman"/>
          <w:lang w:eastAsia="en-AU"/>
        </w:rPr>
        <w:t>monthly amendments to th</w:t>
      </w:r>
      <w:r w:rsidR="002F2308" w:rsidRPr="006B364C">
        <w:rPr>
          <w:rFonts w:ascii="Times New Roman" w:eastAsia="Times New Roman" w:hAnsi="Times New Roman" w:cs="Times New Roman"/>
          <w:lang w:eastAsia="en-AU"/>
        </w:rPr>
        <w:t>is</w:t>
      </w:r>
      <w:r w:rsidRPr="006B364C">
        <w:rPr>
          <w:rFonts w:ascii="Times New Roman" w:eastAsia="Times New Roman" w:hAnsi="Times New Roman" w:cs="Times New Roman"/>
          <w:lang w:eastAsia="en-AU"/>
        </w:rPr>
        <w:t xml:space="preserve"> Instrument. An unmet clini</w:t>
      </w:r>
      <w:r w:rsidRPr="00E135A0">
        <w:rPr>
          <w:rFonts w:ascii="Times New Roman" w:eastAsia="Times New Roman" w:hAnsi="Times New Roman" w:cs="Times New Roman"/>
          <w:lang w:eastAsia="en-AU"/>
        </w:rPr>
        <w:t xml:space="preserve">cal need would arise when a currently treated patient population would be left without treatment options once a delisting occurs. Alternative treatment options could include using a different: form, strength or drug. The PBAC considered the delisting of drugs and forms of drugs in the abovementioned instrument would not result in an unmet clinical need, except where indicated for a particular drug or form of drug below. Where the PBAC has identified an unmet clinical need, a Supply Only period has been/will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w:t>
      </w:r>
      <w:bookmarkStart w:id="13" w:name="_Hlk93570865"/>
      <w:r w:rsidRPr="00E135A0">
        <w:rPr>
          <w:rFonts w:ascii="Times New Roman" w:eastAsia="Times New Roman" w:hAnsi="Times New Roman" w:cs="Times New Roman"/>
          <w:lang w:eastAsia="en-AU"/>
        </w:rPr>
        <w:t>From 1 January 2024, these amounts are $31.60 for general patients and $7.70 for concession card holders.</w:t>
      </w:r>
      <w:bookmarkEnd w:id="11"/>
    </w:p>
    <w:bookmarkEnd w:id="12"/>
    <w:bookmarkEnd w:id="13"/>
    <w:p w14:paraId="3057B2EE" w14:textId="77777777" w:rsidR="00E135A0" w:rsidRPr="00E135A0" w:rsidRDefault="00E135A0" w:rsidP="00E135A0">
      <w:pPr>
        <w:spacing w:before="120" w:after="0" w:line="240" w:lineRule="auto"/>
        <w:jc w:val="both"/>
        <w:rPr>
          <w:rFonts w:ascii="Times New Roman" w:eastAsia="Times New Roman" w:hAnsi="Times New Roman" w:cs="Times New Roman"/>
          <w:lang w:eastAsia="en-AU"/>
        </w:rPr>
      </w:pPr>
      <w:r w:rsidRPr="00E135A0">
        <w:rPr>
          <w:rFonts w:ascii="Times New Roman" w:eastAsia="Times New Roman" w:hAnsi="Times New Roman" w:cs="Times New Roman"/>
          <w:lang w:eastAsia="en-AU"/>
        </w:rPr>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bookmarkStart w:id="14" w:name="_Hlk158299463"/>
    </w:p>
    <w:p w14:paraId="2F78204A" w14:textId="77777777" w:rsidR="00E135A0" w:rsidRPr="006B364C" w:rsidRDefault="00E135A0" w:rsidP="00E135A0">
      <w:pPr>
        <w:keepLines/>
        <w:spacing w:before="120" w:after="0" w:line="240" w:lineRule="auto"/>
        <w:jc w:val="both"/>
        <w:rPr>
          <w:rFonts w:ascii="Times New Roman" w:eastAsia="Times New Roman" w:hAnsi="Times New Roman" w:cs="Times New Roman"/>
          <w:lang w:eastAsia="en-AU"/>
        </w:rPr>
      </w:pPr>
      <w:r w:rsidRPr="006B364C">
        <w:rPr>
          <w:rFonts w:ascii="Times New Roman" w:eastAsia="Times New Roman" w:hAnsi="Times New Roman" w:cs="Times New Roman"/>
          <w:lang w:eastAsia="en-AU"/>
        </w:rPr>
        <w:t>The drug abacavir with lamivudine and zidovudine (Trizivir) was requested to be delisted from the PBS Schedule by the sponsor. The PBAC noted the low number of services in the last financial year and that there are multiple alternatives on the PBS. The PBAC advised the delisting of this product would not result in an unmet clinical need.</w:t>
      </w:r>
    </w:p>
    <w:p w14:paraId="2E7B89D4" w14:textId="77777777" w:rsidR="00E135A0" w:rsidRPr="006B364C" w:rsidRDefault="00E135A0" w:rsidP="00E135A0">
      <w:pPr>
        <w:spacing w:before="120" w:after="0" w:line="240" w:lineRule="auto"/>
        <w:jc w:val="both"/>
        <w:rPr>
          <w:rFonts w:ascii="Times New Roman" w:eastAsia="Arial" w:hAnsi="Times New Roman" w:cs="Times New Roman"/>
          <w:szCs w:val="32"/>
          <w:lang w:eastAsia="zh-CN"/>
        </w:rPr>
      </w:pPr>
      <w:r w:rsidRPr="006B364C">
        <w:rPr>
          <w:rFonts w:ascii="Times New Roman" w:eastAsia="Times New Roman" w:hAnsi="Times New Roman" w:cs="Times New Roman"/>
          <w:lang w:eastAsia="en-AU"/>
        </w:rPr>
        <w:t xml:space="preserve">The drug estradiol in the forms transdermal patches 2 mg, 4 (Climara 25), transdermal patches 3.8 mg, 4 (Climara 50), transdermal patches 5.7 mg, 4 (Climara 75), and transdermal patches 7.6 mg, 4 (Climara 100) was requested to be delisted from the PBS Schedule by the sponsor. The PBAC noted the low number of services in the last financial year and that there are multiple alternatives on the PBS. The PBAC advised the delisting of these products would not result in an unmet clinical need. </w:t>
      </w:r>
      <w:r w:rsidRPr="006B364C">
        <w:rPr>
          <w:rFonts w:ascii="Times New Roman" w:eastAsia="Arial" w:hAnsi="Times New Roman" w:cs="Times New Roman"/>
          <w:szCs w:val="32"/>
          <w:lang w:eastAsia="zh-CN"/>
        </w:rPr>
        <w:t>These items will be available on the PBS Schedule under Supply Only arrangements for a period of 6 months, allowing patients with a pre-existing valid prescription to access these items pending transition to an alternative treatment option.</w:t>
      </w:r>
    </w:p>
    <w:p w14:paraId="546366C7" w14:textId="77777777" w:rsidR="00E135A0" w:rsidRPr="006B364C" w:rsidRDefault="00E135A0" w:rsidP="006E21BE">
      <w:pPr>
        <w:spacing w:before="120" w:after="0" w:line="240" w:lineRule="auto"/>
        <w:jc w:val="both"/>
        <w:rPr>
          <w:rFonts w:ascii="Times New Roman" w:eastAsia="Times New Roman" w:hAnsi="Times New Roman" w:cs="Times New Roman"/>
          <w:lang w:eastAsia="en-AU"/>
        </w:rPr>
      </w:pPr>
      <w:r w:rsidRPr="006B364C">
        <w:rPr>
          <w:rFonts w:ascii="Times New Roman" w:eastAsia="Times New Roman" w:hAnsi="Times New Roman" w:cs="Times New Roman"/>
          <w:lang w:eastAsia="en-AU"/>
        </w:rPr>
        <w:lastRenderedPageBreak/>
        <w:t>The drug fosamprenavir (Telzir) was requested to be delisted from the PBS Schedule by the sponsor. The PBAC noted the low number of services in the last financial year and that there are suitable alternatives on the PBS. The PBAC advised the delisting of this product would not result in an unmet clinical need.</w:t>
      </w:r>
    </w:p>
    <w:bookmarkEnd w:id="14"/>
    <w:p w14:paraId="046AB531" w14:textId="77777777" w:rsidR="00E135A0" w:rsidRPr="006B364C" w:rsidRDefault="00E135A0" w:rsidP="00E135A0">
      <w:pPr>
        <w:spacing w:before="120" w:after="120" w:line="240" w:lineRule="auto"/>
        <w:jc w:val="both"/>
        <w:rPr>
          <w:rFonts w:ascii="Times New Roman" w:eastAsia="Calibri" w:hAnsi="Times New Roman" w:cs="Times New Roman"/>
        </w:rPr>
      </w:pPr>
      <w:r w:rsidRPr="006B364C">
        <w:rPr>
          <w:rFonts w:ascii="Times New Roman" w:eastAsia="Times New Roman" w:hAnsi="Times New Roman" w:cs="Times New Roman"/>
          <w:lang w:eastAsia="en-AU"/>
        </w:rPr>
        <w:t xml:space="preserve">The drug </w:t>
      </w:r>
      <w:bookmarkStart w:id="15" w:name="_Hlk152772279"/>
      <w:r w:rsidRPr="006B364C">
        <w:rPr>
          <w:rFonts w:ascii="Times New Roman" w:eastAsia="Times New Roman" w:hAnsi="Times New Roman" w:cs="Times New Roman"/>
          <w:lang w:eastAsia="en-AU"/>
        </w:rPr>
        <w:t xml:space="preserve">hydralazine </w:t>
      </w:r>
      <w:bookmarkEnd w:id="15"/>
      <w:r w:rsidRPr="006B364C">
        <w:rPr>
          <w:rFonts w:ascii="Times New Roman" w:eastAsia="Times New Roman" w:hAnsi="Times New Roman" w:cs="Times New Roman"/>
          <w:lang w:eastAsia="en-AU"/>
        </w:rPr>
        <w:t xml:space="preserve">(Alphapress 25, Alphapress 50) was requested to be delisted from the PBS Schedule by the sponsor. </w:t>
      </w:r>
      <w:r w:rsidRPr="006B364C">
        <w:rPr>
          <w:rFonts w:ascii="Times New Roman" w:eastAsia="Calibri" w:hAnsi="Times New Roman" w:cs="Times New Roman"/>
          <w:szCs w:val="20"/>
        </w:rPr>
        <w:t xml:space="preserve">The PBAC noted the importance of hydralazine in the management of hypertension, especially in urgent situations and in renal disease, and advised the delisting of these products may result in an unmet clinical need. The Department sought to retain these products in </w:t>
      </w:r>
      <w:bookmarkStart w:id="16" w:name="_Hlk152838976"/>
      <w:r w:rsidRPr="006B364C">
        <w:rPr>
          <w:rFonts w:ascii="Times New Roman" w:eastAsia="Calibri" w:hAnsi="Times New Roman" w:cs="Times New Roman"/>
          <w:szCs w:val="20"/>
        </w:rPr>
        <w:t>line with this advice, however the sponsor indicated retention was not viable due to financial reasons and wished to proceed with the delisting.</w:t>
      </w:r>
      <w:bookmarkEnd w:id="16"/>
      <w:r w:rsidRPr="006B364C">
        <w:rPr>
          <w:rFonts w:ascii="Calibri" w:eastAsia="Calibri" w:hAnsi="Calibri" w:cs="Times New Roman"/>
          <w:sz w:val="24"/>
        </w:rPr>
        <w:t xml:space="preserve"> </w:t>
      </w:r>
      <w:r w:rsidRPr="006B364C">
        <w:rPr>
          <w:rFonts w:ascii="Times New Roman" w:eastAsia="Calibri" w:hAnsi="Times New Roman" w:cs="Times New Roman"/>
        </w:rPr>
        <w:t>This item was available on the PBS Schedule under Supply Only arrangements for a period of 3 months, allowing patients with a pre</w:t>
      </w:r>
      <w:r w:rsidRPr="006B364C">
        <w:rPr>
          <w:rFonts w:ascii="Times New Roman" w:eastAsia="Calibri" w:hAnsi="Times New Roman" w:cs="Times New Roman"/>
        </w:rPr>
        <w:noBreakHyphen/>
        <w:t>existing valid prescription to access this item pending transition to an alternative treatment option.</w:t>
      </w:r>
    </w:p>
    <w:p w14:paraId="0CB5C490" w14:textId="77777777" w:rsidR="00E135A0" w:rsidRPr="006B364C" w:rsidRDefault="00E135A0" w:rsidP="00E135A0">
      <w:pPr>
        <w:autoSpaceDE w:val="0"/>
        <w:autoSpaceDN w:val="0"/>
        <w:adjustRightInd w:val="0"/>
        <w:spacing w:before="120" w:after="0" w:line="240" w:lineRule="auto"/>
        <w:jc w:val="both"/>
        <w:rPr>
          <w:rFonts w:ascii="Times New Roman" w:eastAsia="Arial" w:hAnsi="Times New Roman" w:cs="Times New Roman"/>
          <w:szCs w:val="32"/>
          <w:lang w:eastAsia="zh-CN"/>
        </w:rPr>
      </w:pPr>
      <w:r w:rsidRPr="006B364C">
        <w:rPr>
          <w:rFonts w:ascii="Times New Roman" w:eastAsia="Arial" w:hAnsi="Times New Roman" w:cs="Times New Roman"/>
          <w:szCs w:val="32"/>
          <w:lang w:eastAsia="zh-CN"/>
        </w:rPr>
        <w:t>The drug lopinavir with ritonavir in the form tablet 100 mg-25 mg (Kaletra) was requested to be delisted from the PBS Schedule by the sponsor. The PBAC noted the low number of services in the last financial year and that there are multiple alternatives on the PBS. The PBAC advised the delisting of this product would not result in an unmet clinical need.</w:t>
      </w:r>
    </w:p>
    <w:p w14:paraId="34427EC9" w14:textId="77777777" w:rsidR="00E135A0" w:rsidRPr="006B364C" w:rsidRDefault="00E135A0" w:rsidP="00E135A0">
      <w:pPr>
        <w:autoSpaceDE w:val="0"/>
        <w:autoSpaceDN w:val="0"/>
        <w:adjustRightInd w:val="0"/>
        <w:spacing w:before="120" w:after="0" w:line="240" w:lineRule="auto"/>
        <w:jc w:val="both"/>
        <w:rPr>
          <w:rFonts w:ascii="Times New Roman" w:eastAsia="Arial" w:hAnsi="Times New Roman" w:cs="Times New Roman"/>
          <w:szCs w:val="32"/>
          <w:lang w:eastAsia="zh-CN"/>
        </w:rPr>
      </w:pPr>
      <w:r w:rsidRPr="006B364C">
        <w:rPr>
          <w:rFonts w:ascii="Times New Roman" w:eastAsia="Arial" w:hAnsi="Times New Roman" w:cs="Times New Roman"/>
          <w:szCs w:val="32"/>
          <w:lang w:eastAsia="zh-CN"/>
        </w:rPr>
        <w:t xml:space="preserve">The drug methylprednisolone in the form powder for injection 40 mg (as sodium succinate) (Methylpred) was </w:t>
      </w:r>
      <w:r w:rsidRPr="006B364C">
        <w:rPr>
          <w:rFonts w:ascii="Times New Roman" w:eastAsia="Times New Roman" w:hAnsi="Times New Roman" w:cs="Times New Roman"/>
          <w:szCs w:val="20"/>
          <w:lang w:eastAsia="en-AU"/>
        </w:rPr>
        <w:t>requested to be delisted from the PBS Schedule by the sponsor. The PBAC noted the low number of services in the last financial year and that there are suitable alternatives on the PBS. The PBAC advised the delisting of this product would not result in an unmet clinical need.</w:t>
      </w:r>
    </w:p>
    <w:p w14:paraId="7606C0E1" w14:textId="77777777" w:rsidR="00E135A0" w:rsidRPr="006B364C" w:rsidRDefault="00E135A0" w:rsidP="00E135A0">
      <w:pPr>
        <w:autoSpaceDE w:val="0"/>
        <w:autoSpaceDN w:val="0"/>
        <w:adjustRightInd w:val="0"/>
        <w:spacing w:before="120" w:after="0" w:line="240" w:lineRule="auto"/>
        <w:jc w:val="both"/>
        <w:rPr>
          <w:rFonts w:ascii="Times New Roman" w:eastAsia="Arial" w:hAnsi="Times New Roman" w:cs="Times New Roman"/>
          <w:szCs w:val="32"/>
          <w:lang w:eastAsia="zh-CN"/>
        </w:rPr>
      </w:pPr>
      <w:r w:rsidRPr="006B364C">
        <w:rPr>
          <w:rFonts w:ascii="Times New Roman" w:eastAsia="Arial" w:hAnsi="Times New Roman" w:cs="Times New Roman"/>
          <w:szCs w:val="32"/>
          <w:lang w:eastAsia="zh-CN"/>
        </w:rPr>
        <w:t>The drug morphine in the forms sachet containing controlled release granules for oral suspension, containing morphine sulfate pentahydrate 20 mg per sachet (MS Contin Suspension 20 mg), sachet containing controlled release granules for oral suspension, containing morphine sulfate pentahydrate 30 mg per sachet (MS Contin Suspension 30 mg), sachet containing controlled release granules for oral suspension, containing morphine sulfate pentahydrate 60 mg per sachet (MS Contin Suspension 60 mg), sachet containing controlled release granules for oral suspension, containing morphine sulfate pentahydrate 100 mg per sachet (MS Contin Suspension 100 mg), and sachet containing controlled release granules for oral suspension, containing morphine sulfate pentahydrate 200 mg per sachet (MS Contin Suspension 200 mg) was requested to be delisted from the PBS Schedule by the sponsor. The PBAC noted the low number of services in the last financial year. However, it considered that this may be due to supply issues and the inability to access these items rather than demand in clinical practice. The PBAC advised the delisting of these products may result in an unmet clinical need and requested that the Department seek to retain these products if possible. The sponsor was approached however requested to proceed with its delist request, advising that the products had been deregistered from the Australian Register of Therapeutic Goods and discontinued.</w:t>
      </w:r>
    </w:p>
    <w:p w14:paraId="7C226C19" w14:textId="6A5E589F" w:rsidR="00E135A0" w:rsidRPr="006B364C" w:rsidRDefault="00E135A0" w:rsidP="006E21BE">
      <w:pPr>
        <w:spacing w:before="120" w:after="0" w:line="240" w:lineRule="auto"/>
        <w:jc w:val="both"/>
        <w:rPr>
          <w:rFonts w:ascii="Times New Roman" w:eastAsia="Times New Roman" w:hAnsi="Times New Roman" w:cs="Times New Roman"/>
          <w:lang w:eastAsia="en-AU"/>
        </w:rPr>
      </w:pPr>
      <w:r w:rsidRPr="006B364C">
        <w:rPr>
          <w:rFonts w:ascii="Times New Roman" w:eastAsia="Arial" w:hAnsi="Times New Roman" w:cs="Times New Roman"/>
          <w:lang w:eastAsia="zh-CN"/>
        </w:rPr>
        <w:t xml:space="preserve">The drug paraffin with retinol palmitate (VitA-POS) was requested to be delisted from the PBS Schedule by the sponsor. </w:t>
      </w:r>
      <w:r w:rsidRPr="006B364C">
        <w:rPr>
          <w:rFonts w:ascii="Times New Roman" w:eastAsia="Times New Roman" w:hAnsi="Times New Roman" w:cs="Times New Roman"/>
          <w:lang w:eastAsia="en-AU"/>
        </w:rPr>
        <w:t>The PBAC noted the moderate number of services in the last financial year and that there are multiple alternatives on the PBS. The PBAC advised the delisting of this product would not result in an unmet clinical need.</w:t>
      </w:r>
      <w:r w:rsidR="00363712" w:rsidRPr="006B364C">
        <w:rPr>
          <w:rFonts w:ascii="Times New Roman" w:eastAsia="Times New Roman" w:hAnsi="Times New Roman" w:cs="Times New Roman"/>
          <w:lang w:eastAsia="en-AU"/>
        </w:rPr>
        <w:t xml:space="preserve"> This item will be available on the PBS Schedule under Supply Only arrangements for a period of 6 months, allowing patients with a pre-existing valid prescription to access this item pending transition to an alternative treatment option.</w:t>
      </w:r>
    </w:p>
    <w:p w14:paraId="4F99FEBB" w14:textId="77777777" w:rsidR="00E135A0" w:rsidRPr="006B364C" w:rsidRDefault="00E135A0" w:rsidP="00E135A0">
      <w:pPr>
        <w:autoSpaceDE w:val="0"/>
        <w:autoSpaceDN w:val="0"/>
        <w:adjustRightInd w:val="0"/>
        <w:spacing w:before="120" w:after="0" w:line="240" w:lineRule="auto"/>
        <w:jc w:val="both"/>
        <w:rPr>
          <w:rFonts w:ascii="Times New Roman" w:eastAsia="Arial" w:hAnsi="Times New Roman" w:cs="Times New Roman"/>
          <w:szCs w:val="32"/>
          <w:lang w:eastAsia="zh-CN"/>
        </w:rPr>
      </w:pPr>
      <w:r w:rsidRPr="006B364C">
        <w:rPr>
          <w:rFonts w:ascii="Times New Roman" w:eastAsia="Arial" w:hAnsi="Times New Roman" w:cs="Times New Roman"/>
          <w:szCs w:val="32"/>
          <w:lang w:eastAsia="zh-CN"/>
        </w:rPr>
        <w:t>The drug somatropin in the form solution for injection 10 mg (30 i.u.) in 2 mL cartridge (with preservative) (NutropinAq) was requested to be delisted from the PBS Schedule by the sponsor. The PBAC noted the low number of services in the last financial year and that there are multiple alternatives on the PBS. The PBAC advised the delisting of this product would not result in an unmet clinical need. This item will be available on the PBS Schedule under Supply Only arrangements for a period of 6 months, allowing patients with a pre-existing valid prescription to access this item pending transition to an alternative treatment option.</w:t>
      </w:r>
    </w:p>
    <w:p w14:paraId="61CE2B51" w14:textId="77777777" w:rsidR="00E135A0" w:rsidRPr="006B364C" w:rsidRDefault="00E135A0" w:rsidP="00E135A0">
      <w:pPr>
        <w:autoSpaceDE w:val="0"/>
        <w:autoSpaceDN w:val="0"/>
        <w:adjustRightInd w:val="0"/>
        <w:spacing w:before="120" w:after="0" w:line="240" w:lineRule="auto"/>
        <w:jc w:val="both"/>
        <w:rPr>
          <w:rFonts w:ascii="Calibri" w:eastAsia="Times New Roman" w:hAnsi="Calibri" w:cs="Calibri"/>
          <w:sz w:val="23"/>
          <w:szCs w:val="23"/>
          <w:lang w:eastAsia="en-AU"/>
        </w:rPr>
      </w:pPr>
      <w:r w:rsidRPr="006B364C">
        <w:rPr>
          <w:rFonts w:ascii="Times New Roman" w:eastAsia="Arial" w:hAnsi="Times New Roman" w:cs="Times New Roman"/>
          <w:szCs w:val="32"/>
          <w:lang w:eastAsia="zh-CN"/>
        </w:rPr>
        <w:t xml:space="preserve">The drug sterculia with frangula bark in the form granules 620 mg-80 mg per g, 500 g (Normacol Plus) was requested to be delisted from the PBS Schedule by the sponsor. The PBAC noted the substantial number of services in the previous year and that the product has been discontinued from supply. The </w:t>
      </w:r>
      <w:r w:rsidRPr="006B364C">
        <w:rPr>
          <w:rFonts w:ascii="Times New Roman" w:eastAsia="Arial" w:hAnsi="Times New Roman" w:cs="Times New Roman"/>
          <w:szCs w:val="32"/>
          <w:lang w:eastAsia="zh-CN"/>
        </w:rPr>
        <w:lastRenderedPageBreak/>
        <w:t>PBAC noted this product is the only bulk-forming laxative listed on the PBS Schedule and that no suitable PBS</w:t>
      </w:r>
      <w:r w:rsidRPr="006B364C">
        <w:rPr>
          <w:rFonts w:ascii="Times New Roman" w:eastAsia="Arial" w:hAnsi="Times New Roman" w:cs="Times New Roman"/>
          <w:szCs w:val="32"/>
          <w:lang w:eastAsia="zh-CN"/>
        </w:rPr>
        <w:noBreakHyphen/>
        <w:t xml:space="preserve">subsidised pharmaceutical alternative is available. The PBAC advised the delisting of this product may result in an unmet clinical need. </w:t>
      </w:r>
      <w:r w:rsidRPr="006B364C">
        <w:rPr>
          <w:rFonts w:ascii="Times New Roman" w:eastAsia="Times New Roman" w:hAnsi="Times New Roman" w:cs="Times New Roman"/>
          <w:lang w:eastAsia="en-AU"/>
        </w:rPr>
        <w:t>This item was available on the PBS Schedule under Supply Only arrangements for a period of 4 months, allowing patients with a pre</w:t>
      </w:r>
      <w:r w:rsidRPr="006B364C">
        <w:rPr>
          <w:rFonts w:ascii="Times New Roman" w:eastAsia="Times New Roman" w:hAnsi="Times New Roman" w:cs="Times New Roman"/>
          <w:lang w:eastAsia="en-AU"/>
        </w:rPr>
        <w:noBreakHyphen/>
        <w:t>existing valid prescription to access this item pending transition to an alternative treatment option.</w:t>
      </w:r>
    </w:p>
    <w:p w14:paraId="3D60A508" w14:textId="77777777" w:rsidR="00E135A0" w:rsidRPr="006B364C" w:rsidRDefault="00E135A0" w:rsidP="00E135A0">
      <w:pPr>
        <w:spacing w:before="120" w:after="120" w:line="240" w:lineRule="auto"/>
        <w:jc w:val="both"/>
        <w:rPr>
          <w:rFonts w:ascii="Times New Roman" w:eastAsia="Calibri" w:hAnsi="Times New Roman" w:cs="Times New Roman"/>
        </w:rPr>
      </w:pPr>
      <w:r w:rsidRPr="006B364C">
        <w:rPr>
          <w:rFonts w:ascii="Times New Roman" w:eastAsia="Calibri" w:hAnsi="Times New Roman" w:cs="Times New Roman"/>
        </w:rPr>
        <w:t>The drug triglycerides, medium chain in the form oral liquid 225 mL, 15 (K.Quik) was requested to be delisted from the PBS Schedule by the sponsor. The PBAC noted the low number of services in the previous financial year and that there are no suitable alternatives on the PBS. The PBAC advised the delisting of this product may result in an unmet clinical need. The Department sought to retain this product in line with this advice, however the sponsor indicated retention is not viable due to financial reasons and wished to proceed with the delisting. This item was available on the PBS Schedule under Supply Only arrangements for a period of 3 months, allowing patients with a pre</w:t>
      </w:r>
      <w:r w:rsidRPr="006B364C">
        <w:rPr>
          <w:rFonts w:ascii="Times New Roman" w:eastAsia="Calibri" w:hAnsi="Times New Roman" w:cs="Times New Roman"/>
        </w:rPr>
        <w:noBreakHyphen/>
        <w:t>existing valid prescription to access this item pending transition to an alternative treatment option.</w:t>
      </w:r>
    </w:p>
    <w:p w14:paraId="3FA7FF3F" w14:textId="77777777" w:rsidR="00E135A0" w:rsidRPr="006B364C" w:rsidRDefault="00E135A0" w:rsidP="00E135A0">
      <w:pPr>
        <w:spacing w:before="120" w:after="120" w:line="240" w:lineRule="auto"/>
        <w:jc w:val="both"/>
        <w:rPr>
          <w:rFonts w:ascii="Times New Roman" w:eastAsia="Calibri" w:hAnsi="Times New Roman" w:cs="Times New Roman"/>
        </w:rPr>
      </w:pPr>
      <w:r w:rsidRPr="006B364C">
        <w:rPr>
          <w:rFonts w:ascii="Times New Roman" w:eastAsia="Calibri" w:hAnsi="Times New Roman" w:cs="Times New Roman"/>
        </w:rPr>
        <w:t>The drug triglycerides - medium chain, formula in the form sachets containing oral powder 16 g, 30 (MCT Pro-Cal) was requested to be delisted from the PBS Schedule by the sponsor. The PBAC noted the low number of services in the previous financial year and that there are no suitable alternatives on the PBS. The PBAC advised the delisting of this product may result in an unmet clinical need. The Department sought to retain this product in line with this advice, however the sponsor indicated retention is not viable due to financial reasons and wished to proceed with the delisting. This item was available on the PBS Schedule under Supply Only arrangements for a period of 3 months, allowing patients with a pre</w:t>
      </w:r>
      <w:r w:rsidRPr="006B364C">
        <w:rPr>
          <w:rFonts w:ascii="Times New Roman" w:eastAsia="Calibri" w:hAnsi="Times New Roman" w:cs="Times New Roman"/>
        </w:rPr>
        <w:noBreakHyphen/>
        <w:t>existing valid prescription to access this item pending transition to an alternative treatment option.</w:t>
      </w:r>
    </w:p>
    <w:p w14:paraId="2AF7D779" w14:textId="77777777" w:rsidR="00E135A0" w:rsidRPr="00E135A0" w:rsidRDefault="00E135A0" w:rsidP="00E135A0">
      <w:pPr>
        <w:spacing w:before="120" w:after="120" w:line="240" w:lineRule="auto"/>
        <w:jc w:val="both"/>
        <w:rPr>
          <w:rFonts w:ascii="Times New Roman" w:eastAsia="Calibri" w:hAnsi="Times New Roman" w:cs="Times New Roman"/>
        </w:rPr>
      </w:pPr>
      <w:bookmarkStart w:id="17" w:name="_Hlk161900073"/>
      <w:r w:rsidRPr="006B364C">
        <w:rPr>
          <w:rFonts w:ascii="Times New Roman" w:eastAsia="Calibri" w:hAnsi="Times New Roman" w:cs="Times New Roman"/>
        </w:rPr>
        <w:t xml:space="preserve">The drug tropisetron (Tropisetron-AFT) was requested to be delisted from the PBS Schedule by the sponsor. </w:t>
      </w:r>
      <w:r w:rsidRPr="006B364C">
        <w:rPr>
          <w:rFonts w:ascii="Times New Roman" w:eastAsia="Times New Roman" w:hAnsi="Times New Roman" w:cs="Times New Roman"/>
          <w:lang w:eastAsia="en-AU"/>
        </w:rPr>
        <w:t>The PBAC noted the low number of services in the last financial year and that there are multiple alternatives on the PBS. The PBAC advised the delisting of this product would not result in an unmet clinical need.</w:t>
      </w:r>
    </w:p>
    <w:bookmarkEnd w:id="17"/>
    <w:p w14:paraId="14310906" w14:textId="77777777" w:rsidR="00CC2E84" w:rsidRPr="00214243" w:rsidRDefault="00CC2E84" w:rsidP="00E135A0">
      <w:pPr>
        <w:spacing w:before="240" w:after="0" w:line="240" w:lineRule="auto"/>
      </w:pPr>
      <w:r w:rsidRPr="00214243">
        <w:rPr>
          <w:rFonts w:ascii="Times New Roman" w:hAnsi="Times New Roman"/>
          <w:b/>
          <w:bCs/>
        </w:rPr>
        <w:t>Conclusion</w:t>
      </w:r>
      <w:r w:rsidRPr="00214243">
        <w:t xml:space="preserve"> </w:t>
      </w:r>
    </w:p>
    <w:p w14:paraId="26A2450E" w14:textId="287F56A0" w:rsidR="00DD5937" w:rsidRPr="00214243" w:rsidRDefault="00DD5937" w:rsidP="00B0255F">
      <w:pPr>
        <w:spacing w:after="0" w:line="240" w:lineRule="auto"/>
        <w:rPr>
          <w:rFonts w:ascii="Times New Roman" w:hAnsi="Times New Roman"/>
        </w:rPr>
      </w:pPr>
      <w:r w:rsidRPr="00214243">
        <w:rPr>
          <w:rFonts w:ascii="Times New Roman" w:hAnsi="Times New Roman"/>
        </w:rPr>
        <w:t>This Disallowable Legislative Instrument is compatible with human rights because</w:t>
      </w:r>
      <w:r w:rsidR="00BB4C16" w:rsidRPr="00214243">
        <w:rPr>
          <w:rFonts w:ascii="Times New Roman" w:eastAsia="Times New Roman" w:hAnsi="Times New Roman" w:cs="Times New Roman"/>
          <w:lang w:eastAsia="en-AU"/>
        </w:rPr>
        <w:t xml:space="preserve"> </w:t>
      </w:r>
      <w:r w:rsidR="00BB4C16" w:rsidRPr="00214243">
        <w:rPr>
          <w:rFonts w:ascii="Times New Roman" w:hAnsi="Times New Roman"/>
        </w:rPr>
        <w:t>it advances the protection of human right</w:t>
      </w:r>
      <w:r w:rsidR="00C554B0">
        <w:rPr>
          <w:rFonts w:ascii="Times New Roman" w:hAnsi="Times New Roman"/>
        </w:rPr>
        <w:t>s</w:t>
      </w:r>
      <w:r w:rsidR="001F1A5B" w:rsidRPr="00214243">
        <w:rPr>
          <w:rFonts w:ascii="Times New Roman" w:hAnsi="Times New Roman"/>
        </w:rPr>
        <w:t>.</w:t>
      </w:r>
    </w:p>
    <w:p w14:paraId="3F68C419" w14:textId="3137B8EB" w:rsidR="002317DD" w:rsidRPr="00214243" w:rsidRDefault="002317DD" w:rsidP="00417893">
      <w:pPr>
        <w:rPr>
          <w:rFonts w:ascii="Times New Roman" w:hAnsi="Times New Roman"/>
        </w:rPr>
      </w:pPr>
    </w:p>
    <w:p w14:paraId="7BD52C09" w14:textId="77777777" w:rsidR="009A73FD" w:rsidRPr="00214243" w:rsidRDefault="009A73FD" w:rsidP="009A73FD">
      <w:pPr>
        <w:spacing w:after="0" w:line="240" w:lineRule="auto"/>
        <w:jc w:val="center"/>
        <w:rPr>
          <w:rFonts w:ascii="Times New Roman" w:hAnsi="Times New Roman"/>
          <w:b/>
          <w:bCs/>
        </w:rPr>
      </w:pPr>
      <w:r w:rsidRPr="00214243">
        <w:rPr>
          <w:rFonts w:ascii="Times New Roman" w:hAnsi="Times New Roman"/>
          <w:b/>
          <w:bCs/>
        </w:rPr>
        <w:t>Nikolai Tsyganov</w:t>
      </w:r>
    </w:p>
    <w:p w14:paraId="3C0757F2" w14:textId="77777777" w:rsidR="009A73FD" w:rsidRPr="00214243" w:rsidRDefault="009A73FD" w:rsidP="009A73FD">
      <w:pPr>
        <w:spacing w:after="0" w:line="240" w:lineRule="auto"/>
        <w:jc w:val="center"/>
        <w:rPr>
          <w:rFonts w:ascii="Times New Roman" w:hAnsi="Times New Roman"/>
          <w:b/>
          <w:bCs/>
        </w:rPr>
      </w:pPr>
      <w:r w:rsidRPr="00214243">
        <w:rPr>
          <w:rFonts w:ascii="Times New Roman" w:hAnsi="Times New Roman"/>
          <w:b/>
          <w:bCs/>
        </w:rPr>
        <w:t>Assistant Secretary</w:t>
      </w:r>
    </w:p>
    <w:p w14:paraId="00C5B05E" w14:textId="77777777" w:rsidR="009A73FD" w:rsidRPr="00214243" w:rsidRDefault="009A73FD" w:rsidP="009A73FD">
      <w:pPr>
        <w:spacing w:after="0" w:line="240" w:lineRule="auto"/>
        <w:jc w:val="center"/>
        <w:rPr>
          <w:rFonts w:ascii="Times New Roman" w:hAnsi="Times New Roman"/>
          <w:b/>
          <w:bCs/>
          <w:lang w:val="en-US"/>
        </w:rPr>
      </w:pPr>
      <w:r w:rsidRPr="00214243">
        <w:rPr>
          <w:rFonts w:ascii="Times New Roman" w:hAnsi="Times New Roman"/>
          <w:b/>
          <w:bCs/>
          <w:lang w:val="en-US"/>
        </w:rPr>
        <w:t>Pricing and PBS Policy Branch</w:t>
      </w:r>
    </w:p>
    <w:p w14:paraId="3B0BA445" w14:textId="77777777" w:rsidR="009A73FD" w:rsidRPr="00214243" w:rsidRDefault="009A73FD" w:rsidP="009A73FD">
      <w:pPr>
        <w:spacing w:after="0" w:line="240" w:lineRule="auto"/>
        <w:jc w:val="center"/>
        <w:rPr>
          <w:rFonts w:ascii="Times New Roman" w:hAnsi="Times New Roman"/>
          <w:b/>
          <w:bCs/>
          <w:lang w:val="en-US"/>
        </w:rPr>
      </w:pPr>
      <w:r w:rsidRPr="00214243">
        <w:rPr>
          <w:rFonts w:ascii="Times New Roman" w:hAnsi="Times New Roman"/>
          <w:b/>
          <w:bCs/>
          <w:lang w:val="en-US"/>
        </w:rPr>
        <w:t>Technology Assessment and Access Division</w:t>
      </w:r>
    </w:p>
    <w:p w14:paraId="48A9C5A8" w14:textId="77777777" w:rsidR="009A73FD" w:rsidRPr="00214243" w:rsidRDefault="009A73FD" w:rsidP="009A73FD">
      <w:pPr>
        <w:spacing w:after="0" w:line="240" w:lineRule="auto"/>
        <w:jc w:val="center"/>
        <w:rPr>
          <w:rFonts w:ascii="Times New Roman" w:hAnsi="Times New Roman"/>
          <w:b/>
          <w:bCs/>
        </w:rPr>
      </w:pPr>
      <w:r w:rsidRPr="00214243">
        <w:rPr>
          <w:rFonts w:ascii="Times New Roman" w:hAnsi="Times New Roman"/>
          <w:b/>
          <w:bCs/>
          <w:lang w:val="en-US"/>
        </w:rPr>
        <w:t>Department of Health and Aged Care</w:t>
      </w:r>
    </w:p>
    <w:p w14:paraId="1467764D" w14:textId="6FA06B26" w:rsidR="002317DD" w:rsidRPr="00214243" w:rsidRDefault="002317DD" w:rsidP="00417893">
      <w:pPr>
        <w:tabs>
          <w:tab w:val="left" w:pos="3720"/>
        </w:tabs>
        <w:rPr>
          <w:rFonts w:ascii="Times New Roman" w:hAnsi="Times New Roman"/>
        </w:rPr>
      </w:pPr>
    </w:p>
    <w:sectPr w:rsidR="002317DD" w:rsidRPr="0021424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E878" w14:textId="77777777" w:rsidR="00312958" w:rsidRDefault="00312958" w:rsidP="00312958">
      <w:pPr>
        <w:spacing w:after="0" w:line="240" w:lineRule="auto"/>
      </w:pPr>
      <w:r>
        <w:separator/>
      </w:r>
    </w:p>
  </w:endnote>
  <w:endnote w:type="continuationSeparator" w:id="0">
    <w:p w14:paraId="67D7C2AC" w14:textId="77777777" w:rsidR="00312958" w:rsidRDefault="00312958" w:rsidP="003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196961"/>
      <w:docPartObj>
        <w:docPartGallery w:val="Page Numbers (Bottom of Page)"/>
        <w:docPartUnique/>
      </w:docPartObj>
    </w:sdtPr>
    <w:sdtEndPr>
      <w:rPr>
        <w:rFonts w:ascii="Times New Roman" w:hAnsi="Times New Roman" w:cs="Times New Roman"/>
        <w:noProof/>
        <w:sz w:val="20"/>
        <w:szCs w:val="20"/>
      </w:rPr>
    </w:sdtEndPr>
    <w:sdtContent>
      <w:p w14:paraId="5F4E427C" w14:textId="0A9E283B" w:rsidR="00312958" w:rsidRPr="00C445A3" w:rsidRDefault="00312958">
        <w:pPr>
          <w:pStyle w:val="Footer"/>
          <w:jc w:val="center"/>
          <w:rPr>
            <w:rFonts w:ascii="Times New Roman" w:hAnsi="Times New Roman" w:cs="Times New Roman"/>
            <w:sz w:val="20"/>
            <w:szCs w:val="20"/>
          </w:rPr>
        </w:pPr>
        <w:r w:rsidRPr="00C445A3">
          <w:rPr>
            <w:rFonts w:ascii="Times New Roman" w:hAnsi="Times New Roman" w:cs="Times New Roman"/>
            <w:sz w:val="20"/>
            <w:szCs w:val="20"/>
          </w:rPr>
          <w:fldChar w:fldCharType="begin"/>
        </w:r>
        <w:r w:rsidRPr="00C445A3">
          <w:rPr>
            <w:rFonts w:ascii="Times New Roman" w:hAnsi="Times New Roman" w:cs="Times New Roman"/>
            <w:sz w:val="20"/>
            <w:szCs w:val="20"/>
          </w:rPr>
          <w:instrText xml:space="preserve"> PAGE   \* MERGEFORMAT </w:instrText>
        </w:r>
        <w:r w:rsidRPr="00C445A3">
          <w:rPr>
            <w:rFonts w:ascii="Times New Roman" w:hAnsi="Times New Roman" w:cs="Times New Roman"/>
            <w:sz w:val="20"/>
            <w:szCs w:val="20"/>
          </w:rPr>
          <w:fldChar w:fldCharType="separate"/>
        </w:r>
        <w:r w:rsidRPr="00C445A3">
          <w:rPr>
            <w:rFonts w:ascii="Times New Roman" w:hAnsi="Times New Roman" w:cs="Times New Roman"/>
            <w:noProof/>
            <w:sz w:val="20"/>
            <w:szCs w:val="20"/>
          </w:rPr>
          <w:t>2</w:t>
        </w:r>
        <w:r w:rsidRPr="00C445A3">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F607" w14:textId="77777777" w:rsidR="00312958" w:rsidRDefault="00312958" w:rsidP="00312958">
      <w:pPr>
        <w:spacing w:after="0" w:line="240" w:lineRule="auto"/>
      </w:pPr>
      <w:r>
        <w:separator/>
      </w:r>
    </w:p>
  </w:footnote>
  <w:footnote w:type="continuationSeparator" w:id="0">
    <w:p w14:paraId="004836A5" w14:textId="77777777" w:rsidR="00312958" w:rsidRDefault="00312958" w:rsidP="00312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E21"/>
    <w:multiLevelType w:val="hybridMultilevel"/>
    <w:tmpl w:val="65D0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E177E"/>
    <w:multiLevelType w:val="hybridMultilevel"/>
    <w:tmpl w:val="C1AEB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6115D"/>
    <w:multiLevelType w:val="hybridMultilevel"/>
    <w:tmpl w:val="905EEE6A"/>
    <w:lvl w:ilvl="0" w:tplc="41FA9B7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20461CE"/>
    <w:multiLevelType w:val="hybridMultilevel"/>
    <w:tmpl w:val="C9B0F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543C1"/>
    <w:multiLevelType w:val="hybridMultilevel"/>
    <w:tmpl w:val="ABB82F0A"/>
    <w:lvl w:ilvl="0" w:tplc="C8BA08C4">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71AC5"/>
    <w:multiLevelType w:val="hybridMultilevel"/>
    <w:tmpl w:val="5A864338"/>
    <w:lvl w:ilvl="0" w:tplc="D44C2512">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54A3B1E"/>
    <w:multiLevelType w:val="hybridMultilevel"/>
    <w:tmpl w:val="37E47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5B3D83"/>
    <w:multiLevelType w:val="hybridMultilevel"/>
    <w:tmpl w:val="13E81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214DD"/>
    <w:multiLevelType w:val="hybridMultilevel"/>
    <w:tmpl w:val="4628F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224E8C"/>
    <w:multiLevelType w:val="hybridMultilevel"/>
    <w:tmpl w:val="1C24D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A162F7"/>
    <w:multiLevelType w:val="hybridMultilevel"/>
    <w:tmpl w:val="8FF4222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239764A"/>
    <w:multiLevelType w:val="hybridMultilevel"/>
    <w:tmpl w:val="71C29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72662"/>
    <w:multiLevelType w:val="hybridMultilevel"/>
    <w:tmpl w:val="94EE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3104BC"/>
    <w:multiLevelType w:val="hybridMultilevel"/>
    <w:tmpl w:val="96C0DA98"/>
    <w:lvl w:ilvl="0" w:tplc="C8BA08C4">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2581D"/>
    <w:multiLevelType w:val="hybridMultilevel"/>
    <w:tmpl w:val="7DF4765E"/>
    <w:lvl w:ilvl="0" w:tplc="6D26AE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A834F0"/>
    <w:multiLevelType w:val="hybridMultilevel"/>
    <w:tmpl w:val="286AC0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A4E53DA"/>
    <w:multiLevelType w:val="hybridMultilevel"/>
    <w:tmpl w:val="1CF4047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970768"/>
    <w:multiLevelType w:val="hybridMultilevel"/>
    <w:tmpl w:val="98964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4C042B"/>
    <w:multiLevelType w:val="hybridMultilevel"/>
    <w:tmpl w:val="49244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76927"/>
    <w:multiLevelType w:val="hybridMultilevel"/>
    <w:tmpl w:val="A4EC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24107"/>
    <w:multiLevelType w:val="hybridMultilevel"/>
    <w:tmpl w:val="EF123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10E27"/>
    <w:multiLevelType w:val="hybridMultilevel"/>
    <w:tmpl w:val="67AC9D76"/>
    <w:lvl w:ilvl="0" w:tplc="D44C251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F834EB"/>
    <w:multiLevelType w:val="hybridMultilevel"/>
    <w:tmpl w:val="D880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1B4DF5"/>
    <w:multiLevelType w:val="hybridMultilevel"/>
    <w:tmpl w:val="EE640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844F64"/>
    <w:multiLevelType w:val="hybridMultilevel"/>
    <w:tmpl w:val="F952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F47A88"/>
    <w:multiLevelType w:val="hybridMultilevel"/>
    <w:tmpl w:val="F84AE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A63809"/>
    <w:multiLevelType w:val="hybridMultilevel"/>
    <w:tmpl w:val="E27893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3F1289"/>
    <w:multiLevelType w:val="hybridMultilevel"/>
    <w:tmpl w:val="B0AC5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0A0F54"/>
    <w:multiLevelType w:val="hybridMultilevel"/>
    <w:tmpl w:val="98D24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B873A0"/>
    <w:multiLevelType w:val="hybridMultilevel"/>
    <w:tmpl w:val="0BE81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A72F15"/>
    <w:multiLevelType w:val="hybridMultilevel"/>
    <w:tmpl w:val="41B644F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F23A58"/>
    <w:multiLevelType w:val="multilevel"/>
    <w:tmpl w:val="27C8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945386">
    <w:abstractNumId w:val="21"/>
  </w:num>
  <w:num w:numId="2" w16cid:durableId="656884158">
    <w:abstractNumId w:val="4"/>
  </w:num>
  <w:num w:numId="3" w16cid:durableId="1353454440">
    <w:abstractNumId w:val="13"/>
  </w:num>
  <w:num w:numId="4" w16cid:durableId="2108502189">
    <w:abstractNumId w:val="31"/>
  </w:num>
  <w:num w:numId="5" w16cid:durableId="942690938">
    <w:abstractNumId w:val="18"/>
  </w:num>
  <w:num w:numId="6" w16cid:durableId="1874687239">
    <w:abstractNumId w:val="17"/>
  </w:num>
  <w:num w:numId="7" w16cid:durableId="1067189839">
    <w:abstractNumId w:val="9"/>
  </w:num>
  <w:num w:numId="8" w16cid:durableId="483284126">
    <w:abstractNumId w:val="30"/>
  </w:num>
  <w:num w:numId="9" w16cid:durableId="1195927075">
    <w:abstractNumId w:val="7"/>
  </w:num>
  <w:num w:numId="10" w16cid:durableId="1723092592">
    <w:abstractNumId w:val="22"/>
  </w:num>
  <w:num w:numId="11" w16cid:durableId="385419474">
    <w:abstractNumId w:val="5"/>
  </w:num>
  <w:num w:numId="12" w16cid:durableId="1735817279">
    <w:abstractNumId w:val="10"/>
  </w:num>
  <w:num w:numId="13" w16cid:durableId="1938754941">
    <w:abstractNumId w:val="8"/>
  </w:num>
  <w:num w:numId="14" w16cid:durableId="1370033546">
    <w:abstractNumId w:val="2"/>
  </w:num>
  <w:num w:numId="15" w16cid:durableId="1207571769">
    <w:abstractNumId w:val="24"/>
  </w:num>
  <w:num w:numId="16" w16cid:durableId="1875192201">
    <w:abstractNumId w:val="14"/>
  </w:num>
  <w:num w:numId="17" w16cid:durableId="130487857">
    <w:abstractNumId w:val="0"/>
  </w:num>
  <w:num w:numId="18" w16cid:durableId="2080321584">
    <w:abstractNumId w:val="23"/>
  </w:num>
  <w:num w:numId="19" w16cid:durableId="1829974771">
    <w:abstractNumId w:val="32"/>
  </w:num>
  <w:num w:numId="20" w16cid:durableId="1397440060">
    <w:abstractNumId w:val="11"/>
  </w:num>
  <w:num w:numId="21" w16cid:durableId="24139338">
    <w:abstractNumId w:val="12"/>
  </w:num>
  <w:num w:numId="22" w16cid:durableId="1543832569">
    <w:abstractNumId w:val="3"/>
  </w:num>
  <w:num w:numId="23" w16cid:durableId="932053807">
    <w:abstractNumId w:val="16"/>
  </w:num>
  <w:num w:numId="24" w16cid:durableId="511333223">
    <w:abstractNumId w:val="28"/>
  </w:num>
  <w:num w:numId="25" w16cid:durableId="1686245443">
    <w:abstractNumId w:val="1"/>
  </w:num>
  <w:num w:numId="26" w16cid:durableId="1841577820">
    <w:abstractNumId w:val="25"/>
  </w:num>
  <w:num w:numId="27" w16cid:durableId="1389377348">
    <w:abstractNumId w:val="26"/>
  </w:num>
  <w:num w:numId="28" w16cid:durableId="1371219590">
    <w:abstractNumId w:val="6"/>
  </w:num>
  <w:num w:numId="29" w16cid:durableId="1103261337">
    <w:abstractNumId w:val="15"/>
  </w:num>
  <w:num w:numId="30" w16cid:durableId="12273167">
    <w:abstractNumId w:val="27"/>
  </w:num>
  <w:num w:numId="31" w16cid:durableId="1630822154">
    <w:abstractNumId w:val="20"/>
  </w:num>
  <w:num w:numId="32" w16cid:durableId="1505851975">
    <w:abstractNumId w:val="19"/>
  </w:num>
  <w:num w:numId="33" w16cid:durableId="2937518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066B"/>
    <w:rsid w:val="000016DA"/>
    <w:rsid w:val="00001C10"/>
    <w:rsid w:val="00001D6A"/>
    <w:rsid w:val="00002812"/>
    <w:rsid w:val="0000320F"/>
    <w:rsid w:val="00003AC5"/>
    <w:rsid w:val="00003D93"/>
    <w:rsid w:val="0000450E"/>
    <w:rsid w:val="00005ABA"/>
    <w:rsid w:val="00005D98"/>
    <w:rsid w:val="00005E09"/>
    <w:rsid w:val="00006497"/>
    <w:rsid w:val="000069B6"/>
    <w:rsid w:val="00006AC1"/>
    <w:rsid w:val="00007420"/>
    <w:rsid w:val="00007A8E"/>
    <w:rsid w:val="000119C7"/>
    <w:rsid w:val="00011DF8"/>
    <w:rsid w:val="0001260C"/>
    <w:rsid w:val="00012A9F"/>
    <w:rsid w:val="00012B53"/>
    <w:rsid w:val="00012ED4"/>
    <w:rsid w:val="000133E0"/>
    <w:rsid w:val="00013698"/>
    <w:rsid w:val="000145E9"/>
    <w:rsid w:val="000157B8"/>
    <w:rsid w:val="00015B5E"/>
    <w:rsid w:val="00016664"/>
    <w:rsid w:val="0001704E"/>
    <w:rsid w:val="0001708D"/>
    <w:rsid w:val="00020EFB"/>
    <w:rsid w:val="0002114F"/>
    <w:rsid w:val="00021372"/>
    <w:rsid w:val="0002142E"/>
    <w:rsid w:val="000214D3"/>
    <w:rsid w:val="000217A4"/>
    <w:rsid w:val="000234E5"/>
    <w:rsid w:val="00023AE0"/>
    <w:rsid w:val="00023CD1"/>
    <w:rsid w:val="00023E17"/>
    <w:rsid w:val="00023EEF"/>
    <w:rsid w:val="0002447F"/>
    <w:rsid w:val="000246A1"/>
    <w:rsid w:val="000249C8"/>
    <w:rsid w:val="00025630"/>
    <w:rsid w:val="000256D3"/>
    <w:rsid w:val="00026062"/>
    <w:rsid w:val="00026251"/>
    <w:rsid w:val="00026BC4"/>
    <w:rsid w:val="0002743B"/>
    <w:rsid w:val="00027629"/>
    <w:rsid w:val="00030207"/>
    <w:rsid w:val="000313B7"/>
    <w:rsid w:val="000314BF"/>
    <w:rsid w:val="0003267F"/>
    <w:rsid w:val="00033723"/>
    <w:rsid w:val="00034E14"/>
    <w:rsid w:val="00035B28"/>
    <w:rsid w:val="00035C06"/>
    <w:rsid w:val="000362E2"/>
    <w:rsid w:val="000364BF"/>
    <w:rsid w:val="00041525"/>
    <w:rsid w:val="0004353A"/>
    <w:rsid w:val="0004367F"/>
    <w:rsid w:val="000441AB"/>
    <w:rsid w:val="00044A92"/>
    <w:rsid w:val="000474CB"/>
    <w:rsid w:val="000476D9"/>
    <w:rsid w:val="00047917"/>
    <w:rsid w:val="0005172D"/>
    <w:rsid w:val="000518C2"/>
    <w:rsid w:val="00052E9B"/>
    <w:rsid w:val="000537B8"/>
    <w:rsid w:val="00054376"/>
    <w:rsid w:val="00054604"/>
    <w:rsid w:val="00055392"/>
    <w:rsid w:val="000554F9"/>
    <w:rsid w:val="00055CF1"/>
    <w:rsid w:val="00056571"/>
    <w:rsid w:val="00057832"/>
    <w:rsid w:val="000603C6"/>
    <w:rsid w:val="00060E8D"/>
    <w:rsid w:val="00061494"/>
    <w:rsid w:val="000619D0"/>
    <w:rsid w:val="000638FC"/>
    <w:rsid w:val="0006398D"/>
    <w:rsid w:val="00063E4E"/>
    <w:rsid w:val="00064326"/>
    <w:rsid w:val="000644AF"/>
    <w:rsid w:val="0006452E"/>
    <w:rsid w:val="00064548"/>
    <w:rsid w:val="000645B3"/>
    <w:rsid w:val="00065553"/>
    <w:rsid w:val="00065FD7"/>
    <w:rsid w:val="00066D05"/>
    <w:rsid w:val="00070AFF"/>
    <w:rsid w:val="00070F59"/>
    <w:rsid w:val="00071804"/>
    <w:rsid w:val="0007182A"/>
    <w:rsid w:val="00071BF7"/>
    <w:rsid w:val="0007363B"/>
    <w:rsid w:val="00073B39"/>
    <w:rsid w:val="00073E02"/>
    <w:rsid w:val="00073F1C"/>
    <w:rsid w:val="00074E98"/>
    <w:rsid w:val="00075090"/>
    <w:rsid w:val="000765E9"/>
    <w:rsid w:val="0007712E"/>
    <w:rsid w:val="00077458"/>
    <w:rsid w:val="0008021A"/>
    <w:rsid w:val="000804F4"/>
    <w:rsid w:val="000819FB"/>
    <w:rsid w:val="00081F8A"/>
    <w:rsid w:val="000827FE"/>
    <w:rsid w:val="00082CD5"/>
    <w:rsid w:val="000839D3"/>
    <w:rsid w:val="00083E76"/>
    <w:rsid w:val="000844DF"/>
    <w:rsid w:val="00084A36"/>
    <w:rsid w:val="000860D3"/>
    <w:rsid w:val="00087308"/>
    <w:rsid w:val="00087480"/>
    <w:rsid w:val="00087870"/>
    <w:rsid w:val="00087A18"/>
    <w:rsid w:val="00090140"/>
    <w:rsid w:val="000907E7"/>
    <w:rsid w:val="0009120A"/>
    <w:rsid w:val="00091682"/>
    <w:rsid w:val="0009169A"/>
    <w:rsid w:val="00091A48"/>
    <w:rsid w:val="00091DE9"/>
    <w:rsid w:val="0009299A"/>
    <w:rsid w:val="00092ADB"/>
    <w:rsid w:val="00092B6C"/>
    <w:rsid w:val="00093010"/>
    <w:rsid w:val="000934C4"/>
    <w:rsid w:val="0009383C"/>
    <w:rsid w:val="00093AA9"/>
    <w:rsid w:val="00094F89"/>
    <w:rsid w:val="000955EB"/>
    <w:rsid w:val="00095AF3"/>
    <w:rsid w:val="00095D98"/>
    <w:rsid w:val="000967AB"/>
    <w:rsid w:val="000A00EB"/>
    <w:rsid w:val="000A06BE"/>
    <w:rsid w:val="000A0822"/>
    <w:rsid w:val="000A18E6"/>
    <w:rsid w:val="000A1A2B"/>
    <w:rsid w:val="000A1DFF"/>
    <w:rsid w:val="000A229A"/>
    <w:rsid w:val="000A2936"/>
    <w:rsid w:val="000A2C96"/>
    <w:rsid w:val="000A3A9A"/>
    <w:rsid w:val="000A4029"/>
    <w:rsid w:val="000A4C4D"/>
    <w:rsid w:val="000A4D80"/>
    <w:rsid w:val="000A53CC"/>
    <w:rsid w:val="000A6FEB"/>
    <w:rsid w:val="000A704B"/>
    <w:rsid w:val="000A775E"/>
    <w:rsid w:val="000A78DF"/>
    <w:rsid w:val="000A7B83"/>
    <w:rsid w:val="000B10BE"/>
    <w:rsid w:val="000B1380"/>
    <w:rsid w:val="000B14AD"/>
    <w:rsid w:val="000B19F0"/>
    <w:rsid w:val="000B21A2"/>
    <w:rsid w:val="000B2398"/>
    <w:rsid w:val="000B261D"/>
    <w:rsid w:val="000B599A"/>
    <w:rsid w:val="000B78FB"/>
    <w:rsid w:val="000C02F9"/>
    <w:rsid w:val="000C039F"/>
    <w:rsid w:val="000C0AEC"/>
    <w:rsid w:val="000C125E"/>
    <w:rsid w:val="000C36D0"/>
    <w:rsid w:val="000C47F0"/>
    <w:rsid w:val="000C48F6"/>
    <w:rsid w:val="000C4E7B"/>
    <w:rsid w:val="000C5F03"/>
    <w:rsid w:val="000C6E48"/>
    <w:rsid w:val="000C6F05"/>
    <w:rsid w:val="000C77D1"/>
    <w:rsid w:val="000D0016"/>
    <w:rsid w:val="000D00D1"/>
    <w:rsid w:val="000D1EE1"/>
    <w:rsid w:val="000D22AD"/>
    <w:rsid w:val="000D22B5"/>
    <w:rsid w:val="000D29E1"/>
    <w:rsid w:val="000D2FE4"/>
    <w:rsid w:val="000D37FF"/>
    <w:rsid w:val="000D4A34"/>
    <w:rsid w:val="000D55D9"/>
    <w:rsid w:val="000D5A68"/>
    <w:rsid w:val="000D6510"/>
    <w:rsid w:val="000D6582"/>
    <w:rsid w:val="000D725A"/>
    <w:rsid w:val="000D7350"/>
    <w:rsid w:val="000D7645"/>
    <w:rsid w:val="000D7EAC"/>
    <w:rsid w:val="000E041F"/>
    <w:rsid w:val="000E050A"/>
    <w:rsid w:val="000E122E"/>
    <w:rsid w:val="000E2B9B"/>
    <w:rsid w:val="000E301B"/>
    <w:rsid w:val="000E4212"/>
    <w:rsid w:val="000E47E7"/>
    <w:rsid w:val="000E4820"/>
    <w:rsid w:val="000E4DAE"/>
    <w:rsid w:val="000E4DCA"/>
    <w:rsid w:val="000E5270"/>
    <w:rsid w:val="000E660A"/>
    <w:rsid w:val="000E6876"/>
    <w:rsid w:val="000E6A55"/>
    <w:rsid w:val="000E6CFA"/>
    <w:rsid w:val="000E74C3"/>
    <w:rsid w:val="000E75E2"/>
    <w:rsid w:val="000E78C7"/>
    <w:rsid w:val="000F1024"/>
    <w:rsid w:val="000F1E08"/>
    <w:rsid w:val="000F1F59"/>
    <w:rsid w:val="000F28E4"/>
    <w:rsid w:val="000F3874"/>
    <w:rsid w:val="000F3D4E"/>
    <w:rsid w:val="000F40E7"/>
    <w:rsid w:val="000F4781"/>
    <w:rsid w:val="000F4A71"/>
    <w:rsid w:val="000F4DAF"/>
    <w:rsid w:val="000F510B"/>
    <w:rsid w:val="000F5301"/>
    <w:rsid w:val="000F5644"/>
    <w:rsid w:val="000F5802"/>
    <w:rsid w:val="000F5DCA"/>
    <w:rsid w:val="000F68C7"/>
    <w:rsid w:val="000F7AB9"/>
    <w:rsid w:val="000F7FDA"/>
    <w:rsid w:val="00100247"/>
    <w:rsid w:val="0010030F"/>
    <w:rsid w:val="00100890"/>
    <w:rsid w:val="00100AD9"/>
    <w:rsid w:val="00101B96"/>
    <w:rsid w:val="00102702"/>
    <w:rsid w:val="00102A5A"/>
    <w:rsid w:val="00103257"/>
    <w:rsid w:val="0010341F"/>
    <w:rsid w:val="00103A7C"/>
    <w:rsid w:val="001041A5"/>
    <w:rsid w:val="00106354"/>
    <w:rsid w:val="00106B4A"/>
    <w:rsid w:val="00107400"/>
    <w:rsid w:val="001074E6"/>
    <w:rsid w:val="001075B3"/>
    <w:rsid w:val="0010761F"/>
    <w:rsid w:val="001109CD"/>
    <w:rsid w:val="00110C5B"/>
    <w:rsid w:val="00110F36"/>
    <w:rsid w:val="0011268E"/>
    <w:rsid w:val="00112F42"/>
    <w:rsid w:val="00114FD7"/>
    <w:rsid w:val="00115C73"/>
    <w:rsid w:val="00115E1B"/>
    <w:rsid w:val="00116F3A"/>
    <w:rsid w:val="0011797C"/>
    <w:rsid w:val="00120435"/>
    <w:rsid w:val="00120731"/>
    <w:rsid w:val="001210DD"/>
    <w:rsid w:val="00121464"/>
    <w:rsid w:val="00121F67"/>
    <w:rsid w:val="00122122"/>
    <w:rsid w:val="00122FCF"/>
    <w:rsid w:val="0012487A"/>
    <w:rsid w:val="00126103"/>
    <w:rsid w:val="0012619B"/>
    <w:rsid w:val="001275C7"/>
    <w:rsid w:val="00127672"/>
    <w:rsid w:val="001277CE"/>
    <w:rsid w:val="0012799F"/>
    <w:rsid w:val="0013015C"/>
    <w:rsid w:val="00132119"/>
    <w:rsid w:val="001323AA"/>
    <w:rsid w:val="001323DF"/>
    <w:rsid w:val="001324C6"/>
    <w:rsid w:val="0013259A"/>
    <w:rsid w:val="001325F8"/>
    <w:rsid w:val="00132EEB"/>
    <w:rsid w:val="001337B4"/>
    <w:rsid w:val="00134114"/>
    <w:rsid w:val="00134756"/>
    <w:rsid w:val="00135E15"/>
    <w:rsid w:val="001365DF"/>
    <w:rsid w:val="00136B37"/>
    <w:rsid w:val="00136EE4"/>
    <w:rsid w:val="00137DBF"/>
    <w:rsid w:val="00137E43"/>
    <w:rsid w:val="001411B9"/>
    <w:rsid w:val="00142358"/>
    <w:rsid w:val="00142991"/>
    <w:rsid w:val="00142B9A"/>
    <w:rsid w:val="0014391B"/>
    <w:rsid w:val="00145EEB"/>
    <w:rsid w:val="00146087"/>
    <w:rsid w:val="00146B93"/>
    <w:rsid w:val="00146FC6"/>
    <w:rsid w:val="00147F4C"/>
    <w:rsid w:val="0015016B"/>
    <w:rsid w:val="00150F40"/>
    <w:rsid w:val="001511A2"/>
    <w:rsid w:val="001512A1"/>
    <w:rsid w:val="001516E8"/>
    <w:rsid w:val="00151942"/>
    <w:rsid w:val="00151DD3"/>
    <w:rsid w:val="001522F5"/>
    <w:rsid w:val="00152390"/>
    <w:rsid w:val="00153396"/>
    <w:rsid w:val="001539AD"/>
    <w:rsid w:val="00153E47"/>
    <w:rsid w:val="00154051"/>
    <w:rsid w:val="0015485D"/>
    <w:rsid w:val="00155115"/>
    <w:rsid w:val="001558DD"/>
    <w:rsid w:val="00155A5C"/>
    <w:rsid w:val="00160BBC"/>
    <w:rsid w:val="00160CB1"/>
    <w:rsid w:val="0016235A"/>
    <w:rsid w:val="00162C98"/>
    <w:rsid w:val="001630F0"/>
    <w:rsid w:val="001630FF"/>
    <w:rsid w:val="0016395F"/>
    <w:rsid w:val="00163A59"/>
    <w:rsid w:val="0016493A"/>
    <w:rsid w:val="00165630"/>
    <w:rsid w:val="001670E4"/>
    <w:rsid w:val="00167219"/>
    <w:rsid w:val="00167955"/>
    <w:rsid w:val="00167AC7"/>
    <w:rsid w:val="00167C33"/>
    <w:rsid w:val="0017079D"/>
    <w:rsid w:val="00170CBA"/>
    <w:rsid w:val="00171716"/>
    <w:rsid w:val="00172EFB"/>
    <w:rsid w:val="001730A2"/>
    <w:rsid w:val="00173C65"/>
    <w:rsid w:val="001745B6"/>
    <w:rsid w:val="00174A93"/>
    <w:rsid w:val="00177BDC"/>
    <w:rsid w:val="00177D52"/>
    <w:rsid w:val="001806DB"/>
    <w:rsid w:val="00181E71"/>
    <w:rsid w:val="00182467"/>
    <w:rsid w:val="00182741"/>
    <w:rsid w:val="0018326C"/>
    <w:rsid w:val="00183D3E"/>
    <w:rsid w:val="00184B1F"/>
    <w:rsid w:val="001864C6"/>
    <w:rsid w:val="00186530"/>
    <w:rsid w:val="001869D0"/>
    <w:rsid w:val="001876E3"/>
    <w:rsid w:val="00191B79"/>
    <w:rsid w:val="0019292D"/>
    <w:rsid w:val="00192C1E"/>
    <w:rsid w:val="00192C5D"/>
    <w:rsid w:val="001931BD"/>
    <w:rsid w:val="0019411C"/>
    <w:rsid w:val="0019433A"/>
    <w:rsid w:val="00194704"/>
    <w:rsid w:val="00194E55"/>
    <w:rsid w:val="00195987"/>
    <w:rsid w:val="00195EF7"/>
    <w:rsid w:val="0019626E"/>
    <w:rsid w:val="00196AFA"/>
    <w:rsid w:val="00196C68"/>
    <w:rsid w:val="00197A18"/>
    <w:rsid w:val="001A1228"/>
    <w:rsid w:val="001A1559"/>
    <w:rsid w:val="001A18A3"/>
    <w:rsid w:val="001A199D"/>
    <w:rsid w:val="001A21E7"/>
    <w:rsid w:val="001A256C"/>
    <w:rsid w:val="001A3125"/>
    <w:rsid w:val="001A3654"/>
    <w:rsid w:val="001A3C85"/>
    <w:rsid w:val="001A3EC1"/>
    <w:rsid w:val="001A4F71"/>
    <w:rsid w:val="001A5AF9"/>
    <w:rsid w:val="001A6B6D"/>
    <w:rsid w:val="001A7591"/>
    <w:rsid w:val="001A786F"/>
    <w:rsid w:val="001B0568"/>
    <w:rsid w:val="001B06F1"/>
    <w:rsid w:val="001B0C0A"/>
    <w:rsid w:val="001B1134"/>
    <w:rsid w:val="001B1CB2"/>
    <w:rsid w:val="001B2519"/>
    <w:rsid w:val="001B2C6A"/>
    <w:rsid w:val="001B2E8B"/>
    <w:rsid w:val="001B3340"/>
    <w:rsid w:val="001B3FE2"/>
    <w:rsid w:val="001B4D0E"/>
    <w:rsid w:val="001B545B"/>
    <w:rsid w:val="001B6D12"/>
    <w:rsid w:val="001B75A9"/>
    <w:rsid w:val="001B7A67"/>
    <w:rsid w:val="001B7EB3"/>
    <w:rsid w:val="001C0D8C"/>
    <w:rsid w:val="001C1368"/>
    <w:rsid w:val="001C1492"/>
    <w:rsid w:val="001C1D57"/>
    <w:rsid w:val="001C2322"/>
    <w:rsid w:val="001C2E53"/>
    <w:rsid w:val="001C3215"/>
    <w:rsid w:val="001C44DF"/>
    <w:rsid w:val="001C4582"/>
    <w:rsid w:val="001C4D54"/>
    <w:rsid w:val="001C5B7F"/>
    <w:rsid w:val="001C602D"/>
    <w:rsid w:val="001C62D4"/>
    <w:rsid w:val="001C6420"/>
    <w:rsid w:val="001C6440"/>
    <w:rsid w:val="001C6586"/>
    <w:rsid w:val="001C7087"/>
    <w:rsid w:val="001C7C7F"/>
    <w:rsid w:val="001C7CC3"/>
    <w:rsid w:val="001D0035"/>
    <w:rsid w:val="001D07E9"/>
    <w:rsid w:val="001D1092"/>
    <w:rsid w:val="001D1578"/>
    <w:rsid w:val="001D1A6C"/>
    <w:rsid w:val="001D2296"/>
    <w:rsid w:val="001D2A50"/>
    <w:rsid w:val="001D35A9"/>
    <w:rsid w:val="001D3923"/>
    <w:rsid w:val="001D4286"/>
    <w:rsid w:val="001D4C70"/>
    <w:rsid w:val="001D6045"/>
    <w:rsid w:val="001D664A"/>
    <w:rsid w:val="001D6894"/>
    <w:rsid w:val="001D6A1D"/>
    <w:rsid w:val="001D73A2"/>
    <w:rsid w:val="001D783D"/>
    <w:rsid w:val="001E067D"/>
    <w:rsid w:val="001E0752"/>
    <w:rsid w:val="001E075A"/>
    <w:rsid w:val="001E1674"/>
    <w:rsid w:val="001E1FC3"/>
    <w:rsid w:val="001E22EC"/>
    <w:rsid w:val="001E2413"/>
    <w:rsid w:val="001E2C29"/>
    <w:rsid w:val="001E3A3F"/>
    <w:rsid w:val="001E4290"/>
    <w:rsid w:val="001E4C6B"/>
    <w:rsid w:val="001E58B7"/>
    <w:rsid w:val="001E6642"/>
    <w:rsid w:val="001E67F4"/>
    <w:rsid w:val="001E693D"/>
    <w:rsid w:val="001E6A69"/>
    <w:rsid w:val="001E70F6"/>
    <w:rsid w:val="001E7BF1"/>
    <w:rsid w:val="001E7C95"/>
    <w:rsid w:val="001F1255"/>
    <w:rsid w:val="001F1A5B"/>
    <w:rsid w:val="001F2032"/>
    <w:rsid w:val="001F23D3"/>
    <w:rsid w:val="001F2D56"/>
    <w:rsid w:val="001F5393"/>
    <w:rsid w:val="001F593B"/>
    <w:rsid w:val="001F61ED"/>
    <w:rsid w:val="001F723A"/>
    <w:rsid w:val="001F766C"/>
    <w:rsid w:val="001F7E3F"/>
    <w:rsid w:val="002007D7"/>
    <w:rsid w:val="00201108"/>
    <w:rsid w:val="0020132F"/>
    <w:rsid w:val="002015CB"/>
    <w:rsid w:val="00202B8D"/>
    <w:rsid w:val="00202F42"/>
    <w:rsid w:val="002038E6"/>
    <w:rsid w:val="00204BA5"/>
    <w:rsid w:val="00204E8B"/>
    <w:rsid w:val="00205374"/>
    <w:rsid w:val="002056A2"/>
    <w:rsid w:val="00207779"/>
    <w:rsid w:val="00207E86"/>
    <w:rsid w:val="00210193"/>
    <w:rsid w:val="00211CDD"/>
    <w:rsid w:val="00212623"/>
    <w:rsid w:val="002136AB"/>
    <w:rsid w:val="00214243"/>
    <w:rsid w:val="0021430A"/>
    <w:rsid w:val="002148F7"/>
    <w:rsid w:val="00214EDF"/>
    <w:rsid w:val="00216457"/>
    <w:rsid w:val="00216727"/>
    <w:rsid w:val="00217467"/>
    <w:rsid w:val="00217AAD"/>
    <w:rsid w:val="002205FF"/>
    <w:rsid w:val="0022094B"/>
    <w:rsid w:val="00221558"/>
    <w:rsid w:val="002224E1"/>
    <w:rsid w:val="0022343E"/>
    <w:rsid w:val="0022368E"/>
    <w:rsid w:val="002243D7"/>
    <w:rsid w:val="00224B83"/>
    <w:rsid w:val="0022535C"/>
    <w:rsid w:val="00225715"/>
    <w:rsid w:val="00226BA6"/>
    <w:rsid w:val="00227874"/>
    <w:rsid w:val="002317DD"/>
    <w:rsid w:val="00231FFA"/>
    <w:rsid w:val="00232113"/>
    <w:rsid w:val="00232A0C"/>
    <w:rsid w:val="002332DA"/>
    <w:rsid w:val="00233684"/>
    <w:rsid w:val="00233A0B"/>
    <w:rsid w:val="00233A7C"/>
    <w:rsid w:val="00233F7B"/>
    <w:rsid w:val="00234211"/>
    <w:rsid w:val="00234847"/>
    <w:rsid w:val="002356A1"/>
    <w:rsid w:val="002356DE"/>
    <w:rsid w:val="00236131"/>
    <w:rsid w:val="00236824"/>
    <w:rsid w:val="002378EF"/>
    <w:rsid w:val="00237F40"/>
    <w:rsid w:val="0024010B"/>
    <w:rsid w:val="002401E8"/>
    <w:rsid w:val="00240245"/>
    <w:rsid w:val="00240E0B"/>
    <w:rsid w:val="0024155D"/>
    <w:rsid w:val="00241C80"/>
    <w:rsid w:val="0024216B"/>
    <w:rsid w:val="0024264C"/>
    <w:rsid w:val="00242C73"/>
    <w:rsid w:val="00243B82"/>
    <w:rsid w:val="00243D44"/>
    <w:rsid w:val="00243E40"/>
    <w:rsid w:val="0024572B"/>
    <w:rsid w:val="0024587C"/>
    <w:rsid w:val="00246C97"/>
    <w:rsid w:val="002470A0"/>
    <w:rsid w:val="00247132"/>
    <w:rsid w:val="00250365"/>
    <w:rsid w:val="00250528"/>
    <w:rsid w:val="00250929"/>
    <w:rsid w:val="0025146A"/>
    <w:rsid w:val="0025277A"/>
    <w:rsid w:val="002527B5"/>
    <w:rsid w:val="00252933"/>
    <w:rsid w:val="00252A29"/>
    <w:rsid w:val="002530EA"/>
    <w:rsid w:val="00253C06"/>
    <w:rsid w:val="002555B7"/>
    <w:rsid w:val="00255799"/>
    <w:rsid w:val="00255A13"/>
    <w:rsid w:val="0025641D"/>
    <w:rsid w:val="00256F9A"/>
    <w:rsid w:val="002602B5"/>
    <w:rsid w:val="002608A2"/>
    <w:rsid w:val="00261C7D"/>
    <w:rsid w:val="00263046"/>
    <w:rsid w:val="002636DC"/>
    <w:rsid w:val="002642C2"/>
    <w:rsid w:val="002652D1"/>
    <w:rsid w:val="0026558A"/>
    <w:rsid w:val="00265980"/>
    <w:rsid w:val="002663E3"/>
    <w:rsid w:val="00266D8F"/>
    <w:rsid w:val="00270232"/>
    <w:rsid w:val="00270864"/>
    <w:rsid w:val="00270C85"/>
    <w:rsid w:val="002711EE"/>
    <w:rsid w:val="00271A70"/>
    <w:rsid w:val="00271B2C"/>
    <w:rsid w:val="002722D6"/>
    <w:rsid w:val="0027235C"/>
    <w:rsid w:val="002725CF"/>
    <w:rsid w:val="00272FD4"/>
    <w:rsid w:val="00273B24"/>
    <w:rsid w:val="00273F90"/>
    <w:rsid w:val="00274FFC"/>
    <w:rsid w:val="002758A7"/>
    <w:rsid w:val="00275C6D"/>
    <w:rsid w:val="00276071"/>
    <w:rsid w:val="00276414"/>
    <w:rsid w:val="00276C5C"/>
    <w:rsid w:val="002771D0"/>
    <w:rsid w:val="0028142A"/>
    <w:rsid w:val="002819FE"/>
    <w:rsid w:val="00282938"/>
    <w:rsid w:val="00283121"/>
    <w:rsid w:val="00283290"/>
    <w:rsid w:val="002847C7"/>
    <w:rsid w:val="002847CE"/>
    <w:rsid w:val="00284D32"/>
    <w:rsid w:val="002873AC"/>
    <w:rsid w:val="002877E0"/>
    <w:rsid w:val="0029005E"/>
    <w:rsid w:val="002904F2"/>
    <w:rsid w:val="00290A1C"/>
    <w:rsid w:val="0029115D"/>
    <w:rsid w:val="002915A4"/>
    <w:rsid w:val="00291B9D"/>
    <w:rsid w:val="002926A2"/>
    <w:rsid w:val="002926E5"/>
    <w:rsid w:val="00292AB0"/>
    <w:rsid w:val="00293291"/>
    <w:rsid w:val="002933FD"/>
    <w:rsid w:val="00293D77"/>
    <w:rsid w:val="00294072"/>
    <w:rsid w:val="002942E3"/>
    <w:rsid w:val="00294E94"/>
    <w:rsid w:val="00295734"/>
    <w:rsid w:val="002959B1"/>
    <w:rsid w:val="002959CD"/>
    <w:rsid w:val="00296957"/>
    <w:rsid w:val="0029697E"/>
    <w:rsid w:val="00296F96"/>
    <w:rsid w:val="00297DDE"/>
    <w:rsid w:val="00297E03"/>
    <w:rsid w:val="002A01D7"/>
    <w:rsid w:val="002A044B"/>
    <w:rsid w:val="002A049D"/>
    <w:rsid w:val="002A1131"/>
    <w:rsid w:val="002A1A13"/>
    <w:rsid w:val="002A1C36"/>
    <w:rsid w:val="002A1DFA"/>
    <w:rsid w:val="002A28CA"/>
    <w:rsid w:val="002A2D79"/>
    <w:rsid w:val="002A2E79"/>
    <w:rsid w:val="002A3833"/>
    <w:rsid w:val="002A38CD"/>
    <w:rsid w:val="002A3FAE"/>
    <w:rsid w:val="002A42D3"/>
    <w:rsid w:val="002A58AA"/>
    <w:rsid w:val="002A5EE4"/>
    <w:rsid w:val="002A6087"/>
    <w:rsid w:val="002A610A"/>
    <w:rsid w:val="002A6639"/>
    <w:rsid w:val="002A6A99"/>
    <w:rsid w:val="002B0EBC"/>
    <w:rsid w:val="002B2A04"/>
    <w:rsid w:val="002B2F2D"/>
    <w:rsid w:val="002B37B5"/>
    <w:rsid w:val="002B4924"/>
    <w:rsid w:val="002B4C84"/>
    <w:rsid w:val="002B522E"/>
    <w:rsid w:val="002B56CC"/>
    <w:rsid w:val="002B5853"/>
    <w:rsid w:val="002B5AE7"/>
    <w:rsid w:val="002B5B31"/>
    <w:rsid w:val="002B738B"/>
    <w:rsid w:val="002B782D"/>
    <w:rsid w:val="002B7C10"/>
    <w:rsid w:val="002C0637"/>
    <w:rsid w:val="002C148D"/>
    <w:rsid w:val="002C2290"/>
    <w:rsid w:val="002C2D09"/>
    <w:rsid w:val="002C34B5"/>
    <w:rsid w:val="002C3DA2"/>
    <w:rsid w:val="002C4E92"/>
    <w:rsid w:val="002C54F2"/>
    <w:rsid w:val="002C557B"/>
    <w:rsid w:val="002D0D19"/>
    <w:rsid w:val="002D107F"/>
    <w:rsid w:val="002D1133"/>
    <w:rsid w:val="002D17DC"/>
    <w:rsid w:val="002D3507"/>
    <w:rsid w:val="002D3F34"/>
    <w:rsid w:val="002D4537"/>
    <w:rsid w:val="002D4A3E"/>
    <w:rsid w:val="002D5B76"/>
    <w:rsid w:val="002D6031"/>
    <w:rsid w:val="002D6584"/>
    <w:rsid w:val="002D6ACE"/>
    <w:rsid w:val="002D7155"/>
    <w:rsid w:val="002D7285"/>
    <w:rsid w:val="002E21E5"/>
    <w:rsid w:val="002E2A3C"/>
    <w:rsid w:val="002E2AFE"/>
    <w:rsid w:val="002E2EB8"/>
    <w:rsid w:val="002E3B61"/>
    <w:rsid w:val="002E3EC5"/>
    <w:rsid w:val="002E40B0"/>
    <w:rsid w:val="002E4EDE"/>
    <w:rsid w:val="002E5467"/>
    <w:rsid w:val="002E5670"/>
    <w:rsid w:val="002E5E10"/>
    <w:rsid w:val="002E6E5E"/>
    <w:rsid w:val="002E726E"/>
    <w:rsid w:val="002E768A"/>
    <w:rsid w:val="002E7DC2"/>
    <w:rsid w:val="002E7DF1"/>
    <w:rsid w:val="002E7F5E"/>
    <w:rsid w:val="002F013F"/>
    <w:rsid w:val="002F0474"/>
    <w:rsid w:val="002F08DA"/>
    <w:rsid w:val="002F1705"/>
    <w:rsid w:val="002F1B5D"/>
    <w:rsid w:val="002F1FBE"/>
    <w:rsid w:val="002F2262"/>
    <w:rsid w:val="002F2308"/>
    <w:rsid w:val="002F2C78"/>
    <w:rsid w:val="002F2FDB"/>
    <w:rsid w:val="002F3010"/>
    <w:rsid w:val="002F311F"/>
    <w:rsid w:val="002F3BB7"/>
    <w:rsid w:val="002F4094"/>
    <w:rsid w:val="002F4182"/>
    <w:rsid w:val="002F4728"/>
    <w:rsid w:val="002F4C47"/>
    <w:rsid w:val="002F547D"/>
    <w:rsid w:val="002F54D8"/>
    <w:rsid w:val="002F5B28"/>
    <w:rsid w:val="002F6EA2"/>
    <w:rsid w:val="002F747C"/>
    <w:rsid w:val="00300703"/>
    <w:rsid w:val="0030089A"/>
    <w:rsid w:val="00301448"/>
    <w:rsid w:val="003018AE"/>
    <w:rsid w:val="003039FD"/>
    <w:rsid w:val="003041C7"/>
    <w:rsid w:val="0030421B"/>
    <w:rsid w:val="003054A4"/>
    <w:rsid w:val="00305D64"/>
    <w:rsid w:val="00305E93"/>
    <w:rsid w:val="0030613A"/>
    <w:rsid w:val="00306313"/>
    <w:rsid w:val="003077AC"/>
    <w:rsid w:val="0031004A"/>
    <w:rsid w:val="00310DEC"/>
    <w:rsid w:val="00310F6E"/>
    <w:rsid w:val="00311433"/>
    <w:rsid w:val="00311601"/>
    <w:rsid w:val="00311C2C"/>
    <w:rsid w:val="003122FC"/>
    <w:rsid w:val="003126E1"/>
    <w:rsid w:val="00312958"/>
    <w:rsid w:val="00312B10"/>
    <w:rsid w:val="0031370E"/>
    <w:rsid w:val="00313EAE"/>
    <w:rsid w:val="00313F32"/>
    <w:rsid w:val="00314F80"/>
    <w:rsid w:val="003155F8"/>
    <w:rsid w:val="0031655F"/>
    <w:rsid w:val="00316A71"/>
    <w:rsid w:val="00317271"/>
    <w:rsid w:val="003173F6"/>
    <w:rsid w:val="003175D2"/>
    <w:rsid w:val="00317F45"/>
    <w:rsid w:val="00320E4E"/>
    <w:rsid w:val="003216CE"/>
    <w:rsid w:val="00321D59"/>
    <w:rsid w:val="00322103"/>
    <w:rsid w:val="00322B84"/>
    <w:rsid w:val="00324679"/>
    <w:rsid w:val="00325E4C"/>
    <w:rsid w:val="00327034"/>
    <w:rsid w:val="00327422"/>
    <w:rsid w:val="00327602"/>
    <w:rsid w:val="00327E5F"/>
    <w:rsid w:val="003301B4"/>
    <w:rsid w:val="00330E2B"/>
    <w:rsid w:val="00331051"/>
    <w:rsid w:val="003310CC"/>
    <w:rsid w:val="003312F5"/>
    <w:rsid w:val="00331499"/>
    <w:rsid w:val="00331862"/>
    <w:rsid w:val="003337C9"/>
    <w:rsid w:val="00333BC4"/>
    <w:rsid w:val="00333F2B"/>
    <w:rsid w:val="00334457"/>
    <w:rsid w:val="00335369"/>
    <w:rsid w:val="003356E2"/>
    <w:rsid w:val="003359F1"/>
    <w:rsid w:val="00336684"/>
    <w:rsid w:val="00336B30"/>
    <w:rsid w:val="003420BA"/>
    <w:rsid w:val="00343025"/>
    <w:rsid w:val="00343061"/>
    <w:rsid w:val="00344170"/>
    <w:rsid w:val="003449C9"/>
    <w:rsid w:val="00344DCA"/>
    <w:rsid w:val="00344E3C"/>
    <w:rsid w:val="00346AAE"/>
    <w:rsid w:val="00347CC6"/>
    <w:rsid w:val="00350EBA"/>
    <w:rsid w:val="00350F7E"/>
    <w:rsid w:val="003511ED"/>
    <w:rsid w:val="003518FC"/>
    <w:rsid w:val="003526B6"/>
    <w:rsid w:val="00353A6B"/>
    <w:rsid w:val="00354553"/>
    <w:rsid w:val="0035596B"/>
    <w:rsid w:val="003569E3"/>
    <w:rsid w:val="00357676"/>
    <w:rsid w:val="0035778E"/>
    <w:rsid w:val="00357C6D"/>
    <w:rsid w:val="00357D8C"/>
    <w:rsid w:val="00360742"/>
    <w:rsid w:val="00360B0D"/>
    <w:rsid w:val="0036144F"/>
    <w:rsid w:val="00361A8B"/>
    <w:rsid w:val="00361E64"/>
    <w:rsid w:val="0036215D"/>
    <w:rsid w:val="00362C0D"/>
    <w:rsid w:val="00363347"/>
    <w:rsid w:val="00363712"/>
    <w:rsid w:val="0036386E"/>
    <w:rsid w:val="00363E47"/>
    <w:rsid w:val="00364DB2"/>
    <w:rsid w:val="003655AA"/>
    <w:rsid w:val="00365613"/>
    <w:rsid w:val="0036623F"/>
    <w:rsid w:val="00366B59"/>
    <w:rsid w:val="003670E0"/>
    <w:rsid w:val="00367198"/>
    <w:rsid w:val="00367208"/>
    <w:rsid w:val="0036778F"/>
    <w:rsid w:val="00367A25"/>
    <w:rsid w:val="0037062B"/>
    <w:rsid w:val="00370883"/>
    <w:rsid w:val="00370AC1"/>
    <w:rsid w:val="00371158"/>
    <w:rsid w:val="00372B2C"/>
    <w:rsid w:val="0037383A"/>
    <w:rsid w:val="00373F83"/>
    <w:rsid w:val="003740F3"/>
    <w:rsid w:val="00375CD6"/>
    <w:rsid w:val="00376612"/>
    <w:rsid w:val="00376B6C"/>
    <w:rsid w:val="003778B3"/>
    <w:rsid w:val="00380A90"/>
    <w:rsid w:val="003819E0"/>
    <w:rsid w:val="003828AD"/>
    <w:rsid w:val="00382EA1"/>
    <w:rsid w:val="00382EE6"/>
    <w:rsid w:val="00383561"/>
    <w:rsid w:val="00384142"/>
    <w:rsid w:val="00384818"/>
    <w:rsid w:val="00385C26"/>
    <w:rsid w:val="00385C43"/>
    <w:rsid w:val="003868A4"/>
    <w:rsid w:val="00386AC6"/>
    <w:rsid w:val="00386CC6"/>
    <w:rsid w:val="003872BD"/>
    <w:rsid w:val="00387369"/>
    <w:rsid w:val="00390062"/>
    <w:rsid w:val="00390071"/>
    <w:rsid w:val="003904B2"/>
    <w:rsid w:val="00390D10"/>
    <w:rsid w:val="00390EFE"/>
    <w:rsid w:val="0039178B"/>
    <w:rsid w:val="00392054"/>
    <w:rsid w:val="00392394"/>
    <w:rsid w:val="00392EF2"/>
    <w:rsid w:val="00393659"/>
    <w:rsid w:val="00393692"/>
    <w:rsid w:val="00393863"/>
    <w:rsid w:val="0039405D"/>
    <w:rsid w:val="00394087"/>
    <w:rsid w:val="003941DA"/>
    <w:rsid w:val="00395436"/>
    <w:rsid w:val="003968D2"/>
    <w:rsid w:val="0039691C"/>
    <w:rsid w:val="0039748B"/>
    <w:rsid w:val="003979EB"/>
    <w:rsid w:val="003A0352"/>
    <w:rsid w:val="003A0650"/>
    <w:rsid w:val="003A191C"/>
    <w:rsid w:val="003A1D30"/>
    <w:rsid w:val="003A1FF9"/>
    <w:rsid w:val="003A2EAC"/>
    <w:rsid w:val="003A329D"/>
    <w:rsid w:val="003A4203"/>
    <w:rsid w:val="003A4AEF"/>
    <w:rsid w:val="003A4D5F"/>
    <w:rsid w:val="003A4E29"/>
    <w:rsid w:val="003A547E"/>
    <w:rsid w:val="003A6F1C"/>
    <w:rsid w:val="003A7188"/>
    <w:rsid w:val="003B0312"/>
    <w:rsid w:val="003B0807"/>
    <w:rsid w:val="003B09BE"/>
    <w:rsid w:val="003B0B77"/>
    <w:rsid w:val="003B166F"/>
    <w:rsid w:val="003B180E"/>
    <w:rsid w:val="003B251E"/>
    <w:rsid w:val="003B276E"/>
    <w:rsid w:val="003B2DE3"/>
    <w:rsid w:val="003B2E42"/>
    <w:rsid w:val="003B2F76"/>
    <w:rsid w:val="003B372A"/>
    <w:rsid w:val="003B3740"/>
    <w:rsid w:val="003B402C"/>
    <w:rsid w:val="003B42FA"/>
    <w:rsid w:val="003B53E7"/>
    <w:rsid w:val="003B58B1"/>
    <w:rsid w:val="003B59A5"/>
    <w:rsid w:val="003B68F8"/>
    <w:rsid w:val="003B75F1"/>
    <w:rsid w:val="003B7B8E"/>
    <w:rsid w:val="003C000C"/>
    <w:rsid w:val="003C08A6"/>
    <w:rsid w:val="003C0C4A"/>
    <w:rsid w:val="003C143F"/>
    <w:rsid w:val="003C1C10"/>
    <w:rsid w:val="003C1D85"/>
    <w:rsid w:val="003C1ED2"/>
    <w:rsid w:val="003C44C1"/>
    <w:rsid w:val="003C4C74"/>
    <w:rsid w:val="003C520D"/>
    <w:rsid w:val="003C5635"/>
    <w:rsid w:val="003C5D16"/>
    <w:rsid w:val="003C62BD"/>
    <w:rsid w:val="003C646C"/>
    <w:rsid w:val="003C7485"/>
    <w:rsid w:val="003C7673"/>
    <w:rsid w:val="003D035C"/>
    <w:rsid w:val="003D0647"/>
    <w:rsid w:val="003D1501"/>
    <w:rsid w:val="003D15EC"/>
    <w:rsid w:val="003D180B"/>
    <w:rsid w:val="003D2BC6"/>
    <w:rsid w:val="003D2BF5"/>
    <w:rsid w:val="003D34C1"/>
    <w:rsid w:val="003D3B40"/>
    <w:rsid w:val="003D44D7"/>
    <w:rsid w:val="003D4616"/>
    <w:rsid w:val="003D4A3E"/>
    <w:rsid w:val="003D4AC8"/>
    <w:rsid w:val="003D4D7D"/>
    <w:rsid w:val="003D4E8A"/>
    <w:rsid w:val="003D52C9"/>
    <w:rsid w:val="003D56BA"/>
    <w:rsid w:val="003D5FA5"/>
    <w:rsid w:val="003D6217"/>
    <w:rsid w:val="003D675F"/>
    <w:rsid w:val="003D6EE6"/>
    <w:rsid w:val="003D75C3"/>
    <w:rsid w:val="003E14C7"/>
    <w:rsid w:val="003E161E"/>
    <w:rsid w:val="003E192E"/>
    <w:rsid w:val="003E3DA1"/>
    <w:rsid w:val="003E4341"/>
    <w:rsid w:val="003E54D4"/>
    <w:rsid w:val="003E5753"/>
    <w:rsid w:val="003E620F"/>
    <w:rsid w:val="003F2BF5"/>
    <w:rsid w:val="003F6570"/>
    <w:rsid w:val="003F7AA8"/>
    <w:rsid w:val="00401300"/>
    <w:rsid w:val="004018E8"/>
    <w:rsid w:val="004030B1"/>
    <w:rsid w:val="00403460"/>
    <w:rsid w:val="0040353F"/>
    <w:rsid w:val="00403A25"/>
    <w:rsid w:val="00404C37"/>
    <w:rsid w:val="0040542C"/>
    <w:rsid w:val="0040586E"/>
    <w:rsid w:val="004068B9"/>
    <w:rsid w:val="004068C6"/>
    <w:rsid w:val="00410BA0"/>
    <w:rsid w:val="00411689"/>
    <w:rsid w:val="00413566"/>
    <w:rsid w:val="004139CE"/>
    <w:rsid w:val="00415DB4"/>
    <w:rsid w:val="004160B8"/>
    <w:rsid w:val="00416653"/>
    <w:rsid w:val="004168FC"/>
    <w:rsid w:val="00416ADB"/>
    <w:rsid w:val="00417215"/>
    <w:rsid w:val="00417431"/>
    <w:rsid w:val="00417893"/>
    <w:rsid w:val="004204A4"/>
    <w:rsid w:val="00420A15"/>
    <w:rsid w:val="00420A6C"/>
    <w:rsid w:val="00420B49"/>
    <w:rsid w:val="004217FC"/>
    <w:rsid w:val="00421C51"/>
    <w:rsid w:val="0042285B"/>
    <w:rsid w:val="0042454D"/>
    <w:rsid w:val="00425749"/>
    <w:rsid w:val="004263BD"/>
    <w:rsid w:val="00426BA3"/>
    <w:rsid w:val="00427088"/>
    <w:rsid w:val="00430357"/>
    <w:rsid w:val="004303C9"/>
    <w:rsid w:val="004315F1"/>
    <w:rsid w:val="00431C17"/>
    <w:rsid w:val="00433AFA"/>
    <w:rsid w:val="00433E03"/>
    <w:rsid w:val="00433F93"/>
    <w:rsid w:val="00435D77"/>
    <w:rsid w:val="004363D4"/>
    <w:rsid w:val="0043790D"/>
    <w:rsid w:val="00437D2C"/>
    <w:rsid w:val="004403ED"/>
    <w:rsid w:val="00440700"/>
    <w:rsid w:val="00440BD2"/>
    <w:rsid w:val="00441058"/>
    <w:rsid w:val="004416BE"/>
    <w:rsid w:val="00441D7E"/>
    <w:rsid w:val="00442716"/>
    <w:rsid w:val="004439AC"/>
    <w:rsid w:val="00443A2F"/>
    <w:rsid w:val="00444400"/>
    <w:rsid w:val="00444714"/>
    <w:rsid w:val="00444A60"/>
    <w:rsid w:val="00444AD2"/>
    <w:rsid w:val="00445FDF"/>
    <w:rsid w:val="004466F5"/>
    <w:rsid w:val="004469C1"/>
    <w:rsid w:val="00446ACF"/>
    <w:rsid w:val="00446C96"/>
    <w:rsid w:val="0045010D"/>
    <w:rsid w:val="00450554"/>
    <w:rsid w:val="00450AD9"/>
    <w:rsid w:val="004512F5"/>
    <w:rsid w:val="004527D0"/>
    <w:rsid w:val="004542E9"/>
    <w:rsid w:val="00454641"/>
    <w:rsid w:val="004549CA"/>
    <w:rsid w:val="00454CC3"/>
    <w:rsid w:val="004556FB"/>
    <w:rsid w:val="00455880"/>
    <w:rsid w:val="00455904"/>
    <w:rsid w:val="004562AF"/>
    <w:rsid w:val="00456BE2"/>
    <w:rsid w:val="0045740B"/>
    <w:rsid w:val="0045772A"/>
    <w:rsid w:val="00457BEB"/>
    <w:rsid w:val="00460B28"/>
    <w:rsid w:val="00460B50"/>
    <w:rsid w:val="004610C4"/>
    <w:rsid w:val="00461237"/>
    <w:rsid w:val="00461655"/>
    <w:rsid w:val="0046243F"/>
    <w:rsid w:val="00462BFF"/>
    <w:rsid w:val="00463B2C"/>
    <w:rsid w:val="00464603"/>
    <w:rsid w:val="00466320"/>
    <w:rsid w:val="00467288"/>
    <w:rsid w:val="00471018"/>
    <w:rsid w:val="0047168F"/>
    <w:rsid w:val="004717E1"/>
    <w:rsid w:val="00471A89"/>
    <w:rsid w:val="00471C0A"/>
    <w:rsid w:val="004722AF"/>
    <w:rsid w:val="00473EF4"/>
    <w:rsid w:val="00475C08"/>
    <w:rsid w:val="0047601F"/>
    <w:rsid w:val="00476775"/>
    <w:rsid w:val="0047760F"/>
    <w:rsid w:val="00477884"/>
    <w:rsid w:val="00480771"/>
    <w:rsid w:val="00480930"/>
    <w:rsid w:val="00480AF2"/>
    <w:rsid w:val="004811ED"/>
    <w:rsid w:val="00481DF8"/>
    <w:rsid w:val="0048205A"/>
    <w:rsid w:val="00482086"/>
    <w:rsid w:val="004821CF"/>
    <w:rsid w:val="00482508"/>
    <w:rsid w:val="0048408B"/>
    <w:rsid w:val="004840F3"/>
    <w:rsid w:val="0048412A"/>
    <w:rsid w:val="0048440F"/>
    <w:rsid w:val="00484FC9"/>
    <w:rsid w:val="00485DE7"/>
    <w:rsid w:val="0048747B"/>
    <w:rsid w:val="00487845"/>
    <w:rsid w:val="0049076F"/>
    <w:rsid w:val="00491ACC"/>
    <w:rsid w:val="00492B33"/>
    <w:rsid w:val="00493390"/>
    <w:rsid w:val="00493677"/>
    <w:rsid w:val="00494863"/>
    <w:rsid w:val="0049496A"/>
    <w:rsid w:val="0049564E"/>
    <w:rsid w:val="004960E6"/>
    <w:rsid w:val="00497347"/>
    <w:rsid w:val="0049735A"/>
    <w:rsid w:val="004975CF"/>
    <w:rsid w:val="004A0170"/>
    <w:rsid w:val="004A19E4"/>
    <w:rsid w:val="004A1A45"/>
    <w:rsid w:val="004A21AA"/>
    <w:rsid w:val="004A2261"/>
    <w:rsid w:val="004A323C"/>
    <w:rsid w:val="004A48BF"/>
    <w:rsid w:val="004A48CE"/>
    <w:rsid w:val="004A4A65"/>
    <w:rsid w:val="004A4DEA"/>
    <w:rsid w:val="004A4E38"/>
    <w:rsid w:val="004A5297"/>
    <w:rsid w:val="004A60A0"/>
    <w:rsid w:val="004A6310"/>
    <w:rsid w:val="004B09B9"/>
    <w:rsid w:val="004B0C25"/>
    <w:rsid w:val="004B0E16"/>
    <w:rsid w:val="004B1706"/>
    <w:rsid w:val="004B299F"/>
    <w:rsid w:val="004B2AC1"/>
    <w:rsid w:val="004B34B1"/>
    <w:rsid w:val="004B356C"/>
    <w:rsid w:val="004B3761"/>
    <w:rsid w:val="004B41F0"/>
    <w:rsid w:val="004B4B6F"/>
    <w:rsid w:val="004B4C26"/>
    <w:rsid w:val="004B5598"/>
    <w:rsid w:val="004B691C"/>
    <w:rsid w:val="004B7000"/>
    <w:rsid w:val="004B7D4E"/>
    <w:rsid w:val="004C206F"/>
    <w:rsid w:val="004C2633"/>
    <w:rsid w:val="004C2E48"/>
    <w:rsid w:val="004C31F9"/>
    <w:rsid w:val="004C3AAE"/>
    <w:rsid w:val="004C40E2"/>
    <w:rsid w:val="004C4E17"/>
    <w:rsid w:val="004C6501"/>
    <w:rsid w:val="004D00E9"/>
    <w:rsid w:val="004D0349"/>
    <w:rsid w:val="004D0599"/>
    <w:rsid w:val="004D07D8"/>
    <w:rsid w:val="004D0940"/>
    <w:rsid w:val="004D2146"/>
    <w:rsid w:val="004D3D12"/>
    <w:rsid w:val="004D4412"/>
    <w:rsid w:val="004D50ED"/>
    <w:rsid w:val="004D5430"/>
    <w:rsid w:val="004D6299"/>
    <w:rsid w:val="004D66BE"/>
    <w:rsid w:val="004E0278"/>
    <w:rsid w:val="004E06B9"/>
    <w:rsid w:val="004E08B2"/>
    <w:rsid w:val="004E0CDA"/>
    <w:rsid w:val="004E0FA4"/>
    <w:rsid w:val="004E1644"/>
    <w:rsid w:val="004E21A0"/>
    <w:rsid w:val="004E3188"/>
    <w:rsid w:val="004E334D"/>
    <w:rsid w:val="004E399A"/>
    <w:rsid w:val="004E3CEB"/>
    <w:rsid w:val="004E4B87"/>
    <w:rsid w:val="004E5930"/>
    <w:rsid w:val="004E5D65"/>
    <w:rsid w:val="004E719A"/>
    <w:rsid w:val="004F0D19"/>
    <w:rsid w:val="004F1359"/>
    <w:rsid w:val="004F154C"/>
    <w:rsid w:val="004F17FD"/>
    <w:rsid w:val="004F2A74"/>
    <w:rsid w:val="004F3433"/>
    <w:rsid w:val="004F34AE"/>
    <w:rsid w:val="004F37BC"/>
    <w:rsid w:val="004F3F48"/>
    <w:rsid w:val="004F4A72"/>
    <w:rsid w:val="004F4F02"/>
    <w:rsid w:val="004F5E02"/>
    <w:rsid w:val="004F5E09"/>
    <w:rsid w:val="004F61E2"/>
    <w:rsid w:val="004F6488"/>
    <w:rsid w:val="004F68E9"/>
    <w:rsid w:val="004F76AB"/>
    <w:rsid w:val="00501583"/>
    <w:rsid w:val="00501D2C"/>
    <w:rsid w:val="00502070"/>
    <w:rsid w:val="005020AD"/>
    <w:rsid w:val="00503524"/>
    <w:rsid w:val="00504470"/>
    <w:rsid w:val="00504EFF"/>
    <w:rsid w:val="00505E42"/>
    <w:rsid w:val="005060B1"/>
    <w:rsid w:val="00506101"/>
    <w:rsid w:val="00506116"/>
    <w:rsid w:val="005063F1"/>
    <w:rsid w:val="00506D28"/>
    <w:rsid w:val="00506E51"/>
    <w:rsid w:val="00510668"/>
    <w:rsid w:val="00510CE1"/>
    <w:rsid w:val="005122A8"/>
    <w:rsid w:val="005124B0"/>
    <w:rsid w:val="00513399"/>
    <w:rsid w:val="00513FEA"/>
    <w:rsid w:val="00514BEA"/>
    <w:rsid w:val="00515E8E"/>
    <w:rsid w:val="0051623A"/>
    <w:rsid w:val="0051760C"/>
    <w:rsid w:val="00517E09"/>
    <w:rsid w:val="00520B8F"/>
    <w:rsid w:val="005210A5"/>
    <w:rsid w:val="00521A85"/>
    <w:rsid w:val="00522B67"/>
    <w:rsid w:val="0052368D"/>
    <w:rsid w:val="00523731"/>
    <w:rsid w:val="005249E3"/>
    <w:rsid w:val="0052511C"/>
    <w:rsid w:val="00526E6F"/>
    <w:rsid w:val="0052700E"/>
    <w:rsid w:val="00527056"/>
    <w:rsid w:val="005271EC"/>
    <w:rsid w:val="005315D4"/>
    <w:rsid w:val="005318C0"/>
    <w:rsid w:val="00532D08"/>
    <w:rsid w:val="00532D7F"/>
    <w:rsid w:val="005330B8"/>
    <w:rsid w:val="0053337C"/>
    <w:rsid w:val="00533E69"/>
    <w:rsid w:val="005342CB"/>
    <w:rsid w:val="0053447B"/>
    <w:rsid w:val="00534FC6"/>
    <w:rsid w:val="00535374"/>
    <w:rsid w:val="0053539D"/>
    <w:rsid w:val="0053552C"/>
    <w:rsid w:val="00535F40"/>
    <w:rsid w:val="005363EC"/>
    <w:rsid w:val="0053684A"/>
    <w:rsid w:val="0054033D"/>
    <w:rsid w:val="00540493"/>
    <w:rsid w:val="00540CF2"/>
    <w:rsid w:val="005419B7"/>
    <w:rsid w:val="0054222A"/>
    <w:rsid w:val="005433F6"/>
    <w:rsid w:val="00543E2E"/>
    <w:rsid w:val="00543F6F"/>
    <w:rsid w:val="005449F6"/>
    <w:rsid w:val="00545034"/>
    <w:rsid w:val="00545600"/>
    <w:rsid w:val="00545976"/>
    <w:rsid w:val="00546153"/>
    <w:rsid w:val="005461AA"/>
    <w:rsid w:val="00546B6F"/>
    <w:rsid w:val="00547140"/>
    <w:rsid w:val="0054741D"/>
    <w:rsid w:val="00547E1A"/>
    <w:rsid w:val="00547F38"/>
    <w:rsid w:val="0055100C"/>
    <w:rsid w:val="00552434"/>
    <w:rsid w:val="005527D8"/>
    <w:rsid w:val="005545E6"/>
    <w:rsid w:val="00554B4D"/>
    <w:rsid w:val="00555E0E"/>
    <w:rsid w:val="00555FB7"/>
    <w:rsid w:val="005560A5"/>
    <w:rsid w:val="00556EB0"/>
    <w:rsid w:val="005577BB"/>
    <w:rsid w:val="005578F5"/>
    <w:rsid w:val="0056051E"/>
    <w:rsid w:val="005619B2"/>
    <w:rsid w:val="00562117"/>
    <w:rsid w:val="00562229"/>
    <w:rsid w:val="005637FF"/>
    <w:rsid w:val="0056418D"/>
    <w:rsid w:val="005647E1"/>
    <w:rsid w:val="0056578F"/>
    <w:rsid w:val="005659D4"/>
    <w:rsid w:val="00565D25"/>
    <w:rsid w:val="005661F2"/>
    <w:rsid w:val="00567442"/>
    <w:rsid w:val="00567916"/>
    <w:rsid w:val="00571000"/>
    <w:rsid w:val="00571BDE"/>
    <w:rsid w:val="00572FC7"/>
    <w:rsid w:val="00573AAD"/>
    <w:rsid w:val="00573B9C"/>
    <w:rsid w:val="0057436C"/>
    <w:rsid w:val="0057461D"/>
    <w:rsid w:val="0057467E"/>
    <w:rsid w:val="00574BEB"/>
    <w:rsid w:val="00575002"/>
    <w:rsid w:val="00576558"/>
    <w:rsid w:val="00576B40"/>
    <w:rsid w:val="00576FD8"/>
    <w:rsid w:val="00577268"/>
    <w:rsid w:val="00577513"/>
    <w:rsid w:val="00577AEC"/>
    <w:rsid w:val="0058045F"/>
    <w:rsid w:val="00582439"/>
    <w:rsid w:val="00583E99"/>
    <w:rsid w:val="00584394"/>
    <w:rsid w:val="005844DF"/>
    <w:rsid w:val="00584743"/>
    <w:rsid w:val="0058483C"/>
    <w:rsid w:val="00584E8C"/>
    <w:rsid w:val="00585A6B"/>
    <w:rsid w:val="00586FCD"/>
    <w:rsid w:val="005876FE"/>
    <w:rsid w:val="00587D40"/>
    <w:rsid w:val="00587FED"/>
    <w:rsid w:val="005908C1"/>
    <w:rsid w:val="00591D20"/>
    <w:rsid w:val="0059240E"/>
    <w:rsid w:val="005928E7"/>
    <w:rsid w:val="0059387A"/>
    <w:rsid w:val="00593C8B"/>
    <w:rsid w:val="00593F35"/>
    <w:rsid w:val="005942A4"/>
    <w:rsid w:val="00594995"/>
    <w:rsid w:val="00594A77"/>
    <w:rsid w:val="00594F6C"/>
    <w:rsid w:val="0059706E"/>
    <w:rsid w:val="00597125"/>
    <w:rsid w:val="005977E9"/>
    <w:rsid w:val="00597C25"/>
    <w:rsid w:val="00597CFC"/>
    <w:rsid w:val="005A071A"/>
    <w:rsid w:val="005A072B"/>
    <w:rsid w:val="005A0838"/>
    <w:rsid w:val="005A17B0"/>
    <w:rsid w:val="005A1A24"/>
    <w:rsid w:val="005A1D71"/>
    <w:rsid w:val="005A1F3C"/>
    <w:rsid w:val="005A230F"/>
    <w:rsid w:val="005A2D44"/>
    <w:rsid w:val="005A4C31"/>
    <w:rsid w:val="005A5655"/>
    <w:rsid w:val="005A5C44"/>
    <w:rsid w:val="005A5D19"/>
    <w:rsid w:val="005A7483"/>
    <w:rsid w:val="005A76A6"/>
    <w:rsid w:val="005B0F82"/>
    <w:rsid w:val="005B1E35"/>
    <w:rsid w:val="005B1EAE"/>
    <w:rsid w:val="005B2046"/>
    <w:rsid w:val="005B22F5"/>
    <w:rsid w:val="005B3487"/>
    <w:rsid w:val="005B3688"/>
    <w:rsid w:val="005B3F9C"/>
    <w:rsid w:val="005B4567"/>
    <w:rsid w:val="005B63D8"/>
    <w:rsid w:val="005B6842"/>
    <w:rsid w:val="005B6AD5"/>
    <w:rsid w:val="005B7D4D"/>
    <w:rsid w:val="005B7DD1"/>
    <w:rsid w:val="005C127E"/>
    <w:rsid w:val="005C1AFC"/>
    <w:rsid w:val="005C29C0"/>
    <w:rsid w:val="005C34D9"/>
    <w:rsid w:val="005C351A"/>
    <w:rsid w:val="005C3757"/>
    <w:rsid w:val="005C509C"/>
    <w:rsid w:val="005C6F33"/>
    <w:rsid w:val="005C6FF6"/>
    <w:rsid w:val="005C7471"/>
    <w:rsid w:val="005C7A30"/>
    <w:rsid w:val="005C7D21"/>
    <w:rsid w:val="005D0727"/>
    <w:rsid w:val="005D17A1"/>
    <w:rsid w:val="005D18C9"/>
    <w:rsid w:val="005D1A13"/>
    <w:rsid w:val="005D1E7D"/>
    <w:rsid w:val="005D2A35"/>
    <w:rsid w:val="005D2F1B"/>
    <w:rsid w:val="005D362B"/>
    <w:rsid w:val="005D37B5"/>
    <w:rsid w:val="005D394F"/>
    <w:rsid w:val="005D3FC7"/>
    <w:rsid w:val="005D4570"/>
    <w:rsid w:val="005D4F65"/>
    <w:rsid w:val="005D5118"/>
    <w:rsid w:val="005D5620"/>
    <w:rsid w:val="005D5A06"/>
    <w:rsid w:val="005D71D2"/>
    <w:rsid w:val="005E0DB4"/>
    <w:rsid w:val="005E1331"/>
    <w:rsid w:val="005E13CE"/>
    <w:rsid w:val="005E209C"/>
    <w:rsid w:val="005E2CCA"/>
    <w:rsid w:val="005E308D"/>
    <w:rsid w:val="005E32B7"/>
    <w:rsid w:val="005E40FD"/>
    <w:rsid w:val="005E41E8"/>
    <w:rsid w:val="005E5186"/>
    <w:rsid w:val="005E52D2"/>
    <w:rsid w:val="005E76AB"/>
    <w:rsid w:val="005E7FEC"/>
    <w:rsid w:val="005F0774"/>
    <w:rsid w:val="005F0855"/>
    <w:rsid w:val="005F17BE"/>
    <w:rsid w:val="005F2610"/>
    <w:rsid w:val="005F2939"/>
    <w:rsid w:val="005F2B4A"/>
    <w:rsid w:val="005F3BAD"/>
    <w:rsid w:val="005F3FAF"/>
    <w:rsid w:val="005F4057"/>
    <w:rsid w:val="005F48D4"/>
    <w:rsid w:val="005F5365"/>
    <w:rsid w:val="005F64DD"/>
    <w:rsid w:val="005F64E2"/>
    <w:rsid w:val="005F6BD6"/>
    <w:rsid w:val="005F6E1E"/>
    <w:rsid w:val="006001F4"/>
    <w:rsid w:val="006001FD"/>
    <w:rsid w:val="00600B51"/>
    <w:rsid w:val="00600FE9"/>
    <w:rsid w:val="00601160"/>
    <w:rsid w:val="00601E23"/>
    <w:rsid w:val="00602381"/>
    <w:rsid w:val="00602EC1"/>
    <w:rsid w:val="006036BF"/>
    <w:rsid w:val="00603DBA"/>
    <w:rsid w:val="00604167"/>
    <w:rsid w:val="0060421C"/>
    <w:rsid w:val="00604D62"/>
    <w:rsid w:val="00604DCF"/>
    <w:rsid w:val="006056EF"/>
    <w:rsid w:val="0060606E"/>
    <w:rsid w:val="00607562"/>
    <w:rsid w:val="00607660"/>
    <w:rsid w:val="00610B24"/>
    <w:rsid w:val="00611787"/>
    <w:rsid w:val="0061282F"/>
    <w:rsid w:val="00612C71"/>
    <w:rsid w:val="00612F21"/>
    <w:rsid w:val="0061350C"/>
    <w:rsid w:val="00613B85"/>
    <w:rsid w:val="00614243"/>
    <w:rsid w:val="00614BA5"/>
    <w:rsid w:val="00615835"/>
    <w:rsid w:val="0061626B"/>
    <w:rsid w:val="00616D40"/>
    <w:rsid w:val="0061731B"/>
    <w:rsid w:val="0061794F"/>
    <w:rsid w:val="00620345"/>
    <w:rsid w:val="00620E99"/>
    <w:rsid w:val="006222B7"/>
    <w:rsid w:val="006224EC"/>
    <w:rsid w:val="00622ACC"/>
    <w:rsid w:val="00622BDF"/>
    <w:rsid w:val="00623307"/>
    <w:rsid w:val="006246EE"/>
    <w:rsid w:val="00624E52"/>
    <w:rsid w:val="00624FE8"/>
    <w:rsid w:val="00625223"/>
    <w:rsid w:val="00626037"/>
    <w:rsid w:val="00630116"/>
    <w:rsid w:val="006314B1"/>
    <w:rsid w:val="00632CBF"/>
    <w:rsid w:val="00633509"/>
    <w:rsid w:val="006337FE"/>
    <w:rsid w:val="0063410F"/>
    <w:rsid w:val="006345AC"/>
    <w:rsid w:val="0063473C"/>
    <w:rsid w:val="006349AC"/>
    <w:rsid w:val="00634BF4"/>
    <w:rsid w:val="006351BF"/>
    <w:rsid w:val="006352B8"/>
    <w:rsid w:val="00636016"/>
    <w:rsid w:val="006361DA"/>
    <w:rsid w:val="006364C5"/>
    <w:rsid w:val="0063664E"/>
    <w:rsid w:val="00636BEC"/>
    <w:rsid w:val="00640AEE"/>
    <w:rsid w:val="00641794"/>
    <w:rsid w:val="00641920"/>
    <w:rsid w:val="00642F3A"/>
    <w:rsid w:val="00643600"/>
    <w:rsid w:val="00643F3B"/>
    <w:rsid w:val="00644067"/>
    <w:rsid w:val="006450B2"/>
    <w:rsid w:val="006452BC"/>
    <w:rsid w:val="0064553D"/>
    <w:rsid w:val="00646371"/>
    <w:rsid w:val="0064647D"/>
    <w:rsid w:val="00646814"/>
    <w:rsid w:val="00647592"/>
    <w:rsid w:val="006479AB"/>
    <w:rsid w:val="00650BA4"/>
    <w:rsid w:val="006512C0"/>
    <w:rsid w:val="00651A6E"/>
    <w:rsid w:val="00651B4B"/>
    <w:rsid w:val="00652D44"/>
    <w:rsid w:val="00653171"/>
    <w:rsid w:val="00653850"/>
    <w:rsid w:val="006538C4"/>
    <w:rsid w:val="00653E95"/>
    <w:rsid w:val="006548D8"/>
    <w:rsid w:val="006559CB"/>
    <w:rsid w:val="006566FB"/>
    <w:rsid w:val="00656CA7"/>
    <w:rsid w:val="00657052"/>
    <w:rsid w:val="006578EA"/>
    <w:rsid w:val="00657D69"/>
    <w:rsid w:val="006602A7"/>
    <w:rsid w:val="00660557"/>
    <w:rsid w:val="0066183C"/>
    <w:rsid w:val="00662930"/>
    <w:rsid w:val="006641C5"/>
    <w:rsid w:val="006644D7"/>
    <w:rsid w:val="00664C1C"/>
    <w:rsid w:val="006659B3"/>
    <w:rsid w:val="00665D78"/>
    <w:rsid w:val="00665E94"/>
    <w:rsid w:val="00666A17"/>
    <w:rsid w:val="00667250"/>
    <w:rsid w:val="00667D62"/>
    <w:rsid w:val="00670660"/>
    <w:rsid w:val="00671093"/>
    <w:rsid w:val="006730FC"/>
    <w:rsid w:val="00674E23"/>
    <w:rsid w:val="0067510C"/>
    <w:rsid w:val="00675EE3"/>
    <w:rsid w:val="00677DA7"/>
    <w:rsid w:val="00680080"/>
    <w:rsid w:val="00681149"/>
    <w:rsid w:val="00681A29"/>
    <w:rsid w:val="006823E8"/>
    <w:rsid w:val="00682F32"/>
    <w:rsid w:val="00684FBF"/>
    <w:rsid w:val="00685B7D"/>
    <w:rsid w:val="00685F0D"/>
    <w:rsid w:val="00686107"/>
    <w:rsid w:val="00686C73"/>
    <w:rsid w:val="00686E25"/>
    <w:rsid w:val="00687095"/>
    <w:rsid w:val="006905C9"/>
    <w:rsid w:val="0069099E"/>
    <w:rsid w:val="00691336"/>
    <w:rsid w:val="00691E4D"/>
    <w:rsid w:val="00694711"/>
    <w:rsid w:val="00695108"/>
    <w:rsid w:val="0069614C"/>
    <w:rsid w:val="006965A6"/>
    <w:rsid w:val="00697325"/>
    <w:rsid w:val="006A0220"/>
    <w:rsid w:val="006A192A"/>
    <w:rsid w:val="006A1B57"/>
    <w:rsid w:val="006A227A"/>
    <w:rsid w:val="006A52A6"/>
    <w:rsid w:val="006A7030"/>
    <w:rsid w:val="006A710B"/>
    <w:rsid w:val="006A7826"/>
    <w:rsid w:val="006A7DAA"/>
    <w:rsid w:val="006B0667"/>
    <w:rsid w:val="006B10EB"/>
    <w:rsid w:val="006B192E"/>
    <w:rsid w:val="006B2C60"/>
    <w:rsid w:val="006B364C"/>
    <w:rsid w:val="006B3C14"/>
    <w:rsid w:val="006B4148"/>
    <w:rsid w:val="006B5272"/>
    <w:rsid w:val="006B5C2C"/>
    <w:rsid w:val="006B641B"/>
    <w:rsid w:val="006B72D0"/>
    <w:rsid w:val="006B742E"/>
    <w:rsid w:val="006C011A"/>
    <w:rsid w:val="006C17CC"/>
    <w:rsid w:val="006C2EF9"/>
    <w:rsid w:val="006C3463"/>
    <w:rsid w:val="006C3941"/>
    <w:rsid w:val="006C4449"/>
    <w:rsid w:val="006C4981"/>
    <w:rsid w:val="006C4990"/>
    <w:rsid w:val="006C4B9A"/>
    <w:rsid w:val="006C546D"/>
    <w:rsid w:val="006C5AD7"/>
    <w:rsid w:val="006C5D90"/>
    <w:rsid w:val="006C76A1"/>
    <w:rsid w:val="006C7FF3"/>
    <w:rsid w:val="006D039E"/>
    <w:rsid w:val="006D0530"/>
    <w:rsid w:val="006D0E66"/>
    <w:rsid w:val="006D13E5"/>
    <w:rsid w:val="006D1C09"/>
    <w:rsid w:val="006D277C"/>
    <w:rsid w:val="006D29A8"/>
    <w:rsid w:val="006D3195"/>
    <w:rsid w:val="006D33B8"/>
    <w:rsid w:val="006D356F"/>
    <w:rsid w:val="006D4444"/>
    <w:rsid w:val="006D4556"/>
    <w:rsid w:val="006D49BF"/>
    <w:rsid w:val="006D5B18"/>
    <w:rsid w:val="006D6D0E"/>
    <w:rsid w:val="006D7605"/>
    <w:rsid w:val="006D7635"/>
    <w:rsid w:val="006E0D2F"/>
    <w:rsid w:val="006E1B77"/>
    <w:rsid w:val="006E1B84"/>
    <w:rsid w:val="006E1EF2"/>
    <w:rsid w:val="006E1FA6"/>
    <w:rsid w:val="006E21BE"/>
    <w:rsid w:val="006E332B"/>
    <w:rsid w:val="006E3BEA"/>
    <w:rsid w:val="006E492E"/>
    <w:rsid w:val="006E68F1"/>
    <w:rsid w:val="006E6D84"/>
    <w:rsid w:val="006F08E8"/>
    <w:rsid w:val="006F119C"/>
    <w:rsid w:val="006F1A47"/>
    <w:rsid w:val="006F2091"/>
    <w:rsid w:val="006F26BB"/>
    <w:rsid w:val="006F2A75"/>
    <w:rsid w:val="006F2D6A"/>
    <w:rsid w:val="006F2E41"/>
    <w:rsid w:val="006F4FC9"/>
    <w:rsid w:val="006F550B"/>
    <w:rsid w:val="006F5968"/>
    <w:rsid w:val="006F6595"/>
    <w:rsid w:val="00700313"/>
    <w:rsid w:val="00700A19"/>
    <w:rsid w:val="00701AD4"/>
    <w:rsid w:val="007027F5"/>
    <w:rsid w:val="00702A45"/>
    <w:rsid w:val="00703501"/>
    <w:rsid w:val="007035C4"/>
    <w:rsid w:val="00703D57"/>
    <w:rsid w:val="00704585"/>
    <w:rsid w:val="00705AC2"/>
    <w:rsid w:val="00707529"/>
    <w:rsid w:val="00707C8E"/>
    <w:rsid w:val="007124A2"/>
    <w:rsid w:val="007129BE"/>
    <w:rsid w:val="00712CB9"/>
    <w:rsid w:val="00713261"/>
    <w:rsid w:val="00714B01"/>
    <w:rsid w:val="00714DB6"/>
    <w:rsid w:val="00714EEF"/>
    <w:rsid w:val="00715B12"/>
    <w:rsid w:val="00716B94"/>
    <w:rsid w:val="00717E2E"/>
    <w:rsid w:val="007215FF"/>
    <w:rsid w:val="00722C53"/>
    <w:rsid w:val="00724D6C"/>
    <w:rsid w:val="007260A8"/>
    <w:rsid w:val="00726302"/>
    <w:rsid w:val="007267BF"/>
    <w:rsid w:val="00727E4F"/>
    <w:rsid w:val="007307DF"/>
    <w:rsid w:val="00730A54"/>
    <w:rsid w:val="00732102"/>
    <w:rsid w:val="007325D3"/>
    <w:rsid w:val="00732A9E"/>
    <w:rsid w:val="00732E55"/>
    <w:rsid w:val="00733C6C"/>
    <w:rsid w:val="00734400"/>
    <w:rsid w:val="00735B70"/>
    <w:rsid w:val="00735C85"/>
    <w:rsid w:val="00735DB8"/>
    <w:rsid w:val="00737295"/>
    <w:rsid w:val="00737F7E"/>
    <w:rsid w:val="007400D7"/>
    <w:rsid w:val="007417D5"/>
    <w:rsid w:val="00741828"/>
    <w:rsid w:val="00741DD0"/>
    <w:rsid w:val="00742B5C"/>
    <w:rsid w:val="00743406"/>
    <w:rsid w:val="00743D0E"/>
    <w:rsid w:val="00746760"/>
    <w:rsid w:val="00746884"/>
    <w:rsid w:val="00746C8D"/>
    <w:rsid w:val="00747401"/>
    <w:rsid w:val="00750033"/>
    <w:rsid w:val="0075013F"/>
    <w:rsid w:val="007504E4"/>
    <w:rsid w:val="007517CB"/>
    <w:rsid w:val="00751C3F"/>
    <w:rsid w:val="007523E2"/>
    <w:rsid w:val="007530F5"/>
    <w:rsid w:val="0075363F"/>
    <w:rsid w:val="00757B41"/>
    <w:rsid w:val="00760646"/>
    <w:rsid w:val="00761A03"/>
    <w:rsid w:val="00761B33"/>
    <w:rsid w:val="007635FD"/>
    <w:rsid w:val="00763E22"/>
    <w:rsid w:val="00763F8F"/>
    <w:rsid w:val="00764825"/>
    <w:rsid w:val="00765233"/>
    <w:rsid w:val="00767005"/>
    <w:rsid w:val="007674F2"/>
    <w:rsid w:val="00770AA5"/>
    <w:rsid w:val="00770CDC"/>
    <w:rsid w:val="00771622"/>
    <w:rsid w:val="00773CD2"/>
    <w:rsid w:val="00774DBF"/>
    <w:rsid w:val="00774DEF"/>
    <w:rsid w:val="00776D76"/>
    <w:rsid w:val="00777583"/>
    <w:rsid w:val="007775C7"/>
    <w:rsid w:val="00777F83"/>
    <w:rsid w:val="0078011C"/>
    <w:rsid w:val="00780B83"/>
    <w:rsid w:val="00780BAF"/>
    <w:rsid w:val="00782C5A"/>
    <w:rsid w:val="00783C4A"/>
    <w:rsid w:val="00783FA0"/>
    <w:rsid w:val="007845E6"/>
    <w:rsid w:val="00784D53"/>
    <w:rsid w:val="00784F32"/>
    <w:rsid w:val="007864E5"/>
    <w:rsid w:val="007867AD"/>
    <w:rsid w:val="00786993"/>
    <w:rsid w:val="00786A9B"/>
    <w:rsid w:val="00786C06"/>
    <w:rsid w:val="00786DE3"/>
    <w:rsid w:val="00786F57"/>
    <w:rsid w:val="007871E6"/>
    <w:rsid w:val="007873DD"/>
    <w:rsid w:val="007878A6"/>
    <w:rsid w:val="00787991"/>
    <w:rsid w:val="00787A89"/>
    <w:rsid w:val="007912D9"/>
    <w:rsid w:val="00791972"/>
    <w:rsid w:val="00791F23"/>
    <w:rsid w:val="007922C3"/>
    <w:rsid w:val="00792959"/>
    <w:rsid w:val="00793948"/>
    <w:rsid w:val="00793DA0"/>
    <w:rsid w:val="0079408A"/>
    <w:rsid w:val="007941DB"/>
    <w:rsid w:val="00794720"/>
    <w:rsid w:val="00794764"/>
    <w:rsid w:val="00794BF3"/>
    <w:rsid w:val="00795560"/>
    <w:rsid w:val="007966AC"/>
    <w:rsid w:val="007967DD"/>
    <w:rsid w:val="007A038A"/>
    <w:rsid w:val="007A067B"/>
    <w:rsid w:val="007A084C"/>
    <w:rsid w:val="007A217F"/>
    <w:rsid w:val="007A2E85"/>
    <w:rsid w:val="007A404E"/>
    <w:rsid w:val="007A49D9"/>
    <w:rsid w:val="007A51F4"/>
    <w:rsid w:val="007A539A"/>
    <w:rsid w:val="007A564A"/>
    <w:rsid w:val="007A6363"/>
    <w:rsid w:val="007A637D"/>
    <w:rsid w:val="007A63D3"/>
    <w:rsid w:val="007A69FA"/>
    <w:rsid w:val="007B0AED"/>
    <w:rsid w:val="007B0E4C"/>
    <w:rsid w:val="007B1074"/>
    <w:rsid w:val="007B282E"/>
    <w:rsid w:val="007B362D"/>
    <w:rsid w:val="007B4ADE"/>
    <w:rsid w:val="007B5C22"/>
    <w:rsid w:val="007B5C83"/>
    <w:rsid w:val="007B6373"/>
    <w:rsid w:val="007B695D"/>
    <w:rsid w:val="007B7A56"/>
    <w:rsid w:val="007B7D49"/>
    <w:rsid w:val="007C0226"/>
    <w:rsid w:val="007C0643"/>
    <w:rsid w:val="007C0CBC"/>
    <w:rsid w:val="007C2085"/>
    <w:rsid w:val="007C2468"/>
    <w:rsid w:val="007C2FE7"/>
    <w:rsid w:val="007C3348"/>
    <w:rsid w:val="007C428F"/>
    <w:rsid w:val="007C437A"/>
    <w:rsid w:val="007C4919"/>
    <w:rsid w:val="007C4A60"/>
    <w:rsid w:val="007C4AC3"/>
    <w:rsid w:val="007C4CFB"/>
    <w:rsid w:val="007C5A19"/>
    <w:rsid w:val="007C665B"/>
    <w:rsid w:val="007C6C03"/>
    <w:rsid w:val="007C6C6F"/>
    <w:rsid w:val="007C723C"/>
    <w:rsid w:val="007C7354"/>
    <w:rsid w:val="007D0CF4"/>
    <w:rsid w:val="007D12D6"/>
    <w:rsid w:val="007D1318"/>
    <w:rsid w:val="007D20C3"/>
    <w:rsid w:val="007D2120"/>
    <w:rsid w:val="007D237E"/>
    <w:rsid w:val="007D380A"/>
    <w:rsid w:val="007D4B98"/>
    <w:rsid w:val="007D4DC9"/>
    <w:rsid w:val="007D4E05"/>
    <w:rsid w:val="007D51C3"/>
    <w:rsid w:val="007D5DFF"/>
    <w:rsid w:val="007D5E84"/>
    <w:rsid w:val="007D6116"/>
    <w:rsid w:val="007D6183"/>
    <w:rsid w:val="007D6424"/>
    <w:rsid w:val="007D6724"/>
    <w:rsid w:val="007D72AB"/>
    <w:rsid w:val="007D789E"/>
    <w:rsid w:val="007E012D"/>
    <w:rsid w:val="007E0395"/>
    <w:rsid w:val="007E0979"/>
    <w:rsid w:val="007E2AF9"/>
    <w:rsid w:val="007E2E81"/>
    <w:rsid w:val="007E3299"/>
    <w:rsid w:val="007E4CA4"/>
    <w:rsid w:val="007E55B4"/>
    <w:rsid w:val="007E58D8"/>
    <w:rsid w:val="007E5C05"/>
    <w:rsid w:val="007E6147"/>
    <w:rsid w:val="007E68DC"/>
    <w:rsid w:val="007E6E60"/>
    <w:rsid w:val="007F0683"/>
    <w:rsid w:val="007F0C72"/>
    <w:rsid w:val="007F10F8"/>
    <w:rsid w:val="007F29C6"/>
    <w:rsid w:val="007F2C05"/>
    <w:rsid w:val="007F2DF4"/>
    <w:rsid w:val="007F3298"/>
    <w:rsid w:val="007F35FF"/>
    <w:rsid w:val="007F4147"/>
    <w:rsid w:val="007F4158"/>
    <w:rsid w:val="007F47D2"/>
    <w:rsid w:val="007F4F94"/>
    <w:rsid w:val="007F53B0"/>
    <w:rsid w:val="007F5E4C"/>
    <w:rsid w:val="007F6438"/>
    <w:rsid w:val="007F6E4E"/>
    <w:rsid w:val="00800041"/>
    <w:rsid w:val="00800BF5"/>
    <w:rsid w:val="00802E91"/>
    <w:rsid w:val="008038CA"/>
    <w:rsid w:val="0080432B"/>
    <w:rsid w:val="00804634"/>
    <w:rsid w:val="008047AA"/>
    <w:rsid w:val="008050C3"/>
    <w:rsid w:val="00805F36"/>
    <w:rsid w:val="00806365"/>
    <w:rsid w:val="0080646B"/>
    <w:rsid w:val="008069B7"/>
    <w:rsid w:val="00806BCC"/>
    <w:rsid w:val="008077AE"/>
    <w:rsid w:val="0081145A"/>
    <w:rsid w:val="00811902"/>
    <w:rsid w:val="0081436C"/>
    <w:rsid w:val="00814CAF"/>
    <w:rsid w:val="00815C23"/>
    <w:rsid w:val="00815CE7"/>
    <w:rsid w:val="00815E2A"/>
    <w:rsid w:val="00816448"/>
    <w:rsid w:val="008173F6"/>
    <w:rsid w:val="0081753A"/>
    <w:rsid w:val="00817A33"/>
    <w:rsid w:val="00820C21"/>
    <w:rsid w:val="008210E9"/>
    <w:rsid w:val="008217B4"/>
    <w:rsid w:val="00821C64"/>
    <w:rsid w:val="008224D2"/>
    <w:rsid w:val="0082260F"/>
    <w:rsid w:val="00823332"/>
    <w:rsid w:val="00823B24"/>
    <w:rsid w:val="00823DED"/>
    <w:rsid w:val="00824C86"/>
    <w:rsid w:val="00826A12"/>
    <w:rsid w:val="00826A38"/>
    <w:rsid w:val="00826A6F"/>
    <w:rsid w:val="00826A93"/>
    <w:rsid w:val="00826D69"/>
    <w:rsid w:val="0082771C"/>
    <w:rsid w:val="00830496"/>
    <w:rsid w:val="00831203"/>
    <w:rsid w:val="008314D8"/>
    <w:rsid w:val="00831CA7"/>
    <w:rsid w:val="00832365"/>
    <w:rsid w:val="00832769"/>
    <w:rsid w:val="008327EC"/>
    <w:rsid w:val="00832DBC"/>
    <w:rsid w:val="00834963"/>
    <w:rsid w:val="00835111"/>
    <w:rsid w:val="0083519B"/>
    <w:rsid w:val="00835F30"/>
    <w:rsid w:val="00836AB7"/>
    <w:rsid w:val="0083724F"/>
    <w:rsid w:val="0084064E"/>
    <w:rsid w:val="00840AB9"/>
    <w:rsid w:val="008411DB"/>
    <w:rsid w:val="00841264"/>
    <w:rsid w:val="00841672"/>
    <w:rsid w:val="00841D24"/>
    <w:rsid w:val="008423C6"/>
    <w:rsid w:val="00842949"/>
    <w:rsid w:val="008431BC"/>
    <w:rsid w:val="00843BE9"/>
    <w:rsid w:val="0084628E"/>
    <w:rsid w:val="00846334"/>
    <w:rsid w:val="008463B4"/>
    <w:rsid w:val="00846737"/>
    <w:rsid w:val="008468D9"/>
    <w:rsid w:val="00846E5E"/>
    <w:rsid w:val="00847162"/>
    <w:rsid w:val="008477F1"/>
    <w:rsid w:val="00850105"/>
    <w:rsid w:val="0085052D"/>
    <w:rsid w:val="008506FE"/>
    <w:rsid w:val="00850FFE"/>
    <w:rsid w:val="008514BD"/>
    <w:rsid w:val="008551FD"/>
    <w:rsid w:val="0085565C"/>
    <w:rsid w:val="00855E98"/>
    <w:rsid w:val="00857128"/>
    <w:rsid w:val="00857975"/>
    <w:rsid w:val="00857E5C"/>
    <w:rsid w:val="0086072F"/>
    <w:rsid w:val="00860882"/>
    <w:rsid w:val="008611A3"/>
    <w:rsid w:val="0086166B"/>
    <w:rsid w:val="00861D2B"/>
    <w:rsid w:val="00861DC3"/>
    <w:rsid w:val="0086512D"/>
    <w:rsid w:val="00865C34"/>
    <w:rsid w:val="00866358"/>
    <w:rsid w:val="00871ACD"/>
    <w:rsid w:val="00871B96"/>
    <w:rsid w:val="00872448"/>
    <w:rsid w:val="00872E2C"/>
    <w:rsid w:val="00873887"/>
    <w:rsid w:val="00873A00"/>
    <w:rsid w:val="008746FC"/>
    <w:rsid w:val="0087515D"/>
    <w:rsid w:val="00875A92"/>
    <w:rsid w:val="00875DE3"/>
    <w:rsid w:val="0087763A"/>
    <w:rsid w:val="0088015C"/>
    <w:rsid w:val="00880553"/>
    <w:rsid w:val="00880FF5"/>
    <w:rsid w:val="008811F3"/>
    <w:rsid w:val="00882606"/>
    <w:rsid w:val="00883C97"/>
    <w:rsid w:val="008841A9"/>
    <w:rsid w:val="00884269"/>
    <w:rsid w:val="00884614"/>
    <w:rsid w:val="00885500"/>
    <w:rsid w:val="00886847"/>
    <w:rsid w:val="00886C89"/>
    <w:rsid w:val="008908F3"/>
    <w:rsid w:val="008910A6"/>
    <w:rsid w:val="00891AE7"/>
    <w:rsid w:val="00892632"/>
    <w:rsid w:val="0089368F"/>
    <w:rsid w:val="0089421B"/>
    <w:rsid w:val="00894D00"/>
    <w:rsid w:val="008962EF"/>
    <w:rsid w:val="00896693"/>
    <w:rsid w:val="00896876"/>
    <w:rsid w:val="008A0133"/>
    <w:rsid w:val="008A0904"/>
    <w:rsid w:val="008A0968"/>
    <w:rsid w:val="008A12CA"/>
    <w:rsid w:val="008A1DEA"/>
    <w:rsid w:val="008A2097"/>
    <w:rsid w:val="008A22AF"/>
    <w:rsid w:val="008A25EE"/>
    <w:rsid w:val="008A2714"/>
    <w:rsid w:val="008A4CEE"/>
    <w:rsid w:val="008A55E9"/>
    <w:rsid w:val="008A56C3"/>
    <w:rsid w:val="008A60E3"/>
    <w:rsid w:val="008A73A8"/>
    <w:rsid w:val="008B081C"/>
    <w:rsid w:val="008B1AB5"/>
    <w:rsid w:val="008B22F4"/>
    <w:rsid w:val="008B28E7"/>
    <w:rsid w:val="008B2AD1"/>
    <w:rsid w:val="008B2DCC"/>
    <w:rsid w:val="008B3378"/>
    <w:rsid w:val="008B3CC4"/>
    <w:rsid w:val="008B4C7D"/>
    <w:rsid w:val="008B5B4B"/>
    <w:rsid w:val="008B6F70"/>
    <w:rsid w:val="008B7788"/>
    <w:rsid w:val="008C12BC"/>
    <w:rsid w:val="008C1312"/>
    <w:rsid w:val="008C3AFC"/>
    <w:rsid w:val="008C3B1B"/>
    <w:rsid w:val="008C47A3"/>
    <w:rsid w:val="008C52E8"/>
    <w:rsid w:val="008C5384"/>
    <w:rsid w:val="008C55FB"/>
    <w:rsid w:val="008C5A18"/>
    <w:rsid w:val="008C60B2"/>
    <w:rsid w:val="008C743D"/>
    <w:rsid w:val="008D0926"/>
    <w:rsid w:val="008D1357"/>
    <w:rsid w:val="008D1481"/>
    <w:rsid w:val="008D1B56"/>
    <w:rsid w:val="008D1FFA"/>
    <w:rsid w:val="008D3669"/>
    <w:rsid w:val="008D4540"/>
    <w:rsid w:val="008D4852"/>
    <w:rsid w:val="008D4B59"/>
    <w:rsid w:val="008D681B"/>
    <w:rsid w:val="008D68A7"/>
    <w:rsid w:val="008D73DE"/>
    <w:rsid w:val="008D752E"/>
    <w:rsid w:val="008E0C43"/>
    <w:rsid w:val="008E11C6"/>
    <w:rsid w:val="008E297D"/>
    <w:rsid w:val="008E2EF3"/>
    <w:rsid w:val="008E2FBF"/>
    <w:rsid w:val="008E3140"/>
    <w:rsid w:val="008E31F8"/>
    <w:rsid w:val="008E370E"/>
    <w:rsid w:val="008E3A39"/>
    <w:rsid w:val="008E4240"/>
    <w:rsid w:val="008E573A"/>
    <w:rsid w:val="008F0567"/>
    <w:rsid w:val="008F0BDE"/>
    <w:rsid w:val="008F297A"/>
    <w:rsid w:val="008F311E"/>
    <w:rsid w:val="008F3F13"/>
    <w:rsid w:val="008F5D5A"/>
    <w:rsid w:val="008F67F8"/>
    <w:rsid w:val="00900BAC"/>
    <w:rsid w:val="00901CBE"/>
    <w:rsid w:val="00901FBA"/>
    <w:rsid w:val="00902986"/>
    <w:rsid w:val="00905352"/>
    <w:rsid w:val="00905883"/>
    <w:rsid w:val="00906732"/>
    <w:rsid w:val="00906D9E"/>
    <w:rsid w:val="00906F39"/>
    <w:rsid w:val="0090790A"/>
    <w:rsid w:val="00910056"/>
    <w:rsid w:val="0091072A"/>
    <w:rsid w:val="00911043"/>
    <w:rsid w:val="009114EA"/>
    <w:rsid w:val="00912161"/>
    <w:rsid w:val="00912C04"/>
    <w:rsid w:val="009133C8"/>
    <w:rsid w:val="00914DD9"/>
    <w:rsid w:val="00915799"/>
    <w:rsid w:val="009175FE"/>
    <w:rsid w:val="00917681"/>
    <w:rsid w:val="0092047D"/>
    <w:rsid w:val="009209B2"/>
    <w:rsid w:val="00921095"/>
    <w:rsid w:val="00921433"/>
    <w:rsid w:val="00921704"/>
    <w:rsid w:val="00921DF8"/>
    <w:rsid w:val="00922359"/>
    <w:rsid w:val="00922429"/>
    <w:rsid w:val="00922539"/>
    <w:rsid w:val="009230E2"/>
    <w:rsid w:val="009245DB"/>
    <w:rsid w:val="00924DE8"/>
    <w:rsid w:val="00925C0F"/>
    <w:rsid w:val="009263DE"/>
    <w:rsid w:val="009267CB"/>
    <w:rsid w:val="009271A8"/>
    <w:rsid w:val="0092775E"/>
    <w:rsid w:val="00927C7A"/>
    <w:rsid w:val="00930300"/>
    <w:rsid w:val="009305FD"/>
    <w:rsid w:val="0093094F"/>
    <w:rsid w:val="00930C93"/>
    <w:rsid w:val="00931B15"/>
    <w:rsid w:val="009324F4"/>
    <w:rsid w:val="00933510"/>
    <w:rsid w:val="009338B8"/>
    <w:rsid w:val="0093450F"/>
    <w:rsid w:val="00934736"/>
    <w:rsid w:val="00934F3C"/>
    <w:rsid w:val="009355CA"/>
    <w:rsid w:val="00935A28"/>
    <w:rsid w:val="00935EE0"/>
    <w:rsid w:val="009369F0"/>
    <w:rsid w:val="009374D2"/>
    <w:rsid w:val="00937A29"/>
    <w:rsid w:val="00937A51"/>
    <w:rsid w:val="00940864"/>
    <w:rsid w:val="00940B21"/>
    <w:rsid w:val="009411FA"/>
    <w:rsid w:val="00941A56"/>
    <w:rsid w:val="00941EC3"/>
    <w:rsid w:val="00942D86"/>
    <w:rsid w:val="0094316F"/>
    <w:rsid w:val="0094342D"/>
    <w:rsid w:val="009435EF"/>
    <w:rsid w:val="00943993"/>
    <w:rsid w:val="00943B61"/>
    <w:rsid w:val="00943D93"/>
    <w:rsid w:val="00943F8D"/>
    <w:rsid w:val="00944DD2"/>
    <w:rsid w:val="009455C8"/>
    <w:rsid w:val="009461F3"/>
    <w:rsid w:val="00946698"/>
    <w:rsid w:val="009468AB"/>
    <w:rsid w:val="00946B96"/>
    <w:rsid w:val="009474DF"/>
    <w:rsid w:val="00953976"/>
    <w:rsid w:val="0095403B"/>
    <w:rsid w:val="00954401"/>
    <w:rsid w:val="00954ACC"/>
    <w:rsid w:val="00954F73"/>
    <w:rsid w:val="00954F8A"/>
    <w:rsid w:val="009555A2"/>
    <w:rsid w:val="00956249"/>
    <w:rsid w:val="00956527"/>
    <w:rsid w:val="00957117"/>
    <w:rsid w:val="0095751E"/>
    <w:rsid w:val="00957B20"/>
    <w:rsid w:val="00961CF6"/>
    <w:rsid w:val="00962342"/>
    <w:rsid w:val="00962408"/>
    <w:rsid w:val="00962A3B"/>
    <w:rsid w:val="00962D73"/>
    <w:rsid w:val="00962FE5"/>
    <w:rsid w:val="00964A47"/>
    <w:rsid w:val="00964A6C"/>
    <w:rsid w:val="00964B57"/>
    <w:rsid w:val="00964FA2"/>
    <w:rsid w:val="0096571B"/>
    <w:rsid w:val="009661E1"/>
    <w:rsid w:val="009665DA"/>
    <w:rsid w:val="009672E5"/>
    <w:rsid w:val="00967C31"/>
    <w:rsid w:val="0097001E"/>
    <w:rsid w:val="0097110B"/>
    <w:rsid w:val="009714A1"/>
    <w:rsid w:val="00972550"/>
    <w:rsid w:val="00973053"/>
    <w:rsid w:val="00974B79"/>
    <w:rsid w:val="009752F2"/>
    <w:rsid w:val="0097550D"/>
    <w:rsid w:val="009760ED"/>
    <w:rsid w:val="0097676A"/>
    <w:rsid w:val="00976E93"/>
    <w:rsid w:val="00977224"/>
    <w:rsid w:val="00977A25"/>
    <w:rsid w:val="00977C94"/>
    <w:rsid w:val="00981CBD"/>
    <w:rsid w:val="00983655"/>
    <w:rsid w:val="00983720"/>
    <w:rsid w:val="0098446F"/>
    <w:rsid w:val="0098513A"/>
    <w:rsid w:val="009854FE"/>
    <w:rsid w:val="0098555A"/>
    <w:rsid w:val="00987493"/>
    <w:rsid w:val="0099052E"/>
    <w:rsid w:val="00992273"/>
    <w:rsid w:val="009923DA"/>
    <w:rsid w:val="00992B11"/>
    <w:rsid w:val="00992BC6"/>
    <w:rsid w:val="009939F1"/>
    <w:rsid w:val="00993CA5"/>
    <w:rsid w:val="00994C75"/>
    <w:rsid w:val="00995863"/>
    <w:rsid w:val="00995A7B"/>
    <w:rsid w:val="00996256"/>
    <w:rsid w:val="00996BDB"/>
    <w:rsid w:val="00997BA4"/>
    <w:rsid w:val="009A0181"/>
    <w:rsid w:val="009A0DED"/>
    <w:rsid w:val="009A0E1B"/>
    <w:rsid w:val="009A1448"/>
    <w:rsid w:val="009A2953"/>
    <w:rsid w:val="009A2EA4"/>
    <w:rsid w:val="009A38C8"/>
    <w:rsid w:val="009A442E"/>
    <w:rsid w:val="009A561F"/>
    <w:rsid w:val="009A657B"/>
    <w:rsid w:val="009A6663"/>
    <w:rsid w:val="009A6D3A"/>
    <w:rsid w:val="009A73FD"/>
    <w:rsid w:val="009A7751"/>
    <w:rsid w:val="009A7D60"/>
    <w:rsid w:val="009B0A9D"/>
    <w:rsid w:val="009B0E45"/>
    <w:rsid w:val="009B0FB2"/>
    <w:rsid w:val="009B1067"/>
    <w:rsid w:val="009B2107"/>
    <w:rsid w:val="009B29FB"/>
    <w:rsid w:val="009B2BFF"/>
    <w:rsid w:val="009B30C2"/>
    <w:rsid w:val="009B32A0"/>
    <w:rsid w:val="009B37B3"/>
    <w:rsid w:val="009B3A47"/>
    <w:rsid w:val="009B4861"/>
    <w:rsid w:val="009B50EC"/>
    <w:rsid w:val="009B5391"/>
    <w:rsid w:val="009B5F22"/>
    <w:rsid w:val="009B5F8A"/>
    <w:rsid w:val="009B5FB9"/>
    <w:rsid w:val="009B6032"/>
    <w:rsid w:val="009B6477"/>
    <w:rsid w:val="009B71FE"/>
    <w:rsid w:val="009B7902"/>
    <w:rsid w:val="009B794C"/>
    <w:rsid w:val="009C0D6B"/>
    <w:rsid w:val="009C1251"/>
    <w:rsid w:val="009C19E1"/>
    <w:rsid w:val="009C1AB0"/>
    <w:rsid w:val="009C2480"/>
    <w:rsid w:val="009C4E08"/>
    <w:rsid w:val="009C5874"/>
    <w:rsid w:val="009C6D71"/>
    <w:rsid w:val="009C73EF"/>
    <w:rsid w:val="009C7603"/>
    <w:rsid w:val="009D0B67"/>
    <w:rsid w:val="009D1C0F"/>
    <w:rsid w:val="009D1C56"/>
    <w:rsid w:val="009D2739"/>
    <w:rsid w:val="009D27A2"/>
    <w:rsid w:val="009D29B0"/>
    <w:rsid w:val="009D2BF8"/>
    <w:rsid w:val="009D3AAA"/>
    <w:rsid w:val="009D43E6"/>
    <w:rsid w:val="009D5A09"/>
    <w:rsid w:val="009D6478"/>
    <w:rsid w:val="009D6883"/>
    <w:rsid w:val="009D78DC"/>
    <w:rsid w:val="009D7C27"/>
    <w:rsid w:val="009E14A2"/>
    <w:rsid w:val="009E20A7"/>
    <w:rsid w:val="009E2567"/>
    <w:rsid w:val="009E28DA"/>
    <w:rsid w:val="009E2CD9"/>
    <w:rsid w:val="009E3685"/>
    <w:rsid w:val="009E4209"/>
    <w:rsid w:val="009E43BB"/>
    <w:rsid w:val="009E44F1"/>
    <w:rsid w:val="009E544E"/>
    <w:rsid w:val="009E5CEB"/>
    <w:rsid w:val="009E5F31"/>
    <w:rsid w:val="009E5F3B"/>
    <w:rsid w:val="009E6173"/>
    <w:rsid w:val="009E69CA"/>
    <w:rsid w:val="009E700A"/>
    <w:rsid w:val="009E7D61"/>
    <w:rsid w:val="009F04B3"/>
    <w:rsid w:val="009F04C6"/>
    <w:rsid w:val="009F0C98"/>
    <w:rsid w:val="009F0DDF"/>
    <w:rsid w:val="009F23CB"/>
    <w:rsid w:val="009F2423"/>
    <w:rsid w:val="009F250B"/>
    <w:rsid w:val="009F2576"/>
    <w:rsid w:val="009F3BBD"/>
    <w:rsid w:val="009F4CC2"/>
    <w:rsid w:val="009F4F5B"/>
    <w:rsid w:val="009F68BB"/>
    <w:rsid w:val="009F7DDD"/>
    <w:rsid w:val="00A003EB"/>
    <w:rsid w:val="00A008A4"/>
    <w:rsid w:val="00A01A60"/>
    <w:rsid w:val="00A0281C"/>
    <w:rsid w:val="00A02870"/>
    <w:rsid w:val="00A0296F"/>
    <w:rsid w:val="00A04A93"/>
    <w:rsid w:val="00A05B27"/>
    <w:rsid w:val="00A0645D"/>
    <w:rsid w:val="00A06B29"/>
    <w:rsid w:val="00A0730A"/>
    <w:rsid w:val="00A11FA1"/>
    <w:rsid w:val="00A12AC1"/>
    <w:rsid w:val="00A12FAC"/>
    <w:rsid w:val="00A131CC"/>
    <w:rsid w:val="00A13F88"/>
    <w:rsid w:val="00A153C3"/>
    <w:rsid w:val="00A157B4"/>
    <w:rsid w:val="00A15F7B"/>
    <w:rsid w:val="00A1617F"/>
    <w:rsid w:val="00A16837"/>
    <w:rsid w:val="00A16C96"/>
    <w:rsid w:val="00A16ECB"/>
    <w:rsid w:val="00A16EF4"/>
    <w:rsid w:val="00A174D7"/>
    <w:rsid w:val="00A21152"/>
    <w:rsid w:val="00A21245"/>
    <w:rsid w:val="00A212B5"/>
    <w:rsid w:val="00A227C0"/>
    <w:rsid w:val="00A22E0C"/>
    <w:rsid w:val="00A2369A"/>
    <w:rsid w:val="00A24532"/>
    <w:rsid w:val="00A248B1"/>
    <w:rsid w:val="00A24969"/>
    <w:rsid w:val="00A25B4A"/>
    <w:rsid w:val="00A30692"/>
    <w:rsid w:val="00A309A4"/>
    <w:rsid w:val="00A31B9C"/>
    <w:rsid w:val="00A31F1F"/>
    <w:rsid w:val="00A3278B"/>
    <w:rsid w:val="00A32A02"/>
    <w:rsid w:val="00A3383B"/>
    <w:rsid w:val="00A33CAC"/>
    <w:rsid w:val="00A34713"/>
    <w:rsid w:val="00A357B6"/>
    <w:rsid w:val="00A36257"/>
    <w:rsid w:val="00A379F9"/>
    <w:rsid w:val="00A37D87"/>
    <w:rsid w:val="00A40C4A"/>
    <w:rsid w:val="00A4124B"/>
    <w:rsid w:val="00A41BAC"/>
    <w:rsid w:val="00A437D0"/>
    <w:rsid w:val="00A438F3"/>
    <w:rsid w:val="00A44CCB"/>
    <w:rsid w:val="00A44E9F"/>
    <w:rsid w:val="00A4619C"/>
    <w:rsid w:val="00A462CE"/>
    <w:rsid w:val="00A465D1"/>
    <w:rsid w:val="00A465D6"/>
    <w:rsid w:val="00A46EC0"/>
    <w:rsid w:val="00A478DF"/>
    <w:rsid w:val="00A50316"/>
    <w:rsid w:val="00A50507"/>
    <w:rsid w:val="00A52023"/>
    <w:rsid w:val="00A523C7"/>
    <w:rsid w:val="00A53399"/>
    <w:rsid w:val="00A5437F"/>
    <w:rsid w:val="00A54570"/>
    <w:rsid w:val="00A54B94"/>
    <w:rsid w:val="00A558F1"/>
    <w:rsid w:val="00A564E9"/>
    <w:rsid w:val="00A5653C"/>
    <w:rsid w:val="00A5725B"/>
    <w:rsid w:val="00A57CF8"/>
    <w:rsid w:val="00A57D23"/>
    <w:rsid w:val="00A6072A"/>
    <w:rsid w:val="00A61BA0"/>
    <w:rsid w:val="00A6276D"/>
    <w:rsid w:val="00A6327D"/>
    <w:rsid w:val="00A64712"/>
    <w:rsid w:val="00A664E7"/>
    <w:rsid w:val="00A66B66"/>
    <w:rsid w:val="00A6773E"/>
    <w:rsid w:val="00A67AEE"/>
    <w:rsid w:val="00A704DC"/>
    <w:rsid w:val="00A707CB"/>
    <w:rsid w:val="00A71A59"/>
    <w:rsid w:val="00A71CB0"/>
    <w:rsid w:val="00A71CC5"/>
    <w:rsid w:val="00A71D95"/>
    <w:rsid w:val="00A721EE"/>
    <w:rsid w:val="00A72AE1"/>
    <w:rsid w:val="00A7397A"/>
    <w:rsid w:val="00A751F8"/>
    <w:rsid w:val="00A75340"/>
    <w:rsid w:val="00A75587"/>
    <w:rsid w:val="00A75B16"/>
    <w:rsid w:val="00A75BC8"/>
    <w:rsid w:val="00A770B3"/>
    <w:rsid w:val="00A771EE"/>
    <w:rsid w:val="00A77BEE"/>
    <w:rsid w:val="00A77D4C"/>
    <w:rsid w:val="00A80B55"/>
    <w:rsid w:val="00A81341"/>
    <w:rsid w:val="00A81C73"/>
    <w:rsid w:val="00A82255"/>
    <w:rsid w:val="00A834AE"/>
    <w:rsid w:val="00A83866"/>
    <w:rsid w:val="00A83D11"/>
    <w:rsid w:val="00A84005"/>
    <w:rsid w:val="00A84EE7"/>
    <w:rsid w:val="00A850C1"/>
    <w:rsid w:val="00A86153"/>
    <w:rsid w:val="00A90953"/>
    <w:rsid w:val="00A91819"/>
    <w:rsid w:val="00A92B67"/>
    <w:rsid w:val="00A92E9E"/>
    <w:rsid w:val="00A93CBA"/>
    <w:rsid w:val="00A94338"/>
    <w:rsid w:val="00A94F22"/>
    <w:rsid w:val="00A95D38"/>
    <w:rsid w:val="00A9762C"/>
    <w:rsid w:val="00AA08DD"/>
    <w:rsid w:val="00AA1F07"/>
    <w:rsid w:val="00AA239D"/>
    <w:rsid w:val="00AA2520"/>
    <w:rsid w:val="00AA593D"/>
    <w:rsid w:val="00AA61E0"/>
    <w:rsid w:val="00AA73DC"/>
    <w:rsid w:val="00AB060E"/>
    <w:rsid w:val="00AB0D85"/>
    <w:rsid w:val="00AB203B"/>
    <w:rsid w:val="00AB2543"/>
    <w:rsid w:val="00AB3080"/>
    <w:rsid w:val="00AB3C07"/>
    <w:rsid w:val="00AB4444"/>
    <w:rsid w:val="00AB4FB9"/>
    <w:rsid w:val="00AB5BAE"/>
    <w:rsid w:val="00AB666C"/>
    <w:rsid w:val="00AB6ECD"/>
    <w:rsid w:val="00AB6F1F"/>
    <w:rsid w:val="00AB6F64"/>
    <w:rsid w:val="00AB713F"/>
    <w:rsid w:val="00AC019C"/>
    <w:rsid w:val="00AC064D"/>
    <w:rsid w:val="00AC0896"/>
    <w:rsid w:val="00AC09A6"/>
    <w:rsid w:val="00AC1C4B"/>
    <w:rsid w:val="00AC1F30"/>
    <w:rsid w:val="00AC25A3"/>
    <w:rsid w:val="00AC303C"/>
    <w:rsid w:val="00AC3AD2"/>
    <w:rsid w:val="00AC4A00"/>
    <w:rsid w:val="00AC4ABA"/>
    <w:rsid w:val="00AC4DB9"/>
    <w:rsid w:val="00AC5176"/>
    <w:rsid w:val="00AC61C7"/>
    <w:rsid w:val="00AC738F"/>
    <w:rsid w:val="00AC7D1F"/>
    <w:rsid w:val="00AD0399"/>
    <w:rsid w:val="00AD118A"/>
    <w:rsid w:val="00AD15CF"/>
    <w:rsid w:val="00AD1AD6"/>
    <w:rsid w:val="00AD2400"/>
    <w:rsid w:val="00AD36EA"/>
    <w:rsid w:val="00AD4FB8"/>
    <w:rsid w:val="00AD5788"/>
    <w:rsid w:val="00AE0B88"/>
    <w:rsid w:val="00AE0C46"/>
    <w:rsid w:val="00AE1586"/>
    <w:rsid w:val="00AE163E"/>
    <w:rsid w:val="00AE2027"/>
    <w:rsid w:val="00AE35A4"/>
    <w:rsid w:val="00AE46F1"/>
    <w:rsid w:val="00AE4809"/>
    <w:rsid w:val="00AE489F"/>
    <w:rsid w:val="00AE4F11"/>
    <w:rsid w:val="00AE5241"/>
    <w:rsid w:val="00AE5567"/>
    <w:rsid w:val="00AE5614"/>
    <w:rsid w:val="00AE5ACB"/>
    <w:rsid w:val="00AE7238"/>
    <w:rsid w:val="00AE7663"/>
    <w:rsid w:val="00AF0779"/>
    <w:rsid w:val="00AF1972"/>
    <w:rsid w:val="00AF1C87"/>
    <w:rsid w:val="00AF23FC"/>
    <w:rsid w:val="00AF2F38"/>
    <w:rsid w:val="00AF36E8"/>
    <w:rsid w:val="00AF41A8"/>
    <w:rsid w:val="00AF41BC"/>
    <w:rsid w:val="00AF455F"/>
    <w:rsid w:val="00AF542E"/>
    <w:rsid w:val="00AF6A00"/>
    <w:rsid w:val="00AF731B"/>
    <w:rsid w:val="00B00107"/>
    <w:rsid w:val="00B00A93"/>
    <w:rsid w:val="00B01033"/>
    <w:rsid w:val="00B011F6"/>
    <w:rsid w:val="00B0133F"/>
    <w:rsid w:val="00B01C79"/>
    <w:rsid w:val="00B01DC8"/>
    <w:rsid w:val="00B0255F"/>
    <w:rsid w:val="00B03FA5"/>
    <w:rsid w:val="00B04A92"/>
    <w:rsid w:val="00B065C1"/>
    <w:rsid w:val="00B066F5"/>
    <w:rsid w:val="00B07049"/>
    <w:rsid w:val="00B07394"/>
    <w:rsid w:val="00B10685"/>
    <w:rsid w:val="00B10B43"/>
    <w:rsid w:val="00B10E10"/>
    <w:rsid w:val="00B115FF"/>
    <w:rsid w:val="00B12EB2"/>
    <w:rsid w:val="00B12F9E"/>
    <w:rsid w:val="00B16609"/>
    <w:rsid w:val="00B16723"/>
    <w:rsid w:val="00B16B1C"/>
    <w:rsid w:val="00B1760E"/>
    <w:rsid w:val="00B2051F"/>
    <w:rsid w:val="00B20542"/>
    <w:rsid w:val="00B20AB5"/>
    <w:rsid w:val="00B21360"/>
    <w:rsid w:val="00B21D47"/>
    <w:rsid w:val="00B221E8"/>
    <w:rsid w:val="00B23DAC"/>
    <w:rsid w:val="00B24339"/>
    <w:rsid w:val="00B2442D"/>
    <w:rsid w:val="00B244B5"/>
    <w:rsid w:val="00B24B9B"/>
    <w:rsid w:val="00B25AC3"/>
    <w:rsid w:val="00B25BD8"/>
    <w:rsid w:val="00B25CA7"/>
    <w:rsid w:val="00B26058"/>
    <w:rsid w:val="00B2746B"/>
    <w:rsid w:val="00B27546"/>
    <w:rsid w:val="00B27836"/>
    <w:rsid w:val="00B27E25"/>
    <w:rsid w:val="00B27EC4"/>
    <w:rsid w:val="00B30107"/>
    <w:rsid w:val="00B30340"/>
    <w:rsid w:val="00B314B8"/>
    <w:rsid w:val="00B31BCC"/>
    <w:rsid w:val="00B330E0"/>
    <w:rsid w:val="00B334E5"/>
    <w:rsid w:val="00B336D0"/>
    <w:rsid w:val="00B3375A"/>
    <w:rsid w:val="00B34807"/>
    <w:rsid w:val="00B348E4"/>
    <w:rsid w:val="00B3575D"/>
    <w:rsid w:val="00B36725"/>
    <w:rsid w:val="00B36885"/>
    <w:rsid w:val="00B36920"/>
    <w:rsid w:val="00B373A5"/>
    <w:rsid w:val="00B4027D"/>
    <w:rsid w:val="00B4061A"/>
    <w:rsid w:val="00B41FDF"/>
    <w:rsid w:val="00B4226D"/>
    <w:rsid w:val="00B44034"/>
    <w:rsid w:val="00B4403D"/>
    <w:rsid w:val="00B445A9"/>
    <w:rsid w:val="00B44E59"/>
    <w:rsid w:val="00B454AF"/>
    <w:rsid w:val="00B45683"/>
    <w:rsid w:val="00B4574E"/>
    <w:rsid w:val="00B45773"/>
    <w:rsid w:val="00B457F3"/>
    <w:rsid w:val="00B45DE9"/>
    <w:rsid w:val="00B46EE7"/>
    <w:rsid w:val="00B47BE0"/>
    <w:rsid w:val="00B5138A"/>
    <w:rsid w:val="00B5226E"/>
    <w:rsid w:val="00B525B6"/>
    <w:rsid w:val="00B52691"/>
    <w:rsid w:val="00B5278C"/>
    <w:rsid w:val="00B529F8"/>
    <w:rsid w:val="00B53811"/>
    <w:rsid w:val="00B539CB"/>
    <w:rsid w:val="00B54484"/>
    <w:rsid w:val="00B5453E"/>
    <w:rsid w:val="00B547FE"/>
    <w:rsid w:val="00B54D33"/>
    <w:rsid w:val="00B54D7D"/>
    <w:rsid w:val="00B54E7E"/>
    <w:rsid w:val="00B54FDD"/>
    <w:rsid w:val="00B57F99"/>
    <w:rsid w:val="00B60228"/>
    <w:rsid w:val="00B62388"/>
    <w:rsid w:val="00B62637"/>
    <w:rsid w:val="00B63D61"/>
    <w:rsid w:val="00B63E8B"/>
    <w:rsid w:val="00B63FCA"/>
    <w:rsid w:val="00B642DE"/>
    <w:rsid w:val="00B648AD"/>
    <w:rsid w:val="00B66656"/>
    <w:rsid w:val="00B666FD"/>
    <w:rsid w:val="00B669AF"/>
    <w:rsid w:val="00B7024E"/>
    <w:rsid w:val="00B70E27"/>
    <w:rsid w:val="00B715F8"/>
    <w:rsid w:val="00B71AB1"/>
    <w:rsid w:val="00B71C5E"/>
    <w:rsid w:val="00B72C19"/>
    <w:rsid w:val="00B73C79"/>
    <w:rsid w:val="00B7443C"/>
    <w:rsid w:val="00B74D64"/>
    <w:rsid w:val="00B74ECF"/>
    <w:rsid w:val="00B74F97"/>
    <w:rsid w:val="00B75110"/>
    <w:rsid w:val="00B75DEB"/>
    <w:rsid w:val="00B77176"/>
    <w:rsid w:val="00B778D9"/>
    <w:rsid w:val="00B77F8E"/>
    <w:rsid w:val="00B807A5"/>
    <w:rsid w:val="00B814EC"/>
    <w:rsid w:val="00B815F8"/>
    <w:rsid w:val="00B82340"/>
    <w:rsid w:val="00B83077"/>
    <w:rsid w:val="00B8397A"/>
    <w:rsid w:val="00B84472"/>
    <w:rsid w:val="00B85EF1"/>
    <w:rsid w:val="00B86078"/>
    <w:rsid w:val="00B863F4"/>
    <w:rsid w:val="00B86C50"/>
    <w:rsid w:val="00B871ED"/>
    <w:rsid w:val="00B903AF"/>
    <w:rsid w:val="00B90487"/>
    <w:rsid w:val="00B924F8"/>
    <w:rsid w:val="00B926B5"/>
    <w:rsid w:val="00B92885"/>
    <w:rsid w:val="00B93A0D"/>
    <w:rsid w:val="00B94154"/>
    <w:rsid w:val="00B941DC"/>
    <w:rsid w:val="00B949C4"/>
    <w:rsid w:val="00B9536C"/>
    <w:rsid w:val="00B968F1"/>
    <w:rsid w:val="00B96A5C"/>
    <w:rsid w:val="00B96F68"/>
    <w:rsid w:val="00B97BD7"/>
    <w:rsid w:val="00BA077F"/>
    <w:rsid w:val="00BA0EB0"/>
    <w:rsid w:val="00BA1DDF"/>
    <w:rsid w:val="00BA2AA6"/>
    <w:rsid w:val="00BA31EC"/>
    <w:rsid w:val="00BA3EBF"/>
    <w:rsid w:val="00BA656A"/>
    <w:rsid w:val="00BA6A68"/>
    <w:rsid w:val="00BA6CE3"/>
    <w:rsid w:val="00BA7491"/>
    <w:rsid w:val="00BA75CD"/>
    <w:rsid w:val="00BA77F1"/>
    <w:rsid w:val="00BB10F5"/>
    <w:rsid w:val="00BB12F1"/>
    <w:rsid w:val="00BB1F75"/>
    <w:rsid w:val="00BB1F7C"/>
    <w:rsid w:val="00BB27CB"/>
    <w:rsid w:val="00BB2E60"/>
    <w:rsid w:val="00BB2FFE"/>
    <w:rsid w:val="00BB42B6"/>
    <w:rsid w:val="00BB42BE"/>
    <w:rsid w:val="00BB470F"/>
    <w:rsid w:val="00BB484A"/>
    <w:rsid w:val="00BB4C16"/>
    <w:rsid w:val="00BB4EC4"/>
    <w:rsid w:val="00BB574B"/>
    <w:rsid w:val="00BB575D"/>
    <w:rsid w:val="00BB58C5"/>
    <w:rsid w:val="00BB5E99"/>
    <w:rsid w:val="00BB5F15"/>
    <w:rsid w:val="00BB65E3"/>
    <w:rsid w:val="00BB66D9"/>
    <w:rsid w:val="00BB7741"/>
    <w:rsid w:val="00BC2DB6"/>
    <w:rsid w:val="00BC37CB"/>
    <w:rsid w:val="00BC3B06"/>
    <w:rsid w:val="00BC3B53"/>
    <w:rsid w:val="00BC3C13"/>
    <w:rsid w:val="00BC42A6"/>
    <w:rsid w:val="00BC493A"/>
    <w:rsid w:val="00BC4C5D"/>
    <w:rsid w:val="00BC53B2"/>
    <w:rsid w:val="00BC5DE0"/>
    <w:rsid w:val="00BC6088"/>
    <w:rsid w:val="00BC6990"/>
    <w:rsid w:val="00BC69AB"/>
    <w:rsid w:val="00BD0218"/>
    <w:rsid w:val="00BD05F1"/>
    <w:rsid w:val="00BD0A01"/>
    <w:rsid w:val="00BD0B73"/>
    <w:rsid w:val="00BD0E3B"/>
    <w:rsid w:val="00BD1067"/>
    <w:rsid w:val="00BD1988"/>
    <w:rsid w:val="00BD1A09"/>
    <w:rsid w:val="00BD26D9"/>
    <w:rsid w:val="00BD3279"/>
    <w:rsid w:val="00BD3286"/>
    <w:rsid w:val="00BD3450"/>
    <w:rsid w:val="00BD35F3"/>
    <w:rsid w:val="00BD3EFE"/>
    <w:rsid w:val="00BD433F"/>
    <w:rsid w:val="00BD4ED0"/>
    <w:rsid w:val="00BD52CF"/>
    <w:rsid w:val="00BD5BE2"/>
    <w:rsid w:val="00BD670C"/>
    <w:rsid w:val="00BE1C1D"/>
    <w:rsid w:val="00BE1EC8"/>
    <w:rsid w:val="00BE1EED"/>
    <w:rsid w:val="00BE2772"/>
    <w:rsid w:val="00BE3151"/>
    <w:rsid w:val="00BE3ED2"/>
    <w:rsid w:val="00BE4460"/>
    <w:rsid w:val="00BE523F"/>
    <w:rsid w:val="00BE59FD"/>
    <w:rsid w:val="00BE5B81"/>
    <w:rsid w:val="00BE626D"/>
    <w:rsid w:val="00BE6D4F"/>
    <w:rsid w:val="00BE73A5"/>
    <w:rsid w:val="00BF0A22"/>
    <w:rsid w:val="00BF1238"/>
    <w:rsid w:val="00BF1ED3"/>
    <w:rsid w:val="00BF2B14"/>
    <w:rsid w:val="00BF5013"/>
    <w:rsid w:val="00BF6FFC"/>
    <w:rsid w:val="00BF73F2"/>
    <w:rsid w:val="00C00430"/>
    <w:rsid w:val="00C0161A"/>
    <w:rsid w:val="00C01B74"/>
    <w:rsid w:val="00C0233A"/>
    <w:rsid w:val="00C038A4"/>
    <w:rsid w:val="00C03F00"/>
    <w:rsid w:val="00C040DE"/>
    <w:rsid w:val="00C046C2"/>
    <w:rsid w:val="00C05538"/>
    <w:rsid w:val="00C05BBB"/>
    <w:rsid w:val="00C05CB5"/>
    <w:rsid w:val="00C05CF8"/>
    <w:rsid w:val="00C06935"/>
    <w:rsid w:val="00C0714F"/>
    <w:rsid w:val="00C07D65"/>
    <w:rsid w:val="00C1171E"/>
    <w:rsid w:val="00C12819"/>
    <w:rsid w:val="00C12DC7"/>
    <w:rsid w:val="00C13166"/>
    <w:rsid w:val="00C1391A"/>
    <w:rsid w:val="00C141DB"/>
    <w:rsid w:val="00C1427D"/>
    <w:rsid w:val="00C143E9"/>
    <w:rsid w:val="00C1472F"/>
    <w:rsid w:val="00C14CD2"/>
    <w:rsid w:val="00C14FB0"/>
    <w:rsid w:val="00C15900"/>
    <w:rsid w:val="00C15F78"/>
    <w:rsid w:val="00C1601E"/>
    <w:rsid w:val="00C16BDF"/>
    <w:rsid w:val="00C16D2C"/>
    <w:rsid w:val="00C16D45"/>
    <w:rsid w:val="00C2028A"/>
    <w:rsid w:val="00C20B5E"/>
    <w:rsid w:val="00C21330"/>
    <w:rsid w:val="00C21D09"/>
    <w:rsid w:val="00C22546"/>
    <w:rsid w:val="00C2273B"/>
    <w:rsid w:val="00C2468B"/>
    <w:rsid w:val="00C24A70"/>
    <w:rsid w:val="00C24E50"/>
    <w:rsid w:val="00C261C6"/>
    <w:rsid w:val="00C27C9C"/>
    <w:rsid w:val="00C30821"/>
    <w:rsid w:val="00C30A06"/>
    <w:rsid w:val="00C32E8D"/>
    <w:rsid w:val="00C3466B"/>
    <w:rsid w:val="00C34FAA"/>
    <w:rsid w:val="00C35276"/>
    <w:rsid w:val="00C3648A"/>
    <w:rsid w:val="00C367B7"/>
    <w:rsid w:val="00C372D6"/>
    <w:rsid w:val="00C373C0"/>
    <w:rsid w:val="00C37A14"/>
    <w:rsid w:val="00C40D50"/>
    <w:rsid w:val="00C42328"/>
    <w:rsid w:val="00C4234B"/>
    <w:rsid w:val="00C426B6"/>
    <w:rsid w:val="00C427E7"/>
    <w:rsid w:val="00C428E5"/>
    <w:rsid w:val="00C42B26"/>
    <w:rsid w:val="00C42CE9"/>
    <w:rsid w:val="00C4366C"/>
    <w:rsid w:val="00C44354"/>
    <w:rsid w:val="00C445A3"/>
    <w:rsid w:val="00C4492F"/>
    <w:rsid w:val="00C44FE4"/>
    <w:rsid w:val="00C45667"/>
    <w:rsid w:val="00C457AD"/>
    <w:rsid w:val="00C45EF9"/>
    <w:rsid w:val="00C460AA"/>
    <w:rsid w:val="00C4657F"/>
    <w:rsid w:val="00C46F57"/>
    <w:rsid w:val="00C475FD"/>
    <w:rsid w:val="00C500D8"/>
    <w:rsid w:val="00C5012E"/>
    <w:rsid w:val="00C51BC7"/>
    <w:rsid w:val="00C52091"/>
    <w:rsid w:val="00C54060"/>
    <w:rsid w:val="00C550A1"/>
    <w:rsid w:val="00C554B0"/>
    <w:rsid w:val="00C5667E"/>
    <w:rsid w:val="00C566A0"/>
    <w:rsid w:val="00C60642"/>
    <w:rsid w:val="00C64767"/>
    <w:rsid w:val="00C6498C"/>
    <w:rsid w:val="00C64A93"/>
    <w:rsid w:val="00C6555C"/>
    <w:rsid w:val="00C65A36"/>
    <w:rsid w:val="00C662C0"/>
    <w:rsid w:val="00C66376"/>
    <w:rsid w:val="00C66ED4"/>
    <w:rsid w:val="00C67134"/>
    <w:rsid w:val="00C67472"/>
    <w:rsid w:val="00C707AB"/>
    <w:rsid w:val="00C70C49"/>
    <w:rsid w:val="00C7186F"/>
    <w:rsid w:val="00C718E8"/>
    <w:rsid w:val="00C71D5D"/>
    <w:rsid w:val="00C72457"/>
    <w:rsid w:val="00C7426C"/>
    <w:rsid w:val="00C74B03"/>
    <w:rsid w:val="00C753D2"/>
    <w:rsid w:val="00C77CAF"/>
    <w:rsid w:val="00C81843"/>
    <w:rsid w:val="00C818D1"/>
    <w:rsid w:val="00C81B80"/>
    <w:rsid w:val="00C81CCC"/>
    <w:rsid w:val="00C828EC"/>
    <w:rsid w:val="00C839B5"/>
    <w:rsid w:val="00C83CB2"/>
    <w:rsid w:val="00C83E7E"/>
    <w:rsid w:val="00C848D2"/>
    <w:rsid w:val="00C85709"/>
    <w:rsid w:val="00C85BEB"/>
    <w:rsid w:val="00C85CB3"/>
    <w:rsid w:val="00C85FD8"/>
    <w:rsid w:val="00C87581"/>
    <w:rsid w:val="00C9035F"/>
    <w:rsid w:val="00C90786"/>
    <w:rsid w:val="00C91374"/>
    <w:rsid w:val="00C948C2"/>
    <w:rsid w:val="00C94BBF"/>
    <w:rsid w:val="00C9511C"/>
    <w:rsid w:val="00C95D21"/>
    <w:rsid w:val="00C95FC1"/>
    <w:rsid w:val="00C96BE7"/>
    <w:rsid w:val="00C97B63"/>
    <w:rsid w:val="00CA06C7"/>
    <w:rsid w:val="00CA1194"/>
    <w:rsid w:val="00CA143C"/>
    <w:rsid w:val="00CA21F8"/>
    <w:rsid w:val="00CA2C21"/>
    <w:rsid w:val="00CA40D8"/>
    <w:rsid w:val="00CA4B87"/>
    <w:rsid w:val="00CA4C4B"/>
    <w:rsid w:val="00CA4C93"/>
    <w:rsid w:val="00CA615B"/>
    <w:rsid w:val="00CA6C80"/>
    <w:rsid w:val="00CA6DE7"/>
    <w:rsid w:val="00CA77CF"/>
    <w:rsid w:val="00CB0FDA"/>
    <w:rsid w:val="00CB2996"/>
    <w:rsid w:val="00CB3274"/>
    <w:rsid w:val="00CB336A"/>
    <w:rsid w:val="00CB3E28"/>
    <w:rsid w:val="00CB4102"/>
    <w:rsid w:val="00CB4CC9"/>
    <w:rsid w:val="00CB65D5"/>
    <w:rsid w:val="00CB74CE"/>
    <w:rsid w:val="00CC04D6"/>
    <w:rsid w:val="00CC0D39"/>
    <w:rsid w:val="00CC18E5"/>
    <w:rsid w:val="00CC1C17"/>
    <w:rsid w:val="00CC2E84"/>
    <w:rsid w:val="00CC331C"/>
    <w:rsid w:val="00CC36B6"/>
    <w:rsid w:val="00CC4077"/>
    <w:rsid w:val="00CC49F5"/>
    <w:rsid w:val="00CC4C63"/>
    <w:rsid w:val="00CC5A36"/>
    <w:rsid w:val="00CD0535"/>
    <w:rsid w:val="00CD18AE"/>
    <w:rsid w:val="00CD1AD4"/>
    <w:rsid w:val="00CD318A"/>
    <w:rsid w:val="00CD361E"/>
    <w:rsid w:val="00CD36DB"/>
    <w:rsid w:val="00CD39FC"/>
    <w:rsid w:val="00CD3F61"/>
    <w:rsid w:val="00CD43E2"/>
    <w:rsid w:val="00CD4406"/>
    <w:rsid w:val="00CD54DD"/>
    <w:rsid w:val="00CD7936"/>
    <w:rsid w:val="00CE04D9"/>
    <w:rsid w:val="00CE0EC6"/>
    <w:rsid w:val="00CE1542"/>
    <w:rsid w:val="00CE15D0"/>
    <w:rsid w:val="00CE1B48"/>
    <w:rsid w:val="00CE2530"/>
    <w:rsid w:val="00CE30DB"/>
    <w:rsid w:val="00CE3311"/>
    <w:rsid w:val="00CE3807"/>
    <w:rsid w:val="00CE3F5B"/>
    <w:rsid w:val="00CE453A"/>
    <w:rsid w:val="00CE570B"/>
    <w:rsid w:val="00CE57AE"/>
    <w:rsid w:val="00CE6006"/>
    <w:rsid w:val="00CF05E7"/>
    <w:rsid w:val="00CF098F"/>
    <w:rsid w:val="00CF0BFC"/>
    <w:rsid w:val="00CF1217"/>
    <w:rsid w:val="00CF13C3"/>
    <w:rsid w:val="00CF1E54"/>
    <w:rsid w:val="00CF20D6"/>
    <w:rsid w:val="00CF2F3F"/>
    <w:rsid w:val="00CF3F3F"/>
    <w:rsid w:val="00CF4496"/>
    <w:rsid w:val="00CF4E46"/>
    <w:rsid w:val="00CF633B"/>
    <w:rsid w:val="00CF6EBF"/>
    <w:rsid w:val="00CF70F8"/>
    <w:rsid w:val="00D00754"/>
    <w:rsid w:val="00D00A61"/>
    <w:rsid w:val="00D00C42"/>
    <w:rsid w:val="00D0138D"/>
    <w:rsid w:val="00D013A9"/>
    <w:rsid w:val="00D018CE"/>
    <w:rsid w:val="00D01AB7"/>
    <w:rsid w:val="00D0242B"/>
    <w:rsid w:val="00D033CE"/>
    <w:rsid w:val="00D03B93"/>
    <w:rsid w:val="00D03D99"/>
    <w:rsid w:val="00D04324"/>
    <w:rsid w:val="00D068B6"/>
    <w:rsid w:val="00D07BED"/>
    <w:rsid w:val="00D10D35"/>
    <w:rsid w:val="00D11418"/>
    <w:rsid w:val="00D12194"/>
    <w:rsid w:val="00D12BDC"/>
    <w:rsid w:val="00D14A39"/>
    <w:rsid w:val="00D157FD"/>
    <w:rsid w:val="00D171DF"/>
    <w:rsid w:val="00D1764F"/>
    <w:rsid w:val="00D17864"/>
    <w:rsid w:val="00D20B15"/>
    <w:rsid w:val="00D20EA6"/>
    <w:rsid w:val="00D221BD"/>
    <w:rsid w:val="00D22C51"/>
    <w:rsid w:val="00D22D6D"/>
    <w:rsid w:val="00D23006"/>
    <w:rsid w:val="00D2308E"/>
    <w:rsid w:val="00D230EA"/>
    <w:rsid w:val="00D248CF"/>
    <w:rsid w:val="00D25066"/>
    <w:rsid w:val="00D257A4"/>
    <w:rsid w:val="00D27753"/>
    <w:rsid w:val="00D27B4F"/>
    <w:rsid w:val="00D3146A"/>
    <w:rsid w:val="00D321CB"/>
    <w:rsid w:val="00D32CEC"/>
    <w:rsid w:val="00D32E43"/>
    <w:rsid w:val="00D34191"/>
    <w:rsid w:val="00D34345"/>
    <w:rsid w:val="00D3600C"/>
    <w:rsid w:val="00D360BC"/>
    <w:rsid w:val="00D3614A"/>
    <w:rsid w:val="00D36D03"/>
    <w:rsid w:val="00D37660"/>
    <w:rsid w:val="00D37CE8"/>
    <w:rsid w:val="00D37D6A"/>
    <w:rsid w:val="00D37DFC"/>
    <w:rsid w:val="00D40A82"/>
    <w:rsid w:val="00D40B75"/>
    <w:rsid w:val="00D40FEC"/>
    <w:rsid w:val="00D41E1A"/>
    <w:rsid w:val="00D42F71"/>
    <w:rsid w:val="00D43461"/>
    <w:rsid w:val="00D4362B"/>
    <w:rsid w:val="00D43BB9"/>
    <w:rsid w:val="00D43DB5"/>
    <w:rsid w:val="00D44077"/>
    <w:rsid w:val="00D447AC"/>
    <w:rsid w:val="00D45803"/>
    <w:rsid w:val="00D46A5C"/>
    <w:rsid w:val="00D47D94"/>
    <w:rsid w:val="00D5160B"/>
    <w:rsid w:val="00D520DE"/>
    <w:rsid w:val="00D52197"/>
    <w:rsid w:val="00D5384B"/>
    <w:rsid w:val="00D551DC"/>
    <w:rsid w:val="00D5537F"/>
    <w:rsid w:val="00D55FD7"/>
    <w:rsid w:val="00D561C2"/>
    <w:rsid w:val="00D5651C"/>
    <w:rsid w:val="00D570D8"/>
    <w:rsid w:val="00D574F4"/>
    <w:rsid w:val="00D578D7"/>
    <w:rsid w:val="00D60517"/>
    <w:rsid w:val="00D61687"/>
    <w:rsid w:val="00D61D98"/>
    <w:rsid w:val="00D62EBC"/>
    <w:rsid w:val="00D6312F"/>
    <w:rsid w:val="00D633E0"/>
    <w:rsid w:val="00D63C92"/>
    <w:rsid w:val="00D64028"/>
    <w:rsid w:val="00D64C9D"/>
    <w:rsid w:val="00D65616"/>
    <w:rsid w:val="00D65812"/>
    <w:rsid w:val="00D65C72"/>
    <w:rsid w:val="00D65FF4"/>
    <w:rsid w:val="00D66BE5"/>
    <w:rsid w:val="00D67F75"/>
    <w:rsid w:val="00D70D20"/>
    <w:rsid w:val="00D717AD"/>
    <w:rsid w:val="00D72080"/>
    <w:rsid w:val="00D72929"/>
    <w:rsid w:val="00D72BFC"/>
    <w:rsid w:val="00D736C3"/>
    <w:rsid w:val="00D7519E"/>
    <w:rsid w:val="00D751C0"/>
    <w:rsid w:val="00D75363"/>
    <w:rsid w:val="00D76066"/>
    <w:rsid w:val="00D76230"/>
    <w:rsid w:val="00D76FD5"/>
    <w:rsid w:val="00D77387"/>
    <w:rsid w:val="00D7789A"/>
    <w:rsid w:val="00D81F29"/>
    <w:rsid w:val="00D822C3"/>
    <w:rsid w:val="00D82D16"/>
    <w:rsid w:val="00D82DD9"/>
    <w:rsid w:val="00D83BF1"/>
    <w:rsid w:val="00D84689"/>
    <w:rsid w:val="00D84920"/>
    <w:rsid w:val="00D84F8E"/>
    <w:rsid w:val="00D85ACF"/>
    <w:rsid w:val="00D85EC9"/>
    <w:rsid w:val="00D8670C"/>
    <w:rsid w:val="00D86DCB"/>
    <w:rsid w:val="00D870FD"/>
    <w:rsid w:val="00D8747D"/>
    <w:rsid w:val="00D90281"/>
    <w:rsid w:val="00D90568"/>
    <w:rsid w:val="00D90DFA"/>
    <w:rsid w:val="00D911E1"/>
    <w:rsid w:val="00D91570"/>
    <w:rsid w:val="00D938F2"/>
    <w:rsid w:val="00D9472E"/>
    <w:rsid w:val="00D9473D"/>
    <w:rsid w:val="00D949D1"/>
    <w:rsid w:val="00D95A83"/>
    <w:rsid w:val="00D96749"/>
    <w:rsid w:val="00D96C58"/>
    <w:rsid w:val="00D96E71"/>
    <w:rsid w:val="00D9752F"/>
    <w:rsid w:val="00D97668"/>
    <w:rsid w:val="00DA0256"/>
    <w:rsid w:val="00DA0B34"/>
    <w:rsid w:val="00DA13E8"/>
    <w:rsid w:val="00DA1B40"/>
    <w:rsid w:val="00DA233F"/>
    <w:rsid w:val="00DA2350"/>
    <w:rsid w:val="00DA3328"/>
    <w:rsid w:val="00DA3586"/>
    <w:rsid w:val="00DA3BCF"/>
    <w:rsid w:val="00DA42F9"/>
    <w:rsid w:val="00DA4312"/>
    <w:rsid w:val="00DA53C1"/>
    <w:rsid w:val="00DA5418"/>
    <w:rsid w:val="00DA55F5"/>
    <w:rsid w:val="00DA5713"/>
    <w:rsid w:val="00DA5717"/>
    <w:rsid w:val="00DA626E"/>
    <w:rsid w:val="00DA6913"/>
    <w:rsid w:val="00DA7685"/>
    <w:rsid w:val="00DB04A9"/>
    <w:rsid w:val="00DB07BF"/>
    <w:rsid w:val="00DB0A4E"/>
    <w:rsid w:val="00DB1075"/>
    <w:rsid w:val="00DB1290"/>
    <w:rsid w:val="00DB2759"/>
    <w:rsid w:val="00DB3061"/>
    <w:rsid w:val="00DB32CE"/>
    <w:rsid w:val="00DB3E57"/>
    <w:rsid w:val="00DB48E8"/>
    <w:rsid w:val="00DB4B67"/>
    <w:rsid w:val="00DB5030"/>
    <w:rsid w:val="00DB5F36"/>
    <w:rsid w:val="00DB6AF9"/>
    <w:rsid w:val="00DB7254"/>
    <w:rsid w:val="00DB759F"/>
    <w:rsid w:val="00DB7735"/>
    <w:rsid w:val="00DC0335"/>
    <w:rsid w:val="00DC127F"/>
    <w:rsid w:val="00DC18A4"/>
    <w:rsid w:val="00DC1A12"/>
    <w:rsid w:val="00DC1FE8"/>
    <w:rsid w:val="00DC2462"/>
    <w:rsid w:val="00DC38F1"/>
    <w:rsid w:val="00DC5B41"/>
    <w:rsid w:val="00DC6603"/>
    <w:rsid w:val="00DC701A"/>
    <w:rsid w:val="00DC7B6F"/>
    <w:rsid w:val="00DD0CE5"/>
    <w:rsid w:val="00DD4335"/>
    <w:rsid w:val="00DD5385"/>
    <w:rsid w:val="00DD54E7"/>
    <w:rsid w:val="00DD5937"/>
    <w:rsid w:val="00DD5AB9"/>
    <w:rsid w:val="00DD5E1C"/>
    <w:rsid w:val="00DD61B1"/>
    <w:rsid w:val="00DD7973"/>
    <w:rsid w:val="00DE01BB"/>
    <w:rsid w:val="00DE05BC"/>
    <w:rsid w:val="00DE16BB"/>
    <w:rsid w:val="00DE2E59"/>
    <w:rsid w:val="00DE38C0"/>
    <w:rsid w:val="00DE411B"/>
    <w:rsid w:val="00DE4488"/>
    <w:rsid w:val="00DE456C"/>
    <w:rsid w:val="00DE4914"/>
    <w:rsid w:val="00DE4CC6"/>
    <w:rsid w:val="00DE4EAB"/>
    <w:rsid w:val="00DE5FEC"/>
    <w:rsid w:val="00DE68BC"/>
    <w:rsid w:val="00DE7F57"/>
    <w:rsid w:val="00DF0456"/>
    <w:rsid w:val="00DF0B67"/>
    <w:rsid w:val="00DF1BA7"/>
    <w:rsid w:val="00DF219F"/>
    <w:rsid w:val="00DF2CAE"/>
    <w:rsid w:val="00DF33F4"/>
    <w:rsid w:val="00DF3FB4"/>
    <w:rsid w:val="00DF4B30"/>
    <w:rsid w:val="00DF4C53"/>
    <w:rsid w:val="00DF553C"/>
    <w:rsid w:val="00DF5803"/>
    <w:rsid w:val="00DF58BD"/>
    <w:rsid w:val="00DF5CDF"/>
    <w:rsid w:val="00DF686F"/>
    <w:rsid w:val="00DF7238"/>
    <w:rsid w:val="00DF72E1"/>
    <w:rsid w:val="00E003CD"/>
    <w:rsid w:val="00E004BE"/>
    <w:rsid w:val="00E00F76"/>
    <w:rsid w:val="00E014F4"/>
    <w:rsid w:val="00E0247B"/>
    <w:rsid w:val="00E04D9D"/>
    <w:rsid w:val="00E04EC2"/>
    <w:rsid w:val="00E053FF"/>
    <w:rsid w:val="00E06467"/>
    <w:rsid w:val="00E065BC"/>
    <w:rsid w:val="00E06D22"/>
    <w:rsid w:val="00E0700B"/>
    <w:rsid w:val="00E075E6"/>
    <w:rsid w:val="00E0796F"/>
    <w:rsid w:val="00E10FF1"/>
    <w:rsid w:val="00E1147E"/>
    <w:rsid w:val="00E118EE"/>
    <w:rsid w:val="00E12458"/>
    <w:rsid w:val="00E12716"/>
    <w:rsid w:val="00E1288A"/>
    <w:rsid w:val="00E12E88"/>
    <w:rsid w:val="00E135A0"/>
    <w:rsid w:val="00E137A7"/>
    <w:rsid w:val="00E13816"/>
    <w:rsid w:val="00E14B5F"/>
    <w:rsid w:val="00E20AD8"/>
    <w:rsid w:val="00E20EDC"/>
    <w:rsid w:val="00E21CC8"/>
    <w:rsid w:val="00E22BAC"/>
    <w:rsid w:val="00E22D93"/>
    <w:rsid w:val="00E23EC6"/>
    <w:rsid w:val="00E248E3"/>
    <w:rsid w:val="00E24B69"/>
    <w:rsid w:val="00E2594D"/>
    <w:rsid w:val="00E2658C"/>
    <w:rsid w:val="00E27131"/>
    <w:rsid w:val="00E272A9"/>
    <w:rsid w:val="00E27445"/>
    <w:rsid w:val="00E30BAA"/>
    <w:rsid w:val="00E30DF8"/>
    <w:rsid w:val="00E30E28"/>
    <w:rsid w:val="00E3183A"/>
    <w:rsid w:val="00E324F9"/>
    <w:rsid w:val="00E3366A"/>
    <w:rsid w:val="00E33C4D"/>
    <w:rsid w:val="00E34D24"/>
    <w:rsid w:val="00E34D44"/>
    <w:rsid w:val="00E35FA5"/>
    <w:rsid w:val="00E36D20"/>
    <w:rsid w:val="00E3772D"/>
    <w:rsid w:val="00E37BEA"/>
    <w:rsid w:val="00E41FE9"/>
    <w:rsid w:val="00E4265E"/>
    <w:rsid w:val="00E42944"/>
    <w:rsid w:val="00E42C9F"/>
    <w:rsid w:val="00E434B1"/>
    <w:rsid w:val="00E43D2F"/>
    <w:rsid w:val="00E452E1"/>
    <w:rsid w:val="00E45A6F"/>
    <w:rsid w:val="00E45A97"/>
    <w:rsid w:val="00E45D84"/>
    <w:rsid w:val="00E46066"/>
    <w:rsid w:val="00E46721"/>
    <w:rsid w:val="00E47D99"/>
    <w:rsid w:val="00E50D1D"/>
    <w:rsid w:val="00E51B2A"/>
    <w:rsid w:val="00E51F76"/>
    <w:rsid w:val="00E5221A"/>
    <w:rsid w:val="00E5267F"/>
    <w:rsid w:val="00E53A57"/>
    <w:rsid w:val="00E54135"/>
    <w:rsid w:val="00E55568"/>
    <w:rsid w:val="00E566EF"/>
    <w:rsid w:val="00E60131"/>
    <w:rsid w:val="00E605AF"/>
    <w:rsid w:val="00E60E0B"/>
    <w:rsid w:val="00E6334F"/>
    <w:rsid w:val="00E6346D"/>
    <w:rsid w:val="00E63F54"/>
    <w:rsid w:val="00E641A0"/>
    <w:rsid w:val="00E642EC"/>
    <w:rsid w:val="00E65241"/>
    <w:rsid w:val="00E653AC"/>
    <w:rsid w:val="00E65CF6"/>
    <w:rsid w:val="00E6619D"/>
    <w:rsid w:val="00E668BB"/>
    <w:rsid w:val="00E677C1"/>
    <w:rsid w:val="00E70CC6"/>
    <w:rsid w:val="00E7125D"/>
    <w:rsid w:val="00E71D32"/>
    <w:rsid w:val="00E71F13"/>
    <w:rsid w:val="00E72851"/>
    <w:rsid w:val="00E74645"/>
    <w:rsid w:val="00E747D2"/>
    <w:rsid w:val="00E75149"/>
    <w:rsid w:val="00E75598"/>
    <w:rsid w:val="00E76002"/>
    <w:rsid w:val="00E766F0"/>
    <w:rsid w:val="00E7678C"/>
    <w:rsid w:val="00E81AEF"/>
    <w:rsid w:val="00E81DEA"/>
    <w:rsid w:val="00E823FC"/>
    <w:rsid w:val="00E829C8"/>
    <w:rsid w:val="00E8317E"/>
    <w:rsid w:val="00E84DBF"/>
    <w:rsid w:val="00E84E9A"/>
    <w:rsid w:val="00E85B9B"/>
    <w:rsid w:val="00E86018"/>
    <w:rsid w:val="00E8640A"/>
    <w:rsid w:val="00E86C87"/>
    <w:rsid w:val="00E87322"/>
    <w:rsid w:val="00E87D73"/>
    <w:rsid w:val="00E9034F"/>
    <w:rsid w:val="00E90657"/>
    <w:rsid w:val="00E925A9"/>
    <w:rsid w:val="00E9445A"/>
    <w:rsid w:val="00E94B8B"/>
    <w:rsid w:val="00E94F73"/>
    <w:rsid w:val="00E9552E"/>
    <w:rsid w:val="00E96FF0"/>
    <w:rsid w:val="00E9751B"/>
    <w:rsid w:val="00EA06CE"/>
    <w:rsid w:val="00EA0BB7"/>
    <w:rsid w:val="00EA13E1"/>
    <w:rsid w:val="00EA1699"/>
    <w:rsid w:val="00EA17CD"/>
    <w:rsid w:val="00EA2939"/>
    <w:rsid w:val="00EA2C39"/>
    <w:rsid w:val="00EA30D9"/>
    <w:rsid w:val="00EA35BD"/>
    <w:rsid w:val="00EA3A9B"/>
    <w:rsid w:val="00EA3CC1"/>
    <w:rsid w:val="00EA4375"/>
    <w:rsid w:val="00EA46F4"/>
    <w:rsid w:val="00EA4722"/>
    <w:rsid w:val="00EA5071"/>
    <w:rsid w:val="00EA5BF2"/>
    <w:rsid w:val="00EA5DF2"/>
    <w:rsid w:val="00EA7103"/>
    <w:rsid w:val="00EA795A"/>
    <w:rsid w:val="00EA7A57"/>
    <w:rsid w:val="00EB040C"/>
    <w:rsid w:val="00EB0E4C"/>
    <w:rsid w:val="00EB168B"/>
    <w:rsid w:val="00EB1B3F"/>
    <w:rsid w:val="00EB1D7B"/>
    <w:rsid w:val="00EB2273"/>
    <w:rsid w:val="00EB2932"/>
    <w:rsid w:val="00EB2AAE"/>
    <w:rsid w:val="00EB2F3C"/>
    <w:rsid w:val="00EB3DF5"/>
    <w:rsid w:val="00EB41AE"/>
    <w:rsid w:val="00EB43A5"/>
    <w:rsid w:val="00EB4439"/>
    <w:rsid w:val="00EB47CE"/>
    <w:rsid w:val="00EB530B"/>
    <w:rsid w:val="00EB6005"/>
    <w:rsid w:val="00EB6305"/>
    <w:rsid w:val="00EB663D"/>
    <w:rsid w:val="00EB6D4C"/>
    <w:rsid w:val="00EB6F77"/>
    <w:rsid w:val="00EC049F"/>
    <w:rsid w:val="00EC088F"/>
    <w:rsid w:val="00EC0CE7"/>
    <w:rsid w:val="00EC16C6"/>
    <w:rsid w:val="00EC343E"/>
    <w:rsid w:val="00EC4545"/>
    <w:rsid w:val="00EC4905"/>
    <w:rsid w:val="00EC5555"/>
    <w:rsid w:val="00EC574D"/>
    <w:rsid w:val="00EC59AF"/>
    <w:rsid w:val="00EC6F50"/>
    <w:rsid w:val="00EC700D"/>
    <w:rsid w:val="00EC70CF"/>
    <w:rsid w:val="00EC7B21"/>
    <w:rsid w:val="00EC7D81"/>
    <w:rsid w:val="00ED17A6"/>
    <w:rsid w:val="00ED1EBE"/>
    <w:rsid w:val="00ED3E18"/>
    <w:rsid w:val="00ED402C"/>
    <w:rsid w:val="00ED5048"/>
    <w:rsid w:val="00ED51CA"/>
    <w:rsid w:val="00ED584F"/>
    <w:rsid w:val="00ED6BC2"/>
    <w:rsid w:val="00ED79E1"/>
    <w:rsid w:val="00EE0B59"/>
    <w:rsid w:val="00EE1305"/>
    <w:rsid w:val="00EE1C5A"/>
    <w:rsid w:val="00EE1F45"/>
    <w:rsid w:val="00EE2481"/>
    <w:rsid w:val="00EE2D5D"/>
    <w:rsid w:val="00EE3680"/>
    <w:rsid w:val="00EE5950"/>
    <w:rsid w:val="00EE668A"/>
    <w:rsid w:val="00EE6BA2"/>
    <w:rsid w:val="00EE6BA6"/>
    <w:rsid w:val="00EE6C7F"/>
    <w:rsid w:val="00EE71AB"/>
    <w:rsid w:val="00EE78B2"/>
    <w:rsid w:val="00EF05FD"/>
    <w:rsid w:val="00EF247A"/>
    <w:rsid w:val="00EF329F"/>
    <w:rsid w:val="00EF3549"/>
    <w:rsid w:val="00EF3ECA"/>
    <w:rsid w:val="00EF3FE8"/>
    <w:rsid w:val="00EF47A3"/>
    <w:rsid w:val="00EF6B6E"/>
    <w:rsid w:val="00EF6B93"/>
    <w:rsid w:val="00EF7F85"/>
    <w:rsid w:val="00EF7FE1"/>
    <w:rsid w:val="00F00338"/>
    <w:rsid w:val="00F00649"/>
    <w:rsid w:val="00F00E2E"/>
    <w:rsid w:val="00F015D0"/>
    <w:rsid w:val="00F016DD"/>
    <w:rsid w:val="00F01B18"/>
    <w:rsid w:val="00F01E8E"/>
    <w:rsid w:val="00F03386"/>
    <w:rsid w:val="00F039FC"/>
    <w:rsid w:val="00F03C61"/>
    <w:rsid w:val="00F03EDC"/>
    <w:rsid w:val="00F0463A"/>
    <w:rsid w:val="00F04AA9"/>
    <w:rsid w:val="00F05031"/>
    <w:rsid w:val="00F05323"/>
    <w:rsid w:val="00F054AA"/>
    <w:rsid w:val="00F06185"/>
    <w:rsid w:val="00F07670"/>
    <w:rsid w:val="00F1056D"/>
    <w:rsid w:val="00F110BC"/>
    <w:rsid w:val="00F116E6"/>
    <w:rsid w:val="00F13340"/>
    <w:rsid w:val="00F13C4E"/>
    <w:rsid w:val="00F1428F"/>
    <w:rsid w:val="00F1447F"/>
    <w:rsid w:val="00F14674"/>
    <w:rsid w:val="00F150F4"/>
    <w:rsid w:val="00F167B5"/>
    <w:rsid w:val="00F17864"/>
    <w:rsid w:val="00F205A9"/>
    <w:rsid w:val="00F20712"/>
    <w:rsid w:val="00F211AB"/>
    <w:rsid w:val="00F21FE2"/>
    <w:rsid w:val="00F224FB"/>
    <w:rsid w:val="00F24370"/>
    <w:rsid w:val="00F26286"/>
    <w:rsid w:val="00F278B3"/>
    <w:rsid w:val="00F27A64"/>
    <w:rsid w:val="00F27ADC"/>
    <w:rsid w:val="00F3015A"/>
    <w:rsid w:val="00F316D8"/>
    <w:rsid w:val="00F3230D"/>
    <w:rsid w:val="00F32701"/>
    <w:rsid w:val="00F32D3F"/>
    <w:rsid w:val="00F33909"/>
    <w:rsid w:val="00F33BEE"/>
    <w:rsid w:val="00F33DB2"/>
    <w:rsid w:val="00F340A0"/>
    <w:rsid w:val="00F34CAB"/>
    <w:rsid w:val="00F34F16"/>
    <w:rsid w:val="00F351DD"/>
    <w:rsid w:val="00F35A73"/>
    <w:rsid w:val="00F400AB"/>
    <w:rsid w:val="00F4011D"/>
    <w:rsid w:val="00F4019E"/>
    <w:rsid w:val="00F40E44"/>
    <w:rsid w:val="00F43444"/>
    <w:rsid w:val="00F434FE"/>
    <w:rsid w:val="00F43940"/>
    <w:rsid w:val="00F4394D"/>
    <w:rsid w:val="00F44BFC"/>
    <w:rsid w:val="00F4560D"/>
    <w:rsid w:val="00F4673F"/>
    <w:rsid w:val="00F46BFA"/>
    <w:rsid w:val="00F47074"/>
    <w:rsid w:val="00F4764F"/>
    <w:rsid w:val="00F4789D"/>
    <w:rsid w:val="00F50ED3"/>
    <w:rsid w:val="00F52750"/>
    <w:rsid w:val="00F52CEF"/>
    <w:rsid w:val="00F53162"/>
    <w:rsid w:val="00F5420F"/>
    <w:rsid w:val="00F544D5"/>
    <w:rsid w:val="00F54B39"/>
    <w:rsid w:val="00F54CB4"/>
    <w:rsid w:val="00F54E6F"/>
    <w:rsid w:val="00F558FA"/>
    <w:rsid w:val="00F55B19"/>
    <w:rsid w:val="00F55E6F"/>
    <w:rsid w:val="00F56585"/>
    <w:rsid w:val="00F566C4"/>
    <w:rsid w:val="00F570E4"/>
    <w:rsid w:val="00F574EB"/>
    <w:rsid w:val="00F57974"/>
    <w:rsid w:val="00F601F4"/>
    <w:rsid w:val="00F6035C"/>
    <w:rsid w:val="00F6038B"/>
    <w:rsid w:val="00F60FD7"/>
    <w:rsid w:val="00F618BB"/>
    <w:rsid w:val="00F61BB5"/>
    <w:rsid w:val="00F61E19"/>
    <w:rsid w:val="00F62E6B"/>
    <w:rsid w:val="00F62E84"/>
    <w:rsid w:val="00F6391A"/>
    <w:rsid w:val="00F639FE"/>
    <w:rsid w:val="00F63E67"/>
    <w:rsid w:val="00F63EDE"/>
    <w:rsid w:val="00F641D4"/>
    <w:rsid w:val="00F656ED"/>
    <w:rsid w:val="00F6576F"/>
    <w:rsid w:val="00F65DBF"/>
    <w:rsid w:val="00F675D0"/>
    <w:rsid w:val="00F67FC9"/>
    <w:rsid w:val="00F71746"/>
    <w:rsid w:val="00F731F0"/>
    <w:rsid w:val="00F739C2"/>
    <w:rsid w:val="00F73B12"/>
    <w:rsid w:val="00F74064"/>
    <w:rsid w:val="00F74CA5"/>
    <w:rsid w:val="00F75577"/>
    <w:rsid w:val="00F756ED"/>
    <w:rsid w:val="00F75D55"/>
    <w:rsid w:val="00F77545"/>
    <w:rsid w:val="00F832C2"/>
    <w:rsid w:val="00F83D8B"/>
    <w:rsid w:val="00F8483B"/>
    <w:rsid w:val="00F85576"/>
    <w:rsid w:val="00F8604D"/>
    <w:rsid w:val="00F870EE"/>
    <w:rsid w:val="00F87E31"/>
    <w:rsid w:val="00F87F0E"/>
    <w:rsid w:val="00F90374"/>
    <w:rsid w:val="00F91567"/>
    <w:rsid w:val="00F9271A"/>
    <w:rsid w:val="00F95201"/>
    <w:rsid w:val="00F955D6"/>
    <w:rsid w:val="00F95B82"/>
    <w:rsid w:val="00F96A31"/>
    <w:rsid w:val="00F979A9"/>
    <w:rsid w:val="00F97E2F"/>
    <w:rsid w:val="00FA0570"/>
    <w:rsid w:val="00FA076F"/>
    <w:rsid w:val="00FA08C2"/>
    <w:rsid w:val="00FA102D"/>
    <w:rsid w:val="00FA1279"/>
    <w:rsid w:val="00FA1325"/>
    <w:rsid w:val="00FA134A"/>
    <w:rsid w:val="00FA1D7D"/>
    <w:rsid w:val="00FA210C"/>
    <w:rsid w:val="00FA21AE"/>
    <w:rsid w:val="00FA2728"/>
    <w:rsid w:val="00FA2887"/>
    <w:rsid w:val="00FA2A66"/>
    <w:rsid w:val="00FA2ACE"/>
    <w:rsid w:val="00FA2EF8"/>
    <w:rsid w:val="00FA384C"/>
    <w:rsid w:val="00FA3B83"/>
    <w:rsid w:val="00FA3D38"/>
    <w:rsid w:val="00FA3D69"/>
    <w:rsid w:val="00FA44BD"/>
    <w:rsid w:val="00FA470C"/>
    <w:rsid w:val="00FA47FB"/>
    <w:rsid w:val="00FA4856"/>
    <w:rsid w:val="00FA5166"/>
    <w:rsid w:val="00FA5349"/>
    <w:rsid w:val="00FA5831"/>
    <w:rsid w:val="00FA5E6E"/>
    <w:rsid w:val="00FA6687"/>
    <w:rsid w:val="00FA7D9A"/>
    <w:rsid w:val="00FB011A"/>
    <w:rsid w:val="00FB0350"/>
    <w:rsid w:val="00FB0A26"/>
    <w:rsid w:val="00FB11DB"/>
    <w:rsid w:val="00FB1A5D"/>
    <w:rsid w:val="00FB2844"/>
    <w:rsid w:val="00FB2AD1"/>
    <w:rsid w:val="00FB4B33"/>
    <w:rsid w:val="00FB57A3"/>
    <w:rsid w:val="00FB5EF1"/>
    <w:rsid w:val="00FC0A32"/>
    <w:rsid w:val="00FC0AF0"/>
    <w:rsid w:val="00FC1051"/>
    <w:rsid w:val="00FC1DFE"/>
    <w:rsid w:val="00FC1EEC"/>
    <w:rsid w:val="00FC3A3C"/>
    <w:rsid w:val="00FC3C40"/>
    <w:rsid w:val="00FC3D31"/>
    <w:rsid w:val="00FC3F64"/>
    <w:rsid w:val="00FC49DE"/>
    <w:rsid w:val="00FC4A0F"/>
    <w:rsid w:val="00FC554F"/>
    <w:rsid w:val="00FC6428"/>
    <w:rsid w:val="00FD141C"/>
    <w:rsid w:val="00FD15EF"/>
    <w:rsid w:val="00FD3430"/>
    <w:rsid w:val="00FD3615"/>
    <w:rsid w:val="00FD39E4"/>
    <w:rsid w:val="00FD4A78"/>
    <w:rsid w:val="00FD4A97"/>
    <w:rsid w:val="00FD4D66"/>
    <w:rsid w:val="00FD6135"/>
    <w:rsid w:val="00FD6934"/>
    <w:rsid w:val="00FD6A2E"/>
    <w:rsid w:val="00FD7135"/>
    <w:rsid w:val="00FD7E16"/>
    <w:rsid w:val="00FE01B5"/>
    <w:rsid w:val="00FE07E0"/>
    <w:rsid w:val="00FE07F4"/>
    <w:rsid w:val="00FE160F"/>
    <w:rsid w:val="00FE199C"/>
    <w:rsid w:val="00FE27FD"/>
    <w:rsid w:val="00FE3A3A"/>
    <w:rsid w:val="00FE3FDD"/>
    <w:rsid w:val="00FE4439"/>
    <w:rsid w:val="00FE489D"/>
    <w:rsid w:val="00FE51C9"/>
    <w:rsid w:val="00FE53B1"/>
    <w:rsid w:val="00FE5CB1"/>
    <w:rsid w:val="00FE7F90"/>
    <w:rsid w:val="00FF105A"/>
    <w:rsid w:val="00FF10D9"/>
    <w:rsid w:val="00FF1B01"/>
    <w:rsid w:val="00FF1CF1"/>
    <w:rsid w:val="00FF1D1B"/>
    <w:rsid w:val="00FF38A3"/>
    <w:rsid w:val="00FF4659"/>
    <w:rsid w:val="00FF4BB4"/>
    <w:rsid w:val="00FF5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customStyle="1" w:styleId="paragraph">
    <w:name w:val="paragraph"/>
    <w:aliases w:val="a"/>
    <w:basedOn w:val="Normal"/>
    <w:rsid w:val="009B50E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CharSectno">
    <w:name w:val="CharSectno"/>
    <w:basedOn w:val="DefaultParagraphFont"/>
    <w:qFormat/>
    <w:rsid w:val="00D34345"/>
  </w:style>
  <w:style w:type="character" w:customStyle="1" w:styleId="ActHead5Char">
    <w:name w:val="ActHead 5 Char"/>
    <w:aliases w:val="s Char"/>
    <w:link w:val="ActHead5"/>
    <w:locked/>
    <w:rsid w:val="00793DA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793DA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paragraph" w:customStyle="1" w:styleId="paragraphsub">
    <w:name w:val="paragraph(sub)"/>
    <w:aliases w:val="aa"/>
    <w:basedOn w:val="Normal"/>
    <w:rsid w:val="00B16609"/>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definition">
    <w:name w:val="definition"/>
    <w:basedOn w:val="Normal"/>
    <w:rsid w:val="00E06D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aliases w:val="dd"/>
    <w:basedOn w:val="Normal"/>
    <w:rsid w:val="00567442"/>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basedOn w:val="Normal"/>
    <w:rsid w:val="00EA79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441D7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441D7E"/>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441D7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notetext0">
    <w:name w:val="note(text)"/>
    <w:aliases w:val="n"/>
    <w:basedOn w:val="Normal"/>
    <w:link w:val="notetextChar"/>
    <w:rsid w:val="00441D7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441D7E"/>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0"/>
    <w:rsid w:val="00441D7E"/>
    <w:rPr>
      <w:rFonts w:ascii="Times New Roman" w:eastAsia="Times New Roman" w:hAnsi="Times New Roman" w:cs="Times New Roman"/>
      <w:sz w:val="18"/>
      <w:szCs w:val="20"/>
      <w:lang w:eastAsia="en-AU"/>
    </w:rPr>
  </w:style>
  <w:style w:type="paragraph" w:styleId="NormalWeb">
    <w:name w:val="Normal (Web)"/>
    <w:basedOn w:val="Normal"/>
    <w:uiPriority w:val="99"/>
    <w:semiHidden/>
    <w:unhideWhenUsed/>
    <w:rsid w:val="004D62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8233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84743"/>
    <w:pPr>
      <w:spacing w:after="0" w:line="240" w:lineRule="auto"/>
    </w:pPr>
  </w:style>
  <w:style w:type="table" w:styleId="TableGrid">
    <w:name w:val="Table Grid"/>
    <w:basedOn w:val="TableNormal"/>
    <w:rsid w:val="00312958"/>
    <w:pPr>
      <w:spacing w:after="0" w:line="240" w:lineRule="auto"/>
    </w:pPr>
    <w:rPr>
      <w:rFonts w:ascii="Times New Roman" w:eastAsia="Times New Roman" w:hAnsi="Times New Roman" w:cs="Times New Roman"/>
      <w:sz w:val="20"/>
      <w:szCs w:val="20"/>
      <w:lang w:eastAsia="en-AU"/>
    </w:rPr>
    <w:tblPr/>
  </w:style>
  <w:style w:type="paragraph" w:styleId="Header">
    <w:name w:val="header"/>
    <w:basedOn w:val="Normal"/>
    <w:link w:val="HeaderChar"/>
    <w:uiPriority w:val="99"/>
    <w:unhideWhenUsed/>
    <w:rsid w:val="00312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958"/>
  </w:style>
  <w:style w:type="paragraph" w:styleId="Footer">
    <w:name w:val="footer"/>
    <w:basedOn w:val="Normal"/>
    <w:link w:val="FooterChar"/>
    <w:uiPriority w:val="99"/>
    <w:unhideWhenUsed/>
    <w:rsid w:val="00312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1029">
      <w:bodyDiv w:val="1"/>
      <w:marLeft w:val="0"/>
      <w:marRight w:val="0"/>
      <w:marTop w:val="0"/>
      <w:marBottom w:val="0"/>
      <w:divBdr>
        <w:top w:val="none" w:sz="0" w:space="0" w:color="auto"/>
        <w:left w:val="none" w:sz="0" w:space="0" w:color="auto"/>
        <w:bottom w:val="none" w:sz="0" w:space="0" w:color="auto"/>
        <w:right w:val="none" w:sz="0" w:space="0" w:color="auto"/>
      </w:divBdr>
    </w:div>
    <w:div w:id="144318939">
      <w:bodyDiv w:val="1"/>
      <w:marLeft w:val="0"/>
      <w:marRight w:val="0"/>
      <w:marTop w:val="0"/>
      <w:marBottom w:val="0"/>
      <w:divBdr>
        <w:top w:val="none" w:sz="0" w:space="0" w:color="auto"/>
        <w:left w:val="none" w:sz="0" w:space="0" w:color="auto"/>
        <w:bottom w:val="none" w:sz="0" w:space="0" w:color="auto"/>
        <w:right w:val="none" w:sz="0" w:space="0" w:color="auto"/>
      </w:divBdr>
    </w:div>
    <w:div w:id="144319807">
      <w:bodyDiv w:val="1"/>
      <w:marLeft w:val="0"/>
      <w:marRight w:val="0"/>
      <w:marTop w:val="0"/>
      <w:marBottom w:val="0"/>
      <w:divBdr>
        <w:top w:val="none" w:sz="0" w:space="0" w:color="auto"/>
        <w:left w:val="none" w:sz="0" w:space="0" w:color="auto"/>
        <w:bottom w:val="none" w:sz="0" w:space="0" w:color="auto"/>
        <w:right w:val="none" w:sz="0" w:space="0" w:color="auto"/>
      </w:divBdr>
    </w:div>
    <w:div w:id="149910537">
      <w:bodyDiv w:val="1"/>
      <w:marLeft w:val="0"/>
      <w:marRight w:val="0"/>
      <w:marTop w:val="0"/>
      <w:marBottom w:val="0"/>
      <w:divBdr>
        <w:top w:val="none" w:sz="0" w:space="0" w:color="auto"/>
        <w:left w:val="none" w:sz="0" w:space="0" w:color="auto"/>
        <w:bottom w:val="none" w:sz="0" w:space="0" w:color="auto"/>
        <w:right w:val="none" w:sz="0" w:space="0" w:color="auto"/>
      </w:divBdr>
    </w:div>
    <w:div w:id="213275621">
      <w:bodyDiv w:val="1"/>
      <w:marLeft w:val="0"/>
      <w:marRight w:val="0"/>
      <w:marTop w:val="0"/>
      <w:marBottom w:val="0"/>
      <w:divBdr>
        <w:top w:val="none" w:sz="0" w:space="0" w:color="auto"/>
        <w:left w:val="none" w:sz="0" w:space="0" w:color="auto"/>
        <w:bottom w:val="none" w:sz="0" w:space="0" w:color="auto"/>
        <w:right w:val="none" w:sz="0" w:space="0" w:color="auto"/>
      </w:divBdr>
    </w:div>
    <w:div w:id="229729224">
      <w:bodyDiv w:val="1"/>
      <w:marLeft w:val="0"/>
      <w:marRight w:val="0"/>
      <w:marTop w:val="0"/>
      <w:marBottom w:val="0"/>
      <w:divBdr>
        <w:top w:val="none" w:sz="0" w:space="0" w:color="auto"/>
        <w:left w:val="none" w:sz="0" w:space="0" w:color="auto"/>
        <w:bottom w:val="none" w:sz="0" w:space="0" w:color="auto"/>
        <w:right w:val="none" w:sz="0" w:space="0" w:color="auto"/>
      </w:divBdr>
    </w:div>
    <w:div w:id="234291691">
      <w:bodyDiv w:val="1"/>
      <w:marLeft w:val="0"/>
      <w:marRight w:val="0"/>
      <w:marTop w:val="0"/>
      <w:marBottom w:val="0"/>
      <w:divBdr>
        <w:top w:val="none" w:sz="0" w:space="0" w:color="auto"/>
        <w:left w:val="none" w:sz="0" w:space="0" w:color="auto"/>
        <w:bottom w:val="none" w:sz="0" w:space="0" w:color="auto"/>
        <w:right w:val="none" w:sz="0" w:space="0" w:color="auto"/>
      </w:divBdr>
    </w:div>
    <w:div w:id="237323234">
      <w:bodyDiv w:val="1"/>
      <w:marLeft w:val="0"/>
      <w:marRight w:val="0"/>
      <w:marTop w:val="0"/>
      <w:marBottom w:val="0"/>
      <w:divBdr>
        <w:top w:val="none" w:sz="0" w:space="0" w:color="auto"/>
        <w:left w:val="none" w:sz="0" w:space="0" w:color="auto"/>
        <w:bottom w:val="none" w:sz="0" w:space="0" w:color="auto"/>
        <w:right w:val="none" w:sz="0" w:space="0" w:color="auto"/>
      </w:divBdr>
    </w:div>
    <w:div w:id="250939615">
      <w:bodyDiv w:val="1"/>
      <w:marLeft w:val="0"/>
      <w:marRight w:val="0"/>
      <w:marTop w:val="0"/>
      <w:marBottom w:val="0"/>
      <w:divBdr>
        <w:top w:val="none" w:sz="0" w:space="0" w:color="auto"/>
        <w:left w:val="none" w:sz="0" w:space="0" w:color="auto"/>
        <w:bottom w:val="none" w:sz="0" w:space="0" w:color="auto"/>
        <w:right w:val="none" w:sz="0" w:space="0" w:color="auto"/>
      </w:divBdr>
    </w:div>
    <w:div w:id="274751951">
      <w:bodyDiv w:val="1"/>
      <w:marLeft w:val="0"/>
      <w:marRight w:val="0"/>
      <w:marTop w:val="0"/>
      <w:marBottom w:val="0"/>
      <w:divBdr>
        <w:top w:val="none" w:sz="0" w:space="0" w:color="auto"/>
        <w:left w:val="none" w:sz="0" w:space="0" w:color="auto"/>
        <w:bottom w:val="none" w:sz="0" w:space="0" w:color="auto"/>
        <w:right w:val="none" w:sz="0" w:space="0" w:color="auto"/>
      </w:divBdr>
    </w:div>
    <w:div w:id="275412422">
      <w:bodyDiv w:val="1"/>
      <w:marLeft w:val="0"/>
      <w:marRight w:val="0"/>
      <w:marTop w:val="0"/>
      <w:marBottom w:val="0"/>
      <w:divBdr>
        <w:top w:val="none" w:sz="0" w:space="0" w:color="auto"/>
        <w:left w:val="none" w:sz="0" w:space="0" w:color="auto"/>
        <w:bottom w:val="none" w:sz="0" w:space="0" w:color="auto"/>
        <w:right w:val="none" w:sz="0" w:space="0" w:color="auto"/>
      </w:divBdr>
    </w:div>
    <w:div w:id="280264685">
      <w:bodyDiv w:val="1"/>
      <w:marLeft w:val="0"/>
      <w:marRight w:val="0"/>
      <w:marTop w:val="0"/>
      <w:marBottom w:val="0"/>
      <w:divBdr>
        <w:top w:val="none" w:sz="0" w:space="0" w:color="auto"/>
        <w:left w:val="none" w:sz="0" w:space="0" w:color="auto"/>
        <w:bottom w:val="none" w:sz="0" w:space="0" w:color="auto"/>
        <w:right w:val="none" w:sz="0" w:space="0" w:color="auto"/>
      </w:divBdr>
    </w:div>
    <w:div w:id="281573827">
      <w:bodyDiv w:val="1"/>
      <w:marLeft w:val="0"/>
      <w:marRight w:val="0"/>
      <w:marTop w:val="0"/>
      <w:marBottom w:val="0"/>
      <w:divBdr>
        <w:top w:val="none" w:sz="0" w:space="0" w:color="auto"/>
        <w:left w:val="none" w:sz="0" w:space="0" w:color="auto"/>
        <w:bottom w:val="none" w:sz="0" w:space="0" w:color="auto"/>
        <w:right w:val="none" w:sz="0" w:space="0" w:color="auto"/>
      </w:divBdr>
    </w:div>
    <w:div w:id="284582647">
      <w:bodyDiv w:val="1"/>
      <w:marLeft w:val="0"/>
      <w:marRight w:val="0"/>
      <w:marTop w:val="0"/>
      <w:marBottom w:val="0"/>
      <w:divBdr>
        <w:top w:val="none" w:sz="0" w:space="0" w:color="auto"/>
        <w:left w:val="none" w:sz="0" w:space="0" w:color="auto"/>
        <w:bottom w:val="none" w:sz="0" w:space="0" w:color="auto"/>
        <w:right w:val="none" w:sz="0" w:space="0" w:color="auto"/>
      </w:divBdr>
    </w:div>
    <w:div w:id="285965470">
      <w:bodyDiv w:val="1"/>
      <w:marLeft w:val="0"/>
      <w:marRight w:val="0"/>
      <w:marTop w:val="0"/>
      <w:marBottom w:val="0"/>
      <w:divBdr>
        <w:top w:val="none" w:sz="0" w:space="0" w:color="auto"/>
        <w:left w:val="none" w:sz="0" w:space="0" w:color="auto"/>
        <w:bottom w:val="none" w:sz="0" w:space="0" w:color="auto"/>
        <w:right w:val="none" w:sz="0" w:space="0" w:color="auto"/>
      </w:divBdr>
    </w:div>
    <w:div w:id="307824739">
      <w:bodyDiv w:val="1"/>
      <w:marLeft w:val="0"/>
      <w:marRight w:val="0"/>
      <w:marTop w:val="0"/>
      <w:marBottom w:val="0"/>
      <w:divBdr>
        <w:top w:val="none" w:sz="0" w:space="0" w:color="auto"/>
        <w:left w:val="none" w:sz="0" w:space="0" w:color="auto"/>
        <w:bottom w:val="none" w:sz="0" w:space="0" w:color="auto"/>
        <w:right w:val="none" w:sz="0" w:space="0" w:color="auto"/>
      </w:divBdr>
    </w:div>
    <w:div w:id="334459929">
      <w:bodyDiv w:val="1"/>
      <w:marLeft w:val="0"/>
      <w:marRight w:val="0"/>
      <w:marTop w:val="0"/>
      <w:marBottom w:val="0"/>
      <w:divBdr>
        <w:top w:val="none" w:sz="0" w:space="0" w:color="auto"/>
        <w:left w:val="none" w:sz="0" w:space="0" w:color="auto"/>
        <w:bottom w:val="none" w:sz="0" w:space="0" w:color="auto"/>
        <w:right w:val="none" w:sz="0" w:space="0" w:color="auto"/>
      </w:divBdr>
    </w:div>
    <w:div w:id="339893241">
      <w:bodyDiv w:val="1"/>
      <w:marLeft w:val="0"/>
      <w:marRight w:val="0"/>
      <w:marTop w:val="0"/>
      <w:marBottom w:val="0"/>
      <w:divBdr>
        <w:top w:val="none" w:sz="0" w:space="0" w:color="auto"/>
        <w:left w:val="none" w:sz="0" w:space="0" w:color="auto"/>
        <w:bottom w:val="none" w:sz="0" w:space="0" w:color="auto"/>
        <w:right w:val="none" w:sz="0" w:space="0" w:color="auto"/>
      </w:divBdr>
    </w:div>
    <w:div w:id="346254021">
      <w:bodyDiv w:val="1"/>
      <w:marLeft w:val="0"/>
      <w:marRight w:val="0"/>
      <w:marTop w:val="0"/>
      <w:marBottom w:val="0"/>
      <w:divBdr>
        <w:top w:val="none" w:sz="0" w:space="0" w:color="auto"/>
        <w:left w:val="none" w:sz="0" w:space="0" w:color="auto"/>
        <w:bottom w:val="none" w:sz="0" w:space="0" w:color="auto"/>
        <w:right w:val="none" w:sz="0" w:space="0" w:color="auto"/>
      </w:divBdr>
    </w:div>
    <w:div w:id="350649881">
      <w:bodyDiv w:val="1"/>
      <w:marLeft w:val="0"/>
      <w:marRight w:val="0"/>
      <w:marTop w:val="0"/>
      <w:marBottom w:val="0"/>
      <w:divBdr>
        <w:top w:val="none" w:sz="0" w:space="0" w:color="auto"/>
        <w:left w:val="none" w:sz="0" w:space="0" w:color="auto"/>
        <w:bottom w:val="none" w:sz="0" w:space="0" w:color="auto"/>
        <w:right w:val="none" w:sz="0" w:space="0" w:color="auto"/>
      </w:divBdr>
    </w:div>
    <w:div w:id="448015017">
      <w:bodyDiv w:val="1"/>
      <w:marLeft w:val="0"/>
      <w:marRight w:val="0"/>
      <w:marTop w:val="0"/>
      <w:marBottom w:val="0"/>
      <w:divBdr>
        <w:top w:val="none" w:sz="0" w:space="0" w:color="auto"/>
        <w:left w:val="none" w:sz="0" w:space="0" w:color="auto"/>
        <w:bottom w:val="none" w:sz="0" w:space="0" w:color="auto"/>
        <w:right w:val="none" w:sz="0" w:space="0" w:color="auto"/>
      </w:divBdr>
    </w:div>
    <w:div w:id="572933164">
      <w:bodyDiv w:val="1"/>
      <w:marLeft w:val="0"/>
      <w:marRight w:val="0"/>
      <w:marTop w:val="0"/>
      <w:marBottom w:val="0"/>
      <w:divBdr>
        <w:top w:val="none" w:sz="0" w:space="0" w:color="auto"/>
        <w:left w:val="none" w:sz="0" w:space="0" w:color="auto"/>
        <w:bottom w:val="none" w:sz="0" w:space="0" w:color="auto"/>
        <w:right w:val="none" w:sz="0" w:space="0" w:color="auto"/>
      </w:divBdr>
    </w:div>
    <w:div w:id="608317912">
      <w:bodyDiv w:val="1"/>
      <w:marLeft w:val="0"/>
      <w:marRight w:val="0"/>
      <w:marTop w:val="0"/>
      <w:marBottom w:val="0"/>
      <w:divBdr>
        <w:top w:val="none" w:sz="0" w:space="0" w:color="auto"/>
        <w:left w:val="none" w:sz="0" w:space="0" w:color="auto"/>
        <w:bottom w:val="none" w:sz="0" w:space="0" w:color="auto"/>
        <w:right w:val="none" w:sz="0" w:space="0" w:color="auto"/>
      </w:divBdr>
    </w:div>
    <w:div w:id="623656385">
      <w:bodyDiv w:val="1"/>
      <w:marLeft w:val="0"/>
      <w:marRight w:val="0"/>
      <w:marTop w:val="0"/>
      <w:marBottom w:val="0"/>
      <w:divBdr>
        <w:top w:val="none" w:sz="0" w:space="0" w:color="auto"/>
        <w:left w:val="none" w:sz="0" w:space="0" w:color="auto"/>
        <w:bottom w:val="none" w:sz="0" w:space="0" w:color="auto"/>
        <w:right w:val="none" w:sz="0" w:space="0" w:color="auto"/>
      </w:divBdr>
    </w:div>
    <w:div w:id="708991622">
      <w:bodyDiv w:val="1"/>
      <w:marLeft w:val="0"/>
      <w:marRight w:val="0"/>
      <w:marTop w:val="0"/>
      <w:marBottom w:val="0"/>
      <w:divBdr>
        <w:top w:val="none" w:sz="0" w:space="0" w:color="auto"/>
        <w:left w:val="none" w:sz="0" w:space="0" w:color="auto"/>
        <w:bottom w:val="none" w:sz="0" w:space="0" w:color="auto"/>
        <w:right w:val="none" w:sz="0" w:space="0" w:color="auto"/>
      </w:divBdr>
    </w:div>
    <w:div w:id="816726497">
      <w:bodyDiv w:val="1"/>
      <w:marLeft w:val="0"/>
      <w:marRight w:val="0"/>
      <w:marTop w:val="0"/>
      <w:marBottom w:val="0"/>
      <w:divBdr>
        <w:top w:val="none" w:sz="0" w:space="0" w:color="auto"/>
        <w:left w:val="none" w:sz="0" w:space="0" w:color="auto"/>
        <w:bottom w:val="none" w:sz="0" w:space="0" w:color="auto"/>
        <w:right w:val="none" w:sz="0" w:space="0" w:color="auto"/>
      </w:divBdr>
    </w:div>
    <w:div w:id="819034798">
      <w:bodyDiv w:val="1"/>
      <w:marLeft w:val="0"/>
      <w:marRight w:val="0"/>
      <w:marTop w:val="0"/>
      <w:marBottom w:val="0"/>
      <w:divBdr>
        <w:top w:val="none" w:sz="0" w:space="0" w:color="auto"/>
        <w:left w:val="none" w:sz="0" w:space="0" w:color="auto"/>
        <w:bottom w:val="none" w:sz="0" w:space="0" w:color="auto"/>
        <w:right w:val="none" w:sz="0" w:space="0" w:color="auto"/>
      </w:divBdr>
    </w:div>
    <w:div w:id="840655577">
      <w:bodyDiv w:val="1"/>
      <w:marLeft w:val="0"/>
      <w:marRight w:val="0"/>
      <w:marTop w:val="0"/>
      <w:marBottom w:val="0"/>
      <w:divBdr>
        <w:top w:val="none" w:sz="0" w:space="0" w:color="auto"/>
        <w:left w:val="none" w:sz="0" w:space="0" w:color="auto"/>
        <w:bottom w:val="none" w:sz="0" w:space="0" w:color="auto"/>
        <w:right w:val="none" w:sz="0" w:space="0" w:color="auto"/>
      </w:divBdr>
    </w:div>
    <w:div w:id="853762188">
      <w:bodyDiv w:val="1"/>
      <w:marLeft w:val="0"/>
      <w:marRight w:val="0"/>
      <w:marTop w:val="0"/>
      <w:marBottom w:val="0"/>
      <w:divBdr>
        <w:top w:val="none" w:sz="0" w:space="0" w:color="auto"/>
        <w:left w:val="none" w:sz="0" w:space="0" w:color="auto"/>
        <w:bottom w:val="none" w:sz="0" w:space="0" w:color="auto"/>
        <w:right w:val="none" w:sz="0" w:space="0" w:color="auto"/>
      </w:divBdr>
    </w:div>
    <w:div w:id="922758097">
      <w:bodyDiv w:val="1"/>
      <w:marLeft w:val="0"/>
      <w:marRight w:val="0"/>
      <w:marTop w:val="0"/>
      <w:marBottom w:val="0"/>
      <w:divBdr>
        <w:top w:val="none" w:sz="0" w:space="0" w:color="auto"/>
        <w:left w:val="none" w:sz="0" w:space="0" w:color="auto"/>
        <w:bottom w:val="none" w:sz="0" w:space="0" w:color="auto"/>
        <w:right w:val="none" w:sz="0" w:space="0" w:color="auto"/>
      </w:divBdr>
    </w:div>
    <w:div w:id="931399964">
      <w:bodyDiv w:val="1"/>
      <w:marLeft w:val="0"/>
      <w:marRight w:val="0"/>
      <w:marTop w:val="0"/>
      <w:marBottom w:val="0"/>
      <w:divBdr>
        <w:top w:val="none" w:sz="0" w:space="0" w:color="auto"/>
        <w:left w:val="none" w:sz="0" w:space="0" w:color="auto"/>
        <w:bottom w:val="none" w:sz="0" w:space="0" w:color="auto"/>
        <w:right w:val="none" w:sz="0" w:space="0" w:color="auto"/>
      </w:divBdr>
    </w:div>
    <w:div w:id="940726104">
      <w:bodyDiv w:val="1"/>
      <w:marLeft w:val="0"/>
      <w:marRight w:val="0"/>
      <w:marTop w:val="0"/>
      <w:marBottom w:val="0"/>
      <w:divBdr>
        <w:top w:val="none" w:sz="0" w:space="0" w:color="auto"/>
        <w:left w:val="none" w:sz="0" w:space="0" w:color="auto"/>
        <w:bottom w:val="none" w:sz="0" w:space="0" w:color="auto"/>
        <w:right w:val="none" w:sz="0" w:space="0" w:color="auto"/>
      </w:divBdr>
    </w:div>
    <w:div w:id="991569442">
      <w:bodyDiv w:val="1"/>
      <w:marLeft w:val="0"/>
      <w:marRight w:val="0"/>
      <w:marTop w:val="0"/>
      <w:marBottom w:val="0"/>
      <w:divBdr>
        <w:top w:val="none" w:sz="0" w:space="0" w:color="auto"/>
        <w:left w:val="none" w:sz="0" w:space="0" w:color="auto"/>
        <w:bottom w:val="none" w:sz="0" w:space="0" w:color="auto"/>
        <w:right w:val="none" w:sz="0" w:space="0" w:color="auto"/>
      </w:divBdr>
    </w:div>
    <w:div w:id="992486558">
      <w:bodyDiv w:val="1"/>
      <w:marLeft w:val="0"/>
      <w:marRight w:val="0"/>
      <w:marTop w:val="0"/>
      <w:marBottom w:val="0"/>
      <w:divBdr>
        <w:top w:val="none" w:sz="0" w:space="0" w:color="auto"/>
        <w:left w:val="none" w:sz="0" w:space="0" w:color="auto"/>
        <w:bottom w:val="none" w:sz="0" w:space="0" w:color="auto"/>
        <w:right w:val="none" w:sz="0" w:space="0" w:color="auto"/>
      </w:divBdr>
    </w:div>
    <w:div w:id="1014192792">
      <w:bodyDiv w:val="1"/>
      <w:marLeft w:val="0"/>
      <w:marRight w:val="0"/>
      <w:marTop w:val="0"/>
      <w:marBottom w:val="0"/>
      <w:divBdr>
        <w:top w:val="none" w:sz="0" w:space="0" w:color="auto"/>
        <w:left w:val="none" w:sz="0" w:space="0" w:color="auto"/>
        <w:bottom w:val="none" w:sz="0" w:space="0" w:color="auto"/>
        <w:right w:val="none" w:sz="0" w:space="0" w:color="auto"/>
      </w:divBdr>
    </w:div>
    <w:div w:id="1016538305">
      <w:bodyDiv w:val="1"/>
      <w:marLeft w:val="0"/>
      <w:marRight w:val="0"/>
      <w:marTop w:val="0"/>
      <w:marBottom w:val="0"/>
      <w:divBdr>
        <w:top w:val="none" w:sz="0" w:space="0" w:color="auto"/>
        <w:left w:val="none" w:sz="0" w:space="0" w:color="auto"/>
        <w:bottom w:val="none" w:sz="0" w:space="0" w:color="auto"/>
        <w:right w:val="none" w:sz="0" w:space="0" w:color="auto"/>
      </w:divBdr>
    </w:div>
    <w:div w:id="1053652581">
      <w:bodyDiv w:val="1"/>
      <w:marLeft w:val="0"/>
      <w:marRight w:val="0"/>
      <w:marTop w:val="0"/>
      <w:marBottom w:val="0"/>
      <w:divBdr>
        <w:top w:val="none" w:sz="0" w:space="0" w:color="auto"/>
        <w:left w:val="none" w:sz="0" w:space="0" w:color="auto"/>
        <w:bottom w:val="none" w:sz="0" w:space="0" w:color="auto"/>
        <w:right w:val="none" w:sz="0" w:space="0" w:color="auto"/>
      </w:divBdr>
    </w:div>
    <w:div w:id="1066219829">
      <w:bodyDiv w:val="1"/>
      <w:marLeft w:val="0"/>
      <w:marRight w:val="0"/>
      <w:marTop w:val="0"/>
      <w:marBottom w:val="0"/>
      <w:divBdr>
        <w:top w:val="none" w:sz="0" w:space="0" w:color="auto"/>
        <w:left w:val="none" w:sz="0" w:space="0" w:color="auto"/>
        <w:bottom w:val="none" w:sz="0" w:space="0" w:color="auto"/>
        <w:right w:val="none" w:sz="0" w:space="0" w:color="auto"/>
      </w:divBdr>
    </w:div>
    <w:div w:id="1114983154">
      <w:bodyDiv w:val="1"/>
      <w:marLeft w:val="0"/>
      <w:marRight w:val="0"/>
      <w:marTop w:val="0"/>
      <w:marBottom w:val="0"/>
      <w:divBdr>
        <w:top w:val="none" w:sz="0" w:space="0" w:color="auto"/>
        <w:left w:val="none" w:sz="0" w:space="0" w:color="auto"/>
        <w:bottom w:val="none" w:sz="0" w:space="0" w:color="auto"/>
        <w:right w:val="none" w:sz="0" w:space="0" w:color="auto"/>
      </w:divBdr>
    </w:div>
    <w:div w:id="1159031538">
      <w:bodyDiv w:val="1"/>
      <w:marLeft w:val="0"/>
      <w:marRight w:val="0"/>
      <w:marTop w:val="0"/>
      <w:marBottom w:val="0"/>
      <w:divBdr>
        <w:top w:val="none" w:sz="0" w:space="0" w:color="auto"/>
        <w:left w:val="none" w:sz="0" w:space="0" w:color="auto"/>
        <w:bottom w:val="none" w:sz="0" w:space="0" w:color="auto"/>
        <w:right w:val="none" w:sz="0" w:space="0" w:color="auto"/>
      </w:divBdr>
    </w:div>
    <w:div w:id="1197157960">
      <w:bodyDiv w:val="1"/>
      <w:marLeft w:val="0"/>
      <w:marRight w:val="0"/>
      <w:marTop w:val="0"/>
      <w:marBottom w:val="0"/>
      <w:divBdr>
        <w:top w:val="none" w:sz="0" w:space="0" w:color="auto"/>
        <w:left w:val="none" w:sz="0" w:space="0" w:color="auto"/>
        <w:bottom w:val="none" w:sz="0" w:space="0" w:color="auto"/>
        <w:right w:val="none" w:sz="0" w:space="0" w:color="auto"/>
      </w:divBdr>
    </w:div>
    <w:div w:id="1231427279">
      <w:bodyDiv w:val="1"/>
      <w:marLeft w:val="0"/>
      <w:marRight w:val="0"/>
      <w:marTop w:val="0"/>
      <w:marBottom w:val="0"/>
      <w:divBdr>
        <w:top w:val="none" w:sz="0" w:space="0" w:color="auto"/>
        <w:left w:val="none" w:sz="0" w:space="0" w:color="auto"/>
        <w:bottom w:val="none" w:sz="0" w:space="0" w:color="auto"/>
        <w:right w:val="none" w:sz="0" w:space="0" w:color="auto"/>
      </w:divBdr>
    </w:div>
    <w:div w:id="1242718711">
      <w:bodyDiv w:val="1"/>
      <w:marLeft w:val="0"/>
      <w:marRight w:val="0"/>
      <w:marTop w:val="0"/>
      <w:marBottom w:val="0"/>
      <w:divBdr>
        <w:top w:val="none" w:sz="0" w:space="0" w:color="auto"/>
        <w:left w:val="none" w:sz="0" w:space="0" w:color="auto"/>
        <w:bottom w:val="none" w:sz="0" w:space="0" w:color="auto"/>
        <w:right w:val="none" w:sz="0" w:space="0" w:color="auto"/>
      </w:divBdr>
    </w:div>
    <w:div w:id="1274435379">
      <w:bodyDiv w:val="1"/>
      <w:marLeft w:val="0"/>
      <w:marRight w:val="0"/>
      <w:marTop w:val="0"/>
      <w:marBottom w:val="0"/>
      <w:divBdr>
        <w:top w:val="none" w:sz="0" w:space="0" w:color="auto"/>
        <w:left w:val="none" w:sz="0" w:space="0" w:color="auto"/>
        <w:bottom w:val="none" w:sz="0" w:space="0" w:color="auto"/>
        <w:right w:val="none" w:sz="0" w:space="0" w:color="auto"/>
      </w:divBdr>
    </w:div>
    <w:div w:id="1275673227">
      <w:bodyDiv w:val="1"/>
      <w:marLeft w:val="0"/>
      <w:marRight w:val="0"/>
      <w:marTop w:val="0"/>
      <w:marBottom w:val="0"/>
      <w:divBdr>
        <w:top w:val="none" w:sz="0" w:space="0" w:color="auto"/>
        <w:left w:val="none" w:sz="0" w:space="0" w:color="auto"/>
        <w:bottom w:val="none" w:sz="0" w:space="0" w:color="auto"/>
        <w:right w:val="none" w:sz="0" w:space="0" w:color="auto"/>
      </w:divBdr>
    </w:div>
    <w:div w:id="1372150881">
      <w:bodyDiv w:val="1"/>
      <w:marLeft w:val="0"/>
      <w:marRight w:val="0"/>
      <w:marTop w:val="0"/>
      <w:marBottom w:val="0"/>
      <w:divBdr>
        <w:top w:val="none" w:sz="0" w:space="0" w:color="auto"/>
        <w:left w:val="none" w:sz="0" w:space="0" w:color="auto"/>
        <w:bottom w:val="none" w:sz="0" w:space="0" w:color="auto"/>
        <w:right w:val="none" w:sz="0" w:space="0" w:color="auto"/>
      </w:divBdr>
    </w:div>
    <w:div w:id="1387336079">
      <w:bodyDiv w:val="1"/>
      <w:marLeft w:val="0"/>
      <w:marRight w:val="0"/>
      <w:marTop w:val="0"/>
      <w:marBottom w:val="0"/>
      <w:divBdr>
        <w:top w:val="none" w:sz="0" w:space="0" w:color="auto"/>
        <w:left w:val="none" w:sz="0" w:space="0" w:color="auto"/>
        <w:bottom w:val="none" w:sz="0" w:space="0" w:color="auto"/>
        <w:right w:val="none" w:sz="0" w:space="0" w:color="auto"/>
      </w:divBdr>
    </w:div>
    <w:div w:id="1446195724">
      <w:bodyDiv w:val="1"/>
      <w:marLeft w:val="0"/>
      <w:marRight w:val="0"/>
      <w:marTop w:val="0"/>
      <w:marBottom w:val="0"/>
      <w:divBdr>
        <w:top w:val="none" w:sz="0" w:space="0" w:color="auto"/>
        <w:left w:val="none" w:sz="0" w:space="0" w:color="auto"/>
        <w:bottom w:val="none" w:sz="0" w:space="0" w:color="auto"/>
        <w:right w:val="none" w:sz="0" w:space="0" w:color="auto"/>
      </w:divBdr>
    </w:div>
    <w:div w:id="1475829428">
      <w:bodyDiv w:val="1"/>
      <w:marLeft w:val="0"/>
      <w:marRight w:val="0"/>
      <w:marTop w:val="0"/>
      <w:marBottom w:val="0"/>
      <w:divBdr>
        <w:top w:val="none" w:sz="0" w:space="0" w:color="auto"/>
        <w:left w:val="none" w:sz="0" w:space="0" w:color="auto"/>
        <w:bottom w:val="none" w:sz="0" w:space="0" w:color="auto"/>
        <w:right w:val="none" w:sz="0" w:space="0" w:color="auto"/>
      </w:divBdr>
    </w:div>
    <w:div w:id="1497107860">
      <w:bodyDiv w:val="1"/>
      <w:marLeft w:val="0"/>
      <w:marRight w:val="0"/>
      <w:marTop w:val="0"/>
      <w:marBottom w:val="0"/>
      <w:divBdr>
        <w:top w:val="none" w:sz="0" w:space="0" w:color="auto"/>
        <w:left w:val="none" w:sz="0" w:space="0" w:color="auto"/>
        <w:bottom w:val="none" w:sz="0" w:space="0" w:color="auto"/>
        <w:right w:val="none" w:sz="0" w:space="0" w:color="auto"/>
      </w:divBdr>
    </w:div>
    <w:div w:id="1498350030">
      <w:bodyDiv w:val="1"/>
      <w:marLeft w:val="0"/>
      <w:marRight w:val="0"/>
      <w:marTop w:val="0"/>
      <w:marBottom w:val="0"/>
      <w:divBdr>
        <w:top w:val="none" w:sz="0" w:space="0" w:color="auto"/>
        <w:left w:val="none" w:sz="0" w:space="0" w:color="auto"/>
        <w:bottom w:val="none" w:sz="0" w:space="0" w:color="auto"/>
        <w:right w:val="none" w:sz="0" w:space="0" w:color="auto"/>
      </w:divBdr>
    </w:div>
    <w:div w:id="1533886420">
      <w:bodyDiv w:val="1"/>
      <w:marLeft w:val="0"/>
      <w:marRight w:val="0"/>
      <w:marTop w:val="0"/>
      <w:marBottom w:val="0"/>
      <w:divBdr>
        <w:top w:val="none" w:sz="0" w:space="0" w:color="auto"/>
        <w:left w:val="none" w:sz="0" w:space="0" w:color="auto"/>
        <w:bottom w:val="none" w:sz="0" w:space="0" w:color="auto"/>
        <w:right w:val="none" w:sz="0" w:space="0" w:color="auto"/>
      </w:divBdr>
    </w:div>
    <w:div w:id="1552571043">
      <w:bodyDiv w:val="1"/>
      <w:marLeft w:val="0"/>
      <w:marRight w:val="0"/>
      <w:marTop w:val="0"/>
      <w:marBottom w:val="0"/>
      <w:divBdr>
        <w:top w:val="none" w:sz="0" w:space="0" w:color="auto"/>
        <w:left w:val="none" w:sz="0" w:space="0" w:color="auto"/>
        <w:bottom w:val="none" w:sz="0" w:space="0" w:color="auto"/>
        <w:right w:val="none" w:sz="0" w:space="0" w:color="auto"/>
      </w:divBdr>
    </w:div>
    <w:div w:id="1579437242">
      <w:bodyDiv w:val="1"/>
      <w:marLeft w:val="0"/>
      <w:marRight w:val="0"/>
      <w:marTop w:val="0"/>
      <w:marBottom w:val="0"/>
      <w:divBdr>
        <w:top w:val="none" w:sz="0" w:space="0" w:color="auto"/>
        <w:left w:val="none" w:sz="0" w:space="0" w:color="auto"/>
        <w:bottom w:val="none" w:sz="0" w:space="0" w:color="auto"/>
        <w:right w:val="none" w:sz="0" w:space="0" w:color="auto"/>
      </w:divBdr>
    </w:div>
    <w:div w:id="1588154995">
      <w:bodyDiv w:val="1"/>
      <w:marLeft w:val="0"/>
      <w:marRight w:val="0"/>
      <w:marTop w:val="0"/>
      <w:marBottom w:val="0"/>
      <w:divBdr>
        <w:top w:val="none" w:sz="0" w:space="0" w:color="auto"/>
        <w:left w:val="none" w:sz="0" w:space="0" w:color="auto"/>
        <w:bottom w:val="none" w:sz="0" w:space="0" w:color="auto"/>
        <w:right w:val="none" w:sz="0" w:space="0" w:color="auto"/>
      </w:divBdr>
    </w:div>
    <w:div w:id="1648972869">
      <w:bodyDiv w:val="1"/>
      <w:marLeft w:val="0"/>
      <w:marRight w:val="0"/>
      <w:marTop w:val="0"/>
      <w:marBottom w:val="0"/>
      <w:divBdr>
        <w:top w:val="none" w:sz="0" w:space="0" w:color="auto"/>
        <w:left w:val="none" w:sz="0" w:space="0" w:color="auto"/>
        <w:bottom w:val="none" w:sz="0" w:space="0" w:color="auto"/>
        <w:right w:val="none" w:sz="0" w:space="0" w:color="auto"/>
      </w:divBdr>
    </w:div>
    <w:div w:id="1670015349">
      <w:bodyDiv w:val="1"/>
      <w:marLeft w:val="0"/>
      <w:marRight w:val="0"/>
      <w:marTop w:val="0"/>
      <w:marBottom w:val="0"/>
      <w:divBdr>
        <w:top w:val="none" w:sz="0" w:space="0" w:color="auto"/>
        <w:left w:val="none" w:sz="0" w:space="0" w:color="auto"/>
        <w:bottom w:val="none" w:sz="0" w:space="0" w:color="auto"/>
        <w:right w:val="none" w:sz="0" w:space="0" w:color="auto"/>
      </w:divBdr>
    </w:div>
    <w:div w:id="1683626445">
      <w:bodyDiv w:val="1"/>
      <w:marLeft w:val="0"/>
      <w:marRight w:val="0"/>
      <w:marTop w:val="0"/>
      <w:marBottom w:val="0"/>
      <w:divBdr>
        <w:top w:val="none" w:sz="0" w:space="0" w:color="auto"/>
        <w:left w:val="none" w:sz="0" w:space="0" w:color="auto"/>
        <w:bottom w:val="none" w:sz="0" w:space="0" w:color="auto"/>
        <w:right w:val="none" w:sz="0" w:space="0" w:color="auto"/>
      </w:divBdr>
    </w:div>
    <w:div w:id="1759673318">
      <w:bodyDiv w:val="1"/>
      <w:marLeft w:val="0"/>
      <w:marRight w:val="0"/>
      <w:marTop w:val="0"/>
      <w:marBottom w:val="0"/>
      <w:divBdr>
        <w:top w:val="none" w:sz="0" w:space="0" w:color="auto"/>
        <w:left w:val="none" w:sz="0" w:space="0" w:color="auto"/>
        <w:bottom w:val="none" w:sz="0" w:space="0" w:color="auto"/>
        <w:right w:val="none" w:sz="0" w:space="0" w:color="auto"/>
      </w:divBdr>
    </w:div>
    <w:div w:id="1783256492">
      <w:bodyDiv w:val="1"/>
      <w:marLeft w:val="0"/>
      <w:marRight w:val="0"/>
      <w:marTop w:val="0"/>
      <w:marBottom w:val="0"/>
      <w:divBdr>
        <w:top w:val="none" w:sz="0" w:space="0" w:color="auto"/>
        <w:left w:val="none" w:sz="0" w:space="0" w:color="auto"/>
        <w:bottom w:val="none" w:sz="0" w:space="0" w:color="auto"/>
        <w:right w:val="none" w:sz="0" w:space="0" w:color="auto"/>
      </w:divBdr>
    </w:div>
    <w:div w:id="1816219996">
      <w:bodyDiv w:val="1"/>
      <w:marLeft w:val="0"/>
      <w:marRight w:val="0"/>
      <w:marTop w:val="0"/>
      <w:marBottom w:val="0"/>
      <w:divBdr>
        <w:top w:val="none" w:sz="0" w:space="0" w:color="auto"/>
        <w:left w:val="none" w:sz="0" w:space="0" w:color="auto"/>
        <w:bottom w:val="none" w:sz="0" w:space="0" w:color="auto"/>
        <w:right w:val="none" w:sz="0" w:space="0" w:color="auto"/>
      </w:divBdr>
    </w:div>
    <w:div w:id="1820686726">
      <w:bodyDiv w:val="1"/>
      <w:marLeft w:val="0"/>
      <w:marRight w:val="0"/>
      <w:marTop w:val="0"/>
      <w:marBottom w:val="0"/>
      <w:divBdr>
        <w:top w:val="none" w:sz="0" w:space="0" w:color="auto"/>
        <w:left w:val="none" w:sz="0" w:space="0" w:color="auto"/>
        <w:bottom w:val="none" w:sz="0" w:space="0" w:color="auto"/>
        <w:right w:val="none" w:sz="0" w:space="0" w:color="auto"/>
      </w:divBdr>
    </w:div>
    <w:div w:id="1824467875">
      <w:bodyDiv w:val="1"/>
      <w:marLeft w:val="0"/>
      <w:marRight w:val="0"/>
      <w:marTop w:val="0"/>
      <w:marBottom w:val="0"/>
      <w:divBdr>
        <w:top w:val="none" w:sz="0" w:space="0" w:color="auto"/>
        <w:left w:val="none" w:sz="0" w:space="0" w:color="auto"/>
        <w:bottom w:val="none" w:sz="0" w:space="0" w:color="auto"/>
        <w:right w:val="none" w:sz="0" w:space="0" w:color="auto"/>
      </w:divBdr>
    </w:div>
    <w:div w:id="1826779792">
      <w:bodyDiv w:val="1"/>
      <w:marLeft w:val="0"/>
      <w:marRight w:val="0"/>
      <w:marTop w:val="0"/>
      <w:marBottom w:val="0"/>
      <w:divBdr>
        <w:top w:val="none" w:sz="0" w:space="0" w:color="auto"/>
        <w:left w:val="none" w:sz="0" w:space="0" w:color="auto"/>
        <w:bottom w:val="none" w:sz="0" w:space="0" w:color="auto"/>
        <w:right w:val="none" w:sz="0" w:space="0" w:color="auto"/>
      </w:divBdr>
    </w:div>
    <w:div w:id="1855068396">
      <w:bodyDiv w:val="1"/>
      <w:marLeft w:val="0"/>
      <w:marRight w:val="0"/>
      <w:marTop w:val="0"/>
      <w:marBottom w:val="0"/>
      <w:divBdr>
        <w:top w:val="none" w:sz="0" w:space="0" w:color="auto"/>
        <w:left w:val="none" w:sz="0" w:space="0" w:color="auto"/>
        <w:bottom w:val="none" w:sz="0" w:space="0" w:color="auto"/>
        <w:right w:val="none" w:sz="0" w:space="0" w:color="auto"/>
      </w:divBdr>
    </w:div>
    <w:div w:id="1905986947">
      <w:bodyDiv w:val="1"/>
      <w:marLeft w:val="0"/>
      <w:marRight w:val="0"/>
      <w:marTop w:val="0"/>
      <w:marBottom w:val="0"/>
      <w:divBdr>
        <w:top w:val="none" w:sz="0" w:space="0" w:color="auto"/>
        <w:left w:val="none" w:sz="0" w:space="0" w:color="auto"/>
        <w:bottom w:val="none" w:sz="0" w:space="0" w:color="auto"/>
        <w:right w:val="none" w:sz="0" w:space="0" w:color="auto"/>
      </w:divBdr>
    </w:div>
    <w:div w:id="1970278462">
      <w:bodyDiv w:val="1"/>
      <w:marLeft w:val="0"/>
      <w:marRight w:val="0"/>
      <w:marTop w:val="0"/>
      <w:marBottom w:val="0"/>
      <w:divBdr>
        <w:top w:val="none" w:sz="0" w:space="0" w:color="auto"/>
        <w:left w:val="none" w:sz="0" w:space="0" w:color="auto"/>
        <w:bottom w:val="none" w:sz="0" w:space="0" w:color="auto"/>
        <w:right w:val="none" w:sz="0" w:space="0" w:color="auto"/>
      </w:divBdr>
    </w:div>
    <w:div w:id="1990287158">
      <w:bodyDiv w:val="1"/>
      <w:marLeft w:val="0"/>
      <w:marRight w:val="0"/>
      <w:marTop w:val="0"/>
      <w:marBottom w:val="0"/>
      <w:divBdr>
        <w:top w:val="none" w:sz="0" w:space="0" w:color="auto"/>
        <w:left w:val="none" w:sz="0" w:space="0" w:color="auto"/>
        <w:bottom w:val="none" w:sz="0" w:space="0" w:color="auto"/>
        <w:right w:val="none" w:sz="0" w:space="0" w:color="auto"/>
      </w:divBdr>
    </w:div>
    <w:div w:id="2023192654">
      <w:bodyDiv w:val="1"/>
      <w:marLeft w:val="0"/>
      <w:marRight w:val="0"/>
      <w:marTop w:val="0"/>
      <w:marBottom w:val="0"/>
      <w:divBdr>
        <w:top w:val="none" w:sz="0" w:space="0" w:color="auto"/>
        <w:left w:val="none" w:sz="0" w:space="0" w:color="auto"/>
        <w:bottom w:val="none" w:sz="0" w:space="0" w:color="auto"/>
        <w:right w:val="none" w:sz="0" w:space="0" w:color="auto"/>
      </w:divBdr>
    </w:div>
    <w:div w:id="2037732037">
      <w:bodyDiv w:val="1"/>
      <w:marLeft w:val="0"/>
      <w:marRight w:val="0"/>
      <w:marTop w:val="0"/>
      <w:marBottom w:val="0"/>
      <w:divBdr>
        <w:top w:val="none" w:sz="0" w:space="0" w:color="auto"/>
        <w:left w:val="none" w:sz="0" w:space="0" w:color="auto"/>
        <w:bottom w:val="none" w:sz="0" w:space="0" w:color="auto"/>
        <w:right w:val="none" w:sz="0" w:space="0" w:color="auto"/>
      </w:divBdr>
    </w:div>
    <w:div w:id="2042391957">
      <w:bodyDiv w:val="1"/>
      <w:marLeft w:val="0"/>
      <w:marRight w:val="0"/>
      <w:marTop w:val="0"/>
      <w:marBottom w:val="0"/>
      <w:divBdr>
        <w:top w:val="none" w:sz="0" w:space="0" w:color="auto"/>
        <w:left w:val="none" w:sz="0" w:space="0" w:color="auto"/>
        <w:bottom w:val="none" w:sz="0" w:space="0" w:color="auto"/>
        <w:right w:val="none" w:sz="0" w:space="0" w:color="auto"/>
      </w:divBdr>
    </w:div>
    <w:div w:id="2064406942">
      <w:bodyDiv w:val="1"/>
      <w:marLeft w:val="0"/>
      <w:marRight w:val="0"/>
      <w:marTop w:val="0"/>
      <w:marBottom w:val="0"/>
      <w:divBdr>
        <w:top w:val="none" w:sz="0" w:space="0" w:color="auto"/>
        <w:left w:val="none" w:sz="0" w:space="0" w:color="auto"/>
        <w:bottom w:val="none" w:sz="0" w:space="0" w:color="auto"/>
        <w:right w:val="none" w:sz="0" w:space="0" w:color="auto"/>
      </w:divBdr>
    </w:div>
    <w:div w:id="2070808448">
      <w:bodyDiv w:val="1"/>
      <w:marLeft w:val="0"/>
      <w:marRight w:val="0"/>
      <w:marTop w:val="0"/>
      <w:marBottom w:val="0"/>
      <w:divBdr>
        <w:top w:val="none" w:sz="0" w:space="0" w:color="auto"/>
        <w:left w:val="none" w:sz="0" w:space="0" w:color="auto"/>
        <w:bottom w:val="none" w:sz="0" w:space="0" w:color="auto"/>
        <w:right w:val="none" w:sz="0" w:space="0" w:color="auto"/>
      </w:divBdr>
    </w:div>
    <w:div w:id="2129660976">
      <w:bodyDiv w:val="1"/>
      <w:marLeft w:val="0"/>
      <w:marRight w:val="0"/>
      <w:marTop w:val="0"/>
      <w:marBottom w:val="0"/>
      <w:divBdr>
        <w:top w:val="none" w:sz="0" w:space="0" w:color="auto"/>
        <w:left w:val="none" w:sz="0" w:space="0" w:color="auto"/>
        <w:bottom w:val="none" w:sz="0" w:space="0" w:color="auto"/>
        <w:right w:val="none" w:sz="0" w:space="0" w:color="auto"/>
      </w:divBdr>
    </w:div>
    <w:div w:id="214711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hyperlink" Target="https://ashpublications.org/blood/article/131/25/2745/37141/iwCLL-guidelines-for-diagnosis-indications-f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ic.oup.com/jnci/article/96/6/487/26067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og-acrin.org/resources/ecog-performance-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gp.org.au/FSDEDEV/media/documents/Clinical%20Resources/Guidelines/Red%20Book/Appendix-2B.pdf" TargetMode="External"/><Relationship Id="rId5" Type="http://schemas.openxmlformats.org/officeDocument/2006/relationships/webSettings" Target="webSettings.xml"/><Relationship Id="rId15" Type="http://schemas.openxmlformats.org/officeDocument/2006/relationships/hyperlink" Target="https://jamanetwork.com/journals/jama/fullarticle/192996" TargetMode="External"/><Relationship Id="rId10" Type="http://schemas.openxmlformats.org/officeDocument/2006/relationships/hyperlink" Target="http://www.servicesaustrali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as-group.org/wp-content/uploads/2020/07/ASAS-handbook.pdf" TargetMode="External"/><Relationship Id="rId14" Type="http://schemas.openxmlformats.org/officeDocument/2006/relationships/hyperlink" Target="https://recist.eor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30E2-441E-4792-ACF4-CF0E6A1A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36</Pages>
  <Words>13783</Words>
  <Characters>78568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COADY, Isabella</cp:lastModifiedBy>
  <cp:revision>71</cp:revision>
  <cp:lastPrinted>2024-02-25T22:20:00Z</cp:lastPrinted>
  <dcterms:created xsi:type="dcterms:W3CDTF">2024-03-13T21:05:00Z</dcterms:created>
  <dcterms:modified xsi:type="dcterms:W3CDTF">2024-03-28T09:28:00Z</dcterms:modified>
</cp:coreProperties>
</file>