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496448" w14:textId="77777777" w:rsidR="00D3363A" w:rsidRPr="00240A98" w:rsidRDefault="00D3363A" w:rsidP="00D3363A">
      <w:pPr>
        <w:pStyle w:val="BodyText"/>
        <w:ind w:left="620"/>
        <w:rPr>
          <w:sz w:val="20"/>
        </w:rPr>
      </w:pPr>
      <w:r w:rsidRPr="00240A98">
        <w:rPr>
          <w:noProof/>
          <w:lang w:val="en-AU" w:eastAsia="en-AU"/>
        </w:rPr>
        <w:drawing>
          <wp:inline distT="0" distB="0" distL="0" distR="0" wp14:anchorId="1A843EA9" wp14:editId="5E649530">
            <wp:extent cx="1416799" cy="1057275"/>
            <wp:effectExtent l="0" t="0" r="0" b="0"/>
            <wp:docPr id="5" name="Picture 5" descr="Commonwealth Coat of 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7545" cy="10652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598EF74" w14:textId="77777777" w:rsidR="00D3363A" w:rsidRPr="00240A98" w:rsidRDefault="00D3363A" w:rsidP="00D3363A">
      <w:pPr>
        <w:pStyle w:val="BodyText"/>
        <w:spacing w:before="9"/>
        <w:rPr>
          <w:sz w:val="14"/>
        </w:rPr>
      </w:pPr>
    </w:p>
    <w:p w14:paraId="1727120E" w14:textId="77777777" w:rsidR="00D3363A" w:rsidRPr="00F764AC" w:rsidRDefault="00D3363A" w:rsidP="00D3363A">
      <w:pPr>
        <w:spacing w:before="88" w:line="247" w:lineRule="auto"/>
        <w:ind w:left="496" w:right="613" w:firstLine="3"/>
        <w:rPr>
          <w:b/>
          <w:i/>
          <w:sz w:val="39"/>
        </w:rPr>
      </w:pPr>
      <w:r w:rsidRPr="00F764AC">
        <w:rPr>
          <w:b/>
          <w:i/>
          <w:sz w:val="39"/>
        </w:rPr>
        <w:t xml:space="preserve">Woomera Prohibited Area Rule 2014 </w:t>
      </w:r>
      <w:r w:rsidR="00007378" w:rsidRPr="00007378">
        <w:rPr>
          <w:b/>
          <w:i/>
          <w:sz w:val="39"/>
          <w:lang w:val="en-AU"/>
        </w:rPr>
        <w:t>Determination of Exclusion Periods for the Green Zone for 06 May 2024 to 09 June 2024</w:t>
      </w:r>
    </w:p>
    <w:p w14:paraId="50EC5F8D" w14:textId="77777777" w:rsidR="00D3363A" w:rsidRPr="00240A98" w:rsidRDefault="00D3363A" w:rsidP="00D3363A">
      <w:pPr>
        <w:spacing w:before="259"/>
        <w:ind w:left="500"/>
        <w:rPr>
          <w:rFonts w:ascii="Arial"/>
          <w:b/>
          <w:i/>
          <w:w w:val="105"/>
          <w:sz w:val="25"/>
        </w:rPr>
      </w:pPr>
    </w:p>
    <w:p w14:paraId="32E104BF" w14:textId="28B6E2BA" w:rsidR="00D3363A" w:rsidRDefault="00D3363A" w:rsidP="001424A7">
      <w:pPr>
        <w:pStyle w:val="Heading1"/>
        <w:spacing w:before="210" w:line="244" w:lineRule="auto"/>
        <w:ind w:right="515" w:firstLine="1"/>
        <w:rPr>
          <w:lang w:val="en-AU"/>
        </w:rPr>
      </w:pPr>
      <w:r w:rsidRPr="00F764AC">
        <w:t xml:space="preserve">I, </w:t>
      </w:r>
      <w:r w:rsidRPr="00F764AC">
        <w:rPr>
          <w:i/>
        </w:rPr>
        <w:t>Tracee Martin</w:t>
      </w:r>
      <w:r w:rsidRPr="00F764AC">
        <w:t xml:space="preserve">, </w:t>
      </w:r>
      <w:r w:rsidRPr="00F764AC">
        <w:rPr>
          <w:i/>
        </w:rPr>
        <w:t>Director Woomera Prohibited Area Coordination Office</w:t>
      </w:r>
      <w:r w:rsidRPr="00F764AC">
        <w:t>, as a delegate of the Minister for Defence, make the following determination under subsection</w:t>
      </w:r>
      <w:r w:rsidR="00D85920">
        <w:t>s</w:t>
      </w:r>
      <w:r w:rsidRPr="00F764AC">
        <w:t xml:space="preserve"> 8(1) </w:t>
      </w:r>
      <w:r w:rsidR="00007378">
        <w:t xml:space="preserve">and 8(4) </w:t>
      </w:r>
      <w:r w:rsidRPr="00F764AC">
        <w:t xml:space="preserve">of the </w:t>
      </w:r>
      <w:r w:rsidRPr="00F764AC">
        <w:rPr>
          <w:i/>
        </w:rPr>
        <w:t>Woomera Prohibited Area Rule 2014.</w:t>
      </w:r>
      <w:r w:rsidRPr="00F764AC">
        <w:t xml:space="preserve"> </w:t>
      </w:r>
    </w:p>
    <w:p w14:paraId="7D7FDE89" w14:textId="77777777" w:rsidR="001424A7" w:rsidRDefault="001424A7" w:rsidP="001424A7">
      <w:pPr>
        <w:pStyle w:val="Heading1"/>
        <w:spacing w:before="210" w:line="244" w:lineRule="auto"/>
        <w:ind w:right="515" w:firstLine="1"/>
      </w:pPr>
    </w:p>
    <w:p w14:paraId="2D893517" w14:textId="77777777" w:rsidR="001424A7" w:rsidRPr="00F764AC" w:rsidRDefault="001424A7" w:rsidP="001424A7">
      <w:pPr>
        <w:pStyle w:val="Heading1"/>
        <w:spacing w:before="210" w:line="244" w:lineRule="auto"/>
        <w:ind w:right="515" w:firstLine="1"/>
      </w:pPr>
    </w:p>
    <w:p w14:paraId="5A3CE1A7" w14:textId="77777777" w:rsidR="007B34E2" w:rsidRDefault="007B34E2" w:rsidP="00D3363A">
      <w:pPr>
        <w:pStyle w:val="Heading1"/>
        <w:ind w:left="501"/>
      </w:pPr>
    </w:p>
    <w:p w14:paraId="6CA9AF6A" w14:textId="7BB3548E" w:rsidR="00D3363A" w:rsidRPr="00F764AC" w:rsidRDefault="00D3363A" w:rsidP="00D3363A">
      <w:pPr>
        <w:pStyle w:val="Heading1"/>
        <w:ind w:left="501"/>
      </w:pPr>
      <w:r w:rsidRPr="00F764AC">
        <w:t xml:space="preserve">Dated </w:t>
      </w:r>
      <w:r w:rsidR="0070432C" w:rsidRPr="0070432C">
        <w:t xml:space="preserve">08 </w:t>
      </w:r>
      <w:r w:rsidR="00737C55">
        <w:t>April</w:t>
      </w:r>
      <w:r w:rsidR="00737C55" w:rsidRPr="00F764AC">
        <w:t xml:space="preserve"> </w:t>
      </w:r>
      <w:r w:rsidRPr="00F764AC">
        <w:t>202</w:t>
      </w:r>
      <w:r w:rsidR="00C667CD">
        <w:t>4</w:t>
      </w:r>
    </w:p>
    <w:p w14:paraId="44BB56FD" w14:textId="77777777" w:rsidR="00D3363A" w:rsidRPr="00F764AC" w:rsidRDefault="00D3363A" w:rsidP="00D3363A">
      <w:pPr>
        <w:pStyle w:val="BodyText"/>
        <w:rPr>
          <w:sz w:val="24"/>
          <w:szCs w:val="24"/>
        </w:rPr>
      </w:pPr>
    </w:p>
    <w:p w14:paraId="62050DE3" w14:textId="77777777" w:rsidR="00D3363A" w:rsidRPr="00F764AC" w:rsidRDefault="00D3363A" w:rsidP="00D3363A">
      <w:pPr>
        <w:pStyle w:val="BodyText"/>
        <w:rPr>
          <w:sz w:val="24"/>
          <w:szCs w:val="24"/>
        </w:rPr>
      </w:pPr>
    </w:p>
    <w:p w14:paraId="76F29F78" w14:textId="77777777" w:rsidR="00D3363A" w:rsidRPr="00F764AC" w:rsidRDefault="00D3363A" w:rsidP="00D3363A">
      <w:pPr>
        <w:pStyle w:val="BodyText"/>
        <w:rPr>
          <w:sz w:val="24"/>
          <w:szCs w:val="24"/>
        </w:rPr>
      </w:pPr>
    </w:p>
    <w:p w14:paraId="54DCAEE9" w14:textId="77777777" w:rsidR="00D3363A" w:rsidRDefault="00D3363A" w:rsidP="00D3363A">
      <w:pPr>
        <w:pStyle w:val="BodyText"/>
        <w:rPr>
          <w:sz w:val="24"/>
          <w:szCs w:val="24"/>
        </w:rPr>
      </w:pPr>
    </w:p>
    <w:p w14:paraId="312F0546" w14:textId="77777777" w:rsidR="0065290E" w:rsidRDefault="0065290E" w:rsidP="00D3363A">
      <w:pPr>
        <w:pStyle w:val="BodyText"/>
        <w:rPr>
          <w:sz w:val="24"/>
          <w:szCs w:val="24"/>
        </w:rPr>
      </w:pPr>
    </w:p>
    <w:p w14:paraId="73EA2618" w14:textId="77777777" w:rsidR="0065290E" w:rsidRPr="00F764AC" w:rsidRDefault="0065290E" w:rsidP="00D3363A">
      <w:pPr>
        <w:pStyle w:val="BodyText"/>
        <w:rPr>
          <w:sz w:val="24"/>
          <w:szCs w:val="24"/>
        </w:rPr>
      </w:pPr>
    </w:p>
    <w:p w14:paraId="1672B704" w14:textId="77777777" w:rsidR="00D3363A" w:rsidRPr="00F764AC" w:rsidRDefault="00D3363A" w:rsidP="00D3363A">
      <w:pPr>
        <w:spacing w:before="22"/>
        <w:ind w:left="506"/>
        <w:rPr>
          <w:i/>
          <w:sz w:val="24"/>
          <w:szCs w:val="24"/>
        </w:rPr>
      </w:pPr>
      <w:r w:rsidRPr="00F764AC">
        <w:rPr>
          <w:i/>
          <w:sz w:val="24"/>
          <w:szCs w:val="24"/>
        </w:rPr>
        <w:t>Tracee Martin,</w:t>
      </w:r>
    </w:p>
    <w:p w14:paraId="49E3D617" w14:textId="77777777" w:rsidR="00D3363A" w:rsidRPr="00F764AC" w:rsidRDefault="00D3363A" w:rsidP="00D3363A">
      <w:pPr>
        <w:spacing w:before="22"/>
        <w:ind w:left="506"/>
        <w:rPr>
          <w:i/>
          <w:sz w:val="24"/>
          <w:szCs w:val="24"/>
        </w:rPr>
      </w:pPr>
      <w:r w:rsidRPr="00F764AC">
        <w:rPr>
          <w:i/>
          <w:sz w:val="24"/>
          <w:szCs w:val="24"/>
        </w:rPr>
        <w:t>Director Woomera Prohibited Area Coordination Office</w:t>
      </w:r>
    </w:p>
    <w:p w14:paraId="44990EB1" w14:textId="77777777" w:rsidR="00D3363A" w:rsidRPr="00F764AC" w:rsidRDefault="00D3363A" w:rsidP="00D3363A">
      <w:pPr>
        <w:spacing w:before="22"/>
        <w:ind w:left="506"/>
        <w:rPr>
          <w:i/>
          <w:sz w:val="24"/>
          <w:szCs w:val="24"/>
        </w:rPr>
      </w:pPr>
      <w:r w:rsidRPr="00F764AC">
        <w:rPr>
          <w:i/>
          <w:sz w:val="24"/>
          <w:szCs w:val="24"/>
        </w:rPr>
        <w:t>Department of Defence</w:t>
      </w:r>
    </w:p>
    <w:p w14:paraId="3ED56A14" w14:textId="77777777" w:rsidR="00D3363A" w:rsidRPr="00240A98" w:rsidRDefault="00D3363A" w:rsidP="00D3363A">
      <w:pPr>
        <w:spacing w:before="22"/>
        <w:rPr>
          <w:sz w:val="24"/>
          <w:szCs w:val="24"/>
        </w:rPr>
      </w:pPr>
    </w:p>
    <w:p w14:paraId="1C534993" w14:textId="77777777" w:rsidR="00D3363A" w:rsidRPr="00240A98" w:rsidRDefault="00D3363A" w:rsidP="00D3363A">
      <w:pPr>
        <w:spacing w:before="22"/>
        <w:rPr>
          <w:sz w:val="24"/>
          <w:szCs w:val="24"/>
        </w:rPr>
      </w:pPr>
    </w:p>
    <w:p w14:paraId="423A4ABE" w14:textId="77777777" w:rsidR="00085C25" w:rsidRDefault="00085C25" w:rsidP="00D3363A">
      <w:pPr>
        <w:spacing w:before="22"/>
        <w:rPr>
          <w:sz w:val="24"/>
          <w:szCs w:val="24"/>
          <w:lang w:val="en-AU" w:eastAsia="en-AU"/>
        </w:rPr>
      </w:pPr>
    </w:p>
    <w:p w14:paraId="515239A8" w14:textId="77777777" w:rsidR="00085C25" w:rsidRPr="00240A98" w:rsidRDefault="00085C25" w:rsidP="00D3363A">
      <w:pPr>
        <w:spacing w:before="22"/>
        <w:rPr>
          <w:sz w:val="24"/>
          <w:szCs w:val="24"/>
        </w:rPr>
      </w:pPr>
    </w:p>
    <w:p w14:paraId="345DF7BE" w14:textId="77777777" w:rsidR="00184FF5" w:rsidRDefault="00184FF5" w:rsidP="00184FF5">
      <w:pPr>
        <w:pStyle w:val="li-heading2"/>
        <w:shd w:val="clear" w:color="auto" w:fill="FFFFFF"/>
        <w:spacing w:before="360" w:beforeAutospacing="0" w:after="0" w:afterAutospacing="0"/>
        <w:rPr>
          <w:b/>
          <w:bCs/>
          <w:color w:val="000000"/>
          <w:sz w:val="32"/>
          <w:szCs w:val="32"/>
          <w:shd w:val="clear" w:color="auto" w:fill="FFFFFF"/>
        </w:rPr>
      </w:pPr>
      <w:bookmarkStart w:id="0" w:name="_Toc95428963"/>
    </w:p>
    <w:p w14:paraId="13F60DF1" w14:textId="77777777" w:rsidR="00184FF5" w:rsidRDefault="00184FF5" w:rsidP="00184FF5">
      <w:pPr>
        <w:pStyle w:val="li-heading2"/>
        <w:shd w:val="clear" w:color="auto" w:fill="FFFFFF"/>
        <w:spacing w:before="360" w:beforeAutospacing="0" w:after="0" w:afterAutospacing="0"/>
        <w:rPr>
          <w:b/>
          <w:bCs/>
          <w:color w:val="000000"/>
          <w:sz w:val="32"/>
          <w:szCs w:val="32"/>
          <w:shd w:val="clear" w:color="auto" w:fill="FFFFFF"/>
        </w:rPr>
      </w:pPr>
    </w:p>
    <w:p w14:paraId="618188D3" w14:textId="77777777" w:rsidR="00184FF5" w:rsidRDefault="00184FF5" w:rsidP="00184FF5">
      <w:pPr>
        <w:pStyle w:val="li-heading2"/>
        <w:shd w:val="clear" w:color="auto" w:fill="FFFFFF"/>
        <w:spacing w:before="360" w:beforeAutospacing="0" w:after="0" w:afterAutospacing="0"/>
        <w:rPr>
          <w:b/>
          <w:bCs/>
          <w:color w:val="000000"/>
          <w:sz w:val="32"/>
          <w:szCs w:val="32"/>
          <w:shd w:val="clear" w:color="auto" w:fill="FFFFFF"/>
        </w:rPr>
      </w:pPr>
    </w:p>
    <w:p w14:paraId="416B0249" w14:textId="77777777" w:rsidR="00184FF5" w:rsidRDefault="00184FF5" w:rsidP="00184FF5">
      <w:pPr>
        <w:pStyle w:val="li-heading2"/>
        <w:shd w:val="clear" w:color="auto" w:fill="FFFFFF"/>
        <w:spacing w:before="360" w:beforeAutospacing="0" w:after="0" w:afterAutospacing="0"/>
        <w:rPr>
          <w:b/>
          <w:bCs/>
          <w:color w:val="000000"/>
          <w:sz w:val="32"/>
          <w:szCs w:val="32"/>
          <w:shd w:val="clear" w:color="auto" w:fill="FFFFFF"/>
        </w:rPr>
      </w:pPr>
    </w:p>
    <w:p w14:paraId="4143791F" w14:textId="77777777" w:rsidR="00184FF5" w:rsidRDefault="00184FF5" w:rsidP="00184FF5">
      <w:pPr>
        <w:pStyle w:val="li-heading2"/>
        <w:shd w:val="clear" w:color="auto" w:fill="FFFFFF"/>
        <w:spacing w:before="360" w:beforeAutospacing="0" w:after="0" w:afterAutospacing="0"/>
        <w:rPr>
          <w:b/>
          <w:bCs/>
          <w:color w:val="000000"/>
          <w:sz w:val="32"/>
          <w:szCs w:val="32"/>
          <w:shd w:val="clear" w:color="auto" w:fill="FFFFFF"/>
        </w:rPr>
      </w:pPr>
    </w:p>
    <w:p w14:paraId="5A7ACBAE" w14:textId="77777777" w:rsidR="00D3363A" w:rsidRPr="00F764AC" w:rsidRDefault="00D3363A" w:rsidP="00D3363A">
      <w:pPr>
        <w:pStyle w:val="li-heading2"/>
        <w:shd w:val="clear" w:color="auto" w:fill="FFFFFF"/>
        <w:spacing w:before="360" w:beforeAutospacing="0" w:after="0" w:afterAutospacing="0"/>
        <w:ind w:left="567" w:hanging="567"/>
        <w:rPr>
          <w:b/>
          <w:bCs/>
        </w:rPr>
      </w:pPr>
      <w:r w:rsidRPr="00F764AC">
        <w:rPr>
          <w:b/>
          <w:bCs/>
        </w:rPr>
        <w:lastRenderedPageBreak/>
        <w:t xml:space="preserve">1        Name </w:t>
      </w:r>
      <w:bookmarkEnd w:id="0"/>
    </w:p>
    <w:p w14:paraId="33E4B066" w14:textId="77777777" w:rsidR="00135125" w:rsidRDefault="00980239" w:rsidP="0065290E">
      <w:pPr>
        <w:pStyle w:val="li-heading2"/>
        <w:shd w:val="clear" w:color="auto" w:fill="FFFFFF"/>
        <w:spacing w:before="360" w:beforeAutospacing="0" w:after="0" w:afterAutospacing="0"/>
        <w:ind w:left="1134"/>
        <w:rPr>
          <w:i/>
          <w:lang w:val="en-US"/>
        </w:rPr>
      </w:pPr>
      <w:r>
        <w:rPr>
          <w:lang w:val="en-US"/>
        </w:rPr>
        <w:t xml:space="preserve">This is the </w:t>
      </w:r>
      <w:r w:rsidRPr="009F7A67">
        <w:rPr>
          <w:i/>
          <w:lang w:val="en-US"/>
        </w:rPr>
        <w:t>Woomera Prohibited Area Rule 2014</w:t>
      </w:r>
      <w:r>
        <w:rPr>
          <w:lang w:val="en-US"/>
        </w:rPr>
        <w:t xml:space="preserve"> </w:t>
      </w:r>
      <w:r w:rsidR="00007378" w:rsidRPr="00007378">
        <w:rPr>
          <w:i/>
          <w:lang w:val="en-US"/>
        </w:rPr>
        <w:t>Determination of Exclusion Periods for the Green Zone for 06 May 2024 to 09 June 2024</w:t>
      </w:r>
    </w:p>
    <w:p w14:paraId="674FF8E4" w14:textId="77777777" w:rsidR="00D3363A" w:rsidRPr="00F764AC" w:rsidRDefault="00135125" w:rsidP="00D3363A">
      <w:pPr>
        <w:pStyle w:val="li-heading2"/>
        <w:shd w:val="clear" w:color="auto" w:fill="FFFFFF"/>
        <w:spacing w:before="360" w:beforeAutospacing="0" w:after="0" w:afterAutospacing="0"/>
        <w:ind w:left="567" w:hanging="567"/>
        <w:rPr>
          <w:b/>
          <w:bCs/>
        </w:rPr>
      </w:pPr>
      <w:bookmarkStart w:id="1" w:name="_Toc95428964"/>
      <w:r>
        <w:rPr>
          <w:b/>
          <w:bCs/>
        </w:rPr>
        <w:t>2</w:t>
      </w:r>
      <w:r w:rsidR="00D3363A" w:rsidRPr="00F764AC">
        <w:rPr>
          <w:b/>
          <w:bCs/>
        </w:rPr>
        <w:t>        Commencement</w:t>
      </w:r>
      <w:bookmarkEnd w:id="1"/>
    </w:p>
    <w:p w14:paraId="020C39BE" w14:textId="77777777" w:rsidR="00D3363A" w:rsidRPr="00F764AC" w:rsidRDefault="00D3363A" w:rsidP="00D3363A">
      <w:pPr>
        <w:pStyle w:val="li-bodytextunnumbered"/>
        <w:shd w:val="clear" w:color="auto" w:fill="FFFFFF"/>
        <w:spacing w:before="240" w:beforeAutospacing="0" w:after="0" w:afterAutospacing="0"/>
        <w:ind w:left="1134"/>
      </w:pPr>
      <w:bookmarkStart w:id="2" w:name="_Hlk88116792"/>
      <w:r w:rsidRPr="00F764AC">
        <w:t>This instrument commences </w:t>
      </w:r>
      <w:bookmarkEnd w:id="2"/>
      <w:r w:rsidRPr="00F764AC">
        <w:t>on the day after it is registered on the Federal Register of Legislation.</w:t>
      </w:r>
    </w:p>
    <w:p w14:paraId="2A0FEB9E" w14:textId="77777777" w:rsidR="00D3363A" w:rsidRDefault="00D3363A" w:rsidP="00D3363A">
      <w:pPr>
        <w:pStyle w:val="li-bodytextnote"/>
        <w:shd w:val="clear" w:color="auto" w:fill="FFFFFF"/>
        <w:spacing w:before="200" w:beforeAutospacing="0" w:after="0" w:afterAutospacing="0"/>
        <w:ind w:left="1701" w:hanging="567"/>
        <w:rPr>
          <w:color w:val="000000"/>
          <w:sz w:val="18"/>
          <w:szCs w:val="18"/>
        </w:rPr>
      </w:pPr>
      <w:r w:rsidRPr="00F764AC">
        <w:rPr>
          <w:sz w:val="18"/>
          <w:szCs w:val="18"/>
        </w:rPr>
        <w:t>Note:    The register may be accessed at </w:t>
      </w:r>
      <w:hyperlink r:id="rId8" w:history="1">
        <w:r>
          <w:rPr>
            <w:rStyle w:val="Hyperlink"/>
            <w:color w:val="0F569E"/>
            <w:sz w:val="18"/>
            <w:szCs w:val="18"/>
          </w:rPr>
          <w:t>www.legislation.gov.au</w:t>
        </w:r>
      </w:hyperlink>
      <w:r>
        <w:rPr>
          <w:color w:val="000000"/>
          <w:sz w:val="18"/>
          <w:szCs w:val="18"/>
        </w:rPr>
        <w:t>.</w:t>
      </w:r>
    </w:p>
    <w:p w14:paraId="3FCECBB7" w14:textId="77777777" w:rsidR="00D3363A" w:rsidRPr="00F764AC" w:rsidRDefault="00D3363A" w:rsidP="00D3363A">
      <w:pPr>
        <w:pStyle w:val="li-heading2"/>
        <w:shd w:val="clear" w:color="auto" w:fill="FFFFFF"/>
        <w:spacing w:before="360" w:beforeAutospacing="0" w:after="0" w:afterAutospacing="0"/>
        <w:ind w:left="567" w:hanging="567"/>
        <w:rPr>
          <w:b/>
          <w:bCs/>
        </w:rPr>
      </w:pPr>
      <w:bookmarkStart w:id="3" w:name="_Toc95428965"/>
      <w:r w:rsidRPr="00F764AC">
        <w:rPr>
          <w:b/>
          <w:bCs/>
        </w:rPr>
        <w:t>3        Repeal</w:t>
      </w:r>
      <w:bookmarkEnd w:id="3"/>
    </w:p>
    <w:p w14:paraId="7B6A089D" w14:textId="77777777" w:rsidR="00D3363A" w:rsidRPr="00086D01" w:rsidRDefault="00D3363A" w:rsidP="00D3363A">
      <w:pPr>
        <w:pStyle w:val="li-bodytextunnumbered"/>
        <w:shd w:val="clear" w:color="auto" w:fill="FFFFFF"/>
        <w:spacing w:before="240" w:beforeAutospacing="0" w:after="0" w:afterAutospacing="0"/>
        <w:ind w:left="1134"/>
      </w:pPr>
      <w:r w:rsidRPr="00F764AC">
        <w:t xml:space="preserve">This instrument is </w:t>
      </w:r>
      <w:r w:rsidRPr="00086D01">
        <w:t xml:space="preserve">repealed </w:t>
      </w:r>
      <w:r w:rsidR="00135812" w:rsidRPr="00086D01">
        <w:t>on 1</w:t>
      </w:r>
      <w:r w:rsidR="00007378">
        <w:t>0</w:t>
      </w:r>
      <w:r w:rsidR="00135812" w:rsidRPr="00086D01">
        <w:t xml:space="preserve"> </w:t>
      </w:r>
      <w:r w:rsidR="00007378">
        <w:t>June</w:t>
      </w:r>
      <w:r w:rsidR="00135812" w:rsidRPr="00086D01">
        <w:t xml:space="preserve"> 202</w:t>
      </w:r>
      <w:r w:rsidR="00405F98">
        <w:t>4</w:t>
      </w:r>
      <w:r w:rsidRPr="00086D01">
        <w:t>.</w:t>
      </w:r>
    </w:p>
    <w:p w14:paraId="2DD966C6" w14:textId="77777777" w:rsidR="00D3363A" w:rsidRPr="00086D01" w:rsidRDefault="00D3363A" w:rsidP="00D3363A">
      <w:pPr>
        <w:pStyle w:val="li-heading2"/>
        <w:shd w:val="clear" w:color="auto" w:fill="FFFFFF"/>
        <w:spacing w:before="240" w:beforeAutospacing="0" w:after="0" w:afterAutospacing="0"/>
        <w:ind w:left="567" w:hanging="567"/>
        <w:rPr>
          <w:b/>
          <w:bCs/>
        </w:rPr>
      </w:pPr>
      <w:bookmarkStart w:id="4" w:name="_Toc39570225"/>
      <w:r w:rsidRPr="00086D01">
        <w:rPr>
          <w:b/>
          <w:bCs/>
        </w:rPr>
        <w:t>4        Authority</w:t>
      </w:r>
      <w:bookmarkEnd w:id="4"/>
    </w:p>
    <w:p w14:paraId="08487799" w14:textId="5943C642" w:rsidR="00D3363A" w:rsidRPr="00F764AC" w:rsidRDefault="00D3363A" w:rsidP="00D3363A">
      <w:pPr>
        <w:pStyle w:val="li-bodytextunnumbered"/>
        <w:shd w:val="clear" w:color="auto" w:fill="FFFFFF"/>
        <w:spacing w:before="240" w:beforeAutospacing="0" w:after="0" w:afterAutospacing="0"/>
        <w:ind w:left="1134"/>
      </w:pPr>
      <w:r w:rsidRPr="00F764AC">
        <w:t>This instrument is made under subsection</w:t>
      </w:r>
      <w:r w:rsidR="00D85920">
        <w:t>s</w:t>
      </w:r>
      <w:r w:rsidRPr="00F764AC">
        <w:t xml:space="preserve"> 8(1)</w:t>
      </w:r>
      <w:r w:rsidR="00007378">
        <w:t xml:space="preserve"> and 8(4)</w:t>
      </w:r>
      <w:r w:rsidRPr="00F764AC">
        <w:t xml:space="preserve"> of the </w:t>
      </w:r>
      <w:r w:rsidRPr="00F764AC">
        <w:rPr>
          <w:i/>
          <w:iCs/>
        </w:rPr>
        <w:t xml:space="preserve">Woomera Prohibited Area Rule 2014 </w:t>
      </w:r>
      <w:r w:rsidRPr="00F764AC">
        <w:rPr>
          <w:iCs/>
        </w:rPr>
        <w:t xml:space="preserve">(Cth). </w:t>
      </w:r>
    </w:p>
    <w:p w14:paraId="62533A35" w14:textId="39477456" w:rsidR="00D3363A" w:rsidRPr="00F764AC" w:rsidRDefault="00C1372A" w:rsidP="00D3363A">
      <w:pPr>
        <w:pStyle w:val="li-heading2"/>
        <w:shd w:val="clear" w:color="auto" w:fill="FFFFFF"/>
        <w:spacing w:before="240" w:beforeAutospacing="0" w:after="0" w:afterAutospacing="0"/>
        <w:ind w:left="567" w:hanging="567"/>
        <w:rPr>
          <w:b/>
          <w:bCs/>
        </w:rPr>
      </w:pPr>
      <w:r>
        <w:rPr>
          <w:b/>
          <w:bCs/>
        </w:rPr>
        <w:t>5</w:t>
      </w:r>
      <w:r w:rsidR="00D3363A" w:rsidRPr="00F764AC">
        <w:rPr>
          <w:b/>
          <w:bCs/>
        </w:rPr>
        <w:t>        Exclusion Periods</w:t>
      </w:r>
    </w:p>
    <w:p w14:paraId="2DECE2CA" w14:textId="2F35F3B8" w:rsidR="00D3363A" w:rsidRPr="00F764AC" w:rsidRDefault="00D3363A" w:rsidP="00D3363A">
      <w:pPr>
        <w:widowControl/>
        <w:shd w:val="clear" w:color="auto" w:fill="FFFFFF"/>
        <w:autoSpaceDE/>
        <w:autoSpaceDN/>
        <w:spacing w:before="231"/>
        <w:ind w:left="1134"/>
        <w:rPr>
          <w:lang w:val="en-AU" w:eastAsia="en-AU"/>
        </w:rPr>
      </w:pPr>
      <w:r w:rsidRPr="00F764AC">
        <w:rPr>
          <w:sz w:val="24"/>
          <w:szCs w:val="24"/>
          <w:lang w:val="en-AU" w:eastAsia="en-AU"/>
        </w:rPr>
        <w:t xml:space="preserve">For subsection 8(1) of the </w:t>
      </w:r>
      <w:r w:rsidRPr="00224873">
        <w:rPr>
          <w:i/>
          <w:iCs/>
          <w:sz w:val="24"/>
          <w:szCs w:val="24"/>
        </w:rPr>
        <w:t>Woomera Prohibited Area Rule 2014</w:t>
      </w:r>
      <w:r w:rsidRPr="00224873">
        <w:rPr>
          <w:sz w:val="24"/>
          <w:szCs w:val="24"/>
          <w:lang w:val="en-AU" w:eastAsia="en-AU"/>
        </w:rPr>
        <w:t>,</w:t>
      </w:r>
      <w:r w:rsidRPr="00224873">
        <w:rPr>
          <w:sz w:val="28"/>
          <w:szCs w:val="24"/>
          <w:lang w:val="en-AU" w:eastAsia="en-AU"/>
        </w:rPr>
        <w:t xml:space="preserve"> </w:t>
      </w:r>
      <w:r w:rsidRPr="00F764AC">
        <w:rPr>
          <w:sz w:val="24"/>
          <w:szCs w:val="24"/>
          <w:lang w:val="en-AU" w:eastAsia="en-AU"/>
        </w:rPr>
        <w:t xml:space="preserve">the periods specified in </w:t>
      </w:r>
      <w:r w:rsidR="002D2C0E">
        <w:rPr>
          <w:sz w:val="24"/>
          <w:szCs w:val="24"/>
          <w:lang w:val="en-AU" w:eastAsia="en-AU"/>
        </w:rPr>
        <w:t xml:space="preserve">column 1 of </w:t>
      </w:r>
      <w:r w:rsidRPr="00F764AC">
        <w:rPr>
          <w:sz w:val="24"/>
          <w:szCs w:val="24"/>
          <w:lang w:val="en-AU" w:eastAsia="en-AU"/>
        </w:rPr>
        <w:t>Schedule 1</w:t>
      </w:r>
      <w:r w:rsidR="00D85920">
        <w:rPr>
          <w:sz w:val="24"/>
          <w:szCs w:val="24"/>
          <w:lang w:val="en-AU" w:eastAsia="en-AU"/>
        </w:rPr>
        <w:t xml:space="preserve"> </w:t>
      </w:r>
      <w:r w:rsidRPr="00F764AC">
        <w:rPr>
          <w:sz w:val="24"/>
          <w:szCs w:val="24"/>
          <w:lang w:val="en-AU" w:eastAsia="en-AU"/>
        </w:rPr>
        <w:t>are the exclusion periods</w:t>
      </w:r>
      <w:r w:rsidR="001424A7">
        <w:rPr>
          <w:sz w:val="24"/>
          <w:szCs w:val="24"/>
          <w:lang w:val="en-AU" w:eastAsia="en-AU"/>
        </w:rPr>
        <w:t>.</w:t>
      </w:r>
    </w:p>
    <w:p w14:paraId="367ECFFD" w14:textId="0F3F4BA3" w:rsidR="00C1372A" w:rsidRPr="00F764AC" w:rsidRDefault="00C1372A" w:rsidP="00C1372A">
      <w:pPr>
        <w:pStyle w:val="li-heading2"/>
        <w:shd w:val="clear" w:color="auto" w:fill="FFFFFF"/>
        <w:spacing w:before="240" w:beforeAutospacing="0" w:after="0" w:afterAutospacing="0"/>
        <w:ind w:left="567" w:hanging="567"/>
        <w:rPr>
          <w:b/>
          <w:bCs/>
        </w:rPr>
      </w:pPr>
      <w:r>
        <w:rPr>
          <w:b/>
          <w:bCs/>
        </w:rPr>
        <w:t>6</w:t>
      </w:r>
      <w:r w:rsidRPr="00F764AC">
        <w:rPr>
          <w:b/>
          <w:bCs/>
        </w:rPr>
        <w:t xml:space="preserve">        </w:t>
      </w:r>
      <w:r>
        <w:rPr>
          <w:b/>
          <w:bCs/>
        </w:rPr>
        <w:t>Zones and Part of a Zone</w:t>
      </w:r>
    </w:p>
    <w:p w14:paraId="39FDF759" w14:textId="77777777" w:rsidR="00C1372A" w:rsidRPr="00F6196F" w:rsidRDefault="00C1372A" w:rsidP="00C1372A">
      <w:pPr>
        <w:widowControl/>
        <w:shd w:val="clear" w:color="auto" w:fill="FFFFFF"/>
        <w:autoSpaceDE/>
        <w:autoSpaceDN/>
        <w:spacing w:before="231"/>
        <w:ind w:left="1134"/>
        <w:rPr>
          <w:iCs/>
          <w:sz w:val="24"/>
          <w:szCs w:val="24"/>
        </w:rPr>
      </w:pPr>
      <w:r w:rsidRPr="00F6196F">
        <w:rPr>
          <w:sz w:val="24"/>
          <w:szCs w:val="24"/>
          <w:lang w:val="en-AU" w:eastAsia="en-AU"/>
        </w:rPr>
        <w:t>The area described as the</w:t>
      </w:r>
      <w:r w:rsidRPr="00F6196F">
        <w:rPr>
          <w:i/>
          <w:sz w:val="24"/>
          <w:szCs w:val="24"/>
          <w:lang w:val="en-AU" w:eastAsia="en-AU"/>
        </w:rPr>
        <w:t xml:space="preserve"> Green Zone</w:t>
      </w:r>
      <w:r w:rsidRPr="00F6196F">
        <w:rPr>
          <w:sz w:val="24"/>
          <w:szCs w:val="24"/>
          <w:lang w:val="en-AU" w:eastAsia="en-AU"/>
        </w:rPr>
        <w:t xml:space="preserve"> within the Woomera Prohibited Area is prescribed in section 6 of the </w:t>
      </w:r>
      <w:r w:rsidRPr="00F6196F">
        <w:rPr>
          <w:i/>
          <w:iCs/>
          <w:sz w:val="24"/>
          <w:szCs w:val="24"/>
          <w:lang w:val="en-AU" w:eastAsia="en-AU"/>
        </w:rPr>
        <w:t>Woomera Prohibited Area Rule 2014</w:t>
      </w:r>
      <w:r w:rsidRPr="00F6196F">
        <w:rPr>
          <w:iCs/>
          <w:sz w:val="24"/>
          <w:szCs w:val="24"/>
        </w:rPr>
        <w:t xml:space="preserve">. </w:t>
      </w:r>
    </w:p>
    <w:p w14:paraId="5F06F463" w14:textId="6AB5C1C5" w:rsidR="00C1372A" w:rsidRPr="00F6196F" w:rsidRDefault="00737C55" w:rsidP="00C1372A">
      <w:pPr>
        <w:widowControl/>
        <w:shd w:val="clear" w:color="auto" w:fill="FFFFFF"/>
        <w:autoSpaceDE/>
        <w:autoSpaceDN/>
        <w:spacing w:before="231"/>
        <w:ind w:left="1134"/>
        <w:rPr>
          <w:sz w:val="24"/>
          <w:szCs w:val="24"/>
          <w:lang w:val="en-AU" w:eastAsia="en-AU"/>
        </w:rPr>
      </w:pPr>
      <w:r>
        <w:rPr>
          <w:iCs/>
          <w:sz w:val="24"/>
          <w:szCs w:val="24"/>
        </w:rPr>
        <w:t>In accordance with</w:t>
      </w:r>
      <w:r w:rsidR="00C1372A" w:rsidRPr="00F6196F">
        <w:rPr>
          <w:iCs/>
          <w:sz w:val="24"/>
          <w:szCs w:val="24"/>
        </w:rPr>
        <w:t xml:space="preserve"> subsection 8(4) of the </w:t>
      </w:r>
      <w:r w:rsidR="00C1372A" w:rsidRPr="00F6196F">
        <w:rPr>
          <w:i/>
          <w:iCs/>
          <w:sz w:val="24"/>
          <w:szCs w:val="24"/>
        </w:rPr>
        <w:t>Woomera Prohibited Area Rule 2014</w:t>
      </w:r>
      <w:r w:rsidR="00C1372A" w:rsidRPr="00F6196F">
        <w:rPr>
          <w:iCs/>
          <w:sz w:val="24"/>
          <w:szCs w:val="24"/>
        </w:rPr>
        <w:t xml:space="preserve">, the exclusion periods </w:t>
      </w:r>
      <w:r w:rsidR="00C1372A" w:rsidRPr="00F6196F">
        <w:rPr>
          <w:sz w:val="24"/>
          <w:szCs w:val="24"/>
          <w:lang w:val="en-AU" w:eastAsia="en-AU"/>
        </w:rPr>
        <w:t xml:space="preserve">apply to the part of the Green Zone described in column 2 of Schedule 1, </w:t>
      </w:r>
      <w:r>
        <w:rPr>
          <w:sz w:val="24"/>
          <w:szCs w:val="24"/>
          <w:lang w:val="en-AU" w:eastAsia="en-AU"/>
        </w:rPr>
        <w:t>as</w:t>
      </w:r>
      <w:r w:rsidR="00C1372A" w:rsidRPr="00F6196F">
        <w:rPr>
          <w:sz w:val="24"/>
          <w:szCs w:val="24"/>
          <w:lang w:val="en-AU" w:eastAsia="en-AU"/>
        </w:rPr>
        <w:t xml:space="preserve"> illustrated on the map at Schedule 2.</w:t>
      </w:r>
    </w:p>
    <w:p w14:paraId="6E74A8DD" w14:textId="77777777" w:rsidR="00C1372A" w:rsidRDefault="00C1372A">
      <w:pPr>
        <w:widowControl/>
        <w:autoSpaceDE/>
        <w:autoSpaceDN/>
        <w:spacing w:after="160" w:line="259" w:lineRule="auto"/>
        <w:rPr>
          <w:b/>
          <w:bCs/>
          <w:sz w:val="24"/>
          <w:szCs w:val="24"/>
          <w:lang w:val="en-AU" w:eastAsia="en-AU"/>
        </w:rPr>
      </w:pPr>
      <w:r>
        <w:rPr>
          <w:b/>
          <w:bCs/>
        </w:rPr>
        <w:br w:type="page"/>
      </w:r>
    </w:p>
    <w:p w14:paraId="526C4748" w14:textId="77777777" w:rsidR="00D3363A" w:rsidRPr="00F764AC" w:rsidRDefault="00D3363A" w:rsidP="00D3363A">
      <w:pPr>
        <w:pStyle w:val="li-heading2"/>
        <w:shd w:val="clear" w:color="auto" w:fill="FFFFFF"/>
        <w:spacing w:before="360" w:beforeAutospacing="0" w:after="0" w:afterAutospacing="0"/>
        <w:ind w:left="567" w:hanging="567"/>
        <w:rPr>
          <w:b/>
          <w:bCs/>
          <w:sz w:val="32"/>
          <w:szCs w:val="32"/>
          <w:shd w:val="clear" w:color="auto" w:fill="FFFFFF"/>
        </w:rPr>
      </w:pPr>
      <w:r w:rsidRPr="00F764AC">
        <w:rPr>
          <w:b/>
          <w:bCs/>
          <w:sz w:val="32"/>
          <w:szCs w:val="32"/>
          <w:shd w:val="clear" w:color="auto" w:fill="FFFFFF"/>
        </w:rPr>
        <w:lastRenderedPageBreak/>
        <w:t>Schedule 1 – Exclusion Periods</w:t>
      </w:r>
    </w:p>
    <w:p w14:paraId="1EF76AE0" w14:textId="77777777" w:rsidR="00D3363A" w:rsidRPr="00A72545" w:rsidRDefault="00D3363A" w:rsidP="00D3363A">
      <w:pPr>
        <w:pStyle w:val="li-heading2"/>
        <w:shd w:val="clear" w:color="auto" w:fill="FFFFFF"/>
        <w:spacing w:before="360" w:beforeAutospacing="0" w:after="0" w:afterAutospacing="0"/>
        <w:rPr>
          <w:b/>
          <w:bCs/>
          <w:color w:val="000000"/>
          <w:sz w:val="2"/>
          <w:szCs w:val="2"/>
          <w:shd w:val="clear" w:color="auto" w:fill="FFFFFF"/>
        </w:rPr>
      </w:pPr>
    </w:p>
    <w:p w14:paraId="14CBE56D" w14:textId="77777777" w:rsidR="00D3363A" w:rsidRPr="00240A98" w:rsidRDefault="00D3363A" w:rsidP="00D3363A">
      <w:pPr>
        <w:pStyle w:val="BodyText"/>
        <w:spacing w:before="7"/>
        <w:rPr>
          <w:b/>
          <w:sz w:val="21"/>
        </w:rPr>
      </w:pPr>
    </w:p>
    <w:tbl>
      <w:tblPr>
        <w:tblW w:w="8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8"/>
        <w:gridCol w:w="4792"/>
      </w:tblGrid>
      <w:tr w:rsidR="00737C55" w:rsidRPr="00A0542A" w14:paraId="50D040A9" w14:textId="77777777" w:rsidTr="009F7A67">
        <w:trPr>
          <w:trHeight w:val="517"/>
          <w:jc w:val="center"/>
        </w:trPr>
        <w:tc>
          <w:tcPr>
            <w:tcW w:w="3568" w:type="dxa"/>
            <w:shd w:val="clear" w:color="auto" w:fill="auto"/>
            <w:vAlign w:val="center"/>
          </w:tcPr>
          <w:p w14:paraId="6D2D361A" w14:textId="6B1BFF14" w:rsidR="00737C55" w:rsidRPr="00A0542A" w:rsidRDefault="00737C55" w:rsidP="00EA3EE5">
            <w:pPr>
              <w:jc w:val="center"/>
              <w:rPr>
                <w:b/>
              </w:rPr>
            </w:pPr>
            <w:r w:rsidRPr="00A0542A">
              <w:rPr>
                <w:b/>
              </w:rPr>
              <w:t>Exclusion Period</w:t>
            </w:r>
          </w:p>
        </w:tc>
        <w:tc>
          <w:tcPr>
            <w:tcW w:w="4792" w:type="dxa"/>
            <w:shd w:val="clear" w:color="auto" w:fill="auto"/>
            <w:vAlign w:val="center"/>
          </w:tcPr>
          <w:p w14:paraId="7A81636D" w14:textId="77777777" w:rsidR="00737C55" w:rsidRPr="00A0542A" w:rsidRDefault="00737C55" w:rsidP="00EA3EE5">
            <w:pPr>
              <w:jc w:val="center"/>
              <w:rPr>
                <w:b/>
              </w:rPr>
            </w:pPr>
            <w:r w:rsidRPr="00A0542A">
              <w:rPr>
                <w:b/>
              </w:rPr>
              <w:t>Part of the Green Zone to which the Exclusion Period applies</w:t>
            </w:r>
          </w:p>
        </w:tc>
      </w:tr>
      <w:tr w:rsidR="00737C55" w:rsidRPr="0024184A" w14:paraId="7965EFB4" w14:textId="77777777" w:rsidTr="009F7A67">
        <w:trPr>
          <w:jc w:val="center"/>
        </w:trPr>
        <w:tc>
          <w:tcPr>
            <w:tcW w:w="3568" w:type="dxa"/>
            <w:shd w:val="clear" w:color="auto" w:fill="auto"/>
            <w:vAlign w:val="center"/>
          </w:tcPr>
          <w:p w14:paraId="604D7B2B" w14:textId="5393D819" w:rsidR="00737C55" w:rsidRPr="00007378" w:rsidRDefault="00737C55" w:rsidP="00EA3EE5">
            <w:pPr>
              <w:rPr>
                <w:lang w:val="en-AU"/>
              </w:rPr>
            </w:pPr>
            <w:r w:rsidRPr="00007378">
              <w:rPr>
                <w:lang w:val="en-AU"/>
              </w:rPr>
              <w:t>06 May 2024 to 12 May 2024 inclusive;</w:t>
            </w:r>
          </w:p>
          <w:p w14:paraId="177B106B" w14:textId="77777777" w:rsidR="00737C55" w:rsidRPr="00007378" w:rsidRDefault="00737C55" w:rsidP="00EA3EE5">
            <w:pPr>
              <w:rPr>
                <w:lang w:val="en-AU"/>
              </w:rPr>
            </w:pPr>
            <w:r w:rsidRPr="00007378">
              <w:rPr>
                <w:lang w:val="en-AU"/>
              </w:rPr>
              <w:t>13 May 2024 to 19 May 2024 inclusive;</w:t>
            </w:r>
          </w:p>
          <w:p w14:paraId="67318CA5" w14:textId="77777777" w:rsidR="00737C55" w:rsidRPr="00007378" w:rsidRDefault="00737C55" w:rsidP="00EA3EE5">
            <w:pPr>
              <w:rPr>
                <w:lang w:val="en-AU"/>
              </w:rPr>
            </w:pPr>
            <w:r w:rsidRPr="00007378">
              <w:rPr>
                <w:lang w:val="en-AU"/>
              </w:rPr>
              <w:t>20 May 2024 to 26 May 2024 inclusive;</w:t>
            </w:r>
          </w:p>
          <w:p w14:paraId="72ED837C" w14:textId="77777777" w:rsidR="00737C55" w:rsidRPr="00007378" w:rsidRDefault="00737C55" w:rsidP="00EA3EE5">
            <w:pPr>
              <w:rPr>
                <w:lang w:val="en-AU"/>
              </w:rPr>
            </w:pPr>
            <w:r w:rsidRPr="00007378">
              <w:rPr>
                <w:lang w:val="en-AU"/>
              </w:rPr>
              <w:t>27 May 2024 to 02 June 2024 inclusive;</w:t>
            </w:r>
          </w:p>
          <w:p w14:paraId="1CDA1B51" w14:textId="77777777" w:rsidR="00737C55" w:rsidRPr="00AB26EF" w:rsidRDefault="00737C55" w:rsidP="00EA3EE5">
            <w:pPr>
              <w:rPr>
                <w:color w:val="FF0000"/>
              </w:rPr>
            </w:pPr>
            <w:r w:rsidRPr="00007378">
              <w:rPr>
                <w:lang w:val="en-AU"/>
              </w:rPr>
              <w:t>03 June 2024 to 09 June 2024 inclusive.</w:t>
            </w:r>
          </w:p>
        </w:tc>
        <w:tc>
          <w:tcPr>
            <w:tcW w:w="4792" w:type="dxa"/>
            <w:shd w:val="clear" w:color="auto" w:fill="auto"/>
            <w:vAlign w:val="center"/>
          </w:tcPr>
          <w:p w14:paraId="7656C239" w14:textId="2E6C18C6" w:rsidR="00737C55" w:rsidRPr="0024184A" w:rsidRDefault="00737C55" w:rsidP="00EA3EE5">
            <w:r w:rsidRPr="00D71603">
              <w:t xml:space="preserve">That part of the </w:t>
            </w:r>
            <w:r>
              <w:t xml:space="preserve">Green Zone within the </w:t>
            </w:r>
            <w:r w:rsidRPr="00D71603">
              <w:t>Woomera Prohibited Area contained within and bounded by a line commencing at</w:t>
            </w:r>
            <w:r>
              <w:t xml:space="preserve"> S 31.1094˚, E 136.26056˚ (Point 4), and then to a point S 30.99046˚, E 136.07855˚ (Point 5), and then to a point S 30.97097˚, E 135.91604˚ (Point 6), and then to a point S 30.90411˚, E 135.77344˚ (Point 7), and then to a point S 30.91596˚, E 135.69974˚ (Point 8), and then to a point S 30.88111˚, E 135.5955˚ (Point 9), and then to a point S 30.80656˚, E 135.51782˚ (Point 10), and then to a point S 30.77322˚, E 135.36049˚ (Point 11), and then to a point S 30.7721˚, E 135.0127˚ (Point 12), and then to a point S 30.78178˚, E 134.94876˚ (Point 13), and then to a point S 30.75472˚, E 134.88756˚ (Point 14), and then to a point S 30.63411˚, E 134.73401˚ (Point 15), and then to a point S 30.50641˚, E 134.64549˚ (Point 16), and then to a point S 30.31488˚, E 134.18873˚ (Point 17), and then to a point S 30.22304˚, E 133.99235˚ (Point 18), and then to a point S 30.39007˚, E 133.74584˚ (Point 19), and then to a point S 30.44501˚, E 133.60302˚ (Point 20), and then to a point S 30.45393˚, E 133.5038˚ (Point 21), and then to a point S 30.46766˚, E 133.38055˚ (Point 22), and then to a point S 30.46457˚, E 133.23979˚ (Point 23), and then to a point S 30.47659˚, E 133.16529˚ (Point 24), and then to a point S 30.48037˚, E 133.12066˚ (Point 25), and then to a point S 30.48242˚, E 133.087˚ (Point 26), and then to a point S 30.49324˚, E 133.01285˚ (Point 27), and then to a point S 30.48929˚, E 132.94727˚ (Point 28), and then to a point S 30.50011˚, E 132.87414˚ (Point 29), and then to a point S 30.48758˚, E 132.80755˚ (Point 30), and then to a point S 30.46869˚, E 132.75123˚ (Point 31), and then to a point S 30.45187˚, E 132.69321˚ (Point 32), and then to a point S 30.43556˚, E 132.61322˚ (Point 33), and then to a point S 30.42045˚, E 132.52808˚ (Point 34), and then to a point S 30.41582˚, E 132.49993˚ (Point 35), and then to a point S 30.40895˚, E 132.43778˚ (Point 36), and then to a point S 30.41084˚, E 132.37838˚ (Point 37), and then to a point S 30.41633˚, E 132.29187˚ (Point 38), and then to a point S 30.4287˚, E 132.22733˚ (Point 39), and then to a point S 30.42732˚, E 132.19437˚ (Point 40), and then to a point S 30.42063˚, E 132.15386˚ (Point 41), and then to a point S 30.40483˚, E 132.10922˚ (Point 42), and </w:t>
            </w:r>
            <w:r>
              <w:lastRenderedPageBreak/>
              <w:t xml:space="preserve">then to a point S 30.399˚, E 132.08999˚ (Point 43), and then to a point S 30.40209˚, E 132.06665˚ (Point 44), and then to a point S 30.399˚, E 132.04571˚ (Point 45), and then to a point S 30.39453˚, E 132.03129˚ (Point 46), and then to a point S 30.39557˚, E 132.00588˚ (Point 47), and then to a point S 29.72316˚, E 132.00898˚ (Point 48), and then to a point S 29.71767˚, E 131.50841˚ (Point 49), and then to a point S 28.12534˚, E 131.51046˚ (Point 50), and then to a point S 28.12603˚, E 132.00966˚ (Point 51), and then to a point S 27.84656˚, E 132.01034˚ (Point 52), and then to a point S 27.85068˚, E 133.82103˚ (Point 53), and then to a point S 28.5363˚, E 133.82446˚ (Point 54), and then to a point S 28.53768˚, E 134.08814˚ (Point 55), and then to a point S 28.75053˚, E 134.08676˚ (Point 56), and then to a point S 29.00871˚, E 134.34219˚ (Point 57), and then to a point S 29.11583˚, E 134.34082˚ (Point 58), and then to a point S 29.1172˚, E 134.41361˚ (Point 59), and then to a point S 29.20277˚, E 134.44021˚ (Point 60), and then to a point S 29.24281˚, E 134.4597˚ (Point 61), and then to a point S 29.27187˚, E 134.48605˚ (Point 62), and then to a point S 29.3159˚, E 134.52982˚ (Point 63), and then to a point S 29.36474˚, E 134.55986˚ (Point 64), and then to a point S 29.53537˚, E 134.54389˚ (Point 65), and then to a point S 29.53773˚, E 134.61216˚ (Point 66), and then to a point S 29.54012˚, E 134.65067˚ (Point 67), and then to a point S 29.64001˚, E 134.77021˚ (Point 68), and then to a point S 29.687˚, E 134.83968˚ (Point 69), and then to a point S 29.73059˚, E 135.09125˚ (Point 70), and then to a point S 29.68941˚, E 135.13327˚ (Point 71), and then to a point S 30.47926˚, E 136.36552˚ (Point 72), and then to a point S 30.71968˚, E 136.64739˚ (Point 73), and then to a point S 30.86123˚, E 136.78643˚ (Point 74), and then to a point S 31.03995˚, E 136.78779˚ (Point 75), and then to a point S 31.13704˚, E 136.79615˚ (Point 76), and then to a point S 31.14995˚, E 136.79976˚ (Point 77), and then to a point S 31.15174˚, E 136.80314˚ (Point 78), and then to a point S 31.15481˚, E 136.70264˚ (Point 79), and then to a point S 31.16255˚, E 136.61817˚ (Point 80), and </w:t>
            </w:r>
            <w:r w:rsidRPr="000A7C54">
              <w:t xml:space="preserve">then </w:t>
            </w:r>
            <w:r w:rsidRPr="00F6032E">
              <w:t xml:space="preserve">to </w:t>
            </w:r>
            <w:r>
              <w:t>the</w:t>
            </w:r>
            <w:r w:rsidRPr="00F6032E">
              <w:t xml:space="preserve"> point</w:t>
            </w:r>
            <w:r w:rsidRPr="000A7C54">
              <w:t xml:space="preserve"> of commencement </w:t>
            </w:r>
            <w:r>
              <w:t>and identified in the map in Schedule 2.</w:t>
            </w:r>
          </w:p>
        </w:tc>
      </w:tr>
    </w:tbl>
    <w:p w14:paraId="56A9B4EA" w14:textId="77777777" w:rsidR="00007378" w:rsidRDefault="00007378" w:rsidP="00007378">
      <w:pPr>
        <w:rPr>
          <w:b/>
        </w:rPr>
      </w:pPr>
    </w:p>
    <w:p w14:paraId="478E5DD5" w14:textId="77777777" w:rsidR="003763F2" w:rsidRDefault="003763F2" w:rsidP="00D3363A"/>
    <w:p w14:paraId="3BB292A4" w14:textId="77777777" w:rsidR="00405F98" w:rsidRDefault="00405F98" w:rsidP="007B3758">
      <w:pPr>
        <w:pStyle w:val="li-heading2"/>
        <w:shd w:val="clear" w:color="auto" w:fill="FFFFFF"/>
        <w:spacing w:before="360" w:beforeAutospacing="0" w:after="0" w:afterAutospacing="0"/>
        <w:ind w:left="567" w:hanging="567"/>
        <w:rPr>
          <w:b/>
          <w:bCs/>
          <w:sz w:val="32"/>
          <w:szCs w:val="32"/>
          <w:shd w:val="clear" w:color="auto" w:fill="FFFFFF"/>
        </w:rPr>
        <w:sectPr w:rsidR="00405F98" w:rsidSect="00EA3EE5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CB06463" w14:textId="087568D1" w:rsidR="007B3758" w:rsidRDefault="007B3758" w:rsidP="007B3758">
      <w:pPr>
        <w:pStyle w:val="li-heading2"/>
        <w:shd w:val="clear" w:color="auto" w:fill="FFFFFF"/>
        <w:spacing w:before="360" w:beforeAutospacing="0" w:after="0" w:afterAutospacing="0"/>
        <w:ind w:left="567" w:hanging="567"/>
        <w:rPr>
          <w:b/>
          <w:bCs/>
          <w:sz w:val="32"/>
          <w:szCs w:val="32"/>
          <w:shd w:val="clear" w:color="auto" w:fill="FFFFFF"/>
        </w:rPr>
      </w:pPr>
      <w:r w:rsidRPr="00F764AC">
        <w:rPr>
          <w:b/>
          <w:bCs/>
          <w:sz w:val="32"/>
          <w:szCs w:val="32"/>
          <w:shd w:val="clear" w:color="auto" w:fill="FFFFFF"/>
        </w:rPr>
        <w:lastRenderedPageBreak/>
        <w:t xml:space="preserve">Schedule </w:t>
      </w:r>
      <w:r w:rsidR="00685BC8">
        <w:rPr>
          <w:b/>
          <w:bCs/>
          <w:sz w:val="32"/>
          <w:szCs w:val="32"/>
          <w:shd w:val="clear" w:color="auto" w:fill="FFFFFF"/>
        </w:rPr>
        <w:t>2</w:t>
      </w:r>
      <w:r w:rsidRPr="00F764AC">
        <w:rPr>
          <w:b/>
          <w:bCs/>
          <w:sz w:val="32"/>
          <w:szCs w:val="32"/>
          <w:shd w:val="clear" w:color="auto" w:fill="FFFFFF"/>
        </w:rPr>
        <w:t xml:space="preserve"> – </w:t>
      </w:r>
      <w:r w:rsidR="003630D9" w:rsidRPr="003630D9">
        <w:rPr>
          <w:b/>
          <w:bCs/>
          <w:sz w:val="32"/>
          <w:szCs w:val="32"/>
          <w:shd w:val="clear" w:color="auto" w:fill="FFFFFF"/>
        </w:rPr>
        <w:t xml:space="preserve">Map </w:t>
      </w:r>
      <w:r w:rsidR="001A3062">
        <w:rPr>
          <w:b/>
          <w:bCs/>
          <w:sz w:val="32"/>
          <w:szCs w:val="32"/>
          <w:shd w:val="clear" w:color="auto" w:fill="FFFFFF"/>
        </w:rPr>
        <w:t xml:space="preserve">illustrating </w:t>
      </w:r>
      <w:r w:rsidR="003630D9" w:rsidRPr="003630D9">
        <w:rPr>
          <w:b/>
          <w:bCs/>
          <w:sz w:val="32"/>
          <w:szCs w:val="32"/>
          <w:shd w:val="clear" w:color="auto" w:fill="FFFFFF"/>
        </w:rPr>
        <w:t>the bounded area of that part of the Green Zone</w:t>
      </w:r>
      <w:r w:rsidR="0065290E">
        <w:rPr>
          <w:b/>
          <w:bCs/>
          <w:sz w:val="32"/>
          <w:szCs w:val="32"/>
          <w:shd w:val="clear" w:color="auto" w:fill="FFFFFF"/>
        </w:rPr>
        <w:t xml:space="preserve"> to which the exclusion</w:t>
      </w:r>
      <w:r w:rsidR="00737C55">
        <w:rPr>
          <w:b/>
          <w:bCs/>
          <w:sz w:val="32"/>
          <w:szCs w:val="32"/>
          <w:shd w:val="clear" w:color="auto" w:fill="FFFFFF"/>
        </w:rPr>
        <w:t xml:space="preserve"> period</w:t>
      </w:r>
      <w:r w:rsidR="0065290E">
        <w:rPr>
          <w:b/>
          <w:bCs/>
          <w:sz w:val="32"/>
          <w:szCs w:val="32"/>
          <w:shd w:val="clear" w:color="auto" w:fill="FFFFFF"/>
        </w:rPr>
        <w:t xml:space="preserve"> applies</w:t>
      </w:r>
      <w:r w:rsidR="003630D9" w:rsidRPr="003630D9">
        <w:rPr>
          <w:b/>
          <w:bCs/>
          <w:sz w:val="32"/>
          <w:szCs w:val="32"/>
          <w:shd w:val="clear" w:color="auto" w:fill="FFFFFF"/>
        </w:rPr>
        <w:t>:</w:t>
      </w:r>
    </w:p>
    <w:p w14:paraId="2607F665" w14:textId="77777777" w:rsidR="007B3758" w:rsidRPr="00405F98" w:rsidRDefault="003630D9" w:rsidP="00405F98">
      <w:pPr>
        <w:pStyle w:val="li-heading2"/>
        <w:shd w:val="clear" w:color="auto" w:fill="FFFFFF"/>
        <w:spacing w:before="360" w:beforeAutospacing="0" w:after="0" w:afterAutospacing="0"/>
        <w:ind w:left="567" w:hanging="567"/>
        <w:jc w:val="center"/>
        <w:rPr>
          <w:b/>
          <w:bCs/>
          <w:sz w:val="32"/>
          <w:szCs w:val="32"/>
          <w:shd w:val="clear" w:color="auto" w:fill="FFFFFF"/>
        </w:rPr>
      </w:pPr>
      <w:bookmarkStart w:id="5" w:name="_GoBack"/>
      <w:r>
        <w:rPr>
          <w:noProof/>
        </w:rPr>
        <w:drawing>
          <wp:inline distT="0" distB="0" distL="0" distR="0" wp14:anchorId="53BC2A54" wp14:editId="5EBF7E0E">
            <wp:extent cx="6667500" cy="4716175"/>
            <wp:effectExtent l="0" t="0" r="0" b="8255"/>
            <wp:docPr id="2" name="Picture 2" descr="Map illustrating the bounded area of that part of the Green Zone to which the exclusion period applies.&#10;" title="Schedule 2 Exclusion Area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715952" cy="4750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5"/>
    </w:p>
    <w:sectPr w:rsidR="007B3758" w:rsidRPr="00405F98" w:rsidSect="00405F98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556BA9" w14:textId="77777777" w:rsidR="000E67D0" w:rsidRDefault="000E67D0" w:rsidP="00086D01">
      <w:r>
        <w:separator/>
      </w:r>
    </w:p>
  </w:endnote>
  <w:endnote w:type="continuationSeparator" w:id="0">
    <w:p w14:paraId="54E9770D" w14:textId="77777777" w:rsidR="000E67D0" w:rsidRDefault="000E67D0" w:rsidP="00086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074419" w14:textId="77777777" w:rsidR="000E67D0" w:rsidRDefault="000E67D0" w:rsidP="00086D01">
      <w:r>
        <w:separator/>
      </w:r>
    </w:p>
  </w:footnote>
  <w:footnote w:type="continuationSeparator" w:id="0">
    <w:p w14:paraId="77C41602" w14:textId="77777777" w:rsidR="000E67D0" w:rsidRDefault="000E67D0" w:rsidP="00086D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63A"/>
    <w:rsid w:val="00007378"/>
    <w:rsid w:val="00085C25"/>
    <w:rsid w:val="00086D01"/>
    <w:rsid w:val="000E67D0"/>
    <w:rsid w:val="00135125"/>
    <w:rsid w:val="00135812"/>
    <w:rsid w:val="001424A7"/>
    <w:rsid w:val="001478C6"/>
    <w:rsid w:val="00184FF5"/>
    <w:rsid w:val="001A13F9"/>
    <w:rsid w:val="001A3062"/>
    <w:rsid w:val="00224873"/>
    <w:rsid w:val="00245CD4"/>
    <w:rsid w:val="002D2C0E"/>
    <w:rsid w:val="003630D9"/>
    <w:rsid w:val="003763F2"/>
    <w:rsid w:val="00405F98"/>
    <w:rsid w:val="00517056"/>
    <w:rsid w:val="0061085D"/>
    <w:rsid w:val="0063383C"/>
    <w:rsid w:val="0065290E"/>
    <w:rsid w:val="00685BC8"/>
    <w:rsid w:val="006946BC"/>
    <w:rsid w:val="006B466F"/>
    <w:rsid w:val="0070432C"/>
    <w:rsid w:val="00737C55"/>
    <w:rsid w:val="0077469E"/>
    <w:rsid w:val="007B34E2"/>
    <w:rsid w:val="007B3758"/>
    <w:rsid w:val="00870E86"/>
    <w:rsid w:val="00884CE5"/>
    <w:rsid w:val="008B2068"/>
    <w:rsid w:val="00945A71"/>
    <w:rsid w:val="00963A19"/>
    <w:rsid w:val="00980239"/>
    <w:rsid w:val="009B0759"/>
    <w:rsid w:val="009B556C"/>
    <w:rsid w:val="009F7A67"/>
    <w:rsid w:val="00A967FA"/>
    <w:rsid w:val="00C1122D"/>
    <w:rsid w:val="00C1372A"/>
    <w:rsid w:val="00C32E93"/>
    <w:rsid w:val="00C667CD"/>
    <w:rsid w:val="00D3363A"/>
    <w:rsid w:val="00D80342"/>
    <w:rsid w:val="00D85920"/>
    <w:rsid w:val="00DC7F7E"/>
    <w:rsid w:val="00DE7562"/>
    <w:rsid w:val="00E360B3"/>
    <w:rsid w:val="00EA3EE5"/>
    <w:rsid w:val="00ED5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0055C"/>
  <w15:chartTrackingRefBased/>
  <w15:docId w15:val="{844AF4C7-64E6-4799-89EA-02D7A6632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3363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1"/>
    <w:qFormat/>
    <w:rsid w:val="00D3363A"/>
    <w:pPr>
      <w:ind w:left="497"/>
      <w:outlineLvl w:val="0"/>
    </w:pPr>
    <w:rPr>
      <w:sz w:val="24"/>
      <w:szCs w:val="24"/>
    </w:rPr>
  </w:style>
  <w:style w:type="paragraph" w:styleId="Heading2">
    <w:name w:val="heading 2"/>
    <w:basedOn w:val="Normal"/>
    <w:link w:val="Heading2Char"/>
    <w:uiPriority w:val="1"/>
    <w:qFormat/>
    <w:rsid w:val="00D3363A"/>
    <w:pPr>
      <w:ind w:left="150"/>
      <w:outlineLvl w:val="1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3363A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D3363A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D3363A"/>
    <w:rPr>
      <w:rFonts w:ascii="Times New Roman" w:eastAsia="Times New Roman" w:hAnsi="Times New Roman" w:cs="Times New Roman"/>
      <w:b/>
      <w:bCs/>
      <w:sz w:val="23"/>
      <w:szCs w:val="23"/>
      <w:lang w:val="en-US"/>
    </w:rPr>
  </w:style>
  <w:style w:type="paragraph" w:styleId="BodyText">
    <w:name w:val="Body Text"/>
    <w:basedOn w:val="Normal"/>
    <w:link w:val="BodyTextChar"/>
    <w:uiPriority w:val="1"/>
    <w:qFormat/>
    <w:rsid w:val="00D3363A"/>
    <w:rPr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D3363A"/>
    <w:rPr>
      <w:rFonts w:ascii="Times New Roman" w:eastAsia="Times New Roman" w:hAnsi="Times New Roman" w:cs="Times New Roman"/>
      <w:sz w:val="23"/>
      <w:szCs w:val="23"/>
      <w:lang w:val="en-US"/>
    </w:rPr>
  </w:style>
  <w:style w:type="paragraph" w:customStyle="1" w:styleId="TableParagraph">
    <w:name w:val="Table Paragraph"/>
    <w:basedOn w:val="Normal"/>
    <w:uiPriority w:val="1"/>
    <w:qFormat/>
    <w:rsid w:val="00D3363A"/>
    <w:pPr>
      <w:spacing w:before="140"/>
      <w:ind w:right="1363"/>
      <w:jc w:val="center"/>
    </w:pPr>
  </w:style>
  <w:style w:type="paragraph" w:customStyle="1" w:styleId="li-heading2">
    <w:name w:val="li-heading2"/>
    <w:basedOn w:val="Normal"/>
    <w:rsid w:val="00D3363A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AU" w:eastAsia="en-AU"/>
    </w:rPr>
  </w:style>
  <w:style w:type="paragraph" w:customStyle="1" w:styleId="li-bodytextunnumbered">
    <w:name w:val="li-bodytextunnumbered"/>
    <w:basedOn w:val="Normal"/>
    <w:rsid w:val="00D3363A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AU" w:eastAsia="en-AU"/>
    </w:rPr>
  </w:style>
  <w:style w:type="paragraph" w:customStyle="1" w:styleId="li-bodytextnote">
    <w:name w:val="li-bodytextnote"/>
    <w:basedOn w:val="Normal"/>
    <w:rsid w:val="00D3363A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AU" w:eastAsia="en-AU"/>
    </w:rPr>
  </w:style>
  <w:style w:type="paragraph" w:styleId="Header">
    <w:name w:val="header"/>
    <w:basedOn w:val="Normal"/>
    <w:link w:val="HeaderChar"/>
    <w:uiPriority w:val="99"/>
    <w:unhideWhenUsed/>
    <w:rsid w:val="00086D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6D01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86D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6D01"/>
    <w:rPr>
      <w:rFonts w:ascii="Times New Roman" w:eastAsia="Times New Roman" w:hAnsi="Times New Roman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73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378"/>
    <w:rPr>
      <w:rFonts w:ascii="Segoe UI" w:eastAsia="Times New Roman" w:hAnsi="Segoe UI" w:cs="Segoe UI"/>
      <w:sz w:val="18"/>
      <w:szCs w:val="18"/>
      <w:lang w:val="en-US"/>
    </w:rPr>
  </w:style>
  <w:style w:type="character" w:styleId="CommentReference">
    <w:name w:val="annotation reference"/>
    <w:rsid w:val="00007378"/>
    <w:rPr>
      <w:sz w:val="16"/>
      <w:szCs w:val="16"/>
    </w:rPr>
  </w:style>
  <w:style w:type="paragraph" w:styleId="CommentText">
    <w:name w:val="annotation text"/>
    <w:basedOn w:val="Normal"/>
    <w:link w:val="CommentTextChar"/>
    <w:rsid w:val="00007378"/>
    <w:pPr>
      <w:widowControl/>
      <w:autoSpaceDE/>
      <w:autoSpaceDN/>
    </w:pPr>
    <w:rPr>
      <w:sz w:val="20"/>
      <w:szCs w:val="20"/>
      <w:lang w:val="en-AU" w:eastAsia="en-AU"/>
    </w:rPr>
  </w:style>
  <w:style w:type="character" w:customStyle="1" w:styleId="CommentTextChar">
    <w:name w:val="Comment Text Char"/>
    <w:basedOn w:val="DefaultParagraphFont"/>
    <w:link w:val="CommentText"/>
    <w:rsid w:val="00007378"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7378"/>
    <w:pPr>
      <w:widowControl w:val="0"/>
      <w:autoSpaceDE w:val="0"/>
      <w:autoSpaceDN w:val="0"/>
    </w:pPr>
    <w:rPr>
      <w:b/>
      <w:bCs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7378"/>
    <w:rPr>
      <w:rFonts w:ascii="Times New Roman" w:eastAsia="Times New Roman" w:hAnsi="Times New Roman" w:cs="Times New Roman"/>
      <w:b/>
      <w:bCs/>
      <w:sz w:val="20"/>
      <w:szCs w:val="20"/>
      <w:lang w:val="en-US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islation.gov.a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EB660D-8592-4F99-8EA8-1CE2C0A71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991</Words>
  <Characters>5650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Defence</Company>
  <LinksUpToDate>false</LinksUpToDate>
  <CharactersWithSpaces>6628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Verspaandonk, Joshua MR</dc:creator>
  <cp:keywords/>
  <dc:description/>
  <cp:lastModifiedBy>Adiraju, Bindu MS</cp:lastModifiedBy>
  <cp:revision>11</cp:revision>
  <cp:lastPrinted>2024-04-01T23:38:00Z</cp:lastPrinted>
  <dcterms:created xsi:type="dcterms:W3CDTF">2024-04-08T06:50:00Z</dcterms:created>
  <dcterms:modified xsi:type="dcterms:W3CDTF">2024-04-09T05:13:00Z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BN80568027</vt:lpwstr>
  </property>
  <property fmtid="{D5CDD505-2E9C-101B-9397-08002B2CF9AE}" pid="4" name="Objective-Title">
    <vt:lpwstr>Woomera Prohibited Area Rule 2014 Determination of Exclusion Periods for Green Zone</vt:lpwstr>
  </property>
  <property fmtid="{D5CDD505-2E9C-101B-9397-08002B2CF9AE}" pid="5" name="Objective-Comment">
    <vt:lpwstr>With Charmian's amendments</vt:lpwstr>
  </property>
  <property fmtid="{D5CDD505-2E9C-101B-9397-08002B2CF9AE}" pid="6" name="Objective-CreationStamp">
    <vt:filetime>2024-04-08T07:02:27Z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2024-04-08T09:25:49Z</vt:filetime>
  </property>
  <property fmtid="{D5CDD505-2E9C-101B-9397-08002B2CF9AE}" pid="10" name="Objective-ModificationStamp">
    <vt:filetime>2024-04-08T09:25:49Z</vt:filetime>
  </property>
  <property fmtid="{D5CDD505-2E9C-101B-9397-08002B2CF9AE}" pid="11" name="Objective-Owner">
    <vt:lpwstr>Walker, Charmian Ms</vt:lpwstr>
  </property>
  <property fmtid="{D5CDD505-2E9C-101B-9397-08002B2CF9AE}" pid="12" name="Objective-Path">
    <vt:lpwstr>Objective Global Folder - PROD:Defence Business Units:Strategy, Policy, and Industry Group:SPD : Strategic Policy Division:02 - Core Business:SEC - Woomera Prohibited Area Coordination Office (WPACO):04 - Access and Stakeholder Management:Exclusion Period</vt:lpwstr>
  </property>
  <property fmtid="{D5CDD505-2E9C-101B-9397-08002B2CF9AE}" pid="13" name="Objective-Parent">
    <vt:lpwstr>2 Returned for signature - Ready for Tracee to sign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i4>2</vt:i4>
  </property>
  <property fmtid="{D5CDD505-2E9C-101B-9397-08002B2CF9AE}" pid="17" name="Objective-VersionComment">
    <vt:lpwstr/>
  </property>
  <property fmtid="{D5CDD505-2E9C-101B-9397-08002B2CF9AE}" pid="18" name="Objective-FileNumber">
    <vt:lpwstr>2023/1073785</vt:lpwstr>
  </property>
  <property fmtid="{D5CDD505-2E9C-101B-9397-08002B2CF9AE}" pid="19" name="Objective-Classification">
    <vt:lpwstr>Official</vt:lpwstr>
  </property>
  <property fmtid="{D5CDD505-2E9C-101B-9397-08002B2CF9AE}" pid="20" name="Objective-Caveats">
    <vt:lpwstr/>
  </property>
  <property fmtid="{D5CDD505-2E9C-101B-9397-08002B2CF9AE}" pid="21" name="Objective-Document Type [system]">
    <vt:lpwstr>Meeting Minutes</vt:lpwstr>
  </property>
  <property fmtid="{D5CDD505-2E9C-101B-9397-08002B2CF9AE}" pid="22" name="Objective-Reason for Security Classification Change [system]">
    <vt:lpwstr/>
  </property>
</Properties>
</file>