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AB5F" w14:textId="77777777" w:rsidR="00C839F0" w:rsidRPr="00C839F0" w:rsidRDefault="00C839F0" w:rsidP="00C839F0">
      <w:pPr>
        <w:widowControl w:val="0"/>
        <w:tabs>
          <w:tab w:val="left" w:pos="851"/>
        </w:tabs>
        <w:rPr>
          <w:rFonts w:eastAsia="Times New Roman" w:cs="Times New Roman"/>
          <w:noProof/>
          <w:sz w:val="20"/>
          <w:szCs w:val="20"/>
          <w:lang w:val="en-AU" w:eastAsia="en-AU"/>
        </w:rPr>
      </w:pPr>
      <w:r w:rsidRPr="00C839F0">
        <w:rPr>
          <w:rFonts w:eastAsia="Times New Roman" w:cs="Times New Roman"/>
          <w:noProof/>
          <w:sz w:val="20"/>
          <w:szCs w:val="20"/>
          <w:lang w:eastAsia="en-GB"/>
        </w:rPr>
        <w:drawing>
          <wp:inline distT="0" distB="0" distL="0" distR="0" wp14:anchorId="2C111392" wp14:editId="553F0D1C">
            <wp:extent cx="2657475" cy="438150"/>
            <wp:effectExtent l="0" t="0" r="9525" b="0"/>
            <wp:docPr id="27" name="Picture 27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D42D6" w14:textId="77777777" w:rsidR="00C839F0" w:rsidRPr="00C839F0" w:rsidRDefault="00C839F0" w:rsidP="00C839F0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bCs/>
          <w:szCs w:val="20"/>
        </w:rPr>
      </w:pPr>
    </w:p>
    <w:p w14:paraId="4989F817" w14:textId="77777777" w:rsidR="00C839F0" w:rsidRPr="00C839F0" w:rsidRDefault="00C839F0" w:rsidP="00C839F0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</w:rPr>
      </w:pPr>
      <w:r w:rsidRPr="00C839F0">
        <w:rPr>
          <w:rFonts w:eastAsia="Times New Roman" w:cs="Times New Roman"/>
          <w:b/>
          <w:sz w:val="20"/>
          <w:szCs w:val="20"/>
        </w:rPr>
        <w:t xml:space="preserve">Food Standards (Application </w:t>
      </w:r>
      <w:bookmarkStart w:id="0" w:name="_Hlk120043742"/>
      <w:r w:rsidRPr="00C839F0">
        <w:rPr>
          <w:rFonts w:eastAsia="Times New Roman" w:cs="Times New Roman"/>
          <w:b/>
          <w:sz w:val="20"/>
          <w:szCs w:val="20"/>
        </w:rPr>
        <w:t>A1271 –</w:t>
      </w:r>
      <w:bookmarkEnd w:id="0"/>
      <w:r w:rsidRPr="00C839F0">
        <w:rPr>
          <w:rFonts w:eastAsia="Times New Roman" w:cs="Times New Roman"/>
          <w:b/>
          <w:sz w:val="20"/>
          <w:szCs w:val="20"/>
        </w:rPr>
        <w:t xml:space="preserve"> Cellulase from GM </w:t>
      </w:r>
      <w:r w:rsidRPr="00C839F0">
        <w:rPr>
          <w:rFonts w:eastAsia="Times New Roman" w:cs="Times New Roman"/>
          <w:b/>
          <w:i/>
          <w:iCs/>
          <w:sz w:val="20"/>
          <w:szCs w:val="20"/>
        </w:rPr>
        <w:t>Aspergillus niger</w:t>
      </w:r>
      <w:r w:rsidRPr="00C839F0">
        <w:rPr>
          <w:rFonts w:eastAsia="Times New Roman" w:cs="Times New Roman"/>
          <w:b/>
          <w:sz w:val="20"/>
          <w:szCs w:val="20"/>
        </w:rPr>
        <w:t xml:space="preserve"> as a processing aid) Variation</w:t>
      </w:r>
    </w:p>
    <w:p w14:paraId="4CFF56DB" w14:textId="77777777" w:rsidR="00C839F0" w:rsidRPr="00C839F0" w:rsidRDefault="00C839F0" w:rsidP="00C839F0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</w:rPr>
      </w:pPr>
    </w:p>
    <w:p w14:paraId="7AB3FADA" w14:textId="77777777" w:rsidR="00C839F0" w:rsidRPr="00C839F0" w:rsidRDefault="00C839F0" w:rsidP="00C839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65AB8197" w14:textId="77777777" w:rsidR="00C839F0" w:rsidRPr="00C839F0" w:rsidRDefault="00C839F0" w:rsidP="00C839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C839F0">
        <w:rPr>
          <w:rFonts w:eastAsia="Times New Roman" w:cs="Times New Roman"/>
          <w:sz w:val="20"/>
          <w:szCs w:val="20"/>
        </w:rPr>
        <w:t xml:space="preserve">The Board of Food Standards Australia New Zealand gives notice of the making of this variation under section 92 of the </w:t>
      </w:r>
      <w:r w:rsidRPr="00C839F0">
        <w:rPr>
          <w:rFonts w:eastAsia="Times New Roman" w:cs="Times New Roman"/>
          <w:i/>
          <w:sz w:val="20"/>
          <w:szCs w:val="20"/>
        </w:rPr>
        <w:t>Food Standards Australia New Zealand Act 1991</w:t>
      </w:r>
      <w:r w:rsidRPr="00C839F0">
        <w:rPr>
          <w:rFonts w:eastAsia="Times New Roman" w:cs="Times New Roman"/>
          <w:sz w:val="20"/>
          <w:szCs w:val="20"/>
        </w:rPr>
        <w:t>.  The variation commences on the date specified in clause 3 of this variation.</w:t>
      </w:r>
    </w:p>
    <w:p w14:paraId="7F977C8E" w14:textId="77777777" w:rsidR="00C839F0" w:rsidRPr="00C839F0" w:rsidRDefault="00C839F0" w:rsidP="00C839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5E7D6273" w14:textId="77777777" w:rsidR="00A91A8B" w:rsidRPr="00AB6633" w:rsidRDefault="00A91A8B" w:rsidP="00A91A8B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AB6633">
        <w:rPr>
          <w:rFonts w:eastAsia="Times New Roman" w:cs="Times New Roman"/>
          <w:sz w:val="20"/>
          <w:szCs w:val="20"/>
        </w:rPr>
        <w:t>Dated 16 April 2024</w:t>
      </w:r>
    </w:p>
    <w:p w14:paraId="0B36BFF4" w14:textId="77777777" w:rsidR="00A91A8B" w:rsidRDefault="00A91A8B" w:rsidP="00A91A8B">
      <w:pPr>
        <w:widowControl w:val="0"/>
        <w:tabs>
          <w:tab w:val="left" w:pos="851"/>
        </w:tabs>
        <w:rPr>
          <w:rFonts w:eastAsia="Times New Roman" w:cs="Times New Roman"/>
          <w:color w:val="FF0000"/>
          <w:sz w:val="20"/>
          <w:szCs w:val="20"/>
        </w:rPr>
      </w:pPr>
    </w:p>
    <w:p w14:paraId="4E6EB5E0" w14:textId="77777777" w:rsidR="00A91A8B" w:rsidRPr="00642D35" w:rsidRDefault="00A91A8B" w:rsidP="00A91A8B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0A6D8BE3" wp14:editId="1E481CEF">
            <wp:extent cx="1169582" cy="528955"/>
            <wp:effectExtent l="0" t="0" r="0" b="4445"/>
            <wp:docPr id="4" name="Picture 4" descr="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ignature of the Delegate of the Board of Food Standards Australia New Zealan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742" cy="53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44219" w14:textId="77777777" w:rsidR="00A91A8B" w:rsidRPr="00642D35" w:rsidRDefault="00A91A8B" w:rsidP="00A91A8B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3DA865E4" w14:textId="77777777" w:rsidR="00A91A8B" w:rsidRPr="00AB6633" w:rsidRDefault="00A91A8B" w:rsidP="00A91A8B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AB6633">
        <w:rPr>
          <w:rFonts w:eastAsia="Times New Roman" w:cs="Times New Roman"/>
          <w:sz w:val="20"/>
          <w:szCs w:val="20"/>
        </w:rPr>
        <w:t xml:space="preserve">Jennifer Ford, Executive Officer, Section Manager </w:t>
      </w:r>
    </w:p>
    <w:p w14:paraId="0059A723" w14:textId="77777777" w:rsidR="00A91A8B" w:rsidRPr="00642D35" w:rsidRDefault="00A91A8B" w:rsidP="00A91A8B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642D35">
        <w:rPr>
          <w:rFonts w:eastAsia="Times New Roman" w:cs="Times New Roman"/>
          <w:sz w:val="20"/>
          <w:szCs w:val="20"/>
        </w:rPr>
        <w:t>Delegate of the Board of Food Standards Australia New Zealand</w:t>
      </w:r>
    </w:p>
    <w:p w14:paraId="7EDCEA7D" w14:textId="77777777" w:rsidR="00C839F0" w:rsidRPr="00C839F0" w:rsidRDefault="00C839F0" w:rsidP="00C839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7C1CC075" w14:textId="77777777" w:rsidR="00C839F0" w:rsidRPr="00C839F0" w:rsidRDefault="00C839F0" w:rsidP="00C839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76103CDD" w14:textId="77777777" w:rsidR="00C839F0" w:rsidRPr="00C839F0" w:rsidRDefault="00C839F0" w:rsidP="00C839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67FBEDEF" w14:textId="77777777" w:rsidR="00C839F0" w:rsidRPr="00C839F0" w:rsidRDefault="00C839F0" w:rsidP="00C839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46E3C935" w14:textId="77777777" w:rsidR="00C839F0" w:rsidRPr="00C839F0" w:rsidRDefault="00C839F0" w:rsidP="00C839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BAAD8DC" w14:textId="77777777" w:rsidR="00C839F0" w:rsidRPr="00C839F0" w:rsidRDefault="00C839F0" w:rsidP="00C839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  <w:lang w:val="en-AU"/>
        </w:rPr>
      </w:pPr>
      <w:r w:rsidRPr="00C839F0">
        <w:rPr>
          <w:rFonts w:eastAsia="Times New Roman" w:cs="Times New Roman"/>
          <w:b/>
          <w:sz w:val="20"/>
          <w:szCs w:val="20"/>
          <w:lang w:val="en-AU"/>
        </w:rPr>
        <w:t xml:space="preserve">Note:  </w:t>
      </w:r>
    </w:p>
    <w:p w14:paraId="544E4B42" w14:textId="77777777" w:rsidR="00C839F0" w:rsidRPr="00C839F0" w:rsidRDefault="00C839F0" w:rsidP="00C839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sz w:val="20"/>
          <w:szCs w:val="20"/>
          <w:lang w:val="en-AU"/>
        </w:rPr>
      </w:pPr>
    </w:p>
    <w:p w14:paraId="5AAA0CED" w14:textId="2879B5C9" w:rsidR="00C839F0" w:rsidRPr="00C839F0" w:rsidRDefault="00C839F0" w:rsidP="00C839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sz w:val="20"/>
          <w:szCs w:val="20"/>
          <w:lang w:val="en-AU"/>
        </w:rPr>
      </w:pPr>
      <w:r w:rsidRPr="00C839F0">
        <w:rPr>
          <w:rFonts w:eastAsia="Times New Roman" w:cs="Times New Roman"/>
          <w:sz w:val="20"/>
          <w:szCs w:val="20"/>
          <w:lang w:val="en-AU"/>
        </w:rPr>
        <w:t xml:space="preserve">This variation will be </w:t>
      </w:r>
      <w:r w:rsidRPr="00A91A8B">
        <w:rPr>
          <w:rFonts w:eastAsia="Times New Roman" w:cs="Times New Roman"/>
          <w:sz w:val="20"/>
          <w:szCs w:val="20"/>
          <w:lang w:val="en-AU"/>
        </w:rPr>
        <w:t xml:space="preserve">published in the Commonwealth of Australia Gazette No. FSC </w:t>
      </w:r>
      <w:r w:rsidR="000530FD" w:rsidRPr="00A91A8B">
        <w:rPr>
          <w:rFonts w:eastAsia="Times New Roman" w:cs="Times New Roman"/>
          <w:sz w:val="20"/>
          <w:szCs w:val="20"/>
          <w:lang w:val="en-AU"/>
        </w:rPr>
        <w:t>167</w:t>
      </w:r>
      <w:r w:rsidRPr="00A91A8B">
        <w:rPr>
          <w:rFonts w:eastAsia="Times New Roman" w:cs="Times New Roman"/>
          <w:sz w:val="20"/>
          <w:szCs w:val="20"/>
          <w:lang w:val="en-AU"/>
        </w:rPr>
        <w:t xml:space="preserve"> on </w:t>
      </w:r>
      <w:r w:rsidR="000530FD" w:rsidRPr="00A91A8B">
        <w:rPr>
          <w:rFonts w:eastAsia="Times New Roman" w:cs="Times New Roman"/>
          <w:sz w:val="20"/>
          <w:szCs w:val="20"/>
          <w:lang w:val="en-AU"/>
        </w:rPr>
        <w:t>29 April</w:t>
      </w:r>
      <w:r w:rsidRPr="00A91A8B">
        <w:rPr>
          <w:rFonts w:eastAsia="Times New Roman" w:cs="Times New Roman"/>
          <w:sz w:val="20"/>
          <w:szCs w:val="20"/>
          <w:lang w:val="en-AU"/>
        </w:rPr>
        <w:t xml:space="preserve"> 20</w:t>
      </w:r>
      <w:r w:rsidR="000530FD" w:rsidRPr="00A91A8B">
        <w:rPr>
          <w:rFonts w:eastAsia="Times New Roman" w:cs="Times New Roman"/>
          <w:sz w:val="20"/>
          <w:szCs w:val="20"/>
          <w:lang w:val="en-AU"/>
        </w:rPr>
        <w:t>24</w:t>
      </w:r>
      <w:r w:rsidRPr="00A91A8B">
        <w:rPr>
          <w:rFonts w:eastAsia="Times New Roman" w:cs="Times New Roman"/>
          <w:sz w:val="20"/>
          <w:szCs w:val="20"/>
          <w:lang w:val="en-AU"/>
        </w:rPr>
        <w:t>. This means that this da</w:t>
      </w:r>
      <w:r w:rsidRPr="00C839F0">
        <w:rPr>
          <w:rFonts w:eastAsia="Times New Roman" w:cs="Times New Roman"/>
          <w:sz w:val="20"/>
          <w:szCs w:val="20"/>
          <w:lang w:val="en-AU"/>
        </w:rPr>
        <w:t xml:space="preserve">te is the gazettal date for the purposes of clause 3 of the variation. </w:t>
      </w:r>
    </w:p>
    <w:p w14:paraId="48BEB3CB" w14:textId="77777777" w:rsidR="00C839F0" w:rsidRPr="00C839F0" w:rsidRDefault="00C839F0" w:rsidP="00C839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57044877" w14:textId="77777777" w:rsidR="00C839F0" w:rsidRPr="00C839F0" w:rsidRDefault="00C839F0" w:rsidP="00C839F0">
      <w:pPr>
        <w:rPr>
          <w:rFonts w:eastAsia="Times New Roman" w:cs="Times New Roman"/>
          <w:sz w:val="20"/>
          <w:szCs w:val="20"/>
        </w:rPr>
      </w:pPr>
      <w:r w:rsidRPr="00C839F0">
        <w:rPr>
          <w:rFonts w:eastAsia="Times New Roman" w:cs="Times New Roman"/>
          <w:sz w:val="20"/>
          <w:szCs w:val="20"/>
        </w:rPr>
        <w:br w:type="page"/>
      </w:r>
    </w:p>
    <w:p w14:paraId="5A5CCF47" w14:textId="77777777" w:rsidR="00C839F0" w:rsidRPr="00C839F0" w:rsidRDefault="00C839F0" w:rsidP="00C839F0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839F0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C839F0">
        <w:rPr>
          <w:rFonts w:eastAsia="Times New Roman" w:cs="Times New Roman"/>
          <w:b/>
          <w:sz w:val="20"/>
          <w:szCs w:val="20"/>
        </w:rPr>
        <w:tab/>
        <w:t>Name</w:t>
      </w:r>
    </w:p>
    <w:p w14:paraId="3588ACA9" w14:textId="77777777" w:rsidR="00C839F0" w:rsidRPr="00C839F0" w:rsidRDefault="00C839F0" w:rsidP="00C839F0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839F0">
        <w:rPr>
          <w:rFonts w:eastAsia="Times New Roman" w:cs="Times New Roman"/>
          <w:sz w:val="20"/>
          <w:szCs w:val="20"/>
        </w:rPr>
        <w:t xml:space="preserve">This instrument is the </w:t>
      </w:r>
      <w:r w:rsidRPr="00C839F0">
        <w:rPr>
          <w:rFonts w:eastAsia="Times New Roman" w:cs="Times New Roman"/>
          <w:i/>
          <w:iCs/>
          <w:sz w:val="20"/>
          <w:szCs w:val="20"/>
        </w:rPr>
        <w:t xml:space="preserve">Food </w:t>
      </w:r>
      <w:bookmarkStart w:id="1" w:name="_Hlk140042630"/>
      <w:r w:rsidRPr="00C839F0">
        <w:rPr>
          <w:rFonts w:eastAsia="Times New Roman" w:cs="Times New Roman"/>
          <w:i/>
          <w:iCs/>
          <w:sz w:val="20"/>
          <w:szCs w:val="20"/>
        </w:rPr>
        <w:t xml:space="preserve">Standards (Application A1271 – Cellulase from GM </w:t>
      </w:r>
      <w:r w:rsidRPr="00C839F0">
        <w:rPr>
          <w:rFonts w:eastAsia="Times New Roman" w:cs="Times New Roman"/>
          <w:sz w:val="20"/>
          <w:szCs w:val="20"/>
        </w:rPr>
        <w:t>Aspergillus niger</w:t>
      </w:r>
      <w:r w:rsidRPr="00C839F0">
        <w:rPr>
          <w:rFonts w:eastAsia="Times New Roman" w:cs="Times New Roman"/>
          <w:i/>
          <w:iCs/>
          <w:sz w:val="20"/>
          <w:szCs w:val="20"/>
        </w:rPr>
        <w:t xml:space="preserve"> as a processing aid) Variation</w:t>
      </w:r>
      <w:r w:rsidRPr="00C839F0">
        <w:rPr>
          <w:rFonts w:eastAsia="Times New Roman" w:cs="Times New Roman"/>
          <w:sz w:val="20"/>
          <w:szCs w:val="20"/>
        </w:rPr>
        <w:t>.</w:t>
      </w:r>
    </w:p>
    <w:bookmarkEnd w:id="1"/>
    <w:p w14:paraId="5754AF60" w14:textId="77777777" w:rsidR="00C839F0" w:rsidRPr="00C839F0" w:rsidRDefault="00C839F0" w:rsidP="00C839F0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839F0">
        <w:rPr>
          <w:rFonts w:eastAsia="Times New Roman" w:cs="Times New Roman"/>
          <w:b/>
          <w:sz w:val="20"/>
          <w:szCs w:val="20"/>
        </w:rPr>
        <w:t>2</w:t>
      </w:r>
      <w:r w:rsidRPr="00C839F0">
        <w:rPr>
          <w:rFonts w:eastAsia="Times New Roman" w:cs="Times New Roman"/>
          <w:b/>
          <w:sz w:val="20"/>
          <w:szCs w:val="20"/>
        </w:rPr>
        <w:tab/>
        <w:t xml:space="preserve">Variation to a Standard in the </w:t>
      </w:r>
      <w:r w:rsidRPr="00C839F0">
        <w:rPr>
          <w:rFonts w:eastAsia="Times New Roman" w:cs="Times New Roman"/>
          <w:b/>
          <w:i/>
          <w:iCs/>
          <w:sz w:val="20"/>
          <w:szCs w:val="20"/>
        </w:rPr>
        <w:t>Australia New Zealand Food Standards Code</w:t>
      </w:r>
    </w:p>
    <w:p w14:paraId="66D8E9DD" w14:textId="77777777" w:rsidR="00C839F0" w:rsidRPr="00C839F0" w:rsidRDefault="00C839F0" w:rsidP="00C839F0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839F0">
        <w:rPr>
          <w:rFonts w:eastAsia="Times New Roman" w:cs="Times New Roman"/>
          <w:sz w:val="20"/>
          <w:szCs w:val="20"/>
        </w:rPr>
        <w:t xml:space="preserve">The Schedule varies a Standard in the </w:t>
      </w:r>
      <w:r w:rsidRPr="00C839F0">
        <w:rPr>
          <w:rFonts w:eastAsia="Times New Roman" w:cs="Times New Roman"/>
          <w:i/>
          <w:iCs/>
          <w:sz w:val="20"/>
          <w:szCs w:val="20"/>
        </w:rPr>
        <w:t>Australia New Zealand Food Standards Code</w:t>
      </w:r>
      <w:r w:rsidRPr="00C839F0">
        <w:rPr>
          <w:rFonts w:eastAsia="Times New Roman" w:cs="Times New Roman"/>
          <w:sz w:val="20"/>
          <w:szCs w:val="20"/>
        </w:rPr>
        <w:t>.</w:t>
      </w:r>
    </w:p>
    <w:p w14:paraId="2A90A405" w14:textId="77777777" w:rsidR="00C839F0" w:rsidRPr="00C839F0" w:rsidRDefault="00C839F0" w:rsidP="00C839F0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839F0">
        <w:rPr>
          <w:rFonts w:eastAsia="Times New Roman" w:cs="Times New Roman"/>
          <w:b/>
          <w:sz w:val="20"/>
          <w:szCs w:val="20"/>
        </w:rPr>
        <w:t>3</w:t>
      </w:r>
      <w:r w:rsidRPr="00C839F0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09F11A67" w14:textId="77777777" w:rsidR="00C839F0" w:rsidRPr="00C839F0" w:rsidRDefault="00C839F0" w:rsidP="00C839F0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839F0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018E98F2" w14:textId="77777777" w:rsidR="00C839F0" w:rsidRPr="00C839F0" w:rsidRDefault="00C839F0" w:rsidP="00C839F0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C839F0">
        <w:rPr>
          <w:rFonts w:eastAsia="Times New Roman" w:cs="Times New Roman"/>
          <w:b/>
          <w:color w:val="000000"/>
          <w:sz w:val="20"/>
          <w:szCs w:val="20"/>
        </w:rPr>
        <w:t>Schedule</w:t>
      </w:r>
    </w:p>
    <w:p w14:paraId="568E1FE1" w14:textId="77777777" w:rsidR="00C839F0" w:rsidRPr="00C839F0" w:rsidRDefault="00C839F0" w:rsidP="00C839F0">
      <w:pPr>
        <w:widowControl w:val="0"/>
        <w:spacing w:before="120" w:after="120"/>
        <w:ind w:left="851" w:hanging="851"/>
        <w:rPr>
          <w:rFonts w:eastAsia="Times New Roman" w:cs="Times New Roman"/>
          <w:sz w:val="20"/>
          <w:szCs w:val="20"/>
        </w:rPr>
      </w:pPr>
      <w:r w:rsidRPr="00C839F0">
        <w:rPr>
          <w:rFonts w:eastAsia="Times New Roman" w:cs="Times New Roman"/>
          <w:b/>
          <w:sz w:val="20"/>
          <w:szCs w:val="20"/>
        </w:rPr>
        <w:t xml:space="preserve">Schedule 18—Processing aids </w:t>
      </w:r>
    </w:p>
    <w:p w14:paraId="2569DBC6" w14:textId="77777777" w:rsidR="00C839F0" w:rsidRPr="00C839F0" w:rsidRDefault="00C839F0" w:rsidP="00C839F0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839F0">
        <w:rPr>
          <w:rFonts w:eastAsia="Times New Roman" w:cs="Times New Roman"/>
          <w:b/>
          <w:sz w:val="20"/>
          <w:szCs w:val="20"/>
        </w:rPr>
        <w:t>[1]</w:t>
      </w:r>
      <w:r w:rsidRPr="00C839F0">
        <w:rPr>
          <w:rFonts w:eastAsia="Times New Roman" w:cs="Times New Roman"/>
          <w:b/>
          <w:sz w:val="20"/>
          <w:szCs w:val="20"/>
        </w:rPr>
        <w:tab/>
        <w:t>Subsection S18—9(3) (table)</w:t>
      </w:r>
    </w:p>
    <w:p w14:paraId="6921027C" w14:textId="77777777" w:rsidR="00C839F0" w:rsidRPr="00C839F0" w:rsidRDefault="00C839F0" w:rsidP="00C839F0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839F0">
        <w:rPr>
          <w:rFonts w:eastAsia="Times New Roman" w:cs="Times New Roman"/>
          <w:sz w:val="20"/>
          <w:szCs w:val="20"/>
        </w:rPr>
        <w:tab/>
        <w:t>Insert:</w:t>
      </w:r>
    </w:p>
    <w:tbl>
      <w:tblPr>
        <w:tblStyle w:val="TableGrid2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C839F0" w:rsidRPr="003525A3" w14:paraId="1DAB164A" w14:textId="77777777" w:rsidTr="00D27E07">
        <w:trPr>
          <w:jc w:val="center"/>
        </w:trPr>
        <w:tc>
          <w:tcPr>
            <w:tcW w:w="3120" w:type="dxa"/>
          </w:tcPr>
          <w:p w14:paraId="32693ACB" w14:textId="77777777" w:rsidR="00C839F0" w:rsidRPr="003525A3" w:rsidRDefault="00C839F0" w:rsidP="00C839F0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3525A3">
              <w:rPr>
                <w:rFonts w:ascii="Arial" w:hAnsi="Arial" w:cs="Arial"/>
                <w:sz w:val="18"/>
                <w:lang w:eastAsia="en-AU"/>
              </w:rPr>
              <w:t xml:space="preserve">Cellulase, protein engineered variant, (EC 3.2.1.4) sourced from </w:t>
            </w:r>
            <w:r w:rsidRPr="003525A3">
              <w:rPr>
                <w:rFonts w:ascii="Arial" w:hAnsi="Arial" w:cs="Arial"/>
                <w:i/>
                <w:sz w:val="18"/>
                <w:lang w:eastAsia="en-AU"/>
              </w:rPr>
              <w:t>Aspergillus niger</w:t>
            </w:r>
            <w:r w:rsidRPr="003525A3">
              <w:rPr>
                <w:rFonts w:ascii="Arial" w:hAnsi="Arial" w:cs="Arial"/>
                <w:iCs/>
                <w:sz w:val="18"/>
                <w:lang w:eastAsia="en-AU"/>
              </w:rPr>
              <w:t xml:space="preserve"> </w:t>
            </w:r>
            <w:r w:rsidRPr="003525A3">
              <w:rPr>
                <w:rFonts w:ascii="Arial" w:hAnsi="Arial" w:cs="Arial"/>
                <w:sz w:val="18"/>
                <w:lang w:eastAsia="en-AU"/>
              </w:rPr>
              <w:t xml:space="preserve">containing the cellulase gene from </w:t>
            </w:r>
            <w:bookmarkStart w:id="2" w:name="_Hlk140043261"/>
            <w:r w:rsidRPr="003525A3">
              <w:rPr>
                <w:rFonts w:ascii="Arial" w:hAnsi="Arial" w:cs="Arial"/>
                <w:i/>
                <w:sz w:val="18"/>
                <w:lang w:eastAsia="en-AU"/>
              </w:rPr>
              <w:t xml:space="preserve">Trichoderma reesei </w:t>
            </w:r>
            <w:bookmarkEnd w:id="2"/>
          </w:p>
        </w:tc>
        <w:tc>
          <w:tcPr>
            <w:tcW w:w="3603" w:type="dxa"/>
          </w:tcPr>
          <w:p w14:paraId="0A015F3B" w14:textId="77777777" w:rsidR="00C839F0" w:rsidRPr="003525A3" w:rsidRDefault="00C839F0" w:rsidP="00C839F0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3525A3">
              <w:rPr>
                <w:rFonts w:ascii="Arial" w:hAnsi="Arial" w:cs="Arial"/>
                <w:sz w:val="18"/>
                <w:lang w:eastAsia="en-AU"/>
              </w:rPr>
              <w:t>For use in brewing and the production of potable alcohol</w:t>
            </w:r>
          </w:p>
          <w:p w14:paraId="71AF19F8" w14:textId="77777777" w:rsidR="00C839F0" w:rsidRPr="003525A3" w:rsidRDefault="00C839F0" w:rsidP="00C839F0">
            <w:pPr>
              <w:keepLines/>
              <w:rPr>
                <w:rFonts w:ascii="Arial" w:eastAsia="Calibri" w:hAnsi="Arial" w:cs="Arial"/>
                <w:sz w:val="18"/>
                <w:lang w:eastAsia="en-AU"/>
              </w:rPr>
            </w:pPr>
          </w:p>
        </w:tc>
        <w:tc>
          <w:tcPr>
            <w:tcW w:w="2349" w:type="dxa"/>
          </w:tcPr>
          <w:p w14:paraId="6584407E" w14:textId="77777777" w:rsidR="00C839F0" w:rsidRPr="003525A3" w:rsidRDefault="00C839F0" w:rsidP="00C839F0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3525A3">
              <w:rPr>
                <w:rFonts w:ascii="Arial" w:hAnsi="Arial" w:cs="Arial"/>
                <w:sz w:val="18"/>
                <w:lang w:eastAsia="en-AU"/>
              </w:rPr>
              <w:t>GMP</w:t>
            </w:r>
          </w:p>
        </w:tc>
      </w:tr>
    </w:tbl>
    <w:p w14:paraId="4782D9AB" w14:textId="77777777" w:rsidR="00C839F0" w:rsidRPr="00C839F0" w:rsidRDefault="00C839F0" w:rsidP="00C839F0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839F0">
        <w:rPr>
          <w:rFonts w:eastAsia="Times New Roman" w:cs="Times New Roman"/>
          <w:b/>
          <w:color w:val="000000"/>
          <w:sz w:val="20"/>
          <w:szCs w:val="20"/>
        </w:rPr>
        <w:t>[2]</w:t>
      </w:r>
      <w:r w:rsidRPr="00C839F0">
        <w:rPr>
          <w:rFonts w:eastAsia="Times New Roman" w:cs="Times New Roman"/>
          <w:b/>
          <w:sz w:val="20"/>
          <w:szCs w:val="20"/>
        </w:rPr>
        <w:tab/>
        <w:t>Subsection S18—9(3) (note after the table)</w:t>
      </w:r>
    </w:p>
    <w:p w14:paraId="01E54539" w14:textId="77777777" w:rsidR="00C839F0" w:rsidRPr="00C839F0" w:rsidRDefault="00C839F0" w:rsidP="00C839F0">
      <w:pPr>
        <w:tabs>
          <w:tab w:val="left" w:pos="851"/>
        </w:tabs>
        <w:spacing w:before="120" w:after="120"/>
        <w:ind w:firstLine="851"/>
        <w:rPr>
          <w:rFonts w:eastAsia="Times New Roman" w:cs="Times New Roman"/>
          <w:sz w:val="20"/>
          <w:szCs w:val="20"/>
        </w:rPr>
      </w:pPr>
      <w:r w:rsidRPr="00C839F0">
        <w:rPr>
          <w:rFonts w:eastAsia="Times New Roman" w:cs="Times New Roman"/>
          <w:sz w:val="20"/>
          <w:szCs w:val="20"/>
        </w:rPr>
        <w:t>Omit the dot point list of protein engineered variants of enzymes in the note, substitute:</w:t>
      </w:r>
    </w:p>
    <w:p w14:paraId="539D55DA" w14:textId="77777777" w:rsidR="00C839F0" w:rsidRPr="00C839F0" w:rsidRDefault="00C839F0" w:rsidP="00C839F0">
      <w:pPr>
        <w:widowControl w:val="0"/>
        <w:tabs>
          <w:tab w:val="left" w:pos="851"/>
          <w:tab w:val="left" w:pos="1701"/>
        </w:tabs>
        <w:spacing w:before="60" w:after="60"/>
        <w:ind w:left="2268" w:hanging="2279"/>
        <w:rPr>
          <w:rFonts w:eastAsia="Times New Roman" w:cs="Arial"/>
          <w:sz w:val="16"/>
          <w:szCs w:val="16"/>
          <w:lang w:eastAsia="en-AU"/>
        </w:rPr>
      </w:pPr>
      <w:r w:rsidRPr="00C839F0">
        <w:rPr>
          <w:rFonts w:eastAsia="Times New Roman" w:cs="Arial"/>
          <w:b/>
          <w:i/>
          <w:sz w:val="16"/>
          <w:szCs w:val="18"/>
        </w:rPr>
        <w:tab/>
      </w:r>
    </w:p>
    <w:p w14:paraId="55F3643D" w14:textId="77777777" w:rsidR="00C839F0" w:rsidRPr="00C839F0" w:rsidRDefault="00C839F0" w:rsidP="00C839F0">
      <w:pPr>
        <w:widowControl w:val="0"/>
        <w:numPr>
          <w:ilvl w:val="0"/>
          <w:numId w:val="14"/>
        </w:numPr>
        <w:tabs>
          <w:tab w:val="left" w:pos="851"/>
          <w:tab w:val="left" w:pos="2268"/>
        </w:tabs>
        <w:spacing w:before="60" w:after="60"/>
        <w:ind w:left="2977" w:hanging="567"/>
        <w:contextualSpacing/>
        <w:rPr>
          <w:rFonts w:eastAsia="Times New Roman" w:cs="Arial"/>
          <w:iCs/>
          <w:sz w:val="16"/>
        </w:rPr>
      </w:pPr>
      <w:bookmarkStart w:id="3" w:name="_Hlk140046307"/>
      <w:r w:rsidRPr="00C839F0">
        <w:rPr>
          <w:rFonts w:eastAsia="Times New Roman" w:cs="Arial"/>
          <w:iCs/>
          <w:sz w:val="16"/>
        </w:rPr>
        <w:t>Cellulase, protein engineered variant;</w:t>
      </w:r>
    </w:p>
    <w:bookmarkEnd w:id="3"/>
    <w:p w14:paraId="7559530C" w14:textId="77777777" w:rsidR="00C839F0" w:rsidRPr="00C839F0" w:rsidRDefault="00C839F0" w:rsidP="00C839F0">
      <w:pPr>
        <w:widowControl w:val="0"/>
        <w:numPr>
          <w:ilvl w:val="0"/>
          <w:numId w:val="14"/>
        </w:numPr>
        <w:tabs>
          <w:tab w:val="left" w:pos="851"/>
          <w:tab w:val="left" w:pos="2268"/>
        </w:tabs>
        <w:spacing w:before="60" w:after="60"/>
        <w:ind w:left="2977" w:hanging="567"/>
        <w:contextualSpacing/>
        <w:rPr>
          <w:rFonts w:eastAsia="Times New Roman" w:cs="Arial"/>
          <w:iCs/>
          <w:sz w:val="16"/>
        </w:rPr>
      </w:pPr>
      <w:r w:rsidRPr="00C839F0">
        <w:rPr>
          <w:rFonts w:eastAsia="Times New Roman" w:cs="Arial"/>
          <w:iCs/>
          <w:sz w:val="16"/>
        </w:rPr>
        <w:t>Endo-1,4-ß-xylanase, protein engineered variant;</w:t>
      </w:r>
    </w:p>
    <w:p w14:paraId="7ED3D9DC" w14:textId="77777777" w:rsidR="00C839F0" w:rsidRPr="00C839F0" w:rsidRDefault="00C839F0" w:rsidP="00C839F0">
      <w:pPr>
        <w:widowControl w:val="0"/>
        <w:numPr>
          <w:ilvl w:val="0"/>
          <w:numId w:val="14"/>
        </w:numPr>
        <w:tabs>
          <w:tab w:val="left" w:pos="851"/>
          <w:tab w:val="left" w:pos="2268"/>
        </w:tabs>
        <w:spacing w:before="60" w:after="60"/>
        <w:ind w:left="2977" w:hanging="567"/>
        <w:contextualSpacing/>
        <w:rPr>
          <w:rFonts w:eastAsia="Times New Roman" w:cs="Arial"/>
          <w:sz w:val="16"/>
          <w:szCs w:val="16"/>
        </w:rPr>
      </w:pPr>
      <w:bookmarkStart w:id="4" w:name="_Hlk140042081"/>
      <w:proofErr w:type="spellStart"/>
      <w:r w:rsidRPr="00C839F0">
        <w:rPr>
          <w:rFonts w:eastAsia="Arial" w:cs="Arial"/>
          <w:sz w:val="16"/>
          <w:szCs w:val="16"/>
        </w:rPr>
        <w:t>Fructan</w:t>
      </w:r>
      <w:proofErr w:type="spellEnd"/>
      <w:r w:rsidRPr="00C839F0">
        <w:rPr>
          <w:rFonts w:eastAsia="Arial" w:cs="Arial"/>
          <w:sz w:val="16"/>
          <w:szCs w:val="16"/>
        </w:rPr>
        <w:t xml:space="preserve"> β-fructosidase</w:t>
      </w:r>
      <w:r w:rsidRPr="00C839F0">
        <w:rPr>
          <w:rFonts w:eastAsia="Times New Roman" w:cs="Arial"/>
          <w:sz w:val="16"/>
          <w:szCs w:val="16"/>
        </w:rPr>
        <w:t>, protein engineered variant;</w:t>
      </w:r>
    </w:p>
    <w:bookmarkEnd w:id="4"/>
    <w:p w14:paraId="2059B958" w14:textId="77777777" w:rsidR="00C839F0" w:rsidRPr="00C839F0" w:rsidRDefault="00C839F0" w:rsidP="00C839F0">
      <w:pPr>
        <w:widowControl w:val="0"/>
        <w:numPr>
          <w:ilvl w:val="0"/>
          <w:numId w:val="14"/>
        </w:numPr>
        <w:tabs>
          <w:tab w:val="left" w:pos="851"/>
          <w:tab w:val="left" w:pos="2268"/>
        </w:tabs>
        <w:spacing w:before="60" w:after="60"/>
        <w:ind w:left="2977" w:hanging="567"/>
        <w:contextualSpacing/>
        <w:rPr>
          <w:rFonts w:eastAsia="Times New Roman" w:cs="Arial"/>
          <w:iCs/>
          <w:sz w:val="16"/>
        </w:rPr>
      </w:pPr>
      <w:r w:rsidRPr="00C839F0">
        <w:rPr>
          <w:rFonts w:eastAsia="Times New Roman" w:cs="Arial"/>
          <w:color w:val="000000"/>
          <w:sz w:val="16"/>
          <w:szCs w:val="16"/>
          <w:shd w:val="clear" w:color="auto" w:fill="FFFFFF"/>
        </w:rPr>
        <w:t>Glucoamylase, protein engineered variant;</w:t>
      </w:r>
    </w:p>
    <w:p w14:paraId="2D283884" w14:textId="77777777" w:rsidR="00C839F0" w:rsidRPr="00C839F0" w:rsidRDefault="00C839F0" w:rsidP="00C839F0">
      <w:pPr>
        <w:widowControl w:val="0"/>
        <w:numPr>
          <w:ilvl w:val="0"/>
          <w:numId w:val="14"/>
        </w:numPr>
        <w:tabs>
          <w:tab w:val="left" w:pos="851"/>
          <w:tab w:val="left" w:pos="2268"/>
        </w:tabs>
        <w:spacing w:before="60" w:after="60"/>
        <w:ind w:left="2977" w:hanging="567"/>
        <w:contextualSpacing/>
        <w:rPr>
          <w:rFonts w:eastAsia="Times New Roman" w:cs="Arial"/>
          <w:iCs/>
          <w:sz w:val="16"/>
        </w:rPr>
      </w:pPr>
      <w:r w:rsidRPr="00C839F0">
        <w:rPr>
          <w:rFonts w:eastAsia="Times New Roman" w:cs="Arial"/>
          <w:iCs/>
          <w:sz w:val="16"/>
        </w:rPr>
        <w:t>Maltogenic α-amylase, protein engineered variant;</w:t>
      </w:r>
      <w:r w:rsidRPr="00C839F0">
        <w:rPr>
          <w:rFonts w:eastAsia="Times New Roman" w:cs="Arial"/>
          <w:color w:val="000000"/>
          <w:sz w:val="16"/>
          <w:szCs w:val="16"/>
          <w:shd w:val="clear" w:color="auto" w:fill="FFFFFF"/>
        </w:rPr>
        <w:t xml:space="preserve"> </w:t>
      </w:r>
    </w:p>
    <w:p w14:paraId="7B0CE7BB" w14:textId="77777777" w:rsidR="00C839F0" w:rsidRPr="00C839F0" w:rsidRDefault="00C839F0" w:rsidP="00C839F0">
      <w:pPr>
        <w:widowControl w:val="0"/>
        <w:numPr>
          <w:ilvl w:val="0"/>
          <w:numId w:val="14"/>
        </w:numPr>
        <w:tabs>
          <w:tab w:val="left" w:pos="851"/>
          <w:tab w:val="left" w:pos="2268"/>
        </w:tabs>
        <w:spacing w:before="60" w:after="60"/>
        <w:ind w:left="2977" w:hanging="567"/>
        <w:contextualSpacing/>
        <w:rPr>
          <w:rFonts w:eastAsia="Times New Roman" w:cs="Arial"/>
          <w:color w:val="000000"/>
          <w:sz w:val="16"/>
          <w:szCs w:val="16"/>
          <w:shd w:val="clear" w:color="auto" w:fill="FFFFFF"/>
        </w:rPr>
      </w:pPr>
      <w:r w:rsidRPr="00C839F0">
        <w:rPr>
          <w:rFonts w:eastAsia="Times New Roman" w:cs="Arial"/>
          <w:iCs/>
          <w:sz w:val="16"/>
        </w:rPr>
        <w:t>Protein engineered enzymes used in the manufacture of various steviol glycosides.</w:t>
      </w:r>
    </w:p>
    <w:p w14:paraId="3922F196" w14:textId="77777777" w:rsidR="00C839F0" w:rsidRPr="00C839F0" w:rsidRDefault="00C839F0" w:rsidP="00C839F0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p w14:paraId="0C9ADCB0" w14:textId="77777777" w:rsidR="00C839F0" w:rsidRPr="00C839F0" w:rsidRDefault="00C839F0" w:rsidP="00C839F0">
      <w:pPr>
        <w:widowControl w:val="0"/>
        <w:rPr>
          <w:rFonts w:eastAsia="Times New Roman" w:cs="Times New Roman"/>
          <w:szCs w:val="24"/>
        </w:rPr>
      </w:pPr>
    </w:p>
    <w:p w14:paraId="36CAC2DC" w14:textId="77777777" w:rsidR="00D5526B" w:rsidRPr="003A01FB" w:rsidRDefault="00D5526B" w:rsidP="003A01FB"/>
    <w:sectPr w:rsidR="00D5526B" w:rsidRPr="003A01FB" w:rsidSect="008E23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524A" w14:textId="77777777" w:rsidR="00F76FFF" w:rsidRDefault="00F76FFF" w:rsidP="00C839F0">
      <w:r>
        <w:separator/>
      </w:r>
    </w:p>
  </w:endnote>
  <w:endnote w:type="continuationSeparator" w:id="0">
    <w:p w14:paraId="12E4BE82" w14:textId="77777777" w:rsidR="00F76FFF" w:rsidRDefault="00F76FFF" w:rsidP="00C8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2FAC" w14:textId="77777777" w:rsidR="000530FD" w:rsidRDefault="00053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916B" w14:textId="77777777" w:rsidR="000530FD" w:rsidRDefault="000530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8B1E" w14:textId="77777777" w:rsidR="000530FD" w:rsidRDefault="00053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7A82" w14:textId="77777777" w:rsidR="00F76FFF" w:rsidRDefault="00F76FFF" w:rsidP="00C839F0">
      <w:r>
        <w:separator/>
      </w:r>
    </w:p>
  </w:footnote>
  <w:footnote w:type="continuationSeparator" w:id="0">
    <w:p w14:paraId="5A38019B" w14:textId="77777777" w:rsidR="00F76FFF" w:rsidRDefault="00F76FFF" w:rsidP="00C83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AC0A" w14:textId="77777777" w:rsidR="000530FD" w:rsidRDefault="00053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AD9C" w14:textId="77777777" w:rsidR="000530FD" w:rsidRDefault="000530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28CB" w14:textId="77777777" w:rsidR="000530FD" w:rsidRDefault="00053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1CA"/>
    <w:multiLevelType w:val="hybridMultilevel"/>
    <w:tmpl w:val="3648FA5E"/>
    <w:lvl w:ilvl="0" w:tplc="8FD0A3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030648132">
    <w:abstractNumId w:val="1"/>
  </w:num>
  <w:num w:numId="2" w16cid:durableId="292752323">
    <w:abstractNumId w:val="1"/>
  </w:num>
  <w:num w:numId="3" w16cid:durableId="1859343959">
    <w:abstractNumId w:val="1"/>
  </w:num>
  <w:num w:numId="4" w16cid:durableId="484710137">
    <w:abstractNumId w:val="1"/>
  </w:num>
  <w:num w:numId="5" w16cid:durableId="2007513285">
    <w:abstractNumId w:val="1"/>
  </w:num>
  <w:num w:numId="6" w16cid:durableId="1180048486">
    <w:abstractNumId w:val="1"/>
  </w:num>
  <w:num w:numId="7" w16cid:durableId="1508595713">
    <w:abstractNumId w:val="1"/>
  </w:num>
  <w:num w:numId="8" w16cid:durableId="1480028729">
    <w:abstractNumId w:val="4"/>
  </w:num>
  <w:num w:numId="9" w16cid:durableId="2094815692">
    <w:abstractNumId w:val="2"/>
  </w:num>
  <w:num w:numId="10" w16cid:durableId="580452679">
    <w:abstractNumId w:val="3"/>
  </w:num>
  <w:num w:numId="11" w16cid:durableId="86079294">
    <w:abstractNumId w:val="4"/>
  </w:num>
  <w:num w:numId="12" w16cid:durableId="1765806948">
    <w:abstractNumId w:val="2"/>
  </w:num>
  <w:num w:numId="13" w16cid:durableId="1422337609">
    <w:abstractNumId w:val="3"/>
  </w:num>
  <w:num w:numId="14" w16cid:durableId="187723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12"/>
    <w:rsid w:val="0000542C"/>
    <w:rsid w:val="00041643"/>
    <w:rsid w:val="000530FD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525A3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F7EF7"/>
    <w:rsid w:val="006A2E9B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01412"/>
    <w:rsid w:val="00935023"/>
    <w:rsid w:val="00954600"/>
    <w:rsid w:val="009806A5"/>
    <w:rsid w:val="009E265A"/>
    <w:rsid w:val="00A25B29"/>
    <w:rsid w:val="00A26F82"/>
    <w:rsid w:val="00A808E9"/>
    <w:rsid w:val="00A91A8B"/>
    <w:rsid w:val="00B53154"/>
    <w:rsid w:val="00B72074"/>
    <w:rsid w:val="00BC2133"/>
    <w:rsid w:val="00BE4F3A"/>
    <w:rsid w:val="00C019A6"/>
    <w:rsid w:val="00C572A2"/>
    <w:rsid w:val="00C839F0"/>
    <w:rsid w:val="00D5526B"/>
    <w:rsid w:val="00D66962"/>
    <w:rsid w:val="00D87D9C"/>
    <w:rsid w:val="00D92B3B"/>
    <w:rsid w:val="00DA7DED"/>
    <w:rsid w:val="00DB1BE6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76FFF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A14A2"/>
  <w15:chartTrackingRefBased/>
  <w15:docId w15:val="{5981D899-2AC2-4F84-8C72-4110527C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C839F0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8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0e0bee33-077a-46d4-80d5-abd1b3a3b85b" xsi:nil="true"/>
    <jf6c16bbf41b473ebe1e583d28d77907 xmlns="0e0bee33-077a-46d4-80d5-abd1b3a3b85b">
      <Terms xmlns="http://schemas.microsoft.com/office/infopath/2007/PartnerControls"/>
    </jf6c16bbf41b473ebe1e583d28d77907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TaxCatchAll xmlns="0e0bee33-077a-46d4-80d5-abd1b3a3b85b">
      <Value>1</Value>
      <Value>27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1d26056e38933490155d3e4fb9e9c98e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c4b4c259f7d5c25d814874e6a78ae7d6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99796-3DDB-41BF-859C-9D1EF84BFF9F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2.xml><?xml version="1.0" encoding="utf-8"?>
<ds:datastoreItem xmlns:ds="http://schemas.openxmlformats.org/officeDocument/2006/customXml" ds:itemID="{696EB5A2-138C-43CE-8EF4-5316FB301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3ECA3-4193-4B09-8C3E-0B11430B1BC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B727CD-C4D2-4727-AA13-E35D0561A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1530</Characters>
  <Application>Microsoft Office Word</Application>
  <DocSecurity>0</DocSecurity>
  <Lines>12</Lines>
  <Paragraphs>3</Paragraphs>
  <ScaleCrop>false</ScaleCrop>
  <Company>Food Standards Australia New Zealand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 Ronaldson</cp:lastModifiedBy>
  <cp:revision>9</cp:revision>
  <dcterms:created xsi:type="dcterms:W3CDTF">2024-04-15T01:01:00Z</dcterms:created>
  <dcterms:modified xsi:type="dcterms:W3CDTF">2024-04-17T03:05:00Z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v=2022.1;a=SHA256;h=C48CBC72C4FD3ACBD4513A89DD927E33697D62234D59AF9BC66B591A2BD85F8D</vt:lpwstr>
  </property>
  <property fmtid="{D5CDD505-2E9C-101B-9397-08002B2CF9AE}" pid="7" name="PM_Qualifier">
    <vt:lpwstr/>
  </property>
  <property fmtid="{D5CDD505-2E9C-101B-9397-08002B2CF9AE}" pid="8" name="PM_SecurityClassification">
    <vt:lpwstr/>
  </property>
  <property fmtid="{D5CDD505-2E9C-101B-9397-08002B2CF9AE}" pid="9" name="PM_ProtectiveMarkingValue_Header">
    <vt:lpwstr/>
  </property>
  <property fmtid="{D5CDD505-2E9C-101B-9397-08002B2CF9AE}" pid="10" name="PM_OriginationTimeStamp">
    <vt:lpwstr>2024-04-15T22:33:12Z</vt:lpwstr>
  </property>
  <property fmtid="{D5CDD505-2E9C-101B-9397-08002B2CF9AE}" pid="11" name="PM_Markers">
    <vt:lpwstr/>
  </property>
  <property fmtid="{D5CDD505-2E9C-101B-9397-08002B2CF9AE}" pid="12" name="PM_InsertionValue">
    <vt:lpwstr/>
  </property>
  <property fmtid="{D5CDD505-2E9C-101B-9397-08002B2CF9AE}" pid="13" name="PM_Originator_Hash_SHA1">
    <vt:lpwstr>CCE85C6D7BB2B875FAA1D0BEEDE3FC9A313ABAD2</vt:lpwstr>
  </property>
  <property fmtid="{D5CDD505-2E9C-101B-9397-08002B2CF9AE}" pid="14" name="PM_DisplayValueSecClassificationWithQualifier">
    <vt:lpwstr/>
  </property>
  <property fmtid="{D5CDD505-2E9C-101B-9397-08002B2CF9AE}" pid="15" name="PM_Originating_FileId">
    <vt:lpwstr>F558C141A565495F8C506E1EEB5B188F</vt:lpwstr>
  </property>
  <property fmtid="{D5CDD505-2E9C-101B-9397-08002B2CF9AE}" pid="16" name="PM_ProtectiveMarkingValue_Footer">
    <vt:lpwstr/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/>
  </property>
  <property fmtid="{D5CDD505-2E9C-101B-9397-08002B2CF9AE}" pid="20" name="PM_OriginatorUserAccountName_SHA256">
    <vt:lpwstr>5ED4A1DB6B76B1A0EF6CC77FA386CF6A5DE7EC5DB10A98866B230F682715FC67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/>
  </property>
  <property fmtid="{D5CDD505-2E9C-101B-9397-08002B2CF9AE}" pid="23" name="PM_Hash_Version">
    <vt:lpwstr>2022.1</vt:lpwstr>
  </property>
  <property fmtid="{D5CDD505-2E9C-101B-9397-08002B2CF9AE}" pid="24" name="PM_Hash_Salt_Prev">
    <vt:lpwstr>042BA7137A4B47512E67D9431784F383</vt:lpwstr>
  </property>
  <property fmtid="{D5CDD505-2E9C-101B-9397-08002B2CF9AE}" pid="25" name="PM_Hash_Salt">
    <vt:lpwstr>E3B26EEDDB9900FD54DCB4680191D82E</vt:lpwstr>
  </property>
  <property fmtid="{D5CDD505-2E9C-101B-9397-08002B2CF9AE}" pid="26" name="PM_Hash_SHA1">
    <vt:lpwstr>4343932FD31FF89793570A8DE4A2BF11D17D22ED</vt:lpwstr>
  </property>
  <property fmtid="{D5CDD505-2E9C-101B-9397-08002B2CF9AE}" pid="27" name="ContentTypeId">
    <vt:lpwstr>0x010100F5F252698E4843DFA3EBBF7EC57E522A00ED57D63352AC3D488C1927FA6C496CEC</vt:lpwstr>
  </property>
  <property fmtid="{D5CDD505-2E9C-101B-9397-08002B2CF9AE}" pid="28" name="Classification">
    <vt:lpwstr>1;#OFFICIAL|3776503d-ed4e-4d70-8dfd-8e17b238523b</vt:lpwstr>
  </property>
  <property fmtid="{D5CDD505-2E9C-101B-9397-08002B2CF9AE}" pid="29" name="pd3a3559ef84480a8025c4c7bb6e6dee">
    <vt:lpwstr/>
  </property>
  <property fmtid="{D5CDD505-2E9C-101B-9397-08002B2CF9AE}" pid="30" name="h46016694f704d158a57d0b5238c000e">
    <vt:lpwstr/>
  </property>
  <property fmtid="{D5CDD505-2E9C-101B-9397-08002B2CF9AE}" pid="31" name="Data_x0020_Privacy">
    <vt:lpwstr/>
  </property>
  <property fmtid="{D5CDD505-2E9C-101B-9397-08002B2CF9AE}" pid="32" name="Access">
    <vt:lpwstr/>
  </property>
  <property fmtid="{D5CDD505-2E9C-101B-9397-08002B2CF9AE}" pid="33" name="Data_x0020_Category">
    <vt:lpwstr/>
  </property>
  <property fmtid="{D5CDD505-2E9C-101B-9397-08002B2CF9AE}" pid="34" name="Data_x0020_Accessibility">
    <vt:lpwstr/>
  </property>
  <property fmtid="{D5CDD505-2E9C-101B-9397-08002B2CF9AE}" pid="35" name="o2e94e0b7bb742308b3aec7384781dc0">
    <vt:lpwstr/>
  </property>
  <property fmtid="{D5CDD505-2E9C-101B-9397-08002B2CF9AE}" pid="36" name="BCS">
    <vt:lpwstr>27;#Instruments|4a8ff5e5-1f0e-4751-ab44-bc0d33b46a80</vt:lpwstr>
  </property>
  <property fmtid="{D5CDD505-2E9C-101B-9397-08002B2CF9AE}" pid="37" name="Data Privacy">
    <vt:lpwstr/>
  </property>
  <property fmtid="{D5CDD505-2E9C-101B-9397-08002B2CF9AE}" pid="38" name="Data Accessibility">
    <vt:lpwstr/>
  </property>
  <property fmtid="{D5CDD505-2E9C-101B-9397-08002B2CF9AE}" pid="39" name="Data Category">
    <vt:lpwstr/>
  </property>
</Properties>
</file>