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23FF" w14:textId="77777777" w:rsidR="00466A99" w:rsidRPr="00466A99" w:rsidRDefault="00466A99" w:rsidP="00466A99">
      <w:pPr>
        <w:keepNext/>
        <w:widowControl w:val="0"/>
        <w:spacing w:before="240" w:after="240"/>
        <w:outlineLvl w:val="1"/>
        <w:rPr>
          <w:rFonts w:eastAsia="Times New Roman" w:cs="Arial"/>
          <w:b/>
          <w:bCs/>
          <w:sz w:val="28"/>
        </w:rPr>
      </w:pPr>
    </w:p>
    <w:p w14:paraId="7F67D14A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466A99">
        <w:rPr>
          <w:rFonts w:eastAsia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45331A36" wp14:editId="2878A5F7">
            <wp:extent cx="2657475" cy="438150"/>
            <wp:effectExtent l="0" t="0" r="9525" b="0"/>
            <wp:docPr id="3" name="Picture 3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F40D" w14:textId="77777777" w:rsidR="00466A99" w:rsidRPr="00466A99" w:rsidRDefault="00466A99" w:rsidP="00466A99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20A36D6B" w14:textId="77777777" w:rsidR="00466A99" w:rsidRPr="00466A99" w:rsidRDefault="00466A99" w:rsidP="00466A99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 w:val="20"/>
          <w:szCs w:val="20"/>
        </w:rPr>
      </w:pPr>
      <w:r w:rsidRPr="00466A99">
        <w:rPr>
          <w:rFonts w:eastAsia="Times New Roman" w:cs="Times New Roman"/>
          <w:b/>
          <w:bCs/>
          <w:sz w:val="20"/>
          <w:szCs w:val="20"/>
        </w:rPr>
        <w:t>Food Standards (Application A1278– Beta-</w:t>
      </w:r>
      <w:proofErr w:type="spellStart"/>
      <w:r w:rsidRPr="00466A99">
        <w:rPr>
          <w:rFonts w:eastAsia="Times New Roman" w:cs="Times New Roman"/>
          <w:b/>
          <w:bCs/>
          <w:sz w:val="20"/>
          <w:szCs w:val="20"/>
        </w:rPr>
        <w:t>Fructofuranosidase</w:t>
      </w:r>
      <w:proofErr w:type="spellEnd"/>
      <w:r w:rsidRPr="00466A99">
        <w:rPr>
          <w:rFonts w:eastAsia="Times New Roman" w:cs="Times New Roman"/>
          <w:b/>
          <w:bCs/>
          <w:sz w:val="20"/>
          <w:szCs w:val="20"/>
        </w:rPr>
        <w:t xml:space="preserve"> from GM </w:t>
      </w:r>
      <w:r w:rsidRPr="00466A99">
        <w:rPr>
          <w:rFonts w:eastAsia="Times New Roman" w:cs="Times New Roman"/>
          <w:b/>
          <w:bCs/>
          <w:i/>
          <w:iCs/>
          <w:sz w:val="20"/>
          <w:szCs w:val="20"/>
        </w:rPr>
        <w:t xml:space="preserve">Trichoderma reesei </w:t>
      </w:r>
      <w:r w:rsidRPr="00466A99">
        <w:rPr>
          <w:rFonts w:eastAsia="Times New Roman" w:cs="Times New Roman"/>
          <w:b/>
          <w:bCs/>
          <w:sz w:val="20"/>
          <w:szCs w:val="20"/>
        </w:rPr>
        <w:t>as a processing aid) Variation</w:t>
      </w:r>
    </w:p>
    <w:p w14:paraId="38A95B6B" w14:textId="77777777" w:rsidR="00466A99" w:rsidRPr="00466A99" w:rsidRDefault="00466A99" w:rsidP="00466A99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5424DE87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579C5E6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466A99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466A99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466A99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4BA9CEC3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5C96774" w14:textId="77777777" w:rsidR="009E56A2" w:rsidRPr="00AB6633" w:rsidRDefault="009E56A2" w:rsidP="009E56A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AB6633">
        <w:rPr>
          <w:rFonts w:eastAsia="Times New Roman" w:cs="Times New Roman"/>
          <w:sz w:val="20"/>
          <w:szCs w:val="20"/>
        </w:rPr>
        <w:t>Dated 16 April 2024</w:t>
      </w:r>
    </w:p>
    <w:p w14:paraId="4A92B3DE" w14:textId="77777777" w:rsidR="009E56A2" w:rsidRDefault="009E56A2" w:rsidP="009E56A2">
      <w:pPr>
        <w:widowControl w:val="0"/>
        <w:tabs>
          <w:tab w:val="left" w:pos="851"/>
        </w:tabs>
        <w:rPr>
          <w:rFonts w:eastAsia="Times New Roman" w:cs="Times New Roman"/>
          <w:color w:val="FF0000"/>
          <w:sz w:val="20"/>
          <w:szCs w:val="20"/>
        </w:rPr>
      </w:pPr>
    </w:p>
    <w:p w14:paraId="790B26AF" w14:textId="77777777" w:rsidR="009E56A2" w:rsidRPr="00642D35" w:rsidRDefault="009E56A2" w:rsidP="009E56A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5B3D7E6F" wp14:editId="348DF21B">
            <wp:extent cx="1169582" cy="528955"/>
            <wp:effectExtent l="0" t="0" r="0" b="4445"/>
            <wp:docPr id="4" name="Picture 4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ignature of the Delegate of the Board of Food Standards Australia New Zealan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742" cy="53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FC03" w14:textId="77777777" w:rsidR="009E56A2" w:rsidRPr="00642D35" w:rsidRDefault="009E56A2" w:rsidP="009E56A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7EBE36B" w14:textId="77777777" w:rsidR="009E56A2" w:rsidRPr="00AB6633" w:rsidRDefault="009E56A2" w:rsidP="009E56A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AB6633">
        <w:rPr>
          <w:rFonts w:eastAsia="Times New Roman" w:cs="Times New Roman"/>
          <w:sz w:val="20"/>
          <w:szCs w:val="20"/>
        </w:rPr>
        <w:t xml:space="preserve">Jennifer Ford, Executive Officer, Section Manager </w:t>
      </w:r>
    </w:p>
    <w:p w14:paraId="5F806207" w14:textId="77777777" w:rsidR="009E56A2" w:rsidRPr="00642D35" w:rsidRDefault="009E56A2" w:rsidP="009E56A2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642D35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588EBB15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6ABE7CC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3BE86EC7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EEE90E6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139A1C6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AFFD0B8" w14:textId="77777777" w:rsidR="00466A99" w:rsidRPr="00466A99" w:rsidRDefault="00466A99" w:rsidP="00466A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466A99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62F6E7A1" w14:textId="77777777" w:rsidR="00466A99" w:rsidRPr="00466A99" w:rsidRDefault="00466A99" w:rsidP="00466A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3520E717" w14:textId="42DF5823" w:rsidR="00466A99" w:rsidRPr="00466A99" w:rsidRDefault="00466A99" w:rsidP="00466A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466A99">
        <w:rPr>
          <w:rFonts w:eastAsia="Times New Roman" w:cs="Times New Roman"/>
          <w:sz w:val="20"/>
          <w:szCs w:val="20"/>
          <w:lang w:val="en-AU"/>
        </w:rPr>
        <w:t xml:space="preserve">This variation will be published in the Commonwealth of Australia </w:t>
      </w:r>
      <w:r w:rsidRPr="009E56A2">
        <w:rPr>
          <w:rFonts w:eastAsia="Times New Roman" w:cs="Times New Roman"/>
          <w:sz w:val="20"/>
          <w:szCs w:val="20"/>
          <w:lang w:val="en-AU"/>
        </w:rPr>
        <w:t xml:space="preserve">Gazette No. FSC </w:t>
      </w:r>
      <w:r w:rsidR="00F217E5" w:rsidRPr="009E56A2">
        <w:rPr>
          <w:rFonts w:eastAsia="Times New Roman" w:cs="Times New Roman"/>
          <w:sz w:val="20"/>
          <w:szCs w:val="20"/>
          <w:lang w:val="en-AU"/>
        </w:rPr>
        <w:t>167</w:t>
      </w:r>
      <w:r w:rsidRPr="009E56A2">
        <w:rPr>
          <w:rFonts w:eastAsia="Times New Roman" w:cs="Times New Roman"/>
          <w:sz w:val="20"/>
          <w:szCs w:val="20"/>
          <w:lang w:val="en-AU"/>
        </w:rPr>
        <w:t xml:space="preserve"> on </w:t>
      </w:r>
      <w:r w:rsidR="00F217E5" w:rsidRPr="009E56A2">
        <w:rPr>
          <w:rFonts w:eastAsia="Times New Roman" w:cs="Times New Roman"/>
          <w:sz w:val="20"/>
          <w:szCs w:val="20"/>
          <w:lang w:val="en-AU"/>
        </w:rPr>
        <w:t>29 April</w:t>
      </w:r>
      <w:r w:rsidRPr="009E56A2">
        <w:rPr>
          <w:rFonts w:eastAsia="Times New Roman" w:cs="Times New Roman"/>
          <w:sz w:val="20"/>
          <w:szCs w:val="20"/>
          <w:lang w:val="en-AU"/>
        </w:rPr>
        <w:t xml:space="preserve"> 20</w:t>
      </w:r>
      <w:r w:rsidR="00F217E5" w:rsidRPr="009E56A2">
        <w:rPr>
          <w:rFonts w:eastAsia="Times New Roman" w:cs="Times New Roman"/>
          <w:sz w:val="20"/>
          <w:szCs w:val="20"/>
          <w:lang w:val="en-AU"/>
        </w:rPr>
        <w:t>24</w:t>
      </w:r>
      <w:r w:rsidRPr="009E56A2">
        <w:rPr>
          <w:rFonts w:eastAsia="Times New Roman" w:cs="Times New Roman"/>
          <w:sz w:val="20"/>
          <w:szCs w:val="20"/>
          <w:lang w:val="en-AU"/>
        </w:rPr>
        <w:t>. This means that this date is the gazettal date for the purposes o</w:t>
      </w:r>
      <w:r w:rsidRPr="00466A99">
        <w:rPr>
          <w:rFonts w:eastAsia="Times New Roman" w:cs="Times New Roman"/>
          <w:sz w:val="20"/>
          <w:szCs w:val="20"/>
          <w:lang w:val="en-AU"/>
        </w:rPr>
        <w:t xml:space="preserve">f clause 3 of the variation. </w:t>
      </w:r>
    </w:p>
    <w:p w14:paraId="4A4E262F" w14:textId="77777777" w:rsidR="00466A99" w:rsidRPr="00466A99" w:rsidRDefault="00466A99" w:rsidP="00466A9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331BC832" w14:textId="77777777" w:rsidR="00466A99" w:rsidRPr="00466A99" w:rsidRDefault="00466A99" w:rsidP="00466A99">
      <w:pPr>
        <w:rPr>
          <w:rFonts w:eastAsia="Times New Roman" w:cs="Times New Roman"/>
          <w:sz w:val="20"/>
          <w:szCs w:val="20"/>
        </w:rPr>
      </w:pPr>
      <w:r w:rsidRPr="00466A99">
        <w:rPr>
          <w:rFonts w:eastAsia="Times New Roman" w:cs="Times New Roman"/>
          <w:sz w:val="20"/>
          <w:szCs w:val="20"/>
        </w:rPr>
        <w:br w:type="page"/>
      </w:r>
    </w:p>
    <w:p w14:paraId="4BDBE7F3" w14:textId="77777777" w:rsidR="00466A99" w:rsidRPr="00466A99" w:rsidRDefault="00466A99" w:rsidP="00466A9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66A99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466A99">
        <w:rPr>
          <w:rFonts w:eastAsia="Times New Roman" w:cs="Times New Roman"/>
          <w:b/>
          <w:sz w:val="20"/>
          <w:szCs w:val="20"/>
        </w:rPr>
        <w:tab/>
        <w:t>Name</w:t>
      </w:r>
    </w:p>
    <w:p w14:paraId="4E5E418C" w14:textId="77777777" w:rsidR="00466A99" w:rsidRPr="00466A99" w:rsidRDefault="00466A99" w:rsidP="00466A9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66A99">
        <w:rPr>
          <w:rFonts w:eastAsia="Times New Roman" w:cs="Times New Roman"/>
          <w:sz w:val="20"/>
          <w:szCs w:val="20"/>
        </w:rPr>
        <w:t xml:space="preserve">This instrument is the </w:t>
      </w:r>
      <w:r w:rsidRPr="00466A99">
        <w:rPr>
          <w:rFonts w:eastAsia="Times New Roman" w:cs="Times New Roman"/>
          <w:i/>
          <w:iCs/>
          <w:sz w:val="20"/>
          <w:szCs w:val="20"/>
        </w:rPr>
        <w:t>Food Standards (Application A1278 – Beta-</w:t>
      </w:r>
      <w:proofErr w:type="spellStart"/>
      <w:r w:rsidRPr="00466A99">
        <w:rPr>
          <w:rFonts w:eastAsia="Times New Roman" w:cs="Times New Roman"/>
          <w:i/>
          <w:iCs/>
          <w:sz w:val="20"/>
          <w:szCs w:val="20"/>
        </w:rPr>
        <w:t>Fructofuranosidase</w:t>
      </w:r>
      <w:proofErr w:type="spellEnd"/>
      <w:r w:rsidRPr="00466A99">
        <w:rPr>
          <w:rFonts w:eastAsia="Times New Roman" w:cs="Times New Roman"/>
          <w:i/>
          <w:iCs/>
          <w:sz w:val="20"/>
          <w:szCs w:val="20"/>
        </w:rPr>
        <w:t xml:space="preserve"> from GM</w:t>
      </w:r>
      <w:r w:rsidRPr="00466A99">
        <w:rPr>
          <w:rFonts w:eastAsia="Times New Roman" w:cs="Times New Roman"/>
          <w:sz w:val="20"/>
          <w:szCs w:val="20"/>
        </w:rPr>
        <w:t xml:space="preserve"> </w:t>
      </w:r>
      <w:r w:rsidRPr="00466A99">
        <w:rPr>
          <w:rFonts w:eastAsia="Times New Roman" w:cs="Times New Roman"/>
          <w:iCs/>
          <w:sz w:val="20"/>
          <w:szCs w:val="20"/>
        </w:rPr>
        <w:t xml:space="preserve">Trichoderma reesei </w:t>
      </w:r>
      <w:r w:rsidRPr="00466A99">
        <w:rPr>
          <w:rFonts w:eastAsia="Times New Roman" w:cs="Times New Roman"/>
          <w:i/>
          <w:iCs/>
          <w:sz w:val="20"/>
          <w:szCs w:val="20"/>
        </w:rPr>
        <w:t>as a processing aid) Variation</w:t>
      </w:r>
      <w:r w:rsidRPr="00466A99">
        <w:rPr>
          <w:rFonts w:eastAsia="Times New Roman" w:cs="Times New Roman"/>
          <w:sz w:val="20"/>
          <w:szCs w:val="20"/>
        </w:rPr>
        <w:t>.</w:t>
      </w:r>
    </w:p>
    <w:p w14:paraId="110583C2" w14:textId="77777777" w:rsidR="00466A99" w:rsidRPr="00466A99" w:rsidRDefault="00466A99" w:rsidP="00466A9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66A99">
        <w:rPr>
          <w:rFonts w:eastAsia="Times New Roman" w:cs="Times New Roman"/>
          <w:b/>
          <w:sz w:val="20"/>
          <w:szCs w:val="20"/>
        </w:rPr>
        <w:t>2</w:t>
      </w:r>
      <w:r w:rsidRPr="00466A99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466A99">
        <w:rPr>
          <w:rFonts w:eastAsia="Times New Roman" w:cs="Times New Roman"/>
          <w:b/>
          <w:i/>
          <w:iCs/>
          <w:sz w:val="20"/>
          <w:szCs w:val="20"/>
        </w:rPr>
        <w:t>Australia New Zealand Food Standards Code</w:t>
      </w:r>
    </w:p>
    <w:p w14:paraId="1B9C7289" w14:textId="77777777" w:rsidR="00466A99" w:rsidRPr="00466A99" w:rsidRDefault="00466A99" w:rsidP="00466A9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66A99">
        <w:rPr>
          <w:rFonts w:eastAsia="Times New Roman" w:cs="Times New Roman"/>
          <w:sz w:val="20"/>
          <w:szCs w:val="20"/>
        </w:rPr>
        <w:t>The Schedule varies a Standard</w:t>
      </w:r>
      <w:r w:rsidRPr="00466A99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466A99">
        <w:rPr>
          <w:rFonts w:eastAsia="Times New Roman" w:cs="Times New Roman"/>
          <w:sz w:val="20"/>
          <w:szCs w:val="20"/>
        </w:rPr>
        <w:t xml:space="preserve">in the </w:t>
      </w:r>
      <w:r w:rsidRPr="00466A99">
        <w:rPr>
          <w:rFonts w:eastAsia="Times New Roman" w:cs="Times New Roman"/>
          <w:i/>
          <w:iCs/>
          <w:sz w:val="20"/>
          <w:szCs w:val="20"/>
        </w:rPr>
        <w:t>Australia New Zealand Food Standards Code</w:t>
      </w:r>
      <w:r w:rsidRPr="00466A99">
        <w:rPr>
          <w:rFonts w:eastAsia="Times New Roman" w:cs="Times New Roman"/>
          <w:sz w:val="20"/>
          <w:szCs w:val="20"/>
        </w:rPr>
        <w:t>.</w:t>
      </w:r>
    </w:p>
    <w:p w14:paraId="5BE2A911" w14:textId="77777777" w:rsidR="00466A99" w:rsidRPr="00466A99" w:rsidRDefault="00466A99" w:rsidP="00466A9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66A99">
        <w:rPr>
          <w:rFonts w:eastAsia="Times New Roman" w:cs="Times New Roman"/>
          <w:b/>
          <w:sz w:val="20"/>
          <w:szCs w:val="20"/>
        </w:rPr>
        <w:t>3</w:t>
      </w:r>
      <w:r w:rsidRPr="00466A99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217CCCF7" w14:textId="77777777" w:rsidR="00466A99" w:rsidRPr="00466A99" w:rsidRDefault="00466A99" w:rsidP="00466A9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66A99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4BCFE6C3" w14:textId="77777777" w:rsidR="00466A99" w:rsidRPr="00466A99" w:rsidRDefault="00466A99" w:rsidP="00466A99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0"/>
          <w:szCs w:val="20"/>
        </w:rPr>
      </w:pPr>
      <w:r w:rsidRPr="00466A99">
        <w:rPr>
          <w:rFonts w:eastAsia="Times New Roman" w:cs="Times New Roman"/>
          <w:b/>
          <w:sz w:val="20"/>
          <w:szCs w:val="20"/>
        </w:rPr>
        <w:t>Schedule</w:t>
      </w:r>
    </w:p>
    <w:p w14:paraId="01D4A82D" w14:textId="77777777" w:rsidR="00466A99" w:rsidRPr="00466A99" w:rsidRDefault="00466A99" w:rsidP="00466A9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66A99">
        <w:rPr>
          <w:rFonts w:eastAsia="Times New Roman" w:cs="Times New Roman"/>
          <w:b/>
          <w:sz w:val="20"/>
          <w:szCs w:val="20"/>
        </w:rPr>
        <w:t>Schedule 18—Processing aids</w:t>
      </w:r>
    </w:p>
    <w:p w14:paraId="564477F3" w14:textId="77777777" w:rsidR="00466A99" w:rsidRPr="00466A99" w:rsidRDefault="00466A99" w:rsidP="00466A99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66A99">
        <w:rPr>
          <w:rFonts w:eastAsia="Times New Roman" w:cs="Times New Roman"/>
          <w:b/>
          <w:sz w:val="20"/>
          <w:szCs w:val="20"/>
        </w:rPr>
        <w:t>[1]</w:t>
      </w:r>
      <w:r w:rsidRPr="00466A99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1BBA8890" w14:textId="77777777" w:rsidR="00466A99" w:rsidRPr="00466A99" w:rsidRDefault="00466A99" w:rsidP="00466A9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66A99">
        <w:rPr>
          <w:rFonts w:eastAsia="Times New Roman" w:cs="Times New Roman"/>
          <w:b/>
          <w:sz w:val="20"/>
          <w:szCs w:val="20"/>
        </w:rPr>
        <w:tab/>
      </w:r>
      <w:r w:rsidRPr="00466A99">
        <w:rPr>
          <w:rFonts w:eastAsia="Times New Roman" w:cs="Times New Roman"/>
          <w:sz w:val="20"/>
          <w:szCs w:val="20"/>
        </w:rPr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466A99" w:rsidRPr="00F217E5" w14:paraId="472956EF" w14:textId="77777777" w:rsidTr="00D27E07">
        <w:trPr>
          <w:jc w:val="center"/>
        </w:trPr>
        <w:tc>
          <w:tcPr>
            <w:tcW w:w="3120" w:type="dxa"/>
          </w:tcPr>
          <w:p w14:paraId="5E15BA47" w14:textId="77777777" w:rsidR="00466A99" w:rsidRPr="00F217E5" w:rsidRDefault="00466A99" w:rsidP="00466A99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Cs/>
                <w:sz w:val="18"/>
                <w:lang w:eastAsia="en-AU"/>
              </w:rPr>
            </w:pPr>
            <w:r w:rsidRPr="00F217E5">
              <w:rPr>
                <w:rFonts w:ascii="Arial" w:hAnsi="Arial" w:cs="Arial"/>
                <w:color w:val="000000"/>
                <w:sz w:val="18"/>
                <w:shd w:val="clear" w:color="auto" w:fill="FFFFFF"/>
                <w:lang w:eastAsia="en-AU"/>
              </w:rPr>
              <w:t>β-</w:t>
            </w:r>
            <w:proofErr w:type="spellStart"/>
            <w:r w:rsidRPr="00F217E5">
              <w:rPr>
                <w:rFonts w:ascii="Arial" w:hAnsi="Arial" w:cs="Arial"/>
                <w:color w:val="000000"/>
                <w:sz w:val="18"/>
                <w:shd w:val="clear" w:color="auto" w:fill="FFFFFF"/>
                <w:lang w:eastAsia="en-AU"/>
              </w:rPr>
              <w:t>Fructofuranosidase</w:t>
            </w:r>
            <w:proofErr w:type="spellEnd"/>
            <w:r w:rsidRPr="00F217E5">
              <w:rPr>
                <w:rFonts w:ascii="Arial" w:hAnsi="Arial" w:cs="Arial"/>
                <w:sz w:val="18"/>
                <w:lang w:eastAsia="en-AU"/>
              </w:rPr>
              <w:t xml:space="preserve"> (EC 3.2.1.26) sourced from </w:t>
            </w:r>
            <w:r w:rsidRPr="00F217E5">
              <w:rPr>
                <w:rFonts w:ascii="Arial" w:hAnsi="Arial" w:cs="Arial"/>
                <w:i/>
                <w:sz w:val="18"/>
                <w:lang w:eastAsia="en-AU"/>
              </w:rPr>
              <w:t xml:space="preserve">Trichoderma </w:t>
            </w:r>
            <w:proofErr w:type="spellStart"/>
            <w:r w:rsidRPr="00F217E5">
              <w:rPr>
                <w:rFonts w:ascii="Arial" w:hAnsi="Arial" w:cs="Arial"/>
                <w:i/>
                <w:sz w:val="18"/>
                <w:lang w:eastAsia="en-AU"/>
              </w:rPr>
              <w:t>reesei</w:t>
            </w:r>
            <w:proofErr w:type="spellEnd"/>
            <w:r w:rsidRPr="00F217E5">
              <w:rPr>
                <w:rFonts w:ascii="Arial" w:hAnsi="Arial" w:cs="Arial"/>
                <w:iCs/>
                <w:sz w:val="18"/>
                <w:lang w:eastAsia="en-AU"/>
              </w:rPr>
              <w:t xml:space="preserve"> </w:t>
            </w:r>
            <w:r w:rsidRPr="00F217E5">
              <w:rPr>
                <w:rFonts w:ascii="Arial" w:hAnsi="Arial" w:cs="Arial"/>
                <w:sz w:val="18"/>
                <w:lang w:eastAsia="en-AU"/>
              </w:rPr>
              <w:t xml:space="preserve">containing the </w:t>
            </w:r>
            <w:r w:rsidRPr="00F217E5">
              <w:rPr>
                <w:rFonts w:ascii="Arial" w:hAnsi="Arial" w:cs="Arial"/>
                <w:color w:val="000000"/>
                <w:sz w:val="18"/>
                <w:shd w:val="clear" w:color="auto" w:fill="FFFFFF"/>
                <w:lang w:eastAsia="en-AU"/>
              </w:rPr>
              <w:t>β-</w:t>
            </w:r>
            <w:proofErr w:type="spellStart"/>
            <w:r w:rsidRPr="00F217E5">
              <w:rPr>
                <w:rFonts w:ascii="Arial" w:hAnsi="Arial" w:cs="Arial"/>
                <w:color w:val="000000"/>
                <w:sz w:val="18"/>
                <w:shd w:val="clear" w:color="auto" w:fill="FFFFFF"/>
                <w:lang w:eastAsia="en-AU"/>
              </w:rPr>
              <w:t>fructofuranosidase</w:t>
            </w:r>
            <w:proofErr w:type="spellEnd"/>
            <w:r w:rsidRPr="00F217E5">
              <w:rPr>
                <w:rFonts w:ascii="Arial" w:hAnsi="Arial" w:cs="Arial"/>
                <w:sz w:val="18"/>
                <w:lang w:eastAsia="en-AU"/>
              </w:rPr>
              <w:t xml:space="preserve"> gene from </w:t>
            </w:r>
            <w:r w:rsidRPr="00F217E5">
              <w:rPr>
                <w:rFonts w:ascii="Arial" w:hAnsi="Arial" w:cs="Arial"/>
                <w:i/>
                <w:sz w:val="18"/>
                <w:lang w:eastAsia="en-AU"/>
              </w:rPr>
              <w:t>Aspergillus niger</w:t>
            </w:r>
            <w:r w:rsidRPr="00F217E5">
              <w:rPr>
                <w:rFonts w:ascii="Arial" w:hAnsi="Arial" w:cs="Arial"/>
                <w:iCs/>
                <w:sz w:val="18"/>
                <w:lang w:eastAsia="en-AU"/>
              </w:rPr>
              <w:t xml:space="preserve"> </w:t>
            </w:r>
          </w:p>
        </w:tc>
        <w:tc>
          <w:tcPr>
            <w:tcW w:w="3603" w:type="dxa"/>
          </w:tcPr>
          <w:p w14:paraId="029817F4" w14:textId="77777777" w:rsidR="00466A99" w:rsidRPr="00F217E5" w:rsidRDefault="00466A99" w:rsidP="00466A99">
            <w:pPr>
              <w:keepLines/>
              <w:tabs>
                <w:tab w:val="right" w:pos="3969"/>
              </w:tabs>
              <w:spacing w:before="60" w:after="60"/>
              <w:rPr>
                <w:rFonts w:ascii="Arial" w:eastAsia="Calibri" w:hAnsi="Arial" w:cs="Arial"/>
                <w:sz w:val="18"/>
                <w:lang w:eastAsia="en-AU"/>
              </w:rPr>
            </w:pPr>
            <w:r w:rsidRPr="00F217E5">
              <w:rPr>
                <w:rFonts w:ascii="Arial" w:hAnsi="Arial" w:cs="Arial"/>
                <w:sz w:val="18"/>
                <w:lang w:eastAsia="en-AU"/>
              </w:rPr>
              <w:t xml:space="preserve">For use in the production of short-chain </w:t>
            </w:r>
            <w:proofErr w:type="spellStart"/>
            <w:r w:rsidRPr="00F217E5">
              <w:rPr>
                <w:rFonts w:ascii="Arial" w:hAnsi="Arial" w:cs="Arial"/>
                <w:sz w:val="18"/>
                <w:lang w:eastAsia="en-AU"/>
              </w:rPr>
              <w:t>fructooligosaccharides</w:t>
            </w:r>
            <w:proofErr w:type="spellEnd"/>
            <w:r w:rsidRPr="00F217E5">
              <w:rPr>
                <w:rFonts w:ascii="Arial" w:hAnsi="Arial" w:cs="Arial"/>
                <w:sz w:val="18"/>
                <w:lang w:eastAsia="en-AU"/>
              </w:rPr>
              <w:t xml:space="preserve">; and to produce a reduction in sugar levels in treated fruit and vegetable products </w:t>
            </w:r>
          </w:p>
        </w:tc>
        <w:tc>
          <w:tcPr>
            <w:tcW w:w="2349" w:type="dxa"/>
          </w:tcPr>
          <w:p w14:paraId="1FDB9D2C" w14:textId="77777777" w:rsidR="00466A99" w:rsidRPr="00F217E5" w:rsidRDefault="00466A99" w:rsidP="00466A99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F217E5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17F8F747" w14:textId="373C38DE" w:rsidR="00466A99" w:rsidRPr="00466A99" w:rsidRDefault="00466A99" w:rsidP="00466A99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sectPr w:rsidR="00466A99" w:rsidRPr="00466A99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7215" w14:textId="77777777" w:rsidR="00466A99" w:rsidRDefault="00466A99" w:rsidP="00466A99">
      <w:r>
        <w:separator/>
      </w:r>
    </w:p>
  </w:endnote>
  <w:endnote w:type="continuationSeparator" w:id="0">
    <w:p w14:paraId="2249052B" w14:textId="77777777" w:rsidR="00466A99" w:rsidRDefault="00466A99" w:rsidP="004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D84A" w14:textId="77777777" w:rsidR="00A01175" w:rsidRDefault="00A01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0B53" w14:textId="77777777" w:rsidR="00A01175" w:rsidRDefault="00A01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AF3C" w14:textId="77777777" w:rsidR="00A01175" w:rsidRDefault="00A0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FFC0" w14:textId="77777777" w:rsidR="00466A99" w:rsidRDefault="00466A99" w:rsidP="00466A99">
      <w:r>
        <w:separator/>
      </w:r>
    </w:p>
  </w:footnote>
  <w:footnote w:type="continuationSeparator" w:id="0">
    <w:p w14:paraId="2B881172" w14:textId="77777777" w:rsidR="00466A99" w:rsidRDefault="00466A99" w:rsidP="0046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1644" w14:textId="77777777" w:rsidR="00A01175" w:rsidRDefault="00A01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9367" w14:textId="77777777" w:rsidR="00A01175" w:rsidRDefault="00A01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78C2" w14:textId="77777777" w:rsidR="00A01175" w:rsidRDefault="00A01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30648132">
    <w:abstractNumId w:val="0"/>
  </w:num>
  <w:num w:numId="2" w16cid:durableId="292752323">
    <w:abstractNumId w:val="0"/>
  </w:num>
  <w:num w:numId="3" w16cid:durableId="1859343959">
    <w:abstractNumId w:val="0"/>
  </w:num>
  <w:num w:numId="4" w16cid:durableId="484710137">
    <w:abstractNumId w:val="0"/>
  </w:num>
  <w:num w:numId="5" w16cid:durableId="2007513285">
    <w:abstractNumId w:val="0"/>
  </w:num>
  <w:num w:numId="6" w16cid:durableId="1180048486">
    <w:abstractNumId w:val="0"/>
  </w:num>
  <w:num w:numId="7" w16cid:durableId="1508595713">
    <w:abstractNumId w:val="0"/>
  </w:num>
  <w:num w:numId="8" w16cid:durableId="1480028729">
    <w:abstractNumId w:val="3"/>
  </w:num>
  <w:num w:numId="9" w16cid:durableId="2094815692">
    <w:abstractNumId w:val="1"/>
  </w:num>
  <w:num w:numId="10" w16cid:durableId="580452679">
    <w:abstractNumId w:val="2"/>
  </w:num>
  <w:num w:numId="11" w16cid:durableId="86079294">
    <w:abstractNumId w:val="3"/>
  </w:num>
  <w:num w:numId="12" w16cid:durableId="1765806948">
    <w:abstractNumId w:val="1"/>
  </w:num>
  <w:num w:numId="13" w16cid:durableId="142233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9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66A99"/>
    <w:rsid w:val="00486619"/>
    <w:rsid w:val="004D3868"/>
    <w:rsid w:val="004E6694"/>
    <w:rsid w:val="0054036E"/>
    <w:rsid w:val="005B578D"/>
    <w:rsid w:val="005C1996"/>
    <w:rsid w:val="006B6900"/>
    <w:rsid w:val="006D473E"/>
    <w:rsid w:val="006D5AAA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9E56A2"/>
    <w:rsid w:val="00A01175"/>
    <w:rsid w:val="00A25B29"/>
    <w:rsid w:val="00A26F82"/>
    <w:rsid w:val="00A808E9"/>
    <w:rsid w:val="00AF1E9A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217E5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D9826E"/>
  <w15:chartTrackingRefBased/>
  <w15:docId w15:val="{35DF4392-9800-4469-A70A-BF0D87F5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466A99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6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1</Value>
      <Value>27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7AB76-B57C-47D9-943C-0BE37770E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A2F24-08FE-4A2E-9D1F-CA53E2C22A6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0e0bee33-077a-46d4-80d5-abd1b3a3b85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E02CC8-E9F9-4DEB-8BEA-DE0C91F1DA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9C4C16-9A5A-4D8A-A3FF-259EAD21864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1210</Characters>
  <Application>Microsoft Office Word</Application>
  <DocSecurity>0</DocSecurity>
  <Lines>48</Lines>
  <Paragraphs>20</Paragraphs>
  <ScaleCrop>false</ScaleCrop>
  <Company>Food Standards Australia New Zealand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6</cp:revision>
  <dcterms:created xsi:type="dcterms:W3CDTF">2024-04-15T01:10:00Z</dcterms:created>
  <dcterms:modified xsi:type="dcterms:W3CDTF">2024-04-17T03:09:00Z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v=2022.1;a=SHA256;h=ECD95C907BEF7776DACA7ABDDFE2AE956E0B5BF2F3F915C9E336362C70AD3555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2024-04-17T03:08:58Z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BF2425715599462293AE79856F12BBDB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45A8C25A1EB18DF67C4F413C6FD76802</vt:lpwstr>
  </property>
  <property fmtid="{D5CDD505-2E9C-101B-9397-08002B2CF9AE}" pid="25" name="PM_Hash_Salt">
    <vt:lpwstr>32D19E07053A6A0447E8CB57AC2E41F8</vt:lpwstr>
  </property>
  <property fmtid="{D5CDD505-2E9C-101B-9397-08002B2CF9AE}" pid="26" name="PM_Hash_SHA1">
    <vt:lpwstr>506BFE945BF32D05437EF6C159DC32B4290BFE18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Classification">
    <vt:lpwstr>1;#OFFICIAL|3776503d-ed4e-4d70-8dfd-8e17b238523b</vt:lpwstr>
  </property>
  <property fmtid="{D5CDD505-2E9C-101B-9397-08002B2CF9AE}" pid="29" name="pd3a3559ef84480a8025c4c7bb6e6dee">
    <vt:lpwstr/>
  </property>
  <property fmtid="{D5CDD505-2E9C-101B-9397-08002B2CF9AE}" pid="30" name="h46016694f704d158a57d0b5238c000e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