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92DA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6FE60C9" wp14:editId="43D4EF6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F72C9" w14:textId="77777777" w:rsidR="005E317F" w:rsidRDefault="005E317F" w:rsidP="005E317F">
      <w:pPr>
        <w:rPr>
          <w:sz w:val="19"/>
        </w:rPr>
      </w:pPr>
    </w:p>
    <w:p w14:paraId="3EB385B3" w14:textId="2C012054" w:rsidR="005E317F" w:rsidRPr="00E500D4" w:rsidRDefault="000E7415" w:rsidP="005E317F">
      <w:pPr>
        <w:pStyle w:val="ShortT"/>
      </w:pPr>
      <w:r>
        <w:t>Higher Education Support (Other Grants)</w:t>
      </w:r>
      <w:r w:rsidR="005E317F" w:rsidRPr="00DA182D">
        <w:t xml:space="preserve"> </w:t>
      </w:r>
      <w:r w:rsidR="005E317F">
        <w:t>Amendment (</w:t>
      </w:r>
      <w:r>
        <w:t>Strong Beginnings</w:t>
      </w:r>
      <w:r w:rsidR="00C4033C">
        <w:t xml:space="preserve"> (Transition)</w:t>
      </w:r>
      <w:r>
        <w:t xml:space="preserve"> Fund</w:t>
      </w:r>
      <w:r w:rsidR="005E317F">
        <w:t xml:space="preserve">) </w:t>
      </w:r>
      <w:r>
        <w:t>Guidelines 2024</w:t>
      </w:r>
    </w:p>
    <w:p w14:paraId="081D0776" w14:textId="3C9E59AF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53738A">
        <w:rPr>
          <w:szCs w:val="22"/>
        </w:rPr>
        <w:t>Jason Clare</w:t>
      </w:r>
      <w:r w:rsidRPr="00DA182D">
        <w:rPr>
          <w:szCs w:val="22"/>
        </w:rPr>
        <w:t xml:space="preserve">, </w:t>
      </w:r>
      <w:r w:rsidR="0053738A">
        <w:rPr>
          <w:szCs w:val="22"/>
        </w:rPr>
        <w:t>Minister for Education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53738A">
        <w:rPr>
          <w:szCs w:val="22"/>
        </w:rPr>
        <w:t>guidelines</w:t>
      </w:r>
      <w:r w:rsidRPr="00DA182D">
        <w:rPr>
          <w:szCs w:val="22"/>
        </w:rPr>
        <w:t>.</w:t>
      </w:r>
    </w:p>
    <w:p w14:paraId="5CB3EEC4" w14:textId="5DE763BC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5878E8">
        <w:rPr>
          <w:szCs w:val="22"/>
        </w:rPr>
        <w:t>15 April 2024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7DDBB82E" w14:textId="0B7B4F59" w:rsidR="005E317F" w:rsidRDefault="0053738A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Jason Clare</w:t>
      </w:r>
      <w:r w:rsidR="005E317F" w:rsidRPr="00A75FE9">
        <w:rPr>
          <w:szCs w:val="22"/>
        </w:rPr>
        <w:t xml:space="preserve"> </w:t>
      </w:r>
    </w:p>
    <w:p w14:paraId="7135BAE3" w14:textId="33309541" w:rsidR="005E317F" w:rsidRPr="000D3FB9" w:rsidRDefault="0053738A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Education</w:t>
      </w:r>
    </w:p>
    <w:p w14:paraId="354F922C" w14:textId="77777777" w:rsidR="00B20990" w:rsidRDefault="00B20990" w:rsidP="00B20990"/>
    <w:p w14:paraId="48A777A1" w14:textId="77777777" w:rsidR="00B20990" w:rsidRDefault="00B20990" w:rsidP="00B20990">
      <w:pPr>
        <w:sectPr w:rsidR="00B20990" w:rsidSect="00775CB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BA52691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2F479A4C" w14:textId="6882BE3F" w:rsidR="00745FE2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745FE2">
        <w:rPr>
          <w:noProof/>
        </w:rPr>
        <w:t>1  Name</w:t>
      </w:r>
      <w:r w:rsidR="00745FE2">
        <w:rPr>
          <w:noProof/>
        </w:rPr>
        <w:tab/>
      </w:r>
      <w:r w:rsidR="00745FE2">
        <w:rPr>
          <w:noProof/>
        </w:rPr>
        <w:fldChar w:fldCharType="begin"/>
      </w:r>
      <w:r w:rsidR="00745FE2">
        <w:rPr>
          <w:noProof/>
        </w:rPr>
        <w:instrText xml:space="preserve"> PAGEREF _Toc160785800 \h </w:instrText>
      </w:r>
      <w:r w:rsidR="00745FE2">
        <w:rPr>
          <w:noProof/>
        </w:rPr>
      </w:r>
      <w:r w:rsidR="00745FE2">
        <w:rPr>
          <w:noProof/>
        </w:rPr>
        <w:fldChar w:fldCharType="separate"/>
      </w:r>
      <w:r w:rsidR="00745FE2">
        <w:rPr>
          <w:noProof/>
        </w:rPr>
        <w:t>1</w:t>
      </w:r>
      <w:r w:rsidR="00745FE2">
        <w:rPr>
          <w:noProof/>
        </w:rPr>
        <w:fldChar w:fldCharType="end"/>
      </w:r>
    </w:p>
    <w:p w14:paraId="68F717FE" w14:textId="21154EF4" w:rsidR="00745FE2" w:rsidRDefault="00745FE2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_Toc160785801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A6068ED" w14:textId="3CAA746A" w:rsidR="00745FE2" w:rsidRDefault="00745FE2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_Toc160785802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FA63D64" w14:textId="40CF0AC8" w:rsidR="00745FE2" w:rsidRDefault="00745FE2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_Toc160785803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78DF161" w14:textId="54330094" w:rsidR="00745FE2" w:rsidRDefault="00745FE2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_Toc160785804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B71FE17" w14:textId="2DC92C72" w:rsidR="00745FE2" w:rsidRDefault="00745FE2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Higher Education Support (Other Grants) Guidelines 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_Toc160785805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F2D88E6" w14:textId="77386C20" w:rsidR="00745FE2" w:rsidRDefault="00745FE2">
      <w:pPr>
        <w:pStyle w:val="TOC3"/>
        <w:rPr>
          <w:rFonts w:asciiTheme="minorHAnsi" w:eastAsiaTheme="minorEastAsia" w:hAnsiTheme="minorHAnsi" w:cstheme="minorBidi"/>
          <w:b w:val="0"/>
          <w:noProof/>
          <w:kern w:val="2"/>
          <w:szCs w:val="22"/>
          <w14:ligatures w14:val="standardContextual"/>
        </w:rPr>
      </w:pPr>
      <w:r>
        <w:rPr>
          <w:noProof/>
        </w:rPr>
        <w:t>Part 8A—Grants to assure and enhance the quality of Australia’s higher education sector—Strong Beginnings Fund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_Toc160785806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0E9E9E0" w14:textId="4A92B61C" w:rsidR="00745FE2" w:rsidRDefault="00745FE2">
      <w:pPr>
        <w:pStyle w:val="TOC3"/>
        <w:rPr>
          <w:rFonts w:asciiTheme="minorHAnsi" w:eastAsiaTheme="minorEastAsia" w:hAnsiTheme="minorHAnsi" w:cstheme="minorBidi"/>
          <w:b w:val="0"/>
          <w:noProof/>
          <w:kern w:val="2"/>
          <w:szCs w:val="22"/>
          <w14:ligatures w14:val="standardContextual"/>
        </w:rPr>
      </w:pPr>
      <w:r>
        <w:rPr>
          <w:noProof/>
        </w:rPr>
        <w:t>Division 1—Strong Beginnings (Transition) Fund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_Toc160785807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8BDF5D6" w14:textId="58387372" w:rsidR="00745FE2" w:rsidRDefault="00745FE2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63A  Program objectives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_Toc160785808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A8D0D2D" w14:textId="3DD6CDF5" w:rsidR="00745FE2" w:rsidRDefault="00745FE2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63B  E</w:t>
      </w:r>
      <w:r w:rsidRPr="00011A1C">
        <w:rPr>
          <w:bCs/>
          <w:noProof/>
        </w:rPr>
        <w:t>xtra conditions of eligibility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_Toc160785809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03F49B3" w14:textId="6FB079CD" w:rsidR="00745FE2" w:rsidRDefault="00745FE2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63C  Grants to be made in respect of a year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_Toc160785810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6FAFD0B" w14:textId="19DC6204" w:rsidR="00745FE2" w:rsidRDefault="00745FE2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63D  Method by which the amount of grants under the program are determined for a provider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_Toc160785811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5CA5E7F" w14:textId="060DDBE6" w:rsidR="00745FE2" w:rsidRDefault="00745FE2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63E  Conditions that apply to grants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_Toc160785812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0616827" w14:textId="2F980BA1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43E590EF" w14:textId="77777777" w:rsidR="00B20990" w:rsidRDefault="00B20990" w:rsidP="00B20990"/>
    <w:p w14:paraId="58F608D3" w14:textId="77777777" w:rsidR="00B20990" w:rsidRDefault="00B20990" w:rsidP="00B20990">
      <w:pPr>
        <w:sectPr w:rsidR="00B20990" w:rsidSect="00775CB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1BD64FC" w14:textId="77777777" w:rsidR="005E317F" w:rsidRPr="009C2562" w:rsidRDefault="005E317F" w:rsidP="005E317F">
      <w:pPr>
        <w:pStyle w:val="ActHead5"/>
      </w:pPr>
      <w:bookmarkStart w:id="1" w:name="_Toc160785800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09D80BB0" w14:textId="43DB6E7B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9F1EF5" w:rsidRPr="009F1EF5">
        <w:rPr>
          <w:i/>
          <w:iCs/>
        </w:rPr>
        <w:t xml:space="preserve">Higher Education Support (Other Grants) Amendment (Strong Beginnings </w:t>
      </w:r>
      <w:r w:rsidR="00C4033C">
        <w:rPr>
          <w:i/>
          <w:iCs/>
        </w:rPr>
        <w:t xml:space="preserve">(Transition) </w:t>
      </w:r>
      <w:r w:rsidR="009F1EF5" w:rsidRPr="009F1EF5">
        <w:rPr>
          <w:i/>
          <w:iCs/>
        </w:rPr>
        <w:t>Fund) Guidelines 2024</w:t>
      </w:r>
      <w:r w:rsidRPr="009C2562">
        <w:t>.</w:t>
      </w:r>
    </w:p>
    <w:p w14:paraId="40452765" w14:textId="77777777" w:rsidR="005E317F" w:rsidRDefault="005E317F" w:rsidP="005E317F">
      <w:pPr>
        <w:pStyle w:val="ActHead5"/>
      </w:pPr>
      <w:bookmarkStart w:id="3" w:name="_Toc160785801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380519F8" w14:textId="3ADAC635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516922">
        <w:t>the day after this instrument is registered</w:t>
      </w:r>
      <w:r>
        <w:t>.</w:t>
      </w:r>
    </w:p>
    <w:p w14:paraId="36C2157D" w14:textId="77777777" w:rsidR="005E317F" w:rsidRPr="009C2562" w:rsidRDefault="005E317F" w:rsidP="005E317F">
      <w:pPr>
        <w:pStyle w:val="ActHead5"/>
      </w:pPr>
      <w:bookmarkStart w:id="4" w:name="_Toc160785802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4EBF2072" w14:textId="4A2083A9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>This instrument is made under</w:t>
      </w:r>
      <w:r w:rsidR="00516922">
        <w:t xml:space="preserve"> section 238-10 of the </w:t>
      </w:r>
      <w:r w:rsidR="00483078" w:rsidRPr="00483078">
        <w:rPr>
          <w:i/>
          <w:iCs/>
        </w:rPr>
        <w:t>Higher Education Support Act 2003</w:t>
      </w:r>
      <w:r w:rsidRPr="009C2562">
        <w:t>.</w:t>
      </w:r>
    </w:p>
    <w:p w14:paraId="154C8C8F" w14:textId="77777777" w:rsidR="005E317F" w:rsidRPr="006065DA" w:rsidRDefault="005E317F" w:rsidP="005E317F">
      <w:pPr>
        <w:pStyle w:val="ActHead5"/>
      </w:pPr>
      <w:bookmarkStart w:id="5" w:name="_Toc160785803"/>
      <w:r w:rsidRPr="006065DA">
        <w:t>4  Schedules</w:t>
      </w:r>
      <w:bookmarkEnd w:id="5"/>
    </w:p>
    <w:p w14:paraId="34B906F1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94C1FD9" w14:textId="77777777" w:rsidR="005E317F" w:rsidRDefault="005E317F" w:rsidP="005E317F">
      <w:pPr>
        <w:pStyle w:val="ActHead6"/>
        <w:pageBreakBefore/>
      </w:pPr>
      <w:bookmarkStart w:id="6" w:name="_Toc160785804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386E8892" w14:textId="723C38CE" w:rsidR="005E317F" w:rsidRDefault="00E23BED" w:rsidP="005E317F">
      <w:pPr>
        <w:pStyle w:val="ActHead9"/>
      </w:pPr>
      <w:bookmarkStart w:id="7" w:name="_Toc160785805"/>
      <w:r>
        <w:t>Higher Education Support (Other Grants) Guidelines 20</w:t>
      </w:r>
      <w:r w:rsidR="00321EBF">
        <w:t>22</w:t>
      </w:r>
      <w:bookmarkEnd w:id="7"/>
    </w:p>
    <w:p w14:paraId="63F93F06" w14:textId="4A58004F" w:rsidR="00A852B9" w:rsidRDefault="00E96BCB" w:rsidP="00A852B9">
      <w:pPr>
        <w:pStyle w:val="ItemHead"/>
        <w:rPr>
          <w:rFonts w:ascii="Times New Roman" w:hAnsi="Times New Roman"/>
          <w:b w:val="0"/>
          <w:kern w:val="0"/>
          <w:sz w:val="22"/>
        </w:rPr>
      </w:pPr>
      <w:r w:rsidRPr="00E96BCB">
        <w:t>1</w:t>
      </w:r>
      <w:r>
        <w:t xml:space="preserve">  </w:t>
      </w:r>
      <w:r w:rsidR="00577828">
        <w:t>In s</w:t>
      </w:r>
      <w:r w:rsidR="00033C25">
        <w:t>ection 4 (d</w:t>
      </w:r>
      <w:r w:rsidR="00114A29">
        <w:t>efinitions</w:t>
      </w:r>
      <w:r w:rsidR="00033C25">
        <w:t>)</w:t>
      </w:r>
      <w:r>
        <w:br/>
      </w:r>
      <w:r w:rsidR="00C13F8C">
        <w:rPr>
          <w:rFonts w:ascii="Times New Roman" w:hAnsi="Times New Roman"/>
          <w:b w:val="0"/>
          <w:kern w:val="0"/>
          <w:sz w:val="22"/>
        </w:rPr>
        <w:t>Insert:</w:t>
      </w:r>
    </w:p>
    <w:p w14:paraId="21D13690" w14:textId="4067C934" w:rsidR="00CF38AA" w:rsidRDefault="00CF38AA" w:rsidP="00C13F8C">
      <w:pPr>
        <w:pStyle w:val="Item"/>
      </w:pPr>
      <w:r>
        <w:rPr>
          <w:b/>
          <w:bCs/>
          <w:i/>
          <w:iCs/>
        </w:rPr>
        <w:t xml:space="preserve">Accreditation Standards and Procedures </w:t>
      </w:r>
      <w:r>
        <w:t xml:space="preserve">means </w:t>
      </w:r>
      <w:r w:rsidR="00C70E21">
        <w:t xml:space="preserve">the Accreditation of Initial Teacher Education Programs in Australia: </w:t>
      </w:r>
      <w:r w:rsidR="008A2018">
        <w:t>Standards and Procedures</w:t>
      </w:r>
      <w:r w:rsidR="009B3390">
        <w:t xml:space="preserve"> developed by the </w:t>
      </w:r>
      <w:r w:rsidR="003A4A47">
        <w:t>Australian Institute for Teaching and School Leadership</w:t>
      </w:r>
      <w:r w:rsidR="003C5496">
        <w:t xml:space="preserve"> (as that document was in for</w:t>
      </w:r>
      <w:r w:rsidR="00B33A51">
        <w:t xml:space="preserve">ce at the time </w:t>
      </w:r>
      <w:r w:rsidR="001C2719" w:rsidRPr="001C2719">
        <w:t xml:space="preserve">the </w:t>
      </w:r>
      <w:r w:rsidR="001C2719" w:rsidRPr="001C2719">
        <w:rPr>
          <w:i/>
          <w:iCs/>
        </w:rPr>
        <w:t>Higher Education Support (Other Grants) Amendment (Strong Beginnings Fund) Guidelines 2024</w:t>
      </w:r>
      <w:r w:rsidR="001C2719">
        <w:rPr>
          <w:i/>
          <w:iCs/>
        </w:rPr>
        <w:t xml:space="preserve"> </w:t>
      </w:r>
      <w:r w:rsidR="00B33A51">
        <w:t>w</w:t>
      </w:r>
      <w:r w:rsidR="001C2719">
        <w:t>ere</w:t>
      </w:r>
      <w:r w:rsidR="00B33A51">
        <w:t xml:space="preserve"> made)</w:t>
      </w:r>
      <w:r w:rsidR="006A1422">
        <w:t>.</w:t>
      </w:r>
    </w:p>
    <w:p w14:paraId="5EBC852C" w14:textId="53B274B2" w:rsidR="00BA6DD0" w:rsidRPr="00BA6DD0" w:rsidRDefault="00BA6DD0" w:rsidP="0048218D">
      <w:pPr>
        <w:pStyle w:val="Item"/>
      </w:pPr>
      <w:r w:rsidRPr="0048218D">
        <w:rPr>
          <w:b/>
          <w:bCs/>
          <w:i/>
          <w:iCs/>
        </w:rPr>
        <w:t>Core content</w:t>
      </w:r>
      <w:r>
        <w:t xml:space="preserve"> means </w:t>
      </w:r>
      <w:r w:rsidR="00DE12D0">
        <w:t xml:space="preserve">the core content listed in </w:t>
      </w:r>
      <w:r w:rsidR="00D144C4" w:rsidRPr="00D144C4">
        <w:t>Sche</w:t>
      </w:r>
      <w:r w:rsidR="00904F65">
        <w:t>d</w:t>
      </w:r>
      <w:r w:rsidR="00D144C4" w:rsidRPr="00D144C4">
        <w:t xml:space="preserve">ule 2 of </w:t>
      </w:r>
      <w:r w:rsidR="00D144C4">
        <w:t>Addendum: Accreditation of Initial Teacher Education Programs in Australia: Standards and Procedures developed by the Australian Institute for Teaching and School Leadership</w:t>
      </w:r>
      <w:r w:rsidR="00107A2E">
        <w:t xml:space="preserve"> (as that document was in force at the time </w:t>
      </w:r>
      <w:r w:rsidR="001C2719" w:rsidRPr="001C2719">
        <w:t xml:space="preserve">the </w:t>
      </w:r>
      <w:r w:rsidR="001C2719" w:rsidRPr="001C2719">
        <w:rPr>
          <w:i/>
          <w:iCs/>
        </w:rPr>
        <w:t>Higher Education Support (Other Grants) Amendment (Strong Beginnings Fund) Guidelines 2024</w:t>
      </w:r>
      <w:r w:rsidR="001C2719">
        <w:rPr>
          <w:i/>
          <w:iCs/>
        </w:rPr>
        <w:t xml:space="preserve"> </w:t>
      </w:r>
      <w:r w:rsidR="00107A2E">
        <w:t>w</w:t>
      </w:r>
      <w:r w:rsidR="001C2719">
        <w:t>ere</w:t>
      </w:r>
      <w:r w:rsidR="00107A2E">
        <w:t xml:space="preserve"> made). </w:t>
      </w:r>
    </w:p>
    <w:p w14:paraId="49FC4900" w14:textId="1F84224F" w:rsidR="004F0CD0" w:rsidRDefault="007334F0" w:rsidP="00A60CBA">
      <w:pPr>
        <w:pStyle w:val="Item"/>
      </w:pPr>
      <w:r w:rsidRPr="004B69A2">
        <w:rPr>
          <w:b/>
          <w:bCs/>
          <w:i/>
          <w:iCs/>
        </w:rPr>
        <w:t>ITE</w:t>
      </w:r>
      <w:r w:rsidR="004B69A2">
        <w:t xml:space="preserve"> means</w:t>
      </w:r>
      <w:r w:rsidR="0053289F">
        <w:t xml:space="preserve"> initial teacher education</w:t>
      </w:r>
      <w:r w:rsidR="006A1422">
        <w:t>.</w:t>
      </w:r>
    </w:p>
    <w:p w14:paraId="100812E2" w14:textId="0724A008" w:rsidR="00ED2835" w:rsidRPr="006A1422" w:rsidRDefault="00ED2835" w:rsidP="00314DB1">
      <w:pPr>
        <w:pStyle w:val="Item"/>
      </w:pPr>
      <w:r w:rsidRPr="00314DB1">
        <w:rPr>
          <w:b/>
          <w:bCs/>
          <w:i/>
          <w:iCs/>
        </w:rPr>
        <w:t>ITE course</w:t>
      </w:r>
      <w:r w:rsidRPr="00314DB1">
        <w:t xml:space="preserve"> </w:t>
      </w:r>
      <w:r>
        <w:t xml:space="preserve">means </w:t>
      </w:r>
      <w:r w:rsidR="00747590">
        <w:t xml:space="preserve">an </w:t>
      </w:r>
      <w:r w:rsidR="00747590" w:rsidRPr="00747590">
        <w:t>accredited cours</w:t>
      </w:r>
      <w:r w:rsidR="00747590">
        <w:t>e</w:t>
      </w:r>
      <w:r w:rsidR="00747590" w:rsidRPr="00747590">
        <w:t xml:space="preserve"> of study in </w:t>
      </w:r>
      <w:r w:rsidR="00DF22DD">
        <w:t>ITE</w:t>
      </w:r>
      <w:r w:rsidR="00747590" w:rsidRPr="00747590">
        <w:t xml:space="preserve"> that is recognised by the</w:t>
      </w:r>
      <w:r w:rsidR="005F26C5">
        <w:t xml:space="preserve"> </w:t>
      </w:r>
      <w:r w:rsidR="00747590" w:rsidRPr="00747590">
        <w:t>Australian Institute for Teaching and School Leadership under the Accreditation Standards and Procedures</w:t>
      </w:r>
      <w:r w:rsidR="006A1422">
        <w:t>.</w:t>
      </w:r>
    </w:p>
    <w:p w14:paraId="070D16C9" w14:textId="3A1FC76C" w:rsidR="00864B3B" w:rsidRDefault="00A60CBA" w:rsidP="00A60CBA">
      <w:pPr>
        <w:pStyle w:val="Item"/>
      </w:pPr>
      <w:r w:rsidRPr="00A60CBA">
        <w:rPr>
          <w:b/>
          <w:bCs/>
          <w:i/>
          <w:iCs/>
        </w:rPr>
        <w:t>Teacher Regulatory Authority</w:t>
      </w:r>
      <w:r w:rsidRPr="00A60CBA">
        <w:rPr>
          <w:i/>
          <w:iCs/>
        </w:rPr>
        <w:t xml:space="preserve"> </w:t>
      </w:r>
      <w:r w:rsidRPr="006307FB">
        <w:t>means</w:t>
      </w:r>
      <w:r w:rsidR="00B61FB7">
        <w:t xml:space="preserve"> </w:t>
      </w:r>
      <w:r w:rsidR="00DF22DD">
        <w:t xml:space="preserve">any one </w:t>
      </w:r>
      <w:r w:rsidR="00DF22DD" w:rsidRPr="00C61BA1">
        <w:t xml:space="preserve">of </w:t>
      </w:r>
      <w:r w:rsidR="00F6722F" w:rsidRPr="00C61BA1">
        <w:t>the</w:t>
      </w:r>
      <w:r w:rsidR="00B61E7D" w:rsidRPr="00C61BA1">
        <w:t xml:space="preserve"> </w:t>
      </w:r>
      <w:r w:rsidR="00864B3B" w:rsidRPr="00C61BA1">
        <w:t xml:space="preserve">following </w:t>
      </w:r>
      <w:r w:rsidR="00F6722F" w:rsidRPr="00C61BA1">
        <w:t>State or Territory</w:t>
      </w:r>
      <w:r w:rsidR="00F6722F">
        <w:t xml:space="preserve"> </w:t>
      </w:r>
      <w:r w:rsidR="00B61E7D">
        <w:t xml:space="preserve">Teacher </w:t>
      </w:r>
      <w:r w:rsidR="00C34A22">
        <w:t xml:space="preserve">Regulatory </w:t>
      </w:r>
      <w:r w:rsidR="00B61E7D">
        <w:t>Authorit</w:t>
      </w:r>
      <w:r w:rsidR="00DF22DD">
        <w:t>ies</w:t>
      </w:r>
      <w:r w:rsidR="00B61E7D">
        <w:t xml:space="preserve"> </w:t>
      </w:r>
      <w:r w:rsidR="00C67D49">
        <w:t>that is responsible</w:t>
      </w:r>
      <w:r w:rsidR="00840EF0">
        <w:t xml:space="preserve"> </w:t>
      </w:r>
      <w:r w:rsidR="00DF22DD">
        <w:t xml:space="preserve">for </w:t>
      </w:r>
      <w:r w:rsidR="00234849">
        <w:t>the registration of</w:t>
      </w:r>
      <w:r w:rsidR="006C0DD3">
        <w:t xml:space="preserve"> qualified</w:t>
      </w:r>
      <w:r w:rsidR="00234849">
        <w:t xml:space="preserve"> </w:t>
      </w:r>
      <w:r w:rsidR="00AE6F71">
        <w:t>t</w:t>
      </w:r>
      <w:r w:rsidR="00234849">
        <w:t xml:space="preserve">eachers </w:t>
      </w:r>
      <w:r w:rsidR="00366E95">
        <w:t>and for</w:t>
      </w:r>
      <w:r w:rsidR="003C428E">
        <w:t xml:space="preserve"> </w:t>
      </w:r>
      <w:r w:rsidR="00C67D49">
        <w:t>accrediting ITE cours</w:t>
      </w:r>
      <w:r w:rsidR="001C1D7F">
        <w:t>es</w:t>
      </w:r>
      <w:r w:rsidR="003B32D3">
        <w:t xml:space="preserve"> </w:t>
      </w:r>
      <w:r w:rsidR="00302C47">
        <w:t>under the Accreditation Standards and Procedures</w:t>
      </w:r>
      <w:r w:rsidR="00864B3B">
        <w:t>:</w:t>
      </w:r>
    </w:p>
    <w:p w14:paraId="633330DA" w14:textId="77777777" w:rsidR="00720550" w:rsidRDefault="00864B3B" w:rsidP="00A60CBA">
      <w:pPr>
        <w:pStyle w:val="Item"/>
      </w:pPr>
      <w:r w:rsidRPr="00745FE2">
        <w:t>(i)</w:t>
      </w:r>
      <w:r w:rsidR="00720550">
        <w:t xml:space="preserve"> Australian Capital Territory Teacher Quality Institute;</w:t>
      </w:r>
    </w:p>
    <w:p w14:paraId="55BC8C2D" w14:textId="77777777" w:rsidR="00CE7F74" w:rsidRDefault="00720550" w:rsidP="00A60CBA">
      <w:pPr>
        <w:pStyle w:val="Item"/>
      </w:pPr>
      <w:r>
        <w:t xml:space="preserve">(ii) </w:t>
      </w:r>
      <w:r w:rsidR="00CE7F74">
        <w:t>New South Wales Education Standards Authority;</w:t>
      </w:r>
    </w:p>
    <w:p w14:paraId="73F99E29" w14:textId="77777777" w:rsidR="00CE7F74" w:rsidRDefault="00CE7F74" w:rsidP="00A60CBA">
      <w:pPr>
        <w:pStyle w:val="Item"/>
      </w:pPr>
      <w:r>
        <w:t>(iii) Queensland College of Teachers;</w:t>
      </w:r>
    </w:p>
    <w:p w14:paraId="01EACB12" w14:textId="7AD8152E" w:rsidR="00CE7F74" w:rsidRDefault="00CE7F74" w:rsidP="00A60CBA">
      <w:pPr>
        <w:pStyle w:val="Item"/>
      </w:pPr>
      <w:r>
        <w:t>(iv)</w:t>
      </w:r>
      <w:r w:rsidR="00225B11">
        <w:t xml:space="preserve"> </w:t>
      </w:r>
      <w:r w:rsidR="00A97B9F">
        <w:t>Teacher Registration Board of the Northern Territory;</w:t>
      </w:r>
    </w:p>
    <w:p w14:paraId="6E4E47D2" w14:textId="02E08843" w:rsidR="004E16B3" w:rsidRDefault="00CE7F74" w:rsidP="00A60CBA">
      <w:pPr>
        <w:pStyle w:val="Item"/>
      </w:pPr>
      <w:r>
        <w:t xml:space="preserve">(v) </w:t>
      </w:r>
      <w:r w:rsidR="00A97B9F">
        <w:t>Teacher Registration Board of Western Australia;</w:t>
      </w:r>
      <w:r w:rsidR="004E16B3">
        <w:t xml:space="preserve"> </w:t>
      </w:r>
    </w:p>
    <w:p w14:paraId="663FE6E8" w14:textId="0AEFFA44" w:rsidR="003E24D2" w:rsidRDefault="004E16B3" w:rsidP="00A60CBA">
      <w:pPr>
        <w:pStyle w:val="Item"/>
      </w:pPr>
      <w:r>
        <w:t xml:space="preserve">(vi) </w:t>
      </w:r>
      <w:r w:rsidR="00225B11">
        <w:t>Teachers Registration Board of South Australia;</w:t>
      </w:r>
    </w:p>
    <w:p w14:paraId="7698183B" w14:textId="48529437" w:rsidR="003E24D2" w:rsidRDefault="003E24D2" w:rsidP="00A60CBA">
      <w:pPr>
        <w:pStyle w:val="Item"/>
      </w:pPr>
      <w:r>
        <w:t>(vi</w:t>
      </w:r>
      <w:r w:rsidR="004E16B3">
        <w:t>i</w:t>
      </w:r>
      <w:r>
        <w:t>) Teachers Registration Board of Tasmania;</w:t>
      </w:r>
      <w:r w:rsidR="004E16B3">
        <w:t xml:space="preserve"> and</w:t>
      </w:r>
    </w:p>
    <w:p w14:paraId="12297BFF" w14:textId="678E32FB" w:rsidR="00A60CBA" w:rsidRDefault="0062278F" w:rsidP="00A60CBA">
      <w:pPr>
        <w:pStyle w:val="Item"/>
      </w:pPr>
      <w:r>
        <w:t>(viii) Victorian Institute of Teaching</w:t>
      </w:r>
      <w:r w:rsidR="00B61E7D" w:rsidRPr="00864B3B">
        <w:t>.</w:t>
      </w:r>
    </w:p>
    <w:p w14:paraId="5C5E58AA" w14:textId="77777777" w:rsidR="00C61BA1" w:rsidRPr="00C61BA1" w:rsidRDefault="00C61BA1" w:rsidP="00C61BA1">
      <w:pPr>
        <w:pStyle w:val="ItemHead"/>
      </w:pPr>
    </w:p>
    <w:p w14:paraId="31A3AB05" w14:textId="70325FC2" w:rsidR="004303AA" w:rsidRDefault="007E3727" w:rsidP="004303AA">
      <w:pPr>
        <w:pStyle w:val="ItemHead"/>
      </w:pPr>
      <w:r>
        <w:t>2</w:t>
      </w:r>
      <w:r w:rsidR="00114A29">
        <w:t xml:space="preserve">  </w:t>
      </w:r>
      <w:r w:rsidR="004303AA">
        <w:t xml:space="preserve">After Part 8 </w:t>
      </w:r>
    </w:p>
    <w:p w14:paraId="6EE4A9D1" w14:textId="77777777" w:rsidR="004303AA" w:rsidRDefault="004303AA" w:rsidP="004303AA">
      <w:pPr>
        <w:pStyle w:val="Item"/>
      </w:pPr>
      <w:r>
        <w:t>Insert:</w:t>
      </w:r>
    </w:p>
    <w:p w14:paraId="6D788F16" w14:textId="44BA3824" w:rsidR="00EE24FA" w:rsidRPr="00314DB1" w:rsidRDefault="00891A99" w:rsidP="009B7E06">
      <w:pPr>
        <w:pStyle w:val="ActHead3"/>
        <w:rPr>
          <w:rStyle w:val="CharDivNo"/>
          <w:sz w:val="32"/>
          <w:szCs w:val="22"/>
        </w:rPr>
      </w:pPr>
      <w:bookmarkStart w:id="8" w:name="_Toc160785806"/>
      <w:r w:rsidRPr="00314DB1">
        <w:rPr>
          <w:rStyle w:val="charpartno0"/>
          <w:sz w:val="32"/>
          <w:szCs w:val="22"/>
        </w:rPr>
        <w:lastRenderedPageBreak/>
        <w:t>Part 8</w:t>
      </w:r>
      <w:r w:rsidR="006413D4" w:rsidRPr="00314DB1">
        <w:rPr>
          <w:rStyle w:val="charpartno0"/>
          <w:sz w:val="32"/>
          <w:szCs w:val="22"/>
        </w:rPr>
        <w:t>A</w:t>
      </w:r>
      <w:r w:rsidRPr="00314DB1">
        <w:rPr>
          <w:rStyle w:val="charpartno0"/>
          <w:sz w:val="32"/>
          <w:szCs w:val="22"/>
        </w:rPr>
        <w:t>—Grants to assure and enhance the quality of Australia’s higher education sector</w:t>
      </w:r>
      <w:bookmarkStart w:id="9" w:name="_Hlk159597837"/>
      <w:r w:rsidR="006A66AF" w:rsidRPr="00314DB1">
        <w:rPr>
          <w:sz w:val="32"/>
          <w:szCs w:val="22"/>
        </w:rPr>
        <w:t>—</w:t>
      </w:r>
      <w:r w:rsidR="00A02815" w:rsidRPr="00314DB1">
        <w:rPr>
          <w:rStyle w:val="CharDivNo"/>
          <w:sz w:val="32"/>
          <w:szCs w:val="22"/>
        </w:rPr>
        <w:t xml:space="preserve">Strong Beginnings </w:t>
      </w:r>
      <w:r w:rsidR="00AC7954" w:rsidRPr="00314DB1">
        <w:rPr>
          <w:rStyle w:val="CharDivNo"/>
          <w:sz w:val="32"/>
          <w:szCs w:val="22"/>
        </w:rPr>
        <w:t>Fund</w:t>
      </w:r>
      <w:bookmarkEnd w:id="8"/>
      <w:bookmarkEnd w:id="9"/>
    </w:p>
    <w:p w14:paraId="3D93F957" w14:textId="2F009B4A" w:rsidR="00112336" w:rsidRDefault="00A77EB5" w:rsidP="00314DB1">
      <w:pPr>
        <w:pStyle w:val="ActHead3"/>
      </w:pPr>
      <w:bookmarkStart w:id="10" w:name="_Toc160785807"/>
      <w:r w:rsidRPr="00314DB1">
        <w:t xml:space="preserve">Division </w:t>
      </w:r>
      <w:r>
        <w:t>1—</w:t>
      </w:r>
      <w:r w:rsidRPr="00314DB1">
        <w:t>Strong Beginnings (Transition) Fund</w:t>
      </w:r>
      <w:bookmarkEnd w:id="10"/>
    </w:p>
    <w:p w14:paraId="2C2160BD" w14:textId="0DC0EEC0" w:rsidR="005E317F" w:rsidRDefault="00B55B45" w:rsidP="005E317F">
      <w:pPr>
        <w:pStyle w:val="ActHead5"/>
      </w:pPr>
      <w:bookmarkStart w:id="11" w:name="_Toc160785808"/>
      <w:r>
        <w:t>63A</w:t>
      </w:r>
      <w:r w:rsidR="005E317F">
        <w:t xml:space="preserve">  </w:t>
      </w:r>
      <w:r>
        <w:t>P</w:t>
      </w:r>
      <w:r w:rsidR="00E96BCB">
        <w:t>rogram objectives</w:t>
      </w:r>
      <w:bookmarkEnd w:id="11"/>
    </w:p>
    <w:p w14:paraId="26CD7814" w14:textId="77777777" w:rsidR="00A2068F" w:rsidRDefault="00A2068F" w:rsidP="00A2068F">
      <w:pPr>
        <w:pStyle w:val="subsection"/>
      </w:pPr>
      <w:r>
        <w:tab/>
      </w:r>
      <w:r w:rsidR="00EA0D6D" w:rsidRPr="00D81347">
        <w:t>(1)</w:t>
      </w:r>
      <w:r>
        <w:tab/>
      </w:r>
      <w:r w:rsidR="00EA0D6D" w:rsidRPr="00D81347">
        <w:t xml:space="preserve">The Strong Beginnings </w:t>
      </w:r>
      <w:r w:rsidR="00AC7954">
        <w:t>(Transition</w:t>
      </w:r>
      <w:r w:rsidR="00111902">
        <w:t>)</w:t>
      </w:r>
      <w:r w:rsidR="00AC7954">
        <w:t xml:space="preserve"> Fund </w:t>
      </w:r>
      <w:r w:rsidR="00EA0D6D" w:rsidRPr="00D81347">
        <w:t xml:space="preserve">is specified as a program for </w:t>
      </w:r>
      <w:r w:rsidR="006E2DE0" w:rsidRPr="00D81347">
        <w:t>the purpose of assuring and enhancing the quality of Australia’s higher education sector, under subitem 11(a) of the table in subsection 41-10(1) of the Act</w:t>
      </w:r>
      <w:r w:rsidR="006065DA" w:rsidRPr="00D81347">
        <w:t>.</w:t>
      </w:r>
    </w:p>
    <w:p w14:paraId="5120EC2C" w14:textId="721FE1E0" w:rsidR="00C17FBE" w:rsidRPr="006A5A73" w:rsidRDefault="00A2068F" w:rsidP="00314DB1">
      <w:pPr>
        <w:pStyle w:val="subsection"/>
        <w:rPr>
          <w:highlight w:val="yellow"/>
        </w:rPr>
      </w:pPr>
      <w:r>
        <w:tab/>
      </w:r>
      <w:r w:rsidR="00493813">
        <w:t>(2)</w:t>
      </w:r>
      <w:r>
        <w:tab/>
      </w:r>
      <w:r w:rsidR="00493813">
        <w:t xml:space="preserve">The </w:t>
      </w:r>
      <w:r w:rsidR="00F87263">
        <w:t xml:space="preserve">objective of the </w:t>
      </w:r>
      <w:r w:rsidR="00493813">
        <w:t>Strong Beginnings</w:t>
      </w:r>
      <w:r w:rsidR="00F87263">
        <w:t xml:space="preserve"> (Transition</w:t>
      </w:r>
      <w:r w:rsidR="00111902">
        <w:t>)</w:t>
      </w:r>
      <w:r w:rsidR="00F87263">
        <w:t xml:space="preserve"> Fund </w:t>
      </w:r>
      <w:r w:rsidR="004D3EFF">
        <w:t>is to</w:t>
      </w:r>
      <w:r w:rsidR="00844675">
        <w:t xml:space="preserve"> improve the quality of ITE courses by supporting higher education providers to </w:t>
      </w:r>
      <w:r w:rsidR="00706EB2">
        <w:t xml:space="preserve">ensure their ITE </w:t>
      </w:r>
      <w:r w:rsidR="00034690">
        <w:t>courses align with</w:t>
      </w:r>
      <w:r w:rsidR="003C0193" w:rsidRPr="003C0193">
        <w:t xml:space="preserve"> </w:t>
      </w:r>
      <w:r w:rsidR="003C0193">
        <w:t xml:space="preserve">core content </w:t>
      </w:r>
      <w:r w:rsidR="002B0A00">
        <w:t>described in</w:t>
      </w:r>
      <w:r w:rsidR="00034690">
        <w:t xml:space="preserve"> </w:t>
      </w:r>
      <w:r w:rsidR="00B33A51">
        <w:t>the Accreditation Standards and Procedures</w:t>
      </w:r>
      <w:r w:rsidR="002B0A00">
        <w:t>.</w:t>
      </w:r>
    </w:p>
    <w:p w14:paraId="46410E98" w14:textId="6507066D" w:rsidR="001B3DDC" w:rsidRDefault="001B3DDC" w:rsidP="001B3DDC">
      <w:pPr>
        <w:pStyle w:val="ActHead5"/>
      </w:pPr>
      <w:bookmarkStart w:id="12" w:name="_Toc160785809"/>
      <w:r>
        <w:t xml:space="preserve">63B  </w:t>
      </w:r>
      <w:bookmarkStart w:id="13" w:name="_Toc140499974"/>
      <w:r w:rsidR="00FB4DBF">
        <w:t>E</w:t>
      </w:r>
      <w:r w:rsidR="00FB404E" w:rsidRPr="00FB404E">
        <w:rPr>
          <w:bCs/>
        </w:rPr>
        <w:t>xtra conditions of eligibility</w:t>
      </w:r>
      <w:bookmarkEnd w:id="12"/>
      <w:bookmarkEnd w:id="13"/>
    </w:p>
    <w:p w14:paraId="30C1BB6F" w14:textId="431BF0CA" w:rsidR="00387FD2" w:rsidRDefault="00880299" w:rsidP="00A63579">
      <w:pPr>
        <w:pStyle w:val="subsection"/>
      </w:pPr>
      <w:r>
        <w:tab/>
      </w:r>
      <w:r w:rsidR="00AB62D9">
        <w:tab/>
      </w:r>
      <w:r w:rsidR="001277FE">
        <w:t xml:space="preserve">A Table A provider </w:t>
      </w:r>
      <w:r w:rsidR="00A72AA0">
        <w:t>or</w:t>
      </w:r>
      <w:r w:rsidR="001277FE">
        <w:t xml:space="preserve"> </w:t>
      </w:r>
      <w:r w:rsidR="00B95F11">
        <w:t xml:space="preserve">a </w:t>
      </w:r>
      <w:r w:rsidR="001277FE">
        <w:t xml:space="preserve">specified body corporate in </w:t>
      </w:r>
      <w:r w:rsidR="005A53D7">
        <w:t>section 67</w:t>
      </w:r>
      <w:r w:rsidR="001277FE">
        <w:t xml:space="preserve"> </w:t>
      </w:r>
      <w:r w:rsidR="00430224">
        <w:t>is eligible to receive a grant</w:t>
      </w:r>
      <w:r w:rsidR="003552AC">
        <w:t xml:space="preserve"> </w:t>
      </w:r>
      <w:r w:rsidR="00487B37">
        <w:t>under the Strong Beginnings (Transition) Fund if:</w:t>
      </w:r>
    </w:p>
    <w:p w14:paraId="3CCE020C" w14:textId="6DD38F5A" w:rsidR="00487B37" w:rsidRDefault="00A63579" w:rsidP="00A63579">
      <w:pPr>
        <w:pStyle w:val="paragraph"/>
        <w:keepNext/>
      </w:pPr>
      <w:r>
        <w:tab/>
      </w:r>
      <w:r w:rsidR="00487B37">
        <w:t>(</w:t>
      </w:r>
      <w:r>
        <w:t>a</w:t>
      </w:r>
      <w:r w:rsidR="00487B37">
        <w:t>)</w:t>
      </w:r>
      <w:r>
        <w:tab/>
      </w:r>
      <w:r w:rsidR="00086DD3">
        <w:t xml:space="preserve">the Table A provider or </w:t>
      </w:r>
      <w:r w:rsidR="00B95F11">
        <w:t xml:space="preserve">the </w:t>
      </w:r>
      <w:r w:rsidR="00086DD3">
        <w:t xml:space="preserve">specified body corporate </w:t>
      </w:r>
      <w:r w:rsidR="00702C40">
        <w:t>delivers ITE courses</w:t>
      </w:r>
      <w:r w:rsidR="00893C2F">
        <w:t>; and</w:t>
      </w:r>
      <w:r w:rsidR="00487B37">
        <w:t xml:space="preserve"> </w:t>
      </w:r>
    </w:p>
    <w:p w14:paraId="6700AB3B" w14:textId="56C8AF7F" w:rsidR="001E69A7" w:rsidRDefault="00A63579" w:rsidP="00EF21C5">
      <w:pPr>
        <w:pStyle w:val="paragraph"/>
        <w:keepNext/>
      </w:pPr>
      <w:r>
        <w:tab/>
      </w:r>
      <w:r w:rsidR="00893C2F">
        <w:t>(</w:t>
      </w:r>
      <w:r>
        <w:t>b</w:t>
      </w:r>
      <w:r w:rsidR="00893C2F">
        <w:t>)</w:t>
      </w:r>
      <w:r>
        <w:tab/>
      </w:r>
      <w:r w:rsidR="00E2077B" w:rsidRPr="001562A3">
        <w:t>the grant application</w:t>
      </w:r>
      <w:r w:rsidR="00B95F11" w:rsidRPr="001562A3">
        <w:t xml:space="preserve"> includes evidence of </w:t>
      </w:r>
      <w:r w:rsidR="00E2077B" w:rsidRPr="001562A3">
        <w:t xml:space="preserve">the number of ITE courses delivered </w:t>
      </w:r>
      <w:r w:rsidR="00E2077B" w:rsidRPr="00EF21C5">
        <w:t xml:space="preserve">by the Table A provider or </w:t>
      </w:r>
      <w:r w:rsidR="00167FD4" w:rsidRPr="00EF21C5">
        <w:t xml:space="preserve">the </w:t>
      </w:r>
      <w:r w:rsidR="00E2077B" w:rsidRPr="00EF21C5">
        <w:t>specified body corporate</w:t>
      </w:r>
      <w:r w:rsidR="001C6832">
        <w:t xml:space="preserve"> a</w:t>
      </w:r>
      <w:r w:rsidR="001C6832" w:rsidRPr="00314DB1">
        <w:t>s at</w:t>
      </w:r>
      <w:r w:rsidR="001C6832">
        <w:t xml:space="preserve"> 31 October 2023</w:t>
      </w:r>
      <w:r w:rsidR="00240CC5" w:rsidRPr="00EF21C5">
        <w:t>.</w:t>
      </w:r>
      <w:r w:rsidR="00240CC5">
        <w:t xml:space="preserve"> </w:t>
      </w:r>
    </w:p>
    <w:p w14:paraId="46522347" w14:textId="7936FE2A" w:rsidR="00387FD2" w:rsidRDefault="003B4A89" w:rsidP="00294A18">
      <w:pPr>
        <w:pStyle w:val="ActHead5"/>
      </w:pPr>
      <w:bookmarkStart w:id="14" w:name="_Toc140499975"/>
      <w:bookmarkStart w:id="15" w:name="_Toc160785810"/>
      <w:r w:rsidRPr="00294A18">
        <w:t>6</w:t>
      </w:r>
      <w:r w:rsidR="00427447">
        <w:t>3C</w:t>
      </w:r>
      <w:r w:rsidR="002850E5">
        <w:t xml:space="preserve">  </w:t>
      </w:r>
      <w:r w:rsidRPr="00294A18">
        <w:t>Grants to be made in respect of a year</w:t>
      </w:r>
      <w:bookmarkEnd w:id="14"/>
      <w:bookmarkEnd w:id="15"/>
    </w:p>
    <w:p w14:paraId="50FD26FA" w14:textId="003EA713" w:rsidR="00055EAD" w:rsidRDefault="002850E5" w:rsidP="002850E5">
      <w:pPr>
        <w:pStyle w:val="subsection"/>
      </w:pPr>
      <w:r>
        <w:tab/>
      </w:r>
      <w:r w:rsidR="0097431F" w:rsidRPr="0097431F">
        <w:t>(1)</w:t>
      </w:r>
      <w:r>
        <w:tab/>
      </w:r>
      <w:r w:rsidR="0097431F" w:rsidRPr="0097431F">
        <w:t>Grants under th</w:t>
      </w:r>
      <w:r w:rsidR="0097431F">
        <w:t>e Strong Beginnings (Transition) Fund</w:t>
      </w:r>
      <w:r w:rsidR="0097431F" w:rsidRPr="0097431F">
        <w:t xml:space="preserve"> are</w:t>
      </w:r>
      <w:r w:rsidR="00D156F2">
        <w:t xml:space="preserve"> made</w:t>
      </w:r>
      <w:r w:rsidR="0097431F" w:rsidRPr="0097431F">
        <w:t xml:space="preserve"> in respect of a year.</w:t>
      </w:r>
    </w:p>
    <w:p w14:paraId="2FABA2AD" w14:textId="365924F1" w:rsidR="00055EAD" w:rsidRPr="00055EAD" w:rsidRDefault="002850E5" w:rsidP="002850E5">
      <w:pPr>
        <w:pStyle w:val="subsection"/>
      </w:pPr>
      <w:r>
        <w:tab/>
      </w:r>
      <w:r w:rsidR="00D156F2">
        <w:t>(2)</w:t>
      </w:r>
      <w:r>
        <w:tab/>
      </w:r>
      <w:r w:rsidR="00055EAD" w:rsidRPr="002850E5">
        <w:t>The amount, being a part of the amount referred to in section 41</w:t>
      </w:r>
      <w:r w:rsidR="00055EAD" w:rsidRPr="002850E5">
        <w:noBreakHyphen/>
        <w:t xml:space="preserve">45 of the Act, that will be spent on the program </w:t>
      </w:r>
      <w:r w:rsidR="00167FD4">
        <w:t>in</w:t>
      </w:r>
      <w:r w:rsidR="00055EAD" w:rsidRPr="002850E5">
        <w:t xml:space="preserve"> 202</w:t>
      </w:r>
      <w:r w:rsidR="005A60F1" w:rsidRPr="002850E5">
        <w:t>4</w:t>
      </w:r>
      <w:r w:rsidR="00055EAD" w:rsidRPr="002850E5">
        <w:t xml:space="preserve"> is $</w:t>
      </w:r>
      <w:r w:rsidR="00CF583C" w:rsidRPr="002850E5">
        <w:t>4.635 million</w:t>
      </w:r>
      <w:r w:rsidR="00055EAD" w:rsidRPr="002850E5">
        <w:t>.</w:t>
      </w:r>
    </w:p>
    <w:p w14:paraId="39CFAAB3" w14:textId="57909A66" w:rsidR="00055EAD" w:rsidRPr="00055EAD" w:rsidRDefault="00055EAD" w:rsidP="00055EAD">
      <w:pPr>
        <w:shd w:val="clear" w:color="auto" w:fill="FFFFFF"/>
        <w:spacing w:before="122" w:line="198" w:lineRule="atLeast"/>
        <w:ind w:left="1985" w:hanging="851"/>
        <w:rPr>
          <w:rFonts w:eastAsia="Times New Roman" w:cs="Times New Roman"/>
          <w:color w:val="000000"/>
          <w:sz w:val="18"/>
          <w:szCs w:val="18"/>
          <w:lang w:eastAsia="en-AU"/>
        </w:rPr>
      </w:pPr>
      <w:r w:rsidRPr="00055EAD">
        <w:rPr>
          <w:rFonts w:eastAsia="Times New Roman" w:cs="Times New Roman"/>
          <w:color w:val="000000"/>
          <w:sz w:val="18"/>
          <w:szCs w:val="18"/>
          <w:lang w:eastAsia="en-AU"/>
        </w:rPr>
        <w:t>Note:      Under section 41-20 of the Act, grants are subject to approval by the Minister.</w:t>
      </w:r>
    </w:p>
    <w:p w14:paraId="7144637C" w14:textId="19C877FD" w:rsidR="00427447" w:rsidRDefault="00427447" w:rsidP="00427447">
      <w:pPr>
        <w:pStyle w:val="ActHead5"/>
      </w:pPr>
      <w:bookmarkStart w:id="16" w:name="_Toc140499953"/>
      <w:bookmarkStart w:id="17" w:name="_Toc160785811"/>
      <w:r>
        <w:t xml:space="preserve">63D  </w:t>
      </w:r>
      <w:r w:rsidRPr="00427447">
        <w:t xml:space="preserve">Method by which the amount of grants under the program are determined </w:t>
      </w:r>
      <w:bookmarkEnd w:id="16"/>
      <w:r>
        <w:t>for a provider</w:t>
      </w:r>
      <w:bookmarkEnd w:id="17"/>
    </w:p>
    <w:p w14:paraId="0D7082C3" w14:textId="2F373979" w:rsidR="00411BF6" w:rsidRDefault="00D71AE5" w:rsidP="00314DB1">
      <w:pPr>
        <w:pStyle w:val="subsection"/>
        <w:ind w:left="1130" w:firstLine="0"/>
      </w:pPr>
      <w:r>
        <w:t xml:space="preserve">The grant amount for a higher education provider under the Strong Beginnings (Transition) Fund is $15,000 per </w:t>
      </w:r>
      <w:r w:rsidRPr="009370D1">
        <w:t>ITE</w:t>
      </w:r>
      <w:r>
        <w:t xml:space="preserve"> course. </w:t>
      </w:r>
    </w:p>
    <w:p w14:paraId="7FD750C9" w14:textId="30D1DBC6" w:rsidR="00D71AE5" w:rsidRDefault="00C62402" w:rsidP="00C62402">
      <w:pPr>
        <w:pStyle w:val="ActHead5"/>
      </w:pPr>
      <w:bookmarkStart w:id="18" w:name="_Toc140499980"/>
      <w:bookmarkStart w:id="19" w:name="_Toc160785812"/>
      <w:r w:rsidRPr="00C62402">
        <w:t>6</w:t>
      </w:r>
      <w:r>
        <w:t>3E</w:t>
      </w:r>
      <w:r w:rsidR="00EB2374">
        <w:t xml:space="preserve"> </w:t>
      </w:r>
      <w:r w:rsidRPr="00C62402">
        <w:t xml:space="preserve"> Conditions that apply to grants</w:t>
      </w:r>
      <w:bookmarkEnd w:id="18"/>
      <w:bookmarkEnd w:id="19"/>
    </w:p>
    <w:p w14:paraId="7241E5D5" w14:textId="14E4B903" w:rsidR="00283BA4" w:rsidRDefault="009324E5" w:rsidP="00314DB1">
      <w:pPr>
        <w:pStyle w:val="subsection"/>
      </w:pPr>
      <w:r>
        <w:tab/>
      </w:r>
      <w:r w:rsidRPr="0097431F">
        <w:t>(1)</w:t>
      </w:r>
      <w:r>
        <w:tab/>
      </w:r>
      <w:r w:rsidR="008D38D1">
        <w:t xml:space="preserve">Providers </w:t>
      </w:r>
      <w:r w:rsidR="007873BB">
        <w:t>must</w:t>
      </w:r>
      <w:r w:rsidR="00B61CEA" w:rsidRPr="006A5A73">
        <w:t xml:space="preserve"> use the </w:t>
      </w:r>
      <w:r w:rsidR="008E41EC">
        <w:t>grant</w:t>
      </w:r>
      <w:r w:rsidR="00B61CEA" w:rsidRPr="006A5A73">
        <w:t xml:space="preserve"> to</w:t>
      </w:r>
      <w:r w:rsidR="00812AF8">
        <w:t>:</w:t>
      </w:r>
    </w:p>
    <w:p w14:paraId="40AA4E8B" w14:textId="77777777" w:rsidR="002212CC" w:rsidRDefault="002212CC" w:rsidP="002212CC">
      <w:pPr>
        <w:pStyle w:val="paragraph"/>
        <w:keepNext/>
      </w:pPr>
      <w:r>
        <w:tab/>
        <w:t>(a)</w:t>
      </w:r>
      <w:r>
        <w:tab/>
      </w:r>
      <w:r w:rsidR="00656FF8" w:rsidRPr="00E2389F">
        <w:t>r</w:t>
      </w:r>
      <w:r w:rsidR="00522F00" w:rsidRPr="00E2389F">
        <w:t>eview</w:t>
      </w:r>
      <w:r w:rsidR="00812AF8" w:rsidRPr="00E2389F">
        <w:t xml:space="preserve"> their </w:t>
      </w:r>
      <w:r w:rsidR="00522F00" w:rsidRPr="00E2389F">
        <w:t xml:space="preserve">ITE </w:t>
      </w:r>
      <w:r w:rsidR="00272872" w:rsidRPr="00E2389F">
        <w:t>course</w:t>
      </w:r>
      <w:r w:rsidR="00812AF8" w:rsidRPr="00E2389F">
        <w:t xml:space="preserve">s </w:t>
      </w:r>
      <w:r w:rsidR="00B874E5" w:rsidRPr="00E2389F">
        <w:t xml:space="preserve">and make changes necessary to </w:t>
      </w:r>
      <w:r w:rsidR="00812AF8" w:rsidRPr="00E2389F">
        <w:t>include core content</w:t>
      </w:r>
      <w:r w:rsidR="00B874E5" w:rsidRPr="00E2389F">
        <w:t>; and</w:t>
      </w:r>
    </w:p>
    <w:p w14:paraId="62F5B5C7" w14:textId="794E9954" w:rsidR="00907B06" w:rsidRPr="00E2389F" w:rsidRDefault="002212CC" w:rsidP="002212CC">
      <w:pPr>
        <w:pStyle w:val="paragraph"/>
        <w:keepNext/>
      </w:pPr>
      <w:r>
        <w:tab/>
        <w:t>(b)</w:t>
      </w:r>
      <w:r>
        <w:tab/>
      </w:r>
      <w:r w:rsidR="00BC36DC">
        <w:t>have</w:t>
      </w:r>
      <w:r w:rsidR="009F4A1B" w:rsidRPr="00E2389F">
        <w:t xml:space="preserve"> their ITE courses </w:t>
      </w:r>
      <w:r w:rsidR="00BC36DC">
        <w:t xml:space="preserve">reaccredited </w:t>
      </w:r>
      <w:r w:rsidR="00907B06" w:rsidRPr="00E2389F">
        <w:t xml:space="preserve">under the </w:t>
      </w:r>
      <w:r w:rsidR="00EE2A1E" w:rsidRPr="00E2389F">
        <w:t>A</w:t>
      </w:r>
      <w:r w:rsidR="00907B06" w:rsidRPr="00E2389F">
        <w:t xml:space="preserve">ccreditation </w:t>
      </w:r>
      <w:r w:rsidR="00EE2A1E" w:rsidRPr="00E2389F">
        <w:t>S</w:t>
      </w:r>
      <w:r w:rsidR="00907B06" w:rsidRPr="00E2389F">
        <w:t>tandards</w:t>
      </w:r>
      <w:r w:rsidR="00EE2A1E" w:rsidRPr="00E2389F">
        <w:t xml:space="preserve"> and Procedures</w:t>
      </w:r>
      <w:r w:rsidR="00907B06" w:rsidRPr="00E2389F">
        <w:t xml:space="preserve"> by </w:t>
      </w:r>
      <w:r w:rsidR="006A4198">
        <w:t>31 December</w:t>
      </w:r>
      <w:r w:rsidR="00907B06" w:rsidRPr="00E2389F">
        <w:t xml:space="preserve"> 2025 </w:t>
      </w:r>
      <w:r w:rsidR="003F32CF" w:rsidRPr="00E2389F">
        <w:t>or</w:t>
      </w:r>
      <w:r w:rsidR="00A26F80" w:rsidRPr="00E2389F">
        <w:t xml:space="preserve"> a</w:t>
      </w:r>
      <w:r w:rsidR="003F32CF" w:rsidRPr="00E2389F">
        <w:t xml:space="preserve"> </w:t>
      </w:r>
      <w:r w:rsidR="003F2EE9">
        <w:t>date</w:t>
      </w:r>
      <w:r w:rsidR="00907B06" w:rsidRPr="00E2389F">
        <w:t xml:space="preserve"> stipulated by their </w:t>
      </w:r>
      <w:r w:rsidR="00A26F80" w:rsidRPr="00E2389F">
        <w:t>T</w:t>
      </w:r>
      <w:r w:rsidR="00907B06" w:rsidRPr="00E2389F">
        <w:t xml:space="preserve">eacher </w:t>
      </w:r>
      <w:r w:rsidR="00A26F80" w:rsidRPr="00E2389F">
        <w:lastRenderedPageBreak/>
        <w:t>R</w:t>
      </w:r>
      <w:r w:rsidR="00907B06" w:rsidRPr="00E2389F">
        <w:t xml:space="preserve">egulatory </w:t>
      </w:r>
      <w:r w:rsidR="00A26F80" w:rsidRPr="00E2389F">
        <w:t>A</w:t>
      </w:r>
      <w:r w:rsidR="00907B06" w:rsidRPr="00E2389F">
        <w:t>uthority in accordance with their state or territory legislative frameworks</w:t>
      </w:r>
      <w:r w:rsidR="00C657E0" w:rsidRPr="00E2389F">
        <w:t>.</w:t>
      </w:r>
    </w:p>
    <w:p w14:paraId="45451F1D" w14:textId="0D1EA551" w:rsidR="008C0906" w:rsidRDefault="00EB2374" w:rsidP="00EB2374">
      <w:pPr>
        <w:pStyle w:val="subsection"/>
      </w:pPr>
      <w:r>
        <w:tab/>
      </w:r>
      <w:r w:rsidR="008C0906" w:rsidRPr="008C0906">
        <w:t>(</w:t>
      </w:r>
      <w:r w:rsidR="009324E5">
        <w:t>2</w:t>
      </w:r>
      <w:r w:rsidR="008C0906" w:rsidRPr="008C0906">
        <w:t>)</w:t>
      </w:r>
      <w:r>
        <w:tab/>
      </w:r>
      <w:r w:rsidR="008C0906" w:rsidRPr="008C0906">
        <w:t xml:space="preserve">Providers in receipt of a grant under the </w:t>
      </w:r>
      <w:r w:rsidR="008C0906">
        <w:t>Strong Beginnings (Transition) Fund</w:t>
      </w:r>
      <w:r w:rsidR="008C0906" w:rsidRPr="008C0906">
        <w:t xml:space="preserve"> are required to report </w:t>
      </w:r>
      <w:r w:rsidR="008C0906">
        <w:t>by 31 December 2025</w:t>
      </w:r>
      <w:r w:rsidR="008C0906" w:rsidRPr="008C0906">
        <w:t xml:space="preserve"> in the format requested by the Department.</w:t>
      </w:r>
    </w:p>
    <w:p w14:paraId="5F152BD7" w14:textId="6BB8BB29" w:rsidR="00A053CD" w:rsidRDefault="00B375BC" w:rsidP="001C1412">
      <w:pPr>
        <w:pStyle w:val="subsection"/>
      </w:pPr>
      <w:r>
        <w:tab/>
      </w:r>
      <w:r w:rsidR="008C0906" w:rsidRPr="008C0906">
        <w:t>(</w:t>
      </w:r>
      <w:r w:rsidR="009324E5">
        <w:t>3</w:t>
      </w:r>
      <w:r w:rsidR="008C0906" w:rsidRPr="008C0906">
        <w:t>)</w:t>
      </w:r>
      <w:r>
        <w:tab/>
      </w:r>
      <w:r w:rsidR="008C0906" w:rsidRPr="008C0906">
        <w:t>These reports must include</w:t>
      </w:r>
      <w:r w:rsidR="008C0906">
        <w:t xml:space="preserve"> </w:t>
      </w:r>
      <w:r w:rsidR="008C0906" w:rsidRPr="008C0906">
        <w:t>the following information:</w:t>
      </w:r>
    </w:p>
    <w:p w14:paraId="131AFE8C" w14:textId="0B075759" w:rsidR="008C0906" w:rsidRDefault="00B375BC" w:rsidP="00B375BC">
      <w:pPr>
        <w:pStyle w:val="paragraph"/>
        <w:keepNext/>
      </w:pPr>
      <w:r>
        <w:tab/>
      </w:r>
      <w:r w:rsidR="008C0906">
        <w:t>(a)</w:t>
      </w:r>
      <w:r>
        <w:tab/>
      </w:r>
      <w:r w:rsidR="00F951D3">
        <w:t>e</w:t>
      </w:r>
      <w:r w:rsidR="008C0906">
        <w:t xml:space="preserve">vidence from the Teacher Regulatory Authority in the provider’s state or territory </w:t>
      </w:r>
      <w:r w:rsidR="00F951D3">
        <w:t>that the provider has met the requirements of the Accreditation Standards and Procedures with respect to core content; or</w:t>
      </w:r>
    </w:p>
    <w:p w14:paraId="26C512FD" w14:textId="28F11094" w:rsidR="00155D84" w:rsidRDefault="00154E66" w:rsidP="00B10A92">
      <w:pPr>
        <w:pStyle w:val="paragraph"/>
        <w:keepNext/>
      </w:pPr>
      <w:r>
        <w:tab/>
      </w:r>
      <w:r w:rsidR="00F951D3">
        <w:t>(b)</w:t>
      </w:r>
      <w:r w:rsidR="00B375BC">
        <w:tab/>
      </w:r>
      <w:r w:rsidR="00F951D3">
        <w:t xml:space="preserve">if the provider has not met the requirements of the </w:t>
      </w:r>
      <w:r w:rsidR="00F33259">
        <w:t>Accred</w:t>
      </w:r>
      <w:r w:rsidR="00FE6BE9">
        <w:t xml:space="preserve">itation Standards and Procedures, </w:t>
      </w:r>
      <w:r w:rsidR="008A690E">
        <w:t>the report must include</w:t>
      </w:r>
      <w:r w:rsidR="00155D84">
        <w:t>:</w:t>
      </w:r>
    </w:p>
    <w:p w14:paraId="161965BA" w14:textId="3C6B2C0D" w:rsidR="00B70155" w:rsidRDefault="009324E5" w:rsidP="00B10A92">
      <w:pPr>
        <w:pStyle w:val="paragraph"/>
        <w:keepNext/>
      </w:pPr>
      <w:r>
        <w:tab/>
      </w:r>
      <w:r>
        <w:tab/>
      </w:r>
      <w:r w:rsidR="00155D84">
        <w:t xml:space="preserve">(i) reasons for why the core content </w:t>
      </w:r>
      <w:r w:rsidR="00B70155">
        <w:t>has not been implemented into the ITE course; and</w:t>
      </w:r>
    </w:p>
    <w:p w14:paraId="57C53130" w14:textId="0973902C" w:rsidR="004D203F" w:rsidRDefault="009324E5" w:rsidP="00420B12">
      <w:pPr>
        <w:pStyle w:val="paragraph"/>
        <w:keepNext/>
      </w:pPr>
      <w:r>
        <w:tab/>
      </w:r>
      <w:r>
        <w:tab/>
      </w:r>
      <w:r w:rsidR="00B70155">
        <w:t>(ii)</w:t>
      </w:r>
      <w:r w:rsidR="008A690E">
        <w:t xml:space="preserve"> a project plan</w:t>
      </w:r>
      <w:r w:rsidR="00832300">
        <w:t>,</w:t>
      </w:r>
      <w:r w:rsidR="008A690E">
        <w:t xml:space="preserve"> in the format requested by the Department</w:t>
      </w:r>
      <w:r w:rsidR="00832300">
        <w:t>,</w:t>
      </w:r>
      <w:r w:rsidR="008A690E">
        <w:t xml:space="preserve"> detailing how the provider will </w:t>
      </w:r>
      <w:r w:rsidR="00FE6BE9">
        <w:t>implement core content</w:t>
      </w:r>
      <w:r w:rsidR="00832300">
        <w:t xml:space="preserve"> and </w:t>
      </w:r>
      <w:r w:rsidR="00CA3EE6">
        <w:t xml:space="preserve">the timeframe in which the core content </w:t>
      </w:r>
      <w:r w:rsidR="00DA6B75">
        <w:t>will</w:t>
      </w:r>
      <w:r w:rsidR="00CA3EE6">
        <w:t xml:space="preserve"> be implemented. </w:t>
      </w:r>
      <w:r w:rsidR="00811D68" w:rsidDel="002158CD">
        <w:t xml:space="preserve"> </w:t>
      </w:r>
    </w:p>
    <w:p w14:paraId="28719F4C" w14:textId="33AEA88E" w:rsidR="00CC5791" w:rsidRDefault="00E04ACD" w:rsidP="00CC5791">
      <w:pPr>
        <w:pStyle w:val="ItemHead"/>
      </w:pPr>
      <w:r>
        <w:t>3</w:t>
      </w:r>
      <w:r w:rsidR="00CC5791">
        <w:t xml:space="preserve">  After paragraph 67(d)</w:t>
      </w:r>
    </w:p>
    <w:p w14:paraId="4780F6BA" w14:textId="77777777" w:rsidR="001B1C52" w:rsidRDefault="001B1C52" w:rsidP="001B1C52">
      <w:pPr>
        <w:pStyle w:val="Item"/>
        <w:keepLines w:val="0"/>
      </w:pPr>
      <w:r>
        <w:t>Insert:</w:t>
      </w:r>
    </w:p>
    <w:p w14:paraId="70E8B8F3" w14:textId="2A212BE8" w:rsidR="00FB4DBF" w:rsidRPr="00D67F34" w:rsidRDefault="001B1C52" w:rsidP="001B1C52">
      <w:pPr>
        <w:pStyle w:val="paragraph"/>
        <w:keepNext/>
      </w:pPr>
      <w:r>
        <w:tab/>
      </w:r>
      <w:r w:rsidR="00FB4DBF" w:rsidRPr="00D67F34">
        <w:t>(</w:t>
      </w:r>
      <w:r w:rsidR="00902F00">
        <w:t>e</w:t>
      </w:r>
      <w:r w:rsidR="00FB4DBF" w:rsidRPr="00D67F34">
        <w:t>)</w:t>
      </w:r>
      <w:r>
        <w:tab/>
      </w:r>
      <w:r w:rsidR="00FB4DBF" w:rsidRPr="00D67F34">
        <w:t>Alphacrusis University College Limited</w:t>
      </w:r>
      <w:r w:rsidR="00006DB8">
        <w:t>;</w:t>
      </w:r>
    </w:p>
    <w:p w14:paraId="2B0C2E54" w14:textId="6F3B4127" w:rsidR="00FB4DBF" w:rsidRPr="00D67F34" w:rsidRDefault="00FB4DBF" w:rsidP="001B1C52">
      <w:pPr>
        <w:pStyle w:val="paragraph"/>
      </w:pPr>
      <w:r>
        <w:tab/>
      </w:r>
      <w:r w:rsidRPr="00D67F34">
        <w:t>(</w:t>
      </w:r>
      <w:r w:rsidR="00902F00">
        <w:t>f</w:t>
      </w:r>
      <w:r w:rsidRPr="00D67F34">
        <w:t>)</w:t>
      </w:r>
      <w:r>
        <w:tab/>
      </w:r>
      <w:r w:rsidRPr="00D67F34">
        <w:t>ACPE Limited (known as The Australian College of Physical Education)</w:t>
      </w:r>
      <w:r w:rsidR="00006DB8">
        <w:t>;</w:t>
      </w:r>
    </w:p>
    <w:p w14:paraId="0D5A0B89" w14:textId="3707F8E0" w:rsidR="00FB4DBF" w:rsidRPr="00D67F34" w:rsidRDefault="00FB4DBF" w:rsidP="001B1C52">
      <w:pPr>
        <w:pStyle w:val="paragraph"/>
      </w:pPr>
      <w:r>
        <w:tab/>
      </w:r>
      <w:r w:rsidRPr="00D67F34">
        <w:t>(</w:t>
      </w:r>
      <w:r w:rsidR="00902F00">
        <w:t>g</w:t>
      </w:r>
      <w:r w:rsidRPr="00D67F34">
        <w:t>)</w:t>
      </w:r>
      <w:r>
        <w:tab/>
      </w:r>
      <w:r w:rsidRPr="00D67F34">
        <w:t>Christian Heritage College</w:t>
      </w:r>
      <w:r w:rsidR="00006DB8">
        <w:t>;</w:t>
      </w:r>
    </w:p>
    <w:p w14:paraId="52793107" w14:textId="244F4AC6" w:rsidR="00FB4DBF" w:rsidRPr="00D67F34" w:rsidRDefault="00FB4DBF" w:rsidP="001B1C52">
      <w:pPr>
        <w:pStyle w:val="paragraph"/>
      </w:pPr>
      <w:r>
        <w:tab/>
      </w:r>
      <w:r w:rsidRPr="00D67F34">
        <w:t>(</w:t>
      </w:r>
      <w:r w:rsidR="00902F00">
        <w:t>h</w:t>
      </w:r>
      <w:r w:rsidRPr="00D67F34">
        <w:t>)</w:t>
      </w:r>
      <w:r>
        <w:tab/>
      </w:r>
      <w:r w:rsidRPr="00D67F34">
        <w:t>Eastern College Australia Limited</w:t>
      </w:r>
      <w:r w:rsidR="00006DB8">
        <w:t>;</w:t>
      </w:r>
    </w:p>
    <w:p w14:paraId="0E5AC478" w14:textId="331C600E" w:rsidR="00FB4DBF" w:rsidRPr="00D67F34" w:rsidRDefault="00FB4DBF" w:rsidP="001B1C52">
      <w:pPr>
        <w:pStyle w:val="paragraph"/>
      </w:pPr>
      <w:r>
        <w:tab/>
      </w:r>
      <w:r w:rsidRPr="00D67F34">
        <w:t>(</w:t>
      </w:r>
      <w:r w:rsidR="00902F00">
        <w:t>i</w:t>
      </w:r>
      <w:r w:rsidRPr="00D67F34">
        <w:t>)</w:t>
      </w:r>
      <w:r>
        <w:tab/>
      </w:r>
      <w:r w:rsidRPr="00D67F34">
        <w:t>Excelsia College</w:t>
      </w:r>
      <w:r w:rsidR="00006DB8">
        <w:t>;</w:t>
      </w:r>
    </w:p>
    <w:p w14:paraId="4B2FEAC9" w14:textId="7B8E5E7E" w:rsidR="00FB4DBF" w:rsidRPr="00B026AA" w:rsidRDefault="00FB4DBF" w:rsidP="001B1C52">
      <w:pPr>
        <w:pStyle w:val="paragraph"/>
      </w:pPr>
      <w:r>
        <w:tab/>
      </w:r>
      <w:r w:rsidRPr="00B026AA">
        <w:t>(</w:t>
      </w:r>
      <w:r w:rsidR="00902F00">
        <w:t>j</w:t>
      </w:r>
      <w:r w:rsidRPr="00B026AA">
        <w:t>)</w:t>
      </w:r>
      <w:r>
        <w:tab/>
      </w:r>
      <w:r w:rsidRPr="00B026AA">
        <w:t>Holmesglen Institute</w:t>
      </w:r>
      <w:r w:rsidR="00006DB8">
        <w:t>;</w:t>
      </w:r>
      <w:r w:rsidRPr="00B026AA">
        <w:t xml:space="preserve"> </w:t>
      </w:r>
    </w:p>
    <w:p w14:paraId="084F0DE5" w14:textId="6D5C4E2E" w:rsidR="00FB4DBF" w:rsidRPr="00B026AA" w:rsidRDefault="00FB4DBF" w:rsidP="001B1C52">
      <w:pPr>
        <w:pStyle w:val="paragraph"/>
      </w:pPr>
      <w:r>
        <w:tab/>
      </w:r>
      <w:r w:rsidRPr="00B026AA">
        <w:t>(</w:t>
      </w:r>
      <w:r w:rsidR="00902F00">
        <w:t>k</w:t>
      </w:r>
      <w:r w:rsidRPr="00B026AA">
        <w:t>)</w:t>
      </w:r>
      <w:r>
        <w:tab/>
      </w:r>
      <w:r w:rsidRPr="00B026AA">
        <w:t>Melbourne Polytechnic</w:t>
      </w:r>
      <w:r w:rsidR="00006DB8">
        <w:t>;</w:t>
      </w:r>
    </w:p>
    <w:p w14:paraId="0B0CFFD7" w14:textId="05DB3933" w:rsidR="00FB4DBF" w:rsidRPr="00A63579" w:rsidRDefault="00FB4DBF" w:rsidP="00314DB1">
      <w:pPr>
        <w:pStyle w:val="paragraph"/>
      </w:pPr>
      <w:r>
        <w:tab/>
      </w:r>
      <w:r w:rsidRPr="00B026AA">
        <w:t>(</w:t>
      </w:r>
      <w:r w:rsidR="00902F00">
        <w:t>l</w:t>
      </w:r>
      <w:r w:rsidRPr="00B026AA">
        <w:t>)</w:t>
      </w:r>
      <w:r>
        <w:tab/>
      </w:r>
      <w:r w:rsidRPr="00B026AA">
        <w:t>Montessori World Educational Institute Australia Inc</w:t>
      </w:r>
      <w:r w:rsidR="00006DB8">
        <w:t>;</w:t>
      </w:r>
    </w:p>
    <w:p w14:paraId="1DF33E15" w14:textId="77777777" w:rsidR="005031A9" w:rsidRDefault="00FB4DBF" w:rsidP="001B1C52">
      <w:pPr>
        <w:pStyle w:val="paragraph"/>
      </w:pPr>
      <w:r>
        <w:tab/>
      </w:r>
      <w:r w:rsidRPr="00A63579">
        <w:t>(</w:t>
      </w:r>
      <w:r w:rsidR="00AF3153">
        <w:t>m</w:t>
      </w:r>
      <w:r w:rsidRPr="00A63579">
        <w:t>)</w:t>
      </w:r>
      <w:r>
        <w:tab/>
      </w:r>
      <w:r w:rsidRPr="00A63579">
        <w:t>Tabor College Inc</w:t>
      </w:r>
      <w:r w:rsidR="005031A9">
        <w:t xml:space="preserve">; </w:t>
      </w:r>
    </w:p>
    <w:p w14:paraId="0CBF9567" w14:textId="4250F136" w:rsidR="00FB4DBF" w:rsidRPr="00A63579" w:rsidRDefault="005031A9" w:rsidP="001B1C52">
      <w:pPr>
        <w:pStyle w:val="paragraph"/>
      </w:pPr>
      <w:r>
        <w:tab/>
        <w:t>(n)</w:t>
      </w:r>
      <w:r>
        <w:tab/>
        <w:t>Avondale University</w:t>
      </w:r>
      <w:r w:rsidR="00FC6045">
        <w:t>.</w:t>
      </w:r>
    </w:p>
    <w:p w14:paraId="74ACDE8A" w14:textId="2042E035" w:rsidR="00FB4DBF" w:rsidRPr="00006DB8" w:rsidRDefault="00FB4DBF" w:rsidP="00006DB8">
      <w:pPr>
        <w:pStyle w:val="paragraph"/>
      </w:pPr>
      <w:r>
        <w:tab/>
      </w:r>
    </w:p>
    <w:sectPr w:rsidR="00FB4DBF" w:rsidRPr="00006DB8" w:rsidSect="00775CB7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D6527" w14:textId="77777777" w:rsidR="00775CB7" w:rsidRDefault="00775CB7" w:rsidP="0048364F">
      <w:pPr>
        <w:spacing w:line="240" w:lineRule="auto"/>
      </w:pPr>
      <w:r>
        <w:separator/>
      </w:r>
    </w:p>
  </w:endnote>
  <w:endnote w:type="continuationSeparator" w:id="0">
    <w:p w14:paraId="4346A341" w14:textId="77777777" w:rsidR="00775CB7" w:rsidRDefault="00775CB7" w:rsidP="0048364F">
      <w:pPr>
        <w:spacing w:line="240" w:lineRule="auto"/>
      </w:pPr>
      <w:r>
        <w:continuationSeparator/>
      </w:r>
    </w:p>
  </w:endnote>
  <w:endnote w:type="continuationNotice" w:id="1">
    <w:p w14:paraId="60902092" w14:textId="77777777" w:rsidR="00775CB7" w:rsidRDefault="00775CB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5F1856CF" w14:textId="77777777">
      <w:tc>
        <w:tcPr>
          <w:tcW w:w="5000" w:type="pct"/>
        </w:tcPr>
        <w:p w14:paraId="3C1725F7" w14:textId="77777777" w:rsidR="009278C1" w:rsidRDefault="009278C1">
          <w:pPr>
            <w:rPr>
              <w:sz w:val="18"/>
            </w:rPr>
          </w:pPr>
        </w:p>
      </w:tc>
    </w:tr>
  </w:tbl>
  <w:p w14:paraId="43C73A7C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F25BC7C" w14:textId="77777777">
      <w:tc>
        <w:tcPr>
          <w:tcW w:w="5000" w:type="pct"/>
        </w:tcPr>
        <w:p w14:paraId="34294AC2" w14:textId="77777777" w:rsidR="00B20990" w:rsidRDefault="00B20990">
          <w:pPr>
            <w:rPr>
              <w:sz w:val="18"/>
            </w:rPr>
          </w:pPr>
        </w:p>
      </w:tc>
    </w:tr>
  </w:tbl>
  <w:p w14:paraId="55BCA9E0" w14:textId="77777777" w:rsidR="00B20990" w:rsidRPr="006D3667" w:rsidRDefault="00B209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3E43" w14:textId="77777777" w:rsidR="00B20990" w:rsidRDefault="00B20990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BA2555A" w14:textId="77777777">
      <w:tc>
        <w:tcPr>
          <w:tcW w:w="5000" w:type="pct"/>
        </w:tcPr>
        <w:p w14:paraId="4CF05965" w14:textId="77777777" w:rsidR="00B20990" w:rsidRDefault="00B20990">
          <w:pPr>
            <w:rPr>
              <w:sz w:val="18"/>
            </w:rPr>
          </w:pPr>
        </w:p>
      </w:tc>
    </w:tr>
  </w:tbl>
  <w:p w14:paraId="5DB1397B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598D8" w14:textId="77777777" w:rsidR="00B20990" w:rsidRPr="00E33C1C" w:rsidRDefault="00B2099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30A8D41D" w14:textId="7777777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5556A04" w14:textId="77777777" w:rsidR="00B20990" w:rsidRDefault="00B2099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8D0E33D" w14:textId="77777777" w:rsidR="00B20990" w:rsidRDefault="00B20990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910D2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0AA4F16" w14:textId="77777777" w:rsidR="00B20990" w:rsidRDefault="00B20990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F12FDFF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7DE1D32" w14:textId="77777777" w:rsidR="00B20990" w:rsidRDefault="00B20990">
          <w:pPr>
            <w:jc w:val="right"/>
            <w:rPr>
              <w:sz w:val="18"/>
            </w:rPr>
          </w:pPr>
        </w:p>
      </w:tc>
    </w:tr>
  </w:tbl>
  <w:p w14:paraId="16A722FD" w14:textId="77777777" w:rsidR="00B20990" w:rsidRPr="00ED79B6" w:rsidRDefault="00B20990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86F7" w14:textId="77777777" w:rsidR="00B20990" w:rsidRPr="00E33C1C" w:rsidRDefault="00B2099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04849DA4" w14:textId="77777777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3516535" w14:textId="77777777" w:rsidR="00B20990" w:rsidRDefault="00B2099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4A473EE" w14:textId="405A2D13" w:rsidR="00B20990" w:rsidRPr="00B20990" w:rsidRDefault="00B20990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878E8">
            <w:rPr>
              <w:i/>
              <w:noProof/>
              <w:sz w:val="18"/>
            </w:rPr>
            <w:t>Higher Education Support (Other Grants) Amendment (Strong Beginnings (Transition) Fund) Guidelines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400247D" w14:textId="77777777" w:rsidR="00B20990" w:rsidRDefault="00B2099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150F9313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EA041F7" w14:textId="77777777" w:rsidR="00B20990" w:rsidRDefault="00B20990">
          <w:pPr>
            <w:rPr>
              <w:sz w:val="18"/>
            </w:rPr>
          </w:pPr>
        </w:p>
      </w:tc>
    </w:tr>
  </w:tbl>
  <w:p w14:paraId="1189FA93" w14:textId="77777777" w:rsidR="00B20990" w:rsidRPr="00ED79B6" w:rsidRDefault="00B20990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E6D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6890D18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214DD2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B36654" w14:textId="4FF6A2E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878E8">
            <w:rPr>
              <w:i/>
              <w:noProof/>
              <w:sz w:val="18"/>
            </w:rPr>
            <w:t>Higher Education Support (Other Grants) Amendment (Strong Beginnings (Transition) Fund) Guidelines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66973B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5A04E9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2C834D9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41F39D98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EB93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565204B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C63B4C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1B8C5E" w14:textId="7AE2C4A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878E8">
            <w:rPr>
              <w:i/>
              <w:noProof/>
              <w:sz w:val="18"/>
            </w:rPr>
            <w:t>Higher Education Support (Other Grants) Amendment (Strong Beginnings (Transition) Fund) Guidelines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E4A39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4DD0240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3948C73" w14:textId="77777777" w:rsidR="00EE57E8" w:rsidRDefault="00EE57E8" w:rsidP="00EE57E8">
          <w:pPr>
            <w:rPr>
              <w:sz w:val="18"/>
            </w:rPr>
          </w:pPr>
        </w:p>
      </w:tc>
    </w:tr>
  </w:tbl>
  <w:p w14:paraId="3DAC2F5C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F0B4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337B64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26E69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69B182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910D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CBA2F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C5B705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B594FE8" w14:textId="65E30C07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910D2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5878E8">
            <w:rPr>
              <w:i/>
              <w:noProof/>
              <w:sz w:val="18"/>
            </w:rPr>
            <w:t>18/4/2024 9:35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AF28E01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8F9CC" w14:textId="77777777" w:rsidR="00775CB7" w:rsidRDefault="00775CB7" w:rsidP="0048364F">
      <w:pPr>
        <w:spacing w:line="240" w:lineRule="auto"/>
      </w:pPr>
      <w:r>
        <w:separator/>
      </w:r>
    </w:p>
  </w:footnote>
  <w:footnote w:type="continuationSeparator" w:id="0">
    <w:p w14:paraId="69C0CC93" w14:textId="77777777" w:rsidR="00775CB7" w:rsidRDefault="00775CB7" w:rsidP="0048364F">
      <w:pPr>
        <w:spacing w:line="240" w:lineRule="auto"/>
      </w:pPr>
      <w:r>
        <w:continuationSeparator/>
      </w:r>
    </w:p>
  </w:footnote>
  <w:footnote w:type="continuationNotice" w:id="1">
    <w:p w14:paraId="3951AC1B" w14:textId="77777777" w:rsidR="00775CB7" w:rsidRDefault="00775CB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2066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EFF4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FAE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0D9A" w14:textId="77777777" w:rsidR="00B20990" w:rsidRPr="00ED79B6" w:rsidRDefault="00B20990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8403" w14:textId="77777777" w:rsidR="00B20990" w:rsidRPr="00ED79B6" w:rsidRDefault="00B20990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9F68A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3AB2F" w14:textId="77777777" w:rsidR="00EE57E8" w:rsidRPr="00A961C4" w:rsidRDefault="00EE57E8" w:rsidP="0048364F">
    <w:pPr>
      <w:rPr>
        <w:b/>
        <w:sz w:val="20"/>
      </w:rPr>
    </w:pPr>
  </w:p>
  <w:p w14:paraId="0A5B02B8" w14:textId="77777777" w:rsidR="00EE57E8" w:rsidRPr="00A961C4" w:rsidRDefault="00EE57E8" w:rsidP="0048364F">
    <w:pPr>
      <w:rPr>
        <w:b/>
        <w:sz w:val="20"/>
      </w:rPr>
    </w:pPr>
  </w:p>
  <w:p w14:paraId="6083FBBF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C1BEE" w14:textId="77777777" w:rsidR="00EE57E8" w:rsidRPr="00A961C4" w:rsidRDefault="00EE57E8" w:rsidP="0048364F">
    <w:pPr>
      <w:jc w:val="right"/>
      <w:rPr>
        <w:sz w:val="20"/>
      </w:rPr>
    </w:pPr>
  </w:p>
  <w:p w14:paraId="2B6830D6" w14:textId="77777777" w:rsidR="00EE57E8" w:rsidRPr="00A961C4" w:rsidRDefault="00EE57E8" w:rsidP="0048364F">
    <w:pPr>
      <w:jc w:val="right"/>
      <w:rPr>
        <w:b/>
        <w:sz w:val="20"/>
      </w:rPr>
    </w:pPr>
  </w:p>
  <w:p w14:paraId="57263E22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78058A"/>
    <w:multiLevelType w:val="hybridMultilevel"/>
    <w:tmpl w:val="9FDEAD98"/>
    <w:lvl w:ilvl="0" w:tplc="8D78DE7E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2" w15:restartNumberingAfterBreak="0">
    <w:nsid w:val="159B7E3C"/>
    <w:multiLevelType w:val="hybridMultilevel"/>
    <w:tmpl w:val="7A78D80E"/>
    <w:lvl w:ilvl="0" w:tplc="09C8C19E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19B60BC7"/>
    <w:multiLevelType w:val="hybridMultilevel"/>
    <w:tmpl w:val="893AF342"/>
    <w:lvl w:ilvl="0" w:tplc="4F0C14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9042B4E"/>
    <w:multiLevelType w:val="hybridMultilevel"/>
    <w:tmpl w:val="1E82C164"/>
    <w:lvl w:ilvl="0" w:tplc="8D78DE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382AF3"/>
    <w:multiLevelType w:val="hybridMultilevel"/>
    <w:tmpl w:val="D2243448"/>
    <w:lvl w:ilvl="0" w:tplc="F2D67E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F86332"/>
    <w:multiLevelType w:val="hybridMultilevel"/>
    <w:tmpl w:val="666819FA"/>
    <w:lvl w:ilvl="0" w:tplc="FFBED1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B4B9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84219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73AB1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A0E7F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4C8DE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8F6B0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B2A7D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8D2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40F957FB"/>
    <w:multiLevelType w:val="hybridMultilevel"/>
    <w:tmpl w:val="B62C4968"/>
    <w:lvl w:ilvl="0" w:tplc="1F08D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A2058"/>
    <w:multiLevelType w:val="hybridMultilevel"/>
    <w:tmpl w:val="ED127418"/>
    <w:lvl w:ilvl="0" w:tplc="307ED618">
      <w:start w:val="1"/>
      <w:numFmt w:val="decimal"/>
      <w:lvlText w:val="%1."/>
      <w:lvlJc w:val="left"/>
      <w:pPr>
        <w:ind w:left="1020" w:hanging="360"/>
      </w:pPr>
    </w:lvl>
    <w:lvl w:ilvl="1" w:tplc="F416AC50">
      <w:start w:val="1"/>
      <w:numFmt w:val="decimal"/>
      <w:lvlText w:val="%2."/>
      <w:lvlJc w:val="left"/>
      <w:pPr>
        <w:ind w:left="1020" w:hanging="360"/>
      </w:pPr>
    </w:lvl>
    <w:lvl w:ilvl="2" w:tplc="2CCC0C20">
      <w:start w:val="1"/>
      <w:numFmt w:val="decimal"/>
      <w:lvlText w:val="%3."/>
      <w:lvlJc w:val="left"/>
      <w:pPr>
        <w:ind w:left="1020" w:hanging="360"/>
      </w:pPr>
    </w:lvl>
    <w:lvl w:ilvl="3" w:tplc="8530F6EC">
      <w:start w:val="1"/>
      <w:numFmt w:val="decimal"/>
      <w:lvlText w:val="%4."/>
      <w:lvlJc w:val="left"/>
      <w:pPr>
        <w:ind w:left="1020" w:hanging="360"/>
      </w:pPr>
    </w:lvl>
    <w:lvl w:ilvl="4" w:tplc="4E70A7CC">
      <w:start w:val="1"/>
      <w:numFmt w:val="decimal"/>
      <w:lvlText w:val="%5."/>
      <w:lvlJc w:val="left"/>
      <w:pPr>
        <w:ind w:left="1020" w:hanging="360"/>
      </w:pPr>
    </w:lvl>
    <w:lvl w:ilvl="5" w:tplc="D4E4AEFA">
      <w:start w:val="1"/>
      <w:numFmt w:val="decimal"/>
      <w:lvlText w:val="%6."/>
      <w:lvlJc w:val="left"/>
      <w:pPr>
        <w:ind w:left="1020" w:hanging="360"/>
      </w:pPr>
    </w:lvl>
    <w:lvl w:ilvl="6" w:tplc="18D4D312">
      <w:start w:val="1"/>
      <w:numFmt w:val="decimal"/>
      <w:lvlText w:val="%7."/>
      <w:lvlJc w:val="left"/>
      <w:pPr>
        <w:ind w:left="1020" w:hanging="360"/>
      </w:pPr>
    </w:lvl>
    <w:lvl w:ilvl="7" w:tplc="E7F64F6A">
      <w:start w:val="1"/>
      <w:numFmt w:val="decimal"/>
      <w:lvlText w:val="%8."/>
      <w:lvlJc w:val="left"/>
      <w:pPr>
        <w:ind w:left="1020" w:hanging="360"/>
      </w:pPr>
    </w:lvl>
    <w:lvl w:ilvl="8" w:tplc="08341FA8">
      <w:start w:val="1"/>
      <w:numFmt w:val="decimal"/>
      <w:lvlText w:val="%9."/>
      <w:lvlJc w:val="left"/>
      <w:pPr>
        <w:ind w:left="1020" w:hanging="360"/>
      </w:pPr>
    </w:lvl>
  </w:abstractNum>
  <w:abstractNum w:abstractNumId="21" w15:restartNumberingAfterBreak="0">
    <w:nsid w:val="47AC664B"/>
    <w:multiLevelType w:val="hybridMultilevel"/>
    <w:tmpl w:val="354AA83E"/>
    <w:lvl w:ilvl="0" w:tplc="0D1C52DC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2" w15:restartNumberingAfterBreak="0">
    <w:nsid w:val="538C70C4"/>
    <w:multiLevelType w:val="hybridMultilevel"/>
    <w:tmpl w:val="B88C5790"/>
    <w:lvl w:ilvl="0" w:tplc="803CEF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DF861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0F6A0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C8087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6E85E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716A7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5D8EB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0A651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27267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6722537E"/>
    <w:multiLevelType w:val="hybridMultilevel"/>
    <w:tmpl w:val="182A7960"/>
    <w:lvl w:ilvl="0" w:tplc="11704D40">
      <w:start w:val="1"/>
      <w:numFmt w:val="bullet"/>
      <w:lvlText w:val="-"/>
      <w:lvlJc w:val="left"/>
      <w:pPr>
        <w:ind w:left="185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24" w15:restartNumberingAfterBreak="0">
    <w:nsid w:val="772069C4"/>
    <w:multiLevelType w:val="hybridMultilevel"/>
    <w:tmpl w:val="061835CE"/>
    <w:lvl w:ilvl="0" w:tplc="F8B274C4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num w:numId="1" w16cid:durableId="756052243">
    <w:abstractNumId w:val="9"/>
  </w:num>
  <w:num w:numId="2" w16cid:durableId="1784423539">
    <w:abstractNumId w:val="7"/>
  </w:num>
  <w:num w:numId="3" w16cid:durableId="1439987472">
    <w:abstractNumId w:val="6"/>
  </w:num>
  <w:num w:numId="4" w16cid:durableId="1377584677">
    <w:abstractNumId w:val="5"/>
  </w:num>
  <w:num w:numId="5" w16cid:durableId="1206024214">
    <w:abstractNumId w:val="4"/>
  </w:num>
  <w:num w:numId="6" w16cid:durableId="324628864">
    <w:abstractNumId w:val="8"/>
  </w:num>
  <w:num w:numId="7" w16cid:durableId="1373311998">
    <w:abstractNumId w:val="3"/>
  </w:num>
  <w:num w:numId="8" w16cid:durableId="1280188764">
    <w:abstractNumId w:val="2"/>
  </w:num>
  <w:num w:numId="9" w16cid:durableId="1374188254">
    <w:abstractNumId w:val="1"/>
  </w:num>
  <w:num w:numId="10" w16cid:durableId="1893498370">
    <w:abstractNumId w:val="0"/>
  </w:num>
  <w:num w:numId="11" w16cid:durableId="466170003">
    <w:abstractNumId w:val="17"/>
  </w:num>
  <w:num w:numId="12" w16cid:durableId="1365053584">
    <w:abstractNumId w:val="10"/>
  </w:num>
  <w:num w:numId="13" w16cid:durableId="292369309">
    <w:abstractNumId w:val="14"/>
  </w:num>
  <w:num w:numId="14" w16cid:durableId="647633091">
    <w:abstractNumId w:val="13"/>
  </w:num>
  <w:num w:numId="15" w16cid:durableId="510534307">
    <w:abstractNumId w:val="19"/>
  </w:num>
  <w:num w:numId="16" w16cid:durableId="2026903054">
    <w:abstractNumId w:val="11"/>
  </w:num>
  <w:num w:numId="17" w16cid:durableId="561254777">
    <w:abstractNumId w:val="21"/>
  </w:num>
  <w:num w:numId="18" w16cid:durableId="1036464768">
    <w:abstractNumId w:val="23"/>
  </w:num>
  <w:num w:numId="19" w16cid:durableId="1453010680">
    <w:abstractNumId w:val="15"/>
  </w:num>
  <w:num w:numId="20" w16cid:durableId="1732540093">
    <w:abstractNumId w:val="16"/>
  </w:num>
  <w:num w:numId="21" w16cid:durableId="1265261743">
    <w:abstractNumId w:val="24"/>
  </w:num>
  <w:num w:numId="22" w16cid:durableId="826750935">
    <w:abstractNumId w:val="12"/>
  </w:num>
  <w:num w:numId="23" w16cid:durableId="1974483460">
    <w:abstractNumId w:val="18"/>
  </w:num>
  <w:num w:numId="24" w16cid:durableId="1908415302">
    <w:abstractNumId w:val="22"/>
  </w:num>
  <w:num w:numId="25" w16cid:durableId="17561703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D2"/>
    <w:rsid w:val="00000263"/>
    <w:rsid w:val="00001E6D"/>
    <w:rsid w:val="00002239"/>
    <w:rsid w:val="00006DB8"/>
    <w:rsid w:val="000073AB"/>
    <w:rsid w:val="0001067B"/>
    <w:rsid w:val="0001108D"/>
    <w:rsid w:val="000113BC"/>
    <w:rsid w:val="000131F4"/>
    <w:rsid w:val="000136AF"/>
    <w:rsid w:val="00014CD2"/>
    <w:rsid w:val="00021A8D"/>
    <w:rsid w:val="000224BD"/>
    <w:rsid w:val="00022BA9"/>
    <w:rsid w:val="00023BC1"/>
    <w:rsid w:val="00026D52"/>
    <w:rsid w:val="00027A71"/>
    <w:rsid w:val="00031680"/>
    <w:rsid w:val="00031A66"/>
    <w:rsid w:val="00033C25"/>
    <w:rsid w:val="00034690"/>
    <w:rsid w:val="00035468"/>
    <w:rsid w:val="00036F36"/>
    <w:rsid w:val="00037BFA"/>
    <w:rsid w:val="0004044E"/>
    <w:rsid w:val="00040594"/>
    <w:rsid w:val="00041654"/>
    <w:rsid w:val="0004657E"/>
    <w:rsid w:val="00046AAE"/>
    <w:rsid w:val="00046B4B"/>
    <w:rsid w:val="00047EB1"/>
    <w:rsid w:val="0005120E"/>
    <w:rsid w:val="00052658"/>
    <w:rsid w:val="00053505"/>
    <w:rsid w:val="00054577"/>
    <w:rsid w:val="00055EAD"/>
    <w:rsid w:val="00057758"/>
    <w:rsid w:val="000614BF"/>
    <w:rsid w:val="00064573"/>
    <w:rsid w:val="00066684"/>
    <w:rsid w:val="0007169C"/>
    <w:rsid w:val="00071B14"/>
    <w:rsid w:val="00073459"/>
    <w:rsid w:val="000739DC"/>
    <w:rsid w:val="00077593"/>
    <w:rsid w:val="000836C8"/>
    <w:rsid w:val="00083F48"/>
    <w:rsid w:val="00085CF8"/>
    <w:rsid w:val="0008657C"/>
    <w:rsid w:val="00086CCA"/>
    <w:rsid w:val="00086DD3"/>
    <w:rsid w:val="000901D6"/>
    <w:rsid w:val="00093DF9"/>
    <w:rsid w:val="000A0F00"/>
    <w:rsid w:val="000A109E"/>
    <w:rsid w:val="000A479A"/>
    <w:rsid w:val="000A7A25"/>
    <w:rsid w:val="000A7DF9"/>
    <w:rsid w:val="000B0656"/>
    <w:rsid w:val="000B4B6B"/>
    <w:rsid w:val="000B60C9"/>
    <w:rsid w:val="000C12DE"/>
    <w:rsid w:val="000C5D00"/>
    <w:rsid w:val="000D05EF"/>
    <w:rsid w:val="000D232F"/>
    <w:rsid w:val="000D3FB9"/>
    <w:rsid w:val="000D5485"/>
    <w:rsid w:val="000D69E3"/>
    <w:rsid w:val="000E2ED4"/>
    <w:rsid w:val="000E51F5"/>
    <w:rsid w:val="000E598E"/>
    <w:rsid w:val="000E5A3D"/>
    <w:rsid w:val="000E713A"/>
    <w:rsid w:val="000E7200"/>
    <w:rsid w:val="000E7415"/>
    <w:rsid w:val="000F0ADA"/>
    <w:rsid w:val="000F17A0"/>
    <w:rsid w:val="000F21C1"/>
    <w:rsid w:val="000F3A0B"/>
    <w:rsid w:val="000F43B6"/>
    <w:rsid w:val="000F57AF"/>
    <w:rsid w:val="0010056B"/>
    <w:rsid w:val="00104F4F"/>
    <w:rsid w:val="0010745C"/>
    <w:rsid w:val="00107A2E"/>
    <w:rsid w:val="00111902"/>
    <w:rsid w:val="001122FF"/>
    <w:rsid w:val="00112336"/>
    <w:rsid w:val="00114515"/>
    <w:rsid w:val="00114A29"/>
    <w:rsid w:val="001154ED"/>
    <w:rsid w:val="00116815"/>
    <w:rsid w:val="00117181"/>
    <w:rsid w:val="00117B43"/>
    <w:rsid w:val="00121827"/>
    <w:rsid w:val="001277FE"/>
    <w:rsid w:val="0013077F"/>
    <w:rsid w:val="001315B3"/>
    <w:rsid w:val="001318B9"/>
    <w:rsid w:val="0013193E"/>
    <w:rsid w:val="001319A7"/>
    <w:rsid w:val="00131B38"/>
    <w:rsid w:val="0013323C"/>
    <w:rsid w:val="00147862"/>
    <w:rsid w:val="00147F89"/>
    <w:rsid w:val="00151BC7"/>
    <w:rsid w:val="00153754"/>
    <w:rsid w:val="00154E66"/>
    <w:rsid w:val="00155D84"/>
    <w:rsid w:val="001562A3"/>
    <w:rsid w:val="001575B0"/>
    <w:rsid w:val="00160BD7"/>
    <w:rsid w:val="00162015"/>
    <w:rsid w:val="001631FC"/>
    <w:rsid w:val="001643C9"/>
    <w:rsid w:val="00165568"/>
    <w:rsid w:val="00165CBE"/>
    <w:rsid w:val="00166082"/>
    <w:rsid w:val="00166C2F"/>
    <w:rsid w:val="00167FD4"/>
    <w:rsid w:val="001716C9"/>
    <w:rsid w:val="0017533E"/>
    <w:rsid w:val="0017591B"/>
    <w:rsid w:val="0017756E"/>
    <w:rsid w:val="00177FB5"/>
    <w:rsid w:val="00184261"/>
    <w:rsid w:val="00184685"/>
    <w:rsid w:val="00184F45"/>
    <w:rsid w:val="001871A9"/>
    <w:rsid w:val="00193461"/>
    <w:rsid w:val="001939E1"/>
    <w:rsid w:val="0019452E"/>
    <w:rsid w:val="00195382"/>
    <w:rsid w:val="00196F47"/>
    <w:rsid w:val="0019790E"/>
    <w:rsid w:val="001A3B9F"/>
    <w:rsid w:val="001A5520"/>
    <w:rsid w:val="001A556A"/>
    <w:rsid w:val="001A65C0"/>
    <w:rsid w:val="001B1C52"/>
    <w:rsid w:val="001B26EE"/>
    <w:rsid w:val="001B2B33"/>
    <w:rsid w:val="001B3DDC"/>
    <w:rsid w:val="001B403F"/>
    <w:rsid w:val="001B4399"/>
    <w:rsid w:val="001B50F1"/>
    <w:rsid w:val="001B51D4"/>
    <w:rsid w:val="001B6CE3"/>
    <w:rsid w:val="001B7A5D"/>
    <w:rsid w:val="001C008C"/>
    <w:rsid w:val="001C1412"/>
    <w:rsid w:val="001C1D7F"/>
    <w:rsid w:val="001C2719"/>
    <w:rsid w:val="001C4A92"/>
    <w:rsid w:val="001C50F6"/>
    <w:rsid w:val="001C658B"/>
    <w:rsid w:val="001C6832"/>
    <w:rsid w:val="001C69C4"/>
    <w:rsid w:val="001C79DE"/>
    <w:rsid w:val="001C79F5"/>
    <w:rsid w:val="001D0F8F"/>
    <w:rsid w:val="001D5346"/>
    <w:rsid w:val="001E0A8D"/>
    <w:rsid w:val="001E23E2"/>
    <w:rsid w:val="001E3590"/>
    <w:rsid w:val="001E39D3"/>
    <w:rsid w:val="001E69A7"/>
    <w:rsid w:val="001E7407"/>
    <w:rsid w:val="001F08B1"/>
    <w:rsid w:val="001F1A46"/>
    <w:rsid w:val="001F1D78"/>
    <w:rsid w:val="001F3B0A"/>
    <w:rsid w:val="001F3E7A"/>
    <w:rsid w:val="001F6EDD"/>
    <w:rsid w:val="00200F45"/>
    <w:rsid w:val="00201D27"/>
    <w:rsid w:val="00201EE7"/>
    <w:rsid w:val="0020338E"/>
    <w:rsid w:val="00204498"/>
    <w:rsid w:val="0021153A"/>
    <w:rsid w:val="002158CD"/>
    <w:rsid w:val="002212CC"/>
    <w:rsid w:val="0022324F"/>
    <w:rsid w:val="002245A6"/>
    <w:rsid w:val="00225B11"/>
    <w:rsid w:val="00225C1E"/>
    <w:rsid w:val="002302EA"/>
    <w:rsid w:val="00230F41"/>
    <w:rsid w:val="00231812"/>
    <w:rsid w:val="00231B6E"/>
    <w:rsid w:val="002327AB"/>
    <w:rsid w:val="00234849"/>
    <w:rsid w:val="00237614"/>
    <w:rsid w:val="00237787"/>
    <w:rsid w:val="00240120"/>
    <w:rsid w:val="00240317"/>
    <w:rsid w:val="00240749"/>
    <w:rsid w:val="00240CC5"/>
    <w:rsid w:val="002419A2"/>
    <w:rsid w:val="002424D9"/>
    <w:rsid w:val="00245D71"/>
    <w:rsid w:val="002468D7"/>
    <w:rsid w:val="00246D07"/>
    <w:rsid w:val="00247D76"/>
    <w:rsid w:val="00247E97"/>
    <w:rsid w:val="00251F89"/>
    <w:rsid w:val="00254AF0"/>
    <w:rsid w:val="00256C81"/>
    <w:rsid w:val="00257BCA"/>
    <w:rsid w:val="00257FDD"/>
    <w:rsid w:val="00263AA7"/>
    <w:rsid w:val="00263AF3"/>
    <w:rsid w:val="002670D0"/>
    <w:rsid w:val="00267F11"/>
    <w:rsid w:val="00270775"/>
    <w:rsid w:val="00272872"/>
    <w:rsid w:val="0027333F"/>
    <w:rsid w:val="00276865"/>
    <w:rsid w:val="002775A1"/>
    <w:rsid w:val="00277670"/>
    <w:rsid w:val="00277EE6"/>
    <w:rsid w:val="00283BA4"/>
    <w:rsid w:val="002850E5"/>
    <w:rsid w:val="00285CDD"/>
    <w:rsid w:val="00291167"/>
    <w:rsid w:val="00291E15"/>
    <w:rsid w:val="0029489E"/>
    <w:rsid w:val="00294A18"/>
    <w:rsid w:val="00295A41"/>
    <w:rsid w:val="00297ECB"/>
    <w:rsid w:val="002A038F"/>
    <w:rsid w:val="002A4210"/>
    <w:rsid w:val="002B0871"/>
    <w:rsid w:val="002B0A00"/>
    <w:rsid w:val="002B54CA"/>
    <w:rsid w:val="002B687C"/>
    <w:rsid w:val="002B6C46"/>
    <w:rsid w:val="002B7A9B"/>
    <w:rsid w:val="002B7D1C"/>
    <w:rsid w:val="002C152A"/>
    <w:rsid w:val="002C212F"/>
    <w:rsid w:val="002C3B93"/>
    <w:rsid w:val="002C6F22"/>
    <w:rsid w:val="002D043A"/>
    <w:rsid w:val="002D36AA"/>
    <w:rsid w:val="002F0C80"/>
    <w:rsid w:val="002F359B"/>
    <w:rsid w:val="002F56A7"/>
    <w:rsid w:val="003021C3"/>
    <w:rsid w:val="0030260D"/>
    <w:rsid w:val="00302C47"/>
    <w:rsid w:val="003040EB"/>
    <w:rsid w:val="00304D34"/>
    <w:rsid w:val="0030527C"/>
    <w:rsid w:val="00305BE0"/>
    <w:rsid w:val="00306E1C"/>
    <w:rsid w:val="00314B9F"/>
    <w:rsid w:val="00314DB1"/>
    <w:rsid w:val="0031586F"/>
    <w:rsid w:val="0031713F"/>
    <w:rsid w:val="00317ECA"/>
    <w:rsid w:val="00321EBF"/>
    <w:rsid w:val="00322016"/>
    <w:rsid w:val="003222D1"/>
    <w:rsid w:val="00326469"/>
    <w:rsid w:val="0032750F"/>
    <w:rsid w:val="003303DB"/>
    <w:rsid w:val="0033122E"/>
    <w:rsid w:val="00331DBF"/>
    <w:rsid w:val="00334D9A"/>
    <w:rsid w:val="00334F11"/>
    <w:rsid w:val="00340D80"/>
    <w:rsid w:val="003415D3"/>
    <w:rsid w:val="003418E5"/>
    <w:rsid w:val="003442F6"/>
    <w:rsid w:val="00346335"/>
    <w:rsid w:val="003523FC"/>
    <w:rsid w:val="00352B0F"/>
    <w:rsid w:val="00353D16"/>
    <w:rsid w:val="003552AC"/>
    <w:rsid w:val="00355EA9"/>
    <w:rsid w:val="003561B0"/>
    <w:rsid w:val="00356274"/>
    <w:rsid w:val="00360B7F"/>
    <w:rsid w:val="00366E95"/>
    <w:rsid w:val="00371A3B"/>
    <w:rsid w:val="00372163"/>
    <w:rsid w:val="00375386"/>
    <w:rsid w:val="00376A0F"/>
    <w:rsid w:val="003770C2"/>
    <w:rsid w:val="00382795"/>
    <w:rsid w:val="00382E47"/>
    <w:rsid w:val="0038696C"/>
    <w:rsid w:val="00387BB5"/>
    <w:rsid w:val="00387FD2"/>
    <w:rsid w:val="003905B0"/>
    <w:rsid w:val="00390FC9"/>
    <w:rsid w:val="00392FF7"/>
    <w:rsid w:val="00397893"/>
    <w:rsid w:val="003A0C8A"/>
    <w:rsid w:val="003A0CAD"/>
    <w:rsid w:val="003A15AC"/>
    <w:rsid w:val="003A4A47"/>
    <w:rsid w:val="003A4C0F"/>
    <w:rsid w:val="003A59FB"/>
    <w:rsid w:val="003A6BD7"/>
    <w:rsid w:val="003B0311"/>
    <w:rsid w:val="003B0627"/>
    <w:rsid w:val="003B1B7B"/>
    <w:rsid w:val="003B32D3"/>
    <w:rsid w:val="003B4A89"/>
    <w:rsid w:val="003C0193"/>
    <w:rsid w:val="003C428E"/>
    <w:rsid w:val="003C5496"/>
    <w:rsid w:val="003C5638"/>
    <w:rsid w:val="003C5F24"/>
    <w:rsid w:val="003C5F2B"/>
    <w:rsid w:val="003C7D35"/>
    <w:rsid w:val="003D0BFE"/>
    <w:rsid w:val="003D5700"/>
    <w:rsid w:val="003D7E60"/>
    <w:rsid w:val="003E0F5F"/>
    <w:rsid w:val="003E24D2"/>
    <w:rsid w:val="003E55CB"/>
    <w:rsid w:val="003E7CB0"/>
    <w:rsid w:val="003F1920"/>
    <w:rsid w:val="003F2EE9"/>
    <w:rsid w:val="003F32CF"/>
    <w:rsid w:val="003F6F52"/>
    <w:rsid w:val="00400A5B"/>
    <w:rsid w:val="00401034"/>
    <w:rsid w:val="004022CA"/>
    <w:rsid w:val="00404283"/>
    <w:rsid w:val="00404D23"/>
    <w:rsid w:val="0040513F"/>
    <w:rsid w:val="004052D7"/>
    <w:rsid w:val="00405A89"/>
    <w:rsid w:val="00406611"/>
    <w:rsid w:val="00407AF8"/>
    <w:rsid w:val="00411086"/>
    <w:rsid w:val="004116CD"/>
    <w:rsid w:val="00411972"/>
    <w:rsid w:val="00411BF6"/>
    <w:rsid w:val="00414ADE"/>
    <w:rsid w:val="00420B12"/>
    <w:rsid w:val="0042194E"/>
    <w:rsid w:val="00421B2F"/>
    <w:rsid w:val="0042322F"/>
    <w:rsid w:val="00424CA9"/>
    <w:rsid w:val="004256DF"/>
    <w:rsid w:val="004257BB"/>
    <w:rsid w:val="00427447"/>
    <w:rsid w:val="00427905"/>
    <w:rsid w:val="00427AFE"/>
    <w:rsid w:val="00430224"/>
    <w:rsid w:val="004303AA"/>
    <w:rsid w:val="00432146"/>
    <w:rsid w:val="00432E96"/>
    <w:rsid w:val="004344F8"/>
    <w:rsid w:val="00441098"/>
    <w:rsid w:val="0044291A"/>
    <w:rsid w:val="004462D9"/>
    <w:rsid w:val="00447380"/>
    <w:rsid w:val="00452C3C"/>
    <w:rsid w:val="00457AC2"/>
    <w:rsid w:val="00457C75"/>
    <w:rsid w:val="004600B0"/>
    <w:rsid w:val="00460499"/>
    <w:rsid w:val="00460FBA"/>
    <w:rsid w:val="004611E6"/>
    <w:rsid w:val="00465386"/>
    <w:rsid w:val="0046553A"/>
    <w:rsid w:val="00466FD3"/>
    <w:rsid w:val="00474835"/>
    <w:rsid w:val="00474C6C"/>
    <w:rsid w:val="00474D61"/>
    <w:rsid w:val="00475562"/>
    <w:rsid w:val="0047592D"/>
    <w:rsid w:val="004819C7"/>
    <w:rsid w:val="0048218D"/>
    <w:rsid w:val="00483078"/>
    <w:rsid w:val="0048364F"/>
    <w:rsid w:val="004852DF"/>
    <w:rsid w:val="0048586E"/>
    <w:rsid w:val="004872D9"/>
    <w:rsid w:val="004877FC"/>
    <w:rsid w:val="00487B37"/>
    <w:rsid w:val="00490F2E"/>
    <w:rsid w:val="00492AED"/>
    <w:rsid w:val="0049353B"/>
    <w:rsid w:val="00493813"/>
    <w:rsid w:val="00495923"/>
    <w:rsid w:val="00496F97"/>
    <w:rsid w:val="004979AD"/>
    <w:rsid w:val="004A0967"/>
    <w:rsid w:val="004A3CDA"/>
    <w:rsid w:val="004A53EA"/>
    <w:rsid w:val="004A68C5"/>
    <w:rsid w:val="004A6BEF"/>
    <w:rsid w:val="004B045B"/>
    <w:rsid w:val="004B2FD5"/>
    <w:rsid w:val="004B35E7"/>
    <w:rsid w:val="004B6101"/>
    <w:rsid w:val="004B69A2"/>
    <w:rsid w:val="004B76B3"/>
    <w:rsid w:val="004C33F2"/>
    <w:rsid w:val="004C738A"/>
    <w:rsid w:val="004C779D"/>
    <w:rsid w:val="004D053F"/>
    <w:rsid w:val="004D0FED"/>
    <w:rsid w:val="004D203F"/>
    <w:rsid w:val="004D289B"/>
    <w:rsid w:val="004D3EFF"/>
    <w:rsid w:val="004E16B3"/>
    <w:rsid w:val="004E46E3"/>
    <w:rsid w:val="004E4A67"/>
    <w:rsid w:val="004E5AD0"/>
    <w:rsid w:val="004F0CD0"/>
    <w:rsid w:val="004F1A84"/>
    <w:rsid w:val="004F1FAC"/>
    <w:rsid w:val="004F65D7"/>
    <w:rsid w:val="004F676E"/>
    <w:rsid w:val="004F710F"/>
    <w:rsid w:val="004F71C0"/>
    <w:rsid w:val="005003F9"/>
    <w:rsid w:val="00501BA7"/>
    <w:rsid w:val="005031A9"/>
    <w:rsid w:val="00503259"/>
    <w:rsid w:val="00504EE2"/>
    <w:rsid w:val="005060B0"/>
    <w:rsid w:val="00516661"/>
    <w:rsid w:val="00516922"/>
    <w:rsid w:val="00516B8D"/>
    <w:rsid w:val="00521E7C"/>
    <w:rsid w:val="00522F00"/>
    <w:rsid w:val="0052756C"/>
    <w:rsid w:val="00530230"/>
    <w:rsid w:val="00530CC9"/>
    <w:rsid w:val="00531B46"/>
    <w:rsid w:val="0053289F"/>
    <w:rsid w:val="005365F1"/>
    <w:rsid w:val="0053738A"/>
    <w:rsid w:val="00537FBC"/>
    <w:rsid w:val="00541D73"/>
    <w:rsid w:val="00543455"/>
    <w:rsid w:val="00543469"/>
    <w:rsid w:val="00546FA3"/>
    <w:rsid w:val="005503B7"/>
    <w:rsid w:val="0055185A"/>
    <w:rsid w:val="00553A25"/>
    <w:rsid w:val="00555A9E"/>
    <w:rsid w:val="00555B35"/>
    <w:rsid w:val="00556088"/>
    <w:rsid w:val="00557025"/>
    <w:rsid w:val="00557C7A"/>
    <w:rsid w:val="00562A58"/>
    <w:rsid w:val="00562D85"/>
    <w:rsid w:val="00563489"/>
    <w:rsid w:val="00563AD7"/>
    <w:rsid w:val="0056541A"/>
    <w:rsid w:val="0056593B"/>
    <w:rsid w:val="00567AC4"/>
    <w:rsid w:val="0057076B"/>
    <w:rsid w:val="00571F81"/>
    <w:rsid w:val="00572E64"/>
    <w:rsid w:val="00577828"/>
    <w:rsid w:val="005809D9"/>
    <w:rsid w:val="00581211"/>
    <w:rsid w:val="00584811"/>
    <w:rsid w:val="00587774"/>
    <w:rsid w:val="005878E8"/>
    <w:rsid w:val="005936A9"/>
    <w:rsid w:val="00593AA6"/>
    <w:rsid w:val="00594161"/>
    <w:rsid w:val="00594501"/>
    <w:rsid w:val="00594749"/>
    <w:rsid w:val="00594956"/>
    <w:rsid w:val="00596E96"/>
    <w:rsid w:val="005972E0"/>
    <w:rsid w:val="005A1002"/>
    <w:rsid w:val="005A3972"/>
    <w:rsid w:val="005A53D7"/>
    <w:rsid w:val="005A60F1"/>
    <w:rsid w:val="005A61C5"/>
    <w:rsid w:val="005A7E87"/>
    <w:rsid w:val="005B02C9"/>
    <w:rsid w:val="005B11B8"/>
    <w:rsid w:val="005B1555"/>
    <w:rsid w:val="005B3103"/>
    <w:rsid w:val="005B3CAB"/>
    <w:rsid w:val="005B4067"/>
    <w:rsid w:val="005B5687"/>
    <w:rsid w:val="005C3F41"/>
    <w:rsid w:val="005C4EF0"/>
    <w:rsid w:val="005D1C0C"/>
    <w:rsid w:val="005D5EA1"/>
    <w:rsid w:val="005D68E2"/>
    <w:rsid w:val="005D75E8"/>
    <w:rsid w:val="005E098C"/>
    <w:rsid w:val="005E1F8D"/>
    <w:rsid w:val="005E317F"/>
    <w:rsid w:val="005E4131"/>
    <w:rsid w:val="005E61D3"/>
    <w:rsid w:val="005F0732"/>
    <w:rsid w:val="005F10B0"/>
    <w:rsid w:val="005F1C7E"/>
    <w:rsid w:val="005F26C5"/>
    <w:rsid w:val="005F4563"/>
    <w:rsid w:val="005F5B21"/>
    <w:rsid w:val="005F6C8A"/>
    <w:rsid w:val="00600219"/>
    <w:rsid w:val="006007A7"/>
    <w:rsid w:val="006033D5"/>
    <w:rsid w:val="006065DA"/>
    <w:rsid w:val="00606AA4"/>
    <w:rsid w:val="00607A7F"/>
    <w:rsid w:val="0061000A"/>
    <w:rsid w:val="00610D39"/>
    <w:rsid w:val="0061350C"/>
    <w:rsid w:val="006153E0"/>
    <w:rsid w:val="0062278F"/>
    <w:rsid w:val="006307FB"/>
    <w:rsid w:val="00632693"/>
    <w:rsid w:val="00633745"/>
    <w:rsid w:val="00637DCF"/>
    <w:rsid w:val="00640402"/>
    <w:rsid w:val="00640F78"/>
    <w:rsid w:val="006413D4"/>
    <w:rsid w:val="006426C2"/>
    <w:rsid w:val="00643562"/>
    <w:rsid w:val="006445BD"/>
    <w:rsid w:val="00645F3E"/>
    <w:rsid w:val="00652C21"/>
    <w:rsid w:val="00652F5F"/>
    <w:rsid w:val="00653B87"/>
    <w:rsid w:val="00655D6A"/>
    <w:rsid w:val="00656DE9"/>
    <w:rsid w:val="00656FF8"/>
    <w:rsid w:val="00660506"/>
    <w:rsid w:val="0066183C"/>
    <w:rsid w:val="00664BEA"/>
    <w:rsid w:val="00670F32"/>
    <w:rsid w:val="00672876"/>
    <w:rsid w:val="00674738"/>
    <w:rsid w:val="00675615"/>
    <w:rsid w:val="00676FD9"/>
    <w:rsid w:val="00677CC2"/>
    <w:rsid w:val="00681FC2"/>
    <w:rsid w:val="00682416"/>
    <w:rsid w:val="006838B2"/>
    <w:rsid w:val="0068477B"/>
    <w:rsid w:val="006853D2"/>
    <w:rsid w:val="00685F42"/>
    <w:rsid w:val="00686D74"/>
    <w:rsid w:val="00690C04"/>
    <w:rsid w:val="0069207B"/>
    <w:rsid w:val="006968E8"/>
    <w:rsid w:val="006A1422"/>
    <w:rsid w:val="006A16C2"/>
    <w:rsid w:val="006A304E"/>
    <w:rsid w:val="006A4198"/>
    <w:rsid w:val="006A5307"/>
    <w:rsid w:val="006A5A73"/>
    <w:rsid w:val="006A66AF"/>
    <w:rsid w:val="006A7532"/>
    <w:rsid w:val="006B143B"/>
    <w:rsid w:val="006B7006"/>
    <w:rsid w:val="006C0DD3"/>
    <w:rsid w:val="006C39B5"/>
    <w:rsid w:val="006C4542"/>
    <w:rsid w:val="006C634D"/>
    <w:rsid w:val="006C7F8C"/>
    <w:rsid w:val="006D2242"/>
    <w:rsid w:val="006D225C"/>
    <w:rsid w:val="006D2E40"/>
    <w:rsid w:val="006D6512"/>
    <w:rsid w:val="006D7AB9"/>
    <w:rsid w:val="006D7B2A"/>
    <w:rsid w:val="006E2DE0"/>
    <w:rsid w:val="006E550E"/>
    <w:rsid w:val="006E5B26"/>
    <w:rsid w:val="006E74DB"/>
    <w:rsid w:val="006F3040"/>
    <w:rsid w:val="006F6757"/>
    <w:rsid w:val="00700B2C"/>
    <w:rsid w:val="00702C40"/>
    <w:rsid w:val="00704047"/>
    <w:rsid w:val="007043A2"/>
    <w:rsid w:val="0070458B"/>
    <w:rsid w:val="00706EB2"/>
    <w:rsid w:val="007072C3"/>
    <w:rsid w:val="00710912"/>
    <w:rsid w:val="007112A9"/>
    <w:rsid w:val="007116F7"/>
    <w:rsid w:val="00713084"/>
    <w:rsid w:val="00717463"/>
    <w:rsid w:val="00720550"/>
    <w:rsid w:val="00720CE8"/>
    <w:rsid w:val="00720F9D"/>
    <w:rsid w:val="00720FC2"/>
    <w:rsid w:val="00722E89"/>
    <w:rsid w:val="007242A4"/>
    <w:rsid w:val="0072624E"/>
    <w:rsid w:val="007266C3"/>
    <w:rsid w:val="00730C45"/>
    <w:rsid w:val="0073158E"/>
    <w:rsid w:val="00731E00"/>
    <w:rsid w:val="007334F0"/>
    <w:rsid w:val="007339C7"/>
    <w:rsid w:val="0073466F"/>
    <w:rsid w:val="0073494F"/>
    <w:rsid w:val="00734A6D"/>
    <w:rsid w:val="0073554F"/>
    <w:rsid w:val="007440B7"/>
    <w:rsid w:val="007447E4"/>
    <w:rsid w:val="00745620"/>
    <w:rsid w:val="00745FC6"/>
    <w:rsid w:val="00745FE2"/>
    <w:rsid w:val="00747590"/>
    <w:rsid w:val="00747993"/>
    <w:rsid w:val="007500C6"/>
    <w:rsid w:val="00751298"/>
    <w:rsid w:val="00753C97"/>
    <w:rsid w:val="00754937"/>
    <w:rsid w:val="00755B66"/>
    <w:rsid w:val="0075792B"/>
    <w:rsid w:val="00763305"/>
    <w:rsid w:val="007634AD"/>
    <w:rsid w:val="00763725"/>
    <w:rsid w:val="007669E4"/>
    <w:rsid w:val="007715C9"/>
    <w:rsid w:val="0077164C"/>
    <w:rsid w:val="00774EDD"/>
    <w:rsid w:val="007757EC"/>
    <w:rsid w:val="00775CB7"/>
    <w:rsid w:val="0077682D"/>
    <w:rsid w:val="007777AD"/>
    <w:rsid w:val="00780A37"/>
    <w:rsid w:val="00784A20"/>
    <w:rsid w:val="00785622"/>
    <w:rsid w:val="007873BB"/>
    <w:rsid w:val="00790F71"/>
    <w:rsid w:val="0079250C"/>
    <w:rsid w:val="00792C2A"/>
    <w:rsid w:val="007A363D"/>
    <w:rsid w:val="007A6863"/>
    <w:rsid w:val="007A7150"/>
    <w:rsid w:val="007A7E1F"/>
    <w:rsid w:val="007B4DDA"/>
    <w:rsid w:val="007C514C"/>
    <w:rsid w:val="007C78B4"/>
    <w:rsid w:val="007D25B0"/>
    <w:rsid w:val="007D2C51"/>
    <w:rsid w:val="007D5278"/>
    <w:rsid w:val="007D633A"/>
    <w:rsid w:val="007D6BAC"/>
    <w:rsid w:val="007E156A"/>
    <w:rsid w:val="007E1B6D"/>
    <w:rsid w:val="007E32B6"/>
    <w:rsid w:val="007E3727"/>
    <w:rsid w:val="007E486B"/>
    <w:rsid w:val="007E5790"/>
    <w:rsid w:val="007E5F0B"/>
    <w:rsid w:val="007E6948"/>
    <w:rsid w:val="007E71B1"/>
    <w:rsid w:val="007E7D4A"/>
    <w:rsid w:val="007F48ED"/>
    <w:rsid w:val="007F4B3D"/>
    <w:rsid w:val="007F57ED"/>
    <w:rsid w:val="007F5806"/>
    <w:rsid w:val="007F5855"/>
    <w:rsid w:val="007F5E3F"/>
    <w:rsid w:val="007F7146"/>
    <w:rsid w:val="007F770C"/>
    <w:rsid w:val="008012BA"/>
    <w:rsid w:val="008034BC"/>
    <w:rsid w:val="0080415E"/>
    <w:rsid w:val="00804F3E"/>
    <w:rsid w:val="00810AFC"/>
    <w:rsid w:val="00811D68"/>
    <w:rsid w:val="00812AF8"/>
    <w:rsid w:val="00812F45"/>
    <w:rsid w:val="00816607"/>
    <w:rsid w:val="0081669A"/>
    <w:rsid w:val="00817A06"/>
    <w:rsid w:val="00822099"/>
    <w:rsid w:val="00822FD4"/>
    <w:rsid w:val="0082446E"/>
    <w:rsid w:val="00827806"/>
    <w:rsid w:val="0083002A"/>
    <w:rsid w:val="00832300"/>
    <w:rsid w:val="00834AA6"/>
    <w:rsid w:val="00836FE9"/>
    <w:rsid w:val="00837475"/>
    <w:rsid w:val="008374DE"/>
    <w:rsid w:val="00840EF0"/>
    <w:rsid w:val="00840FF3"/>
    <w:rsid w:val="0084172C"/>
    <w:rsid w:val="00842573"/>
    <w:rsid w:val="00842BC1"/>
    <w:rsid w:val="00842E8C"/>
    <w:rsid w:val="00844675"/>
    <w:rsid w:val="0084516A"/>
    <w:rsid w:val="00846EAD"/>
    <w:rsid w:val="0084726B"/>
    <w:rsid w:val="00847775"/>
    <w:rsid w:val="00850754"/>
    <w:rsid w:val="0085175E"/>
    <w:rsid w:val="00852443"/>
    <w:rsid w:val="00853066"/>
    <w:rsid w:val="00853B78"/>
    <w:rsid w:val="0085470B"/>
    <w:rsid w:val="00854B49"/>
    <w:rsid w:val="00856A31"/>
    <w:rsid w:val="00861209"/>
    <w:rsid w:val="00862C7B"/>
    <w:rsid w:val="00863AEB"/>
    <w:rsid w:val="00864B3B"/>
    <w:rsid w:val="00866FE0"/>
    <w:rsid w:val="00874FEB"/>
    <w:rsid w:val="008754D0"/>
    <w:rsid w:val="0087648D"/>
    <w:rsid w:val="00877C69"/>
    <w:rsid w:val="00877D48"/>
    <w:rsid w:val="00880299"/>
    <w:rsid w:val="00880413"/>
    <w:rsid w:val="008826DC"/>
    <w:rsid w:val="0088345B"/>
    <w:rsid w:val="00883FAA"/>
    <w:rsid w:val="008845BE"/>
    <w:rsid w:val="00891A99"/>
    <w:rsid w:val="00891F42"/>
    <w:rsid w:val="00893C2F"/>
    <w:rsid w:val="008951C2"/>
    <w:rsid w:val="0089537C"/>
    <w:rsid w:val="00897D8C"/>
    <w:rsid w:val="008A1219"/>
    <w:rsid w:val="008A16A5"/>
    <w:rsid w:val="008A2018"/>
    <w:rsid w:val="008A2D71"/>
    <w:rsid w:val="008A3C1A"/>
    <w:rsid w:val="008A5C57"/>
    <w:rsid w:val="008A690E"/>
    <w:rsid w:val="008A6BC3"/>
    <w:rsid w:val="008B36C2"/>
    <w:rsid w:val="008B5273"/>
    <w:rsid w:val="008B68B9"/>
    <w:rsid w:val="008C0629"/>
    <w:rsid w:val="008C0906"/>
    <w:rsid w:val="008C39B6"/>
    <w:rsid w:val="008C60F9"/>
    <w:rsid w:val="008C71B7"/>
    <w:rsid w:val="008D0222"/>
    <w:rsid w:val="008D0EE0"/>
    <w:rsid w:val="008D38D1"/>
    <w:rsid w:val="008D7A27"/>
    <w:rsid w:val="008E0DE1"/>
    <w:rsid w:val="008E1114"/>
    <w:rsid w:val="008E41EC"/>
    <w:rsid w:val="008E4702"/>
    <w:rsid w:val="008E69AA"/>
    <w:rsid w:val="008E7DEF"/>
    <w:rsid w:val="008F14D9"/>
    <w:rsid w:val="008F4969"/>
    <w:rsid w:val="008F4F1C"/>
    <w:rsid w:val="00900BC3"/>
    <w:rsid w:val="009011DB"/>
    <w:rsid w:val="00901ACE"/>
    <w:rsid w:val="00902F00"/>
    <w:rsid w:val="00904AD4"/>
    <w:rsid w:val="00904DBC"/>
    <w:rsid w:val="00904F65"/>
    <w:rsid w:val="00905F10"/>
    <w:rsid w:val="009069AD"/>
    <w:rsid w:val="00907B06"/>
    <w:rsid w:val="00907CF8"/>
    <w:rsid w:val="00910E64"/>
    <w:rsid w:val="00912838"/>
    <w:rsid w:val="00913EFA"/>
    <w:rsid w:val="009145B9"/>
    <w:rsid w:val="00914EAE"/>
    <w:rsid w:val="00917D92"/>
    <w:rsid w:val="00920681"/>
    <w:rsid w:val="0092224F"/>
    <w:rsid w:val="009224AB"/>
    <w:rsid w:val="00922764"/>
    <w:rsid w:val="0092465B"/>
    <w:rsid w:val="009278C1"/>
    <w:rsid w:val="00930104"/>
    <w:rsid w:val="00932377"/>
    <w:rsid w:val="009324E5"/>
    <w:rsid w:val="009346E3"/>
    <w:rsid w:val="00935490"/>
    <w:rsid w:val="009370D1"/>
    <w:rsid w:val="009371BA"/>
    <w:rsid w:val="00937E92"/>
    <w:rsid w:val="00944938"/>
    <w:rsid w:val="0094523D"/>
    <w:rsid w:val="009466FE"/>
    <w:rsid w:val="0095179B"/>
    <w:rsid w:val="00951D9E"/>
    <w:rsid w:val="0095484D"/>
    <w:rsid w:val="00955198"/>
    <w:rsid w:val="00965361"/>
    <w:rsid w:val="00965EC6"/>
    <w:rsid w:val="00966E41"/>
    <w:rsid w:val="00972F82"/>
    <w:rsid w:val="00973973"/>
    <w:rsid w:val="0097431F"/>
    <w:rsid w:val="009762A4"/>
    <w:rsid w:val="00976509"/>
    <w:rsid w:val="0097651E"/>
    <w:rsid w:val="00976A63"/>
    <w:rsid w:val="00976B4B"/>
    <w:rsid w:val="00977A8B"/>
    <w:rsid w:val="00982428"/>
    <w:rsid w:val="0098340D"/>
    <w:rsid w:val="00985523"/>
    <w:rsid w:val="00986BC1"/>
    <w:rsid w:val="009949CB"/>
    <w:rsid w:val="009959D0"/>
    <w:rsid w:val="00996131"/>
    <w:rsid w:val="00996D6E"/>
    <w:rsid w:val="0099752C"/>
    <w:rsid w:val="009A5FA1"/>
    <w:rsid w:val="009A6F60"/>
    <w:rsid w:val="009A71F1"/>
    <w:rsid w:val="009A7AB0"/>
    <w:rsid w:val="009B1250"/>
    <w:rsid w:val="009B1776"/>
    <w:rsid w:val="009B2490"/>
    <w:rsid w:val="009B3390"/>
    <w:rsid w:val="009B50E5"/>
    <w:rsid w:val="009B5753"/>
    <w:rsid w:val="009B654A"/>
    <w:rsid w:val="009B7E06"/>
    <w:rsid w:val="009C1195"/>
    <w:rsid w:val="009C2055"/>
    <w:rsid w:val="009C21F7"/>
    <w:rsid w:val="009C2809"/>
    <w:rsid w:val="009C2E01"/>
    <w:rsid w:val="009C3431"/>
    <w:rsid w:val="009C496A"/>
    <w:rsid w:val="009C5989"/>
    <w:rsid w:val="009C6A32"/>
    <w:rsid w:val="009C75CD"/>
    <w:rsid w:val="009C7BA6"/>
    <w:rsid w:val="009D08DA"/>
    <w:rsid w:val="009D335B"/>
    <w:rsid w:val="009D487C"/>
    <w:rsid w:val="009D5B37"/>
    <w:rsid w:val="009E1956"/>
    <w:rsid w:val="009E1E5B"/>
    <w:rsid w:val="009E61AF"/>
    <w:rsid w:val="009E7952"/>
    <w:rsid w:val="009F18B2"/>
    <w:rsid w:val="009F1EF5"/>
    <w:rsid w:val="009F2F44"/>
    <w:rsid w:val="009F41AD"/>
    <w:rsid w:val="009F4A1B"/>
    <w:rsid w:val="009F596B"/>
    <w:rsid w:val="00A0218E"/>
    <w:rsid w:val="00A02815"/>
    <w:rsid w:val="00A04B52"/>
    <w:rsid w:val="00A04B60"/>
    <w:rsid w:val="00A053CD"/>
    <w:rsid w:val="00A05E4E"/>
    <w:rsid w:val="00A06860"/>
    <w:rsid w:val="00A0755E"/>
    <w:rsid w:val="00A10E7E"/>
    <w:rsid w:val="00A136F5"/>
    <w:rsid w:val="00A16142"/>
    <w:rsid w:val="00A2068F"/>
    <w:rsid w:val="00A226DE"/>
    <w:rsid w:val="00A231E2"/>
    <w:rsid w:val="00A2550D"/>
    <w:rsid w:val="00A26F80"/>
    <w:rsid w:val="00A274C0"/>
    <w:rsid w:val="00A30E82"/>
    <w:rsid w:val="00A31330"/>
    <w:rsid w:val="00A3786B"/>
    <w:rsid w:val="00A379BB"/>
    <w:rsid w:val="00A37A30"/>
    <w:rsid w:val="00A40285"/>
    <w:rsid w:val="00A4085A"/>
    <w:rsid w:val="00A4169B"/>
    <w:rsid w:val="00A43D90"/>
    <w:rsid w:val="00A44175"/>
    <w:rsid w:val="00A46AA6"/>
    <w:rsid w:val="00A47AF5"/>
    <w:rsid w:val="00A47D8B"/>
    <w:rsid w:val="00A50D55"/>
    <w:rsid w:val="00A52FDA"/>
    <w:rsid w:val="00A535EA"/>
    <w:rsid w:val="00A54228"/>
    <w:rsid w:val="00A57552"/>
    <w:rsid w:val="00A60CBA"/>
    <w:rsid w:val="00A6251C"/>
    <w:rsid w:val="00A63579"/>
    <w:rsid w:val="00A64912"/>
    <w:rsid w:val="00A666BE"/>
    <w:rsid w:val="00A67D3B"/>
    <w:rsid w:val="00A70A74"/>
    <w:rsid w:val="00A72AA0"/>
    <w:rsid w:val="00A746BC"/>
    <w:rsid w:val="00A74F77"/>
    <w:rsid w:val="00A77289"/>
    <w:rsid w:val="00A77D36"/>
    <w:rsid w:val="00A77EB5"/>
    <w:rsid w:val="00A852B9"/>
    <w:rsid w:val="00A864A8"/>
    <w:rsid w:val="00A87DAE"/>
    <w:rsid w:val="00A910D2"/>
    <w:rsid w:val="00A9231A"/>
    <w:rsid w:val="00A94A5E"/>
    <w:rsid w:val="00A94CE8"/>
    <w:rsid w:val="00A94FD9"/>
    <w:rsid w:val="00A95BC7"/>
    <w:rsid w:val="00A97358"/>
    <w:rsid w:val="00A97B9F"/>
    <w:rsid w:val="00AA0343"/>
    <w:rsid w:val="00AA47ED"/>
    <w:rsid w:val="00AA6568"/>
    <w:rsid w:val="00AA78CE"/>
    <w:rsid w:val="00AA7B26"/>
    <w:rsid w:val="00AB1B0D"/>
    <w:rsid w:val="00AB32EB"/>
    <w:rsid w:val="00AB4C39"/>
    <w:rsid w:val="00AB4CF1"/>
    <w:rsid w:val="00AB62D9"/>
    <w:rsid w:val="00AB6D42"/>
    <w:rsid w:val="00AC75D2"/>
    <w:rsid w:val="00AC7626"/>
    <w:rsid w:val="00AC767C"/>
    <w:rsid w:val="00AC7954"/>
    <w:rsid w:val="00AD0692"/>
    <w:rsid w:val="00AD146C"/>
    <w:rsid w:val="00AD2E4B"/>
    <w:rsid w:val="00AD3467"/>
    <w:rsid w:val="00AD4F38"/>
    <w:rsid w:val="00AD5641"/>
    <w:rsid w:val="00AD6814"/>
    <w:rsid w:val="00AE04C7"/>
    <w:rsid w:val="00AE38A9"/>
    <w:rsid w:val="00AE3B79"/>
    <w:rsid w:val="00AE6535"/>
    <w:rsid w:val="00AE6F71"/>
    <w:rsid w:val="00AF06FD"/>
    <w:rsid w:val="00AF0D57"/>
    <w:rsid w:val="00AF2FDE"/>
    <w:rsid w:val="00AF3153"/>
    <w:rsid w:val="00AF33DB"/>
    <w:rsid w:val="00B01A64"/>
    <w:rsid w:val="00B01F0F"/>
    <w:rsid w:val="00B023EB"/>
    <w:rsid w:val="00B024B5"/>
    <w:rsid w:val="00B026AA"/>
    <w:rsid w:val="00B032D8"/>
    <w:rsid w:val="00B05D72"/>
    <w:rsid w:val="00B10A92"/>
    <w:rsid w:val="00B121C1"/>
    <w:rsid w:val="00B12AC2"/>
    <w:rsid w:val="00B16A9D"/>
    <w:rsid w:val="00B17211"/>
    <w:rsid w:val="00B17C3D"/>
    <w:rsid w:val="00B17E19"/>
    <w:rsid w:val="00B20990"/>
    <w:rsid w:val="00B22013"/>
    <w:rsid w:val="00B22202"/>
    <w:rsid w:val="00B23FAF"/>
    <w:rsid w:val="00B26568"/>
    <w:rsid w:val="00B30678"/>
    <w:rsid w:val="00B31A55"/>
    <w:rsid w:val="00B32D38"/>
    <w:rsid w:val="00B33A51"/>
    <w:rsid w:val="00B33B3C"/>
    <w:rsid w:val="00B33F7D"/>
    <w:rsid w:val="00B36EE8"/>
    <w:rsid w:val="00B36F9B"/>
    <w:rsid w:val="00B375BC"/>
    <w:rsid w:val="00B40D74"/>
    <w:rsid w:val="00B42649"/>
    <w:rsid w:val="00B44144"/>
    <w:rsid w:val="00B44F81"/>
    <w:rsid w:val="00B46467"/>
    <w:rsid w:val="00B5181A"/>
    <w:rsid w:val="00B5247A"/>
    <w:rsid w:val="00B52663"/>
    <w:rsid w:val="00B55B45"/>
    <w:rsid w:val="00B56AC4"/>
    <w:rsid w:val="00B56DCB"/>
    <w:rsid w:val="00B57BE9"/>
    <w:rsid w:val="00B60F57"/>
    <w:rsid w:val="00B61728"/>
    <w:rsid w:val="00B61CEA"/>
    <w:rsid w:val="00B61E7D"/>
    <w:rsid w:val="00B61FB7"/>
    <w:rsid w:val="00B6235D"/>
    <w:rsid w:val="00B631AF"/>
    <w:rsid w:val="00B64154"/>
    <w:rsid w:val="00B646B1"/>
    <w:rsid w:val="00B64D92"/>
    <w:rsid w:val="00B70155"/>
    <w:rsid w:val="00B733D6"/>
    <w:rsid w:val="00B75A3F"/>
    <w:rsid w:val="00B770D2"/>
    <w:rsid w:val="00B77282"/>
    <w:rsid w:val="00B803FC"/>
    <w:rsid w:val="00B874E5"/>
    <w:rsid w:val="00B87D1C"/>
    <w:rsid w:val="00B90D7C"/>
    <w:rsid w:val="00B93516"/>
    <w:rsid w:val="00B95F11"/>
    <w:rsid w:val="00B96776"/>
    <w:rsid w:val="00B973E5"/>
    <w:rsid w:val="00BA3FD5"/>
    <w:rsid w:val="00BA47A3"/>
    <w:rsid w:val="00BA5026"/>
    <w:rsid w:val="00BA6DD0"/>
    <w:rsid w:val="00BA703B"/>
    <w:rsid w:val="00BA7B5B"/>
    <w:rsid w:val="00BB04A0"/>
    <w:rsid w:val="00BB458F"/>
    <w:rsid w:val="00BB6E79"/>
    <w:rsid w:val="00BC3205"/>
    <w:rsid w:val="00BC36DC"/>
    <w:rsid w:val="00BC7A82"/>
    <w:rsid w:val="00BD15C0"/>
    <w:rsid w:val="00BD4626"/>
    <w:rsid w:val="00BD5761"/>
    <w:rsid w:val="00BD6D54"/>
    <w:rsid w:val="00BD7910"/>
    <w:rsid w:val="00BD7D21"/>
    <w:rsid w:val="00BE2A9D"/>
    <w:rsid w:val="00BE42C5"/>
    <w:rsid w:val="00BE43D6"/>
    <w:rsid w:val="00BE506F"/>
    <w:rsid w:val="00BE684D"/>
    <w:rsid w:val="00BE719A"/>
    <w:rsid w:val="00BE720A"/>
    <w:rsid w:val="00BE7923"/>
    <w:rsid w:val="00BF0723"/>
    <w:rsid w:val="00BF2811"/>
    <w:rsid w:val="00BF2F89"/>
    <w:rsid w:val="00BF5DC4"/>
    <w:rsid w:val="00BF633A"/>
    <w:rsid w:val="00BF6650"/>
    <w:rsid w:val="00BF6E60"/>
    <w:rsid w:val="00C00792"/>
    <w:rsid w:val="00C02205"/>
    <w:rsid w:val="00C0319B"/>
    <w:rsid w:val="00C0578E"/>
    <w:rsid w:val="00C067E5"/>
    <w:rsid w:val="00C07CD1"/>
    <w:rsid w:val="00C07E57"/>
    <w:rsid w:val="00C100EA"/>
    <w:rsid w:val="00C12387"/>
    <w:rsid w:val="00C13C95"/>
    <w:rsid w:val="00C13F8C"/>
    <w:rsid w:val="00C164CA"/>
    <w:rsid w:val="00C17FBE"/>
    <w:rsid w:val="00C20FC3"/>
    <w:rsid w:val="00C24DE1"/>
    <w:rsid w:val="00C25409"/>
    <w:rsid w:val="00C26051"/>
    <w:rsid w:val="00C30EEB"/>
    <w:rsid w:val="00C330BA"/>
    <w:rsid w:val="00C34A22"/>
    <w:rsid w:val="00C362FB"/>
    <w:rsid w:val="00C4033C"/>
    <w:rsid w:val="00C41ECA"/>
    <w:rsid w:val="00C42BF8"/>
    <w:rsid w:val="00C460AE"/>
    <w:rsid w:val="00C50043"/>
    <w:rsid w:val="00C5015F"/>
    <w:rsid w:val="00C50509"/>
    <w:rsid w:val="00C50A0F"/>
    <w:rsid w:val="00C50E08"/>
    <w:rsid w:val="00C50F4A"/>
    <w:rsid w:val="00C51103"/>
    <w:rsid w:val="00C5359A"/>
    <w:rsid w:val="00C54865"/>
    <w:rsid w:val="00C57952"/>
    <w:rsid w:val="00C60AFD"/>
    <w:rsid w:val="00C61BA1"/>
    <w:rsid w:val="00C623AA"/>
    <w:rsid w:val="00C62402"/>
    <w:rsid w:val="00C6270B"/>
    <w:rsid w:val="00C63285"/>
    <w:rsid w:val="00C64947"/>
    <w:rsid w:val="00C64954"/>
    <w:rsid w:val="00C657E0"/>
    <w:rsid w:val="00C67D49"/>
    <w:rsid w:val="00C70E21"/>
    <w:rsid w:val="00C713D9"/>
    <w:rsid w:val="00C72D10"/>
    <w:rsid w:val="00C7573B"/>
    <w:rsid w:val="00C76597"/>
    <w:rsid w:val="00C76CF3"/>
    <w:rsid w:val="00C80ABD"/>
    <w:rsid w:val="00C82D45"/>
    <w:rsid w:val="00C9263A"/>
    <w:rsid w:val="00C93205"/>
    <w:rsid w:val="00C945DC"/>
    <w:rsid w:val="00C947B8"/>
    <w:rsid w:val="00C961E4"/>
    <w:rsid w:val="00CA3EE6"/>
    <w:rsid w:val="00CA5E52"/>
    <w:rsid w:val="00CA6244"/>
    <w:rsid w:val="00CA7844"/>
    <w:rsid w:val="00CB3252"/>
    <w:rsid w:val="00CB4AEA"/>
    <w:rsid w:val="00CB58EF"/>
    <w:rsid w:val="00CB6A76"/>
    <w:rsid w:val="00CC0586"/>
    <w:rsid w:val="00CC3B2A"/>
    <w:rsid w:val="00CC4020"/>
    <w:rsid w:val="00CC5791"/>
    <w:rsid w:val="00CD04F1"/>
    <w:rsid w:val="00CD108F"/>
    <w:rsid w:val="00CD196D"/>
    <w:rsid w:val="00CD29A4"/>
    <w:rsid w:val="00CD3189"/>
    <w:rsid w:val="00CD62BE"/>
    <w:rsid w:val="00CE0A93"/>
    <w:rsid w:val="00CE24E7"/>
    <w:rsid w:val="00CE505E"/>
    <w:rsid w:val="00CE7F74"/>
    <w:rsid w:val="00CF0BB2"/>
    <w:rsid w:val="00CF1B67"/>
    <w:rsid w:val="00CF38AA"/>
    <w:rsid w:val="00CF583C"/>
    <w:rsid w:val="00D02238"/>
    <w:rsid w:val="00D06B11"/>
    <w:rsid w:val="00D07300"/>
    <w:rsid w:val="00D12B0D"/>
    <w:rsid w:val="00D13441"/>
    <w:rsid w:val="00D144C4"/>
    <w:rsid w:val="00D15513"/>
    <w:rsid w:val="00D156F2"/>
    <w:rsid w:val="00D1745A"/>
    <w:rsid w:val="00D17964"/>
    <w:rsid w:val="00D218DF"/>
    <w:rsid w:val="00D23362"/>
    <w:rsid w:val="00D23780"/>
    <w:rsid w:val="00D238BA"/>
    <w:rsid w:val="00D24123"/>
    <w:rsid w:val="00D243A3"/>
    <w:rsid w:val="00D24F43"/>
    <w:rsid w:val="00D267EC"/>
    <w:rsid w:val="00D2785C"/>
    <w:rsid w:val="00D33440"/>
    <w:rsid w:val="00D339EF"/>
    <w:rsid w:val="00D36E95"/>
    <w:rsid w:val="00D45075"/>
    <w:rsid w:val="00D510DA"/>
    <w:rsid w:val="00D516E9"/>
    <w:rsid w:val="00D52DAF"/>
    <w:rsid w:val="00D52EFE"/>
    <w:rsid w:val="00D53470"/>
    <w:rsid w:val="00D54771"/>
    <w:rsid w:val="00D56A0D"/>
    <w:rsid w:val="00D602A0"/>
    <w:rsid w:val="00D63EF6"/>
    <w:rsid w:val="00D66518"/>
    <w:rsid w:val="00D67F34"/>
    <w:rsid w:val="00D7034B"/>
    <w:rsid w:val="00D70DFB"/>
    <w:rsid w:val="00D717AB"/>
    <w:rsid w:val="00D71AE5"/>
    <w:rsid w:val="00D71EEA"/>
    <w:rsid w:val="00D72931"/>
    <w:rsid w:val="00D735CD"/>
    <w:rsid w:val="00D753F4"/>
    <w:rsid w:val="00D766DF"/>
    <w:rsid w:val="00D769C6"/>
    <w:rsid w:val="00D81347"/>
    <w:rsid w:val="00D82136"/>
    <w:rsid w:val="00D82397"/>
    <w:rsid w:val="00D851F9"/>
    <w:rsid w:val="00D86971"/>
    <w:rsid w:val="00D90841"/>
    <w:rsid w:val="00D91F2B"/>
    <w:rsid w:val="00D9296E"/>
    <w:rsid w:val="00D967ED"/>
    <w:rsid w:val="00DA0415"/>
    <w:rsid w:val="00DA2439"/>
    <w:rsid w:val="00DA3637"/>
    <w:rsid w:val="00DA662F"/>
    <w:rsid w:val="00DA6B75"/>
    <w:rsid w:val="00DA6F05"/>
    <w:rsid w:val="00DA77E0"/>
    <w:rsid w:val="00DA785B"/>
    <w:rsid w:val="00DB1287"/>
    <w:rsid w:val="00DB13B2"/>
    <w:rsid w:val="00DB2A96"/>
    <w:rsid w:val="00DB2E21"/>
    <w:rsid w:val="00DB3BC8"/>
    <w:rsid w:val="00DB491C"/>
    <w:rsid w:val="00DB5C64"/>
    <w:rsid w:val="00DB64FC"/>
    <w:rsid w:val="00DC027D"/>
    <w:rsid w:val="00DC2597"/>
    <w:rsid w:val="00DC36DE"/>
    <w:rsid w:val="00DC54A5"/>
    <w:rsid w:val="00DC62E7"/>
    <w:rsid w:val="00DC7103"/>
    <w:rsid w:val="00DD2621"/>
    <w:rsid w:val="00DD3D31"/>
    <w:rsid w:val="00DD5ADA"/>
    <w:rsid w:val="00DD6952"/>
    <w:rsid w:val="00DE0186"/>
    <w:rsid w:val="00DE0EA1"/>
    <w:rsid w:val="00DE12D0"/>
    <w:rsid w:val="00DE149E"/>
    <w:rsid w:val="00DE304F"/>
    <w:rsid w:val="00DE3EE5"/>
    <w:rsid w:val="00DE52E8"/>
    <w:rsid w:val="00DE55BF"/>
    <w:rsid w:val="00DF22DD"/>
    <w:rsid w:val="00DF24DE"/>
    <w:rsid w:val="00E0077D"/>
    <w:rsid w:val="00E034DB"/>
    <w:rsid w:val="00E04ACD"/>
    <w:rsid w:val="00E05704"/>
    <w:rsid w:val="00E057D7"/>
    <w:rsid w:val="00E05856"/>
    <w:rsid w:val="00E12F1A"/>
    <w:rsid w:val="00E1502E"/>
    <w:rsid w:val="00E166A1"/>
    <w:rsid w:val="00E173DA"/>
    <w:rsid w:val="00E2077B"/>
    <w:rsid w:val="00E216ED"/>
    <w:rsid w:val="00E225C7"/>
    <w:rsid w:val="00E22935"/>
    <w:rsid w:val="00E2389F"/>
    <w:rsid w:val="00E23BED"/>
    <w:rsid w:val="00E25C90"/>
    <w:rsid w:val="00E26E86"/>
    <w:rsid w:val="00E2752D"/>
    <w:rsid w:val="00E30247"/>
    <w:rsid w:val="00E3035A"/>
    <w:rsid w:val="00E30E46"/>
    <w:rsid w:val="00E31A2A"/>
    <w:rsid w:val="00E31C9C"/>
    <w:rsid w:val="00E31F58"/>
    <w:rsid w:val="00E32D6B"/>
    <w:rsid w:val="00E33358"/>
    <w:rsid w:val="00E3412D"/>
    <w:rsid w:val="00E3421A"/>
    <w:rsid w:val="00E36038"/>
    <w:rsid w:val="00E37679"/>
    <w:rsid w:val="00E42A04"/>
    <w:rsid w:val="00E44243"/>
    <w:rsid w:val="00E457B2"/>
    <w:rsid w:val="00E462E3"/>
    <w:rsid w:val="00E46C7E"/>
    <w:rsid w:val="00E54292"/>
    <w:rsid w:val="00E57E20"/>
    <w:rsid w:val="00E60191"/>
    <w:rsid w:val="00E70BC7"/>
    <w:rsid w:val="00E71B4B"/>
    <w:rsid w:val="00E74DC7"/>
    <w:rsid w:val="00E75812"/>
    <w:rsid w:val="00E7665A"/>
    <w:rsid w:val="00E82603"/>
    <w:rsid w:val="00E826E4"/>
    <w:rsid w:val="00E83092"/>
    <w:rsid w:val="00E83ED3"/>
    <w:rsid w:val="00E87699"/>
    <w:rsid w:val="00E90EC5"/>
    <w:rsid w:val="00E91510"/>
    <w:rsid w:val="00E919A5"/>
    <w:rsid w:val="00E91AC9"/>
    <w:rsid w:val="00E923F5"/>
    <w:rsid w:val="00E929FA"/>
    <w:rsid w:val="00E92E27"/>
    <w:rsid w:val="00E9586B"/>
    <w:rsid w:val="00E96BCB"/>
    <w:rsid w:val="00E97334"/>
    <w:rsid w:val="00EA0D6D"/>
    <w:rsid w:val="00EA4242"/>
    <w:rsid w:val="00EA7475"/>
    <w:rsid w:val="00EB2374"/>
    <w:rsid w:val="00EB2658"/>
    <w:rsid w:val="00EB33FB"/>
    <w:rsid w:val="00EB3A99"/>
    <w:rsid w:val="00EB4565"/>
    <w:rsid w:val="00EB4F11"/>
    <w:rsid w:val="00EB6083"/>
    <w:rsid w:val="00EB6341"/>
    <w:rsid w:val="00EB65F8"/>
    <w:rsid w:val="00EB72A7"/>
    <w:rsid w:val="00EC2735"/>
    <w:rsid w:val="00EC2F6F"/>
    <w:rsid w:val="00EC3D07"/>
    <w:rsid w:val="00EC5894"/>
    <w:rsid w:val="00EC778B"/>
    <w:rsid w:val="00ED0287"/>
    <w:rsid w:val="00ED04E6"/>
    <w:rsid w:val="00ED1016"/>
    <w:rsid w:val="00ED2835"/>
    <w:rsid w:val="00ED4928"/>
    <w:rsid w:val="00ED5FD2"/>
    <w:rsid w:val="00EE24FA"/>
    <w:rsid w:val="00EE2A1E"/>
    <w:rsid w:val="00EE2D36"/>
    <w:rsid w:val="00EE3FFE"/>
    <w:rsid w:val="00EE57E8"/>
    <w:rsid w:val="00EE5849"/>
    <w:rsid w:val="00EE6190"/>
    <w:rsid w:val="00EE6DC9"/>
    <w:rsid w:val="00EF12E1"/>
    <w:rsid w:val="00EF14B1"/>
    <w:rsid w:val="00EF190F"/>
    <w:rsid w:val="00EF1F3F"/>
    <w:rsid w:val="00EF21C5"/>
    <w:rsid w:val="00EF2628"/>
    <w:rsid w:val="00EF2E3A"/>
    <w:rsid w:val="00EF4BFA"/>
    <w:rsid w:val="00EF6402"/>
    <w:rsid w:val="00EF6592"/>
    <w:rsid w:val="00F047E2"/>
    <w:rsid w:val="00F04D57"/>
    <w:rsid w:val="00F078DC"/>
    <w:rsid w:val="00F100C5"/>
    <w:rsid w:val="00F13E86"/>
    <w:rsid w:val="00F14367"/>
    <w:rsid w:val="00F14FD4"/>
    <w:rsid w:val="00F175CB"/>
    <w:rsid w:val="00F20B52"/>
    <w:rsid w:val="00F2116D"/>
    <w:rsid w:val="00F21A2A"/>
    <w:rsid w:val="00F22368"/>
    <w:rsid w:val="00F237DF"/>
    <w:rsid w:val="00F2396D"/>
    <w:rsid w:val="00F241F2"/>
    <w:rsid w:val="00F2433B"/>
    <w:rsid w:val="00F3151C"/>
    <w:rsid w:val="00F32FCB"/>
    <w:rsid w:val="00F33259"/>
    <w:rsid w:val="00F33523"/>
    <w:rsid w:val="00F349FC"/>
    <w:rsid w:val="00F35672"/>
    <w:rsid w:val="00F4004A"/>
    <w:rsid w:val="00F45BC4"/>
    <w:rsid w:val="00F45EFB"/>
    <w:rsid w:val="00F46264"/>
    <w:rsid w:val="00F52EAB"/>
    <w:rsid w:val="00F53901"/>
    <w:rsid w:val="00F543AF"/>
    <w:rsid w:val="00F57A5F"/>
    <w:rsid w:val="00F612E0"/>
    <w:rsid w:val="00F62350"/>
    <w:rsid w:val="00F62E27"/>
    <w:rsid w:val="00F64693"/>
    <w:rsid w:val="00F65507"/>
    <w:rsid w:val="00F6722F"/>
    <w:rsid w:val="00F677A9"/>
    <w:rsid w:val="00F736F1"/>
    <w:rsid w:val="00F74740"/>
    <w:rsid w:val="00F774B3"/>
    <w:rsid w:val="00F81048"/>
    <w:rsid w:val="00F8121C"/>
    <w:rsid w:val="00F84908"/>
    <w:rsid w:val="00F84CF5"/>
    <w:rsid w:val="00F85223"/>
    <w:rsid w:val="00F8612E"/>
    <w:rsid w:val="00F87263"/>
    <w:rsid w:val="00F904EC"/>
    <w:rsid w:val="00F90D2A"/>
    <w:rsid w:val="00F910AF"/>
    <w:rsid w:val="00F94583"/>
    <w:rsid w:val="00F951D3"/>
    <w:rsid w:val="00F96107"/>
    <w:rsid w:val="00F96D7D"/>
    <w:rsid w:val="00FA1D52"/>
    <w:rsid w:val="00FA420B"/>
    <w:rsid w:val="00FA637C"/>
    <w:rsid w:val="00FA78D4"/>
    <w:rsid w:val="00FA7ED2"/>
    <w:rsid w:val="00FB02E2"/>
    <w:rsid w:val="00FB12FA"/>
    <w:rsid w:val="00FB28F7"/>
    <w:rsid w:val="00FB404E"/>
    <w:rsid w:val="00FB4DBF"/>
    <w:rsid w:val="00FB64ED"/>
    <w:rsid w:val="00FB6AEE"/>
    <w:rsid w:val="00FC01A4"/>
    <w:rsid w:val="00FC04F5"/>
    <w:rsid w:val="00FC0DA9"/>
    <w:rsid w:val="00FC271B"/>
    <w:rsid w:val="00FC3EAC"/>
    <w:rsid w:val="00FC6045"/>
    <w:rsid w:val="00FD34F7"/>
    <w:rsid w:val="00FD4C7D"/>
    <w:rsid w:val="00FD5ABC"/>
    <w:rsid w:val="00FD7392"/>
    <w:rsid w:val="00FE6BE9"/>
    <w:rsid w:val="00FE7DC9"/>
    <w:rsid w:val="00FF05E7"/>
    <w:rsid w:val="00FF39DE"/>
    <w:rsid w:val="00FF5773"/>
    <w:rsid w:val="00FF7F3A"/>
    <w:rsid w:val="09EA0334"/>
    <w:rsid w:val="10063045"/>
    <w:rsid w:val="160BADA3"/>
    <w:rsid w:val="32065349"/>
    <w:rsid w:val="3A1F2ECF"/>
    <w:rsid w:val="6B5EE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DCEB0"/>
  <w15:docId w15:val="{20F5E4EE-0541-4352-9C66-915E96A9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2318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181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18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8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812"/>
    <w:rPr>
      <w:b/>
      <w:bCs/>
    </w:rPr>
  </w:style>
  <w:style w:type="paragraph" w:customStyle="1" w:styleId="notetext0">
    <w:name w:val="notetext"/>
    <w:basedOn w:val="Normal"/>
    <w:rsid w:val="00392FF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partno0">
    <w:name w:val="charpartno"/>
    <w:basedOn w:val="DefaultParagraphFont"/>
    <w:rsid w:val="00392FF7"/>
  </w:style>
  <w:style w:type="paragraph" w:styleId="ListParagraph">
    <w:name w:val="List Paragraph"/>
    <w:basedOn w:val="Normal"/>
    <w:uiPriority w:val="34"/>
    <w:qFormat/>
    <w:rsid w:val="00840FF3"/>
    <w:pPr>
      <w:spacing w:after="160" w:line="259" w:lineRule="auto"/>
      <w:ind w:left="720"/>
      <w:contextualSpacing/>
    </w:pPr>
    <w:rPr>
      <w:rFonts w:asciiTheme="minorHAnsi" w:hAnsiTheme="minorHAnsi"/>
      <w:kern w:val="2"/>
      <w:szCs w:val="2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AE04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4C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7964"/>
    <w:rPr>
      <w:sz w:val="22"/>
    </w:rPr>
  </w:style>
  <w:style w:type="character" w:customStyle="1" w:styleId="cf01">
    <w:name w:val="cf01"/>
    <w:basedOn w:val="DefaultParagraphFont"/>
    <w:rsid w:val="00B61CEA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6853D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Y2567\Downloads\template_-_amending_instrument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27383F1EAB14AB424D9ABC6742A92" ma:contentTypeVersion="19" ma:contentTypeDescription="Create a new document." ma:contentTypeScope="" ma:versionID="9af1213afca7479735d9416a5eb38015">
  <xsd:schema xmlns:xsd="http://www.w3.org/2001/XMLSchema" xmlns:xs="http://www.w3.org/2001/XMLSchema" xmlns:p="http://schemas.microsoft.com/office/2006/metadata/properties" xmlns:ns2="72d48ace-a41b-4367-83ff-bc8f447feadc" xmlns:ns3="8caa48d6-bac7-4de2-9192-623c90410bed" targetNamespace="http://schemas.microsoft.com/office/2006/metadata/properties" ma:root="true" ma:fieldsID="fe0911a022f4e9f8b49ee0c359533f73" ns2:_="" ns3:_="">
    <xsd:import namespace="72d48ace-a41b-4367-83ff-bc8f447feadc"/>
    <xsd:import namespace="8caa48d6-bac7-4de2-9192-623c90410b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48ace-a41b-4367-83ff-bc8f447fe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a48d6-bac7-4de2-9192-623c90410b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b6d82df-be8b-46d9-b412-b6b057c8b60e}" ma:internalName="TaxCatchAll" ma:showField="CatchAllData" ma:web="8caa48d6-bac7-4de2-9192-623c90410b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aa48d6-bac7-4de2-9192-623c90410bed" xsi:nil="true"/>
    <lcf76f155ced4ddcb4097134ff3c332f xmlns="72d48ace-a41b-4367-83ff-bc8f447fea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E1811A-5665-4B71-BAD3-E49C3E53D1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40F9E3-707F-4AAB-B2C7-E5C3229EC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48ace-a41b-4367-83ff-bc8f447feadc"/>
    <ds:schemaRef ds:uri="8caa48d6-bac7-4de2-9192-623c90410b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DEF1D0-0011-4AD1-A482-083FDA5CEDF4}">
  <ds:schemaRefs>
    <ds:schemaRef ds:uri="http://schemas.microsoft.com/office/2006/documentManagement/types"/>
    <ds:schemaRef ds:uri="72d48ace-a41b-4367-83ff-bc8f447feadc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8caa48d6-bac7-4de2-9192-623c90410bed"/>
    <ds:schemaRef ds:uri="http://schemas.openxmlformats.org/package/2006/metadata/core-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(3)</Template>
  <TotalTime>1</TotalTime>
  <Pages>8</Pages>
  <Words>951</Words>
  <Characters>5945</Characters>
  <Application>Microsoft Office Word</Application>
  <DocSecurity>4</DocSecurity>
  <Lines>396</Lines>
  <Paragraphs>202</Paragraphs>
  <ScaleCrop>false</ScaleCrop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YU,Cecilia</dc:creator>
  <cp:keywords/>
  <cp:lastModifiedBy>ZHU,Stephanie</cp:lastModifiedBy>
  <cp:revision>2</cp:revision>
  <dcterms:created xsi:type="dcterms:W3CDTF">2024-04-17T23:36:00Z</dcterms:created>
  <dcterms:modified xsi:type="dcterms:W3CDTF">2024-04-17T23:36:00Z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2023-12-14T23:58:08Z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c0d07553-06e1-43ed-bb06-ce032482a44d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0x01010085B27383F1EAB14AB424D9ABC6742A92</vt:lpwstr>
  </property>
  <property fmtid="{D5CDD505-2E9C-101B-9397-08002B2CF9AE}" pid="10" name="MediaServiceImageTags">
    <vt:lpwstr/>
  </property>
</Properties>
</file>