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341FC2" w:rsidRDefault="005E317F" w:rsidP="005D540A">
      <w:pPr>
        <w:spacing w:line="240" w:lineRule="auto"/>
        <w:rPr>
          <w:sz w:val="28"/>
        </w:rPr>
      </w:pPr>
      <w:r w:rsidRPr="00341FC2">
        <w:rPr>
          <w:noProof/>
          <w:lang w:eastAsia="en-AU"/>
        </w:rPr>
        <w:drawing>
          <wp:inline distT="0" distB="0" distL="0" distR="0" wp14:anchorId="5BF2B55C" wp14:editId="5EBCCF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341FC2" w:rsidRDefault="005E317F" w:rsidP="005D540A">
      <w:pPr>
        <w:spacing w:line="240" w:lineRule="auto"/>
        <w:rPr>
          <w:sz w:val="19"/>
        </w:rPr>
      </w:pPr>
    </w:p>
    <w:p w14:paraId="6EEA8391" w14:textId="7C216DF6" w:rsidR="00A60204" w:rsidRPr="00341FC2" w:rsidRDefault="00D37E44" w:rsidP="005D540A">
      <w:pPr>
        <w:spacing w:before="240" w:line="240" w:lineRule="auto"/>
        <w:rPr>
          <w:rFonts w:ascii="Arial" w:hAnsi="Arial" w:cs="Arial"/>
          <w:b/>
          <w:sz w:val="28"/>
          <w:szCs w:val="28"/>
        </w:rPr>
      </w:pPr>
      <w:r w:rsidRPr="00341FC2">
        <w:rPr>
          <w:rFonts w:ascii="Arial" w:hAnsi="Arial" w:cs="Arial"/>
          <w:b/>
          <w:sz w:val="28"/>
          <w:szCs w:val="28"/>
        </w:rPr>
        <w:t xml:space="preserve">PB </w:t>
      </w:r>
      <w:r w:rsidR="00AE7DF0" w:rsidRPr="00341FC2">
        <w:rPr>
          <w:rFonts w:ascii="Arial" w:hAnsi="Arial" w:cs="Arial"/>
          <w:b/>
          <w:sz w:val="28"/>
          <w:szCs w:val="28"/>
        </w:rPr>
        <w:t>43</w:t>
      </w:r>
      <w:r w:rsidR="00A60204" w:rsidRPr="00341FC2">
        <w:rPr>
          <w:rFonts w:ascii="Arial" w:hAnsi="Arial" w:cs="Arial"/>
          <w:b/>
          <w:sz w:val="28"/>
          <w:szCs w:val="28"/>
        </w:rPr>
        <w:t xml:space="preserve"> of 202</w:t>
      </w:r>
      <w:r w:rsidR="00F052E7" w:rsidRPr="00341FC2">
        <w:rPr>
          <w:rFonts w:ascii="Arial" w:hAnsi="Arial" w:cs="Arial"/>
          <w:b/>
          <w:sz w:val="28"/>
          <w:szCs w:val="28"/>
        </w:rPr>
        <w:t>4</w:t>
      </w:r>
    </w:p>
    <w:p w14:paraId="1EFD2C67" w14:textId="4EEFDDCA" w:rsidR="001A286A" w:rsidRPr="00341FC2" w:rsidRDefault="001A286A" w:rsidP="005D540A">
      <w:pPr>
        <w:pStyle w:val="ShortT"/>
      </w:pPr>
    </w:p>
    <w:p w14:paraId="77C43999" w14:textId="36F48A1B" w:rsidR="00A60204" w:rsidRPr="00341FC2" w:rsidRDefault="00A60204" w:rsidP="005D540A">
      <w:pPr>
        <w:spacing w:line="240" w:lineRule="auto"/>
        <w:rPr>
          <w:rFonts w:ascii="Arial" w:hAnsi="Arial" w:cs="Arial"/>
          <w:b/>
          <w:sz w:val="39"/>
          <w:szCs w:val="39"/>
        </w:rPr>
      </w:pPr>
      <w:r w:rsidRPr="00341FC2">
        <w:rPr>
          <w:rFonts w:ascii="Arial" w:hAnsi="Arial" w:cs="Arial"/>
          <w:b/>
          <w:sz w:val="39"/>
          <w:szCs w:val="39"/>
        </w:rPr>
        <w:t>National Health (Highly Specialised Drugs Program) Special Arrangement Amendment (</w:t>
      </w:r>
      <w:r w:rsidR="00127010" w:rsidRPr="00341FC2">
        <w:rPr>
          <w:rFonts w:ascii="Arial" w:hAnsi="Arial" w:cs="Arial"/>
          <w:b/>
          <w:sz w:val="39"/>
          <w:szCs w:val="39"/>
        </w:rPr>
        <w:t>May</w:t>
      </w:r>
      <w:r w:rsidR="00317D4B" w:rsidRPr="00341FC2">
        <w:rPr>
          <w:rFonts w:ascii="Arial" w:hAnsi="Arial" w:cs="Arial"/>
          <w:b/>
          <w:sz w:val="39"/>
          <w:szCs w:val="39"/>
        </w:rPr>
        <w:t xml:space="preserve"> Update</w:t>
      </w:r>
      <w:r w:rsidRPr="00341FC2">
        <w:rPr>
          <w:rFonts w:ascii="Arial" w:hAnsi="Arial" w:cs="Arial"/>
          <w:b/>
          <w:sz w:val="39"/>
          <w:szCs w:val="39"/>
        </w:rPr>
        <w:t>) Instrument 202</w:t>
      </w:r>
      <w:r w:rsidR="00F052E7" w:rsidRPr="00341FC2">
        <w:rPr>
          <w:rFonts w:ascii="Arial" w:hAnsi="Arial" w:cs="Arial"/>
          <w:b/>
          <w:sz w:val="39"/>
          <w:szCs w:val="39"/>
        </w:rPr>
        <w:t>4</w:t>
      </w:r>
    </w:p>
    <w:p w14:paraId="238D8D2E" w14:textId="77777777" w:rsidR="001A286A" w:rsidRPr="00341FC2" w:rsidRDefault="001A286A" w:rsidP="005D540A">
      <w:pPr>
        <w:spacing w:line="240" w:lineRule="auto"/>
      </w:pPr>
    </w:p>
    <w:p w14:paraId="086DD131" w14:textId="77777777" w:rsidR="001A286A" w:rsidRPr="00341FC2" w:rsidRDefault="001A286A" w:rsidP="005D540A">
      <w:pPr>
        <w:spacing w:line="240" w:lineRule="auto"/>
        <w:rPr>
          <w:rFonts w:ascii="Arial" w:hAnsi="Arial" w:cs="Arial"/>
          <w:i/>
          <w:sz w:val="28"/>
          <w:szCs w:val="28"/>
        </w:rPr>
      </w:pPr>
      <w:r w:rsidRPr="00341FC2">
        <w:rPr>
          <w:rFonts w:ascii="Arial" w:hAnsi="Arial" w:cs="Arial"/>
          <w:i/>
          <w:sz w:val="28"/>
          <w:szCs w:val="28"/>
        </w:rPr>
        <w:t>National Health Act 1953</w:t>
      </w:r>
    </w:p>
    <w:p w14:paraId="30980CC1" w14:textId="78C3DBC7" w:rsidR="005E317F" w:rsidRPr="00341FC2" w:rsidRDefault="005E317F" w:rsidP="005D540A">
      <w:pPr>
        <w:pStyle w:val="SignCoverPageStart"/>
        <w:spacing w:before="240" w:line="240" w:lineRule="auto"/>
        <w:ind w:right="91"/>
        <w:rPr>
          <w:szCs w:val="22"/>
        </w:rPr>
      </w:pPr>
    </w:p>
    <w:p w14:paraId="70D5E97C" w14:textId="2276DEA3" w:rsidR="001A286A" w:rsidRPr="00341FC2" w:rsidRDefault="001A286A" w:rsidP="00CD42CA">
      <w:pPr>
        <w:rPr>
          <w:b/>
          <w:bCs/>
        </w:rPr>
      </w:pPr>
      <w:r w:rsidRPr="00341FC2">
        <w:t xml:space="preserve">I, </w:t>
      </w:r>
      <w:r w:rsidR="00C1098A" w:rsidRPr="00341FC2">
        <w:rPr>
          <w:szCs w:val="22"/>
        </w:rPr>
        <w:t>NIKOLAI TSYGANOV, Assistant Secretary</w:t>
      </w:r>
      <w:r w:rsidR="00C1098A" w:rsidRPr="00341FC2">
        <w:t xml:space="preserve">, </w:t>
      </w:r>
      <w:r w:rsidR="00530E2E" w:rsidRPr="00341FC2">
        <w:t>Pricing and PBS Policy Branch</w:t>
      </w:r>
      <w:r w:rsidRPr="00341FC2">
        <w:t>, Technology Assessment and Access Division, Department of Health</w:t>
      </w:r>
      <w:r w:rsidR="001D01DA" w:rsidRPr="00341FC2">
        <w:t xml:space="preserve"> and Aged Care</w:t>
      </w:r>
      <w:r w:rsidRPr="00341FC2">
        <w:t xml:space="preserve">, delegate of the </w:t>
      </w:r>
      <w:r w:rsidRPr="00341FC2">
        <w:rPr>
          <w:szCs w:val="22"/>
        </w:rPr>
        <w:t xml:space="preserve">Minister for Health </w:t>
      </w:r>
      <w:r w:rsidRPr="00341FC2">
        <w:t xml:space="preserve">and Aged Care, make this Instrument under subsection 100(2) of the </w:t>
      </w:r>
      <w:r w:rsidRPr="00341FC2">
        <w:rPr>
          <w:i/>
        </w:rPr>
        <w:t>National Health Act 1953</w:t>
      </w:r>
      <w:r w:rsidRPr="00341FC2">
        <w:t>.</w:t>
      </w:r>
    </w:p>
    <w:p w14:paraId="37B85D1C" w14:textId="35230074" w:rsidR="001A286A" w:rsidRPr="00341FC2" w:rsidRDefault="001A286A" w:rsidP="00DA621E">
      <w:pPr>
        <w:spacing w:before="300" w:line="240" w:lineRule="auto"/>
        <w:ind w:right="397"/>
        <w:jc w:val="both"/>
        <w:rPr>
          <w:b/>
        </w:rPr>
      </w:pPr>
      <w:r w:rsidRPr="00341FC2">
        <w:rPr>
          <w:szCs w:val="22"/>
        </w:rPr>
        <w:t>Date</w:t>
      </w:r>
      <w:r w:rsidR="007225BB" w:rsidRPr="00341FC2">
        <w:rPr>
          <w:szCs w:val="22"/>
        </w:rPr>
        <w:t>d</w:t>
      </w:r>
      <w:r w:rsidR="008325A1" w:rsidRPr="00341FC2">
        <w:rPr>
          <w:szCs w:val="22"/>
        </w:rPr>
        <w:tab/>
      </w:r>
      <w:r w:rsidR="00864D7B" w:rsidRPr="00341FC2">
        <w:rPr>
          <w:szCs w:val="22"/>
        </w:rPr>
        <w:tab/>
      </w:r>
      <w:r w:rsidR="00A82161" w:rsidRPr="00341FC2">
        <w:rPr>
          <w:szCs w:val="22"/>
        </w:rPr>
        <w:t xml:space="preserve">29 </w:t>
      </w:r>
      <w:r w:rsidR="00AE038A" w:rsidRPr="00341FC2">
        <w:rPr>
          <w:szCs w:val="22"/>
        </w:rPr>
        <w:t>April</w:t>
      </w:r>
      <w:r w:rsidR="00864D7B" w:rsidRPr="00341FC2">
        <w:rPr>
          <w:szCs w:val="22"/>
        </w:rPr>
        <w:tab/>
      </w:r>
      <w:r w:rsidR="00864D7B" w:rsidRPr="00341FC2">
        <w:rPr>
          <w:szCs w:val="22"/>
        </w:rPr>
        <w:tab/>
      </w:r>
      <w:r w:rsidR="00864D7B" w:rsidRPr="00341FC2">
        <w:rPr>
          <w:szCs w:val="22"/>
        </w:rPr>
        <w:tab/>
      </w:r>
      <w:r w:rsidR="00DB3C8C" w:rsidRPr="00341FC2">
        <w:rPr>
          <w:szCs w:val="22"/>
        </w:rPr>
        <w:t>202</w:t>
      </w:r>
      <w:r w:rsidR="00F052E7" w:rsidRPr="00341FC2">
        <w:rPr>
          <w:szCs w:val="22"/>
        </w:rPr>
        <w:t>4</w:t>
      </w:r>
    </w:p>
    <w:p w14:paraId="4333D40B" w14:textId="77777777" w:rsidR="00C1098A" w:rsidRPr="00341FC2" w:rsidRDefault="00C1098A" w:rsidP="00873D9D">
      <w:pPr>
        <w:spacing w:before="3000" w:line="240" w:lineRule="auto"/>
        <w:rPr>
          <w:b/>
          <w:bCs/>
        </w:rPr>
      </w:pPr>
      <w:r w:rsidRPr="00341FC2">
        <w:rPr>
          <w:b/>
          <w:bCs/>
        </w:rPr>
        <w:t>NIKOLAI TSYGANOV</w:t>
      </w:r>
    </w:p>
    <w:p w14:paraId="365A875C" w14:textId="77777777" w:rsidR="00C1098A" w:rsidRPr="00341FC2" w:rsidRDefault="00C1098A" w:rsidP="00C1098A">
      <w:pPr>
        <w:spacing w:line="240" w:lineRule="auto"/>
      </w:pPr>
      <w:r w:rsidRPr="00341FC2">
        <w:t xml:space="preserve">Assistant Secretary </w:t>
      </w:r>
    </w:p>
    <w:p w14:paraId="71C1E8EB" w14:textId="77777777" w:rsidR="00530E2E" w:rsidRPr="00341FC2" w:rsidRDefault="00530E2E" w:rsidP="00530E2E">
      <w:pPr>
        <w:spacing w:line="240" w:lineRule="auto"/>
      </w:pPr>
      <w:r w:rsidRPr="00341FC2">
        <w:t>Pricing and PBS Policy Branch</w:t>
      </w:r>
    </w:p>
    <w:p w14:paraId="3981EBD6" w14:textId="77777777" w:rsidR="001A286A" w:rsidRPr="00341FC2" w:rsidRDefault="001A286A" w:rsidP="005D540A">
      <w:pPr>
        <w:spacing w:line="240" w:lineRule="auto"/>
      </w:pPr>
      <w:r w:rsidRPr="00341FC2">
        <w:t>Technology Assessment and Access Division</w:t>
      </w:r>
    </w:p>
    <w:p w14:paraId="2FDCD724" w14:textId="54232FE7" w:rsidR="005E317F" w:rsidRPr="00341FC2" w:rsidRDefault="005E317F" w:rsidP="005D540A">
      <w:pPr>
        <w:pStyle w:val="SignCoverPageEnd"/>
        <w:keepNext w:val="0"/>
        <w:spacing w:line="240" w:lineRule="auto"/>
        <w:ind w:right="91"/>
        <w:rPr>
          <w:sz w:val="22"/>
        </w:rPr>
      </w:pPr>
    </w:p>
    <w:p w14:paraId="55F2CD66" w14:textId="77777777" w:rsidR="000B75B5" w:rsidRPr="00341FC2" w:rsidRDefault="000B75B5" w:rsidP="005D540A">
      <w:pPr>
        <w:spacing w:line="240" w:lineRule="auto"/>
      </w:pPr>
    </w:p>
    <w:p w14:paraId="297B73B7" w14:textId="5E49F2C1" w:rsidR="000B75B5" w:rsidRPr="00341FC2" w:rsidRDefault="000B75B5" w:rsidP="005D540A">
      <w:pPr>
        <w:spacing w:line="240" w:lineRule="auto"/>
        <w:sectPr w:rsidR="000B75B5" w:rsidRPr="00341FC2"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341FC2" w:rsidRDefault="00B20990" w:rsidP="005D540A">
      <w:pPr>
        <w:spacing w:line="240" w:lineRule="auto"/>
        <w:outlineLvl w:val="0"/>
        <w:rPr>
          <w:sz w:val="36"/>
        </w:rPr>
      </w:pPr>
      <w:r w:rsidRPr="00341FC2">
        <w:rPr>
          <w:sz w:val="36"/>
        </w:rPr>
        <w:lastRenderedPageBreak/>
        <w:t>Contents</w:t>
      </w:r>
    </w:p>
    <w:bookmarkStart w:id="0" w:name="BKCheck15B_2"/>
    <w:bookmarkEnd w:id="0"/>
    <w:p w14:paraId="7377910A" w14:textId="77EC21E2" w:rsidR="005E317F" w:rsidRPr="00341FC2" w:rsidRDefault="00B20990" w:rsidP="005D540A">
      <w:pPr>
        <w:pStyle w:val="TOC5"/>
        <w:keepLines w:val="0"/>
        <w:rPr>
          <w:rFonts w:asciiTheme="minorHAnsi" w:eastAsiaTheme="minorEastAsia" w:hAnsiTheme="minorHAnsi" w:cstheme="minorBidi"/>
          <w:noProof/>
          <w:kern w:val="0"/>
          <w:sz w:val="22"/>
          <w:szCs w:val="22"/>
        </w:rPr>
      </w:pPr>
      <w:r w:rsidRPr="00341FC2">
        <w:fldChar w:fldCharType="begin"/>
      </w:r>
      <w:r w:rsidRPr="00341FC2">
        <w:instrText xml:space="preserve"> TOC \o "1-9" </w:instrText>
      </w:r>
      <w:r w:rsidRPr="00341FC2">
        <w:fldChar w:fldCharType="separate"/>
      </w:r>
      <w:r w:rsidR="005E317F" w:rsidRPr="00341FC2">
        <w:rPr>
          <w:noProof/>
        </w:rPr>
        <w:t>1</w:t>
      </w:r>
      <w:r w:rsidR="005E317F" w:rsidRPr="00341FC2">
        <w:rPr>
          <w:noProof/>
        </w:rPr>
        <w:tab/>
        <w:t>Name</w:t>
      </w:r>
      <w:r w:rsidR="005E317F" w:rsidRPr="00341FC2">
        <w:rPr>
          <w:noProof/>
          <w:sz w:val="20"/>
        </w:rPr>
        <w:tab/>
      </w:r>
      <w:r w:rsidR="005E317F" w:rsidRPr="00341FC2">
        <w:rPr>
          <w:noProof/>
          <w:sz w:val="20"/>
        </w:rPr>
        <w:fldChar w:fldCharType="begin"/>
      </w:r>
      <w:r w:rsidR="005E317F" w:rsidRPr="00341FC2">
        <w:rPr>
          <w:noProof/>
          <w:sz w:val="20"/>
        </w:rPr>
        <w:instrText xml:space="preserve"> PAGEREF _Toc478567687 \h </w:instrText>
      </w:r>
      <w:r w:rsidR="005E317F" w:rsidRPr="00341FC2">
        <w:rPr>
          <w:noProof/>
          <w:sz w:val="20"/>
        </w:rPr>
      </w:r>
      <w:r w:rsidR="005E317F" w:rsidRPr="00341FC2">
        <w:rPr>
          <w:noProof/>
          <w:sz w:val="20"/>
        </w:rPr>
        <w:fldChar w:fldCharType="separate"/>
      </w:r>
      <w:r w:rsidR="00B92886" w:rsidRPr="00341FC2">
        <w:rPr>
          <w:noProof/>
          <w:sz w:val="20"/>
        </w:rPr>
        <w:t>1</w:t>
      </w:r>
      <w:r w:rsidR="005E317F" w:rsidRPr="00341FC2">
        <w:rPr>
          <w:noProof/>
          <w:sz w:val="20"/>
        </w:rPr>
        <w:fldChar w:fldCharType="end"/>
      </w:r>
    </w:p>
    <w:p w14:paraId="4D04226C" w14:textId="0AE49BF3" w:rsidR="005E317F" w:rsidRPr="00341FC2" w:rsidRDefault="005E317F" w:rsidP="005D540A">
      <w:pPr>
        <w:pStyle w:val="TOC5"/>
        <w:keepLines w:val="0"/>
        <w:rPr>
          <w:rFonts w:asciiTheme="minorHAnsi" w:eastAsiaTheme="minorEastAsia" w:hAnsiTheme="minorHAnsi" w:cstheme="minorBidi"/>
          <w:noProof/>
          <w:kern w:val="0"/>
          <w:sz w:val="22"/>
          <w:szCs w:val="22"/>
        </w:rPr>
      </w:pPr>
      <w:r w:rsidRPr="00341FC2">
        <w:rPr>
          <w:noProof/>
        </w:rPr>
        <w:t>2</w:t>
      </w:r>
      <w:r w:rsidRPr="00341FC2">
        <w:rPr>
          <w:noProof/>
        </w:rPr>
        <w:tab/>
        <w:t>Commencement</w:t>
      </w:r>
      <w:r w:rsidRPr="00341FC2">
        <w:rPr>
          <w:noProof/>
          <w:sz w:val="20"/>
        </w:rPr>
        <w:tab/>
      </w:r>
      <w:r w:rsidRPr="00341FC2">
        <w:rPr>
          <w:noProof/>
          <w:sz w:val="20"/>
        </w:rPr>
        <w:fldChar w:fldCharType="begin"/>
      </w:r>
      <w:r w:rsidRPr="00341FC2">
        <w:rPr>
          <w:noProof/>
          <w:sz w:val="20"/>
        </w:rPr>
        <w:instrText xml:space="preserve"> PAGEREF _Toc478567688 \h </w:instrText>
      </w:r>
      <w:r w:rsidRPr="00341FC2">
        <w:rPr>
          <w:noProof/>
          <w:sz w:val="20"/>
        </w:rPr>
      </w:r>
      <w:r w:rsidRPr="00341FC2">
        <w:rPr>
          <w:noProof/>
          <w:sz w:val="20"/>
        </w:rPr>
        <w:fldChar w:fldCharType="separate"/>
      </w:r>
      <w:r w:rsidR="00B92886" w:rsidRPr="00341FC2">
        <w:rPr>
          <w:noProof/>
          <w:sz w:val="20"/>
        </w:rPr>
        <w:t>1</w:t>
      </w:r>
      <w:r w:rsidRPr="00341FC2">
        <w:rPr>
          <w:noProof/>
          <w:sz w:val="20"/>
        </w:rPr>
        <w:fldChar w:fldCharType="end"/>
      </w:r>
    </w:p>
    <w:p w14:paraId="32A95F2E" w14:textId="40588CFB" w:rsidR="005E317F" w:rsidRPr="00341FC2" w:rsidRDefault="005E317F" w:rsidP="005D540A">
      <w:pPr>
        <w:pStyle w:val="TOC5"/>
        <w:keepLines w:val="0"/>
        <w:rPr>
          <w:rFonts w:asciiTheme="minorHAnsi" w:eastAsiaTheme="minorEastAsia" w:hAnsiTheme="minorHAnsi" w:cstheme="minorBidi"/>
          <w:noProof/>
          <w:kern w:val="0"/>
          <w:sz w:val="22"/>
          <w:szCs w:val="22"/>
        </w:rPr>
      </w:pPr>
      <w:r w:rsidRPr="00341FC2">
        <w:rPr>
          <w:noProof/>
        </w:rPr>
        <w:t>3</w:t>
      </w:r>
      <w:r w:rsidRPr="00341FC2">
        <w:rPr>
          <w:noProof/>
        </w:rPr>
        <w:tab/>
        <w:t>Authority</w:t>
      </w:r>
      <w:r w:rsidRPr="00341FC2">
        <w:rPr>
          <w:noProof/>
          <w:sz w:val="20"/>
        </w:rPr>
        <w:tab/>
      </w:r>
      <w:r w:rsidRPr="00341FC2">
        <w:rPr>
          <w:noProof/>
          <w:sz w:val="20"/>
        </w:rPr>
        <w:fldChar w:fldCharType="begin"/>
      </w:r>
      <w:r w:rsidRPr="00341FC2">
        <w:rPr>
          <w:noProof/>
          <w:sz w:val="20"/>
        </w:rPr>
        <w:instrText xml:space="preserve"> PAGEREF _Toc478567689 \h </w:instrText>
      </w:r>
      <w:r w:rsidRPr="00341FC2">
        <w:rPr>
          <w:noProof/>
          <w:sz w:val="20"/>
        </w:rPr>
      </w:r>
      <w:r w:rsidRPr="00341FC2">
        <w:rPr>
          <w:noProof/>
          <w:sz w:val="20"/>
        </w:rPr>
        <w:fldChar w:fldCharType="separate"/>
      </w:r>
      <w:r w:rsidR="00B92886" w:rsidRPr="00341FC2">
        <w:rPr>
          <w:noProof/>
          <w:sz w:val="20"/>
        </w:rPr>
        <w:t>1</w:t>
      </w:r>
      <w:r w:rsidRPr="00341FC2">
        <w:rPr>
          <w:noProof/>
          <w:sz w:val="20"/>
        </w:rPr>
        <w:fldChar w:fldCharType="end"/>
      </w:r>
    </w:p>
    <w:p w14:paraId="26B5284D" w14:textId="54FA0750" w:rsidR="005E317F" w:rsidRPr="00341FC2" w:rsidRDefault="005E317F" w:rsidP="005D540A">
      <w:pPr>
        <w:pStyle w:val="TOC5"/>
        <w:keepLines w:val="0"/>
        <w:rPr>
          <w:rFonts w:asciiTheme="minorHAnsi" w:eastAsiaTheme="minorEastAsia" w:hAnsiTheme="minorHAnsi" w:cstheme="minorBidi"/>
          <w:noProof/>
          <w:kern w:val="0"/>
          <w:sz w:val="22"/>
          <w:szCs w:val="22"/>
        </w:rPr>
      </w:pPr>
      <w:r w:rsidRPr="00341FC2">
        <w:rPr>
          <w:noProof/>
        </w:rPr>
        <w:t>4</w:t>
      </w:r>
      <w:r w:rsidRPr="00341FC2">
        <w:rPr>
          <w:noProof/>
        </w:rPr>
        <w:tab/>
        <w:t>Schedules</w:t>
      </w:r>
      <w:r w:rsidRPr="00341FC2">
        <w:rPr>
          <w:noProof/>
          <w:sz w:val="20"/>
        </w:rPr>
        <w:tab/>
      </w:r>
      <w:r w:rsidRPr="00341FC2">
        <w:rPr>
          <w:noProof/>
          <w:sz w:val="20"/>
        </w:rPr>
        <w:fldChar w:fldCharType="begin"/>
      </w:r>
      <w:r w:rsidRPr="00341FC2">
        <w:rPr>
          <w:noProof/>
          <w:sz w:val="20"/>
        </w:rPr>
        <w:instrText xml:space="preserve"> PAGEREF _Toc478567690 \h </w:instrText>
      </w:r>
      <w:r w:rsidRPr="00341FC2">
        <w:rPr>
          <w:noProof/>
          <w:sz w:val="20"/>
        </w:rPr>
      </w:r>
      <w:r w:rsidRPr="00341FC2">
        <w:rPr>
          <w:noProof/>
          <w:sz w:val="20"/>
        </w:rPr>
        <w:fldChar w:fldCharType="separate"/>
      </w:r>
      <w:r w:rsidR="00B92886" w:rsidRPr="00341FC2">
        <w:rPr>
          <w:noProof/>
          <w:sz w:val="20"/>
        </w:rPr>
        <w:t>1</w:t>
      </w:r>
      <w:r w:rsidRPr="00341FC2">
        <w:rPr>
          <w:noProof/>
          <w:sz w:val="20"/>
        </w:rPr>
        <w:fldChar w:fldCharType="end"/>
      </w:r>
    </w:p>
    <w:p w14:paraId="0ED7DB7B" w14:textId="2DF78F9F" w:rsidR="005E317F" w:rsidRPr="00341FC2" w:rsidRDefault="005E317F" w:rsidP="005D540A">
      <w:pPr>
        <w:pStyle w:val="TOC6"/>
        <w:keepLines w:val="0"/>
        <w:rPr>
          <w:rFonts w:asciiTheme="minorHAnsi" w:eastAsiaTheme="minorEastAsia" w:hAnsiTheme="minorHAnsi" w:cstheme="minorBidi"/>
          <w:b w:val="0"/>
          <w:noProof/>
          <w:kern w:val="0"/>
          <w:sz w:val="22"/>
          <w:szCs w:val="22"/>
        </w:rPr>
      </w:pPr>
      <w:r w:rsidRPr="00341FC2">
        <w:rPr>
          <w:noProof/>
        </w:rPr>
        <w:t>Schedule</w:t>
      </w:r>
      <w:r w:rsidR="000B75B5" w:rsidRPr="00341FC2">
        <w:rPr>
          <w:noProof/>
        </w:rPr>
        <w:t xml:space="preserve"> </w:t>
      </w:r>
      <w:r w:rsidRPr="00341FC2">
        <w:rPr>
          <w:noProof/>
        </w:rPr>
        <w:t>1—Amendments</w:t>
      </w:r>
      <w:r w:rsidRPr="00341FC2">
        <w:rPr>
          <w:b w:val="0"/>
          <w:noProof/>
          <w:sz w:val="20"/>
        </w:rPr>
        <w:tab/>
      </w:r>
      <w:r w:rsidRPr="00341FC2">
        <w:rPr>
          <w:b w:val="0"/>
          <w:noProof/>
          <w:sz w:val="20"/>
        </w:rPr>
        <w:fldChar w:fldCharType="begin"/>
      </w:r>
      <w:r w:rsidRPr="00341FC2">
        <w:rPr>
          <w:b w:val="0"/>
          <w:noProof/>
          <w:sz w:val="20"/>
        </w:rPr>
        <w:instrText xml:space="preserve"> PAGEREF _Toc478567691 \h </w:instrText>
      </w:r>
      <w:r w:rsidRPr="00341FC2">
        <w:rPr>
          <w:b w:val="0"/>
          <w:noProof/>
          <w:sz w:val="20"/>
        </w:rPr>
      </w:r>
      <w:r w:rsidRPr="00341FC2">
        <w:rPr>
          <w:b w:val="0"/>
          <w:noProof/>
          <w:sz w:val="20"/>
        </w:rPr>
        <w:fldChar w:fldCharType="separate"/>
      </w:r>
      <w:r w:rsidR="00B92886" w:rsidRPr="00341FC2">
        <w:rPr>
          <w:b w:val="0"/>
          <w:noProof/>
          <w:sz w:val="20"/>
        </w:rPr>
        <w:t>2</w:t>
      </w:r>
      <w:r w:rsidRPr="00341FC2">
        <w:rPr>
          <w:b w:val="0"/>
          <w:noProof/>
          <w:sz w:val="20"/>
        </w:rPr>
        <w:fldChar w:fldCharType="end"/>
      </w:r>
    </w:p>
    <w:p w14:paraId="0A0BB86E" w14:textId="62386C59" w:rsidR="005E317F" w:rsidRPr="00341FC2" w:rsidRDefault="00A60204" w:rsidP="005D540A">
      <w:pPr>
        <w:pStyle w:val="TOC9"/>
        <w:keepLines w:val="0"/>
        <w:rPr>
          <w:rFonts w:asciiTheme="minorHAnsi" w:eastAsiaTheme="minorEastAsia" w:hAnsiTheme="minorHAnsi" w:cstheme="minorBidi"/>
          <w:i w:val="0"/>
          <w:noProof/>
          <w:kern w:val="0"/>
          <w:sz w:val="22"/>
          <w:szCs w:val="22"/>
        </w:rPr>
      </w:pPr>
      <w:r w:rsidRPr="00341FC2">
        <w:t>National Health (Highly Specialised Drugs Program) Special Arrangement 2021</w:t>
      </w:r>
      <w:r w:rsidRPr="00341FC2">
        <w:br/>
        <w:t>(</w:t>
      </w:r>
      <w:r w:rsidR="00674F36" w:rsidRPr="00341FC2">
        <w:t>PB 27</w:t>
      </w:r>
      <w:r w:rsidRPr="00341FC2">
        <w:t xml:space="preserve"> of 2021)</w:t>
      </w:r>
      <w:r w:rsidR="005E317F" w:rsidRPr="00341FC2">
        <w:rPr>
          <w:i w:val="0"/>
          <w:noProof/>
        </w:rPr>
        <w:tab/>
      </w:r>
      <w:r w:rsidR="006331CB" w:rsidRPr="00341FC2">
        <w:rPr>
          <w:i w:val="0"/>
          <w:noProof/>
        </w:rPr>
        <w:t>2</w:t>
      </w:r>
    </w:p>
    <w:p w14:paraId="5B851D38" w14:textId="6FD219C0" w:rsidR="005E317F" w:rsidRPr="00341FC2"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341FC2" w:rsidRDefault="00B20990" w:rsidP="005D540A">
      <w:pPr>
        <w:spacing w:line="240" w:lineRule="auto"/>
      </w:pPr>
      <w:r w:rsidRPr="00341FC2">
        <w:rPr>
          <w:rFonts w:cs="Times New Roman"/>
          <w:sz w:val="20"/>
        </w:rPr>
        <w:fldChar w:fldCharType="end"/>
      </w:r>
    </w:p>
    <w:p w14:paraId="5E7341AB" w14:textId="77777777" w:rsidR="00B20990" w:rsidRPr="00341FC2" w:rsidRDefault="00B20990" w:rsidP="005D540A">
      <w:pPr>
        <w:spacing w:line="240" w:lineRule="auto"/>
      </w:pPr>
    </w:p>
    <w:p w14:paraId="2C1CCB12" w14:textId="77777777" w:rsidR="00E32692" w:rsidRPr="00341FC2" w:rsidRDefault="00E32692" w:rsidP="005D540A">
      <w:pPr>
        <w:spacing w:line="240" w:lineRule="auto"/>
        <w:sectPr w:rsidR="00E32692" w:rsidRPr="00341FC2"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341FC2" w:rsidRDefault="005E317F" w:rsidP="005D540A">
      <w:pPr>
        <w:pStyle w:val="ActHead5"/>
        <w:keepNext w:val="0"/>
        <w:keepLines w:val="0"/>
        <w:numPr>
          <w:ilvl w:val="0"/>
          <w:numId w:val="4"/>
        </w:numPr>
        <w:ind w:left="284" w:hanging="284"/>
      </w:pPr>
      <w:bookmarkStart w:id="1" w:name="_Toc478567687"/>
      <w:r w:rsidRPr="00341FC2">
        <w:lastRenderedPageBreak/>
        <w:t>Name</w:t>
      </w:r>
      <w:bookmarkEnd w:id="1"/>
    </w:p>
    <w:p w14:paraId="77205F69" w14:textId="7F012DD1" w:rsidR="005E317F" w:rsidRPr="00341FC2" w:rsidRDefault="005E317F" w:rsidP="005D540A">
      <w:pPr>
        <w:pStyle w:val="subsection"/>
        <w:numPr>
          <w:ilvl w:val="0"/>
          <w:numId w:val="3"/>
        </w:numPr>
        <w:tabs>
          <w:tab w:val="clear" w:pos="1021"/>
        </w:tabs>
        <w:ind w:left="1134" w:hanging="567"/>
        <w:rPr>
          <w:szCs w:val="22"/>
        </w:rPr>
      </w:pPr>
      <w:r w:rsidRPr="00341FC2">
        <w:rPr>
          <w:szCs w:val="22"/>
        </w:rPr>
        <w:t xml:space="preserve">This instrument is the </w:t>
      </w:r>
      <w:bookmarkStart w:id="2" w:name="BKCheck15B_3"/>
      <w:bookmarkEnd w:id="2"/>
      <w:r w:rsidR="00A60204" w:rsidRPr="00341FC2">
        <w:rPr>
          <w:i/>
          <w:szCs w:val="22"/>
        </w:rPr>
        <w:t>National Health (Highly Specialised Drugs Program) Special Arrangement Amendment (</w:t>
      </w:r>
      <w:r w:rsidR="00CD700B" w:rsidRPr="00341FC2">
        <w:rPr>
          <w:i/>
          <w:szCs w:val="22"/>
        </w:rPr>
        <w:t>May</w:t>
      </w:r>
      <w:r w:rsidR="003B7DE8" w:rsidRPr="00341FC2">
        <w:rPr>
          <w:i/>
          <w:szCs w:val="22"/>
        </w:rPr>
        <w:t xml:space="preserve"> </w:t>
      </w:r>
      <w:r w:rsidR="00317D4B" w:rsidRPr="00341FC2">
        <w:rPr>
          <w:i/>
          <w:szCs w:val="22"/>
        </w:rPr>
        <w:t>Update</w:t>
      </w:r>
      <w:r w:rsidR="00A60204" w:rsidRPr="00341FC2">
        <w:rPr>
          <w:i/>
          <w:szCs w:val="22"/>
        </w:rPr>
        <w:t>) Instrument 202</w:t>
      </w:r>
      <w:r w:rsidR="008D76A3" w:rsidRPr="00341FC2">
        <w:rPr>
          <w:i/>
          <w:szCs w:val="22"/>
        </w:rPr>
        <w:t>4</w:t>
      </w:r>
      <w:r w:rsidR="00A60204" w:rsidRPr="00341FC2">
        <w:rPr>
          <w:i/>
          <w:szCs w:val="22"/>
        </w:rPr>
        <w:t>.</w:t>
      </w:r>
    </w:p>
    <w:p w14:paraId="0FF7C4A3" w14:textId="6365C8BA" w:rsidR="001A286A" w:rsidRPr="00341FC2" w:rsidRDefault="001A286A" w:rsidP="005D540A">
      <w:pPr>
        <w:pStyle w:val="subsection"/>
        <w:numPr>
          <w:ilvl w:val="0"/>
          <w:numId w:val="3"/>
        </w:numPr>
        <w:tabs>
          <w:tab w:val="clear" w:pos="1021"/>
        </w:tabs>
        <w:ind w:left="1134" w:hanging="567"/>
      </w:pPr>
      <w:r w:rsidRPr="00341FC2">
        <w:t xml:space="preserve">This instrument may also be cited as </w:t>
      </w:r>
      <w:r w:rsidR="00D37E44" w:rsidRPr="00341FC2">
        <w:t xml:space="preserve">PB </w:t>
      </w:r>
      <w:r w:rsidR="00AE7DF0" w:rsidRPr="00341FC2">
        <w:t>43</w:t>
      </w:r>
      <w:r w:rsidRPr="00341FC2">
        <w:t xml:space="preserve"> of 202</w:t>
      </w:r>
      <w:r w:rsidR="008D76A3" w:rsidRPr="00341FC2">
        <w:t>4</w:t>
      </w:r>
      <w:r w:rsidR="004E1E67" w:rsidRPr="00341FC2">
        <w:t>.</w:t>
      </w:r>
    </w:p>
    <w:p w14:paraId="2FF92845" w14:textId="0941A0DC" w:rsidR="005E317F" w:rsidRPr="00341FC2" w:rsidRDefault="005E317F" w:rsidP="005D540A">
      <w:pPr>
        <w:pStyle w:val="ActHead5"/>
        <w:keepNext w:val="0"/>
        <w:keepLines w:val="0"/>
        <w:numPr>
          <w:ilvl w:val="0"/>
          <w:numId w:val="4"/>
        </w:numPr>
        <w:ind w:left="284" w:hanging="284"/>
      </w:pPr>
      <w:bookmarkStart w:id="3" w:name="_Toc478567688"/>
      <w:r w:rsidRPr="00341FC2">
        <w:t>Commencement</w:t>
      </w:r>
      <w:bookmarkEnd w:id="3"/>
    </w:p>
    <w:p w14:paraId="048AB2EA" w14:textId="5BA21B02" w:rsidR="00002BCC" w:rsidRPr="00341FC2" w:rsidRDefault="00002BCC" w:rsidP="005D540A">
      <w:pPr>
        <w:pStyle w:val="subsection"/>
        <w:numPr>
          <w:ilvl w:val="0"/>
          <w:numId w:val="6"/>
        </w:numPr>
        <w:tabs>
          <w:tab w:val="clear" w:pos="1021"/>
          <w:tab w:val="right" w:pos="1134"/>
        </w:tabs>
        <w:ind w:left="1134" w:hanging="567"/>
      </w:pPr>
      <w:bookmarkStart w:id="4" w:name="_Toc478567689"/>
      <w:r w:rsidRPr="00341FC2">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341FC2"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341FC2"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341FC2" w:rsidRDefault="00002BCC" w:rsidP="005D540A">
            <w:pPr>
              <w:pStyle w:val="TableHeading"/>
              <w:keepNext w:val="0"/>
              <w:spacing w:line="240" w:lineRule="auto"/>
            </w:pPr>
            <w:r w:rsidRPr="00341FC2">
              <w:t>Commencement information</w:t>
            </w:r>
          </w:p>
        </w:tc>
      </w:tr>
      <w:tr w:rsidR="00002BCC" w:rsidRPr="00341FC2"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341FC2" w:rsidRDefault="00002BCC" w:rsidP="005D540A">
            <w:pPr>
              <w:pStyle w:val="TableHeading"/>
              <w:keepNext w:val="0"/>
              <w:spacing w:line="240" w:lineRule="auto"/>
            </w:pPr>
            <w:r w:rsidRPr="00341FC2">
              <w:t>Column 1</w:t>
            </w:r>
          </w:p>
        </w:tc>
        <w:tc>
          <w:tcPr>
            <w:tcW w:w="3544" w:type="dxa"/>
            <w:tcBorders>
              <w:top w:val="single" w:sz="6" w:space="0" w:color="auto"/>
              <w:bottom w:val="single" w:sz="6" w:space="0" w:color="auto"/>
            </w:tcBorders>
            <w:shd w:val="clear" w:color="auto" w:fill="auto"/>
            <w:hideMark/>
          </w:tcPr>
          <w:p w14:paraId="674E9B45" w14:textId="77777777" w:rsidR="00002BCC" w:rsidRPr="00341FC2" w:rsidRDefault="00002BCC" w:rsidP="005D540A">
            <w:pPr>
              <w:pStyle w:val="TableHeading"/>
              <w:keepNext w:val="0"/>
              <w:spacing w:line="240" w:lineRule="auto"/>
            </w:pPr>
            <w:r w:rsidRPr="00341FC2">
              <w:t>Column 2</w:t>
            </w:r>
          </w:p>
        </w:tc>
        <w:tc>
          <w:tcPr>
            <w:tcW w:w="2268" w:type="dxa"/>
            <w:tcBorders>
              <w:top w:val="single" w:sz="6" w:space="0" w:color="auto"/>
              <w:bottom w:val="single" w:sz="6" w:space="0" w:color="auto"/>
            </w:tcBorders>
            <w:shd w:val="clear" w:color="auto" w:fill="auto"/>
            <w:hideMark/>
          </w:tcPr>
          <w:p w14:paraId="4DA78A8B" w14:textId="77777777" w:rsidR="00002BCC" w:rsidRPr="00341FC2" w:rsidRDefault="00002BCC" w:rsidP="005D540A">
            <w:pPr>
              <w:pStyle w:val="TableHeading"/>
              <w:keepNext w:val="0"/>
              <w:spacing w:line="240" w:lineRule="auto"/>
            </w:pPr>
            <w:r w:rsidRPr="00341FC2">
              <w:t>Column 3</w:t>
            </w:r>
          </w:p>
        </w:tc>
      </w:tr>
      <w:tr w:rsidR="00002BCC" w:rsidRPr="00341FC2"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341FC2" w:rsidRDefault="00002BCC" w:rsidP="005D540A">
            <w:pPr>
              <w:pStyle w:val="TableHeading"/>
              <w:keepNext w:val="0"/>
              <w:spacing w:line="240" w:lineRule="auto"/>
            </w:pPr>
            <w:r w:rsidRPr="00341FC2">
              <w:t>Provisions</w:t>
            </w:r>
          </w:p>
        </w:tc>
        <w:tc>
          <w:tcPr>
            <w:tcW w:w="3544" w:type="dxa"/>
            <w:tcBorders>
              <w:top w:val="single" w:sz="6" w:space="0" w:color="auto"/>
              <w:bottom w:val="single" w:sz="12" w:space="0" w:color="auto"/>
            </w:tcBorders>
            <w:shd w:val="clear" w:color="auto" w:fill="auto"/>
            <w:hideMark/>
          </w:tcPr>
          <w:p w14:paraId="56EC77EC" w14:textId="77777777" w:rsidR="00002BCC" w:rsidRPr="00341FC2" w:rsidRDefault="00002BCC" w:rsidP="005D540A">
            <w:pPr>
              <w:pStyle w:val="TableHeading"/>
              <w:keepNext w:val="0"/>
              <w:spacing w:line="240" w:lineRule="auto"/>
            </w:pPr>
            <w:r w:rsidRPr="00341FC2">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341FC2" w:rsidRDefault="00002BCC" w:rsidP="005D540A">
            <w:pPr>
              <w:pStyle w:val="TableHeading"/>
              <w:keepNext w:val="0"/>
              <w:spacing w:line="240" w:lineRule="auto"/>
            </w:pPr>
            <w:r w:rsidRPr="00341FC2">
              <w:t>Date/Details</w:t>
            </w:r>
          </w:p>
        </w:tc>
      </w:tr>
      <w:tr w:rsidR="00002BCC" w:rsidRPr="00341FC2"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341FC2" w:rsidRDefault="00002BCC" w:rsidP="005D540A">
            <w:pPr>
              <w:pStyle w:val="Tabletext"/>
              <w:spacing w:line="240" w:lineRule="auto"/>
              <w:rPr>
                <w:i/>
              </w:rPr>
            </w:pPr>
            <w:r w:rsidRPr="00341FC2">
              <w:t xml:space="preserve">1.  </w:t>
            </w:r>
            <w:r w:rsidR="001A286A" w:rsidRPr="00341FC2">
              <w:rPr>
                <w:i/>
              </w:rPr>
              <w:t>The whole of this instrument</w:t>
            </w:r>
          </w:p>
        </w:tc>
        <w:tc>
          <w:tcPr>
            <w:tcW w:w="3544" w:type="dxa"/>
            <w:tcBorders>
              <w:top w:val="single" w:sz="12" w:space="0" w:color="auto"/>
              <w:bottom w:val="single" w:sz="12" w:space="0" w:color="auto"/>
            </w:tcBorders>
            <w:shd w:val="clear" w:color="auto" w:fill="auto"/>
            <w:hideMark/>
          </w:tcPr>
          <w:p w14:paraId="27D82E85" w14:textId="639F76C0" w:rsidR="00002BCC" w:rsidRPr="00341FC2" w:rsidRDefault="00F35DF9" w:rsidP="005D540A">
            <w:pPr>
              <w:pStyle w:val="Tabletext"/>
              <w:spacing w:line="240" w:lineRule="auto"/>
              <w:rPr>
                <w:i/>
              </w:rPr>
            </w:pPr>
            <w:r w:rsidRPr="00341FC2">
              <w:rPr>
                <w:i/>
              </w:rPr>
              <w:t xml:space="preserve">1 </w:t>
            </w:r>
            <w:r w:rsidR="00CD700B" w:rsidRPr="00341FC2">
              <w:rPr>
                <w:i/>
                <w:szCs w:val="22"/>
              </w:rPr>
              <w:t>May</w:t>
            </w:r>
            <w:r w:rsidR="00406BA4" w:rsidRPr="00341FC2">
              <w:rPr>
                <w:i/>
                <w:szCs w:val="22"/>
              </w:rPr>
              <w:t xml:space="preserve"> </w:t>
            </w:r>
            <w:r w:rsidRPr="00341FC2">
              <w:rPr>
                <w:i/>
              </w:rPr>
              <w:t>202</w:t>
            </w:r>
            <w:r w:rsidR="006B1C9D" w:rsidRPr="00341FC2">
              <w:rPr>
                <w:i/>
              </w:rPr>
              <w:t>4</w:t>
            </w:r>
          </w:p>
        </w:tc>
        <w:tc>
          <w:tcPr>
            <w:tcW w:w="2268" w:type="dxa"/>
            <w:tcBorders>
              <w:top w:val="single" w:sz="12" w:space="0" w:color="auto"/>
              <w:bottom w:val="single" w:sz="12" w:space="0" w:color="auto"/>
            </w:tcBorders>
            <w:shd w:val="clear" w:color="auto" w:fill="auto"/>
          </w:tcPr>
          <w:p w14:paraId="2B7D6CC6" w14:textId="29FFC656" w:rsidR="00002BCC" w:rsidRPr="00341FC2" w:rsidRDefault="006B1C9D" w:rsidP="005D540A">
            <w:pPr>
              <w:pStyle w:val="Tabletext"/>
              <w:spacing w:line="240" w:lineRule="auto"/>
              <w:rPr>
                <w:i/>
              </w:rPr>
            </w:pPr>
            <w:r w:rsidRPr="00341FC2">
              <w:rPr>
                <w:i/>
              </w:rPr>
              <w:t xml:space="preserve">1 </w:t>
            </w:r>
            <w:r w:rsidR="00CD700B" w:rsidRPr="00341FC2">
              <w:rPr>
                <w:i/>
                <w:szCs w:val="22"/>
              </w:rPr>
              <w:t>May</w:t>
            </w:r>
            <w:r w:rsidR="00E467E2" w:rsidRPr="00341FC2">
              <w:rPr>
                <w:i/>
                <w:szCs w:val="22"/>
              </w:rPr>
              <w:t xml:space="preserve"> </w:t>
            </w:r>
            <w:r w:rsidRPr="00341FC2">
              <w:rPr>
                <w:i/>
              </w:rPr>
              <w:t>2024</w:t>
            </w:r>
          </w:p>
        </w:tc>
      </w:tr>
    </w:tbl>
    <w:p w14:paraId="19882BA6" w14:textId="77777777" w:rsidR="00002BCC" w:rsidRPr="00341FC2" w:rsidRDefault="00002BCC" w:rsidP="005D540A">
      <w:pPr>
        <w:pStyle w:val="notetext"/>
        <w:spacing w:line="240" w:lineRule="auto"/>
      </w:pPr>
      <w:r w:rsidRPr="00341FC2">
        <w:rPr>
          <w:snapToGrid w:val="0"/>
          <w:lang w:eastAsia="en-US"/>
        </w:rPr>
        <w:t>Note:</w:t>
      </w:r>
      <w:r w:rsidRPr="00341FC2">
        <w:rPr>
          <w:snapToGrid w:val="0"/>
          <w:lang w:eastAsia="en-US"/>
        </w:rPr>
        <w:tab/>
        <w:t>This table relates only to the provisions of this instrument</w:t>
      </w:r>
      <w:r w:rsidRPr="00341FC2">
        <w:t xml:space="preserve"> </w:t>
      </w:r>
      <w:r w:rsidRPr="00341FC2">
        <w:rPr>
          <w:snapToGrid w:val="0"/>
          <w:lang w:eastAsia="en-US"/>
        </w:rPr>
        <w:t>as originally made. It will not be amended to deal with any later amendments of this instrument.</w:t>
      </w:r>
    </w:p>
    <w:p w14:paraId="17FF4358" w14:textId="4F0396D3" w:rsidR="00002BCC" w:rsidRPr="00341FC2" w:rsidRDefault="00002BCC" w:rsidP="005D540A">
      <w:pPr>
        <w:pStyle w:val="subsection"/>
        <w:numPr>
          <w:ilvl w:val="0"/>
          <w:numId w:val="6"/>
        </w:numPr>
        <w:tabs>
          <w:tab w:val="clear" w:pos="1021"/>
          <w:tab w:val="right" w:pos="1134"/>
        </w:tabs>
        <w:ind w:left="1134" w:hanging="567"/>
      </w:pPr>
      <w:r w:rsidRPr="00341FC2">
        <w:t>Any information in column 3 of the table is not part of this instrument. Information may be inserted in this column, or information in it may be edited, in any published version of this instrument.</w:t>
      </w:r>
    </w:p>
    <w:p w14:paraId="36C737BF" w14:textId="6236C44F" w:rsidR="005E317F" w:rsidRPr="00341FC2" w:rsidRDefault="005E317F" w:rsidP="005D540A">
      <w:pPr>
        <w:pStyle w:val="ActHead5"/>
        <w:keepNext w:val="0"/>
        <w:keepLines w:val="0"/>
        <w:numPr>
          <w:ilvl w:val="0"/>
          <w:numId w:val="4"/>
        </w:numPr>
        <w:ind w:left="284" w:hanging="284"/>
      </w:pPr>
      <w:r w:rsidRPr="00341FC2">
        <w:t>Authority</w:t>
      </w:r>
      <w:bookmarkEnd w:id="4"/>
    </w:p>
    <w:p w14:paraId="255D8561" w14:textId="3D160E1B" w:rsidR="001A286A" w:rsidRPr="00341FC2" w:rsidRDefault="005E317F" w:rsidP="005D540A">
      <w:pPr>
        <w:pStyle w:val="subsection"/>
        <w:widowControl w:val="0"/>
        <w:ind w:left="1701"/>
      </w:pPr>
      <w:r w:rsidRPr="00341FC2">
        <w:tab/>
        <w:t>This instrument is made</w:t>
      </w:r>
      <w:r w:rsidR="001A286A" w:rsidRPr="00341FC2">
        <w:t xml:space="preserve"> </w:t>
      </w:r>
      <w:r w:rsidRPr="00341FC2">
        <w:t>under</w:t>
      </w:r>
      <w:r w:rsidR="001A286A" w:rsidRPr="00341FC2">
        <w:t xml:space="preserve"> subsection</w:t>
      </w:r>
      <w:r w:rsidR="00A60204" w:rsidRPr="00341FC2">
        <w:t xml:space="preserve"> </w:t>
      </w:r>
      <w:r w:rsidR="001A286A" w:rsidRPr="00341FC2">
        <w:t>100(2)</w:t>
      </w:r>
      <w:r w:rsidR="005E7450" w:rsidRPr="00341FC2">
        <w:t xml:space="preserve"> of the</w:t>
      </w:r>
      <w:r w:rsidR="001A286A" w:rsidRPr="00341FC2">
        <w:t xml:space="preserve"> </w:t>
      </w:r>
      <w:r w:rsidR="001A286A" w:rsidRPr="00341FC2">
        <w:rPr>
          <w:i/>
        </w:rPr>
        <w:t>National Health Act 1953</w:t>
      </w:r>
      <w:r w:rsidR="001A286A" w:rsidRPr="00341FC2">
        <w:t>.</w:t>
      </w:r>
    </w:p>
    <w:p w14:paraId="418EB651" w14:textId="77942D26" w:rsidR="005E317F" w:rsidRPr="00341FC2" w:rsidRDefault="005E317F" w:rsidP="005D540A">
      <w:pPr>
        <w:pStyle w:val="ActHead5"/>
        <w:keepNext w:val="0"/>
        <w:keepLines w:val="0"/>
        <w:numPr>
          <w:ilvl w:val="0"/>
          <w:numId w:val="4"/>
        </w:numPr>
        <w:ind w:left="284" w:hanging="284"/>
      </w:pPr>
      <w:bookmarkStart w:id="5" w:name="_Toc478567690"/>
      <w:r w:rsidRPr="00341FC2">
        <w:t>Schedules</w:t>
      </w:r>
      <w:bookmarkEnd w:id="5"/>
    </w:p>
    <w:p w14:paraId="60AC440F" w14:textId="0A950ADC" w:rsidR="000A4401" w:rsidRPr="00341FC2" w:rsidRDefault="005E317F" w:rsidP="005D540A">
      <w:pPr>
        <w:pStyle w:val="subsection"/>
        <w:ind w:left="567" w:firstLine="0"/>
      </w:pPr>
      <w:r w:rsidRPr="00341FC2">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341FC2" w:rsidRDefault="00E32692" w:rsidP="005D540A">
      <w:pPr>
        <w:spacing w:line="240" w:lineRule="auto"/>
        <w:rPr>
          <w:lang w:eastAsia="en-AU"/>
        </w:rPr>
      </w:pPr>
    </w:p>
    <w:p w14:paraId="1B271BE5" w14:textId="4665F130" w:rsidR="00E32692" w:rsidRPr="00341FC2" w:rsidRDefault="00E32692" w:rsidP="005D540A">
      <w:pPr>
        <w:spacing w:line="240" w:lineRule="auto"/>
        <w:rPr>
          <w:lang w:eastAsia="en-AU"/>
        </w:rPr>
      </w:pPr>
    </w:p>
    <w:p w14:paraId="4FE2A5D7" w14:textId="4500F60F" w:rsidR="00E32692" w:rsidRPr="00341FC2" w:rsidRDefault="00E32692" w:rsidP="005D540A">
      <w:pPr>
        <w:spacing w:line="240" w:lineRule="auto"/>
        <w:rPr>
          <w:lang w:eastAsia="en-AU"/>
        </w:rPr>
      </w:pPr>
    </w:p>
    <w:p w14:paraId="54BC1D3C" w14:textId="4ED88AAD" w:rsidR="00E32692" w:rsidRPr="00341FC2" w:rsidRDefault="00E32692" w:rsidP="005D540A">
      <w:pPr>
        <w:spacing w:line="240" w:lineRule="auto"/>
        <w:rPr>
          <w:lang w:eastAsia="en-AU"/>
        </w:rPr>
        <w:sectPr w:rsidR="00E32692" w:rsidRPr="00341FC2"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341FC2" w:rsidRDefault="005E317F" w:rsidP="00704712">
      <w:pPr>
        <w:pStyle w:val="ActHead6"/>
        <w:keepNext w:val="0"/>
        <w:keepLines w:val="0"/>
        <w:widowControl w:val="0"/>
        <w:spacing w:before="120" w:after="120" w:line="260" w:lineRule="exact"/>
        <w:rPr>
          <w:rStyle w:val="CharAmSchText"/>
        </w:rPr>
      </w:pPr>
      <w:r w:rsidRPr="00341FC2">
        <w:rPr>
          <w:rStyle w:val="CharAmSchNo"/>
        </w:rPr>
        <w:lastRenderedPageBreak/>
        <w:t>Schedule</w:t>
      </w:r>
      <w:r w:rsidR="001A286A" w:rsidRPr="00341FC2">
        <w:rPr>
          <w:rStyle w:val="CharAmSchNo"/>
        </w:rPr>
        <w:t xml:space="preserve"> </w:t>
      </w:r>
      <w:r w:rsidRPr="00341FC2">
        <w:rPr>
          <w:rStyle w:val="CharAmSchNo"/>
        </w:rPr>
        <w:t>1</w:t>
      </w:r>
      <w:r w:rsidRPr="00341FC2">
        <w:t>—</w:t>
      </w:r>
      <w:r w:rsidRPr="00341FC2">
        <w:rPr>
          <w:rStyle w:val="CharAmSchText"/>
        </w:rPr>
        <w:t>Amendments</w:t>
      </w:r>
      <w:bookmarkEnd w:id="6"/>
    </w:p>
    <w:p w14:paraId="7E6B26B4" w14:textId="29CDF359" w:rsidR="003313CB" w:rsidRPr="00341FC2" w:rsidRDefault="00956076" w:rsidP="00704712">
      <w:pPr>
        <w:pStyle w:val="ActHead9"/>
        <w:keepNext w:val="0"/>
        <w:keepLines w:val="0"/>
        <w:widowControl w:val="0"/>
        <w:spacing w:before="180" w:line="260" w:lineRule="exact"/>
        <w:ind w:left="0" w:firstLine="0"/>
      </w:pPr>
      <w:r w:rsidRPr="00341FC2">
        <w:t>National Health (Highly Specialised Drugs Program) Special Arrangement 2021</w:t>
      </w:r>
      <w:r w:rsidR="008F19D9" w:rsidRPr="00341FC2">
        <w:t xml:space="preserve"> (</w:t>
      </w:r>
      <w:r w:rsidR="00674F36" w:rsidRPr="00341FC2">
        <w:t>PB 27</w:t>
      </w:r>
      <w:r w:rsidR="008F19D9" w:rsidRPr="00341FC2">
        <w:t xml:space="preserve"> of 2021)</w:t>
      </w:r>
    </w:p>
    <w:p w14:paraId="0CD155ED" w14:textId="63629BF6" w:rsidR="009D26A8" w:rsidRPr="00341FC2" w:rsidRDefault="009D26A8" w:rsidP="00B43C9C">
      <w:pPr>
        <w:pStyle w:val="paragraph"/>
        <w:widowControl w:val="0"/>
        <w:tabs>
          <w:tab w:val="clear" w:pos="1531"/>
        </w:tabs>
        <w:spacing w:line="260" w:lineRule="exact"/>
        <w:rPr>
          <w:szCs w:val="22"/>
        </w:rPr>
      </w:pPr>
    </w:p>
    <w:p w14:paraId="626BC474" w14:textId="77777777" w:rsidR="009D26A8" w:rsidRPr="00341FC2" w:rsidRDefault="009D26A8" w:rsidP="009D26A8">
      <w:pPr>
        <w:pStyle w:val="Amendment1"/>
        <w:numPr>
          <w:ilvl w:val="0"/>
          <w:numId w:val="7"/>
        </w:numPr>
        <w:spacing w:line="260" w:lineRule="exact"/>
      </w:pPr>
      <w:r w:rsidRPr="00341FC2">
        <w:t>Part 1, Division 1, Section 6, definition for “CAR drug”</w:t>
      </w:r>
    </w:p>
    <w:p w14:paraId="7EB1F33D" w14:textId="207D13B1" w:rsidR="009D26A8" w:rsidRPr="00341FC2" w:rsidRDefault="009D26A8" w:rsidP="006C170D">
      <w:pPr>
        <w:spacing w:before="60" w:after="60"/>
        <w:ind w:left="794"/>
        <w:rPr>
          <w:i/>
          <w:sz w:val="20"/>
        </w:rPr>
      </w:pPr>
      <w:r w:rsidRPr="00341FC2">
        <w:rPr>
          <w:i/>
          <w:sz w:val="20"/>
        </w:rPr>
        <w:t>substitute</w:t>
      </w:r>
      <w:r w:rsidR="006C170D" w:rsidRPr="00341FC2">
        <w:rPr>
          <w:i/>
          <w:sz w:val="20"/>
        </w:rPr>
        <w:t>:</w:t>
      </w:r>
    </w:p>
    <w:p w14:paraId="60D0C2E7" w14:textId="77777777" w:rsidR="009D26A8" w:rsidRPr="00341FC2" w:rsidRDefault="009D26A8" w:rsidP="00DC2B1D">
      <w:pPr>
        <w:pStyle w:val="Definition"/>
        <w:rPr>
          <w:szCs w:val="22"/>
        </w:rPr>
      </w:pPr>
      <w:r w:rsidRPr="00341FC2">
        <w:rPr>
          <w:b/>
          <w:i/>
          <w:szCs w:val="22"/>
        </w:rPr>
        <w:t>CAR drug</w:t>
      </w:r>
      <w:r w:rsidRPr="00341FC2">
        <w:rPr>
          <w:i/>
          <w:szCs w:val="22"/>
        </w:rPr>
        <w:t xml:space="preserve"> </w:t>
      </w:r>
      <w:r w:rsidRPr="00341FC2">
        <w:rPr>
          <w:szCs w:val="22"/>
        </w:rPr>
        <w:t>(short for Complex Authority Required drug) means any of the following highly specialised drugs:</w:t>
      </w:r>
    </w:p>
    <w:p w14:paraId="43D1F9E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bookmarkStart w:id="7" w:name="_Hlk164334694"/>
      <w:proofErr w:type="gramStart"/>
      <w:r w:rsidRPr="00341FC2">
        <w:rPr>
          <w:szCs w:val="22"/>
        </w:rPr>
        <w:t>abatacept;</w:t>
      </w:r>
      <w:proofErr w:type="gramEnd"/>
    </w:p>
    <w:p w14:paraId="696DC30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adalimumab;</w:t>
      </w:r>
      <w:proofErr w:type="gramEnd"/>
    </w:p>
    <w:p w14:paraId="32E0AE4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ambrisentan</w:t>
      </w:r>
      <w:proofErr w:type="spellEnd"/>
      <w:r w:rsidRPr="00341FC2">
        <w:rPr>
          <w:szCs w:val="22"/>
        </w:rPr>
        <w:t>;</w:t>
      </w:r>
      <w:proofErr w:type="gramEnd"/>
    </w:p>
    <w:p w14:paraId="708AAA7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avatrombopag</w:t>
      </w:r>
      <w:proofErr w:type="spellEnd"/>
      <w:r w:rsidRPr="00341FC2">
        <w:rPr>
          <w:szCs w:val="22"/>
        </w:rPr>
        <w:t>;</w:t>
      </w:r>
      <w:proofErr w:type="gramEnd"/>
    </w:p>
    <w:p w14:paraId="12BB6F4E"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azacitidine</w:t>
      </w:r>
      <w:proofErr w:type="spellEnd"/>
      <w:r w:rsidRPr="00341FC2">
        <w:rPr>
          <w:szCs w:val="22"/>
        </w:rPr>
        <w:t>;</w:t>
      </w:r>
      <w:proofErr w:type="gramEnd"/>
    </w:p>
    <w:p w14:paraId="3BA9BA69"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benralizumab</w:t>
      </w:r>
      <w:proofErr w:type="spellEnd"/>
      <w:r w:rsidRPr="00341FC2">
        <w:rPr>
          <w:szCs w:val="22"/>
        </w:rPr>
        <w:t>;</w:t>
      </w:r>
      <w:proofErr w:type="gramEnd"/>
    </w:p>
    <w:p w14:paraId="79611506"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bosentan</w:t>
      </w:r>
      <w:proofErr w:type="spellEnd"/>
      <w:r w:rsidRPr="00341FC2">
        <w:rPr>
          <w:szCs w:val="22"/>
        </w:rPr>
        <w:t>;</w:t>
      </w:r>
      <w:proofErr w:type="gramEnd"/>
    </w:p>
    <w:p w14:paraId="1C7080F1"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burosumab</w:t>
      </w:r>
      <w:proofErr w:type="spellEnd"/>
      <w:r w:rsidRPr="00341FC2">
        <w:rPr>
          <w:szCs w:val="22"/>
        </w:rPr>
        <w:t>;</w:t>
      </w:r>
      <w:proofErr w:type="gramEnd"/>
    </w:p>
    <w:p w14:paraId="230F5779"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difelikefalin</w:t>
      </w:r>
      <w:proofErr w:type="spellEnd"/>
      <w:r w:rsidRPr="00341FC2">
        <w:rPr>
          <w:szCs w:val="22"/>
        </w:rPr>
        <w:t>;</w:t>
      </w:r>
      <w:proofErr w:type="gramEnd"/>
      <w:r w:rsidRPr="00341FC2">
        <w:rPr>
          <w:szCs w:val="22"/>
        </w:rPr>
        <w:t xml:space="preserve"> </w:t>
      </w:r>
    </w:p>
    <w:p w14:paraId="1E9B8018"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dupilumab;</w:t>
      </w:r>
      <w:proofErr w:type="gramEnd"/>
    </w:p>
    <w:p w14:paraId="4E8DE8F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eculizumab;</w:t>
      </w:r>
      <w:proofErr w:type="gramEnd"/>
    </w:p>
    <w:p w14:paraId="352F3A2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r w:rsidRPr="00341FC2">
        <w:rPr>
          <w:szCs w:val="22"/>
        </w:rPr>
        <w:t>elexacaftor</w:t>
      </w:r>
      <w:proofErr w:type="spellEnd"/>
      <w:r w:rsidRPr="00341FC2">
        <w:rPr>
          <w:szCs w:val="22"/>
        </w:rPr>
        <w:t xml:space="preserve"> with </w:t>
      </w:r>
      <w:proofErr w:type="spellStart"/>
      <w:r w:rsidRPr="00341FC2">
        <w:rPr>
          <w:szCs w:val="22"/>
        </w:rPr>
        <w:t>tezacaftor</w:t>
      </w:r>
      <w:proofErr w:type="spellEnd"/>
      <w:r w:rsidRPr="00341FC2">
        <w:rPr>
          <w:szCs w:val="22"/>
        </w:rPr>
        <w:t xml:space="preserve"> and with ivacaftor, and </w:t>
      </w:r>
      <w:proofErr w:type="gramStart"/>
      <w:r w:rsidRPr="00341FC2">
        <w:rPr>
          <w:szCs w:val="22"/>
        </w:rPr>
        <w:t>ivacaftor;</w:t>
      </w:r>
      <w:proofErr w:type="gramEnd"/>
    </w:p>
    <w:p w14:paraId="6FD7A025"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eltrombopag</w:t>
      </w:r>
      <w:proofErr w:type="spellEnd"/>
      <w:r w:rsidRPr="00341FC2">
        <w:rPr>
          <w:szCs w:val="22"/>
        </w:rPr>
        <w:t>;</w:t>
      </w:r>
      <w:proofErr w:type="gramEnd"/>
    </w:p>
    <w:p w14:paraId="3E279670"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epoprostenol</w:t>
      </w:r>
      <w:proofErr w:type="spellEnd"/>
      <w:r w:rsidRPr="00341FC2">
        <w:rPr>
          <w:szCs w:val="22"/>
        </w:rPr>
        <w:t>;</w:t>
      </w:r>
      <w:proofErr w:type="gramEnd"/>
    </w:p>
    <w:p w14:paraId="0FC32F3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etanercept;</w:t>
      </w:r>
      <w:proofErr w:type="gramEnd"/>
    </w:p>
    <w:p w14:paraId="4DF7135E"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iloprost</w:t>
      </w:r>
      <w:proofErr w:type="spellEnd"/>
      <w:r w:rsidRPr="00341FC2">
        <w:rPr>
          <w:szCs w:val="22"/>
        </w:rPr>
        <w:t>;</w:t>
      </w:r>
      <w:proofErr w:type="gramEnd"/>
    </w:p>
    <w:p w14:paraId="1AAED471"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infliximab;</w:t>
      </w:r>
      <w:proofErr w:type="gramEnd"/>
    </w:p>
    <w:p w14:paraId="4018BDFB"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ivacaftor;</w:t>
      </w:r>
      <w:proofErr w:type="gramEnd"/>
    </w:p>
    <w:p w14:paraId="103D123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lenalidomide;</w:t>
      </w:r>
      <w:proofErr w:type="gramEnd"/>
    </w:p>
    <w:p w14:paraId="11F16FA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r w:rsidRPr="00341FC2">
        <w:rPr>
          <w:szCs w:val="22"/>
        </w:rPr>
        <w:t xml:space="preserve">lumacaftor with </w:t>
      </w:r>
      <w:proofErr w:type="gramStart"/>
      <w:r w:rsidRPr="00341FC2">
        <w:rPr>
          <w:szCs w:val="22"/>
        </w:rPr>
        <w:t>ivacaftor;</w:t>
      </w:r>
      <w:proofErr w:type="gramEnd"/>
    </w:p>
    <w:p w14:paraId="765503B3"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lastRenderedPageBreak/>
        <w:t>macitentan</w:t>
      </w:r>
      <w:proofErr w:type="spellEnd"/>
      <w:r w:rsidRPr="00341FC2">
        <w:rPr>
          <w:szCs w:val="22"/>
        </w:rPr>
        <w:t>;</w:t>
      </w:r>
      <w:proofErr w:type="gramEnd"/>
    </w:p>
    <w:p w14:paraId="367BE669"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mepolizumab;</w:t>
      </w:r>
      <w:proofErr w:type="gramEnd"/>
    </w:p>
    <w:p w14:paraId="4A4311B3"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midostaurin</w:t>
      </w:r>
      <w:proofErr w:type="spellEnd"/>
      <w:r w:rsidRPr="00341FC2">
        <w:rPr>
          <w:szCs w:val="22"/>
        </w:rPr>
        <w:t>;</w:t>
      </w:r>
      <w:proofErr w:type="gramEnd"/>
    </w:p>
    <w:p w14:paraId="0A0AEBC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nusinersen</w:t>
      </w:r>
      <w:proofErr w:type="spellEnd"/>
      <w:r w:rsidRPr="00341FC2">
        <w:rPr>
          <w:szCs w:val="22"/>
        </w:rPr>
        <w:t>;</w:t>
      </w:r>
      <w:proofErr w:type="gramEnd"/>
    </w:p>
    <w:p w14:paraId="6003EC69"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omalizumab;</w:t>
      </w:r>
      <w:proofErr w:type="gramEnd"/>
    </w:p>
    <w:p w14:paraId="11915E0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r w:rsidRPr="00341FC2">
        <w:rPr>
          <w:szCs w:val="22"/>
        </w:rPr>
        <w:t>onasemnogene</w:t>
      </w:r>
      <w:proofErr w:type="spellEnd"/>
      <w:r w:rsidRPr="00341FC2">
        <w:rPr>
          <w:szCs w:val="22"/>
        </w:rPr>
        <w:t xml:space="preserve"> </w:t>
      </w:r>
      <w:proofErr w:type="spellStart"/>
      <w:proofErr w:type="gramStart"/>
      <w:r w:rsidRPr="00341FC2">
        <w:rPr>
          <w:szCs w:val="22"/>
        </w:rPr>
        <w:t>abeparvovec</w:t>
      </w:r>
      <w:proofErr w:type="spellEnd"/>
      <w:r w:rsidRPr="00341FC2">
        <w:rPr>
          <w:szCs w:val="22"/>
        </w:rPr>
        <w:t>;</w:t>
      </w:r>
      <w:proofErr w:type="gramEnd"/>
    </w:p>
    <w:p w14:paraId="10D1CD6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pasireotide</w:t>
      </w:r>
      <w:proofErr w:type="spellEnd"/>
      <w:r w:rsidRPr="00341FC2">
        <w:rPr>
          <w:szCs w:val="22"/>
        </w:rPr>
        <w:t>;</w:t>
      </w:r>
      <w:proofErr w:type="gramEnd"/>
    </w:p>
    <w:p w14:paraId="5BC19021"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pegcetacoplan</w:t>
      </w:r>
      <w:proofErr w:type="spellEnd"/>
      <w:r w:rsidRPr="00341FC2">
        <w:rPr>
          <w:szCs w:val="22"/>
        </w:rPr>
        <w:t>;</w:t>
      </w:r>
      <w:proofErr w:type="gramEnd"/>
    </w:p>
    <w:p w14:paraId="2BC3262B"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pegvisomant</w:t>
      </w:r>
      <w:proofErr w:type="spellEnd"/>
      <w:r w:rsidRPr="00341FC2">
        <w:rPr>
          <w:szCs w:val="22"/>
        </w:rPr>
        <w:t>;</w:t>
      </w:r>
      <w:proofErr w:type="gramEnd"/>
    </w:p>
    <w:p w14:paraId="789C13D6"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pomalidomide;</w:t>
      </w:r>
      <w:proofErr w:type="gramEnd"/>
    </w:p>
    <w:p w14:paraId="16B1FF3E"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ravulizumab</w:t>
      </w:r>
      <w:proofErr w:type="spellEnd"/>
      <w:r w:rsidRPr="00341FC2">
        <w:rPr>
          <w:szCs w:val="22"/>
        </w:rPr>
        <w:t>;</w:t>
      </w:r>
      <w:proofErr w:type="gramEnd"/>
    </w:p>
    <w:p w14:paraId="4599A2CC"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riociguat</w:t>
      </w:r>
      <w:proofErr w:type="spellEnd"/>
      <w:r w:rsidRPr="00341FC2">
        <w:rPr>
          <w:szCs w:val="22"/>
        </w:rPr>
        <w:t>;</w:t>
      </w:r>
      <w:proofErr w:type="gramEnd"/>
    </w:p>
    <w:p w14:paraId="32074B92"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risdiplam</w:t>
      </w:r>
      <w:proofErr w:type="spellEnd"/>
      <w:r w:rsidRPr="00341FC2">
        <w:rPr>
          <w:szCs w:val="22"/>
        </w:rPr>
        <w:t>;</w:t>
      </w:r>
      <w:proofErr w:type="gramEnd"/>
    </w:p>
    <w:p w14:paraId="5CEAE340"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romiplostim;</w:t>
      </w:r>
      <w:proofErr w:type="gramEnd"/>
    </w:p>
    <w:p w14:paraId="3A1CE578"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selexipag</w:t>
      </w:r>
      <w:proofErr w:type="spellEnd"/>
      <w:r w:rsidRPr="00341FC2">
        <w:rPr>
          <w:szCs w:val="22"/>
        </w:rPr>
        <w:t>;</w:t>
      </w:r>
      <w:proofErr w:type="gramEnd"/>
    </w:p>
    <w:p w14:paraId="15C367E9" w14:textId="24A3B4D4" w:rsidR="00671329" w:rsidRPr="00341FC2" w:rsidRDefault="00671329" w:rsidP="00ED028A">
      <w:pPr>
        <w:pStyle w:val="paragraph"/>
        <w:widowControl w:val="0"/>
        <w:numPr>
          <w:ilvl w:val="1"/>
          <w:numId w:val="40"/>
        </w:numPr>
        <w:tabs>
          <w:tab w:val="clear" w:pos="1531"/>
        </w:tabs>
        <w:spacing w:line="260" w:lineRule="exact"/>
        <w:ind w:left="2069" w:hanging="737"/>
        <w:rPr>
          <w:szCs w:val="22"/>
        </w:rPr>
      </w:pPr>
      <w:bookmarkStart w:id="8" w:name="_Hlk164360798"/>
      <w:proofErr w:type="spellStart"/>
      <w:proofErr w:type="gramStart"/>
      <w:r w:rsidRPr="00341FC2">
        <w:rPr>
          <w:szCs w:val="22"/>
        </w:rPr>
        <w:t>selinexor</w:t>
      </w:r>
      <w:proofErr w:type="spellEnd"/>
      <w:r w:rsidR="00B43C9C" w:rsidRPr="00341FC2">
        <w:rPr>
          <w:szCs w:val="22"/>
        </w:rPr>
        <w:t>;</w:t>
      </w:r>
      <w:proofErr w:type="gramEnd"/>
    </w:p>
    <w:bookmarkEnd w:id="8"/>
    <w:p w14:paraId="019BF08F"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sildenafil;</w:t>
      </w:r>
      <w:proofErr w:type="gramEnd"/>
    </w:p>
    <w:p w14:paraId="566847C2"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tadalafil;</w:t>
      </w:r>
      <w:proofErr w:type="gramEnd"/>
    </w:p>
    <w:p w14:paraId="7995C4F3"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teduglutide;</w:t>
      </w:r>
      <w:proofErr w:type="gramEnd"/>
    </w:p>
    <w:p w14:paraId="01B1A407"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r w:rsidRPr="00341FC2">
        <w:rPr>
          <w:szCs w:val="22"/>
        </w:rPr>
        <w:t>tezacaftor</w:t>
      </w:r>
      <w:proofErr w:type="spellEnd"/>
      <w:r w:rsidRPr="00341FC2">
        <w:rPr>
          <w:szCs w:val="22"/>
        </w:rPr>
        <w:t xml:space="preserve"> with ivacaftor and </w:t>
      </w:r>
      <w:proofErr w:type="gramStart"/>
      <w:r w:rsidRPr="00341FC2">
        <w:rPr>
          <w:szCs w:val="22"/>
        </w:rPr>
        <w:t>ivacaftor;</w:t>
      </w:r>
      <w:proofErr w:type="gramEnd"/>
    </w:p>
    <w:p w14:paraId="16EE5CDD"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gramStart"/>
      <w:r w:rsidRPr="00341FC2">
        <w:rPr>
          <w:szCs w:val="22"/>
        </w:rPr>
        <w:t>tocilizumab;</w:t>
      </w:r>
      <w:proofErr w:type="gramEnd"/>
    </w:p>
    <w:p w14:paraId="516D463B" w14:textId="77777777"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proofErr w:type="spellStart"/>
      <w:proofErr w:type="gramStart"/>
      <w:r w:rsidRPr="00341FC2">
        <w:rPr>
          <w:szCs w:val="22"/>
        </w:rPr>
        <w:t>ustekinumab</w:t>
      </w:r>
      <w:proofErr w:type="spellEnd"/>
      <w:r w:rsidRPr="00341FC2">
        <w:rPr>
          <w:szCs w:val="22"/>
        </w:rPr>
        <w:t>;</w:t>
      </w:r>
      <w:proofErr w:type="gramEnd"/>
    </w:p>
    <w:p w14:paraId="19E26E35" w14:textId="00FABC14" w:rsidR="009D26A8" w:rsidRPr="00341FC2" w:rsidRDefault="009D26A8" w:rsidP="00ED028A">
      <w:pPr>
        <w:pStyle w:val="paragraph"/>
        <w:widowControl w:val="0"/>
        <w:numPr>
          <w:ilvl w:val="1"/>
          <w:numId w:val="40"/>
        </w:numPr>
        <w:tabs>
          <w:tab w:val="clear" w:pos="1531"/>
        </w:tabs>
        <w:spacing w:line="260" w:lineRule="exact"/>
        <w:ind w:left="2069" w:hanging="737"/>
        <w:rPr>
          <w:szCs w:val="22"/>
        </w:rPr>
      </w:pPr>
      <w:r w:rsidRPr="00341FC2">
        <w:rPr>
          <w:szCs w:val="22"/>
        </w:rPr>
        <w:t>vedolizumab</w:t>
      </w:r>
      <w:r w:rsidR="00B43C9C" w:rsidRPr="00341FC2">
        <w:rPr>
          <w:szCs w:val="22"/>
        </w:rPr>
        <w:t>.</w:t>
      </w:r>
    </w:p>
    <w:bookmarkEnd w:id="7"/>
    <w:p w14:paraId="796E6986" w14:textId="55E9EA0B" w:rsidR="00922B4D" w:rsidRPr="00341FC2" w:rsidRDefault="00922B4D" w:rsidP="009D26A8">
      <w:pPr>
        <w:pStyle w:val="Amendment1"/>
        <w:numPr>
          <w:ilvl w:val="0"/>
          <w:numId w:val="7"/>
        </w:numPr>
        <w:spacing w:line="260" w:lineRule="exact"/>
      </w:pPr>
      <w:r w:rsidRPr="00341FC2">
        <w:t xml:space="preserve">Schedule 1, entry for </w:t>
      </w:r>
      <w:proofErr w:type="spellStart"/>
      <w:r w:rsidRPr="00341FC2">
        <w:t>Ambrisentan</w:t>
      </w:r>
      <w:proofErr w:type="spellEnd"/>
      <w:r w:rsidR="00DC2B1D" w:rsidRPr="00341FC2">
        <w:t xml:space="preserve"> in each of the forms: Tablet 5 mg; and Tablet 10 mg</w:t>
      </w:r>
    </w:p>
    <w:p w14:paraId="1BD33A2F" w14:textId="50CB4F6D" w:rsidR="00922B4D" w:rsidRPr="00341FC2" w:rsidRDefault="00922B4D" w:rsidP="006C170D">
      <w:pPr>
        <w:spacing w:before="60" w:after="60"/>
        <w:ind w:left="794"/>
        <w:rPr>
          <w:i/>
          <w:sz w:val="20"/>
        </w:rPr>
      </w:pPr>
      <w:r w:rsidRPr="00341FC2">
        <w:rPr>
          <w:i/>
          <w:sz w:val="20"/>
        </w:rPr>
        <w:t xml:space="preserve">omit from the column headed “Circumstances” (all instances): </w:t>
      </w:r>
      <w:proofErr w:type="gramStart"/>
      <w:r w:rsidRPr="00341FC2">
        <w:rPr>
          <w:rFonts w:ascii="Arial" w:eastAsia="Times New Roman" w:hAnsi="Arial" w:cs="Arial"/>
          <w:b/>
          <w:bCs/>
          <w:sz w:val="20"/>
          <w:lang w:eastAsia="en-AU"/>
        </w:rPr>
        <w:t>C13580</w:t>
      </w:r>
      <w:proofErr w:type="gramEnd"/>
    </w:p>
    <w:p w14:paraId="1770CEBC" w14:textId="562F636C" w:rsidR="00075F1D" w:rsidRPr="00341FC2" w:rsidRDefault="00BC1B20" w:rsidP="009D26A8">
      <w:pPr>
        <w:pStyle w:val="Amendment1"/>
        <w:numPr>
          <w:ilvl w:val="0"/>
          <w:numId w:val="7"/>
        </w:numPr>
        <w:spacing w:line="260" w:lineRule="exact"/>
      </w:pPr>
      <w:r w:rsidRPr="00341FC2">
        <w:t xml:space="preserve">Schedule 1, </w:t>
      </w:r>
      <w:r w:rsidR="00922B4D" w:rsidRPr="00341FC2">
        <w:t xml:space="preserve">entry for </w:t>
      </w:r>
      <w:proofErr w:type="spellStart"/>
      <w:r w:rsidR="00922B4D" w:rsidRPr="00341FC2">
        <w:t>Bosentan</w:t>
      </w:r>
      <w:proofErr w:type="spellEnd"/>
      <w:r w:rsidR="00DC2B1D" w:rsidRPr="00341FC2">
        <w:t xml:space="preserve"> in each of the forms: Tablet 62.5 mg (as monohydrate); and Tablet 125 mg (as monohydrate)</w:t>
      </w:r>
    </w:p>
    <w:p w14:paraId="6A18C5DE" w14:textId="4FA1073A" w:rsidR="00922B4D" w:rsidRPr="00341FC2" w:rsidRDefault="00922B4D" w:rsidP="006C170D">
      <w:pPr>
        <w:spacing w:before="60" w:after="60"/>
        <w:ind w:left="794"/>
        <w:rPr>
          <w:rFonts w:ascii="Arial" w:eastAsia="Times New Roman" w:hAnsi="Arial" w:cs="Arial"/>
          <w:b/>
          <w:bCs/>
          <w:sz w:val="20"/>
          <w:lang w:eastAsia="en-AU"/>
        </w:rPr>
      </w:pPr>
      <w:bookmarkStart w:id="9" w:name="_Hlk164271303"/>
      <w:r w:rsidRPr="00341FC2">
        <w:rPr>
          <w:i/>
          <w:sz w:val="20"/>
        </w:rPr>
        <w:t xml:space="preserve">omit from the column headed “Circumstances” (all instances): </w:t>
      </w:r>
      <w:proofErr w:type="gramStart"/>
      <w:r w:rsidRPr="00341FC2">
        <w:rPr>
          <w:rFonts w:ascii="Arial" w:eastAsia="Times New Roman" w:hAnsi="Arial" w:cs="Arial"/>
          <w:b/>
          <w:bCs/>
          <w:sz w:val="20"/>
          <w:lang w:eastAsia="en-AU"/>
        </w:rPr>
        <w:t>C1358</w:t>
      </w:r>
      <w:bookmarkEnd w:id="9"/>
      <w:r w:rsidRPr="00341FC2">
        <w:rPr>
          <w:rFonts w:ascii="Arial" w:eastAsia="Times New Roman" w:hAnsi="Arial" w:cs="Arial"/>
          <w:b/>
          <w:bCs/>
          <w:sz w:val="20"/>
          <w:lang w:eastAsia="en-AU"/>
        </w:rPr>
        <w:t>0</w:t>
      </w:r>
      <w:proofErr w:type="gramEnd"/>
    </w:p>
    <w:p w14:paraId="2BBF0ED5" w14:textId="701AC868" w:rsidR="00B0029E" w:rsidRPr="00341FC2" w:rsidRDefault="00205E53" w:rsidP="009D26A8">
      <w:pPr>
        <w:pStyle w:val="Amendment1"/>
        <w:numPr>
          <w:ilvl w:val="0"/>
          <w:numId w:val="7"/>
        </w:numPr>
        <w:spacing w:line="260" w:lineRule="exact"/>
      </w:pPr>
      <w:r w:rsidRPr="00341FC2">
        <w:lastRenderedPageBreak/>
        <w:t xml:space="preserve">Schedule 1, </w:t>
      </w:r>
      <w:r w:rsidR="00B0029E" w:rsidRPr="00341FC2">
        <w:t xml:space="preserve">entry for </w:t>
      </w:r>
      <w:proofErr w:type="spellStart"/>
      <w:r w:rsidR="00B0029E" w:rsidRPr="00341FC2">
        <w:t>Burosumab</w:t>
      </w:r>
      <w:proofErr w:type="spellEnd"/>
      <w:r w:rsidR="00B43C9C" w:rsidRPr="00341FC2">
        <w:t xml:space="preserve"> in each of the forms: Solution for injection 10 mg in 1 mL; Solution for injection 20 mg in 1 mL; and Solution for injection 30 mg in 1 mL</w:t>
      </w:r>
    </w:p>
    <w:p w14:paraId="4EDA53FC" w14:textId="30CA3B05" w:rsidR="00B0029E" w:rsidRPr="00341FC2" w:rsidRDefault="00B0029E" w:rsidP="006C170D">
      <w:pPr>
        <w:spacing w:before="60" w:after="60"/>
        <w:ind w:left="794"/>
        <w:rPr>
          <w:i/>
          <w:sz w:val="20"/>
        </w:rPr>
      </w:pPr>
      <w:r w:rsidRPr="00341FC2">
        <w:rPr>
          <w:i/>
          <w:sz w:val="20"/>
        </w:rPr>
        <w:t xml:space="preserve">omit from the column headed “Circumstances”: </w:t>
      </w:r>
      <w:r w:rsidRPr="00341FC2">
        <w:rPr>
          <w:rFonts w:ascii="Arial" w:eastAsia="Times New Roman" w:hAnsi="Arial" w:cs="Arial"/>
          <w:b/>
          <w:bCs/>
          <w:sz w:val="20"/>
          <w:lang w:eastAsia="en-AU"/>
        </w:rPr>
        <w:t>C13400</w:t>
      </w:r>
    </w:p>
    <w:p w14:paraId="37598469" w14:textId="73C35F95" w:rsidR="00B0029E" w:rsidRPr="00341FC2" w:rsidRDefault="00B0029E" w:rsidP="009D26A8">
      <w:pPr>
        <w:pStyle w:val="Amendment1"/>
        <w:numPr>
          <w:ilvl w:val="0"/>
          <w:numId w:val="7"/>
        </w:numPr>
        <w:spacing w:line="260" w:lineRule="exact"/>
      </w:pPr>
      <w:r w:rsidRPr="00341FC2">
        <w:t xml:space="preserve">Schedule 1, after entry for </w:t>
      </w:r>
      <w:proofErr w:type="spellStart"/>
      <w:r w:rsidR="00DC2B1D" w:rsidRPr="00341FC2">
        <w:t>Desferrioxamine</w:t>
      </w:r>
      <w:proofErr w:type="spellEnd"/>
      <w:r w:rsidR="00DC2B1D" w:rsidRPr="00341FC2">
        <w:t xml:space="preserve"> in the form Powder for injection containing </w:t>
      </w:r>
      <w:proofErr w:type="spellStart"/>
      <w:r w:rsidR="00DC2B1D" w:rsidRPr="00341FC2">
        <w:t>desferrioxamine</w:t>
      </w:r>
      <w:proofErr w:type="spellEnd"/>
      <w:r w:rsidR="00DC2B1D" w:rsidRPr="00341FC2">
        <w:t xml:space="preserve"> </w:t>
      </w:r>
      <w:proofErr w:type="spellStart"/>
      <w:r w:rsidR="00DC2B1D" w:rsidRPr="00341FC2">
        <w:t>mesilate</w:t>
      </w:r>
      <w:proofErr w:type="spellEnd"/>
      <w:r w:rsidR="00DC2B1D" w:rsidRPr="00341FC2">
        <w:t xml:space="preserve"> 2 </w:t>
      </w:r>
      <w:proofErr w:type="gramStart"/>
      <w:r w:rsidR="00DC2B1D" w:rsidRPr="00341FC2">
        <w:t>g</w:t>
      </w:r>
      <w:proofErr w:type="gramEnd"/>
    </w:p>
    <w:p w14:paraId="00398544" w14:textId="4717489B" w:rsidR="00B0029E" w:rsidRPr="00341FC2" w:rsidRDefault="00B0029E" w:rsidP="006C170D">
      <w:pPr>
        <w:spacing w:before="60" w:after="60"/>
        <w:ind w:left="794"/>
      </w:pPr>
      <w:r w:rsidRPr="00341FC2">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53FDF45C" w14:textId="77777777" w:rsidTr="007D2624">
        <w:tc>
          <w:tcPr>
            <w:tcW w:w="1702" w:type="dxa"/>
            <w:tcBorders>
              <w:top w:val="single" w:sz="4" w:space="0" w:color="auto"/>
              <w:left w:val="single" w:sz="4" w:space="0" w:color="auto"/>
              <w:bottom w:val="single" w:sz="4" w:space="0" w:color="auto"/>
              <w:right w:val="nil"/>
            </w:tcBorders>
          </w:tcPr>
          <w:p w14:paraId="39BA425E" w14:textId="55686DC8" w:rsidR="00B0029E" w:rsidRPr="00341FC2" w:rsidRDefault="00B0029E" w:rsidP="00B0029E">
            <w:pPr>
              <w:widowControl w:val="0"/>
              <w:spacing w:before="60" w:after="60" w:line="240" w:lineRule="auto"/>
              <w:rPr>
                <w:rFonts w:ascii="Arial" w:hAnsi="Arial" w:cs="Arial"/>
                <w:sz w:val="16"/>
                <w:szCs w:val="16"/>
              </w:rPr>
            </w:pPr>
            <w:bookmarkStart w:id="10" w:name="_Hlk164327972"/>
            <w:proofErr w:type="spellStart"/>
            <w:r w:rsidRPr="00341FC2">
              <w:rPr>
                <w:rFonts w:ascii="Arial" w:hAnsi="Arial" w:cs="Arial"/>
                <w:sz w:val="16"/>
                <w:szCs w:val="16"/>
              </w:rPr>
              <w:t>Difelikefalin</w:t>
            </w:r>
            <w:proofErr w:type="spellEnd"/>
          </w:p>
        </w:tc>
        <w:tc>
          <w:tcPr>
            <w:tcW w:w="3402" w:type="dxa"/>
            <w:tcBorders>
              <w:top w:val="single" w:sz="4" w:space="0" w:color="auto"/>
              <w:left w:val="nil"/>
              <w:bottom w:val="single" w:sz="4" w:space="0" w:color="auto"/>
              <w:right w:val="nil"/>
            </w:tcBorders>
          </w:tcPr>
          <w:p w14:paraId="3990E0A0" w14:textId="224867C0" w:rsidR="00B0029E" w:rsidRPr="00341FC2" w:rsidRDefault="00B0029E" w:rsidP="00B0029E">
            <w:pPr>
              <w:widowControl w:val="0"/>
              <w:spacing w:before="60" w:after="60" w:line="240" w:lineRule="auto"/>
              <w:rPr>
                <w:rFonts w:ascii="Arial" w:hAnsi="Arial" w:cs="Arial"/>
                <w:sz w:val="16"/>
                <w:szCs w:val="16"/>
              </w:rPr>
            </w:pPr>
            <w:r w:rsidRPr="00341FC2">
              <w:rPr>
                <w:rFonts w:ascii="Arial" w:hAnsi="Arial" w:cs="Arial"/>
                <w:sz w:val="16"/>
                <w:szCs w:val="16"/>
              </w:rPr>
              <w:t>Solution for I.V. injection 50 micrograms (as acetate) in 1 mL</w:t>
            </w:r>
          </w:p>
        </w:tc>
        <w:tc>
          <w:tcPr>
            <w:tcW w:w="1417" w:type="dxa"/>
            <w:tcBorders>
              <w:top w:val="single" w:sz="4" w:space="0" w:color="auto"/>
              <w:left w:val="nil"/>
              <w:bottom w:val="single" w:sz="4" w:space="0" w:color="auto"/>
              <w:right w:val="nil"/>
            </w:tcBorders>
          </w:tcPr>
          <w:p w14:paraId="06061F23" w14:textId="4EC0FF46" w:rsidR="00B0029E" w:rsidRPr="00341FC2" w:rsidRDefault="00B0029E" w:rsidP="00B0029E">
            <w:pPr>
              <w:widowControl w:val="0"/>
              <w:spacing w:before="60" w:after="60" w:line="240" w:lineRule="auto"/>
              <w:rPr>
                <w:rFonts w:ascii="Arial" w:hAnsi="Arial" w:cs="Arial"/>
                <w:sz w:val="16"/>
                <w:szCs w:val="16"/>
              </w:rPr>
            </w:pPr>
            <w:r w:rsidRPr="00341FC2">
              <w:rPr>
                <w:rFonts w:ascii="Arial" w:hAnsi="Arial" w:cs="Arial"/>
                <w:sz w:val="16"/>
                <w:szCs w:val="16"/>
              </w:rPr>
              <w:t>Injection</w:t>
            </w:r>
          </w:p>
        </w:tc>
        <w:tc>
          <w:tcPr>
            <w:tcW w:w="1701" w:type="dxa"/>
            <w:tcBorders>
              <w:top w:val="single" w:sz="4" w:space="0" w:color="auto"/>
              <w:left w:val="nil"/>
              <w:bottom w:val="single" w:sz="4" w:space="0" w:color="auto"/>
              <w:right w:val="nil"/>
            </w:tcBorders>
          </w:tcPr>
          <w:p w14:paraId="33E5405B" w14:textId="5D0E080E" w:rsidR="00B0029E" w:rsidRPr="00341FC2" w:rsidRDefault="00B0029E" w:rsidP="00B0029E">
            <w:pPr>
              <w:widowControl w:val="0"/>
              <w:spacing w:before="60" w:after="60" w:line="240" w:lineRule="auto"/>
              <w:rPr>
                <w:rFonts w:ascii="Arial" w:hAnsi="Arial" w:cs="Arial"/>
                <w:sz w:val="16"/>
                <w:szCs w:val="16"/>
              </w:rPr>
            </w:pPr>
            <w:proofErr w:type="spellStart"/>
            <w:r w:rsidRPr="00341FC2">
              <w:rPr>
                <w:rFonts w:ascii="Arial" w:hAnsi="Arial" w:cs="Arial"/>
                <w:sz w:val="16"/>
                <w:szCs w:val="16"/>
              </w:rPr>
              <w:t>Korsuva</w:t>
            </w:r>
            <w:proofErr w:type="spellEnd"/>
          </w:p>
        </w:tc>
        <w:tc>
          <w:tcPr>
            <w:tcW w:w="1417" w:type="dxa"/>
            <w:tcBorders>
              <w:top w:val="single" w:sz="4" w:space="0" w:color="auto"/>
              <w:left w:val="nil"/>
              <w:bottom w:val="single" w:sz="4" w:space="0" w:color="auto"/>
              <w:right w:val="nil"/>
            </w:tcBorders>
          </w:tcPr>
          <w:p w14:paraId="7CE2B733" w14:textId="7E57E2F0" w:rsidR="00B0029E" w:rsidRPr="00341FC2" w:rsidRDefault="00B0029E" w:rsidP="00B0029E">
            <w:pPr>
              <w:widowControl w:val="0"/>
              <w:spacing w:before="60" w:after="60" w:line="240" w:lineRule="auto"/>
              <w:rPr>
                <w:rFonts w:ascii="Arial" w:hAnsi="Arial" w:cs="Arial"/>
                <w:sz w:val="16"/>
                <w:szCs w:val="16"/>
              </w:rPr>
            </w:pPr>
            <w:r w:rsidRPr="00341FC2">
              <w:rPr>
                <w:rFonts w:ascii="Arial" w:hAnsi="Arial" w:cs="Arial"/>
                <w:sz w:val="16"/>
                <w:szCs w:val="16"/>
              </w:rPr>
              <w:t>C15171 C15211 C15227</w:t>
            </w:r>
          </w:p>
        </w:tc>
        <w:tc>
          <w:tcPr>
            <w:tcW w:w="1417" w:type="dxa"/>
            <w:tcBorders>
              <w:top w:val="single" w:sz="4" w:space="0" w:color="auto"/>
              <w:left w:val="nil"/>
              <w:bottom w:val="single" w:sz="4" w:space="0" w:color="auto"/>
              <w:right w:val="nil"/>
            </w:tcBorders>
          </w:tcPr>
          <w:p w14:paraId="209B1F0F" w14:textId="77777777" w:rsidR="00B0029E" w:rsidRPr="00341FC2" w:rsidRDefault="00B0029E" w:rsidP="00B0029E">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7A033BEA" w14:textId="0CAA19EF" w:rsidR="00B0029E" w:rsidRPr="00341FC2" w:rsidRDefault="00B0029E" w:rsidP="00B0029E">
            <w:pPr>
              <w:widowControl w:val="0"/>
              <w:spacing w:before="60" w:after="60" w:line="240" w:lineRule="auto"/>
              <w:rPr>
                <w:rFonts w:ascii="Arial" w:hAnsi="Arial" w:cs="Arial"/>
                <w:sz w:val="16"/>
                <w:szCs w:val="16"/>
              </w:rPr>
            </w:pPr>
            <w:r w:rsidRPr="00341FC2">
              <w:rPr>
                <w:rFonts w:ascii="Arial" w:hAnsi="Arial" w:cs="Arial"/>
                <w:sz w:val="16"/>
                <w:szCs w:val="16"/>
              </w:rPr>
              <w:t>See Schedule 2</w:t>
            </w:r>
          </w:p>
        </w:tc>
        <w:tc>
          <w:tcPr>
            <w:tcW w:w="1417" w:type="dxa"/>
            <w:tcBorders>
              <w:top w:val="single" w:sz="4" w:space="0" w:color="auto"/>
              <w:left w:val="nil"/>
              <w:bottom w:val="single" w:sz="4" w:space="0" w:color="auto"/>
              <w:right w:val="single" w:sz="4" w:space="0" w:color="auto"/>
            </w:tcBorders>
          </w:tcPr>
          <w:p w14:paraId="691E8C6C" w14:textId="74B1AC54" w:rsidR="00B0029E" w:rsidRPr="00341FC2" w:rsidRDefault="00B0029E" w:rsidP="00B0029E">
            <w:pPr>
              <w:widowControl w:val="0"/>
              <w:spacing w:before="60" w:after="60" w:line="240" w:lineRule="auto"/>
              <w:rPr>
                <w:rFonts w:ascii="Arial" w:hAnsi="Arial" w:cs="Arial"/>
                <w:sz w:val="16"/>
                <w:szCs w:val="16"/>
              </w:rPr>
            </w:pPr>
            <w:r w:rsidRPr="00341FC2">
              <w:rPr>
                <w:rFonts w:ascii="Arial" w:hAnsi="Arial" w:cs="Arial"/>
                <w:sz w:val="16"/>
                <w:szCs w:val="16"/>
              </w:rPr>
              <w:t>See Schedule 2</w:t>
            </w:r>
          </w:p>
        </w:tc>
      </w:tr>
    </w:tbl>
    <w:bookmarkEnd w:id="10"/>
    <w:p w14:paraId="7842F83A" w14:textId="3593D4C4" w:rsidR="007C0C50" w:rsidRPr="00341FC2" w:rsidRDefault="007C0C50" w:rsidP="009D26A8">
      <w:pPr>
        <w:pStyle w:val="Amendment1"/>
        <w:numPr>
          <w:ilvl w:val="0"/>
          <w:numId w:val="7"/>
        </w:numPr>
        <w:spacing w:line="260" w:lineRule="exact"/>
      </w:pPr>
      <w:r w:rsidRPr="00341FC2">
        <w:t xml:space="preserve">Schedule 1, entry for </w:t>
      </w:r>
      <w:proofErr w:type="spellStart"/>
      <w:r w:rsidRPr="00341FC2">
        <w:t>Eltrombopag</w:t>
      </w:r>
      <w:proofErr w:type="spellEnd"/>
      <w:r w:rsidR="00DC2B1D" w:rsidRPr="00341FC2">
        <w:t xml:space="preserve"> in each of the forms: Tablet 25 mg (as olamine); and Tablet 50 mg (as olamine)</w:t>
      </w:r>
    </w:p>
    <w:p w14:paraId="673AC09D" w14:textId="709F1C11" w:rsidR="00DC2B1D" w:rsidRPr="00341FC2" w:rsidRDefault="0082229B" w:rsidP="00DC2B1D">
      <w:pPr>
        <w:pStyle w:val="ListParagraph"/>
        <w:spacing w:before="60" w:after="60"/>
        <w:ind w:left="794"/>
      </w:pPr>
      <w:r w:rsidRPr="00341FC2">
        <w:rPr>
          <w:i/>
          <w:sz w:val="20"/>
        </w:rPr>
        <w:t>insert</w:t>
      </w:r>
      <w:r w:rsidR="00DC2B1D" w:rsidRPr="00341FC2">
        <w:rPr>
          <w:i/>
          <w:sz w:val="20"/>
        </w:rPr>
        <w:t xml:space="preserve"> in numerical order in the column headed “Circumstances”: </w:t>
      </w:r>
      <w:r w:rsidR="00DC2B1D" w:rsidRPr="00341FC2">
        <w:rPr>
          <w:rFonts w:ascii="Arial" w:hAnsi="Arial" w:cs="Arial"/>
          <w:b/>
          <w:bCs/>
          <w:iCs/>
          <w:sz w:val="20"/>
        </w:rPr>
        <w:t>C15173 C15174 C15191 C15192</w:t>
      </w:r>
    </w:p>
    <w:p w14:paraId="45D7F5C2" w14:textId="21482C31" w:rsidR="00F4557C" w:rsidRPr="00341FC2" w:rsidRDefault="00F4557C" w:rsidP="006C170D">
      <w:pPr>
        <w:pStyle w:val="Amendment1"/>
        <w:numPr>
          <w:ilvl w:val="0"/>
          <w:numId w:val="7"/>
        </w:numPr>
        <w:spacing w:line="260" w:lineRule="exact"/>
      </w:pPr>
      <w:r w:rsidRPr="00341FC2">
        <w:t xml:space="preserve">Schedule 1, entry for </w:t>
      </w:r>
      <w:proofErr w:type="spellStart"/>
      <w:r w:rsidR="0058614C" w:rsidRPr="00341FC2">
        <w:t>Epoprostenol</w:t>
      </w:r>
      <w:proofErr w:type="spellEnd"/>
      <w:r w:rsidR="00B43C9C" w:rsidRPr="00341FC2">
        <w:t xml:space="preserve"> in each of the forms: Powder for I.V. infusion 500 micrograms (as sodium); Powder for I.V. infusion 500 micrograms (as sodium) with 2 vials diluent 50 mL; Powder for I.V. infusion 1.5 mg (as sodium); and Powder for I.V. infusion 1.5 mg (as sodium) with 2 vials diluent 50 mL</w:t>
      </w:r>
    </w:p>
    <w:p w14:paraId="570BBB06" w14:textId="6474FA62" w:rsidR="0058614C" w:rsidRPr="00341FC2" w:rsidRDefault="0058614C" w:rsidP="006C170D">
      <w:pPr>
        <w:spacing w:before="60" w:after="60"/>
        <w:ind w:left="794"/>
        <w:rPr>
          <w:rFonts w:ascii="Arial" w:eastAsia="Times New Roman" w:hAnsi="Arial" w:cs="Arial"/>
          <w:b/>
          <w:bCs/>
          <w:sz w:val="20"/>
          <w:lang w:eastAsia="en-AU"/>
        </w:rPr>
      </w:pPr>
      <w:r w:rsidRPr="00341FC2">
        <w:rPr>
          <w:i/>
          <w:sz w:val="20"/>
        </w:rPr>
        <w:t>omit from the column headed “Circumstances”</w:t>
      </w:r>
      <w:r w:rsidR="00356901" w:rsidRPr="00341FC2">
        <w:rPr>
          <w:i/>
          <w:sz w:val="20"/>
        </w:rPr>
        <w:t>:</w:t>
      </w:r>
      <w:r w:rsidR="009F184F" w:rsidRPr="00341FC2">
        <w:rPr>
          <w:i/>
          <w:sz w:val="20"/>
        </w:rPr>
        <w:t xml:space="preserve"> </w:t>
      </w:r>
      <w:r w:rsidRPr="00341FC2">
        <w:rPr>
          <w:rFonts w:ascii="Arial" w:eastAsia="Times New Roman" w:hAnsi="Arial" w:cs="Arial"/>
          <w:b/>
          <w:bCs/>
          <w:sz w:val="20"/>
          <w:lang w:eastAsia="en-AU"/>
        </w:rPr>
        <w:t>C13492</w:t>
      </w:r>
    </w:p>
    <w:p w14:paraId="3502180E" w14:textId="62A07163" w:rsidR="0058614C" w:rsidRPr="00341FC2" w:rsidRDefault="0058614C" w:rsidP="009D26A8">
      <w:pPr>
        <w:pStyle w:val="Amendment1"/>
        <w:numPr>
          <w:ilvl w:val="0"/>
          <w:numId w:val="7"/>
        </w:numPr>
        <w:spacing w:line="260" w:lineRule="exact"/>
      </w:pPr>
      <w:r w:rsidRPr="00341FC2">
        <w:t xml:space="preserve">Schedule 1, entry for </w:t>
      </w:r>
      <w:proofErr w:type="spellStart"/>
      <w:r w:rsidRPr="00341FC2">
        <w:t>Iloprost</w:t>
      </w:r>
      <w:proofErr w:type="spellEnd"/>
    </w:p>
    <w:p w14:paraId="2C61A65B" w14:textId="22AD7497" w:rsidR="0058614C" w:rsidRPr="00341FC2" w:rsidRDefault="0058614C" w:rsidP="006C170D">
      <w:pPr>
        <w:spacing w:before="60" w:after="60"/>
        <w:ind w:left="794"/>
        <w:rPr>
          <w:rFonts w:ascii="Arial" w:hAnsi="Arial" w:cs="Arial"/>
          <w:b/>
          <w:bCs/>
          <w:sz w:val="20"/>
          <w:lang w:eastAsia="en-AU"/>
        </w:rPr>
      </w:pPr>
      <w:r w:rsidRPr="00341FC2">
        <w:rPr>
          <w:i/>
          <w:sz w:val="20"/>
        </w:rPr>
        <w:t>omit from the column headed “Circumstances</w:t>
      </w:r>
      <w:r w:rsidR="00DC2B1D" w:rsidRPr="00341FC2">
        <w:rPr>
          <w:i/>
          <w:sz w:val="20"/>
        </w:rPr>
        <w:t>”</w:t>
      </w:r>
      <w:r w:rsidR="00356901" w:rsidRPr="00341FC2">
        <w:rPr>
          <w:i/>
          <w:sz w:val="20"/>
        </w:rPr>
        <w:t>:</w:t>
      </w:r>
      <w:r w:rsidRPr="00341FC2">
        <w:rPr>
          <w:i/>
          <w:sz w:val="20"/>
        </w:rPr>
        <w:t xml:space="preserve"> </w:t>
      </w:r>
      <w:r w:rsidRPr="00341FC2">
        <w:rPr>
          <w:rFonts w:ascii="Arial" w:eastAsia="Times New Roman" w:hAnsi="Arial" w:cs="Arial"/>
          <w:b/>
          <w:bCs/>
          <w:sz w:val="20"/>
          <w:lang w:eastAsia="en-AU"/>
        </w:rPr>
        <w:t>C13492</w:t>
      </w:r>
    </w:p>
    <w:p w14:paraId="07B7670A" w14:textId="0702B5AF" w:rsidR="0058614C" w:rsidRPr="00341FC2" w:rsidRDefault="0058614C" w:rsidP="009D26A8">
      <w:pPr>
        <w:pStyle w:val="Amendment1"/>
        <w:numPr>
          <w:ilvl w:val="0"/>
          <w:numId w:val="7"/>
        </w:numPr>
        <w:spacing w:line="260" w:lineRule="exact"/>
      </w:pPr>
      <w:r w:rsidRPr="00341FC2">
        <w:t xml:space="preserve">Schedule 1, entry for </w:t>
      </w:r>
      <w:proofErr w:type="spellStart"/>
      <w:r w:rsidRPr="00341FC2">
        <w:t>Macitentan</w:t>
      </w:r>
      <w:proofErr w:type="spellEnd"/>
    </w:p>
    <w:p w14:paraId="21F8B0D8" w14:textId="735E806C" w:rsidR="0058614C" w:rsidRPr="00341FC2" w:rsidRDefault="0058614C" w:rsidP="006C170D">
      <w:pPr>
        <w:spacing w:before="60" w:after="60"/>
        <w:ind w:left="794"/>
        <w:rPr>
          <w:rFonts w:ascii="Arial" w:eastAsia="Times New Roman" w:hAnsi="Arial" w:cs="Arial"/>
          <w:b/>
          <w:bCs/>
          <w:sz w:val="20"/>
          <w:lang w:eastAsia="en-AU"/>
        </w:rPr>
      </w:pPr>
      <w:r w:rsidRPr="00341FC2">
        <w:rPr>
          <w:i/>
          <w:sz w:val="20"/>
        </w:rPr>
        <w:t>omit from the column headed “Circumstances”</w:t>
      </w:r>
      <w:r w:rsidR="00356901" w:rsidRPr="00341FC2">
        <w:rPr>
          <w:i/>
          <w:sz w:val="20"/>
        </w:rPr>
        <w:t>:</w:t>
      </w:r>
      <w:r w:rsidRPr="00341FC2">
        <w:rPr>
          <w:i/>
          <w:sz w:val="20"/>
        </w:rPr>
        <w:t xml:space="preserve"> </w:t>
      </w:r>
      <w:r w:rsidRPr="00341FC2">
        <w:rPr>
          <w:rFonts w:ascii="Arial" w:eastAsia="Times New Roman" w:hAnsi="Arial" w:cs="Arial"/>
          <w:b/>
          <w:bCs/>
          <w:sz w:val="20"/>
          <w:lang w:eastAsia="en-AU"/>
        </w:rPr>
        <w:t>C13580</w:t>
      </w:r>
    </w:p>
    <w:p w14:paraId="5FF96A58" w14:textId="2F7335FE" w:rsidR="00F867C6" w:rsidRPr="00341FC2" w:rsidRDefault="00F867C6" w:rsidP="009D26A8">
      <w:pPr>
        <w:pStyle w:val="Amendment1"/>
        <w:numPr>
          <w:ilvl w:val="0"/>
          <w:numId w:val="7"/>
        </w:numPr>
        <w:spacing w:line="260" w:lineRule="exact"/>
      </w:pPr>
      <w:r w:rsidRPr="00341FC2">
        <w:t xml:space="preserve">Schedule 1, entry for </w:t>
      </w:r>
      <w:proofErr w:type="spellStart"/>
      <w:r w:rsidRPr="00341FC2">
        <w:t>Pegcetacoplan</w:t>
      </w:r>
      <w:proofErr w:type="spellEnd"/>
    </w:p>
    <w:p w14:paraId="7E71A235" w14:textId="1FF774F5" w:rsidR="00F867C6" w:rsidRPr="00341FC2" w:rsidRDefault="00F867C6" w:rsidP="006C170D">
      <w:pPr>
        <w:spacing w:before="60" w:after="60"/>
        <w:ind w:left="794"/>
        <w:rPr>
          <w:rFonts w:ascii="Arial" w:eastAsia="Times New Roman" w:hAnsi="Arial" w:cs="Arial"/>
          <w:b/>
          <w:bCs/>
          <w:sz w:val="20"/>
          <w:lang w:eastAsia="en-AU"/>
        </w:rPr>
      </w:pPr>
      <w:r w:rsidRPr="00341FC2">
        <w:rPr>
          <w:i/>
          <w:sz w:val="20"/>
        </w:rPr>
        <w:t>omit from the column headed “Circumstances”</w:t>
      </w:r>
      <w:r w:rsidR="00356901" w:rsidRPr="00341FC2">
        <w:rPr>
          <w:i/>
          <w:sz w:val="20"/>
        </w:rPr>
        <w:t>:</w:t>
      </w:r>
      <w:r w:rsidRPr="00341FC2">
        <w:rPr>
          <w:i/>
          <w:sz w:val="20"/>
        </w:rPr>
        <w:t xml:space="preserve"> </w:t>
      </w:r>
      <w:r w:rsidRPr="00341FC2">
        <w:rPr>
          <w:rFonts w:ascii="Arial" w:eastAsia="Times New Roman" w:hAnsi="Arial" w:cs="Arial"/>
          <w:b/>
          <w:bCs/>
          <w:sz w:val="20"/>
          <w:lang w:eastAsia="en-AU"/>
        </w:rPr>
        <w:t>C13658</w:t>
      </w:r>
    </w:p>
    <w:p w14:paraId="4A07AEBC" w14:textId="3AF661DB" w:rsidR="00212930" w:rsidRPr="00341FC2" w:rsidRDefault="00212930" w:rsidP="009D26A8">
      <w:pPr>
        <w:pStyle w:val="Amendment1"/>
        <w:numPr>
          <w:ilvl w:val="0"/>
          <w:numId w:val="7"/>
        </w:numPr>
        <w:spacing w:line="260" w:lineRule="exact"/>
      </w:pPr>
      <w:r w:rsidRPr="00341FC2">
        <w:t>Schedule 1, entry for Selinexor</w:t>
      </w:r>
    </w:p>
    <w:p w14:paraId="7CEFD881" w14:textId="46616D6E" w:rsidR="00212930" w:rsidRPr="00341FC2" w:rsidRDefault="00212930" w:rsidP="00212930">
      <w:pPr>
        <w:pStyle w:val="Amendment1"/>
        <w:tabs>
          <w:tab w:val="clear" w:pos="794"/>
        </w:tabs>
        <w:spacing w:before="60" w:after="60" w:line="260" w:lineRule="exact"/>
        <w:ind w:firstLine="0"/>
        <w:rPr>
          <w:rFonts w:ascii="Times New Roman" w:hAnsi="Times New Roman" w:cs="Times New Roman"/>
          <w:b w:val="0"/>
          <w:bCs w:val="0"/>
          <w:i/>
          <w:iCs/>
        </w:rPr>
      </w:pPr>
      <w:r w:rsidRPr="00341FC2">
        <w:rPr>
          <w:rFonts w:ascii="Times New Roman" w:hAnsi="Times New Roman" w:cs="Times New Roman"/>
          <w:b w:val="0"/>
          <w:bCs w:val="0"/>
          <w:i/>
          <w:iCs/>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212930" w:rsidRPr="00341FC2" w14:paraId="7B9D5D97" w14:textId="77777777" w:rsidTr="00A07553">
        <w:tc>
          <w:tcPr>
            <w:tcW w:w="1702" w:type="dxa"/>
            <w:tcBorders>
              <w:top w:val="single" w:sz="4" w:space="0" w:color="auto"/>
              <w:left w:val="single" w:sz="4" w:space="0" w:color="auto"/>
              <w:bottom w:val="single" w:sz="4" w:space="0" w:color="auto"/>
              <w:right w:val="nil"/>
            </w:tcBorders>
          </w:tcPr>
          <w:p w14:paraId="05D202D4" w14:textId="06A11149" w:rsidR="00212930" w:rsidRPr="00341FC2" w:rsidRDefault="00212930" w:rsidP="00212930">
            <w:pPr>
              <w:widowControl w:val="0"/>
              <w:spacing w:before="60" w:after="60" w:line="240" w:lineRule="auto"/>
              <w:rPr>
                <w:rFonts w:ascii="Arial" w:hAnsi="Arial" w:cs="Arial"/>
                <w:sz w:val="16"/>
                <w:szCs w:val="16"/>
              </w:rPr>
            </w:pPr>
            <w:r w:rsidRPr="00341FC2">
              <w:rPr>
                <w:rFonts w:ascii="Arial" w:hAnsi="Arial" w:cs="Arial"/>
                <w:sz w:val="16"/>
                <w:szCs w:val="16"/>
              </w:rPr>
              <w:t>Selinexor</w:t>
            </w:r>
          </w:p>
        </w:tc>
        <w:tc>
          <w:tcPr>
            <w:tcW w:w="3402" w:type="dxa"/>
            <w:tcBorders>
              <w:top w:val="single" w:sz="4" w:space="0" w:color="auto"/>
              <w:left w:val="nil"/>
              <w:bottom w:val="single" w:sz="4" w:space="0" w:color="auto"/>
              <w:right w:val="nil"/>
            </w:tcBorders>
          </w:tcPr>
          <w:p w14:paraId="64C33C61" w14:textId="6C20C9CD" w:rsidR="00212930" w:rsidRPr="00341FC2" w:rsidRDefault="00212930" w:rsidP="00212930">
            <w:pPr>
              <w:widowControl w:val="0"/>
              <w:spacing w:before="60" w:after="60" w:line="240" w:lineRule="auto"/>
              <w:rPr>
                <w:rFonts w:ascii="Arial" w:hAnsi="Arial" w:cs="Arial"/>
                <w:sz w:val="16"/>
                <w:szCs w:val="16"/>
              </w:rPr>
            </w:pPr>
            <w:r w:rsidRPr="00341FC2">
              <w:rPr>
                <w:rFonts w:ascii="Arial" w:hAnsi="Arial" w:cs="Arial"/>
                <w:sz w:val="16"/>
                <w:szCs w:val="16"/>
              </w:rPr>
              <w:t xml:space="preserve">Tablet 20 mg </w:t>
            </w:r>
          </w:p>
        </w:tc>
        <w:tc>
          <w:tcPr>
            <w:tcW w:w="1417" w:type="dxa"/>
            <w:tcBorders>
              <w:top w:val="single" w:sz="4" w:space="0" w:color="auto"/>
              <w:left w:val="nil"/>
              <w:bottom w:val="single" w:sz="4" w:space="0" w:color="auto"/>
              <w:right w:val="nil"/>
            </w:tcBorders>
          </w:tcPr>
          <w:p w14:paraId="30F04C60" w14:textId="40EAA4B9" w:rsidR="00212930" w:rsidRPr="00341FC2" w:rsidRDefault="00212930" w:rsidP="00212930">
            <w:pPr>
              <w:widowControl w:val="0"/>
              <w:spacing w:before="60" w:after="60" w:line="240" w:lineRule="auto"/>
              <w:rPr>
                <w:rFonts w:ascii="Arial" w:hAnsi="Arial" w:cs="Arial"/>
                <w:sz w:val="16"/>
                <w:szCs w:val="16"/>
              </w:rPr>
            </w:pPr>
            <w:r w:rsidRPr="00341FC2">
              <w:rPr>
                <w:rFonts w:ascii="Arial" w:hAnsi="Arial" w:cs="Arial"/>
                <w:sz w:val="16"/>
                <w:szCs w:val="16"/>
              </w:rPr>
              <w:t xml:space="preserve">Oral </w:t>
            </w:r>
          </w:p>
        </w:tc>
        <w:tc>
          <w:tcPr>
            <w:tcW w:w="1701" w:type="dxa"/>
            <w:tcBorders>
              <w:top w:val="single" w:sz="4" w:space="0" w:color="auto"/>
              <w:left w:val="nil"/>
              <w:bottom w:val="single" w:sz="4" w:space="0" w:color="auto"/>
              <w:right w:val="nil"/>
            </w:tcBorders>
          </w:tcPr>
          <w:p w14:paraId="0DAED160" w14:textId="04BE32BD" w:rsidR="00212930" w:rsidRPr="00341FC2" w:rsidRDefault="00212930" w:rsidP="00212930">
            <w:pPr>
              <w:widowControl w:val="0"/>
              <w:spacing w:before="60" w:after="60" w:line="240" w:lineRule="auto"/>
              <w:rPr>
                <w:rFonts w:ascii="Arial" w:hAnsi="Arial" w:cs="Arial"/>
                <w:sz w:val="16"/>
                <w:szCs w:val="16"/>
              </w:rPr>
            </w:pPr>
            <w:proofErr w:type="spellStart"/>
            <w:r w:rsidRPr="00341FC2">
              <w:rPr>
                <w:rFonts w:ascii="Arial" w:hAnsi="Arial" w:cs="Arial"/>
                <w:sz w:val="16"/>
                <w:szCs w:val="16"/>
              </w:rPr>
              <w:t>Xpovio</w:t>
            </w:r>
            <w:proofErr w:type="spellEnd"/>
          </w:p>
        </w:tc>
        <w:tc>
          <w:tcPr>
            <w:tcW w:w="1417" w:type="dxa"/>
            <w:tcBorders>
              <w:top w:val="single" w:sz="4" w:space="0" w:color="auto"/>
              <w:left w:val="nil"/>
              <w:bottom w:val="single" w:sz="4" w:space="0" w:color="auto"/>
              <w:right w:val="nil"/>
            </w:tcBorders>
          </w:tcPr>
          <w:p w14:paraId="06A302D4" w14:textId="0FAD34DC" w:rsidR="00212930" w:rsidRPr="00341FC2" w:rsidRDefault="00212930" w:rsidP="00212930">
            <w:pPr>
              <w:widowControl w:val="0"/>
              <w:spacing w:before="60" w:after="60" w:line="240" w:lineRule="auto"/>
              <w:rPr>
                <w:rFonts w:ascii="Arial" w:hAnsi="Arial" w:cs="Arial"/>
                <w:sz w:val="16"/>
                <w:szCs w:val="16"/>
              </w:rPr>
            </w:pPr>
            <w:r w:rsidRPr="00341FC2">
              <w:rPr>
                <w:rFonts w:ascii="Arial" w:eastAsia="Arial" w:hAnsi="Arial" w:cs="Arial"/>
                <w:sz w:val="16"/>
                <w:szCs w:val="22"/>
                <w:lang w:eastAsia="zh-CN"/>
              </w:rPr>
              <w:t>C14021 C14022 C14023 C14024 C14031 C14037 C14039 C14045</w:t>
            </w:r>
          </w:p>
        </w:tc>
        <w:tc>
          <w:tcPr>
            <w:tcW w:w="1417" w:type="dxa"/>
            <w:tcBorders>
              <w:top w:val="single" w:sz="4" w:space="0" w:color="auto"/>
              <w:left w:val="nil"/>
              <w:bottom w:val="single" w:sz="4" w:space="0" w:color="auto"/>
              <w:right w:val="nil"/>
            </w:tcBorders>
          </w:tcPr>
          <w:p w14:paraId="36B04646" w14:textId="77777777" w:rsidR="00212930" w:rsidRPr="00341FC2" w:rsidRDefault="00212930" w:rsidP="00212930">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2384BB4E" w14:textId="2E737F92" w:rsidR="00212930" w:rsidRPr="00341FC2" w:rsidRDefault="00212930" w:rsidP="00212930">
            <w:pPr>
              <w:widowControl w:val="0"/>
              <w:spacing w:before="60" w:after="60" w:line="240" w:lineRule="auto"/>
              <w:rPr>
                <w:rFonts w:ascii="Arial" w:hAnsi="Arial" w:cs="Arial"/>
                <w:sz w:val="16"/>
                <w:szCs w:val="16"/>
              </w:rPr>
            </w:pPr>
            <w:r w:rsidRPr="00341FC2">
              <w:rPr>
                <w:rFonts w:ascii="Arial" w:hAnsi="Arial" w:cs="Arial"/>
                <w:sz w:val="16"/>
                <w:szCs w:val="16"/>
              </w:rPr>
              <w:t>See Schedule 2</w:t>
            </w:r>
          </w:p>
        </w:tc>
        <w:tc>
          <w:tcPr>
            <w:tcW w:w="1417" w:type="dxa"/>
            <w:tcBorders>
              <w:top w:val="single" w:sz="4" w:space="0" w:color="auto"/>
              <w:left w:val="nil"/>
              <w:bottom w:val="single" w:sz="4" w:space="0" w:color="auto"/>
              <w:right w:val="single" w:sz="4" w:space="0" w:color="auto"/>
            </w:tcBorders>
          </w:tcPr>
          <w:p w14:paraId="36126AF1" w14:textId="019F6C36" w:rsidR="00212930" w:rsidRPr="00341FC2" w:rsidRDefault="00212930" w:rsidP="00212930">
            <w:pPr>
              <w:widowControl w:val="0"/>
              <w:spacing w:before="60" w:after="60" w:line="240" w:lineRule="auto"/>
              <w:rPr>
                <w:rFonts w:ascii="Arial" w:hAnsi="Arial" w:cs="Arial"/>
                <w:sz w:val="16"/>
                <w:szCs w:val="16"/>
              </w:rPr>
            </w:pPr>
            <w:r w:rsidRPr="00341FC2">
              <w:rPr>
                <w:rFonts w:ascii="Arial" w:hAnsi="Arial" w:cs="Arial"/>
                <w:sz w:val="16"/>
                <w:szCs w:val="16"/>
              </w:rPr>
              <w:t>See Schedule 2</w:t>
            </w:r>
          </w:p>
        </w:tc>
      </w:tr>
    </w:tbl>
    <w:p w14:paraId="11BB3EE4" w14:textId="4C8FF71B" w:rsidR="00F867C6" w:rsidRPr="00341FC2" w:rsidRDefault="00F867C6" w:rsidP="00B43C9C">
      <w:pPr>
        <w:pStyle w:val="Amendment1"/>
        <w:keepNext/>
        <w:numPr>
          <w:ilvl w:val="0"/>
          <w:numId w:val="7"/>
        </w:numPr>
        <w:spacing w:line="260" w:lineRule="exact"/>
      </w:pPr>
      <w:r w:rsidRPr="00341FC2">
        <w:lastRenderedPageBreak/>
        <w:t>Schedule 1, entry for Sildenafil</w:t>
      </w:r>
    </w:p>
    <w:p w14:paraId="576861FB" w14:textId="432CE6F7" w:rsidR="00F867C6" w:rsidRPr="00341FC2" w:rsidRDefault="00F867C6" w:rsidP="006C170D">
      <w:pPr>
        <w:spacing w:before="60" w:after="60"/>
        <w:ind w:left="794"/>
        <w:rPr>
          <w:rFonts w:ascii="Arial" w:eastAsia="Times New Roman" w:hAnsi="Arial" w:cs="Arial"/>
          <w:b/>
          <w:bCs/>
          <w:sz w:val="20"/>
          <w:lang w:eastAsia="en-AU"/>
        </w:rPr>
      </w:pPr>
      <w:r w:rsidRPr="00341FC2">
        <w:rPr>
          <w:i/>
          <w:sz w:val="20"/>
        </w:rPr>
        <w:t>omit from the column headed “Circumstances” (all instances)</w:t>
      </w:r>
      <w:r w:rsidR="00356901" w:rsidRPr="00341FC2">
        <w:rPr>
          <w:i/>
          <w:sz w:val="20"/>
        </w:rPr>
        <w:t>:</w:t>
      </w:r>
      <w:r w:rsidRPr="00341FC2">
        <w:rPr>
          <w:i/>
          <w:sz w:val="20"/>
        </w:rPr>
        <w:t xml:space="preserve"> </w:t>
      </w:r>
      <w:proofErr w:type="gramStart"/>
      <w:r w:rsidRPr="00341FC2">
        <w:rPr>
          <w:rFonts w:ascii="Arial" w:eastAsia="Times New Roman" w:hAnsi="Arial" w:cs="Arial"/>
          <w:b/>
          <w:bCs/>
          <w:sz w:val="20"/>
          <w:lang w:eastAsia="en-AU"/>
        </w:rPr>
        <w:t>C13671</w:t>
      </w:r>
      <w:proofErr w:type="gramEnd"/>
    </w:p>
    <w:p w14:paraId="30AF4E14" w14:textId="2ACC2ABE" w:rsidR="00F867C6" w:rsidRPr="00341FC2" w:rsidRDefault="00F867C6" w:rsidP="00B43C9C">
      <w:pPr>
        <w:pStyle w:val="Amendment1"/>
        <w:numPr>
          <w:ilvl w:val="0"/>
          <w:numId w:val="7"/>
        </w:numPr>
        <w:spacing w:line="260" w:lineRule="exact"/>
        <w:rPr>
          <w:bCs w:val="0"/>
          <w:iCs/>
        </w:rPr>
      </w:pPr>
      <w:r w:rsidRPr="00341FC2">
        <w:t>Schedule</w:t>
      </w:r>
      <w:r w:rsidRPr="00341FC2">
        <w:rPr>
          <w:bCs w:val="0"/>
          <w:iCs/>
        </w:rPr>
        <w:t xml:space="preserve"> 1, entry for Tacrolimus in the form Capsule 0.5 mg (once daily prolonged release)</w:t>
      </w:r>
    </w:p>
    <w:p w14:paraId="50531A0D" w14:textId="77777777" w:rsidR="00F867C6" w:rsidRPr="00341FC2" w:rsidRDefault="00F867C6" w:rsidP="006C170D">
      <w:pPr>
        <w:spacing w:before="60" w:after="60"/>
        <w:ind w:left="794"/>
      </w:pPr>
      <w:r w:rsidRPr="00341FC2">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14402E2E" w14:textId="77777777" w:rsidTr="007D2624">
        <w:tc>
          <w:tcPr>
            <w:tcW w:w="1702" w:type="dxa"/>
          </w:tcPr>
          <w:p w14:paraId="1F1B34D3" w14:textId="77777777" w:rsidR="00F867C6" w:rsidRPr="00341FC2" w:rsidRDefault="00F867C6" w:rsidP="00F867C6">
            <w:pPr>
              <w:widowControl w:val="0"/>
              <w:spacing w:before="60" w:after="60" w:line="240" w:lineRule="auto"/>
              <w:rPr>
                <w:rFonts w:ascii="Arial" w:hAnsi="Arial" w:cs="Arial"/>
                <w:sz w:val="16"/>
                <w:szCs w:val="16"/>
              </w:rPr>
            </w:pPr>
          </w:p>
        </w:tc>
        <w:tc>
          <w:tcPr>
            <w:tcW w:w="3402" w:type="dxa"/>
          </w:tcPr>
          <w:p w14:paraId="71C63CCB" w14:textId="77777777" w:rsidR="00F867C6" w:rsidRPr="00341FC2" w:rsidRDefault="00F867C6" w:rsidP="00F867C6">
            <w:pPr>
              <w:widowControl w:val="0"/>
              <w:spacing w:before="60" w:after="60" w:line="240" w:lineRule="auto"/>
              <w:rPr>
                <w:rFonts w:ascii="Arial" w:hAnsi="Arial" w:cs="Arial"/>
                <w:sz w:val="16"/>
                <w:szCs w:val="16"/>
              </w:rPr>
            </w:pPr>
          </w:p>
        </w:tc>
        <w:tc>
          <w:tcPr>
            <w:tcW w:w="1417" w:type="dxa"/>
          </w:tcPr>
          <w:p w14:paraId="5D173626" w14:textId="77777777" w:rsidR="00F867C6" w:rsidRPr="00341FC2" w:rsidRDefault="00F867C6" w:rsidP="00F867C6">
            <w:pPr>
              <w:widowControl w:val="0"/>
              <w:spacing w:before="60" w:after="60" w:line="240" w:lineRule="auto"/>
              <w:rPr>
                <w:rFonts w:ascii="Arial" w:hAnsi="Arial" w:cs="Arial"/>
                <w:sz w:val="16"/>
                <w:szCs w:val="16"/>
              </w:rPr>
            </w:pPr>
          </w:p>
        </w:tc>
        <w:tc>
          <w:tcPr>
            <w:tcW w:w="1701" w:type="dxa"/>
          </w:tcPr>
          <w:p w14:paraId="5E853A20" w14:textId="4097A430" w:rsidR="00F867C6" w:rsidRPr="00341FC2" w:rsidRDefault="00F867C6" w:rsidP="00F867C6">
            <w:pPr>
              <w:widowControl w:val="0"/>
              <w:spacing w:before="60" w:after="60" w:line="240" w:lineRule="auto"/>
              <w:rPr>
                <w:rFonts w:ascii="Arial" w:hAnsi="Arial" w:cs="Arial"/>
                <w:sz w:val="16"/>
                <w:szCs w:val="16"/>
              </w:rPr>
            </w:pPr>
            <w:r w:rsidRPr="00341FC2">
              <w:rPr>
                <w:rFonts w:ascii="Arial" w:hAnsi="Arial" w:cs="Arial"/>
                <w:sz w:val="16"/>
                <w:szCs w:val="16"/>
              </w:rPr>
              <w:t>Tacrolimus XR Sandoz</w:t>
            </w:r>
          </w:p>
        </w:tc>
        <w:tc>
          <w:tcPr>
            <w:tcW w:w="1417" w:type="dxa"/>
          </w:tcPr>
          <w:p w14:paraId="3813D42A" w14:textId="14829025" w:rsidR="00F867C6" w:rsidRPr="00341FC2" w:rsidRDefault="00F867C6" w:rsidP="00F867C6">
            <w:pPr>
              <w:widowControl w:val="0"/>
              <w:spacing w:before="60" w:after="60" w:line="240" w:lineRule="auto"/>
              <w:rPr>
                <w:rFonts w:ascii="Arial" w:hAnsi="Arial" w:cs="Arial"/>
                <w:sz w:val="16"/>
                <w:szCs w:val="16"/>
              </w:rPr>
            </w:pPr>
            <w:r w:rsidRPr="00341FC2">
              <w:rPr>
                <w:rFonts w:ascii="Arial" w:hAnsi="Arial" w:cs="Arial"/>
                <w:sz w:val="16"/>
                <w:szCs w:val="16"/>
              </w:rPr>
              <w:t>C5569 C9697</w:t>
            </w:r>
          </w:p>
        </w:tc>
        <w:tc>
          <w:tcPr>
            <w:tcW w:w="1417" w:type="dxa"/>
          </w:tcPr>
          <w:p w14:paraId="6BBF105E" w14:textId="77777777" w:rsidR="00F867C6" w:rsidRPr="00341FC2" w:rsidRDefault="00F867C6" w:rsidP="00F867C6">
            <w:pPr>
              <w:widowControl w:val="0"/>
              <w:spacing w:before="60" w:after="60" w:line="240" w:lineRule="auto"/>
              <w:rPr>
                <w:rFonts w:ascii="Arial" w:hAnsi="Arial" w:cs="Arial"/>
                <w:sz w:val="16"/>
                <w:szCs w:val="16"/>
              </w:rPr>
            </w:pPr>
          </w:p>
        </w:tc>
        <w:tc>
          <w:tcPr>
            <w:tcW w:w="1417" w:type="dxa"/>
          </w:tcPr>
          <w:p w14:paraId="1BE3E06F" w14:textId="6FE09296" w:rsidR="00F867C6" w:rsidRPr="00341FC2" w:rsidRDefault="00F867C6" w:rsidP="00F867C6">
            <w:pPr>
              <w:widowControl w:val="0"/>
              <w:spacing w:before="60" w:after="60" w:line="240" w:lineRule="auto"/>
              <w:rPr>
                <w:rFonts w:ascii="Arial" w:hAnsi="Arial" w:cs="Arial"/>
                <w:sz w:val="16"/>
                <w:szCs w:val="16"/>
              </w:rPr>
            </w:pPr>
            <w:r w:rsidRPr="00341FC2">
              <w:rPr>
                <w:rFonts w:ascii="Arial" w:hAnsi="Arial" w:cs="Arial"/>
                <w:sz w:val="16"/>
                <w:szCs w:val="16"/>
              </w:rPr>
              <w:t>60</w:t>
            </w:r>
          </w:p>
        </w:tc>
        <w:tc>
          <w:tcPr>
            <w:tcW w:w="1417" w:type="dxa"/>
          </w:tcPr>
          <w:p w14:paraId="1025C696" w14:textId="6788F725" w:rsidR="00F867C6" w:rsidRPr="00341FC2" w:rsidRDefault="00356901" w:rsidP="00F867C6">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72EE5FAF" w14:textId="7798234F" w:rsidR="00F867C6" w:rsidRPr="00341FC2" w:rsidRDefault="00F867C6" w:rsidP="009D26A8">
      <w:pPr>
        <w:pStyle w:val="Amendment1"/>
        <w:numPr>
          <w:ilvl w:val="0"/>
          <w:numId w:val="7"/>
        </w:numPr>
        <w:spacing w:line="260" w:lineRule="exact"/>
        <w:rPr>
          <w:bCs w:val="0"/>
          <w:iCs/>
        </w:rPr>
      </w:pPr>
      <w:r w:rsidRPr="00341FC2">
        <w:t>Schedule</w:t>
      </w:r>
      <w:r w:rsidRPr="00341FC2">
        <w:rPr>
          <w:bCs w:val="0"/>
          <w:iCs/>
        </w:rPr>
        <w:t xml:space="preserve"> 1, entry for Tacrolimus in the form </w:t>
      </w:r>
      <w:r w:rsidR="00356901" w:rsidRPr="00341FC2">
        <w:rPr>
          <w:bCs w:val="0"/>
          <w:iCs/>
        </w:rPr>
        <w:t>Capsule 1 mg (once daily prolonged release)</w:t>
      </w:r>
    </w:p>
    <w:p w14:paraId="3DD9B67C" w14:textId="77777777" w:rsidR="00F867C6" w:rsidRPr="00341FC2" w:rsidRDefault="00F867C6" w:rsidP="006C170D">
      <w:pPr>
        <w:spacing w:before="60" w:after="60"/>
        <w:ind w:left="794"/>
      </w:pPr>
      <w:r w:rsidRPr="00341FC2">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7E9077B4" w14:textId="77777777" w:rsidTr="007D2624">
        <w:tc>
          <w:tcPr>
            <w:tcW w:w="1702" w:type="dxa"/>
          </w:tcPr>
          <w:p w14:paraId="643A7AE7" w14:textId="77777777" w:rsidR="00356901" w:rsidRPr="00341FC2" w:rsidRDefault="00356901" w:rsidP="00356901">
            <w:pPr>
              <w:widowControl w:val="0"/>
              <w:spacing w:before="60" w:after="60" w:line="240" w:lineRule="auto"/>
              <w:rPr>
                <w:rFonts w:ascii="Arial" w:hAnsi="Arial" w:cs="Arial"/>
                <w:sz w:val="16"/>
                <w:szCs w:val="16"/>
              </w:rPr>
            </w:pPr>
          </w:p>
        </w:tc>
        <w:tc>
          <w:tcPr>
            <w:tcW w:w="3402" w:type="dxa"/>
          </w:tcPr>
          <w:p w14:paraId="3289D12D"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6C2A7C58" w14:textId="77777777" w:rsidR="00356901" w:rsidRPr="00341FC2" w:rsidRDefault="00356901" w:rsidP="00356901">
            <w:pPr>
              <w:widowControl w:val="0"/>
              <w:spacing w:before="60" w:after="60" w:line="240" w:lineRule="auto"/>
              <w:rPr>
                <w:rFonts w:ascii="Arial" w:hAnsi="Arial" w:cs="Arial"/>
                <w:sz w:val="16"/>
                <w:szCs w:val="16"/>
              </w:rPr>
            </w:pPr>
          </w:p>
        </w:tc>
        <w:tc>
          <w:tcPr>
            <w:tcW w:w="1701" w:type="dxa"/>
          </w:tcPr>
          <w:p w14:paraId="34F1235F" w14:textId="5F4E5550"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Tacrolimus XR Sandoz</w:t>
            </w:r>
          </w:p>
        </w:tc>
        <w:tc>
          <w:tcPr>
            <w:tcW w:w="1417" w:type="dxa"/>
          </w:tcPr>
          <w:p w14:paraId="21E6C077" w14:textId="3B489BE7"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C5569 C9697</w:t>
            </w:r>
          </w:p>
        </w:tc>
        <w:tc>
          <w:tcPr>
            <w:tcW w:w="1417" w:type="dxa"/>
          </w:tcPr>
          <w:p w14:paraId="2C725D9D"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3A7E1558" w14:textId="53B6644F"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120</w:t>
            </w:r>
          </w:p>
        </w:tc>
        <w:tc>
          <w:tcPr>
            <w:tcW w:w="1417" w:type="dxa"/>
          </w:tcPr>
          <w:p w14:paraId="1205AB7C" w14:textId="17331793"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66BC9910" w14:textId="370357F3" w:rsidR="00356901" w:rsidRPr="00341FC2" w:rsidRDefault="00356901" w:rsidP="009D26A8">
      <w:pPr>
        <w:pStyle w:val="Amendment1"/>
        <w:numPr>
          <w:ilvl w:val="0"/>
          <w:numId w:val="7"/>
        </w:numPr>
        <w:spacing w:line="260" w:lineRule="exact"/>
        <w:rPr>
          <w:bCs w:val="0"/>
          <w:iCs/>
        </w:rPr>
      </w:pPr>
      <w:r w:rsidRPr="00341FC2">
        <w:t>Schedule</w:t>
      </w:r>
      <w:r w:rsidRPr="00341FC2">
        <w:rPr>
          <w:bCs w:val="0"/>
          <w:iCs/>
        </w:rPr>
        <w:t xml:space="preserve"> 1, entry for Tacrolimus in the form Capsule 3 mg (once daily prolonged release)</w:t>
      </w:r>
    </w:p>
    <w:p w14:paraId="6C48F937" w14:textId="77777777" w:rsidR="00356901" w:rsidRPr="00341FC2" w:rsidRDefault="00356901" w:rsidP="006C170D">
      <w:pPr>
        <w:spacing w:before="60" w:after="60"/>
        <w:ind w:left="794"/>
      </w:pPr>
      <w:r w:rsidRPr="00341FC2">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0C7B7425" w14:textId="77777777" w:rsidTr="007D2624">
        <w:tc>
          <w:tcPr>
            <w:tcW w:w="1702" w:type="dxa"/>
          </w:tcPr>
          <w:p w14:paraId="468D9D3B" w14:textId="77777777" w:rsidR="00356901" w:rsidRPr="00341FC2" w:rsidRDefault="00356901" w:rsidP="00356901">
            <w:pPr>
              <w:widowControl w:val="0"/>
              <w:spacing w:before="60" w:after="60" w:line="240" w:lineRule="auto"/>
              <w:rPr>
                <w:rFonts w:ascii="Arial" w:hAnsi="Arial" w:cs="Arial"/>
                <w:sz w:val="16"/>
                <w:szCs w:val="16"/>
              </w:rPr>
            </w:pPr>
          </w:p>
        </w:tc>
        <w:tc>
          <w:tcPr>
            <w:tcW w:w="3402" w:type="dxa"/>
          </w:tcPr>
          <w:p w14:paraId="41D5A9CA"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3CDF7D8E" w14:textId="77777777" w:rsidR="00356901" w:rsidRPr="00341FC2" w:rsidRDefault="00356901" w:rsidP="00356901">
            <w:pPr>
              <w:widowControl w:val="0"/>
              <w:spacing w:before="60" w:after="60" w:line="240" w:lineRule="auto"/>
              <w:rPr>
                <w:rFonts w:ascii="Arial" w:hAnsi="Arial" w:cs="Arial"/>
                <w:sz w:val="16"/>
                <w:szCs w:val="16"/>
              </w:rPr>
            </w:pPr>
          </w:p>
        </w:tc>
        <w:tc>
          <w:tcPr>
            <w:tcW w:w="1701" w:type="dxa"/>
          </w:tcPr>
          <w:p w14:paraId="64E07BE3" w14:textId="5A314EF1"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Tacrolimus XR Sandoz</w:t>
            </w:r>
          </w:p>
        </w:tc>
        <w:tc>
          <w:tcPr>
            <w:tcW w:w="1417" w:type="dxa"/>
          </w:tcPr>
          <w:p w14:paraId="12FDA25D" w14:textId="2B03D9AE"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C5569 C9697</w:t>
            </w:r>
          </w:p>
        </w:tc>
        <w:tc>
          <w:tcPr>
            <w:tcW w:w="1417" w:type="dxa"/>
          </w:tcPr>
          <w:p w14:paraId="274A76AB"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6EB75064" w14:textId="432B2370"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100</w:t>
            </w:r>
          </w:p>
        </w:tc>
        <w:tc>
          <w:tcPr>
            <w:tcW w:w="1417" w:type="dxa"/>
          </w:tcPr>
          <w:p w14:paraId="0993F71B" w14:textId="0EABF5F3"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3</w:t>
            </w:r>
          </w:p>
        </w:tc>
      </w:tr>
    </w:tbl>
    <w:p w14:paraId="3FB961CE" w14:textId="3D183652" w:rsidR="00356901" w:rsidRPr="00341FC2" w:rsidRDefault="00356901" w:rsidP="009D26A8">
      <w:pPr>
        <w:pStyle w:val="Amendment1"/>
        <w:numPr>
          <w:ilvl w:val="0"/>
          <w:numId w:val="7"/>
        </w:numPr>
        <w:spacing w:line="260" w:lineRule="exact"/>
        <w:rPr>
          <w:bCs w:val="0"/>
          <w:iCs/>
        </w:rPr>
      </w:pPr>
      <w:r w:rsidRPr="00341FC2">
        <w:t>Schedule</w:t>
      </w:r>
      <w:r w:rsidRPr="00341FC2">
        <w:rPr>
          <w:bCs w:val="0"/>
          <w:iCs/>
        </w:rPr>
        <w:t xml:space="preserve"> 1, entry for Tacrolimus in the form Capsule 5 mg (once daily prolonged release)</w:t>
      </w:r>
    </w:p>
    <w:p w14:paraId="45E9E5A4" w14:textId="77777777" w:rsidR="00356901" w:rsidRPr="00341FC2" w:rsidRDefault="00356901" w:rsidP="006C170D">
      <w:pPr>
        <w:spacing w:before="60" w:after="60"/>
        <w:ind w:left="794"/>
      </w:pPr>
      <w:r w:rsidRPr="00341FC2">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27789A3A" w14:textId="77777777" w:rsidTr="007D2624">
        <w:tc>
          <w:tcPr>
            <w:tcW w:w="1702" w:type="dxa"/>
          </w:tcPr>
          <w:p w14:paraId="391B9B32" w14:textId="77777777" w:rsidR="00356901" w:rsidRPr="00341FC2" w:rsidRDefault="00356901" w:rsidP="00356901">
            <w:pPr>
              <w:widowControl w:val="0"/>
              <w:spacing w:before="60" w:after="60" w:line="240" w:lineRule="auto"/>
              <w:rPr>
                <w:rFonts w:ascii="Arial" w:hAnsi="Arial" w:cs="Arial"/>
                <w:sz w:val="16"/>
                <w:szCs w:val="16"/>
              </w:rPr>
            </w:pPr>
          </w:p>
        </w:tc>
        <w:tc>
          <w:tcPr>
            <w:tcW w:w="3402" w:type="dxa"/>
          </w:tcPr>
          <w:p w14:paraId="731DA61A"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537A2496" w14:textId="77777777" w:rsidR="00356901" w:rsidRPr="00341FC2" w:rsidRDefault="00356901" w:rsidP="00356901">
            <w:pPr>
              <w:widowControl w:val="0"/>
              <w:spacing w:before="60" w:after="60" w:line="240" w:lineRule="auto"/>
              <w:rPr>
                <w:rFonts w:ascii="Arial" w:hAnsi="Arial" w:cs="Arial"/>
                <w:sz w:val="16"/>
                <w:szCs w:val="16"/>
              </w:rPr>
            </w:pPr>
          </w:p>
        </w:tc>
        <w:tc>
          <w:tcPr>
            <w:tcW w:w="1701" w:type="dxa"/>
          </w:tcPr>
          <w:p w14:paraId="0FDA7320" w14:textId="4BA6C522"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Tacrolimus XR Sandoz</w:t>
            </w:r>
          </w:p>
        </w:tc>
        <w:tc>
          <w:tcPr>
            <w:tcW w:w="1417" w:type="dxa"/>
          </w:tcPr>
          <w:p w14:paraId="4A7F43ED" w14:textId="18D2F867"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C5569 C9697</w:t>
            </w:r>
          </w:p>
        </w:tc>
        <w:tc>
          <w:tcPr>
            <w:tcW w:w="1417" w:type="dxa"/>
          </w:tcPr>
          <w:p w14:paraId="0F5DC8DF"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1BEFCA76" w14:textId="67641E0B"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60</w:t>
            </w:r>
          </w:p>
        </w:tc>
        <w:tc>
          <w:tcPr>
            <w:tcW w:w="1417" w:type="dxa"/>
          </w:tcPr>
          <w:p w14:paraId="5936D43A" w14:textId="1398EB8D"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28570A2D" w14:textId="77777777" w:rsidR="00356901" w:rsidRPr="00341FC2" w:rsidRDefault="00356901" w:rsidP="00DD306C">
      <w:pPr>
        <w:pStyle w:val="Amendment1"/>
        <w:numPr>
          <w:ilvl w:val="0"/>
          <w:numId w:val="7"/>
        </w:numPr>
        <w:spacing w:line="260" w:lineRule="exact"/>
      </w:pPr>
      <w:r w:rsidRPr="00341FC2">
        <w:t>Schedule 1, entry for Tadalafil</w:t>
      </w:r>
    </w:p>
    <w:p w14:paraId="3042382F" w14:textId="2AE0FD1D" w:rsidR="00356901" w:rsidRPr="00341FC2" w:rsidRDefault="00356901" w:rsidP="006C170D">
      <w:pPr>
        <w:spacing w:before="60" w:after="60"/>
        <w:ind w:left="794"/>
        <w:rPr>
          <w:rFonts w:ascii="Arial" w:eastAsia="Times New Roman" w:hAnsi="Arial" w:cs="Arial"/>
          <w:b/>
          <w:bCs/>
          <w:sz w:val="20"/>
          <w:lang w:eastAsia="en-AU"/>
        </w:rPr>
      </w:pPr>
      <w:r w:rsidRPr="00341FC2">
        <w:rPr>
          <w:i/>
          <w:sz w:val="20"/>
        </w:rPr>
        <w:t>omit</w:t>
      </w:r>
      <w:r w:rsidRPr="00341FC2">
        <w:rPr>
          <w:rFonts w:cs="Times New Roman"/>
          <w:i/>
          <w:sz w:val="20"/>
        </w:rPr>
        <w:t xml:space="preserve"> from the column headed “Circumstances” (all instances)</w:t>
      </w:r>
      <w:r w:rsidRPr="00341FC2">
        <w:rPr>
          <w:i/>
          <w:sz w:val="20"/>
        </w:rPr>
        <w:t xml:space="preserve">: </w:t>
      </w:r>
      <w:proofErr w:type="gramStart"/>
      <w:r w:rsidRPr="00341FC2">
        <w:rPr>
          <w:rFonts w:ascii="Arial" w:eastAsia="Times New Roman" w:hAnsi="Arial" w:cs="Arial"/>
          <w:b/>
          <w:bCs/>
          <w:sz w:val="20"/>
          <w:lang w:eastAsia="en-AU"/>
        </w:rPr>
        <w:t>C13671</w:t>
      </w:r>
      <w:proofErr w:type="gramEnd"/>
    </w:p>
    <w:p w14:paraId="4CC5748B" w14:textId="5D4A04B4" w:rsidR="00356901" w:rsidRPr="00341FC2" w:rsidRDefault="00356901" w:rsidP="00DD306C">
      <w:pPr>
        <w:pStyle w:val="Amendment1"/>
        <w:numPr>
          <w:ilvl w:val="0"/>
          <w:numId w:val="7"/>
        </w:numPr>
        <w:spacing w:line="260" w:lineRule="exact"/>
        <w:rPr>
          <w:bCs w:val="0"/>
          <w:iCs/>
        </w:rPr>
      </w:pPr>
      <w:r w:rsidRPr="00341FC2">
        <w:t>Schedule</w:t>
      </w:r>
      <w:r w:rsidRPr="00341FC2">
        <w:rPr>
          <w:bCs w:val="0"/>
          <w:iCs/>
        </w:rPr>
        <w:t xml:space="preserve"> 1, entry for Tenofovir with emtricitabine in the form Tablet containing tenofovir disoproxil maleate 300 mg with emtricitabine 200 </w:t>
      </w:r>
      <w:proofErr w:type="gramStart"/>
      <w:r w:rsidRPr="00341FC2">
        <w:rPr>
          <w:bCs w:val="0"/>
          <w:iCs/>
        </w:rPr>
        <w:t>mg</w:t>
      </w:r>
      <w:proofErr w:type="gramEnd"/>
    </w:p>
    <w:p w14:paraId="557B449D" w14:textId="4FECDC1F" w:rsidR="00356901" w:rsidRPr="00341FC2" w:rsidRDefault="00356901" w:rsidP="006C170D">
      <w:pPr>
        <w:spacing w:before="60" w:after="60"/>
        <w:ind w:left="794"/>
        <w:rPr>
          <w:rFonts w:ascii="Arial" w:hAnsi="Arial" w:cs="Arial"/>
          <w:b/>
          <w:iCs/>
        </w:rPr>
      </w:pPr>
      <w:r w:rsidRPr="00341FC2">
        <w:rPr>
          <w:i/>
          <w:sz w:val="20"/>
        </w:rPr>
        <w:t>omit</w:t>
      </w:r>
      <w:r w:rsidRPr="00341FC2">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C170D" w:rsidRPr="00341FC2" w14:paraId="2D73B237" w14:textId="77777777" w:rsidTr="007D2624">
        <w:tc>
          <w:tcPr>
            <w:tcW w:w="1702" w:type="dxa"/>
          </w:tcPr>
          <w:p w14:paraId="75042B93" w14:textId="77777777" w:rsidR="00356901" w:rsidRPr="00341FC2" w:rsidRDefault="00356901" w:rsidP="00356901">
            <w:pPr>
              <w:widowControl w:val="0"/>
              <w:spacing w:before="60" w:after="60" w:line="240" w:lineRule="auto"/>
              <w:rPr>
                <w:rFonts w:ascii="Arial" w:hAnsi="Arial" w:cs="Arial"/>
                <w:sz w:val="16"/>
                <w:szCs w:val="16"/>
              </w:rPr>
            </w:pPr>
          </w:p>
        </w:tc>
        <w:tc>
          <w:tcPr>
            <w:tcW w:w="3402" w:type="dxa"/>
          </w:tcPr>
          <w:p w14:paraId="3C089FDD"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31E9A5B2" w14:textId="77777777" w:rsidR="00356901" w:rsidRPr="00341FC2" w:rsidRDefault="00356901" w:rsidP="00356901">
            <w:pPr>
              <w:widowControl w:val="0"/>
              <w:spacing w:before="60" w:after="60" w:line="240" w:lineRule="auto"/>
              <w:rPr>
                <w:rFonts w:ascii="Arial" w:hAnsi="Arial" w:cs="Arial"/>
                <w:sz w:val="16"/>
                <w:szCs w:val="16"/>
              </w:rPr>
            </w:pPr>
          </w:p>
        </w:tc>
        <w:tc>
          <w:tcPr>
            <w:tcW w:w="1701" w:type="dxa"/>
          </w:tcPr>
          <w:p w14:paraId="6B867148" w14:textId="5770EE74"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Tenofovir Disoproxil Emtricitabine Mylan 300/200</w:t>
            </w:r>
          </w:p>
        </w:tc>
        <w:tc>
          <w:tcPr>
            <w:tcW w:w="1417" w:type="dxa"/>
          </w:tcPr>
          <w:p w14:paraId="1FB4CC45" w14:textId="0AF1E020"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C6985 C6986</w:t>
            </w:r>
          </w:p>
        </w:tc>
        <w:tc>
          <w:tcPr>
            <w:tcW w:w="1417" w:type="dxa"/>
          </w:tcPr>
          <w:p w14:paraId="760D494E" w14:textId="77777777" w:rsidR="00356901" w:rsidRPr="00341FC2" w:rsidRDefault="00356901" w:rsidP="00356901">
            <w:pPr>
              <w:widowControl w:val="0"/>
              <w:spacing w:before="60" w:after="60" w:line="240" w:lineRule="auto"/>
              <w:rPr>
                <w:rFonts w:ascii="Arial" w:hAnsi="Arial" w:cs="Arial"/>
                <w:sz w:val="16"/>
                <w:szCs w:val="16"/>
              </w:rPr>
            </w:pPr>
          </w:p>
        </w:tc>
        <w:tc>
          <w:tcPr>
            <w:tcW w:w="1417" w:type="dxa"/>
          </w:tcPr>
          <w:p w14:paraId="76C23828" w14:textId="569F76CF"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60</w:t>
            </w:r>
          </w:p>
        </w:tc>
        <w:tc>
          <w:tcPr>
            <w:tcW w:w="1417" w:type="dxa"/>
          </w:tcPr>
          <w:p w14:paraId="13F15C6E" w14:textId="483B4E55" w:rsidR="00356901" w:rsidRPr="00341FC2" w:rsidRDefault="00356901" w:rsidP="00356901">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1D96D6BA" w14:textId="73AF0B69" w:rsidR="002E1674" w:rsidRPr="00341FC2" w:rsidRDefault="002E1674" w:rsidP="00B43C9C">
      <w:pPr>
        <w:pStyle w:val="Amendment1"/>
        <w:keepNext/>
        <w:numPr>
          <w:ilvl w:val="0"/>
          <w:numId w:val="7"/>
        </w:numPr>
        <w:spacing w:line="260" w:lineRule="exact"/>
      </w:pPr>
      <w:r w:rsidRPr="00341FC2">
        <w:lastRenderedPageBreak/>
        <w:t>S</w:t>
      </w:r>
      <w:r w:rsidR="00DD306C" w:rsidRPr="00341FC2">
        <w:t>c</w:t>
      </w:r>
      <w:r w:rsidRPr="00341FC2">
        <w:t>hedule</w:t>
      </w:r>
      <w:r w:rsidRPr="00341FC2">
        <w:rPr>
          <w:bCs w:val="0"/>
          <w:iCs/>
        </w:rPr>
        <w:t xml:space="preserve"> 2, entry for </w:t>
      </w:r>
      <w:proofErr w:type="spellStart"/>
      <w:r w:rsidRPr="00341FC2">
        <w:rPr>
          <w:bCs w:val="0"/>
          <w:iCs/>
        </w:rPr>
        <w:t>Ambrisentan</w:t>
      </w:r>
      <w:proofErr w:type="spellEnd"/>
    </w:p>
    <w:p w14:paraId="3EB84E0D" w14:textId="1C9D94D6" w:rsidR="002E1674" w:rsidRPr="00341FC2" w:rsidRDefault="002E1674" w:rsidP="006C170D">
      <w:pPr>
        <w:spacing w:before="60" w:after="60"/>
        <w:ind w:left="794"/>
        <w:rPr>
          <w:rFonts w:ascii="Arial" w:hAnsi="Arial" w:cs="Arial"/>
          <w:b/>
          <w:iCs/>
          <w:sz w:val="20"/>
          <w:lang w:eastAsia="en-AU"/>
        </w:rPr>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r w:rsidRPr="00341FC2">
        <w:rPr>
          <w:rFonts w:ascii="Arial" w:hAnsi="Arial" w:cs="Arial"/>
          <w:b/>
          <w:sz w:val="20"/>
        </w:rPr>
        <w:t>C13580</w:t>
      </w:r>
    </w:p>
    <w:p w14:paraId="286A1CBD" w14:textId="620973ED" w:rsidR="002E1674" w:rsidRPr="00341FC2" w:rsidRDefault="002E1674" w:rsidP="00B43C9C">
      <w:pPr>
        <w:pStyle w:val="Amendment1"/>
        <w:numPr>
          <w:ilvl w:val="0"/>
          <w:numId w:val="7"/>
        </w:numPr>
        <w:spacing w:line="260" w:lineRule="exact"/>
        <w:rPr>
          <w:i/>
        </w:rPr>
      </w:pPr>
      <w:r w:rsidRPr="00341FC2">
        <w:t>Schedule</w:t>
      </w:r>
      <w:r w:rsidRPr="00341FC2">
        <w:rPr>
          <w:bCs w:val="0"/>
          <w:iCs/>
        </w:rPr>
        <w:t xml:space="preserve"> 2, entry for </w:t>
      </w:r>
      <w:proofErr w:type="spellStart"/>
      <w:r w:rsidRPr="00341FC2">
        <w:rPr>
          <w:bCs w:val="0"/>
          <w:iCs/>
        </w:rPr>
        <w:t>Bosentan</w:t>
      </w:r>
      <w:proofErr w:type="spellEnd"/>
      <w:r w:rsidR="00DC2B1D" w:rsidRPr="00341FC2">
        <w:rPr>
          <w:bCs w:val="0"/>
          <w:iCs/>
        </w:rPr>
        <w:t xml:space="preserve"> </w:t>
      </w:r>
      <w:r w:rsidR="00DC2B1D" w:rsidRPr="00341FC2">
        <w:rPr>
          <w:bCs w:val="0"/>
          <w:i/>
        </w:rPr>
        <w:t>[Maximum Quantity: Sufficient for treatment for 1 month; Maximum Repeats: 5]</w:t>
      </w:r>
    </w:p>
    <w:p w14:paraId="09DD3776" w14:textId="77777777" w:rsidR="002E1674" w:rsidRPr="00341FC2" w:rsidRDefault="002E1674" w:rsidP="006C170D">
      <w:pPr>
        <w:spacing w:before="60" w:after="60"/>
        <w:ind w:left="794"/>
      </w:pPr>
      <w:r w:rsidRPr="00341FC2">
        <w:rPr>
          <w:rFonts w:cs="Times New Roman"/>
          <w:i/>
          <w:sz w:val="20"/>
          <w:lang w:eastAsia="en-AU"/>
        </w:rPr>
        <w:t>omit from the column headed “Circumstances”:</w:t>
      </w:r>
      <w:r w:rsidRPr="00341FC2">
        <w:rPr>
          <w:rFonts w:cs="Times New Roman"/>
          <w:b/>
          <w:bCs/>
          <w:i/>
          <w:sz w:val="20"/>
          <w:lang w:eastAsia="en-AU"/>
        </w:rPr>
        <w:t xml:space="preserve"> </w:t>
      </w:r>
      <w:r w:rsidRPr="00341FC2">
        <w:rPr>
          <w:rFonts w:ascii="Arial" w:hAnsi="Arial" w:cs="Arial"/>
          <w:b/>
          <w:sz w:val="20"/>
        </w:rPr>
        <w:t>C13580</w:t>
      </w:r>
    </w:p>
    <w:p w14:paraId="46838076" w14:textId="4E7F0D28" w:rsidR="002E1674" w:rsidRPr="00341FC2" w:rsidRDefault="002E1674"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Burosumab</w:t>
      </w:r>
      <w:proofErr w:type="spellEnd"/>
    </w:p>
    <w:p w14:paraId="3DE40CAE" w14:textId="63F2059B" w:rsidR="002E1674" w:rsidRPr="00341FC2" w:rsidRDefault="002E1674" w:rsidP="006C170D">
      <w:pPr>
        <w:spacing w:before="60" w:after="60"/>
        <w:ind w:left="794"/>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r w:rsidRPr="00341FC2">
        <w:rPr>
          <w:rFonts w:ascii="Arial" w:hAnsi="Arial" w:cs="Arial"/>
          <w:b/>
          <w:sz w:val="20"/>
        </w:rPr>
        <w:t>C13400</w:t>
      </w:r>
    </w:p>
    <w:p w14:paraId="7A58A9B1" w14:textId="7710166D" w:rsidR="002E1674" w:rsidRPr="00341FC2" w:rsidRDefault="002E1674" w:rsidP="009D26A8">
      <w:pPr>
        <w:pStyle w:val="Amendment1"/>
        <w:numPr>
          <w:ilvl w:val="0"/>
          <w:numId w:val="7"/>
        </w:numPr>
        <w:spacing w:line="260" w:lineRule="exact"/>
      </w:pPr>
      <w:r w:rsidRPr="00341FC2">
        <w:t>Schedule</w:t>
      </w:r>
      <w:r w:rsidRPr="00341FC2">
        <w:rPr>
          <w:bCs w:val="0"/>
          <w:iCs/>
        </w:rPr>
        <w:t xml:space="preserve"> 2, after entry for </w:t>
      </w:r>
      <w:proofErr w:type="spellStart"/>
      <w:r w:rsidRPr="00341FC2">
        <w:rPr>
          <w:bCs w:val="0"/>
          <w:iCs/>
        </w:rPr>
        <w:t>Burosumab</w:t>
      </w:r>
      <w:proofErr w:type="spellEnd"/>
    </w:p>
    <w:p w14:paraId="3672D626" w14:textId="0F6B17F3" w:rsidR="002E1674" w:rsidRPr="00341FC2" w:rsidRDefault="002E1674" w:rsidP="006C170D">
      <w:pPr>
        <w:spacing w:before="60" w:after="60"/>
        <w:ind w:left="794"/>
        <w:rPr>
          <w:rFonts w:cs="Times New Roman"/>
          <w:b/>
          <w:i/>
        </w:rPr>
      </w:pPr>
      <w:r w:rsidRPr="00341FC2">
        <w:rPr>
          <w:i/>
          <w:sz w:val="20"/>
        </w:rPr>
        <w:t>insert</w:t>
      </w:r>
      <w:r w:rsidRPr="00341FC2">
        <w:rPr>
          <w:rFonts w:cs="Times New Roman"/>
          <w:i/>
        </w:rPr>
        <w: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6C170D" w:rsidRPr="00341FC2" w14:paraId="70510E1A" w14:textId="77777777" w:rsidTr="00451A61">
        <w:trPr>
          <w:trHeight w:val="299"/>
        </w:trPr>
        <w:tc>
          <w:tcPr>
            <w:tcW w:w="2531" w:type="dxa"/>
            <w:shd w:val="clear" w:color="auto" w:fill="auto"/>
            <w:tcMar>
              <w:top w:w="0" w:type="dxa"/>
              <w:left w:w="0" w:type="dxa"/>
              <w:bottom w:w="0" w:type="dxa"/>
              <w:right w:w="0" w:type="dxa"/>
            </w:tcMar>
          </w:tcPr>
          <w:p w14:paraId="778BB12F" w14:textId="77777777" w:rsidR="002E1674" w:rsidRPr="00341FC2" w:rsidRDefault="002E1674" w:rsidP="007C0C50">
            <w:pPr>
              <w:widowControl w:val="0"/>
              <w:spacing w:before="60" w:after="60" w:line="240" w:lineRule="auto"/>
              <w:rPr>
                <w:rFonts w:ascii="Arial" w:hAnsi="Arial" w:cs="Arial"/>
                <w:sz w:val="16"/>
                <w:szCs w:val="16"/>
              </w:rPr>
            </w:pPr>
            <w:proofErr w:type="spellStart"/>
            <w:r w:rsidRPr="00341FC2">
              <w:rPr>
                <w:rFonts w:ascii="Arial" w:hAnsi="Arial" w:cs="Arial"/>
                <w:sz w:val="16"/>
                <w:szCs w:val="16"/>
              </w:rPr>
              <w:t>Difelikefalin</w:t>
            </w:r>
            <w:proofErr w:type="spellEnd"/>
          </w:p>
        </w:tc>
        <w:tc>
          <w:tcPr>
            <w:tcW w:w="5403" w:type="dxa"/>
            <w:shd w:val="clear" w:color="auto" w:fill="auto"/>
            <w:tcMar>
              <w:top w:w="0" w:type="dxa"/>
              <w:left w:w="0" w:type="dxa"/>
              <w:bottom w:w="0" w:type="dxa"/>
              <w:right w:w="0" w:type="dxa"/>
            </w:tcMar>
          </w:tcPr>
          <w:p w14:paraId="451954FB" w14:textId="77777777" w:rsidR="002E1674" w:rsidRPr="00341FC2" w:rsidRDefault="002E1674" w:rsidP="007C0C50">
            <w:pPr>
              <w:widowControl w:val="0"/>
              <w:spacing w:before="60" w:after="60" w:line="240" w:lineRule="auto"/>
              <w:rPr>
                <w:rFonts w:ascii="Arial" w:hAnsi="Arial" w:cs="Arial"/>
                <w:sz w:val="16"/>
                <w:szCs w:val="16"/>
              </w:rPr>
            </w:pPr>
            <w:r w:rsidRPr="00341FC2">
              <w:rPr>
                <w:rFonts w:ascii="Arial" w:hAnsi="Arial" w:cs="Arial"/>
                <w:sz w:val="16"/>
                <w:szCs w:val="16"/>
              </w:rPr>
              <w:t xml:space="preserve">C15171 </w:t>
            </w:r>
          </w:p>
        </w:tc>
        <w:tc>
          <w:tcPr>
            <w:tcW w:w="2966" w:type="dxa"/>
            <w:shd w:val="clear" w:color="auto" w:fill="auto"/>
            <w:tcMar>
              <w:top w:w="0" w:type="dxa"/>
              <w:left w:w="0" w:type="dxa"/>
              <w:bottom w:w="0" w:type="dxa"/>
              <w:right w:w="0" w:type="dxa"/>
            </w:tcMar>
          </w:tcPr>
          <w:p w14:paraId="77DDF33A" w14:textId="77FC0D8D" w:rsidR="002E1674" w:rsidRPr="00341FC2" w:rsidRDefault="00DC2B1D" w:rsidP="007C0C50">
            <w:pPr>
              <w:widowControl w:val="0"/>
              <w:spacing w:before="60" w:after="60" w:line="240" w:lineRule="auto"/>
              <w:rPr>
                <w:rFonts w:ascii="Arial" w:hAnsi="Arial" w:cs="Arial"/>
                <w:sz w:val="16"/>
                <w:szCs w:val="16"/>
              </w:rPr>
            </w:pPr>
            <w:r w:rsidRPr="00341FC2">
              <w:rPr>
                <w:rFonts w:ascii="Arial" w:hAnsi="Arial" w:cs="Arial"/>
                <w:sz w:val="16"/>
                <w:szCs w:val="16"/>
              </w:rPr>
              <w:t>Sufficient for treatment for 4 weeks</w:t>
            </w:r>
          </w:p>
        </w:tc>
        <w:tc>
          <w:tcPr>
            <w:tcW w:w="2821" w:type="dxa"/>
            <w:shd w:val="clear" w:color="auto" w:fill="auto"/>
            <w:tcMar>
              <w:top w:w="0" w:type="dxa"/>
              <w:left w:w="0" w:type="dxa"/>
              <w:bottom w:w="0" w:type="dxa"/>
              <w:right w:w="0" w:type="dxa"/>
            </w:tcMar>
          </w:tcPr>
          <w:p w14:paraId="18C8F44E" w14:textId="77777777" w:rsidR="002E1674" w:rsidRPr="00341FC2" w:rsidRDefault="002E1674" w:rsidP="007C0C50">
            <w:pPr>
              <w:widowControl w:val="0"/>
              <w:spacing w:before="60" w:after="60" w:line="240" w:lineRule="auto"/>
              <w:rPr>
                <w:rFonts w:ascii="Arial" w:hAnsi="Arial" w:cs="Arial"/>
                <w:sz w:val="16"/>
                <w:szCs w:val="16"/>
              </w:rPr>
            </w:pPr>
            <w:r w:rsidRPr="00341FC2">
              <w:rPr>
                <w:rFonts w:ascii="Arial" w:hAnsi="Arial" w:cs="Arial"/>
                <w:sz w:val="16"/>
                <w:szCs w:val="16"/>
              </w:rPr>
              <w:t>2</w:t>
            </w:r>
          </w:p>
        </w:tc>
      </w:tr>
      <w:tr w:rsidR="006C170D" w:rsidRPr="00341FC2" w14:paraId="2FECCEE0" w14:textId="77777777" w:rsidTr="00451A61">
        <w:trPr>
          <w:trHeight w:val="299"/>
        </w:trPr>
        <w:tc>
          <w:tcPr>
            <w:tcW w:w="2531" w:type="dxa"/>
            <w:shd w:val="clear" w:color="auto" w:fill="auto"/>
            <w:tcMar>
              <w:top w:w="0" w:type="dxa"/>
              <w:left w:w="0" w:type="dxa"/>
              <w:bottom w:w="0" w:type="dxa"/>
              <w:right w:w="0" w:type="dxa"/>
            </w:tcMar>
          </w:tcPr>
          <w:p w14:paraId="7096FD5E" w14:textId="77777777" w:rsidR="002E1674" w:rsidRPr="00341FC2" w:rsidRDefault="002E1674" w:rsidP="007C0C50">
            <w:pPr>
              <w:widowControl w:val="0"/>
              <w:spacing w:before="60" w:after="60" w:line="240" w:lineRule="auto"/>
              <w:rPr>
                <w:rFonts w:ascii="Arial" w:hAnsi="Arial" w:cs="Arial"/>
                <w:sz w:val="16"/>
                <w:szCs w:val="16"/>
              </w:rPr>
            </w:pPr>
          </w:p>
        </w:tc>
        <w:tc>
          <w:tcPr>
            <w:tcW w:w="5403" w:type="dxa"/>
            <w:shd w:val="clear" w:color="auto" w:fill="auto"/>
            <w:tcMar>
              <w:top w:w="0" w:type="dxa"/>
              <w:left w:w="0" w:type="dxa"/>
              <w:bottom w:w="0" w:type="dxa"/>
              <w:right w:w="0" w:type="dxa"/>
            </w:tcMar>
          </w:tcPr>
          <w:p w14:paraId="6B82FE26" w14:textId="77777777" w:rsidR="002E1674" w:rsidRPr="00341FC2" w:rsidRDefault="002E1674" w:rsidP="007C0C50">
            <w:pPr>
              <w:widowControl w:val="0"/>
              <w:spacing w:before="60" w:after="60" w:line="240" w:lineRule="auto"/>
              <w:rPr>
                <w:rFonts w:ascii="Arial" w:hAnsi="Arial" w:cs="Arial"/>
                <w:sz w:val="16"/>
                <w:szCs w:val="16"/>
              </w:rPr>
            </w:pPr>
            <w:r w:rsidRPr="00341FC2">
              <w:rPr>
                <w:rFonts w:ascii="Arial" w:hAnsi="Arial" w:cs="Arial"/>
                <w:sz w:val="16"/>
                <w:szCs w:val="16"/>
              </w:rPr>
              <w:t>C15211 C15227</w:t>
            </w:r>
          </w:p>
        </w:tc>
        <w:tc>
          <w:tcPr>
            <w:tcW w:w="2966" w:type="dxa"/>
            <w:shd w:val="clear" w:color="auto" w:fill="auto"/>
            <w:tcMar>
              <w:top w:w="0" w:type="dxa"/>
              <w:left w:w="0" w:type="dxa"/>
              <w:bottom w:w="0" w:type="dxa"/>
              <w:right w:w="0" w:type="dxa"/>
            </w:tcMar>
          </w:tcPr>
          <w:p w14:paraId="1B5CF384" w14:textId="2BDA0B24" w:rsidR="002E1674" w:rsidRPr="00341FC2" w:rsidRDefault="00DC2B1D" w:rsidP="007C0C50">
            <w:pPr>
              <w:widowControl w:val="0"/>
              <w:spacing w:before="60" w:after="60" w:line="240" w:lineRule="auto"/>
              <w:rPr>
                <w:rFonts w:ascii="Arial" w:hAnsi="Arial" w:cs="Arial"/>
                <w:sz w:val="16"/>
                <w:szCs w:val="16"/>
              </w:rPr>
            </w:pPr>
            <w:r w:rsidRPr="00341FC2">
              <w:rPr>
                <w:rFonts w:ascii="Arial" w:hAnsi="Arial" w:cs="Arial"/>
                <w:sz w:val="16"/>
                <w:szCs w:val="16"/>
              </w:rPr>
              <w:t>Sufficient for treatment for 4 weeks</w:t>
            </w:r>
          </w:p>
        </w:tc>
        <w:tc>
          <w:tcPr>
            <w:tcW w:w="2821" w:type="dxa"/>
            <w:shd w:val="clear" w:color="auto" w:fill="auto"/>
            <w:tcMar>
              <w:top w:w="0" w:type="dxa"/>
              <w:left w:w="0" w:type="dxa"/>
              <w:bottom w:w="0" w:type="dxa"/>
              <w:right w:w="0" w:type="dxa"/>
            </w:tcMar>
          </w:tcPr>
          <w:p w14:paraId="57F6BE3B" w14:textId="77777777" w:rsidR="002E1674" w:rsidRPr="00341FC2" w:rsidRDefault="002E1674" w:rsidP="007C0C50">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5F4E0504" w14:textId="7F9B29E8" w:rsidR="00F81330" w:rsidRPr="00341FC2" w:rsidRDefault="00F81330"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Eltrombopag</w:t>
      </w:r>
      <w:proofErr w:type="spellEnd"/>
    </w:p>
    <w:p w14:paraId="4F234C62" w14:textId="27FCA999" w:rsidR="00F81330" w:rsidRPr="00341FC2" w:rsidRDefault="00F81330" w:rsidP="006C170D">
      <w:pPr>
        <w:spacing w:before="60" w:after="60"/>
        <w:ind w:left="794"/>
        <w:rPr>
          <w:rFonts w:cs="Times New Roman"/>
          <w:b/>
          <w:i/>
        </w:rPr>
      </w:pPr>
      <w:r w:rsidRPr="00341FC2">
        <w:rPr>
          <w:i/>
          <w:sz w:val="20"/>
        </w:rPr>
        <w:t>substitute</w:t>
      </w:r>
      <w:r w:rsidRPr="00341FC2">
        <w:rPr>
          <w:rFonts w:cs="Times New Roman"/>
          <w:i/>
        </w:rPr>
        <w: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6C170D" w:rsidRPr="00341FC2" w14:paraId="08477C56" w14:textId="77777777" w:rsidTr="00451A61">
        <w:trPr>
          <w:trHeight w:val="299"/>
        </w:trPr>
        <w:tc>
          <w:tcPr>
            <w:tcW w:w="2531" w:type="dxa"/>
            <w:shd w:val="clear" w:color="auto" w:fill="auto"/>
            <w:tcMar>
              <w:top w:w="0" w:type="dxa"/>
              <w:left w:w="0" w:type="dxa"/>
              <w:bottom w:w="0" w:type="dxa"/>
              <w:right w:w="0" w:type="dxa"/>
            </w:tcMar>
          </w:tcPr>
          <w:p w14:paraId="183634F4" w14:textId="291F7D52" w:rsidR="00F81330" w:rsidRPr="00341FC2" w:rsidRDefault="00F81330" w:rsidP="00F81330">
            <w:pPr>
              <w:widowControl w:val="0"/>
              <w:spacing w:before="60" w:after="60" w:line="240" w:lineRule="auto"/>
              <w:rPr>
                <w:rFonts w:ascii="Arial" w:hAnsi="Arial" w:cs="Arial"/>
                <w:sz w:val="16"/>
                <w:szCs w:val="16"/>
              </w:rPr>
            </w:pPr>
            <w:proofErr w:type="spellStart"/>
            <w:r w:rsidRPr="00341FC2">
              <w:rPr>
                <w:rFonts w:ascii="Arial" w:hAnsi="Arial" w:cs="Arial"/>
                <w:sz w:val="16"/>
                <w:szCs w:val="16"/>
              </w:rPr>
              <w:t>Eltrombopag</w:t>
            </w:r>
            <w:proofErr w:type="spellEnd"/>
          </w:p>
        </w:tc>
        <w:tc>
          <w:tcPr>
            <w:tcW w:w="5403" w:type="dxa"/>
            <w:shd w:val="clear" w:color="auto" w:fill="auto"/>
            <w:tcMar>
              <w:top w:w="0" w:type="dxa"/>
              <w:left w:w="0" w:type="dxa"/>
              <w:bottom w:w="0" w:type="dxa"/>
              <w:right w:w="0" w:type="dxa"/>
            </w:tcMar>
          </w:tcPr>
          <w:p w14:paraId="729A36F3" w14:textId="76EE7706"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 xml:space="preserve">C13327 C14126 C14127 C14129 </w:t>
            </w:r>
          </w:p>
        </w:tc>
        <w:tc>
          <w:tcPr>
            <w:tcW w:w="2966" w:type="dxa"/>
            <w:shd w:val="clear" w:color="auto" w:fill="auto"/>
            <w:tcMar>
              <w:top w:w="0" w:type="dxa"/>
              <w:left w:w="0" w:type="dxa"/>
              <w:bottom w:w="0" w:type="dxa"/>
              <w:right w:w="0" w:type="dxa"/>
            </w:tcMar>
          </w:tcPr>
          <w:p w14:paraId="213AFEF7" w14:textId="3700C2BF"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1 pack</w:t>
            </w:r>
          </w:p>
        </w:tc>
        <w:tc>
          <w:tcPr>
            <w:tcW w:w="2821" w:type="dxa"/>
            <w:shd w:val="clear" w:color="auto" w:fill="auto"/>
            <w:tcMar>
              <w:top w:w="0" w:type="dxa"/>
              <w:left w:w="0" w:type="dxa"/>
              <w:bottom w:w="0" w:type="dxa"/>
              <w:right w:w="0" w:type="dxa"/>
            </w:tcMar>
          </w:tcPr>
          <w:p w14:paraId="6F5418C7" w14:textId="1CE93583"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5</w:t>
            </w:r>
          </w:p>
        </w:tc>
      </w:tr>
      <w:tr w:rsidR="006C170D" w:rsidRPr="00341FC2" w14:paraId="0C60BA01" w14:textId="77777777" w:rsidTr="00451A61">
        <w:trPr>
          <w:trHeight w:val="299"/>
        </w:trPr>
        <w:tc>
          <w:tcPr>
            <w:tcW w:w="2531" w:type="dxa"/>
            <w:shd w:val="clear" w:color="auto" w:fill="auto"/>
            <w:tcMar>
              <w:top w:w="0" w:type="dxa"/>
              <w:left w:w="0" w:type="dxa"/>
              <w:bottom w:w="0" w:type="dxa"/>
              <w:right w:w="0" w:type="dxa"/>
            </w:tcMar>
          </w:tcPr>
          <w:p w14:paraId="3979B467" w14:textId="77777777" w:rsidR="00F81330" w:rsidRPr="00341FC2" w:rsidRDefault="00F81330" w:rsidP="00F81330">
            <w:pPr>
              <w:widowControl w:val="0"/>
              <w:spacing w:before="60" w:after="60" w:line="240" w:lineRule="auto"/>
              <w:rPr>
                <w:rFonts w:ascii="Arial" w:hAnsi="Arial" w:cs="Arial"/>
                <w:sz w:val="16"/>
                <w:szCs w:val="16"/>
              </w:rPr>
            </w:pPr>
          </w:p>
        </w:tc>
        <w:tc>
          <w:tcPr>
            <w:tcW w:w="5403" w:type="dxa"/>
            <w:shd w:val="clear" w:color="auto" w:fill="auto"/>
            <w:tcMar>
              <w:top w:w="0" w:type="dxa"/>
              <w:left w:w="0" w:type="dxa"/>
              <w:bottom w:w="0" w:type="dxa"/>
              <w:right w:w="0" w:type="dxa"/>
            </w:tcMar>
          </w:tcPr>
          <w:p w14:paraId="0D0AA000" w14:textId="310BC948"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C15192</w:t>
            </w:r>
          </w:p>
        </w:tc>
        <w:tc>
          <w:tcPr>
            <w:tcW w:w="2966" w:type="dxa"/>
            <w:shd w:val="clear" w:color="auto" w:fill="auto"/>
            <w:tcMar>
              <w:top w:w="0" w:type="dxa"/>
              <w:left w:w="0" w:type="dxa"/>
              <w:bottom w:w="0" w:type="dxa"/>
              <w:right w:w="0" w:type="dxa"/>
            </w:tcMar>
          </w:tcPr>
          <w:p w14:paraId="6BA8C589" w14:textId="225FCAFA"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3 pack</w:t>
            </w:r>
            <w:r w:rsidR="00DC2B1D" w:rsidRPr="00341FC2">
              <w:rPr>
                <w:rFonts w:ascii="Arial" w:hAnsi="Arial" w:cs="Arial"/>
                <w:sz w:val="16"/>
                <w:szCs w:val="16"/>
              </w:rPr>
              <w:t>s</w:t>
            </w:r>
          </w:p>
        </w:tc>
        <w:tc>
          <w:tcPr>
            <w:tcW w:w="2821" w:type="dxa"/>
            <w:shd w:val="clear" w:color="auto" w:fill="auto"/>
            <w:tcMar>
              <w:top w:w="0" w:type="dxa"/>
              <w:left w:w="0" w:type="dxa"/>
              <w:bottom w:w="0" w:type="dxa"/>
              <w:right w:w="0" w:type="dxa"/>
            </w:tcMar>
          </w:tcPr>
          <w:p w14:paraId="44AF190C" w14:textId="46578F29"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3</w:t>
            </w:r>
          </w:p>
        </w:tc>
      </w:tr>
      <w:tr w:rsidR="006C170D" w:rsidRPr="00341FC2" w14:paraId="776F9456" w14:textId="77777777" w:rsidTr="00451A61">
        <w:trPr>
          <w:trHeight w:val="299"/>
        </w:trPr>
        <w:tc>
          <w:tcPr>
            <w:tcW w:w="2531" w:type="dxa"/>
            <w:shd w:val="clear" w:color="auto" w:fill="auto"/>
            <w:tcMar>
              <w:top w:w="0" w:type="dxa"/>
              <w:left w:w="0" w:type="dxa"/>
              <w:bottom w:w="0" w:type="dxa"/>
              <w:right w:w="0" w:type="dxa"/>
            </w:tcMar>
          </w:tcPr>
          <w:p w14:paraId="29001149" w14:textId="77777777" w:rsidR="00F81330" w:rsidRPr="00341FC2" w:rsidRDefault="00F81330" w:rsidP="00F81330">
            <w:pPr>
              <w:widowControl w:val="0"/>
              <w:spacing w:before="60" w:after="60" w:line="240" w:lineRule="auto"/>
              <w:rPr>
                <w:rFonts w:ascii="Arial" w:hAnsi="Arial" w:cs="Arial"/>
                <w:sz w:val="16"/>
                <w:szCs w:val="16"/>
              </w:rPr>
            </w:pPr>
          </w:p>
        </w:tc>
        <w:tc>
          <w:tcPr>
            <w:tcW w:w="5403" w:type="dxa"/>
            <w:shd w:val="clear" w:color="auto" w:fill="auto"/>
            <w:tcMar>
              <w:top w:w="0" w:type="dxa"/>
              <w:left w:w="0" w:type="dxa"/>
              <w:bottom w:w="0" w:type="dxa"/>
              <w:right w:w="0" w:type="dxa"/>
            </w:tcMar>
          </w:tcPr>
          <w:p w14:paraId="02A3F052" w14:textId="281BFC4D"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C15173 C15174 C15191</w:t>
            </w:r>
          </w:p>
        </w:tc>
        <w:tc>
          <w:tcPr>
            <w:tcW w:w="2966" w:type="dxa"/>
            <w:shd w:val="clear" w:color="auto" w:fill="auto"/>
            <w:tcMar>
              <w:top w:w="0" w:type="dxa"/>
              <w:left w:w="0" w:type="dxa"/>
              <w:bottom w:w="0" w:type="dxa"/>
              <w:right w:w="0" w:type="dxa"/>
            </w:tcMar>
          </w:tcPr>
          <w:p w14:paraId="66472240" w14:textId="4FFAA938"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3 pack</w:t>
            </w:r>
            <w:r w:rsidR="00DC2B1D" w:rsidRPr="00341FC2">
              <w:rPr>
                <w:rFonts w:ascii="Arial" w:hAnsi="Arial" w:cs="Arial"/>
                <w:sz w:val="16"/>
                <w:szCs w:val="16"/>
              </w:rPr>
              <w:t>s</w:t>
            </w:r>
          </w:p>
        </w:tc>
        <w:tc>
          <w:tcPr>
            <w:tcW w:w="2821" w:type="dxa"/>
            <w:shd w:val="clear" w:color="auto" w:fill="auto"/>
            <w:tcMar>
              <w:top w:w="0" w:type="dxa"/>
              <w:left w:w="0" w:type="dxa"/>
              <w:bottom w:w="0" w:type="dxa"/>
              <w:right w:w="0" w:type="dxa"/>
            </w:tcMar>
          </w:tcPr>
          <w:p w14:paraId="51F9CE63" w14:textId="39497811" w:rsidR="00F81330" w:rsidRPr="00341FC2" w:rsidRDefault="00F81330" w:rsidP="00F81330">
            <w:pPr>
              <w:widowControl w:val="0"/>
              <w:spacing w:before="60" w:after="60" w:line="240" w:lineRule="auto"/>
              <w:rPr>
                <w:rFonts w:ascii="Arial" w:hAnsi="Arial" w:cs="Arial"/>
                <w:sz w:val="16"/>
                <w:szCs w:val="16"/>
              </w:rPr>
            </w:pPr>
            <w:r w:rsidRPr="00341FC2">
              <w:rPr>
                <w:rFonts w:ascii="Arial" w:hAnsi="Arial" w:cs="Arial"/>
                <w:sz w:val="16"/>
                <w:szCs w:val="16"/>
              </w:rPr>
              <w:t>5</w:t>
            </w:r>
          </w:p>
        </w:tc>
      </w:tr>
    </w:tbl>
    <w:p w14:paraId="4EFB5460" w14:textId="00A0D9A5" w:rsidR="00F81330" w:rsidRPr="00341FC2" w:rsidRDefault="00F81330"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Epoprostenol</w:t>
      </w:r>
      <w:proofErr w:type="spellEnd"/>
    </w:p>
    <w:p w14:paraId="1AE0D1E0" w14:textId="515C8948" w:rsidR="00F81330" w:rsidRPr="00341FC2" w:rsidRDefault="00F81330" w:rsidP="006C170D">
      <w:pPr>
        <w:spacing w:before="60" w:after="60"/>
        <w:ind w:left="794"/>
      </w:pPr>
      <w:r w:rsidRPr="00341FC2">
        <w:rPr>
          <w:rFonts w:cs="Times New Roman"/>
          <w:i/>
          <w:sz w:val="20"/>
          <w:lang w:eastAsia="en-AU"/>
        </w:rPr>
        <w:t>omit from the column headed “Circumstances”:</w:t>
      </w:r>
      <w:r w:rsidRPr="00341FC2">
        <w:rPr>
          <w:rFonts w:cs="Times New Roman"/>
          <w:b/>
          <w:bCs/>
          <w:i/>
          <w:sz w:val="20"/>
          <w:lang w:eastAsia="en-AU"/>
        </w:rPr>
        <w:t xml:space="preserve"> </w:t>
      </w:r>
      <w:r w:rsidRPr="00341FC2">
        <w:rPr>
          <w:rFonts w:ascii="Arial" w:hAnsi="Arial" w:cs="Arial"/>
          <w:b/>
          <w:sz w:val="20"/>
        </w:rPr>
        <w:t>C13492</w:t>
      </w:r>
    </w:p>
    <w:p w14:paraId="3208B736" w14:textId="6ADA04FA" w:rsidR="00F81330" w:rsidRPr="00341FC2" w:rsidRDefault="00F81330"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Iloprost</w:t>
      </w:r>
      <w:proofErr w:type="spellEnd"/>
    </w:p>
    <w:p w14:paraId="136969D6" w14:textId="77777777" w:rsidR="00F81330" w:rsidRPr="00341FC2" w:rsidRDefault="00F81330" w:rsidP="00DC2B1D">
      <w:pPr>
        <w:pStyle w:val="Amendment1"/>
        <w:tabs>
          <w:tab w:val="clear" w:pos="794"/>
        </w:tabs>
        <w:spacing w:line="260" w:lineRule="exact"/>
        <w:ind w:firstLine="0"/>
      </w:pPr>
      <w:r w:rsidRPr="00341FC2">
        <w:rPr>
          <w:rFonts w:ascii="Times New Roman" w:hAnsi="Times New Roman" w:cs="Times New Roman"/>
          <w:b w:val="0"/>
          <w:i/>
        </w:rPr>
        <w:t xml:space="preserve">omit from the column headed “Circumstances”: </w:t>
      </w:r>
      <w:r w:rsidRPr="00341FC2">
        <w:t>C13492</w:t>
      </w:r>
    </w:p>
    <w:p w14:paraId="2DCC5AF6" w14:textId="7988DD7A" w:rsidR="00F81330" w:rsidRPr="00341FC2" w:rsidRDefault="00F81330"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Macitentan</w:t>
      </w:r>
      <w:proofErr w:type="spellEnd"/>
    </w:p>
    <w:p w14:paraId="13CA5055" w14:textId="64A57B4B" w:rsidR="00F81330" w:rsidRPr="00341FC2" w:rsidRDefault="00F81330" w:rsidP="006C170D">
      <w:pPr>
        <w:spacing w:before="60" w:after="60"/>
        <w:ind w:left="794"/>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bookmarkStart w:id="11" w:name="_Hlk164332026"/>
      <w:r w:rsidRPr="00341FC2">
        <w:rPr>
          <w:rFonts w:ascii="Arial" w:hAnsi="Arial" w:cs="Arial"/>
          <w:b/>
          <w:sz w:val="20"/>
        </w:rPr>
        <w:t>C13580</w:t>
      </w:r>
      <w:bookmarkEnd w:id="11"/>
    </w:p>
    <w:p w14:paraId="02743C9E" w14:textId="4F62475A" w:rsidR="00F81330" w:rsidRPr="00341FC2" w:rsidRDefault="00F81330" w:rsidP="009D26A8">
      <w:pPr>
        <w:pStyle w:val="Amendment1"/>
        <w:numPr>
          <w:ilvl w:val="0"/>
          <w:numId w:val="7"/>
        </w:numPr>
        <w:spacing w:line="260" w:lineRule="exact"/>
      </w:pPr>
      <w:r w:rsidRPr="00341FC2">
        <w:t>Schedule</w:t>
      </w:r>
      <w:r w:rsidRPr="00341FC2">
        <w:rPr>
          <w:bCs w:val="0"/>
          <w:iCs/>
        </w:rPr>
        <w:t xml:space="preserve"> 2, entry for </w:t>
      </w:r>
      <w:proofErr w:type="spellStart"/>
      <w:r w:rsidRPr="00341FC2">
        <w:rPr>
          <w:bCs w:val="0"/>
          <w:iCs/>
        </w:rPr>
        <w:t>Pegcetacoplan</w:t>
      </w:r>
      <w:proofErr w:type="spellEnd"/>
      <w:r w:rsidR="00DC2B1D" w:rsidRPr="00341FC2">
        <w:rPr>
          <w:bCs w:val="0"/>
          <w:iCs/>
        </w:rPr>
        <w:t xml:space="preserve"> </w:t>
      </w:r>
      <w:r w:rsidR="00DC2B1D" w:rsidRPr="00341FC2">
        <w:rPr>
          <w:bCs w:val="0"/>
          <w:i/>
        </w:rPr>
        <w:t>[Maximum Quantity: Sufficient for treatment for 4 weeks; Maximum Repeats: 5]</w:t>
      </w:r>
    </w:p>
    <w:p w14:paraId="4046320B" w14:textId="60135A23" w:rsidR="00F81330" w:rsidRPr="00341FC2" w:rsidRDefault="00F81330" w:rsidP="006C170D">
      <w:pPr>
        <w:spacing w:before="60" w:after="60"/>
        <w:ind w:left="794"/>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r w:rsidRPr="00341FC2">
        <w:rPr>
          <w:rFonts w:ascii="Arial" w:hAnsi="Arial" w:cs="Arial"/>
          <w:b/>
          <w:sz w:val="20"/>
        </w:rPr>
        <w:t>C13658</w:t>
      </w:r>
    </w:p>
    <w:p w14:paraId="3B89E6F8" w14:textId="34B5532A" w:rsidR="00212930" w:rsidRPr="00341FC2" w:rsidRDefault="00212930" w:rsidP="00790E36">
      <w:pPr>
        <w:pStyle w:val="Amendment1"/>
        <w:numPr>
          <w:ilvl w:val="0"/>
          <w:numId w:val="7"/>
        </w:numPr>
        <w:spacing w:line="260" w:lineRule="exact"/>
      </w:pPr>
      <w:r w:rsidRPr="00341FC2">
        <w:lastRenderedPageBreak/>
        <w:t xml:space="preserve">Schedule 2, after entry for </w:t>
      </w:r>
      <w:proofErr w:type="spellStart"/>
      <w:r w:rsidRPr="00341FC2">
        <w:t>Selexipag</w:t>
      </w:r>
      <w:proofErr w:type="spellEnd"/>
      <w:r w:rsidRPr="00341FC2">
        <w:t xml:space="preserve"> </w:t>
      </w:r>
      <w:r w:rsidRPr="00341FC2">
        <w:rPr>
          <w:bCs w:val="0"/>
          <w:i/>
        </w:rPr>
        <w:t>[Maximum Quantity: 140; Maximum Repeats: Sufficient for treatment for 12 weeks]</w:t>
      </w:r>
    </w:p>
    <w:p w14:paraId="73D80764" w14:textId="30EFFE03" w:rsidR="00212930" w:rsidRPr="00341FC2" w:rsidRDefault="00212930" w:rsidP="00212930">
      <w:pPr>
        <w:pStyle w:val="Amendment1"/>
        <w:tabs>
          <w:tab w:val="clear" w:pos="794"/>
        </w:tabs>
        <w:spacing w:before="60" w:after="60" w:line="260" w:lineRule="exact"/>
        <w:ind w:firstLine="0"/>
        <w:rPr>
          <w:rFonts w:ascii="Times New Roman" w:hAnsi="Times New Roman" w:cs="Times New Roman"/>
          <w:b w:val="0"/>
          <w:bCs w:val="0"/>
          <w:i/>
          <w:iCs/>
        </w:rPr>
      </w:pPr>
      <w:r w:rsidRPr="00341FC2">
        <w:rPr>
          <w:rFonts w:ascii="Times New Roman" w:hAnsi="Times New Roman" w:cs="Times New Roman"/>
          <w:b w:val="0"/>
          <w:bCs w:val="0"/>
          <w:i/>
          <w:iCs/>
        </w:rPr>
        <w:t>insert:</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B22EB2" w:rsidRPr="00341FC2" w14:paraId="25EDF490" w14:textId="77777777" w:rsidTr="00A07553">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B3C0242" w14:textId="5429F225" w:rsidR="00B22EB2" w:rsidRPr="00341FC2" w:rsidRDefault="00B22EB2" w:rsidP="00B22EB2">
            <w:pPr>
              <w:pStyle w:val="TableParagraph"/>
              <w:spacing w:before="60" w:after="60"/>
              <w:ind w:left="57"/>
              <w:rPr>
                <w:sz w:val="16"/>
                <w:szCs w:val="16"/>
              </w:rPr>
            </w:pPr>
            <w:r w:rsidRPr="00341FC2">
              <w:rPr>
                <w:sz w:val="16"/>
                <w:szCs w:val="16"/>
              </w:rPr>
              <w:t>Selinexor</w:t>
            </w: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82F69BB" w14:textId="048FB97E" w:rsidR="00B22EB2" w:rsidRPr="00341FC2" w:rsidRDefault="00B22EB2" w:rsidP="00B22EB2">
            <w:pPr>
              <w:pStyle w:val="TableParagraph"/>
              <w:spacing w:before="60" w:after="60"/>
              <w:ind w:left="57"/>
              <w:rPr>
                <w:sz w:val="16"/>
                <w:szCs w:val="16"/>
              </w:rPr>
            </w:pPr>
            <w:r w:rsidRPr="00341FC2">
              <w:rPr>
                <w:sz w:val="16"/>
                <w:szCs w:val="16"/>
              </w:rPr>
              <w:t>C14021 C14022 C14045</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DF7F6EA" w14:textId="18CBBDF7" w:rsidR="00B22EB2" w:rsidRPr="00341FC2" w:rsidRDefault="00B22EB2" w:rsidP="00B22EB2">
            <w:pPr>
              <w:pStyle w:val="TableParagraph"/>
              <w:spacing w:before="60" w:after="60"/>
              <w:ind w:left="57"/>
              <w:rPr>
                <w:sz w:val="16"/>
                <w:szCs w:val="16"/>
              </w:rPr>
            </w:pPr>
            <w:r w:rsidRPr="00341FC2">
              <w:rPr>
                <w:sz w:val="16"/>
                <w:szCs w:val="16"/>
              </w:rPr>
              <w:t>16</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CC82986" w14:textId="5B436021" w:rsidR="00B22EB2" w:rsidRPr="00341FC2" w:rsidRDefault="00B22EB2" w:rsidP="00B22EB2">
            <w:pPr>
              <w:pStyle w:val="TableParagraph"/>
              <w:spacing w:before="60" w:after="60"/>
              <w:ind w:left="57"/>
              <w:rPr>
                <w:sz w:val="16"/>
                <w:szCs w:val="16"/>
              </w:rPr>
            </w:pPr>
            <w:r w:rsidRPr="00341FC2">
              <w:rPr>
                <w:rFonts w:eastAsia="Times New Roman"/>
                <w:sz w:val="16"/>
                <w:szCs w:val="16"/>
                <w:lang w:eastAsia="en-AU"/>
              </w:rPr>
              <w:t>2</w:t>
            </w:r>
          </w:p>
        </w:tc>
      </w:tr>
      <w:tr w:rsidR="00B22EB2" w:rsidRPr="00341FC2" w:rsidDel="00C0515A" w14:paraId="636DB4DF" w14:textId="77777777" w:rsidTr="00A07553">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4CC0DF5" w14:textId="77777777" w:rsidR="00B22EB2" w:rsidRPr="00341FC2" w:rsidDel="00C0515A" w:rsidRDefault="00B22EB2" w:rsidP="00B22EB2">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3403B16" w14:textId="42CBC30E" w:rsidR="00B22EB2" w:rsidRPr="00341FC2" w:rsidDel="00C0515A" w:rsidRDefault="00B22EB2" w:rsidP="00B22EB2">
            <w:pPr>
              <w:pStyle w:val="TableParagraph"/>
              <w:spacing w:before="60" w:after="60"/>
              <w:ind w:left="57"/>
              <w:rPr>
                <w:sz w:val="16"/>
                <w:szCs w:val="16"/>
              </w:rPr>
            </w:pPr>
            <w:r w:rsidRPr="00341FC2">
              <w:rPr>
                <w:sz w:val="16"/>
                <w:szCs w:val="16"/>
              </w:rPr>
              <w:t>C14023 C14024 C14037</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2276E9F" w14:textId="1E06CD99" w:rsidR="00B22EB2" w:rsidRPr="00341FC2" w:rsidDel="00C0515A" w:rsidRDefault="00B22EB2" w:rsidP="00B22EB2">
            <w:pPr>
              <w:pStyle w:val="TableParagraph"/>
              <w:spacing w:before="60" w:after="60"/>
              <w:ind w:left="57"/>
              <w:rPr>
                <w:sz w:val="16"/>
                <w:szCs w:val="16"/>
              </w:rPr>
            </w:pPr>
            <w:r w:rsidRPr="00341FC2">
              <w:rPr>
                <w:sz w:val="16"/>
                <w:szCs w:val="16"/>
              </w:rPr>
              <w:t>20</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DCB8301" w14:textId="060A3470" w:rsidR="00B22EB2" w:rsidRPr="00341FC2" w:rsidDel="00C0515A" w:rsidRDefault="00B22EB2" w:rsidP="00B22EB2">
            <w:pPr>
              <w:pStyle w:val="TableParagraph"/>
              <w:spacing w:before="60" w:after="60"/>
              <w:ind w:left="57"/>
              <w:rPr>
                <w:sz w:val="16"/>
                <w:szCs w:val="16"/>
              </w:rPr>
            </w:pPr>
            <w:r w:rsidRPr="00341FC2">
              <w:rPr>
                <w:rFonts w:eastAsia="Times New Roman"/>
                <w:sz w:val="16"/>
                <w:szCs w:val="16"/>
                <w:lang w:eastAsia="en-AU"/>
              </w:rPr>
              <w:t>2</w:t>
            </w:r>
          </w:p>
        </w:tc>
      </w:tr>
      <w:tr w:rsidR="00B22EB2" w:rsidRPr="00341FC2" w:rsidDel="00C0515A" w14:paraId="5FD51764" w14:textId="77777777" w:rsidTr="00A07553">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2C0C45A" w14:textId="77777777" w:rsidR="00B22EB2" w:rsidRPr="00341FC2" w:rsidDel="00C0515A" w:rsidRDefault="00B22EB2" w:rsidP="00B22EB2">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8397568" w14:textId="508A5599" w:rsidR="00B22EB2" w:rsidRPr="00341FC2" w:rsidDel="00C0515A" w:rsidRDefault="00B22EB2" w:rsidP="00B22EB2">
            <w:pPr>
              <w:pStyle w:val="TableParagraph"/>
              <w:tabs>
                <w:tab w:val="left" w:pos="1020"/>
              </w:tabs>
              <w:spacing w:before="60" w:after="60"/>
              <w:ind w:left="57"/>
              <w:rPr>
                <w:sz w:val="16"/>
                <w:szCs w:val="16"/>
              </w:rPr>
            </w:pPr>
            <w:r w:rsidRPr="00341FC2">
              <w:rPr>
                <w:sz w:val="16"/>
                <w:szCs w:val="16"/>
              </w:rPr>
              <w:t>C14031 C14039</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F59DFEB" w14:textId="6602AF2A" w:rsidR="00B22EB2" w:rsidRPr="00341FC2" w:rsidDel="00C0515A" w:rsidRDefault="00B22EB2" w:rsidP="00B22EB2">
            <w:pPr>
              <w:pStyle w:val="TableParagraph"/>
              <w:spacing w:before="60" w:after="60"/>
              <w:ind w:left="57"/>
              <w:rPr>
                <w:sz w:val="16"/>
                <w:szCs w:val="16"/>
              </w:rPr>
            </w:pPr>
            <w:r w:rsidRPr="00341FC2">
              <w:rPr>
                <w:sz w:val="16"/>
                <w:szCs w:val="16"/>
              </w:rPr>
              <w:t>32</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5EFE948" w14:textId="1006BD45" w:rsidR="00B22EB2" w:rsidRPr="00341FC2" w:rsidDel="00C0515A" w:rsidRDefault="00B22EB2" w:rsidP="00B22EB2">
            <w:pPr>
              <w:pStyle w:val="TableParagraph"/>
              <w:spacing w:before="60" w:after="60"/>
              <w:ind w:left="57"/>
              <w:rPr>
                <w:sz w:val="16"/>
                <w:szCs w:val="16"/>
              </w:rPr>
            </w:pPr>
            <w:r w:rsidRPr="00341FC2">
              <w:rPr>
                <w:rFonts w:eastAsia="Times New Roman"/>
                <w:sz w:val="16"/>
                <w:szCs w:val="16"/>
                <w:lang w:eastAsia="en-AU"/>
              </w:rPr>
              <w:t>2</w:t>
            </w:r>
          </w:p>
        </w:tc>
      </w:tr>
    </w:tbl>
    <w:p w14:paraId="672F241A" w14:textId="71C8B30D" w:rsidR="00F81330" w:rsidRPr="00341FC2" w:rsidRDefault="00F81330" w:rsidP="00790E36">
      <w:pPr>
        <w:pStyle w:val="Amendment1"/>
        <w:numPr>
          <w:ilvl w:val="0"/>
          <w:numId w:val="7"/>
        </w:numPr>
        <w:spacing w:line="260" w:lineRule="exact"/>
      </w:pPr>
      <w:r w:rsidRPr="00341FC2">
        <w:rPr>
          <w:bCs w:val="0"/>
          <w:iCs/>
        </w:rPr>
        <w:t>Schedule 2, entry for Sildenafil</w:t>
      </w:r>
    </w:p>
    <w:p w14:paraId="1688EEF9" w14:textId="39A3E253" w:rsidR="00F81330" w:rsidRPr="00341FC2" w:rsidRDefault="00F81330" w:rsidP="006C170D">
      <w:pPr>
        <w:spacing w:before="60" w:after="60"/>
        <w:ind w:left="794"/>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r w:rsidRPr="00341FC2">
        <w:rPr>
          <w:rFonts w:ascii="Arial" w:hAnsi="Arial" w:cs="Arial"/>
          <w:b/>
          <w:sz w:val="20"/>
        </w:rPr>
        <w:t>C13671</w:t>
      </w:r>
    </w:p>
    <w:p w14:paraId="6965AE30" w14:textId="4BFB84E4" w:rsidR="00F81330" w:rsidRPr="00341FC2" w:rsidRDefault="00F81330" w:rsidP="00790E36">
      <w:pPr>
        <w:pStyle w:val="Amendment1"/>
        <w:numPr>
          <w:ilvl w:val="0"/>
          <w:numId w:val="7"/>
        </w:numPr>
        <w:spacing w:line="260" w:lineRule="exact"/>
      </w:pPr>
      <w:r w:rsidRPr="00341FC2">
        <w:rPr>
          <w:bCs w:val="0"/>
          <w:iCs/>
        </w:rPr>
        <w:t>Schedule 2, entry for Tadalafil</w:t>
      </w:r>
    </w:p>
    <w:p w14:paraId="2075BB57" w14:textId="2E834DC2" w:rsidR="00DB3CB0" w:rsidRPr="00341FC2" w:rsidRDefault="00F81330" w:rsidP="006C170D">
      <w:pPr>
        <w:spacing w:before="60" w:after="60"/>
        <w:ind w:left="794"/>
      </w:pPr>
      <w:r w:rsidRPr="00341FC2">
        <w:rPr>
          <w:i/>
          <w:sz w:val="20"/>
        </w:rPr>
        <w:t>omit</w:t>
      </w:r>
      <w:r w:rsidRPr="00341FC2">
        <w:rPr>
          <w:rFonts w:cs="Times New Roman"/>
          <w:i/>
          <w:sz w:val="20"/>
          <w:lang w:eastAsia="en-AU"/>
        </w:rPr>
        <w:t xml:space="preserve"> from the column headed “Circumstances”:</w:t>
      </w:r>
      <w:r w:rsidRPr="00341FC2">
        <w:rPr>
          <w:rFonts w:cs="Times New Roman"/>
          <w:b/>
          <w:bCs/>
          <w:i/>
          <w:sz w:val="20"/>
          <w:lang w:eastAsia="en-AU"/>
        </w:rPr>
        <w:t xml:space="preserve"> </w:t>
      </w:r>
      <w:r w:rsidRPr="00341FC2">
        <w:rPr>
          <w:rFonts w:ascii="Arial" w:hAnsi="Arial" w:cs="Arial"/>
          <w:b/>
          <w:sz w:val="20"/>
        </w:rPr>
        <w:t>C13671</w:t>
      </w:r>
      <w:r w:rsidR="00DB3CB0" w:rsidRPr="00341FC2">
        <w:t xml:space="preserve"> </w:t>
      </w:r>
    </w:p>
    <w:p w14:paraId="110457E1" w14:textId="0E7D3D95" w:rsidR="00F81330" w:rsidRPr="00341FC2" w:rsidRDefault="00DB3CB0" w:rsidP="00790E36">
      <w:pPr>
        <w:pStyle w:val="Amendment1"/>
        <w:numPr>
          <w:ilvl w:val="0"/>
          <w:numId w:val="7"/>
        </w:numPr>
        <w:spacing w:line="260" w:lineRule="exact"/>
        <w:rPr>
          <w:rFonts w:ascii="Times New Roman" w:hAnsi="Times New Roman" w:cs="Times New Roman"/>
          <w:b w:val="0"/>
          <w:bCs w:val="0"/>
          <w:i/>
          <w:iCs/>
        </w:rPr>
      </w:pPr>
      <w:r w:rsidRPr="00341FC2">
        <w:rPr>
          <w:bCs w:val="0"/>
          <w:iCs/>
        </w:rPr>
        <w:t>Schedule</w:t>
      </w:r>
      <w:r w:rsidRPr="00341FC2">
        <w:t xml:space="preserve"> 3, entry for </w:t>
      </w:r>
      <w:proofErr w:type="spellStart"/>
      <w:r w:rsidRPr="00341FC2">
        <w:t>Ambrisentan</w:t>
      </w:r>
      <w:proofErr w:type="spellEnd"/>
      <w:r w:rsidR="00DC2B1D" w:rsidRPr="00341FC2">
        <w:t>,</w:t>
      </w:r>
      <w:r w:rsidRPr="00341FC2">
        <w:t xml:space="preserve"> omit entry for Circumstances Code “</w:t>
      </w:r>
      <w:proofErr w:type="gramStart"/>
      <w:r w:rsidRPr="00341FC2">
        <w:t>C13580”</w:t>
      </w:r>
      <w:proofErr w:type="gramEnd"/>
    </w:p>
    <w:p w14:paraId="67981853" w14:textId="56BA5652" w:rsidR="00790E36" w:rsidRPr="00341FC2" w:rsidRDefault="00790E36" w:rsidP="00790E36">
      <w:pPr>
        <w:pStyle w:val="Amendment1"/>
        <w:numPr>
          <w:ilvl w:val="0"/>
          <w:numId w:val="7"/>
        </w:numPr>
        <w:spacing w:line="260" w:lineRule="exact"/>
        <w:rPr>
          <w:rFonts w:ascii="Times New Roman" w:hAnsi="Times New Roman" w:cs="Times New Roman"/>
          <w:b w:val="0"/>
          <w:bCs w:val="0"/>
          <w:i/>
          <w:iCs/>
        </w:rPr>
      </w:pPr>
      <w:r w:rsidRPr="00341FC2">
        <w:rPr>
          <w:bCs w:val="0"/>
          <w:iCs/>
        </w:rPr>
        <w:t>Schedule</w:t>
      </w:r>
      <w:r w:rsidRPr="00341FC2">
        <w:t xml:space="preserve"> 3, entry for </w:t>
      </w:r>
      <w:proofErr w:type="spellStart"/>
      <w:r w:rsidRPr="00341FC2">
        <w:t>Bosentan</w:t>
      </w:r>
      <w:proofErr w:type="spellEnd"/>
      <w:r w:rsidR="000E2061" w:rsidRPr="00341FC2">
        <w:t>,</w:t>
      </w:r>
      <w:r w:rsidRPr="00341FC2">
        <w:t xml:space="preserve"> omit entry for Circumstances Code “</w:t>
      </w:r>
      <w:proofErr w:type="gramStart"/>
      <w:r w:rsidRPr="00341FC2">
        <w:t>C13580”</w:t>
      </w:r>
      <w:proofErr w:type="gramEnd"/>
    </w:p>
    <w:p w14:paraId="3A28A7E1" w14:textId="458E7542" w:rsidR="00790E36" w:rsidRPr="00341FC2" w:rsidRDefault="00790E36" w:rsidP="00790E36">
      <w:pPr>
        <w:pStyle w:val="Amendment1"/>
        <w:numPr>
          <w:ilvl w:val="0"/>
          <w:numId w:val="7"/>
        </w:numPr>
        <w:spacing w:line="260" w:lineRule="exact"/>
        <w:rPr>
          <w:rFonts w:ascii="Times New Roman" w:hAnsi="Times New Roman" w:cs="Times New Roman"/>
          <w:b w:val="0"/>
          <w:bCs w:val="0"/>
          <w:i/>
          <w:iCs/>
        </w:rPr>
      </w:pPr>
      <w:r w:rsidRPr="00341FC2">
        <w:rPr>
          <w:bCs w:val="0"/>
          <w:iCs/>
        </w:rPr>
        <w:t>Schedule</w:t>
      </w:r>
      <w:r w:rsidRPr="00341FC2">
        <w:t xml:space="preserve"> 3, entry for </w:t>
      </w:r>
      <w:proofErr w:type="spellStart"/>
      <w:r w:rsidRPr="00341FC2">
        <w:t>Burosumab</w:t>
      </w:r>
      <w:proofErr w:type="spellEnd"/>
      <w:r w:rsidR="000E2061" w:rsidRPr="00341FC2">
        <w:t>,</w:t>
      </w:r>
      <w:r w:rsidRPr="00341FC2">
        <w:t xml:space="preserve"> omit entry for Circumstances Code “</w:t>
      </w:r>
      <w:proofErr w:type="gramStart"/>
      <w:r w:rsidRPr="00341FC2">
        <w:t>C13400”</w:t>
      </w:r>
      <w:proofErr w:type="gramEnd"/>
    </w:p>
    <w:p w14:paraId="6C68DC81" w14:textId="543FE06B" w:rsidR="00F81330" w:rsidRPr="00341FC2" w:rsidRDefault="005930FF" w:rsidP="00790E36">
      <w:pPr>
        <w:pStyle w:val="Amendment1"/>
        <w:numPr>
          <w:ilvl w:val="0"/>
          <w:numId w:val="7"/>
        </w:numPr>
        <w:spacing w:line="260" w:lineRule="exact"/>
      </w:pPr>
      <w:r w:rsidRPr="00341FC2">
        <w:rPr>
          <w:bCs w:val="0"/>
          <w:iCs/>
        </w:rPr>
        <w:t>Schedule</w:t>
      </w:r>
      <w:r w:rsidRPr="00341FC2">
        <w:t xml:space="preserve"> 3</w:t>
      </w:r>
      <w:r w:rsidR="00F81330" w:rsidRPr="00341FC2">
        <w:t xml:space="preserve">, after entry for </w:t>
      </w:r>
      <w:proofErr w:type="spellStart"/>
      <w:r w:rsidR="00D56F5C" w:rsidRPr="00341FC2">
        <w:t>Desferrioxamine</w:t>
      </w:r>
      <w:proofErr w:type="spellEnd"/>
    </w:p>
    <w:p w14:paraId="0DE02CFD" w14:textId="45269501" w:rsidR="00F81330" w:rsidRPr="00341FC2" w:rsidRDefault="00F81330" w:rsidP="006C170D">
      <w:pPr>
        <w:spacing w:before="60" w:after="60"/>
        <w:ind w:left="794"/>
        <w:rPr>
          <w:i/>
          <w:sz w:val="20"/>
        </w:rPr>
      </w:pPr>
      <w:r w:rsidRPr="00341FC2">
        <w:rPr>
          <w:i/>
          <w:sz w:val="20"/>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6C170D" w:rsidRPr="00341FC2" w14:paraId="54927747" w14:textId="77777777" w:rsidTr="00DD306C">
        <w:tc>
          <w:tcPr>
            <w:tcW w:w="1854" w:type="dxa"/>
            <w:shd w:val="clear" w:color="auto" w:fill="auto"/>
          </w:tcPr>
          <w:p w14:paraId="71DDD48A" w14:textId="6E5ECD72" w:rsidR="00157AD2" w:rsidRPr="00341FC2" w:rsidRDefault="00157AD2" w:rsidP="00B43C9C">
            <w:pPr>
              <w:widowControl w:val="0"/>
              <w:spacing w:before="60" w:after="60" w:line="240" w:lineRule="auto"/>
              <w:rPr>
                <w:rFonts w:ascii="Arial" w:hAnsi="Arial" w:cs="Arial"/>
                <w:bCs/>
                <w:sz w:val="16"/>
                <w:szCs w:val="16"/>
                <w:lang w:val="en-US"/>
              </w:rPr>
            </w:pPr>
            <w:proofErr w:type="spellStart"/>
            <w:r w:rsidRPr="00341FC2">
              <w:rPr>
                <w:rFonts w:ascii="Arial" w:hAnsi="Arial" w:cs="Arial"/>
                <w:sz w:val="16"/>
                <w:szCs w:val="16"/>
              </w:rPr>
              <w:t>Difelikefalin</w:t>
            </w:r>
            <w:proofErr w:type="spellEnd"/>
          </w:p>
        </w:tc>
        <w:tc>
          <w:tcPr>
            <w:tcW w:w="1315" w:type="dxa"/>
            <w:shd w:val="clear" w:color="auto" w:fill="auto"/>
          </w:tcPr>
          <w:p w14:paraId="662F9423" w14:textId="45FC8001"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C15171</w:t>
            </w:r>
          </w:p>
        </w:tc>
        <w:tc>
          <w:tcPr>
            <w:tcW w:w="1094" w:type="dxa"/>
            <w:shd w:val="clear" w:color="auto" w:fill="auto"/>
          </w:tcPr>
          <w:p w14:paraId="4A52F308"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shd w:val="clear" w:color="auto" w:fill="auto"/>
          </w:tcPr>
          <w:p w14:paraId="02C78E4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Moderate to severe pruritus (itching) associated with chronic kidney </w:t>
            </w:r>
            <w:proofErr w:type="gramStart"/>
            <w:r w:rsidRPr="00341FC2">
              <w:rPr>
                <w:rFonts w:eastAsiaTheme="minorHAnsi"/>
                <w:szCs w:val="16"/>
                <w:lang w:eastAsia="en-US"/>
              </w:rPr>
              <w:t>disease</w:t>
            </w:r>
            <w:proofErr w:type="gramEnd"/>
          </w:p>
          <w:p w14:paraId="3CAA844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Initial treatment</w:t>
            </w:r>
          </w:p>
          <w:p w14:paraId="74A05D25"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on optimised haemodialysis; AND</w:t>
            </w:r>
          </w:p>
          <w:p w14:paraId="472259BD"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on haemodialysis for at least 3 months; AND</w:t>
            </w:r>
          </w:p>
          <w:p w14:paraId="0BD986E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condition must be confirmed based on both physical examination and patient history to exclude any factors that may be triggering the pruritus; AND</w:t>
            </w:r>
          </w:p>
          <w:p w14:paraId="3318D3DD"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experienced itch that persists for at least 6 weeks despite best supportive care; AND</w:t>
            </w:r>
          </w:p>
          <w:p w14:paraId="5A84828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a 24-hour Worst Itching Intensity Numerical Rating Scale (WI-NRS) baseline score of more than 4; AND</w:t>
            </w:r>
          </w:p>
          <w:p w14:paraId="288F51B3"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receive more than 12 weeks of treatment under this restriction.</w:t>
            </w:r>
          </w:p>
          <w:p w14:paraId="1D3E1AC5"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Must be treated by a nephrologist.</w:t>
            </w:r>
          </w:p>
          <w:p w14:paraId="7295A9C4"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at least 18 years of age.</w:t>
            </w:r>
          </w:p>
          <w:p w14:paraId="729EB8DD"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Prescriber must exclude any other causes of pruritus which include any of the following:</w:t>
            </w:r>
          </w:p>
          <w:p w14:paraId="4E26EF72"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lastRenderedPageBreak/>
              <w:t>(</w:t>
            </w:r>
            <w:proofErr w:type="spellStart"/>
            <w:r w:rsidRPr="00341FC2">
              <w:rPr>
                <w:rFonts w:eastAsiaTheme="minorHAnsi"/>
                <w:szCs w:val="16"/>
                <w:lang w:eastAsia="en-US"/>
              </w:rPr>
              <w:t>i</w:t>
            </w:r>
            <w:proofErr w:type="spellEnd"/>
            <w:r w:rsidRPr="00341FC2">
              <w:rPr>
                <w:rFonts w:eastAsiaTheme="minorHAnsi"/>
                <w:szCs w:val="16"/>
                <w:lang w:eastAsia="en-US"/>
              </w:rPr>
              <w:t>) drug/dialysis related (e.g., opioid-related pruritus</w:t>
            </w:r>
            <w:proofErr w:type="gramStart"/>
            <w:r w:rsidRPr="00341FC2">
              <w:rPr>
                <w:rFonts w:eastAsiaTheme="minorHAnsi"/>
                <w:szCs w:val="16"/>
                <w:lang w:eastAsia="en-US"/>
              </w:rPr>
              <w:t>);</w:t>
            </w:r>
            <w:proofErr w:type="gramEnd"/>
          </w:p>
          <w:p w14:paraId="46BCB75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(ii) drug hypersensitivity or adverse effect; contact dermatitis; </w:t>
            </w:r>
            <w:proofErr w:type="gramStart"/>
            <w:r w:rsidRPr="00341FC2">
              <w:rPr>
                <w:rFonts w:eastAsiaTheme="minorHAnsi"/>
                <w:szCs w:val="16"/>
                <w:lang w:eastAsia="en-US"/>
              </w:rPr>
              <w:t>allergy;</w:t>
            </w:r>
            <w:proofErr w:type="gramEnd"/>
          </w:p>
          <w:p w14:paraId="50D15C2A"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(iii) differential diagnoses (e.g., xerosis; infestations; iron deficiency; liver disease; polycythaemia vera/leukemia/lymphoma; hypothyroidism; uncontrolled diabetes).</w:t>
            </w:r>
          </w:p>
          <w:p w14:paraId="0AC9AAE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Best supportive care for patients with chronic kidney disease-associated pruritus is not limited to but includes:</w:t>
            </w:r>
          </w:p>
          <w:p w14:paraId="75AD1143"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w:t>
            </w:r>
            <w:proofErr w:type="spellStart"/>
            <w:r w:rsidRPr="00341FC2">
              <w:rPr>
                <w:rFonts w:eastAsiaTheme="minorHAnsi"/>
                <w:szCs w:val="16"/>
                <w:lang w:eastAsia="en-US"/>
              </w:rPr>
              <w:t>i</w:t>
            </w:r>
            <w:proofErr w:type="spellEnd"/>
            <w:r w:rsidRPr="00341FC2">
              <w:rPr>
                <w:rFonts w:eastAsiaTheme="minorHAnsi"/>
                <w:szCs w:val="16"/>
                <w:lang w:eastAsia="en-US"/>
              </w:rPr>
              <w:t xml:space="preserve">) optimisation of </w:t>
            </w:r>
            <w:proofErr w:type="gramStart"/>
            <w:r w:rsidRPr="00341FC2">
              <w:rPr>
                <w:rFonts w:eastAsiaTheme="minorHAnsi"/>
                <w:szCs w:val="16"/>
                <w:lang w:eastAsia="en-US"/>
              </w:rPr>
              <w:t>dialysis;</w:t>
            </w:r>
            <w:proofErr w:type="gramEnd"/>
          </w:p>
          <w:p w14:paraId="0B7C38E5"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(ii) skin hydration and nutrition (with the use of moisturiser, emollients, barrier creams or oils</w:t>
            </w:r>
            <w:proofErr w:type="gramStart"/>
            <w:r w:rsidRPr="00341FC2">
              <w:rPr>
                <w:rFonts w:eastAsiaTheme="minorHAnsi"/>
                <w:szCs w:val="16"/>
                <w:lang w:eastAsia="en-US"/>
              </w:rPr>
              <w:t>);</w:t>
            </w:r>
            <w:proofErr w:type="gramEnd"/>
          </w:p>
          <w:p w14:paraId="379F5EEA"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(iii) patient education on the importance of avoiding or minimising scratching.</w:t>
            </w:r>
          </w:p>
          <w:p w14:paraId="780919E9"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Confirmation of eligibility for treatment with diagnostic reports must be documented in the patient's medical records.</w:t>
            </w:r>
          </w:p>
          <w:p w14:paraId="6B425E75" w14:textId="1033F6DC" w:rsidR="00157AD2" w:rsidRPr="00341FC2" w:rsidRDefault="00157AD2" w:rsidP="00B43C9C">
            <w:pPr>
              <w:pStyle w:val="mps3-data"/>
              <w:widowControl w:val="0"/>
              <w:rPr>
                <w:szCs w:val="16"/>
              </w:rPr>
            </w:pPr>
            <w:r w:rsidRPr="00341FC2">
              <w:rPr>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2 repeats will be authorised. No more than 4 doses per week will be authorised even if the number of haemodialysis treatments in a week exceeds 4.</w:t>
            </w:r>
          </w:p>
        </w:tc>
        <w:tc>
          <w:tcPr>
            <w:tcW w:w="2132" w:type="dxa"/>
            <w:shd w:val="clear" w:color="auto" w:fill="auto"/>
          </w:tcPr>
          <w:p w14:paraId="6C2EA590" w14:textId="34920919" w:rsidR="00157AD2" w:rsidRPr="00341FC2" w:rsidRDefault="00157AD2" w:rsidP="00B43C9C">
            <w:pPr>
              <w:pStyle w:val="mps3-data"/>
              <w:widowControl w:val="0"/>
              <w:rPr>
                <w:szCs w:val="16"/>
              </w:rPr>
            </w:pPr>
            <w:r w:rsidRPr="00341FC2">
              <w:rPr>
                <w:szCs w:val="16"/>
              </w:rPr>
              <w:lastRenderedPageBreak/>
              <w:t>Compliance with Authority Required procedures</w:t>
            </w:r>
          </w:p>
        </w:tc>
      </w:tr>
      <w:tr w:rsidR="006C170D" w:rsidRPr="00341FC2" w14:paraId="47C6D7BC" w14:textId="77777777" w:rsidTr="00DD306C">
        <w:tc>
          <w:tcPr>
            <w:tcW w:w="1854" w:type="dxa"/>
            <w:shd w:val="clear" w:color="auto" w:fill="auto"/>
          </w:tcPr>
          <w:p w14:paraId="65BE5C4E"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shd w:val="clear" w:color="auto" w:fill="auto"/>
          </w:tcPr>
          <w:p w14:paraId="52E81066" w14:textId="6173E03E"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C15211</w:t>
            </w:r>
          </w:p>
        </w:tc>
        <w:tc>
          <w:tcPr>
            <w:tcW w:w="1094" w:type="dxa"/>
            <w:shd w:val="clear" w:color="auto" w:fill="auto"/>
          </w:tcPr>
          <w:p w14:paraId="2BCA00C2"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shd w:val="clear" w:color="auto" w:fill="auto"/>
          </w:tcPr>
          <w:p w14:paraId="356E946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Moderate to severe pruritus (itching) associated with chronic kidney </w:t>
            </w:r>
            <w:proofErr w:type="gramStart"/>
            <w:r w:rsidRPr="00341FC2">
              <w:rPr>
                <w:rFonts w:eastAsiaTheme="minorHAnsi"/>
                <w:szCs w:val="16"/>
                <w:lang w:eastAsia="en-US"/>
              </w:rPr>
              <w:t>disease</w:t>
            </w:r>
            <w:proofErr w:type="gramEnd"/>
          </w:p>
          <w:p w14:paraId="6E3FD9C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Continuing treatment</w:t>
            </w:r>
          </w:p>
          <w:p w14:paraId="2292A77F"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previously received PBS-subsidised treatment with this drug for this condition; AND</w:t>
            </w:r>
          </w:p>
          <w:p w14:paraId="6F3084E2"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demonstrated an adequate response to treatment with this drug including at least a 3-point improvement from baseline in 24-hour Worst Itching Intensity Numerical Rating Scale (WI-NRS) score.</w:t>
            </w:r>
          </w:p>
          <w:p w14:paraId="3366B27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Must be treated by a </w:t>
            </w:r>
            <w:proofErr w:type="gramStart"/>
            <w:r w:rsidRPr="00341FC2">
              <w:rPr>
                <w:rFonts w:eastAsiaTheme="minorHAnsi"/>
                <w:szCs w:val="16"/>
                <w:lang w:eastAsia="en-US"/>
              </w:rPr>
              <w:t>nephrologist;</w:t>
            </w:r>
            <w:proofErr w:type="gramEnd"/>
            <w:r w:rsidRPr="00341FC2">
              <w:rPr>
                <w:rFonts w:eastAsiaTheme="minorHAnsi"/>
                <w:szCs w:val="16"/>
                <w:lang w:eastAsia="en-US"/>
              </w:rPr>
              <w:t xml:space="preserve"> OR</w:t>
            </w:r>
          </w:p>
          <w:p w14:paraId="05D9232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Must be treated by a medical practitioner in consultation with a nephrologist.</w:t>
            </w:r>
          </w:p>
          <w:p w14:paraId="76253653"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Confirmation of eligibility for treatment with diagnostic reports must be documented in the patient's medical records.</w:t>
            </w:r>
          </w:p>
          <w:p w14:paraId="7F8BD4EF" w14:textId="0CA1F4BC" w:rsidR="00157AD2" w:rsidRPr="00341FC2" w:rsidRDefault="00157AD2" w:rsidP="00B43C9C">
            <w:pPr>
              <w:pStyle w:val="mps3-data"/>
              <w:widowControl w:val="0"/>
              <w:rPr>
                <w:szCs w:val="16"/>
              </w:rPr>
            </w:pPr>
            <w:r w:rsidRPr="00341FC2">
              <w:rPr>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5 repeats will be authorised. No more than 4 doses per week will be authorised even if the number of haemodialysis treatments in a week exceeds 4.</w:t>
            </w:r>
          </w:p>
        </w:tc>
        <w:tc>
          <w:tcPr>
            <w:tcW w:w="2132" w:type="dxa"/>
            <w:shd w:val="clear" w:color="auto" w:fill="auto"/>
          </w:tcPr>
          <w:p w14:paraId="3274D973" w14:textId="3C367709" w:rsidR="00157AD2" w:rsidRPr="00341FC2" w:rsidRDefault="00157AD2" w:rsidP="00B43C9C">
            <w:pPr>
              <w:pStyle w:val="mps3-data"/>
              <w:widowControl w:val="0"/>
              <w:rPr>
                <w:szCs w:val="16"/>
              </w:rPr>
            </w:pPr>
            <w:r w:rsidRPr="00341FC2">
              <w:rPr>
                <w:szCs w:val="16"/>
              </w:rPr>
              <w:t>Compliance with Authority Required procedures</w:t>
            </w:r>
          </w:p>
        </w:tc>
      </w:tr>
      <w:tr w:rsidR="006C170D" w:rsidRPr="00341FC2" w14:paraId="5FBB8A3C" w14:textId="77777777" w:rsidTr="00DD306C">
        <w:tc>
          <w:tcPr>
            <w:tcW w:w="1854" w:type="dxa"/>
            <w:shd w:val="clear" w:color="auto" w:fill="auto"/>
          </w:tcPr>
          <w:p w14:paraId="70892AC0"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shd w:val="clear" w:color="auto" w:fill="auto"/>
          </w:tcPr>
          <w:p w14:paraId="5939F5BE" w14:textId="10816A97"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C15227</w:t>
            </w:r>
          </w:p>
        </w:tc>
        <w:tc>
          <w:tcPr>
            <w:tcW w:w="1094" w:type="dxa"/>
            <w:shd w:val="clear" w:color="auto" w:fill="auto"/>
          </w:tcPr>
          <w:p w14:paraId="1F956CBE"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shd w:val="clear" w:color="auto" w:fill="auto"/>
          </w:tcPr>
          <w:p w14:paraId="4FE2DFEC"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Moderate to severe pruritus (itching) associated with chronic kidney </w:t>
            </w:r>
            <w:proofErr w:type="gramStart"/>
            <w:r w:rsidRPr="00341FC2">
              <w:rPr>
                <w:rFonts w:eastAsiaTheme="minorHAnsi"/>
                <w:szCs w:val="16"/>
                <w:lang w:eastAsia="en-US"/>
              </w:rPr>
              <w:t>disease</w:t>
            </w:r>
            <w:proofErr w:type="gramEnd"/>
          </w:p>
          <w:p w14:paraId="4DB53BFF"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Transitioning from non-PBS to PBS-subsidised supply - Grandfather arrangements</w:t>
            </w:r>
          </w:p>
          <w:p w14:paraId="3CCB889E"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received non-PBS-subsidised treatment with this drug for this condition prior to 1 May 2024; AND</w:t>
            </w:r>
          </w:p>
          <w:p w14:paraId="6744ED3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lastRenderedPageBreak/>
              <w:t>Patient must have met all other PBS eligibility criteria that a non-'Grandfather' patient would ordinarily be required to meet, meaning that at the time non-PBS-subsidised supply was commenced, the patient: (</w:t>
            </w:r>
            <w:proofErr w:type="spellStart"/>
            <w:r w:rsidRPr="00341FC2">
              <w:rPr>
                <w:rFonts w:eastAsiaTheme="minorHAnsi"/>
                <w:szCs w:val="16"/>
                <w:lang w:eastAsia="en-US"/>
              </w:rPr>
              <w:t>i</w:t>
            </w:r>
            <w:proofErr w:type="spellEnd"/>
            <w:r w:rsidRPr="00341FC2">
              <w:rPr>
                <w:rFonts w:eastAsiaTheme="minorHAnsi"/>
                <w:szCs w:val="16"/>
                <w:lang w:eastAsia="en-US"/>
              </w:rPr>
              <w:t>) was on optimised haemodialysis; (ii) was on haemodialysis for at least 3 months; (iii) had a condition confirmed based on both physical examination and patient history to exclude any factors that may be triggering the pruritus; (iv) had experienced itch that persists for at least 6 weeks despite best supportive care; (v) had a 24-hour Worst Itching Intensity Numerical Rating Scale (WI-NRS) of more than 4 at baseline; AND</w:t>
            </w:r>
          </w:p>
          <w:p w14:paraId="5A4D2C53"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demonstrated an adequate response to the most recent non-PBS-subsidised treatment with this drug for this condition, including at least a 3-point improvement from baseline in 24-hour Worst Itching Intensity Numerical Rating Scale (WI-NRS) score.</w:t>
            </w:r>
          </w:p>
          <w:p w14:paraId="5DAA41B8"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Must be treated by a nephrologist.</w:t>
            </w:r>
          </w:p>
          <w:p w14:paraId="67A81A51"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at least 18 years of age.</w:t>
            </w:r>
          </w:p>
          <w:p w14:paraId="37067389"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Confirmation of eligibility for treatment with diagnostic reports must be documented in the patient's medical records.</w:t>
            </w:r>
          </w:p>
          <w:p w14:paraId="42796C05" w14:textId="0D8B2E02" w:rsidR="00157AD2" w:rsidRPr="00341FC2" w:rsidRDefault="00157AD2" w:rsidP="00B43C9C">
            <w:pPr>
              <w:pStyle w:val="mps3-data"/>
              <w:widowControl w:val="0"/>
              <w:rPr>
                <w:szCs w:val="16"/>
              </w:rPr>
            </w:pPr>
            <w:r w:rsidRPr="00341FC2">
              <w:rPr>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5 repeats will be authorised. No more than 4 doses per week will be authorised even if the number of haemodialysis treatments in a week exceeds 4.</w:t>
            </w:r>
          </w:p>
        </w:tc>
        <w:tc>
          <w:tcPr>
            <w:tcW w:w="2132" w:type="dxa"/>
            <w:shd w:val="clear" w:color="auto" w:fill="auto"/>
          </w:tcPr>
          <w:p w14:paraId="4731E218" w14:textId="2F70B109" w:rsidR="00157AD2" w:rsidRPr="00341FC2" w:rsidRDefault="00157AD2" w:rsidP="00B43C9C">
            <w:pPr>
              <w:pStyle w:val="mps3-data"/>
              <w:widowControl w:val="0"/>
              <w:rPr>
                <w:szCs w:val="16"/>
              </w:rPr>
            </w:pPr>
            <w:r w:rsidRPr="00341FC2">
              <w:rPr>
                <w:szCs w:val="16"/>
              </w:rPr>
              <w:lastRenderedPageBreak/>
              <w:t>Compliance with Authority Required procedures</w:t>
            </w:r>
          </w:p>
        </w:tc>
      </w:tr>
    </w:tbl>
    <w:p w14:paraId="64B3167C" w14:textId="0EC6D334" w:rsidR="00F81330" w:rsidRPr="00341FC2" w:rsidRDefault="005930FF" w:rsidP="00790E36">
      <w:pPr>
        <w:pStyle w:val="Amendment1"/>
        <w:numPr>
          <w:ilvl w:val="0"/>
          <w:numId w:val="7"/>
        </w:numPr>
        <w:spacing w:line="260" w:lineRule="exact"/>
      </w:pPr>
      <w:r w:rsidRPr="00341FC2">
        <w:rPr>
          <w:bCs w:val="0"/>
          <w:iCs/>
        </w:rPr>
        <w:t>Schedule</w:t>
      </w:r>
      <w:r w:rsidRPr="00341FC2">
        <w:t xml:space="preserve"> 3</w:t>
      </w:r>
      <w:r w:rsidR="00F81330" w:rsidRPr="00341FC2">
        <w:t xml:space="preserve">, entry for </w:t>
      </w:r>
      <w:proofErr w:type="spellStart"/>
      <w:r w:rsidR="00F81330" w:rsidRPr="00341FC2">
        <w:t>Eltrombopag</w:t>
      </w:r>
      <w:proofErr w:type="spellEnd"/>
    </w:p>
    <w:p w14:paraId="45727162" w14:textId="506DA0CC" w:rsidR="00F81330" w:rsidRPr="00341FC2" w:rsidRDefault="00157AD2" w:rsidP="006C170D">
      <w:pPr>
        <w:spacing w:before="60" w:after="60"/>
        <w:ind w:left="794"/>
        <w:rPr>
          <w:bCs/>
          <w:i/>
          <w:sz w:val="20"/>
          <w:lang w:eastAsia="en-AU"/>
        </w:rPr>
      </w:pPr>
      <w:r w:rsidRPr="00341FC2">
        <w:rPr>
          <w:i/>
          <w:sz w:val="20"/>
        </w:rPr>
        <w:t>insert</w:t>
      </w:r>
      <w:r w:rsidRPr="00341FC2">
        <w:rPr>
          <w:bCs/>
          <w:i/>
          <w:sz w:val="20"/>
          <w:lang w:eastAsia="en-AU"/>
        </w:rPr>
        <w:t xml:space="preserve"> in numerical order after existing text</w:t>
      </w:r>
      <w:r w:rsidR="00F81330" w:rsidRPr="00341FC2">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6C170D" w:rsidRPr="00341FC2" w14:paraId="6DA6B443" w14:textId="77777777" w:rsidTr="007D2624">
        <w:tc>
          <w:tcPr>
            <w:tcW w:w="1854" w:type="dxa"/>
            <w:tcBorders>
              <w:top w:val="single" w:sz="4" w:space="0" w:color="auto"/>
              <w:left w:val="single" w:sz="4" w:space="0" w:color="auto"/>
              <w:bottom w:val="single" w:sz="4" w:space="0" w:color="auto"/>
              <w:right w:val="single" w:sz="4" w:space="0" w:color="auto"/>
            </w:tcBorders>
          </w:tcPr>
          <w:p w14:paraId="3B6FB3FF"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7591D8B" w14:textId="5933FA38"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C15173</w:t>
            </w:r>
          </w:p>
        </w:tc>
        <w:tc>
          <w:tcPr>
            <w:tcW w:w="1094" w:type="dxa"/>
            <w:tcBorders>
              <w:top w:val="single" w:sz="4" w:space="0" w:color="auto"/>
              <w:left w:val="single" w:sz="4" w:space="0" w:color="auto"/>
              <w:bottom w:val="single" w:sz="4" w:space="0" w:color="auto"/>
              <w:right w:val="single" w:sz="4" w:space="0" w:color="auto"/>
            </w:tcBorders>
          </w:tcPr>
          <w:p w14:paraId="40CF4A84"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86F0C1A"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Severe aplastic anaemia</w:t>
            </w:r>
          </w:p>
          <w:p w14:paraId="2730063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Continuing treatment - Second line treatment</w:t>
            </w:r>
          </w:p>
          <w:p w14:paraId="786BD58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condition must be severe aplastic anaemia; AND</w:t>
            </w:r>
          </w:p>
          <w:p w14:paraId="5BEBA2EA"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previously received PBS-subsidised treatment with this drug for this condition under the initial treatment restriction; AND</w:t>
            </w:r>
          </w:p>
          <w:p w14:paraId="79D5C30C"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demonstrated a response to PBS-subsidised treatment with this drug.</w:t>
            </w:r>
          </w:p>
          <w:p w14:paraId="18A88D9C"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Platelet, </w:t>
            </w:r>
            <w:proofErr w:type="gramStart"/>
            <w:r w:rsidRPr="00341FC2">
              <w:rPr>
                <w:rFonts w:eastAsiaTheme="minorHAnsi"/>
                <w:szCs w:val="16"/>
                <w:lang w:eastAsia="en-US"/>
              </w:rPr>
              <w:t>haemoglobin</w:t>
            </w:r>
            <w:proofErr w:type="gramEnd"/>
            <w:r w:rsidRPr="00341FC2">
              <w:rPr>
                <w:rFonts w:eastAsiaTheme="minorHAnsi"/>
                <w:szCs w:val="16"/>
                <w:lang w:eastAsia="en-US"/>
              </w:rPr>
              <w:t xml:space="preserve"> and neutrophil counts must be no more than 4 weeks old at the time of application and must be documented in the patient's medical records.</w:t>
            </w:r>
          </w:p>
          <w:p w14:paraId="154D6308"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Once platelet count is greater than 50 x 109/L, haemoglobin is greater than 100 g/L in the absence of red blood cell (RBC) transfusion, and absolute neutrophil (ANC) is greater than 1 x 109/L for more than 8 weeks, the dose of </w:t>
            </w:r>
            <w:proofErr w:type="spellStart"/>
            <w:r w:rsidRPr="00341FC2">
              <w:rPr>
                <w:rFonts w:eastAsiaTheme="minorHAnsi"/>
                <w:szCs w:val="16"/>
                <w:lang w:eastAsia="en-US"/>
              </w:rPr>
              <w:t>eltrombopag</w:t>
            </w:r>
            <w:proofErr w:type="spellEnd"/>
            <w:r w:rsidRPr="00341FC2">
              <w:rPr>
                <w:rFonts w:eastAsiaTheme="minorHAnsi"/>
                <w:szCs w:val="16"/>
                <w:lang w:eastAsia="en-US"/>
              </w:rPr>
              <w:t xml:space="preserve"> should be reduced as per the Product Information.</w:t>
            </w:r>
          </w:p>
          <w:p w14:paraId="6B6A8ECE" w14:textId="54DCD6B6" w:rsidR="00157AD2" w:rsidRPr="00341FC2" w:rsidRDefault="00157AD2" w:rsidP="00B43C9C">
            <w:pPr>
              <w:pStyle w:val="mps3-data"/>
              <w:widowControl w:val="0"/>
              <w:rPr>
                <w:szCs w:val="16"/>
              </w:rPr>
            </w:pPr>
            <w:r w:rsidRPr="00341FC2">
              <w:rPr>
                <w:szCs w:val="16"/>
              </w:rPr>
              <w:t>For the purposes of this restriction, a response is defined as no longer meeting the criteria for severe aplastic anaemia.</w:t>
            </w:r>
          </w:p>
        </w:tc>
        <w:tc>
          <w:tcPr>
            <w:tcW w:w="2132" w:type="dxa"/>
            <w:tcBorders>
              <w:top w:val="single" w:sz="4" w:space="0" w:color="auto"/>
              <w:left w:val="single" w:sz="4" w:space="0" w:color="auto"/>
              <w:bottom w:val="single" w:sz="4" w:space="0" w:color="auto"/>
              <w:right w:val="single" w:sz="4" w:space="0" w:color="auto"/>
            </w:tcBorders>
          </w:tcPr>
          <w:p w14:paraId="71F56168" w14:textId="4652E88D" w:rsidR="00157AD2" w:rsidRPr="00341FC2" w:rsidRDefault="00157AD2" w:rsidP="00B43C9C">
            <w:pPr>
              <w:pStyle w:val="mps3-data"/>
              <w:widowControl w:val="0"/>
              <w:rPr>
                <w:szCs w:val="16"/>
              </w:rPr>
            </w:pPr>
            <w:r w:rsidRPr="00341FC2">
              <w:rPr>
                <w:szCs w:val="16"/>
              </w:rPr>
              <w:t>Compliance with Authority Required procedures</w:t>
            </w:r>
          </w:p>
        </w:tc>
      </w:tr>
      <w:tr w:rsidR="00157AD2" w:rsidRPr="00341FC2" w14:paraId="2569D0E2" w14:textId="77777777" w:rsidTr="007D2624">
        <w:tc>
          <w:tcPr>
            <w:tcW w:w="1854" w:type="dxa"/>
            <w:tcBorders>
              <w:top w:val="single" w:sz="4" w:space="0" w:color="auto"/>
              <w:left w:val="single" w:sz="4" w:space="0" w:color="auto"/>
              <w:bottom w:val="single" w:sz="4" w:space="0" w:color="auto"/>
              <w:right w:val="single" w:sz="4" w:space="0" w:color="auto"/>
            </w:tcBorders>
          </w:tcPr>
          <w:p w14:paraId="14098F8A"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DD4562E" w14:textId="75B03C77"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C15174</w:t>
            </w:r>
          </w:p>
        </w:tc>
        <w:tc>
          <w:tcPr>
            <w:tcW w:w="1094" w:type="dxa"/>
            <w:tcBorders>
              <w:top w:val="single" w:sz="4" w:space="0" w:color="auto"/>
              <w:left w:val="single" w:sz="4" w:space="0" w:color="auto"/>
              <w:bottom w:val="single" w:sz="4" w:space="0" w:color="auto"/>
              <w:right w:val="single" w:sz="4" w:space="0" w:color="auto"/>
            </w:tcBorders>
          </w:tcPr>
          <w:p w14:paraId="65FB13A0"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50C99DE"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Severe aplastic anaemia</w:t>
            </w:r>
          </w:p>
          <w:p w14:paraId="4F779E35"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lastRenderedPageBreak/>
              <w:t>Transitioning from non-PBS to PBS-subsidised supply - Grandfather arrangements - First line treatment</w:t>
            </w:r>
          </w:p>
          <w:p w14:paraId="3AFD38D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have received non-PBS-subsidised treatment with this drug for this condition prior to 1 May 2024; AND</w:t>
            </w:r>
          </w:p>
          <w:p w14:paraId="1F794A13"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condition must be severe aplastic anaemia; AND</w:t>
            </w:r>
          </w:p>
          <w:p w14:paraId="0B1B6B7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have received treatment with immunosuppressive therapy for this condition prior to initiating non-PBS-subsidised treatment; AND</w:t>
            </w:r>
          </w:p>
          <w:p w14:paraId="35F635F4"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treatment must be administered in combination with standard immunosuppressive therapy, including anti-thymocyte antibody and ciclosporin; AND</w:t>
            </w:r>
          </w:p>
          <w:p w14:paraId="4180B24C"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considered ineligible for haemopoietic stem cell transplant; AND</w:t>
            </w:r>
          </w:p>
          <w:p w14:paraId="0144F39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receive more than 24 weeks of treatment under this restriction in a lifetime.</w:t>
            </w:r>
          </w:p>
          <w:p w14:paraId="4D41A37F"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If the application is submitted through HPOS form upload or mail, it must include:</w:t>
            </w:r>
          </w:p>
          <w:p w14:paraId="6A2A2F74"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w:t>
            </w:r>
            <w:proofErr w:type="spellStart"/>
            <w:r w:rsidRPr="00341FC2">
              <w:rPr>
                <w:rFonts w:eastAsiaTheme="minorHAnsi"/>
                <w:szCs w:val="16"/>
                <w:lang w:eastAsia="en-US"/>
              </w:rPr>
              <w:t>i</w:t>
            </w:r>
            <w:proofErr w:type="spellEnd"/>
            <w:r w:rsidRPr="00341FC2">
              <w:rPr>
                <w:rFonts w:eastAsiaTheme="minorHAnsi"/>
                <w:szCs w:val="16"/>
                <w:lang w:eastAsia="en-US"/>
              </w:rPr>
              <w:t>) A completed authority prescription form; and</w:t>
            </w:r>
          </w:p>
          <w:p w14:paraId="6F6B6528"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(ii) A completed authority application form relevant to the indication and treatment phase (the latest version is located on the website specified in the Administrative Advice).</w:t>
            </w:r>
          </w:p>
          <w:p w14:paraId="6C2CD70F" w14:textId="06149E94" w:rsidR="00157AD2" w:rsidRPr="00341FC2" w:rsidRDefault="00157AD2" w:rsidP="00B43C9C">
            <w:pPr>
              <w:pStyle w:val="mps3-data"/>
              <w:widowControl w:val="0"/>
              <w:rPr>
                <w:rFonts w:eastAsiaTheme="minorHAnsi"/>
                <w:szCs w:val="16"/>
                <w:lang w:eastAsia="en-US"/>
              </w:rPr>
            </w:pPr>
            <w:r w:rsidRPr="00341FC2">
              <w:rPr>
                <w:szCs w:val="16"/>
              </w:rPr>
              <w:t>A patient may qualify for PBS-subsidised treatment under this restriction once only.</w:t>
            </w:r>
          </w:p>
        </w:tc>
        <w:tc>
          <w:tcPr>
            <w:tcW w:w="2132" w:type="dxa"/>
            <w:tcBorders>
              <w:top w:val="single" w:sz="4" w:space="0" w:color="auto"/>
              <w:left w:val="single" w:sz="4" w:space="0" w:color="auto"/>
              <w:bottom w:val="single" w:sz="4" w:space="0" w:color="auto"/>
              <w:right w:val="single" w:sz="4" w:space="0" w:color="auto"/>
            </w:tcBorders>
          </w:tcPr>
          <w:p w14:paraId="0F4356E9" w14:textId="60144EBC" w:rsidR="00157AD2" w:rsidRPr="00341FC2" w:rsidRDefault="00157AD2" w:rsidP="00B43C9C">
            <w:pPr>
              <w:pStyle w:val="mps3-data"/>
              <w:widowControl w:val="0"/>
              <w:rPr>
                <w:szCs w:val="16"/>
              </w:rPr>
            </w:pPr>
            <w:r w:rsidRPr="00341FC2">
              <w:rPr>
                <w:szCs w:val="16"/>
              </w:rPr>
              <w:lastRenderedPageBreak/>
              <w:t xml:space="preserve">Compliance with Authority </w:t>
            </w:r>
            <w:r w:rsidRPr="00341FC2">
              <w:rPr>
                <w:szCs w:val="16"/>
              </w:rPr>
              <w:lastRenderedPageBreak/>
              <w:t>Required procedures</w:t>
            </w:r>
          </w:p>
        </w:tc>
      </w:tr>
      <w:tr w:rsidR="00157AD2" w:rsidRPr="00341FC2" w14:paraId="2316DB3E" w14:textId="77777777" w:rsidTr="007D2624">
        <w:tc>
          <w:tcPr>
            <w:tcW w:w="1854" w:type="dxa"/>
            <w:tcBorders>
              <w:top w:val="single" w:sz="4" w:space="0" w:color="auto"/>
              <w:left w:val="single" w:sz="4" w:space="0" w:color="auto"/>
              <w:bottom w:val="single" w:sz="4" w:space="0" w:color="auto"/>
              <w:right w:val="single" w:sz="4" w:space="0" w:color="auto"/>
            </w:tcBorders>
          </w:tcPr>
          <w:p w14:paraId="47F5201B"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1DD7A7C" w14:textId="061D5A44"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C15191</w:t>
            </w:r>
          </w:p>
        </w:tc>
        <w:tc>
          <w:tcPr>
            <w:tcW w:w="1094" w:type="dxa"/>
            <w:tcBorders>
              <w:top w:val="single" w:sz="4" w:space="0" w:color="auto"/>
              <w:left w:val="single" w:sz="4" w:space="0" w:color="auto"/>
              <w:bottom w:val="single" w:sz="4" w:space="0" w:color="auto"/>
              <w:right w:val="single" w:sz="4" w:space="0" w:color="auto"/>
            </w:tcBorders>
          </w:tcPr>
          <w:p w14:paraId="48B0B63F"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F1C9F9F"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Severe aplastic anaemia</w:t>
            </w:r>
          </w:p>
          <w:p w14:paraId="7824641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First line treatment</w:t>
            </w:r>
          </w:p>
          <w:p w14:paraId="27208B3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condition must be severe aplastic anaemia; AND</w:t>
            </w:r>
          </w:p>
          <w:p w14:paraId="26899420"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have received treatment with immunosuppressive therapy for this condition; AND</w:t>
            </w:r>
          </w:p>
          <w:p w14:paraId="07044C9F"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treatment must be administered in combination with standard immunosuppressive therapy, including anti-thymocyte antibody and ciclosporin; AND</w:t>
            </w:r>
          </w:p>
          <w:p w14:paraId="4AFC1DB1"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be considered ineligible for haemopoietic stem cell transplant; AND</w:t>
            </w:r>
          </w:p>
          <w:p w14:paraId="450BF66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receive more than 24 weeks of treatment under this restriction in a lifetime.</w:t>
            </w:r>
          </w:p>
          <w:p w14:paraId="76F8A4D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If the application is submitted through HPOS form upload or mail, it must include:</w:t>
            </w:r>
          </w:p>
          <w:p w14:paraId="3BD964CA"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w:t>
            </w:r>
            <w:proofErr w:type="spellStart"/>
            <w:r w:rsidRPr="00341FC2">
              <w:rPr>
                <w:rFonts w:eastAsiaTheme="minorHAnsi"/>
                <w:szCs w:val="16"/>
                <w:lang w:eastAsia="en-US"/>
              </w:rPr>
              <w:t>i</w:t>
            </w:r>
            <w:proofErr w:type="spellEnd"/>
            <w:r w:rsidRPr="00341FC2">
              <w:rPr>
                <w:rFonts w:eastAsiaTheme="minorHAnsi"/>
                <w:szCs w:val="16"/>
                <w:lang w:eastAsia="en-US"/>
              </w:rPr>
              <w:t>) A completed authority prescription form; and</w:t>
            </w:r>
          </w:p>
          <w:p w14:paraId="3E4C6880" w14:textId="1DFC5D58" w:rsidR="00157AD2" w:rsidRPr="00341FC2" w:rsidRDefault="00157AD2" w:rsidP="00B43C9C">
            <w:pPr>
              <w:pStyle w:val="mps3-data"/>
              <w:widowControl w:val="0"/>
              <w:rPr>
                <w:rFonts w:eastAsiaTheme="minorHAnsi"/>
                <w:szCs w:val="16"/>
                <w:lang w:eastAsia="en-US"/>
              </w:rPr>
            </w:pPr>
            <w:r w:rsidRPr="00341FC2">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1451D9A2" w14:textId="7595C924" w:rsidR="00157AD2" w:rsidRPr="00341FC2" w:rsidRDefault="00157AD2" w:rsidP="00B43C9C">
            <w:pPr>
              <w:pStyle w:val="mps3-data"/>
              <w:widowControl w:val="0"/>
              <w:rPr>
                <w:szCs w:val="16"/>
              </w:rPr>
            </w:pPr>
            <w:r w:rsidRPr="00341FC2">
              <w:rPr>
                <w:szCs w:val="16"/>
              </w:rPr>
              <w:t>Compliance with Authority Required procedures</w:t>
            </w:r>
          </w:p>
        </w:tc>
      </w:tr>
      <w:tr w:rsidR="00157AD2" w:rsidRPr="00341FC2" w14:paraId="25F3440D" w14:textId="77777777" w:rsidTr="007D2624">
        <w:tc>
          <w:tcPr>
            <w:tcW w:w="1854" w:type="dxa"/>
            <w:tcBorders>
              <w:top w:val="single" w:sz="4" w:space="0" w:color="auto"/>
              <w:left w:val="single" w:sz="4" w:space="0" w:color="auto"/>
              <w:bottom w:val="single" w:sz="4" w:space="0" w:color="auto"/>
              <w:right w:val="single" w:sz="4" w:space="0" w:color="auto"/>
            </w:tcBorders>
          </w:tcPr>
          <w:p w14:paraId="3A08E002" w14:textId="77777777" w:rsidR="00157AD2" w:rsidRPr="00341FC2" w:rsidRDefault="00157AD2" w:rsidP="00B43C9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1868213" w14:textId="0E52518F" w:rsidR="00157AD2" w:rsidRPr="00341FC2" w:rsidRDefault="00157AD2" w:rsidP="00B43C9C">
            <w:pPr>
              <w:widowControl w:val="0"/>
              <w:spacing w:before="60" w:after="60" w:line="240" w:lineRule="auto"/>
              <w:rPr>
                <w:rFonts w:ascii="Arial" w:hAnsi="Arial" w:cs="Arial"/>
                <w:sz w:val="16"/>
                <w:szCs w:val="16"/>
              </w:rPr>
            </w:pPr>
            <w:r w:rsidRPr="00341FC2">
              <w:rPr>
                <w:rFonts w:ascii="Arial" w:hAnsi="Arial" w:cs="Arial"/>
                <w:sz w:val="16"/>
                <w:szCs w:val="16"/>
              </w:rPr>
              <w:t>C15192</w:t>
            </w:r>
          </w:p>
        </w:tc>
        <w:tc>
          <w:tcPr>
            <w:tcW w:w="1094" w:type="dxa"/>
            <w:tcBorders>
              <w:top w:val="single" w:sz="4" w:space="0" w:color="auto"/>
              <w:left w:val="single" w:sz="4" w:space="0" w:color="auto"/>
              <w:bottom w:val="single" w:sz="4" w:space="0" w:color="auto"/>
              <w:right w:val="single" w:sz="4" w:space="0" w:color="auto"/>
            </w:tcBorders>
          </w:tcPr>
          <w:p w14:paraId="2038C21C" w14:textId="77777777" w:rsidR="00157AD2" w:rsidRPr="00341FC2" w:rsidRDefault="00157AD2" w:rsidP="00B43C9C">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70F889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Severe aplastic anaemia</w:t>
            </w:r>
          </w:p>
          <w:p w14:paraId="79F7875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Initial treatment - Second line treatment</w:t>
            </w:r>
          </w:p>
          <w:p w14:paraId="281095FC"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condition must be severe aplastic anaemia; AND</w:t>
            </w:r>
          </w:p>
          <w:p w14:paraId="1F56BBFE"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Patient must not have achieved an adequate response to prior immunosuppressive therapy including anti-thymocyte antibody and </w:t>
            </w:r>
            <w:proofErr w:type="gramStart"/>
            <w:r w:rsidRPr="00341FC2">
              <w:rPr>
                <w:rFonts w:eastAsiaTheme="minorHAnsi"/>
                <w:szCs w:val="16"/>
                <w:lang w:eastAsia="en-US"/>
              </w:rPr>
              <w:t>ciclosporin;</w:t>
            </w:r>
            <w:proofErr w:type="gramEnd"/>
            <w:r w:rsidRPr="00341FC2">
              <w:rPr>
                <w:rFonts w:eastAsiaTheme="minorHAnsi"/>
                <w:szCs w:val="16"/>
                <w:lang w:eastAsia="en-US"/>
              </w:rPr>
              <w:t xml:space="preserve"> OR</w:t>
            </w:r>
          </w:p>
          <w:p w14:paraId="5D76B1C6"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 xml:space="preserve">Patient must have relapsed following prior immunosuppressive therapy including anti-thymocyte </w:t>
            </w:r>
            <w:r w:rsidRPr="00341FC2">
              <w:rPr>
                <w:rFonts w:eastAsiaTheme="minorHAnsi"/>
                <w:szCs w:val="16"/>
                <w:lang w:eastAsia="en-US"/>
              </w:rPr>
              <w:lastRenderedPageBreak/>
              <w:t>antibody and ciclosporin; AND</w:t>
            </w:r>
          </w:p>
          <w:p w14:paraId="2D8EE31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Patient must not receive more than 16 weeks of treatment under this restriction.</w:t>
            </w:r>
          </w:p>
          <w:p w14:paraId="5DAB450B"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The authority application must be made via the online PBS Authorities (real time assessment), or in writing via HPOS form upload or mail and must include:</w:t>
            </w:r>
          </w:p>
          <w:p w14:paraId="0E84A6B8"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(a) prior immunosuppressive therapy, including dates of treatment.</w:t>
            </w:r>
          </w:p>
          <w:p w14:paraId="11FC8DA7"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If the application is submitted through HPOS form upload or mail, it must include:</w:t>
            </w:r>
          </w:p>
          <w:p w14:paraId="20D30AF9" w14:textId="77777777" w:rsidR="00157AD2" w:rsidRPr="00341FC2" w:rsidRDefault="00157AD2" w:rsidP="00B43C9C">
            <w:pPr>
              <w:pStyle w:val="mps3-data"/>
              <w:widowControl w:val="0"/>
              <w:rPr>
                <w:rFonts w:eastAsiaTheme="minorHAnsi"/>
                <w:szCs w:val="16"/>
                <w:lang w:eastAsia="en-US"/>
              </w:rPr>
            </w:pPr>
            <w:r w:rsidRPr="00341FC2">
              <w:rPr>
                <w:rFonts w:eastAsiaTheme="minorHAnsi"/>
                <w:szCs w:val="16"/>
                <w:lang w:eastAsia="en-US"/>
              </w:rPr>
              <w:t>(</w:t>
            </w:r>
            <w:proofErr w:type="spellStart"/>
            <w:r w:rsidRPr="00341FC2">
              <w:rPr>
                <w:rFonts w:eastAsiaTheme="minorHAnsi"/>
                <w:szCs w:val="16"/>
                <w:lang w:eastAsia="en-US"/>
              </w:rPr>
              <w:t>i</w:t>
            </w:r>
            <w:proofErr w:type="spellEnd"/>
            <w:r w:rsidRPr="00341FC2">
              <w:rPr>
                <w:rFonts w:eastAsiaTheme="minorHAnsi"/>
                <w:szCs w:val="16"/>
                <w:lang w:eastAsia="en-US"/>
              </w:rPr>
              <w:t>) A completed authority prescription form; and</w:t>
            </w:r>
          </w:p>
          <w:p w14:paraId="3C7B7049" w14:textId="5B58BAFC" w:rsidR="00157AD2" w:rsidRPr="00341FC2" w:rsidRDefault="00157AD2" w:rsidP="00B43C9C">
            <w:pPr>
              <w:pStyle w:val="mps3-data"/>
              <w:widowControl w:val="0"/>
              <w:rPr>
                <w:rFonts w:eastAsiaTheme="minorHAnsi"/>
                <w:szCs w:val="16"/>
                <w:lang w:eastAsia="en-US"/>
              </w:rPr>
            </w:pPr>
            <w:r w:rsidRPr="00341FC2">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668F63C4" w14:textId="760A4F27" w:rsidR="00157AD2" w:rsidRPr="00341FC2" w:rsidRDefault="00157AD2" w:rsidP="00B43C9C">
            <w:pPr>
              <w:pStyle w:val="mps3-data"/>
              <w:widowControl w:val="0"/>
              <w:rPr>
                <w:szCs w:val="16"/>
              </w:rPr>
            </w:pPr>
            <w:r w:rsidRPr="00341FC2">
              <w:rPr>
                <w:szCs w:val="16"/>
              </w:rPr>
              <w:lastRenderedPageBreak/>
              <w:t>Compliance with Written Authority Required procedures</w:t>
            </w:r>
          </w:p>
        </w:tc>
      </w:tr>
    </w:tbl>
    <w:p w14:paraId="5930FAFA" w14:textId="2304A606" w:rsidR="00790E36" w:rsidRPr="00341FC2" w:rsidRDefault="00790E36" w:rsidP="00790E36">
      <w:pPr>
        <w:pStyle w:val="Amendment1"/>
        <w:numPr>
          <w:ilvl w:val="0"/>
          <w:numId w:val="7"/>
        </w:numPr>
        <w:spacing w:line="260" w:lineRule="exact"/>
        <w:rPr>
          <w:rFonts w:ascii="Times New Roman" w:hAnsi="Times New Roman" w:cs="Times New Roman"/>
          <w:b w:val="0"/>
          <w:bCs w:val="0"/>
          <w:i/>
          <w:iCs/>
        </w:rPr>
      </w:pPr>
      <w:r w:rsidRPr="00341FC2">
        <w:rPr>
          <w:bCs w:val="0"/>
          <w:iCs/>
        </w:rPr>
        <w:t>Schedule</w:t>
      </w:r>
      <w:r w:rsidRPr="00341FC2">
        <w:t xml:space="preserve"> 3, entry for </w:t>
      </w:r>
      <w:proofErr w:type="spellStart"/>
      <w:r w:rsidRPr="00341FC2">
        <w:t>Epoprostenol</w:t>
      </w:r>
      <w:proofErr w:type="spellEnd"/>
      <w:r w:rsidR="00ED028A" w:rsidRPr="00341FC2">
        <w:t>,</w:t>
      </w:r>
      <w:r w:rsidRPr="00341FC2">
        <w:t xml:space="preserve"> omit entry for Circumstances Code “</w:t>
      </w:r>
      <w:proofErr w:type="gramStart"/>
      <w:r w:rsidRPr="00341FC2">
        <w:t>C13492”</w:t>
      </w:r>
      <w:proofErr w:type="gramEnd"/>
    </w:p>
    <w:p w14:paraId="43776A77" w14:textId="6CEE3C81" w:rsidR="00790E36" w:rsidRPr="00341FC2" w:rsidRDefault="00790E36" w:rsidP="00790E36">
      <w:pPr>
        <w:pStyle w:val="Amendment1"/>
        <w:numPr>
          <w:ilvl w:val="0"/>
          <w:numId w:val="9"/>
        </w:numPr>
        <w:spacing w:line="260" w:lineRule="exact"/>
        <w:rPr>
          <w:rFonts w:ascii="Times New Roman" w:hAnsi="Times New Roman" w:cs="Times New Roman"/>
          <w:b w:val="0"/>
          <w:bCs w:val="0"/>
          <w:i/>
          <w:iCs/>
        </w:rPr>
      </w:pPr>
      <w:r w:rsidRPr="00341FC2">
        <w:t xml:space="preserve">Schedule 3, entry for </w:t>
      </w:r>
      <w:proofErr w:type="spellStart"/>
      <w:r w:rsidRPr="00341FC2">
        <w:t>Iloprost</w:t>
      </w:r>
      <w:proofErr w:type="spellEnd"/>
      <w:r w:rsidR="000E2061" w:rsidRPr="00341FC2">
        <w:t>,</w:t>
      </w:r>
      <w:r w:rsidRPr="00341FC2">
        <w:t xml:space="preserve"> omit entry for Circumstances Code “</w:t>
      </w:r>
      <w:proofErr w:type="gramStart"/>
      <w:r w:rsidRPr="00341FC2">
        <w:t>C13492”</w:t>
      </w:r>
      <w:proofErr w:type="gramEnd"/>
    </w:p>
    <w:p w14:paraId="0DB82E42" w14:textId="0A94051F" w:rsidR="00790E36" w:rsidRPr="00341FC2" w:rsidRDefault="00790E36" w:rsidP="00790E36">
      <w:pPr>
        <w:pStyle w:val="Amendment1"/>
        <w:numPr>
          <w:ilvl w:val="0"/>
          <w:numId w:val="9"/>
        </w:numPr>
        <w:spacing w:line="260" w:lineRule="exact"/>
        <w:rPr>
          <w:rFonts w:ascii="Times New Roman" w:hAnsi="Times New Roman" w:cs="Times New Roman"/>
          <w:b w:val="0"/>
          <w:bCs w:val="0"/>
          <w:i/>
          <w:iCs/>
        </w:rPr>
      </w:pPr>
      <w:r w:rsidRPr="00341FC2">
        <w:t xml:space="preserve">Schedule 3, entry for </w:t>
      </w:r>
      <w:proofErr w:type="spellStart"/>
      <w:r w:rsidRPr="00341FC2">
        <w:t>Macitentan</w:t>
      </w:r>
      <w:proofErr w:type="spellEnd"/>
      <w:r w:rsidR="000E2061" w:rsidRPr="00341FC2">
        <w:t>,</w:t>
      </w:r>
      <w:r w:rsidRPr="00341FC2">
        <w:t xml:space="preserve"> omit entry for Circumstances Code “</w:t>
      </w:r>
      <w:proofErr w:type="gramStart"/>
      <w:r w:rsidRPr="00341FC2">
        <w:t>C13580”</w:t>
      </w:r>
      <w:proofErr w:type="gramEnd"/>
    </w:p>
    <w:p w14:paraId="34088ABD" w14:textId="6B952B3C" w:rsidR="00790E36" w:rsidRPr="00341FC2" w:rsidRDefault="00790E36" w:rsidP="00790E36">
      <w:pPr>
        <w:pStyle w:val="Amendment1"/>
        <w:numPr>
          <w:ilvl w:val="0"/>
          <w:numId w:val="9"/>
        </w:numPr>
        <w:spacing w:line="260" w:lineRule="exact"/>
        <w:rPr>
          <w:rFonts w:ascii="Times New Roman" w:hAnsi="Times New Roman" w:cs="Times New Roman"/>
          <w:b w:val="0"/>
          <w:bCs w:val="0"/>
          <w:i/>
          <w:iCs/>
        </w:rPr>
      </w:pPr>
      <w:r w:rsidRPr="00341FC2">
        <w:t xml:space="preserve">Schedule 3, entry for </w:t>
      </w:r>
      <w:proofErr w:type="spellStart"/>
      <w:r w:rsidRPr="00341FC2">
        <w:t>Pegcetacoplan</w:t>
      </w:r>
      <w:proofErr w:type="spellEnd"/>
      <w:r w:rsidR="000E2061" w:rsidRPr="00341FC2">
        <w:t>,</w:t>
      </w:r>
      <w:r w:rsidRPr="00341FC2">
        <w:t xml:space="preserve"> omit entry for Circumstances Code “</w:t>
      </w:r>
      <w:proofErr w:type="gramStart"/>
      <w:r w:rsidRPr="00341FC2">
        <w:t>C13658”</w:t>
      </w:r>
      <w:proofErr w:type="gramEnd"/>
    </w:p>
    <w:p w14:paraId="044EFAF2" w14:textId="2BA0850C" w:rsidR="00EC0642" w:rsidRPr="00341FC2" w:rsidRDefault="00EC0642" w:rsidP="00790E36">
      <w:pPr>
        <w:pStyle w:val="Amendment1"/>
        <w:numPr>
          <w:ilvl w:val="0"/>
          <w:numId w:val="9"/>
        </w:numPr>
        <w:spacing w:line="260" w:lineRule="exact"/>
        <w:rPr>
          <w:rFonts w:ascii="Times New Roman" w:hAnsi="Times New Roman" w:cs="Times New Roman"/>
          <w:b w:val="0"/>
          <w:bCs w:val="0"/>
          <w:i/>
          <w:iCs/>
        </w:rPr>
      </w:pPr>
      <w:r w:rsidRPr="00341FC2">
        <w:t>Schedule 3, entry for Selinexor</w:t>
      </w:r>
    </w:p>
    <w:p w14:paraId="15D58F8E" w14:textId="36ADC758"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“C14021”, omit from the column headed “Purposes Code”: </w:t>
      </w:r>
      <w:r w:rsidRPr="00341FC2">
        <w:t>P14021</w:t>
      </w:r>
    </w:p>
    <w:p w14:paraId="02C430BF" w14:textId="064E09D9"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“C14022”, omit from the column headed “Purposes Code”: </w:t>
      </w:r>
      <w:r w:rsidRPr="00341FC2">
        <w:t>P14022</w:t>
      </w:r>
    </w:p>
    <w:p w14:paraId="49F25AC3" w14:textId="75260C23"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“C14023”, omit from the column headed “Purposes Code”: </w:t>
      </w:r>
      <w:r w:rsidRPr="00341FC2">
        <w:t>P14023</w:t>
      </w:r>
    </w:p>
    <w:p w14:paraId="46BDB75F" w14:textId="6F668F2F"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“C14024”, omit from the column headed “Purposes Code”: </w:t>
      </w:r>
      <w:r w:rsidRPr="00341FC2">
        <w:t>P14024</w:t>
      </w:r>
    </w:p>
    <w:p w14:paraId="1C80580E" w14:textId="591A9DF2"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“C14031”, omit from the column headed “Purposes Code”: </w:t>
      </w:r>
      <w:r w:rsidRPr="00341FC2">
        <w:t>P14031</w:t>
      </w:r>
    </w:p>
    <w:p w14:paraId="7A8CD6C2" w14:textId="77EDD6EC"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“C14037”, omit from the column headed “Purposes Code”: </w:t>
      </w:r>
      <w:r w:rsidRPr="00341FC2">
        <w:t>P14037</w:t>
      </w:r>
    </w:p>
    <w:p w14:paraId="4045F3D9" w14:textId="0CC99B27"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“C14039”, omit from the column headed “Purposes Code”: </w:t>
      </w:r>
      <w:r w:rsidRPr="00341FC2">
        <w:t>P14039</w:t>
      </w:r>
    </w:p>
    <w:p w14:paraId="419E5B83" w14:textId="59D6C580" w:rsidR="00EC0642" w:rsidRPr="00341FC2" w:rsidRDefault="00EC0642" w:rsidP="00EC0642">
      <w:pPr>
        <w:pStyle w:val="Amendment1"/>
        <w:numPr>
          <w:ilvl w:val="0"/>
          <w:numId w:val="42"/>
        </w:numPr>
        <w:spacing w:before="60" w:after="60" w:line="260" w:lineRule="exact"/>
        <w:ind w:left="1361" w:hanging="567"/>
      </w:pPr>
      <w:r w:rsidRPr="00341FC2">
        <w:rPr>
          <w:rFonts w:ascii="Times New Roman" w:hAnsi="Times New Roman" w:cs="Times New Roman"/>
          <w:b w:val="0"/>
          <w:bCs w:val="0"/>
          <w:i/>
          <w:iCs/>
        </w:rPr>
        <w:t xml:space="preserve">for the entry for Circumstances Code “C14045”, omit from the column headed “Purposes Code”: </w:t>
      </w:r>
      <w:r w:rsidRPr="00341FC2">
        <w:t>P14045</w:t>
      </w:r>
    </w:p>
    <w:p w14:paraId="5DB840FA" w14:textId="54A886BF" w:rsidR="00790E36" w:rsidRPr="00341FC2" w:rsidRDefault="00790E36" w:rsidP="00790E36">
      <w:pPr>
        <w:pStyle w:val="Amendment1"/>
        <w:numPr>
          <w:ilvl w:val="0"/>
          <w:numId w:val="9"/>
        </w:numPr>
        <w:spacing w:line="260" w:lineRule="exact"/>
        <w:rPr>
          <w:rFonts w:ascii="Times New Roman" w:hAnsi="Times New Roman" w:cs="Times New Roman"/>
          <w:b w:val="0"/>
          <w:bCs w:val="0"/>
          <w:i/>
          <w:iCs/>
        </w:rPr>
      </w:pPr>
      <w:r w:rsidRPr="00341FC2">
        <w:t>Schedule 3, entry for Sildenafil</w:t>
      </w:r>
      <w:r w:rsidR="000E2061" w:rsidRPr="00341FC2">
        <w:t>,</w:t>
      </w:r>
      <w:r w:rsidRPr="00341FC2">
        <w:t xml:space="preserve"> omit entry for Circumstances Code “</w:t>
      </w:r>
      <w:proofErr w:type="gramStart"/>
      <w:r w:rsidRPr="00341FC2">
        <w:t>C13671”</w:t>
      </w:r>
      <w:proofErr w:type="gramEnd"/>
    </w:p>
    <w:p w14:paraId="2918C4D9" w14:textId="28241429" w:rsidR="00790E36" w:rsidRPr="00341FC2" w:rsidRDefault="00790E36" w:rsidP="00790E36">
      <w:pPr>
        <w:pStyle w:val="Amendment1"/>
        <w:numPr>
          <w:ilvl w:val="0"/>
          <w:numId w:val="9"/>
        </w:numPr>
        <w:spacing w:line="260" w:lineRule="exact"/>
        <w:rPr>
          <w:rFonts w:ascii="Times New Roman" w:hAnsi="Times New Roman" w:cs="Times New Roman"/>
          <w:b w:val="0"/>
          <w:bCs w:val="0"/>
          <w:i/>
          <w:iCs/>
        </w:rPr>
      </w:pPr>
      <w:r w:rsidRPr="00341FC2">
        <w:t>Schedule 3, entry for Tadalafil</w:t>
      </w:r>
      <w:r w:rsidR="000E2061" w:rsidRPr="00341FC2">
        <w:t>,</w:t>
      </w:r>
      <w:r w:rsidRPr="00341FC2">
        <w:t xml:space="preserve"> omit entry for Circumstances Code “</w:t>
      </w:r>
      <w:proofErr w:type="gramStart"/>
      <w:r w:rsidRPr="00341FC2">
        <w:t>C13671”</w:t>
      </w:r>
      <w:proofErr w:type="gramEnd"/>
    </w:p>
    <w:sectPr w:rsidR="00790E36" w:rsidRPr="00341FC2"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8020" w14:textId="77777777" w:rsidR="004F3D64" w:rsidRDefault="004F3D64" w:rsidP="0048364F">
      <w:pPr>
        <w:spacing w:line="240" w:lineRule="auto"/>
      </w:pPr>
      <w:r>
        <w:separator/>
      </w:r>
    </w:p>
  </w:endnote>
  <w:endnote w:type="continuationSeparator" w:id="0">
    <w:p w14:paraId="7036CC51" w14:textId="77777777" w:rsidR="004F3D64" w:rsidRDefault="004F3D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3330D49D"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Amendment (</w:t>
    </w:r>
    <w:r w:rsidR="008E7333" w:rsidRPr="00CE5922">
      <w:rPr>
        <w:i/>
        <w:sz w:val="16"/>
        <w:szCs w:val="16"/>
      </w:rPr>
      <w:t>May</w:t>
    </w:r>
    <w:r w:rsidRPr="00CE5922">
      <w:rPr>
        <w:i/>
        <w:sz w:val="16"/>
        <w:szCs w:val="16"/>
      </w:rPr>
      <w:t xml:space="preserve"> Update) Instrument 202</w:t>
    </w:r>
    <w:r w:rsidR="00F052E7" w:rsidRPr="00CE5922">
      <w:rPr>
        <w:i/>
        <w:sz w:val="16"/>
        <w:szCs w:val="16"/>
      </w:rPr>
      <w:t>4</w:t>
    </w:r>
    <w:r w:rsidRPr="00CE5922">
      <w:rPr>
        <w:i/>
        <w:sz w:val="16"/>
        <w:szCs w:val="16"/>
      </w:rPr>
      <w:ptab w:relativeTo="margin" w:alignment="right" w:leader="none"/>
    </w:r>
    <w:proofErr w:type="spellStart"/>
    <w:r w:rsidRPr="00CE5922">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11D5DD24"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w:t>
    </w:r>
    <w:r w:rsidRPr="00C25D5F">
      <w:rPr>
        <w:i/>
        <w:sz w:val="16"/>
        <w:szCs w:val="16"/>
      </w:rPr>
      <w:t>e</w:t>
    </w:r>
    <w:r w:rsidRPr="004D0939">
      <w:rPr>
        <w:i/>
        <w:sz w:val="16"/>
        <w:szCs w:val="16"/>
      </w:rPr>
      <w:t>ndm</w:t>
    </w:r>
    <w:r w:rsidRPr="00CE5922">
      <w:rPr>
        <w:i/>
        <w:sz w:val="16"/>
        <w:szCs w:val="16"/>
      </w:rPr>
      <w:t>ent (</w:t>
    </w:r>
    <w:r w:rsidR="00CD700B" w:rsidRPr="00CE5922">
      <w:rPr>
        <w:i/>
        <w:sz w:val="16"/>
        <w:szCs w:val="16"/>
      </w:rPr>
      <w:t>May</w:t>
    </w:r>
    <w:r w:rsidR="00C15E1E" w:rsidRPr="00CE5922">
      <w:rPr>
        <w:i/>
        <w:sz w:val="16"/>
        <w:szCs w:val="16"/>
      </w:rPr>
      <w:t xml:space="preserve"> </w:t>
    </w:r>
    <w:r w:rsidRPr="00CE5922">
      <w:rPr>
        <w:i/>
        <w:sz w:val="16"/>
        <w:szCs w:val="16"/>
      </w:rPr>
      <w:t>Update) Instrument 202</w:t>
    </w:r>
    <w:r w:rsidR="008D76A3" w:rsidRPr="00CE5922">
      <w:rPr>
        <w:i/>
        <w:sz w:val="16"/>
        <w:szCs w:val="16"/>
      </w:rPr>
      <w:t>4</w:t>
    </w:r>
    <w:r w:rsidRPr="00CE5922">
      <w:rPr>
        <w:i/>
        <w:sz w:val="16"/>
        <w:szCs w:val="16"/>
      </w:rPr>
      <w:t xml:space="preserve"> </w:t>
    </w:r>
    <w:r w:rsidRPr="00CE5922">
      <w:rPr>
        <w:i/>
        <w:sz w:val="16"/>
        <w:szCs w:val="16"/>
      </w:rPr>
      <w:ptab w:relativeTo="margin" w:alignment="right" w:leader="none"/>
    </w:r>
    <w:r w:rsidRPr="00CE5922">
      <w:rPr>
        <w:i/>
        <w:sz w:val="16"/>
        <w:szCs w:val="16"/>
      </w:rPr>
      <w:fldChar w:fldCharType="begin"/>
    </w:r>
    <w:r w:rsidRPr="00CE5922">
      <w:rPr>
        <w:i/>
        <w:sz w:val="16"/>
        <w:szCs w:val="16"/>
      </w:rPr>
      <w:instrText xml:space="preserve"> PAGE   \* MERGEFORMAT </w:instrText>
    </w:r>
    <w:r w:rsidRPr="00CE5922">
      <w:rPr>
        <w:i/>
        <w:sz w:val="16"/>
        <w:szCs w:val="16"/>
      </w:rPr>
      <w:fldChar w:fldCharType="separate"/>
    </w:r>
    <w:r w:rsidRPr="00CE5922">
      <w:rPr>
        <w:i/>
        <w:sz w:val="16"/>
        <w:szCs w:val="16"/>
      </w:rPr>
      <w:t>1</w:t>
    </w:r>
    <w:r w:rsidRPr="00CE5922">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774" w14:textId="77777777" w:rsidR="004F3D64" w:rsidRDefault="004F3D64" w:rsidP="0048364F">
      <w:pPr>
        <w:spacing w:line="240" w:lineRule="auto"/>
      </w:pPr>
      <w:r>
        <w:separator/>
      </w:r>
    </w:p>
  </w:footnote>
  <w:footnote w:type="continuationSeparator" w:id="0">
    <w:p w14:paraId="02BA33B3" w14:textId="77777777" w:rsidR="004F3D64" w:rsidRDefault="004F3D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83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96A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AD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62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A06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08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65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A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6F96E"/>
    <w:lvl w:ilvl="0">
      <w:start w:val="1"/>
      <w:numFmt w:val="decimal"/>
      <w:lvlText w:val="%1."/>
      <w:lvlJc w:val="left"/>
      <w:pPr>
        <w:tabs>
          <w:tab w:val="num" w:pos="360"/>
        </w:tabs>
        <w:ind w:left="360" w:hanging="360"/>
      </w:pPr>
    </w:lvl>
  </w:abstractNum>
  <w:abstractNum w:abstractNumId="9" w15:restartNumberingAfterBreak="0">
    <w:nsid w:val="04531AC1"/>
    <w:multiLevelType w:val="hybridMultilevel"/>
    <w:tmpl w:val="30046562"/>
    <w:lvl w:ilvl="0" w:tplc="E9CCFB12">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0B877750"/>
    <w:multiLevelType w:val="hybridMultilevel"/>
    <w:tmpl w:val="F3E2CFE4"/>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0C681459"/>
    <w:multiLevelType w:val="hybridMultilevel"/>
    <w:tmpl w:val="4530934E"/>
    <w:lvl w:ilvl="0" w:tplc="FFFFFFFF">
      <w:start w:val="1"/>
      <w:numFmt w:val="lowerLetter"/>
      <w:lvlText w:val="(%1)"/>
      <w:lvlJc w:val="left"/>
      <w:pPr>
        <w:ind w:left="1287" w:hanging="360"/>
      </w:pPr>
      <w:rPr>
        <w:rFonts w:ascii="Arial Bold" w:hAnsi="Arial Bold" w:hint="default"/>
        <w:b/>
        <w:i w:val="0"/>
        <w:sz w:val="2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E6E5383"/>
    <w:multiLevelType w:val="hybridMultilevel"/>
    <w:tmpl w:val="0B24CFD0"/>
    <w:lvl w:ilvl="0" w:tplc="03145D04">
      <w:start w:val="1"/>
      <w:numFmt w:val="decimal"/>
      <w:lvlText w:val="(%1)"/>
      <w:lvlJc w:val="left"/>
      <w:pPr>
        <w:ind w:left="1287" w:hanging="360"/>
      </w:pPr>
      <w:rPr>
        <w:rFonts w:ascii="Times New Roman" w:eastAsia="Times New Roman"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03734DA"/>
    <w:multiLevelType w:val="hybridMultilevel"/>
    <w:tmpl w:val="B67C4C9E"/>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5"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1D702A"/>
    <w:multiLevelType w:val="hybridMultilevel"/>
    <w:tmpl w:val="B67C4C9E"/>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E83191"/>
    <w:multiLevelType w:val="hybridMultilevel"/>
    <w:tmpl w:val="6F906A00"/>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9C3601"/>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37755107"/>
    <w:multiLevelType w:val="hybridMultilevel"/>
    <w:tmpl w:val="8C2A879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99F3F3B"/>
    <w:multiLevelType w:val="hybridMultilevel"/>
    <w:tmpl w:val="C4428E92"/>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AB9693A"/>
    <w:multiLevelType w:val="hybridMultilevel"/>
    <w:tmpl w:val="B67C4C9E"/>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247256F"/>
    <w:multiLevelType w:val="hybridMultilevel"/>
    <w:tmpl w:val="8AC64C5E"/>
    <w:lvl w:ilvl="0" w:tplc="4AB20A64">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54033E01"/>
    <w:multiLevelType w:val="hybridMultilevel"/>
    <w:tmpl w:val="F3E2CFE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4E34B21"/>
    <w:multiLevelType w:val="hybridMultilevel"/>
    <w:tmpl w:val="4530934E"/>
    <w:lvl w:ilvl="0" w:tplc="81FE5076">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5B4F2831"/>
    <w:multiLevelType w:val="hybridMultilevel"/>
    <w:tmpl w:val="4530934E"/>
    <w:lvl w:ilvl="0" w:tplc="FFFFFFFF">
      <w:start w:val="1"/>
      <w:numFmt w:val="lowerLetter"/>
      <w:lvlText w:val="(%1)"/>
      <w:lvlJc w:val="left"/>
      <w:pPr>
        <w:ind w:left="1287" w:hanging="360"/>
      </w:pPr>
      <w:rPr>
        <w:rFonts w:ascii="Arial Bold" w:hAnsi="Arial Bold" w:hint="default"/>
        <w:b/>
        <w:i w:val="0"/>
        <w:sz w:val="2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645425A1"/>
    <w:multiLevelType w:val="hybridMultilevel"/>
    <w:tmpl w:val="DB8E925A"/>
    <w:lvl w:ilvl="0" w:tplc="F3A6B03E">
      <w:start w:val="1"/>
      <w:numFmt w:val="lowerLetter"/>
      <w:lvlText w:val="(%1)"/>
      <w:lvlJc w:val="left"/>
      <w:pPr>
        <w:ind w:left="2088" w:hanging="756"/>
      </w:pPr>
      <w:rPr>
        <w:rFonts w:ascii="Times New Roman" w:eastAsia="Times New Roman" w:hAnsi="Times New Roman" w:cs="Times New Roman" w:hint="default"/>
      </w:rPr>
    </w:lvl>
    <w:lvl w:ilvl="1" w:tplc="0C090019">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29" w15:restartNumberingAfterBreak="0">
    <w:nsid w:val="665F0CA5"/>
    <w:multiLevelType w:val="hybridMultilevel"/>
    <w:tmpl w:val="F3E2CFE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69F701D7"/>
    <w:multiLevelType w:val="multilevel"/>
    <w:tmpl w:val="B8063A00"/>
    <w:lvl w:ilvl="0">
      <w:start w:val="6"/>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31"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3F712B"/>
    <w:multiLevelType w:val="hybridMultilevel"/>
    <w:tmpl w:val="A3068C1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3" w15:restartNumberingAfterBreak="0">
    <w:nsid w:val="788C570A"/>
    <w:multiLevelType w:val="hybridMultilevel"/>
    <w:tmpl w:val="16BA5AB0"/>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15638D"/>
    <w:multiLevelType w:val="hybridMultilevel"/>
    <w:tmpl w:val="A2F054AC"/>
    <w:lvl w:ilvl="0" w:tplc="03145D04">
      <w:start w:val="1"/>
      <w:numFmt w:val="decimal"/>
      <w:lvlText w:val="(%1)"/>
      <w:lvlJc w:val="left"/>
      <w:pPr>
        <w:ind w:left="1692" w:hanging="360"/>
      </w:pPr>
      <w:rPr>
        <w:rFonts w:ascii="Times New Roman" w:eastAsia="Times New Roman" w:hAnsi="Times New Roman" w:cs="Times New Roman"/>
      </w:rPr>
    </w:lvl>
    <w:lvl w:ilvl="1" w:tplc="0C090019">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5" w15:restartNumberingAfterBreak="0">
    <w:nsid w:val="7D8B0CE3"/>
    <w:multiLevelType w:val="hybridMultilevel"/>
    <w:tmpl w:val="F3E2CFE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7DBB3979"/>
    <w:multiLevelType w:val="hybridMultilevel"/>
    <w:tmpl w:val="2678182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1766922150">
    <w:abstractNumId w:val="22"/>
  </w:num>
  <w:num w:numId="2" w16cid:durableId="210310617">
    <w:abstractNumId w:val="17"/>
  </w:num>
  <w:num w:numId="3" w16cid:durableId="518618884">
    <w:abstractNumId w:val="37"/>
  </w:num>
  <w:num w:numId="4" w16cid:durableId="1862082415">
    <w:abstractNumId w:val="15"/>
  </w:num>
  <w:num w:numId="5" w16cid:durableId="1461916264">
    <w:abstractNumId w:val="14"/>
  </w:num>
  <w:num w:numId="6" w16cid:durableId="247348770">
    <w:abstractNumId w:val="31"/>
  </w:num>
  <w:num w:numId="7" w16cid:durableId="1713654853">
    <w:abstractNumId w:val="1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320087068">
    <w:abstractNumId w:val="9"/>
  </w:num>
  <w:num w:numId="9" w16cid:durableId="2035571270">
    <w:abstractNumId w:val="1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10" w16cid:durableId="1914731580">
    <w:abstractNumId w:val="24"/>
  </w:num>
  <w:num w:numId="11" w16cid:durableId="1853912171">
    <w:abstractNumId w:val="36"/>
  </w:num>
  <w:num w:numId="12" w16cid:durableId="1984121105">
    <w:abstractNumId w:val="7"/>
  </w:num>
  <w:num w:numId="13" w16cid:durableId="180509574">
    <w:abstractNumId w:val="6"/>
  </w:num>
  <w:num w:numId="14" w16cid:durableId="1810514890">
    <w:abstractNumId w:val="5"/>
  </w:num>
  <w:num w:numId="15" w16cid:durableId="830412675">
    <w:abstractNumId w:val="4"/>
  </w:num>
  <w:num w:numId="16" w16cid:durableId="785277362">
    <w:abstractNumId w:val="8"/>
  </w:num>
  <w:num w:numId="17" w16cid:durableId="648478774">
    <w:abstractNumId w:val="3"/>
  </w:num>
  <w:num w:numId="18" w16cid:durableId="1038816489">
    <w:abstractNumId w:val="2"/>
  </w:num>
  <w:num w:numId="19" w16cid:durableId="790976212">
    <w:abstractNumId w:val="1"/>
  </w:num>
  <w:num w:numId="20" w16cid:durableId="2029023198">
    <w:abstractNumId w:val="0"/>
  </w:num>
  <w:num w:numId="21" w16cid:durableId="166409283">
    <w:abstractNumId w:val="20"/>
  </w:num>
  <w:num w:numId="22" w16cid:durableId="640771094">
    <w:abstractNumId w:val="18"/>
  </w:num>
  <w:num w:numId="23" w16cid:durableId="1376396091">
    <w:abstractNumId w:val="1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hint="default"/>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24" w16cid:durableId="1078986325">
    <w:abstractNumId w:val="12"/>
  </w:num>
  <w:num w:numId="25" w16cid:durableId="1093822814">
    <w:abstractNumId w:val="30"/>
  </w:num>
  <w:num w:numId="26" w16cid:durableId="1882470793">
    <w:abstractNumId w:val="10"/>
  </w:num>
  <w:num w:numId="27" w16cid:durableId="339311423">
    <w:abstractNumId w:val="19"/>
  </w:num>
  <w:num w:numId="28" w16cid:durableId="1780876646">
    <w:abstractNumId w:val="21"/>
  </w:num>
  <w:num w:numId="29" w16cid:durableId="1999532166">
    <w:abstractNumId w:val="13"/>
  </w:num>
  <w:num w:numId="30" w16cid:durableId="1829437661">
    <w:abstractNumId w:val="26"/>
  </w:num>
  <w:num w:numId="31" w16cid:durableId="1052921051">
    <w:abstractNumId w:val="29"/>
  </w:num>
  <w:num w:numId="32" w16cid:durableId="1713729313">
    <w:abstractNumId w:val="25"/>
  </w:num>
  <w:num w:numId="33" w16cid:durableId="506946333">
    <w:abstractNumId w:val="35"/>
  </w:num>
  <w:num w:numId="34" w16cid:durableId="693458612">
    <w:abstractNumId w:val="23"/>
  </w:num>
  <w:num w:numId="35" w16cid:durableId="1449279898">
    <w:abstractNumId w:val="16"/>
  </w:num>
  <w:num w:numId="36" w16cid:durableId="1180507058">
    <w:abstractNumId w:val="11"/>
  </w:num>
  <w:num w:numId="37" w16cid:durableId="289436089">
    <w:abstractNumId w:val="27"/>
  </w:num>
  <w:num w:numId="38" w16cid:durableId="1628857296">
    <w:abstractNumId w:val="34"/>
  </w:num>
  <w:num w:numId="39" w16cid:durableId="267129919">
    <w:abstractNumId w:val="28"/>
  </w:num>
  <w:num w:numId="40" w16cid:durableId="105346534">
    <w:abstractNumId w:val="33"/>
  </w:num>
  <w:num w:numId="41" w16cid:durableId="866067915">
    <w:abstractNumId w:val="33"/>
    <w:lvlOverride w:ilvl="0">
      <w:lvl w:ilvl="0" w:tplc="BB16ECA0">
        <w:start w:val="1"/>
        <w:numFmt w:val="lowerLetter"/>
        <w:lvlText w:val="%1."/>
        <w:lvlJc w:val="left"/>
        <w:pPr>
          <w:ind w:left="720" w:firstLine="360"/>
        </w:pPr>
        <w:rPr>
          <w:rFonts w:hint="default"/>
        </w:rPr>
      </w:lvl>
    </w:lvlOverride>
    <w:lvlOverride w:ilvl="1">
      <w:lvl w:ilvl="1" w:tplc="38D485A6">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16cid:durableId="139939969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29FF"/>
    <w:rsid w:val="00013555"/>
    <w:rsid w:val="000136AF"/>
    <w:rsid w:val="0001411C"/>
    <w:rsid w:val="00025590"/>
    <w:rsid w:val="000333C4"/>
    <w:rsid w:val="000402CA"/>
    <w:rsid w:val="0004044E"/>
    <w:rsid w:val="0004265E"/>
    <w:rsid w:val="00043D38"/>
    <w:rsid w:val="0004691D"/>
    <w:rsid w:val="0005106D"/>
    <w:rsid w:val="0005120E"/>
    <w:rsid w:val="0005281D"/>
    <w:rsid w:val="00053B81"/>
    <w:rsid w:val="00054577"/>
    <w:rsid w:val="000545F7"/>
    <w:rsid w:val="00055070"/>
    <w:rsid w:val="000614BF"/>
    <w:rsid w:val="00061E29"/>
    <w:rsid w:val="00063D3F"/>
    <w:rsid w:val="000713EB"/>
    <w:rsid w:val="0007169C"/>
    <w:rsid w:val="00075F1D"/>
    <w:rsid w:val="00076FAC"/>
    <w:rsid w:val="00077593"/>
    <w:rsid w:val="000775C8"/>
    <w:rsid w:val="00083F48"/>
    <w:rsid w:val="00084774"/>
    <w:rsid w:val="00087AC9"/>
    <w:rsid w:val="000917FD"/>
    <w:rsid w:val="00091A69"/>
    <w:rsid w:val="0009620A"/>
    <w:rsid w:val="000A4401"/>
    <w:rsid w:val="000A479A"/>
    <w:rsid w:val="000A7DF9"/>
    <w:rsid w:val="000B3425"/>
    <w:rsid w:val="000B75B5"/>
    <w:rsid w:val="000C0946"/>
    <w:rsid w:val="000C0D68"/>
    <w:rsid w:val="000C2355"/>
    <w:rsid w:val="000C5093"/>
    <w:rsid w:val="000C559D"/>
    <w:rsid w:val="000D05EF"/>
    <w:rsid w:val="000D32BE"/>
    <w:rsid w:val="000D3957"/>
    <w:rsid w:val="000D3FB9"/>
    <w:rsid w:val="000D419A"/>
    <w:rsid w:val="000D4567"/>
    <w:rsid w:val="000D5485"/>
    <w:rsid w:val="000D72ED"/>
    <w:rsid w:val="000E07B3"/>
    <w:rsid w:val="000E2061"/>
    <w:rsid w:val="000E2C29"/>
    <w:rsid w:val="000E4592"/>
    <w:rsid w:val="000E4786"/>
    <w:rsid w:val="000E598E"/>
    <w:rsid w:val="000E59A3"/>
    <w:rsid w:val="000E5A3D"/>
    <w:rsid w:val="000E6DB0"/>
    <w:rsid w:val="000F0ADA"/>
    <w:rsid w:val="000F116E"/>
    <w:rsid w:val="000F21C1"/>
    <w:rsid w:val="000F28B7"/>
    <w:rsid w:val="001016EC"/>
    <w:rsid w:val="00104761"/>
    <w:rsid w:val="0010529F"/>
    <w:rsid w:val="0010745C"/>
    <w:rsid w:val="00111F26"/>
    <w:rsid w:val="001122FF"/>
    <w:rsid w:val="00116E28"/>
    <w:rsid w:val="0011746E"/>
    <w:rsid w:val="00121F20"/>
    <w:rsid w:val="00122CB2"/>
    <w:rsid w:val="001242AB"/>
    <w:rsid w:val="00125CB1"/>
    <w:rsid w:val="00127010"/>
    <w:rsid w:val="00127B5B"/>
    <w:rsid w:val="0013021A"/>
    <w:rsid w:val="00141B18"/>
    <w:rsid w:val="0014478B"/>
    <w:rsid w:val="0015668E"/>
    <w:rsid w:val="00157AD2"/>
    <w:rsid w:val="00160BD7"/>
    <w:rsid w:val="001643C9"/>
    <w:rsid w:val="001648A5"/>
    <w:rsid w:val="00164BEA"/>
    <w:rsid w:val="00165568"/>
    <w:rsid w:val="00166082"/>
    <w:rsid w:val="00166C2F"/>
    <w:rsid w:val="00170CAE"/>
    <w:rsid w:val="001716C9"/>
    <w:rsid w:val="0017259C"/>
    <w:rsid w:val="0017571E"/>
    <w:rsid w:val="00181EA0"/>
    <w:rsid w:val="00183A4B"/>
    <w:rsid w:val="00184261"/>
    <w:rsid w:val="00184BEE"/>
    <w:rsid w:val="001926CC"/>
    <w:rsid w:val="00193289"/>
    <w:rsid w:val="00193461"/>
    <w:rsid w:val="001939E1"/>
    <w:rsid w:val="0019452E"/>
    <w:rsid w:val="00194CE1"/>
    <w:rsid w:val="00195382"/>
    <w:rsid w:val="001A286A"/>
    <w:rsid w:val="001A348C"/>
    <w:rsid w:val="001A3B9F"/>
    <w:rsid w:val="001A5520"/>
    <w:rsid w:val="001A65C0"/>
    <w:rsid w:val="001A696B"/>
    <w:rsid w:val="001B7539"/>
    <w:rsid w:val="001B7A5D"/>
    <w:rsid w:val="001C0593"/>
    <w:rsid w:val="001C6960"/>
    <w:rsid w:val="001C69C4"/>
    <w:rsid w:val="001D01DA"/>
    <w:rsid w:val="001D42BE"/>
    <w:rsid w:val="001D4937"/>
    <w:rsid w:val="001D4D1D"/>
    <w:rsid w:val="001D7192"/>
    <w:rsid w:val="001E0A8D"/>
    <w:rsid w:val="001E3590"/>
    <w:rsid w:val="001E7240"/>
    <w:rsid w:val="001E7407"/>
    <w:rsid w:val="001F1A46"/>
    <w:rsid w:val="001F3B64"/>
    <w:rsid w:val="001F7D2F"/>
    <w:rsid w:val="002008CA"/>
    <w:rsid w:val="00201D27"/>
    <w:rsid w:val="00205A1B"/>
    <w:rsid w:val="00205E53"/>
    <w:rsid w:val="002064BE"/>
    <w:rsid w:val="00207EE4"/>
    <w:rsid w:val="0021153A"/>
    <w:rsid w:val="00212930"/>
    <w:rsid w:val="00220FB9"/>
    <w:rsid w:val="00223241"/>
    <w:rsid w:val="002245A6"/>
    <w:rsid w:val="00224C08"/>
    <w:rsid w:val="002302EA"/>
    <w:rsid w:val="00233ED3"/>
    <w:rsid w:val="00236DD5"/>
    <w:rsid w:val="00237614"/>
    <w:rsid w:val="00240749"/>
    <w:rsid w:val="002468D7"/>
    <w:rsid w:val="00247E97"/>
    <w:rsid w:val="002500FC"/>
    <w:rsid w:val="002536E6"/>
    <w:rsid w:val="00256973"/>
    <w:rsid w:val="00256C81"/>
    <w:rsid w:val="00257BBB"/>
    <w:rsid w:val="00260361"/>
    <w:rsid w:val="00260398"/>
    <w:rsid w:val="00260496"/>
    <w:rsid w:val="00261493"/>
    <w:rsid w:val="0026242B"/>
    <w:rsid w:val="00263BCF"/>
    <w:rsid w:val="002650AD"/>
    <w:rsid w:val="00277B7A"/>
    <w:rsid w:val="00280CFF"/>
    <w:rsid w:val="0028396B"/>
    <w:rsid w:val="00285CDD"/>
    <w:rsid w:val="00291167"/>
    <w:rsid w:val="00292789"/>
    <w:rsid w:val="0029489E"/>
    <w:rsid w:val="00297ECB"/>
    <w:rsid w:val="002B2C66"/>
    <w:rsid w:val="002B69F3"/>
    <w:rsid w:val="002B6E2F"/>
    <w:rsid w:val="002C0490"/>
    <w:rsid w:val="002C152A"/>
    <w:rsid w:val="002C251F"/>
    <w:rsid w:val="002D043A"/>
    <w:rsid w:val="002D43FD"/>
    <w:rsid w:val="002E0A2A"/>
    <w:rsid w:val="002E1674"/>
    <w:rsid w:val="002E18FF"/>
    <w:rsid w:val="002E3E4A"/>
    <w:rsid w:val="002E5D0D"/>
    <w:rsid w:val="002E5EF1"/>
    <w:rsid w:val="002F3033"/>
    <w:rsid w:val="0030116F"/>
    <w:rsid w:val="003020EE"/>
    <w:rsid w:val="00305A29"/>
    <w:rsid w:val="003138E0"/>
    <w:rsid w:val="0031713F"/>
    <w:rsid w:val="00317D4B"/>
    <w:rsid w:val="003206C9"/>
    <w:rsid w:val="003222D1"/>
    <w:rsid w:val="003224C4"/>
    <w:rsid w:val="00323E14"/>
    <w:rsid w:val="0032750F"/>
    <w:rsid w:val="003308BB"/>
    <w:rsid w:val="003313CB"/>
    <w:rsid w:val="00334440"/>
    <w:rsid w:val="003415D3"/>
    <w:rsid w:val="00341FC2"/>
    <w:rsid w:val="003442F6"/>
    <w:rsid w:val="0034455F"/>
    <w:rsid w:val="00345183"/>
    <w:rsid w:val="00346335"/>
    <w:rsid w:val="00350256"/>
    <w:rsid w:val="00352B0F"/>
    <w:rsid w:val="003561B0"/>
    <w:rsid w:val="00356901"/>
    <w:rsid w:val="003641D6"/>
    <w:rsid w:val="00365676"/>
    <w:rsid w:val="00371C8F"/>
    <w:rsid w:val="0037545E"/>
    <w:rsid w:val="0038130C"/>
    <w:rsid w:val="00382BA7"/>
    <w:rsid w:val="003928CD"/>
    <w:rsid w:val="00396F14"/>
    <w:rsid w:val="00397893"/>
    <w:rsid w:val="003A15AC"/>
    <w:rsid w:val="003A76A3"/>
    <w:rsid w:val="003B0627"/>
    <w:rsid w:val="003B7DE8"/>
    <w:rsid w:val="003C24DE"/>
    <w:rsid w:val="003C27F8"/>
    <w:rsid w:val="003C38AB"/>
    <w:rsid w:val="003C3DF2"/>
    <w:rsid w:val="003C4420"/>
    <w:rsid w:val="003C5F2B"/>
    <w:rsid w:val="003C716C"/>
    <w:rsid w:val="003C74E0"/>
    <w:rsid w:val="003C7D35"/>
    <w:rsid w:val="003D0BFE"/>
    <w:rsid w:val="003D1883"/>
    <w:rsid w:val="003D2ED0"/>
    <w:rsid w:val="003D2EEA"/>
    <w:rsid w:val="003D4ECA"/>
    <w:rsid w:val="003D4F56"/>
    <w:rsid w:val="003D5700"/>
    <w:rsid w:val="003D5DC0"/>
    <w:rsid w:val="003D6272"/>
    <w:rsid w:val="003E0300"/>
    <w:rsid w:val="003E0591"/>
    <w:rsid w:val="003F008E"/>
    <w:rsid w:val="003F467C"/>
    <w:rsid w:val="003F6F52"/>
    <w:rsid w:val="0040068E"/>
    <w:rsid w:val="00401F52"/>
    <w:rsid w:val="004022CA"/>
    <w:rsid w:val="00406BA4"/>
    <w:rsid w:val="0041022B"/>
    <w:rsid w:val="00410290"/>
    <w:rsid w:val="004116CD"/>
    <w:rsid w:val="00413EA6"/>
    <w:rsid w:val="00414ADE"/>
    <w:rsid w:val="004168A1"/>
    <w:rsid w:val="00416A8C"/>
    <w:rsid w:val="00423C8F"/>
    <w:rsid w:val="00424CA9"/>
    <w:rsid w:val="004257BB"/>
    <w:rsid w:val="00431AEE"/>
    <w:rsid w:val="004370D6"/>
    <w:rsid w:val="0044291A"/>
    <w:rsid w:val="00445CD8"/>
    <w:rsid w:val="00451A61"/>
    <w:rsid w:val="00454E67"/>
    <w:rsid w:val="004600B0"/>
    <w:rsid w:val="00460499"/>
    <w:rsid w:val="00460FBA"/>
    <w:rsid w:val="00462D05"/>
    <w:rsid w:val="00464EE3"/>
    <w:rsid w:val="00467583"/>
    <w:rsid w:val="00470B80"/>
    <w:rsid w:val="004710D7"/>
    <w:rsid w:val="00471729"/>
    <w:rsid w:val="004739E8"/>
    <w:rsid w:val="00474835"/>
    <w:rsid w:val="00475656"/>
    <w:rsid w:val="00481681"/>
    <w:rsid w:val="004819C7"/>
    <w:rsid w:val="0048364F"/>
    <w:rsid w:val="00485E4A"/>
    <w:rsid w:val="004862C7"/>
    <w:rsid w:val="004877FC"/>
    <w:rsid w:val="00490F2E"/>
    <w:rsid w:val="0049218E"/>
    <w:rsid w:val="004956AA"/>
    <w:rsid w:val="00495879"/>
    <w:rsid w:val="00496F97"/>
    <w:rsid w:val="0049750C"/>
    <w:rsid w:val="00497DD1"/>
    <w:rsid w:val="004A50BB"/>
    <w:rsid w:val="004A53EA"/>
    <w:rsid w:val="004A6E99"/>
    <w:rsid w:val="004B35E7"/>
    <w:rsid w:val="004C1AED"/>
    <w:rsid w:val="004C3376"/>
    <w:rsid w:val="004C4B38"/>
    <w:rsid w:val="004C64F3"/>
    <w:rsid w:val="004D037B"/>
    <w:rsid w:val="004D0939"/>
    <w:rsid w:val="004D157C"/>
    <w:rsid w:val="004D584E"/>
    <w:rsid w:val="004D72B1"/>
    <w:rsid w:val="004E101A"/>
    <w:rsid w:val="004E1E67"/>
    <w:rsid w:val="004E390D"/>
    <w:rsid w:val="004E7FB9"/>
    <w:rsid w:val="004F158E"/>
    <w:rsid w:val="004F1FAC"/>
    <w:rsid w:val="004F3CAF"/>
    <w:rsid w:val="004F3D64"/>
    <w:rsid w:val="004F676E"/>
    <w:rsid w:val="004F6DE1"/>
    <w:rsid w:val="004F71C0"/>
    <w:rsid w:val="00502CC4"/>
    <w:rsid w:val="005035C5"/>
    <w:rsid w:val="00504069"/>
    <w:rsid w:val="00505D6E"/>
    <w:rsid w:val="00506D6F"/>
    <w:rsid w:val="005146A5"/>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7C7A"/>
    <w:rsid w:val="005605A4"/>
    <w:rsid w:val="00562A58"/>
    <w:rsid w:val="00564365"/>
    <w:rsid w:val="005643C7"/>
    <w:rsid w:val="005647E0"/>
    <w:rsid w:val="0056541A"/>
    <w:rsid w:val="00574E7A"/>
    <w:rsid w:val="005771D5"/>
    <w:rsid w:val="005773C3"/>
    <w:rsid w:val="00581211"/>
    <w:rsid w:val="00582FB6"/>
    <w:rsid w:val="00584811"/>
    <w:rsid w:val="0058614C"/>
    <w:rsid w:val="005930FF"/>
    <w:rsid w:val="00593280"/>
    <w:rsid w:val="0059341F"/>
    <w:rsid w:val="00593AA6"/>
    <w:rsid w:val="00594161"/>
    <w:rsid w:val="00594749"/>
    <w:rsid w:val="00594956"/>
    <w:rsid w:val="005A0D79"/>
    <w:rsid w:val="005A71D6"/>
    <w:rsid w:val="005A72D4"/>
    <w:rsid w:val="005B1555"/>
    <w:rsid w:val="005B2711"/>
    <w:rsid w:val="005B4067"/>
    <w:rsid w:val="005C3CC2"/>
    <w:rsid w:val="005C3F41"/>
    <w:rsid w:val="005C4EF0"/>
    <w:rsid w:val="005C58DF"/>
    <w:rsid w:val="005C65DD"/>
    <w:rsid w:val="005C76CC"/>
    <w:rsid w:val="005D1031"/>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4C41"/>
    <w:rsid w:val="00644F5A"/>
    <w:rsid w:val="006454A2"/>
    <w:rsid w:val="00645FC1"/>
    <w:rsid w:val="00646EC8"/>
    <w:rsid w:val="0065199A"/>
    <w:rsid w:val="006540EC"/>
    <w:rsid w:val="00655245"/>
    <w:rsid w:val="0065575E"/>
    <w:rsid w:val="00655D6A"/>
    <w:rsid w:val="00656DE9"/>
    <w:rsid w:val="00667C24"/>
    <w:rsid w:val="00671184"/>
    <w:rsid w:val="00671329"/>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A68CB"/>
    <w:rsid w:val="006B1C9D"/>
    <w:rsid w:val="006B6728"/>
    <w:rsid w:val="006B7006"/>
    <w:rsid w:val="006C00E6"/>
    <w:rsid w:val="006C170D"/>
    <w:rsid w:val="006C3073"/>
    <w:rsid w:val="006C753B"/>
    <w:rsid w:val="006C77BC"/>
    <w:rsid w:val="006C7F8C"/>
    <w:rsid w:val="006D0B7A"/>
    <w:rsid w:val="006D5388"/>
    <w:rsid w:val="006D6F37"/>
    <w:rsid w:val="006D7437"/>
    <w:rsid w:val="006D7AB9"/>
    <w:rsid w:val="006E00D5"/>
    <w:rsid w:val="006E09A9"/>
    <w:rsid w:val="006E60F4"/>
    <w:rsid w:val="006F00D6"/>
    <w:rsid w:val="006F2A1D"/>
    <w:rsid w:val="007003F8"/>
    <w:rsid w:val="00700B2C"/>
    <w:rsid w:val="00700BE3"/>
    <w:rsid w:val="00704712"/>
    <w:rsid w:val="00713084"/>
    <w:rsid w:val="007138ED"/>
    <w:rsid w:val="007155B9"/>
    <w:rsid w:val="0071682D"/>
    <w:rsid w:val="00717463"/>
    <w:rsid w:val="00717664"/>
    <w:rsid w:val="00720FC2"/>
    <w:rsid w:val="007225BB"/>
    <w:rsid w:val="00722E89"/>
    <w:rsid w:val="00723EFF"/>
    <w:rsid w:val="00726734"/>
    <w:rsid w:val="00726CA9"/>
    <w:rsid w:val="00727D7A"/>
    <w:rsid w:val="0073038E"/>
    <w:rsid w:val="00731254"/>
    <w:rsid w:val="00731E00"/>
    <w:rsid w:val="007339C7"/>
    <w:rsid w:val="00735948"/>
    <w:rsid w:val="00736146"/>
    <w:rsid w:val="0073686B"/>
    <w:rsid w:val="00740059"/>
    <w:rsid w:val="0074049B"/>
    <w:rsid w:val="00742981"/>
    <w:rsid w:val="007440B7"/>
    <w:rsid w:val="00747298"/>
    <w:rsid w:val="00747993"/>
    <w:rsid w:val="0075362C"/>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854B0"/>
    <w:rsid w:val="00786941"/>
    <w:rsid w:val="00787290"/>
    <w:rsid w:val="00787387"/>
    <w:rsid w:val="00790E36"/>
    <w:rsid w:val="0079379B"/>
    <w:rsid w:val="00796554"/>
    <w:rsid w:val="007A12EC"/>
    <w:rsid w:val="007A1E8B"/>
    <w:rsid w:val="007A339B"/>
    <w:rsid w:val="007A6863"/>
    <w:rsid w:val="007B1729"/>
    <w:rsid w:val="007B431C"/>
    <w:rsid w:val="007C090F"/>
    <w:rsid w:val="007C0C50"/>
    <w:rsid w:val="007C1C1E"/>
    <w:rsid w:val="007C2126"/>
    <w:rsid w:val="007C23BB"/>
    <w:rsid w:val="007C2B56"/>
    <w:rsid w:val="007C4492"/>
    <w:rsid w:val="007C78B4"/>
    <w:rsid w:val="007D17C1"/>
    <w:rsid w:val="007D2828"/>
    <w:rsid w:val="007D2DCA"/>
    <w:rsid w:val="007D3C84"/>
    <w:rsid w:val="007D45DF"/>
    <w:rsid w:val="007D5CAD"/>
    <w:rsid w:val="007E32B6"/>
    <w:rsid w:val="007E410D"/>
    <w:rsid w:val="007E424A"/>
    <w:rsid w:val="007E486B"/>
    <w:rsid w:val="007E5524"/>
    <w:rsid w:val="007E7CC1"/>
    <w:rsid w:val="007E7D4A"/>
    <w:rsid w:val="007F0052"/>
    <w:rsid w:val="007F48ED"/>
    <w:rsid w:val="007F5E3F"/>
    <w:rsid w:val="007F7196"/>
    <w:rsid w:val="00801A55"/>
    <w:rsid w:val="00803066"/>
    <w:rsid w:val="008051F9"/>
    <w:rsid w:val="0081032A"/>
    <w:rsid w:val="00812A04"/>
    <w:rsid w:val="00812F45"/>
    <w:rsid w:val="00815199"/>
    <w:rsid w:val="00816278"/>
    <w:rsid w:val="00816C7D"/>
    <w:rsid w:val="00821771"/>
    <w:rsid w:val="0082229B"/>
    <w:rsid w:val="00823462"/>
    <w:rsid w:val="00823AA8"/>
    <w:rsid w:val="00824B1D"/>
    <w:rsid w:val="00826C9D"/>
    <w:rsid w:val="0082732B"/>
    <w:rsid w:val="0083044C"/>
    <w:rsid w:val="008325A1"/>
    <w:rsid w:val="00833644"/>
    <w:rsid w:val="0083428A"/>
    <w:rsid w:val="00836FE9"/>
    <w:rsid w:val="008371AC"/>
    <w:rsid w:val="0083777D"/>
    <w:rsid w:val="00840318"/>
    <w:rsid w:val="0084172C"/>
    <w:rsid w:val="0084313F"/>
    <w:rsid w:val="008431C7"/>
    <w:rsid w:val="008515C0"/>
    <w:rsid w:val="0085175E"/>
    <w:rsid w:val="00852458"/>
    <w:rsid w:val="00853FAE"/>
    <w:rsid w:val="00856A31"/>
    <w:rsid w:val="00860E49"/>
    <w:rsid w:val="00864D7B"/>
    <w:rsid w:val="00872B3E"/>
    <w:rsid w:val="00873D9D"/>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203D"/>
    <w:rsid w:val="008A4797"/>
    <w:rsid w:val="008A5C57"/>
    <w:rsid w:val="008B14F2"/>
    <w:rsid w:val="008B1546"/>
    <w:rsid w:val="008B57A4"/>
    <w:rsid w:val="008B6EBA"/>
    <w:rsid w:val="008C0629"/>
    <w:rsid w:val="008C5E3B"/>
    <w:rsid w:val="008D0EE0"/>
    <w:rsid w:val="008D42EB"/>
    <w:rsid w:val="008D76A3"/>
    <w:rsid w:val="008D7A27"/>
    <w:rsid w:val="008E4702"/>
    <w:rsid w:val="008E69AA"/>
    <w:rsid w:val="008E7333"/>
    <w:rsid w:val="008E79DC"/>
    <w:rsid w:val="008F19D9"/>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2B4D"/>
    <w:rsid w:val="009258DE"/>
    <w:rsid w:val="009278C1"/>
    <w:rsid w:val="0093032B"/>
    <w:rsid w:val="00932377"/>
    <w:rsid w:val="00932905"/>
    <w:rsid w:val="00932C4D"/>
    <w:rsid w:val="009346E3"/>
    <w:rsid w:val="0093704C"/>
    <w:rsid w:val="00941C0E"/>
    <w:rsid w:val="009422C1"/>
    <w:rsid w:val="0094523D"/>
    <w:rsid w:val="00945E27"/>
    <w:rsid w:val="00946A70"/>
    <w:rsid w:val="00947715"/>
    <w:rsid w:val="00950BD1"/>
    <w:rsid w:val="00951A7D"/>
    <w:rsid w:val="00952072"/>
    <w:rsid w:val="00956076"/>
    <w:rsid w:val="0096208C"/>
    <w:rsid w:val="009657C2"/>
    <w:rsid w:val="0097216D"/>
    <w:rsid w:val="00972735"/>
    <w:rsid w:val="009740E2"/>
    <w:rsid w:val="00974349"/>
    <w:rsid w:val="00976A63"/>
    <w:rsid w:val="00983F09"/>
    <w:rsid w:val="0098490F"/>
    <w:rsid w:val="00985A48"/>
    <w:rsid w:val="00986101"/>
    <w:rsid w:val="00987180"/>
    <w:rsid w:val="0099010F"/>
    <w:rsid w:val="009A1B56"/>
    <w:rsid w:val="009A4155"/>
    <w:rsid w:val="009A4967"/>
    <w:rsid w:val="009A5F14"/>
    <w:rsid w:val="009A7A47"/>
    <w:rsid w:val="009B0106"/>
    <w:rsid w:val="009B2490"/>
    <w:rsid w:val="009B50E5"/>
    <w:rsid w:val="009C3431"/>
    <w:rsid w:val="009C3F6F"/>
    <w:rsid w:val="009C5989"/>
    <w:rsid w:val="009C6A32"/>
    <w:rsid w:val="009D08DA"/>
    <w:rsid w:val="009D0C63"/>
    <w:rsid w:val="009D26A8"/>
    <w:rsid w:val="009D5483"/>
    <w:rsid w:val="009E3B4A"/>
    <w:rsid w:val="009E3BBD"/>
    <w:rsid w:val="009E4938"/>
    <w:rsid w:val="009E6B9B"/>
    <w:rsid w:val="009E6C43"/>
    <w:rsid w:val="009F184F"/>
    <w:rsid w:val="00A06860"/>
    <w:rsid w:val="00A06E91"/>
    <w:rsid w:val="00A116D0"/>
    <w:rsid w:val="00A131D3"/>
    <w:rsid w:val="00A136F5"/>
    <w:rsid w:val="00A13A46"/>
    <w:rsid w:val="00A15B6F"/>
    <w:rsid w:val="00A1754C"/>
    <w:rsid w:val="00A20C4F"/>
    <w:rsid w:val="00A210F1"/>
    <w:rsid w:val="00A231E2"/>
    <w:rsid w:val="00A23521"/>
    <w:rsid w:val="00A2550D"/>
    <w:rsid w:val="00A27C61"/>
    <w:rsid w:val="00A30558"/>
    <w:rsid w:val="00A34067"/>
    <w:rsid w:val="00A379BB"/>
    <w:rsid w:val="00A4169B"/>
    <w:rsid w:val="00A43EE7"/>
    <w:rsid w:val="00A4530B"/>
    <w:rsid w:val="00A462D3"/>
    <w:rsid w:val="00A50D55"/>
    <w:rsid w:val="00A52BE1"/>
    <w:rsid w:val="00A52FDA"/>
    <w:rsid w:val="00A60204"/>
    <w:rsid w:val="00A61633"/>
    <w:rsid w:val="00A647D3"/>
    <w:rsid w:val="00A64912"/>
    <w:rsid w:val="00A70A74"/>
    <w:rsid w:val="00A720D6"/>
    <w:rsid w:val="00A75F85"/>
    <w:rsid w:val="00A7743E"/>
    <w:rsid w:val="00A775DB"/>
    <w:rsid w:val="00A82161"/>
    <w:rsid w:val="00A9231A"/>
    <w:rsid w:val="00A95BC7"/>
    <w:rsid w:val="00AA0343"/>
    <w:rsid w:val="00AA2E53"/>
    <w:rsid w:val="00AA5F08"/>
    <w:rsid w:val="00AA78CE"/>
    <w:rsid w:val="00AA7B26"/>
    <w:rsid w:val="00AB0CEA"/>
    <w:rsid w:val="00AC3CA6"/>
    <w:rsid w:val="00AC767C"/>
    <w:rsid w:val="00AD2FBE"/>
    <w:rsid w:val="00AD3467"/>
    <w:rsid w:val="00AD5641"/>
    <w:rsid w:val="00AD5E7D"/>
    <w:rsid w:val="00AE038A"/>
    <w:rsid w:val="00AE35E0"/>
    <w:rsid w:val="00AE4C85"/>
    <w:rsid w:val="00AE52F0"/>
    <w:rsid w:val="00AE7DF0"/>
    <w:rsid w:val="00AF2058"/>
    <w:rsid w:val="00AF33DB"/>
    <w:rsid w:val="00AF484A"/>
    <w:rsid w:val="00AF56E9"/>
    <w:rsid w:val="00AF7850"/>
    <w:rsid w:val="00B0029E"/>
    <w:rsid w:val="00B013D7"/>
    <w:rsid w:val="00B01F71"/>
    <w:rsid w:val="00B032D8"/>
    <w:rsid w:val="00B0404A"/>
    <w:rsid w:val="00B0428A"/>
    <w:rsid w:val="00B0436A"/>
    <w:rsid w:val="00B05D72"/>
    <w:rsid w:val="00B07AF7"/>
    <w:rsid w:val="00B20990"/>
    <w:rsid w:val="00B22C7B"/>
    <w:rsid w:val="00B22EB2"/>
    <w:rsid w:val="00B23FAF"/>
    <w:rsid w:val="00B25255"/>
    <w:rsid w:val="00B27B98"/>
    <w:rsid w:val="00B31C7E"/>
    <w:rsid w:val="00B323CC"/>
    <w:rsid w:val="00B33B3C"/>
    <w:rsid w:val="00B36E0F"/>
    <w:rsid w:val="00B40D74"/>
    <w:rsid w:val="00B42129"/>
    <w:rsid w:val="00B425E4"/>
    <w:rsid w:val="00B42649"/>
    <w:rsid w:val="00B43C9C"/>
    <w:rsid w:val="00B4467E"/>
    <w:rsid w:val="00B46467"/>
    <w:rsid w:val="00B5264A"/>
    <w:rsid w:val="00B52663"/>
    <w:rsid w:val="00B54516"/>
    <w:rsid w:val="00B54BFC"/>
    <w:rsid w:val="00B55DB7"/>
    <w:rsid w:val="00B56DCB"/>
    <w:rsid w:val="00B57495"/>
    <w:rsid w:val="00B61728"/>
    <w:rsid w:val="00B623D3"/>
    <w:rsid w:val="00B63C57"/>
    <w:rsid w:val="00B64F5D"/>
    <w:rsid w:val="00B66109"/>
    <w:rsid w:val="00B6620B"/>
    <w:rsid w:val="00B66AF8"/>
    <w:rsid w:val="00B76A45"/>
    <w:rsid w:val="00B770D2"/>
    <w:rsid w:val="00B820F9"/>
    <w:rsid w:val="00B83233"/>
    <w:rsid w:val="00B84519"/>
    <w:rsid w:val="00B855F5"/>
    <w:rsid w:val="00B918F4"/>
    <w:rsid w:val="00B92886"/>
    <w:rsid w:val="00B93516"/>
    <w:rsid w:val="00B9445D"/>
    <w:rsid w:val="00B96776"/>
    <w:rsid w:val="00B973E5"/>
    <w:rsid w:val="00BA47A3"/>
    <w:rsid w:val="00BA5026"/>
    <w:rsid w:val="00BA7B5B"/>
    <w:rsid w:val="00BB19C2"/>
    <w:rsid w:val="00BB5D3E"/>
    <w:rsid w:val="00BB67B5"/>
    <w:rsid w:val="00BB693B"/>
    <w:rsid w:val="00BB6E79"/>
    <w:rsid w:val="00BC1B20"/>
    <w:rsid w:val="00BC1E65"/>
    <w:rsid w:val="00BC2354"/>
    <w:rsid w:val="00BC23E7"/>
    <w:rsid w:val="00BC6542"/>
    <w:rsid w:val="00BC68A4"/>
    <w:rsid w:val="00BC6EB9"/>
    <w:rsid w:val="00BC7363"/>
    <w:rsid w:val="00BD1342"/>
    <w:rsid w:val="00BD26A6"/>
    <w:rsid w:val="00BE2071"/>
    <w:rsid w:val="00BE3676"/>
    <w:rsid w:val="00BE42C5"/>
    <w:rsid w:val="00BE5CE0"/>
    <w:rsid w:val="00BE66DA"/>
    <w:rsid w:val="00BE719A"/>
    <w:rsid w:val="00BE720A"/>
    <w:rsid w:val="00BF0723"/>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42BF8"/>
    <w:rsid w:val="00C445CF"/>
    <w:rsid w:val="00C460AE"/>
    <w:rsid w:val="00C4631D"/>
    <w:rsid w:val="00C50043"/>
    <w:rsid w:val="00C5015F"/>
    <w:rsid w:val="00C50A0F"/>
    <w:rsid w:val="00C50F4A"/>
    <w:rsid w:val="00C52915"/>
    <w:rsid w:val="00C5391F"/>
    <w:rsid w:val="00C57FE1"/>
    <w:rsid w:val="00C60B3E"/>
    <w:rsid w:val="00C620A9"/>
    <w:rsid w:val="00C72D10"/>
    <w:rsid w:val="00C753A0"/>
    <w:rsid w:val="00C7573B"/>
    <w:rsid w:val="00C76CF3"/>
    <w:rsid w:val="00C82594"/>
    <w:rsid w:val="00C82BD7"/>
    <w:rsid w:val="00C90B0A"/>
    <w:rsid w:val="00C927CA"/>
    <w:rsid w:val="00C93205"/>
    <w:rsid w:val="00C945DC"/>
    <w:rsid w:val="00CA1EFD"/>
    <w:rsid w:val="00CA7844"/>
    <w:rsid w:val="00CB5527"/>
    <w:rsid w:val="00CB58EF"/>
    <w:rsid w:val="00CB59EF"/>
    <w:rsid w:val="00CC52C2"/>
    <w:rsid w:val="00CD028A"/>
    <w:rsid w:val="00CD21A5"/>
    <w:rsid w:val="00CD22AE"/>
    <w:rsid w:val="00CD419F"/>
    <w:rsid w:val="00CD42CA"/>
    <w:rsid w:val="00CD700B"/>
    <w:rsid w:val="00CD70DB"/>
    <w:rsid w:val="00CE0A93"/>
    <w:rsid w:val="00CE37A4"/>
    <w:rsid w:val="00CE504D"/>
    <w:rsid w:val="00CE5922"/>
    <w:rsid w:val="00CF0BB2"/>
    <w:rsid w:val="00CF3D08"/>
    <w:rsid w:val="00CF5BB7"/>
    <w:rsid w:val="00D0279E"/>
    <w:rsid w:val="00D044F0"/>
    <w:rsid w:val="00D0464A"/>
    <w:rsid w:val="00D05B72"/>
    <w:rsid w:val="00D12AAF"/>
    <w:rsid w:val="00D12B0D"/>
    <w:rsid w:val="00D13441"/>
    <w:rsid w:val="00D148FF"/>
    <w:rsid w:val="00D151B2"/>
    <w:rsid w:val="00D20601"/>
    <w:rsid w:val="00D243A3"/>
    <w:rsid w:val="00D249AD"/>
    <w:rsid w:val="00D30036"/>
    <w:rsid w:val="00D31065"/>
    <w:rsid w:val="00D33440"/>
    <w:rsid w:val="00D3652D"/>
    <w:rsid w:val="00D37E44"/>
    <w:rsid w:val="00D422D7"/>
    <w:rsid w:val="00D50439"/>
    <w:rsid w:val="00D52EFE"/>
    <w:rsid w:val="00D55B45"/>
    <w:rsid w:val="00D569D7"/>
    <w:rsid w:val="00D56A0D"/>
    <w:rsid w:val="00D56F5C"/>
    <w:rsid w:val="00D61D5B"/>
    <w:rsid w:val="00D63EF6"/>
    <w:rsid w:val="00D65B12"/>
    <w:rsid w:val="00D65B33"/>
    <w:rsid w:val="00D66518"/>
    <w:rsid w:val="00D67C63"/>
    <w:rsid w:val="00D67FE1"/>
    <w:rsid w:val="00D70DFB"/>
    <w:rsid w:val="00D71EEA"/>
    <w:rsid w:val="00D735CD"/>
    <w:rsid w:val="00D73CAE"/>
    <w:rsid w:val="00D766DF"/>
    <w:rsid w:val="00D773C9"/>
    <w:rsid w:val="00D77CB4"/>
    <w:rsid w:val="00D80D98"/>
    <w:rsid w:val="00D82FB5"/>
    <w:rsid w:val="00D8592C"/>
    <w:rsid w:val="00D8792D"/>
    <w:rsid w:val="00D90841"/>
    <w:rsid w:val="00D92420"/>
    <w:rsid w:val="00D92FCC"/>
    <w:rsid w:val="00D93F19"/>
    <w:rsid w:val="00D96416"/>
    <w:rsid w:val="00D970A9"/>
    <w:rsid w:val="00D97672"/>
    <w:rsid w:val="00D97739"/>
    <w:rsid w:val="00D97945"/>
    <w:rsid w:val="00D97C3D"/>
    <w:rsid w:val="00DA2242"/>
    <w:rsid w:val="00DA2439"/>
    <w:rsid w:val="00DA621E"/>
    <w:rsid w:val="00DA6336"/>
    <w:rsid w:val="00DA6F05"/>
    <w:rsid w:val="00DB1455"/>
    <w:rsid w:val="00DB3C8C"/>
    <w:rsid w:val="00DB3CB0"/>
    <w:rsid w:val="00DB5C4F"/>
    <w:rsid w:val="00DB64FC"/>
    <w:rsid w:val="00DB7372"/>
    <w:rsid w:val="00DB73EE"/>
    <w:rsid w:val="00DC21F5"/>
    <w:rsid w:val="00DC28C1"/>
    <w:rsid w:val="00DC2B1D"/>
    <w:rsid w:val="00DC2DF1"/>
    <w:rsid w:val="00DC395A"/>
    <w:rsid w:val="00DC7075"/>
    <w:rsid w:val="00DD133B"/>
    <w:rsid w:val="00DD306C"/>
    <w:rsid w:val="00DD3E1A"/>
    <w:rsid w:val="00DD755E"/>
    <w:rsid w:val="00DD7F1B"/>
    <w:rsid w:val="00DE149E"/>
    <w:rsid w:val="00DE30C5"/>
    <w:rsid w:val="00DF28DB"/>
    <w:rsid w:val="00DF5CD1"/>
    <w:rsid w:val="00E00F83"/>
    <w:rsid w:val="00E02E85"/>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E04"/>
    <w:rsid w:val="00E43E75"/>
    <w:rsid w:val="00E467E2"/>
    <w:rsid w:val="00E54292"/>
    <w:rsid w:val="00E55723"/>
    <w:rsid w:val="00E60191"/>
    <w:rsid w:val="00E612E4"/>
    <w:rsid w:val="00E63428"/>
    <w:rsid w:val="00E67B0E"/>
    <w:rsid w:val="00E71B3F"/>
    <w:rsid w:val="00E736EE"/>
    <w:rsid w:val="00E74DC7"/>
    <w:rsid w:val="00E83954"/>
    <w:rsid w:val="00E87699"/>
    <w:rsid w:val="00E9040D"/>
    <w:rsid w:val="00E91941"/>
    <w:rsid w:val="00E92064"/>
    <w:rsid w:val="00E92E27"/>
    <w:rsid w:val="00E94180"/>
    <w:rsid w:val="00E95377"/>
    <w:rsid w:val="00E9586B"/>
    <w:rsid w:val="00E95944"/>
    <w:rsid w:val="00E95B5D"/>
    <w:rsid w:val="00E97334"/>
    <w:rsid w:val="00E9768D"/>
    <w:rsid w:val="00EA3A16"/>
    <w:rsid w:val="00EA57A7"/>
    <w:rsid w:val="00EB1A99"/>
    <w:rsid w:val="00EB1E9B"/>
    <w:rsid w:val="00EB3A99"/>
    <w:rsid w:val="00EB3D2E"/>
    <w:rsid w:val="00EB4E5A"/>
    <w:rsid w:val="00EB65F8"/>
    <w:rsid w:val="00EB7190"/>
    <w:rsid w:val="00EC0642"/>
    <w:rsid w:val="00EC2F06"/>
    <w:rsid w:val="00EC34A8"/>
    <w:rsid w:val="00EC4EB4"/>
    <w:rsid w:val="00EC62FA"/>
    <w:rsid w:val="00EC63B3"/>
    <w:rsid w:val="00EC6B22"/>
    <w:rsid w:val="00EC6EEE"/>
    <w:rsid w:val="00ED028A"/>
    <w:rsid w:val="00ED1139"/>
    <w:rsid w:val="00ED42BE"/>
    <w:rsid w:val="00ED4928"/>
    <w:rsid w:val="00ED511D"/>
    <w:rsid w:val="00ED65B4"/>
    <w:rsid w:val="00EE0AB2"/>
    <w:rsid w:val="00EE0B1C"/>
    <w:rsid w:val="00EE0D15"/>
    <w:rsid w:val="00EE3FFE"/>
    <w:rsid w:val="00EE57E8"/>
    <w:rsid w:val="00EE5F25"/>
    <w:rsid w:val="00EE6190"/>
    <w:rsid w:val="00EF0C6F"/>
    <w:rsid w:val="00EF2E3A"/>
    <w:rsid w:val="00EF53AA"/>
    <w:rsid w:val="00EF607D"/>
    <w:rsid w:val="00EF6402"/>
    <w:rsid w:val="00F01A8A"/>
    <w:rsid w:val="00F047E2"/>
    <w:rsid w:val="00F04D57"/>
    <w:rsid w:val="00F052E7"/>
    <w:rsid w:val="00F06EB6"/>
    <w:rsid w:val="00F078DC"/>
    <w:rsid w:val="00F10594"/>
    <w:rsid w:val="00F1097B"/>
    <w:rsid w:val="00F10C0F"/>
    <w:rsid w:val="00F1112B"/>
    <w:rsid w:val="00F13E86"/>
    <w:rsid w:val="00F14D03"/>
    <w:rsid w:val="00F20B52"/>
    <w:rsid w:val="00F308D4"/>
    <w:rsid w:val="00F31396"/>
    <w:rsid w:val="00F313A3"/>
    <w:rsid w:val="00F32FCB"/>
    <w:rsid w:val="00F33523"/>
    <w:rsid w:val="00F35800"/>
    <w:rsid w:val="00F35DF9"/>
    <w:rsid w:val="00F44B96"/>
    <w:rsid w:val="00F4557C"/>
    <w:rsid w:val="00F508E5"/>
    <w:rsid w:val="00F50F16"/>
    <w:rsid w:val="00F5647B"/>
    <w:rsid w:val="00F57E46"/>
    <w:rsid w:val="00F609A7"/>
    <w:rsid w:val="00F6653E"/>
    <w:rsid w:val="00F66926"/>
    <w:rsid w:val="00F677A9"/>
    <w:rsid w:val="00F71D07"/>
    <w:rsid w:val="00F7320E"/>
    <w:rsid w:val="00F75EF1"/>
    <w:rsid w:val="00F8121C"/>
    <w:rsid w:val="00F81330"/>
    <w:rsid w:val="00F82070"/>
    <w:rsid w:val="00F82D2F"/>
    <w:rsid w:val="00F84CF5"/>
    <w:rsid w:val="00F8612E"/>
    <w:rsid w:val="00F867C6"/>
    <w:rsid w:val="00F92AF4"/>
    <w:rsid w:val="00F9334A"/>
    <w:rsid w:val="00F94583"/>
    <w:rsid w:val="00F9501A"/>
    <w:rsid w:val="00F95CA6"/>
    <w:rsid w:val="00F96CE4"/>
    <w:rsid w:val="00FA420B"/>
    <w:rsid w:val="00FB0184"/>
    <w:rsid w:val="00FB2E63"/>
    <w:rsid w:val="00FB6AEE"/>
    <w:rsid w:val="00FB7B45"/>
    <w:rsid w:val="00FC1AB2"/>
    <w:rsid w:val="00FC3EAC"/>
    <w:rsid w:val="00FC5ADF"/>
    <w:rsid w:val="00FC660F"/>
    <w:rsid w:val="00FD1931"/>
    <w:rsid w:val="00FD4E9D"/>
    <w:rsid w:val="00FE1C7F"/>
    <w:rsid w:val="00FE4DCE"/>
    <w:rsid w:val="00FE60EC"/>
    <w:rsid w:val="00FE6373"/>
    <w:rsid w:val="00FE64A0"/>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13</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BELACIC, Diana</cp:lastModifiedBy>
  <cp:revision>32</cp:revision>
  <cp:lastPrinted>2022-08-24T21:53:00Z</cp:lastPrinted>
  <dcterms:created xsi:type="dcterms:W3CDTF">2024-03-24T23:22:00Z</dcterms:created>
  <dcterms:modified xsi:type="dcterms:W3CDTF">2024-04-30T03:25:00Z</dcterms:modified>
</cp:coreProperties>
</file>