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5498D" w14:textId="77777777" w:rsidR="00DB4526" w:rsidRPr="00F153A3" w:rsidRDefault="00DB4526" w:rsidP="00F13B64">
      <w:pPr>
        <w:keepNext/>
        <w:keepLines/>
        <w:tabs>
          <w:tab w:val="left" w:pos="567"/>
          <w:tab w:val="left" w:pos="709"/>
          <w:tab w:val="left" w:pos="851"/>
        </w:tabs>
        <w:spacing w:before="0"/>
        <w:ind w:right="91"/>
        <w:jc w:val="center"/>
        <w:rPr>
          <w:szCs w:val="24"/>
        </w:rPr>
      </w:pPr>
      <w:bookmarkStart w:id="0" w:name="_GoBack"/>
      <w:bookmarkEnd w:id="0"/>
      <w:r w:rsidRPr="00F153A3">
        <w:rPr>
          <w:b/>
          <w:szCs w:val="24"/>
          <w:u w:val="single"/>
        </w:rPr>
        <w:t>EXPLANATORY STATEMENT</w:t>
      </w:r>
    </w:p>
    <w:p w14:paraId="4943A54D" w14:textId="77777777" w:rsidR="00DB4526" w:rsidRPr="00F153A3" w:rsidRDefault="00DB4526" w:rsidP="00DB4526">
      <w:pPr>
        <w:pStyle w:val="Heading6"/>
        <w:keepLines/>
        <w:spacing w:before="0"/>
        <w:jc w:val="center"/>
        <w:rPr>
          <w:szCs w:val="24"/>
          <w:u w:val="none"/>
        </w:rPr>
      </w:pPr>
    </w:p>
    <w:p w14:paraId="432962C0" w14:textId="77777777" w:rsidR="00DB4526" w:rsidRPr="00F153A3" w:rsidRDefault="00DB4526" w:rsidP="00DB4526">
      <w:pPr>
        <w:spacing w:before="0"/>
        <w:ind w:right="40"/>
        <w:jc w:val="center"/>
        <w:rPr>
          <w:szCs w:val="24"/>
        </w:rPr>
      </w:pPr>
      <w:r w:rsidRPr="00F153A3">
        <w:rPr>
          <w:szCs w:val="24"/>
        </w:rPr>
        <w:t xml:space="preserve">Issued by </w:t>
      </w:r>
      <w:r w:rsidR="00FD5B7F" w:rsidRPr="00F153A3">
        <w:rPr>
          <w:szCs w:val="24"/>
        </w:rPr>
        <w:t xml:space="preserve">authority of the </w:t>
      </w:r>
      <w:r w:rsidRPr="00F153A3">
        <w:rPr>
          <w:szCs w:val="24"/>
        </w:rPr>
        <w:t xml:space="preserve">Minister for </w:t>
      </w:r>
      <w:r w:rsidR="0008468C" w:rsidRPr="00F153A3">
        <w:rPr>
          <w:szCs w:val="24"/>
        </w:rPr>
        <w:t>Immigration, Citizenship and Multicultural Affairs</w:t>
      </w:r>
    </w:p>
    <w:p w14:paraId="25BE292F" w14:textId="77777777" w:rsidR="00DB4526" w:rsidRPr="00F153A3" w:rsidRDefault="00DB4526" w:rsidP="00DB4526">
      <w:pPr>
        <w:jc w:val="center"/>
        <w:rPr>
          <w:rStyle w:val="legislationtitleitalics"/>
        </w:rPr>
      </w:pPr>
      <w:r w:rsidRPr="00F153A3">
        <w:rPr>
          <w:rStyle w:val="legislationtitleitalics"/>
        </w:rPr>
        <w:t xml:space="preserve">Migration </w:t>
      </w:r>
      <w:r w:rsidR="00FD5B7F" w:rsidRPr="00F153A3">
        <w:rPr>
          <w:rStyle w:val="legislationtitleitalics"/>
        </w:rPr>
        <w:t>Regulations 1994</w:t>
      </w:r>
    </w:p>
    <w:p w14:paraId="0B3EA3DA" w14:textId="611C5A90" w:rsidR="00DB4526" w:rsidRPr="00F153A3" w:rsidRDefault="006146D1" w:rsidP="00DB4526">
      <w:pPr>
        <w:jc w:val="center"/>
        <w:rPr>
          <w:rStyle w:val="legislationtitleitalics"/>
          <w:b/>
        </w:rPr>
      </w:pPr>
      <w:r>
        <w:rPr>
          <w:b/>
          <w:i/>
          <w:szCs w:val="24"/>
        </w:rPr>
        <w:t>Migration (Class of Persons for Nil VAC</w:t>
      </w:r>
      <w:r w:rsidR="00B752F8">
        <w:rPr>
          <w:b/>
          <w:i/>
          <w:szCs w:val="24"/>
        </w:rPr>
        <w:t>—</w:t>
      </w:r>
      <w:r>
        <w:rPr>
          <w:b/>
          <w:i/>
          <w:szCs w:val="24"/>
        </w:rPr>
        <w:t>CCAMLR) Instrument (LIN 24/036) 2024</w:t>
      </w:r>
    </w:p>
    <w:p w14:paraId="7D20A960" w14:textId="77777777" w:rsidR="00DB4526" w:rsidRPr="00F153A3" w:rsidRDefault="00DB4526" w:rsidP="00DB4526">
      <w:pPr>
        <w:spacing w:before="0"/>
        <w:ind w:left="1440" w:right="91"/>
        <w:jc w:val="center"/>
        <w:rPr>
          <w:rStyle w:val="legislationtitleitalics"/>
        </w:rPr>
      </w:pPr>
    </w:p>
    <w:p w14:paraId="690EB724" w14:textId="168F5F56" w:rsidR="0027072A" w:rsidRPr="00F153A3" w:rsidRDefault="00764C86" w:rsidP="00764C86">
      <w:pPr>
        <w:pStyle w:val="ESPara"/>
        <w:numPr>
          <w:ilvl w:val="0"/>
          <w:numId w:val="26"/>
        </w:numPr>
      </w:pPr>
      <w:r w:rsidRPr="00F153A3">
        <w:t xml:space="preserve">The instrument, departmental reference LIN 24/036, is made under the following provisions of the </w:t>
      </w:r>
      <w:r w:rsidRPr="00F153A3">
        <w:rPr>
          <w:i/>
        </w:rPr>
        <w:t>Migration Regulations 1994</w:t>
      </w:r>
      <w:r w:rsidRPr="00F153A3">
        <w:t xml:space="preserve"> (Migration Regulations):</w:t>
      </w:r>
    </w:p>
    <w:p w14:paraId="46DF6AE5" w14:textId="00061E30" w:rsidR="00764C86" w:rsidRPr="00F153A3" w:rsidRDefault="00764C86" w:rsidP="00F13B64">
      <w:pPr>
        <w:pStyle w:val="ESPara"/>
        <w:numPr>
          <w:ilvl w:val="1"/>
          <w:numId w:val="26"/>
        </w:numPr>
        <w:ind w:left="851" w:hanging="425"/>
      </w:pPr>
      <w:r w:rsidRPr="00F153A3">
        <w:t>sub-subparagraph 1231(2)(a)(iv)(A) of Schedule 1;</w:t>
      </w:r>
    </w:p>
    <w:p w14:paraId="0414B4AD" w14:textId="53185704" w:rsidR="00764C86" w:rsidRPr="00F153A3" w:rsidRDefault="00764C86" w:rsidP="00F13B64">
      <w:pPr>
        <w:pStyle w:val="ESPara"/>
        <w:numPr>
          <w:ilvl w:val="1"/>
          <w:numId w:val="26"/>
        </w:numPr>
        <w:ind w:left="851" w:hanging="425"/>
      </w:pPr>
      <w:r w:rsidRPr="00F153A3">
        <w:t>subparagraph 1236(2)(a)(iv) of Schedule 1; and</w:t>
      </w:r>
    </w:p>
    <w:p w14:paraId="29641063" w14:textId="67CF1DCD" w:rsidR="00764C86" w:rsidRPr="00F153A3" w:rsidRDefault="00764C86" w:rsidP="00F13B64">
      <w:pPr>
        <w:pStyle w:val="ESPara"/>
        <w:numPr>
          <w:ilvl w:val="1"/>
          <w:numId w:val="26"/>
        </w:numPr>
        <w:ind w:left="851" w:hanging="425"/>
      </w:pPr>
      <w:r w:rsidRPr="00F153A3">
        <w:t xml:space="preserve">subregulation 2.07(5) for the purposes of subparagraph 1237(2)(a)(i) of Schedule 1. </w:t>
      </w:r>
    </w:p>
    <w:p w14:paraId="1C99029E" w14:textId="391603D0" w:rsidR="00764C86" w:rsidRPr="00F153A3" w:rsidRDefault="0081358F" w:rsidP="0081358F">
      <w:pPr>
        <w:pStyle w:val="ESPara"/>
        <w:numPr>
          <w:ilvl w:val="0"/>
          <w:numId w:val="26"/>
        </w:numPr>
      </w:pPr>
      <w:r w:rsidRPr="00F153A3">
        <w:t>The instrument commences on the day after it is registered on the Federal Register of Legislation</w:t>
      </w:r>
      <w:r w:rsidR="00B752F8">
        <w:t xml:space="preserve">. It </w:t>
      </w:r>
      <w:r w:rsidRPr="00F153A3">
        <w:t xml:space="preserve">is a legislative instrument for the purposes of the </w:t>
      </w:r>
      <w:r w:rsidRPr="00F153A3">
        <w:rPr>
          <w:i/>
        </w:rPr>
        <w:t>Legislation Act 2003</w:t>
      </w:r>
      <w:r w:rsidRPr="00F153A3">
        <w:t xml:space="preserve"> (the Legislation Act</w:t>
      </w:r>
      <w:r w:rsidR="00543081" w:rsidRPr="00F153A3">
        <w:t>)</w:t>
      </w:r>
      <w:r w:rsidR="00693563" w:rsidRPr="00F153A3">
        <w:t>.</w:t>
      </w:r>
    </w:p>
    <w:p w14:paraId="4D2A600E" w14:textId="77777777" w:rsidR="000060A3" w:rsidRPr="00F153A3" w:rsidRDefault="000060A3" w:rsidP="00A971C0">
      <w:pPr>
        <w:pStyle w:val="ESoutlinetext"/>
        <w:rPr>
          <w:b/>
          <w:i/>
        </w:rPr>
      </w:pPr>
      <w:r w:rsidRPr="00F153A3">
        <w:rPr>
          <w:b/>
          <w:i/>
        </w:rPr>
        <w:t>Purpose</w:t>
      </w:r>
    </w:p>
    <w:p w14:paraId="35C7C800" w14:textId="6F068EDA" w:rsidR="0072131B" w:rsidRPr="00F153A3" w:rsidRDefault="0072131B" w:rsidP="00A971C0">
      <w:pPr>
        <w:pStyle w:val="ESPara"/>
        <w:numPr>
          <w:ilvl w:val="0"/>
          <w:numId w:val="26"/>
        </w:numPr>
        <w:rPr>
          <w:shd w:val="clear" w:color="auto" w:fill="FFFFFF"/>
        </w:rPr>
      </w:pPr>
      <w:r w:rsidRPr="00F153A3">
        <w:rPr>
          <w:shd w:val="clear" w:color="auto" w:fill="FFFFFF"/>
        </w:rPr>
        <w:t xml:space="preserve">The purpose of </w:t>
      </w:r>
      <w:r w:rsidR="00BA150E" w:rsidRPr="00F153A3">
        <w:rPr>
          <w:shd w:val="clear" w:color="auto" w:fill="FFFFFF"/>
        </w:rPr>
        <w:t>this instrument is to specify</w:t>
      </w:r>
      <w:r w:rsidR="00FD6E6D" w:rsidRPr="00F153A3">
        <w:rPr>
          <w:shd w:val="clear" w:color="auto" w:fill="FFFFFF"/>
        </w:rPr>
        <w:t xml:space="preserve"> the</w:t>
      </w:r>
      <w:r w:rsidR="00552725" w:rsidRPr="00F153A3">
        <w:rPr>
          <w:shd w:val="clear" w:color="auto" w:fill="FFFFFF"/>
        </w:rPr>
        <w:t xml:space="preserve"> </w:t>
      </w:r>
      <w:r w:rsidRPr="00F153A3">
        <w:rPr>
          <w:shd w:val="clear" w:color="auto" w:fill="FFFFFF"/>
        </w:rPr>
        <w:t>class</w:t>
      </w:r>
      <w:r w:rsidR="00BA150E" w:rsidRPr="00F153A3">
        <w:rPr>
          <w:shd w:val="clear" w:color="auto" w:fill="FFFFFF"/>
        </w:rPr>
        <w:t>es</w:t>
      </w:r>
      <w:r w:rsidRPr="00F153A3">
        <w:rPr>
          <w:shd w:val="clear" w:color="auto" w:fill="FFFFFF"/>
        </w:rPr>
        <w:t xml:space="preserve"> of persons who do not have to pay the </w:t>
      </w:r>
      <w:r w:rsidR="006E6EFD" w:rsidRPr="00F153A3">
        <w:rPr>
          <w:shd w:val="clear" w:color="auto" w:fill="FFFFFF"/>
        </w:rPr>
        <w:t>v</w:t>
      </w:r>
      <w:r w:rsidRPr="00F153A3">
        <w:rPr>
          <w:shd w:val="clear" w:color="auto" w:fill="FFFFFF"/>
        </w:rPr>
        <w:t xml:space="preserve">isa </w:t>
      </w:r>
      <w:r w:rsidR="006E6EFD" w:rsidRPr="00F153A3">
        <w:rPr>
          <w:shd w:val="clear" w:color="auto" w:fill="FFFFFF"/>
        </w:rPr>
        <w:t>a</w:t>
      </w:r>
      <w:r w:rsidRPr="00F153A3">
        <w:rPr>
          <w:shd w:val="clear" w:color="auto" w:fill="FFFFFF"/>
        </w:rPr>
        <w:t xml:space="preserve">pplication </w:t>
      </w:r>
      <w:r w:rsidR="006E6EFD" w:rsidRPr="00F153A3">
        <w:rPr>
          <w:shd w:val="clear" w:color="auto" w:fill="FFFFFF"/>
        </w:rPr>
        <w:t>c</w:t>
      </w:r>
      <w:r w:rsidRPr="00F153A3">
        <w:rPr>
          <w:shd w:val="clear" w:color="auto" w:fill="FFFFFF"/>
        </w:rPr>
        <w:t xml:space="preserve">harge </w:t>
      </w:r>
      <w:r w:rsidR="000814BE">
        <w:rPr>
          <w:shd w:val="clear" w:color="auto" w:fill="FFFFFF"/>
        </w:rPr>
        <w:t xml:space="preserve">(VAC) </w:t>
      </w:r>
      <w:r w:rsidRPr="00F153A3">
        <w:rPr>
          <w:shd w:val="clear" w:color="auto" w:fill="FFFFFF"/>
        </w:rPr>
        <w:t xml:space="preserve">when applying for a visa to enter Australia </w:t>
      </w:r>
      <w:r w:rsidR="00FD6E6D" w:rsidRPr="00F153A3">
        <w:rPr>
          <w:shd w:val="clear" w:color="auto" w:fill="FFFFFF"/>
        </w:rPr>
        <w:t>on the basis that t</w:t>
      </w:r>
      <w:r w:rsidR="006E00E1" w:rsidRPr="00F153A3">
        <w:rPr>
          <w:shd w:val="clear" w:color="auto" w:fill="FFFFFF"/>
        </w:rPr>
        <w:t>hey have</w:t>
      </w:r>
      <w:r w:rsidRPr="00F153A3">
        <w:rPr>
          <w:shd w:val="clear" w:color="auto" w:fill="FFFFFF"/>
        </w:rPr>
        <w:t xml:space="preserve"> official business with the Commission for the Conservation of Antarctic Marine Living Resources (CCAMLR). This includes people who are representatives of a Party</w:t>
      </w:r>
      <w:r w:rsidR="00C167CB">
        <w:rPr>
          <w:shd w:val="clear" w:color="auto" w:fill="FFFFFF"/>
        </w:rPr>
        <w:t xml:space="preserve"> and their family members</w:t>
      </w:r>
      <w:r w:rsidRPr="00F153A3">
        <w:rPr>
          <w:shd w:val="clear" w:color="auto" w:fill="FFFFFF"/>
        </w:rPr>
        <w:t>, staff members of CCAMLR</w:t>
      </w:r>
      <w:r w:rsidR="00C167CB">
        <w:rPr>
          <w:shd w:val="clear" w:color="auto" w:fill="FFFFFF"/>
        </w:rPr>
        <w:t xml:space="preserve"> and their family members</w:t>
      </w:r>
      <w:r w:rsidRPr="00F153A3">
        <w:rPr>
          <w:shd w:val="clear" w:color="auto" w:fill="FFFFFF"/>
        </w:rPr>
        <w:t>, experts or consultants on missions for CCAMLR, and observers</w:t>
      </w:r>
      <w:r w:rsidR="002B7450">
        <w:rPr>
          <w:shd w:val="clear" w:color="auto" w:fill="FFFFFF"/>
        </w:rPr>
        <w:t xml:space="preserve"> (CCAMLR applicants)</w:t>
      </w:r>
      <w:r w:rsidRPr="00F153A3">
        <w:rPr>
          <w:shd w:val="clear" w:color="auto" w:fill="FFFFFF"/>
        </w:rPr>
        <w:t xml:space="preserve">. </w:t>
      </w:r>
    </w:p>
    <w:p w14:paraId="608EA762" w14:textId="5D8445A0" w:rsidR="0072131B" w:rsidRPr="00F153A3" w:rsidRDefault="0072131B" w:rsidP="00A971C0">
      <w:pPr>
        <w:pStyle w:val="ESPara"/>
        <w:numPr>
          <w:ilvl w:val="0"/>
          <w:numId w:val="26"/>
        </w:numPr>
        <w:rPr>
          <w:shd w:val="clear" w:color="auto" w:fill="FFFFFF"/>
        </w:rPr>
      </w:pPr>
      <w:r w:rsidRPr="00F153A3">
        <w:rPr>
          <w:shd w:val="clear" w:color="auto" w:fill="FFFFFF"/>
        </w:rPr>
        <w:t xml:space="preserve">To be eligible for the </w:t>
      </w:r>
      <w:r w:rsidR="000814BE">
        <w:rPr>
          <w:shd w:val="clear" w:color="auto" w:fill="FFFFFF"/>
        </w:rPr>
        <w:t>VAC</w:t>
      </w:r>
      <w:r w:rsidR="00217BFC" w:rsidRPr="00F153A3">
        <w:rPr>
          <w:shd w:val="clear" w:color="auto" w:fill="FFFFFF"/>
        </w:rPr>
        <w:t xml:space="preserve"> </w:t>
      </w:r>
      <w:r w:rsidRPr="00F153A3">
        <w:rPr>
          <w:shd w:val="clear" w:color="auto" w:fill="FFFFFF"/>
        </w:rPr>
        <w:t>waiver, applicants must be applying for one of the following classes of visa:</w:t>
      </w:r>
    </w:p>
    <w:p w14:paraId="6FEEC81F" w14:textId="74387FD9" w:rsidR="0072131B" w:rsidRPr="00F153A3" w:rsidRDefault="00BA150E" w:rsidP="0072131B">
      <w:pPr>
        <w:pStyle w:val="ESPara"/>
        <w:numPr>
          <w:ilvl w:val="0"/>
          <w:numId w:val="27"/>
        </w:numPr>
        <w:rPr>
          <w:shd w:val="clear" w:color="auto" w:fill="FFFFFF"/>
        </w:rPr>
      </w:pPr>
      <w:r w:rsidRPr="00F153A3">
        <w:rPr>
          <w:shd w:val="clear" w:color="auto" w:fill="FFFFFF"/>
        </w:rPr>
        <w:t>Subclass 400 –</w:t>
      </w:r>
      <w:r w:rsidR="0072131B" w:rsidRPr="00F153A3">
        <w:rPr>
          <w:shd w:val="clear" w:color="auto" w:fill="FFFFFF"/>
        </w:rPr>
        <w:t xml:space="preserve"> Temporary Work (Short Stay </w:t>
      </w:r>
      <w:r w:rsidR="00B752F8">
        <w:rPr>
          <w:shd w:val="clear" w:color="auto" w:fill="FFFFFF"/>
        </w:rPr>
        <w:t>Specialist</w:t>
      </w:r>
      <w:r w:rsidR="0072131B" w:rsidRPr="00F153A3">
        <w:rPr>
          <w:shd w:val="clear" w:color="auto" w:fill="FFFFFF"/>
        </w:rPr>
        <w:t>) visa</w:t>
      </w:r>
      <w:r w:rsidR="0015798A">
        <w:rPr>
          <w:shd w:val="clear" w:color="auto" w:fill="FFFFFF"/>
        </w:rPr>
        <w:t>; or</w:t>
      </w:r>
    </w:p>
    <w:p w14:paraId="175DD1EE" w14:textId="44DA7C67" w:rsidR="0072131B" w:rsidRPr="00F153A3" w:rsidRDefault="0072131B" w:rsidP="0072131B">
      <w:pPr>
        <w:pStyle w:val="ESPara"/>
        <w:numPr>
          <w:ilvl w:val="0"/>
          <w:numId w:val="27"/>
        </w:numPr>
        <w:rPr>
          <w:shd w:val="clear" w:color="auto" w:fill="FFFFFF"/>
        </w:rPr>
      </w:pPr>
      <w:r w:rsidRPr="00F153A3">
        <w:rPr>
          <w:shd w:val="clear" w:color="auto" w:fill="FFFFFF"/>
        </w:rPr>
        <w:t>Subclass 600 – Visitor visa (Business Visitor and Tourist streams)</w:t>
      </w:r>
      <w:r w:rsidR="0015798A">
        <w:rPr>
          <w:shd w:val="clear" w:color="auto" w:fill="FFFFFF"/>
        </w:rPr>
        <w:t>; or</w:t>
      </w:r>
    </w:p>
    <w:p w14:paraId="6DB3E1D5" w14:textId="3C96FFB3" w:rsidR="0027072A" w:rsidRPr="00F153A3" w:rsidRDefault="00BA150E" w:rsidP="0072131B">
      <w:pPr>
        <w:pStyle w:val="ESPara"/>
        <w:numPr>
          <w:ilvl w:val="0"/>
          <w:numId w:val="27"/>
        </w:numPr>
        <w:rPr>
          <w:shd w:val="clear" w:color="auto" w:fill="FFFFFF"/>
        </w:rPr>
      </w:pPr>
      <w:r w:rsidRPr="00F153A3">
        <w:rPr>
          <w:shd w:val="clear" w:color="auto" w:fill="FFFFFF"/>
        </w:rPr>
        <w:t>Subclass 408 –</w:t>
      </w:r>
      <w:r w:rsidR="0072131B" w:rsidRPr="00F153A3">
        <w:rPr>
          <w:shd w:val="clear" w:color="auto" w:fill="FFFFFF"/>
        </w:rPr>
        <w:t xml:space="preserve"> Temporary Activity visa (Invited Participant</w:t>
      </w:r>
      <w:r w:rsidR="00420DE7" w:rsidRPr="00F153A3">
        <w:rPr>
          <w:shd w:val="clear" w:color="auto" w:fill="FFFFFF"/>
        </w:rPr>
        <w:t xml:space="preserve"> in an event</w:t>
      </w:r>
      <w:r w:rsidR="0072131B" w:rsidRPr="00F153A3">
        <w:rPr>
          <w:shd w:val="clear" w:color="auto" w:fill="FFFFFF"/>
        </w:rPr>
        <w:t>).</w:t>
      </w:r>
    </w:p>
    <w:p w14:paraId="12846FFF" w14:textId="366FF1DA" w:rsidR="0072131B" w:rsidRPr="00F153A3" w:rsidRDefault="005B071A" w:rsidP="005B071A">
      <w:pPr>
        <w:pStyle w:val="ESPara"/>
        <w:numPr>
          <w:ilvl w:val="0"/>
          <w:numId w:val="26"/>
        </w:numPr>
        <w:rPr>
          <w:shd w:val="clear" w:color="auto" w:fill="FFFFFF"/>
        </w:rPr>
      </w:pPr>
      <w:r w:rsidRPr="00F153A3">
        <w:rPr>
          <w:shd w:val="clear" w:color="auto" w:fill="FFFFFF"/>
        </w:rPr>
        <w:t xml:space="preserve">The Headquarters Agreement between CCAMLR and the Government of Australia entered into force on </w:t>
      </w:r>
      <w:r w:rsidR="007D7A2A" w:rsidRPr="00F153A3">
        <w:t>8 September 1986</w:t>
      </w:r>
      <w:r w:rsidRPr="00F153A3">
        <w:rPr>
          <w:shd w:val="clear" w:color="auto" w:fill="FFFFFF"/>
        </w:rPr>
        <w:t xml:space="preserve">. In November 2023, the Government committed to improve the process for CCAMLR applicants. In January 2024, following consultation, the Department determined that this was best achieved by introducing a legislative instrument to facilitate a nil </w:t>
      </w:r>
      <w:r w:rsidR="000814BE">
        <w:rPr>
          <w:shd w:val="clear" w:color="auto" w:fill="FFFFFF"/>
        </w:rPr>
        <w:t>VAC</w:t>
      </w:r>
      <w:r w:rsidR="00217BFC">
        <w:rPr>
          <w:shd w:val="clear" w:color="auto" w:fill="FFFFFF"/>
        </w:rPr>
        <w:t xml:space="preserve"> </w:t>
      </w:r>
      <w:r w:rsidRPr="00F153A3">
        <w:rPr>
          <w:shd w:val="clear" w:color="auto" w:fill="FFFFFF"/>
        </w:rPr>
        <w:t xml:space="preserve">for all </w:t>
      </w:r>
      <w:r w:rsidR="007D7A2A" w:rsidRPr="00F153A3">
        <w:rPr>
          <w:shd w:val="clear" w:color="auto" w:fill="FFFFFF"/>
        </w:rPr>
        <w:t>CCAMLR applicants</w:t>
      </w:r>
      <w:r w:rsidRPr="00F153A3">
        <w:rPr>
          <w:shd w:val="clear" w:color="auto" w:fill="FFFFFF"/>
        </w:rPr>
        <w:t>.</w:t>
      </w:r>
    </w:p>
    <w:p w14:paraId="0EA6F8DB" w14:textId="6E51D300" w:rsidR="005B071A" w:rsidRPr="00F153A3" w:rsidRDefault="005B071A" w:rsidP="005B071A">
      <w:pPr>
        <w:pStyle w:val="ESPara"/>
        <w:numPr>
          <w:ilvl w:val="0"/>
          <w:numId w:val="26"/>
        </w:numPr>
        <w:rPr>
          <w:shd w:val="clear" w:color="auto" w:fill="FFFFFF"/>
        </w:rPr>
      </w:pPr>
      <w:r w:rsidRPr="00F153A3">
        <w:rPr>
          <w:shd w:val="clear" w:color="auto" w:fill="FFFFFF"/>
        </w:rPr>
        <w:t xml:space="preserve">LIN 24/036 facilitates compliance with the Headquarters Agreement between CCAMLR and the Australian Government, by ensuring that all individuals specified in Article 19(1) </w:t>
      </w:r>
      <w:r w:rsidRPr="00F153A3">
        <w:rPr>
          <w:shd w:val="clear" w:color="auto" w:fill="FFFFFF"/>
        </w:rPr>
        <w:lastRenderedPageBreak/>
        <w:t xml:space="preserve">are eligible to apply for a visa without paying a </w:t>
      </w:r>
      <w:r w:rsidR="000814BE">
        <w:rPr>
          <w:shd w:val="clear" w:color="auto" w:fill="FFFFFF"/>
        </w:rPr>
        <w:t>VAC</w:t>
      </w:r>
      <w:r w:rsidRPr="00F153A3">
        <w:rPr>
          <w:shd w:val="clear" w:color="auto" w:fill="FFFFFF"/>
        </w:rPr>
        <w:t xml:space="preserve">. The instrument facilitates the automatic issuance of nil </w:t>
      </w:r>
      <w:r w:rsidR="000814BE">
        <w:rPr>
          <w:shd w:val="clear" w:color="auto" w:fill="FFFFFF"/>
        </w:rPr>
        <w:t>VAC</w:t>
      </w:r>
      <w:r w:rsidR="00217BFC" w:rsidRPr="00F153A3">
        <w:rPr>
          <w:shd w:val="clear" w:color="auto" w:fill="FFFFFF"/>
        </w:rPr>
        <w:t xml:space="preserve"> </w:t>
      </w:r>
      <w:r w:rsidRPr="00F153A3">
        <w:rPr>
          <w:shd w:val="clear" w:color="auto" w:fill="FFFFFF"/>
        </w:rPr>
        <w:t>for the required classes of CCAMLR</w:t>
      </w:r>
      <w:r w:rsidR="007D7A2A" w:rsidRPr="00F153A3">
        <w:rPr>
          <w:shd w:val="clear" w:color="auto" w:fill="FFFFFF"/>
        </w:rPr>
        <w:t xml:space="preserve"> applicants</w:t>
      </w:r>
      <w:r w:rsidRPr="00F153A3">
        <w:rPr>
          <w:shd w:val="clear" w:color="auto" w:fill="FFFFFF"/>
        </w:rPr>
        <w:t xml:space="preserve">, </w:t>
      </w:r>
      <w:r w:rsidR="00FD6E6D" w:rsidRPr="00F153A3">
        <w:rPr>
          <w:shd w:val="clear" w:color="auto" w:fill="FFFFFF"/>
        </w:rPr>
        <w:t>in accordance</w:t>
      </w:r>
      <w:r w:rsidRPr="00F153A3">
        <w:rPr>
          <w:shd w:val="clear" w:color="auto" w:fill="FFFFFF"/>
        </w:rPr>
        <w:t xml:space="preserve"> with the Headquarters Agreement.</w:t>
      </w:r>
    </w:p>
    <w:p w14:paraId="0E011DF9" w14:textId="77777777" w:rsidR="00DB4526" w:rsidRPr="00F153A3" w:rsidRDefault="00DB4526" w:rsidP="00A971C0">
      <w:pPr>
        <w:pStyle w:val="Heading4"/>
        <w:rPr>
          <w:i/>
        </w:rPr>
      </w:pPr>
      <w:r w:rsidRPr="00F153A3">
        <w:rPr>
          <w:i/>
        </w:rPr>
        <w:t>Consultation</w:t>
      </w:r>
    </w:p>
    <w:p w14:paraId="5BE7995F" w14:textId="5AE27F5B" w:rsidR="0027072A" w:rsidRPr="00F153A3" w:rsidRDefault="006318AE" w:rsidP="006318AE">
      <w:pPr>
        <w:pStyle w:val="ESPara"/>
        <w:numPr>
          <w:ilvl w:val="0"/>
          <w:numId w:val="26"/>
        </w:numPr>
      </w:pPr>
      <w:r w:rsidRPr="00F153A3">
        <w:t>The Department consulted with the Attorney-General’s Department (AGD), Department of Foreign Affairs and Trade (DFAT), and the Australian Antarctic Division (AAD) of the Department of Climate Change, Energy, the Environment and Water. AGD, DFAT, and AAD supported the policy behind the instrument.</w:t>
      </w:r>
    </w:p>
    <w:p w14:paraId="47097A1D" w14:textId="1CB5A41A" w:rsidR="006318AE" w:rsidRPr="00F153A3" w:rsidRDefault="006318AE" w:rsidP="006318AE">
      <w:pPr>
        <w:pStyle w:val="ESPara"/>
        <w:numPr>
          <w:ilvl w:val="0"/>
          <w:numId w:val="26"/>
        </w:numPr>
      </w:pPr>
      <w:r w:rsidRPr="00F153A3">
        <w:t xml:space="preserve">The Department also consulted with CCAMLR in the </w:t>
      </w:r>
      <w:r w:rsidR="00CF1D6D" w:rsidRPr="00F153A3">
        <w:t>proposal to draft</w:t>
      </w:r>
      <w:r w:rsidRPr="00F153A3">
        <w:t xml:space="preserve"> this instrument.</w:t>
      </w:r>
    </w:p>
    <w:p w14:paraId="48AC9CE7" w14:textId="3D637B10" w:rsidR="000815F2" w:rsidRPr="00F153A3" w:rsidRDefault="000815F2" w:rsidP="000815F2">
      <w:pPr>
        <w:pStyle w:val="ESPara"/>
        <w:ind w:left="0" w:firstLine="0"/>
        <w:rPr>
          <w:b/>
          <w:i/>
        </w:rPr>
      </w:pPr>
      <w:r w:rsidRPr="00F153A3">
        <w:rPr>
          <w:b/>
          <w:i/>
        </w:rPr>
        <w:t>Regulatory Impact Assessment</w:t>
      </w:r>
    </w:p>
    <w:p w14:paraId="12D0C096" w14:textId="3AD1CA92" w:rsidR="000815F2" w:rsidRPr="00F153A3" w:rsidRDefault="000815F2" w:rsidP="000815F2">
      <w:pPr>
        <w:pStyle w:val="ESPara"/>
        <w:numPr>
          <w:ilvl w:val="0"/>
          <w:numId w:val="26"/>
        </w:numPr>
      </w:pPr>
      <w:r w:rsidRPr="00F153A3">
        <w:t>The Office of Impact Analysis (OIA) determined that a detailed Impact Analysis was not required, as there were few applications for the specified visa subclasses in any one year that would impact Australian businesses, community organisations or individuals. The OIA reference number is OIA24-06970</w:t>
      </w:r>
      <w:r w:rsidR="006E6EFD" w:rsidRPr="00F153A3">
        <w:t>.</w:t>
      </w:r>
    </w:p>
    <w:p w14:paraId="44A85160" w14:textId="77777777" w:rsidR="001B6C00" w:rsidRPr="00F153A3" w:rsidRDefault="001B6C00" w:rsidP="00A971C0">
      <w:pPr>
        <w:pStyle w:val="ESHeading"/>
      </w:pPr>
      <w:r w:rsidRPr="00F153A3">
        <w:t xml:space="preserve">Details of the instrument </w:t>
      </w:r>
    </w:p>
    <w:p w14:paraId="7B624439" w14:textId="0B98BE28" w:rsidR="00856257" w:rsidRPr="00F153A3" w:rsidRDefault="00856257" w:rsidP="00856257">
      <w:pPr>
        <w:pStyle w:val="ESPara"/>
        <w:rPr>
          <w:i/>
          <w:shd w:val="clear" w:color="auto" w:fill="FFFFFF"/>
        </w:rPr>
      </w:pPr>
      <w:r w:rsidRPr="00F153A3">
        <w:rPr>
          <w:i/>
          <w:shd w:val="clear" w:color="auto" w:fill="FFFFFF"/>
        </w:rPr>
        <w:t>Introductory material</w:t>
      </w:r>
    </w:p>
    <w:p w14:paraId="0846B5EE" w14:textId="55FA38CF" w:rsidR="0027072A" w:rsidRPr="00F153A3" w:rsidRDefault="00C36B9C" w:rsidP="00C36B9C">
      <w:pPr>
        <w:pStyle w:val="ESPara"/>
        <w:numPr>
          <w:ilvl w:val="0"/>
          <w:numId w:val="26"/>
        </w:numPr>
        <w:rPr>
          <w:shd w:val="clear" w:color="auto" w:fill="FFFFFF"/>
        </w:rPr>
      </w:pPr>
      <w:r w:rsidRPr="00F153A3">
        <w:rPr>
          <w:shd w:val="clear" w:color="auto" w:fill="FFFFFF"/>
        </w:rPr>
        <w:t>Section 1 sets out the name of the instrument.</w:t>
      </w:r>
    </w:p>
    <w:p w14:paraId="4AB64636" w14:textId="097D15F4" w:rsidR="00C36B9C" w:rsidRPr="00F153A3" w:rsidRDefault="00C36B9C" w:rsidP="00C36B9C">
      <w:pPr>
        <w:pStyle w:val="ESPara"/>
        <w:numPr>
          <w:ilvl w:val="0"/>
          <w:numId w:val="26"/>
        </w:numPr>
        <w:rPr>
          <w:shd w:val="clear" w:color="auto" w:fill="FFFFFF"/>
        </w:rPr>
      </w:pPr>
      <w:r w:rsidRPr="00F153A3">
        <w:rPr>
          <w:shd w:val="clear" w:color="auto" w:fill="FFFFFF"/>
        </w:rPr>
        <w:t>Section 2 provides that the instrument commences the day after it is registered on the Federal Register of Legislation.</w:t>
      </w:r>
    </w:p>
    <w:p w14:paraId="1EBFF8AD" w14:textId="1CBBF1C3" w:rsidR="00C36B9C" w:rsidRPr="00F153A3" w:rsidRDefault="00C36B9C" w:rsidP="00C36B9C">
      <w:pPr>
        <w:pStyle w:val="ESPara"/>
        <w:numPr>
          <w:ilvl w:val="0"/>
          <w:numId w:val="26"/>
        </w:numPr>
        <w:rPr>
          <w:shd w:val="clear" w:color="auto" w:fill="FFFFFF"/>
        </w:rPr>
      </w:pPr>
      <w:r w:rsidRPr="00F153A3">
        <w:rPr>
          <w:shd w:val="clear" w:color="auto" w:fill="FFFFFF"/>
        </w:rPr>
        <w:t xml:space="preserve">Section 3 </w:t>
      </w:r>
      <w:r w:rsidR="006301B6" w:rsidRPr="00F153A3">
        <w:rPr>
          <w:shd w:val="clear" w:color="auto" w:fill="FFFFFF"/>
        </w:rPr>
        <w:t>provides</w:t>
      </w:r>
      <w:r w:rsidRPr="00F153A3">
        <w:rPr>
          <w:shd w:val="clear" w:color="auto" w:fill="FFFFFF"/>
        </w:rPr>
        <w:t xml:space="preserve"> that the instrument is made under the following provisions of the Migration Regulations:</w:t>
      </w:r>
    </w:p>
    <w:p w14:paraId="288E48D9" w14:textId="423AB427" w:rsidR="00C36B9C" w:rsidRPr="000115F8" w:rsidRDefault="00C36B9C" w:rsidP="000115F8">
      <w:pPr>
        <w:pStyle w:val="ListParagraph"/>
        <w:numPr>
          <w:ilvl w:val="0"/>
          <w:numId w:val="29"/>
        </w:numPr>
        <w:spacing w:before="180" w:after="120" w:line="249" w:lineRule="exact"/>
        <w:ind w:left="850" w:right="578" w:hanging="425"/>
        <w:contextualSpacing w:val="0"/>
        <w:textAlignment w:val="baseline"/>
        <w:rPr>
          <w:color w:val="000000"/>
        </w:rPr>
      </w:pPr>
      <w:r w:rsidRPr="000115F8">
        <w:rPr>
          <w:color w:val="000000"/>
        </w:rPr>
        <w:t>sub</w:t>
      </w:r>
      <w:r w:rsidR="00143553" w:rsidRPr="000115F8">
        <w:rPr>
          <w:color w:val="000000"/>
        </w:rPr>
        <w:t>-</w:t>
      </w:r>
      <w:r w:rsidRPr="000115F8">
        <w:rPr>
          <w:color w:val="000000"/>
        </w:rPr>
        <w:t>subparagraph 1231(2)(a)(iv)(A) of Schedule 1;</w:t>
      </w:r>
    </w:p>
    <w:p w14:paraId="758D6806" w14:textId="0346D363" w:rsidR="00C36B9C" w:rsidRPr="000115F8" w:rsidRDefault="00C36B9C" w:rsidP="000115F8">
      <w:pPr>
        <w:pStyle w:val="ListParagraph"/>
        <w:numPr>
          <w:ilvl w:val="0"/>
          <w:numId w:val="29"/>
        </w:numPr>
        <w:spacing w:before="180" w:after="120" w:line="249" w:lineRule="exact"/>
        <w:ind w:left="850" w:right="578" w:hanging="425"/>
        <w:contextualSpacing w:val="0"/>
        <w:textAlignment w:val="baseline"/>
        <w:rPr>
          <w:color w:val="000000"/>
        </w:rPr>
      </w:pPr>
      <w:r w:rsidRPr="000115F8">
        <w:rPr>
          <w:color w:val="000000"/>
        </w:rPr>
        <w:t>subparagraph 1236(2)(a)(iv) of Schedule 1; and</w:t>
      </w:r>
    </w:p>
    <w:p w14:paraId="4CDC9B0D" w14:textId="01E9A750" w:rsidR="00C36B9C" w:rsidRPr="000115F8" w:rsidRDefault="00C36B9C" w:rsidP="000115F8">
      <w:pPr>
        <w:pStyle w:val="ListParagraph"/>
        <w:numPr>
          <w:ilvl w:val="0"/>
          <w:numId w:val="29"/>
        </w:numPr>
        <w:spacing w:before="180" w:after="120" w:line="249" w:lineRule="exact"/>
        <w:ind w:left="850" w:right="578" w:hanging="425"/>
        <w:contextualSpacing w:val="0"/>
        <w:textAlignment w:val="baseline"/>
        <w:rPr>
          <w:color w:val="000000"/>
        </w:rPr>
      </w:pPr>
      <w:r w:rsidRPr="000115F8">
        <w:rPr>
          <w:color w:val="000000"/>
        </w:rPr>
        <w:t>subregulation 2.07(5) for the purposes of subparagraph 1237(2)(a)(i) of Schedule 1.</w:t>
      </w:r>
    </w:p>
    <w:p w14:paraId="051E58D3" w14:textId="54188F60" w:rsidR="00856257" w:rsidRPr="00F153A3" w:rsidRDefault="00856257" w:rsidP="00856257">
      <w:pPr>
        <w:pStyle w:val="ESPara"/>
        <w:rPr>
          <w:i/>
          <w:shd w:val="clear" w:color="auto" w:fill="FFFFFF"/>
        </w:rPr>
      </w:pPr>
      <w:r w:rsidRPr="00F153A3">
        <w:rPr>
          <w:i/>
          <w:shd w:val="clear" w:color="auto" w:fill="FFFFFF"/>
        </w:rPr>
        <w:t xml:space="preserve">Section 4 – </w:t>
      </w:r>
      <w:r w:rsidR="00F024CA">
        <w:rPr>
          <w:i/>
          <w:shd w:val="clear" w:color="auto" w:fill="FFFFFF"/>
        </w:rPr>
        <w:t>D</w:t>
      </w:r>
      <w:r w:rsidRPr="00F153A3">
        <w:rPr>
          <w:i/>
          <w:shd w:val="clear" w:color="auto" w:fill="FFFFFF"/>
        </w:rPr>
        <w:t xml:space="preserve">efinitions </w:t>
      </w:r>
    </w:p>
    <w:p w14:paraId="2EB6A599" w14:textId="25D73C00" w:rsidR="00C36B9C" w:rsidRPr="00F153A3" w:rsidRDefault="001A763E" w:rsidP="00856257">
      <w:pPr>
        <w:pStyle w:val="ESPara"/>
        <w:numPr>
          <w:ilvl w:val="0"/>
          <w:numId w:val="26"/>
        </w:numPr>
        <w:rPr>
          <w:shd w:val="clear" w:color="auto" w:fill="FFFFFF"/>
        </w:rPr>
      </w:pPr>
      <w:r w:rsidRPr="00F153A3">
        <w:rPr>
          <w:shd w:val="clear" w:color="auto" w:fill="FFFFFF"/>
        </w:rPr>
        <w:t>Section 4 provides definitio</w:t>
      </w:r>
      <w:r w:rsidR="003814A4" w:rsidRPr="00F153A3">
        <w:rPr>
          <w:shd w:val="clear" w:color="auto" w:fill="FFFFFF"/>
        </w:rPr>
        <w:t>ns for various terms used in the instrument</w:t>
      </w:r>
      <w:r w:rsidR="00856257" w:rsidRPr="00F153A3">
        <w:rPr>
          <w:shd w:val="clear" w:color="auto" w:fill="FFFFFF"/>
        </w:rPr>
        <w:t xml:space="preserve">, including CCAMLR, CCAMLR applicant, Convention, Expert, </w:t>
      </w:r>
      <w:r w:rsidR="00C167CB">
        <w:rPr>
          <w:shd w:val="clear" w:color="auto" w:fill="FFFFFF"/>
        </w:rPr>
        <w:t>family member</w:t>
      </w:r>
      <w:r w:rsidR="0089095E">
        <w:rPr>
          <w:shd w:val="clear" w:color="auto" w:fill="FFFFFF"/>
        </w:rPr>
        <w:t xml:space="preserve"> (</w:t>
      </w:r>
      <w:r w:rsidR="00A81666">
        <w:rPr>
          <w:shd w:val="clear" w:color="auto" w:fill="FFFFFF"/>
        </w:rPr>
        <w:t>to</w:t>
      </w:r>
      <w:r w:rsidR="0089095E">
        <w:rPr>
          <w:shd w:val="clear" w:color="auto" w:fill="FFFFFF"/>
        </w:rPr>
        <w:t xml:space="preserve"> </w:t>
      </w:r>
      <w:r w:rsidR="00A81666">
        <w:rPr>
          <w:shd w:val="clear" w:color="auto" w:fill="FFFFFF"/>
        </w:rPr>
        <w:t xml:space="preserve">recognise more </w:t>
      </w:r>
      <w:r w:rsidR="0089095E">
        <w:rPr>
          <w:shd w:val="clear" w:color="auto" w:fill="FFFFFF"/>
        </w:rPr>
        <w:t>contemporary language</w:t>
      </w:r>
      <w:r w:rsidR="00A81666">
        <w:rPr>
          <w:shd w:val="clear" w:color="auto" w:fill="FFFFFF"/>
        </w:rPr>
        <w:t xml:space="preserve"> and conventions)</w:t>
      </w:r>
      <w:r w:rsidR="00C167CB">
        <w:rPr>
          <w:shd w:val="clear" w:color="auto" w:fill="FFFFFF"/>
        </w:rPr>
        <w:t xml:space="preserve">, </w:t>
      </w:r>
      <w:r w:rsidR="00856257" w:rsidRPr="00F153A3">
        <w:rPr>
          <w:shd w:val="clear" w:color="auto" w:fill="FFFFFF"/>
        </w:rPr>
        <w:t>Migration Regulations, Observer to CCAMLR, Party, Representative of a Party, Scientific Committee, Staff member, subclass 400 visa, subclass 408 visa, subclass 600 visa, and VAC</w:t>
      </w:r>
      <w:r w:rsidRPr="00F153A3">
        <w:rPr>
          <w:shd w:val="clear" w:color="auto" w:fill="FFFFFF"/>
        </w:rPr>
        <w:t>.</w:t>
      </w:r>
    </w:p>
    <w:p w14:paraId="7C592C5B" w14:textId="3A055DC0" w:rsidR="00856257" w:rsidRPr="00F153A3" w:rsidRDefault="00856257" w:rsidP="00856257">
      <w:pPr>
        <w:pStyle w:val="ESPara"/>
        <w:numPr>
          <w:ilvl w:val="0"/>
          <w:numId w:val="26"/>
        </w:numPr>
        <w:rPr>
          <w:shd w:val="clear" w:color="auto" w:fill="FFFFFF"/>
        </w:rPr>
      </w:pPr>
      <w:r w:rsidRPr="00F153A3">
        <w:rPr>
          <w:b/>
          <w:i/>
          <w:shd w:val="clear" w:color="auto" w:fill="FFFFFF"/>
        </w:rPr>
        <w:t>CCAMLR</w:t>
      </w:r>
      <w:r w:rsidRPr="00F153A3">
        <w:rPr>
          <w:shd w:val="clear" w:color="auto" w:fill="FFFFFF"/>
        </w:rPr>
        <w:t xml:space="preserve"> </w:t>
      </w:r>
      <w:r w:rsidR="006301B6" w:rsidRPr="00F153A3">
        <w:rPr>
          <w:shd w:val="clear" w:color="auto" w:fill="FFFFFF"/>
        </w:rPr>
        <w:t>is defined as the</w:t>
      </w:r>
      <w:r w:rsidRPr="00F153A3">
        <w:rPr>
          <w:shd w:val="clear" w:color="auto" w:fill="FFFFFF"/>
        </w:rPr>
        <w:t xml:space="preserve"> Commission for the Conservation of Antarctic Marine Living Resources. </w:t>
      </w:r>
    </w:p>
    <w:p w14:paraId="04078A96" w14:textId="4AA6AB36" w:rsidR="00856257" w:rsidRPr="00F153A3" w:rsidRDefault="00856257" w:rsidP="00856257">
      <w:pPr>
        <w:pStyle w:val="ESPara"/>
        <w:numPr>
          <w:ilvl w:val="0"/>
          <w:numId w:val="26"/>
        </w:numPr>
        <w:rPr>
          <w:shd w:val="clear" w:color="auto" w:fill="FFFFFF"/>
        </w:rPr>
      </w:pPr>
      <w:r w:rsidRPr="00F153A3">
        <w:rPr>
          <w:shd w:val="clear" w:color="auto" w:fill="FFFFFF"/>
        </w:rPr>
        <w:lastRenderedPageBreak/>
        <w:t xml:space="preserve">The </w:t>
      </w:r>
      <w:r w:rsidRPr="00F153A3">
        <w:rPr>
          <w:b/>
          <w:i/>
          <w:shd w:val="clear" w:color="auto" w:fill="FFFFFF"/>
        </w:rPr>
        <w:t>Convention</w:t>
      </w:r>
      <w:r w:rsidRPr="00F153A3">
        <w:rPr>
          <w:shd w:val="clear" w:color="auto" w:fill="FFFFFF"/>
        </w:rPr>
        <w:t xml:space="preserve"> </w:t>
      </w:r>
      <w:r w:rsidR="006301B6" w:rsidRPr="00F153A3">
        <w:rPr>
          <w:shd w:val="clear" w:color="auto" w:fill="FFFFFF"/>
        </w:rPr>
        <w:t>is defined as</w:t>
      </w:r>
      <w:r w:rsidRPr="00F153A3">
        <w:rPr>
          <w:shd w:val="clear" w:color="auto" w:fill="FFFFFF"/>
        </w:rPr>
        <w:t xml:space="preserve"> the Convention on the Conservation of Antarctic Marine Living Resources drawn up at Canberra on 20 May 1980</w:t>
      </w:r>
      <w:r w:rsidR="006301B6" w:rsidRPr="00F153A3">
        <w:rPr>
          <w:shd w:val="clear" w:color="auto" w:fill="FFFFFF"/>
        </w:rPr>
        <w:t>, which entered into force on 7 </w:t>
      </w:r>
      <w:r w:rsidRPr="00F153A3">
        <w:rPr>
          <w:shd w:val="clear" w:color="auto" w:fill="FFFFFF"/>
        </w:rPr>
        <w:t xml:space="preserve">April 1982.  </w:t>
      </w:r>
    </w:p>
    <w:p w14:paraId="2B6567C2" w14:textId="331A8944" w:rsidR="00856257" w:rsidRPr="00F153A3" w:rsidRDefault="00856257" w:rsidP="00856257">
      <w:pPr>
        <w:pStyle w:val="ESPara"/>
        <w:numPr>
          <w:ilvl w:val="0"/>
          <w:numId w:val="26"/>
        </w:numPr>
        <w:rPr>
          <w:shd w:val="clear" w:color="auto" w:fill="FFFFFF"/>
        </w:rPr>
      </w:pPr>
      <w:r w:rsidRPr="00F153A3">
        <w:rPr>
          <w:shd w:val="clear" w:color="auto" w:fill="FFFFFF"/>
        </w:rPr>
        <w:t xml:space="preserve">A </w:t>
      </w:r>
      <w:r w:rsidRPr="00F153A3">
        <w:rPr>
          <w:b/>
          <w:i/>
          <w:shd w:val="clear" w:color="auto" w:fill="FFFFFF"/>
        </w:rPr>
        <w:t>CCAMLR applicant</w:t>
      </w:r>
      <w:r w:rsidRPr="00F153A3">
        <w:rPr>
          <w:shd w:val="clear" w:color="auto" w:fill="FFFFFF"/>
        </w:rPr>
        <w:t xml:space="preserve"> </w:t>
      </w:r>
      <w:r w:rsidR="006301B6" w:rsidRPr="00F153A3">
        <w:rPr>
          <w:shd w:val="clear" w:color="auto" w:fill="FFFFFF"/>
        </w:rPr>
        <w:t>is defined as</w:t>
      </w:r>
      <w:r w:rsidRPr="00F153A3">
        <w:rPr>
          <w:shd w:val="clear" w:color="auto" w:fill="FFFFFF"/>
        </w:rPr>
        <w:t xml:space="preserve"> an applicant who has official business with CCAMLR</w:t>
      </w:r>
      <w:r w:rsidR="00FD6E6D" w:rsidRPr="00F153A3">
        <w:rPr>
          <w:shd w:val="clear" w:color="auto" w:fill="FFFFFF"/>
        </w:rPr>
        <w:t xml:space="preserve"> </w:t>
      </w:r>
      <w:r w:rsidR="00C972CD" w:rsidRPr="00F153A3">
        <w:rPr>
          <w:shd w:val="clear" w:color="auto" w:fill="FFFFFF"/>
        </w:rPr>
        <w:t>or</w:t>
      </w:r>
      <w:r w:rsidR="00FD6E6D" w:rsidRPr="00F153A3">
        <w:rPr>
          <w:shd w:val="clear" w:color="auto" w:fill="FFFFFF"/>
        </w:rPr>
        <w:t xml:space="preserve"> the subsidiary bodies established by </w:t>
      </w:r>
      <w:r w:rsidR="00C972CD" w:rsidRPr="00F153A3">
        <w:rPr>
          <w:shd w:val="clear" w:color="auto" w:fill="FFFFFF"/>
        </w:rPr>
        <w:t xml:space="preserve">CCAMLR </w:t>
      </w:r>
      <w:r w:rsidR="00FD6E6D" w:rsidRPr="00F153A3">
        <w:rPr>
          <w:shd w:val="clear" w:color="auto" w:fill="FFFFFF"/>
        </w:rPr>
        <w:t>or the Scientific Committee</w:t>
      </w:r>
      <w:r w:rsidRPr="00F153A3">
        <w:rPr>
          <w:shd w:val="clear" w:color="auto" w:fill="FFFFFF"/>
        </w:rPr>
        <w:t xml:space="preserve"> as:  </w:t>
      </w:r>
    </w:p>
    <w:p w14:paraId="79CE1E10" w14:textId="056996E7" w:rsidR="00856257" w:rsidRPr="00F153A3" w:rsidRDefault="00856257" w:rsidP="00AF6526">
      <w:pPr>
        <w:pStyle w:val="ESPara"/>
        <w:numPr>
          <w:ilvl w:val="1"/>
          <w:numId w:val="31"/>
        </w:numPr>
        <w:ind w:left="851" w:hanging="425"/>
        <w:rPr>
          <w:shd w:val="clear" w:color="auto" w:fill="FFFFFF"/>
        </w:rPr>
      </w:pPr>
      <w:r w:rsidRPr="00F153A3">
        <w:rPr>
          <w:shd w:val="clear" w:color="auto" w:fill="FFFFFF"/>
        </w:rPr>
        <w:t xml:space="preserve">a representative of a Party; or  </w:t>
      </w:r>
    </w:p>
    <w:p w14:paraId="0A19F745" w14:textId="74C5F6E8" w:rsidR="00856257" w:rsidRPr="00F153A3" w:rsidRDefault="00856257" w:rsidP="00AF6526">
      <w:pPr>
        <w:pStyle w:val="ESPara"/>
        <w:numPr>
          <w:ilvl w:val="1"/>
          <w:numId w:val="31"/>
        </w:numPr>
        <w:ind w:left="851" w:hanging="425"/>
        <w:rPr>
          <w:shd w:val="clear" w:color="auto" w:fill="FFFFFF"/>
        </w:rPr>
      </w:pPr>
      <w:r w:rsidRPr="00F153A3">
        <w:rPr>
          <w:shd w:val="clear" w:color="auto" w:fill="FFFFFF"/>
        </w:rPr>
        <w:t xml:space="preserve">a staff member of CCAMLR; or  </w:t>
      </w:r>
    </w:p>
    <w:p w14:paraId="315E28CA" w14:textId="6F144974" w:rsidR="00856257" w:rsidRPr="00F153A3" w:rsidRDefault="00856257" w:rsidP="00AF6526">
      <w:pPr>
        <w:pStyle w:val="ESPara"/>
        <w:numPr>
          <w:ilvl w:val="1"/>
          <w:numId w:val="31"/>
        </w:numPr>
        <w:ind w:left="851" w:hanging="425"/>
        <w:rPr>
          <w:shd w:val="clear" w:color="auto" w:fill="FFFFFF"/>
        </w:rPr>
      </w:pPr>
      <w:r w:rsidRPr="00F153A3">
        <w:rPr>
          <w:shd w:val="clear" w:color="auto" w:fill="FFFFFF"/>
        </w:rPr>
        <w:t xml:space="preserve">an expert or consultant on missions for CCAMLR; or </w:t>
      </w:r>
    </w:p>
    <w:p w14:paraId="7F3C4276" w14:textId="2E4AD8F9" w:rsidR="00856257" w:rsidRPr="00F153A3" w:rsidRDefault="00856257" w:rsidP="00AF6526">
      <w:pPr>
        <w:pStyle w:val="ESPara"/>
        <w:numPr>
          <w:ilvl w:val="1"/>
          <w:numId w:val="31"/>
        </w:numPr>
        <w:ind w:left="851" w:hanging="425"/>
        <w:rPr>
          <w:shd w:val="clear" w:color="auto" w:fill="FFFFFF"/>
        </w:rPr>
      </w:pPr>
      <w:r w:rsidRPr="00F153A3">
        <w:rPr>
          <w:shd w:val="clear" w:color="auto" w:fill="FFFFFF"/>
        </w:rPr>
        <w:t>an observer to CCAMLR.</w:t>
      </w:r>
    </w:p>
    <w:p w14:paraId="3C6FAF95" w14:textId="0C67A83C" w:rsidR="00C167CB" w:rsidRPr="007C6A89" w:rsidRDefault="009D4F85" w:rsidP="00C167CB">
      <w:pPr>
        <w:pStyle w:val="ESPara"/>
        <w:numPr>
          <w:ilvl w:val="0"/>
          <w:numId w:val="26"/>
        </w:numPr>
        <w:rPr>
          <w:shd w:val="clear" w:color="auto" w:fill="FFFFFF"/>
        </w:rPr>
      </w:pPr>
      <w:r>
        <w:rPr>
          <w:bCs/>
          <w:iCs/>
          <w:color w:val="000000"/>
        </w:rPr>
        <w:t xml:space="preserve">A </w:t>
      </w:r>
      <w:r w:rsidR="00C167CB" w:rsidRPr="00CC19E9">
        <w:rPr>
          <w:b/>
          <w:i/>
          <w:color w:val="000000"/>
        </w:rPr>
        <w:t xml:space="preserve">family member </w:t>
      </w:r>
      <w:r w:rsidR="00C167CB" w:rsidRPr="00CC19E9">
        <w:rPr>
          <w:color w:val="000000"/>
        </w:rPr>
        <w:t>means a person</w:t>
      </w:r>
      <w:r w:rsidR="00C167CB" w:rsidRPr="00CC19E9">
        <w:rPr>
          <w:b/>
          <w:color w:val="000000"/>
        </w:rPr>
        <w:t xml:space="preserve"> </w:t>
      </w:r>
      <w:r w:rsidR="00C167CB" w:rsidRPr="00CC19E9">
        <w:rPr>
          <w:color w:val="000000"/>
        </w:rPr>
        <w:t xml:space="preserve">who is a member of the family unit of a </w:t>
      </w:r>
      <w:r w:rsidR="00CD45C3">
        <w:rPr>
          <w:color w:val="000000"/>
        </w:rPr>
        <w:t>person mentioned in paragraph (a) or (b</w:t>
      </w:r>
      <w:r w:rsidR="00C167CB" w:rsidRPr="00CC19E9">
        <w:rPr>
          <w:color w:val="000000"/>
        </w:rPr>
        <w:t xml:space="preserve">) of the definition of </w:t>
      </w:r>
      <w:r w:rsidR="00C167CB" w:rsidRPr="00CC19E9">
        <w:rPr>
          <w:b/>
          <w:i/>
        </w:rPr>
        <w:t>CCAMLR applicant</w:t>
      </w:r>
      <w:r w:rsidR="00C167CB" w:rsidRPr="00CC19E9">
        <w:t>.</w:t>
      </w:r>
    </w:p>
    <w:p w14:paraId="2CE3B98D" w14:textId="133D9451" w:rsidR="00C167CB" w:rsidRPr="00F153A3" w:rsidRDefault="00C167CB" w:rsidP="00C167CB">
      <w:pPr>
        <w:pStyle w:val="ESPara"/>
        <w:numPr>
          <w:ilvl w:val="0"/>
          <w:numId w:val="26"/>
        </w:numPr>
        <w:rPr>
          <w:shd w:val="clear" w:color="auto" w:fill="FFFFFF"/>
        </w:rPr>
      </w:pPr>
      <w:r w:rsidRPr="00F024CA">
        <w:rPr>
          <w:b/>
          <w:i/>
          <w:shd w:val="clear" w:color="auto" w:fill="FFFFFF"/>
        </w:rPr>
        <w:t>Migration Regulations</w:t>
      </w:r>
      <w:r w:rsidRPr="00F153A3">
        <w:rPr>
          <w:shd w:val="clear" w:color="auto" w:fill="FFFFFF"/>
        </w:rPr>
        <w:t xml:space="preserve"> </w:t>
      </w:r>
      <w:r>
        <w:rPr>
          <w:shd w:val="clear" w:color="auto" w:fill="FFFFFF"/>
        </w:rPr>
        <w:t>means</w:t>
      </w:r>
      <w:r w:rsidRPr="00F153A3">
        <w:rPr>
          <w:shd w:val="clear" w:color="auto" w:fill="FFFFFF"/>
        </w:rPr>
        <w:t xml:space="preserve"> the </w:t>
      </w:r>
      <w:r w:rsidRPr="00F153A3">
        <w:rPr>
          <w:i/>
          <w:shd w:val="clear" w:color="auto" w:fill="FFFFFF"/>
        </w:rPr>
        <w:t>Migration Regulations 1994</w:t>
      </w:r>
      <w:r w:rsidRPr="00F153A3">
        <w:rPr>
          <w:shd w:val="clear" w:color="auto" w:fill="FFFFFF"/>
        </w:rPr>
        <w:t xml:space="preserve">. </w:t>
      </w:r>
    </w:p>
    <w:p w14:paraId="23AEEF7F" w14:textId="0DF48E10" w:rsidR="00856257" w:rsidRPr="00F153A3" w:rsidRDefault="00856257" w:rsidP="00856257">
      <w:pPr>
        <w:pStyle w:val="ESPara"/>
        <w:numPr>
          <w:ilvl w:val="0"/>
          <w:numId w:val="26"/>
        </w:numPr>
        <w:rPr>
          <w:shd w:val="clear" w:color="auto" w:fill="FFFFFF"/>
        </w:rPr>
      </w:pPr>
      <w:r w:rsidRPr="00F153A3">
        <w:rPr>
          <w:shd w:val="clear" w:color="auto" w:fill="FFFFFF"/>
        </w:rPr>
        <w:t xml:space="preserve">An </w:t>
      </w:r>
      <w:r w:rsidRPr="00F153A3">
        <w:rPr>
          <w:b/>
          <w:i/>
          <w:shd w:val="clear" w:color="auto" w:fill="FFFFFF"/>
        </w:rPr>
        <w:t>Observer to CCAMLR</w:t>
      </w:r>
      <w:r w:rsidRPr="00F153A3">
        <w:rPr>
          <w:shd w:val="clear" w:color="auto" w:fill="FFFFFF"/>
        </w:rPr>
        <w:t xml:space="preserve"> is defined as a person who has been invited by CCAMLR or the Scientific Committee to attend their meetings or the meetings of their subsidiary bodies, and who is representing an organisation, including an intergovernmental or non-governmental organisation. </w:t>
      </w:r>
    </w:p>
    <w:p w14:paraId="2919F91C" w14:textId="77777777" w:rsidR="00856257" w:rsidRPr="00F153A3" w:rsidRDefault="00856257" w:rsidP="00856257">
      <w:pPr>
        <w:pStyle w:val="ESPara"/>
        <w:numPr>
          <w:ilvl w:val="0"/>
          <w:numId w:val="26"/>
        </w:numPr>
        <w:rPr>
          <w:shd w:val="clear" w:color="auto" w:fill="FFFFFF"/>
        </w:rPr>
      </w:pPr>
      <w:r w:rsidRPr="00F153A3">
        <w:rPr>
          <w:shd w:val="clear" w:color="auto" w:fill="FFFFFF"/>
        </w:rPr>
        <w:t xml:space="preserve">A </w:t>
      </w:r>
      <w:r w:rsidRPr="00F153A3">
        <w:rPr>
          <w:b/>
          <w:i/>
          <w:shd w:val="clear" w:color="auto" w:fill="FFFFFF"/>
        </w:rPr>
        <w:t>Party</w:t>
      </w:r>
      <w:r w:rsidRPr="00F153A3">
        <w:rPr>
          <w:shd w:val="clear" w:color="auto" w:fill="FFFFFF"/>
        </w:rPr>
        <w:t xml:space="preserve"> refers to a Party to the Convention. </w:t>
      </w:r>
    </w:p>
    <w:p w14:paraId="3187FE88" w14:textId="3A1AF62B" w:rsidR="00856257" w:rsidRPr="00F153A3" w:rsidRDefault="00856257" w:rsidP="00856257">
      <w:pPr>
        <w:pStyle w:val="ESPara"/>
        <w:numPr>
          <w:ilvl w:val="0"/>
          <w:numId w:val="26"/>
        </w:numPr>
        <w:rPr>
          <w:shd w:val="clear" w:color="auto" w:fill="FFFFFF"/>
        </w:rPr>
      </w:pPr>
      <w:r w:rsidRPr="00F153A3">
        <w:rPr>
          <w:shd w:val="clear" w:color="auto" w:fill="FFFFFF"/>
        </w:rPr>
        <w:t xml:space="preserve">A </w:t>
      </w:r>
      <w:r w:rsidRPr="00F153A3">
        <w:rPr>
          <w:b/>
          <w:i/>
          <w:shd w:val="clear" w:color="auto" w:fill="FFFFFF"/>
        </w:rPr>
        <w:t>Representative of a Party</w:t>
      </w:r>
      <w:r w:rsidRPr="00F153A3">
        <w:rPr>
          <w:shd w:val="clear" w:color="auto" w:fill="FFFFFF"/>
        </w:rPr>
        <w:t xml:space="preserve"> is defined as a representative of a Party to the Convention attending Conferences or meetings convened by CCAMLR or its subsidiary bodies, including delegates, alternates, advisers, technical experts, and secretaries of delegations. </w:t>
      </w:r>
    </w:p>
    <w:p w14:paraId="133AC094" w14:textId="13F70A22" w:rsidR="00856257" w:rsidRPr="00F153A3" w:rsidRDefault="00856257" w:rsidP="00856257">
      <w:pPr>
        <w:pStyle w:val="ESPara"/>
        <w:numPr>
          <w:ilvl w:val="0"/>
          <w:numId w:val="26"/>
        </w:numPr>
        <w:rPr>
          <w:shd w:val="clear" w:color="auto" w:fill="FFFFFF"/>
        </w:rPr>
      </w:pPr>
      <w:r w:rsidRPr="00F153A3">
        <w:rPr>
          <w:shd w:val="clear" w:color="auto" w:fill="FFFFFF"/>
        </w:rPr>
        <w:t xml:space="preserve">The </w:t>
      </w:r>
      <w:r w:rsidRPr="00F153A3">
        <w:rPr>
          <w:b/>
          <w:i/>
          <w:shd w:val="clear" w:color="auto" w:fill="FFFFFF"/>
        </w:rPr>
        <w:t>Scientific Committee</w:t>
      </w:r>
      <w:r w:rsidRPr="00F153A3">
        <w:rPr>
          <w:shd w:val="clear" w:color="auto" w:fill="FFFFFF"/>
        </w:rPr>
        <w:t xml:space="preserve"> is defined as the Scientific Committee of CCAMLR and its subsidiary bodies. </w:t>
      </w:r>
    </w:p>
    <w:p w14:paraId="217D5E17" w14:textId="06A564C2" w:rsidR="00856257" w:rsidRDefault="00856257" w:rsidP="00856257">
      <w:pPr>
        <w:pStyle w:val="ESPara"/>
        <w:numPr>
          <w:ilvl w:val="0"/>
          <w:numId w:val="26"/>
        </w:numPr>
        <w:rPr>
          <w:shd w:val="clear" w:color="auto" w:fill="FFFFFF"/>
        </w:rPr>
      </w:pPr>
      <w:r w:rsidRPr="00F153A3">
        <w:rPr>
          <w:shd w:val="clear" w:color="auto" w:fill="FFFFFF"/>
        </w:rPr>
        <w:t xml:space="preserve">A </w:t>
      </w:r>
      <w:r w:rsidR="00595635">
        <w:rPr>
          <w:b/>
          <w:i/>
          <w:shd w:val="clear" w:color="auto" w:fill="FFFFFF"/>
        </w:rPr>
        <w:t>s</w:t>
      </w:r>
      <w:r w:rsidRPr="00F153A3">
        <w:rPr>
          <w:b/>
          <w:i/>
          <w:shd w:val="clear" w:color="auto" w:fill="FFFFFF"/>
        </w:rPr>
        <w:t>taff member</w:t>
      </w:r>
      <w:r w:rsidRPr="00F153A3">
        <w:rPr>
          <w:shd w:val="clear" w:color="auto" w:fill="FFFFFF"/>
        </w:rPr>
        <w:t xml:space="preserve"> </w:t>
      </w:r>
      <w:r w:rsidR="006301B6" w:rsidRPr="00F153A3">
        <w:rPr>
          <w:shd w:val="clear" w:color="auto" w:fill="FFFFFF"/>
        </w:rPr>
        <w:t>is defined as</w:t>
      </w:r>
      <w:r w:rsidRPr="00F153A3">
        <w:rPr>
          <w:shd w:val="clear" w:color="auto" w:fill="FFFFFF"/>
        </w:rPr>
        <w:t xml:space="preserve"> the Executive Secretary and all persons appointed or recruited for full-time employment with CCAMLR and subject to its staff regulations, excluding experts and persons recruited locally and assigned to hourly rates of pay.</w:t>
      </w:r>
    </w:p>
    <w:p w14:paraId="2006DB9B" w14:textId="21389848" w:rsidR="00BF47CF" w:rsidRPr="00E62542" w:rsidRDefault="00BF47CF" w:rsidP="00856257">
      <w:pPr>
        <w:pStyle w:val="ESPara"/>
        <w:numPr>
          <w:ilvl w:val="0"/>
          <w:numId w:val="26"/>
        </w:numPr>
        <w:rPr>
          <w:shd w:val="clear" w:color="auto" w:fill="FFFFFF"/>
        </w:rPr>
      </w:pPr>
      <w:r>
        <w:rPr>
          <w:b/>
          <w:bCs/>
          <w:i/>
          <w:iCs/>
          <w:shd w:val="clear" w:color="auto" w:fill="FFFFFF"/>
        </w:rPr>
        <w:t xml:space="preserve">VAC </w:t>
      </w:r>
      <w:r w:rsidR="00E62542" w:rsidRPr="00E62542">
        <w:rPr>
          <w:shd w:val="clear" w:color="auto" w:fill="FFFFFF"/>
        </w:rPr>
        <w:t>means</w:t>
      </w:r>
      <w:r w:rsidRPr="00E62542">
        <w:rPr>
          <w:shd w:val="clear" w:color="auto" w:fill="FFFFFF"/>
        </w:rPr>
        <w:t xml:space="preserve"> visa application charge</w:t>
      </w:r>
      <w:r w:rsidR="00A87FFC" w:rsidRPr="00E62542">
        <w:rPr>
          <w:shd w:val="clear" w:color="auto" w:fill="FFFFFF"/>
        </w:rPr>
        <w:t>.</w:t>
      </w:r>
    </w:p>
    <w:p w14:paraId="27803C64" w14:textId="3C982C11" w:rsidR="00856257" w:rsidRPr="00F153A3" w:rsidRDefault="00856257" w:rsidP="00BD076C">
      <w:pPr>
        <w:pStyle w:val="ESPara"/>
        <w:keepNext/>
        <w:ind w:left="0" w:firstLine="0"/>
        <w:rPr>
          <w:i/>
          <w:shd w:val="clear" w:color="auto" w:fill="FFFFFF"/>
        </w:rPr>
      </w:pPr>
      <w:r w:rsidRPr="00F153A3">
        <w:rPr>
          <w:i/>
          <w:shd w:val="clear" w:color="auto" w:fill="FFFFFF"/>
        </w:rPr>
        <w:t>S</w:t>
      </w:r>
      <w:r w:rsidR="00813B56" w:rsidRPr="00F153A3">
        <w:rPr>
          <w:i/>
          <w:shd w:val="clear" w:color="auto" w:fill="FFFFFF"/>
        </w:rPr>
        <w:t xml:space="preserve">ection </w:t>
      </w:r>
      <w:r w:rsidR="000E7F19" w:rsidRPr="00F153A3">
        <w:rPr>
          <w:i/>
          <w:shd w:val="clear" w:color="auto" w:fill="FFFFFF"/>
        </w:rPr>
        <w:t xml:space="preserve">5 – </w:t>
      </w:r>
      <w:r w:rsidR="00B74FBC" w:rsidRPr="00F153A3">
        <w:rPr>
          <w:i/>
          <w:shd w:val="clear" w:color="auto" w:fill="FFFFFF"/>
        </w:rPr>
        <w:t>Subclass 400 –</w:t>
      </w:r>
      <w:r w:rsidR="000E7F19" w:rsidRPr="00F153A3">
        <w:rPr>
          <w:i/>
          <w:shd w:val="clear" w:color="auto" w:fill="FFFFFF"/>
        </w:rPr>
        <w:t xml:space="preserve"> Temporary Work (Short Stay </w:t>
      </w:r>
      <w:r w:rsidR="0065366B">
        <w:rPr>
          <w:i/>
          <w:shd w:val="clear" w:color="auto" w:fill="FFFFFF"/>
        </w:rPr>
        <w:t>Specialist</w:t>
      </w:r>
      <w:r w:rsidR="000E7F19" w:rsidRPr="00F153A3">
        <w:rPr>
          <w:i/>
          <w:shd w:val="clear" w:color="auto" w:fill="FFFFFF"/>
        </w:rPr>
        <w:t>) visa</w:t>
      </w:r>
    </w:p>
    <w:p w14:paraId="29875ADB" w14:textId="2147E754" w:rsidR="00493B75" w:rsidRPr="00F153A3" w:rsidRDefault="00813B56" w:rsidP="000E7F19">
      <w:pPr>
        <w:pStyle w:val="ESPara"/>
        <w:numPr>
          <w:ilvl w:val="0"/>
          <w:numId w:val="26"/>
        </w:numPr>
        <w:rPr>
          <w:shd w:val="clear" w:color="auto" w:fill="FFFFFF"/>
        </w:rPr>
      </w:pPr>
      <w:r w:rsidRPr="00F153A3">
        <w:rPr>
          <w:shd w:val="clear" w:color="auto" w:fill="FFFFFF"/>
        </w:rPr>
        <w:t>The</w:t>
      </w:r>
      <w:r w:rsidR="000E7F19" w:rsidRPr="00F153A3">
        <w:rPr>
          <w:shd w:val="clear" w:color="auto" w:fill="FFFFFF"/>
        </w:rPr>
        <w:t xml:space="preserve"> </w:t>
      </w:r>
      <w:r w:rsidR="006301B6" w:rsidRPr="00F153A3">
        <w:rPr>
          <w:shd w:val="clear" w:color="auto" w:fill="FFFFFF"/>
        </w:rPr>
        <w:t>Subclass 400 –</w:t>
      </w:r>
      <w:r w:rsidR="000E7F19" w:rsidRPr="00F153A3">
        <w:rPr>
          <w:shd w:val="clear" w:color="auto" w:fill="FFFFFF"/>
        </w:rPr>
        <w:t xml:space="preserve"> Temporary Work (Short Stay </w:t>
      </w:r>
      <w:r w:rsidR="0065366B">
        <w:rPr>
          <w:shd w:val="clear" w:color="auto" w:fill="FFFFFF"/>
        </w:rPr>
        <w:t>Specialist</w:t>
      </w:r>
      <w:r w:rsidR="000E7F19" w:rsidRPr="00F153A3">
        <w:rPr>
          <w:shd w:val="clear" w:color="auto" w:fill="FFFFFF"/>
        </w:rPr>
        <w:t>) visa</w:t>
      </w:r>
      <w:r w:rsidRPr="00F153A3">
        <w:rPr>
          <w:shd w:val="clear" w:color="auto" w:fill="FFFFFF"/>
        </w:rPr>
        <w:t xml:space="preserve"> </w:t>
      </w:r>
      <w:r w:rsidR="000E7F19" w:rsidRPr="00F153A3">
        <w:rPr>
          <w:shd w:val="clear" w:color="auto" w:fill="FFFFFF"/>
        </w:rPr>
        <w:t>(</w:t>
      </w:r>
      <w:r w:rsidRPr="00F153A3">
        <w:rPr>
          <w:shd w:val="clear" w:color="auto" w:fill="FFFFFF"/>
        </w:rPr>
        <w:t>subclass 400 visa</w:t>
      </w:r>
      <w:r w:rsidR="000E7F19" w:rsidRPr="00F153A3">
        <w:rPr>
          <w:shd w:val="clear" w:color="auto" w:fill="FFFFFF"/>
        </w:rPr>
        <w:t>)</w:t>
      </w:r>
      <w:r w:rsidRPr="00F153A3">
        <w:rPr>
          <w:shd w:val="clear" w:color="auto" w:fill="FFFFFF"/>
        </w:rPr>
        <w:t xml:space="preserve"> is a subclass of the Temporary Work (Short Stay Specialist) (Class GA) visa</w:t>
      </w:r>
      <w:r w:rsidR="00493B75" w:rsidRPr="00F153A3">
        <w:rPr>
          <w:shd w:val="clear" w:color="auto" w:fill="FFFFFF"/>
        </w:rPr>
        <w:t xml:space="preserve"> class</w:t>
      </w:r>
      <w:r w:rsidRPr="00F153A3">
        <w:rPr>
          <w:shd w:val="clear" w:color="auto" w:fill="FFFFFF"/>
        </w:rPr>
        <w:t xml:space="preserve">. </w:t>
      </w:r>
    </w:p>
    <w:p w14:paraId="286745A0" w14:textId="529FE907" w:rsidR="00856257" w:rsidRPr="00F153A3" w:rsidRDefault="00813B56" w:rsidP="000E7F19">
      <w:pPr>
        <w:pStyle w:val="ESPara"/>
        <w:numPr>
          <w:ilvl w:val="0"/>
          <w:numId w:val="26"/>
        </w:numPr>
        <w:rPr>
          <w:shd w:val="clear" w:color="auto" w:fill="FFFFFF"/>
        </w:rPr>
      </w:pPr>
      <w:r w:rsidRPr="00F153A3">
        <w:rPr>
          <w:shd w:val="clear" w:color="auto" w:fill="FFFFFF"/>
        </w:rPr>
        <w:t xml:space="preserve">Subitem 2 of item 1231 of Schedule 1 of the Migration Regulations sets out the </w:t>
      </w:r>
      <w:r w:rsidR="00D4071B">
        <w:rPr>
          <w:shd w:val="clear" w:color="auto" w:fill="FFFFFF"/>
        </w:rPr>
        <w:t xml:space="preserve">VAC </w:t>
      </w:r>
      <w:r w:rsidRPr="00F153A3">
        <w:rPr>
          <w:shd w:val="clear" w:color="auto" w:fill="FFFFFF"/>
        </w:rPr>
        <w:t>for this visa class.</w:t>
      </w:r>
    </w:p>
    <w:p w14:paraId="4CB836A5" w14:textId="5BBB8503" w:rsidR="00813B56" w:rsidRPr="00F153A3" w:rsidRDefault="00813B56" w:rsidP="00813B56">
      <w:pPr>
        <w:pStyle w:val="ESPara"/>
        <w:numPr>
          <w:ilvl w:val="0"/>
          <w:numId w:val="26"/>
        </w:numPr>
        <w:rPr>
          <w:shd w:val="clear" w:color="auto" w:fill="FFFFFF"/>
        </w:rPr>
      </w:pPr>
      <w:r w:rsidRPr="00F153A3">
        <w:rPr>
          <w:shd w:val="clear" w:color="auto" w:fill="FFFFFF"/>
        </w:rPr>
        <w:lastRenderedPageBreak/>
        <w:t>Sub</w:t>
      </w:r>
      <w:r w:rsidR="00143553" w:rsidRPr="00F153A3">
        <w:rPr>
          <w:shd w:val="clear" w:color="auto" w:fill="FFFFFF"/>
        </w:rPr>
        <w:t>-</w:t>
      </w:r>
      <w:r w:rsidRPr="00F153A3">
        <w:rPr>
          <w:shd w:val="clear" w:color="auto" w:fill="FFFFFF"/>
        </w:rPr>
        <w:t xml:space="preserve">subparagraph 1231(2)(a)(iv)(A) of Schedule 1 of the Migration Regulations provides that, for a person who is in a class of persons specified by the Minister in an instrument in writing for this subparagraph, the </w:t>
      </w:r>
      <w:r w:rsidR="00D4071B">
        <w:rPr>
          <w:shd w:val="clear" w:color="auto" w:fill="FFFFFF"/>
        </w:rPr>
        <w:t>VAC</w:t>
      </w:r>
      <w:r w:rsidR="005232A8" w:rsidRPr="00F153A3">
        <w:rPr>
          <w:shd w:val="clear" w:color="auto" w:fill="FFFFFF"/>
        </w:rPr>
        <w:t xml:space="preserve"> </w:t>
      </w:r>
      <w:r w:rsidRPr="00F153A3">
        <w:rPr>
          <w:shd w:val="clear" w:color="auto" w:fill="FFFFFF"/>
        </w:rPr>
        <w:t>is nil.</w:t>
      </w:r>
    </w:p>
    <w:p w14:paraId="579E2862" w14:textId="1A045309" w:rsidR="00813B56" w:rsidRPr="00F153A3" w:rsidRDefault="00813B56" w:rsidP="00813B56">
      <w:pPr>
        <w:pStyle w:val="ESPara"/>
        <w:numPr>
          <w:ilvl w:val="0"/>
          <w:numId w:val="26"/>
        </w:numPr>
        <w:rPr>
          <w:shd w:val="clear" w:color="auto" w:fill="FFFFFF"/>
        </w:rPr>
      </w:pPr>
      <w:r w:rsidRPr="00F153A3">
        <w:rPr>
          <w:shd w:val="clear" w:color="auto" w:fill="FFFFFF"/>
        </w:rPr>
        <w:t>Section 5 of the instrument specifies that, for sub</w:t>
      </w:r>
      <w:r w:rsidR="00143553" w:rsidRPr="00F153A3">
        <w:rPr>
          <w:shd w:val="clear" w:color="auto" w:fill="FFFFFF"/>
        </w:rPr>
        <w:t>-</w:t>
      </w:r>
      <w:r w:rsidRPr="00F153A3">
        <w:rPr>
          <w:shd w:val="clear" w:color="auto" w:fill="FFFFFF"/>
        </w:rPr>
        <w:t xml:space="preserve">subparagraph 1231(2)(a)(iv)(A) of Schedule 1 of the Migration Regulations, the </w:t>
      </w:r>
      <w:r w:rsidR="00D4071B">
        <w:rPr>
          <w:shd w:val="clear" w:color="auto" w:fill="FFFFFF"/>
        </w:rPr>
        <w:t>VAC</w:t>
      </w:r>
      <w:r w:rsidR="005232A8" w:rsidRPr="00F153A3">
        <w:rPr>
          <w:shd w:val="clear" w:color="auto" w:fill="FFFFFF"/>
        </w:rPr>
        <w:t xml:space="preserve"> </w:t>
      </w:r>
      <w:r w:rsidRPr="00F153A3">
        <w:rPr>
          <w:shd w:val="clear" w:color="auto" w:fill="FFFFFF"/>
        </w:rPr>
        <w:t xml:space="preserve">is nil for a CCAMLR applicant </w:t>
      </w:r>
      <w:r w:rsidR="00D06908" w:rsidRPr="007C6A89">
        <w:rPr>
          <w:shd w:val="clear" w:color="auto" w:fill="FFFFFF"/>
        </w:rPr>
        <w:t>or their family members</w:t>
      </w:r>
      <w:r w:rsidR="00D06908">
        <w:rPr>
          <w:shd w:val="clear" w:color="auto" w:fill="FFFFFF"/>
        </w:rPr>
        <w:t xml:space="preserve"> </w:t>
      </w:r>
      <w:r w:rsidRPr="00F153A3">
        <w:rPr>
          <w:shd w:val="clear" w:color="auto" w:fill="FFFFFF"/>
        </w:rPr>
        <w:t xml:space="preserve">where </w:t>
      </w:r>
      <w:r w:rsidR="000E7F19" w:rsidRPr="00F153A3">
        <w:rPr>
          <w:shd w:val="clear" w:color="auto" w:fill="FFFFFF"/>
        </w:rPr>
        <w:t>a</w:t>
      </w:r>
      <w:r w:rsidRPr="00F153A3">
        <w:rPr>
          <w:shd w:val="clear" w:color="auto" w:fill="FFFFFF"/>
        </w:rPr>
        <w:t xml:space="preserve"> person is applying for </w:t>
      </w:r>
      <w:r w:rsidR="000E7F19" w:rsidRPr="00F153A3">
        <w:rPr>
          <w:shd w:val="clear" w:color="auto" w:fill="FFFFFF"/>
        </w:rPr>
        <w:t>any stream of the</w:t>
      </w:r>
      <w:r w:rsidRPr="00F153A3">
        <w:rPr>
          <w:shd w:val="clear" w:color="auto" w:fill="FFFFFF"/>
        </w:rPr>
        <w:t xml:space="preserve"> </w:t>
      </w:r>
      <w:r w:rsidR="000E7F19" w:rsidRPr="00F153A3">
        <w:rPr>
          <w:shd w:val="clear" w:color="auto" w:fill="FFFFFF"/>
        </w:rPr>
        <w:t xml:space="preserve">subclass 400 </w:t>
      </w:r>
      <w:r w:rsidRPr="00F153A3">
        <w:rPr>
          <w:shd w:val="clear" w:color="auto" w:fill="FFFFFF"/>
        </w:rPr>
        <w:t>visa.</w:t>
      </w:r>
    </w:p>
    <w:p w14:paraId="75881A2E" w14:textId="1CAD59E9" w:rsidR="000E7F19" w:rsidRPr="00F153A3" w:rsidRDefault="000E7F19" w:rsidP="000E7F19">
      <w:pPr>
        <w:pStyle w:val="ESPara"/>
        <w:ind w:left="0" w:firstLine="0"/>
        <w:rPr>
          <w:i/>
          <w:shd w:val="clear" w:color="auto" w:fill="FFFFFF"/>
        </w:rPr>
      </w:pPr>
      <w:r w:rsidRPr="00F153A3">
        <w:rPr>
          <w:i/>
          <w:shd w:val="clear" w:color="auto" w:fill="FFFFFF"/>
        </w:rPr>
        <w:t>Section 6 – Subclass 600 – Visitor visa</w:t>
      </w:r>
    </w:p>
    <w:p w14:paraId="10E6EBDD" w14:textId="245DAF39" w:rsidR="000E7F19" w:rsidRPr="00F153A3" w:rsidRDefault="000E7F19" w:rsidP="000E7F19">
      <w:pPr>
        <w:pStyle w:val="ESPara"/>
        <w:numPr>
          <w:ilvl w:val="0"/>
          <w:numId w:val="26"/>
        </w:numPr>
        <w:rPr>
          <w:shd w:val="clear" w:color="auto" w:fill="FFFFFF"/>
        </w:rPr>
      </w:pPr>
      <w:r w:rsidRPr="00F153A3">
        <w:rPr>
          <w:shd w:val="clear" w:color="auto" w:fill="FFFFFF"/>
        </w:rPr>
        <w:t>The Subclass 600 – Visitor visa (subclass 600 visa) is a subclass of the Visitor (Class FA) visa</w:t>
      </w:r>
      <w:r w:rsidR="00493B75" w:rsidRPr="00F153A3">
        <w:rPr>
          <w:shd w:val="clear" w:color="auto" w:fill="FFFFFF"/>
        </w:rPr>
        <w:t xml:space="preserve"> class</w:t>
      </w:r>
      <w:r w:rsidRPr="00F153A3">
        <w:rPr>
          <w:shd w:val="clear" w:color="auto" w:fill="FFFFFF"/>
        </w:rPr>
        <w:t>.</w:t>
      </w:r>
    </w:p>
    <w:p w14:paraId="71300819" w14:textId="1CB92E1E" w:rsidR="000E7F19" w:rsidRPr="00F153A3" w:rsidRDefault="000E7F19" w:rsidP="00813B56">
      <w:pPr>
        <w:pStyle w:val="ESPara"/>
        <w:numPr>
          <w:ilvl w:val="0"/>
          <w:numId w:val="26"/>
        </w:numPr>
        <w:rPr>
          <w:shd w:val="clear" w:color="auto" w:fill="FFFFFF"/>
        </w:rPr>
      </w:pPr>
      <w:r w:rsidRPr="00F153A3">
        <w:rPr>
          <w:shd w:val="clear" w:color="auto" w:fill="FFFFFF"/>
        </w:rPr>
        <w:t xml:space="preserve">Subitem 2 of item 1236 of Schedule 1 of the Migration Regulations sets out the </w:t>
      </w:r>
      <w:r w:rsidR="00BB4ECA">
        <w:rPr>
          <w:shd w:val="clear" w:color="auto" w:fill="FFFFFF"/>
        </w:rPr>
        <w:t>VAC</w:t>
      </w:r>
      <w:r w:rsidRPr="00F153A3">
        <w:rPr>
          <w:shd w:val="clear" w:color="auto" w:fill="FFFFFF"/>
        </w:rPr>
        <w:t xml:space="preserve"> for this visa class.</w:t>
      </w:r>
    </w:p>
    <w:p w14:paraId="3245D926" w14:textId="072AE348" w:rsidR="000E7F19" w:rsidRPr="00F153A3" w:rsidRDefault="000E7F19" w:rsidP="00813B56">
      <w:pPr>
        <w:pStyle w:val="ESPara"/>
        <w:numPr>
          <w:ilvl w:val="0"/>
          <w:numId w:val="26"/>
        </w:numPr>
        <w:rPr>
          <w:shd w:val="clear" w:color="auto" w:fill="FFFFFF"/>
        </w:rPr>
      </w:pPr>
      <w:r w:rsidRPr="00F153A3">
        <w:rPr>
          <w:shd w:val="clear" w:color="auto" w:fill="FFFFFF"/>
          <w:lang w:val="en-US"/>
        </w:rPr>
        <w:t xml:space="preserve">Subparagraph 1236(2)(a)(iv) of Schedule 1 of the Migration Regulations </w:t>
      </w:r>
      <w:r w:rsidRPr="00F153A3">
        <w:rPr>
          <w:shd w:val="clear" w:color="auto" w:fill="FFFFFF"/>
        </w:rPr>
        <w:t xml:space="preserve">provides that, for a person who is in a class of persons specified by the Minister in an instrument in writing for this subparagraph, the </w:t>
      </w:r>
      <w:r w:rsidR="00BB4ECA">
        <w:rPr>
          <w:shd w:val="clear" w:color="auto" w:fill="FFFFFF"/>
        </w:rPr>
        <w:t>VAC</w:t>
      </w:r>
      <w:r w:rsidR="005232A8" w:rsidRPr="00F153A3">
        <w:rPr>
          <w:shd w:val="clear" w:color="auto" w:fill="FFFFFF"/>
        </w:rPr>
        <w:t xml:space="preserve"> </w:t>
      </w:r>
      <w:r w:rsidRPr="00F153A3">
        <w:rPr>
          <w:shd w:val="clear" w:color="auto" w:fill="FFFFFF"/>
        </w:rPr>
        <w:t>is nil.</w:t>
      </w:r>
    </w:p>
    <w:p w14:paraId="4A9EC1EF" w14:textId="565D5243" w:rsidR="000E7F19" w:rsidRPr="00F153A3" w:rsidRDefault="000E7F19" w:rsidP="000E7F19">
      <w:pPr>
        <w:pStyle w:val="ESPara"/>
        <w:numPr>
          <w:ilvl w:val="0"/>
          <w:numId w:val="26"/>
        </w:numPr>
        <w:rPr>
          <w:shd w:val="clear" w:color="auto" w:fill="FFFFFF"/>
        </w:rPr>
      </w:pPr>
      <w:r w:rsidRPr="00F153A3">
        <w:rPr>
          <w:shd w:val="clear" w:color="auto" w:fill="FFFFFF"/>
        </w:rPr>
        <w:t xml:space="preserve">Section 6 of the instrument specifies that, for </w:t>
      </w:r>
      <w:r w:rsidR="00714DB7" w:rsidRPr="00F153A3">
        <w:rPr>
          <w:shd w:val="clear" w:color="auto" w:fill="FFFFFF"/>
          <w:lang w:val="en-US"/>
        </w:rPr>
        <w:t>subparagraph</w:t>
      </w:r>
      <w:r w:rsidRPr="00F153A3">
        <w:rPr>
          <w:shd w:val="clear" w:color="auto" w:fill="FFFFFF"/>
          <w:lang w:val="en-US"/>
        </w:rPr>
        <w:t xml:space="preserve"> 1236(2)(a)(iv) of Schedule</w:t>
      </w:r>
      <w:r w:rsidR="00B905D1">
        <w:rPr>
          <w:shd w:val="clear" w:color="auto" w:fill="FFFFFF"/>
          <w:lang w:val="en-US"/>
        </w:rPr>
        <w:t> </w:t>
      </w:r>
      <w:r w:rsidRPr="00F153A3">
        <w:rPr>
          <w:shd w:val="clear" w:color="auto" w:fill="FFFFFF"/>
          <w:lang w:val="en-US"/>
        </w:rPr>
        <w:t xml:space="preserve">1 of the Migration Regulations, the </w:t>
      </w:r>
      <w:r w:rsidR="000814BE">
        <w:rPr>
          <w:shd w:val="clear" w:color="auto" w:fill="FFFFFF"/>
        </w:rPr>
        <w:t>VAC</w:t>
      </w:r>
      <w:r w:rsidR="005232A8" w:rsidRPr="00F153A3">
        <w:rPr>
          <w:shd w:val="clear" w:color="auto" w:fill="FFFFFF"/>
        </w:rPr>
        <w:t xml:space="preserve"> </w:t>
      </w:r>
      <w:r w:rsidRPr="00F153A3">
        <w:rPr>
          <w:shd w:val="clear" w:color="auto" w:fill="FFFFFF"/>
          <w:lang w:val="en-US"/>
        </w:rPr>
        <w:t xml:space="preserve">is nil for a CCAMLR applicant </w:t>
      </w:r>
      <w:r w:rsidR="00655AD3">
        <w:rPr>
          <w:shd w:val="clear" w:color="auto" w:fill="FFFFFF"/>
          <w:lang w:val="en-US"/>
        </w:rPr>
        <w:t>or their family member</w:t>
      </w:r>
      <w:r w:rsidR="00CB365F">
        <w:rPr>
          <w:shd w:val="clear" w:color="auto" w:fill="FFFFFF"/>
          <w:lang w:val="en-US"/>
        </w:rPr>
        <w:t>s</w:t>
      </w:r>
      <w:r w:rsidR="00655AD3">
        <w:rPr>
          <w:shd w:val="clear" w:color="auto" w:fill="FFFFFF"/>
          <w:lang w:val="en-US"/>
        </w:rPr>
        <w:t xml:space="preserve"> </w:t>
      </w:r>
      <w:r w:rsidRPr="00F153A3">
        <w:rPr>
          <w:shd w:val="clear" w:color="auto" w:fill="FFFFFF"/>
          <w:lang w:val="en-US"/>
        </w:rPr>
        <w:t>where a person is applying for either the Business Visitor stream or the Tourist stream of the subclass 600 visa.</w:t>
      </w:r>
    </w:p>
    <w:p w14:paraId="0392D16B" w14:textId="3EABB1AE" w:rsidR="004868AF" w:rsidRPr="00F153A3" w:rsidRDefault="004868AF" w:rsidP="004868AF">
      <w:pPr>
        <w:pStyle w:val="ESPara"/>
        <w:ind w:left="0" w:firstLine="0"/>
        <w:rPr>
          <w:i/>
          <w:shd w:val="clear" w:color="auto" w:fill="FFFFFF"/>
        </w:rPr>
      </w:pPr>
      <w:r w:rsidRPr="00F153A3">
        <w:rPr>
          <w:i/>
          <w:shd w:val="clear" w:color="auto" w:fill="FFFFFF"/>
        </w:rPr>
        <w:t>Section 7 – Subclass 408 – Temporary Activity visa</w:t>
      </w:r>
    </w:p>
    <w:p w14:paraId="27724DD4" w14:textId="1A936D94" w:rsidR="00B74FBC" w:rsidRPr="00F153A3" w:rsidRDefault="00B74FBC" w:rsidP="00B74FBC">
      <w:pPr>
        <w:pStyle w:val="ESPara"/>
        <w:numPr>
          <w:ilvl w:val="0"/>
          <w:numId w:val="26"/>
        </w:numPr>
        <w:rPr>
          <w:shd w:val="clear" w:color="auto" w:fill="FFFFFF"/>
        </w:rPr>
      </w:pPr>
      <w:r w:rsidRPr="00F153A3">
        <w:rPr>
          <w:shd w:val="clear" w:color="auto" w:fill="FFFFFF"/>
        </w:rPr>
        <w:t xml:space="preserve">The Subclass 408 </w:t>
      </w:r>
      <w:r w:rsidR="00B905D1">
        <w:rPr>
          <w:shd w:val="clear" w:color="auto" w:fill="FFFFFF"/>
        </w:rPr>
        <w:t>–</w:t>
      </w:r>
      <w:r w:rsidRPr="00F153A3">
        <w:rPr>
          <w:shd w:val="clear" w:color="auto" w:fill="FFFFFF"/>
        </w:rPr>
        <w:t xml:space="preserve"> Temporary Activity visa (subclass 408 visa) is a subclass of the Temporary Activity (Class GG)</w:t>
      </w:r>
      <w:r w:rsidR="00493B75" w:rsidRPr="00F153A3">
        <w:rPr>
          <w:shd w:val="clear" w:color="auto" w:fill="FFFFFF"/>
        </w:rPr>
        <w:t xml:space="preserve"> visa class</w:t>
      </w:r>
      <w:r w:rsidRPr="00F153A3">
        <w:rPr>
          <w:shd w:val="clear" w:color="auto" w:fill="FFFFFF"/>
        </w:rPr>
        <w:t>.</w:t>
      </w:r>
    </w:p>
    <w:p w14:paraId="4D8C748C" w14:textId="18FFBFB0" w:rsidR="00B74FBC" w:rsidRPr="00F153A3" w:rsidRDefault="00B74FBC" w:rsidP="00813B56">
      <w:pPr>
        <w:pStyle w:val="ESPara"/>
        <w:numPr>
          <w:ilvl w:val="0"/>
          <w:numId w:val="26"/>
        </w:numPr>
        <w:rPr>
          <w:shd w:val="clear" w:color="auto" w:fill="FFFFFF"/>
        </w:rPr>
      </w:pPr>
      <w:r w:rsidRPr="00F153A3">
        <w:rPr>
          <w:shd w:val="clear" w:color="auto" w:fill="FFFFFF"/>
        </w:rPr>
        <w:t xml:space="preserve">Subitem 2 of item 1237 of Schedule 1 of the Migration Regulations sets out the </w:t>
      </w:r>
      <w:r w:rsidR="000814BE">
        <w:rPr>
          <w:shd w:val="clear" w:color="auto" w:fill="FFFFFF"/>
        </w:rPr>
        <w:t>VAC</w:t>
      </w:r>
      <w:r w:rsidRPr="00F153A3">
        <w:rPr>
          <w:shd w:val="clear" w:color="auto" w:fill="FFFFFF"/>
        </w:rPr>
        <w:t xml:space="preserve"> for this visa class.</w:t>
      </w:r>
    </w:p>
    <w:p w14:paraId="6CE4F596" w14:textId="266977B0" w:rsidR="00B74FBC" w:rsidRPr="00F153A3" w:rsidRDefault="00B74FBC" w:rsidP="00B74FBC">
      <w:pPr>
        <w:pStyle w:val="ESPara"/>
        <w:numPr>
          <w:ilvl w:val="0"/>
          <w:numId w:val="26"/>
        </w:numPr>
        <w:rPr>
          <w:shd w:val="clear" w:color="auto" w:fill="FFFFFF"/>
        </w:rPr>
      </w:pPr>
      <w:r w:rsidRPr="00F153A3">
        <w:rPr>
          <w:shd w:val="clear" w:color="auto" w:fill="FFFFFF"/>
        </w:rPr>
        <w:t xml:space="preserve">Subparagraph 1237(2)(a)(i) of Schedule 1 of the Migration Regulations provides that the </w:t>
      </w:r>
      <w:r w:rsidR="000814BE">
        <w:rPr>
          <w:shd w:val="clear" w:color="auto" w:fill="FFFFFF"/>
        </w:rPr>
        <w:t>VAC</w:t>
      </w:r>
      <w:r w:rsidR="005232A8" w:rsidRPr="00F153A3">
        <w:rPr>
          <w:shd w:val="clear" w:color="auto" w:fill="FFFFFF"/>
        </w:rPr>
        <w:t xml:space="preserve"> </w:t>
      </w:r>
      <w:r w:rsidRPr="00F153A3">
        <w:rPr>
          <w:shd w:val="clear" w:color="auto" w:fill="FFFFFF"/>
        </w:rPr>
        <w:t xml:space="preserve">is nil for an applicant in a class of persons specified by the Minister in a legislative instrument made for the purposes of </w:t>
      </w:r>
      <w:r w:rsidR="002610C5" w:rsidRPr="00F153A3">
        <w:rPr>
          <w:shd w:val="clear" w:color="auto" w:fill="FFFFFF"/>
        </w:rPr>
        <w:t>the</w:t>
      </w:r>
      <w:r w:rsidRPr="00F153A3">
        <w:rPr>
          <w:shd w:val="clear" w:color="auto" w:fill="FFFFFF"/>
        </w:rPr>
        <w:t xml:space="preserve"> subparagraph under subregulation 2.07(5) of the Migration Regulations.</w:t>
      </w:r>
    </w:p>
    <w:p w14:paraId="3BF8B183" w14:textId="77777777" w:rsidR="007C6A89" w:rsidRPr="007C6A89" w:rsidRDefault="002610C5" w:rsidP="002610C5">
      <w:pPr>
        <w:pStyle w:val="ESPara"/>
        <w:numPr>
          <w:ilvl w:val="0"/>
          <w:numId w:val="26"/>
        </w:numPr>
        <w:rPr>
          <w:shd w:val="clear" w:color="auto" w:fill="FFFFFF"/>
        </w:rPr>
      </w:pPr>
      <w:r w:rsidRPr="00F153A3">
        <w:rPr>
          <w:shd w:val="clear" w:color="auto" w:fill="FFFFFF"/>
        </w:rPr>
        <w:t xml:space="preserve">Section </w:t>
      </w:r>
      <w:r w:rsidR="006E6EFD" w:rsidRPr="00F153A3">
        <w:rPr>
          <w:shd w:val="clear" w:color="auto" w:fill="FFFFFF"/>
        </w:rPr>
        <w:t xml:space="preserve">7 </w:t>
      </w:r>
      <w:r w:rsidRPr="00F153A3">
        <w:rPr>
          <w:shd w:val="clear" w:color="auto" w:fill="FFFFFF"/>
        </w:rPr>
        <w:t>of the instrument specifies that, for s</w:t>
      </w:r>
      <w:r w:rsidRPr="00F153A3">
        <w:rPr>
          <w:shd w:val="clear" w:color="auto" w:fill="FFFFFF"/>
          <w:lang w:val="en-US"/>
        </w:rPr>
        <w:t xml:space="preserve">ubparagraph </w:t>
      </w:r>
      <w:r w:rsidRPr="00F153A3">
        <w:rPr>
          <w:shd w:val="clear" w:color="auto" w:fill="FFFFFF"/>
        </w:rPr>
        <w:t xml:space="preserve">1237(2)(a)(i) of Schedule 1 of the Migration Regulations, the </w:t>
      </w:r>
      <w:r w:rsidR="000814BE">
        <w:rPr>
          <w:shd w:val="clear" w:color="auto" w:fill="FFFFFF"/>
        </w:rPr>
        <w:t>VAC</w:t>
      </w:r>
      <w:r w:rsidR="00A87FFC" w:rsidRPr="00F153A3">
        <w:rPr>
          <w:shd w:val="clear" w:color="auto" w:fill="FFFFFF"/>
        </w:rPr>
        <w:t xml:space="preserve"> </w:t>
      </w:r>
      <w:r w:rsidRPr="00F153A3">
        <w:rPr>
          <w:shd w:val="clear" w:color="auto" w:fill="FFFFFF"/>
        </w:rPr>
        <w:t xml:space="preserve">is nil </w:t>
      </w:r>
      <w:r w:rsidRPr="00F153A3">
        <w:rPr>
          <w:shd w:val="clear" w:color="auto" w:fill="FFFFFF"/>
          <w:lang w:val="en-US"/>
        </w:rPr>
        <w:t>for</w:t>
      </w:r>
      <w:r w:rsidR="007C6A89">
        <w:rPr>
          <w:shd w:val="clear" w:color="auto" w:fill="FFFFFF"/>
          <w:lang w:val="en-US"/>
        </w:rPr>
        <w:t>:</w:t>
      </w:r>
    </w:p>
    <w:p w14:paraId="7A2C2044" w14:textId="6C7EC38D" w:rsidR="007C6A89" w:rsidRDefault="002610C5" w:rsidP="001B25C8">
      <w:pPr>
        <w:pStyle w:val="ESPara"/>
        <w:numPr>
          <w:ilvl w:val="0"/>
          <w:numId w:val="32"/>
        </w:numPr>
        <w:rPr>
          <w:shd w:val="clear" w:color="auto" w:fill="FFFFFF"/>
          <w:lang w:val="en-US"/>
        </w:rPr>
      </w:pPr>
      <w:r w:rsidRPr="00F153A3">
        <w:rPr>
          <w:shd w:val="clear" w:color="auto" w:fill="FFFFFF"/>
          <w:lang w:val="en-US"/>
        </w:rPr>
        <w:t xml:space="preserve">a CCAMLR applicant </w:t>
      </w:r>
      <w:r w:rsidR="00D06908" w:rsidRPr="007C6A89">
        <w:rPr>
          <w:shd w:val="clear" w:color="auto" w:fill="FFFFFF"/>
          <w:lang w:val="en-US"/>
        </w:rPr>
        <w:t>or their family members</w:t>
      </w:r>
      <w:r w:rsidR="00D06908">
        <w:rPr>
          <w:shd w:val="clear" w:color="auto" w:fill="FFFFFF"/>
          <w:lang w:val="en-US"/>
        </w:rPr>
        <w:t xml:space="preserve"> </w:t>
      </w:r>
      <w:r w:rsidRPr="00F153A3">
        <w:rPr>
          <w:shd w:val="clear" w:color="auto" w:fill="FFFFFF"/>
          <w:lang w:val="en-US"/>
        </w:rPr>
        <w:t xml:space="preserve">where a person is applying for a subclass 408 visa under the </w:t>
      </w:r>
      <w:r w:rsidRPr="00F153A3">
        <w:rPr>
          <w:i/>
          <w:shd w:val="clear" w:color="auto" w:fill="FFFFFF"/>
          <w:lang w:val="en-US"/>
        </w:rPr>
        <w:t>Invited participant in an event</w:t>
      </w:r>
      <w:r w:rsidRPr="00F153A3">
        <w:rPr>
          <w:shd w:val="clear" w:color="auto" w:fill="FFFFFF"/>
          <w:lang w:val="en-US"/>
        </w:rPr>
        <w:t xml:space="preserve"> provision in clause 408.221 of Schedule 2 of the Migration Regulations</w:t>
      </w:r>
      <w:r w:rsidR="007C6A89">
        <w:rPr>
          <w:shd w:val="clear" w:color="auto" w:fill="FFFFFF"/>
          <w:lang w:val="en-US"/>
        </w:rPr>
        <w:t>; or</w:t>
      </w:r>
    </w:p>
    <w:p w14:paraId="14DAF1C3" w14:textId="428ABBFA" w:rsidR="00813B56" w:rsidRPr="00F153A3" w:rsidRDefault="007C6A89" w:rsidP="00B752F8">
      <w:pPr>
        <w:pStyle w:val="ESPara"/>
        <w:numPr>
          <w:ilvl w:val="0"/>
          <w:numId w:val="32"/>
        </w:numPr>
        <w:rPr>
          <w:shd w:val="clear" w:color="auto" w:fill="FFFFFF"/>
        </w:rPr>
      </w:pPr>
      <w:r>
        <w:rPr>
          <w:color w:val="000000"/>
          <w:szCs w:val="22"/>
          <w:lang w:val="en-US"/>
        </w:rPr>
        <w:lastRenderedPageBreak/>
        <w:t xml:space="preserve">an applicant who is seeking to satisfy secondary criteria only for the grant of a subclass 408 visa on the basis that they are a family member of a </w:t>
      </w:r>
      <w:r w:rsidR="00B752F8">
        <w:rPr>
          <w:color w:val="000000"/>
          <w:szCs w:val="22"/>
          <w:lang w:val="en-US"/>
        </w:rPr>
        <w:t xml:space="preserve">person </w:t>
      </w:r>
      <w:r>
        <w:rPr>
          <w:color w:val="000000"/>
          <w:szCs w:val="22"/>
          <w:lang w:val="en-US"/>
        </w:rPr>
        <w:t xml:space="preserve">who already holds a </w:t>
      </w:r>
      <w:r w:rsidR="00EE0F04">
        <w:rPr>
          <w:lang w:val="en-US"/>
        </w:rPr>
        <w:t>subclass 408 visa</w:t>
      </w:r>
      <w:r w:rsidR="00B752F8">
        <w:rPr>
          <w:lang w:val="en-US"/>
        </w:rPr>
        <w:t xml:space="preserve"> that was granted to them as </w:t>
      </w:r>
      <w:r w:rsidR="00B752F8" w:rsidRPr="00B752F8">
        <w:rPr>
          <w:lang w:val="en-US"/>
        </w:rPr>
        <w:t>CCAMLR applicant</w:t>
      </w:r>
      <w:r>
        <w:rPr>
          <w:lang w:val="en-US"/>
        </w:rPr>
        <w:t>.</w:t>
      </w:r>
    </w:p>
    <w:p w14:paraId="42E7A44B" w14:textId="77777777" w:rsidR="001A579D" w:rsidRPr="00F153A3" w:rsidRDefault="001A579D" w:rsidP="00A971C0">
      <w:pPr>
        <w:pStyle w:val="ESHeading"/>
      </w:pPr>
      <w:r w:rsidRPr="00F153A3">
        <w:t xml:space="preserve">Parliamentary scrutiny etc.  </w:t>
      </w:r>
    </w:p>
    <w:p w14:paraId="4B96ACE2" w14:textId="222637C3" w:rsidR="0027072A" w:rsidRPr="00F153A3" w:rsidRDefault="00B415DD" w:rsidP="00B415DD">
      <w:pPr>
        <w:pStyle w:val="ESPara"/>
        <w:numPr>
          <w:ilvl w:val="0"/>
          <w:numId w:val="26"/>
        </w:numPr>
      </w:pPr>
      <w:r w:rsidRPr="00F153A3">
        <w:t xml:space="preserve">The instrument is exempt from disallowance under section 42 of the Legislation Act. This is because </w:t>
      </w:r>
      <w:r w:rsidR="005229DA" w:rsidRPr="00F153A3">
        <w:t xml:space="preserve">it is </w:t>
      </w:r>
      <w:r w:rsidRPr="00F153A3">
        <w:t>a legislative instrument made under</w:t>
      </w:r>
      <w:r w:rsidR="00C16026">
        <w:t xml:space="preserve"> Part 2 and</w:t>
      </w:r>
      <w:r w:rsidRPr="00F153A3">
        <w:t xml:space="preserve"> Schedule 1 to the Migration Regulations</w:t>
      </w:r>
      <w:r w:rsidR="005229DA" w:rsidRPr="00F153A3">
        <w:t>, which</w:t>
      </w:r>
      <w:r w:rsidRPr="00F153A3">
        <w:t xml:space="preserve"> is prescribed under paragraph (b) of item 2</w:t>
      </w:r>
      <w:r w:rsidR="005229DA" w:rsidRPr="00F153A3">
        <w:t>0 of the table in</w:t>
      </w:r>
      <w:r w:rsidRPr="00F153A3">
        <w:t xml:space="preserve"> section 10 of </w:t>
      </w:r>
      <w:r w:rsidRPr="00F153A3">
        <w:rPr>
          <w:i/>
        </w:rPr>
        <w:t xml:space="preserve">the Legislation (Exemptions and Other Matters) Regulation 2015 </w:t>
      </w:r>
      <w:r w:rsidRPr="00F153A3">
        <w:t>as an instrument not subject to disallowance.</w:t>
      </w:r>
    </w:p>
    <w:p w14:paraId="4E2C727B" w14:textId="04E9F039" w:rsidR="005229DA" w:rsidRPr="00F153A3" w:rsidRDefault="005229DA" w:rsidP="00B415DD">
      <w:pPr>
        <w:pStyle w:val="ESPara"/>
        <w:numPr>
          <w:ilvl w:val="0"/>
          <w:numId w:val="26"/>
        </w:numPr>
      </w:pPr>
      <w:r w:rsidRPr="00F153A3">
        <w:t>As the instrument is exempt from disallowance, a Statement of Compatibility with Human Rights is not required.</w:t>
      </w:r>
    </w:p>
    <w:p w14:paraId="1DB1760D" w14:textId="4573878D" w:rsidR="005229DA" w:rsidRPr="00F153A3" w:rsidRDefault="005229DA" w:rsidP="00B415DD">
      <w:pPr>
        <w:pStyle w:val="ESPara"/>
        <w:numPr>
          <w:ilvl w:val="0"/>
          <w:numId w:val="26"/>
        </w:numPr>
      </w:pPr>
      <w:r w:rsidRPr="00F153A3">
        <w:t>The instrument is made by a delegate of the Minister for Immigration, Citizenship and Multicultural Affairs in accordance with sub-subparagraph 1231(2)(a)(iv)(A), subparagraph 1236(2)(a)(iv) of Schedule 1 and subregulation 2.07(5) for the purposes of subparagraph 1237(2)(a)(i) of Schedule 1 to the Migration Regulations.</w:t>
      </w:r>
    </w:p>
    <w:sectPr w:rsidR="005229DA" w:rsidRPr="00F153A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1D710" w14:textId="77777777" w:rsidR="00B82438" w:rsidRDefault="00B82438" w:rsidP="00DB4526">
      <w:pPr>
        <w:spacing w:before="0"/>
      </w:pPr>
      <w:r>
        <w:separator/>
      </w:r>
    </w:p>
  </w:endnote>
  <w:endnote w:type="continuationSeparator" w:id="0">
    <w:p w14:paraId="3D8D0CED" w14:textId="77777777" w:rsidR="00B82438" w:rsidRDefault="00B82438" w:rsidP="00DB45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354A" w14:textId="6C65F712" w:rsidR="006146D1" w:rsidRDefault="006146D1">
    <w:pPr>
      <w:pStyle w:val="Footer"/>
    </w:pPr>
    <w:r>
      <w:rPr>
        <w:noProof/>
      </w:rPr>
      <mc:AlternateContent>
        <mc:Choice Requires="wps">
          <w:drawing>
            <wp:anchor distT="0" distB="0" distL="0" distR="0" simplePos="0" relativeHeight="251662336" behindDoc="0" locked="0" layoutInCell="1" allowOverlap="1" wp14:anchorId="1EC45B29" wp14:editId="3B391A74">
              <wp:simplePos x="635" y="635"/>
              <wp:positionH relativeFrom="page">
                <wp:align>center</wp:align>
              </wp:positionH>
              <wp:positionV relativeFrom="page">
                <wp:align>bottom</wp:align>
              </wp:positionV>
              <wp:extent cx="443865" cy="443865"/>
              <wp:effectExtent l="0" t="0" r="3175" b="0"/>
              <wp:wrapNone/>
              <wp:docPr id="2107901961" name="Text Box 5"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28810" w14:textId="451AC540"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45B29" id="_x0000_t202" coordsize="21600,21600" o:spt="202" path="m,l,21600r21600,l21600,xe">
              <v:stroke joinstyle="miter"/>
              <v:path gradientshapeok="t" o:connecttype="rect"/>
            </v:shapetype>
            <v:shape id="Text Box 5" o:spid="_x0000_s1027" type="#_x0000_t202" alt="OFFICIAL: 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" filled="f" stroked="f">
              <v:textbox style="mso-fit-shape-to-text:t" inset="0,0,0,15pt">
                <w:txbxContent>
                  <w:p w14:paraId="7DB28810" w14:textId="451AC540"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87AA" w14:textId="5A7EC4E8" w:rsidR="005415C1" w:rsidRPr="00B905D1" w:rsidRDefault="006146D1" w:rsidP="00B261F4">
    <w:pPr>
      <w:pStyle w:val="Footer"/>
      <w:pBdr>
        <w:top w:val="single" w:sz="4" w:space="1" w:color="auto"/>
      </w:pBdr>
      <w:tabs>
        <w:tab w:val="clear" w:pos="9026"/>
        <w:tab w:val="right" w:pos="9746"/>
      </w:tabs>
      <w:rPr>
        <w:sz w:val="16"/>
        <w:szCs w:val="16"/>
      </w:rPr>
    </w:pPr>
    <w:r>
      <w:rPr>
        <w:bCs/>
        <w:i/>
        <w:sz w:val="18"/>
        <w:szCs w:val="18"/>
        <w:lang w:val="en-US"/>
      </w:rPr>
      <w:t>Migration (Class of Persons for Nil VAC – CCAMLR) Instrument (LIN 24/036) 2024</w:t>
    </w:r>
    <w:r w:rsidR="0090659F" w:rsidRPr="00B905D1">
      <w:rPr>
        <w:sz w:val="16"/>
        <w:szCs w:val="16"/>
      </w:rPr>
      <w:tab/>
    </w:r>
    <w:r w:rsidR="0090659F" w:rsidRPr="00B905D1">
      <w:rPr>
        <w:rStyle w:val="PageNumber"/>
        <w:sz w:val="16"/>
        <w:szCs w:val="16"/>
      </w:rPr>
      <w:fldChar w:fldCharType="begin"/>
    </w:r>
    <w:r w:rsidR="0090659F" w:rsidRPr="00B905D1">
      <w:rPr>
        <w:rStyle w:val="PageNumber"/>
        <w:sz w:val="16"/>
        <w:szCs w:val="16"/>
      </w:rPr>
      <w:instrText xml:space="preserve"> PAGE </w:instrText>
    </w:r>
    <w:r w:rsidR="0090659F" w:rsidRPr="00B905D1">
      <w:rPr>
        <w:rStyle w:val="PageNumber"/>
        <w:sz w:val="16"/>
        <w:szCs w:val="16"/>
      </w:rPr>
      <w:fldChar w:fldCharType="separate"/>
    </w:r>
    <w:r w:rsidR="007B0A04">
      <w:rPr>
        <w:rStyle w:val="PageNumber"/>
        <w:noProof/>
        <w:sz w:val="16"/>
        <w:szCs w:val="16"/>
      </w:rPr>
      <w:t>1</w:t>
    </w:r>
    <w:r w:rsidR="0090659F" w:rsidRPr="00B905D1">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9D60" w14:textId="6F844FBA" w:rsidR="006146D1" w:rsidRDefault="006146D1">
    <w:pPr>
      <w:pStyle w:val="Footer"/>
    </w:pPr>
    <w:r>
      <w:rPr>
        <w:noProof/>
      </w:rPr>
      <mc:AlternateContent>
        <mc:Choice Requires="wps">
          <w:drawing>
            <wp:anchor distT="0" distB="0" distL="0" distR="0" simplePos="0" relativeHeight="251661312" behindDoc="0" locked="0" layoutInCell="1" allowOverlap="1" wp14:anchorId="41F39432" wp14:editId="4AA5D227">
              <wp:simplePos x="635" y="635"/>
              <wp:positionH relativeFrom="page">
                <wp:align>center</wp:align>
              </wp:positionH>
              <wp:positionV relativeFrom="page">
                <wp:align>bottom</wp:align>
              </wp:positionV>
              <wp:extent cx="443865" cy="443865"/>
              <wp:effectExtent l="0" t="0" r="3175" b="0"/>
              <wp:wrapNone/>
              <wp:docPr id="1404005602" name="Text Box 4"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2911A" w14:textId="488568C4"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39432" id="_x0000_t202" coordsize="21600,21600" o:spt="202" path="m,l,21600r21600,l21600,xe">
              <v:stroke joinstyle="miter"/>
              <v:path gradientshapeok="t" o:connecttype="rect"/>
            </v:shapetype>
            <v:shape id="Text Box 4" o:spid="_x0000_s1029" type="#_x0000_t202" alt="OFFICIAL: 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" filled="f" stroked="f">
              <v:textbox style="mso-fit-shape-to-text:t" inset="0,0,0,15pt">
                <w:txbxContent>
                  <w:p w14:paraId="4702911A" w14:textId="488568C4"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8B01" w14:textId="77777777" w:rsidR="00B82438" w:rsidRDefault="00B82438" w:rsidP="00DB4526">
      <w:pPr>
        <w:spacing w:before="0"/>
      </w:pPr>
      <w:r>
        <w:separator/>
      </w:r>
    </w:p>
  </w:footnote>
  <w:footnote w:type="continuationSeparator" w:id="0">
    <w:p w14:paraId="14BBEA0A" w14:textId="77777777" w:rsidR="00B82438" w:rsidRDefault="00B82438" w:rsidP="00DB45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4B6" w14:textId="00977115" w:rsidR="006146D1" w:rsidRDefault="006146D1">
    <w:pPr>
      <w:pStyle w:val="Header"/>
    </w:pPr>
    <w:r>
      <w:rPr>
        <w:noProof/>
      </w:rPr>
      <mc:AlternateContent>
        <mc:Choice Requires="wps">
          <w:drawing>
            <wp:anchor distT="0" distB="0" distL="0" distR="0" simplePos="0" relativeHeight="251659264" behindDoc="0" locked="0" layoutInCell="1" allowOverlap="1" wp14:anchorId="4CD9ED99" wp14:editId="040A68AC">
              <wp:simplePos x="635" y="635"/>
              <wp:positionH relativeFrom="page">
                <wp:align>center</wp:align>
              </wp:positionH>
              <wp:positionV relativeFrom="page">
                <wp:align>top</wp:align>
              </wp:positionV>
              <wp:extent cx="443865" cy="443865"/>
              <wp:effectExtent l="0" t="0" r="3175" b="4445"/>
              <wp:wrapNone/>
              <wp:docPr id="1108832841" name="Text Box 2"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BF29E" w14:textId="619771E9"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D9ED99"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NJcUGZvAgAAtAQAAA4AAAAAAAAAAAAAAAAALgIA&#10;AGRycy9lMm9Eb2MueG1sUEsBAi0AFAAGAAgAAAAhANQeDUfYAAAAAwEAAA8AAAAAAAAAAAAAAAAA&#10;yQQAAGRycy9kb3ducmV2LnhtbFBLBQYAAAAABAAEAPMAAADOBQAAAAA=&#10;" filled="f" stroked="f">
              <v:textbox style="mso-fit-shape-to-text:t" inset="0,15pt,0,0">
                <w:txbxContent>
                  <w:p w14:paraId="49FBF29E" w14:textId="619771E9"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54C0" w14:textId="77777777" w:rsidR="007B0A04" w:rsidRDefault="007B0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56EA" w14:textId="76A64E05" w:rsidR="006146D1" w:rsidRDefault="006146D1">
    <w:pPr>
      <w:pStyle w:val="Header"/>
    </w:pPr>
    <w:r>
      <w:rPr>
        <w:noProof/>
      </w:rPr>
      <mc:AlternateContent>
        <mc:Choice Requires="wps">
          <w:drawing>
            <wp:anchor distT="0" distB="0" distL="0" distR="0" simplePos="0" relativeHeight="251658240" behindDoc="0" locked="0" layoutInCell="1" allowOverlap="1" wp14:anchorId="650C11E5" wp14:editId="44EFB55A">
              <wp:simplePos x="635" y="635"/>
              <wp:positionH relativeFrom="page">
                <wp:align>center</wp:align>
              </wp:positionH>
              <wp:positionV relativeFrom="page">
                <wp:align>top</wp:align>
              </wp:positionV>
              <wp:extent cx="443865" cy="443865"/>
              <wp:effectExtent l="0" t="0" r="3175" b="4445"/>
              <wp:wrapNone/>
              <wp:docPr id="805516266" name="Text Box 1"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7568B" w14:textId="4AA0068F"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0C11E5" id="_x0000_t202" coordsize="21600,21600" o:spt="202" path="m,l,21600r21600,l21600,xe">
              <v:stroke joinstyle="miter"/>
              <v:path gradientshapeok="t" o:connecttype="rect"/>
            </v:shapetype>
            <v:shape id="Text Box 1" o:spid="_x0000_s1028"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" filled="f" stroked="f">
              <v:textbox style="mso-fit-shape-to-text:t" inset="0,15pt,0,0">
                <w:txbxContent>
                  <w:p w14:paraId="6D57568B" w14:textId="4AA0068F" w:rsidR="006146D1" w:rsidRPr="006146D1" w:rsidRDefault="006146D1" w:rsidP="006146D1">
                    <w:pPr>
                      <w:rPr>
                        <w:rFonts w:ascii="Calibri" w:eastAsia="Calibri" w:hAnsi="Calibri" w:cs="Calibri"/>
                        <w:noProof/>
                        <w:color w:val="FF0000"/>
                        <w:szCs w:val="24"/>
                      </w:rPr>
                    </w:pPr>
                    <w:r w:rsidRPr="006146D1">
                      <w:rPr>
                        <w:rFonts w:ascii="Calibri" w:eastAsia="Calibri" w:hAnsi="Calibri" w:cs="Calibri"/>
                        <w:noProof/>
                        <w:color w:val="FF0000"/>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C03"/>
    <w:multiLevelType w:val="hybridMultilevel"/>
    <w:tmpl w:val="BF34C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5233D"/>
    <w:multiLevelType w:val="hybridMultilevel"/>
    <w:tmpl w:val="0262A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76D91"/>
    <w:multiLevelType w:val="hybridMultilevel"/>
    <w:tmpl w:val="3FFE5728"/>
    <w:lvl w:ilvl="0" w:tplc="0C090001">
      <w:start w:val="1"/>
      <w:numFmt w:val="bullet"/>
      <w:lvlText w:val=""/>
      <w:lvlJc w:val="left"/>
      <w:pPr>
        <w:ind w:left="720" w:hanging="360"/>
      </w:pPr>
      <w:rPr>
        <w:rFonts w:ascii="Symbol" w:hAnsi="Symbol" w:hint="default"/>
      </w:rPr>
    </w:lvl>
    <w:lvl w:ilvl="1" w:tplc="39921B94">
      <w:start w:val="1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F774A"/>
    <w:multiLevelType w:val="hybridMultilevel"/>
    <w:tmpl w:val="6CFA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17BC9"/>
    <w:multiLevelType w:val="hybridMultilevel"/>
    <w:tmpl w:val="28E8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A2C35"/>
    <w:multiLevelType w:val="hybridMultilevel"/>
    <w:tmpl w:val="32D6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E0854"/>
    <w:multiLevelType w:val="hybridMultilevel"/>
    <w:tmpl w:val="4EF6B752"/>
    <w:lvl w:ilvl="0" w:tplc="DAFA22C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A7B6A4F"/>
    <w:multiLevelType w:val="hybridMultilevel"/>
    <w:tmpl w:val="53B2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3960B6"/>
    <w:multiLevelType w:val="hybridMultilevel"/>
    <w:tmpl w:val="CFB2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F42CD"/>
    <w:multiLevelType w:val="hybridMultilevel"/>
    <w:tmpl w:val="0D0CC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EA71DC"/>
    <w:multiLevelType w:val="hybridMultilevel"/>
    <w:tmpl w:val="08AAC358"/>
    <w:lvl w:ilvl="0" w:tplc="FFFFFFFF">
      <w:start w:val="1"/>
      <w:numFmt w:val="lowerLetter"/>
      <w:lvlText w:val="(%1)"/>
      <w:lvlJc w:val="left"/>
      <w:pPr>
        <w:ind w:left="1080" w:hanging="360"/>
      </w:pPr>
      <w:rPr>
        <w:rFonts w:hint="default"/>
      </w:rPr>
    </w:lvl>
    <w:lvl w:ilvl="1" w:tplc="DAFA22C0">
      <w:start w:val="1"/>
      <w:numFmt w:val="lowerLetter"/>
      <w:lvlText w:val="(%2)"/>
      <w:lvlJc w:val="left"/>
      <w:pPr>
        <w:ind w:left="108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AE532A9"/>
    <w:multiLevelType w:val="hybridMultilevel"/>
    <w:tmpl w:val="7526A68A"/>
    <w:lvl w:ilvl="0" w:tplc="C80632DA">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b w:val="0"/>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B06390"/>
    <w:multiLevelType w:val="hybridMultilevel"/>
    <w:tmpl w:val="51D82672"/>
    <w:lvl w:ilvl="0" w:tplc="63EA5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9C3424"/>
    <w:multiLevelType w:val="hybridMultilevel"/>
    <w:tmpl w:val="AD948A36"/>
    <w:lvl w:ilvl="0" w:tplc="9C7850F6">
      <w:start w:val="1"/>
      <w:numFmt w:val="bullet"/>
      <w:pStyle w:val="SoC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D8180A"/>
    <w:multiLevelType w:val="hybridMultilevel"/>
    <w:tmpl w:val="747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390324"/>
    <w:multiLevelType w:val="hybridMultilevel"/>
    <w:tmpl w:val="7206B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1713BC"/>
    <w:multiLevelType w:val="hybridMultilevel"/>
    <w:tmpl w:val="B33A446E"/>
    <w:lvl w:ilvl="0" w:tplc="0C090001">
      <w:start w:val="1"/>
      <w:numFmt w:val="bullet"/>
      <w:lvlText w:val=""/>
      <w:lvlJc w:val="left"/>
      <w:pPr>
        <w:ind w:left="720" w:hanging="360"/>
      </w:pPr>
      <w:rPr>
        <w:rFonts w:ascii="Symbol" w:hAnsi="Symbol" w:hint="default"/>
      </w:rPr>
    </w:lvl>
    <w:lvl w:ilvl="1" w:tplc="F4BC8D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1E3636"/>
    <w:multiLevelType w:val="hybridMultilevel"/>
    <w:tmpl w:val="41C81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2A5775"/>
    <w:multiLevelType w:val="hybridMultilevel"/>
    <w:tmpl w:val="99E469A2"/>
    <w:lvl w:ilvl="0" w:tplc="0C09000F">
      <w:start w:val="1"/>
      <w:numFmt w:val="decimal"/>
      <w:lvlText w:val="%1."/>
      <w:lvlJc w:val="left"/>
      <w:pPr>
        <w:ind w:left="360" w:hanging="360"/>
      </w:pPr>
    </w:lvl>
    <w:lvl w:ilvl="1" w:tplc="DAFA22C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7F6D17"/>
    <w:multiLevelType w:val="hybridMultilevel"/>
    <w:tmpl w:val="CA3637CA"/>
    <w:lvl w:ilvl="0" w:tplc="DAFA22C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C987832"/>
    <w:multiLevelType w:val="hybridMultilevel"/>
    <w:tmpl w:val="28360D76"/>
    <w:lvl w:ilvl="0" w:tplc="FFFFFFFF">
      <w:start w:val="1"/>
      <w:numFmt w:val="lowerLetter"/>
      <w:lvlText w:val="(%1)"/>
      <w:lvlJc w:val="left"/>
      <w:pPr>
        <w:ind w:left="1080" w:hanging="360"/>
      </w:pPr>
      <w:rPr>
        <w:rFonts w:hint="default"/>
      </w:rPr>
    </w:lvl>
    <w:lvl w:ilvl="1" w:tplc="DAFA22C0">
      <w:start w:val="1"/>
      <w:numFmt w:val="lowerLetter"/>
      <w:lvlText w:val="(%2)"/>
      <w:lvlJc w:val="left"/>
      <w:pPr>
        <w:ind w:left="108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D3E54F5"/>
    <w:multiLevelType w:val="hybridMultilevel"/>
    <w:tmpl w:val="1C3A2CEE"/>
    <w:lvl w:ilvl="0" w:tplc="0C09000F">
      <w:start w:val="1"/>
      <w:numFmt w:val="decimal"/>
      <w:lvlText w:val="%1."/>
      <w:lvlJc w:val="left"/>
      <w:pPr>
        <w:ind w:left="1283" w:hanging="360"/>
      </w:p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abstractNum w:abstractNumId="22" w15:restartNumberingAfterBreak="0">
    <w:nsid w:val="61345028"/>
    <w:multiLevelType w:val="hybridMultilevel"/>
    <w:tmpl w:val="128872DC"/>
    <w:lvl w:ilvl="0" w:tplc="4CF6F40C">
      <w:start w:val="1"/>
      <w:numFmt w:val="decimal"/>
      <w:lvlText w:val="%1."/>
      <w:lvlJc w:val="left"/>
      <w:pPr>
        <w:ind w:left="720" w:hanging="360"/>
      </w:pPr>
    </w:lvl>
    <w:lvl w:ilvl="1" w:tplc="2BBC2DBC">
      <w:start w:val="1"/>
      <w:numFmt w:val="bullet"/>
      <w:lvlText w:val=""/>
      <w:lvlJc w:val="left"/>
      <w:pPr>
        <w:ind w:left="1440" w:hanging="360"/>
      </w:pPr>
      <w:rPr>
        <w:rFonts w:ascii="Symbol" w:hAnsi="Symbol" w:hint="default"/>
      </w:rPr>
    </w:lvl>
    <w:lvl w:ilvl="2" w:tplc="CD8644CA">
      <w:start w:val="1"/>
      <w:numFmt w:val="lowerRoman"/>
      <w:lvlText w:val="%3."/>
      <w:lvlJc w:val="right"/>
      <w:pPr>
        <w:ind w:left="2160" w:hanging="180"/>
      </w:pPr>
    </w:lvl>
    <w:lvl w:ilvl="3" w:tplc="57E2DCB8" w:tentative="1">
      <w:start w:val="1"/>
      <w:numFmt w:val="decimal"/>
      <w:lvlText w:val="%4."/>
      <w:lvlJc w:val="left"/>
      <w:pPr>
        <w:ind w:left="2880" w:hanging="360"/>
      </w:pPr>
    </w:lvl>
    <w:lvl w:ilvl="4" w:tplc="1BE8FB16" w:tentative="1">
      <w:start w:val="1"/>
      <w:numFmt w:val="lowerLetter"/>
      <w:lvlText w:val="%5."/>
      <w:lvlJc w:val="left"/>
      <w:pPr>
        <w:ind w:left="3600" w:hanging="360"/>
      </w:pPr>
    </w:lvl>
    <w:lvl w:ilvl="5" w:tplc="0F4E69A6" w:tentative="1">
      <w:start w:val="1"/>
      <w:numFmt w:val="lowerRoman"/>
      <w:lvlText w:val="%6."/>
      <w:lvlJc w:val="right"/>
      <w:pPr>
        <w:ind w:left="4320" w:hanging="180"/>
      </w:pPr>
    </w:lvl>
    <w:lvl w:ilvl="6" w:tplc="692417EC" w:tentative="1">
      <w:start w:val="1"/>
      <w:numFmt w:val="decimal"/>
      <w:lvlText w:val="%7."/>
      <w:lvlJc w:val="left"/>
      <w:pPr>
        <w:ind w:left="5040" w:hanging="360"/>
      </w:pPr>
    </w:lvl>
    <w:lvl w:ilvl="7" w:tplc="04E4E54A" w:tentative="1">
      <w:start w:val="1"/>
      <w:numFmt w:val="lowerLetter"/>
      <w:lvlText w:val="%8."/>
      <w:lvlJc w:val="left"/>
      <w:pPr>
        <w:ind w:left="5760" w:hanging="360"/>
      </w:pPr>
    </w:lvl>
    <w:lvl w:ilvl="8" w:tplc="D50EF6C2" w:tentative="1">
      <w:start w:val="1"/>
      <w:numFmt w:val="lowerRoman"/>
      <w:lvlText w:val="%9."/>
      <w:lvlJc w:val="right"/>
      <w:pPr>
        <w:ind w:left="6480" w:hanging="180"/>
      </w:pPr>
    </w:lvl>
  </w:abstractNum>
  <w:abstractNum w:abstractNumId="23" w15:restartNumberingAfterBreak="0">
    <w:nsid w:val="677658E4"/>
    <w:multiLevelType w:val="hybridMultilevel"/>
    <w:tmpl w:val="CC02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293A97"/>
    <w:multiLevelType w:val="hybridMultilevel"/>
    <w:tmpl w:val="AC408F2E"/>
    <w:lvl w:ilvl="0" w:tplc="83DAEC3C">
      <w:start w:val="1"/>
      <w:numFmt w:val="lowerLetter"/>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DF45C0"/>
    <w:multiLevelType w:val="hybridMultilevel"/>
    <w:tmpl w:val="5328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D0B22"/>
    <w:multiLevelType w:val="hybridMultilevel"/>
    <w:tmpl w:val="9098AE5E"/>
    <w:lvl w:ilvl="0" w:tplc="0C090001">
      <w:start w:val="1"/>
      <w:numFmt w:val="bullet"/>
      <w:lvlText w:val=""/>
      <w:lvlJc w:val="left"/>
      <w:pPr>
        <w:ind w:left="927" w:hanging="360"/>
      </w:pPr>
      <w:rPr>
        <w:rFonts w:ascii="Symbol" w:hAnsi="Symbol" w:hint="default"/>
      </w:rPr>
    </w:lvl>
    <w:lvl w:ilvl="1" w:tplc="4680333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9E4359"/>
    <w:multiLevelType w:val="hybridMultilevel"/>
    <w:tmpl w:val="EA069CB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839771C"/>
    <w:multiLevelType w:val="hybridMultilevel"/>
    <w:tmpl w:val="12B2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AE649D"/>
    <w:multiLevelType w:val="hybridMultilevel"/>
    <w:tmpl w:val="65004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A42EE0"/>
    <w:multiLevelType w:val="hybridMultilevel"/>
    <w:tmpl w:val="FE5C9688"/>
    <w:lvl w:ilvl="0" w:tplc="0C090001">
      <w:start w:val="1"/>
      <w:numFmt w:val="bullet"/>
      <w:lvlText w:val=""/>
      <w:lvlJc w:val="left"/>
      <w:pPr>
        <w:ind w:left="720" w:hanging="360"/>
      </w:pPr>
      <w:rPr>
        <w:rFonts w:ascii="Symbol" w:hAnsi="Symbol" w:hint="default"/>
      </w:rPr>
    </w:lvl>
    <w:lvl w:ilvl="1" w:tplc="F4BC8D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DA1215"/>
    <w:multiLevelType w:val="hybridMultilevel"/>
    <w:tmpl w:val="B3B0DD8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13"/>
  </w:num>
  <w:num w:numId="2">
    <w:abstractNumId w:val="31"/>
  </w:num>
  <w:num w:numId="3">
    <w:abstractNumId w:val="2"/>
  </w:num>
  <w:num w:numId="4">
    <w:abstractNumId w:val="25"/>
  </w:num>
  <w:num w:numId="5">
    <w:abstractNumId w:val="29"/>
  </w:num>
  <w:num w:numId="6">
    <w:abstractNumId w:val="28"/>
  </w:num>
  <w:num w:numId="7">
    <w:abstractNumId w:val="23"/>
  </w:num>
  <w:num w:numId="8">
    <w:abstractNumId w:val="7"/>
  </w:num>
  <w:num w:numId="9">
    <w:abstractNumId w:val="5"/>
  </w:num>
  <w:num w:numId="10">
    <w:abstractNumId w:val="15"/>
  </w:num>
  <w:num w:numId="11">
    <w:abstractNumId w:val="16"/>
  </w:num>
  <w:num w:numId="12">
    <w:abstractNumId w:val="14"/>
  </w:num>
  <w:num w:numId="13">
    <w:abstractNumId w:val="4"/>
  </w:num>
  <w:num w:numId="14">
    <w:abstractNumId w:val="9"/>
  </w:num>
  <w:num w:numId="15">
    <w:abstractNumId w:val="1"/>
  </w:num>
  <w:num w:numId="16">
    <w:abstractNumId w:val="17"/>
  </w:num>
  <w:num w:numId="17">
    <w:abstractNumId w:val="30"/>
  </w:num>
  <w:num w:numId="18">
    <w:abstractNumId w:val="8"/>
  </w:num>
  <w:num w:numId="19">
    <w:abstractNumId w:val="12"/>
  </w:num>
  <w:num w:numId="20">
    <w:abstractNumId w:val="22"/>
  </w:num>
  <w:num w:numId="21">
    <w:abstractNumId w:val="11"/>
  </w:num>
  <w:num w:numId="22">
    <w:abstractNumId w:val="21"/>
  </w:num>
  <w:num w:numId="23">
    <w:abstractNumId w:val="27"/>
  </w:num>
  <w:num w:numId="24">
    <w:abstractNumId w:val="0"/>
  </w:num>
  <w:num w:numId="25">
    <w:abstractNumId w:val="26"/>
  </w:num>
  <w:num w:numId="26">
    <w:abstractNumId w:val="18"/>
  </w:num>
  <w:num w:numId="27">
    <w:abstractNumId w:val="3"/>
  </w:num>
  <w:num w:numId="28">
    <w:abstractNumId w:val="6"/>
  </w:num>
  <w:num w:numId="29">
    <w:abstractNumId w:val="20"/>
  </w:num>
  <w:num w:numId="30">
    <w:abstractNumId w:val="19"/>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6"/>
    <w:rsid w:val="000000CB"/>
    <w:rsid w:val="000007A2"/>
    <w:rsid w:val="00005295"/>
    <w:rsid w:val="00005A5B"/>
    <w:rsid w:val="000060A3"/>
    <w:rsid w:val="00007221"/>
    <w:rsid w:val="000115F8"/>
    <w:rsid w:val="00016C06"/>
    <w:rsid w:val="00017F30"/>
    <w:rsid w:val="000218B7"/>
    <w:rsid w:val="00027F0F"/>
    <w:rsid w:val="000315E2"/>
    <w:rsid w:val="000317E9"/>
    <w:rsid w:val="0004416F"/>
    <w:rsid w:val="000514C3"/>
    <w:rsid w:val="00052182"/>
    <w:rsid w:val="00052DD5"/>
    <w:rsid w:val="000610C9"/>
    <w:rsid w:val="000624EF"/>
    <w:rsid w:val="00065AB1"/>
    <w:rsid w:val="00070748"/>
    <w:rsid w:val="00074D02"/>
    <w:rsid w:val="00076DCB"/>
    <w:rsid w:val="000814BE"/>
    <w:rsid w:val="000815F2"/>
    <w:rsid w:val="000833BD"/>
    <w:rsid w:val="000841C6"/>
    <w:rsid w:val="0008468C"/>
    <w:rsid w:val="00087B2E"/>
    <w:rsid w:val="000930B4"/>
    <w:rsid w:val="00094EB4"/>
    <w:rsid w:val="000A4CDB"/>
    <w:rsid w:val="000A69B7"/>
    <w:rsid w:val="000B0D2B"/>
    <w:rsid w:val="000C3221"/>
    <w:rsid w:val="000C4804"/>
    <w:rsid w:val="000D15CA"/>
    <w:rsid w:val="000D585A"/>
    <w:rsid w:val="000D5B7A"/>
    <w:rsid w:val="000D75FA"/>
    <w:rsid w:val="000D7E30"/>
    <w:rsid w:val="000E44EA"/>
    <w:rsid w:val="000E7D09"/>
    <w:rsid w:val="000E7F19"/>
    <w:rsid w:val="000F1ADA"/>
    <w:rsid w:val="000F783F"/>
    <w:rsid w:val="00112D43"/>
    <w:rsid w:val="00115BD9"/>
    <w:rsid w:val="001165D4"/>
    <w:rsid w:val="00123FF3"/>
    <w:rsid w:val="001320EB"/>
    <w:rsid w:val="00133255"/>
    <w:rsid w:val="00134E95"/>
    <w:rsid w:val="00135639"/>
    <w:rsid w:val="0013617A"/>
    <w:rsid w:val="00137AB2"/>
    <w:rsid w:val="00140F0D"/>
    <w:rsid w:val="001421BC"/>
    <w:rsid w:val="00142A9A"/>
    <w:rsid w:val="00143553"/>
    <w:rsid w:val="0014388C"/>
    <w:rsid w:val="0015798A"/>
    <w:rsid w:val="001631D2"/>
    <w:rsid w:val="00165A97"/>
    <w:rsid w:val="00167178"/>
    <w:rsid w:val="00167F59"/>
    <w:rsid w:val="001706D8"/>
    <w:rsid w:val="001722AB"/>
    <w:rsid w:val="0017267A"/>
    <w:rsid w:val="001825CA"/>
    <w:rsid w:val="00182711"/>
    <w:rsid w:val="00184F26"/>
    <w:rsid w:val="00185863"/>
    <w:rsid w:val="00187854"/>
    <w:rsid w:val="0019150D"/>
    <w:rsid w:val="00194695"/>
    <w:rsid w:val="00194E68"/>
    <w:rsid w:val="00195070"/>
    <w:rsid w:val="00196650"/>
    <w:rsid w:val="001A224A"/>
    <w:rsid w:val="001A517F"/>
    <w:rsid w:val="001A5600"/>
    <w:rsid w:val="001A579D"/>
    <w:rsid w:val="001A611A"/>
    <w:rsid w:val="001A63E4"/>
    <w:rsid w:val="001A6E5E"/>
    <w:rsid w:val="001A763E"/>
    <w:rsid w:val="001B2041"/>
    <w:rsid w:val="001B25C8"/>
    <w:rsid w:val="001B287A"/>
    <w:rsid w:val="001B3AA8"/>
    <w:rsid w:val="001B6C00"/>
    <w:rsid w:val="001C3CBF"/>
    <w:rsid w:val="001D0569"/>
    <w:rsid w:val="001D3D78"/>
    <w:rsid w:val="001D44FD"/>
    <w:rsid w:val="001E10CF"/>
    <w:rsid w:val="001E10F8"/>
    <w:rsid w:val="001F7571"/>
    <w:rsid w:val="00201C28"/>
    <w:rsid w:val="002049A5"/>
    <w:rsid w:val="00205E94"/>
    <w:rsid w:val="00216BDB"/>
    <w:rsid w:val="00217BFC"/>
    <w:rsid w:val="00221A08"/>
    <w:rsid w:val="00225D04"/>
    <w:rsid w:val="002275D6"/>
    <w:rsid w:val="00233D43"/>
    <w:rsid w:val="00246569"/>
    <w:rsid w:val="00256E10"/>
    <w:rsid w:val="0025721E"/>
    <w:rsid w:val="002610C5"/>
    <w:rsid w:val="002650D1"/>
    <w:rsid w:val="002701D9"/>
    <w:rsid w:val="0027072A"/>
    <w:rsid w:val="00280C01"/>
    <w:rsid w:val="002828B4"/>
    <w:rsid w:val="00286499"/>
    <w:rsid w:val="00286763"/>
    <w:rsid w:val="00292B33"/>
    <w:rsid w:val="00293311"/>
    <w:rsid w:val="00297D0F"/>
    <w:rsid w:val="002A0485"/>
    <w:rsid w:val="002A4D1C"/>
    <w:rsid w:val="002A6901"/>
    <w:rsid w:val="002A78A8"/>
    <w:rsid w:val="002A7926"/>
    <w:rsid w:val="002B7450"/>
    <w:rsid w:val="002C5AE4"/>
    <w:rsid w:val="002E3AFC"/>
    <w:rsid w:val="002E7620"/>
    <w:rsid w:val="002E7BE9"/>
    <w:rsid w:val="002F037B"/>
    <w:rsid w:val="002F5DEE"/>
    <w:rsid w:val="00310264"/>
    <w:rsid w:val="003156A9"/>
    <w:rsid w:val="00317509"/>
    <w:rsid w:val="00321FDC"/>
    <w:rsid w:val="00322E84"/>
    <w:rsid w:val="00332BB3"/>
    <w:rsid w:val="00335B42"/>
    <w:rsid w:val="0033794B"/>
    <w:rsid w:val="00341B2A"/>
    <w:rsid w:val="003478D9"/>
    <w:rsid w:val="00356291"/>
    <w:rsid w:val="00360FCE"/>
    <w:rsid w:val="003627ED"/>
    <w:rsid w:val="00363010"/>
    <w:rsid w:val="00365021"/>
    <w:rsid w:val="00366A4C"/>
    <w:rsid w:val="00367EB6"/>
    <w:rsid w:val="00371084"/>
    <w:rsid w:val="003807E9"/>
    <w:rsid w:val="003814A4"/>
    <w:rsid w:val="003975A5"/>
    <w:rsid w:val="003A231A"/>
    <w:rsid w:val="003A3FDD"/>
    <w:rsid w:val="003A52DE"/>
    <w:rsid w:val="003A5D80"/>
    <w:rsid w:val="003B52EC"/>
    <w:rsid w:val="003D5351"/>
    <w:rsid w:val="003E1C34"/>
    <w:rsid w:val="003E4E23"/>
    <w:rsid w:val="003E5297"/>
    <w:rsid w:val="003E6B6C"/>
    <w:rsid w:val="003E7AEC"/>
    <w:rsid w:val="003F22AC"/>
    <w:rsid w:val="003F2982"/>
    <w:rsid w:val="003F3C3E"/>
    <w:rsid w:val="00401EDC"/>
    <w:rsid w:val="004073B4"/>
    <w:rsid w:val="004144EA"/>
    <w:rsid w:val="004170CE"/>
    <w:rsid w:val="00420DE7"/>
    <w:rsid w:val="0042185E"/>
    <w:rsid w:val="00424075"/>
    <w:rsid w:val="00435A57"/>
    <w:rsid w:val="004367AD"/>
    <w:rsid w:val="00440EB4"/>
    <w:rsid w:val="004505DC"/>
    <w:rsid w:val="00451FC2"/>
    <w:rsid w:val="00457B8F"/>
    <w:rsid w:val="004612E7"/>
    <w:rsid w:val="00461D97"/>
    <w:rsid w:val="004706FA"/>
    <w:rsid w:val="00470D3E"/>
    <w:rsid w:val="004715CD"/>
    <w:rsid w:val="0047353F"/>
    <w:rsid w:val="00476511"/>
    <w:rsid w:val="00483BEB"/>
    <w:rsid w:val="004868AF"/>
    <w:rsid w:val="00486F09"/>
    <w:rsid w:val="0049183F"/>
    <w:rsid w:val="0049275C"/>
    <w:rsid w:val="00493B75"/>
    <w:rsid w:val="004942EA"/>
    <w:rsid w:val="004970B3"/>
    <w:rsid w:val="004A3561"/>
    <w:rsid w:val="004B391A"/>
    <w:rsid w:val="004C1E62"/>
    <w:rsid w:val="004C2A6A"/>
    <w:rsid w:val="004C3DFE"/>
    <w:rsid w:val="004D14A0"/>
    <w:rsid w:val="004D6262"/>
    <w:rsid w:val="004D70C5"/>
    <w:rsid w:val="004E01BB"/>
    <w:rsid w:val="004F6F7D"/>
    <w:rsid w:val="004F76A2"/>
    <w:rsid w:val="005029FF"/>
    <w:rsid w:val="005047A8"/>
    <w:rsid w:val="005048B1"/>
    <w:rsid w:val="0051022D"/>
    <w:rsid w:val="0051687C"/>
    <w:rsid w:val="00521181"/>
    <w:rsid w:val="005229DA"/>
    <w:rsid w:val="00522D1D"/>
    <w:rsid w:val="005232A8"/>
    <w:rsid w:val="00523AB4"/>
    <w:rsid w:val="00524D5C"/>
    <w:rsid w:val="005352CC"/>
    <w:rsid w:val="00536B40"/>
    <w:rsid w:val="005371E7"/>
    <w:rsid w:val="005415C1"/>
    <w:rsid w:val="00543081"/>
    <w:rsid w:val="00552725"/>
    <w:rsid w:val="00566DFD"/>
    <w:rsid w:val="00576A7E"/>
    <w:rsid w:val="00585255"/>
    <w:rsid w:val="00585F51"/>
    <w:rsid w:val="00595635"/>
    <w:rsid w:val="005A0032"/>
    <w:rsid w:val="005A0464"/>
    <w:rsid w:val="005A58C8"/>
    <w:rsid w:val="005B071A"/>
    <w:rsid w:val="005B554E"/>
    <w:rsid w:val="005B6213"/>
    <w:rsid w:val="005C0974"/>
    <w:rsid w:val="005C430D"/>
    <w:rsid w:val="005C4796"/>
    <w:rsid w:val="005C479B"/>
    <w:rsid w:val="005C6553"/>
    <w:rsid w:val="005D03AA"/>
    <w:rsid w:val="005D25BD"/>
    <w:rsid w:val="005D618A"/>
    <w:rsid w:val="005D70F1"/>
    <w:rsid w:val="005E7540"/>
    <w:rsid w:val="005F053B"/>
    <w:rsid w:val="005F3FAB"/>
    <w:rsid w:val="00601A04"/>
    <w:rsid w:val="006024B9"/>
    <w:rsid w:val="00606C02"/>
    <w:rsid w:val="006114C5"/>
    <w:rsid w:val="006146D1"/>
    <w:rsid w:val="006211EC"/>
    <w:rsid w:val="00621915"/>
    <w:rsid w:val="006301B6"/>
    <w:rsid w:val="006318AE"/>
    <w:rsid w:val="00635726"/>
    <w:rsid w:val="006410F6"/>
    <w:rsid w:val="0064143B"/>
    <w:rsid w:val="006425D8"/>
    <w:rsid w:val="00645373"/>
    <w:rsid w:val="0065366B"/>
    <w:rsid w:val="00655AD3"/>
    <w:rsid w:val="0066076D"/>
    <w:rsid w:val="00661BC5"/>
    <w:rsid w:val="00665281"/>
    <w:rsid w:val="00665B28"/>
    <w:rsid w:val="00666E71"/>
    <w:rsid w:val="0067001D"/>
    <w:rsid w:val="006700D0"/>
    <w:rsid w:val="0067742E"/>
    <w:rsid w:val="00680365"/>
    <w:rsid w:val="006815E3"/>
    <w:rsid w:val="00682EB4"/>
    <w:rsid w:val="00683E42"/>
    <w:rsid w:val="006852DE"/>
    <w:rsid w:val="00686087"/>
    <w:rsid w:val="00686C93"/>
    <w:rsid w:val="006870F2"/>
    <w:rsid w:val="00692C2B"/>
    <w:rsid w:val="00693563"/>
    <w:rsid w:val="0069367C"/>
    <w:rsid w:val="0069421A"/>
    <w:rsid w:val="00696B36"/>
    <w:rsid w:val="00697339"/>
    <w:rsid w:val="006A7E51"/>
    <w:rsid w:val="006B10AC"/>
    <w:rsid w:val="006B35D1"/>
    <w:rsid w:val="006B7987"/>
    <w:rsid w:val="006C2B39"/>
    <w:rsid w:val="006C2C91"/>
    <w:rsid w:val="006C4CEA"/>
    <w:rsid w:val="006C7A6E"/>
    <w:rsid w:val="006D6F50"/>
    <w:rsid w:val="006E00E1"/>
    <w:rsid w:val="006E08AB"/>
    <w:rsid w:val="006E1CE2"/>
    <w:rsid w:val="006E310D"/>
    <w:rsid w:val="006E6EFD"/>
    <w:rsid w:val="006F0BAB"/>
    <w:rsid w:val="006F1DDC"/>
    <w:rsid w:val="006F3050"/>
    <w:rsid w:val="006F4278"/>
    <w:rsid w:val="006F7FDD"/>
    <w:rsid w:val="007032DE"/>
    <w:rsid w:val="00707163"/>
    <w:rsid w:val="00714DB7"/>
    <w:rsid w:val="007176AB"/>
    <w:rsid w:val="00717C6F"/>
    <w:rsid w:val="0072131B"/>
    <w:rsid w:val="00724EA8"/>
    <w:rsid w:val="00727F2A"/>
    <w:rsid w:val="00732F23"/>
    <w:rsid w:val="007607BA"/>
    <w:rsid w:val="00763F50"/>
    <w:rsid w:val="00764C86"/>
    <w:rsid w:val="00764EA2"/>
    <w:rsid w:val="00773CF1"/>
    <w:rsid w:val="00775AFF"/>
    <w:rsid w:val="00780E73"/>
    <w:rsid w:val="00787EC8"/>
    <w:rsid w:val="0079739E"/>
    <w:rsid w:val="0079778B"/>
    <w:rsid w:val="00797945"/>
    <w:rsid w:val="007A5C07"/>
    <w:rsid w:val="007A7917"/>
    <w:rsid w:val="007A7BC4"/>
    <w:rsid w:val="007B0A04"/>
    <w:rsid w:val="007B20B3"/>
    <w:rsid w:val="007B56D6"/>
    <w:rsid w:val="007C5245"/>
    <w:rsid w:val="007C6A89"/>
    <w:rsid w:val="007C7496"/>
    <w:rsid w:val="007C7A76"/>
    <w:rsid w:val="007D157D"/>
    <w:rsid w:val="007D1A75"/>
    <w:rsid w:val="007D34E7"/>
    <w:rsid w:val="007D4103"/>
    <w:rsid w:val="007D6DAE"/>
    <w:rsid w:val="007D7A2A"/>
    <w:rsid w:val="007E58BD"/>
    <w:rsid w:val="007E654F"/>
    <w:rsid w:val="007E77B8"/>
    <w:rsid w:val="007F036D"/>
    <w:rsid w:val="007F5A52"/>
    <w:rsid w:val="0080045E"/>
    <w:rsid w:val="00800612"/>
    <w:rsid w:val="0081358F"/>
    <w:rsid w:val="00813B56"/>
    <w:rsid w:val="0083621A"/>
    <w:rsid w:val="0084229A"/>
    <w:rsid w:val="0085190C"/>
    <w:rsid w:val="008538DC"/>
    <w:rsid w:val="00856257"/>
    <w:rsid w:val="008566AF"/>
    <w:rsid w:val="008602B6"/>
    <w:rsid w:val="00861EAD"/>
    <w:rsid w:val="008706FD"/>
    <w:rsid w:val="008737BF"/>
    <w:rsid w:val="0089095E"/>
    <w:rsid w:val="0089235F"/>
    <w:rsid w:val="008A6463"/>
    <w:rsid w:val="008B0865"/>
    <w:rsid w:val="008B7903"/>
    <w:rsid w:val="008C748F"/>
    <w:rsid w:val="008D100C"/>
    <w:rsid w:val="008D156E"/>
    <w:rsid w:val="008D5585"/>
    <w:rsid w:val="008D5DE8"/>
    <w:rsid w:val="008D7721"/>
    <w:rsid w:val="008E3AF3"/>
    <w:rsid w:val="008E759A"/>
    <w:rsid w:val="008F3995"/>
    <w:rsid w:val="00900CE9"/>
    <w:rsid w:val="00902DBC"/>
    <w:rsid w:val="009034C7"/>
    <w:rsid w:val="0090659F"/>
    <w:rsid w:val="00910234"/>
    <w:rsid w:val="00910BAB"/>
    <w:rsid w:val="009170CB"/>
    <w:rsid w:val="00917F46"/>
    <w:rsid w:val="00926801"/>
    <w:rsid w:val="009401F6"/>
    <w:rsid w:val="00940F12"/>
    <w:rsid w:val="00944433"/>
    <w:rsid w:val="0094445A"/>
    <w:rsid w:val="009541A6"/>
    <w:rsid w:val="00954E05"/>
    <w:rsid w:val="00964553"/>
    <w:rsid w:val="00976416"/>
    <w:rsid w:val="00984021"/>
    <w:rsid w:val="009868FE"/>
    <w:rsid w:val="00997D50"/>
    <w:rsid w:val="009A228D"/>
    <w:rsid w:val="009A7C99"/>
    <w:rsid w:val="009A7E22"/>
    <w:rsid w:val="009B6F2B"/>
    <w:rsid w:val="009C0A20"/>
    <w:rsid w:val="009C3CF7"/>
    <w:rsid w:val="009C52F9"/>
    <w:rsid w:val="009C647F"/>
    <w:rsid w:val="009C67FC"/>
    <w:rsid w:val="009C6A2C"/>
    <w:rsid w:val="009D0555"/>
    <w:rsid w:val="009D131B"/>
    <w:rsid w:val="009D3A08"/>
    <w:rsid w:val="009D4F85"/>
    <w:rsid w:val="009D5838"/>
    <w:rsid w:val="009E4392"/>
    <w:rsid w:val="009E545A"/>
    <w:rsid w:val="009E709B"/>
    <w:rsid w:val="009F116F"/>
    <w:rsid w:val="00A03C01"/>
    <w:rsid w:val="00A118A4"/>
    <w:rsid w:val="00A14C05"/>
    <w:rsid w:val="00A17F67"/>
    <w:rsid w:val="00A22966"/>
    <w:rsid w:val="00A43CE8"/>
    <w:rsid w:val="00A449CE"/>
    <w:rsid w:val="00A530C1"/>
    <w:rsid w:val="00A5527B"/>
    <w:rsid w:val="00A60777"/>
    <w:rsid w:val="00A76C20"/>
    <w:rsid w:val="00A81666"/>
    <w:rsid w:val="00A831A0"/>
    <w:rsid w:val="00A87051"/>
    <w:rsid w:val="00A87FFC"/>
    <w:rsid w:val="00A900CD"/>
    <w:rsid w:val="00A971C0"/>
    <w:rsid w:val="00AA541A"/>
    <w:rsid w:val="00AA73E9"/>
    <w:rsid w:val="00AA76A1"/>
    <w:rsid w:val="00AC39D8"/>
    <w:rsid w:val="00AC4896"/>
    <w:rsid w:val="00AD6E07"/>
    <w:rsid w:val="00AE436C"/>
    <w:rsid w:val="00AE4B52"/>
    <w:rsid w:val="00AE4E5C"/>
    <w:rsid w:val="00AF2341"/>
    <w:rsid w:val="00AF6526"/>
    <w:rsid w:val="00AF7F8A"/>
    <w:rsid w:val="00B02DB7"/>
    <w:rsid w:val="00B03B04"/>
    <w:rsid w:val="00B07736"/>
    <w:rsid w:val="00B131AC"/>
    <w:rsid w:val="00B135C5"/>
    <w:rsid w:val="00B14386"/>
    <w:rsid w:val="00B17454"/>
    <w:rsid w:val="00B23929"/>
    <w:rsid w:val="00B24BE0"/>
    <w:rsid w:val="00B261F4"/>
    <w:rsid w:val="00B36290"/>
    <w:rsid w:val="00B415DD"/>
    <w:rsid w:val="00B46B52"/>
    <w:rsid w:val="00B5563D"/>
    <w:rsid w:val="00B577F9"/>
    <w:rsid w:val="00B608E7"/>
    <w:rsid w:val="00B609FA"/>
    <w:rsid w:val="00B61474"/>
    <w:rsid w:val="00B6171B"/>
    <w:rsid w:val="00B61F76"/>
    <w:rsid w:val="00B6320D"/>
    <w:rsid w:val="00B638F1"/>
    <w:rsid w:val="00B72C54"/>
    <w:rsid w:val="00B74FBC"/>
    <w:rsid w:val="00B752F8"/>
    <w:rsid w:val="00B8234E"/>
    <w:rsid w:val="00B82438"/>
    <w:rsid w:val="00B85526"/>
    <w:rsid w:val="00B9016F"/>
    <w:rsid w:val="00B905D1"/>
    <w:rsid w:val="00B9628A"/>
    <w:rsid w:val="00B97E65"/>
    <w:rsid w:val="00BA150E"/>
    <w:rsid w:val="00BA3C52"/>
    <w:rsid w:val="00BB459E"/>
    <w:rsid w:val="00BB4ECA"/>
    <w:rsid w:val="00BC7A05"/>
    <w:rsid w:val="00BD076C"/>
    <w:rsid w:val="00BD6548"/>
    <w:rsid w:val="00BD779B"/>
    <w:rsid w:val="00BD7BAE"/>
    <w:rsid w:val="00BE63C9"/>
    <w:rsid w:val="00BE6818"/>
    <w:rsid w:val="00BF3906"/>
    <w:rsid w:val="00BF47CF"/>
    <w:rsid w:val="00BF7D13"/>
    <w:rsid w:val="00C04E8D"/>
    <w:rsid w:val="00C16026"/>
    <w:rsid w:val="00C167CB"/>
    <w:rsid w:val="00C21DEE"/>
    <w:rsid w:val="00C23B11"/>
    <w:rsid w:val="00C25923"/>
    <w:rsid w:val="00C260C3"/>
    <w:rsid w:val="00C30F35"/>
    <w:rsid w:val="00C3240B"/>
    <w:rsid w:val="00C32E99"/>
    <w:rsid w:val="00C36B9C"/>
    <w:rsid w:val="00C423CE"/>
    <w:rsid w:val="00C472EF"/>
    <w:rsid w:val="00C50BF9"/>
    <w:rsid w:val="00C51BBB"/>
    <w:rsid w:val="00C51F72"/>
    <w:rsid w:val="00C57DDD"/>
    <w:rsid w:val="00C622BA"/>
    <w:rsid w:val="00C662C1"/>
    <w:rsid w:val="00C6797C"/>
    <w:rsid w:val="00C7555E"/>
    <w:rsid w:val="00C76233"/>
    <w:rsid w:val="00C77CC4"/>
    <w:rsid w:val="00C972CD"/>
    <w:rsid w:val="00CA15B6"/>
    <w:rsid w:val="00CB35A1"/>
    <w:rsid w:val="00CB365F"/>
    <w:rsid w:val="00CB4CE1"/>
    <w:rsid w:val="00CB6270"/>
    <w:rsid w:val="00CB7FC8"/>
    <w:rsid w:val="00CC6DFD"/>
    <w:rsid w:val="00CD2215"/>
    <w:rsid w:val="00CD45C3"/>
    <w:rsid w:val="00CE25FE"/>
    <w:rsid w:val="00CE75E8"/>
    <w:rsid w:val="00CF00D0"/>
    <w:rsid w:val="00CF1D6D"/>
    <w:rsid w:val="00CF2ED8"/>
    <w:rsid w:val="00CF5B96"/>
    <w:rsid w:val="00D02CB7"/>
    <w:rsid w:val="00D03273"/>
    <w:rsid w:val="00D04974"/>
    <w:rsid w:val="00D06908"/>
    <w:rsid w:val="00D14568"/>
    <w:rsid w:val="00D15CE0"/>
    <w:rsid w:val="00D250A1"/>
    <w:rsid w:val="00D275F4"/>
    <w:rsid w:val="00D314AA"/>
    <w:rsid w:val="00D32E2C"/>
    <w:rsid w:val="00D37547"/>
    <w:rsid w:val="00D4071B"/>
    <w:rsid w:val="00D412FF"/>
    <w:rsid w:val="00D41FAF"/>
    <w:rsid w:val="00D453BB"/>
    <w:rsid w:val="00D5390F"/>
    <w:rsid w:val="00D616D5"/>
    <w:rsid w:val="00D65F35"/>
    <w:rsid w:val="00D71684"/>
    <w:rsid w:val="00D739EA"/>
    <w:rsid w:val="00D865E5"/>
    <w:rsid w:val="00D931F1"/>
    <w:rsid w:val="00D95C8F"/>
    <w:rsid w:val="00D96EB0"/>
    <w:rsid w:val="00DA1B12"/>
    <w:rsid w:val="00DA26AD"/>
    <w:rsid w:val="00DA298E"/>
    <w:rsid w:val="00DA34B1"/>
    <w:rsid w:val="00DB26D8"/>
    <w:rsid w:val="00DB4526"/>
    <w:rsid w:val="00DC093A"/>
    <w:rsid w:val="00DC1DFD"/>
    <w:rsid w:val="00DC5399"/>
    <w:rsid w:val="00DD0CCA"/>
    <w:rsid w:val="00DD4770"/>
    <w:rsid w:val="00DD6AD5"/>
    <w:rsid w:val="00DE0EEF"/>
    <w:rsid w:val="00DF369F"/>
    <w:rsid w:val="00DF416C"/>
    <w:rsid w:val="00DF47F1"/>
    <w:rsid w:val="00DF7E81"/>
    <w:rsid w:val="00E067CA"/>
    <w:rsid w:val="00E06C93"/>
    <w:rsid w:val="00E076B5"/>
    <w:rsid w:val="00E16BD2"/>
    <w:rsid w:val="00E178DF"/>
    <w:rsid w:val="00E25CD0"/>
    <w:rsid w:val="00E2678C"/>
    <w:rsid w:val="00E35A6D"/>
    <w:rsid w:val="00E35D5F"/>
    <w:rsid w:val="00E4457B"/>
    <w:rsid w:val="00E467C0"/>
    <w:rsid w:val="00E56262"/>
    <w:rsid w:val="00E60EB3"/>
    <w:rsid w:val="00E62542"/>
    <w:rsid w:val="00E66612"/>
    <w:rsid w:val="00E70F48"/>
    <w:rsid w:val="00E740FB"/>
    <w:rsid w:val="00E77CDE"/>
    <w:rsid w:val="00E85342"/>
    <w:rsid w:val="00E90296"/>
    <w:rsid w:val="00E91688"/>
    <w:rsid w:val="00E92C93"/>
    <w:rsid w:val="00E97FD2"/>
    <w:rsid w:val="00EA7CD5"/>
    <w:rsid w:val="00EB1120"/>
    <w:rsid w:val="00EB1CE2"/>
    <w:rsid w:val="00EB1D8E"/>
    <w:rsid w:val="00EB5FFF"/>
    <w:rsid w:val="00EB7B80"/>
    <w:rsid w:val="00EC2853"/>
    <w:rsid w:val="00EC2EE1"/>
    <w:rsid w:val="00EC64A2"/>
    <w:rsid w:val="00ED3F23"/>
    <w:rsid w:val="00ED703C"/>
    <w:rsid w:val="00ED776A"/>
    <w:rsid w:val="00EE0F04"/>
    <w:rsid w:val="00EF237B"/>
    <w:rsid w:val="00EF2478"/>
    <w:rsid w:val="00EF25D7"/>
    <w:rsid w:val="00EF3F8A"/>
    <w:rsid w:val="00EF78DD"/>
    <w:rsid w:val="00F024CA"/>
    <w:rsid w:val="00F134F6"/>
    <w:rsid w:val="00F13B64"/>
    <w:rsid w:val="00F153A3"/>
    <w:rsid w:val="00F228EF"/>
    <w:rsid w:val="00F2369B"/>
    <w:rsid w:val="00F23992"/>
    <w:rsid w:val="00F31EC9"/>
    <w:rsid w:val="00F33E8E"/>
    <w:rsid w:val="00F34967"/>
    <w:rsid w:val="00F4373B"/>
    <w:rsid w:val="00F52E9E"/>
    <w:rsid w:val="00F5451B"/>
    <w:rsid w:val="00F600F7"/>
    <w:rsid w:val="00F61E8E"/>
    <w:rsid w:val="00F64E6D"/>
    <w:rsid w:val="00F80C9C"/>
    <w:rsid w:val="00F8676C"/>
    <w:rsid w:val="00F86EB3"/>
    <w:rsid w:val="00F91E27"/>
    <w:rsid w:val="00F9315F"/>
    <w:rsid w:val="00FB4CDB"/>
    <w:rsid w:val="00FB7B6D"/>
    <w:rsid w:val="00FC3638"/>
    <w:rsid w:val="00FD10A8"/>
    <w:rsid w:val="00FD5B7F"/>
    <w:rsid w:val="00FD6257"/>
    <w:rsid w:val="00FD6E6D"/>
    <w:rsid w:val="00FE41A0"/>
    <w:rsid w:val="00FF0D21"/>
    <w:rsid w:val="00FF4A3D"/>
    <w:rsid w:val="00FF51EA"/>
    <w:rsid w:val="00FF7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54B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26"/>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F369F"/>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F369F"/>
    <w:pPr>
      <w:spacing w:after="360"/>
      <w:outlineLvl w:val="1"/>
    </w:pPr>
    <w:rPr>
      <w:rFonts w:ascii="Times New Roman" w:hAnsi="Times New Roman" w:cs="Times New Roman"/>
      <w:b/>
      <w:color w:val="auto"/>
      <w:sz w:val="24"/>
      <w:szCs w:val="24"/>
      <w:u w:val="single"/>
    </w:rPr>
  </w:style>
  <w:style w:type="paragraph" w:styleId="Heading3">
    <w:name w:val="heading 3"/>
    <w:basedOn w:val="Heading2"/>
    <w:next w:val="Normal"/>
    <w:link w:val="Heading3Char"/>
    <w:uiPriority w:val="9"/>
    <w:unhideWhenUsed/>
    <w:qFormat/>
    <w:rsid w:val="00B36290"/>
    <w:pPr>
      <w:spacing w:after="240"/>
      <w:outlineLvl w:val="2"/>
    </w:pPr>
    <w:rPr>
      <w:b w:val="0"/>
    </w:rPr>
  </w:style>
  <w:style w:type="paragraph" w:styleId="Heading4">
    <w:name w:val="heading 4"/>
    <w:basedOn w:val="Heading3"/>
    <w:next w:val="Normal"/>
    <w:link w:val="Heading4Char"/>
    <w:uiPriority w:val="9"/>
    <w:unhideWhenUsed/>
    <w:qFormat/>
    <w:rsid w:val="00B36290"/>
    <w:pPr>
      <w:outlineLvl w:val="3"/>
    </w:pPr>
    <w:rPr>
      <w:b/>
      <w:u w:val="none"/>
    </w:rPr>
  </w:style>
  <w:style w:type="paragraph" w:styleId="Heading6">
    <w:name w:val="heading 6"/>
    <w:basedOn w:val="Normal"/>
    <w:next w:val="Normal"/>
    <w:link w:val="Heading6Char"/>
    <w:qFormat/>
    <w:rsid w:val="00DB452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6290"/>
    <w:rPr>
      <w:rFonts w:ascii="Times New Roman" w:eastAsiaTheme="majorEastAsia" w:hAnsi="Times New Roman" w:cs="Times New Roman"/>
      <w:b/>
      <w:sz w:val="24"/>
      <w:szCs w:val="24"/>
      <w:lang w:eastAsia="en-AU"/>
    </w:rPr>
  </w:style>
  <w:style w:type="character" w:customStyle="1" w:styleId="Heading6Char">
    <w:name w:val="Heading 6 Char"/>
    <w:basedOn w:val="DefaultParagraphFont"/>
    <w:link w:val="Heading6"/>
    <w:rsid w:val="00DB4526"/>
    <w:rPr>
      <w:rFonts w:ascii="Times New Roman" w:eastAsia="Times New Roman" w:hAnsi="Times New Roman" w:cs="Times New Roman"/>
      <w:sz w:val="24"/>
      <w:szCs w:val="20"/>
      <w:u w:val="single"/>
      <w:lang w:eastAsia="en-AU"/>
    </w:rPr>
  </w:style>
  <w:style w:type="paragraph" w:styleId="Footer">
    <w:name w:val="footer"/>
    <w:basedOn w:val="Normal"/>
    <w:link w:val="FooterChar"/>
    <w:unhideWhenUsed/>
    <w:rsid w:val="00DB4526"/>
    <w:pPr>
      <w:tabs>
        <w:tab w:val="center" w:pos="4513"/>
        <w:tab w:val="right" w:pos="9026"/>
      </w:tabs>
      <w:spacing w:before="0" w:after="120" w:line="276" w:lineRule="auto"/>
      <w:ind w:right="91"/>
    </w:pPr>
  </w:style>
  <w:style w:type="character" w:customStyle="1" w:styleId="FooterChar">
    <w:name w:val="Footer Char"/>
    <w:basedOn w:val="DefaultParagraphFont"/>
    <w:link w:val="Footer"/>
    <w:rsid w:val="00DB4526"/>
    <w:rPr>
      <w:rFonts w:ascii="Times New Roman" w:eastAsia="Times New Roman" w:hAnsi="Times New Roman" w:cs="Times New Roman"/>
      <w:sz w:val="24"/>
      <w:szCs w:val="20"/>
      <w:lang w:eastAsia="en-AU"/>
    </w:rPr>
  </w:style>
  <w:style w:type="character" w:customStyle="1" w:styleId="definedterm">
    <w:name w:val="defined term"/>
    <w:basedOn w:val="DefaultParagraphFont"/>
    <w:uiPriority w:val="1"/>
    <w:qFormat/>
    <w:rsid w:val="00DB4526"/>
    <w:rPr>
      <w:rFonts w:ascii="Times New Roman" w:hAnsi="Times New Roman"/>
      <w:b/>
      <w:i/>
      <w:color w:val="000000"/>
      <w:sz w:val="24"/>
      <w:szCs w:val="24"/>
    </w:rPr>
  </w:style>
  <w:style w:type="character" w:customStyle="1" w:styleId="legislationtitleitalics">
    <w:name w:val="legislation title (italics)"/>
    <w:basedOn w:val="DefaultParagraphFont"/>
    <w:uiPriority w:val="1"/>
    <w:qFormat/>
    <w:rsid w:val="00DB4526"/>
    <w:rPr>
      <w:rFonts w:ascii="Times New Roman" w:hAnsi="Times New Roman"/>
      <w:i/>
      <w:sz w:val="24"/>
      <w:szCs w:val="24"/>
    </w:rPr>
  </w:style>
  <w:style w:type="paragraph" w:customStyle="1" w:styleId="ESoutlinetext">
    <w:name w:val="ES outline text"/>
    <w:basedOn w:val="Normal"/>
    <w:qFormat/>
    <w:rsid w:val="00DB4526"/>
    <w:pPr>
      <w:keepLines/>
      <w:spacing w:before="120" w:after="120" w:line="276" w:lineRule="auto"/>
      <w:ind w:right="91"/>
    </w:pPr>
    <w:rPr>
      <w:szCs w:val="24"/>
    </w:rPr>
  </w:style>
  <w:style w:type="paragraph" w:styleId="FootnoteText">
    <w:name w:val="footnote text"/>
    <w:basedOn w:val="Normal"/>
    <w:link w:val="FootnoteTextChar"/>
    <w:uiPriority w:val="99"/>
    <w:semiHidden/>
    <w:unhideWhenUsed/>
    <w:rsid w:val="00DB4526"/>
    <w:pPr>
      <w:spacing w:before="0"/>
    </w:pPr>
    <w:rPr>
      <w:sz w:val="20"/>
    </w:rPr>
  </w:style>
  <w:style w:type="character" w:customStyle="1" w:styleId="FootnoteTextChar">
    <w:name w:val="Footnote Text Char"/>
    <w:basedOn w:val="DefaultParagraphFont"/>
    <w:link w:val="FootnoteText"/>
    <w:uiPriority w:val="99"/>
    <w:semiHidden/>
    <w:rsid w:val="00DB452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B4526"/>
    <w:rPr>
      <w:vertAlign w:val="superscript"/>
    </w:rPr>
  </w:style>
  <w:style w:type="paragraph" w:customStyle="1" w:styleId="SoCbulletpoint">
    <w:name w:val="SoC bullet point"/>
    <w:basedOn w:val="ListParagraph"/>
    <w:qFormat/>
    <w:rsid w:val="00DB4526"/>
    <w:pPr>
      <w:numPr>
        <w:numId w:val="1"/>
      </w:numPr>
      <w:shd w:val="clear" w:color="auto" w:fill="FFFFFF"/>
      <w:tabs>
        <w:tab w:val="num" w:pos="360"/>
      </w:tabs>
      <w:spacing w:before="120" w:after="120" w:line="276" w:lineRule="auto"/>
      <w:ind w:left="426" w:hanging="426"/>
      <w:contextualSpacing w:val="0"/>
    </w:pPr>
    <w:rPr>
      <w:color w:val="000000" w:themeColor="text1"/>
      <w:szCs w:val="24"/>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99"/>
    <w:qFormat/>
    <w:rsid w:val="00DB4526"/>
    <w:pPr>
      <w:ind w:left="720"/>
      <w:contextualSpacing/>
    </w:pPr>
  </w:style>
  <w:style w:type="character" w:customStyle="1" w:styleId="Heading2Char">
    <w:name w:val="Heading 2 Char"/>
    <w:basedOn w:val="DefaultParagraphFont"/>
    <w:link w:val="Heading2"/>
    <w:uiPriority w:val="9"/>
    <w:rsid w:val="00DF369F"/>
    <w:rPr>
      <w:rFonts w:ascii="Times New Roman" w:eastAsiaTheme="majorEastAsia" w:hAnsi="Times New Roman" w:cs="Times New Roman"/>
      <w:b/>
      <w:sz w:val="24"/>
      <w:szCs w:val="24"/>
      <w:u w:val="single"/>
      <w:lang w:eastAsia="en-AU"/>
    </w:rPr>
  </w:style>
  <w:style w:type="paragraph" w:customStyle="1" w:styleId="SoCheadingbold">
    <w:name w:val="SoC heading bold"/>
    <w:basedOn w:val="Heading3"/>
    <w:link w:val="SoCheadingboldChar"/>
    <w:qFormat/>
    <w:rsid w:val="004C3DFE"/>
    <w:pPr>
      <w:spacing w:after="120"/>
    </w:pPr>
    <w:rPr>
      <w:b/>
      <w:color w:val="000000" w:themeColor="text1"/>
    </w:rPr>
  </w:style>
  <w:style w:type="character" w:customStyle="1" w:styleId="SoCheadingboldChar">
    <w:name w:val="SoC heading bold Char"/>
    <w:basedOn w:val="Heading3Char"/>
    <w:link w:val="SoCheadingbold"/>
    <w:rsid w:val="004C3DFE"/>
    <w:rPr>
      <w:rFonts w:ascii="Times New Roman" w:eastAsiaTheme="majorEastAsia" w:hAnsi="Times New Roman" w:cs="Times New Roman"/>
      <w:b/>
      <w:color w:val="000000" w:themeColor="text1"/>
      <w:sz w:val="24"/>
      <w:szCs w:val="24"/>
      <w:u w:val="single"/>
      <w:lang w:eastAsia="en-AU"/>
    </w:rPr>
  </w:style>
  <w:style w:type="paragraph" w:customStyle="1" w:styleId="AttachmentTitle">
    <w:name w:val="Attachment Title"/>
    <w:basedOn w:val="Normal"/>
    <w:link w:val="AttachmentTitleChar"/>
    <w:qFormat/>
    <w:rsid w:val="004C3DFE"/>
    <w:pPr>
      <w:spacing w:before="0" w:after="240" w:line="259" w:lineRule="auto"/>
      <w:ind w:left="720"/>
      <w:jc w:val="right"/>
    </w:pPr>
    <w:rPr>
      <w:b/>
      <w:szCs w:val="24"/>
      <w:u w:val="single"/>
    </w:rPr>
  </w:style>
  <w:style w:type="character" w:customStyle="1" w:styleId="AttachmentTitleChar">
    <w:name w:val="Attachment Title Char"/>
    <w:basedOn w:val="DefaultParagraphFont"/>
    <w:link w:val="AttachmentTitle"/>
    <w:rsid w:val="004C3DFE"/>
    <w:rPr>
      <w:rFonts w:ascii="Times New Roman" w:eastAsia="Times New Roman" w:hAnsi="Times New Roman" w:cs="Times New Roman"/>
      <w:b/>
      <w:sz w:val="24"/>
      <w:szCs w:val="24"/>
      <w:u w:val="single"/>
      <w:lang w:eastAsia="en-AU"/>
    </w:rPr>
  </w:style>
  <w:style w:type="character" w:customStyle="1" w:styleId="Heading3Char">
    <w:name w:val="Heading 3 Char"/>
    <w:basedOn w:val="DefaultParagraphFont"/>
    <w:link w:val="Heading3"/>
    <w:uiPriority w:val="9"/>
    <w:rsid w:val="00B36290"/>
    <w:rPr>
      <w:rFonts w:ascii="Times New Roman" w:eastAsiaTheme="majorEastAsia" w:hAnsi="Times New Roman" w:cs="Times New Roman"/>
      <w:sz w:val="24"/>
      <w:szCs w:val="24"/>
      <w:u w:val="single"/>
      <w:lang w:eastAsia="en-AU"/>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4C3DFE"/>
    <w:rPr>
      <w:rFonts w:ascii="Times New Roman" w:eastAsia="Times New Roman" w:hAnsi="Times New Roman" w:cs="Times New Roman"/>
      <w:sz w:val="24"/>
      <w:szCs w:val="20"/>
      <w:lang w:eastAsia="en-AU"/>
    </w:rPr>
  </w:style>
  <w:style w:type="paragraph" w:customStyle="1" w:styleId="ESAttHeading">
    <w:name w:val="ESAtt_Heading"/>
    <w:basedOn w:val="Normal"/>
    <w:link w:val="ESAttHeadingChar"/>
    <w:qFormat/>
    <w:rsid w:val="004C3DFE"/>
    <w:pPr>
      <w:keepNext/>
      <w:spacing w:after="240" w:line="276" w:lineRule="auto"/>
    </w:pPr>
    <w:rPr>
      <w:rFonts w:eastAsiaTheme="minorHAnsi"/>
      <w:b/>
      <w:sz w:val="22"/>
      <w:szCs w:val="22"/>
      <w:lang w:eastAsia="en-US"/>
    </w:rPr>
  </w:style>
  <w:style w:type="paragraph" w:customStyle="1" w:styleId="ESAttNormal">
    <w:name w:val="ESAtt_Normal"/>
    <w:basedOn w:val="Normal"/>
    <w:link w:val="ESAttNormalChar"/>
    <w:qFormat/>
    <w:rsid w:val="004C3DFE"/>
    <w:pPr>
      <w:spacing w:after="240" w:line="276" w:lineRule="auto"/>
    </w:pPr>
    <w:rPr>
      <w:rFonts w:eastAsiaTheme="minorHAnsi"/>
      <w:sz w:val="22"/>
      <w:szCs w:val="22"/>
      <w:lang w:eastAsia="en-US"/>
    </w:rPr>
  </w:style>
  <w:style w:type="character" w:customStyle="1" w:styleId="ESAttHeadingChar">
    <w:name w:val="ESAtt_Heading Char"/>
    <w:basedOn w:val="DefaultParagraphFont"/>
    <w:link w:val="ESAttHeading"/>
    <w:rsid w:val="004C3DFE"/>
    <w:rPr>
      <w:rFonts w:ascii="Times New Roman" w:hAnsi="Times New Roman" w:cs="Times New Roman"/>
      <w:b/>
    </w:rPr>
  </w:style>
  <w:style w:type="character" w:customStyle="1" w:styleId="ESAttNormalChar">
    <w:name w:val="ESAtt_Normal Char"/>
    <w:basedOn w:val="DefaultParagraphFont"/>
    <w:link w:val="ESAttNormal"/>
    <w:rsid w:val="004C3DFE"/>
    <w:rPr>
      <w:rFonts w:ascii="Times New Roman" w:hAnsi="Times New Roman" w:cs="Times New Roman"/>
    </w:rPr>
  </w:style>
  <w:style w:type="paragraph" w:customStyle="1" w:styleId="Default">
    <w:name w:val="Default"/>
    <w:rsid w:val="004C3DFE"/>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Emphasis"/>
    <w:uiPriority w:val="21"/>
    <w:qFormat/>
    <w:rsid w:val="004C3DFE"/>
    <w:rPr>
      <w:rFonts w:ascii="Times New Roman" w:hAnsi="Times New Roman" w:cs="Times New Roman"/>
      <w:b/>
      <w:i/>
      <w:iCs w:val="0"/>
      <w:color w:val="auto"/>
    </w:rPr>
  </w:style>
  <w:style w:type="character" w:styleId="Emphasis">
    <w:name w:val="Emphasis"/>
    <w:basedOn w:val="DefaultParagraphFont"/>
    <w:uiPriority w:val="20"/>
    <w:qFormat/>
    <w:rsid w:val="004C3DFE"/>
    <w:rPr>
      <w:i/>
      <w:iCs/>
    </w:rPr>
  </w:style>
  <w:style w:type="character" w:customStyle="1" w:styleId="Heading1Char">
    <w:name w:val="Heading 1 Char"/>
    <w:basedOn w:val="DefaultParagraphFont"/>
    <w:link w:val="Heading1"/>
    <w:uiPriority w:val="9"/>
    <w:rsid w:val="00DF369F"/>
    <w:rPr>
      <w:rFonts w:asciiTheme="majorHAnsi" w:eastAsiaTheme="majorEastAsia" w:hAnsiTheme="majorHAnsi" w:cstheme="majorBidi"/>
      <w:color w:val="2E74B5" w:themeColor="accent1" w:themeShade="BF"/>
      <w:sz w:val="32"/>
      <w:szCs w:val="32"/>
      <w:lang w:eastAsia="en-AU"/>
    </w:rPr>
  </w:style>
  <w:style w:type="paragraph" w:styleId="BalloonText">
    <w:name w:val="Balloon Text"/>
    <w:basedOn w:val="Normal"/>
    <w:link w:val="BalloonTextChar"/>
    <w:uiPriority w:val="99"/>
    <w:semiHidden/>
    <w:unhideWhenUsed/>
    <w:rsid w:val="00EC64A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4A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92B33"/>
    <w:rPr>
      <w:sz w:val="16"/>
      <w:szCs w:val="16"/>
    </w:rPr>
  </w:style>
  <w:style w:type="paragraph" w:styleId="CommentText">
    <w:name w:val="annotation text"/>
    <w:basedOn w:val="Normal"/>
    <w:link w:val="CommentTextChar"/>
    <w:unhideWhenUsed/>
    <w:rsid w:val="00292B33"/>
    <w:rPr>
      <w:sz w:val="20"/>
    </w:rPr>
  </w:style>
  <w:style w:type="character" w:customStyle="1" w:styleId="CommentTextChar">
    <w:name w:val="Comment Text Char"/>
    <w:basedOn w:val="DefaultParagraphFont"/>
    <w:link w:val="CommentText"/>
    <w:uiPriority w:val="99"/>
    <w:rsid w:val="00292B3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92B33"/>
    <w:rPr>
      <w:b/>
      <w:bCs/>
    </w:rPr>
  </w:style>
  <w:style w:type="character" w:customStyle="1" w:styleId="CommentSubjectChar">
    <w:name w:val="Comment Subject Char"/>
    <w:basedOn w:val="CommentTextChar"/>
    <w:link w:val="CommentSubject"/>
    <w:uiPriority w:val="99"/>
    <w:semiHidden/>
    <w:rsid w:val="00292B33"/>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86499"/>
    <w:pPr>
      <w:tabs>
        <w:tab w:val="center" w:pos="4513"/>
        <w:tab w:val="right" w:pos="9026"/>
      </w:tabs>
      <w:spacing w:before="0"/>
    </w:pPr>
  </w:style>
  <w:style w:type="character" w:customStyle="1" w:styleId="HeaderChar">
    <w:name w:val="Header Char"/>
    <w:basedOn w:val="DefaultParagraphFont"/>
    <w:link w:val="Header"/>
    <w:uiPriority w:val="99"/>
    <w:rsid w:val="00286499"/>
    <w:rPr>
      <w:rFonts w:ascii="Times New Roman" w:eastAsia="Times New Roman" w:hAnsi="Times New Roman" w:cs="Times New Roman"/>
      <w:sz w:val="24"/>
      <w:szCs w:val="20"/>
      <w:lang w:eastAsia="en-AU"/>
    </w:rPr>
  </w:style>
  <w:style w:type="paragraph" w:customStyle="1" w:styleId="ESHeading">
    <w:name w:val="ES_Heading"/>
    <w:basedOn w:val="ListParagraph"/>
    <w:link w:val="ESHeadingChar"/>
    <w:qFormat/>
    <w:rsid w:val="001A579D"/>
    <w:pPr>
      <w:keepNext/>
      <w:spacing w:after="240" w:line="276" w:lineRule="auto"/>
      <w:ind w:left="0"/>
      <w:contextualSpacing w:val="0"/>
    </w:pPr>
    <w:rPr>
      <w:b/>
      <w:i/>
    </w:rPr>
  </w:style>
  <w:style w:type="character" w:customStyle="1" w:styleId="ESHeadingChar">
    <w:name w:val="ES_Heading Char"/>
    <w:basedOn w:val="ListParagraphChar"/>
    <w:link w:val="ESHeading"/>
    <w:rsid w:val="001A579D"/>
    <w:rPr>
      <w:rFonts w:ascii="Times New Roman" w:eastAsia="Times New Roman" w:hAnsi="Times New Roman" w:cs="Times New Roman"/>
      <w:b/>
      <w:i/>
      <w:sz w:val="24"/>
      <w:szCs w:val="20"/>
      <w:lang w:eastAsia="en-AU"/>
    </w:rPr>
  </w:style>
  <w:style w:type="paragraph" w:customStyle="1" w:styleId="BodyText10">
    <w:name w:val="Body Text1_0"/>
    <w:basedOn w:val="Normal"/>
    <w:rsid w:val="00EF3F8A"/>
    <w:rPr>
      <w:rFonts w:ascii="Arial" w:hAnsi="Arial" w:cs="Arial"/>
      <w:szCs w:val="24"/>
    </w:rPr>
  </w:style>
  <w:style w:type="paragraph" w:customStyle="1" w:styleId="ESSubparaHeader">
    <w:name w:val="ES_SubparaHeader"/>
    <w:basedOn w:val="ListParagraph"/>
    <w:next w:val="ESSubparaList"/>
    <w:link w:val="ESSubparaHeaderChar"/>
    <w:qFormat/>
    <w:rsid w:val="0042185E"/>
    <w:pPr>
      <w:keepNext/>
      <w:spacing w:after="240" w:line="276" w:lineRule="auto"/>
      <w:ind w:left="0"/>
      <w:contextualSpacing w:val="0"/>
    </w:pPr>
  </w:style>
  <w:style w:type="paragraph" w:customStyle="1" w:styleId="ESSubparaList">
    <w:name w:val="ES_SubparaList"/>
    <w:basedOn w:val="ListParagraph"/>
    <w:qFormat/>
    <w:rsid w:val="0042185E"/>
    <w:pPr>
      <w:spacing w:after="240" w:line="276" w:lineRule="auto"/>
      <w:ind w:left="0"/>
      <w:contextualSpacing w:val="0"/>
    </w:pPr>
    <w:rPr>
      <w:rFonts w:eastAsiaTheme="minorHAnsi"/>
      <w:sz w:val="22"/>
      <w:szCs w:val="22"/>
      <w:lang w:eastAsia="en-US"/>
    </w:rPr>
  </w:style>
  <w:style w:type="character" w:customStyle="1" w:styleId="ESSubparaHeaderChar">
    <w:name w:val="ES_SubparaHeader Char"/>
    <w:basedOn w:val="ListParagraphChar"/>
    <w:link w:val="ESSubparaHeader"/>
    <w:rsid w:val="0042185E"/>
    <w:rPr>
      <w:rFonts w:ascii="Times New Roman" w:eastAsia="Times New Roman" w:hAnsi="Times New Roman" w:cs="Times New Roman"/>
      <w:sz w:val="24"/>
      <w:szCs w:val="20"/>
      <w:lang w:eastAsia="en-AU"/>
    </w:rPr>
  </w:style>
  <w:style w:type="character" w:customStyle="1" w:styleId="CharItalic">
    <w:name w:val="CharItalic"/>
    <w:basedOn w:val="DefaultParagraphFont"/>
    <w:uiPriority w:val="1"/>
    <w:qFormat/>
    <w:rsid w:val="006F7FDD"/>
    <w:rPr>
      <w:i/>
    </w:rPr>
  </w:style>
  <w:style w:type="character" w:styleId="Hyperlink">
    <w:name w:val="Hyperlink"/>
    <w:basedOn w:val="DefaultParagraphFont"/>
    <w:uiPriority w:val="99"/>
    <w:semiHidden/>
    <w:unhideWhenUsed/>
    <w:rsid w:val="006F7FDD"/>
    <w:rPr>
      <w:color w:val="0000FF"/>
      <w:u w:val="single"/>
    </w:rPr>
  </w:style>
  <w:style w:type="paragraph" w:customStyle="1" w:styleId="ESPara">
    <w:name w:val="ES_Para"/>
    <w:basedOn w:val="ESSubparaHeader"/>
    <w:link w:val="ESParaChar"/>
    <w:qFormat/>
    <w:rsid w:val="00027F0F"/>
    <w:pPr>
      <w:keepNext w:val="0"/>
      <w:ind w:left="567" w:hanging="567"/>
    </w:pPr>
  </w:style>
  <w:style w:type="character" w:customStyle="1" w:styleId="ESParaChar">
    <w:name w:val="ES_Para Char"/>
    <w:basedOn w:val="ESSubparaHeaderChar"/>
    <w:link w:val="ESPara"/>
    <w:rsid w:val="00027F0F"/>
    <w:rPr>
      <w:rFonts w:ascii="Times New Roman" w:eastAsia="Times New Roman" w:hAnsi="Times New Roman" w:cs="Times New Roman"/>
      <w:sz w:val="24"/>
      <w:szCs w:val="20"/>
      <w:lang w:eastAsia="en-AU"/>
    </w:rPr>
  </w:style>
  <w:style w:type="character" w:styleId="PageNumber">
    <w:name w:val="page number"/>
    <w:basedOn w:val="DefaultParagraphFont"/>
    <w:rsid w:val="0090659F"/>
  </w:style>
  <w:style w:type="paragraph" w:customStyle="1" w:styleId="subsection">
    <w:name w:val="subsection"/>
    <w:aliases w:val="ss"/>
    <w:basedOn w:val="Normal"/>
    <w:link w:val="subsectionChar"/>
    <w:rsid w:val="00F34967"/>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34967"/>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D7A2A"/>
    <w:rPr>
      <w:color w:val="954F72" w:themeColor="followedHyperlink"/>
      <w:u w:val="single"/>
    </w:rPr>
  </w:style>
  <w:style w:type="paragraph" w:styleId="Revision">
    <w:name w:val="Revision"/>
    <w:hidden/>
    <w:uiPriority w:val="99"/>
    <w:semiHidden/>
    <w:rsid w:val="0055272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4163">
      <w:bodyDiv w:val="1"/>
      <w:marLeft w:val="0"/>
      <w:marRight w:val="0"/>
      <w:marTop w:val="0"/>
      <w:marBottom w:val="0"/>
      <w:divBdr>
        <w:top w:val="none" w:sz="0" w:space="0" w:color="auto"/>
        <w:left w:val="none" w:sz="0" w:space="0" w:color="auto"/>
        <w:bottom w:val="none" w:sz="0" w:space="0" w:color="auto"/>
        <w:right w:val="none" w:sz="0" w:space="0" w:color="auto"/>
      </w:divBdr>
      <w:divsChild>
        <w:div w:id="862404443">
          <w:marLeft w:val="0"/>
          <w:marRight w:val="0"/>
          <w:marTop w:val="0"/>
          <w:marBottom w:val="0"/>
          <w:divBdr>
            <w:top w:val="none" w:sz="0" w:space="0" w:color="auto"/>
            <w:left w:val="none" w:sz="0" w:space="0" w:color="auto"/>
            <w:bottom w:val="none" w:sz="0" w:space="0" w:color="auto"/>
            <w:right w:val="none" w:sz="0" w:space="0" w:color="auto"/>
          </w:divBdr>
        </w:div>
        <w:div w:id="580918116">
          <w:marLeft w:val="0"/>
          <w:marRight w:val="0"/>
          <w:marTop w:val="0"/>
          <w:marBottom w:val="0"/>
          <w:divBdr>
            <w:top w:val="none" w:sz="0" w:space="0" w:color="auto"/>
            <w:left w:val="none" w:sz="0" w:space="0" w:color="auto"/>
            <w:bottom w:val="none" w:sz="0" w:space="0" w:color="auto"/>
            <w:right w:val="none" w:sz="0" w:space="0" w:color="auto"/>
          </w:divBdr>
        </w:div>
        <w:div w:id="1677338560">
          <w:marLeft w:val="0"/>
          <w:marRight w:val="0"/>
          <w:marTop w:val="0"/>
          <w:marBottom w:val="0"/>
          <w:divBdr>
            <w:top w:val="none" w:sz="0" w:space="0" w:color="auto"/>
            <w:left w:val="none" w:sz="0" w:space="0" w:color="auto"/>
            <w:bottom w:val="none" w:sz="0" w:space="0" w:color="auto"/>
            <w:right w:val="none" w:sz="0" w:space="0" w:color="auto"/>
          </w:divBdr>
        </w:div>
        <w:div w:id="1998344727">
          <w:marLeft w:val="0"/>
          <w:marRight w:val="0"/>
          <w:marTop w:val="0"/>
          <w:marBottom w:val="0"/>
          <w:divBdr>
            <w:top w:val="none" w:sz="0" w:space="0" w:color="auto"/>
            <w:left w:val="none" w:sz="0" w:space="0" w:color="auto"/>
            <w:bottom w:val="none" w:sz="0" w:space="0" w:color="auto"/>
            <w:right w:val="none" w:sz="0" w:space="0" w:color="auto"/>
          </w:divBdr>
        </w:div>
        <w:div w:id="1715232865">
          <w:marLeft w:val="0"/>
          <w:marRight w:val="0"/>
          <w:marTop w:val="0"/>
          <w:marBottom w:val="0"/>
          <w:divBdr>
            <w:top w:val="none" w:sz="0" w:space="0" w:color="auto"/>
            <w:left w:val="none" w:sz="0" w:space="0" w:color="auto"/>
            <w:bottom w:val="none" w:sz="0" w:space="0" w:color="auto"/>
            <w:right w:val="none" w:sz="0" w:space="0" w:color="auto"/>
          </w:divBdr>
        </w:div>
        <w:div w:id="166095821">
          <w:marLeft w:val="0"/>
          <w:marRight w:val="0"/>
          <w:marTop w:val="0"/>
          <w:marBottom w:val="0"/>
          <w:divBdr>
            <w:top w:val="none" w:sz="0" w:space="0" w:color="auto"/>
            <w:left w:val="none" w:sz="0" w:space="0" w:color="auto"/>
            <w:bottom w:val="none" w:sz="0" w:space="0" w:color="auto"/>
            <w:right w:val="none" w:sz="0" w:space="0" w:color="auto"/>
          </w:divBdr>
        </w:div>
        <w:div w:id="799343532">
          <w:marLeft w:val="0"/>
          <w:marRight w:val="0"/>
          <w:marTop w:val="0"/>
          <w:marBottom w:val="0"/>
          <w:divBdr>
            <w:top w:val="none" w:sz="0" w:space="0" w:color="auto"/>
            <w:left w:val="none" w:sz="0" w:space="0" w:color="auto"/>
            <w:bottom w:val="none" w:sz="0" w:space="0" w:color="auto"/>
            <w:right w:val="none" w:sz="0" w:space="0" w:color="auto"/>
          </w:divBdr>
        </w:div>
        <w:div w:id="1974824729">
          <w:marLeft w:val="0"/>
          <w:marRight w:val="0"/>
          <w:marTop w:val="0"/>
          <w:marBottom w:val="0"/>
          <w:divBdr>
            <w:top w:val="none" w:sz="0" w:space="0" w:color="auto"/>
            <w:left w:val="none" w:sz="0" w:space="0" w:color="auto"/>
            <w:bottom w:val="none" w:sz="0" w:space="0" w:color="auto"/>
            <w:right w:val="none" w:sz="0" w:space="0" w:color="auto"/>
          </w:divBdr>
        </w:div>
        <w:div w:id="1111557927">
          <w:marLeft w:val="0"/>
          <w:marRight w:val="0"/>
          <w:marTop w:val="0"/>
          <w:marBottom w:val="0"/>
          <w:divBdr>
            <w:top w:val="none" w:sz="0" w:space="0" w:color="auto"/>
            <w:left w:val="none" w:sz="0" w:space="0" w:color="auto"/>
            <w:bottom w:val="none" w:sz="0" w:space="0" w:color="auto"/>
            <w:right w:val="none" w:sz="0" w:space="0" w:color="auto"/>
          </w:divBdr>
        </w:div>
        <w:div w:id="2146501957">
          <w:marLeft w:val="0"/>
          <w:marRight w:val="0"/>
          <w:marTop w:val="0"/>
          <w:marBottom w:val="0"/>
          <w:divBdr>
            <w:top w:val="none" w:sz="0" w:space="0" w:color="auto"/>
            <w:left w:val="none" w:sz="0" w:space="0" w:color="auto"/>
            <w:bottom w:val="none" w:sz="0" w:space="0" w:color="auto"/>
            <w:right w:val="none" w:sz="0" w:space="0" w:color="auto"/>
          </w:divBdr>
        </w:div>
        <w:div w:id="1093357662">
          <w:marLeft w:val="0"/>
          <w:marRight w:val="0"/>
          <w:marTop w:val="0"/>
          <w:marBottom w:val="0"/>
          <w:divBdr>
            <w:top w:val="none" w:sz="0" w:space="0" w:color="auto"/>
            <w:left w:val="none" w:sz="0" w:space="0" w:color="auto"/>
            <w:bottom w:val="none" w:sz="0" w:space="0" w:color="auto"/>
            <w:right w:val="none" w:sz="0" w:space="0" w:color="auto"/>
          </w:divBdr>
        </w:div>
        <w:div w:id="1186214800">
          <w:marLeft w:val="0"/>
          <w:marRight w:val="0"/>
          <w:marTop w:val="0"/>
          <w:marBottom w:val="0"/>
          <w:divBdr>
            <w:top w:val="none" w:sz="0" w:space="0" w:color="auto"/>
            <w:left w:val="none" w:sz="0" w:space="0" w:color="auto"/>
            <w:bottom w:val="none" w:sz="0" w:space="0" w:color="auto"/>
            <w:right w:val="none" w:sz="0" w:space="0" w:color="auto"/>
          </w:divBdr>
        </w:div>
        <w:div w:id="1057126683">
          <w:marLeft w:val="0"/>
          <w:marRight w:val="0"/>
          <w:marTop w:val="0"/>
          <w:marBottom w:val="0"/>
          <w:divBdr>
            <w:top w:val="none" w:sz="0" w:space="0" w:color="auto"/>
            <w:left w:val="none" w:sz="0" w:space="0" w:color="auto"/>
            <w:bottom w:val="none" w:sz="0" w:space="0" w:color="auto"/>
            <w:right w:val="none" w:sz="0" w:space="0" w:color="auto"/>
          </w:divBdr>
        </w:div>
        <w:div w:id="725374028">
          <w:marLeft w:val="0"/>
          <w:marRight w:val="0"/>
          <w:marTop w:val="0"/>
          <w:marBottom w:val="0"/>
          <w:divBdr>
            <w:top w:val="none" w:sz="0" w:space="0" w:color="auto"/>
            <w:left w:val="none" w:sz="0" w:space="0" w:color="auto"/>
            <w:bottom w:val="none" w:sz="0" w:space="0" w:color="auto"/>
            <w:right w:val="none" w:sz="0" w:space="0" w:color="auto"/>
          </w:divBdr>
        </w:div>
      </w:divsChild>
    </w:div>
    <w:div w:id="1066301217">
      <w:bodyDiv w:val="1"/>
      <w:marLeft w:val="0"/>
      <w:marRight w:val="0"/>
      <w:marTop w:val="0"/>
      <w:marBottom w:val="0"/>
      <w:divBdr>
        <w:top w:val="none" w:sz="0" w:space="0" w:color="auto"/>
        <w:left w:val="none" w:sz="0" w:space="0" w:color="auto"/>
        <w:bottom w:val="none" w:sz="0" w:space="0" w:color="auto"/>
        <w:right w:val="none" w:sz="0" w:space="0" w:color="auto"/>
      </w:divBdr>
    </w:div>
    <w:div w:id="1479222584">
      <w:bodyDiv w:val="1"/>
      <w:marLeft w:val="0"/>
      <w:marRight w:val="0"/>
      <w:marTop w:val="0"/>
      <w:marBottom w:val="0"/>
      <w:divBdr>
        <w:top w:val="none" w:sz="0" w:space="0" w:color="auto"/>
        <w:left w:val="none" w:sz="0" w:space="0" w:color="auto"/>
        <w:bottom w:val="none" w:sz="0" w:space="0" w:color="auto"/>
        <w:right w:val="none" w:sz="0" w:space="0" w:color="auto"/>
      </w:divBdr>
    </w:div>
    <w:div w:id="1648125151">
      <w:bodyDiv w:val="1"/>
      <w:marLeft w:val="0"/>
      <w:marRight w:val="0"/>
      <w:marTop w:val="0"/>
      <w:marBottom w:val="0"/>
      <w:divBdr>
        <w:top w:val="none" w:sz="0" w:space="0" w:color="auto"/>
        <w:left w:val="none" w:sz="0" w:space="0" w:color="auto"/>
        <w:bottom w:val="none" w:sz="0" w:space="0" w:color="auto"/>
        <w:right w:val="none" w:sz="0" w:space="0" w:color="auto"/>
      </w:divBdr>
    </w:div>
    <w:div w:id="19451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15E129192BB642A59BA184A2D35B8E" ma:contentTypeVersion="" ma:contentTypeDescription="PDMS Document Site Content Type" ma:contentTypeScope="" ma:versionID="cbc2505e2244e8bf4e2108f9ade34fd9">
  <xsd:schema xmlns:xsd="http://www.w3.org/2001/XMLSchema" xmlns:xs="http://www.w3.org/2001/XMLSchema" xmlns:p="http://schemas.microsoft.com/office/2006/metadata/properties" xmlns:ns2="58D7D6A1-9DA6-49A6-825A-F82A86724281" targetNamespace="http://schemas.microsoft.com/office/2006/metadata/properties" ma:root="true" ma:fieldsID="2f590ca8eb54721a3ca583ad4a553a0e" ns2:_="">
    <xsd:import namespace="58D7D6A1-9DA6-49A6-825A-F82A8672428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7D6A1-9DA6-49A6-825A-F82A8672428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8D7D6A1-9DA6-49A6-825A-F82A867242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D48C-18B4-4A30-99DE-292A6AD43484}">
  <ds:schemaRefs>
    <ds:schemaRef ds:uri="http://schemas.microsoft.com/sharepoint/v3/contenttype/forms"/>
  </ds:schemaRefs>
</ds:datastoreItem>
</file>

<file path=customXml/itemProps2.xml><?xml version="1.0" encoding="utf-8"?>
<ds:datastoreItem xmlns:ds="http://schemas.openxmlformats.org/officeDocument/2006/customXml" ds:itemID="{BF31A709-AC2C-424D-A8C1-A18BBAB0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7D6A1-9DA6-49A6-825A-F82A86724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368DA-869B-4BD1-8265-F09ACF15FF7C}">
  <ds:schemaRefs>
    <ds:schemaRef ds:uri="http://schemas.microsoft.com/office/2006/metadata/properties"/>
    <ds:schemaRef ds:uri="http://purl.org/dc/terms/"/>
    <ds:schemaRef ds:uri="58D7D6A1-9DA6-49A6-825A-F82A8672428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8F2A88C-A315-440A-A5E4-FF6EF0A1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2024-05-01T06:24:00Z</dcterms:created>
  <dcterms:modified xsi:type="dcterms:W3CDTF">2024-05-01T06:24:00Z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0x010100266966F133664895A6EE3632470D45F5009515E129192BB642A59BA184A2D35B8E</vt:lpwstr>
  </property>
  <property fmtid="{D5CDD505-2E9C-101B-9397-08002B2CF9AE}" pid="3" name="ClassificationContentMarkingHeaderShapeIds">
    <vt:lpwstr>300333ea,42177249,627038a</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vt:lpwstr>
  </property>
  <property fmtid="{D5CDD505-2E9C-101B-9397-08002B2CF9AE}" pid="6" name="ClassificationContentMarkingFooterShapeIds">
    <vt:lpwstr>53af6ce2,7da40809,652eee22</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vt:lpwstr>
  </property>
  <property fmtid="{D5CDD505-2E9C-101B-9397-08002B2CF9AE}" pid="9" name="MSIP_Label_cee8071d-78f9-4f0e-928f-116c5015dd1b_Enabled">
    <vt:lpwstr>true</vt:lpwstr>
  </property>
  <property fmtid="{D5CDD505-2E9C-101B-9397-08002B2CF9AE}" pid="10" name="MSIP_Label_cee8071d-78f9-4f0e-928f-116c5015dd1b_SetDate">
    <vt:lpwstr>2024-04-09T03:24:58Z</vt:lpwstr>
  </property>
  <property fmtid="{D5CDD505-2E9C-101B-9397-08002B2CF9AE}" pid="11" name="MSIP_Label_cee8071d-78f9-4f0e-928f-116c5015dd1b_Method">
    <vt:lpwstr>Privileged</vt:lpwstr>
  </property>
  <property fmtid="{D5CDD505-2E9C-101B-9397-08002B2CF9AE}" pid="12" name="MSIP_Label_cee8071d-78f9-4f0e-928f-116c5015dd1b_Name">
    <vt:lpwstr>OS</vt:lpwstr>
  </property>
  <property fmtid="{D5CDD505-2E9C-101B-9397-08002B2CF9AE}" pid="13" name="MSIP_Label_cee8071d-78f9-4f0e-928f-116c5015dd1b_SiteId">
    <vt:lpwstr>6872c766-c4c7-42a9-a973-8671fad5e15a</vt:lpwstr>
  </property>
  <property fmtid="{D5CDD505-2E9C-101B-9397-08002B2CF9AE}" pid="14" name="MSIP_Label_cee8071d-78f9-4f0e-928f-116c5015dd1b_ActionId">
    <vt:lpwstr>d4ad7c6c-6c04-4e58-8237-a1795bce63b0</vt:lpwstr>
  </property>
  <property fmtid="{D5CDD505-2E9C-101B-9397-08002B2CF9AE}" pid="15" name="MSIP_Label_cee8071d-78f9-4f0e-928f-116c5015dd1b_ContentBits">
    <vt:lpwstr>3</vt:lpwstr>
  </property>
</Properties>
</file>