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1B8B" w14:textId="77777777" w:rsidR="00FB640B" w:rsidRPr="00D95FE5" w:rsidRDefault="0057002B" w:rsidP="00BB0CF2">
      <w:pPr>
        <w:pStyle w:val="ESTitleHeader"/>
        <w:rPr>
          <w:sz w:val="24"/>
          <w:szCs w:val="24"/>
        </w:rPr>
      </w:pPr>
      <w:r w:rsidRPr="00D95FE5">
        <w:rPr>
          <w:sz w:val="24"/>
          <w:szCs w:val="24"/>
        </w:rPr>
        <w:t>EXPLANATORY STATEMENT</w:t>
      </w:r>
    </w:p>
    <w:p w14:paraId="07B68C2D" w14:textId="77777777" w:rsidR="0057002B" w:rsidRPr="00D95FE5" w:rsidRDefault="0057002B" w:rsidP="00BB0CF2">
      <w:pPr>
        <w:pStyle w:val="ESTitleDecisionMaker"/>
        <w:rPr>
          <w:sz w:val="24"/>
          <w:szCs w:val="24"/>
        </w:rPr>
      </w:pPr>
      <w:r w:rsidRPr="00D95FE5">
        <w:rPr>
          <w:sz w:val="24"/>
          <w:szCs w:val="24"/>
        </w:rPr>
        <w:t xml:space="preserve">Issued by authority of the </w:t>
      </w:r>
      <w:r w:rsidR="00A72F06" w:rsidRPr="00D95FE5">
        <w:rPr>
          <w:sz w:val="24"/>
          <w:szCs w:val="24"/>
        </w:rPr>
        <w:t>Minister for Immigration, Citizenship and Multicultural Affairs</w:t>
      </w:r>
    </w:p>
    <w:p w14:paraId="012C4450" w14:textId="0C76A90B" w:rsidR="0057002B" w:rsidRPr="00D95FE5" w:rsidRDefault="00A72F06" w:rsidP="00BB0CF2">
      <w:pPr>
        <w:pStyle w:val="ESTitleEnablingLegislation"/>
        <w:rPr>
          <w:sz w:val="24"/>
          <w:szCs w:val="24"/>
        </w:rPr>
      </w:pPr>
      <w:r w:rsidRPr="00D95FE5">
        <w:rPr>
          <w:sz w:val="24"/>
          <w:szCs w:val="24"/>
        </w:rPr>
        <w:t xml:space="preserve">Migration </w:t>
      </w:r>
      <w:r w:rsidR="00632508" w:rsidRPr="00D95FE5">
        <w:rPr>
          <w:sz w:val="24"/>
          <w:szCs w:val="24"/>
        </w:rPr>
        <w:t>Regulations</w:t>
      </w:r>
      <w:r w:rsidRPr="00D95FE5">
        <w:rPr>
          <w:sz w:val="24"/>
          <w:szCs w:val="24"/>
        </w:rPr>
        <w:t xml:space="preserve"> </w:t>
      </w:r>
      <w:r w:rsidR="00632508" w:rsidRPr="00D95FE5">
        <w:rPr>
          <w:sz w:val="24"/>
          <w:szCs w:val="24"/>
        </w:rPr>
        <w:t>1994</w:t>
      </w:r>
    </w:p>
    <w:p w14:paraId="1A4559C0" w14:textId="7A6D8D25" w:rsidR="0057002B" w:rsidRPr="00D95FE5" w:rsidRDefault="003F6E5B" w:rsidP="00BB0CF2">
      <w:pPr>
        <w:pStyle w:val="ESTitleInstrumentName"/>
        <w:rPr>
          <w:sz w:val="24"/>
          <w:szCs w:val="24"/>
        </w:rPr>
      </w:pPr>
      <w:r w:rsidRPr="00D95FE5">
        <w:rPr>
          <w:sz w:val="24"/>
          <w:szCs w:val="24"/>
        </w:rPr>
        <w:t>Migration (</w:t>
      </w:r>
      <w:r w:rsidR="004D7993" w:rsidRPr="00D95FE5">
        <w:rPr>
          <w:sz w:val="24"/>
          <w:szCs w:val="24"/>
        </w:rPr>
        <w:t>English Language Requir</w:t>
      </w:r>
      <w:bookmarkStart w:id="0" w:name="_GoBack"/>
      <w:bookmarkEnd w:id="0"/>
      <w:r w:rsidR="004D7993" w:rsidRPr="00D95FE5">
        <w:rPr>
          <w:sz w:val="24"/>
          <w:szCs w:val="24"/>
        </w:rPr>
        <w:t>ements for Subclass 192 (Pacific Engagement) Visa</w:t>
      </w:r>
      <w:r w:rsidRPr="00D95FE5">
        <w:rPr>
          <w:sz w:val="24"/>
          <w:szCs w:val="24"/>
        </w:rPr>
        <w:t>) Instrument (LIN 2</w:t>
      </w:r>
      <w:r w:rsidR="004D7993" w:rsidRPr="00D95FE5">
        <w:rPr>
          <w:sz w:val="24"/>
          <w:szCs w:val="24"/>
        </w:rPr>
        <w:t>4</w:t>
      </w:r>
      <w:r w:rsidRPr="00D95FE5">
        <w:rPr>
          <w:sz w:val="24"/>
          <w:szCs w:val="24"/>
        </w:rPr>
        <w:t>/0</w:t>
      </w:r>
      <w:r w:rsidR="004D7993" w:rsidRPr="00D95FE5">
        <w:rPr>
          <w:sz w:val="24"/>
          <w:szCs w:val="24"/>
        </w:rPr>
        <w:t>23</w:t>
      </w:r>
      <w:r w:rsidRPr="00D95FE5">
        <w:rPr>
          <w:sz w:val="24"/>
          <w:szCs w:val="24"/>
        </w:rPr>
        <w:t>) 202</w:t>
      </w:r>
      <w:r w:rsidR="004D7993" w:rsidRPr="00D95FE5">
        <w:rPr>
          <w:sz w:val="24"/>
          <w:szCs w:val="24"/>
        </w:rPr>
        <w:t>4</w:t>
      </w:r>
    </w:p>
    <w:p w14:paraId="0E7C94CE" w14:textId="34B871DE" w:rsidR="00EA0E6C" w:rsidRPr="00D95FE5" w:rsidRDefault="0057002B" w:rsidP="00392A1B">
      <w:pPr>
        <w:pStyle w:val="ESPara"/>
        <w:rPr>
          <w:sz w:val="24"/>
          <w:szCs w:val="24"/>
        </w:rPr>
      </w:pPr>
      <w:r w:rsidRPr="00D95FE5">
        <w:rPr>
          <w:sz w:val="24"/>
          <w:szCs w:val="24"/>
        </w:rPr>
        <w:t>The instrument, Departmental reference LIN</w:t>
      </w:r>
      <w:r w:rsidR="00126EE3" w:rsidRPr="00D95FE5">
        <w:rPr>
          <w:sz w:val="24"/>
          <w:szCs w:val="24"/>
        </w:rPr>
        <w:t> </w:t>
      </w:r>
      <w:r w:rsidR="00D01F77" w:rsidRPr="00D95FE5">
        <w:rPr>
          <w:sz w:val="24"/>
          <w:szCs w:val="24"/>
        </w:rPr>
        <w:t>2</w:t>
      </w:r>
      <w:r w:rsidR="007C02F8" w:rsidRPr="00D95FE5">
        <w:rPr>
          <w:sz w:val="24"/>
          <w:szCs w:val="24"/>
        </w:rPr>
        <w:t>4</w:t>
      </w:r>
      <w:r w:rsidR="00D01F77" w:rsidRPr="00D95FE5">
        <w:rPr>
          <w:sz w:val="24"/>
          <w:szCs w:val="24"/>
        </w:rPr>
        <w:t>/0</w:t>
      </w:r>
      <w:r w:rsidR="007C02F8" w:rsidRPr="00D95FE5">
        <w:rPr>
          <w:sz w:val="24"/>
          <w:szCs w:val="24"/>
        </w:rPr>
        <w:t>23</w:t>
      </w:r>
      <w:r w:rsidRPr="00D95FE5">
        <w:rPr>
          <w:sz w:val="24"/>
          <w:szCs w:val="24"/>
        </w:rPr>
        <w:t xml:space="preserve">, </w:t>
      </w:r>
      <w:proofErr w:type="gramStart"/>
      <w:r w:rsidRPr="00D95FE5">
        <w:rPr>
          <w:sz w:val="24"/>
          <w:szCs w:val="24"/>
        </w:rPr>
        <w:t>is made</w:t>
      </w:r>
      <w:proofErr w:type="gramEnd"/>
      <w:r w:rsidRPr="00D95FE5">
        <w:rPr>
          <w:sz w:val="24"/>
          <w:szCs w:val="24"/>
        </w:rPr>
        <w:t xml:space="preserve"> under </w:t>
      </w:r>
      <w:r w:rsidR="00126EE3" w:rsidRPr="00D95FE5">
        <w:rPr>
          <w:sz w:val="24"/>
          <w:szCs w:val="24"/>
        </w:rPr>
        <w:t xml:space="preserve">clause </w:t>
      </w:r>
      <w:r w:rsidR="00F24D89" w:rsidRPr="00D95FE5">
        <w:rPr>
          <w:sz w:val="24"/>
          <w:szCs w:val="24"/>
        </w:rPr>
        <w:t>192.214</w:t>
      </w:r>
      <w:r w:rsidR="00C47937" w:rsidRPr="00D95FE5">
        <w:rPr>
          <w:sz w:val="24"/>
          <w:szCs w:val="24"/>
        </w:rPr>
        <w:t xml:space="preserve"> of Schedule 2</w:t>
      </w:r>
      <w:r w:rsidR="00F24D89" w:rsidRPr="00D95FE5">
        <w:rPr>
          <w:sz w:val="24"/>
          <w:szCs w:val="24"/>
        </w:rPr>
        <w:t xml:space="preserve"> to</w:t>
      </w:r>
      <w:r w:rsidRPr="00D95FE5">
        <w:rPr>
          <w:sz w:val="24"/>
          <w:szCs w:val="24"/>
        </w:rPr>
        <w:t xml:space="preserve"> the </w:t>
      </w:r>
      <w:r w:rsidRPr="00D95FE5">
        <w:rPr>
          <w:i/>
          <w:sz w:val="24"/>
          <w:szCs w:val="24"/>
        </w:rPr>
        <w:t>Migration Regulations 1994</w:t>
      </w:r>
      <w:r w:rsidR="00A72F06" w:rsidRPr="00D95FE5">
        <w:rPr>
          <w:sz w:val="24"/>
          <w:szCs w:val="24"/>
        </w:rPr>
        <w:t xml:space="preserve"> (the Migration Regulations)</w:t>
      </w:r>
      <w:r w:rsidR="00EA0E6C" w:rsidRPr="00D95FE5">
        <w:rPr>
          <w:sz w:val="24"/>
          <w:szCs w:val="24"/>
        </w:rPr>
        <w:t xml:space="preserve">. </w:t>
      </w:r>
    </w:p>
    <w:p w14:paraId="0C9E215D" w14:textId="76362196" w:rsidR="00BD598E" w:rsidRPr="00D95FE5" w:rsidRDefault="001E4A30" w:rsidP="007A57CE">
      <w:pPr>
        <w:pStyle w:val="ESPara"/>
        <w:rPr>
          <w:sz w:val="24"/>
          <w:szCs w:val="24"/>
        </w:rPr>
      </w:pPr>
      <w:r w:rsidRPr="00D95FE5">
        <w:rPr>
          <w:sz w:val="24"/>
          <w:szCs w:val="24"/>
        </w:rPr>
        <w:t>The instrument commences</w:t>
      </w:r>
      <w:r w:rsidR="00423F97" w:rsidRPr="00D95FE5">
        <w:rPr>
          <w:sz w:val="24"/>
          <w:szCs w:val="24"/>
        </w:rPr>
        <w:t xml:space="preserve"> </w:t>
      </w:r>
      <w:r w:rsidR="004C4389" w:rsidRPr="00D95FE5">
        <w:rPr>
          <w:sz w:val="24"/>
        </w:rPr>
        <w:t>on the day after the instrument is registered</w:t>
      </w:r>
      <w:r w:rsidR="00D2570C" w:rsidRPr="00D95FE5">
        <w:rPr>
          <w:sz w:val="24"/>
        </w:rPr>
        <w:t>. It is</w:t>
      </w:r>
      <w:r w:rsidR="00D823DB" w:rsidRPr="00D95FE5">
        <w:rPr>
          <w:sz w:val="24"/>
          <w:szCs w:val="24"/>
        </w:rPr>
        <w:t xml:space="preserve"> </w:t>
      </w:r>
      <w:r w:rsidR="00BD598E" w:rsidRPr="00D95FE5">
        <w:rPr>
          <w:sz w:val="24"/>
          <w:szCs w:val="24"/>
        </w:rPr>
        <w:t xml:space="preserve">a </w:t>
      </w:r>
      <w:r w:rsidR="00AA4557" w:rsidRPr="00D95FE5">
        <w:rPr>
          <w:sz w:val="24"/>
          <w:szCs w:val="24"/>
        </w:rPr>
        <w:t>legislative</w:t>
      </w:r>
      <w:r w:rsidR="00BD598E" w:rsidRPr="00D95FE5">
        <w:rPr>
          <w:sz w:val="24"/>
          <w:szCs w:val="24"/>
        </w:rPr>
        <w:t xml:space="preserve"> instrument for </w:t>
      </w:r>
      <w:r w:rsidR="00B75478" w:rsidRPr="00D95FE5">
        <w:rPr>
          <w:sz w:val="24"/>
          <w:szCs w:val="24"/>
        </w:rPr>
        <w:t xml:space="preserve">the </w:t>
      </w:r>
      <w:r w:rsidR="00126EE3" w:rsidRPr="00D95FE5">
        <w:rPr>
          <w:sz w:val="24"/>
          <w:szCs w:val="24"/>
        </w:rPr>
        <w:t xml:space="preserve">purposes of the </w:t>
      </w:r>
      <w:r w:rsidR="00100DFC" w:rsidRPr="00D95FE5">
        <w:rPr>
          <w:i/>
          <w:sz w:val="24"/>
          <w:szCs w:val="24"/>
        </w:rPr>
        <w:t>Legislation Act 2003</w:t>
      </w:r>
      <w:r w:rsidR="00100DFC" w:rsidRPr="00D95FE5">
        <w:rPr>
          <w:sz w:val="24"/>
          <w:szCs w:val="24"/>
        </w:rPr>
        <w:t xml:space="preserve"> (the Legislation Act)</w:t>
      </w:r>
      <w:r w:rsidR="00BD598E" w:rsidRPr="00D95FE5">
        <w:rPr>
          <w:sz w:val="24"/>
          <w:szCs w:val="24"/>
        </w:rPr>
        <w:t xml:space="preserve">. </w:t>
      </w:r>
    </w:p>
    <w:p w14:paraId="29729240" w14:textId="77777777" w:rsidR="00EA12C9" w:rsidRPr="00D95FE5" w:rsidRDefault="00BD598E" w:rsidP="00100DFC">
      <w:pPr>
        <w:pStyle w:val="ESHeading"/>
        <w:rPr>
          <w:sz w:val="24"/>
          <w:szCs w:val="24"/>
        </w:rPr>
      </w:pPr>
      <w:r w:rsidRPr="00D95FE5">
        <w:rPr>
          <w:sz w:val="24"/>
          <w:szCs w:val="24"/>
        </w:rPr>
        <w:t>Purpose</w:t>
      </w:r>
      <w:r w:rsidR="00BB0CF2" w:rsidRPr="00D95FE5">
        <w:rPr>
          <w:sz w:val="24"/>
          <w:szCs w:val="24"/>
        </w:rPr>
        <w:t xml:space="preserve"> </w:t>
      </w:r>
    </w:p>
    <w:p w14:paraId="42DF8A05" w14:textId="4BEC0852" w:rsidR="00374013" w:rsidRPr="00D95FE5" w:rsidRDefault="00374013" w:rsidP="008736A7">
      <w:pPr>
        <w:pStyle w:val="ESSubparaHeader"/>
        <w:rPr>
          <w:sz w:val="24"/>
          <w:szCs w:val="24"/>
          <w:shd w:val="clear" w:color="auto" w:fill="FFFFFF"/>
        </w:rPr>
      </w:pPr>
      <w:r w:rsidRPr="00D95FE5">
        <w:rPr>
          <w:sz w:val="24"/>
          <w:szCs w:val="24"/>
        </w:rPr>
        <w:t xml:space="preserve">The instrument </w:t>
      </w:r>
      <w:r w:rsidR="00423F97" w:rsidRPr="00D95FE5">
        <w:rPr>
          <w:sz w:val="24"/>
          <w:szCs w:val="24"/>
        </w:rPr>
        <w:t>specifies</w:t>
      </w:r>
      <w:r w:rsidR="00057CDC" w:rsidRPr="00D95FE5">
        <w:rPr>
          <w:sz w:val="24"/>
          <w:szCs w:val="24"/>
        </w:rPr>
        <w:t>,</w:t>
      </w:r>
      <w:r w:rsidRPr="00D95FE5">
        <w:rPr>
          <w:sz w:val="24"/>
          <w:szCs w:val="24"/>
        </w:rPr>
        <w:t xml:space="preserve"> for the purposes of clause 192.214 of Schedule 2 to the Migration </w:t>
      </w:r>
      <w:r w:rsidR="003A0FDC" w:rsidRPr="00D95FE5">
        <w:rPr>
          <w:sz w:val="24"/>
          <w:szCs w:val="24"/>
        </w:rPr>
        <w:t>R</w:t>
      </w:r>
      <w:r w:rsidRPr="00D95FE5">
        <w:rPr>
          <w:sz w:val="24"/>
          <w:szCs w:val="24"/>
        </w:rPr>
        <w:t>egulations,</w:t>
      </w:r>
      <w:r w:rsidR="002F147C" w:rsidRPr="00D95FE5">
        <w:rPr>
          <w:sz w:val="24"/>
          <w:szCs w:val="24"/>
        </w:rPr>
        <w:t xml:space="preserve"> </w:t>
      </w:r>
      <w:r w:rsidR="004D553D" w:rsidRPr="00D95FE5">
        <w:rPr>
          <w:sz w:val="24"/>
          <w:szCs w:val="24"/>
        </w:rPr>
        <w:t xml:space="preserve">English </w:t>
      </w:r>
      <w:r w:rsidR="00126EE3" w:rsidRPr="00D95FE5">
        <w:rPr>
          <w:sz w:val="24"/>
          <w:szCs w:val="24"/>
        </w:rPr>
        <w:t>l</w:t>
      </w:r>
      <w:r w:rsidR="004D553D" w:rsidRPr="00D95FE5">
        <w:rPr>
          <w:sz w:val="24"/>
          <w:szCs w:val="24"/>
        </w:rPr>
        <w:t>anguage test requirements</w:t>
      </w:r>
      <w:r w:rsidRPr="00D95FE5">
        <w:rPr>
          <w:sz w:val="24"/>
          <w:szCs w:val="24"/>
        </w:rPr>
        <w:t xml:space="preserve"> that an applicant (or the applicant’s spouse of de facto partner</w:t>
      </w:r>
      <w:r w:rsidR="000847CC" w:rsidRPr="00D95FE5">
        <w:rPr>
          <w:sz w:val="24"/>
          <w:szCs w:val="24"/>
        </w:rPr>
        <w:t>,</w:t>
      </w:r>
      <w:r w:rsidRPr="00D95FE5">
        <w:rPr>
          <w:sz w:val="24"/>
          <w:szCs w:val="24"/>
        </w:rPr>
        <w:t xml:space="preserve"> if making a combined application) </w:t>
      </w:r>
      <w:r w:rsidR="000847CC" w:rsidRPr="00D95FE5">
        <w:rPr>
          <w:sz w:val="24"/>
          <w:szCs w:val="24"/>
        </w:rPr>
        <w:t xml:space="preserve">may be required to satisfy </w:t>
      </w:r>
      <w:r w:rsidRPr="00D95FE5">
        <w:rPr>
          <w:sz w:val="24"/>
          <w:szCs w:val="24"/>
        </w:rPr>
        <w:t>for a Subclass 192 (Pacific Engagement) visa.</w:t>
      </w:r>
    </w:p>
    <w:p w14:paraId="284261DD" w14:textId="528A284A" w:rsidR="008A655A" w:rsidRPr="00D95FE5" w:rsidRDefault="008736A7" w:rsidP="008736A7">
      <w:pPr>
        <w:pStyle w:val="ESSubparaHeader"/>
        <w:numPr>
          <w:ilvl w:val="0"/>
          <w:numId w:val="0"/>
        </w:numPr>
        <w:rPr>
          <w:b/>
          <w:i/>
          <w:sz w:val="24"/>
          <w:szCs w:val="24"/>
        </w:rPr>
      </w:pPr>
      <w:r w:rsidRPr="00D95FE5">
        <w:rPr>
          <w:b/>
          <w:i/>
          <w:sz w:val="24"/>
          <w:szCs w:val="24"/>
        </w:rPr>
        <w:t>Background</w:t>
      </w:r>
    </w:p>
    <w:p w14:paraId="5E338890" w14:textId="03B17A29" w:rsidR="008A655A" w:rsidRPr="00D95FE5" w:rsidRDefault="008A655A" w:rsidP="00BB0CF2">
      <w:pPr>
        <w:pStyle w:val="ESSubparaHeader"/>
        <w:rPr>
          <w:sz w:val="24"/>
          <w:szCs w:val="24"/>
          <w:shd w:val="clear" w:color="auto" w:fill="FFFFFF"/>
        </w:rPr>
      </w:pPr>
      <w:r w:rsidRPr="00D95FE5">
        <w:rPr>
          <w:sz w:val="24"/>
          <w:szCs w:val="24"/>
          <w:shd w:val="clear" w:color="auto" w:fill="FFFFFF"/>
        </w:rPr>
        <w:t xml:space="preserve">The </w:t>
      </w:r>
      <w:r w:rsidRPr="00D95FE5">
        <w:rPr>
          <w:i/>
          <w:sz w:val="24"/>
          <w:szCs w:val="24"/>
          <w:shd w:val="clear" w:color="auto" w:fill="FFFFFF"/>
        </w:rPr>
        <w:t xml:space="preserve">Migration Amendment (Subclass 192 (Pacific Engagement) Visa) Regulations 2024 </w:t>
      </w:r>
      <w:proofErr w:type="gramStart"/>
      <w:r w:rsidRPr="00D95FE5">
        <w:rPr>
          <w:sz w:val="24"/>
          <w:szCs w:val="24"/>
          <w:shd w:val="clear" w:color="auto" w:fill="FFFFFF"/>
        </w:rPr>
        <w:t>amended</w:t>
      </w:r>
      <w:proofErr w:type="gramEnd"/>
      <w:r w:rsidRPr="00D95FE5">
        <w:rPr>
          <w:sz w:val="24"/>
          <w:szCs w:val="24"/>
          <w:shd w:val="clear" w:color="auto" w:fill="FFFFFF"/>
        </w:rPr>
        <w:t xml:space="preserve"> the Migration Regulations to introduce a new permanent Subclass 192 (Pacific Engagement) visa</w:t>
      </w:r>
      <w:r w:rsidR="00D72B78" w:rsidRPr="00D95FE5">
        <w:rPr>
          <w:sz w:val="24"/>
          <w:szCs w:val="24"/>
          <w:shd w:val="clear" w:color="auto" w:fill="FFFFFF"/>
        </w:rPr>
        <w:t xml:space="preserve"> (the Pacific Engagement visa)</w:t>
      </w:r>
      <w:r w:rsidRPr="00D95FE5">
        <w:rPr>
          <w:sz w:val="24"/>
          <w:szCs w:val="24"/>
          <w:shd w:val="clear" w:color="auto" w:fill="FFFFFF"/>
        </w:rPr>
        <w:t xml:space="preserve">. The Pacific Engagement visa provides an avenue to permanent residence in Australia for </w:t>
      </w:r>
      <w:r w:rsidR="00BA58CA" w:rsidRPr="00D95FE5">
        <w:rPr>
          <w:sz w:val="24"/>
          <w:szCs w:val="24"/>
          <w:shd w:val="clear" w:color="auto" w:fill="FFFFFF"/>
        </w:rPr>
        <w:t xml:space="preserve">eligible </w:t>
      </w:r>
      <w:r w:rsidRPr="00D95FE5">
        <w:rPr>
          <w:sz w:val="24"/>
          <w:szCs w:val="24"/>
          <w:shd w:val="clear" w:color="auto" w:fill="FFFFFF"/>
        </w:rPr>
        <w:t>citizens of a number of Pacific island countries and Timor-Leste, and members of their family units</w:t>
      </w:r>
      <w:r w:rsidR="008736A7" w:rsidRPr="00D95FE5">
        <w:rPr>
          <w:sz w:val="24"/>
          <w:szCs w:val="24"/>
          <w:shd w:val="clear" w:color="auto" w:fill="FFFFFF"/>
        </w:rPr>
        <w:t xml:space="preserve">, who </w:t>
      </w:r>
      <w:proofErr w:type="gramStart"/>
      <w:r w:rsidR="008736A7" w:rsidRPr="00D95FE5">
        <w:rPr>
          <w:sz w:val="24"/>
          <w:szCs w:val="24"/>
          <w:shd w:val="clear" w:color="auto" w:fill="FFFFFF"/>
        </w:rPr>
        <w:t>are randomly selected</w:t>
      </w:r>
      <w:proofErr w:type="gramEnd"/>
      <w:r w:rsidR="008736A7" w:rsidRPr="00D95FE5">
        <w:rPr>
          <w:sz w:val="24"/>
          <w:szCs w:val="24"/>
          <w:shd w:val="clear" w:color="auto" w:fill="FFFFFF"/>
        </w:rPr>
        <w:t xml:space="preserve"> </w:t>
      </w:r>
      <w:r w:rsidR="00FD5D5B" w:rsidRPr="00D95FE5">
        <w:rPr>
          <w:sz w:val="24"/>
          <w:szCs w:val="24"/>
          <w:shd w:val="clear" w:color="auto" w:fill="FFFFFF"/>
        </w:rPr>
        <w:t xml:space="preserve">to apply for </w:t>
      </w:r>
      <w:r w:rsidR="00BA58CA" w:rsidRPr="00D95FE5">
        <w:rPr>
          <w:sz w:val="24"/>
          <w:szCs w:val="24"/>
          <w:shd w:val="clear" w:color="auto" w:fill="FFFFFF"/>
        </w:rPr>
        <w:t>the visa</w:t>
      </w:r>
      <w:r w:rsidR="00FD5D5B" w:rsidRPr="00D95FE5">
        <w:rPr>
          <w:sz w:val="24"/>
          <w:szCs w:val="24"/>
          <w:shd w:val="clear" w:color="auto" w:fill="FFFFFF"/>
        </w:rPr>
        <w:t xml:space="preserve"> </w:t>
      </w:r>
      <w:r w:rsidR="008736A7" w:rsidRPr="00D95FE5">
        <w:rPr>
          <w:sz w:val="24"/>
          <w:szCs w:val="24"/>
          <w:shd w:val="clear" w:color="auto" w:fill="FFFFFF"/>
        </w:rPr>
        <w:t>under a visa pre-application process relating to their country of citizenship</w:t>
      </w:r>
      <w:r w:rsidR="00FD5D5B" w:rsidRPr="00D95FE5">
        <w:rPr>
          <w:sz w:val="24"/>
          <w:szCs w:val="24"/>
          <w:shd w:val="clear" w:color="auto" w:fill="FFFFFF"/>
        </w:rPr>
        <w:t>.</w:t>
      </w:r>
      <w:r w:rsidRPr="00D95FE5">
        <w:rPr>
          <w:sz w:val="24"/>
          <w:szCs w:val="24"/>
          <w:shd w:val="clear" w:color="auto" w:fill="FFFFFF"/>
        </w:rPr>
        <w:t xml:space="preserve"> </w:t>
      </w:r>
    </w:p>
    <w:p w14:paraId="1015A8B5" w14:textId="6BB53127" w:rsidR="00BA58CA" w:rsidRPr="00D95FE5" w:rsidRDefault="00BA58CA" w:rsidP="008A655A">
      <w:pPr>
        <w:pStyle w:val="ESSubparaHeader"/>
        <w:rPr>
          <w:sz w:val="24"/>
          <w:szCs w:val="24"/>
        </w:rPr>
      </w:pPr>
      <w:proofErr w:type="gramStart"/>
      <w:r w:rsidRPr="00D95FE5">
        <w:rPr>
          <w:sz w:val="24"/>
          <w:szCs w:val="24"/>
        </w:rPr>
        <w:t>Selected applicants must meet prescribed criteria for the grant of a Pacific Engagement visa, including the criterion at clause 192.214 of Schedule 2 to the Migration Regulations which provides that if required by the Minister, the applicant, or the applicant’s spouse or de facto partner if they have made a combined application with the applicant, must satisfy English language test requirements specified by the Mini</w:t>
      </w:r>
      <w:r w:rsidR="002C580E" w:rsidRPr="00D95FE5">
        <w:rPr>
          <w:sz w:val="24"/>
          <w:szCs w:val="24"/>
        </w:rPr>
        <w:t>s</w:t>
      </w:r>
      <w:r w:rsidRPr="00D95FE5">
        <w:rPr>
          <w:sz w:val="24"/>
          <w:szCs w:val="24"/>
        </w:rPr>
        <w:t>ter in a legis</w:t>
      </w:r>
      <w:r w:rsidR="002C580E" w:rsidRPr="00D95FE5">
        <w:rPr>
          <w:sz w:val="24"/>
          <w:szCs w:val="24"/>
        </w:rPr>
        <w:t>l</w:t>
      </w:r>
      <w:r w:rsidRPr="00D95FE5">
        <w:rPr>
          <w:sz w:val="24"/>
          <w:szCs w:val="24"/>
        </w:rPr>
        <w:t>a</w:t>
      </w:r>
      <w:r w:rsidR="002C580E" w:rsidRPr="00D95FE5">
        <w:rPr>
          <w:sz w:val="24"/>
          <w:szCs w:val="24"/>
        </w:rPr>
        <w:t>t</w:t>
      </w:r>
      <w:r w:rsidRPr="00D95FE5">
        <w:rPr>
          <w:sz w:val="24"/>
          <w:szCs w:val="24"/>
        </w:rPr>
        <w:t>i</w:t>
      </w:r>
      <w:r w:rsidR="002C580E" w:rsidRPr="00D95FE5">
        <w:rPr>
          <w:sz w:val="24"/>
          <w:szCs w:val="24"/>
        </w:rPr>
        <w:t>ve instrument for the purposes of clause 192.214.</w:t>
      </w:r>
      <w:proofErr w:type="gramEnd"/>
      <w:r w:rsidRPr="00D95FE5">
        <w:rPr>
          <w:sz w:val="24"/>
          <w:szCs w:val="24"/>
        </w:rPr>
        <w:t xml:space="preserve"> </w:t>
      </w:r>
      <w:r w:rsidR="003A0FDC" w:rsidRPr="00D95FE5">
        <w:rPr>
          <w:sz w:val="24"/>
          <w:szCs w:val="24"/>
        </w:rPr>
        <w:t>This criterion ensures that at least one applicant for the visa has</w:t>
      </w:r>
      <w:r w:rsidR="004325E4" w:rsidRPr="00D95FE5">
        <w:rPr>
          <w:sz w:val="24"/>
          <w:szCs w:val="24"/>
        </w:rPr>
        <w:t xml:space="preserve"> sufficient</w:t>
      </w:r>
      <w:r w:rsidR="003A0FDC" w:rsidRPr="00D95FE5">
        <w:rPr>
          <w:sz w:val="24"/>
          <w:szCs w:val="24"/>
        </w:rPr>
        <w:t xml:space="preserve"> English or appropriate prospects of acquiring English.</w:t>
      </w:r>
      <w:r w:rsidRPr="00D95FE5">
        <w:rPr>
          <w:sz w:val="24"/>
          <w:szCs w:val="24"/>
        </w:rPr>
        <w:t xml:space="preserve"> </w:t>
      </w:r>
    </w:p>
    <w:p w14:paraId="4B07EA75" w14:textId="095E5FB6" w:rsidR="00E029E4" w:rsidRPr="00D95FE5" w:rsidRDefault="003A0FDC" w:rsidP="00202A78">
      <w:pPr>
        <w:pStyle w:val="ESSubparaHeader"/>
        <w:rPr>
          <w:sz w:val="24"/>
          <w:szCs w:val="24"/>
        </w:rPr>
      </w:pPr>
      <w:r w:rsidRPr="00D95FE5">
        <w:rPr>
          <w:sz w:val="24"/>
          <w:szCs w:val="24"/>
        </w:rPr>
        <w:t>Applicants who can demonstrate English language proficiency, for instance through time spent working or studying in an English speaking country or by previously satisfying an approved English language test, w</w:t>
      </w:r>
      <w:r w:rsidR="005A4136" w:rsidRPr="00D95FE5">
        <w:rPr>
          <w:sz w:val="24"/>
          <w:szCs w:val="24"/>
        </w:rPr>
        <w:t>ill</w:t>
      </w:r>
      <w:r w:rsidRPr="00D95FE5">
        <w:rPr>
          <w:sz w:val="24"/>
          <w:szCs w:val="24"/>
        </w:rPr>
        <w:t xml:space="preserve"> not be required to satisfy the English language test requirements</w:t>
      </w:r>
      <w:r w:rsidR="00A4315E" w:rsidRPr="00D95FE5">
        <w:rPr>
          <w:sz w:val="24"/>
          <w:szCs w:val="24"/>
        </w:rPr>
        <w:t xml:space="preserve"> specified in the instrument</w:t>
      </w:r>
      <w:r w:rsidRPr="00D95FE5">
        <w:rPr>
          <w:sz w:val="24"/>
          <w:szCs w:val="24"/>
        </w:rPr>
        <w:t>. Applicants who do not meet these circumstances w</w:t>
      </w:r>
      <w:r w:rsidR="005A4136" w:rsidRPr="00D95FE5">
        <w:rPr>
          <w:sz w:val="24"/>
          <w:szCs w:val="24"/>
        </w:rPr>
        <w:t>ill</w:t>
      </w:r>
      <w:r w:rsidRPr="00D95FE5">
        <w:rPr>
          <w:sz w:val="24"/>
          <w:szCs w:val="24"/>
        </w:rPr>
        <w:t xml:space="preserve"> have the option of undertaking to participate free of charge in the Australian Migrant English Program </w:t>
      </w:r>
      <w:r w:rsidRPr="00D95FE5">
        <w:rPr>
          <w:sz w:val="24"/>
          <w:szCs w:val="24"/>
        </w:rPr>
        <w:lastRenderedPageBreak/>
        <w:t>(AMEP) after arrival in Australia, or, alternatively, satisfying the English language test requirements</w:t>
      </w:r>
      <w:r w:rsidR="005A4136" w:rsidRPr="00D95FE5">
        <w:rPr>
          <w:sz w:val="24"/>
          <w:szCs w:val="24"/>
        </w:rPr>
        <w:t xml:space="preserve"> specified in the instrument</w:t>
      </w:r>
      <w:r w:rsidRPr="00D95FE5">
        <w:rPr>
          <w:sz w:val="24"/>
          <w:szCs w:val="24"/>
        </w:rPr>
        <w:t>.</w:t>
      </w:r>
      <w:r w:rsidR="00E029E4" w:rsidRPr="00D95FE5">
        <w:rPr>
          <w:sz w:val="24"/>
          <w:szCs w:val="24"/>
        </w:rPr>
        <w:t xml:space="preserve"> </w:t>
      </w:r>
    </w:p>
    <w:p w14:paraId="7DBE047D" w14:textId="243DEB3A" w:rsidR="004325E4" w:rsidRPr="00D95FE5" w:rsidRDefault="000671EC" w:rsidP="008A655A">
      <w:pPr>
        <w:pStyle w:val="ESSubparaHeader"/>
        <w:rPr>
          <w:sz w:val="24"/>
          <w:szCs w:val="24"/>
        </w:rPr>
      </w:pPr>
      <w:r w:rsidRPr="00D95FE5">
        <w:rPr>
          <w:sz w:val="24"/>
          <w:szCs w:val="24"/>
        </w:rPr>
        <w:t>The instrument specifies five English language tests:</w:t>
      </w:r>
      <w:r w:rsidR="00057CDC" w:rsidRPr="00D95FE5">
        <w:rPr>
          <w:sz w:val="24"/>
          <w:szCs w:val="24"/>
        </w:rPr>
        <w:t xml:space="preserve"> the Cambridge English: Advanced test (the CAE),</w:t>
      </w:r>
      <w:r w:rsidRPr="00D95FE5">
        <w:rPr>
          <w:sz w:val="24"/>
          <w:szCs w:val="24"/>
        </w:rPr>
        <w:t xml:space="preserve"> the In</w:t>
      </w:r>
      <w:r w:rsidR="005A4136" w:rsidRPr="00D95FE5">
        <w:rPr>
          <w:sz w:val="24"/>
          <w:szCs w:val="24"/>
        </w:rPr>
        <w:t>t</w:t>
      </w:r>
      <w:r w:rsidRPr="00D95FE5">
        <w:rPr>
          <w:sz w:val="24"/>
          <w:szCs w:val="24"/>
        </w:rPr>
        <w:t>ernational English Language Testing System (IELTS); the Occupation</w:t>
      </w:r>
      <w:r w:rsidR="005A4136" w:rsidRPr="00D95FE5">
        <w:rPr>
          <w:sz w:val="24"/>
          <w:szCs w:val="24"/>
        </w:rPr>
        <w:t>al</w:t>
      </w:r>
      <w:r w:rsidRPr="00D95FE5">
        <w:rPr>
          <w:sz w:val="24"/>
          <w:szCs w:val="24"/>
        </w:rPr>
        <w:t xml:space="preserve"> English Test (the OET); the Pearson Test of English Academic (the PTE)</w:t>
      </w:r>
      <w:proofErr w:type="gramStart"/>
      <w:r w:rsidRPr="00D95FE5">
        <w:rPr>
          <w:sz w:val="24"/>
          <w:szCs w:val="24"/>
        </w:rPr>
        <w:t>;</w:t>
      </w:r>
      <w:proofErr w:type="gramEnd"/>
      <w:r w:rsidRPr="00D95FE5">
        <w:rPr>
          <w:sz w:val="24"/>
          <w:szCs w:val="24"/>
        </w:rPr>
        <w:t xml:space="preserve"> and</w:t>
      </w:r>
      <w:r w:rsidR="00C66893" w:rsidRPr="00D95FE5">
        <w:rPr>
          <w:sz w:val="24"/>
          <w:szCs w:val="24"/>
        </w:rPr>
        <w:t xml:space="preserve"> </w:t>
      </w:r>
      <w:r w:rsidR="00057CDC" w:rsidRPr="00D95FE5">
        <w:rPr>
          <w:sz w:val="24"/>
          <w:szCs w:val="24"/>
        </w:rPr>
        <w:t xml:space="preserve">the test of English as a Foreign Language internet-based Test (the TOEFL </w:t>
      </w:r>
      <w:proofErr w:type="spellStart"/>
      <w:r w:rsidR="00057CDC" w:rsidRPr="00D95FE5">
        <w:rPr>
          <w:sz w:val="24"/>
          <w:szCs w:val="24"/>
        </w:rPr>
        <w:t>iBT</w:t>
      </w:r>
      <w:proofErr w:type="spellEnd"/>
      <w:r w:rsidR="00057CDC" w:rsidRPr="00D95FE5">
        <w:rPr>
          <w:sz w:val="24"/>
          <w:szCs w:val="24"/>
        </w:rPr>
        <w:t xml:space="preserve">). </w:t>
      </w:r>
      <w:r w:rsidR="005A4136" w:rsidRPr="00D95FE5">
        <w:rPr>
          <w:sz w:val="24"/>
          <w:szCs w:val="24"/>
        </w:rPr>
        <w:t>The instrument also specifies</w:t>
      </w:r>
      <w:r w:rsidR="004325E4" w:rsidRPr="00D95FE5">
        <w:rPr>
          <w:sz w:val="24"/>
          <w:szCs w:val="24"/>
        </w:rPr>
        <w:t xml:space="preserve"> the required test scores for each of the specified tests.</w:t>
      </w:r>
      <w:r w:rsidR="00423F97" w:rsidRPr="00D95FE5">
        <w:rPr>
          <w:sz w:val="24"/>
          <w:szCs w:val="24"/>
        </w:rPr>
        <w:t xml:space="preserve"> </w:t>
      </w:r>
      <w:r w:rsidRPr="00D95FE5">
        <w:rPr>
          <w:sz w:val="24"/>
          <w:szCs w:val="24"/>
        </w:rPr>
        <w:t xml:space="preserve">The tests have different scoring </w:t>
      </w:r>
      <w:proofErr w:type="gramStart"/>
      <w:r w:rsidRPr="00D95FE5">
        <w:rPr>
          <w:sz w:val="24"/>
          <w:szCs w:val="24"/>
        </w:rPr>
        <w:t>systems,</w:t>
      </w:r>
      <w:proofErr w:type="gramEnd"/>
      <w:r w:rsidRPr="00D95FE5">
        <w:rPr>
          <w:sz w:val="24"/>
          <w:szCs w:val="24"/>
        </w:rPr>
        <w:t xml:space="preserve"> </w:t>
      </w:r>
      <w:r w:rsidR="005A4136" w:rsidRPr="00D95FE5">
        <w:rPr>
          <w:sz w:val="24"/>
          <w:szCs w:val="24"/>
        </w:rPr>
        <w:t>however</w:t>
      </w:r>
      <w:r w:rsidRPr="00D95FE5">
        <w:rPr>
          <w:sz w:val="24"/>
          <w:szCs w:val="24"/>
        </w:rPr>
        <w:t xml:space="preserve"> the instrument specifies equivalent</w:t>
      </w:r>
      <w:r w:rsidR="004325E4" w:rsidRPr="00D95FE5">
        <w:rPr>
          <w:sz w:val="24"/>
          <w:szCs w:val="24"/>
        </w:rPr>
        <w:t xml:space="preserve"> score</w:t>
      </w:r>
      <w:r w:rsidR="005A4136" w:rsidRPr="00D95FE5">
        <w:rPr>
          <w:sz w:val="24"/>
          <w:szCs w:val="24"/>
        </w:rPr>
        <w:t>s</w:t>
      </w:r>
      <w:r w:rsidR="004325E4" w:rsidRPr="00D95FE5">
        <w:rPr>
          <w:sz w:val="24"/>
          <w:szCs w:val="24"/>
        </w:rPr>
        <w:t xml:space="preserve"> to achieve a reasonable level of English under each test.</w:t>
      </w:r>
      <w:r w:rsidR="00CD4FFE" w:rsidRPr="00D95FE5">
        <w:rPr>
          <w:sz w:val="24"/>
          <w:szCs w:val="24"/>
        </w:rPr>
        <w:t xml:space="preserve"> </w:t>
      </w:r>
    </w:p>
    <w:p w14:paraId="6A9A7905" w14:textId="0960DBF0" w:rsidR="00CD4FFE" w:rsidRPr="00D95FE5" w:rsidRDefault="00CD4FFE" w:rsidP="00CD4FFE">
      <w:pPr>
        <w:pStyle w:val="ESSubparaHeader"/>
        <w:rPr>
          <w:sz w:val="24"/>
          <w:szCs w:val="24"/>
        </w:rPr>
      </w:pPr>
      <w:r w:rsidRPr="00D95FE5">
        <w:rPr>
          <w:sz w:val="24"/>
          <w:szCs w:val="24"/>
          <w:shd w:val="clear" w:color="auto" w:fill="FFFFFF"/>
        </w:rPr>
        <w:t xml:space="preserve">The English language test requirements specified in the instrument </w:t>
      </w:r>
      <w:r w:rsidR="000847CC" w:rsidRPr="00D95FE5">
        <w:rPr>
          <w:sz w:val="24"/>
          <w:szCs w:val="24"/>
          <w:shd w:val="clear" w:color="auto" w:fill="FFFFFF"/>
        </w:rPr>
        <w:t xml:space="preserve">do </w:t>
      </w:r>
      <w:r w:rsidRPr="00D95FE5">
        <w:rPr>
          <w:sz w:val="24"/>
          <w:szCs w:val="24"/>
          <w:shd w:val="clear" w:color="auto" w:fill="FFFFFF"/>
        </w:rPr>
        <w:t xml:space="preserve">not include the test components of reading or writing in English. </w:t>
      </w:r>
      <w:proofErr w:type="gramStart"/>
      <w:r w:rsidRPr="00D95FE5">
        <w:rPr>
          <w:sz w:val="24"/>
          <w:szCs w:val="24"/>
          <w:shd w:val="clear" w:color="auto" w:fill="FFFFFF"/>
        </w:rPr>
        <w:t xml:space="preserve">The reason for this is that it is considered that minimum level English language speaking and listening skills are appropriate and sufficient for Subclass 192 (Pacific Engagement) visa holders to effectively engage with the Australian community for </w:t>
      </w:r>
      <w:r w:rsidR="007D057F" w:rsidRPr="00D95FE5">
        <w:rPr>
          <w:sz w:val="24"/>
          <w:szCs w:val="24"/>
          <w:shd w:val="clear" w:color="auto" w:fill="FFFFFF"/>
        </w:rPr>
        <w:t xml:space="preserve">the </w:t>
      </w:r>
      <w:r w:rsidRPr="00D95FE5">
        <w:rPr>
          <w:sz w:val="24"/>
          <w:szCs w:val="24"/>
          <w:shd w:val="clear" w:color="auto" w:fill="FFFFFF"/>
        </w:rPr>
        <w:t>purposes of working, studying, or in cultural and community activities, in circumstances where the visa program does not require higher level occupational skills or minimum level reading or writing skills.</w:t>
      </w:r>
      <w:proofErr w:type="gramEnd"/>
      <w:r w:rsidRPr="00D95FE5">
        <w:rPr>
          <w:sz w:val="24"/>
          <w:szCs w:val="24"/>
          <w:shd w:val="clear" w:color="auto" w:fill="FFFFFF"/>
        </w:rPr>
        <w:t xml:space="preserve"> </w:t>
      </w:r>
    </w:p>
    <w:p w14:paraId="1CCCE996" w14:textId="7DDCC0A5" w:rsidR="00550913" w:rsidRPr="00D95FE5" w:rsidRDefault="00CD4FFE" w:rsidP="00CD4FFE">
      <w:pPr>
        <w:pStyle w:val="ESSubparaHeader"/>
        <w:numPr>
          <w:ilvl w:val="0"/>
          <w:numId w:val="0"/>
        </w:numPr>
        <w:rPr>
          <w:b/>
          <w:i/>
          <w:sz w:val="24"/>
          <w:szCs w:val="24"/>
        </w:rPr>
      </w:pPr>
      <w:r w:rsidRPr="00D95FE5">
        <w:rPr>
          <w:b/>
          <w:i/>
          <w:sz w:val="24"/>
          <w:szCs w:val="24"/>
        </w:rPr>
        <w:t>Details of the instrument</w:t>
      </w:r>
    </w:p>
    <w:p w14:paraId="11FF39CB" w14:textId="77777777" w:rsidR="00CD4FFE" w:rsidRPr="00D95FE5" w:rsidRDefault="00CD4FFE" w:rsidP="00CD4FFE">
      <w:pPr>
        <w:pStyle w:val="ESSubparaHeader"/>
        <w:rPr>
          <w:sz w:val="24"/>
          <w:szCs w:val="24"/>
        </w:rPr>
      </w:pPr>
      <w:r w:rsidRPr="00D95FE5">
        <w:rPr>
          <w:sz w:val="24"/>
          <w:szCs w:val="24"/>
        </w:rPr>
        <w:t xml:space="preserve">Details of the instrument are set out in the </w:t>
      </w:r>
      <w:r w:rsidRPr="00D95FE5">
        <w:rPr>
          <w:sz w:val="24"/>
          <w:szCs w:val="24"/>
          <w:u w:val="single"/>
        </w:rPr>
        <w:t>Attachment</w:t>
      </w:r>
      <w:r w:rsidRPr="00D95FE5">
        <w:rPr>
          <w:sz w:val="24"/>
          <w:szCs w:val="24"/>
        </w:rPr>
        <w:t xml:space="preserve">. </w:t>
      </w:r>
    </w:p>
    <w:p w14:paraId="22F97832" w14:textId="110964B8" w:rsidR="00CD4FFE" w:rsidRPr="00D95FE5" w:rsidRDefault="00CD4FFE" w:rsidP="00CD4FFE">
      <w:pPr>
        <w:pStyle w:val="ESSubparaHeader"/>
        <w:numPr>
          <w:ilvl w:val="0"/>
          <w:numId w:val="0"/>
        </w:numPr>
        <w:rPr>
          <w:sz w:val="24"/>
          <w:szCs w:val="24"/>
        </w:rPr>
      </w:pPr>
      <w:r w:rsidRPr="00D95FE5">
        <w:rPr>
          <w:b/>
          <w:i/>
          <w:sz w:val="24"/>
          <w:szCs w:val="24"/>
        </w:rPr>
        <w:t>Consultation</w:t>
      </w:r>
      <w:r w:rsidR="00550913" w:rsidRPr="00D95FE5">
        <w:rPr>
          <w:sz w:val="24"/>
          <w:szCs w:val="24"/>
        </w:rPr>
        <w:t xml:space="preserve"> </w:t>
      </w:r>
    </w:p>
    <w:p w14:paraId="07AFDA7B" w14:textId="1F266594" w:rsidR="004C3B41" w:rsidRPr="00D95FE5" w:rsidRDefault="004C3B41" w:rsidP="004C3B41">
      <w:pPr>
        <w:pStyle w:val="ESSubparaHeader"/>
        <w:rPr>
          <w:sz w:val="24"/>
          <w:szCs w:val="24"/>
        </w:rPr>
      </w:pPr>
      <w:r w:rsidRPr="00D95FE5">
        <w:rPr>
          <w:sz w:val="24"/>
          <w:szCs w:val="24"/>
        </w:rPr>
        <w:t xml:space="preserve">Consultation in relation to the Regulations </w:t>
      </w:r>
      <w:proofErr w:type="gramStart"/>
      <w:r w:rsidRPr="00D95FE5">
        <w:rPr>
          <w:sz w:val="24"/>
          <w:szCs w:val="24"/>
        </w:rPr>
        <w:t>was undertaken</w:t>
      </w:r>
      <w:proofErr w:type="gramEnd"/>
      <w:r w:rsidRPr="00D95FE5">
        <w:rPr>
          <w:sz w:val="24"/>
          <w:szCs w:val="24"/>
        </w:rPr>
        <w:t xml:space="preserve"> with the Department of Foreign Affairs and Trade. Consultation </w:t>
      </w:r>
      <w:proofErr w:type="gramStart"/>
      <w:r w:rsidRPr="00D95FE5">
        <w:rPr>
          <w:sz w:val="24"/>
          <w:szCs w:val="24"/>
        </w:rPr>
        <w:t>was also undertaken</w:t>
      </w:r>
      <w:proofErr w:type="gramEnd"/>
      <w:r w:rsidRPr="00D95FE5">
        <w:rPr>
          <w:sz w:val="24"/>
          <w:szCs w:val="24"/>
        </w:rPr>
        <w:t xml:space="preserve"> with the Department of Employment and Workplace Relations, the Department of Prime Minister and Cabinet, the Department of Social Services, the Department of Education and the Department of Finance in relation to the development of the Pacific Engagement </w:t>
      </w:r>
      <w:r w:rsidR="007D057F" w:rsidRPr="00D95FE5">
        <w:rPr>
          <w:sz w:val="24"/>
          <w:szCs w:val="24"/>
        </w:rPr>
        <w:t xml:space="preserve">visa </w:t>
      </w:r>
      <w:r w:rsidRPr="00D95FE5">
        <w:rPr>
          <w:sz w:val="24"/>
          <w:szCs w:val="24"/>
        </w:rPr>
        <w:t xml:space="preserve">program and key eligibility requirements. </w:t>
      </w:r>
      <w:r w:rsidRPr="00D95FE5">
        <w:rPr>
          <w:color w:val="000000"/>
          <w:sz w:val="24"/>
          <w:szCs w:val="24"/>
        </w:rPr>
        <w:t xml:space="preserve">This consultation accords with subsection 17(1) of the Legislation Act. </w:t>
      </w:r>
    </w:p>
    <w:p w14:paraId="41E7E837" w14:textId="1CFD13CB" w:rsidR="004C3B41" w:rsidRPr="00D95FE5" w:rsidRDefault="004C3B41" w:rsidP="004C3B41">
      <w:pPr>
        <w:pStyle w:val="ESSubparaHeader"/>
        <w:rPr>
          <w:b/>
          <w:sz w:val="24"/>
          <w:szCs w:val="24"/>
        </w:rPr>
      </w:pPr>
      <w:r w:rsidRPr="00D95FE5">
        <w:rPr>
          <w:sz w:val="24"/>
          <w:szCs w:val="24"/>
        </w:rPr>
        <w:t>The Office of Impact Analysis (OIA) was also consulted and considered that all impact analysis req</w:t>
      </w:r>
      <w:r w:rsidR="00DB771F" w:rsidRPr="00D95FE5">
        <w:rPr>
          <w:sz w:val="24"/>
          <w:szCs w:val="24"/>
        </w:rPr>
        <w:t xml:space="preserve">uirements </w:t>
      </w:r>
      <w:proofErr w:type="gramStart"/>
      <w:r w:rsidR="00DB771F" w:rsidRPr="00D95FE5">
        <w:rPr>
          <w:sz w:val="24"/>
          <w:szCs w:val="24"/>
        </w:rPr>
        <w:t>have been acquitted</w:t>
      </w:r>
      <w:proofErr w:type="gramEnd"/>
      <w:r w:rsidR="00DB771F" w:rsidRPr="00D95FE5">
        <w:rPr>
          <w:sz w:val="24"/>
          <w:szCs w:val="24"/>
        </w:rPr>
        <w:t xml:space="preserve">. </w:t>
      </w:r>
      <w:r w:rsidRPr="00D95FE5">
        <w:rPr>
          <w:sz w:val="24"/>
          <w:szCs w:val="24"/>
        </w:rPr>
        <w:t xml:space="preserve">No further regulatory impact statement was required. The OIA reference number is </w:t>
      </w:r>
      <w:r w:rsidRPr="00D95FE5">
        <w:rPr>
          <w:sz w:val="24"/>
          <w:szCs w:val="24"/>
          <w:lang w:val="en-US"/>
        </w:rPr>
        <w:t>OBPR22-02320.</w:t>
      </w:r>
    </w:p>
    <w:p w14:paraId="7024F517" w14:textId="6E605CA6" w:rsidR="00027BC9" w:rsidRPr="00D95FE5" w:rsidRDefault="00027BC9" w:rsidP="00027BC9">
      <w:pPr>
        <w:pStyle w:val="ESPara"/>
        <w:numPr>
          <w:ilvl w:val="0"/>
          <w:numId w:val="0"/>
        </w:numPr>
        <w:rPr>
          <w:sz w:val="24"/>
          <w:szCs w:val="24"/>
        </w:rPr>
      </w:pPr>
      <w:r w:rsidRPr="00D95FE5">
        <w:rPr>
          <w:b/>
          <w:i/>
          <w:sz w:val="24"/>
          <w:szCs w:val="24"/>
        </w:rPr>
        <w:t>Parliamentary scrutiny etc.</w:t>
      </w:r>
      <w:r w:rsidR="00EE1C3C" w:rsidRPr="00D95FE5">
        <w:rPr>
          <w:sz w:val="24"/>
          <w:szCs w:val="24"/>
        </w:rPr>
        <w:t xml:space="preserve"> </w:t>
      </w:r>
    </w:p>
    <w:p w14:paraId="76DA78DA" w14:textId="77777777" w:rsidR="001E4A30" w:rsidRPr="00D95FE5" w:rsidRDefault="00027BC9" w:rsidP="001E4A30">
      <w:pPr>
        <w:pStyle w:val="ESPara"/>
        <w:rPr>
          <w:sz w:val="24"/>
          <w:szCs w:val="24"/>
        </w:rPr>
      </w:pPr>
      <w:r w:rsidRPr="00D95FE5">
        <w:rPr>
          <w:sz w:val="24"/>
          <w:szCs w:val="24"/>
        </w:rPr>
        <w:t>The instrument is exempt from disallowance under section 42 of the Legislation Act.</w:t>
      </w:r>
      <w:r w:rsidR="00805B09" w:rsidRPr="00D95FE5">
        <w:rPr>
          <w:sz w:val="24"/>
          <w:szCs w:val="24"/>
        </w:rPr>
        <w:t xml:space="preserve"> This is because instruments made under Schedule 2 of the Migration Regulations are prescribed as being exempt from disallowance under paragraph 44(2)(b) of the Legislation Ac</w:t>
      </w:r>
      <w:r w:rsidR="000A37AC" w:rsidRPr="00D95FE5">
        <w:rPr>
          <w:sz w:val="24"/>
          <w:szCs w:val="24"/>
        </w:rPr>
        <w:t xml:space="preserve">t. </w:t>
      </w:r>
      <w:r w:rsidR="00805B09" w:rsidRPr="00D95FE5">
        <w:rPr>
          <w:sz w:val="24"/>
          <w:szCs w:val="24"/>
        </w:rPr>
        <w:t xml:space="preserve">See table item 20 in regulation 10 of the </w:t>
      </w:r>
      <w:r w:rsidR="00805B09" w:rsidRPr="00D95FE5">
        <w:rPr>
          <w:i/>
          <w:sz w:val="24"/>
          <w:szCs w:val="24"/>
        </w:rPr>
        <w:t>Legislation (Exemptions and Other Matters) Regulation 2015</w:t>
      </w:r>
      <w:r w:rsidR="00805B09" w:rsidRPr="00D95FE5">
        <w:rPr>
          <w:sz w:val="24"/>
          <w:szCs w:val="24"/>
        </w:rPr>
        <w:t>.</w:t>
      </w:r>
      <w:r w:rsidR="000A37AC" w:rsidRPr="00D95FE5">
        <w:rPr>
          <w:sz w:val="24"/>
          <w:szCs w:val="24"/>
        </w:rPr>
        <w:t xml:space="preserve"> As the instrument is exempt from disallowance, a Statement of Compatibility with Human Rights is not required.</w:t>
      </w:r>
    </w:p>
    <w:p w14:paraId="1B770CAE" w14:textId="77B1B0D9" w:rsidR="00767795" w:rsidRPr="00D95FE5" w:rsidRDefault="008F6722" w:rsidP="001E4A30">
      <w:pPr>
        <w:pStyle w:val="ESPara"/>
        <w:rPr>
          <w:sz w:val="24"/>
          <w:szCs w:val="24"/>
        </w:rPr>
      </w:pPr>
      <w:r w:rsidRPr="00D95FE5">
        <w:rPr>
          <w:sz w:val="24"/>
          <w:szCs w:val="24"/>
        </w:rPr>
        <w:t xml:space="preserve">The </w:t>
      </w:r>
      <w:proofErr w:type="gramStart"/>
      <w:r w:rsidRPr="00D95FE5">
        <w:rPr>
          <w:sz w:val="24"/>
          <w:szCs w:val="24"/>
        </w:rPr>
        <w:t xml:space="preserve">instrument was made by the </w:t>
      </w:r>
      <w:r w:rsidR="00F7285E" w:rsidRPr="00D95FE5">
        <w:rPr>
          <w:sz w:val="24"/>
          <w:szCs w:val="24"/>
        </w:rPr>
        <w:t>Minister</w:t>
      </w:r>
      <w:proofErr w:type="gramEnd"/>
      <w:r w:rsidR="00F7285E" w:rsidRPr="00D95FE5">
        <w:rPr>
          <w:sz w:val="24"/>
          <w:szCs w:val="24"/>
        </w:rPr>
        <w:t xml:space="preserve"> for Immigration, Citizenship and Multicultural Affairs, in accordance with clause 192.214 of Schedule 2 to the Migration Regulations</w:t>
      </w:r>
      <w:r w:rsidRPr="00D95FE5">
        <w:rPr>
          <w:sz w:val="24"/>
          <w:szCs w:val="24"/>
        </w:rPr>
        <w:t xml:space="preserve">.  </w:t>
      </w:r>
    </w:p>
    <w:p w14:paraId="496EE4B3" w14:textId="1A0273AD" w:rsidR="00EA0E6C" w:rsidRPr="00D95FE5" w:rsidRDefault="00EA0E6C" w:rsidP="00EA0E6C">
      <w:pPr>
        <w:pStyle w:val="ESAttAttName"/>
        <w:rPr>
          <w:sz w:val="24"/>
          <w:szCs w:val="24"/>
        </w:rPr>
      </w:pPr>
      <w:r w:rsidRPr="00D95FE5">
        <w:rPr>
          <w:sz w:val="24"/>
          <w:szCs w:val="24"/>
        </w:rPr>
        <w:lastRenderedPageBreak/>
        <w:t>Attachment</w:t>
      </w:r>
    </w:p>
    <w:p w14:paraId="3E487B19" w14:textId="65BCBD2A" w:rsidR="00EA0E6C" w:rsidRPr="00D95FE5" w:rsidRDefault="00EA0E6C" w:rsidP="00EA0E6C">
      <w:pPr>
        <w:pStyle w:val="ESAttHeading"/>
        <w:rPr>
          <w:i/>
          <w:sz w:val="24"/>
          <w:szCs w:val="24"/>
        </w:rPr>
      </w:pPr>
      <w:r w:rsidRPr="00D95FE5">
        <w:rPr>
          <w:sz w:val="24"/>
          <w:szCs w:val="24"/>
        </w:rPr>
        <w:t>Details of the</w:t>
      </w:r>
      <w:r w:rsidRPr="00D95FE5">
        <w:rPr>
          <w:i/>
          <w:sz w:val="24"/>
          <w:szCs w:val="24"/>
        </w:rPr>
        <w:t xml:space="preserve"> Migration (</w:t>
      </w:r>
      <w:r w:rsidR="00962D96" w:rsidRPr="00D95FE5">
        <w:rPr>
          <w:i/>
          <w:sz w:val="24"/>
          <w:szCs w:val="24"/>
        </w:rPr>
        <w:t xml:space="preserve">English Language Requirements for </w:t>
      </w:r>
      <w:r w:rsidRPr="00D95FE5">
        <w:rPr>
          <w:i/>
          <w:sz w:val="24"/>
          <w:szCs w:val="24"/>
        </w:rPr>
        <w:t xml:space="preserve">Subclass 192 (Pacific Engagement) Visa) </w:t>
      </w:r>
      <w:r w:rsidR="00962D96" w:rsidRPr="00D95FE5">
        <w:rPr>
          <w:i/>
          <w:sz w:val="24"/>
          <w:szCs w:val="24"/>
        </w:rPr>
        <w:t>Instrument (LIN 24/2023)</w:t>
      </w:r>
      <w:r w:rsidRPr="00D95FE5">
        <w:rPr>
          <w:i/>
          <w:sz w:val="24"/>
          <w:szCs w:val="24"/>
        </w:rPr>
        <w:t xml:space="preserve"> 2024</w:t>
      </w:r>
    </w:p>
    <w:p w14:paraId="1459C79A" w14:textId="77777777" w:rsidR="00EA0E6C" w:rsidRPr="00D95FE5" w:rsidRDefault="00EA0E6C" w:rsidP="00EA0E6C">
      <w:pPr>
        <w:pStyle w:val="ESAttHeading"/>
        <w:rPr>
          <w:b w:val="0"/>
          <w:sz w:val="24"/>
          <w:szCs w:val="24"/>
        </w:rPr>
      </w:pPr>
      <w:r w:rsidRPr="00D95FE5">
        <w:rPr>
          <w:sz w:val="24"/>
          <w:szCs w:val="24"/>
        </w:rPr>
        <w:t xml:space="preserve">Section 1 – Name </w:t>
      </w:r>
    </w:p>
    <w:p w14:paraId="534B1052" w14:textId="3BBEA28F" w:rsidR="00EA0E6C" w:rsidRPr="00D95FE5" w:rsidRDefault="00EA0E6C" w:rsidP="00EA0E6C">
      <w:pPr>
        <w:pStyle w:val="ESAttNormal"/>
        <w:rPr>
          <w:b/>
          <w:i/>
          <w:sz w:val="24"/>
          <w:szCs w:val="24"/>
        </w:rPr>
      </w:pPr>
      <w:r w:rsidRPr="00D95FE5">
        <w:rPr>
          <w:sz w:val="24"/>
          <w:szCs w:val="24"/>
        </w:rPr>
        <w:t xml:space="preserve">This section provides that the name of the instrument is the </w:t>
      </w:r>
      <w:r w:rsidRPr="00D95FE5">
        <w:rPr>
          <w:i/>
          <w:sz w:val="24"/>
          <w:szCs w:val="24"/>
        </w:rPr>
        <w:t>Migration (</w:t>
      </w:r>
      <w:r w:rsidR="00962D96" w:rsidRPr="00D95FE5">
        <w:rPr>
          <w:i/>
          <w:sz w:val="24"/>
          <w:szCs w:val="24"/>
        </w:rPr>
        <w:t xml:space="preserve">English Language Requirements for </w:t>
      </w:r>
      <w:r w:rsidRPr="00D95FE5">
        <w:rPr>
          <w:i/>
          <w:sz w:val="24"/>
          <w:szCs w:val="24"/>
        </w:rPr>
        <w:t>Subclass 192 (Pacific Engagement) Visa</w:t>
      </w:r>
      <w:r w:rsidR="00423F97" w:rsidRPr="00D95FE5">
        <w:rPr>
          <w:i/>
          <w:sz w:val="24"/>
          <w:szCs w:val="24"/>
        </w:rPr>
        <w:t>) Instrument (LIN </w:t>
      </w:r>
      <w:r w:rsidR="00962D96" w:rsidRPr="00D95FE5">
        <w:rPr>
          <w:i/>
          <w:sz w:val="24"/>
          <w:szCs w:val="24"/>
        </w:rPr>
        <w:t xml:space="preserve">24/023) </w:t>
      </w:r>
      <w:r w:rsidRPr="00D95FE5">
        <w:rPr>
          <w:i/>
          <w:sz w:val="24"/>
          <w:szCs w:val="24"/>
        </w:rPr>
        <w:t xml:space="preserve">2024 </w:t>
      </w:r>
      <w:r w:rsidRPr="00D95FE5">
        <w:rPr>
          <w:sz w:val="24"/>
          <w:szCs w:val="24"/>
        </w:rPr>
        <w:t xml:space="preserve">(the instrument).  </w:t>
      </w:r>
    </w:p>
    <w:p w14:paraId="01BE0E88" w14:textId="77777777" w:rsidR="00EA0E6C" w:rsidRPr="00D95FE5" w:rsidRDefault="00EA0E6C" w:rsidP="00EA0E6C">
      <w:pPr>
        <w:pStyle w:val="ESAttHeading"/>
        <w:rPr>
          <w:b w:val="0"/>
          <w:sz w:val="24"/>
          <w:szCs w:val="24"/>
        </w:rPr>
      </w:pPr>
      <w:r w:rsidRPr="00D95FE5">
        <w:rPr>
          <w:sz w:val="24"/>
          <w:szCs w:val="24"/>
        </w:rPr>
        <w:t xml:space="preserve">Section 2 – Commencement </w:t>
      </w:r>
    </w:p>
    <w:p w14:paraId="0C2802C4" w14:textId="72C7219D" w:rsidR="00EA0E6C" w:rsidRPr="00D95FE5" w:rsidRDefault="00EA0E6C" w:rsidP="00962D96">
      <w:pPr>
        <w:pStyle w:val="ESAttNormal"/>
        <w:rPr>
          <w:rFonts w:eastAsia="SimSun"/>
          <w:sz w:val="24"/>
          <w:szCs w:val="24"/>
        </w:rPr>
      </w:pPr>
      <w:r w:rsidRPr="00D95FE5">
        <w:rPr>
          <w:sz w:val="24"/>
          <w:szCs w:val="24"/>
        </w:rPr>
        <w:t xml:space="preserve">This section provides </w:t>
      </w:r>
      <w:r w:rsidR="00962D96" w:rsidRPr="00D95FE5">
        <w:rPr>
          <w:sz w:val="24"/>
          <w:szCs w:val="24"/>
        </w:rPr>
        <w:t>t</w:t>
      </w:r>
      <w:r w:rsidR="0050070C" w:rsidRPr="00D95FE5">
        <w:rPr>
          <w:sz w:val="24"/>
          <w:szCs w:val="24"/>
        </w:rPr>
        <w:t>h</w:t>
      </w:r>
      <w:r w:rsidR="00962D96" w:rsidRPr="00D95FE5">
        <w:rPr>
          <w:sz w:val="24"/>
          <w:szCs w:val="24"/>
        </w:rPr>
        <w:t xml:space="preserve">at the instrument </w:t>
      </w:r>
      <w:proofErr w:type="gramStart"/>
      <w:r w:rsidR="00962D96" w:rsidRPr="00D95FE5">
        <w:rPr>
          <w:sz w:val="24"/>
          <w:szCs w:val="24"/>
        </w:rPr>
        <w:t>commences</w:t>
      </w:r>
      <w:proofErr w:type="gramEnd"/>
      <w:r w:rsidR="00962D96" w:rsidRPr="00D95FE5">
        <w:rPr>
          <w:sz w:val="24"/>
          <w:szCs w:val="24"/>
        </w:rPr>
        <w:t xml:space="preserve"> </w:t>
      </w:r>
      <w:r w:rsidR="004C4389" w:rsidRPr="00D95FE5">
        <w:rPr>
          <w:sz w:val="24"/>
          <w:szCs w:val="24"/>
        </w:rPr>
        <w:t>on the day after the instrument is registered</w:t>
      </w:r>
      <w:r w:rsidRPr="00D95FE5">
        <w:rPr>
          <w:rFonts w:eastAsia="SimSun"/>
          <w:sz w:val="24"/>
          <w:szCs w:val="24"/>
        </w:rPr>
        <w:t>.</w:t>
      </w:r>
    </w:p>
    <w:p w14:paraId="75FEC5DC" w14:textId="77777777" w:rsidR="00EA0E6C" w:rsidRPr="00D95FE5" w:rsidRDefault="00EA0E6C" w:rsidP="00EA0E6C">
      <w:pPr>
        <w:pStyle w:val="ESAttHeading"/>
        <w:rPr>
          <w:sz w:val="24"/>
          <w:szCs w:val="24"/>
        </w:rPr>
      </w:pPr>
      <w:r w:rsidRPr="00D95FE5">
        <w:rPr>
          <w:sz w:val="24"/>
          <w:szCs w:val="24"/>
        </w:rPr>
        <w:t xml:space="preserve">Section 3 – Authority </w:t>
      </w:r>
    </w:p>
    <w:p w14:paraId="49F96CA7" w14:textId="10F02594" w:rsidR="00EA0E6C" w:rsidRPr="00D95FE5" w:rsidRDefault="00EA0E6C" w:rsidP="00EA0E6C">
      <w:pPr>
        <w:pStyle w:val="ESAttNormal"/>
        <w:rPr>
          <w:sz w:val="24"/>
          <w:szCs w:val="24"/>
        </w:rPr>
      </w:pPr>
      <w:r w:rsidRPr="00D95FE5">
        <w:rPr>
          <w:sz w:val="24"/>
          <w:szCs w:val="24"/>
        </w:rPr>
        <w:t>This section provides that the authority under which th</w:t>
      </w:r>
      <w:r w:rsidR="00962D96" w:rsidRPr="00D95FE5">
        <w:rPr>
          <w:sz w:val="24"/>
          <w:szCs w:val="24"/>
        </w:rPr>
        <w:t>e</w:t>
      </w:r>
      <w:r w:rsidRPr="00D95FE5">
        <w:rPr>
          <w:sz w:val="24"/>
          <w:szCs w:val="24"/>
        </w:rPr>
        <w:t xml:space="preserve"> instrument </w:t>
      </w:r>
      <w:proofErr w:type="gramStart"/>
      <w:r w:rsidRPr="00D95FE5">
        <w:rPr>
          <w:sz w:val="24"/>
          <w:szCs w:val="24"/>
        </w:rPr>
        <w:t>is made</w:t>
      </w:r>
      <w:proofErr w:type="gramEnd"/>
      <w:r w:rsidRPr="00D95FE5">
        <w:rPr>
          <w:sz w:val="24"/>
          <w:szCs w:val="24"/>
        </w:rPr>
        <w:t xml:space="preserve"> is </w:t>
      </w:r>
      <w:r w:rsidR="00962D96" w:rsidRPr="00D95FE5">
        <w:rPr>
          <w:sz w:val="24"/>
          <w:szCs w:val="24"/>
        </w:rPr>
        <w:t>clause 192.214 of Schedule 2 to the Migration Regulations.</w:t>
      </w:r>
    </w:p>
    <w:p w14:paraId="4BC5CD45" w14:textId="4303D261" w:rsidR="00EA0E6C" w:rsidRPr="00D95FE5" w:rsidRDefault="00962D96" w:rsidP="00962D96">
      <w:pPr>
        <w:pStyle w:val="ESAttList"/>
        <w:numPr>
          <w:ilvl w:val="0"/>
          <w:numId w:val="0"/>
        </w:numPr>
        <w:rPr>
          <w:sz w:val="24"/>
          <w:szCs w:val="24"/>
        </w:rPr>
      </w:pPr>
      <w:r w:rsidRPr="00D95FE5">
        <w:rPr>
          <w:b/>
          <w:sz w:val="24"/>
          <w:szCs w:val="24"/>
        </w:rPr>
        <w:t xml:space="preserve">Section </w:t>
      </w:r>
      <w:proofErr w:type="gramStart"/>
      <w:r w:rsidR="00057CDC" w:rsidRPr="00D95FE5">
        <w:rPr>
          <w:b/>
          <w:sz w:val="24"/>
          <w:szCs w:val="24"/>
        </w:rPr>
        <w:t>4</w:t>
      </w:r>
      <w:proofErr w:type="gramEnd"/>
      <w:r w:rsidRPr="00D95FE5">
        <w:rPr>
          <w:b/>
          <w:sz w:val="24"/>
          <w:szCs w:val="24"/>
        </w:rPr>
        <w:t xml:space="preserve"> – English language test requirements</w:t>
      </w:r>
    </w:p>
    <w:p w14:paraId="199CC3CC" w14:textId="7FE95825" w:rsidR="005A6267" w:rsidRPr="00D95FE5" w:rsidRDefault="005A6267" w:rsidP="00962D96">
      <w:pPr>
        <w:pStyle w:val="ESAttList"/>
        <w:numPr>
          <w:ilvl w:val="0"/>
          <w:numId w:val="0"/>
        </w:numPr>
        <w:rPr>
          <w:sz w:val="24"/>
          <w:szCs w:val="24"/>
        </w:rPr>
      </w:pPr>
      <w:r w:rsidRPr="00D95FE5">
        <w:rPr>
          <w:sz w:val="24"/>
          <w:szCs w:val="24"/>
        </w:rPr>
        <w:t>This section specifies the English language test requirements for the purposes of clause 192.214.</w:t>
      </w:r>
    </w:p>
    <w:p w14:paraId="3B4C0EFE" w14:textId="6FFCD62B" w:rsidR="003910AA" w:rsidRPr="00D95FE5" w:rsidRDefault="003910AA" w:rsidP="00962D96">
      <w:pPr>
        <w:pStyle w:val="ESAttList"/>
        <w:numPr>
          <w:ilvl w:val="0"/>
          <w:numId w:val="0"/>
        </w:numPr>
        <w:rPr>
          <w:sz w:val="24"/>
          <w:szCs w:val="24"/>
        </w:rPr>
      </w:pPr>
      <w:r w:rsidRPr="00D95FE5">
        <w:rPr>
          <w:sz w:val="24"/>
          <w:szCs w:val="24"/>
        </w:rPr>
        <w:t>Paragraph 4</w:t>
      </w:r>
      <w:r w:rsidR="005A6267" w:rsidRPr="00D95FE5">
        <w:rPr>
          <w:sz w:val="24"/>
          <w:szCs w:val="24"/>
        </w:rPr>
        <w:t>(1</w:t>
      </w:r>
      <w:proofErr w:type="gramStart"/>
      <w:r w:rsidR="005A6267" w:rsidRPr="00D95FE5">
        <w:rPr>
          <w:sz w:val="24"/>
          <w:szCs w:val="24"/>
        </w:rPr>
        <w:t>)</w:t>
      </w:r>
      <w:r w:rsidRPr="00D95FE5">
        <w:rPr>
          <w:sz w:val="24"/>
          <w:szCs w:val="24"/>
        </w:rPr>
        <w:t>(</w:t>
      </w:r>
      <w:proofErr w:type="gramEnd"/>
      <w:r w:rsidRPr="00D95FE5">
        <w:rPr>
          <w:sz w:val="24"/>
          <w:szCs w:val="24"/>
        </w:rPr>
        <w:t xml:space="preserve">a) </w:t>
      </w:r>
      <w:r w:rsidR="005A6267" w:rsidRPr="00D95FE5">
        <w:rPr>
          <w:sz w:val="24"/>
          <w:szCs w:val="24"/>
        </w:rPr>
        <w:t xml:space="preserve">provides that the </w:t>
      </w:r>
      <w:r w:rsidRPr="00D95FE5">
        <w:rPr>
          <w:sz w:val="24"/>
          <w:szCs w:val="24"/>
        </w:rPr>
        <w:t>applicant, or the applicant’s spouse (if they made a combined application), must undertake an English language test listed in subclause (2)</w:t>
      </w:r>
      <w:r w:rsidR="00C66893" w:rsidRPr="00D95FE5">
        <w:rPr>
          <w:sz w:val="24"/>
          <w:szCs w:val="24"/>
        </w:rPr>
        <w:t xml:space="preserve"> – see below. </w:t>
      </w:r>
      <w:r w:rsidRPr="00D95FE5">
        <w:rPr>
          <w:sz w:val="24"/>
          <w:szCs w:val="24"/>
        </w:rPr>
        <w:t xml:space="preserve"> </w:t>
      </w:r>
    </w:p>
    <w:p w14:paraId="2ED9ADD5" w14:textId="72967437" w:rsidR="003910AA" w:rsidRPr="00D95FE5" w:rsidRDefault="003910AA" w:rsidP="003910AA">
      <w:pPr>
        <w:pStyle w:val="ESAttList"/>
        <w:numPr>
          <w:ilvl w:val="0"/>
          <w:numId w:val="0"/>
        </w:numPr>
        <w:rPr>
          <w:sz w:val="24"/>
          <w:szCs w:val="24"/>
        </w:rPr>
      </w:pPr>
      <w:r w:rsidRPr="00D95FE5">
        <w:rPr>
          <w:sz w:val="24"/>
          <w:szCs w:val="24"/>
        </w:rPr>
        <w:t xml:space="preserve">Paragraph 4(1)(b) provides that the applicant, or the applicant’s spouse (if they made a combined application), must achieve the test </w:t>
      </w:r>
      <w:r w:rsidR="004E6ED7" w:rsidRPr="00D95FE5">
        <w:rPr>
          <w:sz w:val="24"/>
          <w:szCs w:val="24"/>
        </w:rPr>
        <w:t>scores specified in c</w:t>
      </w:r>
      <w:r w:rsidRPr="00D95FE5">
        <w:rPr>
          <w:sz w:val="24"/>
          <w:szCs w:val="24"/>
        </w:rPr>
        <w:t>olumn 2 of the table</w:t>
      </w:r>
      <w:r w:rsidR="004E6ED7" w:rsidRPr="00D95FE5">
        <w:rPr>
          <w:sz w:val="24"/>
          <w:szCs w:val="24"/>
        </w:rPr>
        <w:t xml:space="preserve"> in </w:t>
      </w:r>
      <w:r w:rsidRPr="00D95FE5">
        <w:rPr>
          <w:sz w:val="24"/>
          <w:szCs w:val="24"/>
        </w:rPr>
        <w:t>re</w:t>
      </w:r>
      <w:r w:rsidR="001E4A30" w:rsidRPr="00D95FE5">
        <w:rPr>
          <w:sz w:val="24"/>
          <w:szCs w:val="24"/>
        </w:rPr>
        <w:t xml:space="preserve">lation to the test undertaken. </w:t>
      </w:r>
      <w:r w:rsidR="004E6ED7" w:rsidRPr="00D95FE5">
        <w:rPr>
          <w:sz w:val="24"/>
          <w:szCs w:val="24"/>
        </w:rPr>
        <w:t>The table is set out in subsection 4(3)</w:t>
      </w:r>
      <w:r w:rsidR="00450213" w:rsidRPr="00D95FE5">
        <w:rPr>
          <w:sz w:val="24"/>
          <w:szCs w:val="24"/>
        </w:rPr>
        <w:t xml:space="preserve">. </w:t>
      </w:r>
    </w:p>
    <w:p w14:paraId="55647CD9" w14:textId="12201C17" w:rsidR="003910AA" w:rsidRPr="00D95FE5" w:rsidRDefault="003910AA" w:rsidP="003910AA">
      <w:pPr>
        <w:pStyle w:val="ESAttList"/>
        <w:numPr>
          <w:ilvl w:val="0"/>
          <w:numId w:val="0"/>
        </w:numPr>
        <w:rPr>
          <w:sz w:val="24"/>
          <w:szCs w:val="24"/>
        </w:rPr>
      </w:pPr>
      <w:r w:rsidRPr="00D95FE5">
        <w:rPr>
          <w:sz w:val="24"/>
          <w:szCs w:val="24"/>
        </w:rPr>
        <w:t>Paragraph 4(1</w:t>
      </w:r>
      <w:proofErr w:type="gramStart"/>
      <w:r w:rsidRPr="00D95FE5">
        <w:rPr>
          <w:sz w:val="24"/>
          <w:szCs w:val="24"/>
        </w:rPr>
        <w:t>)(</w:t>
      </w:r>
      <w:proofErr w:type="gramEnd"/>
      <w:r w:rsidRPr="00D95FE5">
        <w:rPr>
          <w:sz w:val="24"/>
          <w:szCs w:val="24"/>
        </w:rPr>
        <w:t>c) provides that the test must have been undertaken:</w:t>
      </w:r>
    </w:p>
    <w:p w14:paraId="5C44D054" w14:textId="12096D52" w:rsidR="003910AA" w:rsidRPr="00D95FE5" w:rsidRDefault="00A22FF1" w:rsidP="001E4A30">
      <w:pPr>
        <w:pStyle w:val="ESAttList"/>
        <w:numPr>
          <w:ilvl w:val="0"/>
          <w:numId w:val="14"/>
        </w:numPr>
        <w:rPr>
          <w:sz w:val="24"/>
          <w:szCs w:val="24"/>
        </w:rPr>
      </w:pPr>
      <w:r w:rsidRPr="00D95FE5">
        <w:rPr>
          <w:sz w:val="24"/>
          <w:szCs w:val="24"/>
        </w:rPr>
        <w:t>i</w:t>
      </w:r>
      <w:r w:rsidR="003910AA" w:rsidRPr="00D95FE5">
        <w:rPr>
          <w:sz w:val="24"/>
          <w:szCs w:val="24"/>
        </w:rPr>
        <w:t>f evidence of the test is provided at the time of visa application, 3 years immediately before the day of visa application; or</w:t>
      </w:r>
    </w:p>
    <w:p w14:paraId="562CC4B4" w14:textId="05E859B7" w:rsidR="003910AA" w:rsidRPr="00D95FE5" w:rsidRDefault="00A22FF1" w:rsidP="001E4A30">
      <w:pPr>
        <w:pStyle w:val="ESAttList"/>
        <w:numPr>
          <w:ilvl w:val="0"/>
          <w:numId w:val="14"/>
        </w:numPr>
        <w:rPr>
          <w:sz w:val="24"/>
          <w:szCs w:val="24"/>
        </w:rPr>
      </w:pPr>
      <w:proofErr w:type="gramStart"/>
      <w:r w:rsidRPr="00D95FE5">
        <w:rPr>
          <w:sz w:val="24"/>
          <w:szCs w:val="24"/>
        </w:rPr>
        <w:t>i</w:t>
      </w:r>
      <w:r w:rsidR="003910AA" w:rsidRPr="00D95FE5">
        <w:rPr>
          <w:sz w:val="24"/>
          <w:szCs w:val="24"/>
        </w:rPr>
        <w:t>f</w:t>
      </w:r>
      <w:proofErr w:type="gramEnd"/>
      <w:r w:rsidR="003910AA" w:rsidRPr="00D95FE5">
        <w:rPr>
          <w:sz w:val="24"/>
          <w:szCs w:val="24"/>
        </w:rPr>
        <w:t xml:space="preserve"> evidence of the test is not provided at the time of visa application, 3 years immediately before a decision to grant or refuse the visa application is made. </w:t>
      </w:r>
    </w:p>
    <w:p w14:paraId="44863B90" w14:textId="49A0264C" w:rsidR="00E029E4" w:rsidRPr="00D95FE5" w:rsidRDefault="00E029E4" w:rsidP="001E4A30">
      <w:pPr>
        <w:pStyle w:val="ESAttList"/>
        <w:numPr>
          <w:ilvl w:val="0"/>
          <w:numId w:val="0"/>
        </w:numPr>
        <w:rPr>
          <w:sz w:val="24"/>
          <w:szCs w:val="24"/>
        </w:rPr>
      </w:pPr>
      <w:r w:rsidRPr="00D95FE5">
        <w:rPr>
          <w:sz w:val="24"/>
          <w:szCs w:val="24"/>
        </w:rPr>
        <w:t xml:space="preserve">Subsection </w:t>
      </w:r>
      <w:r w:rsidR="003910AA" w:rsidRPr="00D95FE5">
        <w:rPr>
          <w:sz w:val="24"/>
          <w:szCs w:val="24"/>
        </w:rPr>
        <w:t>4</w:t>
      </w:r>
      <w:r w:rsidRPr="00D95FE5">
        <w:rPr>
          <w:sz w:val="24"/>
          <w:szCs w:val="24"/>
        </w:rPr>
        <w:t xml:space="preserve">(2) provides </w:t>
      </w:r>
      <w:r w:rsidR="00C66893" w:rsidRPr="00D95FE5">
        <w:rPr>
          <w:sz w:val="24"/>
          <w:szCs w:val="24"/>
        </w:rPr>
        <w:t xml:space="preserve">that the </w:t>
      </w:r>
      <w:r w:rsidRPr="00D95FE5">
        <w:rPr>
          <w:sz w:val="24"/>
          <w:szCs w:val="24"/>
        </w:rPr>
        <w:t>English language test</w:t>
      </w:r>
      <w:r w:rsidR="00C66893" w:rsidRPr="00D95FE5">
        <w:rPr>
          <w:sz w:val="24"/>
          <w:szCs w:val="24"/>
        </w:rPr>
        <w:t>s for the purposes of paragraph (1</w:t>
      </w:r>
      <w:proofErr w:type="gramStart"/>
      <w:r w:rsidR="00C66893" w:rsidRPr="00D95FE5">
        <w:rPr>
          <w:sz w:val="24"/>
          <w:szCs w:val="24"/>
        </w:rPr>
        <w:t>)(</w:t>
      </w:r>
      <w:proofErr w:type="gramEnd"/>
      <w:r w:rsidR="00C66893" w:rsidRPr="00D95FE5">
        <w:rPr>
          <w:sz w:val="24"/>
          <w:szCs w:val="24"/>
        </w:rPr>
        <w:t xml:space="preserve">a) are: </w:t>
      </w:r>
    </w:p>
    <w:p w14:paraId="3DED6C3D" w14:textId="511D50F1" w:rsidR="009E5A4B" w:rsidRPr="00D95FE5" w:rsidRDefault="009E5A4B" w:rsidP="009E5A4B">
      <w:pPr>
        <w:pStyle w:val="ESAttList"/>
        <w:numPr>
          <w:ilvl w:val="0"/>
          <w:numId w:val="11"/>
        </w:numPr>
        <w:spacing w:before="0" w:after="0"/>
        <w:rPr>
          <w:sz w:val="24"/>
          <w:szCs w:val="24"/>
        </w:rPr>
      </w:pPr>
      <w:r w:rsidRPr="00D95FE5">
        <w:rPr>
          <w:sz w:val="24"/>
          <w:szCs w:val="24"/>
        </w:rPr>
        <w:t xml:space="preserve">the Cambridge </w:t>
      </w:r>
      <w:r w:rsidR="001E4A30" w:rsidRPr="00D95FE5">
        <w:rPr>
          <w:sz w:val="24"/>
          <w:szCs w:val="24"/>
        </w:rPr>
        <w:t>English Advanced test (the CAE);</w:t>
      </w:r>
    </w:p>
    <w:p w14:paraId="52F18310" w14:textId="058FB8CE" w:rsidR="00962D96" w:rsidRPr="00D95FE5" w:rsidRDefault="00E029E4" w:rsidP="00E029E4">
      <w:pPr>
        <w:pStyle w:val="ESAttList"/>
        <w:numPr>
          <w:ilvl w:val="0"/>
          <w:numId w:val="11"/>
        </w:numPr>
        <w:spacing w:before="0" w:after="0"/>
        <w:rPr>
          <w:sz w:val="24"/>
          <w:szCs w:val="24"/>
        </w:rPr>
      </w:pPr>
      <w:r w:rsidRPr="00D95FE5">
        <w:rPr>
          <w:sz w:val="24"/>
          <w:szCs w:val="24"/>
        </w:rPr>
        <w:t>the International English Language Testing System (the IELTS);</w:t>
      </w:r>
    </w:p>
    <w:p w14:paraId="4CE7F45D" w14:textId="5AF7D452" w:rsidR="00E029E4" w:rsidRPr="00D95FE5" w:rsidRDefault="00E029E4" w:rsidP="00E029E4">
      <w:pPr>
        <w:pStyle w:val="ESAttList"/>
        <w:numPr>
          <w:ilvl w:val="0"/>
          <w:numId w:val="11"/>
        </w:numPr>
        <w:spacing w:before="0" w:after="0"/>
        <w:rPr>
          <w:sz w:val="24"/>
          <w:szCs w:val="24"/>
        </w:rPr>
      </w:pPr>
      <w:r w:rsidRPr="00D95FE5">
        <w:rPr>
          <w:sz w:val="24"/>
          <w:szCs w:val="24"/>
        </w:rPr>
        <w:t>the Occupational English test (the OET);</w:t>
      </w:r>
    </w:p>
    <w:p w14:paraId="0EA2C831" w14:textId="1DE171EC" w:rsidR="00E029E4" w:rsidRPr="00D95FE5" w:rsidRDefault="00E029E4" w:rsidP="00E029E4">
      <w:pPr>
        <w:pStyle w:val="ESAttList"/>
        <w:numPr>
          <w:ilvl w:val="0"/>
          <w:numId w:val="11"/>
        </w:numPr>
        <w:spacing w:before="0" w:after="0"/>
        <w:rPr>
          <w:sz w:val="24"/>
          <w:szCs w:val="24"/>
        </w:rPr>
      </w:pPr>
      <w:r w:rsidRPr="00D95FE5">
        <w:rPr>
          <w:sz w:val="24"/>
          <w:szCs w:val="24"/>
        </w:rPr>
        <w:t>the Pearson test of</w:t>
      </w:r>
      <w:r w:rsidR="009E5A4B" w:rsidRPr="00D95FE5">
        <w:rPr>
          <w:sz w:val="24"/>
          <w:szCs w:val="24"/>
        </w:rPr>
        <w:t xml:space="preserve"> English Academic (the PTE);</w:t>
      </w:r>
    </w:p>
    <w:p w14:paraId="0B6BF44D" w14:textId="34E7DAF6" w:rsidR="009E5A4B" w:rsidRPr="00D95FE5" w:rsidRDefault="009E5A4B" w:rsidP="009E5A4B">
      <w:pPr>
        <w:pStyle w:val="ESAttList"/>
        <w:numPr>
          <w:ilvl w:val="0"/>
          <w:numId w:val="11"/>
        </w:numPr>
        <w:spacing w:before="0" w:after="0"/>
        <w:rPr>
          <w:sz w:val="24"/>
          <w:szCs w:val="24"/>
        </w:rPr>
      </w:pPr>
      <w:proofErr w:type="gramStart"/>
      <w:r w:rsidRPr="00D95FE5">
        <w:rPr>
          <w:sz w:val="24"/>
          <w:szCs w:val="24"/>
        </w:rPr>
        <w:t>the</w:t>
      </w:r>
      <w:proofErr w:type="gramEnd"/>
      <w:r w:rsidRPr="00D95FE5">
        <w:rPr>
          <w:sz w:val="24"/>
          <w:szCs w:val="24"/>
        </w:rPr>
        <w:t xml:space="preserve"> Test of English as a Foreign Language internet-based Test (the TOEFL </w:t>
      </w:r>
      <w:proofErr w:type="spellStart"/>
      <w:r w:rsidRPr="00D95FE5">
        <w:rPr>
          <w:sz w:val="24"/>
          <w:szCs w:val="24"/>
        </w:rPr>
        <w:t>iBT</w:t>
      </w:r>
      <w:proofErr w:type="spellEnd"/>
      <w:r w:rsidRPr="00D95FE5">
        <w:rPr>
          <w:sz w:val="24"/>
          <w:szCs w:val="24"/>
        </w:rPr>
        <w:t>), provided that test was under</w:t>
      </w:r>
      <w:r w:rsidR="001E4A30" w:rsidRPr="00D95FE5">
        <w:rPr>
          <w:sz w:val="24"/>
          <w:szCs w:val="24"/>
        </w:rPr>
        <w:t>taken on or before 25 July 2023.</w:t>
      </w:r>
    </w:p>
    <w:p w14:paraId="7B180B70" w14:textId="647BC0EB" w:rsidR="00E029E4" w:rsidRPr="00D95FE5" w:rsidRDefault="00E029E4" w:rsidP="00E029E4">
      <w:pPr>
        <w:pStyle w:val="ESAttList"/>
        <w:numPr>
          <w:ilvl w:val="0"/>
          <w:numId w:val="0"/>
        </w:numPr>
        <w:spacing w:before="0" w:after="0"/>
        <w:ind w:left="720" w:hanging="360"/>
        <w:rPr>
          <w:sz w:val="24"/>
          <w:szCs w:val="24"/>
        </w:rPr>
      </w:pPr>
    </w:p>
    <w:p w14:paraId="7AA4F3AD" w14:textId="6FA41C2C" w:rsidR="00E029E4" w:rsidRPr="00D95FE5" w:rsidRDefault="00E029E4" w:rsidP="000162BB">
      <w:pPr>
        <w:pStyle w:val="ESAttList"/>
        <w:numPr>
          <w:ilvl w:val="0"/>
          <w:numId w:val="0"/>
        </w:numPr>
        <w:spacing w:before="0" w:after="0" w:line="240" w:lineRule="auto"/>
        <w:rPr>
          <w:sz w:val="24"/>
          <w:szCs w:val="24"/>
        </w:rPr>
      </w:pPr>
      <w:r w:rsidRPr="00D95FE5">
        <w:rPr>
          <w:sz w:val="24"/>
          <w:szCs w:val="24"/>
        </w:rPr>
        <w:lastRenderedPageBreak/>
        <w:t xml:space="preserve">Subsection </w:t>
      </w:r>
      <w:r w:rsidR="00C66893" w:rsidRPr="00D95FE5">
        <w:rPr>
          <w:sz w:val="24"/>
          <w:szCs w:val="24"/>
        </w:rPr>
        <w:t>4</w:t>
      </w:r>
      <w:r w:rsidRPr="00D95FE5">
        <w:rPr>
          <w:sz w:val="24"/>
          <w:szCs w:val="24"/>
        </w:rPr>
        <w:t>(3) provides th</w:t>
      </w:r>
      <w:r w:rsidR="00C66893" w:rsidRPr="00D95FE5">
        <w:rPr>
          <w:sz w:val="24"/>
          <w:szCs w:val="24"/>
        </w:rPr>
        <w:t>at the required</w:t>
      </w:r>
      <w:r w:rsidRPr="00D95FE5">
        <w:rPr>
          <w:sz w:val="24"/>
          <w:szCs w:val="24"/>
        </w:rPr>
        <w:t xml:space="preserve"> test scores</w:t>
      </w:r>
      <w:r w:rsidR="00C66893" w:rsidRPr="00D95FE5">
        <w:rPr>
          <w:sz w:val="24"/>
          <w:szCs w:val="24"/>
        </w:rPr>
        <w:t xml:space="preserve"> </w:t>
      </w:r>
      <w:proofErr w:type="gramStart"/>
      <w:r w:rsidR="00C66893" w:rsidRPr="00D95FE5">
        <w:rPr>
          <w:sz w:val="24"/>
          <w:szCs w:val="24"/>
        </w:rPr>
        <w:t>are</w:t>
      </w:r>
      <w:proofErr w:type="gramEnd"/>
      <w:r w:rsidR="00C66893" w:rsidRPr="00D95FE5">
        <w:rPr>
          <w:sz w:val="24"/>
          <w:szCs w:val="24"/>
        </w:rPr>
        <w:t xml:space="preserve"> specified</w:t>
      </w:r>
      <w:r w:rsidRPr="00D95FE5">
        <w:rPr>
          <w:sz w:val="24"/>
          <w:szCs w:val="24"/>
        </w:rPr>
        <w:t xml:space="preserve"> </w:t>
      </w:r>
      <w:r w:rsidR="00C66893" w:rsidRPr="00D95FE5">
        <w:rPr>
          <w:sz w:val="24"/>
          <w:szCs w:val="24"/>
        </w:rPr>
        <w:t xml:space="preserve">in column 2 in relation to the test in column 1 for each Item of the table. </w:t>
      </w:r>
    </w:p>
    <w:p w14:paraId="5C9DEC58" w14:textId="3F4A086F" w:rsidR="004E0A16" w:rsidRPr="004C7A25" w:rsidRDefault="00DB771F" w:rsidP="00CD4FFE">
      <w:pPr>
        <w:spacing w:before="120" w:after="120" w:line="240" w:lineRule="auto"/>
        <w:rPr>
          <w:rFonts w:ascii="Times New Roman" w:eastAsia="Times New Roman" w:hAnsi="Times New Roman" w:cs="Times New Roman"/>
          <w:sz w:val="24"/>
          <w:szCs w:val="24"/>
          <w:lang w:eastAsia="en-AU"/>
        </w:rPr>
      </w:pPr>
      <w:r w:rsidRPr="00D95FE5">
        <w:rPr>
          <w:rFonts w:ascii="Times New Roman" w:hAnsi="Times New Roman" w:cs="Times New Roman"/>
          <w:sz w:val="24"/>
          <w:szCs w:val="24"/>
        </w:rPr>
        <w:t xml:space="preserve">The note to the </w:t>
      </w:r>
      <w:r w:rsidR="000162BB" w:rsidRPr="00D95FE5">
        <w:rPr>
          <w:rFonts w:ascii="Times New Roman" w:hAnsi="Times New Roman" w:cs="Times New Roman"/>
          <w:sz w:val="24"/>
          <w:szCs w:val="24"/>
        </w:rPr>
        <w:t xml:space="preserve">table </w:t>
      </w:r>
      <w:r w:rsidRPr="00D95FE5">
        <w:rPr>
          <w:rFonts w:ascii="Times New Roman" w:hAnsi="Times New Roman" w:cs="Times New Roman"/>
          <w:sz w:val="24"/>
          <w:szCs w:val="24"/>
        </w:rPr>
        <w:t xml:space="preserve">clarifies that only the test scores set out in the table are required. </w:t>
      </w:r>
      <w:r w:rsidR="00CD4FFE" w:rsidRPr="00D95FE5">
        <w:rPr>
          <w:rFonts w:ascii="Times New Roman" w:hAnsi="Times New Roman" w:cs="Times New Roman"/>
          <w:sz w:val="24"/>
          <w:szCs w:val="24"/>
        </w:rPr>
        <w:t xml:space="preserve">There is no minimum test </w:t>
      </w:r>
      <w:r w:rsidR="00BB70C4" w:rsidRPr="00D95FE5">
        <w:rPr>
          <w:rFonts w:ascii="Times New Roman" w:hAnsi="Times New Roman" w:cs="Times New Roman"/>
          <w:sz w:val="24"/>
          <w:szCs w:val="24"/>
        </w:rPr>
        <w:t>s</w:t>
      </w:r>
      <w:r w:rsidR="00CD4FFE" w:rsidRPr="00D95FE5">
        <w:rPr>
          <w:rFonts w:ascii="Times New Roman" w:hAnsi="Times New Roman" w:cs="Times New Roman"/>
          <w:sz w:val="24"/>
          <w:szCs w:val="24"/>
        </w:rPr>
        <w:t>core required for reading and writing components. A minimum overall test score is also not required.</w:t>
      </w:r>
      <w:r w:rsidRPr="00D95FE5">
        <w:rPr>
          <w:rFonts w:ascii="Times New Roman" w:hAnsi="Times New Roman" w:cs="Times New Roman"/>
          <w:sz w:val="24"/>
          <w:szCs w:val="24"/>
        </w:rPr>
        <w:t xml:space="preserve"> This recognises speaking and listening skills are more valuable </w:t>
      </w:r>
      <w:r w:rsidR="00572E77" w:rsidRPr="00D95FE5">
        <w:rPr>
          <w:rFonts w:ascii="Times New Roman" w:hAnsi="Times New Roman" w:cs="Times New Roman"/>
          <w:sz w:val="24"/>
          <w:szCs w:val="24"/>
        </w:rPr>
        <w:t xml:space="preserve">for participation and engagement in the Australian community and better supports a positive experience </w:t>
      </w:r>
      <w:r w:rsidRPr="00D95FE5">
        <w:rPr>
          <w:rFonts w:ascii="Times New Roman" w:hAnsi="Times New Roman" w:cs="Times New Roman"/>
          <w:sz w:val="24"/>
          <w:szCs w:val="24"/>
        </w:rPr>
        <w:t>for applicants seeking to immigrate to Australia.</w:t>
      </w:r>
      <w:r w:rsidRPr="004C7A25">
        <w:rPr>
          <w:rFonts w:ascii="Times New Roman" w:hAnsi="Times New Roman" w:cs="Times New Roman"/>
          <w:sz w:val="24"/>
          <w:szCs w:val="24"/>
        </w:rPr>
        <w:t xml:space="preserve"> </w:t>
      </w:r>
    </w:p>
    <w:sectPr w:rsidR="004E0A16" w:rsidRPr="004C7A25"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8DDC" w14:textId="77777777" w:rsidR="004C7A25" w:rsidRDefault="004C7A25" w:rsidP="004C7A25">
      <w:pPr>
        <w:spacing w:after="0" w:line="240" w:lineRule="auto"/>
      </w:pPr>
      <w:r>
        <w:separator/>
      </w:r>
    </w:p>
  </w:endnote>
  <w:endnote w:type="continuationSeparator" w:id="0">
    <w:p w14:paraId="5F60BC81" w14:textId="77777777" w:rsidR="004C7A25" w:rsidRDefault="004C7A25" w:rsidP="004C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0BE3" w14:textId="77777777" w:rsidR="009310D0" w:rsidRDefault="00931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48524"/>
      <w:docPartObj>
        <w:docPartGallery w:val="Page Numbers (Bottom of Page)"/>
        <w:docPartUnique/>
      </w:docPartObj>
    </w:sdtPr>
    <w:sdtEndPr>
      <w:rPr>
        <w:noProof/>
      </w:rPr>
    </w:sdtEndPr>
    <w:sdtContent>
      <w:p w14:paraId="3AE19F39" w14:textId="4095BF95" w:rsidR="004C7A25" w:rsidRDefault="004C7A25">
        <w:pPr>
          <w:pStyle w:val="Footer"/>
          <w:jc w:val="center"/>
        </w:pPr>
        <w:r>
          <w:fldChar w:fldCharType="begin"/>
        </w:r>
        <w:r>
          <w:instrText xml:space="preserve"> PAGE   \* MERGEFORMAT </w:instrText>
        </w:r>
        <w:r>
          <w:fldChar w:fldCharType="separate"/>
        </w:r>
        <w:r w:rsidR="00D95FE5">
          <w:rPr>
            <w:noProof/>
          </w:rPr>
          <w:t>1</w:t>
        </w:r>
        <w:r>
          <w:rPr>
            <w:noProof/>
          </w:rPr>
          <w:fldChar w:fldCharType="end"/>
        </w:r>
      </w:p>
    </w:sdtContent>
  </w:sdt>
  <w:p w14:paraId="27113C2E" w14:textId="77777777" w:rsidR="004C7A25" w:rsidRDefault="004C7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0453" w14:textId="77777777" w:rsidR="009310D0" w:rsidRDefault="0093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EDA03" w14:textId="77777777" w:rsidR="004C7A25" w:rsidRDefault="004C7A25" w:rsidP="004C7A25">
      <w:pPr>
        <w:spacing w:after="0" w:line="240" w:lineRule="auto"/>
      </w:pPr>
      <w:r>
        <w:separator/>
      </w:r>
    </w:p>
  </w:footnote>
  <w:footnote w:type="continuationSeparator" w:id="0">
    <w:p w14:paraId="29E75889" w14:textId="77777777" w:rsidR="004C7A25" w:rsidRDefault="004C7A25" w:rsidP="004C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DF0E" w14:textId="77777777" w:rsidR="009310D0" w:rsidRDefault="00931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42FF" w14:textId="77777777" w:rsidR="009310D0" w:rsidRDefault="00931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6268" w14:textId="77777777" w:rsidR="009310D0" w:rsidRDefault="00931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D1"/>
    <w:multiLevelType w:val="hybridMultilevel"/>
    <w:tmpl w:val="1FFEC9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7E06C4"/>
    <w:multiLevelType w:val="hybridMultilevel"/>
    <w:tmpl w:val="6CA42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A742BB7"/>
    <w:multiLevelType w:val="hybridMultilevel"/>
    <w:tmpl w:val="7278CF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CB3E93"/>
    <w:multiLevelType w:val="hybridMultilevel"/>
    <w:tmpl w:val="961A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3A4988"/>
    <w:multiLevelType w:val="hybridMultilevel"/>
    <w:tmpl w:val="75D6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1D5974"/>
    <w:multiLevelType w:val="hybridMultilevel"/>
    <w:tmpl w:val="E9C26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5F420A"/>
    <w:multiLevelType w:val="hybridMultilevel"/>
    <w:tmpl w:val="5ECAE8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79A448B3"/>
    <w:multiLevelType w:val="hybridMultilevel"/>
    <w:tmpl w:val="BB7AAA4E"/>
    <w:lvl w:ilvl="0" w:tplc="DBA26E1E">
      <w:start w:val="1"/>
      <w:numFmt w:val="decimal"/>
      <w:lvlText w:val="%1."/>
      <w:lvlJc w:val="left"/>
      <w:pPr>
        <w:ind w:left="786"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4"/>
  </w:num>
  <w:num w:numId="3">
    <w:abstractNumId w:val="4"/>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2"/>
    <w:rsid w:val="000023E9"/>
    <w:rsid w:val="0000764B"/>
    <w:rsid w:val="000162BB"/>
    <w:rsid w:val="00021553"/>
    <w:rsid w:val="0002412C"/>
    <w:rsid w:val="00026D22"/>
    <w:rsid w:val="00027BC9"/>
    <w:rsid w:val="00035EEC"/>
    <w:rsid w:val="000409E2"/>
    <w:rsid w:val="00045A52"/>
    <w:rsid w:val="0005452F"/>
    <w:rsid w:val="00057CDC"/>
    <w:rsid w:val="000671EC"/>
    <w:rsid w:val="00070F78"/>
    <w:rsid w:val="00074291"/>
    <w:rsid w:val="0008041D"/>
    <w:rsid w:val="000847CC"/>
    <w:rsid w:val="0009222A"/>
    <w:rsid w:val="000A15AB"/>
    <w:rsid w:val="000A37AC"/>
    <w:rsid w:val="000D014F"/>
    <w:rsid w:val="000F2906"/>
    <w:rsid w:val="000F431D"/>
    <w:rsid w:val="000F4C08"/>
    <w:rsid w:val="00100DFC"/>
    <w:rsid w:val="00102CBA"/>
    <w:rsid w:val="00107EF2"/>
    <w:rsid w:val="001143AE"/>
    <w:rsid w:val="00117BF1"/>
    <w:rsid w:val="00126EE3"/>
    <w:rsid w:val="00143E1B"/>
    <w:rsid w:val="001502D3"/>
    <w:rsid w:val="00152932"/>
    <w:rsid w:val="00154BDE"/>
    <w:rsid w:val="0015525A"/>
    <w:rsid w:val="00170350"/>
    <w:rsid w:val="00183991"/>
    <w:rsid w:val="0019164E"/>
    <w:rsid w:val="00192706"/>
    <w:rsid w:val="001945C0"/>
    <w:rsid w:val="001A5343"/>
    <w:rsid w:val="001A7646"/>
    <w:rsid w:val="001C41A0"/>
    <w:rsid w:val="001C63AA"/>
    <w:rsid w:val="001E2561"/>
    <w:rsid w:val="001E4A30"/>
    <w:rsid w:val="001E6B00"/>
    <w:rsid w:val="001E7EDA"/>
    <w:rsid w:val="001F1E94"/>
    <w:rsid w:val="001F328C"/>
    <w:rsid w:val="0021608A"/>
    <w:rsid w:val="00224D50"/>
    <w:rsid w:val="0022512D"/>
    <w:rsid w:val="002308A4"/>
    <w:rsid w:val="00232C3F"/>
    <w:rsid w:val="002402E0"/>
    <w:rsid w:val="00265F19"/>
    <w:rsid w:val="0026634E"/>
    <w:rsid w:val="00286177"/>
    <w:rsid w:val="002877D5"/>
    <w:rsid w:val="002A2E09"/>
    <w:rsid w:val="002B63D7"/>
    <w:rsid w:val="002C06A5"/>
    <w:rsid w:val="002C4D39"/>
    <w:rsid w:val="002C580E"/>
    <w:rsid w:val="002D167E"/>
    <w:rsid w:val="002D2C54"/>
    <w:rsid w:val="002F02AB"/>
    <w:rsid w:val="002F147C"/>
    <w:rsid w:val="0030666E"/>
    <w:rsid w:val="003110E3"/>
    <w:rsid w:val="00320D8D"/>
    <w:rsid w:val="003241F3"/>
    <w:rsid w:val="00331972"/>
    <w:rsid w:val="00331D0C"/>
    <w:rsid w:val="003451AF"/>
    <w:rsid w:val="00354DC6"/>
    <w:rsid w:val="003557E4"/>
    <w:rsid w:val="00356130"/>
    <w:rsid w:val="00357072"/>
    <w:rsid w:val="0036337B"/>
    <w:rsid w:val="00374013"/>
    <w:rsid w:val="003868C8"/>
    <w:rsid w:val="003910AA"/>
    <w:rsid w:val="00397D73"/>
    <w:rsid w:val="003A0FDC"/>
    <w:rsid w:val="003A1791"/>
    <w:rsid w:val="003B171D"/>
    <w:rsid w:val="003C684C"/>
    <w:rsid w:val="003D1095"/>
    <w:rsid w:val="003D7E40"/>
    <w:rsid w:val="003E1DB9"/>
    <w:rsid w:val="003F0B44"/>
    <w:rsid w:val="003F17FB"/>
    <w:rsid w:val="003F6E5B"/>
    <w:rsid w:val="004037F4"/>
    <w:rsid w:val="004220F1"/>
    <w:rsid w:val="00423F97"/>
    <w:rsid w:val="004325E4"/>
    <w:rsid w:val="004443D4"/>
    <w:rsid w:val="00450213"/>
    <w:rsid w:val="00457D4A"/>
    <w:rsid w:val="00464080"/>
    <w:rsid w:val="00470D10"/>
    <w:rsid w:val="00484E6F"/>
    <w:rsid w:val="0049215D"/>
    <w:rsid w:val="004A1949"/>
    <w:rsid w:val="004A4D8C"/>
    <w:rsid w:val="004B43C5"/>
    <w:rsid w:val="004B6A1C"/>
    <w:rsid w:val="004B7A96"/>
    <w:rsid w:val="004C3B41"/>
    <w:rsid w:val="004C4389"/>
    <w:rsid w:val="004C7A25"/>
    <w:rsid w:val="004D4C5E"/>
    <w:rsid w:val="004D553D"/>
    <w:rsid w:val="004D7993"/>
    <w:rsid w:val="004E0A16"/>
    <w:rsid w:val="004E4BD5"/>
    <w:rsid w:val="004E6ED7"/>
    <w:rsid w:val="004E7BCF"/>
    <w:rsid w:val="004F5CE4"/>
    <w:rsid w:val="0050070C"/>
    <w:rsid w:val="0051014E"/>
    <w:rsid w:val="00521C0B"/>
    <w:rsid w:val="00523AB4"/>
    <w:rsid w:val="00532DD6"/>
    <w:rsid w:val="00550913"/>
    <w:rsid w:val="00560B24"/>
    <w:rsid w:val="00560ECE"/>
    <w:rsid w:val="00562C99"/>
    <w:rsid w:val="005661E1"/>
    <w:rsid w:val="0057002B"/>
    <w:rsid w:val="00572E77"/>
    <w:rsid w:val="005733D4"/>
    <w:rsid w:val="00595ABC"/>
    <w:rsid w:val="005A2597"/>
    <w:rsid w:val="005A3733"/>
    <w:rsid w:val="005A4136"/>
    <w:rsid w:val="005A6267"/>
    <w:rsid w:val="005B53AF"/>
    <w:rsid w:val="005C4C6B"/>
    <w:rsid w:val="005D0DA3"/>
    <w:rsid w:val="005D3F6B"/>
    <w:rsid w:val="00604E06"/>
    <w:rsid w:val="00606BE5"/>
    <w:rsid w:val="00615FF5"/>
    <w:rsid w:val="006218DE"/>
    <w:rsid w:val="00632508"/>
    <w:rsid w:val="006363DF"/>
    <w:rsid w:val="00637044"/>
    <w:rsid w:val="00640375"/>
    <w:rsid w:val="00656959"/>
    <w:rsid w:val="00682042"/>
    <w:rsid w:val="00686B73"/>
    <w:rsid w:val="006B5C10"/>
    <w:rsid w:val="00720431"/>
    <w:rsid w:val="00724940"/>
    <w:rsid w:val="00730F1C"/>
    <w:rsid w:val="0073481B"/>
    <w:rsid w:val="00740E32"/>
    <w:rsid w:val="00754524"/>
    <w:rsid w:val="0076522B"/>
    <w:rsid w:val="00767795"/>
    <w:rsid w:val="007756AE"/>
    <w:rsid w:val="00790F81"/>
    <w:rsid w:val="007A61ED"/>
    <w:rsid w:val="007B5F2D"/>
    <w:rsid w:val="007C02F8"/>
    <w:rsid w:val="007C544C"/>
    <w:rsid w:val="007D057F"/>
    <w:rsid w:val="007D57DE"/>
    <w:rsid w:val="007D5FA1"/>
    <w:rsid w:val="007E066A"/>
    <w:rsid w:val="007E4691"/>
    <w:rsid w:val="007E763C"/>
    <w:rsid w:val="007F6367"/>
    <w:rsid w:val="00800417"/>
    <w:rsid w:val="00805B09"/>
    <w:rsid w:val="00805E14"/>
    <w:rsid w:val="00820C7B"/>
    <w:rsid w:val="00845F3A"/>
    <w:rsid w:val="00851871"/>
    <w:rsid w:val="00853884"/>
    <w:rsid w:val="008649AE"/>
    <w:rsid w:val="008736A7"/>
    <w:rsid w:val="008770ED"/>
    <w:rsid w:val="0088011C"/>
    <w:rsid w:val="0088407D"/>
    <w:rsid w:val="00886B84"/>
    <w:rsid w:val="00890D6F"/>
    <w:rsid w:val="008A297C"/>
    <w:rsid w:val="008A655A"/>
    <w:rsid w:val="008B24C8"/>
    <w:rsid w:val="008C55D3"/>
    <w:rsid w:val="008F6722"/>
    <w:rsid w:val="009012E7"/>
    <w:rsid w:val="00907477"/>
    <w:rsid w:val="00914FE4"/>
    <w:rsid w:val="00915032"/>
    <w:rsid w:val="0091623C"/>
    <w:rsid w:val="009310D0"/>
    <w:rsid w:val="00935249"/>
    <w:rsid w:val="00954754"/>
    <w:rsid w:val="00962D96"/>
    <w:rsid w:val="00970516"/>
    <w:rsid w:val="00970569"/>
    <w:rsid w:val="00985CDA"/>
    <w:rsid w:val="009868BC"/>
    <w:rsid w:val="009A3899"/>
    <w:rsid w:val="009A6EBC"/>
    <w:rsid w:val="009B60B0"/>
    <w:rsid w:val="009B66D5"/>
    <w:rsid w:val="009C2B6F"/>
    <w:rsid w:val="009D2E47"/>
    <w:rsid w:val="009E1630"/>
    <w:rsid w:val="009E16C2"/>
    <w:rsid w:val="009E5A4B"/>
    <w:rsid w:val="009E5EB1"/>
    <w:rsid w:val="009F1A39"/>
    <w:rsid w:val="00A07D94"/>
    <w:rsid w:val="00A221C1"/>
    <w:rsid w:val="00A22FF1"/>
    <w:rsid w:val="00A26E54"/>
    <w:rsid w:val="00A4315E"/>
    <w:rsid w:val="00A44084"/>
    <w:rsid w:val="00A5286F"/>
    <w:rsid w:val="00A62E25"/>
    <w:rsid w:val="00A72F06"/>
    <w:rsid w:val="00A825FB"/>
    <w:rsid w:val="00AA10C6"/>
    <w:rsid w:val="00AA4557"/>
    <w:rsid w:val="00AA4F77"/>
    <w:rsid w:val="00AC46FA"/>
    <w:rsid w:val="00AC6D3B"/>
    <w:rsid w:val="00AC7A28"/>
    <w:rsid w:val="00AE22C3"/>
    <w:rsid w:val="00B00ED0"/>
    <w:rsid w:val="00B445D9"/>
    <w:rsid w:val="00B54934"/>
    <w:rsid w:val="00B64BB9"/>
    <w:rsid w:val="00B65A06"/>
    <w:rsid w:val="00B65E9A"/>
    <w:rsid w:val="00B73406"/>
    <w:rsid w:val="00B75478"/>
    <w:rsid w:val="00B7671D"/>
    <w:rsid w:val="00B84A80"/>
    <w:rsid w:val="00B91233"/>
    <w:rsid w:val="00B933DF"/>
    <w:rsid w:val="00BA58CA"/>
    <w:rsid w:val="00BB0CF2"/>
    <w:rsid w:val="00BB70C4"/>
    <w:rsid w:val="00BC77E6"/>
    <w:rsid w:val="00BD598E"/>
    <w:rsid w:val="00BE2899"/>
    <w:rsid w:val="00BE3E7F"/>
    <w:rsid w:val="00BE6AC6"/>
    <w:rsid w:val="00C104CA"/>
    <w:rsid w:val="00C1758A"/>
    <w:rsid w:val="00C23957"/>
    <w:rsid w:val="00C25E3D"/>
    <w:rsid w:val="00C4249F"/>
    <w:rsid w:val="00C4348B"/>
    <w:rsid w:val="00C4769E"/>
    <w:rsid w:val="00C47937"/>
    <w:rsid w:val="00C60114"/>
    <w:rsid w:val="00C620D2"/>
    <w:rsid w:val="00C66893"/>
    <w:rsid w:val="00C729DB"/>
    <w:rsid w:val="00C77084"/>
    <w:rsid w:val="00C80652"/>
    <w:rsid w:val="00C818C4"/>
    <w:rsid w:val="00C81A5E"/>
    <w:rsid w:val="00C90A84"/>
    <w:rsid w:val="00C930F2"/>
    <w:rsid w:val="00C95B17"/>
    <w:rsid w:val="00CA2358"/>
    <w:rsid w:val="00CA78CF"/>
    <w:rsid w:val="00CD4FFE"/>
    <w:rsid w:val="00CD6387"/>
    <w:rsid w:val="00CE6BDB"/>
    <w:rsid w:val="00CE6DEF"/>
    <w:rsid w:val="00CF0BF3"/>
    <w:rsid w:val="00CF6FA8"/>
    <w:rsid w:val="00D01F77"/>
    <w:rsid w:val="00D02926"/>
    <w:rsid w:val="00D231E0"/>
    <w:rsid w:val="00D2570C"/>
    <w:rsid w:val="00D32DBC"/>
    <w:rsid w:val="00D40E1E"/>
    <w:rsid w:val="00D7070B"/>
    <w:rsid w:val="00D72B78"/>
    <w:rsid w:val="00D8075F"/>
    <w:rsid w:val="00D823DB"/>
    <w:rsid w:val="00D86D7C"/>
    <w:rsid w:val="00D916E0"/>
    <w:rsid w:val="00D95FE5"/>
    <w:rsid w:val="00D9786D"/>
    <w:rsid w:val="00DA2084"/>
    <w:rsid w:val="00DA44EE"/>
    <w:rsid w:val="00DB771F"/>
    <w:rsid w:val="00DC5247"/>
    <w:rsid w:val="00DC5D65"/>
    <w:rsid w:val="00DE131B"/>
    <w:rsid w:val="00DE1A35"/>
    <w:rsid w:val="00E01703"/>
    <w:rsid w:val="00E029E4"/>
    <w:rsid w:val="00E03DCC"/>
    <w:rsid w:val="00E253FE"/>
    <w:rsid w:val="00E30411"/>
    <w:rsid w:val="00E45328"/>
    <w:rsid w:val="00E45FE2"/>
    <w:rsid w:val="00E561C2"/>
    <w:rsid w:val="00E6749C"/>
    <w:rsid w:val="00EA0E6C"/>
    <w:rsid w:val="00EA12C9"/>
    <w:rsid w:val="00EB02A4"/>
    <w:rsid w:val="00EC0A55"/>
    <w:rsid w:val="00EE1C3C"/>
    <w:rsid w:val="00EE6A38"/>
    <w:rsid w:val="00EE77E5"/>
    <w:rsid w:val="00F05785"/>
    <w:rsid w:val="00F07491"/>
    <w:rsid w:val="00F22A8D"/>
    <w:rsid w:val="00F24D89"/>
    <w:rsid w:val="00F32785"/>
    <w:rsid w:val="00F529C2"/>
    <w:rsid w:val="00F608D2"/>
    <w:rsid w:val="00F6381D"/>
    <w:rsid w:val="00F638D3"/>
    <w:rsid w:val="00F7285E"/>
    <w:rsid w:val="00F76B71"/>
    <w:rsid w:val="00F96716"/>
    <w:rsid w:val="00FA3D90"/>
    <w:rsid w:val="00FB27D7"/>
    <w:rsid w:val="00FC3105"/>
    <w:rsid w:val="00FD01B8"/>
    <w:rsid w:val="00FD1DE4"/>
    <w:rsid w:val="00FD2E80"/>
    <w:rsid w:val="00FD5D5B"/>
    <w:rsid w:val="00FE0FEE"/>
    <w:rsid w:val="00FF3795"/>
    <w:rsid w:val="00FF3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7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D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ui-provider">
    <w:name w:val="ui-provider"/>
    <w:basedOn w:val="DefaultParagraphFont"/>
    <w:rsid w:val="003E1DB9"/>
  </w:style>
  <w:style w:type="paragraph" w:customStyle="1" w:styleId="LDDescription">
    <w:name w:val="LD Description"/>
    <w:rsid w:val="00790F81"/>
    <w:pPr>
      <w:pBdr>
        <w:bottom w:val="single" w:sz="4" w:space="3" w:color="auto"/>
      </w:pBdr>
      <w:spacing w:before="600" w:after="120" w:line="240" w:lineRule="auto"/>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2F147C"/>
    <w:rPr>
      <w:sz w:val="16"/>
      <w:szCs w:val="16"/>
    </w:rPr>
  </w:style>
  <w:style w:type="paragraph" w:styleId="CommentText">
    <w:name w:val="annotation text"/>
    <w:basedOn w:val="Normal"/>
    <w:link w:val="CommentTextChar"/>
    <w:uiPriority w:val="99"/>
    <w:semiHidden/>
    <w:unhideWhenUsed/>
    <w:rsid w:val="002F147C"/>
    <w:pPr>
      <w:spacing w:line="240" w:lineRule="auto"/>
    </w:pPr>
    <w:rPr>
      <w:sz w:val="20"/>
      <w:szCs w:val="20"/>
    </w:rPr>
  </w:style>
  <w:style w:type="character" w:customStyle="1" w:styleId="CommentTextChar">
    <w:name w:val="Comment Text Char"/>
    <w:basedOn w:val="DefaultParagraphFont"/>
    <w:link w:val="CommentText"/>
    <w:uiPriority w:val="99"/>
    <w:semiHidden/>
    <w:rsid w:val="002F147C"/>
    <w:rPr>
      <w:sz w:val="20"/>
      <w:szCs w:val="20"/>
    </w:rPr>
  </w:style>
  <w:style w:type="paragraph" w:styleId="CommentSubject">
    <w:name w:val="annotation subject"/>
    <w:basedOn w:val="CommentText"/>
    <w:next w:val="CommentText"/>
    <w:link w:val="CommentSubjectChar"/>
    <w:uiPriority w:val="99"/>
    <w:semiHidden/>
    <w:unhideWhenUsed/>
    <w:rsid w:val="002F147C"/>
    <w:rPr>
      <w:b/>
      <w:bCs/>
    </w:rPr>
  </w:style>
  <w:style w:type="character" w:customStyle="1" w:styleId="CommentSubjectChar">
    <w:name w:val="Comment Subject Char"/>
    <w:basedOn w:val="CommentTextChar"/>
    <w:link w:val="CommentSubject"/>
    <w:uiPriority w:val="99"/>
    <w:semiHidden/>
    <w:rsid w:val="002F147C"/>
    <w:rPr>
      <w:b/>
      <w:bCs/>
      <w:sz w:val="20"/>
      <w:szCs w:val="20"/>
    </w:rPr>
  </w:style>
  <w:style w:type="paragraph" w:styleId="BalloonText">
    <w:name w:val="Balloon Text"/>
    <w:basedOn w:val="Normal"/>
    <w:link w:val="BalloonTextChar"/>
    <w:uiPriority w:val="99"/>
    <w:semiHidden/>
    <w:unhideWhenUsed/>
    <w:rsid w:val="002F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7C"/>
    <w:rPr>
      <w:rFonts w:ascii="Segoe UI" w:hAnsi="Segoe UI" w:cs="Segoe UI"/>
      <w:sz w:val="18"/>
      <w:szCs w:val="18"/>
    </w:rPr>
  </w:style>
  <w:style w:type="character" w:styleId="Hyperlink">
    <w:name w:val="Hyperlink"/>
    <w:basedOn w:val="DefaultParagraphFont"/>
    <w:uiPriority w:val="99"/>
    <w:semiHidden/>
    <w:unhideWhenUsed/>
    <w:rsid w:val="00C729DB"/>
  </w:style>
  <w:style w:type="paragraph" w:customStyle="1" w:styleId="default">
    <w:name w:val="default"/>
    <w:basedOn w:val="Normal"/>
    <w:rsid w:val="009E5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07D94"/>
    <w:rPr>
      <w:rFonts w:ascii="Times New Roman" w:eastAsia="Times New Roman" w:hAnsi="Times New Roman" w:cs="Times New Roman"/>
      <w:b/>
      <w:bCs/>
      <w:sz w:val="36"/>
      <w:szCs w:val="36"/>
      <w:lang w:eastAsia="en-AU"/>
    </w:rPr>
  </w:style>
  <w:style w:type="character" w:customStyle="1" w:styleId="s2">
    <w:name w:val="s2"/>
    <w:basedOn w:val="DefaultParagraphFont"/>
    <w:rsid w:val="00754524"/>
  </w:style>
  <w:style w:type="paragraph" w:styleId="Header">
    <w:name w:val="header"/>
    <w:basedOn w:val="Normal"/>
    <w:link w:val="HeaderChar"/>
    <w:uiPriority w:val="99"/>
    <w:unhideWhenUsed/>
    <w:rsid w:val="004C7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A25"/>
  </w:style>
  <w:style w:type="paragraph" w:styleId="Footer">
    <w:name w:val="footer"/>
    <w:basedOn w:val="Normal"/>
    <w:link w:val="FooterChar"/>
    <w:uiPriority w:val="99"/>
    <w:unhideWhenUsed/>
    <w:rsid w:val="004C7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598">
      <w:bodyDiv w:val="1"/>
      <w:marLeft w:val="0"/>
      <w:marRight w:val="0"/>
      <w:marTop w:val="0"/>
      <w:marBottom w:val="0"/>
      <w:divBdr>
        <w:top w:val="none" w:sz="0" w:space="0" w:color="auto"/>
        <w:left w:val="none" w:sz="0" w:space="0" w:color="auto"/>
        <w:bottom w:val="none" w:sz="0" w:space="0" w:color="auto"/>
        <w:right w:val="none" w:sz="0" w:space="0" w:color="auto"/>
      </w:divBdr>
    </w:div>
    <w:div w:id="189881917">
      <w:bodyDiv w:val="1"/>
      <w:marLeft w:val="0"/>
      <w:marRight w:val="0"/>
      <w:marTop w:val="0"/>
      <w:marBottom w:val="0"/>
      <w:divBdr>
        <w:top w:val="none" w:sz="0" w:space="0" w:color="auto"/>
        <w:left w:val="none" w:sz="0" w:space="0" w:color="auto"/>
        <w:bottom w:val="none" w:sz="0" w:space="0" w:color="auto"/>
        <w:right w:val="none" w:sz="0" w:space="0" w:color="auto"/>
      </w:divBdr>
    </w:div>
    <w:div w:id="541937334">
      <w:bodyDiv w:val="1"/>
      <w:marLeft w:val="0"/>
      <w:marRight w:val="0"/>
      <w:marTop w:val="0"/>
      <w:marBottom w:val="0"/>
      <w:divBdr>
        <w:top w:val="none" w:sz="0" w:space="0" w:color="auto"/>
        <w:left w:val="none" w:sz="0" w:space="0" w:color="auto"/>
        <w:bottom w:val="none" w:sz="0" w:space="0" w:color="auto"/>
        <w:right w:val="none" w:sz="0" w:space="0" w:color="auto"/>
      </w:divBdr>
    </w:div>
    <w:div w:id="805245341">
      <w:bodyDiv w:val="1"/>
      <w:marLeft w:val="0"/>
      <w:marRight w:val="0"/>
      <w:marTop w:val="0"/>
      <w:marBottom w:val="0"/>
      <w:divBdr>
        <w:top w:val="none" w:sz="0" w:space="0" w:color="auto"/>
        <w:left w:val="none" w:sz="0" w:space="0" w:color="auto"/>
        <w:bottom w:val="none" w:sz="0" w:space="0" w:color="auto"/>
        <w:right w:val="none" w:sz="0" w:space="0" w:color="auto"/>
      </w:divBdr>
    </w:div>
    <w:div w:id="901939161">
      <w:bodyDiv w:val="1"/>
      <w:marLeft w:val="0"/>
      <w:marRight w:val="0"/>
      <w:marTop w:val="0"/>
      <w:marBottom w:val="0"/>
      <w:divBdr>
        <w:top w:val="none" w:sz="0" w:space="0" w:color="auto"/>
        <w:left w:val="none" w:sz="0" w:space="0" w:color="auto"/>
        <w:bottom w:val="none" w:sz="0" w:space="0" w:color="auto"/>
        <w:right w:val="none" w:sz="0" w:space="0" w:color="auto"/>
      </w:divBdr>
    </w:div>
    <w:div w:id="1122655279">
      <w:bodyDiv w:val="1"/>
      <w:marLeft w:val="0"/>
      <w:marRight w:val="0"/>
      <w:marTop w:val="0"/>
      <w:marBottom w:val="0"/>
      <w:divBdr>
        <w:top w:val="none" w:sz="0" w:space="0" w:color="auto"/>
        <w:left w:val="none" w:sz="0" w:space="0" w:color="auto"/>
        <w:bottom w:val="none" w:sz="0" w:space="0" w:color="auto"/>
        <w:right w:val="none" w:sz="0" w:space="0" w:color="auto"/>
      </w:divBdr>
    </w:div>
    <w:div w:id="14719422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4480284">
      <w:bodyDiv w:val="1"/>
      <w:marLeft w:val="0"/>
      <w:marRight w:val="0"/>
      <w:marTop w:val="0"/>
      <w:marBottom w:val="0"/>
      <w:divBdr>
        <w:top w:val="none" w:sz="0" w:space="0" w:color="auto"/>
        <w:left w:val="none" w:sz="0" w:space="0" w:color="auto"/>
        <w:bottom w:val="none" w:sz="0" w:space="0" w:color="auto"/>
        <w:right w:val="none" w:sz="0" w:space="0" w:color="auto"/>
      </w:divBdr>
    </w:div>
    <w:div w:id="1966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2024-05-02T02:27:00Z</dcterms:created>
  <dcterms:modified xsi:type="dcterms:W3CDTF">2024-05-02T02:28:00Z</dcterms:modified>
</cp:coreProperties>
</file>