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DE5F" w14:textId="77777777" w:rsidR="00AF35BB" w:rsidRDefault="00AF35BB" w:rsidP="00AF35BB">
      <w:pPr>
        <w:pStyle w:val="Title"/>
      </w:pPr>
      <w:bookmarkStart w:id="0" w:name="_Hlk103089352"/>
      <w:r>
        <w:t>REPLACEMENT Explanatory Statement</w:t>
      </w:r>
    </w:p>
    <w:p w14:paraId="5D713AD9" w14:textId="69C9E722" w:rsidR="00AF35BB" w:rsidRPr="006C521D" w:rsidRDefault="00AF35BB" w:rsidP="00D96C11">
      <w:pPr>
        <w:pStyle w:val="Heading1"/>
        <w:jc w:val="center"/>
        <w:rPr>
          <w:b w:val="0"/>
          <w:bCs/>
          <w:i/>
          <w:iCs/>
          <w:caps w:val="0"/>
        </w:rPr>
      </w:pPr>
      <w:r w:rsidRPr="006C521D">
        <w:rPr>
          <w:b w:val="0"/>
          <w:bCs/>
          <w:i/>
          <w:iCs/>
          <w:caps w:val="0"/>
        </w:rPr>
        <w:t>Agricultural and Veterinary Chemicals Code Act 1994</w:t>
      </w:r>
    </w:p>
    <w:p w14:paraId="4F563207" w14:textId="6A912625" w:rsidR="00D96C11" w:rsidRDefault="00D96C11" w:rsidP="00D96C11">
      <w:pPr>
        <w:pStyle w:val="Heading1"/>
        <w:jc w:val="center"/>
        <w:rPr>
          <w:caps w:val="0"/>
        </w:rPr>
      </w:pPr>
      <w:r w:rsidRPr="006C521D">
        <w:rPr>
          <w:b w:val="0"/>
          <w:bCs/>
          <w:i/>
          <w:iCs/>
        </w:rPr>
        <w:t xml:space="preserve">Agricultural and Veterinary Chemicals Code </w:t>
      </w:r>
      <w:r w:rsidR="005E621C" w:rsidRPr="006C521D">
        <w:rPr>
          <w:b w:val="0"/>
          <w:bCs/>
          <w:i/>
          <w:iCs/>
        </w:rPr>
        <w:t>(</w:t>
      </w:r>
      <w:r w:rsidR="00E24FA4" w:rsidRPr="006C521D">
        <w:rPr>
          <w:b w:val="0"/>
          <w:bCs/>
          <w:i/>
          <w:iCs/>
        </w:rPr>
        <w:t xml:space="preserve">Agricultural </w:t>
      </w:r>
      <w:r w:rsidRPr="006C521D">
        <w:rPr>
          <w:b w:val="0"/>
          <w:bCs/>
          <w:i/>
          <w:iCs/>
        </w:rPr>
        <w:t>Active Constituents</w:t>
      </w:r>
      <w:r w:rsidR="005E621C" w:rsidRPr="006C521D">
        <w:rPr>
          <w:b w:val="0"/>
          <w:bCs/>
          <w:i/>
          <w:iCs/>
        </w:rPr>
        <w:t>)</w:t>
      </w:r>
      <w:r w:rsidR="0067245E" w:rsidRPr="006C521D">
        <w:rPr>
          <w:b w:val="0"/>
          <w:bCs/>
          <w:i/>
          <w:iCs/>
        </w:rPr>
        <w:t xml:space="preserve"> </w:t>
      </w:r>
      <w:r w:rsidR="005B2D77" w:rsidRPr="006C521D">
        <w:rPr>
          <w:b w:val="0"/>
          <w:bCs/>
          <w:i/>
          <w:iCs/>
        </w:rPr>
        <w:t xml:space="preserve">Standards </w:t>
      </w:r>
      <w:r w:rsidR="000B2918" w:rsidRPr="006C521D">
        <w:rPr>
          <w:b w:val="0"/>
          <w:bCs/>
          <w:i/>
          <w:iCs/>
        </w:rPr>
        <w:t xml:space="preserve">Amendment Instrument </w:t>
      </w:r>
      <w:r w:rsidR="00B220B1" w:rsidRPr="006C521D">
        <w:rPr>
          <w:b w:val="0"/>
          <w:bCs/>
          <w:i/>
          <w:iCs/>
        </w:rPr>
        <w:t xml:space="preserve">(No. 1) </w:t>
      </w:r>
      <w:bookmarkEnd w:id="0"/>
      <w:r w:rsidR="00DF7EC9" w:rsidRPr="006C521D">
        <w:rPr>
          <w:b w:val="0"/>
          <w:bCs/>
          <w:i/>
          <w:iCs/>
        </w:rPr>
        <w:t>2024</w:t>
      </w:r>
    </w:p>
    <w:p w14:paraId="18197953" w14:textId="77777777" w:rsidR="00D96C11" w:rsidRDefault="00D96C11" w:rsidP="00D96C11">
      <w:pPr>
        <w:jc w:val="center"/>
      </w:pPr>
      <w:r>
        <w:t>Issued by the Australian Pesticides and Veterinary Medicines Authority</w:t>
      </w:r>
    </w:p>
    <w:p w14:paraId="245030FB" w14:textId="77777777" w:rsidR="00D96C11" w:rsidRDefault="00D96C11" w:rsidP="00D96C11">
      <w:pPr>
        <w:pBdr>
          <w:bottom w:val="single" w:sz="4" w:space="1" w:color="auto"/>
        </w:pBdr>
      </w:pPr>
    </w:p>
    <w:p w14:paraId="3373E021" w14:textId="06D1D66C" w:rsidR="00D96C11" w:rsidRDefault="00AF35BB" w:rsidP="005B2D77">
      <w:pPr>
        <w:pStyle w:val="Heading2"/>
      </w:pPr>
      <w:r>
        <w:t xml:space="preserve">Legislative </w:t>
      </w:r>
      <w:r w:rsidR="000B2918">
        <w:t xml:space="preserve">Authority </w:t>
      </w:r>
    </w:p>
    <w:p w14:paraId="4E35A581" w14:textId="18A1137D" w:rsidR="0055249D" w:rsidRDefault="0055249D" w:rsidP="0055249D">
      <w:pPr>
        <w:rPr>
          <w:rFonts w:eastAsia="Times New Roman" w:cs="Times New Roman"/>
        </w:rPr>
      </w:pPr>
      <w:r>
        <w:rPr>
          <w:rFonts w:eastAsia="Times New Roman" w:cs="Times New Roman"/>
        </w:rPr>
        <w:t xml:space="preserve">Section 6E of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 xml:space="preserve">) provides that the APVMA </w:t>
      </w:r>
      <w:r w:rsidRPr="0055249D">
        <w:rPr>
          <w:rFonts w:eastAsia="Times New Roman" w:cs="Times New Roman"/>
        </w:rPr>
        <w:t>may, by legislative instrument, make standards for constituents for chemical products</w:t>
      </w:r>
      <w:r>
        <w:rPr>
          <w:rFonts w:eastAsia="Times New Roman" w:cs="Times New Roman"/>
        </w:rPr>
        <w:t xml:space="preserve">, </w:t>
      </w:r>
      <w:r w:rsidRPr="0055249D">
        <w:rPr>
          <w:rFonts w:eastAsia="Times New Roman" w:cs="Times New Roman"/>
        </w:rPr>
        <w:t xml:space="preserve">chemical </w:t>
      </w:r>
      <w:r w:rsidR="008A3346" w:rsidRPr="0055249D">
        <w:rPr>
          <w:rFonts w:eastAsia="Times New Roman" w:cs="Times New Roman"/>
        </w:rPr>
        <w:t>products,</w:t>
      </w:r>
      <w:r>
        <w:rPr>
          <w:rFonts w:eastAsia="Times New Roman" w:cs="Times New Roman"/>
        </w:rPr>
        <w:t xml:space="preserve"> or </w:t>
      </w:r>
      <w:r w:rsidRPr="0055249D">
        <w:rPr>
          <w:rFonts w:eastAsia="Times New Roman" w:cs="Times New Roman"/>
        </w:rPr>
        <w:t>labels for containers for chemical products.</w:t>
      </w:r>
    </w:p>
    <w:p w14:paraId="6B99529C" w14:textId="77777777" w:rsidR="003503DC" w:rsidRDefault="0055249D" w:rsidP="0055249D">
      <w:pPr>
        <w:rPr>
          <w:rFonts w:eastAsia="Times New Roman" w:cs="Times New Roman"/>
        </w:rPr>
      </w:pPr>
      <w:r w:rsidRPr="0055249D">
        <w:rPr>
          <w:rFonts w:eastAsia="Times New Roman" w:cs="Times New Roman"/>
        </w:rPr>
        <w:t xml:space="preserve">Under subsection 33(3) of the </w:t>
      </w:r>
      <w:r w:rsidRPr="005B2D77">
        <w:rPr>
          <w:rFonts w:eastAsia="Times New Roman" w:cs="Times New Roman"/>
          <w:i/>
          <w:iCs/>
        </w:rPr>
        <w:t>Acts Interpretation Act 1901</w:t>
      </w:r>
      <w:r w:rsidRPr="0055249D">
        <w:rPr>
          <w:rFonts w:eastAsia="Times New Roman" w:cs="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eastAsia="Times New Roman" w:cs="Times New Roman"/>
        </w:rPr>
        <w:t xml:space="preserve"> </w:t>
      </w:r>
    </w:p>
    <w:p w14:paraId="286A769D" w14:textId="10215DDD" w:rsidR="0055249D" w:rsidRDefault="0055249D" w:rsidP="0055249D">
      <w:pPr>
        <w:rPr>
          <w:rFonts w:eastAsia="Times New Roman" w:cs="Times New Roman"/>
        </w:rPr>
      </w:pPr>
      <w:r w:rsidRPr="0055249D">
        <w:rPr>
          <w:rFonts w:eastAsia="Times New Roman" w:cs="Times New Roman"/>
        </w:rPr>
        <w:t xml:space="preserve">The amendments to the </w:t>
      </w:r>
      <w:r w:rsidRPr="0055249D">
        <w:rPr>
          <w:rFonts w:eastAsia="Times New Roman" w:cs="Times New Roman"/>
          <w:i/>
          <w:iCs/>
        </w:rPr>
        <w:t>Agricultural and Veterinary Chemicals Code (Agricultural Active Constituents) Standards 2022</w:t>
      </w:r>
      <w:r>
        <w:rPr>
          <w:rFonts w:eastAsia="Times New Roman" w:cs="Times New Roman"/>
        </w:rPr>
        <w:t xml:space="preserve"> (Principal Instrument)</w:t>
      </w:r>
      <w:r w:rsidRPr="0055249D">
        <w:rPr>
          <w:rFonts w:eastAsia="Times New Roman" w:cs="Times New Roman"/>
          <w:i/>
          <w:iCs/>
        </w:rPr>
        <w:t xml:space="preserve"> </w:t>
      </w:r>
      <w:r w:rsidRPr="0055249D">
        <w:rPr>
          <w:rFonts w:eastAsia="Times New Roman" w:cs="Times New Roman"/>
        </w:rPr>
        <w:t xml:space="preserve">made by the </w:t>
      </w:r>
      <w:r w:rsidRPr="0055249D">
        <w:rPr>
          <w:rFonts w:eastAsia="Times New Roman" w:cs="Times New Roman"/>
          <w:i/>
          <w:iCs/>
        </w:rPr>
        <w:t xml:space="preserve">Agricultural and Veterinary Chemicals Code (Agricultural Active Constituents) </w:t>
      </w:r>
      <w:bookmarkStart w:id="1" w:name="_Hlk103089843"/>
      <w:r w:rsidRPr="0055249D">
        <w:rPr>
          <w:rFonts w:eastAsia="Times New Roman" w:cs="Times New Roman"/>
          <w:i/>
          <w:iCs/>
        </w:rPr>
        <w:t xml:space="preserve">Amendment Instrument </w:t>
      </w:r>
      <w:bookmarkEnd w:id="1"/>
      <w:r w:rsidRPr="0055249D">
        <w:rPr>
          <w:rFonts w:eastAsia="Times New Roman" w:cs="Times New Roman"/>
          <w:i/>
          <w:iCs/>
        </w:rPr>
        <w:t xml:space="preserve">(No. 1) </w:t>
      </w:r>
      <w:r w:rsidR="00DF7EC9" w:rsidRPr="0055249D">
        <w:rPr>
          <w:rFonts w:eastAsia="Times New Roman" w:cs="Times New Roman"/>
          <w:i/>
          <w:iCs/>
        </w:rPr>
        <w:t>202</w:t>
      </w:r>
      <w:r w:rsidR="00DF7EC9">
        <w:rPr>
          <w:rFonts w:eastAsia="Times New Roman" w:cs="Times New Roman"/>
          <w:i/>
          <w:iCs/>
        </w:rPr>
        <w:t>4</w:t>
      </w:r>
      <w:r w:rsidR="00DF7EC9" w:rsidRPr="0055249D">
        <w:rPr>
          <w:rFonts w:eastAsia="Times New Roman" w:cs="Times New Roman"/>
        </w:rPr>
        <w:t xml:space="preserve"> </w:t>
      </w:r>
      <w:r>
        <w:rPr>
          <w:rFonts w:eastAsia="Times New Roman" w:cs="Times New Roman"/>
        </w:rPr>
        <w:t>(</w:t>
      </w:r>
      <w:r w:rsidRPr="0055249D">
        <w:rPr>
          <w:rFonts w:eastAsia="Times New Roman" w:cs="Times New Roman"/>
        </w:rPr>
        <w:t>Amendment Instrument</w:t>
      </w:r>
      <w:r>
        <w:rPr>
          <w:rFonts w:eastAsia="Times New Roman" w:cs="Times New Roman"/>
        </w:rPr>
        <w:t xml:space="preserve">) </w:t>
      </w:r>
      <w:r w:rsidRPr="0055249D">
        <w:rPr>
          <w:rFonts w:eastAsia="Times New Roman" w:cs="Times New Roman"/>
        </w:rPr>
        <w:t>rely on this provision.</w:t>
      </w:r>
    </w:p>
    <w:p w14:paraId="50D8D3F2" w14:textId="11E1B3CD" w:rsidR="000840CA" w:rsidRPr="000840CA" w:rsidRDefault="00DF1568" w:rsidP="000840CA">
      <w:pPr>
        <w:pStyle w:val="Heading2"/>
      </w:pPr>
      <w:r>
        <w:t>P</w:t>
      </w:r>
      <w:r w:rsidR="000840CA">
        <w:t xml:space="preserve">urpose </w:t>
      </w:r>
    </w:p>
    <w:p w14:paraId="79C85E7D" w14:textId="659A94C7" w:rsidR="003503DC" w:rsidRDefault="004E574C" w:rsidP="003503DC">
      <w:pPr>
        <w:rPr>
          <w:rFonts w:eastAsia="Times New Roman" w:cs="Times New Roman"/>
        </w:rPr>
      </w:pPr>
      <w:r>
        <w:rPr>
          <w:rFonts w:eastAsia="Times New Roman" w:cs="Times New Roman"/>
        </w:rPr>
        <w:t xml:space="preserve">The purpose of the </w:t>
      </w:r>
      <w:r>
        <w:t>Principal Instrument is to prescribe standards for</w:t>
      </w:r>
      <w:r w:rsidR="000233ED">
        <w:t xml:space="preserve"> certain</w:t>
      </w:r>
      <w:r>
        <w:t xml:space="preserve"> active constituents for agricultural chemical products. The Amendment Instrument </w:t>
      </w:r>
      <w:r w:rsidR="00761974">
        <w:t xml:space="preserve">amends </w:t>
      </w:r>
      <w:r>
        <w:t xml:space="preserve">the Principal Instrument to </w:t>
      </w:r>
      <w:r w:rsidR="00761974">
        <w:t xml:space="preserve">specify </w:t>
      </w:r>
      <w:r>
        <w:t xml:space="preserve">new standards for </w:t>
      </w:r>
      <w:r w:rsidR="000233ED">
        <w:t xml:space="preserve">certain </w:t>
      </w:r>
      <w:r>
        <w:t>active constituents</w:t>
      </w:r>
      <w:r w:rsidR="00761974">
        <w:t xml:space="preserve">. The Amendment Instrument also updates </w:t>
      </w:r>
      <w:r>
        <w:t>existing standards and make</w:t>
      </w:r>
      <w:r w:rsidR="00761974">
        <w:t>s</w:t>
      </w:r>
      <w:r>
        <w:t xml:space="preserve"> other minor changes to the Principal Instrument. </w:t>
      </w:r>
      <w:r w:rsidR="003503DC">
        <w:t xml:space="preserve"> </w:t>
      </w:r>
    </w:p>
    <w:p w14:paraId="65A09234" w14:textId="1ABE1946" w:rsidR="003503DC" w:rsidRDefault="00DF1568" w:rsidP="00DF1568">
      <w:pPr>
        <w:pStyle w:val="Heading2"/>
      </w:pPr>
      <w:r>
        <w:t>Operation</w:t>
      </w:r>
    </w:p>
    <w:p w14:paraId="45AC12D3" w14:textId="3AB3FC79" w:rsidR="00DF1568" w:rsidRDefault="00DF1568" w:rsidP="00DF1568">
      <w:r>
        <w:t xml:space="preserve">Details of the </w:t>
      </w:r>
      <w:r w:rsidR="009C0E3C">
        <w:t xml:space="preserve">Amendment Instrument </w:t>
      </w:r>
      <w:r>
        <w:t>are set out in Attachment A.</w:t>
      </w:r>
    </w:p>
    <w:p w14:paraId="755AF620" w14:textId="20DA4E56" w:rsidR="00DF1568" w:rsidRDefault="00DF1568" w:rsidP="00DF1568">
      <w:r>
        <w:t xml:space="preserve">The </w:t>
      </w:r>
      <w:r w:rsidR="009C0E3C" w:rsidRPr="009C0E3C">
        <w:t xml:space="preserve">Amendment Instrument </w:t>
      </w:r>
      <w:r>
        <w:t xml:space="preserve">is a legislative instrument for the purposes of the </w:t>
      </w:r>
      <w:r w:rsidRPr="00842EF8">
        <w:rPr>
          <w:i/>
          <w:iCs/>
        </w:rPr>
        <w:t>Legislation Act 2003</w:t>
      </w:r>
      <w:r>
        <w:t>.</w:t>
      </w:r>
    </w:p>
    <w:p w14:paraId="3DA122C9" w14:textId="4A4854B5" w:rsidR="00DF1568" w:rsidRDefault="00DF1568" w:rsidP="00DF1568">
      <w:r>
        <w:t xml:space="preserve">The </w:t>
      </w:r>
      <w:r w:rsidR="009C0E3C" w:rsidRPr="009C0E3C">
        <w:t xml:space="preserve">Amendment Instrument </w:t>
      </w:r>
      <w:r>
        <w:t>commence</w:t>
      </w:r>
      <w:r w:rsidR="00744815">
        <w:t>s</w:t>
      </w:r>
      <w:r>
        <w:t xml:space="preserve"> </w:t>
      </w:r>
      <w:r w:rsidR="009C0E3C" w:rsidRPr="009C0E3C">
        <w:t>on the day after the day it is registered</w:t>
      </w:r>
      <w:r>
        <w:t>.</w:t>
      </w:r>
    </w:p>
    <w:p w14:paraId="12EB9C0F" w14:textId="3AED9E01" w:rsidR="00D96C11" w:rsidRDefault="00FF7AFF" w:rsidP="00D96C11">
      <w:pPr>
        <w:pStyle w:val="Heading2"/>
      </w:pPr>
      <w:r>
        <w:t>I</w:t>
      </w:r>
      <w:r w:rsidR="00D96C11">
        <w:t>mpact analysis</w:t>
      </w:r>
    </w:p>
    <w:p w14:paraId="73CEB9D2" w14:textId="75948835" w:rsidR="00D96C11" w:rsidRDefault="00D96C11" w:rsidP="00D96C11">
      <w:r>
        <w:t xml:space="preserve">The Office of </w:t>
      </w:r>
      <w:r w:rsidR="00FF7AFF">
        <w:t xml:space="preserve">Best Practice Regulation (OBPR – the predecessor to the Office of </w:t>
      </w:r>
      <w:r w:rsidR="0061691E" w:rsidRPr="0061691E">
        <w:t>Impact Analysis</w:t>
      </w:r>
      <w:r>
        <w:t xml:space="preserve"> </w:t>
      </w:r>
      <w:r w:rsidRPr="00FF7AFF">
        <w:t>(</w:t>
      </w:r>
      <w:r w:rsidRPr="00540082">
        <w:t>O</w:t>
      </w:r>
      <w:r w:rsidR="0061691E" w:rsidRPr="00540082">
        <w:t>IA</w:t>
      </w:r>
      <w:r w:rsidRPr="00FF7AFF">
        <w:t>)</w:t>
      </w:r>
      <w:r w:rsidR="00FF7AFF">
        <w:t>)</w:t>
      </w:r>
      <w:r>
        <w:t xml:space="preserve"> was consulted about </w:t>
      </w:r>
      <w:r w:rsidR="003F6CF8">
        <w:t xml:space="preserve">the </w:t>
      </w:r>
      <w:r w:rsidR="00393DD6">
        <w:t xml:space="preserve">making of the </w:t>
      </w:r>
      <w:r w:rsidR="003F6CF8">
        <w:t xml:space="preserve">Principal </w:t>
      </w:r>
      <w:r>
        <w:t xml:space="preserve">Instrument (OBPR </w:t>
      </w:r>
      <w:r w:rsidR="00E24FA4">
        <w:t>ID 19176</w:t>
      </w:r>
      <w:r>
        <w:t>).</w:t>
      </w:r>
    </w:p>
    <w:p w14:paraId="5CBBAD57" w14:textId="7E079BC4" w:rsidR="00D96C11" w:rsidRDefault="00D96C11" w:rsidP="00D96C11">
      <w:proofErr w:type="gramStart"/>
      <w:r>
        <w:t>On the basis of</w:t>
      </w:r>
      <w:proofErr w:type="gramEnd"/>
      <w:r>
        <w:t xml:space="preserve"> the information provided, OBPR considered that </w:t>
      </w:r>
      <w:r w:rsidR="005E621C">
        <w:t>a Regulatory Impact Statement</w:t>
      </w:r>
      <w:r w:rsidR="00FF7AFF">
        <w:t xml:space="preserve"> (now known as </w:t>
      </w:r>
      <w:r w:rsidR="00393DD6">
        <w:t>a Policy</w:t>
      </w:r>
      <w:r w:rsidR="00FF7AFF">
        <w:t xml:space="preserve"> </w:t>
      </w:r>
      <w:r w:rsidR="00393DD6">
        <w:t>I</w:t>
      </w:r>
      <w:r w:rsidR="00FF7AFF">
        <w:t xml:space="preserve">mpact </w:t>
      </w:r>
      <w:r w:rsidR="00393DD6">
        <w:t>A</w:t>
      </w:r>
      <w:r w:rsidR="00FF7AFF">
        <w:t>nalysis)</w:t>
      </w:r>
      <w:r w:rsidR="005E621C">
        <w:t xml:space="preserve"> is not required as the making of </w:t>
      </w:r>
      <w:r w:rsidR="00421224">
        <w:t xml:space="preserve">the Principal </w:t>
      </w:r>
      <w:r>
        <w:t>Instrument is machinery in nature</w:t>
      </w:r>
      <w:r w:rsidR="005E621C">
        <w:t>, would be done in accordance with existing legislation, is</w:t>
      </w:r>
      <w:r>
        <w:t xml:space="preserve"> likely to have no more than minor regulatory impacts on business, community organisations or individuals</w:t>
      </w:r>
      <w:r w:rsidR="005E621C">
        <w:t xml:space="preserve"> and</w:t>
      </w:r>
      <w:r>
        <w:t xml:space="preserve"> is not being considered by Cabinet</w:t>
      </w:r>
      <w:r w:rsidR="00E24FA4">
        <w:t xml:space="preserve">. </w:t>
      </w:r>
      <w:r w:rsidR="00421224">
        <w:t xml:space="preserve">The same considerations apply to the Amendment Instrument. </w:t>
      </w:r>
    </w:p>
    <w:p w14:paraId="26F5CCC8" w14:textId="13D26BEE" w:rsidR="00D96C11" w:rsidRDefault="00D96C11" w:rsidP="00D96C11">
      <w:pPr>
        <w:pStyle w:val="Heading2"/>
      </w:pPr>
      <w:r>
        <w:lastRenderedPageBreak/>
        <w:t xml:space="preserve">Consultation </w:t>
      </w:r>
    </w:p>
    <w:p w14:paraId="31DE4EA3" w14:textId="1E93AB81" w:rsidR="00B80626" w:rsidRDefault="003503DC" w:rsidP="00B80626">
      <w:r>
        <w:t xml:space="preserve">In accordance with the requirement for consultation under section 17 of the </w:t>
      </w:r>
      <w:r>
        <w:rPr>
          <w:i/>
          <w:iCs/>
        </w:rPr>
        <w:t>Legislation Act 2003</w:t>
      </w:r>
      <w:r>
        <w:t>,</w:t>
      </w:r>
      <w:r w:rsidR="003C0EA3">
        <w:t xml:space="preserve"> </w:t>
      </w:r>
      <w:r w:rsidR="003C0EA3" w:rsidRPr="003C0EA3">
        <w:t xml:space="preserve">the </w:t>
      </w:r>
      <w:r w:rsidR="003C0EA3">
        <w:t xml:space="preserve">Amendment Instrument has </w:t>
      </w:r>
      <w:r w:rsidR="003C0EA3" w:rsidRPr="003C0EA3">
        <w:t xml:space="preserve">been informed by consultation with stakeholder groups including industry representatives </w:t>
      </w:r>
      <w:r>
        <w:t>p</w:t>
      </w:r>
      <w:r w:rsidR="00D96C11">
        <w:t xml:space="preserve">rior to making the </w:t>
      </w:r>
      <w:r w:rsidR="00421224">
        <w:t xml:space="preserve">Amendment </w:t>
      </w:r>
      <w:r w:rsidR="00D96C11">
        <w:t>Instrument</w:t>
      </w:r>
      <w:r w:rsidR="00B80C99">
        <w:t>. R</w:t>
      </w:r>
      <w:r w:rsidR="00A6339F">
        <w:t>elevant stakeholders were consulted</w:t>
      </w:r>
      <w:r w:rsidR="00F177A1">
        <w:t xml:space="preserve"> </w:t>
      </w:r>
      <w:r w:rsidR="00D96C11">
        <w:t xml:space="preserve">via a formal process </w:t>
      </w:r>
      <w:r w:rsidR="004C3945">
        <w:t xml:space="preserve">involving publication of notices on the </w:t>
      </w:r>
      <w:r w:rsidR="006C521D" w:rsidRPr="006C521D">
        <w:t>APVMA website</w:t>
      </w:r>
      <w:r w:rsidR="004C3945">
        <w:t xml:space="preserve"> and in the </w:t>
      </w:r>
      <w:r w:rsidR="006C521D" w:rsidRPr="006C521D">
        <w:t>APVMA Gazette</w:t>
      </w:r>
      <w:r w:rsidR="004C3945">
        <w:t xml:space="preserve"> inviting submissions on the draft instrument from stakeholders. The draft instrument was open for consultation for 28 days</w:t>
      </w:r>
      <w:r w:rsidR="002D44CB">
        <w:t>, between 20 September and 18 October 2022</w:t>
      </w:r>
      <w:r w:rsidR="004C3945">
        <w:t xml:space="preserve">. </w:t>
      </w:r>
      <w:r w:rsidR="004A1F63">
        <w:t xml:space="preserve">One submission was received in response to the consultation and was published on the </w:t>
      </w:r>
      <w:r w:rsidR="006C521D" w:rsidRPr="006C521D">
        <w:t>APVMA website</w:t>
      </w:r>
      <w:r w:rsidR="004A1F63">
        <w:t xml:space="preserve">. The submission was of a technical nature and related to the </w:t>
      </w:r>
      <w:r w:rsidR="00B55624">
        <w:t>operation</w:t>
      </w:r>
      <w:r w:rsidR="00AF3AF7">
        <w:t xml:space="preserve"> </w:t>
      </w:r>
      <w:r w:rsidR="00EB64D4">
        <w:t xml:space="preserve">and practicalities regarding enforcement of the standards </w:t>
      </w:r>
      <w:r w:rsidR="00B55624">
        <w:t xml:space="preserve">in respect of </w:t>
      </w:r>
      <w:proofErr w:type="gramStart"/>
      <w:r w:rsidR="00B55624">
        <w:t>particular active</w:t>
      </w:r>
      <w:proofErr w:type="gramEnd"/>
      <w:r w:rsidR="00B55624">
        <w:t xml:space="preserve"> constituent</w:t>
      </w:r>
      <w:r w:rsidR="008B7F6E">
        <w:t>s</w:t>
      </w:r>
      <w:r w:rsidR="00B55624">
        <w:t xml:space="preserve">. The issues were </w:t>
      </w:r>
      <w:proofErr w:type="gramStart"/>
      <w:r w:rsidR="00EB64D4">
        <w:t>taken into account</w:t>
      </w:r>
      <w:proofErr w:type="gramEnd"/>
      <w:r w:rsidR="00EB64D4">
        <w:t xml:space="preserve"> in finalising the instrument via the development of </w:t>
      </w:r>
      <w:r w:rsidR="006C521D" w:rsidRPr="006C521D">
        <w:t>separate guidance</w:t>
      </w:r>
      <w:r w:rsidR="00EB64D4">
        <w:t xml:space="preserve"> regarding the </w:t>
      </w:r>
      <w:r w:rsidR="008B7F6E">
        <w:t xml:space="preserve">analysis of the relevant active constituents and processes for demonstrating compliance with the standards. </w:t>
      </w:r>
    </w:p>
    <w:p w14:paraId="2FDCC1BB" w14:textId="343776B5" w:rsidR="00AF35BB" w:rsidRDefault="00AF35BB" w:rsidP="00AF35BB">
      <w:pPr>
        <w:pStyle w:val="Heading2"/>
      </w:pPr>
      <w:r>
        <w:t xml:space="preserve">Other </w:t>
      </w:r>
    </w:p>
    <w:p w14:paraId="147BD049" w14:textId="04BB1658" w:rsidR="00B80626" w:rsidRDefault="00E70916" w:rsidP="00AF35BB">
      <w:pPr>
        <w:spacing w:line="259" w:lineRule="auto"/>
      </w:pPr>
      <w:r>
        <w:t xml:space="preserve">The </w:t>
      </w:r>
      <w:r w:rsidRPr="006C521D">
        <w:rPr>
          <w:i/>
          <w:iCs/>
        </w:rPr>
        <w:t>Agricultural and Veterinary Chemicals Code (Agricultural Active Constituents) Standards Amendment Instrument (No. 1) 2024</w:t>
      </w:r>
      <w:r w:rsidR="00AF35BB">
        <w:t xml:space="preserve"> is exempt from sunsetting under </w:t>
      </w:r>
      <w:r w:rsidR="00C85E16">
        <w:t>paragraph</w:t>
      </w:r>
      <w:r w:rsidR="00AF35BB">
        <w:t xml:space="preserve"> 54(1)(a) of the </w:t>
      </w:r>
      <w:r w:rsidR="00AF35BB" w:rsidRPr="006C521D">
        <w:rPr>
          <w:i/>
          <w:iCs/>
        </w:rPr>
        <w:t>Legislation Act 2003</w:t>
      </w:r>
      <w:r w:rsidR="00AF35BB">
        <w:t>, as the enabling legislation (the Code) facilitates the establishment and operation of an intergovernmental scheme (the National Registration Scheme</w:t>
      </w:r>
      <w:r w:rsidR="005C7B53">
        <w:t xml:space="preserve"> for Agricultural and Veterinary Chemicals</w:t>
      </w:r>
      <w:r w:rsidR="00AF35BB">
        <w:t xml:space="preserve">) between the Commonwealth and </w:t>
      </w:r>
      <w:r w:rsidR="005C7B53">
        <w:t xml:space="preserve">State and Territory governments. </w:t>
      </w:r>
      <w:r>
        <w:t xml:space="preserve">Making of the Instrument for the purposes of the scheme is authorised under section 6E of the Code. </w:t>
      </w:r>
    </w:p>
    <w:p w14:paraId="6917BF77" w14:textId="6F4CC1FA" w:rsidR="00B80626" w:rsidRPr="003603F7" w:rsidRDefault="00B80626" w:rsidP="00AF35BB">
      <w:pPr>
        <w:spacing w:line="259" w:lineRule="auto"/>
      </w:pPr>
      <w:r>
        <w:t xml:space="preserve">The Instrument is compatible with </w:t>
      </w:r>
      <w:r w:rsidR="003603F7">
        <w:t xml:space="preserve">the human rights and freedoms recognised or declared under section 3 of the </w:t>
      </w:r>
      <w:r w:rsidR="003603F7">
        <w:rPr>
          <w:i/>
          <w:iCs/>
        </w:rPr>
        <w:t>Human Rights (Parliamentary Scrutiny) Act 2011</w:t>
      </w:r>
      <w:r w:rsidR="003603F7">
        <w:t xml:space="preserve">. A full statement of compatibility is set out in Attachment B. </w:t>
      </w:r>
    </w:p>
    <w:p w14:paraId="04728911" w14:textId="77777777" w:rsidR="00B80626" w:rsidRDefault="00B80626" w:rsidP="00AF35BB">
      <w:pPr>
        <w:spacing w:line="259" w:lineRule="auto"/>
      </w:pPr>
    </w:p>
    <w:p w14:paraId="6DD03131" w14:textId="77777777" w:rsidR="00B80626" w:rsidRDefault="00B80626" w:rsidP="00AF35BB">
      <w:pPr>
        <w:spacing w:line="259" w:lineRule="auto"/>
        <w:sectPr w:rsidR="00B80626" w:rsidSect="001E52EB">
          <w:pgSz w:w="11906" w:h="16838"/>
          <w:pgMar w:top="1440" w:right="1440" w:bottom="1440" w:left="1440" w:header="708" w:footer="708" w:gutter="0"/>
          <w:cols w:space="720"/>
        </w:sectPr>
      </w:pPr>
    </w:p>
    <w:p w14:paraId="51A36021" w14:textId="43EEE4C4" w:rsidR="00C30204" w:rsidRDefault="00C30204" w:rsidP="00C30204">
      <w:pPr>
        <w:pStyle w:val="Heading2"/>
        <w:jc w:val="right"/>
      </w:pPr>
      <w:r>
        <w:lastRenderedPageBreak/>
        <w:t>ATTACHMENT A</w:t>
      </w:r>
    </w:p>
    <w:p w14:paraId="2FBA96B5" w14:textId="77777777" w:rsidR="003603F7" w:rsidRDefault="003603F7" w:rsidP="003603F7">
      <w:pPr>
        <w:pStyle w:val="Heading1"/>
        <w:tabs>
          <w:tab w:val="left" w:pos="6946"/>
        </w:tabs>
      </w:pPr>
      <w:r>
        <w:t>Explanation of provisions</w:t>
      </w:r>
    </w:p>
    <w:p w14:paraId="24345F9E" w14:textId="77777777" w:rsidR="003603F7" w:rsidRPr="00FC54E3" w:rsidRDefault="003603F7" w:rsidP="003603F7">
      <w:pPr>
        <w:pStyle w:val="Heading2"/>
        <w:rPr>
          <w:sz w:val="28"/>
          <w:szCs w:val="28"/>
        </w:rPr>
      </w:pPr>
      <w:r w:rsidRPr="00B220B1">
        <w:rPr>
          <w:sz w:val="28"/>
          <w:szCs w:val="28"/>
        </w:rPr>
        <w:t>Part 1</w:t>
      </w:r>
      <w:r w:rsidRPr="00B220B1">
        <w:rPr>
          <w:sz w:val="28"/>
          <w:szCs w:val="28"/>
        </w:rPr>
        <w:tab/>
        <w:t>Introduction</w:t>
      </w:r>
    </w:p>
    <w:p w14:paraId="0844FD47" w14:textId="77777777" w:rsidR="003603F7" w:rsidRDefault="003603F7" w:rsidP="003603F7">
      <w:pPr>
        <w:pStyle w:val="Heading2"/>
      </w:pPr>
      <w:r>
        <w:t xml:space="preserve">Section 1 – </w:t>
      </w:r>
      <w:r w:rsidRPr="000B2918">
        <w:t>Name of instrument</w:t>
      </w:r>
    </w:p>
    <w:p w14:paraId="59B54E34" w14:textId="77777777" w:rsidR="003603F7" w:rsidRPr="0076364E" w:rsidRDefault="003603F7" w:rsidP="003603F7">
      <w:r>
        <w:t xml:space="preserve">This section provides that the instrument is the </w:t>
      </w:r>
      <w:r w:rsidRPr="00D96C11">
        <w:rPr>
          <w:i/>
        </w:rPr>
        <w:t xml:space="preserve">Agricultural and Veterinary Chemicals Code </w:t>
      </w:r>
      <w:r>
        <w:rPr>
          <w:i/>
        </w:rPr>
        <w:t xml:space="preserve">(Agricultural </w:t>
      </w:r>
      <w:r w:rsidRPr="00D96C11">
        <w:rPr>
          <w:i/>
        </w:rPr>
        <w:t>Active Constituents</w:t>
      </w:r>
      <w:r>
        <w:rPr>
          <w:i/>
        </w:rPr>
        <w:t xml:space="preserve">) Standards </w:t>
      </w:r>
      <w:r w:rsidRPr="00170EBF">
        <w:rPr>
          <w:rFonts w:eastAsia="Times New Roman" w:cs="Times New Roman"/>
          <w:i/>
          <w:iCs/>
          <w:lang w:eastAsia="en-AU"/>
        </w:rPr>
        <w:t>Amendment Instrument (No. 1) 202</w:t>
      </w:r>
      <w:r>
        <w:rPr>
          <w:rFonts w:eastAsia="Times New Roman" w:cs="Times New Roman"/>
          <w:i/>
          <w:iCs/>
          <w:lang w:eastAsia="en-AU"/>
        </w:rPr>
        <w:t xml:space="preserve">4 </w:t>
      </w:r>
      <w:r>
        <w:rPr>
          <w:rFonts w:eastAsia="Times New Roman" w:cs="Times New Roman"/>
          <w:lang w:eastAsia="en-AU"/>
        </w:rPr>
        <w:t>(Amendment Instrument)</w:t>
      </w:r>
      <w:r>
        <w:t xml:space="preserve">. </w:t>
      </w:r>
    </w:p>
    <w:p w14:paraId="1B8610B0" w14:textId="77777777" w:rsidR="003603F7" w:rsidRDefault="003603F7" w:rsidP="003603F7">
      <w:pPr>
        <w:pStyle w:val="Heading2"/>
      </w:pPr>
      <w:r>
        <w:t>Section 2 – Authority</w:t>
      </w:r>
    </w:p>
    <w:p w14:paraId="013AE3B8" w14:textId="77777777" w:rsidR="003603F7" w:rsidRPr="00A740DC" w:rsidRDefault="003603F7" w:rsidP="003603F7">
      <w:r w:rsidRPr="0076364E">
        <w:t>Th</w:t>
      </w:r>
      <w:r>
        <w:t xml:space="preserve">e Amendment </w:t>
      </w:r>
      <w:r w:rsidRPr="0076364E">
        <w:t xml:space="preserve">Instrument is made </w:t>
      </w:r>
      <w:r>
        <w:t xml:space="preserve">by the APVMA </w:t>
      </w:r>
      <w:r w:rsidRPr="0076364E">
        <w:t>under section 6E of the Code</w:t>
      </w:r>
      <w:r>
        <w:t xml:space="preserve">. The Delegate who made the instrument has the delegated authority to do so under sections </w:t>
      </w:r>
      <w:r>
        <w:rPr>
          <w:rFonts w:eastAsia="Times New Roman" w:cs="Times New Roman"/>
          <w:szCs w:val="20"/>
          <w:lang w:eastAsia="en-AU"/>
        </w:rPr>
        <w:t xml:space="preserve">11, 32 and 44 of the </w:t>
      </w:r>
      <w:r>
        <w:rPr>
          <w:rFonts w:eastAsia="Times New Roman" w:cs="Times New Roman"/>
          <w:i/>
          <w:iCs/>
          <w:szCs w:val="20"/>
          <w:lang w:eastAsia="en-AU"/>
        </w:rPr>
        <w:t>Agricultural and Veterinary Chemicals (Administration) Act 1992.</w:t>
      </w:r>
    </w:p>
    <w:p w14:paraId="4B3EAAA9" w14:textId="77777777" w:rsidR="003603F7" w:rsidRDefault="003603F7" w:rsidP="003603F7">
      <w:pPr>
        <w:pStyle w:val="Heading2"/>
      </w:pPr>
      <w:r>
        <w:t>Section 3 – Commencement</w:t>
      </w:r>
    </w:p>
    <w:p w14:paraId="3E2604AA" w14:textId="77777777" w:rsidR="003603F7" w:rsidRDefault="003603F7" w:rsidP="003603F7">
      <w:r>
        <w:t>This section provides that the Amendment Instrument commences on the day after the day it is registered.</w:t>
      </w:r>
    </w:p>
    <w:p w14:paraId="538DC8F2" w14:textId="77777777" w:rsidR="003603F7" w:rsidRDefault="003603F7" w:rsidP="003603F7">
      <w:pPr>
        <w:pStyle w:val="Heading2"/>
      </w:pPr>
      <w:r>
        <w:t>Section 4 – Schedules</w:t>
      </w:r>
    </w:p>
    <w:p w14:paraId="0162C7EE" w14:textId="77777777" w:rsidR="003603F7" w:rsidRDefault="003603F7" w:rsidP="003603F7">
      <w:r>
        <w:t xml:space="preserve">This section provides that the Principal Instrument is amended as </w:t>
      </w:r>
      <w:r w:rsidRPr="000B2918">
        <w:t>s</w:t>
      </w:r>
      <w:r>
        <w:t>et out in Schedule to the Amendment Instrument.</w:t>
      </w:r>
    </w:p>
    <w:p w14:paraId="459CAB09" w14:textId="77777777" w:rsidR="003603F7" w:rsidRPr="000B2918" w:rsidRDefault="003603F7" w:rsidP="003603F7">
      <w:pPr>
        <w:rPr>
          <w:b/>
          <w:sz w:val="28"/>
          <w:szCs w:val="28"/>
        </w:rPr>
      </w:pPr>
      <w:r w:rsidRPr="000B2918">
        <w:rPr>
          <w:b/>
          <w:sz w:val="28"/>
          <w:szCs w:val="28"/>
        </w:rPr>
        <w:t>Schedule 1—Amendments</w:t>
      </w:r>
    </w:p>
    <w:p w14:paraId="265A4D3E" w14:textId="77777777" w:rsidR="003603F7" w:rsidRPr="000B2918" w:rsidRDefault="003603F7" w:rsidP="003603F7">
      <w:pPr>
        <w:rPr>
          <w:b/>
          <w:i/>
          <w:sz w:val="28"/>
          <w:szCs w:val="28"/>
        </w:rPr>
      </w:pPr>
      <w:r w:rsidRPr="000B2918">
        <w:rPr>
          <w:b/>
          <w:i/>
          <w:sz w:val="28"/>
          <w:szCs w:val="28"/>
        </w:rPr>
        <w:t>Agricultural and Veterinary Chemicals Code (Agricultural Active Constituents) Standards 2022</w:t>
      </w:r>
    </w:p>
    <w:p w14:paraId="715201B6" w14:textId="77777777" w:rsidR="003603F7" w:rsidRDefault="003603F7" w:rsidP="003603F7">
      <w:pPr>
        <w:pStyle w:val="Heading2"/>
      </w:pPr>
      <w:r>
        <w:t xml:space="preserve">Item 1 – Amend definition of </w:t>
      </w:r>
      <w:r>
        <w:rPr>
          <w:i/>
          <w:iCs/>
        </w:rPr>
        <w:t>Validated Analytical Method</w:t>
      </w:r>
    </w:p>
    <w:p w14:paraId="72189A2D" w14:textId="77777777" w:rsidR="003603F7" w:rsidRDefault="003603F7" w:rsidP="003603F7">
      <w:r>
        <w:t xml:space="preserve">Item 1 omits the current definition and inserts a new definition for the term </w:t>
      </w:r>
      <w:r w:rsidRPr="00854B2F">
        <w:rPr>
          <w:i/>
          <w:iCs/>
        </w:rPr>
        <w:t>Validated Analytical Method</w:t>
      </w:r>
      <w:r>
        <w:t xml:space="preserve">.  </w:t>
      </w:r>
    </w:p>
    <w:p w14:paraId="34DFA251" w14:textId="77777777" w:rsidR="003603F7" w:rsidRDefault="003603F7" w:rsidP="003603F7">
      <w:r>
        <w:t xml:space="preserve">An essential part of APVMA’s assessment and evaluation processes is ensuring that analytical methods used are appropriate. </w:t>
      </w:r>
      <w:r w:rsidRPr="00D40C9A">
        <w:t xml:space="preserve">The </w:t>
      </w:r>
      <w:r>
        <w:t xml:space="preserve">use </w:t>
      </w:r>
      <w:r w:rsidRPr="00D40C9A">
        <w:t xml:space="preserve">of </w:t>
      </w:r>
      <w:r>
        <w:t xml:space="preserve">a </w:t>
      </w:r>
      <w:r w:rsidRPr="00D40C9A">
        <w:t>validat</w:t>
      </w:r>
      <w:r>
        <w:t>ed</w:t>
      </w:r>
      <w:r w:rsidRPr="00D40C9A">
        <w:t xml:space="preserve"> analytical method </w:t>
      </w:r>
      <w:r>
        <w:t>ensures</w:t>
      </w:r>
      <w:r w:rsidRPr="00D40C9A">
        <w:t xml:space="preserve"> that</w:t>
      </w:r>
      <w:r>
        <w:t xml:space="preserve"> a particular</w:t>
      </w:r>
      <w:r w:rsidRPr="00D40C9A">
        <w:t xml:space="preserve"> method, when correctly applied, produces results that are fit for purpose. </w:t>
      </w:r>
    </w:p>
    <w:p w14:paraId="0262BB8C" w14:textId="77777777" w:rsidR="003603F7" w:rsidRPr="007B1BBB" w:rsidRDefault="003603F7" w:rsidP="003603F7">
      <w:pPr>
        <w:rPr>
          <w:color w:val="000000"/>
          <w:shd w:val="clear" w:color="auto" w:fill="FFFFFF"/>
        </w:rPr>
      </w:pPr>
      <w:r>
        <w:t xml:space="preserve">The definition of </w:t>
      </w:r>
      <w:r>
        <w:rPr>
          <w:i/>
          <w:iCs/>
        </w:rPr>
        <w:t xml:space="preserve">Validated Analytical Method </w:t>
      </w:r>
      <w:r>
        <w:t xml:space="preserve">has been revised to provide </w:t>
      </w:r>
      <w:r w:rsidRPr="00C40E8F">
        <w:t xml:space="preserve">general guidance that </w:t>
      </w:r>
      <w:r w:rsidRPr="00F56CE4">
        <w:t xml:space="preserve">for the purpose of determining </w:t>
      </w:r>
      <w:r>
        <w:t>compliance with the standards contained in the Instrument,</w:t>
      </w:r>
      <w:r w:rsidRPr="0076151F">
        <w:t xml:space="preserve"> </w:t>
      </w:r>
      <w:r>
        <w:t xml:space="preserve">an </w:t>
      </w:r>
      <w:r w:rsidRPr="00D17202">
        <w:t xml:space="preserve">analytical method </w:t>
      </w:r>
      <w:r>
        <w:t xml:space="preserve">that is </w:t>
      </w:r>
      <w:r w:rsidRPr="00D17202">
        <w:t>validated in accordance with generally accepted scientific principles for the purpose of analysis of the relevant chemical</w:t>
      </w:r>
      <w:r>
        <w:t xml:space="preserve"> is acceptable to the APVMA.</w:t>
      </w:r>
    </w:p>
    <w:p w14:paraId="20C18D3A" w14:textId="77777777" w:rsidR="003603F7" w:rsidRDefault="003603F7" w:rsidP="003603F7">
      <w:pPr>
        <w:pStyle w:val="Heading2"/>
      </w:pPr>
      <w:r>
        <w:t xml:space="preserve">Item 2– Schedule </w:t>
      </w:r>
    </w:p>
    <w:p w14:paraId="3C53B9B9" w14:textId="77777777" w:rsidR="003603F7" w:rsidRDefault="003603F7" w:rsidP="003603F7">
      <w:r>
        <w:t xml:space="preserve">Item 2 omits the asterisk in Column C of the table in the Principal Instrument </w:t>
      </w:r>
      <w:proofErr w:type="gramStart"/>
      <w:r>
        <w:t>and also</w:t>
      </w:r>
      <w:proofErr w:type="gramEnd"/>
      <w:r>
        <w:t xml:space="preserve"> omits the associated footnote at the end of the Primary Instrument.  </w:t>
      </w:r>
    </w:p>
    <w:p w14:paraId="7308BBE8" w14:textId="77777777" w:rsidR="003603F7" w:rsidRPr="003D6FC8" w:rsidRDefault="003603F7" w:rsidP="003603F7">
      <w:pPr>
        <w:pStyle w:val="Heading2"/>
        <w:rPr>
          <w:bCs/>
          <w:szCs w:val="24"/>
        </w:rPr>
      </w:pPr>
      <w:r w:rsidRPr="00F56CE4">
        <w:rPr>
          <w:bCs/>
          <w:szCs w:val="24"/>
        </w:rPr>
        <w:lastRenderedPageBreak/>
        <w:t>Item 3 – Schedule</w:t>
      </w:r>
    </w:p>
    <w:p w14:paraId="311D9AFC" w14:textId="77777777" w:rsidR="003603F7" w:rsidRDefault="003603F7" w:rsidP="003603F7">
      <w:r>
        <w:t>Item 3 inserts entries for a series of new agricultural active constituents in alphabetical order within the table in the Schedule to the Principal Instrument.</w:t>
      </w:r>
    </w:p>
    <w:p w14:paraId="57CF7802" w14:textId="77777777" w:rsidR="003603F7" w:rsidRDefault="003603F7" w:rsidP="003603F7">
      <w:pPr>
        <w:pStyle w:val="Heading2"/>
      </w:pPr>
      <w:r>
        <w:t xml:space="preserve">Item 4 – Schedule </w:t>
      </w:r>
    </w:p>
    <w:p w14:paraId="4D3BC2FC" w14:textId="77777777" w:rsidR="003603F7" w:rsidRDefault="003603F7" w:rsidP="003603F7">
      <w:r>
        <w:t xml:space="preserve">Item 4 omits the entry for the active constituent </w:t>
      </w:r>
      <w:r>
        <w:rPr>
          <w:rFonts w:eastAsia="Times New Roman" w:cs="Times New Roman"/>
          <w:bCs/>
          <w:color w:val="000000"/>
          <w:lang w:eastAsia="en-AU"/>
        </w:rPr>
        <w:t>t</w:t>
      </w:r>
      <w:r w:rsidRPr="00F56CE4">
        <w:rPr>
          <w:rFonts w:eastAsia="Times New Roman" w:cs="Times New Roman"/>
          <w:bCs/>
          <w:color w:val="000000"/>
          <w:lang w:eastAsia="en-AU"/>
        </w:rPr>
        <w:t xml:space="preserve">riclopyr </w:t>
      </w:r>
      <w:proofErr w:type="spellStart"/>
      <w:r w:rsidRPr="00F56CE4">
        <w:rPr>
          <w:rFonts w:eastAsia="Times New Roman" w:cs="Times New Roman"/>
          <w:bCs/>
          <w:color w:val="000000"/>
          <w:lang w:eastAsia="en-AU"/>
        </w:rPr>
        <w:t>butoxyethyl</w:t>
      </w:r>
      <w:proofErr w:type="spellEnd"/>
      <w:r>
        <w:rPr>
          <w:rFonts w:eastAsia="Times New Roman" w:cs="Times New Roman"/>
          <w:bCs/>
          <w:color w:val="000000"/>
          <w:lang w:eastAsia="en-AU"/>
        </w:rPr>
        <w:t xml:space="preserve"> </w:t>
      </w:r>
      <w:r>
        <w:t>from the Schedule to the Principal Instrument.</w:t>
      </w:r>
    </w:p>
    <w:p w14:paraId="08B42AB9" w14:textId="77777777" w:rsidR="003603F7" w:rsidRDefault="003603F7" w:rsidP="003603F7">
      <w:pPr>
        <w:pStyle w:val="Heading2"/>
      </w:pPr>
      <w:r>
        <w:t xml:space="preserve">Item 5 – Schedule </w:t>
      </w:r>
    </w:p>
    <w:p w14:paraId="02D7A146" w14:textId="77777777" w:rsidR="003603F7" w:rsidRDefault="003603F7" w:rsidP="003603F7">
      <w:r>
        <w:t>Item 5 omits the entries for certain agricultural active constituents that are currently listed in the Schedule to the Principal Instrument and inserts amended entries for these same active constituents.</w:t>
      </w:r>
    </w:p>
    <w:p w14:paraId="2552B866" w14:textId="77777777" w:rsidR="003603F7" w:rsidRDefault="003603F7" w:rsidP="003603F7">
      <w:pPr>
        <w:rPr>
          <w:b/>
          <w:bCs/>
          <w:sz w:val="24"/>
          <w:szCs w:val="24"/>
        </w:rPr>
      </w:pPr>
      <w:r w:rsidRPr="00F56CE4">
        <w:rPr>
          <w:b/>
          <w:bCs/>
          <w:sz w:val="24"/>
          <w:szCs w:val="24"/>
        </w:rPr>
        <w:t xml:space="preserve">Item </w:t>
      </w:r>
      <w:r>
        <w:rPr>
          <w:b/>
          <w:bCs/>
          <w:sz w:val="24"/>
          <w:szCs w:val="24"/>
        </w:rPr>
        <w:t>6</w:t>
      </w:r>
      <w:r w:rsidRPr="00F56CE4">
        <w:rPr>
          <w:b/>
          <w:bCs/>
          <w:sz w:val="24"/>
          <w:szCs w:val="24"/>
        </w:rPr>
        <w:t xml:space="preserve"> – Schedule</w:t>
      </w:r>
    </w:p>
    <w:p w14:paraId="0C315578" w14:textId="7178DCD9" w:rsidR="00C30204" w:rsidRPr="00C30204" w:rsidRDefault="003603F7" w:rsidP="006C521D">
      <w:r>
        <w:t>Item 6 incorporates a footnote to detail the method of calculation of the summation of the concentrations of a group of 17 chemical compounds, polychlorinated dibenzodioxins and polychlorinated dibenzofurans (PCDDs and PCDFs) and provides the chemical names for these 17 compounds. As this group of compounds and summation of their concentrations is included in four different entries in the table in the Schedule, a footnote containing the information relevant to all four entries is included to avoid unnecessary repetition.</w:t>
      </w:r>
    </w:p>
    <w:p w14:paraId="6E119E34" w14:textId="6ADB45DF" w:rsidR="000B2918" w:rsidRDefault="000B2918" w:rsidP="00D96C11"/>
    <w:p w14:paraId="5C3E35F7" w14:textId="27259182" w:rsidR="00D96C11" w:rsidRDefault="00D96C11" w:rsidP="00D96C11">
      <w:pPr>
        <w:spacing w:before="0"/>
        <w:sectPr w:rsidR="00D96C11" w:rsidSect="001E52EB">
          <w:pgSz w:w="11906" w:h="16838"/>
          <w:pgMar w:top="1440" w:right="1440" w:bottom="1440" w:left="1440" w:header="708" w:footer="708" w:gutter="0"/>
          <w:cols w:space="720"/>
        </w:sectPr>
      </w:pPr>
    </w:p>
    <w:p w14:paraId="0BDA79E6" w14:textId="4A64A477" w:rsidR="00C30204" w:rsidRPr="006C521D" w:rsidRDefault="00C30204" w:rsidP="006C521D">
      <w:pPr>
        <w:pStyle w:val="Heading1"/>
        <w:tabs>
          <w:tab w:val="left" w:pos="6946"/>
        </w:tabs>
        <w:jc w:val="right"/>
      </w:pPr>
      <w:r w:rsidRPr="006C521D">
        <w:lastRenderedPageBreak/>
        <w:t>ATTACHMENT B</w:t>
      </w:r>
    </w:p>
    <w:p w14:paraId="4E19FE76" w14:textId="282A3EA7" w:rsidR="003D6FC8" w:rsidRDefault="00816FB4" w:rsidP="005B2D77">
      <w:r>
        <w:t xml:space="preserve"> </w:t>
      </w:r>
    </w:p>
    <w:p w14:paraId="6BFCD633" w14:textId="77777777" w:rsidR="003603F7" w:rsidRDefault="003603F7" w:rsidP="003603F7">
      <w:pPr>
        <w:pStyle w:val="Heading2"/>
        <w:jc w:val="center"/>
      </w:pPr>
      <w:r>
        <w:t>Statement of compatibility with human rights obligations</w:t>
      </w:r>
    </w:p>
    <w:p w14:paraId="5DB256E4" w14:textId="77777777" w:rsidR="003603F7" w:rsidRDefault="003603F7" w:rsidP="003603F7">
      <w:pPr>
        <w:jc w:val="center"/>
      </w:pPr>
      <w:r>
        <w:rPr>
          <w:i/>
        </w:rPr>
        <w:t>Prepared in accordance with Part 3 of the Human Rights (Parliamentary Scrutiny) Act 2011</w:t>
      </w:r>
    </w:p>
    <w:p w14:paraId="1DBC461E" w14:textId="77777777" w:rsidR="003603F7" w:rsidRDefault="003603F7" w:rsidP="003603F7">
      <w:pPr>
        <w:pStyle w:val="Heading2"/>
        <w:jc w:val="center"/>
        <w:rPr>
          <w:lang w:val="en-US"/>
        </w:rPr>
      </w:pPr>
      <w:r>
        <w:rPr>
          <w:caps/>
        </w:rPr>
        <w:t>Agricultural and Veterinary Chemicals Code (AGRICULTURAL Active Constituents) Standards Amendment instrument 2024</w:t>
      </w:r>
    </w:p>
    <w:p w14:paraId="5ADAA5D8" w14:textId="77777777" w:rsidR="003603F7" w:rsidRDefault="003603F7" w:rsidP="003603F7">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11192B1C" w14:textId="77777777" w:rsidR="003603F7" w:rsidRDefault="003603F7" w:rsidP="003603F7">
      <w:pPr>
        <w:pStyle w:val="Heading2"/>
      </w:pPr>
      <w:r>
        <w:t>Overview of the Legislative Instrument</w:t>
      </w:r>
    </w:p>
    <w:p w14:paraId="0D978A45" w14:textId="77777777" w:rsidR="003603F7" w:rsidRDefault="003603F7" w:rsidP="003603F7">
      <w:r>
        <w:t>The purpose of this Instrument is to amend the Principal Instrument to include additional new standards for certain active constituents for agricultural chemical products under section 6E of the Code, as well as to amend standards for certain active constituents already included in the Principal Instrument and to make certain other minor amendments to the Principal Instrument.</w:t>
      </w:r>
    </w:p>
    <w:p w14:paraId="09A03C48" w14:textId="77777777" w:rsidR="003603F7" w:rsidRDefault="003603F7" w:rsidP="003603F7">
      <w:pPr>
        <w:pStyle w:val="Heading2"/>
      </w:pPr>
      <w:r>
        <w:t>Human rights implications.</w:t>
      </w:r>
    </w:p>
    <w:p w14:paraId="63354702" w14:textId="77777777" w:rsidR="003603F7" w:rsidRDefault="003603F7" w:rsidP="003603F7">
      <w:r>
        <w:t>The Instrument does not engage any of the applicable rights or freedoms.</w:t>
      </w:r>
    </w:p>
    <w:p w14:paraId="0DF2020E" w14:textId="77777777" w:rsidR="003603F7" w:rsidRDefault="003603F7" w:rsidP="003603F7">
      <w:pPr>
        <w:pStyle w:val="Heading2"/>
      </w:pPr>
      <w:r>
        <w:t>Conclusion</w:t>
      </w:r>
    </w:p>
    <w:p w14:paraId="36C33042" w14:textId="18457CE6" w:rsidR="003603F7" w:rsidRPr="003D6FC8" w:rsidRDefault="003603F7" w:rsidP="003603F7">
      <w:r>
        <w:t>The Instrument is compatible with human rights as it does not raise any human rights issues.</w:t>
      </w:r>
    </w:p>
    <w:p w14:paraId="153048C3" w14:textId="77777777" w:rsidR="00791F4A" w:rsidRDefault="00791F4A" w:rsidP="00F56CE4">
      <w:pPr>
        <w:keepNext/>
        <w:keepLines/>
        <w:spacing w:before="280"/>
        <w:outlineLvl w:val="1"/>
      </w:pPr>
    </w:p>
    <w:sectPr w:rsidR="00791F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8506" w14:textId="77777777" w:rsidR="00812B91" w:rsidRDefault="00812B91" w:rsidP="005A51B1">
      <w:pPr>
        <w:spacing w:before="0"/>
      </w:pPr>
      <w:r>
        <w:separator/>
      </w:r>
    </w:p>
  </w:endnote>
  <w:endnote w:type="continuationSeparator" w:id="0">
    <w:p w14:paraId="3B41B82B" w14:textId="77777777" w:rsidR="00812B91" w:rsidRDefault="00812B91" w:rsidP="005A51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7800" w14:textId="77777777" w:rsidR="00812B91" w:rsidRDefault="00812B91" w:rsidP="005A51B1">
      <w:pPr>
        <w:spacing w:before="0"/>
      </w:pPr>
      <w:r>
        <w:separator/>
      </w:r>
    </w:p>
  </w:footnote>
  <w:footnote w:type="continuationSeparator" w:id="0">
    <w:p w14:paraId="58FB848F" w14:textId="77777777" w:rsidR="00812B91" w:rsidRDefault="00812B91" w:rsidP="005A51B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FB"/>
    <w:rsid w:val="000233ED"/>
    <w:rsid w:val="0006295B"/>
    <w:rsid w:val="00080874"/>
    <w:rsid w:val="000840CA"/>
    <w:rsid w:val="000B2918"/>
    <w:rsid w:val="000B310C"/>
    <w:rsid w:val="000F27E9"/>
    <w:rsid w:val="000F6F24"/>
    <w:rsid w:val="00111523"/>
    <w:rsid w:val="00112D5F"/>
    <w:rsid w:val="00131F2B"/>
    <w:rsid w:val="0013641E"/>
    <w:rsid w:val="00141F3C"/>
    <w:rsid w:val="00153450"/>
    <w:rsid w:val="00155A9F"/>
    <w:rsid w:val="00166C12"/>
    <w:rsid w:val="0017571C"/>
    <w:rsid w:val="001B7646"/>
    <w:rsid w:val="001C0011"/>
    <w:rsid w:val="001D0415"/>
    <w:rsid w:val="001E20FD"/>
    <w:rsid w:val="001E52EB"/>
    <w:rsid w:val="001E76CA"/>
    <w:rsid w:val="001F5C47"/>
    <w:rsid w:val="00205016"/>
    <w:rsid w:val="002102B5"/>
    <w:rsid w:val="002445DB"/>
    <w:rsid w:val="00262D41"/>
    <w:rsid w:val="00277C55"/>
    <w:rsid w:val="002A0AD1"/>
    <w:rsid w:val="002D44CB"/>
    <w:rsid w:val="00321602"/>
    <w:rsid w:val="00345160"/>
    <w:rsid w:val="003503DC"/>
    <w:rsid w:val="003602C7"/>
    <w:rsid w:val="003603F7"/>
    <w:rsid w:val="00367B4F"/>
    <w:rsid w:val="00390F88"/>
    <w:rsid w:val="00393DD6"/>
    <w:rsid w:val="003A5A2B"/>
    <w:rsid w:val="003C0EA3"/>
    <w:rsid w:val="003D6FC8"/>
    <w:rsid w:val="003F6CE1"/>
    <w:rsid w:val="003F6CF8"/>
    <w:rsid w:val="003F759B"/>
    <w:rsid w:val="0040648E"/>
    <w:rsid w:val="00421224"/>
    <w:rsid w:val="00454EF4"/>
    <w:rsid w:val="004703ED"/>
    <w:rsid w:val="004A1F63"/>
    <w:rsid w:val="004B5F2C"/>
    <w:rsid w:val="004C3945"/>
    <w:rsid w:val="004D1390"/>
    <w:rsid w:val="004D3155"/>
    <w:rsid w:val="004E482C"/>
    <w:rsid w:val="004E4BFB"/>
    <w:rsid w:val="004E574C"/>
    <w:rsid w:val="004F13AA"/>
    <w:rsid w:val="00516DAF"/>
    <w:rsid w:val="00523298"/>
    <w:rsid w:val="00540082"/>
    <w:rsid w:val="0055249D"/>
    <w:rsid w:val="0057063D"/>
    <w:rsid w:val="00571F25"/>
    <w:rsid w:val="00573501"/>
    <w:rsid w:val="00573527"/>
    <w:rsid w:val="005832A8"/>
    <w:rsid w:val="005A218E"/>
    <w:rsid w:val="005A51B1"/>
    <w:rsid w:val="005A7066"/>
    <w:rsid w:val="005B2D77"/>
    <w:rsid w:val="005C3057"/>
    <w:rsid w:val="005C7B53"/>
    <w:rsid w:val="005E621C"/>
    <w:rsid w:val="0061691E"/>
    <w:rsid w:val="00645DAC"/>
    <w:rsid w:val="0065724D"/>
    <w:rsid w:val="0067245E"/>
    <w:rsid w:val="00677DBE"/>
    <w:rsid w:val="0069096A"/>
    <w:rsid w:val="006C521D"/>
    <w:rsid w:val="0071089E"/>
    <w:rsid w:val="007109D6"/>
    <w:rsid w:val="00744815"/>
    <w:rsid w:val="0076151F"/>
    <w:rsid w:val="00761974"/>
    <w:rsid w:val="0076364E"/>
    <w:rsid w:val="00775586"/>
    <w:rsid w:val="007854AA"/>
    <w:rsid w:val="00791F4A"/>
    <w:rsid w:val="007B1BBB"/>
    <w:rsid w:val="007B2C8B"/>
    <w:rsid w:val="007E63AC"/>
    <w:rsid w:val="007F2088"/>
    <w:rsid w:val="008045E9"/>
    <w:rsid w:val="00807C15"/>
    <w:rsid w:val="00812B91"/>
    <w:rsid w:val="00813ED9"/>
    <w:rsid w:val="00816FB4"/>
    <w:rsid w:val="008351B6"/>
    <w:rsid w:val="00842EF8"/>
    <w:rsid w:val="00854B2F"/>
    <w:rsid w:val="0086686C"/>
    <w:rsid w:val="00886EAE"/>
    <w:rsid w:val="008A3346"/>
    <w:rsid w:val="008B7F6E"/>
    <w:rsid w:val="008C5418"/>
    <w:rsid w:val="008D4051"/>
    <w:rsid w:val="008E233D"/>
    <w:rsid w:val="00906F28"/>
    <w:rsid w:val="00910AEC"/>
    <w:rsid w:val="009405DC"/>
    <w:rsid w:val="0095690D"/>
    <w:rsid w:val="0096796F"/>
    <w:rsid w:val="00983257"/>
    <w:rsid w:val="009A4100"/>
    <w:rsid w:val="009B6EB4"/>
    <w:rsid w:val="009C0E3C"/>
    <w:rsid w:val="00A1443E"/>
    <w:rsid w:val="00A177A9"/>
    <w:rsid w:val="00A6252A"/>
    <w:rsid w:val="00A6339F"/>
    <w:rsid w:val="00A71014"/>
    <w:rsid w:val="00A740DC"/>
    <w:rsid w:val="00A91BF0"/>
    <w:rsid w:val="00AC1D43"/>
    <w:rsid w:val="00AD067B"/>
    <w:rsid w:val="00AE56E0"/>
    <w:rsid w:val="00AF2C8B"/>
    <w:rsid w:val="00AF35BB"/>
    <w:rsid w:val="00AF3AF7"/>
    <w:rsid w:val="00B14CFB"/>
    <w:rsid w:val="00B220B1"/>
    <w:rsid w:val="00B231D5"/>
    <w:rsid w:val="00B37A95"/>
    <w:rsid w:val="00B41F7F"/>
    <w:rsid w:val="00B53541"/>
    <w:rsid w:val="00B55624"/>
    <w:rsid w:val="00B56E3B"/>
    <w:rsid w:val="00B730DB"/>
    <w:rsid w:val="00B766F4"/>
    <w:rsid w:val="00B80626"/>
    <w:rsid w:val="00B80C99"/>
    <w:rsid w:val="00BC2662"/>
    <w:rsid w:val="00BC6450"/>
    <w:rsid w:val="00C30204"/>
    <w:rsid w:val="00C40E8F"/>
    <w:rsid w:val="00C85E16"/>
    <w:rsid w:val="00CA1FC9"/>
    <w:rsid w:val="00CB029F"/>
    <w:rsid w:val="00D17202"/>
    <w:rsid w:val="00D32E6E"/>
    <w:rsid w:val="00D40C9A"/>
    <w:rsid w:val="00D4469C"/>
    <w:rsid w:val="00D55EF1"/>
    <w:rsid w:val="00D77636"/>
    <w:rsid w:val="00D8064F"/>
    <w:rsid w:val="00D9382A"/>
    <w:rsid w:val="00D96C11"/>
    <w:rsid w:val="00DA7C77"/>
    <w:rsid w:val="00DE2904"/>
    <w:rsid w:val="00DF1568"/>
    <w:rsid w:val="00DF2A4B"/>
    <w:rsid w:val="00DF4D3D"/>
    <w:rsid w:val="00DF5AF1"/>
    <w:rsid w:val="00DF7EC9"/>
    <w:rsid w:val="00E0350D"/>
    <w:rsid w:val="00E053D7"/>
    <w:rsid w:val="00E24FA4"/>
    <w:rsid w:val="00E2569B"/>
    <w:rsid w:val="00E458B3"/>
    <w:rsid w:val="00E5592D"/>
    <w:rsid w:val="00E6310D"/>
    <w:rsid w:val="00E70916"/>
    <w:rsid w:val="00EA1284"/>
    <w:rsid w:val="00EA476B"/>
    <w:rsid w:val="00EB64D4"/>
    <w:rsid w:val="00EB7A29"/>
    <w:rsid w:val="00EF2EF3"/>
    <w:rsid w:val="00EF4CAF"/>
    <w:rsid w:val="00F04782"/>
    <w:rsid w:val="00F105F2"/>
    <w:rsid w:val="00F13064"/>
    <w:rsid w:val="00F16F75"/>
    <w:rsid w:val="00F177A1"/>
    <w:rsid w:val="00F32C5C"/>
    <w:rsid w:val="00F50A9C"/>
    <w:rsid w:val="00F56CE4"/>
    <w:rsid w:val="00F61152"/>
    <w:rsid w:val="00F80169"/>
    <w:rsid w:val="00F83F2C"/>
    <w:rsid w:val="00F96600"/>
    <w:rsid w:val="00FC109E"/>
    <w:rsid w:val="00FC54E3"/>
    <w:rsid w:val="00FD57F4"/>
    <w:rsid w:val="00FE53FA"/>
    <w:rsid w:val="00FF3842"/>
    <w:rsid w:val="00FF5549"/>
    <w:rsid w:val="00FF7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906B"/>
  <w15:chartTrackingRefBased/>
  <w15:docId w15:val="{9ED4F367-83D6-40D0-8780-A5FE051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2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D96C11"/>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D96C11"/>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uiPriority w:val="1"/>
    <w:qFormat/>
    <w:rsid w:val="004703ED"/>
    <w:rPr>
      <w:color w:val="538135" w:themeColor="accent6" w:themeShade="BF"/>
    </w:rPr>
  </w:style>
  <w:style w:type="paragraph" w:customStyle="1" w:styleId="modelheading">
    <w:name w:val="model heading"/>
    <w:basedOn w:val="Normal"/>
    <w:qFormat/>
    <w:rsid w:val="004703ED"/>
    <w:pPr>
      <w:spacing w:before="240" w:after="120"/>
      <w:ind w:left="96"/>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D96C11"/>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D96C11"/>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D96C11"/>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D96C11"/>
    <w:rPr>
      <w:rFonts w:ascii="Times New Roman" w:eastAsiaTheme="majorEastAsia" w:hAnsi="Times New Roman" w:cstheme="majorBidi"/>
      <w:b/>
      <w:caps/>
      <w:spacing w:val="-10"/>
      <w:kern w:val="28"/>
      <w:sz w:val="24"/>
      <w:szCs w:val="56"/>
    </w:rPr>
  </w:style>
  <w:style w:type="character" w:styleId="CommentReference">
    <w:name w:val="annotation reference"/>
    <w:basedOn w:val="DefaultParagraphFont"/>
    <w:uiPriority w:val="99"/>
    <w:semiHidden/>
    <w:unhideWhenUsed/>
    <w:rsid w:val="00B766F4"/>
    <w:rPr>
      <w:sz w:val="16"/>
      <w:szCs w:val="16"/>
    </w:rPr>
  </w:style>
  <w:style w:type="paragraph" w:styleId="CommentText">
    <w:name w:val="annotation text"/>
    <w:basedOn w:val="Normal"/>
    <w:link w:val="CommentTextChar"/>
    <w:uiPriority w:val="99"/>
    <w:unhideWhenUsed/>
    <w:rsid w:val="00B766F4"/>
    <w:rPr>
      <w:sz w:val="20"/>
      <w:szCs w:val="20"/>
    </w:rPr>
  </w:style>
  <w:style w:type="character" w:customStyle="1" w:styleId="CommentTextChar">
    <w:name w:val="Comment Text Char"/>
    <w:basedOn w:val="DefaultParagraphFont"/>
    <w:link w:val="CommentText"/>
    <w:uiPriority w:val="99"/>
    <w:rsid w:val="00B766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66F4"/>
    <w:rPr>
      <w:b/>
      <w:bCs/>
    </w:rPr>
  </w:style>
  <w:style w:type="character" w:customStyle="1" w:styleId="CommentSubjectChar">
    <w:name w:val="Comment Subject Char"/>
    <w:basedOn w:val="CommentTextChar"/>
    <w:link w:val="CommentSubject"/>
    <w:uiPriority w:val="99"/>
    <w:semiHidden/>
    <w:rsid w:val="00B766F4"/>
    <w:rPr>
      <w:rFonts w:ascii="Times New Roman" w:hAnsi="Times New Roman"/>
      <w:b/>
      <w:bCs/>
      <w:sz w:val="20"/>
      <w:szCs w:val="20"/>
    </w:rPr>
  </w:style>
  <w:style w:type="paragraph" w:styleId="BalloonText">
    <w:name w:val="Balloon Text"/>
    <w:basedOn w:val="Normal"/>
    <w:link w:val="BalloonTextChar"/>
    <w:uiPriority w:val="99"/>
    <w:semiHidden/>
    <w:unhideWhenUsed/>
    <w:rsid w:val="00B766F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F4"/>
    <w:rPr>
      <w:rFonts w:ascii="Segoe UI" w:hAnsi="Segoe UI" w:cs="Segoe UI"/>
      <w:sz w:val="18"/>
      <w:szCs w:val="18"/>
    </w:rPr>
  </w:style>
  <w:style w:type="paragraph" w:styleId="FootnoteText">
    <w:name w:val="footnote text"/>
    <w:basedOn w:val="Normal"/>
    <w:link w:val="FootnoteTextChar"/>
    <w:uiPriority w:val="99"/>
    <w:semiHidden/>
    <w:unhideWhenUsed/>
    <w:rsid w:val="005A51B1"/>
    <w:pPr>
      <w:spacing w:before="0"/>
    </w:pPr>
    <w:rPr>
      <w:sz w:val="20"/>
      <w:szCs w:val="20"/>
    </w:rPr>
  </w:style>
  <w:style w:type="character" w:customStyle="1" w:styleId="FootnoteTextChar">
    <w:name w:val="Footnote Text Char"/>
    <w:basedOn w:val="DefaultParagraphFont"/>
    <w:link w:val="FootnoteText"/>
    <w:uiPriority w:val="99"/>
    <w:semiHidden/>
    <w:rsid w:val="005A51B1"/>
    <w:rPr>
      <w:rFonts w:ascii="Times New Roman" w:hAnsi="Times New Roman"/>
      <w:sz w:val="20"/>
      <w:szCs w:val="20"/>
    </w:rPr>
  </w:style>
  <w:style w:type="character" w:styleId="FootnoteReference">
    <w:name w:val="footnote reference"/>
    <w:basedOn w:val="DefaultParagraphFont"/>
    <w:uiPriority w:val="99"/>
    <w:semiHidden/>
    <w:unhideWhenUsed/>
    <w:rsid w:val="005A51B1"/>
    <w:rPr>
      <w:vertAlign w:val="superscript"/>
    </w:rPr>
  </w:style>
  <w:style w:type="paragraph" w:customStyle="1" w:styleId="Default">
    <w:name w:val="Default"/>
    <w:rsid w:val="005A51B1"/>
    <w:pPr>
      <w:autoSpaceDE w:val="0"/>
      <w:autoSpaceDN w:val="0"/>
      <w:adjustRightInd w:val="0"/>
      <w:spacing w:after="0" w:line="240" w:lineRule="auto"/>
    </w:pPr>
    <w:rPr>
      <w:rFonts w:ascii="Arial Narrow" w:hAnsi="Arial Narrow" w:cs="Arial Narrow"/>
      <w:color w:val="000000"/>
      <w:sz w:val="24"/>
      <w:szCs w:val="24"/>
    </w:rPr>
  </w:style>
  <w:style w:type="paragraph" w:styleId="Revision">
    <w:name w:val="Revision"/>
    <w:hidden/>
    <w:uiPriority w:val="99"/>
    <w:semiHidden/>
    <w:rsid w:val="000B2918"/>
    <w:pPr>
      <w:spacing w:after="0" w:line="240" w:lineRule="auto"/>
    </w:pPr>
    <w:rPr>
      <w:rFonts w:ascii="Times New Roman" w:hAnsi="Times New Roman"/>
    </w:rPr>
  </w:style>
  <w:style w:type="character" w:styleId="Hyperlink">
    <w:name w:val="Hyperlink"/>
    <w:basedOn w:val="DefaultParagraphFont"/>
    <w:uiPriority w:val="99"/>
    <w:unhideWhenUsed/>
    <w:rsid w:val="00D77636"/>
    <w:rPr>
      <w:color w:val="0563C1" w:themeColor="hyperlink"/>
      <w:u w:val="single"/>
    </w:rPr>
  </w:style>
  <w:style w:type="character" w:customStyle="1" w:styleId="UnresolvedMention1">
    <w:name w:val="Unresolved Mention1"/>
    <w:basedOn w:val="DefaultParagraphFont"/>
    <w:uiPriority w:val="99"/>
    <w:semiHidden/>
    <w:unhideWhenUsed/>
    <w:rsid w:val="00D77636"/>
    <w:rPr>
      <w:color w:val="605E5C"/>
      <w:shd w:val="clear" w:color="auto" w:fill="E1DFDD"/>
    </w:rPr>
  </w:style>
  <w:style w:type="character" w:styleId="UnresolvedMention">
    <w:name w:val="Unresolved Mention"/>
    <w:basedOn w:val="DefaultParagraphFont"/>
    <w:uiPriority w:val="99"/>
    <w:semiHidden/>
    <w:unhideWhenUsed/>
    <w:rsid w:val="00A6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4408">
      <w:bodyDiv w:val="1"/>
      <w:marLeft w:val="0"/>
      <w:marRight w:val="0"/>
      <w:marTop w:val="0"/>
      <w:marBottom w:val="0"/>
      <w:divBdr>
        <w:top w:val="none" w:sz="0" w:space="0" w:color="auto"/>
        <w:left w:val="none" w:sz="0" w:space="0" w:color="auto"/>
        <w:bottom w:val="none" w:sz="0" w:space="0" w:color="auto"/>
        <w:right w:val="none" w:sz="0" w:space="0" w:color="auto"/>
      </w:divBdr>
    </w:div>
    <w:div w:id="158471939">
      <w:bodyDiv w:val="1"/>
      <w:marLeft w:val="0"/>
      <w:marRight w:val="0"/>
      <w:marTop w:val="0"/>
      <w:marBottom w:val="0"/>
      <w:divBdr>
        <w:top w:val="none" w:sz="0" w:space="0" w:color="auto"/>
        <w:left w:val="none" w:sz="0" w:space="0" w:color="auto"/>
        <w:bottom w:val="none" w:sz="0" w:space="0" w:color="auto"/>
        <w:right w:val="none" w:sz="0" w:space="0" w:color="auto"/>
      </w:divBdr>
    </w:div>
    <w:div w:id="643775046">
      <w:bodyDiv w:val="1"/>
      <w:marLeft w:val="0"/>
      <w:marRight w:val="0"/>
      <w:marTop w:val="0"/>
      <w:marBottom w:val="0"/>
      <w:divBdr>
        <w:top w:val="none" w:sz="0" w:space="0" w:color="auto"/>
        <w:left w:val="none" w:sz="0" w:space="0" w:color="auto"/>
        <w:bottom w:val="none" w:sz="0" w:space="0" w:color="auto"/>
        <w:right w:val="none" w:sz="0" w:space="0" w:color="auto"/>
      </w:divBdr>
    </w:div>
    <w:div w:id="951059507">
      <w:bodyDiv w:val="1"/>
      <w:marLeft w:val="0"/>
      <w:marRight w:val="0"/>
      <w:marTop w:val="0"/>
      <w:marBottom w:val="0"/>
      <w:divBdr>
        <w:top w:val="none" w:sz="0" w:space="0" w:color="auto"/>
        <w:left w:val="none" w:sz="0" w:space="0" w:color="auto"/>
        <w:bottom w:val="none" w:sz="0" w:space="0" w:color="auto"/>
        <w:right w:val="none" w:sz="0" w:space="0" w:color="auto"/>
      </w:divBdr>
    </w:div>
    <w:div w:id="1075665023">
      <w:bodyDiv w:val="1"/>
      <w:marLeft w:val="0"/>
      <w:marRight w:val="0"/>
      <w:marTop w:val="0"/>
      <w:marBottom w:val="0"/>
      <w:divBdr>
        <w:top w:val="none" w:sz="0" w:space="0" w:color="auto"/>
        <w:left w:val="none" w:sz="0" w:space="0" w:color="auto"/>
        <w:bottom w:val="none" w:sz="0" w:space="0" w:color="auto"/>
        <w:right w:val="none" w:sz="0" w:space="0" w:color="auto"/>
      </w:divBdr>
    </w:div>
    <w:div w:id="15213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3.xml" Id="Rb0fac48d505a4b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A3324476</value>
    </field>
    <field name="Objective-Title">
      <value order="0">Agricultural Active Constituents Standards amendment no 1 2024 supplementary ES</value>
    </field>
    <field name="Objective-Description">
      <value order="0"/>
    </field>
    <field name="Objective-CreationStamp">
      <value order="0">2024-07-19T01:02:46Z</value>
    </field>
    <field name="Objective-IsApproved">
      <value order="0">true</value>
    </field>
    <field name="Objective-IsPublished">
      <value order="0">false</value>
    </field>
    <field name="Objective-DatePublished">
      <value order="0"/>
    </field>
    <field name="Objective-ModificationStamp">
      <value order="0">2024-08-05T01:29:42Z</value>
    </field>
    <field name="Objective-Owner">
      <value order="0">Sam Margerison</value>
    </field>
    <field name="Objective-Path">
      <value order="0">APVMA:COLLABORATION:Collaboration - Risk Assessment Capability:Chemistry:Actives Instrument Project:Active standards amending instrument no 1 2022:2024 updates to amending instrument number 1:signed documents</value>
    </field>
    <field name="Objective-Parent">
      <value order="0">signed documents</value>
    </field>
    <field name="Objective-State">
      <value order="0">Approved</value>
    </field>
    <field name="Objective-VersionId">
      <value order="0">vA4975158</value>
    </field>
    <field name="Objective-Version">
      <value order="0">1.1</value>
    </field>
    <field name="Objective-VersionNumber">
      <value order="0">5</value>
    </field>
    <field name="Objective-VersionComment">
      <value order="0"/>
    </field>
    <field name="Objective-FileNumber">
      <value order="0">2015\1706</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4A76BBD-EEC7-480C-8E01-DEEBEC52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1345</Words>
  <Characters>7268</Characters>
  <Application>Microsoft Office Word</Application>
  <DocSecurity>0</DocSecurity>
  <Lines>382</Lines>
  <Paragraphs>318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MARGERISON, Samuel</dc:creator>
  <cp:keywords/>
  <dc:description/>
  <cp:lastModifiedBy>MARGERISON, Samuel</cp:lastModifiedBy>
  <cp:revision>15</cp:revision>
  <dcterms:created xsi:type="dcterms:W3CDTF">2024-07-19T01:02:00Z</dcterms:created>
  <dcterms:modified xsi:type="dcterms:W3CDTF">2024-08-01T05:53:00Z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A3324476</vt:lpwstr>
  </property>
  <property fmtid="{D5CDD505-2E9C-101B-9397-08002B2CF9AE}" pid="4" name="Objective-Title">
    <vt:lpwstr>Agricultural Active Constituents Standards amendment no 1 2024 supplementary ES</vt:lpwstr>
  </property>
  <property fmtid="{D5CDD505-2E9C-101B-9397-08002B2CF9AE}" pid="5" name="Objective-Description">
    <vt:lpwstr/>
  </property>
  <property fmtid="{D5CDD505-2E9C-101B-9397-08002B2CF9AE}" pid="6" name="Objective-CreationStamp">
    <vt:filetime>2024-07-19T01:02:46Z</vt:filetime>
  </property>
  <property fmtid="{D5CDD505-2E9C-101B-9397-08002B2CF9AE}" pid="7" name="Objective-IsApproved">
    <vt:bool>true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2024-08-05T01:29:42Z</vt:filetime>
  </property>
  <property fmtid="{D5CDD505-2E9C-101B-9397-08002B2CF9AE}" pid="11" name="Objective-Owner">
    <vt:lpwstr>Sam Margerison</vt:lpwstr>
  </property>
  <property fmtid="{D5CDD505-2E9C-101B-9397-08002B2CF9AE}" pid="12" name="Objective-Path">
    <vt:lpwstr>APVMA:COLLABORATION:Collaboration - Risk Assessment Capability:Chemistry:Actives Instrument Project:Active standards amending instrument no 1 2022:2024 updates to amending instrument number 1:signed documents:</vt:lpwstr>
  </property>
  <property fmtid="{D5CDD505-2E9C-101B-9397-08002B2CF9AE}" pid="13" name="Objective-Parent">
    <vt:lpwstr>signed documents</vt:lpwstr>
  </property>
  <property fmtid="{D5CDD505-2E9C-101B-9397-08002B2CF9AE}" pid="14" name="Objective-State">
    <vt:lpwstr>Approved</vt:lpwstr>
  </property>
  <property fmtid="{D5CDD505-2E9C-101B-9397-08002B2CF9AE}" pid="15" name="Objective-VersionId">
    <vt:lpwstr>vA4975158</vt:lpwstr>
  </property>
  <property fmtid="{D5CDD505-2E9C-101B-9397-08002B2CF9AE}" pid="16" name="Objective-Version">
    <vt:lpwstr>1.1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