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9291" w14:textId="77777777" w:rsidR="007864D3" w:rsidRPr="00696B97" w:rsidRDefault="00696B97" w:rsidP="00696B97">
      <w:pPr>
        <w:jc w:val="center"/>
        <w:rPr>
          <w:rFonts w:ascii="Times New Roman" w:hAnsi="Times New Roman" w:cs="Times New Roman"/>
          <w:sz w:val="24"/>
          <w:u w:val="single"/>
        </w:rPr>
      </w:pPr>
      <w:bookmarkStart w:id="0" w:name="_GoBack"/>
      <w:bookmarkEnd w:id="0"/>
      <w:r w:rsidRPr="00696B97">
        <w:rPr>
          <w:rFonts w:ascii="Times New Roman" w:hAnsi="Times New Roman" w:cs="Times New Roman"/>
          <w:sz w:val="24"/>
          <w:u w:val="single"/>
        </w:rPr>
        <w:t>Explanatory Statement</w:t>
      </w:r>
    </w:p>
    <w:p w14:paraId="7B097DD8" w14:textId="34F4330B" w:rsidR="00702F99" w:rsidRPr="006D0C2F" w:rsidRDefault="00702F99" w:rsidP="00702F99">
      <w:pPr>
        <w:jc w:val="center"/>
        <w:rPr>
          <w:rFonts w:ascii="Times New Roman" w:hAnsi="Times New Roman" w:cs="Times New Roman"/>
        </w:rPr>
      </w:pPr>
      <w:r w:rsidRPr="006D0C2F">
        <w:rPr>
          <w:rFonts w:ascii="Times New Roman" w:hAnsi="Times New Roman" w:cs="Times New Roman"/>
        </w:rPr>
        <w:t>Issued by</w:t>
      </w:r>
      <w:r w:rsidR="008F01EE">
        <w:rPr>
          <w:rFonts w:ascii="Times New Roman" w:hAnsi="Times New Roman" w:cs="Times New Roman"/>
        </w:rPr>
        <w:t xml:space="preserve"> authority of</w:t>
      </w:r>
      <w:r w:rsidRPr="006D0C2F">
        <w:rPr>
          <w:rFonts w:ascii="Times New Roman" w:hAnsi="Times New Roman" w:cs="Times New Roman"/>
        </w:rPr>
        <w:t xml:space="preserve"> the </w:t>
      </w:r>
      <w:r w:rsidR="00BC5106">
        <w:rPr>
          <w:rFonts w:ascii="Times New Roman" w:hAnsi="Times New Roman" w:cs="Times New Roman"/>
        </w:rPr>
        <w:t>Attorney-General</w:t>
      </w:r>
    </w:p>
    <w:p w14:paraId="362DB803" w14:textId="77777777" w:rsidR="00702F99" w:rsidRPr="006D0C2F" w:rsidRDefault="00702F99" w:rsidP="00702F99">
      <w:pPr>
        <w:jc w:val="center"/>
        <w:rPr>
          <w:rFonts w:ascii="Times New Roman" w:hAnsi="Times New Roman" w:cs="Times New Roman"/>
          <w:i/>
        </w:rPr>
      </w:pPr>
      <w:r w:rsidRPr="006D0C2F">
        <w:rPr>
          <w:rFonts w:ascii="Times New Roman" w:hAnsi="Times New Roman" w:cs="Times New Roman"/>
          <w:i/>
        </w:rPr>
        <w:t>Telecommunications (Interception and Access) Act 1979</w:t>
      </w:r>
    </w:p>
    <w:p w14:paraId="12F91E57" w14:textId="634E07AC" w:rsidR="00702F99" w:rsidRDefault="00702F99" w:rsidP="00702F99">
      <w:pPr>
        <w:jc w:val="center"/>
        <w:rPr>
          <w:rFonts w:ascii="Times New Roman" w:hAnsi="Times New Roman" w:cs="Times New Roman"/>
          <w:i/>
        </w:rPr>
      </w:pPr>
      <w:r w:rsidRPr="006D0C2F">
        <w:rPr>
          <w:rFonts w:ascii="Times New Roman" w:hAnsi="Times New Roman" w:cs="Times New Roman"/>
          <w:i/>
        </w:rPr>
        <w:t>Telecommunications (Interception and Access) (</w:t>
      </w:r>
      <w:r w:rsidR="00FC6B3C" w:rsidRPr="00FC6B3C">
        <w:rPr>
          <w:rFonts w:ascii="Times New Roman" w:hAnsi="Times New Roman" w:cs="Times New Roman"/>
          <w:i/>
        </w:rPr>
        <w:t>Enforcement Agency – NSW Department of Communities and Justice</w:t>
      </w:r>
      <w:r w:rsidR="00EE6490">
        <w:rPr>
          <w:rFonts w:ascii="Times New Roman" w:hAnsi="Times New Roman" w:cs="Times New Roman"/>
          <w:i/>
        </w:rPr>
        <w:t>) Declaration 202</w:t>
      </w:r>
      <w:r w:rsidR="00B404EB">
        <w:rPr>
          <w:rFonts w:ascii="Times New Roman" w:hAnsi="Times New Roman" w:cs="Times New Roman"/>
          <w:i/>
        </w:rPr>
        <w:t>4</w:t>
      </w:r>
    </w:p>
    <w:p w14:paraId="7A0D9B83" w14:textId="77777777" w:rsidR="00702F99" w:rsidRPr="006D0C2F" w:rsidRDefault="00702F99" w:rsidP="00702F99">
      <w:pPr>
        <w:jc w:val="center"/>
        <w:rPr>
          <w:rFonts w:ascii="Times New Roman" w:hAnsi="Times New Roman" w:cs="Times New Roman"/>
          <w:i/>
        </w:rPr>
      </w:pPr>
    </w:p>
    <w:p w14:paraId="4FD3527B" w14:textId="017513A3" w:rsidR="00501D5F" w:rsidRDefault="00702F99" w:rsidP="008F01EE">
      <w:pPr>
        <w:pStyle w:val="ESPara"/>
        <w:numPr>
          <w:ilvl w:val="0"/>
          <w:numId w:val="1"/>
        </w:numPr>
        <w:ind w:left="567" w:hanging="567"/>
      </w:pPr>
      <w:r w:rsidRPr="00FC6B3C">
        <w:t xml:space="preserve">The </w:t>
      </w:r>
      <w:r w:rsidR="00FC6B3C" w:rsidRPr="008F01EE">
        <w:t>Telecommunications (Interception and Access) (Enforcement Agency – NSW Department of Communities and Justice) Declaration 202</w:t>
      </w:r>
      <w:r w:rsidR="00B404EB">
        <w:t>4</w:t>
      </w:r>
      <w:r w:rsidR="00C018E9" w:rsidRPr="00FC6B3C">
        <w:t xml:space="preserve"> (the Declaration)</w:t>
      </w:r>
      <w:r w:rsidR="00AC68D3" w:rsidRPr="00FC6B3C">
        <w:t xml:space="preserve"> </w:t>
      </w:r>
      <w:r w:rsidRPr="00FC6B3C">
        <w:t xml:space="preserve">is made under </w:t>
      </w:r>
      <w:r w:rsidR="00DC3181">
        <w:t>paragraphs </w:t>
      </w:r>
      <w:r w:rsidR="003A748A" w:rsidRPr="00FC6B3C">
        <w:t>176A(3)(a) and (b)</w:t>
      </w:r>
      <w:r w:rsidRPr="00FC6B3C">
        <w:t xml:space="preserve"> of the </w:t>
      </w:r>
      <w:r w:rsidR="003A748A" w:rsidRPr="0029568A">
        <w:rPr>
          <w:i/>
        </w:rPr>
        <w:t>Telecommunications (Interception and Access) Act 1979</w:t>
      </w:r>
      <w:r w:rsidR="003A748A" w:rsidRPr="00FC6B3C">
        <w:t xml:space="preserve"> (the </w:t>
      </w:r>
      <w:r w:rsidR="0091158B" w:rsidRPr="00FC6B3C">
        <w:t xml:space="preserve">TIA </w:t>
      </w:r>
      <w:r w:rsidR="003A748A" w:rsidRPr="00FC6B3C">
        <w:t>Act).</w:t>
      </w:r>
    </w:p>
    <w:p w14:paraId="79100E79" w14:textId="7DE5231E" w:rsidR="00501D5F" w:rsidRDefault="00501D5F" w:rsidP="008F01EE">
      <w:pPr>
        <w:pStyle w:val="ESPara"/>
        <w:numPr>
          <w:ilvl w:val="0"/>
          <w:numId w:val="1"/>
        </w:numPr>
        <w:ind w:left="567" w:hanging="567"/>
      </w:pPr>
      <w:r w:rsidRPr="00501D5F">
        <w:t xml:space="preserve">The </w:t>
      </w:r>
      <w:r w:rsidR="0091158B">
        <w:t xml:space="preserve">TIA </w:t>
      </w:r>
      <w:r>
        <w:t>Act</w:t>
      </w:r>
      <w:r w:rsidRPr="00501D5F">
        <w:t xml:space="preserve"> protects the content of telecommunicatio</w:t>
      </w:r>
      <w:r w:rsidR="00924BBA">
        <w:t xml:space="preserve">ns and telecommunications data and </w:t>
      </w:r>
      <w:r w:rsidRPr="00501D5F">
        <w:t xml:space="preserve">creates a legal framework for intelligence and law </w:t>
      </w:r>
      <w:r w:rsidRPr="00193BFB">
        <w:t>enforcement agencies</w:t>
      </w:r>
      <w:r w:rsidRPr="00501D5F">
        <w:t xml:space="preserve"> to access information held by </w:t>
      </w:r>
      <w:r w:rsidR="00924BBA">
        <w:t>tele</w:t>
      </w:r>
      <w:r w:rsidRPr="00501D5F">
        <w:t>communications pr</w:t>
      </w:r>
      <w:r w:rsidR="00924BBA">
        <w:t>oviders for law enforcement and national security purposes</w:t>
      </w:r>
      <w:r w:rsidRPr="00501D5F">
        <w:t xml:space="preserve">. </w:t>
      </w:r>
    </w:p>
    <w:p w14:paraId="5A81271D" w14:textId="0998F405" w:rsidR="00EE6490" w:rsidRPr="00375290" w:rsidRDefault="00EE6490" w:rsidP="00375290">
      <w:pPr>
        <w:pStyle w:val="ESHeading"/>
      </w:pPr>
      <w:r>
        <w:t>Enforcement agencies</w:t>
      </w:r>
    </w:p>
    <w:p w14:paraId="4A7BB725" w14:textId="264ADA5D" w:rsidR="008D32F5" w:rsidRDefault="008D32F5" w:rsidP="00375290">
      <w:pPr>
        <w:pStyle w:val="ESPara"/>
        <w:numPr>
          <w:ilvl w:val="0"/>
          <w:numId w:val="1"/>
        </w:numPr>
        <w:ind w:left="567" w:hanging="567"/>
      </w:pPr>
      <w:r>
        <w:t xml:space="preserve">Section 176A of the </w:t>
      </w:r>
      <w:r w:rsidR="0091158B">
        <w:t xml:space="preserve">TIA </w:t>
      </w:r>
      <w:r>
        <w:t xml:space="preserve">Act </w:t>
      </w:r>
      <w:r w:rsidR="00924BBA">
        <w:t>defines</w:t>
      </w:r>
      <w:r>
        <w:t xml:space="preserve"> an enforcement agency</w:t>
      </w:r>
      <w:r w:rsidR="00924BBA">
        <w:t xml:space="preserve"> for the purposes of being able to </w:t>
      </w:r>
      <w:r>
        <w:t>access</w:t>
      </w:r>
      <w:r w:rsidR="00D87002">
        <w:t xml:space="preserve"> historic</w:t>
      </w:r>
      <w:r>
        <w:t xml:space="preserve"> te</w:t>
      </w:r>
      <w:r w:rsidR="005B123D">
        <w:t>lecommunications</w:t>
      </w:r>
      <w:r>
        <w:t xml:space="preserve"> data</w:t>
      </w:r>
      <w:r w:rsidR="00C50A75">
        <w:t xml:space="preserve"> as follows:</w:t>
      </w:r>
    </w:p>
    <w:p w14:paraId="1EDC267C" w14:textId="51654AAA" w:rsidR="00924BBA" w:rsidRDefault="00DC3181" w:rsidP="00375290">
      <w:pPr>
        <w:pStyle w:val="ESPara"/>
        <w:numPr>
          <w:ilvl w:val="1"/>
          <w:numId w:val="1"/>
        </w:numPr>
      </w:pPr>
      <w:r>
        <w:t>t</w:t>
      </w:r>
      <w:r w:rsidR="00EE6490">
        <w:t xml:space="preserve">he </w:t>
      </w:r>
      <w:r w:rsidR="00924BBA">
        <w:t>agencies that also fall under the definition of ‘criminal law-enforcement agency’ under section 110A of the</w:t>
      </w:r>
      <w:r w:rsidR="00A53B37">
        <w:t xml:space="preserve"> TIA</w:t>
      </w:r>
      <w:r w:rsidR="00924BBA">
        <w:t xml:space="preserve"> Act. These include all state and territory police agencies, the Department of Home Affairs (for limited purposes), the Australian Competition and Consumer Commission</w:t>
      </w:r>
      <w:r w:rsidR="00836CC1">
        <w:t>,</w:t>
      </w:r>
      <w:r w:rsidR="00924BBA">
        <w:t xml:space="preserve"> the Australian Securi</w:t>
      </w:r>
      <w:r w:rsidR="00EE6490">
        <w:t>ties and Investments Commission,</w:t>
      </w:r>
      <w:r w:rsidR="00836CC1">
        <w:t xml:space="preserve"> the Australian Criminal Intelligence Commission, and various integrity and corruptions Commissions,</w:t>
      </w:r>
      <w:r w:rsidR="00EE6490">
        <w:t xml:space="preserve"> and</w:t>
      </w:r>
    </w:p>
    <w:p w14:paraId="43154ACD" w14:textId="421C3A2E" w:rsidR="0091158B" w:rsidRPr="003265E6" w:rsidRDefault="00DC3181" w:rsidP="00150C03">
      <w:pPr>
        <w:pStyle w:val="ESPara"/>
        <w:numPr>
          <w:ilvl w:val="1"/>
          <w:numId w:val="1"/>
        </w:numPr>
      </w:pPr>
      <w:r w:rsidRPr="003265E6">
        <w:t>a</w:t>
      </w:r>
      <w:r w:rsidR="00EE6490" w:rsidRPr="003265E6">
        <w:t>n authority or body for which a declaration under subsection 176A(3) is in force.</w:t>
      </w:r>
    </w:p>
    <w:p w14:paraId="2BB399B8" w14:textId="4FF0BDAB" w:rsidR="00401F2F" w:rsidRPr="00401F2F" w:rsidRDefault="00401F2F" w:rsidP="003265E6">
      <w:pPr>
        <w:pStyle w:val="ESHeading"/>
        <w:rPr>
          <w:i w:val="0"/>
        </w:rPr>
      </w:pPr>
      <w:r>
        <w:t>Telecommunications data</w:t>
      </w:r>
    </w:p>
    <w:p w14:paraId="10BE4F63" w14:textId="77777777" w:rsidR="00C50A75" w:rsidRDefault="005B123D" w:rsidP="00375290">
      <w:pPr>
        <w:pStyle w:val="ESPara"/>
        <w:numPr>
          <w:ilvl w:val="0"/>
          <w:numId w:val="1"/>
        </w:numPr>
        <w:ind w:left="567" w:hanging="567"/>
      </w:pPr>
      <w:r w:rsidRPr="003B33B2">
        <w:t xml:space="preserve">Telecommunications data is information </w:t>
      </w:r>
      <w:r w:rsidRPr="00375290">
        <w:t>about</w:t>
      </w:r>
      <w:r w:rsidRPr="003B33B2">
        <w:t xml:space="preserve"> a communication – such as the phone numbers of the people that called each other, how long they talked to each</w:t>
      </w:r>
      <w:r w:rsidR="0017446F" w:rsidRPr="003B33B2">
        <w:t xml:space="preserve"> other</w:t>
      </w:r>
      <w:r w:rsidRPr="003B33B2">
        <w:t xml:space="preserve">, the email address from which a message was sent and the time the message was sent. Importantly, telecommunications data does not include the </w:t>
      </w:r>
      <w:r w:rsidRPr="00375290">
        <w:t>content</w:t>
      </w:r>
      <w:r w:rsidRPr="003B33B2">
        <w:t xml:space="preserve"> of a communication, such as the subject line of an email or the contents of an SMS.</w:t>
      </w:r>
      <w:r w:rsidR="00091453">
        <w:t xml:space="preserve"> </w:t>
      </w:r>
    </w:p>
    <w:p w14:paraId="1066C495" w14:textId="2434982A" w:rsidR="0017446F" w:rsidRDefault="00987CD0" w:rsidP="00375290">
      <w:pPr>
        <w:pStyle w:val="ESPara"/>
        <w:numPr>
          <w:ilvl w:val="0"/>
          <w:numId w:val="1"/>
        </w:numPr>
        <w:ind w:left="567" w:hanging="567"/>
      </w:pPr>
      <w:r>
        <w:t>Sections 187A and 187AA of the TIA Act require providers to retain the following telecommunications data for a period of two years</w:t>
      </w:r>
      <w:r w:rsidR="00091453">
        <w:t>:</w:t>
      </w:r>
    </w:p>
    <w:p w14:paraId="1AB6FC1F" w14:textId="77777777" w:rsidR="00091453" w:rsidRPr="00091453" w:rsidRDefault="00091453" w:rsidP="00375290">
      <w:pPr>
        <w:pStyle w:val="ESPara"/>
        <w:numPr>
          <w:ilvl w:val="1"/>
          <w:numId w:val="1"/>
        </w:numPr>
      </w:pPr>
      <w:r w:rsidRPr="00091453">
        <w:t xml:space="preserve">the subscriber of, and accounts, services, telecommunications devices and other relevant services relating to, the relevant service </w:t>
      </w:r>
    </w:p>
    <w:p w14:paraId="78F2F512" w14:textId="77777777" w:rsidR="00091453" w:rsidRPr="00091453" w:rsidRDefault="00091453" w:rsidP="00375290">
      <w:pPr>
        <w:pStyle w:val="ESPara"/>
        <w:numPr>
          <w:ilvl w:val="1"/>
          <w:numId w:val="1"/>
        </w:numPr>
      </w:pPr>
      <w:r w:rsidRPr="00091453">
        <w:t xml:space="preserve">the source of a communication </w:t>
      </w:r>
    </w:p>
    <w:p w14:paraId="1BB09C24" w14:textId="77777777" w:rsidR="00091453" w:rsidRPr="00091453" w:rsidRDefault="00091453" w:rsidP="00375290">
      <w:pPr>
        <w:pStyle w:val="ESPara"/>
        <w:numPr>
          <w:ilvl w:val="1"/>
          <w:numId w:val="1"/>
        </w:numPr>
      </w:pPr>
      <w:r w:rsidRPr="00091453">
        <w:t xml:space="preserve">the destination of a communication </w:t>
      </w:r>
    </w:p>
    <w:p w14:paraId="6162DA6E" w14:textId="77777777" w:rsidR="00091453" w:rsidRPr="00091453" w:rsidRDefault="00091453" w:rsidP="00375290">
      <w:pPr>
        <w:pStyle w:val="ESPara"/>
        <w:numPr>
          <w:ilvl w:val="1"/>
          <w:numId w:val="1"/>
        </w:numPr>
      </w:pPr>
      <w:r w:rsidRPr="00091453">
        <w:lastRenderedPageBreak/>
        <w:t xml:space="preserve">the date, time and duration of a communication, or of its connection to a relevant service </w:t>
      </w:r>
    </w:p>
    <w:p w14:paraId="2862A77F" w14:textId="77777777" w:rsidR="00091453" w:rsidRPr="00091453" w:rsidRDefault="00091453" w:rsidP="00375290">
      <w:pPr>
        <w:pStyle w:val="ESPara"/>
        <w:numPr>
          <w:ilvl w:val="1"/>
          <w:numId w:val="1"/>
        </w:numPr>
      </w:pPr>
      <w:r w:rsidRPr="00091453">
        <w:t xml:space="preserve">the type of a communication or of a relevant service used in connection with a communication, and </w:t>
      </w:r>
    </w:p>
    <w:p w14:paraId="19F27E98" w14:textId="64AF65B7" w:rsidR="003B33B2" w:rsidRPr="00375290" w:rsidRDefault="00091453" w:rsidP="00375290">
      <w:pPr>
        <w:pStyle w:val="ESPara"/>
        <w:numPr>
          <w:ilvl w:val="1"/>
          <w:numId w:val="1"/>
        </w:numPr>
      </w:pPr>
      <w:r w:rsidRPr="00091453">
        <w:t>the location of equipment, or a line, used in connection with a communication.</w:t>
      </w:r>
    </w:p>
    <w:p w14:paraId="3DFB488C" w14:textId="7E0A7CA2" w:rsidR="0017446F" w:rsidRPr="00375290" w:rsidRDefault="0017446F" w:rsidP="00375290">
      <w:pPr>
        <w:pStyle w:val="ESHeading"/>
        <w:rPr>
          <w:u w:val="single"/>
        </w:rPr>
      </w:pPr>
      <w:r w:rsidRPr="00375290">
        <w:rPr>
          <w:u w:val="single"/>
        </w:rPr>
        <w:t>Purpose</w:t>
      </w:r>
      <w:r w:rsidR="00401F2F" w:rsidRPr="00375290">
        <w:rPr>
          <w:u w:val="single"/>
        </w:rPr>
        <w:t xml:space="preserve"> of the Declaration</w:t>
      </w:r>
    </w:p>
    <w:p w14:paraId="610CDFD4" w14:textId="17AD99B6" w:rsidR="0017446F" w:rsidRPr="00375290" w:rsidRDefault="0017446F" w:rsidP="0017446F">
      <w:pPr>
        <w:pStyle w:val="ESPara"/>
        <w:numPr>
          <w:ilvl w:val="0"/>
          <w:numId w:val="1"/>
        </w:numPr>
        <w:ind w:left="567" w:hanging="567"/>
      </w:pPr>
      <w:r w:rsidRPr="002F6F49">
        <w:t>The purpose of the Declaration i</w:t>
      </w:r>
      <w:r w:rsidR="009527BA">
        <w:t xml:space="preserve">s to declare the </w:t>
      </w:r>
      <w:r w:rsidRPr="002F6F49">
        <w:t>New South Wales Depart</w:t>
      </w:r>
      <w:r w:rsidR="009527BA">
        <w:t>ment of Communities and Justice (</w:t>
      </w:r>
      <w:r w:rsidR="0091158B">
        <w:t>NSW Communities and Justice</w:t>
      </w:r>
      <w:r w:rsidR="00987CD0">
        <w:t xml:space="preserve">) </w:t>
      </w:r>
      <w:r w:rsidR="00401F2F">
        <w:t xml:space="preserve">to be </w:t>
      </w:r>
      <w:r w:rsidRPr="002F6F49">
        <w:t xml:space="preserve">an enforcement agency </w:t>
      </w:r>
      <w:r>
        <w:t xml:space="preserve">under </w:t>
      </w:r>
      <w:r w:rsidRPr="002F6F49">
        <w:t>s</w:t>
      </w:r>
      <w:r>
        <w:t>ubs</w:t>
      </w:r>
      <w:r w:rsidR="00B75355">
        <w:t>ection </w:t>
      </w:r>
      <w:r w:rsidRPr="002F6F49">
        <w:t>176A(3)</w:t>
      </w:r>
      <w:r>
        <w:t xml:space="preserve"> </w:t>
      </w:r>
      <w:r w:rsidRPr="002F6F49">
        <w:t>of the</w:t>
      </w:r>
      <w:r w:rsidR="00401F2F">
        <w:t xml:space="preserve"> TIA</w:t>
      </w:r>
      <w:r w:rsidRPr="002F6F49">
        <w:t xml:space="preserve"> Act</w:t>
      </w:r>
      <w:r>
        <w:t xml:space="preserve"> to allow </w:t>
      </w:r>
      <w:r w:rsidR="00B404EB">
        <w:t xml:space="preserve">Corrective Services NSW to </w:t>
      </w:r>
      <w:r>
        <w:t>access telecommunications data.</w:t>
      </w:r>
    </w:p>
    <w:p w14:paraId="31CB3B3F" w14:textId="73797B76" w:rsidR="0017446F" w:rsidRPr="00375290" w:rsidRDefault="0017446F" w:rsidP="00375290">
      <w:pPr>
        <w:pStyle w:val="ESHeading"/>
        <w:rPr>
          <w:u w:val="single"/>
        </w:rPr>
      </w:pPr>
      <w:r w:rsidRPr="00834869">
        <w:rPr>
          <w:u w:val="single"/>
        </w:rPr>
        <w:t xml:space="preserve">Legislative </w:t>
      </w:r>
      <w:r w:rsidR="00B404EB" w:rsidRPr="00834869">
        <w:rPr>
          <w:u w:val="single"/>
        </w:rPr>
        <w:t>s</w:t>
      </w:r>
      <w:r w:rsidRPr="00834869">
        <w:rPr>
          <w:u w:val="single"/>
        </w:rPr>
        <w:t>cheme</w:t>
      </w:r>
    </w:p>
    <w:p w14:paraId="652516DE" w14:textId="114DA44E" w:rsidR="0017446F" w:rsidRDefault="0017446F" w:rsidP="002475F4">
      <w:pPr>
        <w:pStyle w:val="ESPara"/>
        <w:numPr>
          <w:ilvl w:val="0"/>
          <w:numId w:val="1"/>
        </w:numPr>
        <w:ind w:left="567" w:hanging="567"/>
      </w:pPr>
      <w:r>
        <w:t>Subsection</w:t>
      </w:r>
      <w:r w:rsidR="00BF4B6B">
        <w:t>s</w:t>
      </w:r>
      <w:r>
        <w:t xml:space="preserve"> 178(1)</w:t>
      </w:r>
      <w:r w:rsidR="00BF4B6B">
        <w:t xml:space="preserve"> and 179(1)</w:t>
      </w:r>
      <w:r>
        <w:t xml:space="preserve"> of the </w:t>
      </w:r>
      <w:r w:rsidR="0091158B">
        <w:t xml:space="preserve">TIA </w:t>
      </w:r>
      <w:r>
        <w:t xml:space="preserve">Act provide that </w:t>
      </w:r>
      <w:r w:rsidRPr="004E7182">
        <w:t xml:space="preserve">sections 276, 277 and 278 of the </w:t>
      </w:r>
      <w:r w:rsidRPr="00217D39">
        <w:rPr>
          <w:i/>
        </w:rPr>
        <w:t>Telecommunications Act 1997</w:t>
      </w:r>
      <w:r w:rsidRPr="00375290">
        <w:t xml:space="preserve"> </w:t>
      </w:r>
      <w:r w:rsidRPr="004E7182">
        <w:t>(Telecommunicat</w:t>
      </w:r>
      <w:r>
        <w:t xml:space="preserve">ions Act) do not prevent a disclosure of telecommunications data from a service provider should an appropriate authorisation </w:t>
      </w:r>
      <w:r w:rsidR="00401F2F">
        <w:t>under subsection</w:t>
      </w:r>
      <w:r w:rsidR="009F56E1">
        <w:t>s</w:t>
      </w:r>
      <w:r w:rsidR="00401F2F">
        <w:t xml:space="preserve"> 178(2)</w:t>
      </w:r>
      <w:r w:rsidR="009F56E1">
        <w:t xml:space="preserve"> and 179(2) respectively</w:t>
      </w:r>
      <w:r w:rsidR="00401F2F">
        <w:t xml:space="preserve"> </w:t>
      </w:r>
      <w:r>
        <w:t>be in place.</w:t>
      </w:r>
    </w:p>
    <w:p w14:paraId="0ADE5FFF" w14:textId="05139D84" w:rsidR="0017446F" w:rsidRDefault="0017446F" w:rsidP="00BB7861">
      <w:pPr>
        <w:pStyle w:val="ESPara"/>
        <w:numPr>
          <w:ilvl w:val="0"/>
          <w:numId w:val="1"/>
        </w:numPr>
        <w:ind w:left="567" w:hanging="567"/>
      </w:pPr>
      <w:r>
        <w:t>Subsection</w:t>
      </w:r>
      <w:r w:rsidR="00987CD0">
        <w:t>s</w:t>
      </w:r>
      <w:r>
        <w:t xml:space="preserve"> 178(2)</w:t>
      </w:r>
      <w:r w:rsidR="00987CD0">
        <w:t xml:space="preserve"> and 179(2)</w:t>
      </w:r>
      <w:r>
        <w:t xml:space="preserve"> of the</w:t>
      </w:r>
      <w:r w:rsidR="0091158B">
        <w:t xml:space="preserve"> TIA</w:t>
      </w:r>
      <w:r w:rsidR="00987CD0">
        <w:t xml:space="preserve"> Act allow</w:t>
      </w:r>
      <w:r>
        <w:t xml:space="preserve"> for</w:t>
      </w:r>
      <w:r w:rsidRPr="004E7182">
        <w:t xml:space="preserve"> an authorised officer of an enforcement agency </w:t>
      </w:r>
      <w:r>
        <w:t xml:space="preserve">to </w:t>
      </w:r>
      <w:r w:rsidRPr="004E7182">
        <w:t xml:space="preserve">authorise the disclosure of specified </w:t>
      </w:r>
      <w:r w:rsidR="00836CC1">
        <w:t xml:space="preserve">information or </w:t>
      </w:r>
      <w:r w:rsidRPr="004E7182">
        <w:t xml:space="preserve">documents that came into existence before the time the person from whom the disclosure is sought receives notification of the authorisation. </w:t>
      </w:r>
    </w:p>
    <w:p w14:paraId="1C5E35D4" w14:textId="7F3DF470" w:rsidR="00966C2E" w:rsidRDefault="00753EAB" w:rsidP="005773C2">
      <w:pPr>
        <w:pStyle w:val="ESPara"/>
        <w:numPr>
          <w:ilvl w:val="0"/>
          <w:numId w:val="1"/>
        </w:numPr>
        <w:ind w:left="567" w:hanging="567"/>
      </w:pPr>
      <w:r>
        <w:t>Paragraphs</w:t>
      </w:r>
      <w:r w:rsidR="007E0EA6" w:rsidRPr="003D5CAD">
        <w:t xml:space="preserve"> 176A(3)(a) and (b)</w:t>
      </w:r>
      <w:r w:rsidR="007E0EA6">
        <w:t xml:space="preserve"> of the</w:t>
      </w:r>
      <w:r w:rsidR="00401F2F">
        <w:t xml:space="preserve"> TIA</w:t>
      </w:r>
      <w:r w:rsidR="007E0EA6">
        <w:t xml:space="preserve"> Act provide</w:t>
      </w:r>
      <w:r w:rsidR="007E0EA6" w:rsidRPr="003D5CAD">
        <w:t xml:space="preserve"> that the </w:t>
      </w:r>
      <w:r w:rsidR="00217D39" w:rsidRPr="00217D39">
        <w:t>Attorney-General</w:t>
      </w:r>
      <w:r w:rsidR="007E0EA6" w:rsidRPr="003D5CAD">
        <w:t xml:space="preserve"> may, by legislative instrument, declare that an authority or body is an enforcement agency, and, that persons or kinds of persons specified in a declaration are officers of the enforcement agency, for the purposes of the Act.</w:t>
      </w:r>
    </w:p>
    <w:p w14:paraId="6EDC95D9" w14:textId="22F821F5" w:rsidR="007E0EA6" w:rsidRPr="00375290" w:rsidRDefault="00966C2E" w:rsidP="003010CF">
      <w:pPr>
        <w:pStyle w:val="ESPara"/>
        <w:numPr>
          <w:ilvl w:val="0"/>
          <w:numId w:val="1"/>
        </w:numPr>
        <w:ind w:left="567" w:hanging="567"/>
      </w:pPr>
      <w:r w:rsidRPr="00375290">
        <w:t>Subsection 176A(6) of the TIA Act provides that the declaration may be subject to conditions.</w:t>
      </w:r>
    </w:p>
    <w:p w14:paraId="11381A25" w14:textId="243B7591" w:rsidR="00401F2F" w:rsidRDefault="00D06D41" w:rsidP="00375290">
      <w:pPr>
        <w:pStyle w:val="ESHeading"/>
        <w:rPr>
          <w:u w:val="single"/>
        </w:rPr>
      </w:pPr>
      <w:r>
        <w:rPr>
          <w:u w:val="single"/>
        </w:rPr>
        <w:t>Requirements</w:t>
      </w:r>
    </w:p>
    <w:p w14:paraId="40A0216C" w14:textId="22BD71CC" w:rsidR="00753EAB" w:rsidRPr="00375290" w:rsidRDefault="00753EAB" w:rsidP="00375290">
      <w:pPr>
        <w:pStyle w:val="ESPara"/>
        <w:numPr>
          <w:ilvl w:val="0"/>
          <w:numId w:val="1"/>
        </w:numPr>
        <w:ind w:left="567" w:hanging="567"/>
      </w:pPr>
      <w:r w:rsidRPr="00375290">
        <w:t>Section 176A</w:t>
      </w:r>
      <w:r w:rsidR="00987CD0" w:rsidRPr="00375290">
        <w:t xml:space="preserve"> of the TIA Act</w:t>
      </w:r>
      <w:r w:rsidRPr="00375290">
        <w:t xml:space="preserve"> sets out the considerations and requirements for the </w:t>
      </w:r>
      <w:r w:rsidR="00217D39" w:rsidRPr="00217D39">
        <w:t>Attorney</w:t>
      </w:r>
      <w:r w:rsidR="00217D39">
        <w:noBreakHyphen/>
      </w:r>
      <w:r w:rsidR="00217D39" w:rsidRPr="00217D39">
        <w:t>General</w:t>
      </w:r>
      <w:r w:rsidRPr="00375290">
        <w:t xml:space="preserve"> to make a declaration.</w:t>
      </w:r>
    </w:p>
    <w:p w14:paraId="69970D11" w14:textId="7224E47A" w:rsidR="00387087" w:rsidRPr="00753EAB" w:rsidRDefault="00753EAB" w:rsidP="00375290">
      <w:pPr>
        <w:pStyle w:val="ESHeading"/>
        <w:rPr>
          <w:i w:val="0"/>
        </w:rPr>
      </w:pPr>
      <w:r>
        <w:t xml:space="preserve">Functions of </w:t>
      </w:r>
      <w:r w:rsidR="00387087">
        <w:t>the agency</w:t>
      </w:r>
    </w:p>
    <w:p w14:paraId="0146DC5A" w14:textId="436B52D4" w:rsidR="0017446F" w:rsidRPr="00DC3181" w:rsidRDefault="00924BBA" w:rsidP="00375290">
      <w:pPr>
        <w:pStyle w:val="ESPara"/>
        <w:numPr>
          <w:ilvl w:val="0"/>
          <w:numId w:val="1"/>
        </w:numPr>
        <w:ind w:left="567" w:hanging="567"/>
      </w:pPr>
      <w:r w:rsidRPr="00DC3181">
        <w:t>U</w:t>
      </w:r>
      <w:r w:rsidR="004E7182" w:rsidRPr="00DC3181">
        <w:t xml:space="preserve">nder subsection 176A(3B) of the </w:t>
      </w:r>
      <w:r w:rsidR="0091158B" w:rsidRPr="00DC3181">
        <w:t xml:space="preserve">TIA </w:t>
      </w:r>
      <w:r w:rsidR="004E7182" w:rsidRPr="00DC3181">
        <w:t xml:space="preserve">Act, the </w:t>
      </w:r>
      <w:r w:rsidR="00217D39" w:rsidRPr="00217D39">
        <w:t>Attorney-General</w:t>
      </w:r>
      <w:r w:rsidR="004E7182" w:rsidRPr="00DC3181">
        <w:t xml:space="preserve"> must not make a make a declaration under subsection 176A(3) of the </w:t>
      </w:r>
      <w:r w:rsidR="0091158B" w:rsidRPr="00DC3181">
        <w:t xml:space="preserve">TIA </w:t>
      </w:r>
      <w:r w:rsidR="004E7182" w:rsidRPr="00DC3181">
        <w:t>Act, unless satisfied on reasonable grounds that the functions of the authority or body include:</w:t>
      </w:r>
    </w:p>
    <w:p w14:paraId="21C58E41" w14:textId="77777777" w:rsidR="004E7182" w:rsidRPr="00E97624" w:rsidRDefault="004E7182" w:rsidP="00091453">
      <w:pPr>
        <w:pStyle w:val="ListParagraph0"/>
        <w:numPr>
          <w:ilvl w:val="0"/>
          <w:numId w:val="10"/>
        </w:numPr>
        <w:spacing w:after="0" w:line="360" w:lineRule="auto"/>
        <w:jc w:val="both"/>
        <w:rPr>
          <w:rFonts w:ascii="Times New Roman" w:hAnsi="Times New Roman" w:cs="Times New Roman"/>
        </w:rPr>
      </w:pPr>
      <w:r w:rsidRPr="00E97624">
        <w:rPr>
          <w:rFonts w:ascii="Times New Roman" w:hAnsi="Times New Roman" w:cs="Times New Roman"/>
        </w:rPr>
        <w:t>enforcement of the criminal law; or</w:t>
      </w:r>
    </w:p>
    <w:p w14:paraId="32EF0538" w14:textId="77777777" w:rsidR="004E7182" w:rsidRDefault="004E7182" w:rsidP="00091453">
      <w:pPr>
        <w:pStyle w:val="ListParagraph0"/>
        <w:numPr>
          <w:ilvl w:val="0"/>
          <w:numId w:val="10"/>
        </w:numPr>
        <w:spacing w:after="0" w:line="360" w:lineRule="auto"/>
        <w:jc w:val="both"/>
        <w:rPr>
          <w:rFonts w:ascii="Times New Roman" w:hAnsi="Times New Roman" w:cs="Times New Roman"/>
        </w:rPr>
      </w:pPr>
      <w:r>
        <w:rPr>
          <w:rFonts w:ascii="Times New Roman" w:hAnsi="Times New Roman" w:cs="Times New Roman"/>
        </w:rPr>
        <w:t>administering a law imposing a pecuniary penalty; or</w:t>
      </w:r>
    </w:p>
    <w:p w14:paraId="00D86D72" w14:textId="32819988" w:rsidR="005B0A7B" w:rsidRPr="00375290" w:rsidRDefault="004E7182" w:rsidP="004A312B">
      <w:pPr>
        <w:pStyle w:val="ListParagraph0"/>
        <w:numPr>
          <w:ilvl w:val="0"/>
          <w:numId w:val="10"/>
        </w:numPr>
        <w:spacing w:after="0" w:line="360" w:lineRule="auto"/>
        <w:jc w:val="both"/>
        <w:rPr>
          <w:rFonts w:ascii="Times New Roman" w:hAnsi="Times New Roman" w:cs="Times New Roman"/>
        </w:rPr>
      </w:pPr>
      <w:r w:rsidRPr="00375290">
        <w:rPr>
          <w:rFonts w:ascii="Times New Roman" w:hAnsi="Times New Roman" w:cs="Times New Roman"/>
        </w:rPr>
        <w:t>administering a law relating to the protection of the public revenue.</w:t>
      </w:r>
    </w:p>
    <w:p w14:paraId="2965D494" w14:textId="1DED5D80" w:rsidR="0017446F" w:rsidRDefault="00C50A75" w:rsidP="00F8255E">
      <w:pPr>
        <w:pStyle w:val="ESPara"/>
        <w:numPr>
          <w:ilvl w:val="0"/>
          <w:numId w:val="1"/>
        </w:numPr>
        <w:ind w:left="567" w:hanging="567"/>
      </w:pPr>
      <w:r>
        <w:lastRenderedPageBreak/>
        <w:t xml:space="preserve">The </w:t>
      </w:r>
      <w:r w:rsidR="00217D39" w:rsidRPr="00217D39">
        <w:t>Attorney-General</w:t>
      </w:r>
      <w:r>
        <w:t xml:space="preserve"> is satisfied the </w:t>
      </w:r>
      <w:r w:rsidR="0017446F">
        <w:t xml:space="preserve">functions of </w:t>
      </w:r>
      <w:r w:rsidR="0091158B">
        <w:t xml:space="preserve">NSW Communities and Justice </w:t>
      </w:r>
      <w:r w:rsidR="0017446F">
        <w:t xml:space="preserve">include the enforcement of the criminal law. </w:t>
      </w:r>
      <w:r w:rsidR="0091158B">
        <w:t xml:space="preserve">NSW Communities and Justice </w:t>
      </w:r>
      <w:r w:rsidR="0017446F">
        <w:t xml:space="preserve">administers the </w:t>
      </w:r>
      <w:r w:rsidR="0017446F" w:rsidRPr="00F23447">
        <w:rPr>
          <w:i/>
        </w:rPr>
        <w:t>Crimes</w:t>
      </w:r>
      <w:r w:rsidR="00C1163C">
        <w:rPr>
          <w:i/>
        </w:rPr>
        <w:t> </w:t>
      </w:r>
      <w:r w:rsidR="0017446F" w:rsidRPr="00F23447">
        <w:rPr>
          <w:i/>
        </w:rPr>
        <w:t>(Administration of Sentences) Act 1999</w:t>
      </w:r>
      <w:r w:rsidR="0017446F" w:rsidRPr="00375290">
        <w:t xml:space="preserve"> </w:t>
      </w:r>
      <w:r w:rsidR="0017446F">
        <w:t>(NSW) which includes criminal penalties under Part</w:t>
      </w:r>
      <w:r w:rsidR="00B404EB">
        <w:t> </w:t>
      </w:r>
      <w:r w:rsidR="0017446F">
        <w:t>13A for offences such as the trafficking of prohibited goods and the possession of mobile phones</w:t>
      </w:r>
      <w:r w:rsidR="00401F2F">
        <w:t xml:space="preserve"> in correctional facilities</w:t>
      </w:r>
      <w:r w:rsidR="0017446F">
        <w:t xml:space="preserve">. </w:t>
      </w:r>
      <w:r w:rsidR="0091158B">
        <w:t xml:space="preserve">NSW Communities and Justice </w:t>
      </w:r>
      <w:r w:rsidR="0017446F">
        <w:t xml:space="preserve">also plays a critical role in the detection, investigation and prosecution of offences under the </w:t>
      </w:r>
      <w:r w:rsidR="0017446F" w:rsidRPr="002E5F41">
        <w:rPr>
          <w:i/>
        </w:rPr>
        <w:t>Crimes Act 1900</w:t>
      </w:r>
      <w:r w:rsidR="0017446F" w:rsidRPr="00375290">
        <w:t xml:space="preserve"> </w:t>
      </w:r>
      <w:r w:rsidR="0017446F">
        <w:t xml:space="preserve">(NSW) </w:t>
      </w:r>
      <w:r w:rsidR="003B33B2">
        <w:t xml:space="preserve">including </w:t>
      </w:r>
      <w:r w:rsidR="0017446F">
        <w:t xml:space="preserve">offences relating to escaping from lawful custody and </w:t>
      </w:r>
      <w:r w:rsidR="007C16A1">
        <w:t>threatening witnesses</w:t>
      </w:r>
      <w:r w:rsidR="007873A9">
        <w:t>,</w:t>
      </w:r>
      <w:r w:rsidR="007C16A1">
        <w:t xml:space="preserve"> as well as terrorism offences under the </w:t>
      </w:r>
      <w:r w:rsidR="007C16A1" w:rsidRPr="002E5F41">
        <w:rPr>
          <w:i/>
        </w:rPr>
        <w:t>Terrorism (High Risk Offenders) Act 2017</w:t>
      </w:r>
      <w:r w:rsidR="007C16A1">
        <w:t xml:space="preserve"> (NSW)</w:t>
      </w:r>
      <w:r w:rsidR="007C16A1" w:rsidRPr="007C16A1">
        <w:t xml:space="preserve"> and the </w:t>
      </w:r>
      <w:r w:rsidR="007C16A1" w:rsidRPr="002E5F41">
        <w:rPr>
          <w:i/>
        </w:rPr>
        <w:t>Criminal Code Act 1995</w:t>
      </w:r>
      <w:r w:rsidR="007C16A1" w:rsidRPr="00375290">
        <w:t xml:space="preserve"> </w:t>
      </w:r>
      <w:r w:rsidR="007C16A1" w:rsidRPr="007C16A1">
        <w:t>(Cth)</w:t>
      </w:r>
      <w:r w:rsidR="007C16A1">
        <w:t>.</w:t>
      </w:r>
    </w:p>
    <w:p w14:paraId="7632D3B4" w14:textId="23281932" w:rsidR="007E0EA6" w:rsidRDefault="00401F2F" w:rsidP="005C7F1A">
      <w:pPr>
        <w:pStyle w:val="ESPara"/>
        <w:numPr>
          <w:ilvl w:val="0"/>
          <w:numId w:val="1"/>
        </w:numPr>
        <w:ind w:left="567" w:hanging="567"/>
      </w:pPr>
      <w:r>
        <w:t>Paragraph</w:t>
      </w:r>
      <w:r w:rsidR="007E0EA6">
        <w:t xml:space="preserve"> 176A(4)</w:t>
      </w:r>
      <w:r>
        <w:t>(b)</w:t>
      </w:r>
      <w:r w:rsidR="00987CD0">
        <w:t xml:space="preserve"> of the TIA Act</w:t>
      </w:r>
      <w:r w:rsidR="007E0EA6">
        <w:t xml:space="preserve"> requires the </w:t>
      </w:r>
      <w:r w:rsidR="00217D39" w:rsidRPr="00217D39">
        <w:t>Attorney-General</w:t>
      </w:r>
      <w:r w:rsidR="007E0EA6">
        <w:t xml:space="preserve"> to </w:t>
      </w:r>
      <w:r w:rsidR="002115D7">
        <w:t xml:space="preserve">have regard to </w:t>
      </w:r>
      <w:r w:rsidR="007E0EA6">
        <w:t>whether h</w:t>
      </w:r>
      <w:r w:rsidR="007E0EA6" w:rsidRPr="00836BF9">
        <w:t>aving access to telecommunications data</w:t>
      </w:r>
      <w:r w:rsidR="007E0EA6">
        <w:t xml:space="preserve"> </w:t>
      </w:r>
      <w:r w:rsidR="007E0EA6" w:rsidRPr="00836BF9">
        <w:t xml:space="preserve">would be reasonably likely to assist </w:t>
      </w:r>
      <w:r w:rsidR="0091158B">
        <w:t>NSW</w:t>
      </w:r>
      <w:r w:rsidR="00C1163C">
        <w:t> </w:t>
      </w:r>
      <w:r w:rsidR="0091158B">
        <w:t>Communities and Justice</w:t>
      </w:r>
      <w:r w:rsidR="0091158B" w:rsidRPr="00836BF9">
        <w:t xml:space="preserve"> </w:t>
      </w:r>
      <w:r w:rsidR="007E0EA6" w:rsidRPr="00836BF9">
        <w:t>perform its functions of enforcing the criminal law</w:t>
      </w:r>
      <w:r w:rsidR="007E0EA6">
        <w:t>.</w:t>
      </w:r>
    </w:p>
    <w:p w14:paraId="00526D52" w14:textId="50A88599" w:rsidR="009527BA" w:rsidRDefault="00836BF9" w:rsidP="00241F15">
      <w:pPr>
        <w:pStyle w:val="ESPara"/>
        <w:numPr>
          <w:ilvl w:val="0"/>
          <w:numId w:val="1"/>
        </w:numPr>
        <w:ind w:left="567" w:hanging="567"/>
      </w:pPr>
      <w:r w:rsidRPr="00836BF9">
        <w:t xml:space="preserve">Illicit mobile telephones pose a particular threat within correctional facilities. They are used to organise escape attempts, threaten the safety of victims and witnesses, organise trafficking of contraband, </w:t>
      </w:r>
      <w:r w:rsidR="002E5F41">
        <w:t>and</w:t>
      </w:r>
      <w:r w:rsidRPr="00836BF9">
        <w:t xml:space="preserve"> facilitate behaviour contrary to national security interests.</w:t>
      </w:r>
      <w:r w:rsidR="007E0EA6">
        <w:t xml:space="preserve"> </w:t>
      </w:r>
      <w:r w:rsidR="00B75355">
        <w:t>T</w:t>
      </w:r>
      <w:r w:rsidR="007C16A1" w:rsidRPr="00836BF9">
        <w:t>elecommunications</w:t>
      </w:r>
      <w:r w:rsidR="00C1163C">
        <w:t> </w:t>
      </w:r>
      <w:r w:rsidR="007C16A1" w:rsidRPr="00836BF9">
        <w:t xml:space="preserve">data </w:t>
      </w:r>
      <w:r w:rsidR="00B75355">
        <w:t>is</w:t>
      </w:r>
      <w:r w:rsidR="007C16A1" w:rsidRPr="00836BF9">
        <w:t xml:space="preserve"> particularly vital in establishing the ownership or location of mobile phones used to commit offences</w:t>
      </w:r>
      <w:r w:rsidR="007E0EA6">
        <w:t xml:space="preserve"> within correctional facilities and therefore would assist </w:t>
      </w:r>
      <w:r w:rsidR="0091158B">
        <w:t xml:space="preserve">NSW Communities and Justice </w:t>
      </w:r>
      <w:r w:rsidR="007E0EA6">
        <w:t>in the performance of its functions.</w:t>
      </w:r>
    </w:p>
    <w:p w14:paraId="33D3122F" w14:textId="0A0C4217" w:rsidR="007F5B08" w:rsidRPr="00375290" w:rsidRDefault="007F5B08" w:rsidP="0020522A">
      <w:pPr>
        <w:pStyle w:val="ESPara"/>
        <w:numPr>
          <w:ilvl w:val="0"/>
          <w:numId w:val="1"/>
        </w:numPr>
        <w:ind w:left="567" w:hanging="567"/>
      </w:pPr>
      <w:r w:rsidRPr="00375290">
        <w:t xml:space="preserve">Acknowledging this, the </w:t>
      </w:r>
      <w:r w:rsidRPr="00C1163C">
        <w:rPr>
          <w:i/>
        </w:rPr>
        <w:t>Comprehensive Review of the Legal Framework of the National Intelligence Community</w:t>
      </w:r>
      <w:r w:rsidRPr="00375290">
        <w:t xml:space="preserve"> (Comprehensive Review) recommended that corrective services agencies have access to telecommunications data if their respective state or territory government considered it necessary.</w:t>
      </w:r>
    </w:p>
    <w:p w14:paraId="3010321A" w14:textId="13501498" w:rsidR="007C16A1" w:rsidRDefault="007E0EA6" w:rsidP="00375290">
      <w:pPr>
        <w:pStyle w:val="ESHeading"/>
      </w:pPr>
      <w:r>
        <w:t>Privacy considerations</w:t>
      </w:r>
    </w:p>
    <w:p w14:paraId="07E73622" w14:textId="24DB676E" w:rsidR="00140BF2" w:rsidRDefault="007E0EA6" w:rsidP="001D1F69">
      <w:pPr>
        <w:pStyle w:val="ESPara"/>
        <w:numPr>
          <w:ilvl w:val="0"/>
          <w:numId w:val="1"/>
        </w:numPr>
        <w:ind w:left="567" w:hanging="567"/>
      </w:pPr>
      <w:r>
        <w:t xml:space="preserve">Paragraph 176A(4)(c) </w:t>
      </w:r>
      <w:r w:rsidR="00D06D41">
        <w:t xml:space="preserve">of the </w:t>
      </w:r>
      <w:r w:rsidR="007F5B08">
        <w:t xml:space="preserve">TIA </w:t>
      </w:r>
      <w:r w:rsidR="00D06D41">
        <w:t xml:space="preserve">Act </w:t>
      </w:r>
      <w:r>
        <w:t>require</w:t>
      </w:r>
      <w:r w:rsidR="00140BF2">
        <w:t>s</w:t>
      </w:r>
      <w:r>
        <w:t xml:space="preserve"> </w:t>
      </w:r>
      <w:r w:rsidR="002115D7">
        <w:t xml:space="preserve">the </w:t>
      </w:r>
      <w:r w:rsidR="00217D39" w:rsidRPr="00217D39">
        <w:t>Attorney-General</w:t>
      </w:r>
      <w:r w:rsidR="002115D7">
        <w:t xml:space="preserve"> to have regard to </w:t>
      </w:r>
      <w:r w:rsidR="00CB2E3A">
        <w:t>protection of personal information</w:t>
      </w:r>
      <w:r w:rsidR="002115D7">
        <w:t xml:space="preserve"> by the authority or body</w:t>
      </w:r>
      <w:r>
        <w:t>.</w:t>
      </w:r>
    </w:p>
    <w:p w14:paraId="2EE00307" w14:textId="408C5461" w:rsidR="00140BF2" w:rsidRDefault="00401F2F" w:rsidP="008109D1">
      <w:pPr>
        <w:pStyle w:val="ESPara"/>
        <w:numPr>
          <w:ilvl w:val="0"/>
          <w:numId w:val="1"/>
        </w:numPr>
        <w:ind w:left="567" w:hanging="567"/>
      </w:pPr>
      <w:r>
        <w:t xml:space="preserve">Subparagraph 176A(4)(c)(i) </w:t>
      </w:r>
      <w:r w:rsidR="00987CD0">
        <w:t xml:space="preserve">of the TIA Act </w:t>
      </w:r>
      <w:r>
        <w:t xml:space="preserve">requires consideration of whether the agency is required to comply with the Australian Privacy Principles. </w:t>
      </w:r>
      <w:bookmarkStart w:id="1" w:name="_Hlk160623711"/>
      <w:r w:rsidR="00140BF2">
        <w:t>As a NSW Government entity, NSW</w:t>
      </w:r>
      <w:r w:rsidR="00C1163C">
        <w:t> </w:t>
      </w:r>
      <w:r w:rsidR="00140BF2">
        <w:t>Communities and Justice is not required to comply with the Australian Privacy Principles.</w:t>
      </w:r>
    </w:p>
    <w:p w14:paraId="3FA6F6A9" w14:textId="046CAED5" w:rsidR="009666F0" w:rsidRDefault="00140BF2" w:rsidP="00FD42B7">
      <w:pPr>
        <w:pStyle w:val="ESPara"/>
        <w:numPr>
          <w:ilvl w:val="0"/>
          <w:numId w:val="1"/>
        </w:numPr>
        <w:ind w:left="567" w:hanging="567"/>
      </w:pPr>
      <w:r>
        <w:t xml:space="preserve">However, </w:t>
      </w:r>
      <w:r w:rsidR="00401F2F">
        <w:t>NSW Communities and Justice</w:t>
      </w:r>
      <w:r>
        <w:t xml:space="preserve"> is required to comply with a binding scheme that provides</w:t>
      </w:r>
      <w:r w:rsidR="00A02B55">
        <w:t xml:space="preserve"> for the</w:t>
      </w:r>
      <w:r>
        <w:t xml:space="preserve"> protection of personal information</w:t>
      </w:r>
      <w:r w:rsidR="00A02B55">
        <w:t xml:space="preserve"> through the </w:t>
      </w:r>
      <w:r w:rsidR="00C60F7F" w:rsidRPr="00C94399">
        <w:rPr>
          <w:i/>
        </w:rPr>
        <w:t>Privacy and Personal Information Protection Act 1998</w:t>
      </w:r>
      <w:r w:rsidR="00C60F7F" w:rsidRPr="00375290">
        <w:t xml:space="preserve"> (NSW) (</w:t>
      </w:r>
      <w:r w:rsidR="009666F0" w:rsidRPr="00375290">
        <w:t>NSW Privacy</w:t>
      </w:r>
      <w:r w:rsidR="00C60F7F" w:rsidRPr="00375290">
        <w:t xml:space="preserve"> Act) and the </w:t>
      </w:r>
      <w:r w:rsidR="00C60F7F" w:rsidRPr="00C94399">
        <w:rPr>
          <w:i/>
        </w:rPr>
        <w:t>Crimes (Administration of Sentences) Act 1999</w:t>
      </w:r>
      <w:r w:rsidR="00C60F7F" w:rsidRPr="00463B2A">
        <w:t xml:space="preserve"> (NSW)</w:t>
      </w:r>
      <w:r w:rsidR="00C60F7F" w:rsidRPr="00375290">
        <w:t>.</w:t>
      </w:r>
      <w:r w:rsidR="009666F0">
        <w:t xml:space="preserve"> </w:t>
      </w:r>
    </w:p>
    <w:p w14:paraId="61247F15" w14:textId="0A2356FF" w:rsidR="009666F0" w:rsidRDefault="009666F0" w:rsidP="00375290">
      <w:pPr>
        <w:pStyle w:val="ESPara"/>
        <w:numPr>
          <w:ilvl w:val="0"/>
          <w:numId w:val="1"/>
        </w:numPr>
        <w:ind w:left="567" w:hanging="567"/>
      </w:pPr>
      <w:r w:rsidRPr="00D6314B">
        <w:t>The NSW Information Protection Principles, under the NSW Privacy Act, are broadly comparable to the Australian Privacy Principles in providing safeguards for the collection, use, disclosure and security of personal inform</w:t>
      </w:r>
      <w:bookmarkEnd w:id="1"/>
      <w:r w:rsidRPr="00D6314B">
        <w:t>ation.</w:t>
      </w:r>
      <w:r w:rsidR="006E66EA">
        <w:t xml:space="preserve"> </w:t>
      </w:r>
      <w:r w:rsidR="00D6314B" w:rsidRPr="00D6314B">
        <w:t>Although</w:t>
      </w:r>
      <w:r w:rsidRPr="00D6314B">
        <w:t xml:space="preserve"> there are differences</w:t>
      </w:r>
      <w:r w:rsidR="00064955">
        <w:t>,</w:t>
      </w:r>
      <w:r w:rsidR="00D6314B" w:rsidRPr="00D6314B">
        <w:t xml:space="preserve"> NSW</w:t>
      </w:r>
      <w:r w:rsidR="00C1163C">
        <w:t> </w:t>
      </w:r>
      <w:r w:rsidR="00D6314B" w:rsidRPr="00D6314B">
        <w:t>Communities and Just</w:t>
      </w:r>
      <w:r w:rsidR="00064955">
        <w:t>ice</w:t>
      </w:r>
      <w:r w:rsidR="00D6314B" w:rsidRPr="00D6314B">
        <w:t xml:space="preserve"> has agreed, in line with subparagraph 176A(4)(c)(iii)</w:t>
      </w:r>
      <w:r w:rsidR="00A53B37">
        <w:t xml:space="preserve"> of the TIA</w:t>
      </w:r>
      <w:r w:rsidR="00C1163C">
        <w:t> </w:t>
      </w:r>
      <w:r w:rsidR="00A53B37">
        <w:t>Act</w:t>
      </w:r>
      <w:r w:rsidR="00D6314B" w:rsidRPr="00D6314B">
        <w:t>, to a scheme that reflects the requirements outlined in subsection 176A(4A).</w:t>
      </w:r>
    </w:p>
    <w:p w14:paraId="56F31735" w14:textId="09EDF2A7" w:rsidR="009666F0" w:rsidRDefault="00D6314B" w:rsidP="002A04F8">
      <w:pPr>
        <w:pStyle w:val="ESPara"/>
        <w:numPr>
          <w:ilvl w:val="0"/>
          <w:numId w:val="1"/>
        </w:numPr>
        <w:ind w:left="567" w:hanging="567"/>
      </w:pPr>
      <w:r>
        <w:t>Firstly, t</w:t>
      </w:r>
      <w:r w:rsidR="009666F0" w:rsidRPr="009666F0">
        <w:t>h</w:t>
      </w:r>
      <w:r w:rsidR="00C60F7F" w:rsidRPr="009666F0">
        <w:t xml:space="preserve">e scope of personal information under </w:t>
      </w:r>
      <w:r w:rsidR="009666F0" w:rsidRPr="009666F0">
        <w:t>the NSW Privacy Act is limited and does not explicitly include t</w:t>
      </w:r>
      <w:r w:rsidR="00305C8E" w:rsidRPr="009666F0">
        <w:t>elecommunications data</w:t>
      </w:r>
      <w:r w:rsidR="00401F2F" w:rsidRPr="009666F0">
        <w:t xml:space="preserve">. </w:t>
      </w:r>
      <w:r>
        <w:t xml:space="preserve">This has been addressed as </w:t>
      </w:r>
      <w:r w:rsidRPr="009666F0">
        <w:t xml:space="preserve">NSW Communities and </w:t>
      </w:r>
      <w:r w:rsidRPr="009666F0">
        <w:lastRenderedPageBreak/>
        <w:t>Justice</w:t>
      </w:r>
      <w:r>
        <w:t>, through its Privacy Impact Assessment,</w:t>
      </w:r>
      <w:r w:rsidRPr="009666F0">
        <w:t xml:space="preserve"> has accepted that telecommunications data is personal information and has undertaken to treat it as such under all relevant legislation.</w:t>
      </w:r>
    </w:p>
    <w:p w14:paraId="71CB340D" w14:textId="002BEFA1" w:rsidR="00A02B55" w:rsidRDefault="00D6314B" w:rsidP="00E36FE1">
      <w:pPr>
        <w:pStyle w:val="ESPara"/>
        <w:numPr>
          <w:ilvl w:val="0"/>
          <w:numId w:val="1"/>
        </w:numPr>
        <w:ind w:left="567" w:hanging="567"/>
      </w:pPr>
      <w:r>
        <w:t>Secondly</w:t>
      </w:r>
      <w:r w:rsidR="007E0EA6">
        <w:t>, t</w:t>
      </w:r>
      <w:r w:rsidR="00305C8E">
        <w:t>elecommunications data obtained through the use of a journalist information warrant would not be personal information under the NSW Privacy Act and w</w:t>
      </w:r>
      <w:r w:rsidR="00B75355">
        <w:t>ould not be protected by the NSW Information Protection Principle</w:t>
      </w:r>
      <w:r w:rsidR="00E46A1D">
        <w:t>s. However, a</w:t>
      </w:r>
      <w:r w:rsidR="00305C8E">
        <w:t xml:space="preserve">s </w:t>
      </w:r>
      <w:r w:rsidR="00A53B37">
        <w:t>it is not necessary for NSW</w:t>
      </w:r>
      <w:r w:rsidR="00C1163C">
        <w:t> </w:t>
      </w:r>
      <w:r w:rsidR="00A53B37">
        <w:t>Communities and Justice to seek journalist information warrants in order to address illicit mobile telephone use in correctional facilities</w:t>
      </w:r>
      <w:r w:rsidR="00305C8E">
        <w:t>,</w:t>
      </w:r>
      <w:r w:rsidR="00B75355">
        <w:t xml:space="preserve"> </w:t>
      </w:r>
      <w:r w:rsidR="00305C8E">
        <w:t>doing so is explicitly prevented by</w:t>
      </w:r>
      <w:r w:rsidR="00C1163C">
        <w:t xml:space="preserve"> </w:t>
      </w:r>
      <w:r w:rsidR="00125472">
        <w:t>paragraph </w:t>
      </w:r>
      <w:r w:rsidR="00C1163C">
        <w:t>4(1)(b) of</w:t>
      </w:r>
      <w:r w:rsidR="00305C8E">
        <w:t xml:space="preserve"> the Declaration.</w:t>
      </w:r>
    </w:p>
    <w:p w14:paraId="55938F9C" w14:textId="52025F23" w:rsidR="00217D39" w:rsidRDefault="00217D39" w:rsidP="00741C6E">
      <w:pPr>
        <w:pStyle w:val="ESPara"/>
        <w:numPr>
          <w:ilvl w:val="0"/>
          <w:numId w:val="1"/>
        </w:numPr>
        <w:ind w:left="567" w:hanging="567"/>
      </w:pPr>
      <w:r>
        <w:t>T</w:t>
      </w:r>
      <w:r w:rsidR="0058666A" w:rsidRPr="0058666A">
        <w:t xml:space="preserve">he </w:t>
      </w:r>
      <w:r w:rsidRPr="00C1163C">
        <w:rPr>
          <w:i/>
        </w:rPr>
        <w:t>Privacy and Personal Information Protection Amendment Act 2022</w:t>
      </w:r>
      <w:r w:rsidRPr="00217D39">
        <w:t xml:space="preserve"> (NSW)</w:t>
      </w:r>
      <w:r w:rsidR="00C1163C">
        <w:t xml:space="preserve"> (PIPP Act)</w:t>
      </w:r>
      <w:r w:rsidRPr="00217D39">
        <w:t xml:space="preserve"> </w:t>
      </w:r>
      <w:r>
        <w:t>amend</w:t>
      </w:r>
      <w:r w:rsidR="00B404EB">
        <w:t>ed</w:t>
      </w:r>
      <w:r>
        <w:t xml:space="preserve"> the NSW Privacy Act to </w:t>
      </w:r>
      <w:r w:rsidR="0058666A" w:rsidRPr="0058666A">
        <w:t xml:space="preserve">create a Mandatory Notification of Data Breaches Scheme </w:t>
      </w:r>
      <w:r w:rsidR="00C1163C">
        <w:t>to</w:t>
      </w:r>
      <w:r w:rsidR="0058666A" w:rsidRPr="0058666A">
        <w:t xml:space="preserve"> require public sector agencies bound by the PPIP Act to notify the Privacy Commissioner and affected individuals of data breaches involving personal or health information likely to result in serious harm. </w:t>
      </w:r>
      <w:r>
        <w:t>A</w:t>
      </w:r>
      <w:r w:rsidRPr="00217D39">
        <w:t xml:space="preserve">gencies also have to </w:t>
      </w:r>
      <w:r>
        <w:t>make r</w:t>
      </w:r>
      <w:r w:rsidRPr="00217D39">
        <w:t>easonable attempts to mitigate the harm done by a data breach, maintain an internal data breach incident register, and have a publicly accessible data breach policy</w:t>
      </w:r>
      <w:r>
        <w:t xml:space="preserve">. </w:t>
      </w:r>
      <w:r w:rsidR="0058666A" w:rsidRPr="0058666A">
        <w:t>The</w:t>
      </w:r>
      <w:r w:rsidR="00B25D3C">
        <w:t>se</w:t>
      </w:r>
      <w:r w:rsidR="0058666A" w:rsidRPr="0058666A">
        <w:t xml:space="preserve"> changes </w:t>
      </w:r>
      <w:r w:rsidR="00B25D3C">
        <w:t>came</w:t>
      </w:r>
      <w:r w:rsidR="0058666A" w:rsidRPr="0058666A">
        <w:t xml:space="preserve"> into effect on 2</w:t>
      </w:r>
      <w:r w:rsidR="00B25D3C">
        <w:t>8</w:t>
      </w:r>
      <w:r w:rsidR="0058666A" w:rsidRPr="0058666A">
        <w:t xml:space="preserve"> November 2023</w:t>
      </w:r>
      <w:r>
        <w:t xml:space="preserve">. </w:t>
      </w:r>
    </w:p>
    <w:p w14:paraId="2B3F8C88" w14:textId="598D5B4F" w:rsidR="00D6314B" w:rsidRDefault="00B25D3C" w:rsidP="00741C6E">
      <w:pPr>
        <w:pStyle w:val="ESPara"/>
        <w:numPr>
          <w:ilvl w:val="0"/>
          <w:numId w:val="1"/>
        </w:numPr>
        <w:ind w:left="567" w:hanging="567"/>
      </w:pPr>
      <w:r>
        <w:t>A</w:t>
      </w:r>
      <w:r w:rsidR="00217D39" w:rsidRPr="009666F0">
        <w:t>s set out in its Privacy Management Plan</w:t>
      </w:r>
      <w:r w:rsidR="00217D39">
        <w:t>,</w:t>
      </w:r>
      <w:r w:rsidR="00217D39" w:rsidRPr="009666F0">
        <w:t xml:space="preserve"> </w:t>
      </w:r>
      <w:r w:rsidR="00217D39">
        <w:t xml:space="preserve">all areas of NSW Communities and Justice </w:t>
      </w:r>
      <w:r w:rsidR="00217D39" w:rsidRPr="009666F0">
        <w:t>must report all data breaches or allegations of a breach to the Open Government, Information and Privacy Unit</w:t>
      </w:r>
      <w:r w:rsidR="00C1163C">
        <w:t>, which determines</w:t>
      </w:r>
      <w:r w:rsidR="00217D39" w:rsidRPr="009666F0">
        <w:t xml:space="preserve"> whether </w:t>
      </w:r>
      <w:r w:rsidR="00C1163C">
        <w:t xml:space="preserve">a </w:t>
      </w:r>
      <w:r w:rsidR="00217D39" w:rsidRPr="009666F0">
        <w:t>breach</w:t>
      </w:r>
      <w:r w:rsidR="00C1163C">
        <w:t xml:space="preserve"> </w:t>
      </w:r>
      <w:r w:rsidR="00217D39" w:rsidRPr="009666F0">
        <w:t>should be reported to the Privacy</w:t>
      </w:r>
      <w:r w:rsidR="00C1163C">
        <w:t> </w:t>
      </w:r>
      <w:r w:rsidR="00217D39" w:rsidRPr="009666F0">
        <w:t>Commissioner.</w:t>
      </w:r>
      <w:r w:rsidR="00217D39">
        <w:t xml:space="preserve"> </w:t>
      </w:r>
    </w:p>
    <w:p w14:paraId="24DB87F1" w14:textId="111A1C13" w:rsidR="00B03584" w:rsidRDefault="00D6314B" w:rsidP="002A4597">
      <w:pPr>
        <w:pStyle w:val="ESPara"/>
        <w:numPr>
          <w:ilvl w:val="0"/>
          <w:numId w:val="1"/>
        </w:numPr>
        <w:ind w:left="567" w:hanging="567"/>
      </w:pPr>
      <w:r w:rsidRPr="00B03584">
        <w:t>As</w:t>
      </w:r>
      <w:r w:rsidR="003558D2" w:rsidRPr="00B03584">
        <w:t xml:space="preserve"> a law enforcement agency for the purposes of the NSW Privacy Act, </w:t>
      </w:r>
      <w:bookmarkStart w:id="2" w:name="_Hlk163656573"/>
      <w:r w:rsidR="003558D2" w:rsidRPr="00B03584">
        <w:t>NSW Communities and Justice is exempt from a number of the NSW Information Protection Principles</w:t>
      </w:r>
      <w:bookmarkEnd w:id="2"/>
      <w:r w:rsidR="005423F4" w:rsidRPr="00B03584">
        <w:t xml:space="preserve">. Further, NSW Communities and Justice </w:t>
      </w:r>
      <w:r w:rsidR="00401F2F" w:rsidRPr="00B03584">
        <w:t>is not required to, and does not, comply with other of the Principles</w:t>
      </w:r>
      <w:r w:rsidR="002577FE" w:rsidRPr="00B03584">
        <w:t xml:space="preserve"> due to the nature of its role and the information it will be collecting</w:t>
      </w:r>
      <w:r w:rsidR="00401F2F" w:rsidRPr="00B03584">
        <w:t>. Howeve</w:t>
      </w:r>
      <w:r w:rsidR="009E123A" w:rsidRPr="00B03584">
        <w:t>r, these exemptions or areas of non-compliance are commensurate with exemptions under the Australian Privacy Prin</w:t>
      </w:r>
      <w:r w:rsidR="00A02B55" w:rsidRPr="00B03584">
        <w:t>ciples for enforcement agencies</w:t>
      </w:r>
      <w:r w:rsidR="009E123A" w:rsidRPr="00B03584">
        <w:t>.</w:t>
      </w:r>
    </w:p>
    <w:p w14:paraId="0CB6953A" w14:textId="0CEAFFDB" w:rsidR="00123B57" w:rsidRPr="00375290" w:rsidRDefault="00140BF2" w:rsidP="00D479B7">
      <w:pPr>
        <w:pStyle w:val="ESPara"/>
        <w:numPr>
          <w:ilvl w:val="0"/>
          <w:numId w:val="1"/>
        </w:numPr>
        <w:ind w:left="567" w:hanging="567"/>
      </w:pPr>
      <w:r w:rsidRPr="00375290">
        <w:t>For the purposes of paragraph</w:t>
      </w:r>
      <w:r w:rsidR="00532C93" w:rsidRPr="00375290">
        <w:t xml:space="preserve"> 176A(4A)(b) </w:t>
      </w:r>
      <w:r w:rsidR="00432AD0" w:rsidRPr="00375290">
        <w:t xml:space="preserve">of the </w:t>
      </w:r>
      <w:r w:rsidR="007F5B08" w:rsidRPr="00375290">
        <w:t xml:space="preserve">TIA </w:t>
      </w:r>
      <w:r w:rsidR="00432AD0" w:rsidRPr="00375290">
        <w:t xml:space="preserve">Act, </w:t>
      </w:r>
      <w:r w:rsidRPr="00375290">
        <w:t xml:space="preserve">NSW Communities and Justice will </w:t>
      </w:r>
      <w:bookmarkStart w:id="3" w:name="_Hlk163656591"/>
      <w:r w:rsidRPr="00375290">
        <w:t>voluntarily report on the collection and use of telecommunications data to the NSW</w:t>
      </w:r>
      <w:r w:rsidR="00C1163C">
        <w:t> </w:t>
      </w:r>
      <w:r w:rsidRPr="00375290">
        <w:t>Privacy Commissioner and the NSW Minister for Corrections.</w:t>
      </w:r>
      <w:r w:rsidR="00123B57" w:rsidRPr="00375290">
        <w:t xml:space="preserve"> This is in addition to the oversight of the use of telecommunications data by the Commonwealth Ombudsman as set out in Chapter 4A of the TIA Act</w:t>
      </w:r>
      <w:bookmarkEnd w:id="3"/>
      <w:r w:rsidR="00123B57" w:rsidRPr="00375290">
        <w:t>.</w:t>
      </w:r>
    </w:p>
    <w:p w14:paraId="70F96B5E" w14:textId="23A42A35" w:rsidR="00532C93" w:rsidRDefault="00123B57" w:rsidP="00994DE9">
      <w:pPr>
        <w:pStyle w:val="ESPara"/>
        <w:numPr>
          <w:ilvl w:val="0"/>
          <w:numId w:val="1"/>
        </w:numPr>
        <w:ind w:left="567" w:hanging="567"/>
      </w:pPr>
      <w:r w:rsidRPr="003558D2">
        <w:t xml:space="preserve">For the </w:t>
      </w:r>
      <w:r w:rsidR="00E80371">
        <w:t>purposes of paragraph 176A(4A)(c</w:t>
      </w:r>
      <w:r w:rsidRPr="003558D2">
        <w:t>) of the TIA Act, sections 45 and 53 of the NSW</w:t>
      </w:r>
      <w:r w:rsidR="00C1163C">
        <w:t> </w:t>
      </w:r>
      <w:r w:rsidRPr="003558D2">
        <w:t xml:space="preserve">Privacy Act provide a mechanism for an individual </w:t>
      </w:r>
      <w:r w:rsidR="00E80371">
        <w:t>to</w:t>
      </w:r>
      <w:r w:rsidRPr="003558D2">
        <w:t xml:space="preserve"> make a complaint to the NSW Privacy Commissioner about an alleged breach of privacy by a public sector agency or may seek internal review by the agency. </w:t>
      </w:r>
      <w:r w:rsidR="00B03584">
        <w:t>T</w:t>
      </w:r>
      <w:r w:rsidR="003558D2" w:rsidRPr="003558D2">
        <w:t xml:space="preserve">his process is overseen by the </w:t>
      </w:r>
      <w:r w:rsidR="00532C93" w:rsidRPr="003558D2">
        <w:t>NSW Civil and Administrative Appeals Tribunal.</w:t>
      </w:r>
    </w:p>
    <w:p w14:paraId="170F516B" w14:textId="4FCD5AD8" w:rsidR="00140BF2" w:rsidRPr="00140BF2" w:rsidRDefault="00140BF2" w:rsidP="00375290">
      <w:pPr>
        <w:pStyle w:val="ESHeading"/>
        <w:rPr>
          <w:i w:val="0"/>
        </w:rPr>
      </w:pPr>
      <w:r>
        <w:t>Compliance with TIA Act obligations</w:t>
      </w:r>
    </w:p>
    <w:p w14:paraId="3EE2A42A" w14:textId="0FA9F939" w:rsidR="0041586B" w:rsidRDefault="0041586B" w:rsidP="002A4D2C">
      <w:pPr>
        <w:pStyle w:val="ESPara"/>
        <w:numPr>
          <w:ilvl w:val="0"/>
          <w:numId w:val="1"/>
        </w:numPr>
        <w:ind w:left="567" w:hanging="567"/>
      </w:pPr>
      <w:r>
        <w:t xml:space="preserve">Paragraph 176A(4)(d) </w:t>
      </w:r>
      <w:r w:rsidR="00D06D41">
        <w:t>of the</w:t>
      </w:r>
      <w:r w:rsidR="007F5B08">
        <w:t xml:space="preserve"> TIA</w:t>
      </w:r>
      <w:r w:rsidR="00D06D41">
        <w:t xml:space="preserve"> Act </w:t>
      </w:r>
      <w:r>
        <w:t xml:space="preserve">requires </w:t>
      </w:r>
      <w:r w:rsidR="002115D7">
        <w:t xml:space="preserve">the </w:t>
      </w:r>
      <w:r w:rsidR="00217D39" w:rsidRPr="00217D39">
        <w:t>Attorney-General</w:t>
      </w:r>
      <w:r w:rsidR="002115D7">
        <w:t xml:space="preserve"> to have regard to</w:t>
      </w:r>
      <w:r w:rsidR="002115D7" w:rsidDel="002115D7">
        <w:t xml:space="preserve"> </w:t>
      </w:r>
      <w:r>
        <w:t xml:space="preserve">whether </w:t>
      </w:r>
      <w:r w:rsidR="00E80371">
        <w:t>NSW Communities and Justice</w:t>
      </w:r>
      <w:r w:rsidR="009527BA">
        <w:t xml:space="preserve"> </w:t>
      </w:r>
      <w:r>
        <w:t>proposes to</w:t>
      </w:r>
      <w:r w:rsidR="007E0EA6">
        <w:t xml:space="preserve"> adopt processes and </w:t>
      </w:r>
      <w:r>
        <w:t xml:space="preserve">practices to ensure </w:t>
      </w:r>
      <w:r w:rsidR="007E0EA6">
        <w:t xml:space="preserve">it </w:t>
      </w:r>
      <w:r>
        <w:t>complies with</w:t>
      </w:r>
      <w:r w:rsidR="007F5B08">
        <w:t xml:space="preserve"> its obligations under Chapter </w:t>
      </w:r>
      <w:r w:rsidR="007E0EA6">
        <w:t xml:space="preserve">4 of the </w:t>
      </w:r>
      <w:r w:rsidR="007F5B08">
        <w:t xml:space="preserve">TIA </w:t>
      </w:r>
      <w:r w:rsidR="007E0EA6">
        <w:t>Act.</w:t>
      </w:r>
    </w:p>
    <w:p w14:paraId="0246DA95" w14:textId="77777777" w:rsidR="00D40551" w:rsidRDefault="00B03584" w:rsidP="00533B2A">
      <w:pPr>
        <w:pStyle w:val="ESPara"/>
        <w:keepNext/>
        <w:keepLines/>
        <w:numPr>
          <w:ilvl w:val="0"/>
          <w:numId w:val="1"/>
        </w:numPr>
        <w:ind w:left="567" w:hanging="567"/>
      </w:pPr>
      <w:r>
        <w:lastRenderedPageBreak/>
        <w:t>To meet its obligations</w:t>
      </w:r>
      <w:r w:rsidR="00B16D8D">
        <w:t xml:space="preserve">, </w:t>
      </w:r>
      <w:r w:rsidR="0091158B">
        <w:t>NSW Communities and Justice</w:t>
      </w:r>
      <w:r w:rsidR="006F0187">
        <w:t xml:space="preserve"> has</w:t>
      </w:r>
      <w:r w:rsidR="00D40551">
        <w:t>:</w:t>
      </w:r>
    </w:p>
    <w:p w14:paraId="58863B38" w14:textId="7849A86F" w:rsidR="00B16D8D" w:rsidRPr="00B16D8D" w:rsidRDefault="00B16D8D" w:rsidP="00533B2A">
      <w:pPr>
        <w:pStyle w:val="ESPara"/>
        <w:keepNext/>
        <w:keepLines/>
        <w:numPr>
          <w:ilvl w:val="0"/>
          <w:numId w:val="13"/>
        </w:numPr>
        <w:ind w:left="1276" w:hanging="425"/>
      </w:pPr>
      <w:r w:rsidRPr="00B16D8D">
        <w:t>a purpose</w:t>
      </w:r>
      <w:r w:rsidRPr="00B16D8D">
        <w:noBreakHyphen/>
      </w:r>
      <w:r w:rsidR="00D40551">
        <w:t>built</w:t>
      </w:r>
      <w:r w:rsidRPr="00B16D8D">
        <w:t xml:space="preserve"> electronic data storage system for intelligence-related and other protected and sensitive information, accessible only by authorised staff and which keeps </w:t>
      </w:r>
      <w:r w:rsidR="00D06D41" w:rsidRPr="00B16D8D">
        <w:t>sufficient</w:t>
      </w:r>
      <w:r w:rsidR="001D345B" w:rsidRPr="00B16D8D">
        <w:t xml:space="preserve"> records </w:t>
      </w:r>
      <w:r w:rsidRPr="00B16D8D">
        <w:t>for oversight purposes</w:t>
      </w:r>
    </w:p>
    <w:p w14:paraId="5A590541" w14:textId="5BC18A13" w:rsidR="00B16D8D" w:rsidRDefault="00B16D8D" w:rsidP="00375290">
      <w:pPr>
        <w:pStyle w:val="ESSubparaList"/>
        <w:numPr>
          <w:ilvl w:val="0"/>
          <w:numId w:val="13"/>
        </w:numPr>
        <w:ind w:left="1276" w:hanging="425"/>
      </w:pPr>
      <w:r w:rsidRPr="00B16D8D">
        <w:t>a cl</w:t>
      </w:r>
      <w:r>
        <w:t>e</w:t>
      </w:r>
      <w:r w:rsidRPr="00B16D8D">
        <w:t>ar hierarchy of approval before consent is given to make</w:t>
      </w:r>
      <w:r w:rsidR="006F0187">
        <w:t xml:space="preserve"> an authorisation under the TIA </w:t>
      </w:r>
      <w:r w:rsidRPr="00B16D8D">
        <w:t>Act</w:t>
      </w:r>
    </w:p>
    <w:p w14:paraId="224C08E7" w14:textId="787A8A16" w:rsidR="00B16D8D" w:rsidRPr="00B16D8D" w:rsidRDefault="00B16D8D" w:rsidP="00375290">
      <w:pPr>
        <w:pStyle w:val="ESSubparaList"/>
        <w:numPr>
          <w:ilvl w:val="0"/>
          <w:numId w:val="13"/>
        </w:numPr>
        <w:ind w:left="1276" w:hanging="425"/>
      </w:pPr>
      <w:r w:rsidRPr="00B16D8D">
        <w:t>clearly defined processes to record authorisation requests, outcomes, a</w:t>
      </w:r>
      <w:r>
        <w:t>nd use of information obtained, and</w:t>
      </w:r>
    </w:p>
    <w:p w14:paraId="1E07A622" w14:textId="2438F300" w:rsidR="00140BF2" w:rsidRPr="00375290" w:rsidRDefault="00B16D8D" w:rsidP="004E7279">
      <w:pPr>
        <w:pStyle w:val="ESSubparaList"/>
        <w:numPr>
          <w:ilvl w:val="0"/>
          <w:numId w:val="13"/>
        </w:numPr>
        <w:ind w:left="1276" w:hanging="425"/>
      </w:pPr>
      <w:r w:rsidRPr="00375290">
        <w:t>training on data retention laws, including authorised officer considerations.</w:t>
      </w:r>
    </w:p>
    <w:p w14:paraId="666925EB" w14:textId="695627FE" w:rsidR="00140BF2" w:rsidRDefault="0091158B" w:rsidP="00375290">
      <w:pPr>
        <w:pStyle w:val="ESPara"/>
        <w:numPr>
          <w:ilvl w:val="0"/>
          <w:numId w:val="1"/>
        </w:numPr>
        <w:ind w:left="567" w:hanging="567"/>
      </w:pPr>
      <w:r w:rsidRPr="00375290">
        <w:t xml:space="preserve">NSW Communities and Justice </w:t>
      </w:r>
      <w:r w:rsidR="00B16D8D" w:rsidRPr="00375290">
        <w:t xml:space="preserve">systems will </w:t>
      </w:r>
      <w:r w:rsidR="00183D33">
        <w:t>continue</w:t>
      </w:r>
      <w:r w:rsidR="00B16D8D" w:rsidRPr="00375290">
        <w:t xml:space="preserve"> </w:t>
      </w:r>
      <w:r w:rsidR="00D06D41" w:rsidRPr="00375290">
        <w:t>to report</w:t>
      </w:r>
      <w:r w:rsidR="00AB15C8" w:rsidRPr="00375290">
        <w:t xml:space="preserve"> </w:t>
      </w:r>
      <w:r w:rsidR="00D06D41" w:rsidRPr="00375290">
        <w:t xml:space="preserve">on its use of telecommunications data to </w:t>
      </w:r>
      <w:r w:rsidR="00B03584" w:rsidRPr="00375290">
        <w:t xml:space="preserve">the Commonwealth </w:t>
      </w:r>
      <w:r w:rsidR="00D40551">
        <w:t>Attorney-General</w:t>
      </w:r>
      <w:r w:rsidR="00B03584" w:rsidRPr="00375290">
        <w:t xml:space="preserve">, </w:t>
      </w:r>
      <w:r w:rsidR="00AB15C8" w:rsidRPr="00375290">
        <w:t>the N</w:t>
      </w:r>
      <w:r w:rsidR="00D06D41" w:rsidRPr="00375290">
        <w:t>SW Attorney</w:t>
      </w:r>
      <w:r w:rsidR="00C1163C">
        <w:t> </w:t>
      </w:r>
      <w:r w:rsidR="0041586B" w:rsidRPr="00375290">
        <w:t xml:space="preserve">General, the </w:t>
      </w:r>
      <w:r w:rsidR="00AB15C8" w:rsidRPr="00375290">
        <w:t xml:space="preserve">NSW </w:t>
      </w:r>
      <w:r w:rsidR="0041586B" w:rsidRPr="00375290">
        <w:t>Minister for Corrections</w:t>
      </w:r>
      <w:r w:rsidR="00132E9B" w:rsidRPr="00375290">
        <w:t>, the Office of the Commonwealth Ombudsman</w:t>
      </w:r>
      <w:r w:rsidR="00E32D89">
        <w:t xml:space="preserve"> (OCO)</w:t>
      </w:r>
      <w:r w:rsidR="0041586B" w:rsidRPr="00375290">
        <w:t xml:space="preserve"> and the NSW Privacy Commissioner</w:t>
      </w:r>
      <w:r w:rsidR="00C1163C">
        <w:t>,</w:t>
      </w:r>
      <w:r w:rsidR="00D06D41" w:rsidRPr="00375290">
        <w:t xml:space="preserve"> as required by the TIA Act and NSW legislation.</w:t>
      </w:r>
    </w:p>
    <w:p w14:paraId="2028678B" w14:textId="3D260BBB" w:rsidR="00E32D89" w:rsidRDefault="00E32D89" w:rsidP="00E32D89">
      <w:pPr>
        <w:pStyle w:val="ESPara"/>
        <w:numPr>
          <w:ilvl w:val="0"/>
          <w:numId w:val="1"/>
        </w:numPr>
        <w:ind w:left="567" w:hanging="567"/>
      </w:pPr>
      <w:r>
        <w:t>Further, the OCO has</w:t>
      </w:r>
      <w:r w:rsidRPr="00B8572C">
        <w:t xml:space="preserve"> assess</w:t>
      </w:r>
      <w:r>
        <w:t>ed NSW Department of Communities and Justice’s systems, policies and processes to ensure Corrective Services NSW can appropriately deal with and protect telecommunications data as required by the TIA Act.</w:t>
      </w:r>
    </w:p>
    <w:p w14:paraId="05174BF9" w14:textId="34A3340F" w:rsidR="00E32D89" w:rsidRPr="00375290" w:rsidRDefault="00E32D89" w:rsidP="00E32D89">
      <w:pPr>
        <w:pStyle w:val="ESPara"/>
        <w:numPr>
          <w:ilvl w:val="0"/>
          <w:numId w:val="1"/>
        </w:numPr>
        <w:ind w:left="567" w:hanging="567"/>
      </w:pPr>
      <w:r>
        <w:t>As set out in the OCO’s annual report on inspections during 202</w:t>
      </w:r>
      <w:r w:rsidR="00531699">
        <w:t>2–</w:t>
      </w:r>
      <w:r>
        <w:t>2</w:t>
      </w:r>
      <w:r w:rsidR="00531699">
        <w:t>3</w:t>
      </w:r>
      <w:r>
        <w:t xml:space="preserve">, NSW Department of Communities and Justice’s framework for using telecommunications data contained appropriate detail to support use of the powers. NSW Department of Communities and Justice was also </w:t>
      </w:r>
      <w:r w:rsidR="00531699">
        <w:t>assessed as having a ‘maturing’ to ‘mature’ compliance culture with respect to using telecommunications data powers</w:t>
      </w:r>
      <w:r>
        <w:t>.</w:t>
      </w:r>
    </w:p>
    <w:p w14:paraId="71858F5F" w14:textId="5D1C4EE3" w:rsidR="006F0187" w:rsidRPr="00140BF2" w:rsidRDefault="00140BF2" w:rsidP="00375290">
      <w:pPr>
        <w:pStyle w:val="ESHeading"/>
        <w:rPr>
          <w:i w:val="0"/>
        </w:rPr>
      </w:pPr>
      <w:r>
        <w:t>Public interest</w:t>
      </w:r>
    </w:p>
    <w:p w14:paraId="4AD2D439" w14:textId="3A1C2C56" w:rsidR="00B16D8D" w:rsidRPr="00375290" w:rsidRDefault="00121532" w:rsidP="00375290">
      <w:pPr>
        <w:pStyle w:val="ESPara"/>
        <w:numPr>
          <w:ilvl w:val="0"/>
          <w:numId w:val="1"/>
        </w:numPr>
        <w:ind w:left="567" w:hanging="567"/>
      </w:pPr>
      <w:r>
        <w:t xml:space="preserve">Paragraph 176A(4)(e) of the TIA Act requires </w:t>
      </w:r>
      <w:r w:rsidR="002115D7">
        <w:t xml:space="preserve">the </w:t>
      </w:r>
      <w:r w:rsidR="00217D39" w:rsidRPr="00217D39">
        <w:t>Attorney-General</w:t>
      </w:r>
      <w:r w:rsidR="002115D7">
        <w:t xml:space="preserve"> to have regard to</w:t>
      </w:r>
      <w:r w:rsidR="009C28DF">
        <w:t xml:space="preserve"> whether the declaration would be in the public interest. </w:t>
      </w:r>
      <w:r w:rsidR="00B16D8D">
        <w:t xml:space="preserve">The </w:t>
      </w:r>
      <w:r w:rsidR="00B03584">
        <w:t>importance</w:t>
      </w:r>
      <w:r w:rsidR="00B16D8D">
        <w:t xml:space="preserve"> of telecommunications data to the functions of NSW Commun</w:t>
      </w:r>
      <w:r w:rsidR="00B03584">
        <w:t>ities and Justice, the crucial</w:t>
      </w:r>
      <w:r w:rsidR="00B16D8D">
        <w:t xml:space="preserve"> role that NSW Communities and Justice plays in enforcing the criminal law and protecting public safety and the privacy and other protections that NSW Communities and Justice has in place mean that providing NSW</w:t>
      </w:r>
      <w:r w:rsidR="00125472">
        <w:t> </w:t>
      </w:r>
      <w:r w:rsidR="00B16D8D">
        <w:t>Communities and Justice access to telecommunications data is in the public interest.</w:t>
      </w:r>
    </w:p>
    <w:p w14:paraId="376D6E7C" w14:textId="77777777" w:rsidR="003872DC" w:rsidRPr="009C14B9" w:rsidRDefault="003872DC" w:rsidP="00375290">
      <w:pPr>
        <w:pStyle w:val="ESHeading"/>
        <w:rPr>
          <w:u w:val="single"/>
        </w:rPr>
      </w:pPr>
      <w:r w:rsidRPr="009C14B9">
        <w:rPr>
          <w:u w:val="single"/>
        </w:rPr>
        <w:t>Consultation</w:t>
      </w:r>
    </w:p>
    <w:p w14:paraId="7C346E8C" w14:textId="68D23607" w:rsidR="003872DC" w:rsidRPr="00375290" w:rsidRDefault="003872DC" w:rsidP="00375290">
      <w:pPr>
        <w:pStyle w:val="ESPara"/>
        <w:numPr>
          <w:ilvl w:val="0"/>
          <w:numId w:val="1"/>
        </w:numPr>
        <w:ind w:left="567" w:hanging="567"/>
      </w:pPr>
      <w:r w:rsidRPr="00375290">
        <w:t xml:space="preserve">The Office of </w:t>
      </w:r>
      <w:r w:rsidR="00297D3A">
        <w:t>Impact Analysis</w:t>
      </w:r>
      <w:r w:rsidRPr="00375290">
        <w:t xml:space="preserve"> (the </w:t>
      </w:r>
      <w:r w:rsidR="00297D3A">
        <w:t>OIA</w:t>
      </w:r>
      <w:r w:rsidRPr="00375290">
        <w:t xml:space="preserve">) has advised that a Regulation Impact Statement </w:t>
      </w:r>
      <w:r w:rsidR="00067D86" w:rsidRPr="00375290">
        <w:t>is not required</w:t>
      </w:r>
      <w:r w:rsidRPr="00375290">
        <w:t>. The O</w:t>
      </w:r>
      <w:r w:rsidR="00FD6DEA">
        <w:t>IA</w:t>
      </w:r>
      <w:r w:rsidRPr="00375290">
        <w:t xml:space="preserve"> consultation reference number is </w:t>
      </w:r>
      <w:r w:rsidR="00791F9A" w:rsidRPr="00791F9A">
        <w:rPr>
          <w:b/>
        </w:rPr>
        <w:t>OBPR23-03901</w:t>
      </w:r>
      <w:r w:rsidR="00791F9A">
        <w:t>.</w:t>
      </w:r>
    </w:p>
    <w:p w14:paraId="0281F975" w14:textId="06BEA48C" w:rsidR="003872DC" w:rsidRPr="00375290" w:rsidRDefault="00C92759" w:rsidP="00375290">
      <w:pPr>
        <w:pStyle w:val="ESPara"/>
        <w:numPr>
          <w:ilvl w:val="0"/>
          <w:numId w:val="1"/>
        </w:numPr>
        <w:ind w:left="567" w:hanging="567"/>
      </w:pPr>
      <w:r w:rsidRPr="00375290">
        <w:t>T</w:t>
      </w:r>
      <w:r w:rsidR="003872DC" w:rsidRPr="00375290">
        <w:t xml:space="preserve">he Declaration is an instrument subject to disallowance </w:t>
      </w:r>
      <w:r w:rsidRPr="00375290">
        <w:t xml:space="preserve">under section 42 of the </w:t>
      </w:r>
      <w:r w:rsidRPr="00125472">
        <w:rPr>
          <w:i/>
        </w:rPr>
        <w:t>Legislation</w:t>
      </w:r>
      <w:r w:rsidR="00125472" w:rsidRPr="00125472">
        <w:rPr>
          <w:i/>
        </w:rPr>
        <w:t> </w:t>
      </w:r>
      <w:r w:rsidRPr="00125472">
        <w:rPr>
          <w:i/>
        </w:rPr>
        <w:t>Act 2003</w:t>
      </w:r>
      <w:r w:rsidRPr="00375290">
        <w:t xml:space="preserve"> </w:t>
      </w:r>
      <w:r w:rsidR="003872DC" w:rsidRPr="00375290">
        <w:t xml:space="preserve">and therefore a Statement of Compatibility with Human Rights has been provided at </w:t>
      </w:r>
      <w:r w:rsidR="003872DC" w:rsidRPr="00375290">
        <w:rPr>
          <w:b/>
          <w:u w:val="single"/>
        </w:rPr>
        <w:t xml:space="preserve">Attachment </w:t>
      </w:r>
      <w:r w:rsidR="003F3B01" w:rsidRPr="00375290">
        <w:rPr>
          <w:b/>
          <w:u w:val="single"/>
        </w:rPr>
        <w:t>A</w:t>
      </w:r>
      <w:r w:rsidR="003872DC" w:rsidRPr="00375290">
        <w:t>.</w:t>
      </w:r>
    </w:p>
    <w:p w14:paraId="30B2F24A" w14:textId="6290C3F9" w:rsidR="001713C8" w:rsidRPr="00375290" w:rsidRDefault="00B16D8D" w:rsidP="00375290">
      <w:pPr>
        <w:pStyle w:val="ESPara"/>
        <w:numPr>
          <w:ilvl w:val="0"/>
          <w:numId w:val="1"/>
        </w:numPr>
        <w:ind w:left="567" w:hanging="567"/>
      </w:pPr>
      <w:r w:rsidRPr="00375290">
        <w:t xml:space="preserve">The </w:t>
      </w:r>
      <w:r w:rsidR="00297D3A">
        <w:t>Attorney-General’s Department</w:t>
      </w:r>
      <w:r w:rsidRPr="00375290">
        <w:t xml:space="preserve"> consulted closely with NSW Communities</w:t>
      </w:r>
      <w:r w:rsidR="003872DC" w:rsidRPr="00375290">
        <w:t xml:space="preserve"> </w:t>
      </w:r>
      <w:r w:rsidR="00DC3181" w:rsidRPr="00375290">
        <w:t xml:space="preserve">and </w:t>
      </w:r>
      <w:r w:rsidR="003872DC" w:rsidRPr="00375290">
        <w:t>Justice</w:t>
      </w:r>
      <w:r w:rsidRPr="00375290">
        <w:t>, the Office of the Australian Information Commissioner and the Office of the Commonwealth Ombudsman on this Declaration.</w:t>
      </w:r>
    </w:p>
    <w:p w14:paraId="04F9066E" w14:textId="33D0ADE2" w:rsidR="002F6F49" w:rsidRDefault="00582A29" w:rsidP="00375290">
      <w:pPr>
        <w:pStyle w:val="ESHeading"/>
      </w:pPr>
      <w:r>
        <w:rPr>
          <w:u w:val="single"/>
        </w:rPr>
        <w:lastRenderedPageBreak/>
        <w:t>D</w:t>
      </w:r>
      <w:r w:rsidR="00FE3FCB">
        <w:rPr>
          <w:u w:val="single"/>
        </w:rPr>
        <w:t xml:space="preserve">etails of the </w:t>
      </w:r>
      <w:r w:rsidR="00FE3FCB" w:rsidRPr="00FE3FCB">
        <w:rPr>
          <w:u w:val="single"/>
        </w:rPr>
        <w:t>Telecommunications (Interception and Access) (Enforcement Agency – NSW Department of Communities and Justice) Declaration 202</w:t>
      </w:r>
      <w:r w:rsidR="009D63DA">
        <w:rPr>
          <w:u w:val="single"/>
        </w:rPr>
        <w:t>4</w:t>
      </w:r>
    </w:p>
    <w:p w14:paraId="5AF850C9" w14:textId="3DEC6137" w:rsidR="00A12704" w:rsidRDefault="00664984" w:rsidP="00497C22">
      <w:pPr>
        <w:pStyle w:val="ESPara"/>
        <w:numPr>
          <w:ilvl w:val="0"/>
          <w:numId w:val="1"/>
        </w:numPr>
        <w:ind w:left="567" w:hanging="567"/>
      </w:pPr>
      <w:r>
        <w:t xml:space="preserve">The </w:t>
      </w:r>
      <w:r w:rsidR="00217D39" w:rsidRPr="00217D39">
        <w:t>Attorney-General</w:t>
      </w:r>
      <w:r>
        <w:t>’s Declaration</w:t>
      </w:r>
      <w:r w:rsidR="00E63364">
        <w:t xml:space="preserve"> is made</w:t>
      </w:r>
      <w:r>
        <w:t xml:space="preserve"> u</w:t>
      </w:r>
      <w:r w:rsidR="00201160">
        <w:t xml:space="preserve">nder the authority of </w:t>
      </w:r>
      <w:r w:rsidR="00433AD0">
        <w:t>paragraphs</w:t>
      </w:r>
      <w:r w:rsidR="00E63364">
        <w:t xml:space="preserve"> 176A(3)</w:t>
      </w:r>
      <w:r w:rsidR="00957083">
        <w:t xml:space="preserve">(a) and (b) </w:t>
      </w:r>
      <w:r w:rsidR="00E63364">
        <w:t xml:space="preserve">of the </w:t>
      </w:r>
      <w:r w:rsidR="0091158B">
        <w:t xml:space="preserve">TIA </w:t>
      </w:r>
      <w:r w:rsidR="00E63364">
        <w:t xml:space="preserve">Act. </w:t>
      </w:r>
    </w:p>
    <w:p w14:paraId="76A6DC9C" w14:textId="748F5198" w:rsidR="00CD7F92" w:rsidRDefault="00CD7F92" w:rsidP="00375290">
      <w:pPr>
        <w:pStyle w:val="ESPara"/>
        <w:numPr>
          <w:ilvl w:val="0"/>
          <w:numId w:val="1"/>
        </w:numPr>
        <w:ind w:left="567" w:hanging="567"/>
      </w:pPr>
      <w:r>
        <w:t xml:space="preserve">Section 1 </w:t>
      </w:r>
      <w:r w:rsidR="00624CBF">
        <w:t>sets out the name of the Declaration</w:t>
      </w:r>
      <w:r w:rsidR="00A12704">
        <w:t xml:space="preserve">. </w:t>
      </w:r>
      <w:r>
        <w:t xml:space="preserve">   </w:t>
      </w:r>
    </w:p>
    <w:p w14:paraId="761266DF" w14:textId="55F608B7" w:rsidR="00A12704" w:rsidRPr="00375290" w:rsidRDefault="00CD7F92" w:rsidP="00375290">
      <w:pPr>
        <w:pStyle w:val="ESPara"/>
        <w:numPr>
          <w:ilvl w:val="0"/>
          <w:numId w:val="1"/>
        </w:numPr>
        <w:ind w:left="567" w:hanging="567"/>
      </w:pPr>
      <w:r>
        <w:t>Section 2 provides</w:t>
      </w:r>
      <w:r w:rsidR="00A12704">
        <w:t xml:space="preserve"> for the commencement of the </w:t>
      </w:r>
      <w:r w:rsidR="00624CBF">
        <w:t>Declaration</w:t>
      </w:r>
      <w:r w:rsidR="009D63DA">
        <w:t>, being</w:t>
      </w:r>
      <w:r w:rsidR="00A12704">
        <w:t xml:space="preserve"> </w:t>
      </w:r>
      <w:r w:rsidRPr="00AF1611">
        <w:t xml:space="preserve">the day after </w:t>
      </w:r>
      <w:r>
        <w:t>registration</w:t>
      </w:r>
      <w:r w:rsidR="009D63DA">
        <w:t xml:space="preserve"> on the Federal Register of Legislation</w:t>
      </w:r>
      <w:r w:rsidRPr="00AF1611">
        <w:t>.</w:t>
      </w:r>
      <w:r w:rsidR="00A12704">
        <w:t xml:space="preserve">  </w:t>
      </w:r>
    </w:p>
    <w:p w14:paraId="13F778F0" w14:textId="30A93877" w:rsidR="00A12704" w:rsidRDefault="00A12704" w:rsidP="00102A64">
      <w:pPr>
        <w:pStyle w:val="ESPara"/>
        <w:numPr>
          <w:ilvl w:val="0"/>
          <w:numId w:val="1"/>
        </w:numPr>
        <w:ind w:left="567" w:hanging="567"/>
      </w:pPr>
      <w:r w:rsidRPr="00375290">
        <w:t>The note following section 2 refers to paragraph 176A(10)(b) of the TIA Act which provides that the declaration will cease to be in force at the end of the period of 40 sitting days of a House of the Parliament after the Declaration comes into force.</w:t>
      </w:r>
      <w:r w:rsidR="009623E0" w:rsidRPr="00375290">
        <w:t xml:space="preserve"> This reflects the temporary nature of these declarations.</w:t>
      </w:r>
    </w:p>
    <w:p w14:paraId="75933CB4" w14:textId="112D73BA" w:rsidR="00A12704" w:rsidRDefault="00A12704" w:rsidP="00FC1441">
      <w:pPr>
        <w:pStyle w:val="ESPara"/>
        <w:numPr>
          <w:ilvl w:val="0"/>
          <w:numId w:val="1"/>
        </w:numPr>
        <w:ind w:left="567" w:hanging="567"/>
      </w:pPr>
      <w:r>
        <w:t>In s</w:t>
      </w:r>
      <w:r w:rsidR="002615E3">
        <w:t>ubsection 3</w:t>
      </w:r>
      <w:r>
        <w:t xml:space="preserve">(1) of the </w:t>
      </w:r>
      <w:r w:rsidR="00624CBF">
        <w:t>Declaration</w:t>
      </w:r>
      <w:r w:rsidR="009623E0">
        <w:t>,</w:t>
      </w:r>
      <w:r>
        <w:t xml:space="preserve"> the </w:t>
      </w:r>
      <w:r w:rsidR="00217D39" w:rsidRPr="00217D39">
        <w:t>Attorney-General</w:t>
      </w:r>
      <w:r>
        <w:t xml:space="preserve"> declares </w:t>
      </w:r>
      <w:r w:rsidR="002615E3">
        <w:t>NSW Communities and Justice</w:t>
      </w:r>
      <w:r>
        <w:t xml:space="preserve"> to be an enforcement agency </w:t>
      </w:r>
      <w:r w:rsidR="003D31CF">
        <w:t>under</w:t>
      </w:r>
      <w:r>
        <w:t xml:space="preserve"> paragraph </w:t>
      </w:r>
      <w:r w:rsidR="002615E3">
        <w:t>176A(3)(a) of the TIA Act.</w:t>
      </w:r>
      <w:r>
        <w:t xml:space="preserve"> </w:t>
      </w:r>
    </w:p>
    <w:p w14:paraId="2C04F213" w14:textId="52EA16FD" w:rsidR="009623E0" w:rsidRDefault="002615E3" w:rsidP="00741005">
      <w:pPr>
        <w:pStyle w:val="ESPara"/>
        <w:numPr>
          <w:ilvl w:val="0"/>
          <w:numId w:val="1"/>
        </w:numPr>
        <w:ind w:left="567" w:hanging="567"/>
      </w:pPr>
      <w:r>
        <w:t>In subsection 3</w:t>
      </w:r>
      <w:r w:rsidR="00A12704">
        <w:t xml:space="preserve">(2) of the </w:t>
      </w:r>
      <w:r w:rsidR="00624CBF">
        <w:t>Declaration</w:t>
      </w:r>
      <w:r w:rsidR="00433AD0">
        <w:t>,</w:t>
      </w:r>
      <w:r w:rsidR="00A12704">
        <w:t xml:space="preserve"> the </w:t>
      </w:r>
      <w:r w:rsidR="00217D39" w:rsidRPr="00217D39">
        <w:t>Attorney-General</w:t>
      </w:r>
      <w:r w:rsidR="00A12704">
        <w:t xml:space="preserve"> declares each staff member </w:t>
      </w:r>
      <w:r w:rsidR="00803132" w:rsidRPr="00803132">
        <w:t>of that part of New South Wales Department of Communities and Justice known as Corrective</w:t>
      </w:r>
      <w:r w:rsidR="00125472">
        <w:t> </w:t>
      </w:r>
      <w:r w:rsidR="00803132" w:rsidRPr="00803132">
        <w:t xml:space="preserve">Services NSW to be officers of New South Wales Department of Communities and Justice for the purposes of the </w:t>
      </w:r>
      <w:r w:rsidR="00803132">
        <w:t xml:space="preserve">TIA </w:t>
      </w:r>
      <w:r w:rsidR="00803132" w:rsidRPr="00803132">
        <w:t>Act</w:t>
      </w:r>
      <w:r>
        <w:t>.</w:t>
      </w:r>
    </w:p>
    <w:p w14:paraId="6206E327" w14:textId="10C4EA8A" w:rsidR="002615E3" w:rsidRDefault="002615E3" w:rsidP="00F6376A">
      <w:pPr>
        <w:pStyle w:val="ESPara"/>
        <w:numPr>
          <w:ilvl w:val="0"/>
          <w:numId w:val="1"/>
        </w:numPr>
        <w:ind w:left="567" w:hanging="567"/>
      </w:pPr>
      <w:r>
        <w:t>The declaration</w:t>
      </w:r>
      <w:r w:rsidR="00217C07">
        <w:t xml:space="preserve"> in section 3</w:t>
      </w:r>
      <w:r>
        <w:t xml:space="preserve"> is subject to </w:t>
      </w:r>
      <w:r w:rsidR="00143CB8">
        <w:t xml:space="preserve">two </w:t>
      </w:r>
      <w:r>
        <w:t>conditions which are set out in section 4 of the instrument.</w:t>
      </w:r>
    </w:p>
    <w:p w14:paraId="53EC3E20" w14:textId="24A67E09" w:rsidR="002615E3" w:rsidRDefault="002615E3" w:rsidP="00FA419A">
      <w:pPr>
        <w:pStyle w:val="ESPara"/>
        <w:numPr>
          <w:ilvl w:val="0"/>
          <w:numId w:val="1"/>
        </w:numPr>
        <w:ind w:left="567" w:hanging="567"/>
      </w:pPr>
      <w:r>
        <w:t xml:space="preserve">Subsection 176A(6) of the TIA Act provides that the declaration of an enforcement agency may be subject </w:t>
      </w:r>
      <w:r w:rsidR="00237D77">
        <w:t>to conditions</w:t>
      </w:r>
      <w:r>
        <w:t>. Subsection 176A(7) of the TIA Act provides that a condition may provide that the authority or body is not to exercise a power conferred on an enforcement agency by or under a spe</w:t>
      </w:r>
      <w:r w:rsidR="00433AD0">
        <w:t xml:space="preserve">cified provision in Chapter 4. </w:t>
      </w:r>
      <w:r>
        <w:t xml:space="preserve">The authority or body is taken not to be an enforcement agency for the purposes of that provision.   </w:t>
      </w:r>
    </w:p>
    <w:p w14:paraId="295A0DAE" w14:textId="199C3974" w:rsidR="002D3A3A" w:rsidRDefault="002615E3" w:rsidP="0095784D">
      <w:pPr>
        <w:pStyle w:val="ESPara"/>
        <w:numPr>
          <w:ilvl w:val="0"/>
          <w:numId w:val="1"/>
        </w:numPr>
        <w:ind w:left="567" w:hanging="567"/>
      </w:pPr>
      <w:r>
        <w:t>P</w:t>
      </w:r>
      <w:r w:rsidR="008A5C05">
        <w:t>aragraph 4(1)(a</w:t>
      </w:r>
      <w:r>
        <w:t xml:space="preserve">) of the </w:t>
      </w:r>
      <w:r w:rsidR="00624CBF">
        <w:t>Declaration</w:t>
      </w:r>
      <w:r>
        <w:t xml:space="preserve"> provides that the declaration</w:t>
      </w:r>
      <w:r w:rsidR="00143CB8">
        <w:t xml:space="preserve"> is </w:t>
      </w:r>
      <w:r>
        <w:t xml:space="preserve">only in relation to that part of </w:t>
      </w:r>
      <w:r w:rsidR="00DC3181">
        <w:t>NSW</w:t>
      </w:r>
      <w:r>
        <w:t xml:space="preserve"> Communities and Justice that is known as Corrective Services NSW. </w:t>
      </w:r>
      <w:r w:rsidR="009623E0">
        <w:t xml:space="preserve">No other part of NSW Communities and Justice will be able to access telecommunications data. </w:t>
      </w:r>
      <w:r w:rsidR="00624CBF">
        <w:t xml:space="preserve">This </w:t>
      </w:r>
      <w:r w:rsidR="009623E0">
        <w:t xml:space="preserve">approach to the declaration </w:t>
      </w:r>
      <w:r w:rsidR="00624CBF">
        <w:t>is needed because Corrective Services NSW is not a</w:t>
      </w:r>
      <w:r w:rsidR="009623E0">
        <w:t xml:space="preserve"> standalone</w:t>
      </w:r>
      <w:r w:rsidR="00624CBF">
        <w:t xml:space="preserve"> authority or body in its own right, as </w:t>
      </w:r>
      <w:r w:rsidR="006A64E5">
        <w:t>contemplated</w:t>
      </w:r>
      <w:r w:rsidR="00624CBF">
        <w:t xml:space="preserve"> by section 176A of the TIA Act.</w:t>
      </w:r>
      <w:r>
        <w:t xml:space="preserve"> </w:t>
      </w:r>
    </w:p>
    <w:p w14:paraId="6D93F1D6" w14:textId="2329FE19" w:rsidR="00315875" w:rsidRDefault="00054AA2" w:rsidP="00393A19">
      <w:pPr>
        <w:pStyle w:val="ESPara"/>
        <w:numPr>
          <w:ilvl w:val="0"/>
          <w:numId w:val="1"/>
        </w:numPr>
        <w:ind w:left="567" w:hanging="567"/>
      </w:pPr>
      <w:r>
        <w:t>Paragraph 4(1)(b</w:t>
      </w:r>
      <w:r w:rsidR="00217C07">
        <w:t xml:space="preserve">) of the </w:t>
      </w:r>
      <w:r w:rsidR="00624CBF">
        <w:t>Declaration</w:t>
      </w:r>
      <w:r w:rsidR="00217C07">
        <w:t xml:space="preserve"> provides that </w:t>
      </w:r>
      <w:r w:rsidR="00DC3181">
        <w:t>NSW</w:t>
      </w:r>
      <w:r w:rsidR="00217C07">
        <w:t xml:space="preserve"> Communities and Justice is not to exercise the power under section 180Q of the TIA Ac</w:t>
      </w:r>
      <w:r w:rsidR="00433AD0">
        <w:t>t</w:t>
      </w:r>
      <w:r w:rsidR="00624CBF">
        <w:t xml:space="preserve"> (that is, </w:t>
      </w:r>
      <w:r w:rsidR="00B85170">
        <w:t>apply for</w:t>
      </w:r>
      <w:r w:rsidR="00624CBF">
        <w:t xml:space="preserve"> journalist information warrants)</w:t>
      </w:r>
      <w:r w:rsidR="00433AD0">
        <w:t xml:space="preserve">. </w:t>
      </w:r>
      <w:r w:rsidR="00217C07">
        <w:t>The note following paragraph 4(1)(</w:t>
      </w:r>
      <w:r>
        <w:t>b</w:t>
      </w:r>
      <w:r w:rsidR="00217C07">
        <w:t xml:space="preserve">) </w:t>
      </w:r>
      <w:r w:rsidR="009623E0">
        <w:t xml:space="preserve">clarifies </w:t>
      </w:r>
      <w:r w:rsidR="00217C07">
        <w:t>th</w:t>
      </w:r>
      <w:r w:rsidR="00DC3181">
        <w:t>at NSW</w:t>
      </w:r>
      <w:r w:rsidR="00217C07">
        <w:t xml:space="preserve"> Communities and Justice is taken not to be an enforcement agency for the purposes of section 180Q of the TIA Act.   </w:t>
      </w:r>
    </w:p>
    <w:p w14:paraId="6D5AF7B2" w14:textId="3AEC0207" w:rsidR="001D345B" w:rsidRPr="00B85170" w:rsidRDefault="00DC3181" w:rsidP="00375290">
      <w:pPr>
        <w:pStyle w:val="ESPara"/>
        <w:numPr>
          <w:ilvl w:val="0"/>
          <w:numId w:val="1"/>
        </w:numPr>
        <w:ind w:left="567" w:hanging="567"/>
      </w:pPr>
      <w:r w:rsidRPr="00B85170">
        <w:t>NSW</w:t>
      </w:r>
      <w:r w:rsidR="00217C07" w:rsidRPr="00B85170">
        <w:t xml:space="preserve"> C</w:t>
      </w:r>
      <w:r w:rsidR="00B85170" w:rsidRPr="00B85170">
        <w:t>ommunities and Justice has not been provided the ability to</w:t>
      </w:r>
      <w:r w:rsidR="00217C07" w:rsidRPr="00B85170">
        <w:t xml:space="preserve"> exercise the power under section 180Q of the TIA Act because telecommunications data obtained through the use of a journalist information warrant may not be protected by the NSW Info</w:t>
      </w:r>
      <w:r w:rsidR="0060115F" w:rsidRPr="00B85170">
        <w:t xml:space="preserve">rmation Protection Principles. </w:t>
      </w:r>
      <w:r w:rsidR="00217C07" w:rsidRPr="00B85170">
        <w:t>N</w:t>
      </w:r>
      <w:r w:rsidRPr="00B85170">
        <w:t xml:space="preserve">SW </w:t>
      </w:r>
      <w:r w:rsidR="00217C07" w:rsidRPr="00B85170">
        <w:t xml:space="preserve">Communities and Justice has agreed </w:t>
      </w:r>
      <w:r w:rsidR="0060115F" w:rsidRPr="00B85170">
        <w:t xml:space="preserve">that access to this information is not necessary for the performance of its functions and has agreed </w:t>
      </w:r>
      <w:r w:rsidR="00217C07" w:rsidRPr="00B85170">
        <w:t>to this condition</w:t>
      </w:r>
      <w:r w:rsidR="0060115F" w:rsidRPr="00B85170">
        <w:t>.</w:t>
      </w:r>
    </w:p>
    <w:p w14:paraId="54BB9576" w14:textId="75533EB4" w:rsidR="00043279" w:rsidRDefault="00375290" w:rsidP="009623E0">
      <w:pPr>
        <w:pageBreakBefore/>
        <w:jc w:val="right"/>
        <w:rPr>
          <w:rFonts w:ascii="Times New Roman" w:hAnsi="Times New Roman" w:cs="Times New Roman"/>
          <w:b/>
          <w:szCs w:val="24"/>
          <w:u w:val="single"/>
        </w:rPr>
      </w:pPr>
      <w:r>
        <w:rPr>
          <w:rFonts w:ascii="Times New Roman" w:hAnsi="Times New Roman" w:cs="Times New Roman"/>
          <w:b/>
          <w:szCs w:val="24"/>
          <w:u w:val="single"/>
        </w:rPr>
        <w:lastRenderedPageBreak/>
        <w:t>Attachment</w:t>
      </w:r>
      <w:r w:rsidR="00043279">
        <w:rPr>
          <w:rFonts w:ascii="Times New Roman" w:hAnsi="Times New Roman" w:cs="Times New Roman"/>
          <w:b/>
          <w:szCs w:val="24"/>
          <w:u w:val="single"/>
        </w:rPr>
        <w:t xml:space="preserve"> A</w:t>
      </w:r>
    </w:p>
    <w:p w14:paraId="038EB6D5" w14:textId="177A3CE5" w:rsidR="00040C35" w:rsidRDefault="00040C35" w:rsidP="00E97624">
      <w:pPr>
        <w:spacing w:after="0" w:line="360" w:lineRule="auto"/>
        <w:jc w:val="both"/>
        <w:rPr>
          <w:rFonts w:ascii="Times New Roman" w:hAnsi="Times New Roman" w:cs="Times New Roman"/>
        </w:rPr>
      </w:pPr>
    </w:p>
    <w:p w14:paraId="687FB7A4" w14:textId="478AEAF7" w:rsidR="00D76FB8" w:rsidRDefault="00D76FB8" w:rsidP="00E97624">
      <w:pPr>
        <w:spacing w:after="0" w:line="360" w:lineRule="auto"/>
        <w:jc w:val="center"/>
        <w:rPr>
          <w:rFonts w:ascii="Times New Roman" w:hAnsi="Times New Roman" w:cs="Times New Roman"/>
          <w:b/>
        </w:rPr>
      </w:pPr>
      <w:r>
        <w:rPr>
          <w:rFonts w:ascii="Times New Roman" w:hAnsi="Times New Roman" w:cs="Times New Roman"/>
          <w:b/>
        </w:rPr>
        <w:t>Statement of Compatibility with Human Rights</w:t>
      </w:r>
    </w:p>
    <w:p w14:paraId="53D5EFAC" w14:textId="1E06B6B1" w:rsidR="00D76FB8" w:rsidRPr="00E97624" w:rsidRDefault="00D76FB8" w:rsidP="00E97624">
      <w:pPr>
        <w:spacing w:after="0" w:line="360" w:lineRule="auto"/>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14:paraId="75489776" w14:textId="7BCEFB65" w:rsidR="00FE3FCB" w:rsidRPr="00FE3FCB" w:rsidRDefault="00FE3FCB" w:rsidP="00FE3FCB">
      <w:pPr>
        <w:tabs>
          <w:tab w:val="left" w:pos="567"/>
        </w:tabs>
        <w:spacing w:before="360" w:after="0" w:line="360" w:lineRule="auto"/>
        <w:jc w:val="center"/>
        <w:rPr>
          <w:rFonts w:ascii="Times New Roman" w:hAnsi="Times New Roman" w:cs="Times New Roman"/>
          <w:b/>
          <w:i/>
        </w:rPr>
      </w:pPr>
      <w:r w:rsidRPr="00FE3FCB">
        <w:rPr>
          <w:rFonts w:ascii="Times New Roman" w:hAnsi="Times New Roman" w:cs="Times New Roman"/>
          <w:b/>
          <w:i/>
        </w:rPr>
        <w:t>Telecommunications (Interception and Access) (Enforcement Agency – NSW Department of Communities and Justice) Declaration 202</w:t>
      </w:r>
      <w:r w:rsidR="004378E5">
        <w:rPr>
          <w:rFonts w:ascii="Times New Roman" w:hAnsi="Times New Roman" w:cs="Times New Roman"/>
          <w:b/>
          <w:i/>
        </w:rPr>
        <w:t>4</w:t>
      </w:r>
    </w:p>
    <w:p w14:paraId="75A42E0C" w14:textId="6979A4A1" w:rsidR="005D3BBA" w:rsidRDefault="003A2331" w:rsidP="00AA6E22">
      <w:pPr>
        <w:tabs>
          <w:tab w:val="left" w:pos="567"/>
        </w:tabs>
        <w:spacing w:before="360" w:after="0" w:line="276" w:lineRule="auto"/>
        <w:rPr>
          <w:rFonts w:ascii="Times New Roman" w:hAnsi="Times New Roman" w:cs="Times New Roman"/>
          <w:i/>
          <w:szCs w:val="24"/>
        </w:rPr>
      </w:pPr>
      <w:r>
        <w:rPr>
          <w:rFonts w:ascii="Times New Roman" w:hAnsi="Times New Roman" w:cs="Times New Roman"/>
        </w:rPr>
        <w:t xml:space="preserve">The </w:t>
      </w:r>
      <w:r w:rsidR="00FE3FCB" w:rsidRPr="006D0C2F">
        <w:rPr>
          <w:rFonts w:ascii="Times New Roman" w:hAnsi="Times New Roman" w:cs="Times New Roman"/>
          <w:i/>
        </w:rPr>
        <w:t>Telecommunications (Interception and Access) (</w:t>
      </w:r>
      <w:r w:rsidR="00FE3FCB" w:rsidRPr="00FC6B3C">
        <w:rPr>
          <w:rFonts w:ascii="Times New Roman" w:hAnsi="Times New Roman" w:cs="Times New Roman"/>
          <w:i/>
        </w:rPr>
        <w:t>Enforcement Agency – NSW Department of Communities and Justice</w:t>
      </w:r>
      <w:r w:rsidR="00FE3FCB">
        <w:rPr>
          <w:rFonts w:ascii="Times New Roman" w:hAnsi="Times New Roman" w:cs="Times New Roman"/>
          <w:i/>
        </w:rPr>
        <w:t>) Declaration 202</w:t>
      </w:r>
      <w:r w:rsidR="004378E5">
        <w:rPr>
          <w:rFonts w:ascii="Times New Roman" w:hAnsi="Times New Roman" w:cs="Times New Roman"/>
          <w:i/>
        </w:rPr>
        <w:t>4</w:t>
      </w:r>
      <w:r>
        <w:rPr>
          <w:rFonts w:ascii="Times New Roman" w:hAnsi="Times New Roman" w:cs="Times New Roman"/>
        </w:rPr>
        <w:t xml:space="preserve"> (the Declaration) </w:t>
      </w:r>
      <w:r w:rsidR="002F6C34">
        <w:rPr>
          <w:rFonts w:ascii="Times New Roman" w:hAnsi="Times New Roman" w:cs="Times New Roman"/>
          <w:szCs w:val="24"/>
        </w:rPr>
        <w:t xml:space="preserve">is compatible with the human rights and freedoms recognised or declared in the international instruments listed in section 3 of the </w:t>
      </w:r>
      <w:r w:rsidR="002F6C34">
        <w:rPr>
          <w:rFonts w:ascii="Times New Roman" w:hAnsi="Times New Roman" w:cs="Times New Roman"/>
          <w:i/>
          <w:szCs w:val="24"/>
        </w:rPr>
        <w:t>Human</w:t>
      </w:r>
      <w:r w:rsidR="005D540E">
        <w:rPr>
          <w:rFonts w:ascii="Times New Roman" w:hAnsi="Times New Roman" w:cs="Times New Roman"/>
          <w:i/>
          <w:szCs w:val="24"/>
        </w:rPr>
        <w:t> </w:t>
      </w:r>
      <w:r w:rsidR="002F6C34">
        <w:rPr>
          <w:rFonts w:ascii="Times New Roman" w:hAnsi="Times New Roman" w:cs="Times New Roman"/>
          <w:i/>
          <w:szCs w:val="24"/>
        </w:rPr>
        <w:t>Rights (Parliamentary Scrutiny) Act 2011.</w:t>
      </w:r>
    </w:p>
    <w:p w14:paraId="771598C3" w14:textId="6D8ED84A" w:rsidR="00696B97" w:rsidRPr="005D3BBA" w:rsidRDefault="005D3BBA" w:rsidP="00AA6E22">
      <w:pPr>
        <w:tabs>
          <w:tab w:val="left" w:pos="567"/>
        </w:tabs>
        <w:spacing w:before="360" w:after="0" w:line="276" w:lineRule="auto"/>
        <w:rPr>
          <w:rFonts w:ascii="Times New Roman" w:hAnsi="Times New Roman" w:cs="Times New Roman"/>
          <w:b/>
          <w:i/>
          <w:szCs w:val="24"/>
        </w:rPr>
      </w:pPr>
      <w:r w:rsidRPr="005D3BBA">
        <w:rPr>
          <w:rFonts w:ascii="Times New Roman" w:hAnsi="Times New Roman" w:cs="Times New Roman"/>
          <w:b/>
          <w:i/>
          <w:szCs w:val="24"/>
        </w:rPr>
        <w:t xml:space="preserve">Overview of the </w:t>
      </w:r>
      <w:r w:rsidR="004378E5" w:rsidRPr="005D3BBA">
        <w:rPr>
          <w:rFonts w:ascii="Times New Roman" w:hAnsi="Times New Roman" w:cs="Times New Roman"/>
          <w:b/>
          <w:i/>
          <w:szCs w:val="24"/>
        </w:rPr>
        <w:t>legislative instrument</w:t>
      </w:r>
    </w:p>
    <w:p w14:paraId="6C2DE56E" w14:textId="77777777" w:rsidR="00F33F39" w:rsidRDefault="00F33F39" w:rsidP="00AA6E22">
      <w:pPr>
        <w:spacing w:after="0" w:line="276" w:lineRule="auto"/>
        <w:jc w:val="both"/>
        <w:rPr>
          <w:rFonts w:ascii="Times New Roman" w:hAnsi="Times New Roman" w:cs="Times New Roman"/>
        </w:rPr>
      </w:pPr>
    </w:p>
    <w:p w14:paraId="06E5C151" w14:textId="7017916C" w:rsidR="00D87002" w:rsidRDefault="00D87002" w:rsidP="00AA6E22">
      <w:pPr>
        <w:spacing w:after="0" w:line="276" w:lineRule="auto"/>
        <w:jc w:val="both"/>
        <w:rPr>
          <w:rFonts w:ascii="Times New Roman" w:hAnsi="Times New Roman" w:cs="Times New Roman"/>
        </w:rPr>
      </w:pPr>
      <w:r>
        <w:rPr>
          <w:rFonts w:ascii="Times New Roman" w:hAnsi="Times New Roman" w:cs="Times New Roman"/>
        </w:rPr>
        <w:t>Section 176A of the</w:t>
      </w:r>
      <w:r w:rsidR="0060669E">
        <w:rPr>
          <w:rFonts w:ascii="Times New Roman" w:hAnsi="Times New Roman" w:cs="Times New Roman"/>
        </w:rPr>
        <w:t xml:space="preserve"> </w:t>
      </w:r>
      <w:r w:rsidR="0060669E">
        <w:rPr>
          <w:rFonts w:ascii="Times New Roman" w:hAnsi="Times New Roman" w:cs="Times New Roman"/>
          <w:i/>
        </w:rPr>
        <w:t xml:space="preserve">Telecommunications (Interception and Access) Act 1979 </w:t>
      </w:r>
      <w:r w:rsidR="0060669E">
        <w:rPr>
          <w:rFonts w:ascii="Times New Roman" w:hAnsi="Times New Roman" w:cs="Times New Roman"/>
        </w:rPr>
        <w:t>(</w:t>
      </w:r>
      <w:r>
        <w:rPr>
          <w:rFonts w:ascii="Times New Roman" w:hAnsi="Times New Roman" w:cs="Times New Roman"/>
        </w:rPr>
        <w:t>TIA Act</w:t>
      </w:r>
      <w:r w:rsidR="0060669E">
        <w:rPr>
          <w:rFonts w:ascii="Times New Roman" w:hAnsi="Times New Roman" w:cs="Times New Roman"/>
        </w:rPr>
        <w:t>)</w:t>
      </w:r>
      <w:r>
        <w:rPr>
          <w:rFonts w:ascii="Times New Roman" w:hAnsi="Times New Roman" w:cs="Times New Roman"/>
        </w:rPr>
        <w:t xml:space="preserve"> defines an enforcement agency for the purposes of being able to access historic telecommunications data.</w:t>
      </w:r>
    </w:p>
    <w:p w14:paraId="227924A0" w14:textId="77777777" w:rsidR="00643B3F" w:rsidRDefault="00643B3F" w:rsidP="00AA6E22">
      <w:pPr>
        <w:spacing w:after="0" w:line="276" w:lineRule="auto"/>
        <w:jc w:val="both"/>
        <w:rPr>
          <w:rFonts w:ascii="Times New Roman" w:hAnsi="Times New Roman" w:cs="Times New Roman"/>
        </w:rPr>
      </w:pPr>
    </w:p>
    <w:p w14:paraId="74B6E17F" w14:textId="05B8ED6D" w:rsidR="00643B3F" w:rsidRDefault="00643B3F" w:rsidP="00AA6E22">
      <w:pPr>
        <w:spacing w:after="0" w:line="276" w:lineRule="auto"/>
        <w:jc w:val="both"/>
        <w:rPr>
          <w:rFonts w:ascii="Times New Roman" w:hAnsi="Times New Roman" w:cs="Times New Roman"/>
        </w:rPr>
      </w:pPr>
      <w:r>
        <w:rPr>
          <w:rFonts w:ascii="Times New Roman" w:hAnsi="Times New Roman" w:cs="Times New Roman"/>
        </w:rPr>
        <w:t>Section 176A of the TIA Act defines an enforcement agency for the purposes of being able to access historic telecommunications data as follows:</w:t>
      </w:r>
    </w:p>
    <w:p w14:paraId="26F5CA23" w14:textId="58FF7DC8" w:rsidR="00643B3F" w:rsidRDefault="00643B3F" w:rsidP="00AA6E22">
      <w:pPr>
        <w:pStyle w:val="ListParagraph0"/>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the 20 agencies that also fall under the definition of ‘criminal law-enforcement agency’ under section 110A of the TIA Act. These include all state and territory police agencies, the Department of Home Affairs (for limited purposes), the Australian Competition and Consumer Commission, the Australian Securities and Investments Commission, the Australian Criminal Intelligence Commission, and various integrity and </w:t>
      </w:r>
      <w:r w:rsidR="004378E5">
        <w:rPr>
          <w:rFonts w:ascii="Times New Roman" w:hAnsi="Times New Roman" w:cs="Times New Roman"/>
        </w:rPr>
        <w:t>anti-</w:t>
      </w:r>
      <w:r>
        <w:rPr>
          <w:rFonts w:ascii="Times New Roman" w:hAnsi="Times New Roman" w:cs="Times New Roman"/>
        </w:rPr>
        <w:t>corruption Commissions, and</w:t>
      </w:r>
    </w:p>
    <w:p w14:paraId="3E586413" w14:textId="77777777" w:rsidR="00643B3F" w:rsidRDefault="00643B3F" w:rsidP="00AA6E22">
      <w:pPr>
        <w:pStyle w:val="ListParagraph0"/>
        <w:numPr>
          <w:ilvl w:val="0"/>
          <w:numId w:val="13"/>
        </w:numPr>
        <w:spacing w:after="0" w:line="276" w:lineRule="auto"/>
        <w:jc w:val="both"/>
        <w:rPr>
          <w:rFonts w:ascii="Times New Roman" w:hAnsi="Times New Roman" w:cs="Times New Roman"/>
        </w:rPr>
      </w:pPr>
      <w:r>
        <w:rPr>
          <w:rFonts w:ascii="Times New Roman" w:hAnsi="Times New Roman" w:cs="Times New Roman"/>
        </w:rPr>
        <w:t>an authority or body for which a declaration under subsection 176A(3) is in force.</w:t>
      </w:r>
    </w:p>
    <w:p w14:paraId="5332CD00" w14:textId="77777777" w:rsidR="00643B3F" w:rsidRDefault="00643B3F" w:rsidP="00AA6E22">
      <w:pPr>
        <w:spacing w:after="0" w:line="276" w:lineRule="auto"/>
        <w:jc w:val="both"/>
        <w:rPr>
          <w:rFonts w:ascii="Times New Roman" w:hAnsi="Times New Roman" w:cs="Times New Roman"/>
        </w:rPr>
      </w:pPr>
    </w:p>
    <w:p w14:paraId="2E0AD118" w14:textId="7C99B3C8" w:rsidR="002F6C34" w:rsidRDefault="000E1A40" w:rsidP="00AA6E22">
      <w:pPr>
        <w:spacing w:after="0" w:line="276" w:lineRule="auto"/>
        <w:jc w:val="both"/>
        <w:rPr>
          <w:rFonts w:ascii="Times New Roman" w:hAnsi="Times New Roman" w:cs="Times New Roman"/>
        </w:rPr>
      </w:pPr>
      <w:r>
        <w:rPr>
          <w:rFonts w:ascii="Times New Roman" w:hAnsi="Times New Roman" w:cs="Times New Roman"/>
        </w:rPr>
        <w:t xml:space="preserve">The </w:t>
      </w:r>
      <w:r w:rsidRPr="00074D13">
        <w:rPr>
          <w:rFonts w:ascii="Times New Roman" w:hAnsi="Times New Roman" w:cs="Times New Roman"/>
        </w:rPr>
        <w:t>Declaration</w:t>
      </w:r>
      <w:r>
        <w:rPr>
          <w:rFonts w:ascii="Times New Roman" w:hAnsi="Times New Roman" w:cs="Times New Roman"/>
        </w:rPr>
        <w:t xml:space="preserve"> is a legislative instrument made by the </w:t>
      </w:r>
      <w:r w:rsidR="00217D39" w:rsidRPr="00217D39">
        <w:rPr>
          <w:rFonts w:ascii="Times New Roman" w:hAnsi="Times New Roman" w:cs="Times New Roman"/>
        </w:rPr>
        <w:t>Attorney-General</w:t>
      </w:r>
      <w:r>
        <w:rPr>
          <w:rFonts w:ascii="Times New Roman" w:hAnsi="Times New Roman" w:cs="Times New Roman"/>
        </w:rPr>
        <w:t xml:space="preserve"> </w:t>
      </w:r>
      <w:r w:rsidR="00D87002">
        <w:rPr>
          <w:rFonts w:ascii="Times New Roman" w:hAnsi="Times New Roman" w:cs="Times New Roman"/>
        </w:rPr>
        <w:t>under subsection </w:t>
      </w:r>
      <w:r>
        <w:rPr>
          <w:rFonts w:ascii="Times New Roman" w:hAnsi="Times New Roman" w:cs="Times New Roman"/>
        </w:rPr>
        <w:t>176A(3) of the</w:t>
      </w:r>
      <w:r w:rsidR="00DC37C4">
        <w:rPr>
          <w:rFonts w:ascii="Times New Roman" w:hAnsi="Times New Roman" w:cs="Times New Roman"/>
        </w:rPr>
        <w:t xml:space="preserve"> </w:t>
      </w:r>
      <w:r w:rsidR="007F5B08">
        <w:rPr>
          <w:rFonts w:ascii="Times New Roman" w:hAnsi="Times New Roman" w:cs="Times New Roman"/>
        </w:rPr>
        <w:t xml:space="preserve">TIA </w:t>
      </w:r>
      <w:r w:rsidR="00DC37C4">
        <w:rPr>
          <w:rFonts w:ascii="Times New Roman" w:hAnsi="Times New Roman" w:cs="Times New Roman"/>
        </w:rPr>
        <w:t xml:space="preserve">Act, and </w:t>
      </w:r>
      <w:r>
        <w:rPr>
          <w:rFonts w:ascii="Times New Roman" w:hAnsi="Times New Roman" w:cs="Times New Roman"/>
        </w:rPr>
        <w:t xml:space="preserve">declares </w:t>
      </w:r>
      <w:r w:rsidR="00F50DA4" w:rsidRPr="00F50DA4">
        <w:rPr>
          <w:rFonts w:ascii="Times New Roman" w:hAnsi="Times New Roman" w:cs="Times New Roman"/>
        </w:rPr>
        <w:t>New South Wales Department of Communities and Justice (NSW</w:t>
      </w:r>
      <w:r w:rsidR="005D540E">
        <w:rPr>
          <w:rFonts w:ascii="Times New Roman" w:hAnsi="Times New Roman" w:cs="Times New Roman"/>
        </w:rPr>
        <w:t> </w:t>
      </w:r>
      <w:r w:rsidR="00F50DA4" w:rsidRPr="00F50DA4">
        <w:rPr>
          <w:rFonts w:ascii="Times New Roman" w:hAnsi="Times New Roman" w:cs="Times New Roman"/>
        </w:rPr>
        <w:t>Communities and Justice) to be an enforcement agency under subsection 176A(3) of the TIA</w:t>
      </w:r>
      <w:r w:rsidR="005D540E">
        <w:rPr>
          <w:rFonts w:ascii="Times New Roman" w:hAnsi="Times New Roman" w:cs="Times New Roman"/>
        </w:rPr>
        <w:t> </w:t>
      </w:r>
      <w:r w:rsidR="00F50DA4" w:rsidRPr="00F50DA4">
        <w:rPr>
          <w:rFonts w:ascii="Times New Roman" w:hAnsi="Times New Roman" w:cs="Times New Roman"/>
        </w:rPr>
        <w:t>Act to allow access to telecommunications data.</w:t>
      </w:r>
      <w:r w:rsidR="005F220E">
        <w:rPr>
          <w:rFonts w:ascii="Times New Roman" w:hAnsi="Times New Roman" w:cs="Times New Roman"/>
        </w:rPr>
        <w:t xml:space="preserve"> </w:t>
      </w:r>
      <w:r w:rsidR="00DC37C4">
        <w:rPr>
          <w:rFonts w:ascii="Times New Roman" w:hAnsi="Times New Roman" w:cs="Times New Roman"/>
        </w:rPr>
        <w:t xml:space="preserve">Additionally, the Declaration </w:t>
      </w:r>
      <w:r>
        <w:rPr>
          <w:rFonts w:ascii="Times New Roman" w:hAnsi="Times New Roman" w:cs="Times New Roman"/>
        </w:rPr>
        <w:t xml:space="preserve">specifies </w:t>
      </w:r>
      <w:r w:rsidR="00CF01A7">
        <w:rPr>
          <w:rFonts w:ascii="Times New Roman" w:hAnsi="Times New Roman" w:cs="Times New Roman"/>
        </w:rPr>
        <w:t xml:space="preserve">each staff member of </w:t>
      </w:r>
      <w:r w:rsidR="005436E2">
        <w:rPr>
          <w:rFonts w:ascii="Times New Roman" w:hAnsi="Times New Roman" w:cs="Times New Roman"/>
        </w:rPr>
        <w:t>NSW Communities and Justice</w:t>
      </w:r>
      <w:r>
        <w:rPr>
          <w:rFonts w:ascii="Times New Roman" w:hAnsi="Times New Roman" w:cs="Times New Roman"/>
        </w:rPr>
        <w:t xml:space="preserve"> to be officers</w:t>
      </w:r>
      <w:r w:rsidR="00672822">
        <w:rPr>
          <w:rFonts w:ascii="Times New Roman" w:hAnsi="Times New Roman" w:cs="Times New Roman"/>
        </w:rPr>
        <w:t xml:space="preserve"> under the </w:t>
      </w:r>
      <w:r w:rsidR="007F5B08">
        <w:rPr>
          <w:rFonts w:ascii="Times New Roman" w:hAnsi="Times New Roman" w:cs="Times New Roman"/>
        </w:rPr>
        <w:t xml:space="preserve">TIA </w:t>
      </w:r>
      <w:r w:rsidR="00672822">
        <w:rPr>
          <w:rFonts w:ascii="Times New Roman" w:hAnsi="Times New Roman" w:cs="Times New Roman"/>
        </w:rPr>
        <w:t>Act</w:t>
      </w:r>
      <w:r w:rsidR="00A926A5">
        <w:rPr>
          <w:rFonts w:ascii="Times New Roman" w:hAnsi="Times New Roman" w:cs="Times New Roman"/>
        </w:rPr>
        <w:t>.</w:t>
      </w:r>
    </w:p>
    <w:p w14:paraId="0E0D6805" w14:textId="335C3201" w:rsidR="00F62E9A" w:rsidRDefault="00F62E9A" w:rsidP="00AA6E22">
      <w:pPr>
        <w:spacing w:after="0" w:line="276" w:lineRule="auto"/>
        <w:jc w:val="both"/>
        <w:rPr>
          <w:rFonts w:ascii="Times New Roman" w:hAnsi="Times New Roman" w:cs="Times New Roman"/>
        </w:rPr>
      </w:pPr>
    </w:p>
    <w:p w14:paraId="21E3D2E3" w14:textId="7AEEC540" w:rsidR="0020516F" w:rsidRDefault="00F62E9A" w:rsidP="00AA6E22">
      <w:pPr>
        <w:keepNext/>
        <w:keepLines/>
        <w:spacing w:after="0" w:line="276" w:lineRule="auto"/>
        <w:jc w:val="both"/>
        <w:rPr>
          <w:rFonts w:ascii="Times New Roman" w:hAnsi="Times New Roman" w:cs="Times New Roman"/>
        </w:rPr>
      </w:pPr>
      <w:r w:rsidRPr="0020516F">
        <w:rPr>
          <w:rFonts w:ascii="Times New Roman" w:hAnsi="Times New Roman" w:cs="Times New Roman"/>
        </w:rPr>
        <w:t>The Declaration is sub</w:t>
      </w:r>
      <w:r w:rsidR="0020516F">
        <w:rPr>
          <w:rFonts w:ascii="Times New Roman" w:hAnsi="Times New Roman" w:cs="Times New Roman"/>
        </w:rPr>
        <w:t xml:space="preserve">ject to </w:t>
      </w:r>
      <w:r w:rsidR="009E160C">
        <w:rPr>
          <w:rFonts w:ascii="Times New Roman" w:hAnsi="Times New Roman" w:cs="Times New Roman"/>
        </w:rPr>
        <w:t>two</w:t>
      </w:r>
      <w:r w:rsidR="0020516F">
        <w:rPr>
          <w:rFonts w:ascii="Times New Roman" w:hAnsi="Times New Roman" w:cs="Times New Roman"/>
        </w:rPr>
        <w:t xml:space="preserve"> conditions:</w:t>
      </w:r>
    </w:p>
    <w:p w14:paraId="6FE9764B" w14:textId="07FEF0A5" w:rsidR="0020516F" w:rsidRPr="003F5666" w:rsidRDefault="003F5666" w:rsidP="00AA6E22">
      <w:pPr>
        <w:pStyle w:val="ListParagraph0"/>
        <w:keepNext/>
        <w:keepLines/>
        <w:numPr>
          <w:ilvl w:val="0"/>
          <w:numId w:val="20"/>
        </w:numPr>
        <w:spacing w:after="0" w:line="276" w:lineRule="auto"/>
        <w:jc w:val="both"/>
        <w:rPr>
          <w:rFonts w:ascii="Times New Roman" w:hAnsi="Times New Roman" w:cs="Times New Roman"/>
        </w:rPr>
      </w:pPr>
      <w:r w:rsidRPr="00A30F2D">
        <w:rPr>
          <w:rFonts w:ascii="Times New Roman" w:hAnsi="Times New Roman" w:cs="Times New Roman"/>
        </w:rPr>
        <w:t>the declaration</w:t>
      </w:r>
      <w:r>
        <w:rPr>
          <w:rFonts w:ascii="Times New Roman" w:hAnsi="Times New Roman" w:cs="Times New Roman"/>
        </w:rPr>
        <w:t xml:space="preserve"> is </w:t>
      </w:r>
      <w:r w:rsidRPr="00A30F2D">
        <w:rPr>
          <w:rFonts w:ascii="Times New Roman" w:hAnsi="Times New Roman" w:cs="Times New Roman"/>
        </w:rPr>
        <w:t xml:space="preserve">only </w:t>
      </w:r>
      <w:r>
        <w:rPr>
          <w:rFonts w:ascii="Times New Roman" w:hAnsi="Times New Roman" w:cs="Times New Roman"/>
        </w:rPr>
        <w:t xml:space="preserve">in </w:t>
      </w:r>
      <w:r w:rsidRPr="00A30F2D">
        <w:rPr>
          <w:rFonts w:ascii="Times New Roman" w:hAnsi="Times New Roman" w:cs="Times New Roman"/>
        </w:rPr>
        <w:t>relation to that part of NSW Communities and Justice known as Corrective Services NSW</w:t>
      </w:r>
      <w:r w:rsidR="0020516F" w:rsidRPr="003F5666">
        <w:rPr>
          <w:rFonts w:ascii="Times New Roman" w:hAnsi="Times New Roman" w:cs="Times New Roman"/>
        </w:rPr>
        <w:t xml:space="preserve">, and </w:t>
      </w:r>
    </w:p>
    <w:p w14:paraId="6A6C063E" w14:textId="77777777" w:rsidR="0020516F" w:rsidRPr="00A30F2D" w:rsidRDefault="0020516F" w:rsidP="00AA6E22">
      <w:pPr>
        <w:pStyle w:val="ListParagraph0"/>
        <w:keepNext/>
        <w:keepLines/>
        <w:numPr>
          <w:ilvl w:val="0"/>
          <w:numId w:val="20"/>
        </w:numPr>
        <w:spacing w:after="0" w:line="276" w:lineRule="auto"/>
        <w:jc w:val="both"/>
        <w:rPr>
          <w:rFonts w:ascii="Times New Roman" w:hAnsi="Times New Roman" w:cs="Times New Roman"/>
        </w:rPr>
      </w:pPr>
      <w:r w:rsidRPr="00A30F2D">
        <w:rPr>
          <w:rFonts w:ascii="Times New Roman" w:hAnsi="Times New Roman" w:cs="Times New Roman"/>
        </w:rPr>
        <w:t>NSW Communities and Justice is not to exercise the power in section 180Q of the TIA Act.</w:t>
      </w:r>
    </w:p>
    <w:p w14:paraId="06EFF21D" w14:textId="77777777" w:rsidR="0020516F" w:rsidRDefault="0020516F" w:rsidP="00AA6E22">
      <w:pPr>
        <w:spacing w:after="0" w:line="276" w:lineRule="auto"/>
        <w:jc w:val="both"/>
        <w:rPr>
          <w:rFonts w:ascii="Times New Roman" w:hAnsi="Times New Roman" w:cs="Times New Roman"/>
        </w:rPr>
      </w:pPr>
    </w:p>
    <w:p w14:paraId="738C52E2" w14:textId="5E21D61F" w:rsidR="00D87002" w:rsidRDefault="00D87002" w:rsidP="00AA6E22">
      <w:pPr>
        <w:spacing w:after="0" w:line="276" w:lineRule="auto"/>
        <w:jc w:val="both"/>
        <w:rPr>
          <w:rFonts w:ascii="Times New Roman" w:hAnsi="Times New Roman" w:cs="Times New Roman"/>
        </w:rPr>
      </w:pPr>
      <w:r>
        <w:rPr>
          <w:rFonts w:ascii="Times New Roman" w:hAnsi="Times New Roman" w:cs="Times New Roman"/>
        </w:rPr>
        <w:t xml:space="preserve">As such, this Declaration allows </w:t>
      </w:r>
      <w:r w:rsidR="00044031">
        <w:rPr>
          <w:rFonts w:ascii="Times New Roman" w:hAnsi="Times New Roman" w:cs="Times New Roman"/>
        </w:rPr>
        <w:t xml:space="preserve">only </w:t>
      </w:r>
      <w:r w:rsidR="00F50DA4">
        <w:rPr>
          <w:rFonts w:ascii="Times New Roman" w:hAnsi="Times New Roman" w:cs="Times New Roman"/>
        </w:rPr>
        <w:t xml:space="preserve">the relevant part of </w:t>
      </w:r>
      <w:r>
        <w:rPr>
          <w:rFonts w:ascii="Times New Roman" w:hAnsi="Times New Roman" w:cs="Times New Roman"/>
        </w:rPr>
        <w:t>NSW Communities and Justice the ability to access historic telecommunications data.</w:t>
      </w:r>
    </w:p>
    <w:p w14:paraId="0396FAF5" w14:textId="52264B77" w:rsidR="004A2048" w:rsidRDefault="004A2048" w:rsidP="00AA6E22">
      <w:pPr>
        <w:spacing w:after="0" w:line="276" w:lineRule="auto"/>
        <w:jc w:val="both"/>
        <w:rPr>
          <w:rFonts w:ascii="Times New Roman" w:hAnsi="Times New Roman" w:cs="Times New Roman"/>
        </w:rPr>
      </w:pPr>
    </w:p>
    <w:p w14:paraId="3E489295" w14:textId="65682FC0" w:rsidR="004A2048" w:rsidRDefault="004A2048" w:rsidP="00AA6E22">
      <w:pPr>
        <w:spacing w:after="0" w:line="276" w:lineRule="auto"/>
        <w:jc w:val="both"/>
        <w:rPr>
          <w:rFonts w:ascii="Times New Roman" w:hAnsi="Times New Roman" w:cs="Times New Roman"/>
        </w:rPr>
      </w:pPr>
      <w:r w:rsidRPr="00463B2A">
        <w:rPr>
          <w:rFonts w:ascii="Times New Roman" w:hAnsi="Times New Roman" w:cs="Times New Roman"/>
        </w:rPr>
        <w:t xml:space="preserve">The </w:t>
      </w:r>
      <w:r>
        <w:rPr>
          <w:rFonts w:ascii="Times New Roman" w:hAnsi="Times New Roman" w:cs="Times New Roman"/>
        </w:rPr>
        <w:t>Declaration</w:t>
      </w:r>
      <w:r w:rsidRPr="00463B2A">
        <w:rPr>
          <w:rFonts w:ascii="Times New Roman" w:hAnsi="Times New Roman" w:cs="Times New Roman"/>
        </w:rPr>
        <w:t xml:space="preserve"> does not change the statutory </w:t>
      </w:r>
      <w:r w:rsidR="00044031">
        <w:rPr>
          <w:rFonts w:ascii="Times New Roman" w:hAnsi="Times New Roman" w:cs="Times New Roman"/>
        </w:rPr>
        <w:t xml:space="preserve">basis on </w:t>
      </w:r>
      <w:r w:rsidRPr="00463B2A">
        <w:rPr>
          <w:rFonts w:ascii="Times New Roman" w:hAnsi="Times New Roman" w:cs="Times New Roman"/>
        </w:rPr>
        <w:t>which enforcement agencies are able to access telecommunications data and does not amend the existing processes for lawfully accessing telecommunications data.</w:t>
      </w:r>
    </w:p>
    <w:p w14:paraId="00D82041" w14:textId="77777777" w:rsidR="001C7313" w:rsidRDefault="001C7313" w:rsidP="00AA6E22">
      <w:pPr>
        <w:spacing w:after="0" w:line="276" w:lineRule="auto"/>
        <w:jc w:val="both"/>
        <w:rPr>
          <w:rFonts w:ascii="Times New Roman" w:hAnsi="Times New Roman" w:cs="Times New Roman"/>
        </w:rPr>
      </w:pPr>
    </w:p>
    <w:p w14:paraId="5F48479E" w14:textId="03785377" w:rsidR="00C761CC" w:rsidRDefault="00C761CC" w:rsidP="00AA6E22">
      <w:pPr>
        <w:keepNext/>
        <w:keepLines/>
        <w:spacing w:after="0" w:line="276" w:lineRule="auto"/>
        <w:jc w:val="both"/>
        <w:rPr>
          <w:rFonts w:ascii="Times New Roman" w:hAnsi="Times New Roman" w:cs="Times New Roman"/>
        </w:rPr>
      </w:pPr>
      <w:r>
        <w:rPr>
          <w:rFonts w:ascii="Times New Roman" w:hAnsi="Times New Roman" w:cs="Times New Roman"/>
          <w:b/>
          <w:i/>
        </w:rPr>
        <w:lastRenderedPageBreak/>
        <w:t>Human rights implications</w:t>
      </w:r>
    </w:p>
    <w:p w14:paraId="31948BA8" w14:textId="77777777" w:rsidR="00D87002" w:rsidRDefault="00D87002" w:rsidP="00AA6E22">
      <w:pPr>
        <w:keepNext/>
        <w:keepLines/>
        <w:spacing w:after="0" w:line="276" w:lineRule="auto"/>
        <w:jc w:val="both"/>
        <w:rPr>
          <w:rFonts w:ascii="Times New Roman" w:hAnsi="Times New Roman" w:cs="Times New Roman"/>
        </w:rPr>
      </w:pPr>
    </w:p>
    <w:p w14:paraId="02ADD05D" w14:textId="0126A3FB" w:rsidR="00463B2A" w:rsidRDefault="00463B2A" w:rsidP="00AA6E22">
      <w:pPr>
        <w:keepNext/>
        <w:keepLines/>
        <w:spacing w:after="0" w:line="276" w:lineRule="auto"/>
        <w:jc w:val="both"/>
        <w:rPr>
          <w:rFonts w:ascii="Times New Roman" w:hAnsi="Times New Roman" w:cs="Times New Roman"/>
        </w:rPr>
      </w:pPr>
      <w:r>
        <w:rPr>
          <w:rFonts w:ascii="Times New Roman" w:hAnsi="Times New Roman" w:cs="Times New Roman"/>
        </w:rPr>
        <w:t>The Declaration</w:t>
      </w:r>
      <w:r w:rsidRPr="00463B2A">
        <w:rPr>
          <w:rFonts w:ascii="Times New Roman" w:hAnsi="Times New Roman" w:cs="Times New Roman"/>
        </w:rPr>
        <w:t xml:space="preserve"> engages the right to privacy under Article 17 of the</w:t>
      </w:r>
      <w:r w:rsidR="00F97353">
        <w:rPr>
          <w:rFonts w:ascii="Times New Roman" w:hAnsi="Times New Roman" w:cs="Times New Roman"/>
        </w:rPr>
        <w:t xml:space="preserve"> </w:t>
      </w:r>
      <w:r w:rsidR="00F97353" w:rsidRPr="00877FA4">
        <w:rPr>
          <w:rFonts w:ascii="Times New Roman" w:hAnsi="Times New Roman" w:cs="Times New Roman"/>
          <w:i/>
        </w:rPr>
        <w:t>International Covenant on Civil and Political Rights</w:t>
      </w:r>
      <w:r w:rsidR="00F97353">
        <w:rPr>
          <w:rFonts w:ascii="Times New Roman" w:hAnsi="Times New Roman" w:cs="Times New Roman"/>
          <w:i/>
        </w:rPr>
        <w:t xml:space="preserve"> </w:t>
      </w:r>
      <w:r w:rsidR="00F97353">
        <w:rPr>
          <w:rFonts w:ascii="Times New Roman" w:hAnsi="Times New Roman" w:cs="Times New Roman"/>
        </w:rPr>
        <w:t>(</w:t>
      </w:r>
      <w:r w:rsidRPr="00463B2A">
        <w:rPr>
          <w:rFonts w:ascii="Times New Roman" w:hAnsi="Times New Roman" w:cs="Times New Roman"/>
        </w:rPr>
        <w:t>ICCPR</w:t>
      </w:r>
      <w:r w:rsidR="00F97353">
        <w:rPr>
          <w:rFonts w:ascii="Times New Roman" w:hAnsi="Times New Roman" w:cs="Times New Roman"/>
        </w:rPr>
        <w:t>)</w:t>
      </w:r>
      <w:r w:rsidRPr="00463B2A">
        <w:rPr>
          <w:rFonts w:ascii="Times New Roman" w:hAnsi="Times New Roman" w:cs="Times New Roman"/>
        </w:rPr>
        <w:t xml:space="preserve"> on the basis that the telecommunications data retained pursuant to subsection 187A(1) </w:t>
      </w:r>
      <w:r w:rsidR="00A66329">
        <w:rPr>
          <w:rFonts w:ascii="Times New Roman" w:hAnsi="Times New Roman" w:cs="Times New Roman"/>
        </w:rPr>
        <w:t xml:space="preserve">of the TIA Act </w:t>
      </w:r>
      <w:r w:rsidRPr="00463B2A">
        <w:rPr>
          <w:rFonts w:ascii="Times New Roman" w:hAnsi="Times New Roman" w:cs="Times New Roman"/>
        </w:rPr>
        <w:t xml:space="preserve">will be accessible by </w:t>
      </w:r>
      <w:r>
        <w:rPr>
          <w:rFonts w:ascii="Times New Roman" w:hAnsi="Times New Roman" w:cs="Times New Roman"/>
        </w:rPr>
        <w:t>NSW Communities and Justice</w:t>
      </w:r>
      <w:r w:rsidRPr="00463B2A">
        <w:rPr>
          <w:rFonts w:ascii="Times New Roman" w:hAnsi="Times New Roman" w:cs="Times New Roman"/>
        </w:rPr>
        <w:t xml:space="preserve"> in accordance with the existing lawful access provisions </w:t>
      </w:r>
      <w:r w:rsidR="00A66329">
        <w:rPr>
          <w:rFonts w:ascii="Times New Roman" w:hAnsi="Times New Roman" w:cs="Times New Roman"/>
        </w:rPr>
        <w:t>in the Act</w:t>
      </w:r>
      <w:r w:rsidRPr="00463B2A">
        <w:rPr>
          <w:rFonts w:ascii="Times New Roman" w:hAnsi="Times New Roman" w:cs="Times New Roman"/>
        </w:rPr>
        <w:t xml:space="preserve">. </w:t>
      </w:r>
    </w:p>
    <w:p w14:paraId="3EBBE76A" w14:textId="49A99B35" w:rsidR="004A2048" w:rsidRDefault="004A2048" w:rsidP="00AA6E22">
      <w:pPr>
        <w:spacing w:after="0" w:line="276" w:lineRule="auto"/>
        <w:jc w:val="both"/>
        <w:rPr>
          <w:rFonts w:ascii="Times New Roman" w:hAnsi="Times New Roman" w:cs="Times New Roman"/>
        </w:rPr>
      </w:pPr>
    </w:p>
    <w:p w14:paraId="47276626" w14:textId="77777777" w:rsidR="004A2048" w:rsidRPr="004A2048" w:rsidRDefault="004A2048" w:rsidP="00AA6E22">
      <w:pPr>
        <w:spacing w:after="0" w:line="276" w:lineRule="auto"/>
        <w:jc w:val="both"/>
        <w:rPr>
          <w:rFonts w:ascii="Times New Roman" w:hAnsi="Times New Roman" w:cs="Times New Roman"/>
        </w:rPr>
      </w:pPr>
      <w:r w:rsidRPr="004A2048">
        <w:rPr>
          <w:rFonts w:ascii="Times New Roman" w:hAnsi="Times New Roman" w:cs="Times New Roman"/>
        </w:rPr>
        <w:t xml:space="preserve">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14:paraId="0AB427F5" w14:textId="4D86A568" w:rsidR="004A2048" w:rsidRDefault="004A2048" w:rsidP="00AA6E22">
      <w:pPr>
        <w:spacing w:after="0" w:line="276" w:lineRule="auto"/>
        <w:jc w:val="both"/>
        <w:rPr>
          <w:rFonts w:ascii="Times New Roman" w:hAnsi="Times New Roman" w:cs="Times New Roman"/>
        </w:rPr>
      </w:pPr>
    </w:p>
    <w:p w14:paraId="621F3FB1" w14:textId="77777777" w:rsidR="004A2048" w:rsidRPr="004A2048" w:rsidRDefault="004A2048" w:rsidP="00AA6E22">
      <w:pPr>
        <w:spacing w:after="0" w:line="276" w:lineRule="auto"/>
        <w:jc w:val="both"/>
        <w:rPr>
          <w:rFonts w:ascii="Times New Roman" w:hAnsi="Times New Roman" w:cs="Times New Roman"/>
        </w:rPr>
      </w:pPr>
      <w:r w:rsidRPr="004A2048">
        <w:rPr>
          <w:rFonts w:ascii="Times New Roman" w:hAnsi="Times New Roman" w:cs="Times New Roman"/>
        </w:rPr>
        <w:t xml:space="preserve">The protection against arbitrary or unlawful interference with privacy under Article 17 can be permissibly limited in order to achieve a legitimate objective and where the limitations are lawful and not arbitrary. The term </w:t>
      </w:r>
      <w:r w:rsidRPr="004A2048">
        <w:rPr>
          <w:rFonts w:ascii="Times New Roman" w:hAnsi="Times New Roman" w:cs="Times New Roman"/>
          <w:i/>
        </w:rPr>
        <w:t>unlawful</w:t>
      </w:r>
      <w:r w:rsidRPr="004A2048">
        <w:rPr>
          <w:rFonts w:ascii="Times New Roman" w:hAnsi="Times New Roman" w:cs="Times New Roman"/>
        </w:rPr>
        <w:t xml:space="preserve"> in Article 17 of the ICCPR means that no interference can take place except as authorised under domestic law. Additionally, the term arbitrary in Article 17(1) of the ICCPR means that any interference with privacy must be in accordance with the provisions, aims and objectives of the ICCPR and should be reasonable in the particular circumstances.</w:t>
      </w:r>
      <w:r w:rsidRPr="00A66329">
        <w:rPr>
          <w:rFonts w:ascii="Times New Roman" w:hAnsi="Times New Roman" w:cs="Times New Roman"/>
          <w:vertAlign w:val="superscript"/>
        </w:rPr>
        <w:footnoteReference w:id="1"/>
      </w:r>
      <w:r w:rsidRPr="004A2048">
        <w:rPr>
          <w:rFonts w:ascii="Times New Roman" w:hAnsi="Times New Roman" w:cs="Times New Roman"/>
        </w:rPr>
        <w:t xml:space="preserve"> The United Nations Human Rights Committee has interpreted </w:t>
      </w:r>
      <w:r w:rsidRPr="004A2048">
        <w:rPr>
          <w:rFonts w:ascii="Times New Roman" w:hAnsi="Times New Roman" w:cs="Times New Roman"/>
          <w:i/>
        </w:rPr>
        <w:t>reasonableness</w:t>
      </w:r>
      <w:r w:rsidRPr="004A2048">
        <w:rPr>
          <w:rFonts w:ascii="Times New Roman" w:hAnsi="Times New Roman" w:cs="Times New Roman"/>
        </w:rPr>
        <w:t xml:space="preserve"> to mean that any limitation must be proportionate and necessary in the circumstances. </w:t>
      </w:r>
    </w:p>
    <w:p w14:paraId="41846C4F" w14:textId="77777777" w:rsidR="004A2048" w:rsidRDefault="004A2048" w:rsidP="00AA6E22">
      <w:pPr>
        <w:spacing w:after="0" w:line="276" w:lineRule="auto"/>
        <w:jc w:val="both"/>
        <w:rPr>
          <w:rFonts w:ascii="Times New Roman" w:hAnsi="Times New Roman" w:cs="Times New Roman"/>
        </w:rPr>
      </w:pPr>
    </w:p>
    <w:p w14:paraId="4856FE27" w14:textId="77777777" w:rsidR="007B3AB2" w:rsidRDefault="007B3AB2" w:rsidP="00AA6E22">
      <w:pPr>
        <w:spacing w:after="0" w:line="276" w:lineRule="auto"/>
        <w:jc w:val="both"/>
        <w:rPr>
          <w:rFonts w:ascii="Times New Roman" w:hAnsi="Times New Roman" w:cs="Times New Roman"/>
        </w:rPr>
      </w:pPr>
      <w:r>
        <w:rPr>
          <w:rFonts w:ascii="Times New Roman" w:hAnsi="Times New Roman" w:cs="Times New Roman"/>
        </w:rPr>
        <w:t>The Declaration limits the right to privacy as it allows access to telecommunications data as authorised under domestic law – namely the existing provisions in the TIA Act. However, it is reasonable in the particular circumstances as it is proportionate and necessary.</w:t>
      </w:r>
    </w:p>
    <w:p w14:paraId="4C60F622" w14:textId="77777777" w:rsidR="007B3AB2" w:rsidRDefault="007B3AB2" w:rsidP="00AA6E22">
      <w:pPr>
        <w:spacing w:after="0" w:line="276" w:lineRule="auto"/>
        <w:jc w:val="both"/>
        <w:rPr>
          <w:rFonts w:ascii="Times New Roman" w:hAnsi="Times New Roman" w:cs="Times New Roman"/>
        </w:rPr>
      </w:pPr>
    </w:p>
    <w:p w14:paraId="3ECF59A2" w14:textId="4A195D14" w:rsidR="007B3AB2" w:rsidRPr="00463B2A" w:rsidRDefault="007B3AB2" w:rsidP="00AA6E22">
      <w:pPr>
        <w:keepNext/>
        <w:keepLines/>
        <w:spacing w:after="0" w:line="276" w:lineRule="auto"/>
        <w:jc w:val="both"/>
        <w:rPr>
          <w:rFonts w:ascii="Times New Roman" w:hAnsi="Times New Roman" w:cs="Times New Roman"/>
        </w:rPr>
      </w:pPr>
      <w:r>
        <w:rPr>
          <w:rFonts w:ascii="Times New Roman" w:hAnsi="Times New Roman" w:cs="Times New Roman"/>
        </w:rPr>
        <w:t xml:space="preserve">In considering the second component (that is, reasonableness) </w:t>
      </w:r>
      <w:r w:rsidRPr="00463B2A">
        <w:rPr>
          <w:rFonts w:ascii="Times New Roman" w:hAnsi="Times New Roman" w:cs="Times New Roman"/>
        </w:rPr>
        <w:t xml:space="preserve">consideration has been given to </w:t>
      </w:r>
      <w:r>
        <w:rPr>
          <w:rFonts w:ascii="Times New Roman" w:hAnsi="Times New Roman" w:cs="Times New Roman"/>
        </w:rPr>
        <w:t>the</w:t>
      </w:r>
      <w:r w:rsidR="001A1F5A">
        <w:rPr>
          <w:rFonts w:ascii="Times New Roman" w:hAnsi="Times New Roman" w:cs="Times New Roman"/>
        </w:rPr>
        <w:t>:</w:t>
      </w:r>
      <w:r>
        <w:rPr>
          <w:rFonts w:ascii="Times New Roman" w:hAnsi="Times New Roman" w:cs="Times New Roman"/>
        </w:rPr>
        <w:t xml:space="preserve"> </w:t>
      </w:r>
    </w:p>
    <w:p w14:paraId="33AE692E" w14:textId="77777777" w:rsidR="007B3AB2" w:rsidRPr="00463B2A" w:rsidRDefault="007B3AB2" w:rsidP="00AA6E22">
      <w:pPr>
        <w:pStyle w:val="ListParagraph0"/>
        <w:keepNext/>
        <w:keepLines/>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functions of NSW Communities and Justice and whether they necessitate </w:t>
      </w:r>
      <w:r w:rsidRPr="00463B2A">
        <w:rPr>
          <w:rFonts w:ascii="Times New Roman" w:hAnsi="Times New Roman" w:cs="Times New Roman"/>
        </w:rPr>
        <w:t>access to telecommunications data, and</w:t>
      </w:r>
    </w:p>
    <w:p w14:paraId="77EC01C7" w14:textId="4505CE92" w:rsidR="00753EAB" w:rsidRDefault="007B3AB2" w:rsidP="00AA6E22">
      <w:pPr>
        <w:pStyle w:val="ListParagraph0"/>
        <w:numPr>
          <w:ilvl w:val="0"/>
          <w:numId w:val="13"/>
        </w:numPr>
        <w:spacing w:after="0" w:line="276" w:lineRule="auto"/>
        <w:jc w:val="both"/>
        <w:rPr>
          <w:rFonts w:ascii="Times New Roman" w:hAnsi="Times New Roman" w:cs="Times New Roman"/>
        </w:rPr>
      </w:pPr>
      <w:r>
        <w:rPr>
          <w:rFonts w:ascii="Times New Roman" w:hAnsi="Times New Roman" w:cs="Times New Roman"/>
        </w:rPr>
        <w:t xml:space="preserve">privacy and other safeguards in place to minimise the </w:t>
      </w:r>
      <w:r w:rsidRPr="00463B2A">
        <w:rPr>
          <w:rFonts w:ascii="Times New Roman" w:hAnsi="Times New Roman" w:cs="Times New Roman"/>
        </w:rPr>
        <w:t>privacy impacts on any persons to whom the data relates or is appreciably linked to.</w:t>
      </w:r>
    </w:p>
    <w:p w14:paraId="08E5407F" w14:textId="77777777" w:rsidR="007B3AB2" w:rsidRDefault="007B3AB2" w:rsidP="00AA6E22">
      <w:pPr>
        <w:spacing w:after="0" w:line="276" w:lineRule="auto"/>
        <w:jc w:val="both"/>
        <w:rPr>
          <w:rFonts w:ascii="Times New Roman" w:hAnsi="Times New Roman" w:cs="Times New Roman"/>
          <w:i/>
        </w:rPr>
      </w:pPr>
    </w:p>
    <w:p w14:paraId="7B9EB950" w14:textId="56D01C94" w:rsidR="00D87002" w:rsidRPr="00D87002" w:rsidRDefault="00D87002" w:rsidP="00AA6E22">
      <w:pPr>
        <w:spacing w:after="0" w:line="276" w:lineRule="auto"/>
        <w:jc w:val="both"/>
        <w:rPr>
          <w:rFonts w:ascii="Times New Roman" w:hAnsi="Times New Roman" w:cs="Times New Roman"/>
          <w:i/>
        </w:rPr>
      </w:pPr>
      <w:r>
        <w:rPr>
          <w:rFonts w:ascii="Times New Roman" w:hAnsi="Times New Roman" w:cs="Times New Roman"/>
          <w:i/>
        </w:rPr>
        <w:t>Functions of NSW Communities and Justice</w:t>
      </w:r>
    </w:p>
    <w:p w14:paraId="50C499F2" w14:textId="77777777" w:rsidR="00D87002" w:rsidRDefault="00D87002" w:rsidP="00AA6E22">
      <w:pPr>
        <w:spacing w:after="0" w:line="276" w:lineRule="auto"/>
        <w:jc w:val="both"/>
        <w:rPr>
          <w:rFonts w:ascii="Times New Roman" w:hAnsi="Times New Roman" w:cs="Times New Roman"/>
        </w:rPr>
      </w:pPr>
    </w:p>
    <w:p w14:paraId="5428CEFB" w14:textId="6C2C60A8" w:rsidR="009F4950" w:rsidRDefault="00FF5826" w:rsidP="00AA6E22">
      <w:pPr>
        <w:spacing w:after="0" w:line="276" w:lineRule="auto"/>
        <w:jc w:val="both"/>
        <w:rPr>
          <w:rFonts w:ascii="Times New Roman" w:hAnsi="Times New Roman" w:cs="Times New Roman"/>
        </w:rPr>
      </w:pPr>
      <w:r>
        <w:rPr>
          <w:rFonts w:ascii="Times New Roman" w:hAnsi="Times New Roman" w:cs="Times New Roman"/>
        </w:rPr>
        <w:t>As set out in the conditions, the</w:t>
      </w:r>
      <w:r w:rsidR="009F4950">
        <w:rPr>
          <w:rFonts w:ascii="Times New Roman" w:hAnsi="Times New Roman" w:cs="Times New Roman"/>
        </w:rPr>
        <w:t xml:space="preserve"> Declaration only relates to </w:t>
      </w:r>
      <w:r w:rsidR="00F70E88">
        <w:rPr>
          <w:rFonts w:ascii="Times New Roman" w:hAnsi="Times New Roman" w:cs="Times New Roman"/>
        </w:rPr>
        <w:t xml:space="preserve">the part of </w:t>
      </w:r>
      <w:r w:rsidR="00D87002">
        <w:rPr>
          <w:rFonts w:ascii="Times New Roman" w:hAnsi="Times New Roman" w:cs="Times New Roman"/>
        </w:rPr>
        <w:t>NSW Communities and Justice</w:t>
      </w:r>
      <w:r w:rsidR="00F70E88">
        <w:rPr>
          <w:rFonts w:ascii="Times New Roman" w:hAnsi="Times New Roman" w:cs="Times New Roman"/>
        </w:rPr>
        <w:t xml:space="preserve"> </w:t>
      </w:r>
      <w:r w:rsidRPr="000C79CE">
        <w:rPr>
          <w:rFonts w:ascii="Times New Roman" w:hAnsi="Times New Roman" w:cs="Times New Roman"/>
        </w:rPr>
        <w:t>known as Corrective Services NSW</w:t>
      </w:r>
      <w:r w:rsidR="000B16F1">
        <w:rPr>
          <w:rFonts w:ascii="Times New Roman" w:hAnsi="Times New Roman" w:cs="Times New Roman"/>
        </w:rPr>
        <w:t xml:space="preserve"> (CSNSW)</w:t>
      </w:r>
      <w:r w:rsidR="005D540E">
        <w:rPr>
          <w:rFonts w:ascii="Times New Roman" w:hAnsi="Times New Roman" w:cs="Times New Roman"/>
        </w:rPr>
        <w:t xml:space="preserve">, </w:t>
      </w:r>
      <w:r>
        <w:rPr>
          <w:rFonts w:ascii="Times New Roman" w:hAnsi="Times New Roman" w:cs="Times New Roman"/>
        </w:rPr>
        <w:t xml:space="preserve">which performs the functions of a corrective services agency and enforces the criminal law. </w:t>
      </w:r>
    </w:p>
    <w:p w14:paraId="5F8E97F6" w14:textId="77777777" w:rsidR="009F4950" w:rsidRDefault="009F4950" w:rsidP="00AA6E22">
      <w:pPr>
        <w:spacing w:after="0" w:line="276" w:lineRule="auto"/>
        <w:jc w:val="both"/>
        <w:rPr>
          <w:rFonts w:ascii="Times New Roman" w:hAnsi="Times New Roman" w:cs="Times New Roman"/>
        </w:rPr>
      </w:pPr>
    </w:p>
    <w:p w14:paraId="5321CD58" w14:textId="6CC9C918" w:rsidR="00D87002" w:rsidRDefault="009F4950" w:rsidP="00AA6E22">
      <w:pPr>
        <w:spacing w:after="0" w:line="276" w:lineRule="auto"/>
        <w:jc w:val="both"/>
        <w:rPr>
          <w:rFonts w:ascii="Times New Roman" w:hAnsi="Times New Roman" w:cs="Times New Roman"/>
        </w:rPr>
      </w:pPr>
      <w:r>
        <w:rPr>
          <w:rFonts w:ascii="Times New Roman" w:hAnsi="Times New Roman" w:cs="Times New Roman"/>
        </w:rPr>
        <w:t xml:space="preserve">Specifically, </w:t>
      </w:r>
      <w:r w:rsidR="00D87002">
        <w:rPr>
          <w:rFonts w:ascii="Times New Roman" w:hAnsi="Times New Roman" w:cs="Times New Roman"/>
        </w:rPr>
        <w:t xml:space="preserve">NSW Communities and Justice administers the </w:t>
      </w:r>
      <w:r w:rsidR="00D87002">
        <w:rPr>
          <w:rFonts w:ascii="Times New Roman" w:hAnsi="Times New Roman" w:cs="Times New Roman"/>
          <w:i/>
        </w:rPr>
        <w:t>Crimes (Administration of Sentences) Act</w:t>
      </w:r>
      <w:r w:rsidR="005D540E">
        <w:rPr>
          <w:rFonts w:ascii="Times New Roman" w:hAnsi="Times New Roman" w:cs="Times New Roman"/>
          <w:i/>
        </w:rPr>
        <w:t> </w:t>
      </w:r>
      <w:r w:rsidR="00D87002">
        <w:rPr>
          <w:rFonts w:ascii="Times New Roman" w:hAnsi="Times New Roman" w:cs="Times New Roman"/>
          <w:i/>
        </w:rPr>
        <w:t xml:space="preserve">1999 </w:t>
      </w:r>
      <w:r w:rsidR="00D87002">
        <w:rPr>
          <w:rFonts w:ascii="Times New Roman" w:hAnsi="Times New Roman" w:cs="Times New Roman"/>
        </w:rPr>
        <w:t xml:space="preserve">(NSW) which includes criminal penalties under Part 13A for offences such as the trafficking of prohibited goods and the possession of mobile phones in correctional facilities. NSW Communities and Justice also plays a critical role in the detection, investigation and prosecution of offences under the </w:t>
      </w:r>
      <w:r w:rsidR="00D87002">
        <w:rPr>
          <w:rFonts w:ascii="Times New Roman" w:hAnsi="Times New Roman" w:cs="Times New Roman"/>
          <w:i/>
        </w:rPr>
        <w:t xml:space="preserve">Crimes Act 1900 </w:t>
      </w:r>
      <w:r w:rsidR="00D87002">
        <w:rPr>
          <w:rFonts w:ascii="Times New Roman" w:hAnsi="Times New Roman" w:cs="Times New Roman"/>
        </w:rPr>
        <w:t xml:space="preserve">(NSW) including offences relating to escaping from lawful custody and threatening witnesses as well as terrorism offences under the </w:t>
      </w:r>
      <w:r w:rsidR="00D87002" w:rsidRPr="007C16A1">
        <w:rPr>
          <w:rFonts w:ascii="Times New Roman" w:hAnsi="Times New Roman" w:cs="Times New Roman"/>
          <w:i/>
        </w:rPr>
        <w:t>Terrorism (High Risk Offenders) Act 2017</w:t>
      </w:r>
      <w:r w:rsidR="00D87002">
        <w:rPr>
          <w:rFonts w:ascii="Times New Roman" w:hAnsi="Times New Roman" w:cs="Times New Roman"/>
        </w:rPr>
        <w:t xml:space="preserve"> (NSW)</w:t>
      </w:r>
      <w:r w:rsidR="00D87002" w:rsidRPr="007C16A1">
        <w:rPr>
          <w:rFonts w:ascii="Times New Roman" w:hAnsi="Times New Roman" w:cs="Times New Roman"/>
        </w:rPr>
        <w:t xml:space="preserve"> and the </w:t>
      </w:r>
      <w:r w:rsidR="00D87002" w:rsidRPr="007C16A1">
        <w:rPr>
          <w:rFonts w:ascii="Times New Roman" w:hAnsi="Times New Roman" w:cs="Times New Roman"/>
          <w:i/>
        </w:rPr>
        <w:t xml:space="preserve">Criminal Code Act 1995 </w:t>
      </w:r>
      <w:r w:rsidR="00D87002" w:rsidRPr="007C16A1">
        <w:rPr>
          <w:rFonts w:ascii="Times New Roman" w:hAnsi="Times New Roman" w:cs="Times New Roman"/>
        </w:rPr>
        <w:t>(Cth)</w:t>
      </w:r>
      <w:r w:rsidR="00D87002">
        <w:rPr>
          <w:rFonts w:ascii="Times New Roman" w:hAnsi="Times New Roman" w:cs="Times New Roman"/>
        </w:rPr>
        <w:t>.</w:t>
      </w:r>
    </w:p>
    <w:p w14:paraId="24379DBE" w14:textId="0741A125" w:rsidR="00D87002" w:rsidRPr="00D87002" w:rsidRDefault="00D87002" w:rsidP="00AA6E22">
      <w:pPr>
        <w:spacing w:line="276" w:lineRule="auto"/>
        <w:rPr>
          <w:rFonts w:ascii="Times New Roman" w:hAnsi="Times New Roman" w:cs="Times New Roman"/>
        </w:rPr>
      </w:pPr>
    </w:p>
    <w:p w14:paraId="35C638E0" w14:textId="05F45A28" w:rsidR="005308B7" w:rsidRDefault="00292016" w:rsidP="00AA6E22">
      <w:pPr>
        <w:spacing w:after="0" w:line="276" w:lineRule="auto"/>
        <w:jc w:val="both"/>
        <w:rPr>
          <w:rFonts w:ascii="Times New Roman" w:hAnsi="Times New Roman" w:cs="Times New Roman"/>
        </w:rPr>
      </w:pPr>
      <w:r>
        <w:rPr>
          <w:rFonts w:ascii="Times New Roman" w:hAnsi="Times New Roman" w:cs="Times New Roman"/>
        </w:rPr>
        <w:lastRenderedPageBreak/>
        <w:t xml:space="preserve">The Declaration addresses the legitimate objectives of national security, public order and the rights of others. </w:t>
      </w:r>
      <w:r w:rsidR="00D87002" w:rsidRPr="00836BF9">
        <w:rPr>
          <w:rFonts w:ascii="Times New Roman" w:hAnsi="Times New Roman" w:cs="Times New Roman"/>
        </w:rPr>
        <w:t>Illicit mobile telephones pose a particular threat within correctional facilities. They are used to organise escape attempts, threaten the safety of victims and witnesses, organise trafficking of contraband, as well as facilitate behaviour contrary to national security interests.</w:t>
      </w:r>
      <w:r w:rsidR="00D87002">
        <w:rPr>
          <w:rFonts w:ascii="Times New Roman" w:hAnsi="Times New Roman" w:cs="Times New Roman"/>
        </w:rPr>
        <w:t xml:space="preserve"> T</w:t>
      </w:r>
      <w:r w:rsidR="00D87002" w:rsidRPr="00836BF9">
        <w:rPr>
          <w:rFonts w:ascii="Times New Roman" w:hAnsi="Times New Roman" w:cs="Times New Roman"/>
        </w:rPr>
        <w:t xml:space="preserve">elecommunications data </w:t>
      </w:r>
      <w:r w:rsidR="00D87002">
        <w:rPr>
          <w:rFonts w:ascii="Times New Roman" w:hAnsi="Times New Roman" w:cs="Times New Roman"/>
        </w:rPr>
        <w:t>is</w:t>
      </w:r>
      <w:r w:rsidR="00D87002" w:rsidRPr="00836BF9">
        <w:rPr>
          <w:rFonts w:ascii="Times New Roman" w:hAnsi="Times New Roman" w:cs="Times New Roman"/>
        </w:rPr>
        <w:t xml:space="preserve"> particularly vital in establishing the ownership or location of mobile phones used to commit offences</w:t>
      </w:r>
      <w:r>
        <w:rPr>
          <w:rFonts w:ascii="Times New Roman" w:hAnsi="Times New Roman" w:cs="Times New Roman"/>
        </w:rPr>
        <w:t xml:space="preserve"> within correctional facilities. </w:t>
      </w:r>
      <w:r w:rsidR="005308B7">
        <w:rPr>
          <w:rFonts w:ascii="Times New Roman" w:hAnsi="Times New Roman" w:cs="Times New Roman"/>
        </w:rPr>
        <w:t xml:space="preserve">Access to this data would assist NSW Communities and Justice </w:t>
      </w:r>
      <w:r w:rsidR="005308B7" w:rsidRPr="005308B7">
        <w:rPr>
          <w:rFonts w:ascii="Times New Roman" w:hAnsi="Times New Roman" w:cs="Times New Roman"/>
        </w:rPr>
        <w:t xml:space="preserve">to </w:t>
      </w:r>
      <w:r w:rsidR="005308B7">
        <w:rPr>
          <w:rFonts w:ascii="Times New Roman" w:hAnsi="Times New Roman" w:cs="Times New Roman"/>
        </w:rPr>
        <w:t xml:space="preserve">better </w:t>
      </w:r>
      <w:r w:rsidR="005308B7" w:rsidRPr="005308B7">
        <w:rPr>
          <w:rFonts w:ascii="Times New Roman" w:hAnsi="Times New Roman" w:cs="Times New Roman"/>
        </w:rPr>
        <w:t xml:space="preserve">identify, </w:t>
      </w:r>
      <w:r w:rsidR="005308B7">
        <w:rPr>
          <w:rFonts w:ascii="Times New Roman" w:hAnsi="Times New Roman" w:cs="Times New Roman"/>
        </w:rPr>
        <w:t xml:space="preserve">investigate and prevent </w:t>
      </w:r>
      <w:r w:rsidR="005308B7" w:rsidRPr="005308B7">
        <w:rPr>
          <w:rFonts w:ascii="Times New Roman" w:hAnsi="Times New Roman" w:cs="Times New Roman"/>
        </w:rPr>
        <w:t>illicit mobile phone</w:t>
      </w:r>
      <w:r w:rsidR="00A754B6">
        <w:rPr>
          <w:rFonts w:ascii="Times New Roman" w:hAnsi="Times New Roman" w:cs="Times New Roman"/>
        </w:rPr>
        <w:t>-</w:t>
      </w:r>
      <w:r w:rsidR="005308B7" w:rsidRPr="005308B7">
        <w:rPr>
          <w:rFonts w:ascii="Times New Roman" w:hAnsi="Times New Roman" w:cs="Times New Roman"/>
        </w:rPr>
        <w:t xml:space="preserve">related crime </w:t>
      </w:r>
      <w:r w:rsidR="005308B7">
        <w:rPr>
          <w:rFonts w:ascii="Times New Roman" w:hAnsi="Times New Roman" w:cs="Times New Roman"/>
        </w:rPr>
        <w:t>in correctional facilities</w:t>
      </w:r>
      <w:r w:rsidR="005308B7" w:rsidRPr="005308B7">
        <w:rPr>
          <w:rFonts w:ascii="Times New Roman" w:hAnsi="Times New Roman" w:cs="Times New Roman"/>
        </w:rPr>
        <w:t>, ensuring any criminal offences are appropriately detected and prosecuted, mitigating the risk posed to national security and public order</w:t>
      </w:r>
      <w:r w:rsidR="005308B7">
        <w:rPr>
          <w:rFonts w:ascii="Times New Roman" w:hAnsi="Times New Roman" w:cs="Times New Roman"/>
        </w:rPr>
        <w:t>.</w:t>
      </w:r>
    </w:p>
    <w:p w14:paraId="04AB48FC" w14:textId="5BF6D910" w:rsidR="00D87002" w:rsidRDefault="00D87002" w:rsidP="00AA6E22">
      <w:pPr>
        <w:spacing w:after="0" w:line="276" w:lineRule="auto"/>
        <w:jc w:val="both"/>
        <w:rPr>
          <w:rFonts w:ascii="Times New Roman" w:hAnsi="Times New Roman" w:cs="Times New Roman"/>
        </w:rPr>
      </w:pPr>
    </w:p>
    <w:p w14:paraId="760A42E7" w14:textId="52F23FEF" w:rsidR="00862E91" w:rsidRPr="00862E91" w:rsidRDefault="00862E91" w:rsidP="00862E91">
      <w:pPr>
        <w:spacing w:after="0" w:line="276" w:lineRule="auto"/>
        <w:jc w:val="both"/>
        <w:rPr>
          <w:rFonts w:ascii="Times New Roman" w:hAnsi="Times New Roman" w:cs="Times New Roman"/>
          <w:i/>
        </w:rPr>
      </w:pPr>
      <w:r w:rsidRPr="00862E91">
        <w:rPr>
          <w:rFonts w:ascii="Times New Roman" w:hAnsi="Times New Roman" w:cs="Times New Roman"/>
          <w:i/>
        </w:rPr>
        <w:t xml:space="preserve">Parliamentary Joint Committee on Human Rights (PJCHR) </w:t>
      </w:r>
      <w:r w:rsidR="003D347C">
        <w:rPr>
          <w:rFonts w:ascii="Times New Roman" w:hAnsi="Times New Roman" w:cs="Times New Roman"/>
          <w:i/>
        </w:rPr>
        <w:t>commentary</w:t>
      </w:r>
    </w:p>
    <w:p w14:paraId="077D9E58" w14:textId="04F77DD6" w:rsidR="00862E91" w:rsidRPr="000B16F1" w:rsidRDefault="00862E91" w:rsidP="00862E91">
      <w:pPr>
        <w:pStyle w:val="Celltext"/>
        <w:spacing w:after="120"/>
        <w:rPr>
          <w:sz w:val="22"/>
          <w:szCs w:val="22"/>
        </w:rPr>
      </w:pPr>
      <w:r w:rsidRPr="000B16F1">
        <w:rPr>
          <w:sz w:val="22"/>
          <w:szCs w:val="22"/>
        </w:rPr>
        <w:t xml:space="preserve">On 14 June 2023, the PJCHR raised concerns </w:t>
      </w:r>
      <w:r w:rsidR="003D347C">
        <w:rPr>
          <w:sz w:val="22"/>
          <w:szCs w:val="22"/>
        </w:rPr>
        <w:t>about</w:t>
      </w:r>
      <w:r w:rsidRPr="000B16F1">
        <w:rPr>
          <w:sz w:val="22"/>
          <w:szCs w:val="22"/>
        </w:rPr>
        <w:t xml:space="preserve"> the human rights impact of previous CSNSW declarations </w:t>
      </w:r>
      <w:r w:rsidR="003D347C">
        <w:rPr>
          <w:sz w:val="22"/>
          <w:szCs w:val="22"/>
        </w:rPr>
        <w:t>(</w:t>
      </w:r>
      <w:r w:rsidRPr="000B16F1">
        <w:rPr>
          <w:sz w:val="22"/>
          <w:szCs w:val="22"/>
        </w:rPr>
        <w:t>Report 6 of 2023</w:t>
      </w:r>
      <w:r w:rsidR="003D347C">
        <w:rPr>
          <w:sz w:val="22"/>
          <w:szCs w:val="22"/>
        </w:rPr>
        <w:t>)</w:t>
      </w:r>
      <w:r w:rsidRPr="000B16F1">
        <w:rPr>
          <w:sz w:val="22"/>
          <w:szCs w:val="22"/>
        </w:rPr>
        <w:t>. On 3 August</w:t>
      </w:r>
      <w:r w:rsidR="003D347C">
        <w:rPr>
          <w:sz w:val="22"/>
          <w:szCs w:val="22"/>
        </w:rPr>
        <w:t xml:space="preserve"> 2023</w:t>
      </w:r>
      <w:r w:rsidRPr="000B16F1">
        <w:rPr>
          <w:sz w:val="22"/>
          <w:szCs w:val="22"/>
        </w:rPr>
        <w:t xml:space="preserve">, </w:t>
      </w:r>
      <w:r w:rsidR="003D347C">
        <w:rPr>
          <w:sz w:val="22"/>
          <w:szCs w:val="22"/>
        </w:rPr>
        <w:t>in</w:t>
      </w:r>
      <w:r w:rsidRPr="000B16F1">
        <w:rPr>
          <w:sz w:val="22"/>
          <w:szCs w:val="22"/>
        </w:rPr>
        <w:t xml:space="preserve"> Report 8 of 2023</w:t>
      </w:r>
      <w:r w:rsidR="003D347C">
        <w:rPr>
          <w:sz w:val="22"/>
          <w:szCs w:val="22"/>
        </w:rPr>
        <w:t xml:space="preserve">, the PJCHR </w:t>
      </w:r>
      <w:r w:rsidRPr="000B16F1">
        <w:rPr>
          <w:sz w:val="22"/>
          <w:szCs w:val="22"/>
        </w:rPr>
        <w:t>further scrutinised aspects of the previous declaration for CSNSW.</w:t>
      </w:r>
      <w:r w:rsidR="003D347C">
        <w:rPr>
          <w:sz w:val="22"/>
          <w:szCs w:val="22"/>
        </w:rPr>
        <w:t xml:space="preserve"> T</w:t>
      </w:r>
      <w:r w:rsidRPr="000B16F1">
        <w:rPr>
          <w:sz w:val="22"/>
          <w:szCs w:val="22"/>
        </w:rPr>
        <w:t>he PJCHR expressed a view that:</w:t>
      </w:r>
    </w:p>
    <w:p w14:paraId="79305C1A" w14:textId="77777777" w:rsidR="00862E91" w:rsidRPr="00261D99" w:rsidRDefault="00862E91" w:rsidP="00261D99">
      <w:pPr>
        <w:pStyle w:val="Celltext"/>
        <w:numPr>
          <w:ilvl w:val="0"/>
          <w:numId w:val="25"/>
        </w:numPr>
        <w:spacing w:after="120"/>
        <w:rPr>
          <w:sz w:val="22"/>
          <w:szCs w:val="22"/>
        </w:rPr>
      </w:pPr>
      <w:r w:rsidRPr="00261D99">
        <w:rPr>
          <w:sz w:val="22"/>
          <w:szCs w:val="22"/>
        </w:rPr>
        <w:t>CSNSW has not demonstrated a pressing and substantial issue of public or social concern</w:t>
      </w:r>
    </w:p>
    <w:p w14:paraId="4F4A42E0" w14:textId="77777777" w:rsidR="00862E91" w:rsidRPr="00261D99" w:rsidRDefault="00862E91" w:rsidP="00261D99">
      <w:pPr>
        <w:pStyle w:val="Celltext"/>
        <w:numPr>
          <w:ilvl w:val="0"/>
          <w:numId w:val="25"/>
        </w:numPr>
        <w:spacing w:after="120"/>
        <w:rPr>
          <w:sz w:val="22"/>
          <w:szCs w:val="22"/>
        </w:rPr>
      </w:pPr>
      <w:r w:rsidRPr="00261D99">
        <w:rPr>
          <w:sz w:val="22"/>
          <w:szCs w:val="22"/>
        </w:rPr>
        <w:t>CSNSW has not accessed telecommunications frequently enough to justify limiting individuals’ right to privacy</w:t>
      </w:r>
    </w:p>
    <w:p w14:paraId="6EF47C97" w14:textId="77777777" w:rsidR="00862E91" w:rsidRPr="000B16F1" w:rsidRDefault="00862E91" w:rsidP="00862E91">
      <w:pPr>
        <w:pStyle w:val="Celltext"/>
        <w:numPr>
          <w:ilvl w:val="0"/>
          <w:numId w:val="25"/>
        </w:numPr>
        <w:spacing w:after="120"/>
        <w:rPr>
          <w:sz w:val="22"/>
          <w:szCs w:val="22"/>
        </w:rPr>
      </w:pPr>
      <w:r w:rsidRPr="000B16F1">
        <w:rPr>
          <w:sz w:val="22"/>
          <w:szCs w:val="22"/>
        </w:rPr>
        <w:t>CSNSW previously accessed telecommunication data via NSW Police, and other corrective services are still doing this successfully, therefore the necessity of this power has not been established for CSNSW, and</w:t>
      </w:r>
    </w:p>
    <w:p w14:paraId="345C984E" w14:textId="25A3382F" w:rsidR="00862E91" w:rsidRPr="000B16F1" w:rsidRDefault="00862E91" w:rsidP="00862E91">
      <w:pPr>
        <w:pStyle w:val="Celltext"/>
        <w:numPr>
          <w:ilvl w:val="0"/>
          <w:numId w:val="25"/>
        </w:numPr>
        <w:spacing w:after="120"/>
        <w:rPr>
          <w:sz w:val="22"/>
          <w:szCs w:val="22"/>
        </w:rPr>
      </w:pPr>
      <w:r w:rsidRPr="000B16F1">
        <w:rPr>
          <w:sz w:val="22"/>
          <w:szCs w:val="22"/>
        </w:rPr>
        <w:t xml:space="preserve">the scope of officers who may access to telecommunications data is too broad. As a matter of law, any of the over 10,000 officers within CSNSW could be authorised to access this private telecommunications data. </w:t>
      </w:r>
    </w:p>
    <w:p w14:paraId="27F22A4F" w14:textId="23201D39" w:rsidR="00862E91" w:rsidRPr="000B16F1" w:rsidRDefault="00862E91" w:rsidP="00AA6E22">
      <w:pPr>
        <w:spacing w:after="0" w:line="276" w:lineRule="auto"/>
        <w:jc w:val="both"/>
        <w:rPr>
          <w:rFonts w:ascii="Times New Roman" w:hAnsi="Times New Roman" w:cs="Times New Roman"/>
        </w:rPr>
      </w:pPr>
      <w:r w:rsidRPr="000B16F1">
        <w:rPr>
          <w:rFonts w:ascii="Times New Roman" w:hAnsi="Times New Roman" w:cs="Times New Roman"/>
        </w:rPr>
        <w:t xml:space="preserve">In </w:t>
      </w:r>
      <w:r w:rsidR="003D347C">
        <w:rPr>
          <w:rFonts w:ascii="Times New Roman" w:hAnsi="Times New Roman" w:cs="Times New Roman"/>
        </w:rPr>
        <w:t>resonse</w:t>
      </w:r>
      <w:r w:rsidRPr="000B16F1">
        <w:rPr>
          <w:rFonts w:ascii="Times New Roman" w:hAnsi="Times New Roman" w:cs="Times New Roman"/>
        </w:rPr>
        <w:t xml:space="preserve"> to the specific concerns articulated by the PJCHR</w:t>
      </w:r>
      <w:r w:rsidR="003D347C">
        <w:rPr>
          <w:rFonts w:ascii="Times New Roman" w:hAnsi="Times New Roman" w:cs="Times New Roman"/>
        </w:rPr>
        <w:t>, the NSW Government has advised</w:t>
      </w:r>
      <w:r w:rsidRPr="000B16F1">
        <w:rPr>
          <w:rFonts w:ascii="Times New Roman" w:hAnsi="Times New Roman" w:cs="Times New Roman"/>
        </w:rPr>
        <w:t>:</w:t>
      </w:r>
    </w:p>
    <w:p w14:paraId="050BBB2B" w14:textId="7B72ACDA" w:rsidR="00862E91" w:rsidRPr="000B16F1" w:rsidRDefault="00862E91" w:rsidP="00862E91">
      <w:pPr>
        <w:pStyle w:val="ListParagraph0"/>
        <w:numPr>
          <w:ilvl w:val="0"/>
          <w:numId w:val="26"/>
        </w:numPr>
        <w:spacing w:after="0" w:line="276" w:lineRule="auto"/>
        <w:jc w:val="both"/>
        <w:rPr>
          <w:rFonts w:ascii="Times New Roman" w:hAnsi="Times New Roman" w:cs="Times New Roman"/>
        </w:rPr>
      </w:pPr>
      <w:r w:rsidRPr="000B16F1">
        <w:rPr>
          <w:rFonts w:ascii="Times New Roman" w:hAnsi="Times New Roman" w:cs="Times New Roman"/>
        </w:rPr>
        <w:t xml:space="preserve">There is a public expectation that </w:t>
      </w:r>
      <w:r w:rsidR="00F54C28" w:rsidRPr="000B16F1">
        <w:rPr>
          <w:rFonts w:ascii="Times New Roman" w:hAnsi="Times New Roman" w:cs="Times New Roman"/>
        </w:rPr>
        <w:t>CS</w:t>
      </w:r>
      <w:r w:rsidRPr="000B16F1">
        <w:rPr>
          <w:rFonts w:ascii="Times New Roman" w:hAnsi="Times New Roman" w:cs="Times New Roman"/>
        </w:rPr>
        <w:t xml:space="preserve">NSW will keep the community safe by effectively administering sentences imposed by the courts. This includes not only securely holding offenders, and disrupting offending within correctional centres, but seeking to identify and treat inmates’ criminogenic needs in order to reduce reoffending. </w:t>
      </w:r>
    </w:p>
    <w:p w14:paraId="40A0423A" w14:textId="7BB0C25B" w:rsidR="00F54C28" w:rsidRPr="000B16F1" w:rsidRDefault="00F54C28" w:rsidP="00F54C28">
      <w:pPr>
        <w:pStyle w:val="ListParagraph0"/>
        <w:numPr>
          <w:ilvl w:val="0"/>
          <w:numId w:val="26"/>
        </w:numPr>
        <w:spacing w:after="0" w:line="276" w:lineRule="auto"/>
        <w:jc w:val="both"/>
        <w:rPr>
          <w:rFonts w:ascii="Times New Roman" w:hAnsi="Times New Roman" w:cs="Times New Roman"/>
        </w:rPr>
      </w:pPr>
      <w:r w:rsidRPr="000B16F1">
        <w:rPr>
          <w:rFonts w:ascii="Times New Roman" w:hAnsi="Times New Roman" w:cs="Times New Roman"/>
        </w:rPr>
        <w:t>The number of times telecommunications data has been accessed does not necessarily reflect its operational and safety value. Use of this power correlates directly to illegal (or suspected) activity by staff and inmates. There may be periods where such activity is minimal and can be addressed by existing, and less intrusive, search and intelligence capacity. Conversely, there may be periods where such activity is high in volume, cannot be supported by existing intelligence capacity and access to telecommunications data may be required.</w:t>
      </w:r>
    </w:p>
    <w:p w14:paraId="507F5839" w14:textId="192AB610" w:rsidR="00F54C28" w:rsidRPr="000B16F1" w:rsidRDefault="00F54C28" w:rsidP="00F54C28">
      <w:pPr>
        <w:pStyle w:val="ListParagraph0"/>
        <w:numPr>
          <w:ilvl w:val="0"/>
          <w:numId w:val="26"/>
        </w:numPr>
        <w:spacing w:after="0" w:line="276" w:lineRule="auto"/>
        <w:jc w:val="both"/>
        <w:rPr>
          <w:rFonts w:ascii="Times New Roman" w:hAnsi="Times New Roman" w:cs="Times New Roman"/>
        </w:rPr>
      </w:pPr>
      <w:r w:rsidRPr="000B16F1">
        <w:rPr>
          <w:rFonts w:ascii="Times New Roman" w:hAnsi="Times New Roman" w:cs="Times New Roman"/>
        </w:rPr>
        <w:t>CSNSW is best-placed to determine the relevance of data and other information associated with inmates and offenders under its management because NSW Police lacks this operational context. It is impractical and presumptuous to rely on NSW Police to obtain telecommunications data for CSNSW, noting the very high volume, nature and complexity of NSW Police’s own law enforcement functions. CSNSW has a demonstrated capacity and expertise to undertake these functions in-house.</w:t>
      </w:r>
    </w:p>
    <w:p w14:paraId="16973EDC" w14:textId="6B0BE5D4" w:rsidR="00F54C28" w:rsidRPr="000B16F1" w:rsidRDefault="00F54C28" w:rsidP="00F54C28">
      <w:pPr>
        <w:pStyle w:val="ListParagraph0"/>
        <w:numPr>
          <w:ilvl w:val="0"/>
          <w:numId w:val="26"/>
        </w:numPr>
        <w:spacing w:after="0" w:line="276" w:lineRule="auto"/>
        <w:jc w:val="both"/>
        <w:rPr>
          <w:rFonts w:ascii="Times New Roman" w:hAnsi="Times New Roman" w:cs="Times New Roman"/>
        </w:rPr>
      </w:pPr>
      <w:r w:rsidRPr="000B16F1">
        <w:rPr>
          <w:rFonts w:ascii="Times New Roman" w:hAnsi="Times New Roman" w:cs="Times New Roman"/>
        </w:rPr>
        <w:t xml:space="preserve">In practice, access to telecommunications data powers within CSNSW is strictly limited. Only six executive-level officers can make authorisations, and only officers within defined </w:t>
      </w:r>
      <w:r w:rsidR="00896C03">
        <w:rPr>
          <w:rFonts w:ascii="Times New Roman" w:hAnsi="Times New Roman" w:cs="Times New Roman"/>
        </w:rPr>
        <w:t>organisational units</w:t>
      </w:r>
      <w:r w:rsidRPr="000B16F1">
        <w:rPr>
          <w:rFonts w:ascii="Times New Roman" w:hAnsi="Times New Roman" w:cs="Times New Roman"/>
        </w:rPr>
        <w:t>, who have been provided with specific access and training, are able to access the data. Once telecommunications data is received, it is held in a secure web-based system that is only accessible by select personnel and is fully auditable.</w:t>
      </w:r>
    </w:p>
    <w:p w14:paraId="153C9966" w14:textId="77777777" w:rsidR="00862E91" w:rsidRDefault="00862E91" w:rsidP="00AA6E22">
      <w:pPr>
        <w:spacing w:after="0" w:line="276" w:lineRule="auto"/>
        <w:jc w:val="both"/>
        <w:rPr>
          <w:rFonts w:ascii="Times New Roman" w:hAnsi="Times New Roman" w:cs="Times New Roman"/>
        </w:rPr>
      </w:pPr>
    </w:p>
    <w:p w14:paraId="75EA75E3" w14:textId="56DC073E" w:rsidR="00D87002" w:rsidRDefault="00F54C28" w:rsidP="001A6C53">
      <w:pPr>
        <w:spacing w:after="0" w:line="276" w:lineRule="auto"/>
        <w:jc w:val="both"/>
        <w:rPr>
          <w:rFonts w:ascii="Times New Roman" w:hAnsi="Times New Roman" w:cs="Times New Roman"/>
          <w:i/>
        </w:rPr>
      </w:pPr>
      <w:r>
        <w:rPr>
          <w:rFonts w:ascii="Times New Roman" w:hAnsi="Times New Roman" w:cs="Times New Roman"/>
          <w:i/>
        </w:rPr>
        <w:lastRenderedPageBreak/>
        <w:t>Other p</w:t>
      </w:r>
      <w:r w:rsidR="00D87002" w:rsidRPr="00D87002">
        <w:rPr>
          <w:rFonts w:ascii="Times New Roman" w:hAnsi="Times New Roman" w:cs="Times New Roman"/>
          <w:i/>
        </w:rPr>
        <w:t xml:space="preserve">rivacy </w:t>
      </w:r>
      <w:r w:rsidR="00292016">
        <w:rPr>
          <w:rFonts w:ascii="Times New Roman" w:hAnsi="Times New Roman" w:cs="Times New Roman"/>
          <w:i/>
        </w:rPr>
        <w:t>safeguards</w:t>
      </w:r>
    </w:p>
    <w:p w14:paraId="524C463C" w14:textId="4D24661A" w:rsidR="00463B2A" w:rsidRDefault="00C23E1E" w:rsidP="00AA6E22">
      <w:pPr>
        <w:spacing w:after="0" w:line="276" w:lineRule="auto"/>
        <w:jc w:val="both"/>
        <w:rPr>
          <w:rFonts w:ascii="Times New Roman" w:hAnsi="Times New Roman" w:cs="Times New Roman"/>
        </w:rPr>
      </w:pPr>
      <w:r>
        <w:rPr>
          <w:rFonts w:ascii="Times New Roman" w:eastAsia="Times New Roman" w:hAnsi="Times New Roman" w:cs="Times New Roman"/>
          <w:lang w:eastAsia="en-AU"/>
        </w:rPr>
        <w:br/>
      </w:r>
      <w:r w:rsidR="00463B2A" w:rsidRPr="001A6C53">
        <w:rPr>
          <w:rFonts w:ascii="Times New Roman" w:eastAsia="Times New Roman" w:hAnsi="Times New Roman" w:cs="Times New Roman"/>
          <w:lang w:eastAsia="en-AU"/>
        </w:rPr>
        <w:t>NSW Communities and Justice</w:t>
      </w:r>
      <w:r w:rsidR="00D87002" w:rsidRPr="001A6C53">
        <w:rPr>
          <w:rFonts w:ascii="Times New Roman" w:eastAsia="Times New Roman" w:hAnsi="Times New Roman" w:cs="Times New Roman"/>
          <w:lang w:eastAsia="en-AU"/>
        </w:rPr>
        <w:t xml:space="preserve"> is subject to</w:t>
      </w:r>
      <w:r w:rsidR="00463B2A" w:rsidRPr="001A6C53">
        <w:rPr>
          <w:rFonts w:ascii="Times New Roman" w:eastAsia="Times New Roman" w:hAnsi="Times New Roman" w:cs="Times New Roman"/>
          <w:lang w:eastAsia="en-AU"/>
        </w:rPr>
        <w:t xml:space="preserve"> NSW privacy laws including the</w:t>
      </w:r>
      <w:r w:rsidR="00463B2A" w:rsidRPr="00463B2A">
        <w:rPr>
          <w:rFonts w:ascii="Times New Roman" w:hAnsi="Times New Roman" w:cs="Times New Roman"/>
        </w:rPr>
        <w:t xml:space="preserve"> </w:t>
      </w:r>
      <w:r w:rsidR="00463B2A" w:rsidRPr="00463B2A">
        <w:rPr>
          <w:rFonts w:ascii="Times New Roman" w:hAnsi="Times New Roman" w:cs="Times New Roman"/>
          <w:i/>
        </w:rPr>
        <w:t>Privacy and Personal Information Protection Act 1998</w:t>
      </w:r>
      <w:r w:rsidR="00463B2A" w:rsidRPr="00463B2A">
        <w:rPr>
          <w:rFonts w:ascii="Times New Roman" w:hAnsi="Times New Roman" w:cs="Times New Roman"/>
        </w:rPr>
        <w:t xml:space="preserve"> (NSW), and secrecy provisions including in the </w:t>
      </w:r>
      <w:r w:rsidR="00463B2A" w:rsidRPr="00463B2A">
        <w:rPr>
          <w:rFonts w:ascii="Times New Roman" w:hAnsi="Times New Roman" w:cs="Times New Roman"/>
          <w:i/>
        </w:rPr>
        <w:t>Crimes</w:t>
      </w:r>
      <w:r w:rsidR="005D540E">
        <w:rPr>
          <w:rFonts w:ascii="Times New Roman" w:hAnsi="Times New Roman" w:cs="Times New Roman"/>
          <w:i/>
        </w:rPr>
        <w:t> </w:t>
      </w:r>
      <w:r w:rsidR="00463B2A" w:rsidRPr="00463B2A">
        <w:rPr>
          <w:rFonts w:ascii="Times New Roman" w:hAnsi="Times New Roman" w:cs="Times New Roman"/>
          <w:i/>
        </w:rPr>
        <w:t>(Administration of Sentences) Act 1999</w:t>
      </w:r>
      <w:r w:rsidR="00463B2A" w:rsidRPr="00463B2A">
        <w:rPr>
          <w:rFonts w:ascii="Times New Roman" w:hAnsi="Times New Roman" w:cs="Times New Roman"/>
        </w:rPr>
        <w:t xml:space="preserve"> (NSW).</w:t>
      </w:r>
      <w:r w:rsidR="00D87002">
        <w:rPr>
          <w:rFonts w:ascii="Times New Roman" w:hAnsi="Times New Roman" w:cs="Times New Roman"/>
        </w:rPr>
        <w:t xml:space="preserve"> Importantly, the privacy protections under NSW legislation are similar to those set out in the </w:t>
      </w:r>
      <w:r w:rsidR="00D87002">
        <w:rPr>
          <w:rFonts w:ascii="Times New Roman" w:hAnsi="Times New Roman" w:cs="Times New Roman"/>
          <w:i/>
        </w:rPr>
        <w:t>Privacy Act 1988</w:t>
      </w:r>
      <w:r w:rsidR="00B85170">
        <w:rPr>
          <w:rFonts w:ascii="Times New Roman" w:hAnsi="Times New Roman" w:cs="Times New Roman"/>
        </w:rPr>
        <w:t xml:space="preserve"> (Cth).</w:t>
      </w:r>
      <w:r w:rsidR="00EC5DF1">
        <w:rPr>
          <w:rFonts w:ascii="Times New Roman" w:hAnsi="Times New Roman" w:cs="Times New Roman"/>
        </w:rPr>
        <w:t xml:space="preserve"> </w:t>
      </w:r>
      <w:r w:rsidR="00D87002">
        <w:rPr>
          <w:rFonts w:ascii="Times New Roman" w:hAnsi="Times New Roman" w:cs="Times New Roman"/>
        </w:rPr>
        <w:t xml:space="preserve">These protections are complemented by the </w:t>
      </w:r>
      <w:r w:rsidR="00463B2A" w:rsidRPr="00463B2A">
        <w:rPr>
          <w:rFonts w:ascii="Times New Roman" w:hAnsi="Times New Roman" w:cs="Times New Roman"/>
        </w:rPr>
        <w:t>strict requirements of the TIA Act for the collection, use and disclosure of information obtained by law enforcement agencies.</w:t>
      </w:r>
    </w:p>
    <w:p w14:paraId="64614BD2" w14:textId="77777777" w:rsidR="00044031" w:rsidRPr="00463B2A" w:rsidRDefault="00044031" w:rsidP="00AA6E22">
      <w:pPr>
        <w:spacing w:after="0" w:line="276" w:lineRule="auto"/>
        <w:jc w:val="both"/>
        <w:rPr>
          <w:rFonts w:ascii="Times New Roman" w:hAnsi="Times New Roman" w:cs="Times New Roman"/>
        </w:rPr>
      </w:pPr>
    </w:p>
    <w:p w14:paraId="418E34AB" w14:textId="1B40E71D" w:rsidR="00463B2A" w:rsidRPr="00463B2A" w:rsidRDefault="00D87002" w:rsidP="00AA6E22">
      <w:pPr>
        <w:spacing w:after="0" w:line="276" w:lineRule="auto"/>
        <w:jc w:val="both"/>
        <w:rPr>
          <w:rFonts w:ascii="Times New Roman" w:hAnsi="Times New Roman" w:cs="Times New Roman"/>
        </w:rPr>
      </w:pPr>
      <w:r>
        <w:rPr>
          <w:rFonts w:ascii="Times New Roman" w:hAnsi="Times New Roman" w:cs="Times New Roman"/>
        </w:rPr>
        <w:t xml:space="preserve">Oversight and reporting requirements under the TIA Act also provide </w:t>
      </w:r>
      <w:r w:rsidR="004A2048">
        <w:rPr>
          <w:rFonts w:ascii="Times New Roman" w:hAnsi="Times New Roman" w:cs="Times New Roman"/>
        </w:rPr>
        <w:t>accountability on</w:t>
      </w:r>
      <w:r>
        <w:rPr>
          <w:rFonts w:ascii="Times New Roman" w:hAnsi="Times New Roman" w:cs="Times New Roman"/>
        </w:rPr>
        <w:t xml:space="preserve"> the use of telecommunications data by NSW Communities and Justice.</w:t>
      </w:r>
      <w:r w:rsidR="00DD341F">
        <w:rPr>
          <w:rFonts w:ascii="Times New Roman" w:hAnsi="Times New Roman" w:cs="Times New Roman"/>
        </w:rPr>
        <w:t xml:space="preserve"> </w:t>
      </w:r>
      <w:r w:rsidR="00463B2A" w:rsidRPr="00463B2A">
        <w:rPr>
          <w:rFonts w:ascii="Times New Roman" w:hAnsi="Times New Roman" w:cs="Times New Roman"/>
        </w:rPr>
        <w:t>N</w:t>
      </w:r>
      <w:r w:rsidR="004A2048">
        <w:rPr>
          <w:rFonts w:ascii="Times New Roman" w:hAnsi="Times New Roman" w:cs="Times New Roman"/>
        </w:rPr>
        <w:t>SW Communities and Justice will</w:t>
      </w:r>
      <w:r w:rsidR="00463B2A" w:rsidRPr="00463B2A">
        <w:rPr>
          <w:rFonts w:ascii="Times New Roman" w:hAnsi="Times New Roman" w:cs="Times New Roman"/>
        </w:rPr>
        <w:t xml:space="preserve"> be subject to independent oversight by the Commonwealth Ombudsman, who </w:t>
      </w:r>
      <w:r w:rsidR="00DD341F">
        <w:rPr>
          <w:rFonts w:ascii="Times New Roman" w:hAnsi="Times New Roman" w:cs="Times New Roman"/>
        </w:rPr>
        <w:t>will</w:t>
      </w:r>
      <w:r w:rsidR="00463B2A" w:rsidRPr="00463B2A">
        <w:rPr>
          <w:rFonts w:ascii="Times New Roman" w:hAnsi="Times New Roman" w:cs="Times New Roman"/>
        </w:rPr>
        <w:t xml:space="preserve"> inspect the records of </w:t>
      </w:r>
      <w:r w:rsidR="00DD341F">
        <w:rPr>
          <w:rFonts w:ascii="Times New Roman" w:hAnsi="Times New Roman" w:cs="Times New Roman"/>
        </w:rPr>
        <w:t>NSW Communities and Justice</w:t>
      </w:r>
      <w:r w:rsidR="00463B2A" w:rsidRPr="00463B2A">
        <w:rPr>
          <w:rFonts w:ascii="Times New Roman" w:hAnsi="Times New Roman" w:cs="Times New Roman"/>
        </w:rPr>
        <w:t xml:space="preserve"> to determine the extent of</w:t>
      </w:r>
      <w:r w:rsidR="00DD341F">
        <w:rPr>
          <w:rFonts w:ascii="Times New Roman" w:hAnsi="Times New Roman" w:cs="Times New Roman"/>
        </w:rPr>
        <w:t xml:space="preserve"> its (and its officers) compliance with Chapter </w:t>
      </w:r>
      <w:r w:rsidR="00463B2A" w:rsidRPr="00463B2A">
        <w:rPr>
          <w:rFonts w:ascii="Times New Roman" w:hAnsi="Times New Roman" w:cs="Times New Roman"/>
        </w:rPr>
        <w:t xml:space="preserve">4 of the TIA Act and </w:t>
      </w:r>
      <w:r w:rsidR="00DD341F">
        <w:rPr>
          <w:rFonts w:ascii="Times New Roman" w:hAnsi="Times New Roman" w:cs="Times New Roman"/>
        </w:rPr>
        <w:t xml:space="preserve">the Ombudsman will also </w:t>
      </w:r>
      <w:r w:rsidR="00463B2A" w:rsidRPr="00463B2A">
        <w:rPr>
          <w:rFonts w:ascii="Times New Roman" w:hAnsi="Times New Roman" w:cs="Times New Roman"/>
        </w:rPr>
        <w:t xml:space="preserve">report annually to the </w:t>
      </w:r>
      <w:r w:rsidR="00217D39" w:rsidRPr="00217D39">
        <w:rPr>
          <w:rFonts w:ascii="Times New Roman" w:hAnsi="Times New Roman" w:cs="Times New Roman"/>
        </w:rPr>
        <w:t>Attorney-General</w:t>
      </w:r>
      <w:r w:rsidR="00463B2A" w:rsidRPr="00463B2A">
        <w:rPr>
          <w:rFonts w:ascii="Times New Roman" w:hAnsi="Times New Roman" w:cs="Times New Roman"/>
        </w:rPr>
        <w:t xml:space="preserve"> about the resu</w:t>
      </w:r>
      <w:r w:rsidR="00DD341F">
        <w:rPr>
          <w:rFonts w:ascii="Times New Roman" w:hAnsi="Times New Roman" w:cs="Times New Roman"/>
        </w:rPr>
        <w:t>lts of those inspections. T</w:t>
      </w:r>
      <w:r w:rsidR="00463B2A" w:rsidRPr="00463B2A">
        <w:rPr>
          <w:rFonts w:ascii="Times New Roman" w:hAnsi="Times New Roman" w:cs="Times New Roman"/>
        </w:rPr>
        <w:t xml:space="preserve">he </w:t>
      </w:r>
      <w:r w:rsidR="00217D39" w:rsidRPr="00217D39">
        <w:rPr>
          <w:rFonts w:ascii="Times New Roman" w:hAnsi="Times New Roman" w:cs="Times New Roman"/>
        </w:rPr>
        <w:t>Attorney-General</w:t>
      </w:r>
      <w:r w:rsidR="00463B2A" w:rsidRPr="00463B2A">
        <w:rPr>
          <w:rFonts w:ascii="Times New Roman" w:hAnsi="Times New Roman" w:cs="Times New Roman"/>
        </w:rPr>
        <w:t xml:space="preserve"> </w:t>
      </w:r>
      <w:r w:rsidR="00DD341F">
        <w:rPr>
          <w:rFonts w:ascii="Times New Roman" w:hAnsi="Times New Roman" w:cs="Times New Roman"/>
        </w:rPr>
        <w:t>also</w:t>
      </w:r>
      <w:r w:rsidR="00463B2A" w:rsidRPr="00463B2A">
        <w:rPr>
          <w:rFonts w:ascii="Times New Roman" w:hAnsi="Times New Roman" w:cs="Times New Roman"/>
        </w:rPr>
        <w:t xml:space="preserve"> reports to Parl</w:t>
      </w:r>
      <w:r w:rsidR="00DD341F">
        <w:rPr>
          <w:rFonts w:ascii="Times New Roman" w:hAnsi="Times New Roman" w:cs="Times New Roman"/>
        </w:rPr>
        <w:t>iament on the operation of the data r</w:t>
      </w:r>
      <w:r w:rsidR="00463B2A" w:rsidRPr="00463B2A">
        <w:rPr>
          <w:rFonts w:ascii="Times New Roman" w:hAnsi="Times New Roman" w:cs="Times New Roman"/>
        </w:rPr>
        <w:t>e</w:t>
      </w:r>
      <w:r w:rsidR="00DD341F">
        <w:rPr>
          <w:rFonts w:ascii="Times New Roman" w:hAnsi="Times New Roman" w:cs="Times New Roman"/>
        </w:rPr>
        <w:t xml:space="preserve">tention scheme each year as required by section </w:t>
      </w:r>
      <w:r w:rsidR="00463B2A" w:rsidRPr="00463B2A">
        <w:rPr>
          <w:rFonts w:ascii="Times New Roman" w:hAnsi="Times New Roman" w:cs="Times New Roman"/>
        </w:rPr>
        <w:t>187P</w:t>
      </w:r>
      <w:r w:rsidR="00DD341F">
        <w:rPr>
          <w:rFonts w:ascii="Times New Roman" w:hAnsi="Times New Roman" w:cs="Times New Roman"/>
        </w:rPr>
        <w:t xml:space="preserve"> of the TIA Act</w:t>
      </w:r>
      <w:r w:rsidR="00463B2A" w:rsidRPr="00463B2A">
        <w:rPr>
          <w:rFonts w:ascii="Times New Roman" w:hAnsi="Times New Roman" w:cs="Times New Roman"/>
        </w:rPr>
        <w:t>.</w:t>
      </w:r>
    </w:p>
    <w:p w14:paraId="36AE67B7" w14:textId="77777777" w:rsidR="00D87002" w:rsidRDefault="00D87002" w:rsidP="00AA6E22">
      <w:pPr>
        <w:spacing w:after="0" w:line="276" w:lineRule="auto"/>
        <w:jc w:val="both"/>
        <w:rPr>
          <w:rFonts w:ascii="Times New Roman" w:hAnsi="Times New Roman" w:cs="Times New Roman"/>
          <w:highlight w:val="yellow"/>
        </w:rPr>
      </w:pPr>
    </w:p>
    <w:p w14:paraId="48B70FA6" w14:textId="77777777" w:rsidR="00292016" w:rsidRDefault="00292016" w:rsidP="00AA6E22">
      <w:pPr>
        <w:spacing w:after="0" w:line="276" w:lineRule="auto"/>
        <w:jc w:val="both"/>
        <w:rPr>
          <w:rFonts w:ascii="Times New Roman" w:hAnsi="Times New Roman" w:cs="Times New Roman"/>
        </w:rPr>
      </w:pPr>
      <w:r w:rsidRPr="00D87002">
        <w:rPr>
          <w:rFonts w:ascii="Times New Roman" w:hAnsi="Times New Roman" w:cs="Times New Roman"/>
        </w:rPr>
        <w:t>NSW Communities and Justice will be excluded from obtaining Journalist Information Warrants under section 180Q of the TIA Act</w:t>
      </w:r>
      <w:r>
        <w:rPr>
          <w:rFonts w:ascii="Times New Roman" w:hAnsi="Times New Roman" w:cs="Times New Roman"/>
        </w:rPr>
        <w:t>, as these warrants are not relevant to its functions or the objectives of addressing illicit mobile telephone crime in correctional facilities.</w:t>
      </w:r>
    </w:p>
    <w:p w14:paraId="3D4736B3" w14:textId="77777777" w:rsidR="00A66329" w:rsidRDefault="00A66329" w:rsidP="00AA6E22">
      <w:pPr>
        <w:spacing w:after="0" w:line="276" w:lineRule="auto"/>
        <w:jc w:val="both"/>
        <w:rPr>
          <w:rFonts w:ascii="Times New Roman" w:hAnsi="Times New Roman" w:cs="Times New Roman"/>
        </w:rPr>
      </w:pPr>
    </w:p>
    <w:p w14:paraId="1317AC25" w14:textId="5238AB12" w:rsidR="00A66329" w:rsidRDefault="00A66329" w:rsidP="00791F9A">
      <w:pPr>
        <w:spacing w:after="0" w:line="276" w:lineRule="auto"/>
        <w:jc w:val="both"/>
        <w:rPr>
          <w:rFonts w:ascii="Times New Roman" w:hAnsi="Times New Roman" w:cs="Times New Roman"/>
        </w:rPr>
      </w:pPr>
      <w:r>
        <w:rPr>
          <w:rFonts w:ascii="Times New Roman" w:hAnsi="Times New Roman" w:cs="Times New Roman"/>
        </w:rPr>
        <w:t xml:space="preserve">In addition, </w:t>
      </w:r>
      <w:r w:rsidR="001A6BBE">
        <w:rPr>
          <w:rFonts w:ascii="Times New Roman" w:hAnsi="Times New Roman" w:cs="Times New Roman"/>
        </w:rPr>
        <w:t xml:space="preserve">the Declaration is proportionate and the least rights restrictive option. </w:t>
      </w:r>
      <w:r>
        <w:rPr>
          <w:rFonts w:ascii="Times New Roman" w:hAnsi="Times New Roman" w:cs="Times New Roman"/>
        </w:rPr>
        <w:t>NSW Co</w:t>
      </w:r>
      <w:r w:rsidR="004B1C60">
        <w:rPr>
          <w:rFonts w:ascii="Times New Roman" w:hAnsi="Times New Roman" w:cs="Times New Roman"/>
        </w:rPr>
        <w:t>m</w:t>
      </w:r>
      <w:r>
        <w:rPr>
          <w:rFonts w:ascii="Times New Roman" w:hAnsi="Times New Roman" w:cs="Times New Roman"/>
        </w:rPr>
        <w:t>munities and Justice has in place processes and systems that ensure telecommunications data will only be accessed whe</w:t>
      </w:r>
      <w:r w:rsidR="004B1C60">
        <w:rPr>
          <w:rFonts w:ascii="Times New Roman" w:hAnsi="Times New Roman" w:cs="Times New Roman"/>
        </w:rPr>
        <w:t xml:space="preserve">n required and will be appropriately protected. </w:t>
      </w:r>
    </w:p>
    <w:p w14:paraId="6307A934" w14:textId="77777777" w:rsidR="00791F9A" w:rsidRPr="00A754B6" w:rsidRDefault="00791F9A" w:rsidP="00791F9A">
      <w:pPr>
        <w:spacing w:after="0" w:line="276" w:lineRule="auto"/>
        <w:jc w:val="both"/>
        <w:rPr>
          <w:rFonts w:ascii="Times New Roman" w:hAnsi="Times New Roman" w:cs="Times New Roman"/>
        </w:rPr>
      </w:pPr>
    </w:p>
    <w:p w14:paraId="0E33C32A" w14:textId="63513924" w:rsidR="00A66329" w:rsidRDefault="00A66329" w:rsidP="00AA6E22">
      <w:pPr>
        <w:spacing w:after="0" w:line="276" w:lineRule="auto"/>
        <w:jc w:val="both"/>
        <w:rPr>
          <w:rFonts w:ascii="Times New Roman" w:hAnsi="Times New Roman" w:cs="Times New Roman"/>
        </w:rPr>
      </w:pPr>
      <w:r>
        <w:rPr>
          <w:rFonts w:ascii="Times New Roman" w:hAnsi="Times New Roman" w:cs="Times New Roman"/>
        </w:rPr>
        <w:t>NSW Communities and Justice systems also allow it to report</w:t>
      </w:r>
      <w:r w:rsidRPr="00AB15C8">
        <w:rPr>
          <w:rFonts w:ascii="Times New Roman" w:hAnsi="Times New Roman" w:cs="Times New Roman"/>
        </w:rPr>
        <w:t xml:space="preserve"> </w:t>
      </w:r>
      <w:r>
        <w:rPr>
          <w:rFonts w:ascii="Times New Roman" w:hAnsi="Times New Roman" w:cs="Times New Roman"/>
        </w:rPr>
        <w:t xml:space="preserve">on its use of telecommunications data to </w:t>
      </w:r>
      <w:r w:rsidRPr="00AB15C8">
        <w:rPr>
          <w:rFonts w:ascii="Times New Roman" w:hAnsi="Times New Roman" w:cs="Times New Roman"/>
        </w:rPr>
        <w:t xml:space="preserve">the </w:t>
      </w:r>
      <w:r w:rsidR="006B1049">
        <w:rPr>
          <w:rFonts w:ascii="Times New Roman" w:hAnsi="Times New Roman" w:cs="Times New Roman"/>
        </w:rPr>
        <w:t xml:space="preserve">Commonwealth </w:t>
      </w:r>
      <w:r w:rsidR="00217D39" w:rsidRPr="00217D39">
        <w:rPr>
          <w:rFonts w:ascii="Times New Roman" w:hAnsi="Times New Roman" w:cs="Times New Roman"/>
        </w:rPr>
        <w:t>Attorney-General</w:t>
      </w:r>
      <w:r w:rsidR="005D540E">
        <w:rPr>
          <w:rFonts w:ascii="Times New Roman" w:hAnsi="Times New Roman" w:cs="Times New Roman"/>
        </w:rPr>
        <w:t xml:space="preserve">, </w:t>
      </w:r>
      <w:r w:rsidRPr="00AB15C8">
        <w:rPr>
          <w:rFonts w:ascii="Times New Roman" w:hAnsi="Times New Roman" w:cs="Times New Roman"/>
        </w:rPr>
        <w:t>the N</w:t>
      </w:r>
      <w:r>
        <w:rPr>
          <w:rFonts w:ascii="Times New Roman" w:hAnsi="Times New Roman" w:cs="Times New Roman"/>
        </w:rPr>
        <w:t>SW Attorney</w:t>
      </w:r>
      <w:r w:rsidR="005D540E">
        <w:rPr>
          <w:rFonts w:ascii="Times New Roman" w:hAnsi="Times New Roman" w:cs="Times New Roman"/>
        </w:rPr>
        <w:t> </w:t>
      </w:r>
      <w:r w:rsidRPr="00AB15C8">
        <w:rPr>
          <w:rFonts w:ascii="Times New Roman" w:hAnsi="Times New Roman" w:cs="Times New Roman"/>
        </w:rPr>
        <w:t>General, the NSW Minister for Corrections and the NSW Privacy Commissioner</w:t>
      </w:r>
      <w:r>
        <w:rPr>
          <w:rFonts w:ascii="Times New Roman" w:hAnsi="Times New Roman" w:cs="Times New Roman"/>
        </w:rPr>
        <w:t xml:space="preserve"> as required by the TIA Act and NSW legislation.</w:t>
      </w:r>
    </w:p>
    <w:p w14:paraId="12257E3E" w14:textId="09CA1F3D" w:rsidR="001A1F5A" w:rsidRDefault="00EC5DF1" w:rsidP="00A754B6">
      <w:pPr>
        <w:keepNext/>
        <w:keepLines/>
        <w:tabs>
          <w:tab w:val="left" w:pos="567"/>
        </w:tabs>
        <w:spacing w:before="360" w:after="0" w:line="276" w:lineRule="auto"/>
        <w:rPr>
          <w:rFonts w:ascii="Times New Roman" w:hAnsi="Times New Roman" w:cs="Times New Roman"/>
          <w:b/>
          <w:i/>
          <w:szCs w:val="24"/>
        </w:rPr>
      </w:pPr>
      <w:r>
        <w:rPr>
          <w:rFonts w:ascii="Times New Roman" w:hAnsi="Times New Roman" w:cs="Times New Roman"/>
          <w:b/>
          <w:i/>
          <w:szCs w:val="24"/>
        </w:rPr>
        <w:t>Conclusion</w:t>
      </w:r>
    </w:p>
    <w:p w14:paraId="7A356D4D" w14:textId="75215E3E" w:rsidR="004A2048" w:rsidRPr="00D87002" w:rsidRDefault="00EC5DF1" w:rsidP="00AA6E22">
      <w:pPr>
        <w:spacing w:after="0" w:line="276" w:lineRule="auto"/>
        <w:jc w:val="both"/>
        <w:rPr>
          <w:rFonts w:ascii="Times New Roman" w:hAnsi="Times New Roman" w:cs="Times New Roman"/>
        </w:rPr>
      </w:pPr>
      <w:r w:rsidRPr="004A2048">
        <w:rPr>
          <w:rFonts w:ascii="Times New Roman" w:hAnsi="Times New Roman" w:cs="Times New Roman"/>
        </w:rPr>
        <w:t>This Declaration is</w:t>
      </w:r>
      <w:r>
        <w:rPr>
          <w:rFonts w:ascii="Times New Roman" w:hAnsi="Times New Roman" w:cs="Times New Roman"/>
        </w:rPr>
        <w:t xml:space="preserve"> made for the legitimate purpose of protecting national security, public order and the rights of others. The Declaration is </w:t>
      </w:r>
      <w:r w:rsidRPr="004A2048">
        <w:rPr>
          <w:rFonts w:ascii="Times New Roman" w:hAnsi="Times New Roman" w:cs="Times New Roman"/>
        </w:rPr>
        <w:t>compatible with human rights as set out a</w:t>
      </w:r>
      <w:r>
        <w:rPr>
          <w:rFonts w:ascii="Times New Roman" w:hAnsi="Times New Roman" w:cs="Times New Roman"/>
        </w:rPr>
        <w:t xml:space="preserve">bove, and to the extent that it may </w:t>
      </w:r>
      <w:r w:rsidRPr="004A2048">
        <w:rPr>
          <w:rFonts w:ascii="Times New Roman" w:hAnsi="Times New Roman" w:cs="Times New Roman"/>
        </w:rPr>
        <w:t>limit human right</w:t>
      </w:r>
      <w:r>
        <w:rPr>
          <w:rFonts w:ascii="Times New Roman" w:hAnsi="Times New Roman" w:cs="Times New Roman"/>
        </w:rPr>
        <w:t>s</w:t>
      </w:r>
      <w:r w:rsidRPr="004A2048">
        <w:rPr>
          <w:rFonts w:ascii="Times New Roman" w:hAnsi="Times New Roman" w:cs="Times New Roman"/>
        </w:rPr>
        <w:t xml:space="preserve">, those limitations are reasonable, necessary and proportionate. </w:t>
      </w:r>
    </w:p>
    <w:sectPr w:rsidR="004A2048" w:rsidRPr="00D87002" w:rsidSect="009E12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1437" w14:textId="77777777" w:rsidR="009D311E" w:rsidRDefault="009D311E" w:rsidP="004A2048">
      <w:pPr>
        <w:spacing w:after="0" w:line="240" w:lineRule="auto"/>
      </w:pPr>
      <w:r>
        <w:separator/>
      </w:r>
    </w:p>
  </w:endnote>
  <w:endnote w:type="continuationSeparator" w:id="0">
    <w:p w14:paraId="156B6238" w14:textId="77777777" w:rsidR="009D311E" w:rsidRDefault="009D311E" w:rsidP="004A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672470"/>
      <w:docPartObj>
        <w:docPartGallery w:val="Page Numbers (Bottom of Page)"/>
        <w:docPartUnique/>
      </w:docPartObj>
    </w:sdtPr>
    <w:sdtEndPr>
      <w:rPr>
        <w:rFonts w:ascii="Times New Roman" w:hAnsi="Times New Roman" w:cs="Times New Roman"/>
        <w:noProof/>
      </w:rPr>
    </w:sdtEndPr>
    <w:sdtContent>
      <w:p w14:paraId="06CAEEEA" w14:textId="7602BE0C" w:rsidR="00643B3F" w:rsidRPr="008E1976" w:rsidRDefault="00643B3F">
        <w:pPr>
          <w:pStyle w:val="Footer"/>
          <w:jc w:val="right"/>
          <w:rPr>
            <w:rFonts w:ascii="Times New Roman" w:hAnsi="Times New Roman" w:cs="Times New Roman"/>
          </w:rPr>
        </w:pPr>
        <w:r w:rsidRPr="008E1976">
          <w:rPr>
            <w:rFonts w:ascii="Times New Roman" w:hAnsi="Times New Roman" w:cs="Times New Roman"/>
          </w:rPr>
          <w:fldChar w:fldCharType="begin"/>
        </w:r>
        <w:r w:rsidRPr="008E1976">
          <w:rPr>
            <w:rFonts w:ascii="Times New Roman" w:hAnsi="Times New Roman" w:cs="Times New Roman"/>
          </w:rPr>
          <w:instrText xml:space="preserve"> PAGE   \* MERGEFORMAT </w:instrText>
        </w:r>
        <w:r w:rsidRPr="008E1976">
          <w:rPr>
            <w:rFonts w:ascii="Times New Roman" w:hAnsi="Times New Roman" w:cs="Times New Roman"/>
          </w:rPr>
          <w:fldChar w:fldCharType="separate"/>
        </w:r>
        <w:r w:rsidR="00012699">
          <w:rPr>
            <w:rFonts w:ascii="Times New Roman" w:hAnsi="Times New Roman" w:cs="Times New Roman"/>
            <w:noProof/>
          </w:rPr>
          <w:t>1</w:t>
        </w:r>
        <w:r w:rsidRPr="008E1976">
          <w:rPr>
            <w:rFonts w:ascii="Times New Roman" w:hAnsi="Times New Roman" w:cs="Times New Roman"/>
            <w:noProof/>
          </w:rPr>
          <w:fldChar w:fldCharType="end"/>
        </w:r>
      </w:p>
    </w:sdtContent>
  </w:sdt>
  <w:p w14:paraId="4953A287" w14:textId="77777777" w:rsidR="00643B3F" w:rsidRDefault="0064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BB8C" w14:textId="77777777" w:rsidR="009D311E" w:rsidRDefault="009D311E" w:rsidP="004A2048">
      <w:pPr>
        <w:spacing w:after="0" w:line="240" w:lineRule="auto"/>
      </w:pPr>
      <w:r>
        <w:separator/>
      </w:r>
    </w:p>
  </w:footnote>
  <w:footnote w:type="continuationSeparator" w:id="0">
    <w:p w14:paraId="63C38C60" w14:textId="77777777" w:rsidR="009D311E" w:rsidRDefault="009D311E" w:rsidP="004A2048">
      <w:pPr>
        <w:spacing w:after="0" w:line="240" w:lineRule="auto"/>
      </w:pPr>
      <w:r>
        <w:continuationSeparator/>
      </w:r>
    </w:p>
  </w:footnote>
  <w:footnote w:id="1">
    <w:p w14:paraId="63DB46F6" w14:textId="77777777" w:rsidR="004A2048" w:rsidRDefault="004A2048" w:rsidP="004A204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i/>
          <w:iCs/>
        </w:rPr>
        <w:t>Toonen v Australia</w:t>
      </w:r>
      <w:r>
        <w:rPr>
          <w:rFonts w:ascii="Times New Roman" w:hAnsi="Times New Roman" w:cs="Times New Roman"/>
        </w:rPr>
        <w:t>, Communication No. 488/1992, U.N. Doc CCPR/C/50/D/488/1992 (1994) at 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B1629"/>
    <w:multiLevelType w:val="hybridMultilevel"/>
    <w:tmpl w:val="C6ECE696"/>
    <w:lvl w:ilvl="0" w:tplc="EEB68044">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7877031"/>
    <w:multiLevelType w:val="hybridMultilevel"/>
    <w:tmpl w:val="9618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973E0"/>
    <w:multiLevelType w:val="hybridMultilevel"/>
    <w:tmpl w:val="741E23F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5" w15:restartNumberingAfterBreak="0">
    <w:nsid w:val="0E935D6A"/>
    <w:multiLevelType w:val="hybridMultilevel"/>
    <w:tmpl w:val="DDACA322"/>
    <w:lvl w:ilvl="0" w:tplc="9F621326">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9B0B58"/>
    <w:multiLevelType w:val="hybridMultilevel"/>
    <w:tmpl w:val="9E34C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A36253"/>
    <w:multiLevelType w:val="hybridMultilevel"/>
    <w:tmpl w:val="8CD0A14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8" w15:restartNumberingAfterBreak="0">
    <w:nsid w:val="1745760B"/>
    <w:multiLevelType w:val="multilevel"/>
    <w:tmpl w:val="B1F0C74C"/>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B3044"/>
    <w:multiLevelType w:val="hybridMultilevel"/>
    <w:tmpl w:val="70363AA2"/>
    <w:lvl w:ilvl="0" w:tplc="DA8608F6">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862DE"/>
    <w:multiLevelType w:val="hybridMultilevel"/>
    <w:tmpl w:val="5060C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A67F1"/>
    <w:multiLevelType w:val="hybridMultilevel"/>
    <w:tmpl w:val="FC166594"/>
    <w:lvl w:ilvl="0" w:tplc="D05AC1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A4697"/>
    <w:multiLevelType w:val="hybridMultilevel"/>
    <w:tmpl w:val="AB463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E248B5"/>
    <w:multiLevelType w:val="hybridMultilevel"/>
    <w:tmpl w:val="039E05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E6E0F90"/>
    <w:multiLevelType w:val="hybridMultilevel"/>
    <w:tmpl w:val="0F4C42F2"/>
    <w:lvl w:ilvl="0" w:tplc="63342A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F971C0"/>
    <w:multiLevelType w:val="hybridMultilevel"/>
    <w:tmpl w:val="5606A454"/>
    <w:lvl w:ilvl="0" w:tplc="D7ECF3F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DCE7FF3"/>
    <w:multiLevelType w:val="hybridMultilevel"/>
    <w:tmpl w:val="E1B8ECCC"/>
    <w:lvl w:ilvl="0" w:tplc="EEB6804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DF6DD0"/>
    <w:multiLevelType w:val="hybridMultilevel"/>
    <w:tmpl w:val="4D261520"/>
    <w:lvl w:ilvl="0" w:tplc="F4866924">
      <w:start w:val="1"/>
      <w:numFmt w:val="lowerLetter"/>
      <w:lvlText w:val="(%1)"/>
      <w:lvlJc w:val="left"/>
      <w:pPr>
        <w:ind w:left="927" w:hanging="360"/>
      </w:pPr>
      <w:rPr>
        <w:rFonts w:ascii="Times New Roman" w:eastAsiaTheme="minorHAnsi"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1345028"/>
    <w:multiLevelType w:val="hybridMultilevel"/>
    <w:tmpl w:val="53A8D2A4"/>
    <w:lvl w:ilvl="0" w:tplc="4B30FA5C">
      <w:start w:val="1"/>
      <w:numFmt w:val="decimal"/>
      <w:lvlText w:val="%1."/>
      <w:lvlJc w:val="left"/>
      <w:pPr>
        <w:ind w:left="1998" w:hanging="360"/>
      </w:pPr>
      <w:rPr>
        <w:rFonts w:asciiTheme="minorHAnsi" w:hAnsiTheme="minorHAnsi" w:cstheme="minorHAnsi" w:hint="default"/>
        <w:i w:val="0"/>
      </w:rPr>
    </w:lvl>
    <w:lvl w:ilvl="1" w:tplc="0C090003">
      <w:start w:val="1"/>
      <w:numFmt w:val="bullet"/>
      <w:lvlText w:val="o"/>
      <w:lvlJc w:val="left"/>
      <w:pPr>
        <w:ind w:left="1211" w:hanging="360"/>
      </w:pPr>
      <w:rPr>
        <w:rFonts w:ascii="Courier New" w:hAnsi="Courier New" w:cs="Courier New" w:hint="default"/>
      </w:rPr>
    </w:lvl>
    <w:lvl w:ilvl="2" w:tplc="9B1ABBEC" w:tentative="1">
      <w:start w:val="1"/>
      <w:numFmt w:val="lowerRoman"/>
      <w:lvlText w:val="%3."/>
      <w:lvlJc w:val="right"/>
      <w:pPr>
        <w:ind w:left="3438" w:hanging="180"/>
      </w:pPr>
    </w:lvl>
    <w:lvl w:ilvl="3" w:tplc="DD964E4C" w:tentative="1">
      <w:start w:val="1"/>
      <w:numFmt w:val="decimal"/>
      <w:lvlText w:val="%4."/>
      <w:lvlJc w:val="left"/>
      <w:pPr>
        <w:ind w:left="4158" w:hanging="360"/>
      </w:pPr>
    </w:lvl>
    <w:lvl w:ilvl="4" w:tplc="232CA8B2" w:tentative="1">
      <w:start w:val="1"/>
      <w:numFmt w:val="lowerLetter"/>
      <w:lvlText w:val="%5."/>
      <w:lvlJc w:val="left"/>
      <w:pPr>
        <w:ind w:left="4878" w:hanging="360"/>
      </w:pPr>
    </w:lvl>
    <w:lvl w:ilvl="5" w:tplc="58841738" w:tentative="1">
      <w:start w:val="1"/>
      <w:numFmt w:val="lowerRoman"/>
      <w:lvlText w:val="%6."/>
      <w:lvlJc w:val="right"/>
      <w:pPr>
        <w:ind w:left="5598" w:hanging="180"/>
      </w:pPr>
    </w:lvl>
    <w:lvl w:ilvl="6" w:tplc="224AEA68" w:tentative="1">
      <w:start w:val="1"/>
      <w:numFmt w:val="decimal"/>
      <w:lvlText w:val="%7."/>
      <w:lvlJc w:val="left"/>
      <w:pPr>
        <w:ind w:left="6318" w:hanging="360"/>
      </w:pPr>
    </w:lvl>
    <w:lvl w:ilvl="7" w:tplc="24CE37BC" w:tentative="1">
      <w:start w:val="1"/>
      <w:numFmt w:val="lowerLetter"/>
      <w:lvlText w:val="%8."/>
      <w:lvlJc w:val="left"/>
      <w:pPr>
        <w:ind w:left="7038" w:hanging="360"/>
      </w:pPr>
    </w:lvl>
    <w:lvl w:ilvl="8" w:tplc="9F16BFD6" w:tentative="1">
      <w:start w:val="1"/>
      <w:numFmt w:val="lowerRoman"/>
      <w:lvlText w:val="%9."/>
      <w:lvlJc w:val="right"/>
      <w:pPr>
        <w:ind w:left="7758" w:hanging="180"/>
      </w:pPr>
    </w:lvl>
  </w:abstractNum>
  <w:abstractNum w:abstractNumId="19" w15:restartNumberingAfterBreak="0">
    <w:nsid w:val="63A15FB9"/>
    <w:multiLevelType w:val="hybridMultilevel"/>
    <w:tmpl w:val="BB4E5510"/>
    <w:lvl w:ilvl="0" w:tplc="3484F224">
      <w:start w:val="1"/>
      <w:numFmt w:val="bullet"/>
      <w:lvlText w:val=""/>
      <w:lvlJc w:val="left"/>
      <w:pPr>
        <w:ind w:left="720" w:hanging="360"/>
      </w:pPr>
      <w:rPr>
        <w:rFonts w:ascii="Symbol" w:hAnsi="Symbol" w:hint="default"/>
        <w:color w:val="5C5C5C"/>
      </w:rPr>
    </w:lvl>
    <w:lvl w:ilvl="1" w:tplc="A2C25808">
      <w:start w:val="1"/>
      <w:numFmt w:val="bullet"/>
      <w:pStyle w:val="ListBullet"/>
      <w:lvlText w:val=""/>
      <w:lvlJc w:val="left"/>
      <w:pPr>
        <w:ind w:left="928"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E73EC5"/>
    <w:multiLevelType w:val="hybridMultilevel"/>
    <w:tmpl w:val="4D261520"/>
    <w:lvl w:ilvl="0" w:tplc="F4866924">
      <w:start w:val="1"/>
      <w:numFmt w:val="lowerLetter"/>
      <w:lvlText w:val="(%1)"/>
      <w:lvlJc w:val="left"/>
      <w:pPr>
        <w:ind w:left="927" w:hanging="360"/>
      </w:pPr>
      <w:rPr>
        <w:rFonts w:ascii="Times New Roman" w:eastAsiaTheme="minorHAnsi" w:hAnsi="Times New Roman" w:cs="Times New Roman"/>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C4E457C"/>
    <w:multiLevelType w:val="hybridMultilevel"/>
    <w:tmpl w:val="B1F4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0172A0"/>
    <w:multiLevelType w:val="hybridMultilevel"/>
    <w:tmpl w:val="542A2A98"/>
    <w:lvl w:ilvl="0" w:tplc="BD74AA8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9706E"/>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4" w15:restartNumberingAfterBreak="0">
    <w:nsid w:val="79EF2368"/>
    <w:multiLevelType w:val="hybridMultilevel"/>
    <w:tmpl w:val="2206CBEC"/>
    <w:lvl w:ilvl="0" w:tplc="0710537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5"/>
  </w:num>
  <w:num w:numId="3">
    <w:abstractNumId w:val="16"/>
  </w:num>
  <w:num w:numId="4">
    <w:abstractNumId w:val="1"/>
  </w:num>
  <w:num w:numId="5">
    <w:abstractNumId w:val="14"/>
  </w:num>
  <w:num w:numId="6">
    <w:abstractNumId w:val="17"/>
  </w:num>
  <w:num w:numId="7">
    <w:abstractNumId w:val="18"/>
  </w:num>
  <w:num w:numId="8">
    <w:abstractNumId w:val="0"/>
  </w:num>
  <w:num w:numId="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0"/>
  </w:num>
  <w:num w:numId="11">
    <w:abstractNumId w:val="6"/>
  </w:num>
  <w:num w:numId="12">
    <w:abstractNumId w:val="3"/>
  </w:num>
  <w:num w:numId="13">
    <w:abstractNumId w:val="7"/>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11"/>
  </w:num>
  <w:num w:numId="19">
    <w:abstractNumId w:val="5"/>
  </w:num>
  <w:num w:numId="20">
    <w:abstractNumId w:val="4"/>
  </w:num>
  <w:num w:numId="21">
    <w:abstractNumId w:val="19"/>
  </w:num>
  <w:num w:numId="22">
    <w:abstractNumId w:val="2"/>
  </w:num>
  <w:num w:numId="23">
    <w:abstractNumId w:val="23"/>
  </w:num>
  <w:num w:numId="24">
    <w:abstractNumId w:val="12"/>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7B"/>
    <w:rsid w:val="00007DFC"/>
    <w:rsid w:val="00012699"/>
    <w:rsid w:val="00021C25"/>
    <w:rsid w:val="00023F9F"/>
    <w:rsid w:val="0003171C"/>
    <w:rsid w:val="00035C29"/>
    <w:rsid w:val="00040C35"/>
    <w:rsid w:val="00043279"/>
    <w:rsid w:val="00044031"/>
    <w:rsid w:val="00054AA2"/>
    <w:rsid w:val="00064955"/>
    <w:rsid w:val="00067D86"/>
    <w:rsid w:val="00074D13"/>
    <w:rsid w:val="00083ACB"/>
    <w:rsid w:val="00091453"/>
    <w:rsid w:val="000B16F1"/>
    <w:rsid w:val="000C098C"/>
    <w:rsid w:val="000C0EE4"/>
    <w:rsid w:val="000C35EB"/>
    <w:rsid w:val="000C7270"/>
    <w:rsid w:val="000D3BA0"/>
    <w:rsid w:val="000D4757"/>
    <w:rsid w:val="000E1A40"/>
    <w:rsid w:val="00106759"/>
    <w:rsid w:val="00121532"/>
    <w:rsid w:val="00121CEA"/>
    <w:rsid w:val="00123B57"/>
    <w:rsid w:val="00125472"/>
    <w:rsid w:val="0013132A"/>
    <w:rsid w:val="00132E9B"/>
    <w:rsid w:val="00140BF2"/>
    <w:rsid w:val="00143CB8"/>
    <w:rsid w:val="001440DF"/>
    <w:rsid w:val="00163403"/>
    <w:rsid w:val="00164DF3"/>
    <w:rsid w:val="0016694F"/>
    <w:rsid w:val="001713C8"/>
    <w:rsid w:val="0017446F"/>
    <w:rsid w:val="00181177"/>
    <w:rsid w:val="00182D24"/>
    <w:rsid w:val="00183D33"/>
    <w:rsid w:val="0018722E"/>
    <w:rsid w:val="001927BA"/>
    <w:rsid w:val="00193BFB"/>
    <w:rsid w:val="001946BA"/>
    <w:rsid w:val="001A1AF7"/>
    <w:rsid w:val="001A1F5A"/>
    <w:rsid w:val="001A6BBE"/>
    <w:rsid w:val="001A6C53"/>
    <w:rsid w:val="001B752D"/>
    <w:rsid w:val="001C7313"/>
    <w:rsid w:val="001D345B"/>
    <w:rsid w:val="001E1E6A"/>
    <w:rsid w:val="001E44CF"/>
    <w:rsid w:val="001F3683"/>
    <w:rsid w:val="001F75FF"/>
    <w:rsid w:val="00201160"/>
    <w:rsid w:val="0020516F"/>
    <w:rsid w:val="0021127E"/>
    <w:rsid w:val="002115D7"/>
    <w:rsid w:val="00217C07"/>
    <w:rsid w:val="00217D39"/>
    <w:rsid w:val="00237233"/>
    <w:rsid w:val="00237D77"/>
    <w:rsid w:val="002423CE"/>
    <w:rsid w:val="002577FE"/>
    <w:rsid w:val="002615E3"/>
    <w:rsid w:val="00261D99"/>
    <w:rsid w:val="00272B8E"/>
    <w:rsid w:val="00292016"/>
    <w:rsid w:val="00295355"/>
    <w:rsid w:val="0029568A"/>
    <w:rsid w:val="00297D3A"/>
    <w:rsid w:val="002C448B"/>
    <w:rsid w:val="002D3A3A"/>
    <w:rsid w:val="002D5206"/>
    <w:rsid w:val="002E2EC4"/>
    <w:rsid w:val="002E5ED6"/>
    <w:rsid w:val="002E5F41"/>
    <w:rsid w:val="002E7A78"/>
    <w:rsid w:val="002F07A9"/>
    <w:rsid w:val="002F3E36"/>
    <w:rsid w:val="002F6C34"/>
    <w:rsid w:val="002F6F49"/>
    <w:rsid w:val="0030276F"/>
    <w:rsid w:val="00305C8E"/>
    <w:rsid w:val="00315875"/>
    <w:rsid w:val="003265E6"/>
    <w:rsid w:val="0033073A"/>
    <w:rsid w:val="00340453"/>
    <w:rsid w:val="0034291C"/>
    <w:rsid w:val="003558D2"/>
    <w:rsid w:val="0037043C"/>
    <w:rsid w:val="00375290"/>
    <w:rsid w:val="00387087"/>
    <w:rsid w:val="003872DC"/>
    <w:rsid w:val="00390BA5"/>
    <w:rsid w:val="003A0E04"/>
    <w:rsid w:val="003A2331"/>
    <w:rsid w:val="003A748A"/>
    <w:rsid w:val="003B1B45"/>
    <w:rsid w:val="003B33B2"/>
    <w:rsid w:val="003D17D6"/>
    <w:rsid w:val="003D31CF"/>
    <w:rsid w:val="003D347C"/>
    <w:rsid w:val="003D5CAD"/>
    <w:rsid w:val="003F1B69"/>
    <w:rsid w:val="003F3B01"/>
    <w:rsid w:val="003F5666"/>
    <w:rsid w:val="00401F2F"/>
    <w:rsid w:val="00403BA6"/>
    <w:rsid w:val="0041586B"/>
    <w:rsid w:val="00423407"/>
    <w:rsid w:val="00431068"/>
    <w:rsid w:val="00432AD0"/>
    <w:rsid w:val="00433AD0"/>
    <w:rsid w:val="004378E5"/>
    <w:rsid w:val="004440AB"/>
    <w:rsid w:val="0045121A"/>
    <w:rsid w:val="00460B3F"/>
    <w:rsid w:val="00463B2A"/>
    <w:rsid w:val="00470148"/>
    <w:rsid w:val="00477020"/>
    <w:rsid w:val="00496C96"/>
    <w:rsid w:val="004A2048"/>
    <w:rsid w:val="004B1C60"/>
    <w:rsid w:val="004B5104"/>
    <w:rsid w:val="004C41B7"/>
    <w:rsid w:val="004E7182"/>
    <w:rsid w:val="004F1CBB"/>
    <w:rsid w:val="004F325F"/>
    <w:rsid w:val="004F3416"/>
    <w:rsid w:val="005015BB"/>
    <w:rsid w:val="00501D5F"/>
    <w:rsid w:val="005235FD"/>
    <w:rsid w:val="005308B7"/>
    <w:rsid w:val="00530966"/>
    <w:rsid w:val="00531699"/>
    <w:rsid w:val="00532C93"/>
    <w:rsid w:val="00533B2A"/>
    <w:rsid w:val="00533F40"/>
    <w:rsid w:val="005423F4"/>
    <w:rsid w:val="005436E2"/>
    <w:rsid w:val="00582A29"/>
    <w:rsid w:val="0058666A"/>
    <w:rsid w:val="00587F6E"/>
    <w:rsid w:val="0059767C"/>
    <w:rsid w:val="005A3450"/>
    <w:rsid w:val="005A62CC"/>
    <w:rsid w:val="005B001B"/>
    <w:rsid w:val="005B0A7B"/>
    <w:rsid w:val="005B123D"/>
    <w:rsid w:val="005B7DE8"/>
    <w:rsid w:val="005D05C0"/>
    <w:rsid w:val="005D223D"/>
    <w:rsid w:val="005D3BBA"/>
    <w:rsid w:val="005D4400"/>
    <w:rsid w:val="005D540E"/>
    <w:rsid w:val="005E077C"/>
    <w:rsid w:val="005E4E4F"/>
    <w:rsid w:val="005F220E"/>
    <w:rsid w:val="005F420A"/>
    <w:rsid w:val="0060115F"/>
    <w:rsid w:val="00605018"/>
    <w:rsid w:val="0060669E"/>
    <w:rsid w:val="00610BE9"/>
    <w:rsid w:val="0061167B"/>
    <w:rsid w:val="006175F7"/>
    <w:rsid w:val="0062064F"/>
    <w:rsid w:val="00624CBF"/>
    <w:rsid w:val="00635800"/>
    <w:rsid w:val="00637614"/>
    <w:rsid w:val="00643B3F"/>
    <w:rsid w:val="00657E0D"/>
    <w:rsid w:val="00664984"/>
    <w:rsid w:val="006654A5"/>
    <w:rsid w:val="00666C36"/>
    <w:rsid w:val="00667362"/>
    <w:rsid w:val="00672822"/>
    <w:rsid w:val="00681022"/>
    <w:rsid w:val="00691ACD"/>
    <w:rsid w:val="006938E2"/>
    <w:rsid w:val="00696610"/>
    <w:rsid w:val="00696B97"/>
    <w:rsid w:val="006A64E5"/>
    <w:rsid w:val="006A7902"/>
    <w:rsid w:val="006B1049"/>
    <w:rsid w:val="006B486B"/>
    <w:rsid w:val="006B5E24"/>
    <w:rsid w:val="006C6040"/>
    <w:rsid w:val="006D4124"/>
    <w:rsid w:val="006D565C"/>
    <w:rsid w:val="006E3450"/>
    <w:rsid w:val="006E66EA"/>
    <w:rsid w:val="006F0187"/>
    <w:rsid w:val="00702F99"/>
    <w:rsid w:val="00722432"/>
    <w:rsid w:val="007309FA"/>
    <w:rsid w:val="00753EAB"/>
    <w:rsid w:val="00766501"/>
    <w:rsid w:val="00776821"/>
    <w:rsid w:val="00777FFA"/>
    <w:rsid w:val="007864D3"/>
    <w:rsid w:val="007869AE"/>
    <w:rsid w:val="007873A9"/>
    <w:rsid w:val="00791F9A"/>
    <w:rsid w:val="007A638C"/>
    <w:rsid w:val="007B04C9"/>
    <w:rsid w:val="007B1672"/>
    <w:rsid w:val="007B3AB2"/>
    <w:rsid w:val="007C148A"/>
    <w:rsid w:val="007C16A1"/>
    <w:rsid w:val="007D3C72"/>
    <w:rsid w:val="007E0EA6"/>
    <w:rsid w:val="007E57F9"/>
    <w:rsid w:val="007E681F"/>
    <w:rsid w:val="007F164D"/>
    <w:rsid w:val="007F4E31"/>
    <w:rsid w:val="007F4F48"/>
    <w:rsid w:val="007F5B08"/>
    <w:rsid w:val="00803132"/>
    <w:rsid w:val="008035C0"/>
    <w:rsid w:val="008271F8"/>
    <w:rsid w:val="00830E1E"/>
    <w:rsid w:val="00834813"/>
    <w:rsid w:val="00834869"/>
    <w:rsid w:val="00836BF9"/>
    <w:rsid w:val="00836CC1"/>
    <w:rsid w:val="00837BB2"/>
    <w:rsid w:val="008403F2"/>
    <w:rsid w:val="00846B43"/>
    <w:rsid w:val="00856D8E"/>
    <w:rsid w:val="00862E91"/>
    <w:rsid w:val="00866418"/>
    <w:rsid w:val="00890AFA"/>
    <w:rsid w:val="00896C03"/>
    <w:rsid w:val="00897E34"/>
    <w:rsid w:val="008A5C05"/>
    <w:rsid w:val="008A75AA"/>
    <w:rsid w:val="008B744C"/>
    <w:rsid w:val="008C05F0"/>
    <w:rsid w:val="008C4E51"/>
    <w:rsid w:val="008D32F5"/>
    <w:rsid w:val="008E1976"/>
    <w:rsid w:val="008F01EE"/>
    <w:rsid w:val="009075E2"/>
    <w:rsid w:val="0091158B"/>
    <w:rsid w:val="00920A3E"/>
    <w:rsid w:val="00922900"/>
    <w:rsid w:val="00924BBA"/>
    <w:rsid w:val="00925D2C"/>
    <w:rsid w:val="009307A1"/>
    <w:rsid w:val="0093327C"/>
    <w:rsid w:val="00942EAB"/>
    <w:rsid w:val="009467F6"/>
    <w:rsid w:val="009527BA"/>
    <w:rsid w:val="00957083"/>
    <w:rsid w:val="009623E0"/>
    <w:rsid w:val="009666F0"/>
    <w:rsid w:val="00966C2E"/>
    <w:rsid w:val="009675F7"/>
    <w:rsid w:val="00974014"/>
    <w:rsid w:val="009761C6"/>
    <w:rsid w:val="00981A8D"/>
    <w:rsid w:val="00987CD0"/>
    <w:rsid w:val="00992860"/>
    <w:rsid w:val="00993DAE"/>
    <w:rsid w:val="00993EB9"/>
    <w:rsid w:val="00996FD8"/>
    <w:rsid w:val="0099767E"/>
    <w:rsid w:val="009A0E08"/>
    <w:rsid w:val="009C0E2C"/>
    <w:rsid w:val="009C28DF"/>
    <w:rsid w:val="009C535F"/>
    <w:rsid w:val="009D1BC6"/>
    <w:rsid w:val="009D311E"/>
    <w:rsid w:val="009D4431"/>
    <w:rsid w:val="009D51EF"/>
    <w:rsid w:val="009D63DA"/>
    <w:rsid w:val="009E123A"/>
    <w:rsid w:val="009E160C"/>
    <w:rsid w:val="009F04DB"/>
    <w:rsid w:val="009F0FBC"/>
    <w:rsid w:val="009F4950"/>
    <w:rsid w:val="009F56E1"/>
    <w:rsid w:val="00A01541"/>
    <w:rsid w:val="00A02B55"/>
    <w:rsid w:val="00A12704"/>
    <w:rsid w:val="00A159AD"/>
    <w:rsid w:val="00A34BE3"/>
    <w:rsid w:val="00A50544"/>
    <w:rsid w:val="00A52B7B"/>
    <w:rsid w:val="00A53B37"/>
    <w:rsid w:val="00A5429E"/>
    <w:rsid w:val="00A555ED"/>
    <w:rsid w:val="00A66329"/>
    <w:rsid w:val="00A67BD0"/>
    <w:rsid w:val="00A754B6"/>
    <w:rsid w:val="00A926A5"/>
    <w:rsid w:val="00A92D00"/>
    <w:rsid w:val="00A976DB"/>
    <w:rsid w:val="00AA629B"/>
    <w:rsid w:val="00AA6E22"/>
    <w:rsid w:val="00AB15C8"/>
    <w:rsid w:val="00AC3307"/>
    <w:rsid w:val="00AC68D3"/>
    <w:rsid w:val="00AD19A0"/>
    <w:rsid w:val="00AF1611"/>
    <w:rsid w:val="00AF6068"/>
    <w:rsid w:val="00B03584"/>
    <w:rsid w:val="00B07AD6"/>
    <w:rsid w:val="00B1313A"/>
    <w:rsid w:val="00B1502F"/>
    <w:rsid w:val="00B16564"/>
    <w:rsid w:val="00B16D8D"/>
    <w:rsid w:val="00B241FD"/>
    <w:rsid w:val="00B25D3C"/>
    <w:rsid w:val="00B404EB"/>
    <w:rsid w:val="00B40FA8"/>
    <w:rsid w:val="00B41DEC"/>
    <w:rsid w:val="00B554F7"/>
    <w:rsid w:val="00B652F0"/>
    <w:rsid w:val="00B66DD4"/>
    <w:rsid w:val="00B75355"/>
    <w:rsid w:val="00B85170"/>
    <w:rsid w:val="00B854C2"/>
    <w:rsid w:val="00BA58A4"/>
    <w:rsid w:val="00BB2073"/>
    <w:rsid w:val="00BB53C0"/>
    <w:rsid w:val="00BB759E"/>
    <w:rsid w:val="00BC5106"/>
    <w:rsid w:val="00BC73F5"/>
    <w:rsid w:val="00BD0530"/>
    <w:rsid w:val="00BD2B47"/>
    <w:rsid w:val="00BD44F8"/>
    <w:rsid w:val="00BD7594"/>
    <w:rsid w:val="00BE519D"/>
    <w:rsid w:val="00BF00B4"/>
    <w:rsid w:val="00BF3720"/>
    <w:rsid w:val="00BF3EF3"/>
    <w:rsid w:val="00BF4B6B"/>
    <w:rsid w:val="00C018E9"/>
    <w:rsid w:val="00C05E8E"/>
    <w:rsid w:val="00C06C67"/>
    <w:rsid w:val="00C1163C"/>
    <w:rsid w:val="00C15346"/>
    <w:rsid w:val="00C22F69"/>
    <w:rsid w:val="00C23E1E"/>
    <w:rsid w:val="00C364CD"/>
    <w:rsid w:val="00C47216"/>
    <w:rsid w:val="00C50A75"/>
    <w:rsid w:val="00C53AA3"/>
    <w:rsid w:val="00C60F7F"/>
    <w:rsid w:val="00C6660B"/>
    <w:rsid w:val="00C71DBD"/>
    <w:rsid w:val="00C73C1F"/>
    <w:rsid w:val="00C761CC"/>
    <w:rsid w:val="00C813B1"/>
    <w:rsid w:val="00C82C76"/>
    <w:rsid w:val="00C9274C"/>
    <w:rsid w:val="00C92759"/>
    <w:rsid w:val="00C9308F"/>
    <w:rsid w:val="00C932A4"/>
    <w:rsid w:val="00C94399"/>
    <w:rsid w:val="00C94DBC"/>
    <w:rsid w:val="00CA409B"/>
    <w:rsid w:val="00CB0937"/>
    <w:rsid w:val="00CB2E3A"/>
    <w:rsid w:val="00CC7ABA"/>
    <w:rsid w:val="00CD3D61"/>
    <w:rsid w:val="00CD7F92"/>
    <w:rsid w:val="00CE5941"/>
    <w:rsid w:val="00CE6CD4"/>
    <w:rsid w:val="00CF01A7"/>
    <w:rsid w:val="00D06D41"/>
    <w:rsid w:val="00D10577"/>
    <w:rsid w:val="00D22ADE"/>
    <w:rsid w:val="00D257E4"/>
    <w:rsid w:val="00D26BB0"/>
    <w:rsid w:val="00D40551"/>
    <w:rsid w:val="00D479B7"/>
    <w:rsid w:val="00D613C6"/>
    <w:rsid w:val="00D6314B"/>
    <w:rsid w:val="00D70C4E"/>
    <w:rsid w:val="00D720F3"/>
    <w:rsid w:val="00D76FB8"/>
    <w:rsid w:val="00D87002"/>
    <w:rsid w:val="00D92F51"/>
    <w:rsid w:val="00DA4257"/>
    <w:rsid w:val="00DB2933"/>
    <w:rsid w:val="00DC11EE"/>
    <w:rsid w:val="00DC3181"/>
    <w:rsid w:val="00DC37C4"/>
    <w:rsid w:val="00DC6114"/>
    <w:rsid w:val="00DD341F"/>
    <w:rsid w:val="00DD43EE"/>
    <w:rsid w:val="00DE0F93"/>
    <w:rsid w:val="00DE1E1A"/>
    <w:rsid w:val="00DF7238"/>
    <w:rsid w:val="00E06FDE"/>
    <w:rsid w:val="00E12F15"/>
    <w:rsid w:val="00E16B9E"/>
    <w:rsid w:val="00E243F9"/>
    <w:rsid w:val="00E32D89"/>
    <w:rsid w:val="00E332DE"/>
    <w:rsid w:val="00E42764"/>
    <w:rsid w:val="00E46A1D"/>
    <w:rsid w:val="00E5559C"/>
    <w:rsid w:val="00E63364"/>
    <w:rsid w:val="00E7396D"/>
    <w:rsid w:val="00E74D04"/>
    <w:rsid w:val="00E80371"/>
    <w:rsid w:val="00E86AC8"/>
    <w:rsid w:val="00E93027"/>
    <w:rsid w:val="00E96EC1"/>
    <w:rsid w:val="00E97624"/>
    <w:rsid w:val="00EB3A34"/>
    <w:rsid w:val="00EC046E"/>
    <w:rsid w:val="00EC52B0"/>
    <w:rsid w:val="00EC5DF1"/>
    <w:rsid w:val="00ED0390"/>
    <w:rsid w:val="00ED063A"/>
    <w:rsid w:val="00ED1199"/>
    <w:rsid w:val="00EE2589"/>
    <w:rsid w:val="00EE6490"/>
    <w:rsid w:val="00EF0F7B"/>
    <w:rsid w:val="00EF413E"/>
    <w:rsid w:val="00EF6CF6"/>
    <w:rsid w:val="00F011A1"/>
    <w:rsid w:val="00F20C7A"/>
    <w:rsid w:val="00F23447"/>
    <w:rsid w:val="00F27845"/>
    <w:rsid w:val="00F33F39"/>
    <w:rsid w:val="00F42DC4"/>
    <w:rsid w:val="00F50DA4"/>
    <w:rsid w:val="00F54A4F"/>
    <w:rsid w:val="00F54C28"/>
    <w:rsid w:val="00F62E9A"/>
    <w:rsid w:val="00F67629"/>
    <w:rsid w:val="00F70E88"/>
    <w:rsid w:val="00F82C41"/>
    <w:rsid w:val="00F85A78"/>
    <w:rsid w:val="00F8670F"/>
    <w:rsid w:val="00F92CFB"/>
    <w:rsid w:val="00F936F7"/>
    <w:rsid w:val="00F963BA"/>
    <w:rsid w:val="00F964D3"/>
    <w:rsid w:val="00F97353"/>
    <w:rsid w:val="00FC4DDA"/>
    <w:rsid w:val="00FC6B3C"/>
    <w:rsid w:val="00FC78B9"/>
    <w:rsid w:val="00FD2F7B"/>
    <w:rsid w:val="00FD6DEA"/>
    <w:rsid w:val="00FE2934"/>
    <w:rsid w:val="00FE3FCB"/>
    <w:rsid w:val="00FE469E"/>
    <w:rsid w:val="00FE4C87"/>
    <w:rsid w:val="00FF1779"/>
    <w:rsid w:val="00FF2567"/>
    <w:rsid w:val="00FF42A1"/>
    <w:rsid w:val="00FF5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367C"/>
  <w15:chartTrackingRefBased/>
  <w15:docId w15:val="{789049E9-0BC7-40F7-8143-C547C7F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702F99"/>
    <w:pPr>
      <w:spacing w:before="120" w:after="120" w:line="240" w:lineRule="auto"/>
    </w:pPr>
    <w:rPr>
      <w:rFonts w:ascii="Arial" w:eastAsia="Times New Roman" w:hAnsi="Arial" w:cs="Times New Roman"/>
      <w:szCs w:val="20"/>
    </w:rPr>
  </w:style>
  <w:style w:type="paragraph" w:styleId="ListParagraph0">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501D5F"/>
    <w:pPr>
      <w:ind w:left="720"/>
      <w:contextualSpacing/>
    </w:pPr>
  </w:style>
  <w:style w:type="paragraph" w:customStyle="1" w:styleId="CharChar0">
    <w:name w:val="Char Char"/>
    <w:basedOn w:val="Normal"/>
    <w:rsid w:val="0016694F"/>
    <w:pPr>
      <w:spacing w:before="120" w:after="120" w:line="240" w:lineRule="auto"/>
    </w:pPr>
    <w:rPr>
      <w:rFonts w:ascii="Arial" w:eastAsia="Times New Roman" w:hAnsi="Arial" w:cs="Times New Roman"/>
      <w:szCs w:val="20"/>
    </w:rPr>
  </w:style>
  <w:style w:type="paragraph" w:customStyle="1" w:styleId="OPCParaBase">
    <w:name w:val="OPCParaBase"/>
    <w:qFormat/>
    <w:rsid w:val="00830E1E"/>
    <w:pPr>
      <w:spacing w:after="0" w:line="260" w:lineRule="atLeast"/>
    </w:pPr>
    <w:rPr>
      <w:rFonts w:ascii="Times New Roman" w:eastAsia="Times New Roman" w:hAnsi="Times New Roman" w:cs="Times New Roman"/>
      <w:szCs w:val="20"/>
      <w:lang w:eastAsia="en-AU"/>
    </w:rPr>
  </w:style>
  <w:style w:type="paragraph" w:customStyle="1" w:styleId="subsection">
    <w:name w:val="subsection"/>
    <w:aliases w:val="ss,Subsection"/>
    <w:basedOn w:val="OPCParaBase"/>
    <w:link w:val="subsectionChar"/>
    <w:rsid w:val="00830E1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830E1E"/>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083ACB"/>
    <w:rPr>
      <w:color w:val="0563C1" w:themeColor="hyperlink"/>
      <w:u w:val="single"/>
    </w:rPr>
  </w:style>
  <w:style w:type="character" w:styleId="CommentReference">
    <w:name w:val="annotation reference"/>
    <w:basedOn w:val="DefaultParagraphFont"/>
    <w:uiPriority w:val="99"/>
    <w:semiHidden/>
    <w:unhideWhenUsed/>
    <w:rsid w:val="00193BFB"/>
    <w:rPr>
      <w:sz w:val="16"/>
      <w:szCs w:val="16"/>
    </w:rPr>
  </w:style>
  <w:style w:type="paragraph" w:styleId="CommentText">
    <w:name w:val="annotation text"/>
    <w:basedOn w:val="Normal"/>
    <w:link w:val="CommentTextChar"/>
    <w:uiPriority w:val="99"/>
    <w:unhideWhenUsed/>
    <w:rsid w:val="00193BFB"/>
    <w:pPr>
      <w:spacing w:line="240" w:lineRule="auto"/>
    </w:pPr>
    <w:rPr>
      <w:sz w:val="20"/>
      <w:szCs w:val="20"/>
    </w:rPr>
  </w:style>
  <w:style w:type="character" w:customStyle="1" w:styleId="CommentTextChar">
    <w:name w:val="Comment Text Char"/>
    <w:basedOn w:val="DefaultParagraphFont"/>
    <w:link w:val="CommentText"/>
    <w:uiPriority w:val="99"/>
    <w:rsid w:val="00193BFB"/>
    <w:rPr>
      <w:sz w:val="20"/>
      <w:szCs w:val="20"/>
    </w:rPr>
  </w:style>
  <w:style w:type="paragraph" w:styleId="CommentSubject">
    <w:name w:val="annotation subject"/>
    <w:basedOn w:val="CommentText"/>
    <w:next w:val="CommentText"/>
    <w:link w:val="CommentSubjectChar"/>
    <w:uiPriority w:val="99"/>
    <w:semiHidden/>
    <w:unhideWhenUsed/>
    <w:rsid w:val="00193BFB"/>
    <w:rPr>
      <w:b/>
      <w:bCs/>
    </w:rPr>
  </w:style>
  <w:style w:type="character" w:customStyle="1" w:styleId="CommentSubjectChar">
    <w:name w:val="Comment Subject Char"/>
    <w:basedOn w:val="CommentTextChar"/>
    <w:link w:val="CommentSubject"/>
    <w:uiPriority w:val="99"/>
    <w:semiHidden/>
    <w:rsid w:val="00193BFB"/>
    <w:rPr>
      <w:b/>
      <w:bCs/>
      <w:sz w:val="20"/>
      <w:szCs w:val="20"/>
    </w:rPr>
  </w:style>
  <w:style w:type="paragraph" w:styleId="BalloonText">
    <w:name w:val="Balloon Text"/>
    <w:basedOn w:val="Normal"/>
    <w:link w:val="BalloonTextChar"/>
    <w:uiPriority w:val="99"/>
    <w:semiHidden/>
    <w:unhideWhenUsed/>
    <w:rsid w:val="00193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FB"/>
    <w:rPr>
      <w:rFonts w:ascii="Segoe UI" w:hAnsi="Segoe UI" w:cs="Segoe UI"/>
      <w:sz w:val="18"/>
      <w:szCs w:val="18"/>
    </w:rPr>
  </w:style>
  <w:style w:type="paragraph" w:customStyle="1" w:styleId="BodyText1">
    <w:name w:val="Body Text1"/>
    <w:basedOn w:val="Normal"/>
    <w:link w:val="BodytextChar"/>
    <w:rsid w:val="001713C8"/>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1713C8"/>
    <w:rPr>
      <w:rFonts w:ascii="Arial" w:eastAsia="Times New Roman" w:hAnsi="Arial" w:cs="Arial"/>
      <w:sz w:val="24"/>
      <w:szCs w:val="24"/>
      <w:lang w:eastAsia="en-AU"/>
    </w:rPr>
  </w:style>
  <w:style w:type="paragraph" w:customStyle="1" w:styleId="Default">
    <w:name w:val="Default"/>
    <w:uiPriority w:val="99"/>
    <w:rsid w:val="00532C93"/>
    <w:pPr>
      <w:autoSpaceDE w:val="0"/>
      <w:autoSpaceDN w:val="0"/>
      <w:adjustRightInd w:val="0"/>
      <w:spacing w:after="0" w:line="240" w:lineRule="auto"/>
    </w:pPr>
    <w:rPr>
      <w:rFonts w:ascii="Arial" w:hAnsi="Arial" w:cs="Arial"/>
      <w:color w:val="000000"/>
      <w:sz w:val="24"/>
      <w:szCs w:val="24"/>
    </w:rPr>
  </w:style>
  <w:style w:type="paragraph" w:customStyle="1" w:styleId="xtabletext">
    <w:name w:val="x_tabletext"/>
    <w:basedOn w:val="Normal"/>
    <w:rsid w:val="00A159AD"/>
    <w:pPr>
      <w:spacing w:before="100" w:beforeAutospacing="1" w:after="100" w:afterAutospacing="1" w:line="240" w:lineRule="auto"/>
    </w:pPr>
    <w:rPr>
      <w:rFonts w:ascii="Calibri" w:hAnsi="Calibri" w:cs="Calibri"/>
      <w:lang w:eastAsia="en-AU"/>
    </w:rPr>
  </w:style>
  <w:style w:type="paragraph" w:customStyle="1" w:styleId="xsubsection">
    <w:name w:val="x_subsection"/>
    <w:basedOn w:val="Normal"/>
    <w:rsid w:val="00A159AD"/>
    <w:pPr>
      <w:spacing w:before="100" w:beforeAutospacing="1" w:after="100" w:afterAutospacing="1" w:line="240" w:lineRule="auto"/>
    </w:pPr>
    <w:rPr>
      <w:rFonts w:ascii="Calibri" w:hAnsi="Calibri" w:cs="Calibri"/>
      <w:lang w:eastAsia="en-AU"/>
    </w:rPr>
  </w:style>
  <w:style w:type="paragraph" w:styleId="BodyText">
    <w:name w:val="Body Text"/>
    <w:basedOn w:val="Normal"/>
    <w:link w:val="BodyTextChar0"/>
    <w:uiPriority w:val="1"/>
    <w:semiHidden/>
    <w:unhideWhenUsed/>
    <w:qFormat/>
    <w:rsid w:val="00091453"/>
    <w:pPr>
      <w:spacing w:before="120" w:after="120" w:line="264" w:lineRule="auto"/>
      <w:jc w:val="both"/>
    </w:pPr>
    <w:rPr>
      <w:rFonts w:eastAsia="Times New Roman" w:cs="Times New Roman"/>
      <w:sz w:val="20"/>
      <w:szCs w:val="24"/>
      <w:lang w:eastAsia="en-AU"/>
    </w:rPr>
  </w:style>
  <w:style w:type="character" w:customStyle="1" w:styleId="BodyTextChar0">
    <w:name w:val="Body Text Char"/>
    <w:basedOn w:val="DefaultParagraphFont"/>
    <w:link w:val="BodyText"/>
    <w:uiPriority w:val="1"/>
    <w:semiHidden/>
    <w:rsid w:val="00091453"/>
    <w:rPr>
      <w:rFonts w:eastAsia="Times New Roman" w:cs="Times New Roman"/>
      <w:sz w:val="20"/>
      <w:szCs w:val="24"/>
      <w:lang w:eastAsia="en-AU"/>
    </w:rPr>
  </w:style>
  <w:style w:type="character" w:styleId="Emphasis">
    <w:name w:val="Emphasis"/>
    <w:basedOn w:val="DefaultParagraphFont"/>
    <w:uiPriority w:val="20"/>
    <w:qFormat/>
    <w:rsid w:val="00B75355"/>
    <w:rPr>
      <w:i/>
      <w:iCs/>
    </w:rPr>
  </w:style>
  <w:style w:type="table" w:styleId="TableGrid">
    <w:name w:val="Table Grid"/>
    <w:basedOn w:val="TableNormal"/>
    <w:uiPriority w:val="39"/>
    <w:rsid w:val="0054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0"/>
    <w:uiPriority w:val="34"/>
    <w:qFormat/>
    <w:locked/>
    <w:rsid w:val="004A2048"/>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semiHidden/>
    <w:locked/>
    <w:rsid w:val="004A2048"/>
    <w:rPr>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Table/Chart Ref"/>
    <w:basedOn w:val="Normal"/>
    <w:link w:val="FootnoteTextChar"/>
    <w:semiHidden/>
    <w:unhideWhenUsed/>
    <w:rsid w:val="004A2048"/>
    <w:pPr>
      <w:spacing w:after="0" w:line="240" w:lineRule="auto"/>
    </w:pPr>
    <w:rPr>
      <w:sz w:val="20"/>
      <w:szCs w:val="20"/>
    </w:rPr>
  </w:style>
  <w:style w:type="character" w:customStyle="1" w:styleId="FootnoteTextChar1">
    <w:name w:val="Footnote Text Char1"/>
    <w:basedOn w:val="DefaultParagraphFont"/>
    <w:uiPriority w:val="99"/>
    <w:semiHidden/>
    <w:rsid w:val="004A2048"/>
    <w:rPr>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
    <w:basedOn w:val="DefaultParagraphFont"/>
    <w:link w:val="4GCharCharCharChar"/>
    <w:unhideWhenUsed/>
    <w:rsid w:val="004A2048"/>
    <w:rPr>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rsid w:val="004A2048"/>
    <w:pPr>
      <w:spacing w:line="240" w:lineRule="exact"/>
      <w:jc w:val="both"/>
    </w:pPr>
    <w:rPr>
      <w:vertAlign w:val="superscript"/>
    </w:rPr>
  </w:style>
  <w:style w:type="paragraph" w:customStyle="1" w:styleId="xmsonormal">
    <w:name w:val="x_msonormal"/>
    <w:basedOn w:val="Normal"/>
    <w:rsid w:val="008C4E51"/>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643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B3F"/>
  </w:style>
  <w:style w:type="paragraph" w:styleId="Footer">
    <w:name w:val="footer"/>
    <w:basedOn w:val="Normal"/>
    <w:link w:val="FooterChar"/>
    <w:uiPriority w:val="99"/>
    <w:unhideWhenUsed/>
    <w:rsid w:val="00643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B3F"/>
  </w:style>
  <w:style w:type="paragraph" w:customStyle="1" w:styleId="ESPara">
    <w:name w:val="ES_Para"/>
    <w:basedOn w:val="Normal"/>
    <w:link w:val="ESParaChar"/>
    <w:qFormat/>
    <w:rsid w:val="008F01EE"/>
    <w:pPr>
      <w:spacing w:before="240" w:after="240" w:line="276" w:lineRule="auto"/>
    </w:pPr>
    <w:rPr>
      <w:rFonts w:ascii="Times New Roman" w:hAnsi="Times New Roman" w:cs="Times New Roman"/>
    </w:rPr>
  </w:style>
  <w:style w:type="character" w:customStyle="1" w:styleId="ESParaChar">
    <w:name w:val="ES_Para Char"/>
    <w:basedOn w:val="DefaultParagraphFont"/>
    <w:link w:val="ESPara"/>
    <w:rsid w:val="008F01EE"/>
    <w:rPr>
      <w:rFonts w:ascii="Times New Roman" w:hAnsi="Times New Roman" w:cs="Times New Roman"/>
    </w:rPr>
  </w:style>
  <w:style w:type="paragraph" w:customStyle="1" w:styleId="ESHeading">
    <w:name w:val="ES_Heading"/>
    <w:basedOn w:val="ListParagraph0"/>
    <w:link w:val="ESHeadingChar"/>
    <w:qFormat/>
    <w:rsid w:val="00375290"/>
    <w:pPr>
      <w:keepNext/>
      <w:spacing w:before="240" w:after="240" w:line="276" w:lineRule="auto"/>
      <w:ind w:left="0"/>
      <w:contextualSpacing w:val="0"/>
    </w:pPr>
    <w:rPr>
      <w:rFonts w:ascii="Times New Roman" w:hAnsi="Times New Roman" w:cs="Times New Roman"/>
      <w:b/>
      <w:i/>
    </w:rPr>
  </w:style>
  <w:style w:type="character" w:customStyle="1" w:styleId="ESHeadingChar">
    <w:name w:val="ES_Heading Char"/>
    <w:basedOn w:val="ListParagraphChar"/>
    <w:link w:val="ESHeading"/>
    <w:rsid w:val="00375290"/>
    <w:rPr>
      <w:rFonts w:ascii="Times New Roman" w:hAnsi="Times New Roman" w:cs="Times New Roman"/>
      <w:b/>
      <w:i/>
    </w:rPr>
  </w:style>
  <w:style w:type="paragraph" w:customStyle="1" w:styleId="ESSubparaList">
    <w:name w:val="ES_SubparaList"/>
    <w:basedOn w:val="ListParagraph0"/>
    <w:link w:val="ESSubparaListChar"/>
    <w:qFormat/>
    <w:rsid w:val="00375290"/>
    <w:pPr>
      <w:spacing w:before="240" w:after="240" w:line="276" w:lineRule="auto"/>
      <w:ind w:left="1276" w:hanging="425"/>
      <w:contextualSpacing w:val="0"/>
    </w:pPr>
    <w:rPr>
      <w:rFonts w:ascii="Times New Roman" w:hAnsi="Times New Roman" w:cs="Times New Roman"/>
    </w:rPr>
  </w:style>
  <w:style w:type="character" w:customStyle="1" w:styleId="ESSubparaListChar">
    <w:name w:val="ES_SubparaList Char"/>
    <w:basedOn w:val="ListParagraphChar"/>
    <w:link w:val="ESSubparaList"/>
    <w:rsid w:val="00375290"/>
    <w:rPr>
      <w:rFonts w:ascii="Times New Roman" w:hAnsi="Times New Roman" w:cs="Times New Roman"/>
    </w:rPr>
  </w:style>
  <w:style w:type="paragraph" w:customStyle="1" w:styleId="Bullet1">
    <w:name w:val="Bullet 1"/>
    <w:basedOn w:val="ListBullet2"/>
    <w:qFormat/>
    <w:rsid w:val="00E32D89"/>
    <w:pPr>
      <w:spacing w:after="200" w:line="276" w:lineRule="auto"/>
      <w:ind w:left="567" w:hanging="567"/>
    </w:pPr>
    <w:rPr>
      <w:rFonts w:ascii="Calibri" w:eastAsia="Calibri" w:hAnsi="Calibri" w:cs="Calibri"/>
      <w:w w:val="105"/>
      <w:kern w:val="40"/>
    </w:rPr>
  </w:style>
  <w:style w:type="paragraph" w:styleId="ListBullet">
    <w:name w:val="List Bullet"/>
    <w:aliases w:val="List Bullet 1"/>
    <w:basedOn w:val="Normal"/>
    <w:uiPriority w:val="99"/>
    <w:unhideWhenUsed/>
    <w:rsid w:val="00E32D89"/>
    <w:pPr>
      <w:numPr>
        <w:ilvl w:val="1"/>
        <w:numId w:val="21"/>
      </w:numPr>
      <w:spacing w:after="200" w:line="276" w:lineRule="auto"/>
      <w:ind w:left="1440"/>
      <w:contextualSpacing/>
    </w:pPr>
    <w:rPr>
      <w:rFonts w:ascii="Calibri" w:eastAsia="Calibri" w:hAnsi="Calibri" w:cs="Calibri"/>
      <w:w w:val="105"/>
      <w:kern w:val="40"/>
    </w:rPr>
  </w:style>
  <w:style w:type="numbering" w:customStyle="1" w:styleId="ListParagraph">
    <w:name w:val="List_Paragraph"/>
    <w:uiPriority w:val="99"/>
    <w:rsid w:val="00E32D89"/>
    <w:pPr>
      <w:numPr>
        <w:numId w:val="22"/>
      </w:numPr>
    </w:pPr>
  </w:style>
  <w:style w:type="paragraph" w:customStyle="1" w:styleId="ListParagraph2">
    <w:name w:val="List Paragraph 2"/>
    <w:basedOn w:val="ListParagraph0"/>
    <w:uiPriority w:val="19"/>
    <w:semiHidden/>
    <w:rsid w:val="00E32D89"/>
    <w:pPr>
      <w:tabs>
        <w:tab w:val="num" w:pos="360"/>
      </w:tabs>
      <w:spacing w:after="120" w:line="264" w:lineRule="auto"/>
      <w:ind w:left="567"/>
      <w:contextualSpacing w:val="0"/>
    </w:pPr>
    <w:rPr>
      <w:rFonts w:eastAsia="Times New Roman" w:cs="Times New Roman"/>
      <w:sz w:val="20"/>
      <w:szCs w:val="24"/>
      <w:lang w:eastAsia="en-AU"/>
    </w:rPr>
  </w:style>
  <w:style w:type="paragraph" w:customStyle="1" w:styleId="ListParagraph3">
    <w:name w:val="List Paragraph 3"/>
    <w:basedOn w:val="ListParagraph0"/>
    <w:uiPriority w:val="19"/>
    <w:semiHidden/>
    <w:rsid w:val="00E32D89"/>
    <w:pPr>
      <w:tabs>
        <w:tab w:val="num" w:pos="360"/>
      </w:tabs>
      <w:spacing w:after="120" w:line="264" w:lineRule="auto"/>
      <w:ind w:left="851"/>
      <w:contextualSpacing w:val="0"/>
    </w:pPr>
    <w:rPr>
      <w:rFonts w:eastAsia="Times New Roman" w:cs="Times New Roman"/>
      <w:sz w:val="20"/>
      <w:szCs w:val="24"/>
      <w:lang w:eastAsia="en-AU"/>
    </w:rPr>
  </w:style>
  <w:style w:type="paragraph" w:customStyle="1" w:styleId="ListParagraph4">
    <w:name w:val="List Paragraph 4"/>
    <w:basedOn w:val="ListParagraph0"/>
    <w:uiPriority w:val="19"/>
    <w:semiHidden/>
    <w:rsid w:val="00E32D89"/>
    <w:pPr>
      <w:tabs>
        <w:tab w:val="num" w:pos="360"/>
      </w:tabs>
      <w:spacing w:after="120" w:line="264" w:lineRule="auto"/>
      <w:ind w:left="1134"/>
      <w:contextualSpacing w:val="0"/>
    </w:pPr>
    <w:rPr>
      <w:rFonts w:eastAsia="Times New Roman" w:cs="Times New Roman"/>
      <w:sz w:val="20"/>
      <w:szCs w:val="24"/>
      <w:lang w:eastAsia="en-AU"/>
    </w:rPr>
  </w:style>
  <w:style w:type="paragraph" w:customStyle="1" w:styleId="ListParagraph5">
    <w:name w:val="List Paragraph 5"/>
    <w:basedOn w:val="ListParagraph0"/>
    <w:uiPriority w:val="19"/>
    <w:semiHidden/>
    <w:rsid w:val="00E32D89"/>
    <w:pPr>
      <w:tabs>
        <w:tab w:val="num" w:pos="360"/>
      </w:tabs>
      <w:spacing w:after="120" w:line="264" w:lineRule="auto"/>
      <w:ind w:left="1418"/>
      <w:contextualSpacing w:val="0"/>
    </w:pPr>
    <w:rPr>
      <w:rFonts w:eastAsia="Times New Roman" w:cs="Times New Roman"/>
      <w:sz w:val="20"/>
      <w:szCs w:val="24"/>
      <w:lang w:eastAsia="en-AU"/>
    </w:rPr>
  </w:style>
  <w:style w:type="paragraph" w:customStyle="1" w:styleId="ListParagraph6">
    <w:name w:val="List Paragraph 6"/>
    <w:basedOn w:val="ListParagraph0"/>
    <w:uiPriority w:val="19"/>
    <w:semiHidden/>
    <w:rsid w:val="00E32D89"/>
    <w:pPr>
      <w:tabs>
        <w:tab w:val="num" w:pos="360"/>
      </w:tabs>
      <w:spacing w:after="120" w:line="264" w:lineRule="auto"/>
      <w:ind w:left="1701"/>
      <w:contextualSpacing w:val="0"/>
    </w:pPr>
    <w:rPr>
      <w:rFonts w:eastAsia="Times New Roman" w:cs="Times New Roman"/>
      <w:sz w:val="20"/>
      <w:szCs w:val="24"/>
      <w:lang w:eastAsia="en-AU"/>
    </w:rPr>
  </w:style>
  <w:style w:type="paragraph" w:styleId="ListBullet2">
    <w:name w:val="List Bullet 2"/>
    <w:basedOn w:val="Normal"/>
    <w:uiPriority w:val="99"/>
    <w:semiHidden/>
    <w:unhideWhenUsed/>
    <w:rsid w:val="00E32D89"/>
    <w:pPr>
      <w:ind w:left="720" w:hanging="360"/>
      <w:contextualSpacing/>
    </w:pPr>
  </w:style>
  <w:style w:type="paragraph" w:customStyle="1" w:styleId="Celltext">
    <w:name w:val="Cell text"/>
    <w:basedOn w:val="Normal"/>
    <w:rsid w:val="00862E91"/>
    <w:pPr>
      <w:spacing w:before="12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2506">
      <w:bodyDiv w:val="1"/>
      <w:marLeft w:val="0"/>
      <w:marRight w:val="0"/>
      <w:marTop w:val="0"/>
      <w:marBottom w:val="0"/>
      <w:divBdr>
        <w:top w:val="none" w:sz="0" w:space="0" w:color="auto"/>
        <w:left w:val="none" w:sz="0" w:space="0" w:color="auto"/>
        <w:bottom w:val="none" w:sz="0" w:space="0" w:color="auto"/>
        <w:right w:val="none" w:sz="0" w:space="0" w:color="auto"/>
      </w:divBdr>
    </w:div>
    <w:div w:id="184174913">
      <w:bodyDiv w:val="1"/>
      <w:marLeft w:val="0"/>
      <w:marRight w:val="0"/>
      <w:marTop w:val="0"/>
      <w:marBottom w:val="0"/>
      <w:divBdr>
        <w:top w:val="none" w:sz="0" w:space="0" w:color="auto"/>
        <w:left w:val="none" w:sz="0" w:space="0" w:color="auto"/>
        <w:bottom w:val="none" w:sz="0" w:space="0" w:color="auto"/>
        <w:right w:val="none" w:sz="0" w:space="0" w:color="auto"/>
      </w:divBdr>
    </w:div>
    <w:div w:id="194538296">
      <w:bodyDiv w:val="1"/>
      <w:marLeft w:val="0"/>
      <w:marRight w:val="0"/>
      <w:marTop w:val="0"/>
      <w:marBottom w:val="0"/>
      <w:divBdr>
        <w:top w:val="none" w:sz="0" w:space="0" w:color="auto"/>
        <w:left w:val="none" w:sz="0" w:space="0" w:color="auto"/>
        <w:bottom w:val="none" w:sz="0" w:space="0" w:color="auto"/>
        <w:right w:val="none" w:sz="0" w:space="0" w:color="auto"/>
      </w:divBdr>
    </w:div>
    <w:div w:id="387267693">
      <w:bodyDiv w:val="1"/>
      <w:marLeft w:val="0"/>
      <w:marRight w:val="0"/>
      <w:marTop w:val="0"/>
      <w:marBottom w:val="0"/>
      <w:divBdr>
        <w:top w:val="none" w:sz="0" w:space="0" w:color="auto"/>
        <w:left w:val="none" w:sz="0" w:space="0" w:color="auto"/>
        <w:bottom w:val="none" w:sz="0" w:space="0" w:color="auto"/>
        <w:right w:val="none" w:sz="0" w:space="0" w:color="auto"/>
      </w:divBdr>
    </w:div>
    <w:div w:id="758253921">
      <w:bodyDiv w:val="1"/>
      <w:marLeft w:val="0"/>
      <w:marRight w:val="0"/>
      <w:marTop w:val="0"/>
      <w:marBottom w:val="0"/>
      <w:divBdr>
        <w:top w:val="none" w:sz="0" w:space="0" w:color="auto"/>
        <w:left w:val="none" w:sz="0" w:space="0" w:color="auto"/>
        <w:bottom w:val="none" w:sz="0" w:space="0" w:color="auto"/>
        <w:right w:val="none" w:sz="0" w:space="0" w:color="auto"/>
      </w:divBdr>
    </w:div>
    <w:div w:id="791480293">
      <w:bodyDiv w:val="1"/>
      <w:marLeft w:val="0"/>
      <w:marRight w:val="0"/>
      <w:marTop w:val="0"/>
      <w:marBottom w:val="0"/>
      <w:divBdr>
        <w:top w:val="none" w:sz="0" w:space="0" w:color="auto"/>
        <w:left w:val="none" w:sz="0" w:space="0" w:color="auto"/>
        <w:bottom w:val="none" w:sz="0" w:space="0" w:color="auto"/>
        <w:right w:val="none" w:sz="0" w:space="0" w:color="auto"/>
      </w:divBdr>
    </w:div>
    <w:div w:id="1032657741">
      <w:bodyDiv w:val="1"/>
      <w:marLeft w:val="0"/>
      <w:marRight w:val="0"/>
      <w:marTop w:val="0"/>
      <w:marBottom w:val="0"/>
      <w:divBdr>
        <w:top w:val="none" w:sz="0" w:space="0" w:color="auto"/>
        <w:left w:val="none" w:sz="0" w:space="0" w:color="auto"/>
        <w:bottom w:val="none" w:sz="0" w:space="0" w:color="auto"/>
        <w:right w:val="none" w:sz="0" w:space="0" w:color="auto"/>
      </w:divBdr>
    </w:div>
    <w:div w:id="1124544884">
      <w:bodyDiv w:val="1"/>
      <w:marLeft w:val="0"/>
      <w:marRight w:val="0"/>
      <w:marTop w:val="0"/>
      <w:marBottom w:val="0"/>
      <w:divBdr>
        <w:top w:val="none" w:sz="0" w:space="0" w:color="auto"/>
        <w:left w:val="none" w:sz="0" w:space="0" w:color="auto"/>
        <w:bottom w:val="none" w:sz="0" w:space="0" w:color="auto"/>
        <w:right w:val="none" w:sz="0" w:space="0" w:color="auto"/>
      </w:divBdr>
    </w:div>
    <w:div w:id="1415324902">
      <w:bodyDiv w:val="1"/>
      <w:marLeft w:val="0"/>
      <w:marRight w:val="0"/>
      <w:marTop w:val="0"/>
      <w:marBottom w:val="0"/>
      <w:divBdr>
        <w:top w:val="none" w:sz="0" w:space="0" w:color="auto"/>
        <w:left w:val="none" w:sz="0" w:space="0" w:color="auto"/>
        <w:bottom w:val="none" w:sz="0" w:space="0" w:color="auto"/>
        <w:right w:val="none" w:sz="0" w:space="0" w:color="auto"/>
      </w:divBdr>
    </w:div>
    <w:div w:id="1454788248">
      <w:bodyDiv w:val="1"/>
      <w:marLeft w:val="0"/>
      <w:marRight w:val="0"/>
      <w:marTop w:val="0"/>
      <w:marBottom w:val="0"/>
      <w:divBdr>
        <w:top w:val="none" w:sz="0" w:space="0" w:color="auto"/>
        <w:left w:val="none" w:sz="0" w:space="0" w:color="auto"/>
        <w:bottom w:val="none" w:sz="0" w:space="0" w:color="auto"/>
        <w:right w:val="none" w:sz="0" w:space="0" w:color="auto"/>
      </w:divBdr>
    </w:div>
    <w:div w:id="1555778900">
      <w:bodyDiv w:val="1"/>
      <w:marLeft w:val="0"/>
      <w:marRight w:val="0"/>
      <w:marTop w:val="0"/>
      <w:marBottom w:val="0"/>
      <w:divBdr>
        <w:top w:val="none" w:sz="0" w:space="0" w:color="auto"/>
        <w:left w:val="none" w:sz="0" w:space="0" w:color="auto"/>
        <w:bottom w:val="none" w:sz="0" w:space="0" w:color="auto"/>
        <w:right w:val="none" w:sz="0" w:space="0" w:color="auto"/>
      </w:divBdr>
    </w:div>
    <w:div w:id="1639190142">
      <w:bodyDiv w:val="1"/>
      <w:marLeft w:val="0"/>
      <w:marRight w:val="0"/>
      <w:marTop w:val="0"/>
      <w:marBottom w:val="0"/>
      <w:divBdr>
        <w:top w:val="none" w:sz="0" w:space="0" w:color="auto"/>
        <w:left w:val="none" w:sz="0" w:space="0" w:color="auto"/>
        <w:bottom w:val="none" w:sz="0" w:space="0" w:color="auto"/>
        <w:right w:val="none" w:sz="0" w:space="0" w:color="auto"/>
      </w:divBdr>
    </w:div>
    <w:div w:id="1660765031">
      <w:bodyDiv w:val="1"/>
      <w:marLeft w:val="0"/>
      <w:marRight w:val="0"/>
      <w:marTop w:val="0"/>
      <w:marBottom w:val="0"/>
      <w:divBdr>
        <w:top w:val="none" w:sz="0" w:space="0" w:color="auto"/>
        <w:left w:val="none" w:sz="0" w:space="0" w:color="auto"/>
        <w:bottom w:val="none" w:sz="0" w:space="0" w:color="auto"/>
        <w:right w:val="none" w:sz="0" w:space="0" w:color="auto"/>
      </w:divBdr>
    </w:div>
    <w:div w:id="1782916503">
      <w:bodyDiv w:val="1"/>
      <w:marLeft w:val="0"/>
      <w:marRight w:val="0"/>
      <w:marTop w:val="0"/>
      <w:marBottom w:val="0"/>
      <w:divBdr>
        <w:top w:val="none" w:sz="0" w:space="0" w:color="auto"/>
        <w:left w:val="none" w:sz="0" w:space="0" w:color="auto"/>
        <w:bottom w:val="none" w:sz="0" w:space="0" w:color="auto"/>
        <w:right w:val="none" w:sz="0" w:space="0" w:color="auto"/>
      </w:divBdr>
    </w:div>
    <w:div w:id="20989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17DD4DA-40AE-4382-8520-BA6F2795D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8B812083E8E74BA93271A5484186F1" ma:contentTypeVersion="" ma:contentTypeDescription="PDMS Document Site Content Type" ma:contentTypeScope="" ma:versionID="fbc5589da5e9f527fb5808709d551368">
  <xsd:schema xmlns:xsd="http://www.w3.org/2001/XMLSchema" xmlns:xs="http://www.w3.org/2001/XMLSchema" xmlns:p="http://schemas.microsoft.com/office/2006/metadata/properties" xmlns:ns2="317DD4DA-40AE-4382-8520-BA6F2795DD14" targetNamespace="http://schemas.microsoft.com/office/2006/metadata/properties" ma:root="true" ma:fieldsID="0832569f32f6bc4940fcfe8a30f0ca28" ns2:_="">
    <xsd:import namespace="317DD4DA-40AE-4382-8520-BA6F2795DD1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D4DA-40AE-4382-8520-BA6F2795DD1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8F7-B884-4D19-8452-841FA01C2F56}">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17DD4DA-40AE-4382-8520-BA6F2795DD14"/>
    <ds:schemaRef ds:uri="http://www.w3.org/XML/1998/namespace"/>
  </ds:schemaRefs>
</ds:datastoreItem>
</file>

<file path=customXml/itemProps2.xml><?xml version="1.0" encoding="utf-8"?>
<ds:datastoreItem xmlns:ds="http://schemas.openxmlformats.org/officeDocument/2006/customXml" ds:itemID="{EBE8C2AE-0CC4-4573-893C-1680E686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D4DA-40AE-4382-8520-BA6F2795D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0F624-F984-4E6B-95BE-705C64FA8D22}">
  <ds:schemaRefs>
    <ds:schemaRef ds:uri="http://schemas.microsoft.com/sharepoint/v3/contenttype/forms"/>
  </ds:schemaRefs>
</ds:datastoreItem>
</file>

<file path=customXml/itemProps4.xml><?xml version="1.0" encoding="utf-8"?>
<ds:datastoreItem xmlns:ds="http://schemas.openxmlformats.org/officeDocument/2006/customXml" ds:itemID="{2F1F23CA-EFBB-4A70-972C-FA8D4A31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4154</Words>
  <Characters>23683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TAYLOR</dc:creator>
  <cp:keywords/>
  <dc:description/>
  <cp:lastModifiedBy>Wigney, Sonja</cp:lastModifiedBy>
  <cp:revision>2</cp:revision>
  <cp:lastPrinted>2021-11-29T22:43:00Z</cp:lastPrinted>
  <dcterms:created xsi:type="dcterms:W3CDTF">2024-05-13T04:58:00Z</dcterms:created>
  <dcterms:modified xsi:type="dcterms:W3CDTF">2024-05-13T04:58:00Z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0x010100266966F133664895A6EE3632470D45F500EE8B812083E8E74BA93271A5484186F1</vt:lpwstr>
  </property>
</Properties>
</file>