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968D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D53C03" wp14:editId="176C175C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6E7E" w14:textId="77777777" w:rsidR="0018793E" w:rsidRDefault="0018793E" w:rsidP="009E3D4E">
      <w:pPr>
        <w:pStyle w:val="LDDescription"/>
      </w:pPr>
      <w:bookmarkStart w:id="0" w:name="Title"/>
    </w:p>
    <w:p w14:paraId="0F6BC7E8" w14:textId="770D01EC" w:rsidR="009228CB" w:rsidRPr="00E171A2" w:rsidRDefault="00ED1BF2" w:rsidP="009E3D4E">
      <w:pPr>
        <w:pStyle w:val="LDDescription"/>
      </w:pPr>
      <w:r>
        <w:t>Telecommunications (Interception and Access) (</w:t>
      </w:r>
      <w:r w:rsidR="003774F7">
        <w:t xml:space="preserve">Enforcement </w:t>
      </w:r>
      <w:r w:rsidR="007B1A44">
        <w:t>A</w:t>
      </w:r>
      <w:r w:rsidR="003774F7">
        <w:t>gency—</w:t>
      </w:r>
      <w:r w:rsidR="000B3AF1">
        <w:t>NSW Department of Communities and Justice</w:t>
      </w:r>
      <w:r>
        <w:t>) Declaration 202</w:t>
      </w:r>
      <w:bookmarkEnd w:id="0"/>
      <w:r w:rsidR="006A27BA">
        <w:t>4</w:t>
      </w:r>
    </w:p>
    <w:p w14:paraId="34E0B9C4" w14:textId="34814A9E" w:rsidR="00554826" w:rsidRDefault="002503BC" w:rsidP="00365E41">
      <w:pPr>
        <w:pStyle w:val="LDBodytext"/>
      </w:pPr>
      <w:r w:rsidRPr="002503BC">
        <w:t xml:space="preserve">I, the Hon Mark Dreyfus KC MP, Attorney-General, make this instrument </w:t>
      </w:r>
      <w:r w:rsidR="003B3646" w:rsidRPr="009464C5">
        <w:t xml:space="preserve">under </w:t>
      </w:r>
      <w:r w:rsidR="00A34F89">
        <w:t>section 176A</w:t>
      </w:r>
      <w:r w:rsidR="00BD08C0">
        <w:t xml:space="preserve"> </w:t>
      </w:r>
      <w:r w:rsidR="00F27438" w:rsidRPr="009464C5">
        <w:t xml:space="preserve">of the </w:t>
      </w:r>
      <w:r w:rsidR="00ED1BF2">
        <w:rPr>
          <w:i/>
        </w:rPr>
        <w:t xml:space="preserve">Telecommunications (Interception and Access) Act 1979 </w:t>
      </w:r>
      <w:r w:rsidR="00ED1BF2">
        <w:t>(the </w:t>
      </w:r>
      <w:r w:rsidR="00ED1BF2" w:rsidRPr="0018793E">
        <w:rPr>
          <w:rStyle w:val="LDBoldItal"/>
          <w:b w:val="0"/>
          <w:i w:val="0"/>
        </w:rPr>
        <w:t>Act</w:t>
      </w:r>
      <w:r w:rsidR="000B14AD" w:rsidRPr="009464C5">
        <w:t>)</w:t>
      </w:r>
      <w:r w:rsidR="00F27438" w:rsidRPr="009464C5">
        <w:rPr>
          <w:i/>
        </w:rPr>
        <w:t>.</w:t>
      </w:r>
    </w:p>
    <w:p w14:paraId="19F378E5" w14:textId="26B1D474" w:rsidR="005360AE" w:rsidRPr="00B32C2C" w:rsidRDefault="005360AE" w:rsidP="005360AE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B32C2C">
        <w:rPr>
          <w:rFonts w:cs="Times New Roman"/>
          <w:szCs w:val="22"/>
        </w:rPr>
        <w:t>Dated</w:t>
      </w: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8 May 2024</w:t>
      </w:r>
    </w:p>
    <w:p w14:paraId="2C719F84" w14:textId="0B010B9E" w:rsidR="005360AE" w:rsidRPr="00B32C2C" w:rsidRDefault="005360AE" w:rsidP="005360AE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Mark Dreyfus</w:t>
      </w:r>
      <w:bookmarkStart w:id="1" w:name="_GoBack"/>
      <w:bookmarkEnd w:id="1"/>
    </w:p>
    <w:p w14:paraId="1E0158E2" w14:textId="60BA80C2" w:rsidR="005360AE" w:rsidRPr="00B32C2C" w:rsidRDefault="005360AE" w:rsidP="005360AE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14:paraId="080A68CE" w14:textId="77777777" w:rsidR="00554826" w:rsidRPr="00F17CC6" w:rsidRDefault="00554826" w:rsidP="00365E41">
      <w:pPr>
        <w:pStyle w:val="LDBodytext"/>
      </w:pPr>
    </w:p>
    <w:p w14:paraId="12635DD6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2" w:name="_Toc454512513"/>
    <w:bookmarkStart w:id="3" w:name="_Toc454512517"/>
    <w:p w14:paraId="09139AA9" w14:textId="77777777" w:rsidR="003B3646" w:rsidRDefault="001F6B72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31201286"/>
      <w:r w:rsidR="003774F7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5020F68C" w14:textId="42C76790" w:rsidR="00B4644E" w:rsidRPr="003774F7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3774F7">
        <w:rPr>
          <w:rStyle w:val="LDItal"/>
        </w:rPr>
        <w:fldChar w:fldCharType="begin"/>
      </w:r>
      <w:r w:rsidRPr="003774F7">
        <w:rPr>
          <w:rStyle w:val="LDItal"/>
        </w:rPr>
        <w:instrText xml:space="preserve"> REF Title \h  \* MERGEFORMAT </w:instrText>
      </w:r>
      <w:r w:rsidRPr="003774F7">
        <w:rPr>
          <w:rStyle w:val="LDItal"/>
        </w:rPr>
      </w:r>
      <w:r w:rsidRPr="003774F7">
        <w:rPr>
          <w:rStyle w:val="LDItal"/>
        </w:rPr>
        <w:fldChar w:fldCharType="separate"/>
      </w:r>
      <w:r w:rsidR="003774F7" w:rsidRPr="003774F7">
        <w:rPr>
          <w:rStyle w:val="LDItal"/>
        </w:rPr>
        <w:t xml:space="preserve">Telecommunications (Interception and Access) (Enforcement </w:t>
      </w:r>
      <w:r w:rsidR="00152F78">
        <w:rPr>
          <w:rStyle w:val="LDItal"/>
        </w:rPr>
        <w:t>A</w:t>
      </w:r>
      <w:r w:rsidR="003774F7" w:rsidRPr="003774F7">
        <w:rPr>
          <w:rStyle w:val="LDItal"/>
        </w:rPr>
        <w:t>gency—</w:t>
      </w:r>
      <w:r w:rsidR="003774F7" w:rsidRPr="003774F7">
        <w:rPr>
          <w:i/>
        </w:rPr>
        <w:t>NSW</w:t>
      </w:r>
      <w:r w:rsidR="00055CC7">
        <w:rPr>
          <w:i/>
        </w:rPr>
        <w:t xml:space="preserve"> Department of Communities and Justice</w:t>
      </w:r>
      <w:r w:rsidR="003774F7" w:rsidRPr="003774F7">
        <w:rPr>
          <w:i/>
        </w:rPr>
        <w:t>) Declaration 202</w:t>
      </w:r>
      <w:r w:rsidRPr="003774F7">
        <w:rPr>
          <w:rStyle w:val="LDItal"/>
        </w:rPr>
        <w:fldChar w:fldCharType="end"/>
      </w:r>
      <w:r w:rsidR="006A27BA">
        <w:rPr>
          <w:rStyle w:val="LDItal"/>
        </w:rPr>
        <w:t>4</w:t>
      </w:r>
      <w:r w:rsidRPr="003774F7">
        <w:t>.</w:t>
      </w:r>
    </w:p>
    <w:bookmarkStart w:id="5" w:name="_Toc454512514"/>
    <w:p w14:paraId="1B9F38B2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6" w:name="_Toc31201287"/>
      <w:r w:rsidR="003774F7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464EC45A" w14:textId="77777777" w:rsidR="003B364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A34F89">
        <w:t>on the day after registration</w:t>
      </w:r>
      <w:r w:rsidR="003B3646" w:rsidRPr="00F17CC6">
        <w:t>.</w:t>
      </w:r>
    </w:p>
    <w:p w14:paraId="56CF99AB" w14:textId="77777777" w:rsidR="000B3AF1" w:rsidRDefault="000B3AF1" w:rsidP="000B14AD">
      <w:pPr>
        <w:pStyle w:val="LDSec1"/>
      </w:pPr>
    </w:p>
    <w:p w14:paraId="75472151" w14:textId="77777777" w:rsidR="003519FB" w:rsidRPr="003519FB" w:rsidRDefault="003519FB" w:rsidP="003519FB">
      <w:pPr>
        <w:pStyle w:val="LDNote"/>
        <w:keepNext/>
      </w:pPr>
      <w:r>
        <w:rPr>
          <w:i/>
        </w:rPr>
        <w:t>Note</w:t>
      </w:r>
      <w:r>
        <w:rPr>
          <w:i/>
        </w:rPr>
        <w:tab/>
      </w:r>
      <w:r w:rsidR="003774F7">
        <w:t>See</w:t>
      </w:r>
      <w:r>
        <w:t xml:space="preserve"> paragraph 176A(10)(b) of the Act</w:t>
      </w:r>
      <w:r w:rsidR="003774F7">
        <w:t xml:space="preserve"> for cessation of this instrument</w:t>
      </w:r>
      <w:r>
        <w:t xml:space="preserve">.  </w:t>
      </w:r>
    </w:p>
    <w:bookmarkEnd w:id="7"/>
    <w:p w14:paraId="44D6055B" w14:textId="77777777" w:rsidR="00D93DB7" w:rsidRDefault="003B3646" w:rsidP="00F4492A">
      <w:pPr>
        <w:pStyle w:val="LDSec1"/>
        <w:keepNext/>
      </w:pPr>
      <w:r w:rsidRPr="00F17CC6">
        <w:tab/>
      </w:r>
    </w:p>
    <w:p w14:paraId="6198414F" w14:textId="77777777" w:rsidR="003B3646" w:rsidRPr="00F17CC6" w:rsidRDefault="00F4492A" w:rsidP="000B14AD">
      <w:pPr>
        <w:pStyle w:val="LDSecHead"/>
      </w:pPr>
      <w:bookmarkStart w:id="8" w:name="_Toc31201289"/>
      <w:r>
        <w:t>3</w:t>
      </w:r>
      <w:r w:rsidR="000B14AD">
        <w:tab/>
      </w:r>
      <w:bookmarkEnd w:id="8"/>
      <w:r w:rsidR="00EF753D">
        <w:t>Declaration</w:t>
      </w:r>
    </w:p>
    <w:p w14:paraId="290E57F4" w14:textId="77777777" w:rsidR="00A34F89" w:rsidRDefault="000B14AD" w:rsidP="00A34F89">
      <w:pPr>
        <w:pStyle w:val="LDSec1"/>
      </w:pPr>
      <w:r>
        <w:tab/>
      </w:r>
      <w:r w:rsidR="00A34F89">
        <w:t>(1)</w:t>
      </w:r>
      <w:r>
        <w:tab/>
      </w:r>
      <w:r w:rsidR="00A34F89">
        <w:t xml:space="preserve">For paragraph 176A(3)(a) of the Act, </w:t>
      </w:r>
      <w:r w:rsidR="0005683F">
        <w:t xml:space="preserve">I declare </w:t>
      </w:r>
      <w:r w:rsidR="0061771F">
        <w:t>New South Wales Department of Communities and Justice</w:t>
      </w:r>
      <w:r w:rsidR="00A34F89">
        <w:t xml:space="preserve"> </w:t>
      </w:r>
      <w:r w:rsidR="0005683F">
        <w:t>to be</w:t>
      </w:r>
      <w:r w:rsidR="0032217B">
        <w:t xml:space="preserve"> </w:t>
      </w:r>
      <w:r w:rsidR="00A34F89">
        <w:t xml:space="preserve">an enforcement agency. </w:t>
      </w:r>
    </w:p>
    <w:p w14:paraId="265106D5" w14:textId="77777777" w:rsidR="00F4492A" w:rsidRDefault="00F4492A" w:rsidP="00A34F89">
      <w:pPr>
        <w:pStyle w:val="LDSec1"/>
      </w:pPr>
    </w:p>
    <w:p w14:paraId="0D7FCF08" w14:textId="77777777" w:rsidR="00EF753D" w:rsidRDefault="00A34F89" w:rsidP="00EF753D">
      <w:pPr>
        <w:pStyle w:val="LDSec1"/>
      </w:pPr>
      <w:r>
        <w:tab/>
        <w:t>(2)</w:t>
      </w:r>
      <w:r>
        <w:tab/>
        <w:t xml:space="preserve">For paragraph 176A(3)(b) of the Act, </w:t>
      </w:r>
      <w:r w:rsidR="0005683F">
        <w:t xml:space="preserve">I declare </w:t>
      </w:r>
      <w:r>
        <w:t xml:space="preserve">each staff member of </w:t>
      </w:r>
      <w:r w:rsidR="00103359">
        <w:t xml:space="preserve">that part of </w:t>
      </w:r>
      <w:r w:rsidR="00E142F5">
        <w:t>New South Wales Department of Communities and Justice</w:t>
      </w:r>
      <w:r w:rsidR="00103359">
        <w:t xml:space="preserve"> known as Corrective Services NSW</w:t>
      </w:r>
      <w:r w:rsidR="00E142F5">
        <w:t xml:space="preserve"> </w:t>
      </w:r>
      <w:r w:rsidR="0005683F">
        <w:t>to be</w:t>
      </w:r>
      <w:r>
        <w:t xml:space="preserve"> officers of </w:t>
      </w:r>
      <w:r w:rsidR="001468B3">
        <w:t>New South Wales Department of Communities and Justice</w:t>
      </w:r>
      <w:r w:rsidR="00A06A1C">
        <w:t xml:space="preserve"> for the purposes of the Act</w:t>
      </w:r>
      <w:r>
        <w:t xml:space="preserve">.  </w:t>
      </w:r>
    </w:p>
    <w:p w14:paraId="7B361B7A" w14:textId="77777777" w:rsidR="00A34F89" w:rsidRDefault="00F4492A" w:rsidP="00A34F89">
      <w:pPr>
        <w:pStyle w:val="LDSecHead"/>
      </w:pPr>
      <w:r>
        <w:t>4</w:t>
      </w:r>
      <w:r w:rsidR="00A34F89">
        <w:tab/>
      </w:r>
      <w:r w:rsidR="0005683F">
        <w:t>Condition</w:t>
      </w:r>
      <w:r w:rsidR="00CD64D4">
        <w:t>s</w:t>
      </w:r>
    </w:p>
    <w:p w14:paraId="65C912A6" w14:textId="48E7F9A3" w:rsidR="00F4492A" w:rsidRDefault="00F4492A" w:rsidP="00F4492A">
      <w:pPr>
        <w:pStyle w:val="LDSec1"/>
      </w:pPr>
      <w:r>
        <w:tab/>
        <w:t>(1)</w:t>
      </w:r>
      <w:r>
        <w:tab/>
        <w:t xml:space="preserve">Under subsection 176A(6) of the Act, </w:t>
      </w:r>
      <w:r w:rsidR="00CD64D4">
        <w:t xml:space="preserve">this declaration is </w:t>
      </w:r>
      <w:r>
        <w:t>subject to the following conditions:</w:t>
      </w:r>
    </w:p>
    <w:p w14:paraId="6DDD69E8" w14:textId="77777777" w:rsidR="00F4492A" w:rsidRDefault="00F4492A" w:rsidP="00F4492A">
      <w:pPr>
        <w:pStyle w:val="LDSec1"/>
      </w:pPr>
    </w:p>
    <w:p w14:paraId="6234CFEE" w14:textId="0E83E3C0" w:rsidR="004B66E2" w:rsidRDefault="004B66E2" w:rsidP="004B66E2">
      <w:pPr>
        <w:pStyle w:val="LDP1a"/>
      </w:pPr>
      <w:r>
        <w:tab/>
        <w:t xml:space="preserve">(a) </w:t>
      </w:r>
      <w:r w:rsidR="00CD64D4">
        <w:t xml:space="preserve">it only applies </w:t>
      </w:r>
      <w:r>
        <w:t>to that part of New South Wales Department of Communities and Justice known as Corrective Services NSW; and</w:t>
      </w:r>
    </w:p>
    <w:p w14:paraId="50B8A9A9" w14:textId="6085A696" w:rsidR="000B3AF1" w:rsidRDefault="004B66E2" w:rsidP="00F4492A">
      <w:pPr>
        <w:pStyle w:val="LDP1a"/>
      </w:pPr>
      <w:r>
        <w:tab/>
      </w:r>
    </w:p>
    <w:p w14:paraId="57519082" w14:textId="13B405A0" w:rsidR="00F4492A" w:rsidRDefault="00F4492A" w:rsidP="00F4492A">
      <w:pPr>
        <w:pStyle w:val="LDP1a"/>
      </w:pPr>
      <w:r>
        <w:tab/>
        <w:t>(</w:t>
      </w:r>
      <w:r w:rsidR="00121285">
        <w:t>b</w:t>
      </w:r>
      <w:r>
        <w:t xml:space="preserve">) </w:t>
      </w:r>
      <w:r w:rsidR="000B3AF1">
        <w:t>New South Wales Department of Communities and Justice</w:t>
      </w:r>
      <w:r w:rsidR="00607B50">
        <w:t xml:space="preserve"> and</w:t>
      </w:r>
      <w:r w:rsidR="00E36D63">
        <w:t xml:space="preserve"> officers</w:t>
      </w:r>
      <w:r w:rsidR="00607B50">
        <w:t xml:space="preserve"> of Corrective Services NSW</w:t>
      </w:r>
      <w:r w:rsidR="00E36D63">
        <w:t xml:space="preserve"> are</w:t>
      </w:r>
      <w:r w:rsidR="000B3AF1">
        <w:t xml:space="preserve"> not to exercise the power under section</w:t>
      </w:r>
      <w:r w:rsidR="006A27BA">
        <w:t> </w:t>
      </w:r>
      <w:r w:rsidR="000B3AF1">
        <w:t>180Q of the Act.</w:t>
      </w:r>
    </w:p>
    <w:p w14:paraId="6F21BC71" w14:textId="77777777" w:rsidR="00F4492A" w:rsidRDefault="00F4492A" w:rsidP="00F4492A">
      <w:pPr>
        <w:pStyle w:val="LDSec1"/>
      </w:pPr>
    </w:p>
    <w:p w14:paraId="7C47267F" w14:textId="77777777" w:rsidR="00EF753D" w:rsidRPr="002A58F7" w:rsidRDefault="00EF753D" w:rsidP="002A58F7">
      <w:pPr>
        <w:pStyle w:val="LDNote"/>
      </w:pPr>
      <w:r>
        <w:rPr>
          <w:i/>
        </w:rPr>
        <w:t>Note</w:t>
      </w:r>
      <w:r>
        <w:rPr>
          <w:i/>
        </w:rPr>
        <w:tab/>
      </w:r>
      <w:r w:rsidR="000B3AF1">
        <w:t>New South Wales Department of Communities and Justice</w:t>
      </w:r>
      <w:r>
        <w:t xml:space="preserve"> is taken not to be an enforcement agency for the purposes of </w:t>
      </w:r>
      <w:r w:rsidR="00A80366">
        <w:t>section 180Q of</w:t>
      </w:r>
      <w:r w:rsidR="003774F7">
        <w:t xml:space="preserve"> the Act</w:t>
      </w:r>
      <w:r>
        <w:t xml:space="preserve">: subsection 176A(7) of the Act.  </w:t>
      </w:r>
      <w:bookmarkStart w:id="9" w:name="_Toc31201296"/>
      <w:bookmarkEnd w:id="3"/>
    </w:p>
    <w:bookmarkEnd w:id="9"/>
    <w:p w14:paraId="509CC242" w14:textId="77777777" w:rsidR="00C562C7" w:rsidRDefault="00C562C7" w:rsidP="00C562C7">
      <w:pPr>
        <w:pStyle w:val="LDLine"/>
      </w:pPr>
    </w:p>
    <w:sectPr w:rsidR="00C562C7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102D" w14:textId="77777777" w:rsidR="00BB2B7F" w:rsidRDefault="00BB2B7F" w:rsidP="00715914">
      <w:pPr>
        <w:spacing w:line="240" w:lineRule="auto"/>
      </w:pPr>
      <w:r>
        <w:separator/>
      </w:r>
    </w:p>
    <w:p w14:paraId="040F6485" w14:textId="77777777" w:rsidR="00BB2B7F" w:rsidRDefault="00BB2B7F"/>
    <w:p w14:paraId="5D8FF172" w14:textId="77777777" w:rsidR="00BB2B7F" w:rsidRDefault="00BB2B7F"/>
  </w:endnote>
  <w:endnote w:type="continuationSeparator" w:id="0">
    <w:p w14:paraId="71D46A99" w14:textId="77777777" w:rsidR="00BB2B7F" w:rsidRDefault="00BB2B7F" w:rsidP="00715914">
      <w:pPr>
        <w:spacing w:line="240" w:lineRule="auto"/>
      </w:pPr>
      <w:r>
        <w:continuationSeparator/>
      </w:r>
    </w:p>
    <w:p w14:paraId="7D0A74E0" w14:textId="77777777" w:rsidR="00BB2B7F" w:rsidRDefault="00BB2B7F"/>
    <w:p w14:paraId="1532BAFA" w14:textId="77777777" w:rsidR="00BB2B7F" w:rsidRDefault="00BB2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6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6F050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08CB9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6E93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DDFE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35993B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21F25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E84DD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8D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0767F8B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BC70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F964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4F1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AED0AC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BDB59D" w14:textId="77777777" w:rsidR="0072147A" w:rsidRDefault="0072147A" w:rsidP="00A369E3">
          <w:pPr>
            <w:rPr>
              <w:sz w:val="18"/>
            </w:rPr>
          </w:pPr>
        </w:p>
      </w:tc>
    </w:tr>
  </w:tbl>
  <w:p w14:paraId="12C407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C1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1CB9EB09" w14:textId="77777777" w:rsidTr="00A87A58">
      <w:tc>
        <w:tcPr>
          <w:tcW w:w="365" w:type="pct"/>
        </w:tcPr>
        <w:p w14:paraId="769F4B57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1A394C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ED1BF2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114F9A5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2E66EED1" w14:textId="77777777" w:rsidTr="00A87A58">
      <w:tc>
        <w:tcPr>
          <w:tcW w:w="5000" w:type="pct"/>
          <w:gridSpan w:val="3"/>
        </w:tcPr>
        <w:p w14:paraId="237A85AC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DE48328" w14:textId="77777777" w:rsidR="008C2EAC" w:rsidRPr="00ED79B6" w:rsidRDefault="008C2EAC" w:rsidP="000A6C6A">
    <w:pPr>
      <w:rPr>
        <w:i/>
        <w:sz w:val="18"/>
      </w:rPr>
    </w:pPr>
  </w:p>
  <w:p w14:paraId="028872B5" w14:textId="77777777" w:rsidR="00CD0A7C" w:rsidRDefault="00CD0A7C"/>
  <w:p w14:paraId="47A54B64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060B" w14:textId="3FFCE912" w:rsidR="001C6494" w:rsidRPr="007C5FDD" w:rsidRDefault="00150CC1" w:rsidP="00494305">
    <w:pPr>
      <w:pStyle w:val="LDFooter"/>
      <w:tabs>
        <w:tab w:val="right" w:pos="9639"/>
      </w:tabs>
    </w:pPr>
    <w:r w:rsidRPr="00150CC1">
      <w:rPr>
        <w:i/>
      </w:rPr>
      <w:t>Telecommunications (Interception and Access) (Enforcement Agency—NSW Department of Communities and Justice) Declaration 202</w:t>
    </w:r>
    <w:r w:rsidR="006A27BA">
      <w:rPr>
        <w:i/>
      </w:rPr>
      <w:t>4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2660B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730A" w14:textId="77777777" w:rsidR="00BB2B7F" w:rsidRDefault="00BB2B7F" w:rsidP="00715914">
      <w:pPr>
        <w:spacing w:line="240" w:lineRule="auto"/>
      </w:pPr>
      <w:r>
        <w:separator/>
      </w:r>
    </w:p>
    <w:p w14:paraId="22A519CE" w14:textId="77777777" w:rsidR="00BB2B7F" w:rsidRDefault="00BB2B7F"/>
    <w:p w14:paraId="32DBBF24" w14:textId="77777777" w:rsidR="00BB2B7F" w:rsidRDefault="00BB2B7F"/>
  </w:footnote>
  <w:footnote w:type="continuationSeparator" w:id="0">
    <w:p w14:paraId="4EF883EB" w14:textId="77777777" w:rsidR="00BB2B7F" w:rsidRDefault="00BB2B7F" w:rsidP="00715914">
      <w:pPr>
        <w:spacing w:line="240" w:lineRule="auto"/>
      </w:pPr>
      <w:r>
        <w:continuationSeparator/>
      </w:r>
    </w:p>
    <w:p w14:paraId="2EE9A0A5" w14:textId="77777777" w:rsidR="00BB2B7F" w:rsidRDefault="00BB2B7F"/>
    <w:p w14:paraId="53C49E5A" w14:textId="77777777" w:rsidR="00BB2B7F" w:rsidRDefault="00BB2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DFA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11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6687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0877" w14:textId="77777777" w:rsidR="004E1307" w:rsidRDefault="004E1307" w:rsidP="00715914">
    <w:pPr>
      <w:rPr>
        <w:sz w:val="20"/>
      </w:rPr>
    </w:pPr>
  </w:p>
  <w:p w14:paraId="08DD9892" w14:textId="77777777" w:rsidR="004E1307" w:rsidRDefault="004E1307" w:rsidP="00715914">
    <w:pPr>
      <w:rPr>
        <w:sz w:val="20"/>
      </w:rPr>
    </w:pPr>
  </w:p>
  <w:p w14:paraId="3832DCA0" w14:textId="77777777" w:rsidR="004E1307" w:rsidRPr="007A1328" w:rsidRDefault="004E1307" w:rsidP="00715914">
    <w:pPr>
      <w:rPr>
        <w:sz w:val="20"/>
      </w:rPr>
    </w:pPr>
  </w:p>
  <w:p w14:paraId="1246B9D3" w14:textId="77777777" w:rsidR="004E1307" w:rsidRPr="007A1328" w:rsidRDefault="004E1307" w:rsidP="00715914">
    <w:pPr>
      <w:rPr>
        <w:b/>
        <w:sz w:val="24"/>
      </w:rPr>
    </w:pPr>
  </w:p>
  <w:p w14:paraId="3E53830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24D5B5C6" w14:textId="77777777" w:rsidR="00CD0A7C" w:rsidRDefault="00CD0A7C"/>
  <w:p w14:paraId="35AB42CC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A258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46E61E2"/>
    <w:multiLevelType w:val="hybridMultilevel"/>
    <w:tmpl w:val="5382F7BA"/>
    <w:lvl w:ilvl="0" w:tplc="C5805D86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F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5CC7"/>
    <w:rsid w:val="0005683F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B3AF1"/>
    <w:rsid w:val="000D05EF"/>
    <w:rsid w:val="000D081D"/>
    <w:rsid w:val="000E0BC4"/>
    <w:rsid w:val="000E2261"/>
    <w:rsid w:val="000E58C5"/>
    <w:rsid w:val="000E7118"/>
    <w:rsid w:val="000E78B7"/>
    <w:rsid w:val="000F21C1"/>
    <w:rsid w:val="000F29C1"/>
    <w:rsid w:val="000F5B84"/>
    <w:rsid w:val="001031F5"/>
    <w:rsid w:val="00103359"/>
    <w:rsid w:val="0010745C"/>
    <w:rsid w:val="0011242F"/>
    <w:rsid w:val="00121285"/>
    <w:rsid w:val="001244DA"/>
    <w:rsid w:val="00132CEB"/>
    <w:rsid w:val="001339B0"/>
    <w:rsid w:val="00134429"/>
    <w:rsid w:val="00142B62"/>
    <w:rsid w:val="001441B7"/>
    <w:rsid w:val="001446F7"/>
    <w:rsid w:val="001468B3"/>
    <w:rsid w:val="00150195"/>
    <w:rsid w:val="00150CC1"/>
    <w:rsid w:val="001516CB"/>
    <w:rsid w:val="00152336"/>
    <w:rsid w:val="00152F78"/>
    <w:rsid w:val="00157B8B"/>
    <w:rsid w:val="00166C2F"/>
    <w:rsid w:val="001809D7"/>
    <w:rsid w:val="00182C05"/>
    <w:rsid w:val="00182EAC"/>
    <w:rsid w:val="0018793E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B72"/>
    <w:rsid w:val="001F6CD4"/>
    <w:rsid w:val="002029EE"/>
    <w:rsid w:val="0020362B"/>
    <w:rsid w:val="00206C4D"/>
    <w:rsid w:val="00215AF1"/>
    <w:rsid w:val="002200EA"/>
    <w:rsid w:val="002242E5"/>
    <w:rsid w:val="00224E83"/>
    <w:rsid w:val="002321E8"/>
    <w:rsid w:val="00232984"/>
    <w:rsid w:val="00237C31"/>
    <w:rsid w:val="0024010F"/>
    <w:rsid w:val="00240749"/>
    <w:rsid w:val="00243018"/>
    <w:rsid w:val="002503BC"/>
    <w:rsid w:val="00251E92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58F7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217B"/>
    <w:rsid w:val="00335BC6"/>
    <w:rsid w:val="003415D3"/>
    <w:rsid w:val="00343D01"/>
    <w:rsid w:val="00344338"/>
    <w:rsid w:val="00344701"/>
    <w:rsid w:val="003519FB"/>
    <w:rsid w:val="00352B0F"/>
    <w:rsid w:val="003551C7"/>
    <w:rsid w:val="00355410"/>
    <w:rsid w:val="00360459"/>
    <w:rsid w:val="00365E41"/>
    <w:rsid w:val="003774F7"/>
    <w:rsid w:val="0038049F"/>
    <w:rsid w:val="003A19BB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6E2"/>
    <w:rsid w:val="004B6C48"/>
    <w:rsid w:val="004C3385"/>
    <w:rsid w:val="004C4E59"/>
    <w:rsid w:val="004C6809"/>
    <w:rsid w:val="004D1212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60AE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69EA"/>
    <w:rsid w:val="00600219"/>
    <w:rsid w:val="00604F2A"/>
    <w:rsid w:val="00607B50"/>
    <w:rsid w:val="00607C3E"/>
    <w:rsid w:val="0061771F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27BA"/>
    <w:rsid w:val="006A437B"/>
    <w:rsid w:val="006B5789"/>
    <w:rsid w:val="006C30C5"/>
    <w:rsid w:val="006C363F"/>
    <w:rsid w:val="006C507A"/>
    <w:rsid w:val="006C5CDD"/>
    <w:rsid w:val="006C7F8C"/>
    <w:rsid w:val="006D0CF2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7433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1A44"/>
    <w:rsid w:val="007B3652"/>
    <w:rsid w:val="007B3795"/>
    <w:rsid w:val="007B66E6"/>
    <w:rsid w:val="007C2253"/>
    <w:rsid w:val="007C343A"/>
    <w:rsid w:val="007C5FDD"/>
    <w:rsid w:val="007C7C9A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726"/>
    <w:rsid w:val="00826BD1"/>
    <w:rsid w:val="00832267"/>
    <w:rsid w:val="0084208C"/>
    <w:rsid w:val="00850046"/>
    <w:rsid w:val="0085407D"/>
    <w:rsid w:val="00854D0B"/>
    <w:rsid w:val="00856A31"/>
    <w:rsid w:val="00860B4E"/>
    <w:rsid w:val="00861378"/>
    <w:rsid w:val="00867B37"/>
    <w:rsid w:val="008754D0"/>
    <w:rsid w:val="00875D13"/>
    <w:rsid w:val="008766FD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D2121"/>
    <w:rsid w:val="008E0027"/>
    <w:rsid w:val="008E31A1"/>
    <w:rsid w:val="008E6067"/>
    <w:rsid w:val="008F3675"/>
    <w:rsid w:val="008F4D50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69F1"/>
    <w:rsid w:val="00A0315F"/>
    <w:rsid w:val="00A0441E"/>
    <w:rsid w:val="00A06A1C"/>
    <w:rsid w:val="00A06CA5"/>
    <w:rsid w:val="00A12128"/>
    <w:rsid w:val="00A127E7"/>
    <w:rsid w:val="00A21B5F"/>
    <w:rsid w:val="00A22C98"/>
    <w:rsid w:val="00A231E2"/>
    <w:rsid w:val="00A252F1"/>
    <w:rsid w:val="00A34F89"/>
    <w:rsid w:val="00A369E3"/>
    <w:rsid w:val="00A57600"/>
    <w:rsid w:val="00A64396"/>
    <w:rsid w:val="00A64912"/>
    <w:rsid w:val="00A70A74"/>
    <w:rsid w:val="00A72548"/>
    <w:rsid w:val="00A75A0B"/>
    <w:rsid w:val="00A75FE9"/>
    <w:rsid w:val="00A774BD"/>
    <w:rsid w:val="00A800DE"/>
    <w:rsid w:val="00A80366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660B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47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2B7F"/>
    <w:rsid w:val="00BB4E1A"/>
    <w:rsid w:val="00BB6030"/>
    <w:rsid w:val="00BC015E"/>
    <w:rsid w:val="00BC176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64D4"/>
    <w:rsid w:val="00CD757E"/>
    <w:rsid w:val="00CE051D"/>
    <w:rsid w:val="00CE1335"/>
    <w:rsid w:val="00CE1CF1"/>
    <w:rsid w:val="00CE493D"/>
    <w:rsid w:val="00CE64B4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712A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06C2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3663"/>
    <w:rsid w:val="00E05704"/>
    <w:rsid w:val="00E05CB5"/>
    <w:rsid w:val="00E13901"/>
    <w:rsid w:val="00E142F5"/>
    <w:rsid w:val="00E14961"/>
    <w:rsid w:val="00E171A2"/>
    <w:rsid w:val="00E23301"/>
    <w:rsid w:val="00E33196"/>
    <w:rsid w:val="00E338EF"/>
    <w:rsid w:val="00E36D63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97E02"/>
    <w:rsid w:val="00EA4D9D"/>
    <w:rsid w:val="00EA7100"/>
    <w:rsid w:val="00EA74EE"/>
    <w:rsid w:val="00EA7F9F"/>
    <w:rsid w:val="00EB1274"/>
    <w:rsid w:val="00EB16B6"/>
    <w:rsid w:val="00EB56C5"/>
    <w:rsid w:val="00EB6695"/>
    <w:rsid w:val="00ED0F12"/>
    <w:rsid w:val="00ED1BF2"/>
    <w:rsid w:val="00ED2BB6"/>
    <w:rsid w:val="00ED2BFB"/>
    <w:rsid w:val="00ED34E1"/>
    <w:rsid w:val="00ED3B8D"/>
    <w:rsid w:val="00EE5E36"/>
    <w:rsid w:val="00EF2E3A"/>
    <w:rsid w:val="00EF753D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492A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20F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54F2"/>
  <w15:docId w15:val="{8486FFAB-174B-420E-8357-D67E850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customStyle="1" w:styleId="charsectno">
    <w:name w:val="charsectno"/>
    <w:basedOn w:val="DefaultParagraphFont"/>
    <w:rsid w:val="00A0315F"/>
  </w:style>
  <w:style w:type="paragraph" w:styleId="Footer">
    <w:name w:val="footer"/>
    <w:basedOn w:val="Normal"/>
    <w:link w:val="FooterChar"/>
    <w:unhideWhenUsed/>
    <w:rsid w:val="006A27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A27BA"/>
    <w:rPr>
      <w:sz w:val="22"/>
    </w:rPr>
  </w:style>
  <w:style w:type="paragraph" w:customStyle="1" w:styleId="SignCoverPageEnd">
    <w:name w:val="SignCoverPageEnd"/>
    <w:basedOn w:val="Normal"/>
    <w:next w:val="Normal"/>
    <w:rsid w:val="00536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7DD4DA-40AE-4382-8520-BA6F2795D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E8B812083E8E74BA93271A5484186F1" ma:contentTypeVersion="" ma:contentTypeDescription="PDMS Document Site Content Type" ma:contentTypeScope="" ma:versionID="fbc5589da5e9f527fb5808709d551368">
  <xsd:schema xmlns:xsd="http://www.w3.org/2001/XMLSchema" xmlns:xs="http://www.w3.org/2001/XMLSchema" xmlns:p="http://schemas.microsoft.com/office/2006/metadata/properties" xmlns:ns2="317DD4DA-40AE-4382-8520-BA6F2795DD14" targetNamespace="http://schemas.microsoft.com/office/2006/metadata/properties" ma:root="true" ma:fieldsID="0832569f32f6bc4940fcfe8a30f0ca28" ns2:_="">
    <xsd:import namespace="317DD4DA-40AE-4382-8520-BA6F2795DD1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D4DA-40AE-4382-8520-BA6F2795DD1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317DD4DA-40AE-4382-8520-BA6F2795DD14"/>
  </ds:schemaRefs>
</ds:datastoreItem>
</file>

<file path=customXml/itemProps3.xml><?xml version="1.0" encoding="utf-8"?>
<ds:datastoreItem xmlns:ds="http://schemas.openxmlformats.org/officeDocument/2006/customXml" ds:itemID="{E4DFB670-54CF-46AE-9407-E06D23101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DD4DA-40AE-4382-8520-BA6F2795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E3EE7-1252-46DD-8204-65CAE74D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Wigney, Sonja</cp:lastModifiedBy>
  <cp:revision>2</cp:revision>
  <cp:lastPrinted>2020-01-16T22:25:00Z</cp:lastPrinted>
  <dcterms:created xsi:type="dcterms:W3CDTF">2024-05-13T04:34:00Z</dcterms:created>
  <dcterms:modified xsi:type="dcterms:W3CDTF">2024-05-13T04:34:00Z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0x010100266966F133664895A6EE3632470D45F500EE8B812083E8E74BA93271A5484186F1</vt:lpwstr>
  </property>
</Properties>
</file>