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2C0D" w14:textId="77777777" w:rsidR="004531D9" w:rsidRPr="00BD5EA1" w:rsidRDefault="004531D9" w:rsidP="004531D9">
      <w:pPr>
        <w:pStyle w:val="CommentText"/>
        <w:spacing w:before="120" w:after="240"/>
        <w:rPr>
          <w:rFonts w:eastAsia="Times New Roman" w:cs="Times New Roman"/>
          <w:b/>
          <w:sz w:val="24"/>
          <w:szCs w:val="24"/>
          <w:lang w:eastAsia="en-AU"/>
        </w:rPr>
      </w:pPr>
    </w:p>
    <w:p w14:paraId="32D042F4" w14:textId="7AA54CCD" w:rsidR="00BD5EA1" w:rsidRDefault="004531D9" w:rsidP="00BD5EA1">
      <w:pPr>
        <w:pStyle w:val="CommentText"/>
        <w:spacing w:before="120" w:after="240"/>
        <w:jc w:val="center"/>
        <w:rPr>
          <w:rFonts w:eastAsia="Times New Roman" w:cs="Times New Roman"/>
          <w:b/>
          <w:sz w:val="24"/>
          <w:szCs w:val="24"/>
          <w:lang w:eastAsia="en-AU"/>
        </w:rPr>
      </w:pPr>
      <w:r w:rsidRPr="00BD5EA1">
        <w:rPr>
          <w:rFonts w:eastAsia="Times New Roman" w:cs="Times New Roman"/>
          <w:b/>
          <w:sz w:val="24"/>
          <w:szCs w:val="24"/>
          <w:lang w:eastAsia="en-AU"/>
        </w:rPr>
        <w:t>EXPLANATORY STATEMENT</w:t>
      </w:r>
      <w:bookmarkStart w:id="0" w:name="_Hlk106552105"/>
    </w:p>
    <w:p w14:paraId="1C4F8EE7" w14:textId="32803D39" w:rsidR="00BD5EA1" w:rsidRPr="00BD5EA1" w:rsidRDefault="00BD5EA1" w:rsidP="00BD5EA1">
      <w:pPr>
        <w:pStyle w:val="CommentText"/>
        <w:spacing w:before="120" w:after="240"/>
        <w:jc w:val="center"/>
        <w:rPr>
          <w:rFonts w:eastAsia="Times New Roman" w:cs="Times New Roman"/>
          <w:b/>
          <w:sz w:val="24"/>
          <w:szCs w:val="24"/>
          <w:lang w:eastAsia="en-AU"/>
        </w:rPr>
      </w:pPr>
      <w:r w:rsidRPr="00BD5EA1">
        <w:rPr>
          <w:rFonts w:eastAsia="Times New Roman" w:cs="Times New Roman"/>
          <w:b/>
          <w:sz w:val="24"/>
          <w:szCs w:val="24"/>
          <w:lang w:eastAsia="en-AU"/>
        </w:rPr>
        <w:t>Mutual Recognition (Automatic Deemed Registration Notification — Western Australia) Determination 202</w:t>
      </w:r>
      <w:r>
        <w:rPr>
          <w:rFonts w:eastAsia="Times New Roman" w:cs="Times New Roman"/>
          <w:b/>
          <w:sz w:val="24"/>
          <w:szCs w:val="24"/>
          <w:lang w:eastAsia="en-AU"/>
        </w:rPr>
        <w:t>4</w:t>
      </w:r>
    </w:p>
    <w:bookmarkEnd w:id="0"/>
    <w:p w14:paraId="0B5BA527" w14:textId="77777777" w:rsidR="004531D9" w:rsidRPr="00BD5EA1" w:rsidRDefault="004531D9" w:rsidP="00BD5EA1">
      <w:pPr>
        <w:pStyle w:val="CommentText"/>
        <w:spacing w:before="120" w:after="240"/>
        <w:jc w:val="center"/>
        <w:rPr>
          <w:rFonts w:eastAsia="Times New Roman" w:cs="Times New Roman"/>
          <w:b/>
          <w:i/>
          <w:sz w:val="24"/>
          <w:szCs w:val="24"/>
          <w:lang w:eastAsia="en-AU"/>
        </w:rPr>
      </w:pPr>
      <w:r w:rsidRPr="00BD5EA1">
        <w:rPr>
          <w:rFonts w:eastAsia="Times New Roman" w:cs="Times New Roman"/>
          <w:b/>
          <w:i/>
          <w:sz w:val="24"/>
          <w:szCs w:val="24"/>
          <w:lang w:eastAsia="en-AU"/>
        </w:rPr>
        <w:t>Mutual Recognition Act 1992</w:t>
      </w:r>
    </w:p>
    <w:p w14:paraId="62887DBF" w14:textId="2AFE39B8" w:rsidR="004531D9" w:rsidRPr="00BD5EA1" w:rsidRDefault="004531D9" w:rsidP="004531D9">
      <w:pPr>
        <w:pStyle w:val="CommentText"/>
        <w:spacing w:before="120" w:after="240"/>
        <w:rPr>
          <w:sz w:val="24"/>
          <w:szCs w:val="24"/>
        </w:rPr>
      </w:pPr>
      <w:r w:rsidRPr="00BD5EA1">
        <w:rPr>
          <w:sz w:val="24"/>
          <w:szCs w:val="24"/>
        </w:rPr>
        <w:t>This explanatory statement provides notes on the operation of the Mutual Recognition (Automatic Deemed Registration Notification — Western Australia) Determination 202</w:t>
      </w:r>
      <w:r w:rsidR="00BD5EA1">
        <w:rPr>
          <w:sz w:val="24"/>
          <w:szCs w:val="24"/>
        </w:rPr>
        <w:t>4</w:t>
      </w:r>
      <w:r w:rsidRPr="00BD5EA1">
        <w:rPr>
          <w:sz w:val="24"/>
          <w:szCs w:val="24"/>
        </w:rPr>
        <w:t xml:space="preserve"> (the Determination). The specific provisions in the Determination are outlined in Attachment A. The information in the explanatory statement is an aid to understand</w:t>
      </w:r>
      <w:r w:rsidR="00F51621">
        <w:rPr>
          <w:sz w:val="24"/>
          <w:szCs w:val="24"/>
        </w:rPr>
        <w:t xml:space="preserve"> </w:t>
      </w:r>
      <w:r w:rsidRPr="00BD5EA1">
        <w:rPr>
          <w:sz w:val="24"/>
          <w:szCs w:val="24"/>
        </w:rPr>
        <w:t xml:space="preserve">the Determination and should not be substituted for the Determination. </w:t>
      </w:r>
    </w:p>
    <w:p w14:paraId="294CF58F" w14:textId="77777777" w:rsidR="004531D9" w:rsidRPr="00BD5EA1" w:rsidRDefault="004531D9" w:rsidP="004531D9">
      <w:pPr>
        <w:pStyle w:val="CommentText"/>
        <w:spacing w:before="120" w:after="120"/>
        <w:rPr>
          <w:b/>
          <w:sz w:val="24"/>
          <w:szCs w:val="24"/>
        </w:rPr>
      </w:pPr>
      <w:r w:rsidRPr="00BD5EA1">
        <w:rPr>
          <w:b/>
          <w:sz w:val="24"/>
          <w:szCs w:val="24"/>
        </w:rPr>
        <w:t>Context and purpose</w:t>
      </w:r>
    </w:p>
    <w:p w14:paraId="08753B61" w14:textId="5DC72A62" w:rsidR="004531D9" w:rsidRPr="00BD5EA1" w:rsidRDefault="004531D9" w:rsidP="004531D9">
      <w:pPr>
        <w:pStyle w:val="CommentText"/>
        <w:spacing w:before="120" w:after="240"/>
        <w:rPr>
          <w:sz w:val="24"/>
          <w:szCs w:val="24"/>
        </w:rPr>
      </w:pPr>
      <w:r w:rsidRPr="00BD5EA1">
        <w:rPr>
          <w:sz w:val="24"/>
          <w:szCs w:val="24"/>
        </w:rPr>
        <w:t xml:space="preserve">Part 3A of the </w:t>
      </w:r>
      <w:r w:rsidRPr="00BD5EA1">
        <w:rPr>
          <w:i/>
          <w:sz w:val="24"/>
          <w:szCs w:val="24"/>
        </w:rPr>
        <w:t xml:space="preserve">Mutual Recognition Act 1992 </w:t>
      </w:r>
      <w:r w:rsidRPr="00BD5EA1">
        <w:rPr>
          <w:sz w:val="24"/>
          <w:szCs w:val="24"/>
        </w:rPr>
        <w:t>of the Commonwealth (the MR</w:t>
      </w:r>
      <w:r w:rsidR="00D20E88">
        <w:rPr>
          <w:sz w:val="24"/>
          <w:szCs w:val="24"/>
        </w:rPr>
        <w:t xml:space="preserve"> Act)</w:t>
      </w:r>
      <w:r w:rsidRPr="00BD5EA1">
        <w:rPr>
          <w:sz w:val="24"/>
          <w:szCs w:val="24"/>
        </w:rPr>
        <w:t xml:space="preserve"> provides for the automatic mutual recognition of occupational registrations (AMR). AMR will provide an entitlement for an individual to carry on an activity in a second State, under the registration covering the activity in their home State through Automatic Deemed Registration (ADR).   </w:t>
      </w:r>
    </w:p>
    <w:p w14:paraId="1473B635" w14:textId="77777777" w:rsidR="004531D9" w:rsidRPr="00BD5EA1" w:rsidRDefault="004531D9" w:rsidP="004531D9">
      <w:pPr>
        <w:pStyle w:val="CommentText"/>
        <w:spacing w:before="120" w:after="240"/>
        <w:rPr>
          <w:sz w:val="24"/>
          <w:szCs w:val="24"/>
        </w:rPr>
      </w:pPr>
      <w:r w:rsidRPr="00BD5EA1">
        <w:rPr>
          <w:sz w:val="24"/>
          <w:szCs w:val="24"/>
        </w:rPr>
        <w:t xml:space="preserve">Part 3A of the MRA provides for the making of a determination that requires a person who intends to carry on an activity in reliance of ADR to notify the local registration authority for the occupation before the person begins to carry on the activity. The </w:t>
      </w:r>
      <w:r w:rsidRPr="00BD5EA1">
        <w:rPr>
          <w:i/>
          <w:sz w:val="24"/>
          <w:szCs w:val="24"/>
        </w:rPr>
        <w:t>Legislation Act 2003</w:t>
      </w:r>
      <w:r w:rsidRPr="00BD5EA1">
        <w:rPr>
          <w:sz w:val="24"/>
          <w:szCs w:val="24"/>
        </w:rPr>
        <w:t xml:space="preserve"> of the Commonwealth provides for the making of legislative instruments. </w:t>
      </w:r>
    </w:p>
    <w:p w14:paraId="3621CB0C" w14:textId="77777777" w:rsidR="004531D9" w:rsidRPr="00BD5EA1" w:rsidRDefault="004531D9" w:rsidP="004531D9">
      <w:pPr>
        <w:pStyle w:val="CommentText"/>
        <w:spacing w:before="120" w:after="120"/>
        <w:rPr>
          <w:b/>
          <w:sz w:val="24"/>
          <w:szCs w:val="24"/>
        </w:rPr>
      </w:pPr>
      <w:r w:rsidRPr="00BD5EA1">
        <w:rPr>
          <w:b/>
          <w:sz w:val="24"/>
          <w:szCs w:val="24"/>
        </w:rPr>
        <w:t>Summary</w:t>
      </w:r>
    </w:p>
    <w:p w14:paraId="49776340" w14:textId="6F810937" w:rsidR="004531D9" w:rsidRPr="00BD5EA1" w:rsidRDefault="004531D9" w:rsidP="004531D9">
      <w:pPr>
        <w:pStyle w:val="CommentText"/>
        <w:spacing w:before="120" w:after="240"/>
        <w:rPr>
          <w:sz w:val="24"/>
          <w:szCs w:val="24"/>
        </w:rPr>
      </w:pPr>
      <w:r w:rsidRPr="00BD5EA1">
        <w:rPr>
          <w:sz w:val="24"/>
          <w:szCs w:val="24"/>
        </w:rPr>
        <w:t xml:space="preserve">Through this Determination, the Premier of Western Australia requires a person to notify a local registration authority before the person begins to rely on automatic deemed registration to carry out the activity under the occupation in Western Australia. </w:t>
      </w:r>
      <w:r w:rsidR="00BD5EA1">
        <w:rPr>
          <w:sz w:val="24"/>
          <w:szCs w:val="24"/>
        </w:rPr>
        <w:t>Sections 1 to 4 of the Determination commences the day after the instrument is registered, Schedule 1 of the Determination commences on 1 July 2024, and Schedule 2 of the Determination commences on 1 July 2025.</w:t>
      </w:r>
    </w:p>
    <w:p w14:paraId="04276A91" w14:textId="77777777" w:rsidR="004531D9" w:rsidRPr="00BD5EA1" w:rsidRDefault="004531D9" w:rsidP="004531D9">
      <w:pPr>
        <w:pStyle w:val="CommentText"/>
        <w:spacing w:before="120" w:after="120"/>
        <w:rPr>
          <w:b/>
          <w:sz w:val="24"/>
          <w:szCs w:val="24"/>
        </w:rPr>
      </w:pPr>
      <w:r w:rsidRPr="00BD5EA1">
        <w:rPr>
          <w:b/>
          <w:sz w:val="24"/>
          <w:szCs w:val="24"/>
        </w:rPr>
        <w:t>Consultation</w:t>
      </w:r>
    </w:p>
    <w:p w14:paraId="772FE7C2" w14:textId="77777777" w:rsidR="004531D9" w:rsidRPr="00BD5EA1" w:rsidRDefault="004531D9" w:rsidP="004531D9">
      <w:pPr>
        <w:shd w:val="clear" w:color="auto" w:fill="FFFFFF"/>
        <w:spacing w:before="120" w:after="240" w:line="240" w:lineRule="auto"/>
        <w:ind w:right="26"/>
        <w:rPr>
          <w:sz w:val="24"/>
          <w:szCs w:val="24"/>
        </w:rPr>
      </w:pPr>
      <w:r w:rsidRPr="00BD5EA1">
        <w:rPr>
          <w:sz w:val="24"/>
          <w:szCs w:val="24"/>
        </w:rPr>
        <w:t xml:space="preserve">The Western Australian Government consulted with the local registration authorities who register individuals in which the notification requirement will apply. The Minister is satisfied that the consultation undertaken is appropriate and practical for the purposes of making the Determination and drew on the knowledge of relevant subject matter experts.  </w:t>
      </w:r>
    </w:p>
    <w:p w14:paraId="03DAE854" w14:textId="77777777" w:rsidR="004531D9" w:rsidRPr="00BD5EA1" w:rsidRDefault="004531D9" w:rsidP="004531D9">
      <w:pPr>
        <w:pStyle w:val="CommentText"/>
        <w:spacing w:before="120" w:after="240"/>
        <w:rPr>
          <w:sz w:val="24"/>
          <w:szCs w:val="24"/>
          <w:highlight w:val="yellow"/>
        </w:rPr>
      </w:pPr>
    </w:p>
    <w:p w14:paraId="000F92E5" w14:textId="77777777" w:rsidR="004531D9" w:rsidRPr="00BD5EA1" w:rsidRDefault="004531D9" w:rsidP="004531D9">
      <w:pPr>
        <w:spacing w:before="120" w:after="240" w:line="240" w:lineRule="auto"/>
        <w:rPr>
          <w:b/>
          <w:sz w:val="24"/>
          <w:szCs w:val="24"/>
        </w:rPr>
      </w:pPr>
      <w:r w:rsidRPr="00BD5EA1">
        <w:rPr>
          <w:b/>
          <w:sz w:val="24"/>
          <w:szCs w:val="24"/>
        </w:rPr>
        <w:br w:type="page"/>
      </w:r>
    </w:p>
    <w:p w14:paraId="70830D64" w14:textId="77777777" w:rsidR="004531D9" w:rsidRPr="00BD5EA1" w:rsidRDefault="004531D9" w:rsidP="00BD5EA1">
      <w:pPr>
        <w:pStyle w:val="CommentText"/>
        <w:spacing w:before="120" w:after="240"/>
        <w:jc w:val="right"/>
        <w:rPr>
          <w:b/>
          <w:sz w:val="24"/>
          <w:szCs w:val="24"/>
        </w:rPr>
      </w:pPr>
      <w:r w:rsidRPr="00BD5EA1">
        <w:rPr>
          <w:b/>
          <w:sz w:val="24"/>
          <w:szCs w:val="24"/>
        </w:rPr>
        <w:lastRenderedPageBreak/>
        <w:t>Attachment A</w:t>
      </w:r>
    </w:p>
    <w:p w14:paraId="6EA5A9FE" w14:textId="4E3A91EF" w:rsidR="004531D9" w:rsidRPr="00BD5EA1" w:rsidRDefault="004531D9" w:rsidP="00BD5EA1">
      <w:pPr>
        <w:pStyle w:val="CommentText"/>
        <w:spacing w:before="120" w:after="240"/>
        <w:jc w:val="center"/>
        <w:rPr>
          <w:b/>
          <w:sz w:val="24"/>
          <w:szCs w:val="24"/>
        </w:rPr>
      </w:pPr>
      <w:r w:rsidRPr="00BD5EA1">
        <w:rPr>
          <w:b/>
          <w:sz w:val="24"/>
          <w:szCs w:val="24"/>
        </w:rPr>
        <w:t>Details of the Mutual Recognition (Automatic Deemed Registration Notification — Western Australia) Determination 202</w:t>
      </w:r>
      <w:r w:rsidR="00BD5EA1">
        <w:rPr>
          <w:b/>
          <w:sz w:val="24"/>
          <w:szCs w:val="24"/>
        </w:rPr>
        <w:t>4</w:t>
      </w:r>
    </w:p>
    <w:p w14:paraId="647755B4" w14:textId="77777777" w:rsidR="004531D9" w:rsidRPr="00BD5EA1" w:rsidRDefault="004531D9" w:rsidP="004531D9">
      <w:pPr>
        <w:pStyle w:val="CommentText"/>
        <w:spacing w:before="120" w:after="240"/>
        <w:rPr>
          <w:b/>
          <w:sz w:val="24"/>
          <w:szCs w:val="24"/>
          <w:u w:val="single"/>
        </w:rPr>
      </w:pPr>
      <w:r w:rsidRPr="00BD5EA1">
        <w:rPr>
          <w:b/>
          <w:sz w:val="24"/>
          <w:szCs w:val="24"/>
          <w:u w:val="single"/>
        </w:rPr>
        <w:t xml:space="preserve">Part 1 – Preliminary </w:t>
      </w:r>
    </w:p>
    <w:p w14:paraId="511FD1E7" w14:textId="77777777" w:rsidR="004531D9" w:rsidRPr="00BD5EA1" w:rsidRDefault="004531D9" w:rsidP="004531D9">
      <w:pPr>
        <w:pStyle w:val="CommentText"/>
        <w:spacing w:before="120" w:after="240"/>
        <w:rPr>
          <w:b/>
          <w:sz w:val="24"/>
          <w:szCs w:val="24"/>
        </w:rPr>
      </w:pPr>
      <w:r w:rsidRPr="00BD5EA1">
        <w:rPr>
          <w:b/>
          <w:sz w:val="24"/>
          <w:szCs w:val="24"/>
        </w:rPr>
        <w:t xml:space="preserve">Section 1 – Name </w:t>
      </w:r>
    </w:p>
    <w:p w14:paraId="4CC459E4" w14:textId="498EA25C" w:rsidR="004531D9" w:rsidRPr="00BD5EA1" w:rsidRDefault="004531D9" w:rsidP="004531D9">
      <w:pPr>
        <w:spacing w:before="120" w:after="240" w:line="240" w:lineRule="auto"/>
        <w:rPr>
          <w:sz w:val="24"/>
          <w:szCs w:val="24"/>
          <w:highlight w:val="yellow"/>
        </w:rPr>
      </w:pPr>
      <w:r w:rsidRPr="00BD5EA1">
        <w:rPr>
          <w:sz w:val="24"/>
          <w:szCs w:val="24"/>
        </w:rPr>
        <w:t xml:space="preserve">This section provides that this Determination is to be cited as the </w:t>
      </w:r>
      <w:r w:rsidRPr="00BD5EA1">
        <w:rPr>
          <w:i/>
          <w:iCs/>
          <w:sz w:val="24"/>
          <w:szCs w:val="24"/>
        </w:rPr>
        <w:t>Mutual Recognition (Automatic Deemed Registration Notification — Western Australia) Determination 202</w:t>
      </w:r>
      <w:r w:rsidR="00BD5EA1">
        <w:rPr>
          <w:i/>
          <w:iCs/>
          <w:sz w:val="24"/>
          <w:szCs w:val="24"/>
        </w:rPr>
        <w:t>4</w:t>
      </w:r>
      <w:r w:rsidRPr="00BD5EA1">
        <w:rPr>
          <w:sz w:val="24"/>
          <w:szCs w:val="24"/>
        </w:rPr>
        <w:t xml:space="preserve"> (the Determination).</w:t>
      </w:r>
    </w:p>
    <w:p w14:paraId="23B96AE7" w14:textId="77777777" w:rsidR="004531D9" w:rsidRPr="00BD5EA1" w:rsidRDefault="004531D9" w:rsidP="004531D9">
      <w:pPr>
        <w:pStyle w:val="CommentText"/>
        <w:spacing w:before="120" w:after="240"/>
        <w:rPr>
          <w:b/>
          <w:sz w:val="24"/>
          <w:szCs w:val="24"/>
        </w:rPr>
      </w:pPr>
      <w:r w:rsidRPr="00BD5EA1">
        <w:rPr>
          <w:b/>
          <w:sz w:val="24"/>
          <w:szCs w:val="24"/>
        </w:rPr>
        <w:t>Section 2 – Commencement</w:t>
      </w:r>
    </w:p>
    <w:p w14:paraId="1B46E90D" w14:textId="65ABC6E9" w:rsidR="004531D9" w:rsidRPr="00BD5EA1" w:rsidRDefault="004531D9" w:rsidP="004531D9">
      <w:pPr>
        <w:spacing w:before="120" w:after="240" w:line="240" w:lineRule="auto"/>
        <w:rPr>
          <w:sz w:val="24"/>
          <w:szCs w:val="24"/>
        </w:rPr>
      </w:pPr>
      <w:r w:rsidRPr="00BD5EA1">
        <w:rPr>
          <w:sz w:val="24"/>
          <w:szCs w:val="24"/>
        </w:rPr>
        <w:t>This section provides the date</w:t>
      </w:r>
      <w:r w:rsidR="00BD5EA1">
        <w:rPr>
          <w:sz w:val="24"/>
          <w:szCs w:val="24"/>
        </w:rPr>
        <w:t>s</w:t>
      </w:r>
      <w:r w:rsidRPr="00BD5EA1">
        <w:rPr>
          <w:sz w:val="24"/>
          <w:szCs w:val="24"/>
        </w:rPr>
        <w:t xml:space="preserve"> on which the Determination comes into operation. </w:t>
      </w:r>
      <w:r w:rsidR="00BD5EA1">
        <w:rPr>
          <w:sz w:val="24"/>
          <w:szCs w:val="24"/>
        </w:rPr>
        <w:t>Sections 1 to 4 of the Determination commences the day after the instrument is registered, Schedule 1 of the Determination commences on 1 July 2024, and Schedule 2 of the Determination commences on 1 July 2025.</w:t>
      </w:r>
    </w:p>
    <w:p w14:paraId="0A6755FE" w14:textId="77777777" w:rsidR="004531D9" w:rsidRPr="00BD5EA1" w:rsidRDefault="004531D9" w:rsidP="004531D9">
      <w:pPr>
        <w:pStyle w:val="CommentText"/>
        <w:spacing w:before="120" w:after="240"/>
        <w:rPr>
          <w:b/>
          <w:sz w:val="24"/>
          <w:szCs w:val="24"/>
        </w:rPr>
      </w:pPr>
      <w:r w:rsidRPr="00BD5EA1">
        <w:rPr>
          <w:b/>
          <w:sz w:val="24"/>
          <w:szCs w:val="24"/>
        </w:rPr>
        <w:t>Section 3 – Authority</w:t>
      </w:r>
    </w:p>
    <w:p w14:paraId="395AA294" w14:textId="5FC115E9" w:rsidR="004531D9" w:rsidRPr="00BD5EA1" w:rsidRDefault="004531D9" w:rsidP="004531D9">
      <w:pPr>
        <w:spacing w:before="120" w:after="240" w:line="240" w:lineRule="auto"/>
        <w:rPr>
          <w:sz w:val="24"/>
          <w:szCs w:val="24"/>
        </w:rPr>
      </w:pPr>
      <w:r w:rsidRPr="00BD5EA1">
        <w:rPr>
          <w:sz w:val="24"/>
          <w:szCs w:val="24"/>
        </w:rPr>
        <w:t xml:space="preserve">This section outlines the authority through which the Determination is made. The Determination is made under </w:t>
      </w:r>
      <w:r w:rsidR="00BD5EA1">
        <w:rPr>
          <w:sz w:val="24"/>
          <w:szCs w:val="24"/>
        </w:rPr>
        <w:t>sub</w:t>
      </w:r>
      <w:r w:rsidRPr="00BD5EA1">
        <w:rPr>
          <w:sz w:val="24"/>
          <w:szCs w:val="24"/>
        </w:rPr>
        <w:t>section 42</w:t>
      </w:r>
      <w:proofErr w:type="gramStart"/>
      <w:r w:rsidRPr="00BD5EA1">
        <w:rPr>
          <w:sz w:val="24"/>
          <w:szCs w:val="24"/>
        </w:rPr>
        <w:t>J</w:t>
      </w:r>
      <w:r w:rsidR="00BD5EA1">
        <w:rPr>
          <w:sz w:val="24"/>
          <w:szCs w:val="24"/>
        </w:rPr>
        <w:t>(</w:t>
      </w:r>
      <w:proofErr w:type="gramEnd"/>
      <w:r w:rsidR="00BD5EA1">
        <w:rPr>
          <w:sz w:val="24"/>
          <w:szCs w:val="24"/>
        </w:rPr>
        <w:t>4)</w:t>
      </w:r>
      <w:r w:rsidRPr="00BD5EA1">
        <w:rPr>
          <w:sz w:val="24"/>
          <w:szCs w:val="24"/>
        </w:rPr>
        <w:t xml:space="preserve"> of the </w:t>
      </w:r>
      <w:r w:rsidRPr="00BD5EA1">
        <w:rPr>
          <w:i/>
          <w:sz w:val="24"/>
          <w:szCs w:val="24"/>
        </w:rPr>
        <w:t xml:space="preserve">Mutual Recognition Act 1992 </w:t>
      </w:r>
      <w:r w:rsidRPr="00BD5EA1">
        <w:rPr>
          <w:sz w:val="24"/>
          <w:szCs w:val="24"/>
        </w:rPr>
        <w:t xml:space="preserve">(Commonwealth). </w:t>
      </w:r>
    </w:p>
    <w:p w14:paraId="651BCF2C" w14:textId="2F3046AE" w:rsidR="004531D9" w:rsidRPr="00BD5EA1" w:rsidRDefault="004531D9" w:rsidP="004531D9">
      <w:pPr>
        <w:pStyle w:val="CommentText"/>
        <w:spacing w:before="120" w:after="240"/>
        <w:rPr>
          <w:b/>
          <w:sz w:val="24"/>
          <w:szCs w:val="24"/>
        </w:rPr>
      </w:pPr>
      <w:r w:rsidRPr="00BD5EA1">
        <w:rPr>
          <w:b/>
          <w:sz w:val="24"/>
          <w:szCs w:val="24"/>
        </w:rPr>
        <w:t xml:space="preserve">Section 4 – </w:t>
      </w:r>
      <w:r w:rsidR="00BD5EA1">
        <w:rPr>
          <w:b/>
          <w:sz w:val="24"/>
          <w:szCs w:val="24"/>
        </w:rPr>
        <w:t>Schedules</w:t>
      </w:r>
    </w:p>
    <w:p w14:paraId="30435D79" w14:textId="25D97A62" w:rsidR="004531D9" w:rsidRPr="00BD5EA1" w:rsidRDefault="003A468F" w:rsidP="00BD5EA1">
      <w:pPr>
        <w:spacing w:before="120" w:after="240" w:line="240" w:lineRule="auto"/>
        <w:rPr>
          <w:sz w:val="24"/>
          <w:szCs w:val="24"/>
        </w:rPr>
      </w:pPr>
      <w:r>
        <w:rPr>
          <w:sz w:val="24"/>
          <w:szCs w:val="24"/>
        </w:rPr>
        <w:t>This section sets out that each instrument specified in the Determination’s Schedules is amended or repealed as set out.</w:t>
      </w:r>
    </w:p>
    <w:p w14:paraId="6ED8E661" w14:textId="6028E534" w:rsidR="003A468F" w:rsidRDefault="003A468F" w:rsidP="004531D9">
      <w:pPr>
        <w:pStyle w:val="CommentText"/>
        <w:spacing w:before="120" w:after="240"/>
        <w:rPr>
          <w:b/>
          <w:sz w:val="24"/>
          <w:szCs w:val="24"/>
        </w:rPr>
      </w:pPr>
      <w:r>
        <w:rPr>
          <w:b/>
          <w:sz w:val="24"/>
          <w:szCs w:val="24"/>
        </w:rPr>
        <w:t xml:space="preserve">Schedule 1 </w:t>
      </w:r>
    </w:p>
    <w:p w14:paraId="53E8F685" w14:textId="54CE2831" w:rsidR="003A468F" w:rsidRDefault="003A468F" w:rsidP="004531D9">
      <w:pPr>
        <w:pStyle w:val="CommentText"/>
        <w:spacing w:before="120" w:after="240"/>
        <w:rPr>
          <w:sz w:val="24"/>
          <w:szCs w:val="24"/>
        </w:rPr>
      </w:pPr>
      <w:r>
        <w:rPr>
          <w:bCs/>
          <w:sz w:val="24"/>
          <w:szCs w:val="24"/>
        </w:rPr>
        <w:t xml:space="preserve">The Determination is made in accordance with </w:t>
      </w:r>
      <w:r>
        <w:rPr>
          <w:sz w:val="24"/>
          <w:szCs w:val="24"/>
        </w:rPr>
        <w:t>sub</w:t>
      </w:r>
      <w:r w:rsidRPr="00BD5EA1">
        <w:rPr>
          <w:sz w:val="24"/>
          <w:szCs w:val="24"/>
        </w:rPr>
        <w:t>section 42</w:t>
      </w:r>
      <w:proofErr w:type="gramStart"/>
      <w:r w:rsidRPr="00BD5EA1">
        <w:rPr>
          <w:sz w:val="24"/>
          <w:szCs w:val="24"/>
        </w:rPr>
        <w:t>J</w:t>
      </w:r>
      <w:r>
        <w:rPr>
          <w:sz w:val="24"/>
          <w:szCs w:val="24"/>
        </w:rPr>
        <w:t>(</w:t>
      </w:r>
      <w:proofErr w:type="gramEnd"/>
      <w:r>
        <w:rPr>
          <w:sz w:val="24"/>
          <w:szCs w:val="24"/>
        </w:rPr>
        <w:t>4)</w:t>
      </w:r>
      <w:r w:rsidRPr="00BD5EA1">
        <w:rPr>
          <w:sz w:val="24"/>
          <w:szCs w:val="24"/>
        </w:rPr>
        <w:t xml:space="preserve"> of the </w:t>
      </w:r>
      <w:r w:rsidRPr="00BD5EA1">
        <w:rPr>
          <w:i/>
          <w:sz w:val="24"/>
          <w:szCs w:val="24"/>
        </w:rPr>
        <w:t xml:space="preserve">Mutual Recognition Act 1992 </w:t>
      </w:r>
      <w:r w:rsidRPr="00BD5EA1">
        <w:rPr>
          <w:sz w:val="24"/>
          <w:szCs w:val="24"/>
        </w:rPr>
        <w:t>(Commonwealth)</w:t>
      </w:r>
      <w:r>
        <w:rPr>
          <w:sz w:val="24"/>
          <w:szCs w:val="24"/>
        </w:rPr>
        <w:t xml:space="preserve">. </w:t>
      </w:r>
      <w:r w:rsidRPr="00BD5EA1">
        <w:rPr>
          <w:sz w:val="24"/>
          <w:szCs w:val="24"/>
        </w:rPr>
        <w:t>A person intending to carry on at least one of the activities covered by the registrations listed in reliance on ADR must notify the local registration authority. This means that an individual cannot carry on the activity in Western Australia without first providing notification. An individual may obtain the notification requirements through the local registration authority for the activity.</w:t>
      </w:r>
      <w:r w:rsidR="00A847E1">
        <w:rPr>
          <w:sz w:val="24"/>
          <w:szCs w:val="24"/>
        </w:rPr>
        <w:t xml:space="preserve"> </w:t>
      </w:r>
    </w:p>
    <w:p w14:paraId="14FAF9AA" w14:textId="3D535BB3" w:rsidR="00A847E1" w:rsidRDefault="00A847E1" w:rsidP="002260A7">
      <w:pPr>
        <w:pStyle w:val="CommentText"/>
        <w:spacing w:before="120" w:after="240"/>
        <w:contextualSpacing/>
        <w:rPr>
          <w:sz w:val="24"/>
          <w:szCs w:val="24"/>
        </w:rPr>
      </w:pPr>
      <w:r>
        <w:rPr>
          <w:sz w:val="24"/>
          <w:szCs w:val="24"/>
        </w:rPr>
        <w:t>From 1 July 2024, notification under subsection 42</w:t>
      </w:r>
      <w:proofErr w:type="gramStart"/>
      <w:r>
        <w:rPr>
          <w:sz w:val="24"/>
          <w:szCs w:val="24"/>
        </w:rPr>
        <w:t>J(</w:t>
      </w:r>
      <w:proofErr w:type="gramEnd"/>
      <w:r>
        <w:rPr>
          <w:sz w:val="24"/>
          <w:szCs w:val="24"/>
        </w:rPr>
        <w:t xml:space="preserve">4) is required in Western Australia for a registration under the </w:t>
      </w:r>
      <w:r>
        <w:rPr>
          <w:i/>
          <w:iCs/>
          <w:sz w:val="24"/>
          <w:szCs w:val="24"/>
        </w:rPr>
        <w:t xml:space="preserve">Building Services (Registration) Act </w:t>
      </w:r>
      <w:r w:rsidRPr="00A847E1">
        <w:rPr>
          <w:sz w:val="24"/>
          <w:szCs w:val="24"/>
        </w:rPr>
        <w:t>2011</w:t>
      </w:r>
      <w:r>
        <w:rPr>
          <w:sz w:val="24"/>
          <w:szCs w:val="24"/>
        </w:rPr>
        <w:t xml:space="preserve"> as any one of </w:t>
      </w:r>
      <w:r w:rsidRPr="00A847E1">
        <w:rPr>
          <w:sz w:val="24"/>
          <w:szCs w:val="24"/>
        </w:rPr>
        <w:t>the</w:t>
      </w:r>
      <w:r>
        <w:rPr>
          <w:sz w:val="24"/>
          <w:szCs w:val="24"/>
        </w:rPr>
        <w:t xml:space="preserve"> following:</w:t>
      </w:r>
    </w:p>
    <w:p w14:paraId="7FFF0053" w14:textId="336F53FC" w:rsidR="00A847E1" w:rsidRDefault="00A847E1" w:rsidP="00A847E1">
      <w:pPr>
        <w:pStyle w:val="CommentText"/>
        <w:numPr>
          <w:ilvl w:val="0"/>
          <w:numId w:val="3"/>
        </w:numPr>
        <w:spacing w:before="120" w:after="240"/>
        <w:ind w:left="714" w:hanging="357"/>
        <w:contextualSpacing/>
        <w:rPr>
          <w:bCs/>
          <w:sz w:val="24"/>
          <w:szCs w:val="24"/>
        </w:rPr>
      </w:pPr>
      <w:r>
        <w:rPr>
          <w:bCs/>
          <w:sz w:val="24"/>
          <w:szCs w:val="24"/>
        </w:rPr>
        <w:t xml:space="preserve">A building </w:t>
      </w:r>
      <w:proofErr w:type="gramStart"/>
      <w:r>
        <w:rPr>
          <w:bCs/>
          <w:sz w:val="24"/>
          <w:szCs w:val="24"/>
        </w:rPr>
        <w:t>practitioner;</w:t>
      </w:r>
      <w:proofErr w:type="gramEnd"/>
    </w:p>
    <w:p w14:paraId="7C23422C" w14:textId="76486875" w:rsidR="00A847E1" w:rsidRDefault="00A847E1" w:rsidP="00A847E1">
      <w:pPr>
        <w:pStyle w:val="CommentText"/>
        <w:numPr>
          <w:ilvl w:val="0"/>
          <w:numId w:val="3"/>
        </w:numPr>
        <w:spacing w:before="120" w:after="240"/>
        <w:ind w:left="714" w:hanging="357"/>
        <w:contextualSpacing/>
        <w:rPr>
          <w:bCs/>
          <w:sz w:val="24"/>
          <w:szCs w:val="24"/>
        </w:rPr>
      </w:pPr>
      <w:r>
        <w:rPr>
          <w:bCs/>
          <w:sz w:val="24"/>
          <w:szCs w:val="24"/>
        </w:rPr>
        <w:t xml:space="preserve">A building surveying practitioner level 1 or </w:t>
      </w:r>
      <w:proofErr w:type="gramStart"/>
      <w:r>
        <w:rPr>
          <w:bCs/>
          <w:sz w:val="24"/>
          <w:szCs w:val="24"/>
        </w:rPr>
        <w:t>2;</w:t>
      </w:r>
      <w:proofErr w:type="gramEnd"/>
    </w:p>
    <w:p w14:paraId="67605922" w14:textId="30430AAE" w:rsidR="00A847E1" w:rsidRDefault="00A847E1" w:rsidP="00A847E1">
      <w:pPr>
        <w:pStyle w:val="CommentText"/>
        <w:numPr>
          <w:ilvl w:val="0"/>
          <w:numId w:val="3"/>
        </w:numPr>
        <w:spacing w:before="120" w:after="240"/>
        <w:ind w:left="714" w:hanging="357"/>
        <w:contextualSpacing/>
        <w:rPr>
          <w:bCs/>
          <w:sz w:val="24"/>
          <w:szCs w:val="24"/>
        </w:rPr>
      </w:pPr>
      <w:r>
        <w:rPr>
          <w:bCs/>
          <w:sz w:val="24"/>
          <w:szCs w:val="24"/>
        </w:rPr>
        <w:t xml:space="preserve">A building surveying practitioner </w:t>
      </w:r>
      <w:proofErr w:type="gramStart"/>
      <w:r>
        <w:rPr>
          <w:bCs/>
          <w:sz w:val="24"/>
          <w:szCs w:val="24"/>
        </w:rPr>
        <w:t>technician;</w:t>
      </w:r>
      <w:proofErr w:type="gramEnd"/>
    </w:p>
    <w:p w14:paraId="17FC751A" w14:textId="379F205F" w:rsidR="00A847E1" w:rsidRDefault="00A847E1" w:rsidP="00A847E1">
      <w:pPr>
        <w:pStyle w:val="CommentText"/>
        <w:numPr>
          <w:ilvl w:val="0"/>
          <w:numId w:val="3"/>
        </w:numPr>
        <w:spacing w:before="120" w:after="240"/>
        <w:ind w:left="714" w:hanging="357"/>
        <w:contextualSpacing/>
        <w:rPr>
          <w:bCs/>
          <w:sz w:val="24"/>
          <w:szCs w:val="24"/>
        </w:rPr>
      </w:pPr>
      <w:r>
        <w:rPr>
          <w:bCs/>
          <w:sz w:val="24"/>
          <w:szCs w:val="24"/>
        </w:rPr>
        <w:t xml:space="preserve">A painting </w:t>
      </w:r>
      <w:proofErr w:type="gramStart"/>
      <w:r>
        <w:rPr>
          <w:bCs/>
          <w:sz w:val="24"/>
          <w:szCs w:val="24"/>
        </w:rPr>
        <w:t>practitioner;</w:t>
      </w:r>
      <w:proofErr w:type="gramEnd"/>
    </w:p>
    <w:p w14:paraId="7BB1FB4F" w14:textId="761A3925" w:rsidR="00A847E1" w:rsidRDefault="00A847E1" w:rsidP="00A847E1">
      <w:pPr>
        <w:pStyle w:val="CommentText"/>
        <w:numPr>
          <w:ilvl w:val="0"/>
          <w:numId w:val="3"/>
        </w:numPr>
        <w:spacing w:before="120" w:after="240"/>
        <w:ind w:left="714" w:hanging="357"/>
        <w:contextualSpacing/>
        <w:rPr>
          <w:bCs/>
          <w:sz w:val="24"/>
          <w:szCs w:val="24"/>
        </w:rPr>
      </w:pPr>
      <w:r>
        <w:rPr>
          <w:bCs/>
          <w:sz w:val="24"/>
          <w:szCs w:val="24"/>
        </w:rPr>
        <w:t>A building contractor (individual</w:t>
      </w:r>
      <w:proofErr w:type="gramStart"/>
      <w:r>
        <w:rPr>
          <w:bCs/>
          <w:sz w:val="24"/>
          <w:szCs w:val="24"/>
        </w:rPr>
        <w:t>);</w:t>
      </w:r>
      <w:proofErr w:type="gramEnd"/>
    </w:p>
    <w:p w14:paraId="5CB71129" w14:textId="30B39B37" w:rsidR="00A847E1" w:rsidRDefault="00A847E1" w:rsidP="00A847E1">
      <w:pPr>
        <w:pStyle w:val="CommentText"/>
        <w:numPr>
          <w:ilvl w:val="0"/>
          <w:numId w:val="3"/>
        </w:numPr>
        <w:spacing w:before="120" w:after="240"/>
        <w:ind w:left="714" w:hanging="357"/>
        <w:contextualSpacing/>
        <w:rPr>
          <w:bCs/>
          <w:sz w:val="24"/>
          <w:szCs w:val="24"/>
        </w:rPr>
      </w:pPr>
      <w:r>
        <w:rPr>
          <w:bCs/>
          <w:sz w:val="24"/>
          <w:szCs w:val="24"/>
        </w:rPr>
        <w:t>A building surveying contractor level 1 or 2 (individual</w:t>
      </w:r>
      <w:proofErr w:type="gramStart"/>
      <w:r>
        <w:rPr>
          <w:bCs/>
          <w:sz w:val="24"/>
          <w:szCs w:val="24"/>
        </w:rPr>
        <w:t>);</w:t>
      </w:r>
      <w:proofErr w:type="gramEnd"/>
    </w:p>
    <w:p w14:paraId="0EF574FD" w14:textId="01241737" w:rsidR="00A847E1" w:rsidRDefault="00A847E1" w:rsidP="00A847E1">
      <w:pPr>
        <w:pStyle w:val="CommentText"/>
        <w:numPr>
          <w:ilvl w:val="0"/>
          <w:numId w:val="3"/>
        </w:numPr>
        <w:spacing w:before="120" w:after="240"/>
        <w:ind w:left="714" w:hanging="357"/>
        <w:contextualSpacing/>
        <w:rPr>
          <w:bCs/>
          <w:sz w:val="24"/>
          <w:szCs w:val="24"/>
        </w:rPr>
      </w:pPr>
      <w:r>
        <w:rPr>
          <w:bCs/>
          <w:sz w:val="24"/>
          <w:szCs w:val="24"/>
        </w:rPr>
        <w:t xml:space="preserve">A building engineering practitioner, structural – professional, technologist or </w:t>
      </w:r>
      <w:proofErr w:type="gramStart"/>
      <w:r>
        <w:rPr>
          <w:bCs/>
          <w:sz w:val="24"/>
          <w:szCs w:val="24"/>
        </w:rPr>
        <w:t>associate;</w:t>
      </w:r>
      <w:proofErr w:type="gramEnd"/>
    </w:p>
    <w:p w14:paraId="3E36142E" w14:textId="2B540ED2" w:rsidR="00A847E1" w:rsidRDefault="00A847E1" w:rsidP="00A847E1">
      <w:pPr>
        <w:pStyle w:val="CommentText"/>
        <w:numPr>
          <w:ilvl w:val="0"/>
          <w:numId w:val="3"/>
        </w:numPr>
        <w:spacing w:before="120" w:after="240"/>
        <w:ind w:left="714" w:hanging="357"/>
        <w:contextualSpacing/>
        <w:rPr>
          <w:bCs/>
          <w:sz w:val="24"/>
          <w:szCs w:val="24"/>
        </w:rPr>
      </w:pPr>
      <w:r>
        <w:rPr>
          <w:bCs/>
          <w:sz w:val="24"/>
          <w:szCs w:val="24"/>
        </w:rPr>
        <w:lastRenderedPageBreak/>
        <w:t xml:space="preserve">A building engineering practitioner, fire safety – </w:t>
      </w:r>
      <w:proofErr w:type="gramStart"/>
      <w:r>
        <w:rPr>
          <w:bCs/>
          <w:sz w:val="24"/>
          <w:szCs w:val="24"/>
        </w:rPr>
        <w:t>professional;</w:t>
      </w:r>
      <w:proofErr w:type="gramEnd"/>
    </w:p>
    <w:p w14:paraId="0ED2C388" w14:textId="2DFBB6C4" w:rsidR="00A847E1" w:rsidRDefault="00A847E1" w:rsidP="00A847E1">
      <w:pPr>
        <w:pStyle w:val="CommentText"/>
        <w:numPr>
          <w:ilvl w:val="0"/>
          <w:numId w:val="3"/>
        </w:numPr>
        <w:spacing w:before="120" w:after="240"/>
        <w:ind w:left="714" w:hanging="357"/>
        <w:contextualSpacing/>
        <w:rPr>
          <w:bCs/>
          <w:sz w:val="24"/>
          <w:szCs w:val="24"/>
        </w:rPr>
      </w:pPr>
      <w:r>
        <w:rPr>
          <w:bCs/>
          <w:sz w:val="24"/>
          <w:szCs w:val="24"/>
        </w:rPr>
        <w:t xml:space="preserve">A building engineering practitioner, fire systems – technologist or </w:t>
      </w:r>
      <w:proofErr w:type="gramStart"/>
      <w:r>
        <w:rPr>
          <w:bCs/>
          <w:sz w:val="24"/>
          <w:szCs w:val="24"/>
        </w:rPr>
        <w:t>associate;</w:t>
      </w:r>
      <w:proofErr w:type="gramEnd"/>
    </w:p>
    <w:p w14:paraId="7690818A" w14:textId="375D906A" w:rsidR="00A847E1" w:rsidRDefault="00A847E1" w:rsidP="00A847E1">
      <w:pPr>
        <w:pStyle w:val="CommentText"/>
        <w:numPr>
          <w:ilvl w:val="0"/>
          <w:numId w:val="3"/>
        </w:numPr>
        <w:spacing w:before="120" w:after="240"/>
        <w:ind w:left="714" w:hanging="357"/>
        <w:contextualSpacing/>
        <w:rPr>
          <w:bCs/>
          <w:sz w:val="24"/>
          <w:szCs w:val="24"/>
        </w:rPr>
      </w:pPr>
      <w:r>
        <w:rPr>
          <w:bCs/>
          <w:sz w:val="24"/>
          <w:szCs w:val="24"/>
        </w:rPr>
        <w:t>A building engineering contractor – professional (individual), technologist (individual) or associate (individual</w:t>
      </w:r>
      <w:proofErr w:type="gramStart"/>
      <w:r>
        <w:rPr>
          <w:bCs/>
          <w:sz w:val="24"/>
          <w:szCs w:val="24"/>
        </w:rPr>
        <w:t>);</w:t>
      </w:r>
      <w:proofErr w:type="gramEnd"/>
    </w:p>
    <w:p w14:paraId="34388401" w14:textId="7112B31B" w:rsidR="00A847E1" w:rsidRPr="003A468F" w:rsidRDefault="00A847E1" w:rsidP="00A847E1">
      <w:pPr>
        <w:pStyle w:val="CommentText"/>
        <w:numPr>
          <w:ilvl w:val="0"/>
          <w:numId w:val="3"/>
        </w:numPr>
        <w:spacing w:before="120" w:after="240"/>
        <w:rPr>
          <w:bCs/>
          <w:sz w:val="24"/>
          <w:szCs w:val="24"/>
        </w:rPr>
      </w:pPr>
      <w:r>
        <w:rPr>
          <w:bCs/>
          <w:sz w:val="24"/>
          <w:szCs w:val="24"/>
        </w:rPr>
        <w:t>A building engineering contractor, fire systems – technologist (individual) or associate (individual).</w:t>
      </w:r>
    </w:p>
    <w:p w14:paraId="372C9762" w14:textId="0689611C" w:rsidR="003A468F" w:rsidRDefault="003A468F" w:rsidP="003A468F">
      <w:pPr>
        <w:pStyle w:val="CommentText"/>
        <w:spacing w:before="120" w:after="240"/>
        <w:rPr>
          <w:b/>
          <w:sz w:val="24"/>
          <w:szCs w:val="24"/>
        </w:rPr>
      </w:pPr>
      <w:r>
        <w:rPr>
          <w:b/>
          <w:sz w:val="24"/>
          <w:szCs w:val="24"/>
        </w:rPr>
        <w:t xml:space="preserve">Schedule 2 </w:t>
      </w:r>
    </w:p>
    <w:p w14:paraId="44B85920" w14:textId="77777777" w:rsidR="003A468F" w:rsidRPr="003A468F" w:rsidRDefault="003A468F" w:rsidP="003A468F">
      <w:pPr>
        <w:pStyle w:val="CommentText"/>
        <w:spacing w:before="120" w:after="240"/>
        <w:rPr>
          <w:bCs/>
          <w:sz w:val="24"/>
          <w:szCs w:val="24"/>
        </w:rPr>
      </w:pPr>
      <w:r>
        <w:rPr>
          <w:bCs/>
          <w:sz w:val="24"/>
          <w:szCs w:val="24"/>
        </w:rPr>
        <w:t xml:space="preserve">The Determination is made in accordance with </w:t>
      </w:r>
      <w:r>
        <w:rPr>
          <w:sz w:val="24"/>
          <w:szCs w:val="24"/>
        </w:rPr>
        <w:t>sub</w:t>
      </w:r>
      <w:r w:rsidRPr="00BD5EA1">
        <w:rPr>
          <w:sz w:val="24"/>
          <w:szCs w:val="24"/>
        </w:rPr>
        <w:t>section 42</w:t>
      </w:r>
      <w:proofErr w:type="gramStart"/>
      <w:r w:rsidRPr="00BD5EA1">
        <w:rPr>
          <w:sz w:val="24"/>
          <w:szCs w:val="24"/>
        </w:rPr>
        <w:t>J</w:t>
      </w:r>
      <w:r>
        <w:rPr>
          <w:sz w:val="24"/>
          <w:szCs w:val="24"/>
        </w:rPr>
        <w:t>(</w:t>
      </w:r>
      <w:proofErr w:type="gramEnd"/>
      <w:r>
        <w:rPr>
          <w:sz w:val="24"/>
          <w:szCs w:val="24"/>
        </w:rPr>
        <w:t>4)</w:t>
      </w:r>
      <w:r w:rsidRPr="00BD5EA1">
        <w:rPr>
          <w:sz w:val="24"/>
          <w:szCs w:val="24"/>
        </w:rPr>
        <w:t xml:space="preserve"> of the </w:t>
      </w:r>
      <w:r w:rsidRPr="00BD5EA1">
        <w:rPr>
          <w:i/>
          <w:sz w:val="24"/>
          <w:szCs w:val="24"/>
        </w:rPr>
        <w:t xml:space="preserve">Mutual Recognition Act 1992 </w:t>
      </w:r>
      <w:r w:rsidRPr="00BD5EA1">
        <w:rPr>
          <w:sz w:val="24"/>
          <w:szCs w:val="24"/>
        </w:rPr>
        <w:t>(Commonwealth)</w:t>
      </w:r>
      <w:r>
        <w:rPr>
          <w:sz w:val="24"/>
          <w:szCs w:val="24"/>
        </w:rPr>
        <w:t xml:space="preserve">. </w:t>
      </w:r>
      <w:r w:rsidRPr="00BD5EA1">
        <w:rPr>
          <w:sz w:val="24"/>
          <w:szCs w:val="24"/>
        </w:rPr>
        <w:t>A person intending to carry on at least one of the activities covered by the registrations listed in reliance on ADR must notify the local registration authority. This means that an individual cannot carry on the activity in Western Australia without first providing notification. An individual may obtain the notification requirements through the local registration authority for the activity.</w:t>
      </w:r>
    </w:p>
    <w:p w14:paraId="709332E6" w14:textId="605871A5" w:rsidR="00A847E1" w:rsidRDefault="00A847E1" w:rsidP="002260A7">
      <w:pPr>
        <w:pStyle w:val="CommentText"/>
        <w:spacing w:before="120" w:after="240"/>
        <w:contextualSpacing/>
        <w:rPr>
          <w:sz w:val="24"/>
          <w:szCs w:val="24"/>
        </w:rPr>
      </w:pPr>
      <w:r>
        <w:rPr>
          <w:sz w:val="24"/>
          <w:szCs w:val="24"/>
        </w:rPr>
        <w:t>From 1 July 2025, notification under subsection 42</w:t>
      </w:r>
      <w:proofErr w:type="gramStart"/>
      <w:r>
        <w:rPr>
          <w:sz w:val="24"/>
          <w:szCs w:val="24"/>
        </w:rPr>
        <w:t>J(</w:t>
      </w:r>
      <w:proofErr w:type="gramEnd"/>
      <w:r>
        <w:rPr>
          <w:sz w:val="24"/>
          <w:szCs w:val="24"/>
        </w:rPr>
        <w:t xml:space="preserve">4) is required in Western Australia for a registration under the </w:t>
      </w:r>
      <w:r>
        <w:rPr>
          <w:i/>
          <w:iCs/>
          <w:sz w:val="24"/>
          <w:szCs w:val="24"/>
        </w:rPr>
        <w:t xml:space="preserve">Building Services (Registration) Act </w:t>
      </w:r>
      <w:r w:rsidRPr="00A847E1">
        <w:rPr>
          <w:sz w:val="24"/>
          <w:szCs w:val="24"/>
        </w:rPr>
        <w:t>2011</w:t>
      </w:r>
      <w:r>
        <w:rPr>
          <w:sz w:val="24"/>
          <w:szCs w:val="24"/>
        </w:rPr>
        <w:t xml:space="preserve"> as any one of </w:t>
      </w:r>
      <w:r w:rsidRPr="00A847E1">
        <w:rPr>
          <w:sz w:val="24"/>
          <w:szCs w:val="24"/>
        </w:rPr>
        <w:t>the</w:t>
      </w:r>
      <w:r>
        <w:rPr>
          <w:sz w:val="24"/>
          <w:szCs w:val="24"/>
        </w:rPr>
        <w:t xml:space="preserve"> following:</w:t>
      </w:r>
    </w:p>
    <w:p w14:paraId="4D10785A" w14:textId="31B84B11" w:rsidR="00A847E1" w:rsidRDefault="00A847E1" w:rsidP="00A847E1">
      <w:pPr>
        <w:pStyle w:val="CommentText"/>
        <w:numPr>
          <w:ilvl w:val="0"/>
          <w:numId w:val="2"/>
        </w:numPr>
        <w:spacing w:before="120" w:after="240"/>
        <w:ind w:left="714" w:hanging="357"/>
        <w:contextualSpacing/>
        <w:rPr>
          <w:bCs/>
          <w:sz w:val="24"/>
          <w:szCs w:val="24"/>
        </w:rPr>
      </w:pPr>
      <w:r>
        <w:rPr>
          <w:bCs/>
          <w:sz w:val="24"/>
          <w:szCs w:val="24"/>
        </w:rPr>
        <w:t xml:space="preserve">A building engineering practitioner, civil – professional, technologist or </w:t>
      </w:r>
      <w:proofErr w:type="gramStart"/>
      <w:r>
        <w:rPr>
          <w:bCs/>
          <w:sz w:val="24"/>
          <w:szCs w:val="24"/>
        </w:rPr>
        <w:t>associate;</w:t>
      </w:r>
      <w:proofErr w:type="gramEnd"/>
      <w:r>
        <w:rPr>
          <w:bCs/>
          <w:sz w:val="24"/>
          <w:szCs w:val="24"/>
        </w:rPr>
        <w:t xml:space="preserve"> </w:t>
      </w:r>
    </w:p>
    <w:p w14:paraId="4F40C61F" w14:textId="2FF11F54" w:rsidR="00A847E1" w:rsidRPr="003A468F" w:rsidRDefault="00A847E1" w:rsidP="00A847E1">
      <w:pPr>
        <w:pStyle w:val="CommentText"/>
        <w:numPr>
          <w:ilvl w:val="0"/>
          <w:numId w:val="2"/>
        </w:numPr>
        <w:spacing w:before="120" w:after="240"/>
        <w:rPr>
          <w:bCs/>
          <w:sz w:val="24"/>
          <w:szCs w:val="24"/>
        </w:rPr>
      </w:pPr>
      <w:r>
        <w:rPr>
          <w:bCs/>
          <w:sz w:val="24"/>
          <w:szCs w:val="24"/>
        </w:rPr>
        <w:t>A building engineering practitioner, mechanical – professional, technologist or associate.</w:t>
      </w:r>
    </w:p>
    <w:p w14:paraId="0035C469" w14:textId="77777777" w:rsidR="004531D9" w:rsidRDefault="004531D9" w:rsidP="004531D9">
      <w:pPr>
        <w:keepNext/>
        <w:tabs>
          <w:tab w:val="left" w:pos="3402"/>
        </w:tabs>
        <w:spacing w:before="120" w:after="240" w:line="240" w:lineRule="auto"/>
        <w:ind w:right="397"/>
        <w:rPr>
          <w:sz w:val="24"/>
          <w:szCs w:val="24"/>
          <w:highlight w:val="yellow"/>
        </w:rPr>
      </w:pPr>
    </w:p>
    <w:p w14:paraId="59AB8D72" w14:textId="77777777" w:rsidR="00A847E1" w:rsidRDefault="00A847E1" w:rsidP="004531D9">
      <w:pPr>
        <w:keepNext/>
        <w:tabs>
          <w:tab w:val="left" w:pos="3402"/>
        </w:tabs>
        <w:spacing w:before="120" w:after="240" w:line="240" w:lineRule="auto"/>
        <w:ind w:right="397"/>
        <w:rPr>
          <w:sz w:val="24"/>
          <w:szCs w:val="24"/>
          <w:highlight w:val="yellow"/>
        </w:rPr>
      </w:pPr>
    </w:p>
    <w:p w14:paraId="2AC799EE" w14:textId="77777777" w:rsidR="00A847E1" w:rsidRPr="00BD5EA1" w:rsidRDefault="00A847E1" w:rsidP="004531D9">
      <w:pPr>
        <w:keepNext/>
        <w:tabs>
          <w:tab w:val="left" w:pos="3402"/>
        </w:tabs>
        <w:spacing w:before="120" w:after="240" w:line="240" w:lineRule="auto"/>
        <w:ind w:right="397"/>
        <w:rPr>
          <w:sz w:val="24"/>
          <w:szCs w:val="24"/>
          <w:highlight w:val="yellow"/>
        </w:rPr>
      </w:pPr>
    </w:p>
    <w:p w14:paraId="29BCAA97" w14:textId="77777777" w:rsidR="004531D9" w:rsidRPr="00BD5EA1" w:rsidRDefault="004531D9" w:rsidP="004531D9">
      <w:pPr>
        <w:keepNext/>
        <w:tabs>
          <w:tab w:val="left" w:pos="3402"/>
        </w:tabs>
        <w:spacing w:before="120" w:after="240" w:line="240" w:lineRule="auto"/>
        <w:ind w:right="397"/>
        <w:rPr>
          <w:sz w:val="24"/>
          <w:szCs w:val="24"/>
          <w:highlight w:val="yellow"/>
        </w:rPr>
      </w:pPr>
    </w:p>
    <w:p w14:paraId="45E93068" w14:textId="55E19E9F" w:rsidR="004531D9" w:rsidRPr="00BD5EA1" w:rsidRDefault="004531D9" w:rsidP="004531D9">
      <w:pPr>
        <w:keepNext/>
        <w:tabs>
          <w:tab w:val="left" w:pos="3402"/>
        </w:tabs>
        <w:spacing w:before="120" w:after="240" w:line="240" w:lineRule="auto"/>
        <w:ind w:right="397"/>
        <w:rPr>
          <w:b/>
          <w:sz w:val="24"/>
          <w:szCs w:val="24"/>
        </w:rPr>
      </w:pPr>
      <w:r w:rsidRPr="00BD5EA1">
        <w:rPr>
          <w:sz w:val="24"/>
          <w:szCs w:val="24"/>
        </w:rPr>
        <w:t xml:space="preserve">Hon Roger Cook MLA </w:t>
      </w:r>
    </w:p>
    <w:p w14:paraId="1DF2EDEF" w14:textId="77777777" w:rsidR="004531D9" w:rsidRPr="00BD5EA1" w:rsidRDefault="004531D9" w:rsidP="004531D9">
      <w:pPr>
        <w:spacing w:before="120" w:after="240" w:line="240" w:lineRule="auto"/>
        <w:rPr>
          <w:rFonts w:eastAsia="Times New Roman" w:cs="Times New Roman"/>
          <w:sz w:val="24"/>
          <w:szCs w:val="24"/>
          <w:lang w:eastAsia="en-AU"/>
        </w:rPr>
      </w:pPr>
      <w:r w:rsidRPr="00BD5EA1">
        <w:rPr>
          <w:rFonts w:eastAsia="Times New Roman" w:cs="Times New Roman"/>
          <w:sz w:val="24"/>
          <w:szCs w:val="24"/>
          <w:lang w:eastAsia="en-AU"/>
        </w:rPr>
        <w:t xml:space="preserve">Premier (Western Australia) </w:t>
      </w:r>
    </w:p>
    <w:p w14:paraId="3B1BB2A4" w14:textId="77777777" w:rsidR="00D17E7A" w:rsidRPr="00BD5EA1" w:rsidRDefault="00D17E7A">
      <w:pPr>
        <w:rPr>
          <w:sz w:val="24"/>
          <w:szCs w:val="24"/>
        </w:rPr>
      </w:pPr>
    </w:p>
    <w:sectPr w:rsidR="00D17E7A" w:rsidRPr="00BD5EA1" w:rsidSect="00B37D97">
      <w:footerReference w:type="default" r:id="rId7"/>
      <w:pgSz w:w="11907" w:h="16839" w:code="9"/>
      <w:pgMar w:top="164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B72A" w14:textId="77777777" w:rsidR="00425B43" w:rsidRDefault="00425B43">
      <w:pPr>
        <w:spacing w:line="240" w:lineRule="auto"/>
      </w:pPr>
      <w:r>
        <w:separator/>
      </w:r>
    </w:p>
  </w:endnote>
  <w:endnote w:type="continuationSeparator" w:id="0">
    <w:p w14:paraId="283A8530" w14:textId="77777777" w:rsidR="00425B43" w:rsidRDefault="00425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Arial"/>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434923"/>
      <w:docPartObj>
        <w:docPartGallery w:val="Page Numbers (Bottom of Page)"/>
        <w:docPartUnique/>
      </w:docPartObj>
    </w:sdtPr>
    <w:sdtEndPr>
      <w:rPr>
        <w:noProof/>
        <w:sz w:val="18"/>
      </w:rPr>
    </w:sdtEndPr>
    <w:sdtContent>
      <w:p w14:paraId="0B9EAFBC" w14:textId="77777777" w:rsidR="00FD10DA" w:rsidRPr="00FA0F6F" w:rsidRDefault="00000000">
        <w:pPr>
          <w:pStyle w:val="Footer"/>
          <w:jc w:val="right"/>
          <w:rPr>
            <w:sz w:val="18"/>
          </w:rPr>
        </w:pPr>
        <w:r w:rsidRPr="00FA0F6F">
          <w:rPr>
            <w:sz w:val="18"/>
          </w:rPr>
          <w:fldChar w:fldCharType="begin"/>
        </w:r>
        <w:r w:rsidRPr="00FA0F6F">
          <w:rPr>
            <w:sz w:val="18"/>
          </w:rPr>
          <w:instrText xml:space="preserve"> PAGE   \* MERGEFORMAT </w:instrText>
        </w:r>
        <w:r w:rsidRPr="00FA0F6F">
          <w:rPr>
            <w:sz w:val="18"/>
          </w:rPr>
          <w:fldChar w:fldCharType="separate"/>
        </w:r>
        <w:r>
          <w:rPr>
            <w:noProof/>
            <w:sz w:val="18"/>
          </w:rPr>
          <w:t>1</w:t>
        </w:r>
        <w:r w:rsidRPr="00FA0F6F">
          <w:rPr>
            <w:noProof/>
            <w:sz w:val="18"/>
          </w:rPr>
          <w:fldChar w:fldCharType="end"/>
        </w:r>
      </w:p>
    </w:sdtContent>
  </w:sdt>
  <w:p w14:paraId="61C884D4" w14:textId="77777777" w:rsidR="00FD10DA" w:rsidRDefault="00FD1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528F" w14:textId="77777777" w:rsidR="00425B43" w:rsidRDefault="00425B43">
      <w:pPr>
        <w:spacing w:line="240" w:lineRule="auto"/>
      </w:pPr>
      <w:r>
        <w:separator/>
      </w:r>
    </w:p>
  </w:footnote>
  <w:footnote w:type="continuationSeparator" w:id="0">
    <w:p w14:paraId="69988C97" w14:textId="77777777" w:rsidR="00425B43" w:rsidRDefault="00425B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A19"/>
    <w:multiLevelType w:val="hybridMultilevel"/>
    <w:tmpl w:val="633A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D5275F"/>
    <w:multiLevelType w:val="hybridMultilevel"/>
    <w:tmpl w:val="1D968248"/>
    <w:lvl w:ilvl="0" w:tplc="35042F0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EB763C"/>
    <w:multiLevelType w:val="hybridMultilevel"/>
    <w:tmpl w:val="78DC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0372260">
    <w:abstractNumId w:val="1"/>
  </w:num>
  <w:num w:numId="2" w16cid:durableId="296229525">
    <w:abstractNumId w:val="0"/>
  </w:num>
  <w:num w:numId="3" w16cid:durableId="472453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D9"/>
    <w:rsid w:val="002260A7"/>
    <w:rsid w:val="00275CCB"/>
    <w:rsid w:val="003A468F"/>
    <w:rsid w:val="003C512C"/>
    <w:rsid w:val="00425B43"/>
    <w:rsid w:val="004531D9"/>
    <w:rsid w:val="0046227F"/>
    <w:rsid w:val="007B2467"/>
    <w:rsid w:val="008522C0"/>
    <w:rsid w:val="00960B92"/>
    <w:rsid w:val="00A51C6F"/>
    <w:rsid w:val="00A847E1"/>
    <w:rsid w:val="00BD5EA1"/>
    <w:rsid w:val="00D17E7A"/>
    <w:rsid w:val="00D20AB1"/>
    <w:rsid w:val="00D20E88"/>
    <w:rsid w:val="00F51621"/>
    <w:rsid w:val="00FD10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9FD0"/>
  <w15:chartTrackingRefBased/>
  <w15:docId w15:val="{B6BF231A-DE80-49C9-94DC-C1926965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31D9"/>
    <w:pPr>
      <w:spacing w:after="0" w:line="260" w:lineRule="atLeast"/>
    </w:pPr>
    <w:rPr>
      <w:rFonts w:ascii="Times New Roman" w:hAnsi="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4531D9"/>
    <w:pPr>
      <w:tabs>
        <w:tab w:val="center" w:pos="4153"/>
        <w:tab w:val="right" w:pos="8306"/>
      </w:tabs>
      <w:spacing w:after="0" w:line="240" w:lineRule="auto"/>
    </w:pPr>
    <w:rPr>
      <w:rFonts w:ascii="Times New Roman" w:eastAsia="Times New Roman" w:hAnsi="Times New Roman" w:cs="Times New Roman"/>
      <w:kern w:val="0"/>
      <w:szCs w:val="24"/>
      <w:lang w:eastAsia="en-AU"/>
      <w14:ligatures w14:val="none"/>
    </w:rPr>
  </w:style>
  <w:style w:type="character" w:customStyle="1" w:styleId="FooterChar">
    <w:name w:val="Footer Char"/>
    <w:basedOn w:val="DefaultParagraphFont"/>
    <w:link w:val="Footer"/>
    <w:uiPriority w:val="99"/>
    <w:rsid w:val="004531D9"/>
    <w:rPr>
      <w:rFonts w:ascii="Times New Roman" w:eastAsia="Times New Roman" w:hAnsi="Times New Roman" w:cs="Times New Roman"/>
      <w:kern w:val="0"/>
      <w:szCs w:val="24"/>
      <w:lang w:eastAsia="en-AU"/>
      <w14:ligatures w14:val="none"/>
    </w:rPr>
  </w:style>
  <w:style w:type="paragraph" w:styleId="CommentText">
    <w:name w:val="annotation text"/>
    <w:basedOn w:val="Normal"/>
    <w:link w:val="CommentTextChar"/>
    <w:uiPriority w:val="99"/>
    <w:unhideWhenUsed/>
    <w:rsid w:val="004531D9"/>
    <w:pPr>
      <w:spacing w:line="240" w:lineRule="auto"/>
    </w:pPr>
    <w:rPr>
      <w:sz w:val="20"/>
    </w:rPr>
  </w:style>
  <w:style w:type="character" w:customStyle="1" w:styleId="CommentTextChar">
    <w:name w:val="Comment Text Char"/>
    <w:basedOn w:val="DefaultParagraphFont"/>
    <w:link w:val="CommentText"/>
    <w:uiPriority w:val="99"/>
    <w:rsid w:val="004531D9"/>
    <w:rPr>
      <w:rFonts w:ascii="Times New Roman" w:hAnsi="Times New Roman"/>
      <w:kern w:val="0"/>
      <w:sz w:val="20"/>
      <w:szCs w:val="20"/>
      <w14:ligatures w14:val="none"/>
    </w:rPr>
  </w:style>
  <w:style w:type="paragraph" w:styleId="ListParagraph">
    <w:name w:val="List Paragraph"/>
    <w:basedOn w:val="Normal"/>
    <w:uiPriority w:val="34"/>
    <w:qFormat/>
    <w:rsid w:val="004531D9"/>
    <w:pPr>
      <w:spacing w:after="176" w:line="240" w:lineRule="atLeast"/>
      <w:ind w:left="720"/>
      <w:contextualSpacing/>
    </w:pPr>
    <w:rPr>
      <w:rFonts w:ascii="Montserrat Light" w:eastAsia="Times New Roman" w:hAnsi="Montserrat Light" w:cs="Times New Roman"/>
      <w:color w:val="000000"/>
      <w:sz w:val="18"/>
      <w:lang w:eastAsia="en-AU"/>
    </w:rPr>
  </w:style>
  <w:style w:type="paragraph" w:styleId="Revision">
    <w:name w:val="Revision"/>
    <w:hidden/>
    <w:uiPriority w:val="99"/>
    <w:semiHidden/>
    <w:rsid w:val="00D20E88"/>
    <w:pPr>
      <w:spacing w:after="0" w:line="240" w:lineRule="auto"/>
    </w:pPr>
    <w:rPr>
      <w:rFonts w:ascii="Times New Roman" w:hAnsi="Times New Roman"/>
      <w:kern w:val="0"/>
      <w:szCs w:val="20"/>
      <w14:ligatures w14:val="none"/>
    </w:rPr>
  </w:style>
  <w:style w:type="character" w:styleId="CommentReference">
    <w:name w:val="annotation reference"/>
    <w:basedOn w:val="DefaultParagraphFont"/>
    <w:uiPriority w:val="99"/>
    <w:semiHidden/>
    <w:unhideWhenUsed/>
    <w:rsid w:val="00D20E88"/>
    <w:rPr>
      <w:sz w:val="16"/>
      <w:szCs w:val="16"/>
    </w:rPr>
  </w:style>
  <w:style w:type="paragraph" w:styleId="CommentSubject">
    <w:name w:val="annotation subject"/>
    <w:basedOn w:val="CommentText"/>
    <w:next w:val="CommentText"/>
    <w:link w:val="CommentSubjectChar"/>
    <w:uiPriority w:val="99"/>
    <w:semiHidden/>
    <w:unhideWhenUsed/>
    <w:rsid w:val="00D20E88"/>
    <w:rPr>
      <w:b/>
      <w:bCs/>
    </w:rPr>
  </w:style>
  <w:style w:type="character" w:customStyle="1" w:styleId="CommentSubjectChar">
    <w:name w:val="Comment Subject Char"/>
    <w:basedOn w:val="CommentTextChar"/>
    <w:link w:val="CommentSubject"/>
    <w:uiPriority w:val="99"/>
    <w:semiHidden/>
    <w:rsid w:val="00D20E88"/>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Amanda</dc:creator>
  <cp:keywords/>
  <dc:description/>
  <cp:lastModifiedBy>Sakala, Ashley</cp:lastModifiedBy>
  <cp:revision>7</cp:revision>
  <dcterms:created xsi:type="dcterms:W3CDTF">2024-01-30T02:04:00Z</dcterms:created>
  <dcterms:modified xsi:type="dcterms:W3CDTF">2024-02-07T00:46:00Z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2024-01-30T03:48:33Z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93989988-11e0-414f-9fa1-4c4bf037d557</vt:lpwstr>
  </property>
  <property fmtid="{D5CDD505-2E9C-101B-9397-08002B2CF9AE}" pid="8" name="MSIP_Label_116cf7cf-4bad-475a-a557-f71d08d59046_ContentBits">
    <vt:lpwstr>0</vt:lpwstr>
  </property>
</Properties>
</file>