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6544" w14:textId="77777777" w:rsidR="00A3071A" w:rsidRPr="001E4E73" w:rsidRDefault="00F743FC" w:rsidP="003D040D">
      <w:pPr>
        <w:pStyle w:val="NormalBold"/>
        <w:spacing w:after="0"/>
        <w:jc w:val="center"/>
        <w:rPr>
          <w:rFonts w:ascii="Times New Roman" w:hAnsi="Times New Roman" w:cs="Times New Roman"/>
          <w:szCs w:val="24"/>
          <w:u w:val="single"/>
        </w:rPr>
      </w:pPr>
      <w:r w:rsidRPr="001E4E73">
        <w:rPr>
          <w:rFonts w:ascii="Times New Roman" w:hAnsi="Times New Roman" w:cs="Times New Roman"/>
          <w:szCs w:val="24"/>
          <w:u w:val="single"/>
        </w:rPr>
        <w:t>EXPLANATORY STATEMENT</w:t>
      </w:r>
    </w:p>
    <w:p w14:paraId="7FF0A489" w14:textId="77777777" w:rsidR="003D040D" w:rsidRPr="001E4E73" w:rsidRDefault="003D040D" w:rsidP="003D040D">
      <w:pPr>
        <w:pStyle w:val="NormalBold"/>
        <w:spacing w:after="0"/>
        <w:jc w:val="center"/>
        <w:rPr>
          <w:rFonts w:ascii="Times New Roman" w:hAnsi="Times New Roman" w:cs="Times New Roman"/>
          <w:b w:val="0"/>
          <w:szCs w:val="24"/>
        </w:rPr>
      </w:pPr>
    </w:p>
    <w:p w14:paraId="4DE51CDF" w14:textId="77777777" w:rsidR="00A3071A" w:rsidRPr="001E4E73" w:rsidRDefault="00A3071A" w:rsidP="00893F5B">
      <w:pPr>
        <w:spacing w:after="0"/>
        <w:jc w:val="center"/>
        <w:rPr>
          <w:rFonts w:ascii="Times New Roman" w:hAnsi="Times New Roman"/>
        </w:rPr>
      </w:pPr>
      <w:r w:rsidRPr="001E4E73">
        <w:rPr>
          <w:rFonts w:ascii="Times New Roman" w:hAnsi="Times New Roman"/>
        </w:rPr>
        <w:t xml:space="preserve">Issued by the Authority of the Minister for </w:t>
      </w:r>
      <w:r w:rsidR="005171FA" w:rsidRPr="001E4E73">
        <w:rPr>
          <w:rFonts w:ascii="Times New Roman" w:hAnsi="Times New Roman"/>
        </w:rPr>
        <w:t>Communications</w:t>
      </w:r>
    </w:p>
    <w:p w14:paraId="69918694" w14:textId="77777777" w:rsidR="00893F5B" w:rsidRPr="001E4E73" w:rsidRDefault="00893F5B" w:rsidP="00893F5B">
      <w:pPr>
        <w:spacing w:after="0"/>
        <w:jc w:val="center"/>
        <w:rPr>
          <w:rFonts w:ascii="Times New Roman" w:hAnsi="Times New Roman"/>
        </w:rPr>
      </w:pPr>
    </w:p>
    <w:p w14:paraId="0EE4C75E" w14:textId="77777777" w:rsidR="00A3071A" w:rsidRPr="001E4E73" w:rsidRDefault="00A3071A" w:rsidP="00893F5B">
      <w:pPr>
        <w:spacing w:after="0"/>
        <w:jc w:val="center"/>
        <w:rPr>
          <w:rFonts w:ascii="Times New Roman" w:hAnsi="Times New Roman"/>
          <w:i/>
        </w:rPr>
      </w:pPr>
      <w:r w:rsidRPr="001E4E73">
        <w:rPr>
          <w:rFonts w:ascii="Times New Roman" w:hAnsi="Times New Roman"/>
          <w:i/>
        </w:rPr>
        <w:t>Telecommunications Act 1997</w:t>
      </w:r>
    </w:p>
    <w:p w14:paraId="79C10E54" w14:textId="77777777" w:rsidR="00893F5B" w:rsidRPr="001E4E73" w:rsidRDefault="00893F5B" w:rsidP="00893F5B">
      <w:pPr>
        <w:spacing w:after="0"/>
        <w:jc w:val="center"/>
        <w:rPr>
          <w:rFonts w:ascii="Times New Roman" w:hAnsi="Times New Roman"/>
        </w:rPr>
      </w:pPr>
    </w:p>
    <w:p w14:paraId="7E4F9AA8" w14:textId="77777777" w:rsidR="005171FA" w:rsidRPr="001E4E73" w:rsidRDefault="005171FA" w:rsidP="00893F5B">
      <w:pPr>
        <w:spacing w:after="0" w:line="300" w:lineRule="atLeast"/>
        <w:jc w:val="center"/>
        <w:rPr>
          <w:rFonts w:ascii="Times New Roman" w:hAnsi="Times New Roman"/>
          <w:b/>
          <w:i/>
        </w:rPr>
      </w:pPr>
      <w:r w:rsidRPr="001E4E73">
        <w:rPr>
          <w:rFonts w:ascii="Times New Roman" w:hAnsi="Times New Roman"/>
          <w:b/>
          <w:i/>
        </w:rPr>
        <w:t>Telecommunications (Statutory Infrastructure Providers—Circumstances for Exceptions to Connection and Supply Obligations) Determination 202</w:t>
      </w:r>
      <w:r w:rsidR="003D040D" w:rsidRPr="001E4E73">
        <w:rPr>
          <w:rFonts w:ascii="Times New Roman" w:hAnsi="Times New Roman"/>
          <w:b/>
          <w:i/>
        </w:rPr>
        <w:t>4</w:t>
      </w:r>
    </w:p>
    <w:p w14:paraId="4EED1FD5" w14:textId="77777777" w:rsidR="00893F5B" w:rsidRPr="001E4E73" w:rsidRDefault="00893F5B" w:rsidP="00893F5B">
      <w:pPr>
        <w:spacing w:after="0" w:line="276" w:lineRule="auto"/>
        <w:rPr>
          <w:rFonts w:ascii="Times New Roman" w:hAnsi="Times New Roman"/>
        </w:rPr>
      </w:pPr>
    </w:p>
    <w:p w14:paraId="79EB1181" w14:textId="77777777" w:rsidR="00A3071A" w:rsidRPr="001E4E73" w:rsidRDefault="00A3071A" w:rsidP="00B224EA">
      <w:pPr>
        <w:spacing w:line="276" w:lineRule="auto"/>
        <w:rPr>
          <w:rFonts w:ascii="Times New Roman" w:hAnsi="Times New Roman"/>
          <w:b/>
        </w:rPr>
      </w:pPr>
      <w:r w:rsidRPr="001E4E73">
        <w:rPr>
          <w:rFonts w:ascii="Times New Roman" w:hAnsi="Times New Roman"/>
          <w:b/>
        </w:rPr>
        <w:t>Authority</w:t>
      </w:r>
    </w:p>
    <w:p w14:paraId="4A0B8DFB" w14:textId="03C474C5" w:rsidR="005171FA" w:rsidRPr="001E4E73" w:rsidRDefault="00C62171" w:rsidP="00893F5B">
      <w:pPr>
        <w:spacing w:after="0" w:line="276" w:lineRule="auto"/>
        <w:rPr>
          <w:rFonts w:ascii="Times New Roman" w:hAnsi="Times New Roman"/>
        </w:rPr>
      </w:pPr>
      <w:r w:rsidRPr="001E4E73">
        <w:rPr>
          <w:rFonts w:ascii="Times New Roman" w:hAnsi="Times New Roman"/>
        </w:rPr>
        <w:t xml:space="preserve">This instrument is made under </w:t>
      </w:r>
      <w:r w:rsidR="00EF2458" w:rsidRPr="001E4E73">
        <w:rPr>
          <w:rFonts w:ascii="Times New Roman" w:hAnsi="Times New Roman"/>
        </w:rPr>
        <w:t>sub</w:t>
      </w:r>
      <w:r w:rsidR="005171FA" w:rsidRPr="001E4E73">
        <w:rPr>
          <w:rFonts w:ascii="Times New Roman" w:hAnsi="Times New Roman"/>
        </w:rPr>
        <w:t>sections 360</w:t>
      </w:r>
      <w:proofErr w:type="gramStart"/>
      <w:r w:rsidR="005171FA" w:rsidRPr="001E4E73">
        <w:rPr>
          <w:rFonts w:ascii="Times New Roman" w:hAnsi="Times New Roman"/>
        </w:rPr>
        <w:t>P(</w:t>
      </w:r>
      <w:proofErr w:type="gramEnd"/>
      <w:r w:rsidR="005171FA" w:rsidRPr="001E4E73">
        <w:rPr>
          <w:rFonts w:ascii="Times New Roman" w:hAnsi="Times New Roman"/>
        </w:rPr>
        <w:t xml:space="preserve">3) and 360Q(4) of the </w:t>
      </w:r>
      <w:r w:rsidR="005171FA" w:rsidRPr="001E4E73">
        <w:rPr>
          <w:rFonts w:ascii="Times New Roman" w:hAnsi="Times New Roman"/>
          <w:i/>
        </w:rPr>
        <w:t xml:space="preserve">Telecommunications Act 1997 </w:t>
      </w:r>
      <w:r w:rsidR="005171FA" w:rsidRPr="001E4E73">
        <w:rPr>
          <w:rFonts w:ascii="Times New Roman" w:hAnsi="Times New Roman"/>
        </w:rPr>
        <w:t>(the Act)</w:t>
      </w:r>
      <w:r w:rsidR="0044558E" w:rsidRPr="001E4E73">
        <w:rPr>
          <w:rFonts w:ascii="Times New Roman" w:hAnsi="Times New Roman"/>
        </w:rPr>
        <w:t>.</w:t>
      </w:r>
    </w:p>
    <w:p w14:paraId="3852A36F" w14:textId="77777777" w:rsidR="00893F5B" w:rsidRPr="001E4E73" w:rsidRDefault="00893F5B" w:rsidP="00893F5B">
      <w:pPr>
        <w:spacing w:after="0" w:line="276" w:lineRule="auto"/>
        <w:rPr>
          <w:rFonts w:ascii="Times New Roman" w:hAnsi="Times New Roman"/>
        </w:rPr>
      </w:pPr>
    </w:p>
    <w:p w14:paraId="5554BD94" w14:textId="77777777" w:rsidR="005171FA" w:rsidRPr="001E4E73" w:rsidRDefault="005171FA" w:rsidP="00B224EA">
      <w:pPr>
        <w:spacing w:line="276" w:lineRule="auto"/>
        <w:rPr>
          <w:rFonts w:ascii="Times New Roman" w:hAnsi="Times New Roman"/>
          <w:b/>
        </w:rPr>
      </w:pPr>
      <w:r w:rsidRPr="001E4E73">
        <w:rPr>
          <w:rFonts w:ascii="Times New Roman" w:hAnsi="Times New Roman"/>
          <w:b/>
        </w:rPr>
        <w:t>Purpose</w:t>
      </w:r>
    </w:p>
    <w:p w14:paraId="7D3F070F" w14:textId="77777777" w:rsidR="001C2661" w:rsidRPr="001E4E73" w:rsidRDefault="00770F4C" w:rsidP="00F025B9">
      <w:pPr>
        <w:spacing w:before="100" w:beforeAutospacing="1" w:after="0" w:line="276" w:lineRule="auto"/>
        <w:rPr>
          <w:rFonts w:ascii="Times New Roman" w:hAnsi="Times New Roman"/>
        </w:rPr>
      </w:pPr>
      <w:r w:rsidRPr="001E4E73">
        <w:rPr>
          <w:rFonts w:ascii="Times New Roman" w:hAnsi="Times New Roman"/>
        </w:rPr>
        <w:t xml:space="preserve">Under the Act, </w:t>
      </w:r>
      <w:r w:rsidR="00C62171" w:rsidRPr="001E4E73">
        <w:rPr>
          <w:rFonts w:ascii="Times New Roman" w:hAnsi="Times New Roman"/>
        </w:rPr>
        <w:t>statutory infrastructure providers (</w:t>
      </w:r>
      <w:r w:rsidRPr="001E4E73">
        <w:rPr>
          <w:rFonts w:ascii="Times New Roman" w:hAnsi="Times New Roman"/>
        </w:rPr>
        <w:t>SIPs</w:t>
      </w:r>
      <w:r w:rsidR="00C62171" w:rsidRPr="001E4E73">
        <w:rPr>
          <w:rFonts w:ascii="Times New Roman" w:hAnsi="Times New Roman"/>
        </w:rPr>
        <w:t>)</w:t>
      </w:r>
      <w:r w:rsidR="00177CD2" w:rsidRPr="001E4E73">
        <w:rPr>
          <w:rFonts w:ascii="Times New Roman" w:hAnsi="Times New Roman"/>
        </w:rPr>
        <w:t xml:space="preserve"> </w:t>
      </w:r>
      <w:r w:rsidR="00F54984" w:rsidRPr="001E4E73">
        <w:rPr>
          <w:rFonts w:ascii="Times New Roman" w:hAnsi="Times New Roman"/>
        </w:rPr>
        <w:t>have</w:t>
      </w:r>
      <w:r w:rsidR="00177CD2" w:rsidRPr="001E4E73">
        <w:rPr>
          <w:rFonts w:ascii="Times New Roman" w:hAnsi="Times New Roman"/>
        </w:rPr>
        <w:t xml:space="preserve"> default </w:t>
      </w:r>
      <w:r w:rsidRPr="001E4E73">
        <w:rPr>
          <w:rFonts w:ascii="Times New Roman" w:hAnsi="Times New Roman"/>
        </w:rPr>
        <w:t>obligation</w:t>
      </w:r>
      <w:r w:rsidR="00EF0BA4" w:rsidRPr="001E4E73">
        <w:rPr>
          <w:rFonts w:ascii="Times New Roman" w:hAnsi="Times New Roman"/>
        </w:rPr>
        <w:t>s</w:t>
      </w:r>
      <w:r w:rsidRPr="001E4E73">
        <w:rPr>
          <w:rFonts w:ascii="Times New Roman" w:hAnsi="Times New Roman"/>
        </w:rPr>
        <w:t xml:space="preserve"> to connect</w:t>
      </w:r>
      <w:r w:rsidR="006C5868" w:rsidRPr="001E4E73">
        <w:rPr>
          <w:rFonts w:ascii="Times New Roman" w:hAnsi="Times New Roman"/>
        </w:rPr>
        <w:t xml:space="preserve"> premises</w:t>
      </w:r>
      <w:r w:rsidRPr="001E4E73">
        <w:rPr>
          <w:rFonts w:ascii="Times New Roman" w:hAnsi="Times New Roman"/>
        </w:rPr>
        <w:t xml:space="preserve"> and supply wholesale services to premises upon </w:t>
      </w:r>
      <w:r w:rsidR="00EF0BA4" w:rsidRPr="001E4E73">
        <w:rPr>
          <w:rFonts w:ascii="Times New Roman" w:hAnsi="Times New Roman"/>
        </w:rPr>
        <w:t xml:space="preserve">reasonable </w:t>
      </w:r>
      <w:r w:rsidRPr="001E4E73">
        <w:rPr>
          <w:rFonts w:ascii="Times New Roman" w:hAnsi="Times New Roman"/>
        </w:rPr>
        <w:t xml:space="preserve">request from a </w:t>
      </w:r>
      <w:r w:rsidR="00C62171" w:rsidRPr="001E4E73">
        <w:rPr>
          <w:rFonts w:ascii="Times New Roman" w:hAnsi="Times New Roman"/>
        </w:rPr>
        <w:t>carriage service provider (</w:t>
      </w:r>
      <w:r w:rsidRPr="001E4E73">
        <w:rPr>
          <w:rFonts w:ascii="Times New Roman" w:hAnsi="Times New Roman"/>
        </w:rPr>
        <w:t>CSP</w:t>
      </w:r>
      <w:r w:rsidR="00C62171" w:rsidRPr="001E4E73">
        <w:rPr>
          <w:rFonts w:ascii="Times New Roman" w:hAnsi="Times New Roman"/>
        </w:rPr>
        <w:t>)</w:t>
      </w:r>
      <w:r w:rsidRPr="001E4E73">
        <w:rPr>
          <w:rFonts w:ascii="Times New Roman" w:hAnsi="Times New Roman"/>
        </w:rPr>
        <w:t xml:space="preserve"> on behalf of an end</w:t>
      </w:r>
      <w:r w:rsidR="006C5868" w:rsidRPr="001E4E73">
        <w:rPr>
          <w:rFonts w:ascii="Times New Roman" w:hAnsi="Times New Roman"/>
        </w:rPr>
        <w:t>-</w:t>
      </w:r>
      <w:r w:rsidRPr="001E4E73">
        <w:rPr>
          <w:rFonts w:ascii="Times New Roman" w:hAnsi="Times New Roman"/>
        </w:rPr>
        <w:t>user.</w:t>
      </w:r>
      <w:r w:rsidR="00C4783D" w:rsidRPr="001E4E73">
        <w:rPr>
          <w:rFonts w:ascii="Times New Roman" w:hAnsi="Times New Roman"/>
        </w:rPr>
        <w:t xml:space="preserve"> </w:t>
      </w:r>
      <w:r w:rsidR="005171FA" w:rsidRPr="001E4E73">
        <w:rPr>
          <w:rFonts w:ascii="Times New Roman" w:hAnsi="Times New Roman"/>
        </w:rPr>
        <w:t xml:space="preserve">The </w:t>
      </w:r>
      <w:r w:rsidR="00897BC7" w:rsidRPr="001E4E73">
        <w:rPr>
          <w:rFonts w:ascii="Times New Roman" w:hAnsi="Times New Roman"/>
          <w:i/>
        </w:rPr>
        <w:t>Telecommunications (Statutory Infrastructure Providers—Circumstances for Exceptions to Connection and Supply Obligations) Determination 202</w:t>
      </w:r>
      <w:r w:rsidR="00E06543" w:rsidRPr="001E4E73">
        <w:rPr>
          <w:rFonts w:ascii="Times New Roman" w:hAnsi="Times New Roman"/>
          <w:i/>
        </w:rPr>
        <w:t>4</w:t>
      </w:r>
      <w:r w:rsidR="00897BC7" w:rsidRPr="001E4E73">
        <w:rPr>
          <w:rFonts w:ascii="Times New Roman" w:hAnsi="Times New Roman"/>
          <w:i/>
        </w:rPr>
        <w:t xml:space="preserve"> </w:t>
      </w:r>
      <w:r w:rsidR="00897BC7" w:rsidRPr="001E4E73">
        <w:rPr>
          <w:rFonts w:ascii="Times New Roman" w:hAnsi="Times New Roman"/>
        </w:rPr>
        <w:t>(the</w:t>
      </w:r>
      <w:r w:rsidR="0068261C" w:rsidRPr="001E4E73">
        <w:rPr>
          <w:rFonts w:ascii="Times New Roman" w:hAnsi="Times New Roman"/>
        </w:rPr>
        <w:t xml:space="preserve"> </w:t>
      </w:r>
      <w:r w:rsidR="002B2876" w:rsidRPr="001E4E73">
        <w:rPr>
          <w:rFonts w:ascii="Times New Roman" w:hAnsi="Times New Roman"/>
        </w:rPr>
        <w:t>Instrument</w:t>
      </w:r>
      <w:r w:rsidR="00897BC7" w:rsidRPr="001E4E73">
        <w:rPr>
          <w:rFonts w:ascii="Times New Roman" w:hAnsi="Times New Roman"/>
        </w:rPr>
        <w:t xml:space="preserve">) </w:t>
      </w:r>
      <w:r w:rsidR="00C4783D" w:rsidRPr="001E4E73">
        <w:rPr>
          <w:rFonts w:ascii="Times New Roman" w:hAnsi="Times New Roman"/>
        </w:rPr>
        <w:t>support</w:t>
      </w:r>
      <w:r w:rsidR="00B75BC2" w:rsidRPr="001E4E73">
        <w:rPr>
          <w:rFonts w:ascii="Times New Roman" w:hAnsi="Times New Roman"/>
        </w:rPr>
        <w:t>s</w:t>
      </w:r>
      <w:r w:rsidR="00C4783D" w:rsidRPr="001E4E73">
        <w:rPr>
          <w:rFonts w:ascii="Times New Roman" w:hAnsi="Times New Roman"/>
        </w:rPr>
        <w:t xml:space="preserve"> this</w:t>
      </w:r>
      <w:r w:rsidR="002A7D24" w:rsidRPr="001E4E73">
        <w:rPr>
          <w:rFonts w:ascii="Times New Roman" w:hAnsi="Times New Roman"/>
        </w:rPr>
        <w:t xml:space="preserve"> </w:t>
      </w:r>
      <w:r w:rsidR="00177CD2" w:rsidRPr="001E4E73">
        <w:rPr>
          <w:rFonts w:ascii="Times New Roman" w:hAnsi="Times New Roman"/>
        </w:rPr>
        <w:t>core</w:t>
      </w:r>
      <w:r w:rsidR="002A7D24" w:rsidRPr="001E4E73">
        <w:rPr>
          <w:rFonts w:ascii="Times New Roman" w:hAnsi="Times New Roman"/>
        </w:rPr>
        <w:t xml:space="preserve"> obligation on SIPs</w:t>
      </w:r>
      <w:r w:rsidR="00C4783D" w:rsidRPr="001E4E73">
        <w:rPr>
          <w:rFonts w:ascii="Times New Roman" w:hAnsi="Times New Roman"/>
        </w:rPr>
        <w:t xml:space="preserve">, </w:t>
      </w:r>
      <w:r w:rsidR="002A7D24" w:rsidRPr="001E4E73">
        <w:rPr>
          <w:rFonts w:ascii="Times New Roman" w:hAnsi="Times New Roman"/>
        </w:rPr>
        <w:t xml:space="preserve">but </w:t>
      </w:r>
      <w:r w:rsidRPr="001E4E73">
        <w:rPr>
          <w:rFonts w:ascii="Times New Roman" w:hAnsi="Times New Roman"/>
        </w:rPr>
        <w:t>set</w:t>
      </w:r>
      <w:r w:rsidR="00C4783D" w:rsidRPr="001E4E73">
        <w:rPr>
          <w:rFonts w:ascii="Times New Roman" w:hAnsi="Times New Roman"/>
        </w:rPr>
        <w:t>s</w:t>
      </w:r>
      <w:r w:rsidRPr="001E4E73">
        <w:rPr>
          <w:rFonts w:ascii="Times New Roman" w:hAnsi="Times New Roman"/>
        </w:rPr>
        <w:t xml:space="preserve"> out </w:t>
      </w:r>
      <w:r w:rsidR="006C5868" w:rsidRPr="001E4E73">
        <w:rPr>
          <w:rFonts w:ascii="Times New Roman" w:hAnsi="Times New Roman"/>
        </w:rPr>
        <w:t>certain</w:t>
      </w:r>
      <w:r w:rsidRPr="001E4E73">
        <w:rPr>
          <w:rFonts w:ascii="Times New Roman" w:hAnsi="Times New Roman"/>
        </w:rPr>
        <w:t xml:space="preserve"> circumstances where a SIP </w:t>
      </w:r>
      <w:r w:rsidR="002A7D24" w:rsidRPr="001E4E73">
        <w:rPr>
          <w:rFonts w:ascii="Times New Roman" w:hAnsi="Times New Roman"/>
        </w:rPr>
        <w:t xml:space="preserve">may be </w:t>
      </w:r>
      <w:r w:rsidR="00177CD2" w:rsidRPr="001E4E73">
        <w:rPr>
          <w:rFonts w:ascii="Times New Roman" w:hAnsi="Times New Roman"/>
        </w:rPr>
        <w:t xml:space="preserve">reasonably </w:t>
      </w:r>
      <w:r w:rsidRPr="001E4E73">
        <w:rPr>
          <w:rFonts w:ascii="Times New Roman" w:hAnsi="Times New Roman"/>
        </w:rPr>
        <w:t>ex</w:t>
      </w:r>
      <w:r w:rsidR="00EF0BA4" w:rsidRPr="001E4E73">
        <w:rPr>
          <w:rFonts w:ascii="Times New Roman" w:hAnsi="Times New Roman"/>
        </w:rPr>
        <w:t>ce</w:t>
      </w:r>
      <w:r w:rsidRPr="001E4E73">
        <w:rPr>
          <w:rFonts w:ascii="Times New Roman" w:hAnsi="Times New Roman"/>
        </w:rPr>
        <w:t xml:space="preserve">pted from </w:t>
      </w:r>
      <w:r w:rsidR="00EF0BA4" w:rsidRPr="001E4E73">
        <w:rPr>
          <w:rFonts w:ascii="Times New Roman" w:hAnsi="Times New Roman"/>
        </w:rPr>
        <w:t xml:space="preserve">these </w:t>
      </w:r>
      <w:r w:rsidR="002A7D24" w:rsidRPr="001E4E73">
        <w:rPr>
          <w:rFonts w:ascii="Times New Roman" w:hAnsi="Times New Roman"/>
        </w:rPr>
        <w:t>obligation</w:t>
      </w:r>
      <w:r w:rsidR="00EF0BA4" w:rsidRPr="001E4E73">
        <w:rPr>
          <w:rFonts w:ascii="Times New Roman" w:hAnsi="Times New Roman"/>
        </w:rPr>
        <w:t>s</w:t>
      </w:r>
      <w:r w:rsidR="00583898" w:rsidRPr="001E4E73">
        <w:rPr>
          <w:rFonts w:ascii="Times New Roman" w:hAnsi="Times New Roman"/>
        </w:rPr>
        <w:t>.</w:t>
      </w:r>
    </w:p>
    <w:p w14:paraId="2EF9B1F4" w14:textId="628F9637" w:rsidR="009E0ECA" w:rsidRPr="001E4E73" w:rsidRDefault="009E0ECA" w:rsidP="001C2661">
      <w:pPr>
        <w:spacing w:after="0" w:line="276" w:lineRule="auto"/>
        <w:rPr>
          <w:rFonts w:ascii="Times New Roman" w:hAnsi="Times New Roman"/>
        </w:rPr>
      </w:pPr>
    </w:p>
    <w:p w14:paraId="3C2CB9A7" w14:textId="77777777" w:rsidR="00776F02" w:rsidRPr="001E4E73" w:rsidRDefault="00776F02" w:rsidP="001C2661">
      <w:pPr>
        <w:spacing w:after="0" w:line="276" w:lineRule="auto"/>
        <w:rPr>
          <w:rFonts w:ascii="Times New Roman" w:hAnsi="Times New Roman"/>
        </w:rPr>
      </w:pPr>
      <w:r w:rsidRPr="001E4E73">
        <w:rPr>
          <w:rFonts w:ascii="Times New Roman" w:hAnsi="Times New Roman"/>
        </w:rPr>
        <w:t xml:space="preserve">The </w:t>
      </w:r>
      <w:r w:rsidR="00C62171" w:rsidRPr="001E4E73">
        <w:rPr>
          <w:rFonts w:ascii="Times New Roman" w:hAnsi="Times New Roman"/>
        </w:rPr>
        <w:t xml:space="preserve">Instrument </w:t>
      </w:r>
      <w:r w:rsidRPr="001E4E73">
        <w:rPr>
          <w:rFonts w:ascii="Times New Roman" w:hAnsi="Times New Roman"/>
        </w:rPr>
        <w:t xml:space="preserve">re-makes, with some added exceptions, the </w:t>
      </w:r>
      <w:r w:rsidRPr="001E4E73">
        <w:rPr>
          <w:rFonts w:ascii="Times New Roman" w:hAnsi="Times New Roman"/>
          <w:i/>
        </w:rPr>
        <w:t xml:space="preserve">Telecommunications (Statutory Infrastructure Providers—Circumstances for Exceptions to Connection and Supply Obligations) Determination 2021 </w:t>
      </w:r>
      <w:r w:rsidRPr="001E4E73">
        <w:rPr>
          <w:rFonts w:ascii="Times New Roman" w:hAnsi="Times New Roman"/>
        </w:rPr>
        <w:t>(the 2021 instrument). The 2021 instrument will self-repeal on 28 May 2024, and given that this Instrument is intended to commence before that date, the Instrument repeals the 2021 instrument.</w:t>
      </w:r>
    </w:p>
    <w:p w14:paraId="1ADB179C" w14:textId="77777777" w:rsidR="00F025B9" w:rsidRPr="001E4E73" w:rsidRDefault="00F025B9" w:rsidP="00F025B9">
      <w:pPr>
        <w:spacing w:after="0" w:line="276" w:lineRule="auto"/>
        <w:rPr>
          <w:rFonts w:ascii="Times New Roman" w:hAnsi="Times New Roman"/>
        </w:rPr>
      </w:pPr>
    </w:p>
    <w:p w14:paraId="62256A47" w14:textId="77777777" w:rsidR="00583898" w:rsidRPr="001E4E73" w:rsidRDefault="009E0ECA" w:rsidP="00F025B9">
      <w:pPr>
        <w:spacing w:after="0" w:line="276" w:lineRule="auto"/>
        <w:rPr>
          <w:rFonts w:ascii="Times New Roman" w:hAnsi="Times New Roman"/>
        </w:rPr>
      </w:pPr>
      <w:r w:rsidRPr="001E4E73">
        <w:rPr>
          <w:rFonts w:ascii="Times New Roman" w:hAnsi="Times New Roman"/>
        </w:rPr>
        <w:t xml:space="preserve">The primary objective </w:t>
      </w:r>
      <w:r w:rsidR="00177CD2" w:rsidRPr="001E4E73">
        <w:rPr>
          <w:rFonts w:ascii="Times New Roman" w:hAnsi="Times New Roman"/>
        </w:rPr>
        <w:t xml:space="preserve">of the Instrument </w:t>
      </w:r>
      <w:r w:rsidRPr="001E4E73">
        <w:rPr>
          <w:rFonts w:ascii="Times New Roman" w:hAnsi="Times New Roman"/>
        </w:rPr>
        <w:t xml:space="preserve">is to </w:t>
      </w:r>
      <w:r w:rsidR="00E62366" w:rsidRPr="001E4E73">
        <w:rPr>
          <w:rFonts w:ascii="Times New Roman" w:hAnsi="Times New Roman"/>
        </w:rPr>
        <w:t xml:space="preserve">provide </w:t>
      </w:r>
      <w:r w:rsidRPr="001E4E73">
        <w:rPr>
          <w:rFonts w:ascii="Times New Roman" w:hAnsi="Times New Roman"/>
        </w:rPr>
        <w:t xml:space="preserve">clarity and consistency </w:t>
      </w:r>
      <w:r w:rsidR="00E62366" w:rsidRPr="001E4E73">
        <w:rPr>
          <w:rFonts w:ascii="Times New Roman" w:hAnsi="Times New Roman"/>
        </w:rPr>
        <w:t>about the</w:t>
      </w:r>
      <w:r w:rsidRPr="001E4E73">
        <w:rPr>
          <w:rFonts w:ascii="Times New Roman" w:hAnsi="Times New Roman"/>
        </w:rPr>
        <w:t xml:space="preserve"> circumstances where SIPs </w:t>
      </w:r>
      <w:r w:rsidR="00EC113D" w:rsidRPr="001E4E73">
        <w:rPr>
          <w:rFonts w:ascii="Times New Roman" w:hAnsi="Times New Roman"/>
        </w:rPr>
        <w:t xml:space="preserve">are </w:t>
      </w:r>
      <w:r w:rsidRPr="001E4E73">
        <w:rPr>
          <w:rFonts w:ascii="Times New Roman" w:hAnsi="Times New Roman"/>
        </w:rPr>
        <w:t xml:space="preserve">not obliged to connect premises and/or supply wholesale services. The Instrument </w:t>
      </w:r>
      <w:r w:rsidR="00E06543" w:rsidRPr="001E4E73">
        <w:rPr>
          <w:rFonts w:ascii="Times New Roman" w:hAnsi="Times New Roman"/>
        </w:rPr>
        <w:t xml:space="preserve">applies </w:t>
      </w:r>
      <w:r w:rsidR="0032333B" w:rsidRPr="001E4E73">
        <w:rPr>
          <w:rFonts w:ascii="Times New Roman" w:hAnsi="Times New Roman"/>
        </w:rPr>
        <w:t>to</w:t>
      </w:r>
      <w:r w:rsidRPr="001E4E73">
        <w:rPr>
          <w:rFonts w:ascii="Times New Roman" w:hAnsi="Times New Roman"/>
        </w:rPr>
        <w:t xml:space="preserve"> all SIPs</w:t>
      </w:r>
      <w:r w:rsidR="00EF2458" w:rsidRPr="001E4E73">
        <w:rPr>
          <w:rFonts w:ascii="Times New Roman" w:hAnsi="Times New Roman"/>
        </w:rPr>
        <w:t xml:space="preserve"> in Australia</w:t>
      </w:r>
      <w:r w:rsidRPr="001E4E73">
        <w:rPr>
          <w:rFonts w:ascii="Times New Roman" w:hAnsi="Times New Roman"/>
        </w:rPr>
        <w:t xml:space="preserve"> and </w:t>
      </w:r>
      <w:r w:rsidR="0032333B" w:rsidRPr="001E4E73">
        <w:rPr>
          <w:rFonts w:ascii="Times New Roman" w:hAnsi="Times New Roman"/>
        </w:rPr>
        <w:t xml:space="preserve">is </w:t>
      </w:r>
      <w:r w:rsidRPr="001E4E73">
        <w:rPr>
          <w:rFonts w:ascii="Times New Roman" w:hAnsi="Times New Roman"/>
        </w:rPr>
        <w:t xml:space="preserve">in </w:t>
      </w:r>
      <w:r w:rsidR="0032333B" w:rsidRPr="001E4E73">
        <w:rPr>
          <w:rFonts w:ascii="Times New Roman" w:hAnsi="Times New Roman"/>
        </w:rPr>
        <w:t>accordance</w:t>
      </w:r>
      <w:r w:rsidRPr="001E4E73">
        <w:rPr>
          <w:rFonts w:ascii="Times New Roman" w:hAnsi="Times New Roman"/>
        </w:rPr>
        <w:t xml:space="preserve"> with reasonable community expectations about the connection and supply of services</w:t>
      </w:r>
      <w:r w:rsidR="00EF0BA4" w:rsidRPr="001E4E73">
        <w:rPr>
          <w:rFonts w:ascii="Times New Roman" w:hAnsi="Times New Roman"/>
        </w:rPr>
        <w:t>.</w:t>
      </w:r>
    </w:p>
    <w:p w14:paraId="506AFEE2" w14:textId="77777777" w:rsidR="00F025B9" w:rsidRPr="001E4E73" w:rsidRDefault="00F025B9" w:rsidP="00F025B9">
      <w:pPr>
        <w:spacing w:after="0" w:line="276" w:lineRule="auto"/>
        <w:rPr>
          <w:rFonts w:ascii="Times New Roman" w:hAnsi="Times New Roman"/>
        </w:rPr>
      </w:pPr>
    </w:p>
    <w:p w14:paraId="33C0FCD1" w14:textId="5AA96CFE" w:rsidR="00177889" w:rsidRPr="001E4E73" w:rsidRDefault="002F2C81" w:rsidP="00F025B9">
      <w:pPr>
        <w:spacing w:after="0" w:line="276" w:lineRule="auto"/>
        <w:rPr>
          <w:rFonts w:ascii="Times New Roman" w:hAnsi="Times New Roman"/>
        </w:rPr>
      </w:pPr>
      <w:r w:rsidRPr="001E4E73">
        <w:rPr>
          <w:rFonts w:ascii="Times New Roman" w:hAnsi="Times New Roman"/>
        </w:rPr>
        <w:t>W</w:t>
      </w:r>
      <w:r w:rsidR="00177889" w:rsidRPr="001E4E73">
        <w:rPr>
          <w:rFonts w:ascii="Times New Roman" w:hAnsi="Times New Roman"/>
        </w:rPr>
        <w:t>hen the statutory arrangements for the SIP regime were first developed and enacted, a range of practical issues</w:t>
      </w:r>
      <w:r w:rsidR="00207753" w:rsidRPr="001E4E73">
        <w:rPr>
          <w:rFonts w:ascii="Times New Roman" w:hAnsi="Times New Roman"/>
        </w:rPr>
        <w:t xml:space="preserve"> were identified that</w:t>
      </w:r>
      <w:r w:rsidR="00177889" w:rsidRPr="001E4E73">
        <w:rPr>
          <w:rFonts w:ascii="Times New Roman" w:hAnsi="Times New Roman"/>
        </w:rPr>
        <w:t xml:space="preserve"> SIPs</w:t>
      </w:r>
      <w:r w:rsidR="00207753" w:rsidRPr="001E4E73">
        <w:rPr>
          <w:rFonts w:ascii="Times New Roman" w:hAnsi="Times New Roman"/>
        </w:rPr>
        <w:t xml:space="preserve"> would need to manage</w:t>
      </w:r>
      <w:r w:rsidR="00177889" w:rsidRPr="001E4E73">
        <w:rPr>
          <w:rFonts w:ascii="Times New Roman" w:hAnsi="Times New Roman"/>
        </w:rPr>
        <w:t xml:space="preserve"> in fulfilling the broader statutory objectives of connecting and supplying services to individual premises. </w:t>
      </w:r>
      <w:r w:rsidR="00207753" w:rsidRPr="001E4E73">
        <w:rPr>
          <w:rFonts w:ascii="Times New Roman" w:hAnsi="Times New Roman"/>
        </w:rPr>
        <w:t xml:space="preserve">Due to the </w:t>
      </w:r>
      <w:r w:rsidR="00177889" w:rsidRPr="001E4E73">
        <w:rPr>
          <w:rFonts w:ascii="Times New Roman" w:hAnsi="Times New Roman"/>
        </w:rPr>
        <w:t xml:space="preserve">high level of detail required </w:t>
      </w:r>
      <w:r w:rsidR="00207753" w:rsidRPr="001E4E73">
        <w:rPr>
          <w:rFonts w:ascii="Times New Roman" w:hAnsi="Times New Roman"/>
        </w:rPr>
        <w:t>it was determined that</w:t>
      </w:r>
      <w:r w:rsidR="00177889" w:rsidRPr="001E4E73">
        <w:rPr>
          <w:rFonts w:ascii="Times New Roman" w:hAnsi="Times New Roman"/>
        </w:rPr>
        <w:t xml:space="preserve"> this was more appropriate for delegated rather than primary legislation.</w:t>
      </w:r>
    </w:p>
    <w:p w14:paraId="0DAFBA2A" w14:textId="77777777" w:rsidR="00F025B9" w:rsidRPr="001E4E73" w:rsidRDefault="00F025B9" w:rsidP="00F025B9">
      <w:pPr>
        <w:spacing w:after="0" w:line="276" w:lineRule="auto"/>
        <w:rPr>
          <w:rFonts w:ascii="Times New Roman" w:hAnsi="Times New Roman"/>
        </w:rPr>
      </w:pPr>
    </w:p>
    <w:p w14:paraId="2985A7BD" w14:textId="77777777" w:rsidR="00B665D3" w:rsidRPr="001E4E73" w:rsidRDefault="00B665D3" w:rsidP="00F025B9">
      <w:pPr>
        <w:spacing w:after="0" w:line="276" w:lineRule="auto"/>
        <w:rPr>
          <w:rFonts w:ascii="Times New Roman" w:hAnsi="Times New Roman"/>
          <w:color w:val="000000" w:themeColor="text1"/>
        </w:rPr>
      </w:pPr>
      <w:r w:rsidRPr="001E4E73">
        <w:rPr>
          <w:rFonts w:ascii="Times New Roman" w:hAnsi="Times New Roman"/>
          <w:color w:val="000000" w:themeColor="text1"/>
        </w:rPr>
        <w:lastRenderedPageBreak/>
        <w:t>Th</w:t>
      </w:r>
      <w:r w:rsidR="00BC5C8B" w:rsidRPr="001E4E73">
        <w:rPr>
          <w:rFonts w:ascii="Times New Roman" w:hAnsi="Times New Roman"/>
          <w:color w:val="000000" w:themeColor="text1"/>
        </w:rPr>
        <w:t>is</w:t>
      </w:r>
      <w:r w:rsidRPr="001E4E73">
        <w:rPr>
          <w:rFonts w:ascii="Times New Roman" w:hAnsi="Times New Roman"/>
          <w:color w:val="000000" w:themeColor="text1"/>
        </w:rPr>
        <w:t xml:space="preserve"> approach is consistent with guidance in the </w:t>
      </w:r>
      <w:r w:rsidRPr="001E4E73">
        <w:rPr>
          <w:rFonts w:ascii="Times New Roman" w:hAnsi="Times New Roman"/>
          <w:i/>
          <w:color w:val="000000" w:themeColor="text1"/>
        </w:rPr>
        <w:t>Legislation Handbook</w:t>
      </w:r>
      <w:r w:rsidRPr="001E4E73">
        <w:rPr>
          <w:rFonts w:ascii="Times New Roman" w:hAnsi="Times New Roman"/>
          <w:color w:val="000000" w:themeColor="text1"/>
        </w:rPr>
        <w:t xml:space="preserve"> issued by the Department of Prime Minister and Cabinet in February 2017. It states that ‘matters of detail and matters which may change frequently are best dealt with by subordinate legislation’.</w:t>
      </w:r>
      <w:r w:rsidRPr="001E4E73">
        <w:rPr>
          <w:rStyle w:val="FootnoteReference"/>
          <w:rFonts w:ascii="Times New Roman" w:hAnsi="Times New Roman"/>
          <w:color w:val="000000" w:themeColor="text1"/>
        </w:rPr>
        <w:footnoteReference w:id="2"/>
      </w:r>
    </w:p>
    <w:p w14:paraId="0780C645" w14:textId="29A61676" w:rsidR="00177889" w:rsidRPr="001E4E73" w:rsidRDefault="003E74FE" w:rsidP="00F025B9">
      <w:pPr>
        <w:spacing w:after="0" w:line="276" w:lineRule="auto"/>
        <w:rPr>
          <w:rFonts w:ascii="Times New Roman" w:hAnsi="Times New Roman"/>
        </w:rPr>
      </w:pPr>
      <w:r w:rsidRPr="001E4E73">
        <w:rPr>
          <w:rFonts w:ascii="Times New Roman" w:hAnsi="Times New Roman"/>
        </w:rPr>
        <w:t xml:space="preserve">By </w:t>
      </w:r>
      <w:r w:rsidR="00BC5C8B" w:rsidRPr="001E4E73">
        <w:rPr>
          <w:rFonts w:ascii="Times New Roman" w:hAnsi="Times New Roman"/>
        </w:rPr>
        <w:t>describing the specific</w:t>
      </w:r>
      <w:r w:rsidRPr="001E4E73">
        <w:rPr>
          <w:rFonts w:ascii="Times New Roman" w:hAnsi="Times New Roman"/>
        </w:rPr>
        <w:t xml:space="preserve"> circumstances under which SIPs are </w:t>
      </w:r>
      <w:r w:rsidR="00EF0BA4" w:rsidRPr="001E4E73">
        <w:rPr>
          <w:rFonts w:ascii="Times New Roman" w:hAnsi="Times New Roman"/>
        </w:rPr>
        <w:t xml:space="preserve">excepted </w:t>
      </w:r>
      <w:r w:rsidRPr="001E4E73">
        <w:rPr>
          <w:rFonts w:ascii="Times New Roman" w:hAnsi="Times New Roman"/>
        </w:rPr>
        <w:t>from obligation</w:t>
      </w:r>
      <w:r w:rsidR="00EF0BA4" w:rsidRPr="001E4E73">
        <w:rPr>
          <w:rFonts w:ascii="Times New Roman" w:hAnsi="Times New Roman"/>
        </w:rPr>
        <w:t>s</w:t>
      </w:r>
      <w:r w:rsidRPr="001E4E73">
        <w:rPr>
          <w:rFonts w:ascii="Times New Roman" w:hAnsi="Times New Roman"/>
        </w:rPr>
        <w:t xml:space="preserve"> to connect and supply services, the Instrument provides c</w:t>
      </w:r>
      <w:r w:rsidR="008A5FF1" w:rsidRPr="001E4E73">
        <w:rPr>
          <w:rFonts w:ascii="Times New Roman" w:hAnsi="Times New Roman"/>
        </w:rPr>
        <w:t xml:space="preserve">larity </w:t>
      </w:r>
      <w:r w:rsidR="005D1F44" w:rsidRPr="001E4E73">
        <w:rPr>
          <w:rFonts w:ascii="Times New Roman" w:hAnsi="Times New Roman"/>
        </w:rPr>
        <w:t xml:space="preserve">for stakeholders </w:t>
      </w:r>
      <w:r w:rsidR="00BC5C8B" w:rsidRPr="001E4E73">
        <w:rPr>
          <w:rFonts w:ascii="Times New Roman" w:hAnsi="Times New Roman"/>
        </w:rPr>
        <w:t>in the industry and community</w:t>
      </w:r>
      <w:r w:rsidR="005D1F44" w:rsidRPr="001E4E73">
        <w:rPr>
          <w:rFonts w:ascii="Times New Roman" w:hAnsi="Times New Roman"/>
        </w:rPr>
        <w:t xml:space="preserve">, including </w:t>
      </w:r>
      <w:r w:rsidRPr="001E4E73">
        <w:rPr>
          <w:rFonts w:ascii="Times New Roman" w:hAnsi="Times New Roman"/>
        </w:rPr>
        <w:t>CSPs and end-users</w:t>
      </w:r>
      <w:r w:rsidR="00B75BC2" w:rsidRPr="001E4E73">
        <w:rPr>
          <w:rFonts w:ascii="Times New Roman" w:hAnsi="Times New Roman"/>
        </w:rPr>
        <w:t>.</w:t>
      </w:r>
    </w:p>
    <w:p w14:paraId="7242F8EA" w14:textId="77777777" w:rsidR="00F025B9" w:rsidRPr="001E4E73" w:rsidRDefault="00F025B9" w:rsidP="00F025B9">
      <w:pPr>
        <w:spacing w:after="0" w:line="276" w:lineRule="auto"/>
        <w:rPr>
          <w:rFonts w:ascii="Times New Roman" w:hAnsi="Times New Roman"/>
        </w:rPr>
      </w:pPr>
    </w:p>
    <w:p w14:paraId="0E541D86" w14:textId="77777777" w:rsidR="009E0ECA" w:rsidRPr="001E4E73" w:rsidRDefault="00503852" w:rsidP="00442700">
      <w:pPr>
        <w:spacing w:after="0" w:line="276" w:lineRule="auto"/>
        <w:rPr>
          <w:rFonts w:ascii="Times New Roman" w:hAnsi="Times New Roman"/>
        </w:rPr>
      </w:pPr>
      <w:r w:rsidRPr="001E4E73">
        <w:rPr>
          <w:rFonts w:ascii="Times New Roman" w:hAnsi="Times New Roman"/>
        </w:rPr>
        <w:t>T</w:t>
      </w:r>
      <w:r w:rsidR="00A413E5" w:rsidRPr="001E4E73">
        <w:rPr>
          <w:rFonts w:ascii="Times New Roman" w:hAnsi="Times New Roman"/>
        </w:rPr>
        <w:t xml:space="preserve">he overall SIP framework is designed to promote </w:t>
      </w:r>
      <w:r w:rsidR="00483BC9" w:rsidRPr="001E4E73">
        <w:rPr>
          <w:rFonts w:ascii="Times New Roman" w:hAnsi="Times New Roman"/>
        </w:rPr>
        <w:t xml:space="preserve">the </w:t>
      </w:r>
      <w:r w:rsidR="00A413E5" w:rsidRPr="001E4E73">
        <w:rPr>
          <w:rFonts w:ascii="Times New Roman" w:hAnsi="Times New Roman"/>
        </w:rPr>
        <w:t xml:space="preserve">connection and supply of </w:t>
      </w:r>
      <w:r w:rsidR="00483BC9" w:rsidRPr="001E4E73">
        <w:rPr>
          <w:rFonts w:ascii="Times New Roman" w:hAnsi="Times New Roman"/>
        </w:rPr>
        <w:t xml:space="preserve">broadband </w:t>
      </w:r>
      <w:r w:rsidR="00A413E5" w:rsidRPr="001E4E73">
        <w:rPr>
          <w:rFonts w:ascii="Times New Roman" w:hAnsi="Times New Roman"/>
        </w:rPr>
        <w:t xml:space="preserve">services to premises in Australia. As a general principle, SIPs are expected to </w:t>
      </w:r>
      <w:r w:rsidRPr="001E4E73">
        <w:rPr>
          <w:rFonts w:ascii="Times New Roman" w:hAnsi="Times New Roman"/>
        </w:rPr>
        <w:t xml:space="preserve">take all reasonable steps to facilitate </w:t>
      </w:r>
      <w:r w:rsidR="00A413E5" w:rsidRPr="001E4E73">
        <w:rPr>
          <w:rFonts w:ascii="Times New Roman" w:hAnsi="Times New Roman"/>
        </w:rPr>
        <w:t xml:space="preserve">requests received </w:t>
      </w:r>
      <w:r w:rsidR="00720B36" w:rsidRPr="001E4E73">
        <w:rPr>
          <w:rFonts w:ascii="Times New Roman" w:hAnsi="Times New Roman"/>
        </w:rPr>
        <w:t xml:space="preserve">from </w:t>
      </w:r>
      <w:r w:rsidR="00A413E5" w:rsidRPr="001E4E73">
        <w:rPr>
          <w:rFonts w:ascii="Times New Roman" w:hAnsi="Times New Roman"/>
        </w:rPr>
        <w:t>CSPs on behalf of end</w:t>
      </w:r>
      <w:r w:rsidR="00CB28EC" w:rsidRPr="001E4E73">
        <w:rPr>
          <w:rFonts w:ascii="Times New Roman" w:hAnsi="Times New Roman"/>
        </w:rPr>
        <w:t>-</w:t>
      </w:r>
      <w:r w:rsidR="00A413E5" w:rsidRPr="001E4E73">
        <w:rPr>
          <w:rFonts w:ascii="Times New Roman" w:hAnsi="Times New Roman"/>
        </w:rPr>
        <w:t>users.</w:t>
      </w:r>
      <w:r w:rsidRPr="001E4E73">
        <w:rPr>
          <w:rFonts w:ascii="Times New Roman" w:hAnsi="Times New Roman"/>
        </w:rPr>
        <w:t xml:space="preserve"> </w:t>
      </w:r>
      <w:r w:rsidR="00B75BC2" w:rsidRPr="001E4E73">
        <w:rPr>
          <w:rFonts w:ascii="Times New Roman" w:hAnsi="Times New Roman"/>
        </w:rPr>
        <w:t>Accordingly, the Instrument only set</w:t>
      </w:r>
      <w:r w:rsidRPr="001E4E73">
        <w:rPr>
          <w:rFonts w:ascii="Times New Roman" w:hAnsi="Times New Roman"/>
        </w:rPr>
        <w:t>s</w:t>
      </w:r>
      <w:r w:rsidR="00B75BC2" w:rsidRPr="001E4E73">
        <w:rPr>
          <w:rFonts w:ascii="Times New Roman" w:hAnsi="Times New Roman"/>
        </w:rPr>
        <w:t xml:space="preserve"> out limited and distinct circumstances where exceptions to </w:t>
      </w:r>
      <w:r w:rsidRPr="001E4E73">
        <w:rPr>
          <w:rFonts w:ascii="Times New Roman" w:hAnsi="Times New Roman"/>
        </w:rPr>
        <w:t xml:space="preserve">a </w:t>
      </w:r>
      <w:r w:rsidR="00B75BC2" w:rsidRPr="001E4E73">
        <w:rPr>
          <w:rFonts w:ascii="Times New Roman" w:hAnsi="Times New Roman"/>
        </w:rPr>
        <w:t>SIP</w:t>
      </w:r>
      <w:r w:rsidRPr="001E4E73">
        <w:rPr>
          <w:rFonts w:ascii="Times New Roman" w:hAnsi="Times New Roman"/>
        </w:rPr>
        <w:t>’s</w:t>
      </w:r>
      <w:r w:rsidR="00B75BC2" w:rsidRPr="001E4E73">
        <w:rPr>
          <w:rFonts w:ascii="Times New Roman" w:hAnsi="Times New Roman"/>
        </w:rPr>
        <w:t xml:space="preserve"> connection and supply obligations might a</w:t>
      </w:r>
      <w:r w:rsidR="002B58D2" w:rsidRPr="001E4E73">
        <w:rPr>
          <w:rFonts w:ascii="Times New Roman" w:hAnsi="Times New Roman"/>
        </w:rPr>
        <w:t>pply</w:t>
      </w:r>
      <w:r w:rsidR="00B75BC2" w:rsidRPr="001E4E73">
        <w:rPr>
          <w:rFonts w:ascii="Times New Roman" w:hAnsi="Times New Roman"/>
        </w:rPr>
        <w:t xml:space="preserve">. </w:t>
      </w:r>
      <w:r w:rsidR="004034E0" w:rsidRPr="001E4E73">
        <w:rPr>
          <w:rFonts w:ascii="Times New Roman" w:hAnsi="Times New Roman"/>
        </w:rPr>
        <w:t xml:space="preserve">This is an acknowledgment that fulfilling these obligations depends on </w:t>
      </w:r>
      <w:r w:rsidR="00A413E5" w:rsidRPr="001E4E73">
        <w:rPr>
          <w:rFonts w:ascii="Times New Roman" w:hAnsi="Times New Roman"/>
        </w:rPr>
        <w:t>CSPs and end-users</w:t>
      </w:r>
      <w:r w:rsidR="00E32F64" w:rsidRPr="001E4E73">
        <w:rPr>
          <w:rFonts w:ascii="Times New Roman" w:hAnsi="Times New Roman"/>
        </w:rPr>
        <w:t xml:space="preserve"> </w:t>
      </w:r>
      <w:r w:rsidR="00C56AA6" w:rsidRPr="001E4E73">
        <w:rPr>
          <w:rFonts w:ascii="Times New Roman" w:hAnsi="Times New Roman"/>
        </w:rPr>
        <w:t>cooperat</w:t>
      </w:r>
      <w:r w:rsidR="004034E0" w:rsidRPr="001E4E73">
        <w:rPr>
          <w:rFonts w:ascii="Times New Roman" w:hAnsi="Times New Roman"/>
        </w:rPr>
        <w:t>ing</w:t>
      </w:r>
      <w:r w:rsidR="00B75BC2" w:rsidRPr="001E4E73">
        <w:rPr>
          <w:rFonts w:ascii="Times New Roman" w:hAnsi="Times New Roman"/>
        </w:rPr>
        <w:t xml:space="preserve"> </w:t>
      </w:r>
      <w:r w:rsidR="00C56AA6" w:rsidRPr="001E4E73">
        <w:rPr>
          <w:rFonts w:ascii="Times New Roman" w:hAnsi="Times New Roman"/>
        </w:rPr>
        <w:t>with SIPs</w:t>
      </w:r>
      <w:r w:rsidR="005F20D4" w:rsidRPr="001E4E73">
        <w:rPr>
          <w:rFonts w:ascii="Times New Roman" w:hAnsi="Times New Roman"/>
        </w:rPr>
        <w:t xml:space="preserve"> </w:t>
      </w:r>
      <w:r w:rsidR="00E32F64" w:rsidRPr="001E4E73">
        <w:rPr>
          <w:rFonts w:ascii="Times New Roman" w:hAnsi="Times New Roman"/>
        </w:rPr>
        <w:t>and follow</w:t>
      </w:r>
      <w:r w:rsidR="004034E0" w:rsidRPr="001E4E73">
        <w:rPr>
          <w:rFonts w:ascii="Times New Roman" w:hAnsi="Times New Roman"/>
        </w:rPr>
        <w:t>ing</w:t>
      </w:r>
      <w:r w:rsidR="00E32F64" w:rsidRPr="001E4E73">
        <w:rPr>
          <w:rFonts w:ascii="Times New Roman" w:hAnsi="Times New Roman"/>
        </w:rPr>
        <w:t xml:space="preserve"> </w:t>
      </w:r>
      <w:r w:rsidR="004034E0" w:rsidRPr="001E4E73">
        <w:rPr>
          <w:rFonts w:ascii="Times New Roman" w:hAnsi="Times New Roman"/>
        </w:rPr>
        <w:t xml:space="preserve">reasonable </w:t>
      </w:r>
      <w:r w:rsidR="00E32F64" w:rsidRPr="001E4E73">
        <w:rPr>
          <w:rFonts w:ascii="Times New Roman" w:hAnsi="Times New Roman"/>
        </w:rPr>
        <w:t>processes</w:t>
      </w:r>
      <w:r w:rsidR="004034E0" w:rsidRPr="001E4E73">
        <w:rPr>
          <w:rFonts w:ascii="Times New Roman" w:hAnsi="Times New Roman"/>
        </w:rPr>
        <w:t xml:space="preserve">, otherwise </w:t>
      </w:r>
      <w:r w:rsidR="005F20D4" w:rsidRPr="001E4E73">
        <w:rPr>
          <w:rFonts w:ascii="Times New Roman" w:hAnsi="Times New Roman"/>
        </w:rPr>
        <w:t>connection and supply of services</w:t>
      </w:r>
      <w:r w:rsidR="004034E0" w:rsidRPr="001E4E73">
        <w:rPr>
          <w:rFonts w:ascii="Times New Roman" w:hAnsi="Times New Roman"/>
        </w:rPr>
        <w:t xml:space="preserve"> may not be feasible</w:t>
      </w:r>
      <w:r w:rsidR="00B75BC2" w:rsidRPr="001E4E73">
        <w:rPr>
          <w:rFonts w:ascii="Times New Roman" w:hAnsi="Times New Roman"/>
        </w:rPr>
        <w:t>.</w:t>
      </w:r>
    </w:p>
    <w:p w14:paraId="4BFD628A" w14:textId="77777777" w:rsidR="004034E0" w:rsidRPr="001E4E73" w:rsidRDefault="004034E0" w:rsidP="00442700">
      <w:pPr>
        <w:spacing w:after="0" w:line="276" w:lineRule="auto"/>
        <w:rPr>
          <w:rFonts w:ascii="Times New Roman" w:hAnsi="Times New Roman"/>
        </w:rPr>
      </w:pPr>
    </w:p>
    <w:p w14:paraId="52BA1F33" w14:textId="77777777" w:rsidR="00A413E5" w:rsidRPr="001E4E73" w:rsidRDefault="00090411" w:rsidP="004034E0">
      <w:pPr>
        <w:spacing w:after="0" w:line="276" w:lineRule="auto"/>
        <w:rPr>
          <w:rFonts w:ascii="Times New Roman" w:hAnsi="Times New Roman"/>
        </w:rPr>
      </w:pPr>
      <w:r w:rsidRPr="001E4E73">
        <w:rPr>
          <w:rFonts w:ascii="Times New Roman" w:hAnsi="Times New Roman"/>
        </w:rPr>
        <w:t>T</w:t>
      </w:r>
      <w:r w:rsidR="00A413E5" w:rsidRPr="001E4E73">
        <w:rPr>
          <w:rFonts w:ascii="Times New Roman" w:hAnsi="Times New Roman"/>
        </w:rPr>
        <w:t>he exceptions with</w:t>
      </w:r>
      <w:r w:rsidR="0064280F" w:rsidRPr="001E4E73">
        <w:rPr>
          <w:rFonts w:ascii="Times New Roman" w:hAnsi="Times New Roman"/>
        </w:rPr>
        <w:t>in</w:t>
      </w:r>
      <w:r w:rsidR="00A413E5" w:rsidRPr="001E4E73">
        <w:rPr>
          <w:rFonts w:ascii="Times New Roman" w:hAnsi="Times New Roman"/>
        </w:rPr>
        <w:t xml:space="preserve"> the Instrument are intended to be relied upon by a SIP when there are no reasonable steps that could be </w:t>
      </w:r>
      <w:r w:rsidR="00AD6358" w:rsidRPr="001E4E73">
        <w:rPr>
          <w:rFonts w:ascii="Times New Roman" w:hAnsi="Times New Roman"/>
        </w:rPr>
        <w:t xml:space="preserve">otherwise </w:t>
      </w:r>
      <w:r w:rsidR="00A413E5" w:rsidRPr="001E4E73">
        <w:rPr>
          <w:rFonts w:ascii="Times New Roman" w:hAnsi="Times New Roman"/>
        </w:rPr>
        <w:t xml:space="preserve">taken to rectify </w:t>
      </w:r>
      <w:r w:rsidR="00720B36" w:rsidRPr="001E4E73">
        <w:rPr>
          <w:rFonts w:ascii="Times New Roman" w:hAnsi="Times New Roman"/>
        </w:rPr>
        <w:t xml:space="preserve">an </w:t>
      </w:r>
      <w:r w:rsidR="00A413E5" w:rsidRPr="001E4E73">
        <w:rPr>
          <w:rFonts w:ascii="Times New Roman" w:hAnsi="Times New Roman"/>
        </w:rPr>
        <w:t xml:space="preserve">issue that is preventing connection or supply, or that </w:t>
      </w:r>
      <w:r w:rsidR="00AD6358" w:rsidRPr="001E4E73">
        <w:rPr>
          <w:rFonts w:ascii="Times New Roman" w:hAnsi="Times New Roman"/>
        </w:rPr>
        <w:t xml:space="preserve">such </w:t>
      </w:r>
      <w:r w:rsidR="00A413E5" w:rsidRPr="001E4E73">
        <w:rPr>
          <w:rFonts w:ascii="Times New Roman" w:hAnsi="Times New Roman"/>
        </w:rPr>
        <w:t xml:space="preserve">efforts to resolve such issues have been </w:t>
      </w:r>
      <w:r w:rsidR="00720B36" w:rsidRPr="001E4E73">
        <w:rPr>
          <w:rFonts w:ascii="Times New Roman" w:hAnsi="Times New Roman"/>
        </w:rPr>
        <w:t>un</w:t>
      </w:r>
      <w:r w:rsidR="00A413E5" w:rsidRPr="001E4E73">
        <w:rPr>
          <w:rFonts w:ascii="Times New Roman" w:hAnsi="Times New Roman"/>
        </w:rPr>
        <w:t>successful.</w:t>
      </w:r>
    </w:p>
    <w:p w14:paraId="494BC3EA" w14:textId="77777777" w:rsidR="00442700" w:rsidRPr="001E4E73" w:rsidRDefault="00442700" w:rsidP="00442700">
      <w:pPr>
        <w:spacing w:after="0" w:line="276" w:lineRule="auto"/>
        <w:rPr>
          <w:rFonts w:ascii="Times New Roman" w:hAnsi="Times New Roman"/>
        </w:rPr>
      </w:pPr>
    </w:p>
    <w:p w14:paraId="7AA7C06C" w14:textId="77777777" w:rsidR="0050566C" w:rsidRPr="001E4E73" w:rsidRDefault="0050566C" w:rsidP="00442700">
      <w:pPr>
        <w:spacing w:after="0" w:line="276" w:lineRule="auto"/>
        <w:rPr>
          <w:rFonts w:ascii="Times New Roman" w:hAnsi="Times New Roman"/>
        </w:rPr>
      </w:pPr>
      <w:r w:rsidRPr="001E4E73">
        <w:rPr>
          <w:rFonts w:ascii="Times New Roman" w:hAnsi="Times New Roman"/>
        </w:rPr>
        <w:t>Subsection 360</w:t>
      </w:r>
      <w:proofErr w:type="gramStart"/>
      <w:r w:rsidRPr="001E4E73">
        <w:rPr>
          <w:rFonts w:ascii="Times New Roman" w:hAnsi="Times New Roman"/>
        </w:rPr>
        <w:t>P(</w:t>
      </w:r>
      <w:proofErr w:type="gramEnd"/>
      <w:r w:rsidRPr="001E4E73">
        <w:rPr>
          <w:rFonts w:ascii="Times New Roman" w:hAnsi="Times New Roman"/>
        </w:rPr>
        <w:t xml:space="preserve">12) of the Act sets out obligations on a SIP if it refuses a request from a CSP to connect particular premises. It must give written notice of the refusal to the CSP within </w:t>
      </w:r>
      <w:r w:rsidR="00D91AE9" w:rsidRPr="001E4E73">
        <w:rPr>
          <w:rFonts w:ascii="Times New Roman" w:hAnsi="Times New Roman"/>
        </w:rPr>
        <w:t>5</w:t>
      </w:r>
      <w:r w:rsidRPr="001E4E73">
        <w:rPr>
          <w:rFonts w:ascii="Times New Roman" w:hAnsi="Times New Roman"/>
        </w:rPr>
        <w:t xml:space="preserve"> business days of the decision to refuse. In turn, if a CSP receives this notice, it must give a copy of the notice to the end-user within </w:t>
      </w:r>
      <w:r w:rsidR="00FD266F" w:rsidRPr="001E4E73">
        <w:rPr>
          <w:rFonts w:ascii="Times New Roman" w:hAnsi="Times New Roman"/>
        </w:rPr>
        <w:t>5</w:t>
      </w:r>
      <w:r w:rsidRPr="001E4E73">
        <w:rPr>
          <w:rFonts w:ascii="Times New Roman" w:hAnsi="Times New Roman"/>
        </w:rPr>
        <w:t xml:space="preserve"> business days after receiving the notice. This provides a mechanism for end-users to have visibility when a connection request is refused, and on what grounds. </w:t>
      </w:r>
      <w:r w:rsidR="00FD266F" w:rsidRPr="001E4E73">
        <w:rPr>
          <w:rFonts w:ascii="Times New Roman" w:hAnsi="Times New Roman"/>
        </w:rPr>
        <w:t>If the end-user or CSP wishes to dispute the refusal, t</w:t>
      </w:r>
      <w:r w:rsidRPr="001E4E73">
        <w:rPr>
          <w:rFonts w:ascii="Times New Roman" w:hAnsi="Times New Roman"/>
        </w:rPr>
        <w:t>he</w:t>
      </w:r>
      <w:r w:rsidR="00FD266F" w:rsidRPr="001E4E73">
        <w:rPr>
          <w:rFonts w:ascii="Times New Roman" w:hAnsi="Times New Roman"/>
        </w:rPr>
        <w:t>y</w:t>
      </w:r>
      <w:r w:rsidRPr="001E4E73">
        <w:rPr>
          <w:rFonts w:ascii="Times New Roman" w:hAnsi="Times New Roman"/>
        </w:rPr>
        <w:t xml:space="preserve"> </w:t>
      </w:r>
      <w:r w:rsidR="00FD266F" w:rsidRPr="001E4E73">
        <w:rPr>
          <w:rFonts w:ascii="Times New Roman" w:hAnsi="Times New Roman"/>
        </w:rPr>
        <w:t>have the option of</w:t>
      </w:r>
      <w:r w:rsidRPr="001E4E73">
        <w:rPr>
          <w:rFonts w:ascii="Times New Roman" w:hAnsi="Times New Roman"/>
        </w:rPr>
        <w:t xml:space="preserve"> provid</w:t>
      </w:r>
      <w:r w:rsidR="00FD266F" w:rsidRPr="001E4E73">
        <w:rPr>
          <w:rFonts w:ascii="Times New Roman" w:hAnsi="Times New Roman"/>
        </w:rPr>
        <w:t>ing</w:t>
      </w:r>
      <w:r w:rsidRPr="001E4E73">
        <w:rPr>
          <w:rFonts w:ascii="Times New Roman" w:hAnsi="Times New Roman"/>
        </w:rPr>
        <w:t xml:space="preserve"> th</w:t>
      </w:r>
      <w:r w:rsidR="00FD266F" w:rsidRPr="001E4E73">
        <w:rPr>
          <w:rFonts w:ascii="Times New Roman" w:hAnsi="Times New Roman"/>
        </w:rPr>
        <w:t>is</w:t>
      </w:r>
      <w:r w:rsidRPr="001E4E73">
        <w:rPr>
          <w:rFonts w:ascii="Times New Roman" w:hAnsi="Times New Roman"/>
        </w:rPr>
        <w:t xml:space="preserve"> notice to</w:t>
      </w:r>
      <w:r w:rsidR="00FD266F" w:rsidRPr="001E4E73">
        <w:rPr>
          <w:rFonts w:ascii="Times New Roman" w:hAnsi="Times New Roman"/>
        </w:rPr>
        <w:t xml:space="preserve"> regulatory bodies such as</w:t>
      </w:r>
      <w:r w:rsidRPr="001E4E73">
        <w:rPr>
          <w:rFonts w:ascii="Times New Roman" w:hAnsi="Times New Roman"/>
        </w:rPr>
        <w:t xml:space="preserve"> the ACMA or the TIO.</w:t>
      </w:r>
    </w:p>
    <w:p w14:paraId="108DD5F7" w14:textId="77777777" w:rsidR="000108A2" w:rsidRPr="001E4E73" w:rsidRDefault="000108A2" w:rsidP="00442700">
      <w:pPr>
        <w:spacing w:after="0" w:line="276" w:lineRule="auto"/>
        <w:rPr>
          <w:rFonts w:ascii="Times New Roman" w:hAnsi="Times New Roman"/>
        </w:rPr>
      </w:pPr>
    </w:p>
    <w:p w14:paraId="2C561968" w14:textId="77777777" w:rsidR="003D10F2" w:rsidRPr="001E4E73" w:rsidRDefault="003D10F2" w:rsidP="00442700">
      <w:pPr>
        <w:spacing w:after="0" w:line="276" w:lineRule="auto"/>
        <w:rPr>
          <w:rFonts w:ascii="Times New Roman" w:hAnsi="Times New Roman"/>
        </w:rPr>
      </w:pPr>
      <w:r w:rsidRPr="001E4E73">
        <w:rPr>
          <w:rFonts w:ascii="Times New Roman" w:hAnsi="Times New Roman"/>
        </w:rPr>
        <w:t xml:space="preserve">The Telecommunications Legislation Amendment (Enhancing Consumer Safeguards and Other Measures) Bill 2023, if passed by the Parliament, </w:t>
      </w:r>
      <w:r w:rsidR="00BA66FE" w:rsidRPr="001E4E73">
        <w:rPr>
          <w:rFonts w:ascii="Times New Roman" w:hAnsi="Times New Roman"/>
        </w:rPr>
        <w:t xml:space="preserve">will </w:t>
      </w:r>
      <w:r w:rsidRPr="001E4E73">
        <w:rPr>
          <w:rFonts w:ascii="Times New Roman" w:hAnsi="Times New Roman"/>
        </w:rPr>
        <w:t>replicate the 360</w:t>
      </w:r>
      <w:proofErr w:type="gramStart"/>
      <w:r w:rsidRPr="001E4E73">
        <w:rPr>
          <w:rFonts w:ascii="Times New Roman" w:hAnsi="Times New Roman"/>
        </w:rPr>
        <w:t>P(</w:t>
      </w:r>
      <w:proofErr w:type="gramEnd"/>
      <w:r w:rsidRPr="001E4E73">
        <w:rPr>
          <w:rFonts w:ascii="Times New Roman" w:hAnsi="Times New Roman"/>
        </w:rPr>
        <w:t>12) notification requirements for circumstances where a SIP refuses to supply a service under subsection 360Q of the Act.</w:t>
      </w:r>
    </w:p>
    <w:p w14:paraId="7E1978DA" w14:textId="77777777" w:rsidR="00442700" w:rsidRPr="001E4E73" w:rsidRDefault="00442700" w:rsidP="00442700">
      <w:pPr>
        <w:spacing w:after="0" w:line="276" w:lineRule="auto"/>
        <w:rPr>
          <w:rFonts w:ascii="Times New Roman" w:hAnsi="Times New Roman"/>
        </w:rPr>
      </w:pPr>
    </w:p>
    <w:p w14:paraId="323E4DBD" w14:textId="63B87326" w:rsidR="009E487C" w:rsidRPr="001E4E73" w:rsidRDefault="00786E6D" w:rsidP="00442700">
      <w:pPr>
        <w:spacing w:after="0" w:line="276" w:lineRule="auto"/>
        <w:rPr>
          <w:rFonts w:ascii="Times New Roman" w:hAnsi="Times New Roman"/>
        </w:rPr>
      </w:pPr>
      <w:r w:rsidRPr="001E4E73">
        <w:rPr>
          <w:rFonts w:ascii="Times New Roman" w:hAnsi="Times New Roman"/>
        </w:rPr>
        <w:t>Separately, the SIP framework also enables the Minister</w:t>
      </w:r>
      <w:r w:rsidR="00BA641E" w:rsidRPr="001E4E73">
        <w:rPr>
          <w:rFonts w:ascii="Times New Roman" w:hAnsi="Times New Roman"/>
        </w:rPr>
        <w:t xml:space="preserve"> for Communications</w:t>
      </w:r>
      <w:r w:rsidRPr="001E4E73">
        <w:rPr>
          <w:rFonts w:ascii="Times New Roman" w:hAnsi="Times New Roman"/>
        </w:rPr>
        <w:t xml:space="preserve"> to make standards, rules and benchmarks that SIPs must comply with in relation to their operations. </w:t>
      </w:r>
      <w:r w:rsidR="00776F02" w:rsidRPr="001E4E73">
        <w:rPr>
          <w:rFonts w:ascii="Times New Roman" w:hAnsi="Times New Roman"/>
        </w:rPr>
        <w:t xml:space="preserve">Such requirements could include connection and/or supply timeframes on SIPs. </w:t>
      </w:r>
      <w:r w:rsidRPr="001E4E73">
        <w:rPr>
          <w:rFonts w:ascii="Times New Roman" w:hAnsi="Times New Roman"/>
        </w:rPr>
        <w:t xml:space="preserve">If such standards, rules and benchmarks </w:t>
      </w:r>
      <w:r w:rsidR="00776F02" w:rsidRPr="001E4E73">
        <w:rPr>
          <w:rFonts w:ascii="Times New Roman" w:hAnsi="Times New Roman"/>
        </w:rPr>
        <w:t xml:space="preserve">were to be </w:t>
      </w:r>
      <w:r w:rsidR="0064280F" w:rsidRPr="001E4E73">
        <w:rPr>
          <w:rFonts w:ascii="Times New Roman" w:hAnsi="Times New Roman"/>
        </w:rPr>
        <w:t xml:space="preserve">made, they </w:t>
      </w:r>
      <w:r w:rsidR="009E487C" w:rsidRPr="001E4E73">
        <w:rPr>
          <w:rFonts w:ascii="Times New Roman" w:hAnsi="Times New Roman"/>
        </w:rPr>
        <w:t xml:space="preserve">may </w:t>
      </w:r>
      <w:r w:rsidRPr="001E4E73">
        <w:rPr>
          <w:rFonts w:ascii="Times New Roman" w:hAnsi="Times New Roman"/>
        </w:rPr>
        <w:t>be relev</w:t>
      </w:r>
      <w:r w:rsidR="009E487C" w:rsidRPr="001E4E73">
        <w:rPr>
          <w:rFonts w:ascii="Times New Roman" w:hAnsi="Times New Roman"/>
        </w:rPr>
        <w:t>a</w:t>
      </w:r>
      <w:r w:rsidRPr="001E4E73">
        <w:rPr>
          <w:rFonts w:ascii="Times New Roman" w:hAnsi="Times New Roman"/>
        </w:rPr>
        <w:t>nt</w:t>
      </w:r>
      <w:r w:rsidR="009E487C" w:rsidRPr="001E4E73">
        <w:rPr>
          <w:rFonts w:ascii="Times New Roman" w:hAnsi="Times New Roman"/>
        </w:rPr>
        <w:t xml:space="preserve"> to this Instrument</w:t>
      </w:r>
      <w:r w:rsidR="00776F02" w:rsidRPr="001E4E73">
        <w:rPr>
          <w:rFonts w:ascii="Times New Roman" w:hAnsi="Times New Roman"/>
        </w:rPr>
        <w:t>, noting that no such requirements have been imposed to date</w:t>
      </w:r>
      <w:r w:rsidR="009E487C" w:rsidRPr="001E4E73">
        <w:rPr>
          <w:rFonts w:ascii="Times New Roman" w:hAnsi="Times New Roman"/>
        </w:rPr>
        <w:t>.</w:t>
      </w:r>
    </w:p>
    <w:p w14:paraId="1B391FF5" w14:textId="77777777" w:rsidR="00442700" w:rsidRPr="001E4E73" w:rsidRDefault="00442700" w:rsidP="00442700">
      <w:pPr>
        <w:spacing w:after="0" w:line="276" w:lineRule="auto"/>
        <w:rPr>
          <w:rFonts w:ascii="Times New Roman" w:hAnsi="Times New Roman"/>
        </w:rPr>
      </w:pPr>
    </w:p>
    <w:p w14:paraId="798BBABD" w14:textId="77777777" w:rsidR="009765D7" w:rsidRPr="001E4E73" w:rsidRDefault="009765D7" w:rsidP="00442700">
      <w:pPr>
        <w:spacing w:after="0" w:line="276" w:lineRule="auto"/>
        <w:rPr>
          <w:rFonts w:ascii="Times New Roman" w:hAnsi="Times New Roman"/>
        </w:rPr>
      </w:pPr>
      <w:r w:rsidRPr="001E4E73">
        <w:rPr>
          <w:rFonts w:ascii="Times New Roman" w:hAnsi="Times New Roman"/>
        </w:rPr>
        <w:t xml:space="preserve">The Australian Communications and Media Authority (ACMA) is responsible for </w:t>
      </w:r>
      <w:r w:rsidR="00776F02" w:rsidRPr="001E4E73">
        <w:rPr>
          <w:rFonts w:ascii="Times New Roman" w:hAnsi="Times New Roman"/>
        </w:rPr>
        <w:t>enforcing SIPs’</w:t>
      </w:r>
      <w:r w:rsidRPr="001E4E73">
        <w:rPr>
          <w:rFonts w:ascii="Times New Roman" w:hAnsi="Times New Roman"/>
        </w:rPr>
        <w:t xml:space="preserve"> compliance with the </w:t>
      </w:r>
      <w:r w:rsidR="00776F02" w:rsidRPr="001E4E73">
        <w:rPr>
          <w:rFonts w:ascii="Times New Roman" w:hAnsi="Times New Roman"/>
        </w:rPr>
        <w:t>regime</w:t>
      </w:r>
      <w:r w:rsidRPr="001E4E73">
        <w:rPr>
          <w:rFonts w:ascii="Times New Roman" w:hAnsi="Times New Roman"/>
        </w:rPr>
        <w:t xml:space="preserve">, and maintains a public register of SIPs. The circumstances </w:t>
      </w:r>
      <w:r w:rsidRPr="001E4E73">
        <w:rPr>
          <w:rFonts w:ascii="Times New Roman" w:hAnsi="Times New Roman"/>
        </w:rPr>
        <w:lastRenderedPageBreak/>
        <w:t>in the Instrument will also provide clarity for the ACMA in its role as regulator of the SIP regime.</w:t>
      </w:r>
    </w:p>
    <w:p w14:paraId="0087E278" w14:textId="77777777" w:rsidR="00442700" w:rsidRPr="001E4E73" w:rsidRDefault="00442700" w:rsidP="00442700">
      <w:pPr>
        <w:spacing w:after="0" w:line="276" w:lineRule="auto"/>
        <w:rPr>
          <w:rFonts w:ascii="Times New Roman" w:hAnsi="Times New Roman"/>
        </w:rPr>
      </w:pPr>
    </w:p>
    <w:p w14:paraId="7807C82B" w14:textId="796AFC85" w:rsidR="002B2876" w:rsidRPr="001E4E73" w:rsidRDefault="002B2876" w:rsidP="00442700">
      <w:pPr>
        <w:spacing w:after="0" w:line="276" w:lineRule="auto"/>
        <w:rPr>
          <w:rFonts w:ascii="Times New Roman" w:hAnsi="Times New Roman"/>
        </w:rPr>
      </w:pPr>
      <w:r w:rsidRPr="001E4E73">
        <w:rPr>
          <w:rFonts w:ascii="Times New Roman" w:hAnsi="Times New Roman"/>
        </w:rPr>
        <w:t xml:space="preserve">The Instrument is a </w:t>
      </w:r>
      <w:r w:rsidR="008D5647" w:rsidRPr="001E4E73">
        <w:rPr>
          <w:rFonts w:ascii="Times New Roman" w:hAnsi="Times New Roman"/>
        </w:rPr>
        <w:t xml:space="preserve">disallowable legislative instrument </w:t>
      </w:r>
      <w:r w:rsidRPr="001E4E73">
        <w:rPr>
          <w:rFonts w:ascii="Times New Roman" w:hAnsi="Times New Roman"/>
        </w:rPr>
        <w:t xml:space="preserve">for the purposes of the </w:t>
      </w:r>
      <w:r w:rsidRPr="001E4E73">
        <w:rPr>
          <w:rFonts w:ascii="Times New Roman" w:hAnsi="Times New Roman"/>
          <w:i/>
        </w:rPr>
        <w:t>Legislation Act 2003</w:t>
      </w:r>
      <w:r w:rsidRPr="001E4E73">
        <w:rPr>
          <w:rFonts w:ascii="Times New Roman" w:hAnsi="Times New Roman"/>
        </w:rPr>
        <w:t>. The Instrument commences the day after it is registered.</w:t>
      </w:r>
    </w:p>
    <w:p w14:paraId="5D970AC3" w14:textId="77777777" w:rsidR="007A33E5" w:rsidRPr="001E4E73" w:rsidRDefault="007A33E5" w:rsidP="00442700">
      <w:pPr>
        <w:spacing w:after="0" w:line="276" w:lineRule="auto"/>
        <w:rPr>
          <w:rFonts w:ascii="Times New Roman" w:hAnsi="Times New Roman"/>
        </w:rPr>
      </w:pPr>
    </w:p>
    <w:p w14:paraId="0684CADD" w14:textId="6B97A891" w:rsidR="007E5E5A" w:rsidRPr="001E4E73" w:rsidRDefault="00177889" w:rsidP="00442700">
      <w:pPr>
        <w:spacing w:after="0" w:line="276" w:lineRule="auto"/>
        <w:rPr>
          <w:rFonts w:ascii="Times New Roman" w:hAnsi="Times New Roman"/>
          <w:color w:val="000000" w:themeColor="text1"/>
        </w:rPr>
      </w:pPr>
      <w:r w:rsidRPr="001E4E73">
        <w:rPr>
          <w:rFonts w:ascii="Times New Roman" w:eastAsia="Calibri" w:hAnsi="Times New Roman"/>
        </w:rPr>
        <w:t>A high level of detail on exceptions is required to sufficiently guide operational decisions by SIPs and to provide appropriate clarity to consumers</w:t>
      </w:r>
      <w:r w:rsidRPr="001E4E73">
        <w:rPr>
          <w:rFonts w:ascii="Times New Roman" w:hAnsi="Times New Roman"/>
        </w:rPr>
        <w:t xml:space="preserve">. While </w:t>
      </w:r>
      <w:r w:rsidRPr="001E4E73">
        <w:rPr>
          <w:rFonts w:ascii="Times New Roman" w:eastAsia="Calibri" w:hAnsi="Times New Roman"/>
        </w:rPr>
        <w:t xml:space="preserve">some exceptions may need to be ongoing features of the SIP regime, </w:t>
      </w:r>
      <w:r w:rsidR="00B91495" w:rsidRPr="001E4E73">
        <w:rPr>
          <w:rFonts w:ascii="Times New Roman" w:eastAsia="Calibri" w:hAnsi="Times New Roman"/>
        </w:rPr>
        <w:t>some</w:t>
      </w:r>
      <w:r w:rsidRPr="001E4E73">
        <w:rPr>
          <w:rFonts w:ascii="Times New Roman" w:eastAsia="Calibri" w:hAnsi="Times New Roman"/>
        </w:rPr>
        <w:t xml:space="preserve"> may also need to be modified over time given the range of factors affecting the provision of telecommunications services across Australia (for example</w:t>
      </w:r>
      <w:r w:rsidR="00413CB2" w:rsidRPr="001E4E73">
        <w:rPr>
          <w:rFonts w:ascii="Times New Roman" w:eastAsia="Calibri" w:hAnsi="Times New Roman"/>
        </w:rPr>
        <w:t>,</w:t>
      </w:r>
      <w:r w:rsidRPr="001E4E73">
        <w:rPr>
          <w:rFonts w:ascii="Times New Roman" w:eastAsia="Calibri" w:hAnsi="Times New Roman"/>
        </w:rPr>
        <w:t xml:space="preserve"> technological developments</w:t>
      </w:r>
      <w:r w:rsidR="00AF50A9" w:rsidRPr="001E4E73">
        <w:rPr>
          <w:rFonts w:ascii="Times New Roman" w:eastAsia="Calibri" w:hAnsi="Times New Roman"/>
        </w:rPr>
        <w:t xml:space="preserve">, </w:t>
      </w:r>
      <w:r w:rsidR="000C70E8" w:rsidRPr="001E4E73">
        <w:rPr>
          <w:rFonts w:ascii="Times New Roman" w:eastAsia="Calibri" w:hAnsi="Times New Roman"/>
        </w:rPr>
        <w:t>new</w:t>
      </w:r>
      <w:r w:rsidR="00AF50A9" w:rsidRPr="001E4E73">
        <w:rPr>
          <w:rFonts w:ascii="Times New Roman" w:eastAsia="Calibri" w:hAnsi="Times New Roman"/>
        </w:rPr>
        <w:t xml:space="preserve"> legislation</w:t>
      </w:r>
      <w:r w:rsidRPr="001E4E73">
        <w:rPr>
          <w:rFonts w:ascii="Times New Roman" w:eastAsia="Calibri" w:hAnsi="Times New Roman"/>
        </w:rPr>
        <w:t xml:space="preserve"> or </w:t>
      </w:r>
      <w:r w:rsidR="00C049E1" w:rsidRPr="001E4E73">
        <w:rPr>
          <w:rFonts w:ascii="Times New Roman" w:eastAsia="Calibri" w:hAnsi="Times New Roman"/>
        </w:rPr>
        <w:t>changing end-user needs</w:t>
      </w:r>
      <w:r w:rsidRPr="001E4E73">
        <w:rPr>
          <w:rFonts w:ascii="Times New Roman" w:eastAsia="Calibri" w:hAnsi="Times New Roman"/>
        </w:rPr>
        <w:t xml:space="preserve">). As </w:t>
      </w:r>
      <w:r w:rsidR="002F340C" w:rsidRPr="001E4E73">
        <w:rPr>
          <w:rFonts w:ascii="Times New Roman" w:eastAsia="Calibri" w:hAnsi="Times New Roman"/>
        </w:rPr>
        <w:t>stated</w:t>
      </w:r>
      <w:r w:rsidRPr="001E4E73">
        <w:rPr>
          <w:rFonts w:ascii="Times New Roman" w:eastAsia="Calibri" w:hAnsi="Times New Roman"/>
        </w:rPr>
        <w:t xml:space="preserve"> above, </w:t>
      </w:r>
      <w:r w:rsidRPr="001E4E73">
        <w:rPr>
          <w:rFonts w:ascii="Times New Roman" w:hAnsi="Times New Roman"/>
          <w:color w:val="000000" w:themeColor="text1"/>
        </w:rPr>
        <w:t xml:space="preserve">rather than including the measures within the Act itself, </w:t>
      </w:r>
      <w:r w:rsidR="00AF50A9" w:rsidRPr="001E4E73">
        <w:rPr>
          <w:rFonts w:ascii="Times New Roman" w:hAnsi="Times New Roman"/>
          <w:color w:val="000000" w:themeColor="text1"/>
        </w:rPr>
        <w:t>describing circumstances for</w:t>
      </w:r>
      <w:r w:rsidRPr="001E4E73">
        <w:rPr>
          <w:rFonts w:ascii="Times New Roman" w:hAnsi="Times New Roman"/>
          <w:color w:val="000000" w:themeColor="text1"/>
        </w:rPr>
        <w:t xml:space="preserve"> exceptions in this instrument allows the Government to provide </w:t>
      </w:r>
      <w:r w:rsidR="00AF50A9" w:rsidRPr="001E4E73">
        <w:rPr>
          <w:rFonts w:ascii="Times New Roman" w:hAnsi="Times New Roman"/>
          <w:color w:val="000000" w:themeColor="text1"/>
        </w:rPr>
        <w:t xml:space="preserve">more specific and flexible regulation that can be updated via an amendment to the Instrument </w:t>
      </w:r>
      <w:r w:rsidRPr="001E4E73">
        <w:rPr>
          <w:rFonts w:ascii="Times New Roman" w:hAnsi="Times New Roman"/>
          <w:color w:val="000000" w:themeColor="text1"/>
        </w:rPr>
        <w:t>where necessary.</w:t>
      </w:r>
      <w:r w:rsidR="00AF50A9" w:rsidRPr="001E4E73">
        <w:rPr>
          <w:rFonts w:ascii="Times New Roman" w:hAnsi="Times New Roman"/>
          <w:color w:val="000000" w:themeColor="text1"/>
        </w:rPr>
        <w:t xml:space="preserve"> Notably, an Instrument update is a far quicker process than amending an Act of </w:t>
      </w:r>
      <w:r w:rsidR="00D24800" w:rsidRPr="001E4E73">
        <w:rPr>
          <w:rFonts w:ascii="Times New Roman" w:hAnsi="Times New Roman"/>
          <w:color w:val="000000" w:themeColor="text1"/>
        </w:rPr>
        <w:t>P</w:t>
      </w:r>
      <w:r w:rsidR="00AF50A9" w:rsidRPr="001E4E73">
        <w:rPr>
          <w:rFonts w:ascii="Times New Roman" w:hAnsi="Times New Roman"/>
          <w:color w:val="000000" w:themeColor="text1"/>
        </w:rPr>
        <w:t>arliament</w:t>
      </w:r>
      <w:r w:rsidR="00D24800" w:rsidRPr="001E4E73">
        <w:rPr>
          <w:rFonts w:ascii="Times New Roman" w:hAnsi="Times New Roman"/>
          <w:color w:val="000000" w:themeColor="text1"/>
        </w:rPr>
        <w:t>, and as such is more responsive to community and industry needs</w:t>
      </w:r>
      <w:r w:rsidR="00AF50A9" w:rsidRPr="001E4E73">
        <w:rPr>
          <w:rFonts w:ascii="Times New Roman" w:hAnsi="Times New Roman"/>
          <w:color w:val="000000" w:themeColor="text1"/>
        </w:rPr>
        <w:t>.</w:t>
      </w:r>
    </w:p>
    <w:p w14:paraId="2F67229B" w14:textId="77777777" w:rsidR="00442700" w:rsidRPr="001E4E73" w:rsidRDefault="00442700" w:rsidP="00442700">
      <w:pPr>
        <w:spacing w:after="0" w:line="276" w:lineRule="auto"/>
        <w:rPr>
          <w:rFonts w:ascii="Times New Roman" w:hAnsi="Times New Roman"/>
          <w:color w:val="000000" w:themeColor="text1"/>
        </w:rPr>
      </w:pPr>
    </w:p>
    <w:p w14:paraId="22A74F21" w14:textId="342ABAC9" w:rsidR="00177889" w:rsidRPr="001E4E73" w:rsidRDefault="00D26AFA" w:rsidP="00442700">
      <w:pPr>
        <w:spacing w:after="0" w:line="276" w:lineRule="auto"/>
        <w:rPr>
          <w:rFonts w:ascii="Times New Roman" w:hAnsi="Times New Roman"/>
        </w:rPr>
      </w:pPr>
      <w:r w:rsidRPr="001E4E73">
        <w:rPr>
          <w:rFonts w:ascii="Times New Roman" w:hAnsi="Times New Roman"/>
        </w:rPr>
        <w:t>Th</w:t>
      </w:r>
      <w:r w:rsidR="002F340C" w:rsidRPr="001E4E73">
        <w:rPr>
          <w:rFonts w:ascii="Times New Roman" w:hAnsi="Times New Roman"/>
        </w:rPr>
        <w:t>is</w:t>
      </w:r>
      <w:r w:rsidRPr="001E4E73">
        <w:rPr>
          <w:rFonts w:ascii="Times New Roman" w:hAnsi="Times New Roman"/>
        </w:rPr>
        <w:t xml:space="preserve"> Instrument </w:t>
      </w:r>
      <w:r w:rsidR="002F340C" w:rsidRPr="001E4E73">
        <w:rPr>
          <w:rFonts w:ascii="Times New Roman" w:hAnsi="Times New Roman"/>
        </w:rPr>
        <w:t>is</w:t>
      </w:r>
      <w:r w:rsidRPr="001E4E73">
        <w:rPr>
          <w:rFonts w:ascii="Times New Roman" w:hAnsi="Times New Roman"/>
        </w:rPr>
        <w:t xml:space="preserve"> subject to review </w:t>
      </w:r>
      <w:r w:rsidR="002F340C" w:rsidRPr="001E4E73">
        <w:rPr>
          <w:rFonts w:ascii="Times New Roman" w:hAnsi="Times New Roman"/>
        </w:rPr>
        <w:t>via</w:t>
      </w:r>
      <w:r w:rsidRPr="001E4E73">
        <w:rPr>
          <w:rFonts w:ascii="Times New Roman" w:hAnsi="Times New Roman"/>
        </w:rPr>
        <w:t xml:space="preserve"> sunsetting arrangements, whereby legislative instruments </w:t>
      </w:r>
      <w:r w:rsidR="002F340C" w:rsidRPr="001E4E73">
        <w:rPr>
          <w:rFonts w:ascii="Times New Roman" w:hAnsi="Times New Roman"/>
        </w:rPr>
        <w:t>will</w:t>
      </w:r>
      <w:r w:rsidRPr="001E4E73">
        <w:rPr>
          <w:rFonts w:ascii="Times New Roman" w:hAnsi="Times New Roman"/>
        </w:rPr>
        <w:t xml:space="preserve"> automatic</w:t>
      </w:r>
      <w:r w:rsidR="002F340C" w:rsidRPr="001E4E73">
        <w:rPr>
          <w:rFonts w:ascii="Times New Roman" w:hAnsi="Times New Roman"/>
        </w:rPr>
        <w:t>ally</w:t>
      </w:r>
      <w:r w:rsidRPr="001E4E73">
        <w:rPr>
          <w:rFonts w:ascii="Times New Roman" w:hAnsi="Times New Roman"/>
        </w:rPr>
        <w:t xml:space="preserve"> </w:t>
      </w:r>
      <w:r w:rsidR="002F340C" w:rsidRPr="001E4E73">
        <w:rPr>
          <w:rFonts w:ascii="Times New Roman" w:hAnsi="Times New Roman"/>
        </w:rPr>
        <w:t>self-</w:t>
      </w:r>
      <w:r w:rsidRPr="001E4E73">
        <w:rPr>
          <w:rFonts w:ascii="Times New Roman" w:hAnsi="Times New Roman"/>
        </w:rPr>
        <w:t xml:space="preserve">repeal after a fixed </w:t>
      </w:r>
      <w:r w:rsidR="00442700" w:rsidRPr="001E4E73">
        <w:rPr>
          <w:rFonts w:ascii="Times New Roman" w:hAnsi="Times New Roman"/>
        </w:rPr>
        <w:t>10-year</w:t>
      </w:r>
      <w:r w:rsidRPr="001E4E73">
        <w:rPr>
          <w:rFonts w:ascii="Times New Roman" w:hAnsi="Times New Roman"/>
        </w:rPr>
        <w:t xml:space="preserve"> period, as set out in Part 4 of Chapter 3 of the </w:t>
      </w:r>
      <w:r w:rsidRPr="001E4E73">
        <w:rPr>
          <w:rFonts w:ascii="Times New Roman" w:hAnsi="Times New Roman"/>
          <w:i/>
        </w:rPr>
        <w:t>Legislation Act 2003</w:t>
      </w:r>
      <w:r w:rsidRPr="001E4E73">
        <w:rPr>
          <w:rFonts w:ascii="Times New Roman" w:hAnsi="Times New Roman"/>
        </w:rPr>
        <w:t>.</w:t>
      </w:r>
      <w:r w:rsidR="002F340C" w:rsidRPr="001E4E73">
        <w:rPr>
          <w:rFonts w:ascii="Times New Roman" w:hAnsi="Times New Roman"/>
        </w:rPr>
        <w:t xml:space="preserve"> The Government can choose to remake or let an Instrument lapse as </w:t>
      </w:r>
      <w:r w:rsidR="00776F02" w:rsidRPr="001E4E73">
        <w:rPr>
          <w:rFonts w:ascii="Times New Roman" w:hAnsi="Times New Roman"/>
        </w:rPr>
        <w:t xml:space="preserve">it </w:t>
      </w:r>
      <w:r w:rsidR="002F340C" w:rsidRPr="001E4E73">
        <w:rPr>
          <w:rFonts w:ascii="Times New Roman" w:hAnsi="Times New Roman"/>
        </w:rPr>
        <w:t>see</w:t>
      </w:r>
      <w:r w:rsidR="00776F02" w:rsidRPr="001E4E73">
        <w:rPr>
          <w:rFonts w:ascii="Times New Roman" w:hAnsi="Times New Roman"/>
        </w:rPr>
        <w:t>s</w:t>
      </w:r>
      <w:r w:rsidR="002F340C" w:rsidRPr="001E4E73">
        <w:rPr>
          <w:rFonts w:ascii="Times New Roman" w:hAnsi="Times New Roman"/>
        </w:rPr>
        <w:t xml:space="preserve"> fit at the end of the 10-year period.</w:t>
      </w:r>
    </w:p>
    <w:p w14:paraId="07936F05" w14:textId="77777777" w:rsidR="00442700" w:rsidRPr="001E4E73" w:rsidRDefault="00442700" w:rsidP="00442700">
      <w:pPr>
        <w:spacing w:after="0" w:line="276" w:lineRule="auto"/>
        <w:rPr>
          <w:rFonts w:ascii="Times New Roman" w:hAnsi="Times New Roman"/>
        </w:rPr>
      </w:pPr>
    </w:p>
    <w:p w14:paraId="3E16D7FA" w14:textId="77777777" w:rsidR="002B2876" w:rsidRPr="001E4E73" w:rsidRDefault="002B2876" w:rsidP="00442700">
      <w:pPr>
        <w:spacing w:after="0" w:line="276" w:lineRule="auto"/>
        <w:rPr>
          <w:rFonts w:ascii="Times New Roman" w:hAnsi="Times New Roman"/>
        </w:rPr>
      </w:pPr>
      <w:r w:rsidRPr="001E4E73">
        <w:rPr>
          <w:rFonts w:ascii="Times New Roman" w:hAnsi="Times New Roman"/>
        </w:rPr>
        <w:t xml:space="preserve">Details of the Instrument are set out in </w:t>
      </w:r>
      <w:r w:rsidRPr="001E4E73">
        <w:rPr>
          <w:rFonts w:ascii="Times New Roman" w:hAnsi="Times New Roman"/>
          <w:b/>
        </w:rPr>
        <w:t>Attachment A</w:t>
      </w:r>
      <w:r w:rsidRPr="001E4E73">
        <w:rPr>
          <w:rFonts w:ascii="Times New Roman" w:hAnsi="Times New Roman"/>
        </w:rPr>
        <w:t>.</w:t>
      </w:r>
    </w:p>
    <w:p w14:paraId="0D685E67" w14:textId="77777777" w:rsidR="00442700" w:rsidRPr="001E4E73" w:rsidRDefault="00442700" w:rsidP="00442700">
      <w:pPr>
        <w:spacing w:after="0" w:line="276" w:lineRule="auto"/>
        <w:rPr>
          <w:rFonts w:ascii="Times New Roman" w:hAnsi="Times New Roman"/>
        </w:rPr>
      </w:pPr>
    </w:p>
    <w:p w14:paraId="77FA3AF4" w14:textId="77777777" w:rsidR="007B3CED" w:rsidRPr="001E4E73" w:rsidRDefault="00705F22" w:rsidP="002F340C">
      <w:pPr>
        <w:spacing w:line="276" w:lineRule="auto"/>
        <w:rPr>
          <w:rFonts w:ascii="Times New Roman" w:hAnsi="Times New Roman"/>
          <w:b/>
        </w:rPr>
      </w:pPr>
      <w:r w:rsidRPr="001E4E73">
        <w:rPr>
          <w:rFonts w:ascii="Times New Roman" w:hAnsi="Times New Roman"/>
          <w:b/>
        </w:rPr>
        <w:t>Background</w:t>
      </w:r>
    </w:p>
    <w:p w14:paraId="55B4A2EB" w14:textId="07B763BF" w:rsidR="002C381C" w:rsidRPr="001E4E73" w:rsidRDefault="009765D7" w:rsidP="00D96DF2">
      <w:pPr>
        <w:spacing w:line="276" w:lineRule="auto"/>
        <w:rPr>
          <w:rFonts w:ascii="Times New Roman" w:hAnsi="Times New Roman"/>
          <w:i/>
        </w:rPr>
      </w:pPr>
      <w:r w:rsidRPr="001E4E73">
        <w:rPr>
          <w:rFonts w:ascii="Times New Roman" w:hAnsi="Times New Roman"/>
          <w:i/>
        </w:rPr>
        <w:t>Context and c</w:t>
      </w:r>
      <w:r w:rsidR="002C381C" w:rsidRPr="001E4E73">
        <w:rPr>
          <w:rFonts w:ascii="Times New Roman" w:hAnsi="Times New Roman"/>
          <w:i/>
        </w:rPr>
        <w:t xml:space="preserve">onceptual </w:t>
      </w:r>
      <w:r w:rsidR="00EF2458" w:rsidRPr="001E4E73">
        <w:rPr>
          <w:rFonts w:ascii="Times New Roman" w:hAnsi="Times New Roman"/>
          <w:i/>
        </w:rPr>
        <w:t xml:space="preserve">overview of </w:t>
      </w:r>
      <w:r w:rsidR="002C381C" w:rsidRPr="001E4E73">
        <w:rPr>
          <w:rFonts w:ascii="Times New Roman" w:hAnsi="Times New Roman"/>
          <w:i/>
        </w:rPr>
        <w:t>approach</w:t>
      </w:r>
    </w:p>
    <w:p w14:paraId="0DDAEA04" w14:textId="2274E037" w:rsidR="009B6903" w:rsidRPr="001E4E73" w:rsidRDefault="009B6903" w:rsidP="00D96DF2">
      <w:pPr>
        <w:spacing w:after="0" w:line="276" w:lineRule="auto"/>
        <w:rPr>
          <w:rFonts w:ascii="Times New Roman" w:hAnsi="Times New Roman"/>
        </w:rPr>
      </w:pPr>
      <w:r w:rsidRPr="001E4E73">
        <w:rPr>
          <w:rFonts w:ascii="Times New Roman" w:hAnsi="Times New Roman"/>
        </w:rPr>
        <w:t xml:space="preserve">In </w:t>
      </w:r>
      <w:r w:rsidR="00EF2458" w:rsidRPr="001E4E73">
        <w:rPr>
          <w:rFonts w:ascii="Times New Roman" w:hAnsi="Times New Roman"/>
        </w:rPr>
        <w:t xml:space="preserve">recognition of the foundational </w:t>
      </w:r>
      <w:r w:rsidR="0017248D" w:rsidRPr="001E4E73">
        <w:rPr>
          <w:rFonts w:ascii="Times New Roman" w:hAnsi="Times New Roman"/>
        </w:rPr>
        <w:t xml:space="preserve">role </w:t>
      </w:r>
      <w:r w:rsidR="001806EB" w:rsidRPr="001E4E73">
        <w:rPr>
          <w:rFonts w:ascii="Times New Roman" w:hAnsi="Times New Roman"/>
        </w:rPr>
        <w:t>telecommunications play</w:t>
      </w:r>
      <w:r w:rsidR="0017248D" w:rsidRPr="001E4E73">
        <w:rPr>
          <w:rFonts w:ascii="Times New Roman" w:hAnsi="Times New Roman"/>
        </w:rPr>
        <w:t>s</w:t>
      </w:r>
      <w:r w:rsidR="001806EB" w:rsidRPr="001E4E73">
        <w:rPr>
          <w:rFonts w:ascii="Times New Roman" w:hAnsi="Times New Roman"/>
        </w:rPr>
        <w:t xml:space="preserve"> </w:t>
      </w:r>
      <w:r w:rsidR="005C3D21" w:rsidRPr="001E4E73">
        <w:rPr>
          <w:rFonts w:ascii="Times New Roman" w:hAnsi="Times New Roman"/>
        </w:rPr>
        <w:t xml:space="preserve">in </w:t>
      </w:r>
      <w:r w:rsidR="0017248D" w:rsidRPr="001E4E73">
        <w:rPr>
          <w:rFonts w:ascii="Times New Roman" w:hAnsi="Times New Roman"/>
        </w:rPr>
        <w:t xml:space="preserve">the </w:t>
      </w:r>
      <w:r w:rsidR="00A35536" w:rsidRPr="001E4E73">
        <w:rPr>
          <w:rFonts w:ascii="Times New Roman" w:hAnsi="Times New Roman"/>
        </w:rPr>
        <w:t>functioning of modern</w:t>
      </w:r>
      <w:r w:rsidR="001806EB" w:rsidRPr="001E4E73">
        <w:rPr>
          <w:rFonts w:ascii="Times New Roman" w:hAnsi="Times New Roman"/>
        </w:rPr>
        <w:t xml:space="preserve"> society, </w:t>
      </w:r>
      <w:r w:rsidRPr="001E4E73">
        <w:rPr>
          <w:rFonts w:ascii="Times New Roman" w:hAnsi="Times New Roman"/>
        </w:rPr>
        <w:t xml:space="preserve">the Instrument starts from the principle that each premises in Australia should have access to </w:t>
      </w:r>
      <w:r w:rsidR="00043C5D" w:rsidRPr="001E4E73">
        <w:rPr>
          <w:rFonts w:ascii="Times New Roman" w:hAnsi="Times New Roman"/>
        </w:rPr>
        <w:t xml:space="preserve">baseline </w:t>
      </w:r>
      <w:r w:rsidRPr="001E4E73">
        <w:rPr>
          <w:rFonts w:ascii="Times New Roman" w:hAnsi="Times New Roman"/>
        </w:rPr>
        <w:t xml:space="preserve">broadband </w:t>
      </w:r>
      <w:r w:rsidR="005D1F44" w:rsidRPr="001E4E73">
        <w:rPr>
          <w:rFonts w:ascii="Times New Roman" w:hAnsi="Times New Roman"/>
        </w:rPr>
        <w:t xml:space="preserve">services </w:t>
      </w:r>
      <w:r w:rsidRPr="001E4E73">
        <w:rPr>
          <w:rFonts w:ascii="Times New Roman" w:hAnsi="Times New Roman"/>
        </w:rPr>
        <w:t>as</w:t>
      </w:r>
      <w:r w:rsidR="005D1F44" w:rsidRPr="001E4E73">
        <w:rPr>
          <w:rFonts w:ascii="Times New Roman" w:hAnsi="Times New Roman"/>
        </w:rPr>
        <w:t xml:space="preserve"> the </w:t>
      </w:r>
      <w:r w:rsidRPr="001E4E73">
        <w:rPr>
          <w:rFonts w:ascii="Times New Roman" w:hAnsi="Times New Roman"/>
        </w:rPr>
        <w:t xml:space="preserve">default, and it is only in exceptional circumstances that this principle should be </w:t>
      </w:r>
      <w:r w:rsidR="00CA5CED" w:rsidRPr="001E4E73">
        <w:rPr>
          <w:rFonts w:ascii="Times New Roman" w:hAnsi="Times New Roman"/>
        </w:rPr>
        <w:t>denied</w:t>
      </w:r>
      <w:r w:rsidRPr="001E4E73">
        <w:rPr>
          <w:rFonts w:ascii="Times New Roman" w:hAnsi="Times New Roman"/>
        </w:rPr>
        <w:t xml:space="preserve">. In </w:t>
      </w:r>
      <w:r w:rsidR="001806EB" w:rsidRPr="001E4E73">
        <w:rPr>
          <w:rFonts w:ascii="Times New Roman" w:hAnsi="Times New Roman"/>
        </w:rPr>
        <w:t xml:space="preserve">applying </w:t>
      </w:r>
      <w:r w:rsidRPr="001E4E73">
        <w:rPr>
          <w:rFonts w:ascii="Times New Roman" w:hAnsi="Times New Roman"/>
        </w:rPr>
        <w:t xml:space="preserve">the Instrument, </w:t>
      </w:r>
      <w:r w:rsidR="001806EB" w:rsidRPr="001E4E73">
        <w:rPr>
          <w:rFonts w:ascii="Times New Roman" w:hAnsi="Times New Roman"/>
        </w:rPr>
        <w:t xml:space="preserve">SIPs should </w:t>
      </w:r>
      <w:r w:rsidRPr="001E4E73">
        <w:rPr>
          <w:rFonts w:ascii="Times New Roman" w:hAnsi="Times New Roman"/>
        </w:rPr>
        <w:t xml:space="preserve">preference </w:t>
      </w:r>
      <w:r w:rsidR="00B80897" w:rsidRPr="001E4E73">
        <w:rPr>
          <w:rFonts w:ascii="Times New Roman" w:hAnsi="Times New Roman"/>
        </w:rPr>
        <w:t xml:space="preserve">connecting premises and </w:t>
      </w:r>
      <w:r w:rsidR="00A35536" w:rsidRPr="001E4E73">
        <w:rPr>
          <w:rFonts w:ascii="Times New Roman" w:hAnsi="Times New Roman"/>
        </w:rPr>
        <w:t>supplying</w:t>
      </w:r>
      <w:r w:rsidRPr="001E4E73">
        <w:rPr>
          <w:rFonts w:ascii="Times New Roman" w:hAnsi="Times New Roman"/>
        </w:rPr>
        <w:t xml:space="preserve"> </w:t>
      </w:r>
      <w:r w:rsidR="00B80897" w:rsidRPr="001E4E73">
        <w:rPr>
          <w:rFonts w:ascii="Times New Roman" w:hAnsi="Times New Roman"/>
        </w:rPr>
        <w:t>services</w:t>
      </w:r>
      <w:r w:rsidR="004E72F2" w:rsidRPr="001E4E73">
        <w:rPr>
          <w:rFonts w:ascii="Times New Roman" w:hAnsi="Times New Roman"/>
        </w:rPr>
        <w:t xml:space="preserve"> over refusal</w:t>
      </w:r>
      <w:r w:rsidR="00B80897" w:rsidRPr="001E4E73">
        <w:rPr>
          <w:rFonts w:ascii="Times New Roman" w:hAnsi="Times New Roman"/>
        </w:rPr>
        <w:t xml:space="preserve"> </w:t>
      </w:r>
      <w:r w:rsidR="00EF2458" w:rsidRPr="001E4E73">
        <w:rPr>
          <w:rFonts w:ascii="Times New Roman" w:hAnsi="Times New Roman"/>
        </w:rPr>
        <w:t>wherever feasible</w:t>
      </w:r>
      <w:r w:rsidRPr="001E4E73">
        <w:rPr>
          <w:rFonts w:ascii="Times New Roman" w:hAnsi="Times New Roman"/>
        </w:rPr>
        <w:t>.</w:t>
      </w:r>
      <w:r w:rsidR="00D53AB1" w:rsidRPr="001E4E73">
        <w:rPr>
          <w:rFonts w:ascii="Times New Roman" w:hAnsi="Times New Roman"/>
        </w:rPr>
        <w:t xml:space="preserve"> However, </w:t>
      </w:r>
      <w:r w:rsidRPr="001E4E73">
        <w:rPr>
          <w:rFonts w:ascii="Times New Roman" w:hAnsi="Times New Roman"/>
        </w:rPr>
        <w:t>there may be circumstances where it is impractical, unsafe</w:t>
      </w:r>
      <w:r w:rsidR="00B80897" w:rsidRPr="001E4E73">
        <w:rPr>
          <w:rFonts w:ascii="Times New Roman" w:hAnsi="Times New Roman"/>
        </w:rPr>
        <w:t xml:space="preserve">, </w:t>
      </w:r>
      <w:r w:rsidRPr="001E4E73">
        <w:rPr>
          <w:rFonts w:ascii="Times New Roman" w:hAnsi="Times New Roman"/>
        </w:rPr>
        <w:t>unreasonable or unaffordable</w:t>
      </w:r>
      <w:r w:rsidR="001015E9" w:rsidRPr="001E4E73">
        <w:rPr>
          <w:rFonts w:ascii="Times New Roman" w:hAnsi="Times New Roman"/>
        </w:rPr>
        <w:t xml:space="preserve"> </w:t>
      </w:r>
      <w:r w:rsidR="001806EB" w:rsidRPr="001E4E73">
        <w:rPr>
          <w:rFonts w:ascii="Times New Roman" w:hAnsi="Times New Roman"/>
        </w:rPr>
        <w:t xml:space="preserve">for SIPs </w:t>
      </w:r>
      <w:r w:rsidRPr="001E4E73">
        <w:rPr>
          <w:rFonts w:ascii="Times New Roman" w:hAnsi="Times New Roman"/>
        </w:rPr>
        <w:t xml:space="preserve">to </w:t>
      </w:r>
      <w:r w:rsidR="006A5028" w:rsidRPr="001E4E73">
        <w:rPr>
          <w:rFonts w:ascii="Times New Roman" w:hAnsi="Times New Roman"/>
        </w:rPr>
        <w:t>connect or supply a service</w:t>
      </w:r>
      <w:r w:rsidR="001015E9" w:rsidRPr="001E4E73">
        <w:rPr>
          <w:rFonts w:ascii="Times New Roman" w:hAnsi="Times New Roman"/>
        </w:rPr>
        <w:t xml:space="preserve"> (‘Unaffordable’ refers to the costs a SIP would need to absorb to remediate a particular challenging circumstance if an exception were not available). </w:t>
      </w:r>
      <w:r w:rsidR="004E72F2" w:rsidRPr="001E4E73">
        <w:rPr>
          <w:rFonts w:ascii="Times New Roman" w:hAnsi="Times New Roman"/>
        </w:rPr>
        <w:t xml:space="preserve">The </w:t>
      </w:r>
      <w:r w:rsidR="000C0EAD" w:rsidRPr="001E4E73">
        <w:rPr>
          <w:rFonts w:ascii="Times New Roman" w:hAnsi="Times New Roman"/>
        </w:rPr>
        <w:t>I</w:t>
      </w:r>
      <w:r w:rsidR="004E72F2" w:rsidRPr="001E4E73">
        <w:rPr>
          <w:rFonts w:ascii="Times New Roman" w:hAnsi="Times New Roman"/>
        </w:rPr>
        <w:t xml:space="preserve">nstrument </w:t>
      </w:r>
      <w:r w:rsidRPr="001E4E73">
        <w:rPr>
          <w:rFonts w:ascii="Times New Roman" w:hAnsi="Times New Roman"/>
        </w:rPr>
        <w:t>specifies these circumstances</w:t>
      </w:r>
      <w:r w:rsidR="004E72F2" w:rsidRPr="001E4E73">
        <w:rPr>
          <w:rFonts w:ascii="Times New Roman" w:hAnsi="Times New Roman"/>
        </w:rPr>
        <w:t>, providing clarity for stakeholders and ensuring SIP resources are used in an efficient and equitable manner.</w:t>
      </w:r>
    </w:p>
    <w:p w14:paraId="22504A5C" w14:textId="77777777" w:rsidR="00A35536" w:rsidRPr="001E4E73" w:rsidRDefault="00A35536" w:rsidP="00D96DF2">
      <w:pPr>
        <w:spacing w:after="0" w:line="276" w:lineRule="auto"/>
        <w:rPr>
          <w:rFonts w:ascii="Times New Roman" w:hAnsi="Times New Roman"/>
        </w:rPr>
      </w:pPr>
    </w:p>
    <w:p w14:paraId="7D417A05" w14:textId="78CA65FC" w:rsidR="00616FB0" w:rsidRPr="001E4E73" w:rsidRDefault="00AD6358" w:rsidP="00D96DF2">
      <w:pPr>
        <w:spacing w:after="0" w:line="276" w:lineRule="auto"/>
        <w:rPr>
          <w:rFonts w:ascii="Times New Roman" w:hAnsi="Times New Roman"/>
        </w:rPr>
      </w:pPr>
      <w:r w:rsidRPr="001E4E73">
        <w:rPr>
          <w:rFonts w:ascii="Times New Roman" w:hAnsi="Times New Roman"/>
        </w:rPr>
        <w:t xml:space="preserve">The SIP regime is </w:t>
      </w:r>
      <w:r w:rsidR="002C6CDC" w:rsidRPr="001E4E73">
        <w:rPr>
          <w:rFonts w:ascii="Times New Roman" w:hAnsi="Times New Roman"/>
        </w:rPr>
        <w:t>legislated</w:t>
      </w:r>
      <w:r w:rsidRPr="001E4E73">
        <w:rPr>
          <w:rFonts w:ascii="Times New Roman" w:hAnsi="Times New Roman"/>
        </w:rPr>
        <w:t xml:space="preserve"> in Part 19 of the Act. </w:t>
      </w:r>
      <w:r w:rsidR="00D53AB1" w:rsidRPr="001E4E73">
        <w:rPr>
          <w:rFonts w:ascii="Times New Roman" w:hAnsi="Times New Roman"/>
        </w:rPr>
        <w:t xml:space="preserve">Under the SIP regime, </w:t>
      </w:r>
      <w:r w:rsidR="00616FB0" w:rsidRPr="001E4E73">
        <w:rPr>
          <w:rFonts w:ascii="Times New Roman" w:hAnsi="Times New Roman"/>
        </w:rPr>
        <w:t xml:space="preserve">NBN Co is the default SIP for all parts of Australia and is obliged to connect and supply wholesale broadband services in any area where no other SIP operates. </w:t>
      </w:r>
      <w:r w:rsidR="002C6CDC" w:rsidRPr="001E4E73">
        <w:rPr>
          <w:rFonts w:ascii="Times New Roman" w:hAnsi="Times New Roman"/>
        </w:rPr>
        <w:t>32</w:t>
      </w:r>
      <w:r w:rsidR="00616FB0" w:rsidRPr="001E4E73">
        <w:rPr>
          <w:rFonts w:ascii="Times New Roman" w:hAnsi="Times New Roman"/>
        </w:rPr>
        <w:t xml:space="preserve"> other </w:t>
      </w:r>
      <w:r w:rsidR="00B25844" w:rsidRPr="001E4E73">
        <w:rPr>
          <w:rFonts w:ascii="Times New Roman" w:hAnsi="Times New Roman"/>
        </w:rPr>
        <w:t xml:space="preserve">carriers </w:t>
      </w:r>
      <w:r w:rsidR="002C6CDC" w:rsidRPr="001E4E73">
        <w:rPr>
          <w:rFonts w:ascii="Times New Roman" w:hAnsi="Times New Roman"/>
        </w:rPr>
        <w:t xml:space="preserve">(as at April 2024) </w:t>
      </w:r>
      <w:r w:rsidR="00616FB0" w:rsidRPr="001E4E73">
        <w:rPr>
          <w:rFonts w:ascii="Times New Roman" w:hAnsi="Times New Roman"/>
        </w:rPr>
        <w:t xml:space="preserve">have </w:t>
      </w:r>
      <w:r w:rsidR="008D5647" w:rsidRPr="001E4E73">
        <w:rPr>
          <w:rFonts w:ascii="Times New Roman" w:hAnsi="Times New Roman"/>
        </w:rPr>
        <w:t>become</w:t>
      </w:r>
      <w:r w:rsidR="00616FB0" w:rsidRPr="001E4E73">
        <w:rPr>
          <w:rFonts w:ascii="Times New Roman" w:hAnsi="Times New Roman"/>
        </w:rPr>
        <w:t xml:space="preserve"> the SIP</w:t>
      </w:r>
      <w:r w:rsidR="00B25844" w:rsidRPr="001E4E73">
        <w:rPr>
          <w:rFonts w:ascii="Times New Roman" w:hAnsi="Times New Roman"/>
        </w:rPr>
        <w:t>s</w:t>
      </w:r>
      <w:r w:rsidR="00616FB0" w:rsidRPr="001E4E73">
        <w:rPr>
          <w:rFonts w:ascii="Times New Roman" w:hAnsi="Times New Roman"/>
        </w:rPr>
        <w:t xml:space="preserve"> for individual service areas, typically in existing </w:t>
      </w:r>
      <w:r w:rsidR="00B07240" w:rsidRPr="001E4E73">
        <w:rPr>
          <w:rFonts w:ascii="Times New Roman" w:hAnsi="Times New Roman"/>
        </w:rPr>
        <w:t xml:space="preserve">residential </w:t>
      </w:r>
      <w:r w:rsidR="00616FB0" w:rsidRPr="001E4E73">
        <w:rPr>
          <w:rFonts w:ascii="Times New Roman" w:hAnsi="Times New Roman"/>
        </w:rPr>
        <w:t>estates or new developments.</w:t>
      </w:r>
    </w:p>
    <w:p w14:paraId="53F30069" w14:textId="77777777" w:rsidR="00B07240" w:rsidRPr="001E4E73" w:rsidRDefault="00B07240" w:rsidP="00D96DF2">
      <w:pPr>
        <w:spacing w:after="0" w:line="276" w:lineRule="auto"/>
        <w:rPr>
          <w:rFonts w:ascii="Times New Roman" w:hAnsi="Times New Roman"/>
        </w:rPr>
      </w:pPr>
    </w:p>
    <w:p w14:paraId="2C6399E2" w14:textId="6872EB15" w:rsidR="00616FB0" w:rsidRPr="001E4E73" w:rsidRDefault="00890F50" w:rsidP="00B07240">
      <w:pPr>
        <w:spacing w:after="0" w:line="276" w:lineRule="auto"/>
        <w:rPr>
          <w:rFonts w:ascii="Times New Roman" w:hAnsi="Times New Roman"/>
        </w:rPr>
      </w:pPr>
      <w:r w:rsidRPr="001E4E73">
        <w:rPr>
          <w:rFonts w:ascii="Times New Roman" w:hAnsi="Times New Roman"/>
        </w:rPr>
        <w:t>T</w:t>
      </w:r>
      <w:r w:rsidR="009B6903" w:rsidRPr="001E4E73">
        <w:rPr>
          <w:rFonts w:ascii="Times New Roman" w:hAnsi="Times New Roman"/>
        </w:rPr>
        <w:t xml:space="preserve">he SIP regime </w:t>
      </w:r>
      <w:r w:rsidRPr="001E4E73">
        <w:rPr>
          <w:rFonts w:ascii="Times New Roman" w:hAnsi="Times New Roman"/>
        </w:rPr>
        <w:t>was designed with the understanding</w:t>
      </w:r>
      <w:r w:rsidR="009B6903" w:rsidRPr="001E4E73">
        <w:rPr>
          <w:rFonts w:ascii="Times New Roman" w:hAnsi="Times New Roman"/>
        </w:rPr>
        <w:t xml:space="preserve"> that it may not always be commercial</w:t>
      </w:r>
      <w:r w:rsidR="005D1F44" w:rsidRPr="001E4E73">
        <w:rPr>
          <w:rFonts w:ascii="Times New Roman" w:hAnsi="Times New Roman"/>
        </w:rPr>
        <w:t xml:space="preserve">ly viable </w:t>
      </w:r>
      <w:r w:rsidR="001806EB" w:rsidRPr="001E4E73">
        <w:rPr>
          <w:rFonts w:ascii="Times New Roman" w:hAnsi="Times New Roman"/>
        </w:rPr>
        <w:t xml:space="preserve">for the SIP in a </w:t>
      </w:r>
      <w:r w:rsidRPr="001E4E73">
        <w:rPr>
          <w:rFonts w:ascii="Times New Roman" w:hAnsi="Times New Roman"/>
        </w:rPr>
        <w:t>designated service</w:t>
      </w:r>
      <w:r w:rsidR="001806EB" w:rsidRPr="001E4E73">
        <w:rPr>
          <w:rFonts w:ascii="Times New Roman" w:hAnsi="Times New Roman"/>
        </w:rPr>
        <w:t xml:space="preserve"> area </w:t>
      </w:r>
      <w:r w:rsidR="009B6903" w:rsidRPr="001E4E73">
        <w:rPr>
          <w:rFonts w:ascii="Times New Roman" w:hAnsi="Times New Roman"/>
        </w:rPr>
        <w:t>to provide services to some premise</w:t>
      </w:r>
      <w:r w:rsidR="00B25844" w:rsidRPr="001E4E73">
        <w:rPr>
          <w:rFonts w:ascii="Times New Roman" w:hAnsi="Times New Roman"/>
        </w:rPr>
        <w:t>s</w:t>
      </w:r>
      <w:r w:rsidRPr="001E4E73">
        <w:rPr>
          <w:rFonts w:ascii="Times New Roman" w:hAnsi="Times New Roman"/>
        </w:rPr>
        <w:t xml:space="preserve">. These </w:t>
      </w:r>
      <w:r w:rsidR="009B6903" w:rsidRPr="001E4E73">
        <w:rPr>
          <w:rFonts w:ascii="Times New Roman" w:hAnsi="Times New Roman"/>
        </w:rPr>
        <w:t>services need to be subsidised</w:t>
      </w:r>
      <w:r w:rsidR="0069312B" w:rsidRPr="001E4E73">
        <w:rPr>
          <w:rFonts w:ascii="Times New Roman" w:hAnsi="Times New Roman"/>
        </w:rPr>
        <w:t>,</w:t>
      </w:r>
      <w:r w:rsidR="00162101" w:rsidRPr="001E4E73">
        <w:rPr>
          <w:rFonts w:ascii="Times New Roman" w:hAnsi="Times New Roman"/>
        </w:rPr>
        <w:t xml:space="preserve"> whether internally or externally, to ensure there is </w:t>
      </w:r>
      <w:r w:rsidR="006D066D" w:rsidRPr="001E4E73">
        <w:rPr>
          <w:rFonts w:ascii="Times New Roman" w:hAnsi="Times New Roman"/>
        </w:rPr>
        <w:t xml:space="preserve">universal </w:t>
      </w:r>
      <w:r w:rsidR="00162101" w:rsidRPr="001E4E73">
        <w:rPr>
          <w:rFonts w:ascii="Times New Roman" w:hAnsi="Times New Roman"/>
        </w:rPr>
        <w:t>access</w:t>
      </w:r>
      <w:r w:rsidR="006D066D" w:rsidRPr="001E4E73">
        <w:rPr>
          <w:rFonts w:ascii="Times New Roman" w:hAnsi="Times New Roman"/>
        </w:rPr>
        <w:t xml:space="preserve"> for all people in Australia</w:t>
      </w:r>
      <w:r w:rsidR="009B6903" w:rsidRPr="001E4E73">
        <w:rPr>
          <w:rFonts w:ascii="Times New Roman" w:hAnsi="Times New Roman"/>
        </w:rPr>
        <w:t xml:space="preserve">. </w:t>
      </w:r>
      <w:r w:rsidR="00B9578C" w:rsidRPr="001E4E73">
        <w:rPr>
          <w:rFonts w:ascii="Times New Roman" w:hAnsi="Times New Roman"/>
        </w:rPr>
        <w:t>Because</w:t>
      </w:r>
      <w:r w:rsidR="009B6903" w:rsidRPr="001E4E73">
        <w:rPr>
          <w:rFonts w:ascii="Times New Roman" w:hAnsi="Times New Roman"/>
        </w:rPr>
        <w:t xml:space="preserve"> NBN Co</w:t>
      </w:r>
      <w:r w:rsidR="00616FB0" w:rsidRPr="001E4E73">
        <w:rPr>
          <w:rFonts w:ascii="Times New Roman" w:hAnsi="Times New Roman"/>
        </w:rPr>
        <w:t xml:space="preserve"> </w:t>
      </w:r>
      <w:r w:rsidR="00B9578C" w:rsidRPr="001E4E73">
        <w:rPr>
          <w:rFonts w:ascii="Times New Roman" w:hAnsi="Times New Roman"/>
        </w:rPr>
        <w:t>is</w:t>
      </w:r>
      <w:r w:rsidR="00616FB0" w:rsidRPr="001E4E73">
        <w:rPr>
          <w:rFonts w:ascii="Times New Roman" w:hAnsi="Times New Roman"/>
        </w:rPr>
        <w:t xml:space="preserve"> the </w:t>
      </w:r>
      <w:r w:rsidR="009B6903" w:rsidRPr="001E4E73">
        <w:rPr>
          <w:rFonts w:ascii="Times New Roman" w:hAnsi="Times New Roman"/>
        </w:rPr>
        <w:t>default SIP</w:t>
      </w:r>
      <w:r w:rsidR="00616FB0" w:rsidRPr="001E4E73">
        <w:rPr>
          <w:rFonts w:ascii="Times New Roman" w:hAnsi="Times New Roman"/>
        </w:rPr>
        <w:t xml:space="preserve">, </w:t>
      </w:r>
      <w:r w:rsidR="00B9578C" w:rsidRPr="001E4E73">
        <w:rPr>
          <w:rFonts w:ascii="Times New Roman" w:hAnsi="Times New Roman"/>
        </w:rPr>
        <w:t>it</w:t>
      </w:r>
      <w:r w:rsidR="009B6903" w:rsidRPr="001E4E73">
        <w:rPr>
          <w:rFonts w:ascii="Times New Roman" w:hAnsi="Times New Roman"/>
        </w:rPr>
        <w:t xml:space="preserve"> </w:t>
      </w:r>
      <w:r w:rsidR="00B9578C" w:rsidRPr="001E4E73">
        <w:rPr>
          <w:rFonts w:ascii="Times New Roman" w:hAnsi="Times New Roman"/>
        </w:rPr>
        <w:t>connects and supplies</w:t>
      </w:r>
      <w:r w:rsidR="009B6903" w:rsidRPr="001E4E73">
        <w:rPr>
          <w:rFonts w:ascii="Times New Roman" w:hAnsi="Times New Roman"/>
        </w:rPr>
        <w:t xml:space="preserve"> </w:t>
      </w:r>
      <w:r w:rsidR="00B9578C" w:rsidRPr="001E4E73">
        <w:rPr>
          <w:rFonts w:ascii="Times New Roman" w:hAnsi="Times New Roman"/>
        </w:rPr>
        <w:t xml:space="preserve">the majority of these </w:t>
      </w:r>
      <w:r w:rsidR="009B6903" w:rsidRPr="001E4E73">
        <w:rPr>
          <w:rFonts w:ascii="Times New Roman" w:hAnsi="Times New Roman"/>
        </w:rPr>
        <w:t xml:space="preserve">remote areas. NBN Co’s </w:t>
      </w:r>
      <w:r w:rsidR="00B80897" w:rsidRPr="001E4E73">
        <w:rPr>
          <w:rFonts w:ascii="Times New Roman" w:hAnsi="Times New Roman"/>
        </w:rPr>
        <w:t>f</w:t>
      </w:r>
      <w:r w:rsidR="00616FB0" w:rsidRPr="001E4E73">
        <w:rPr>
          <w:rFonts w:ascii="Times New Roman" w:hAnsi="Times New Roman"/>
        </w:rPr>
        <w:t xml:space="preserve">ixed </w:t>
      </w:r>
      <w:r w:rsidR="00B80897" w:rsidRPr="001E4E73">
        <w:rPr>
          <w:rFonts w:ascii="Times New Roman" w:hAnsi="Times New Roman"/>
        </w:rPr>
        <w:t>w</w:t>
      </w:r>
      <w:r w:rsidR="009B6903" w:rsidRPr="001E4E73">
        <w:rPr>
          <w:rFonts w:ascii="Times New Roman" w:hAnsi="Times New Roman"/>
        </w:rPr>
        <w:t xml:space="preserve">ireless and </w:t>
      </w:r>
      <w:r w:rsidR="00B80897" w:rsidRPr="001E4E73">
        <w:rPr>
          <w:rFonts w:ascii="Times New Roman" w:hAnsi="Times New Roman"/>
        </w:rPr>
        <w:t>s</w:t>
      </w:r>
      <w:r w:rsidR="009B6903" w:rsidRPr="001E4E73">
        <w:rPr>
          <w:rFonts w:ascii="Times New Roman" w:hAnsi="Times New Roman"/>
        </w:rPr>
        <w:t xml:space="preserve">atellite services are </w:t>
      </w:r>
      <w:r w:rsidR="00CC1F55" w:rsidRPr="001E4E73">
        <w:rPr>
          <w:rFonts w:ascii="Times New Roman" w:hAnsi="Times New Roman"/>
        </w:rPr>
        <w:t>subsidised</w:t>
      </w:r>
      <w:r w:rsidR="009B6903" w:rsidRPr="001E4E73">
        <w:rPr>
          <w:rFonts w:ascii="Times New Roman" w:hAnsi="Times New Roman"/>
        </w:rPr>
        <w:t xml:space="preserve"> by the Regional Broadband Scheme. </w:t>
      </w:r>
      <w:r w:rsidR="00B9578C" w:rsidRPr="001E4E73">
        <w:rPr>
          <w:rFonts w:ascii="Times New Roman" w:hAnsi="Times New Roman"/>
        </w:rPr>
        <w:t>For</w:t>
      </w:r>
      <w:r w:rsidR="009B6903" w:rsidRPr="001E4E73">
        <w:rPr>
          <w:rFonts w:ascii="Times New Roman" w:hAnsi="Times New Roman"/>
        </w:rPr>
        <w:t xml:space="preserve"> other SIPs, it is </w:t>
      </w:r>
      <w:r w:rsidR="00CC1F55" w:rsidRPr="001E4E73">
        <w:rPr>
          <w:rFonts w:ascii="Times New Roman" w:hAnsi="Times New Roman"/>
        </w:rPr>
        <w:t xml:space="preserve">a </w:t>
      </w:r>
      <w:r w:rsidR="009B6903" w:rsidRPr="001E4E73">
        <w:rPr>
          <w:rFonts w:ascii="Times New Roman" w:hAnsi="Times New Roman"/>
        </w:rPr>
        <w:t xml:space="preserve">commercial </w:t>
      </w:r>
      <w:r w:rsidR="00CC1F55" w:rsidRPr="001E4E73">
        <w:rPr>
          <w:rFonts w:ascii="Times New Roman" w:hAnsi="Times New Roman"/>
        </w:rPr>
        <w:t>decision whether</w:t>
      </w:r>
      <w:r w:rsidR="009B6903" w:rsidRPr="001E4E73">
        <w:rPr>
          <w:rFonts w:ascii="Times New Roman" w:hAnsi="Times New Roman"/>
        </w:rPr>
        <w:t xml:space="preserve"> to </w:t>
      </w:r>
      <w:r w:rsidR="00BE6AEE" w:rsidRPr="001E4E73">
        <w:rPr>
          <w:rFonts w:ascii="Times New Roman" w:hAnsi="Times New Roman"/>
        </w:rPr>
        <w:t xml:space="preserve">enter into </w:t>
      </w:r>
      <w:r w:rsidR="009B6903" w:rsidRPr="001E4E73">
        <w:rPr>
          <w:rFonts w:ascii="Times New Roman" w:hAnsi="Times New Roman"/>
        </w:rPr>
        <w:t>contract</w:t>
      </w:r>
      <w:r w:rsidR="00BE6AEE" w:rsidRPr="001E4E73">
        <w:rPr>
          <w:rFonts w:ascii="Times New Roman" w:hAnsi="Times New Roman"/>
        </w:rPr>
        <w:t>s</w:t>
      </w:r>
      <w:r w:rsidR="009B6903" w:rsidRPr="001E4E73">
        <w:rPr>
          <w:rFonts w:ascii="Times New Roman" w:hAnsi="Times New Roman"/>
        </w:rPr>
        <w:t xml:space="preserve"> to </w:t>
      </w:r>
      <w:r w:rsidR="00B80897" w:rsidRPr="001E4E73">
        <w:rPr>
          <w:rFonts w:ascii="Times New Roman" w:hAnsi="Times New Roman"/>
        </w:rPr>
        <w:t xml:space="preserve">connect and supply </w:t>
      </w:r>
      <w:r w:rsidR="00BE6AEE" w:rsidRPr="001E4E73">
        <w:rPr>
          <w:rFonts w:ascii="Times New Roman" w:hAnsi="Times New Roman"/>
        </w:rPr>
        <w:t xml:space="preserve">telecommunications </w:t>
      </w:r>
      <w:r w:rsidR="00B80897" w:rsidRPr="001E4E73">
        <w:rPr>
          <w:rFonts w:ascii="Times New Roman" w:hAnsi="Times New Roman"/>
        </w:rPr>
        <w:t xml:space="preserve">services to </w:t>
      </w:r>
      <w:r w:rsidR="009B6903" w:rsidRPr="001E4E73">
        <w:rPr>
          <w:rFonts w:ascii="Times New Roman" w:hAnsi="Times New Roman"/>
        </w:rPr>
        <w:t xml:space="preserve">designated service areas, doing so in the knowledge they </w:t>
      </w:r>
      <w:r w:rsidR="00BE6AEE" w:rsidRPr="001E4E73">
        <w:rPr>
          <w:rFonts w:ascii="Times New Roman" w:hAnsi="Times New Roman"/>
        </w:rPr>
        <w:t xml:space="preserve">will then have a statutory obligation </w:t>
      </w:r>
      <w:r w:rsidR="009B6903" w:rsidRPr="001E4E73">
        <w:rPr>
          <w:rFonts w:ascii="Times New Roman" w:hAnsi="Times New Roman"/>
        </w:rPr>
        <w:t>to service all</w:t>
      </w:r>
      <w:r w:rsidR="00CC1F55" w:rsidRPr="001E4E73">
        <w:rPr>
          <w:rFonts w:ascii="Times New Roman" w:hAnsi="Times New Roman"/>
        </w:rPr>
        <w:t xml:space="preserve"> current and future</w:t>
      </w:r>
      <w:r w:rsidR="009B6903" w:rsidRPr="001E4E73">
        <w:rPr>
          <w:rFonts w:ascii="Times New Roman" w:hAnsi="Times New Roman"/>
        </w:rPr>
        <w:t xml:space="preserve"> premises in that </w:t>
      </w:r>
      <w:r w:rsidR="00CC1F55" w:rsidRPr="001E4E73">
        <w:rPr>
          <w:rFonts w:ascii="Times New Roman" w:hAnsi="Times New Roman"/>
        </w:rPr>
        <w:t>designated</w:t>
      </w:r>
      <w:r w:rsidR="00B80897" w:rsidRPr="001E4E73">
        <w:rPr>
          <w:rFonts w:ascii="Times New Roman" w:hAnsi="Times New Roman"/>
        </w:rPr>
        <w:t xml:space="preserve"> area</w:t>
      </w:r>
      <w:r w:rsidR="009B6903" w:rsidRPr="001E4E73">
        <w:rPr>
          <w:rFonts w:ascii="Times New Roman" w:hAnsi="Times New Roman"/>
        </w:rPr>
        <w:t>.</w:t>
      </w:r>
    </w:p>
    <w:p w14:paraId="04132F7F" w14:textId="77777777" w:rsidR="00B07240" w:rsidRPr="001E4E73" w:rsidRDefault="00B07240" w:rsidP="00B07240">
      <w:pPr>
        <w:spacing w:after="0" w:line="276" w:lineRule="auto"/>
        <w:rPr>
          <w:rFonts w:ascii="Times New Roman" w:hAnsi="Times New Roman"/>
        </w:rPr>
      </w:pPr>
    </w:p>
    <w:p w14:paraId="6F11DE0C" w14:textId="1BB16849" w:rsidR="009B6903" w:rsidRPr="001E4E73" w:rsidRDefault="009B6903" w:rsidP="004513B4">
      <w:pPr>
        <w:spacing w:after="0" w:line="276" w:lineRule="auto"/>
        <w:rPr>
          <w:rFonts w:ascii="Times New Roman" w:hAnsi="Times New Roman"/>
        </w:rPr>
      </w:pPr>
      <w:r w:rsidRPr="001E4E73">
        <w:rPr>
          <w:rFonts w:ascii="Times New Roman" w:hAnsi="Times New Roman"/>
        </w:rPr>
        <w:t xml:space="preserve">However, there may be circumstances where the cost to </w:t>
      </w:r>
      <w:r w:rsidR="00B80897" w:rsidRPr="001E4E73">
        <w:rPr>
          <w:rFonts w:ascii="Times New Roman" w:hAnsi="Times New Roman"/>
        </w:rPr>
        <w:t xml:space="preserve">connect </w:t>
      </w:r>
      <w:r w:rsidR="00423417" w:rsidRPr="001E4E73">
        <w:rPr>
          <w:rFonts w:ascii="Times New Roman" w:hAnsi="Times New Roman"/>
        </w:rPr>
        <w:t xml:space="preserve">premises </w:t>
      </w:r>
      <w:r w:rsidR="00B80897" w:rsidRPr="001E4E73">
        <w:rPr>
          <w:rFonts w:ascii="Times New Roman" w:hAnsi="Times New Roman"/>
        </w:rPr>
        <w:t xml:space="preserve">or </w:t>
      </w:r>
      <w:r w:rsidRPr="001E4E73">
        <w:rPr>
          <w:rFonts w:ascii="Times New Roman" w:hAnsi="Times New Roman"/>
        </w:rPr>
        <w:t>supply</w:t>
      </w:r>
      <w:r w:rsidR="00B80897" w:rsidRPr="001E4E73">
        <w:rPr>
          <w:rFonts w:ascii="Times New Roman" w:hAnsi="Times New Roman"/>
        </w:rPr>
        <w:t xml:space="preserve"> services</w:t>
      </w:r>
      <w:r w:rsidRPr="001E4E73">
        <w:rPr>
          <w:rFonts w:ascii="Times New Roman" w:hAnsi="Times New Roman"/>
        </w:rPr>
        <w:t xml:space="preserve"> should be </w:t>
      </w:r>
      <w:r w:rsidR="004A4D72" w:rsidRPr="001E4E73">
        <w:rPr>
          <w:rFonts w:ascii="Times New Roman" w:hAnsi="Times New Roman"/>
        </w:rPr>
        <w:t>considered</w:t>
      </w:r>
      <w:r w:rsidRPr="001E4E73">
        <w:rPr>
          <w:rFonts w:ascii="Times New Roman" w:hAnsi="Times New Roman"/>
        </w:rPr>
        <w:t xml:space="preserve">, particularly where losses would need to be borne by the wider community. For example, this could include instances where a broadband service is already being provided to premises (either by the SIP or another provider), </w:t>
      </w:r>
      <w:r w:rsidR="005D1F44" w:rsidRPr="001E4E73">
        <w:rPr>
          <w:rFonts w:ascii="Times New Roman" w:hAnsi="Times New Roman"/>
        </w:rPr>
        <w:t xml:space="preserve">or </w:t>
      </w:r>
      <w:r w:rsidRPr="001E4E73">
        <w:rPr>
          <w:rFonts w:ascii="Times New Roman" w:hAnsi="Times New Roman"/>
        </w:rPr>
        <w:t>an existing service can reasonably be shared (e.g. in a share house), or</w:t>
      </w:r>
      <w:r w:rsidR="00423417" w:rsidRPr="001E4E73">
        <w:rPr>
          <w:rFonts w:ascii="Times New Roman" w:hAnsi="Times New Roman"/>
        </w:rPr>
        <w:t xml:space="preserve"> it</w:t>
      </w:r>
      <w:r w:rsidRPr="001E4E73">
        <w:rPr>
          <w:rFonts w:ascii="Times New Roman" w:hAnsi="Times New Roman"/>
        </w:rPr>
        <w:t xml:space="preserve"> </w:t>
      </w:r>
      <w:r w:rsidR="00A74311" w:rsidRPr="001E4E73">
        <w:rPr>
          <w:rFonts w:ascii="Times New Roman" w:hAnsi="Times New Roman"/>
        </w:rPr>
        <w:t xml:space="preserve">is </w:t>
      </w:r>
      <w:r w:rsidR="00423417" w:rsidRPr="001E4E73">
        <w:rPr>
          <w:rFonts w:ascii="Times New Roman" w:hAnsi="Times New Roman"/>
        </w:rPr>
        <w:t>more practical</w:t>
      </w:r>
      <w:r w:rsidRPr="001E4E73">
        <w:rPr>
          <w:rFonts w:ascii="Times New Roman" w:hAnsi="Times New Roman"/>
        </w:rPr>
        <w:t xml:space="preserve"> </w:t>
      </w:r>
      <w:r w:rsidR="00423417" w:rsidRPr="001E4E73">
        <w:rPr>
          <w:rFonts w:ascii="Times New Roman" w:hAnsi="Times New Roman"/>
        </w:rPr>
        <w:t>to be distributed via</w:t>
      </w:r>
      <w:r w:rsidRPr="001E4E73">
        <w:rPr>
          <w:rFonts w:ascii="Times New Roman" w:hAnsi="Times New Roman"/>
        </w:rPr>
        <w:t xml:space="preserve"> an accommodation provider (e.g. in a hotel or caravan park), or the cost of supply would be prohibitive </w:t>
      </w:r>
      <w:r w:rsidR="00423417" w:rsidRPr="001E4E73">
        <w:rPr>
          <w:rFonts w:ascii="Times New Roman" w:hAnsi="Times New Roman"/>
        </w:rPr>
        <w:t>due to necessary</w:t>
      </w:r>
      <w:r w:rsidRPr="001E4E73">
        <w:rPr>
          <w:rFonts w:ascii="Times New Roman" w:hAnsi="Times New Roman"/>
        </w:rPr>
        <w:t xml:space="preserve"> adjustments at the </w:t>
      </w:r>
      <w:r w:rsidR="00BE6AEE" w:rsidRPr="001E4E73">
        <w:rPr>
          <w:rFonts w:ascii="Times New Roman" w:hAnsi="Times New Roman"/>
        </w:rPr>
        <w:t xml:space="preserve">premises </w:t>
      </w:r>
      <w:r w:rsidRPr="001E4E73">
        <w:rPr>
          <w:rFonts w:ascii="Times New Roman" w:hAnsi="Times New Roman"/>
        </w:rPr>
        <w:t>concerned.</w:t>
      </w:r>
      <w:r w:rsidR="00794D74" w:rsidRPr="001E4E73">
        <w:rPr>
          <w:rFonts w:ascii="Times New Roman" w:hAnsi="Times New Roman"/>
        </w:rPr>
        <w:t xml:space="preserve"> This Instrument describes such circumstances and provides the option for a SIP to claim an exception to connection or supply</w:t>
      </w:r>
      <w:r w:rsidR="00C94BF2" w:rsidRPr="001E4E73">
        <w:rPr>
          <w:rFonts w:ascii="Times New Roman" w:hAnsi="Times New Roman"/>
        </w:rPr>
        <w:t xml:space="preserve"> obligations</w:t>
      </w:r>
      <w:r w:rsidR="00794D74" w:rsidRPr="001E4E73">
        <w:rPr>
          <w:rFonts w:ascii="Times New Roman" w:hAnsi="Times New Roman"/>
        </w:rPr>
        <w:t>.</w:t>
      </w:r>
    </w:p>
    <w:p w14:paraId="1B805412" w14:textId="77777777" w:rsidR="004513B4" w:rsidRPr="001E4E73" w:rsidRDefault="004513B4" w:rsidP="004513B4">
      <w:pPr>
        <w:spacing w:after="0" w:line="276" w:lineRule="auto"/>
        <w:rPr>
          <w:rFonts w:ascii="Times New Roman" w:hAnsi="Times New Roman"/>
        </w:rPr>
      </w:pPr>
    </w:p>
    <w:p w14:paraId="2525E49F" w14:textId="7FFA8252" w:rsidR="00616FB0" w:rsidRPr="001E4E73" w:rsidRDefault="00CD54BB" w:rsidP="00CD54BB">
      <w:pPr>
        <w:spacing w:after="0" w:line="276" w:lineRule="auto"/>
        <w:rPr>
          <w:rFonts w:ascii="Times New Roman" w:hAnsi="Times New Roman"/>
        </w:rPr>
      </w:pPr>
      <w:r w:rsidRPr="001E4E73">
        <w:rPr>
          <w:rFonts w:ascii="Times New Roman" w:hAnsi="Times New Roman"/>
        </w:rPr>
        <w:t xml:space="preserve">A SIP cannot reject a connection or supply request because </w:t>
      </w:r>
      <w:r w:rsidR="00162101" w:rsidRPr="001E4E73">
        <w:rPr>
          <w:rFonts w:ascii="Times New Roman" w:hAnsi="Times New Roman"/>
        </w:rPr>
        <w:t>an</w:t>
      </w:r>
      <w:r w:rsidR="00B80897" w:rsidRPr="001E4E73">
        <w:rPr>
          <w:rFonts w:ascii="Times New Roman" w:hAnsi="Times New Roman"/>
        </w:rPr>
        <w:t xml:space="preserve"> end-user </w:t>
      </w:r>
      <w:r w:rsidR="005D1F44" w:rsidRPr="001E4E73">
        <w:rPr>
          <w:rFonts w:ascii="Times New Roman" w:hAnsi="Times New Roman"/>
        </w:rPr>
        <w:t>is</w:t>
      </w:r>
      <w:r w:rsidR="009B6903" w:rsidRPr="001E4E73">
        <w:rPr>
          <w:rFonts w:ascii="Times New Roman" w:hAnsi="Times New Roman"/>
        </w:rPr>
        <w:t xml:space="preserve"> difficult</w:t>
      </w:r>
      <w:r w:rsidR="00435CFC" w:rsidRPr="001E4E73">
        <w:rPr>
          <w:rFonts w:ascii="Times New Roman" w:hAnsi="Times New Roman"/>
        </w:rPr>
        <w:t xml:space="preserve"> to deal with</w:t>
      </w:r>
      <w:r w:rsidR="009B6903" w:rsidRPr="001E4E73">
        <w:rPr>
          <w:rFonts w:ascii="Times New Roman" w:hAnsi="Times New Roman"/>
        </w:rPr>
        <w:t>, or</w:t>
      </w:r>
      <w:r w:rsidR="005D1F44" w:rsidRPr="001E4E73">
        <w:rPr>
          <w:rFonts w:ascii="Times New Roman" w:hAnsi="Times New Roman"/>
        </w:rPr>
        <w:t xml:space="preserve"> has </w:t>
      </w:r>
      <w:r w:rsidR="009B6903" w:rsidRPr="001E4E73">
        <w:rPr>
          <w:rFonts w:ascii="Times New Roman" w:hAnsi="Times New Roman"/>
        </w:rPr>
        <w:t>complain</w:t>
      </w:r>
      <w:r w:rsidR="005D1F44" w:rsidRPr="001E4E73">
        <w:rPr>
          <w:rFonts w:ascii="Times New Roman" w:hAnsi="Times New Roman"/>
        </w:rPr>
        <w:t xml:space="preserve">ed </w:t>
      </w:r>
      <w:r w:rsidR="009B6903" w:rsidRPr="001E4E73">
        <w:rPr>
          <w:rFonts w:ascii="Times New Roman" w:hAnsi="Times New Roman"/>
        </w:rPr>
        <w:t>publicly</w:t>
      </w:r>
      <w:r w:rsidR="00B80897" w:rsidRPr="001E4E73">
        <w:rPr>
          <w:rFonts w:ascii="Times New Roman" w:hAnsi="Times New Roman"/>
        </w:rPr>
        <w:t xml:space="preserve"> about the performance of the SIP network</w:t>
      </w:r>
      <w:r w:rsidR="009B6903" w:rsidRPr="001E4E73">
        <w:rPr>
          <w:rFonts w:ascii="Times New Roman" w:hAnsi="Times New Roman"/>
        </w:rPr>
        <w:t>, or ha</w:t>
      </w:r>
      <w:r w:rsidR="005D1F44" w:rsidRPr="001E4E73">
        <w:rPr>
          <w:rFonts w:ascii="Times New Roman" w:hAnsi="Times New Roman"/>
        </w:rPr>
        <w:t xml:space="preserve">s </w:t>
      </w:r>
      <w:r w:rsidR="009B6903" w:rsidRPr="001E4E73">
        <w:rPr>
          <w:rFonts w:ascii="Times New Roman" w:hAnsi="Times New Roman"/>
        </w:rPr>
        <w:t>the option of a third</w:t>
      </w:r>
      <w:r w:rsidRPr="001E4E73">
        <w:rPr>
          <w:rFonts w:ascii="Times New Roman" w:hAnsi="Times New Roman"/>
        </w:rPr>
        <w:t>-</w:t>
      </w:r>
      <w:r w:rsidR="009B6903" w:rsidRPr="001E4E73">
        <w:rPr>
          <w:rFonts w:ascii="Times New Roman" w:hAnsi="Times New Roman"/>
        </w:rPr>
        <w:t>party provider</w:t>
      </w:r>
      <w:r w:rsidR="00162101" w:rsidRPr="001E4E73">
        <w:rPr>
          <w:rFonts w:ascii="Times New Roman" w:hAnsi="Times New Roman"/>
        </w:rPr>
        <w:t xml:space="preserve">. </w:t>
      </w:r>
      <w:r w:rsidRPr="001E4E73">
        <w:rPr>
          <w:rFonts w:ascii="Times New Roman" w:hAnsi="Times New Roman"/>
        </w:rPr>
        <w:t xml:space="preserve">The SIP regime protects the public from subjective commercial interests and ensures </w:t>
      </w:r>
      <w:r w:rsidR="00B25844" w:rsidRPr="001E4E73">
        <w:rPr>
          <w:rFonts w:ascii="Times New Roman" w:hAnsi="Times New Roman"/>
        </w:rPr>
        <w:t xml:space="preserve">Government </w:t>
      </w:r>
      <w:r w:rsidRPr="001E4E73">
        <w:rPr>
          <w:rFonts w:ascii="Times New Roman" w:hAnsi="Times New Roman"/>
        </w:rPr>
        <w:t>policy objectives are maintained.</w:t>
      </w:r>
    </w:p>
    <w:p w14:paraId="39C07670" w14:textId="77777777" w:rsidR="00CD54BB" w:rsidRPr="001E4E73" w:rsidRDefault="00CD54BB" w:rsidP="00CD54BB">
      <w:pPr>
        <w:spacing w:after="0" w:line="276" w:lineRule="auto"/>
        <w:rPr>
          <w:rFonts w:ascii="Times New Roman" w:hAnsi="Times New Roman"/>
        </w:rPr>
      </w:pPr>
    </w:p>
    <w:p w14:paraId="278C75E3" w14:textId="77777777" w:rsidR="00162101" w:rsidRPr="001E4E73" w:rsidRDefault="00FA05B4" w:rsidP="00CD54BB">
      <w:pPr>
        <w:spacing w:after="0" w:line="276" w:lineRule="auto"/>
        <w:rPr>
          <w:rFonts w:ascii="Times New Roman" w:hAnsi="Times New Roman"/>
        </w:rPr>
      </w:pPr>
      <w:r w:rsidRPr="001E4E73">
        <w:rPr>
          <w:rFonts w:ascii="Times New Roman" w:hAnsi="Times New Roman"/>
        </w:rPr>
        <w:t>T</w:t>
      </w:r>
      <w:r w:rsidR="00162101" w:rsidRPr="001E4E73">
        <w:rPr>
          <w:rFonts w:ascii="Times New Roman" w:hAnsi="Times New Roman"/>
        </w:rPr>
        <w:t xml:space="preserve">he Instrument </w:t>
      </w:r>
      <w:r w:rsidR="00C52269" w:rsidRPr="001E4E73">
        <w:rPr>
          <w:rFonts w:ascii="Times New Roman" w:hAnsi="Times New Roman"/>
        </w:rPr>
        <w:t>addresses</w:t>
      </w:r>
      <w:r w:rsidR="00162101" w:rsidRPr="001E4E73">
        <w:rPr>
          <w:rFonts w:ascii="Times New Roman" w:hAnsi="Times New Roman"/>
        </w:rPr>
        <w:t xml:space="preserve"> circumstances </w:t>
      </w:r>
      <w:r w:rsidR="001D541C" w:rsidRPr="001E4E73">
        <w:rPr>
          <w:rFonts w:ascii="Times New Roman" w:hAnsi="Times New Roman"/>
        </w:rPr>
        <w:t>in which permanent or longer-term issues prevent a</w:t>
      </w:r>
      <w:r w:rsidR="00162101" w:rsidRPr="001E4E73">
        <w:rPr>
          <w:rFonts w:ascii="Times New Roman" w:hAnsi="Times New Roman"/>
        </w:rPr>
        <w:t xml:space="preserve"> SIP from connecting or supplying a service</w:t>
      </w:r>
      <w:r w:rsidR="001D541C" w:rsidRPr="001E4E73">
        <w:rPr>
          <w:rFonts w:ascii="Times New Roman" w:hAnsi="Times New Roman"/>
        </w:rPr>
        <w:t xml:space="preserve">. </w:t>
      </w:r>
      <w:r w:rsidR="00162101" w:rsidRPr="001E4E73">
        <w:rPr>
          <w:rFonts w:ascii="Times New Roman" w:hAnsi="Times New Roman"/>
        </w:rPr>
        <w:t xml:space="preserve">It </w:t>
      </w:r>
      <w:r w:rsidR="001D541C" w:rsidRPr="001E4E73">
        <w:rPr>
          <w:rFonts w:ascii="Times New Roman" w:hAnsi="Times New Roman"/>
        </w:rPr>
        <w:t>is not intended to apply to</w:t>
      </w:r>
      <w:r w:rsidR="00162101" w:rsidRPr="001E4E73">
        <w:rPr>
          <w:rFonts w:ascii="Times New Roman" w:hAnsi="Times New Roman"/>
        </w:rPr>
        <w:t xml:space="preserve"> circumstances </w:t>
      </w:r>
      <w:r w:rsidR="001D541C" w:rsidRPr="001E4E73">
        <w:rPr>
          <w:rFonts w:ascii="Times New Roman" w:hAnsi="Times New Roman"/>
        </w:rPr>
        <w:t>which constitute a temporary delay to a service that would otherwise be connected or supplied by the SIP without issue</w:t>
      </w:r>
      <w:r w:rsidR="00162101" w:rsidRPr="001E4E73">
        <w:rPr>
          <w:rFonts w:ascii="Times New Roman" w:hAnsi="Times New Roman"/>
        </w:rPr>
        <w:t>. In some instances, however, there is a fine line between whether an absolute refusal is warranted</w:t>
      </w:r>
      <w:r w:rsidR="002258DD" w:rsidRPr="001E4E73">
        <w:rPr>
          <w:rFonts w:ascii="Times New Roman" w:hAnsi="Times New Roman"/>
        </w:rPr>
        <w:t>,</w:t>
      </w:r>
      <w:r w:rsidR="00162101" w:rsidRPr="001E4E73">
        <w:rPr>
          <w:rFonts w:ascii="Times New Roman" w:hAnsi="Times New Roman"/>
        </w:rPr>
        <w:t xml:space="preserve"> or simply a delay (e.g. </w:t>
      </w:r>
      <w:r w:rsidR="001D541C" w:rsidRPr="001E4E73">
        <w:rPr>
          <w:rFonts w:ascii="Times New Roman" w:hAnsi="Times New Roman"/>
        </w:rPr>
        <w:t>a new development experiences a</w:t>
      </w:r>
      <w:r w:rsidR="00162101" w:rsidRPr="001E4E73">
        <w:rPr>
          <w:rFonts w:ascii="Times New Roman" w:hAnsi="Times New Roman"/>
        </w:rPr>
        <w:t xml:space="preserve"> construction </w:t>
      </w:r>
      <w:r w:rsidR="001D541C" w:rsidRPr="001E4E73">
        <w:rPr>
          <w:rFonts w:ascii="Times New Roman" w:hAnsi="Times New Roman"/>
        </w:rPr>
        <w:t>delay, but is close to completion</w:t>
      </w:r>
      <w:r w:rsidR="00162101" w:rsidRPr="001E4E73">
        <w:rPr>
          <w:rFonts w:ascii="Times New Roman" w:hAnsi="Times New Roman"/>
        </w:rPr>
        <w:t xml:space="preserve">). </w:t>
      </w:r>
      <w:r w:rsidR="00635B8F" w:rsidRPr="001E4E73">
        <w:rPr>
          <w:rFonts w:ascii="Times New Roman" w:hAnsi="Times New Roman"/>
        </w:rPr>
        <w:t xml:space="preserve">SIPs </w:t>
      </w:r>
      <w:r w:rsidR="00162101" w:rsidRPr="001E4E73">
        <w:rPr>
          <w:rFonts w:ascii="Times New Roman" w:hAnsi="Times New Roman"/>
        </w:rPr>
        <w:t xml:space="preserve">are expected to exercise judgment in considering such issues, noting the fundamental intention </w:t>
      </w:r>
      <w:r w:rsidR="00DE16A1" w:rsidRPr="001E4E73">
        <w:rPr>
          <w:rFonts w:ascii="Times New Roman" w:hAnsi="Times New Roman"/>
        </w:rPr>
        <w:t xml:space="preserve">of the SIP regime </w:t>
      </w:r>
      <w:r w:rsidR="00162101" w:rsidRPr="001E4E73">
        <w:rPr>
          <w:rFonts w:ascii="Times New Roman" w:hAnsi="Times New Roman"/>
        </w:rPr>
        <w:t xml:space="preserve">is to facilitate access, not deny it. </w:t>
      </w:r>
      <w:r w:rsidR="00C42040" w:rsidRPr="001E4E73">
        <w:rPr>
          <w:rFonts w:ascii="Times New Roman" w:hAnsi="Times New Roman"/>
        </w:rPr>
        <w:t>C</w:t>
      </w:r>
      <w:r w:rsidR="00162101" w:rsidRPr="001E4E73">
        <w:rPr>
          <w:rFonts w:ascii="Times New Roman" w:hAnsi="Times New Roman"/>
        </w:rPr>
        <w:t xml:space="preserve">ircumstances in which connection or supply have been refused can change </w:t>
      </w:r>
      <w:r w:rsidR="00DE16A1" w:rsidRPr="001E4E73">
        <w:rPr>
          <w:rFonts w:ascii="Times New Roman" w:hAnsi="Times New Roman"/>
        </w:rPr>
        <w:t xml:space="preserve">(e.g. </w:t>
      </w:r>
      <w:r w:rsidR="00AE5ACA" w:rsidRPr="001E4E73">
        <w:rPr>
          <w:rFonts w:ascii="Times New Roman" w:hAnsi="Times New Roman"/>
        </w:rPr>
        <w:t>a lack of SIP access to premises due to an impediment is resolved by the end-user),</w:t>
      </w:r>
      <w:r w:rsidR="00DE16A1" w:rsidRPr="001E4E73">
        <w:rPr>
          <w:rFonts w:ascii="Times New Roman" w:hAnsi="Times New Roman"/>
        </w:rPr>
        <w:t xml:space="preserve"> a</w:t>
      </w:r>
      <w:r w:rsidR="00162101" w:rsidRPr="001E4E73">
        <w:rPr>
          <w:rFonts w:ascii="Times New Roman" w:hAnsi="Times New Roman"/>
        </w:rPr>
        <w:t>nd where circumstances change s</w:t>
      </w:r>
      <w:r w:rsidR="00DE16A1" w:rsidRPr="001E4E73">
        <w:rPr>
          <w:rFonts w:ascii="Times New Roman" w:hAnsi="Times New Roman"/>
        </w:rPr>
        <w:t>o too ma</w:t>
      </w:r>
      <w:r w:rsidR="00162101" w:rsidRPr="001E4E73">
        <w:rPr>
          <w:rFonts w:ascii="Times New Roman" w:hAnsi="Times New Roman"/>
        </w:rPr>
        <w:t xml:space="preserve">y a SIP’s </w:t>
      </w:r>
      <w:r w:rsidR="00AE5ACA" w:rsidRPr="001E4E73">
        <w:rPr>
          <w:rFonts w:ascii="Times New Roman" w:hAnsi="Times New Roman"/>
        </w:rPr>
        <w:t>exception</w:t>
      </w:r>
      <w:r w:rsidR="009D6775" w:rsidRPr="001E4E73">
        <w:rPr>
          <w:rFonts w:ascii="Times New Roman" w:hAnsi="Times New Roman"/>
        </w:rPr>
        <w:t xml:space="preserve"> from </w:t>
      </w:r>
      <w:r w:rsidR="00162101" w:rsidRPr="001E4E73">
        <w:rPr>
          <w:rFonts w:ascii="Times New Roman" w:hAnsi="Times New Roman"/>
        </w:rPr>
        <w:t>connect</w:t>
      </w:r>
      <w:r w:rsidR="009D6775" w:rsidRPr="001E4E73">
        <w:rPr>
          <w:rFonts w:ascii="Times New Roman" w:hAnsi="Times New Roman"/>
        </w:rPr>
        <w:t>ing</w:t>
      </w:r>
      <w:r w:rsidR="00162101" w:rsidRPr="001E4E73">
        <w:rPr>
          <w:rFonts w:ascii="Times New Roman" w:hAnsi="Times New Roman"/>
        </w:rPr>
        <w:t xml:space="preserve"> and supply</w:t>
      </w:r>
      <w:r w:rsidR="009D6775" w:rsidRPr="001E4E73">
        <w:rPr>
          <w:rFonts w:ascii="Times New Roman" w:hAnsi="Times New Roman"/>
        </w:rPr>
        <w:t>ing</w:t>
      </w:r>
      <w:r w:rsidR="00162101" w:rsidRPr="001E4E73">
        <w:rPr>
          <w:rFonts w:ascii="Times New Roman" w:hAnsi="Times New Roman"/>
        </w:rPr>
        <w:t xml:space="preserve"> services.</w:t>
      </w:r>
      <w:r w:rsidR="00DE16A1" w:rsidRPr="001E4E73">
        <w:rPr>
          <w:rFonts w:ascii="Times New Roman" w:hAnsi="Times New Roman"/>
        </w:rPr>
        <w:t xml:space="preserve"> </w:t>
      </w:r>
      <w:r w:rsidR="00AE5ACA" w:rsidRPr="001E4E73">
        <w:rPr>
          <w:rFonts w:ascii="Times New Roman" w:hAnsi="Times New Roman"/>
        </w:rPr>
        <w:t>In addition, w</w:t>
      </w:r>
      <w:r w:rsidR="00DE16A1" w:rsidRPr="001E4E73">
        <w:rPr>
          <w:rFonts w:ascii="Times New Roman" w:hAnsi="Times New Roman"/>
        </w:rPr>
        <w:t xml:space="preserve">hile the Instrument sets out the circumstances in which SIPs may refuse connection and supply, </w:t>
      </w:r>
      <w:r w:rsidR="00AE5ACA" w:rsidRPr="001E4E73">
        <w:rPr>
          <w:rFonts w:ascii="Times New Roman" w:hAnsi="Times New Roman"/>
        </w:rPr>
        <w:t>the SIP</w:t>
      </w:r>
      <w:r w:rsidR="00DE16A1" w:rsidRPr="001E4E73">
        <w:rPr>
          <w:rFonts w:ascii="Times New Roman" w:hAnsi="Times New Roman"/>
        </w:rPr>
        <w:t xml:space="preserve"> </w:t>
      </w:r>
      <w:r w:rsidR="00AE5ACA" w:rsidRPr="001E4E73">
        <w:rPr>
          <w:rFonts w:ascii="Times New Roman" w:hAnsi="Times New Roman"/>
        </w:rPr>
        <w:t>may choose to</w:t>
      </w:r>
      <w:r w:rsidR="00DE16A1" w:rsidRPr="001E4E73">
        <w:rPr>
          <w:rFonts w:ascii="Times New Roman" w:hAnsi="Times New Roman"/>
        </w:rPr>
        <w:t xml:space="preserve"> </w:t>
      </w:r>
      <w:r w:rsidR="00AE5ACA" w:rsidRPr="001E4E73">
        <w:rPr>
          <w:rFonts w:ascii="Times New Roman" w:hAnsi="Times New Roman"/>
        </w:rPr>
        <w:t xml:space="preserve">proceed </w:t>
      </w:r>
      <w:r w:rsidR="00DE16A1" w:rsidRPr="001E4E73">
        <w:rPr>
          <w:rFonts w:ascii="Times New Roman" w:hAnsi="Times New Roman"/>
        </w:rPr>
        <w:t xml:space="preserve">even if </w:t>
      </w:r>
      <w:r w:rsidR="00AE5ACA" w:rsidRPr="001E4E73">
        <w:rPr>
          <w:rFonts w:ascii="Times New Roman" w:hAnsi="Times New Roman"/>
        </w:rPr>
        <w:t>it is eligible for an exception</w:t>
      </w:r>
      <w:r w:rsidR="00DE16A1" w:rsidRPr="001E4E73">
        <w:rPr>
          <w:rFonts w:ascii="Times New Roman" w:hAnsi="Times New Roman"/>
        </w:rPr>
        <w:t xml:space="preserve"> under the Instrument.</w:t>
      </w:r>
    </w:p>
    <w:p w14:paraId="52935F14" w14:textId="77777777" w:rsidR="00AE5ACA" w:rsidRPr="001E4E73" w:rsidRDefault="00AE5ACA" w:rsidP="00CD54BB">
      <w:pPr>
        <w:spacing w:after="0" w:line="276" w:lineRule="auto"/>
        <w:rPr>
          <w:rFonts w:ascii="Times New Roman" w:hAnsi="Times New Roman"/>
        </w:rPr>
      </w:pPr>
    </w:p>
    <w:p w14:paraId="7AB36564" w14:textId="1F66DE82" w:rsidR="002B5CE3" w:rsidRPr="001E4E73" w:rsidRDefault="00281930" w:rsidP="00AE5ACA">
      <w:pPr>
        <w:spacing w:after="0" w:line="276" w:lineRule="auto"/>
        <w:rPr>
          <w:rFonts w:ascii="Times New Roman" w:hAnsi="Times New Roman"/>
        </w:rPr>
      </w:pPr>
      <w:r w:rsidRPr="001E4E73">
        <w:rPr>
          <w:rFonts w:ascii="Times New Roman" w:hAnsi="Times New Roman"/>
        </w:rPr>
        <w:t>An</w:t>
      </w:r>
      <w:r w:rsidR="00B25844" w:rsidRPr="001E4E73">
        <w:rPr>
          <w:rFonts w:ascii="Times New Roman" w:hAnsi="Times New Roman"/>
        </w:rPr>
        <w:t xml:space="preserve"> issue raised during consultation on the draft Instrument was the p</w:t>
      </w:r>
      <w:r w:rsidR="00A240D1" w:rsidRPr="001E4E73">
        <w:rPr>
          <w:rFonts w:ascii="Times New Roman" w:hAnsi="Times New Roman"/>
        </w:rPr>
        <w:t>otential</w:t>
      </w:r>
      <w:r w:rsidR="00B25844" w:rsidRPr="001E4E73">
        <w:rPr>
          <w:rFonts w:ascii="Times New Roman" w:hAnsi="Times New Roman"/>
        </w:rPr>
        <w:t xml:space="preserve"> for a SIP to deny a connection or a service because of </w:t>
      </w:r>
      <w:r w:rsidR="00A240D1" w:rsidRPr="001E4E73">
        <w:rPr>
          <w:rFonts w:ascii="Times New Roman" w:hAnsi="Times New Roman"/>
        </w:rPr>
        <w:t xml:space="preserve">capacity constraints </w:t>
      </w:r>
      <w:r w:rsidR="00B25844" w:rsidRPr="001E4E73">
        <w:rPr>
          <w:rFonts w:ascii="Times New Roman" w:hAnsi="Times New Roman"/>
        </w:rPr>
        <w:t>in a network</w:t>
      </w:r>
      <w:r w:rsidR="00A240D1" w:rsidRPr="001E4E73">
        <w:rPr>
          <w:rFonts w:ascii="Times New Roman" w:hAnsi="Times New Roman"/>
        </w:rPr>
        <w:t xml:space="preserve">. SIPs </w:t>
      </w:r>
      <w:r w:rsidR="00CD27B1" w:rsidRPr="001E4E73">
        <w:rPr>
          <w:rFonts w:ascii="Times New Roman" w:hAnsi="Times New Roman"/>
        </w:rPr>
        <w:t>are expected to</w:t>
      </w:r>
      <w:r w:rsidR="00E0541D" w:rsidRPr="001E4E73">
        <w:rPr>
          <w:rFonts w:ascii="Times New Roman" w:hAnsi="Times New Roman"/>
        </w:rPr>
        <w:t xml:space="preserve"> </w:t>
      </w:r>
      <w:r w:rsidR="00A240D1" w:rsidRPr="001E4E73">
        <w:rPr>
          <w:rFonts w:ascii="Times New Roman" w:hAnsi="Times New Roman"/>
        </w:rPr>
        <w:t xml:space="preserve">plan for and maintain sufficient capacity to respond to connection or supply requests in their service areas. As such, capacity constraints </w:t>
      </w:r>
      <w:r w:rsidR="005D0295" w:rsidRPr="001E4E73">
        <w:rPr>
          <w:rFonts w:ascii="Times New Roman" w:hAnsi="Times New Roman"/>
        </w:rPr>
        <w:t xml:space="preserve">are </w:t>
      </w:r>
      <w:r w:rsidR="00A240D1" w:rsidRPr="001E4E73">
        <w:rPr>
          <w:rFonts w:ascii="Times New Roman" w:hAnsi="Times New Roman"/>
        </w:rPr>
        <w:t xml:space="preserve">not appropriate grounds for outright refusal for </w:t>
      </w:r>
      <w:r w:rsidR="00A240D1" w:rsidRPr="001E4E73">
        <w:rPr>
          <w:rFonts w:ascii="Times New Roman" w:hAnsi="Times New Roman"/>
        </w:rPr>
        <w:lastRenderedPageBreak/>
        <w:t>connection or supply by SIPs</w:t>
      </w:r>
      <w:r w:rsidR="00F74135" w:rsidRPr="001E4E73">
        <w:rPr>
          <w:rFonts w:ascii="Times New Roman" w:hAnsi="Times New Roman"/>
        </w:rPr>
        <w:t xml:space="preserve"> (and </w:t>
      </w:r>
      <w:r w:rsidR="00B25844" w:rsidRPr="001E4E73">
        <w:rPr>
          <w:rFonts w:ascii="Times New Roman" w:hAnsi="Times New Roman"/>
        </w:rPr>
        <w:t>are</w:t>
      </w:r>
      <w:r w:rsidR="00F74135" w:rsidRPr="001E4E73">
        <w:rPr>
          <w:rFonts w:ascii="Times New Roman" w:hAnsi="Times New Roman"/>
        </w:rPr>
        <w:t xml:space="preserve"> not </w:t>
      </w:r>
      <w:r w:rsidR="00B25844" w:rsidRPr="001E4E73">
        <w:rPr>
          <w:rFonts w:ascii="Times New Roman" w:hAnsi="Times New Roman"/>
        </w:rPr>
        <w:t>treated as such</w:t>
      </w:r>
      <w:r w:rsidR="00F74135" w:rsidRPr="001E4E73">
        <w:rPr>
          <w:rFonts w:ascii="Times New Roman" w:hAnsi="Times New Roman"/>
        </w:rPr>
        <w:t xml:space="preserve"> in the Instrument)</w:t>
      </w:r>
      <w:r w:rsidR="00056EBE" w:rsidRPr="001E4E73">
        <w:rPr>
          <w:rFonts w:ascii="Times New Roman" w:hAnsi="Times New Roman"/>
        </w:rPr>
        <w:t xml:space="preserve">. This would constitute a delay and require action by the SIP to resolve the capacity constraint. </w:t>
      </w:r>
      <w:r w:rsidR="00B00CE0" w:rsidRPr="001E4E73">
        <w:rPr>
          <w:rFonts w:ascii="Times New Roman" w:hAnsi="Times New Roman"/>
        </w:rPr>
        <w:t>I</w:t>
      </w:r>
      <w:r w:rsidR="00A240D1" w:rsidRPr="001E4E73">
        <w:rPr>
          <w:rFonts w:ascii="Times New Roman" w:hAnsi="Times New Roman"/>
        </w:rPr>
        <w:t xml:space="preserve">f circumstances were to </w:t>
      </w:r>
      <w:r w:rsidR="00B25844" w:rsidRPr="001E4E73">
        <w:rPr>
          <w:rFonts w:ascii="Times New Roman" w:hAnsi="Times New Roman"/>
        </w:rPr>
        <w:t xml:space="preserve">occur </w:t>
      </w:r>
      <w:r w:rsidR="00A240D1" w:rsidRPr="001E4E73">
        <w:rPr>
          <w:rFonts w:ascii="Times New Roman" w:hAnsi="Times New Roman"/>
        </w:rPr>
        <w:t>that significantly impact the capacity of a SIP network</w:t>
      </w:r>
      <w:r w:rsidR="002B5CE3" w:rsidRPr="001E4E73">
        <w:rPr>
          <w:rFonts w:ascii="Times New Roman" w:hAnsi="Times New Roman"/>
        </w:rPr>
        <w:t xml:space="preserve"> (such as a new development with thousands of new premises in a rural or regional area with limited backhaul)</w:t>
      </w:r>
      <w:r w:rsidR="00A240D1" w:rsidRPr="001E4E73">
        <w:rPr>
          <w:rFonts w:ascii="Times New Roman" w:hAnsi="Times New Roman"/>
        </w:rPr>
        <w:t xml:space="preserve">, the regulator </w:t>
      </w:r>
      <w:r w:rsidR="007E4B5F" w:rsidRPr="001E4E73">
        <w:rPr>
          <w:rFonts w:ascii="Times New Roman" w:hAnsi="Times New Roman"/>
        </w:rPr>
        <w:t xml:space="preserve">would have scope to </w:t>
      </w:r>
      <w:r w:rsidR="00B00CE0" w:rsidRPr="001E4E73">
        <w:rPr>
          <w:rFonts w:ascii="Times New Roman" w:hAnsi="Times New Roman"/>
        </w:rPr>
        <w:t>take</w:t>
      </w:r>
      <w:r w:rsidR="00A240D1" w:rsidRPr="001E4E73">
        <w:rPr>
          <w:rFonts w:ascii="Times New Roman" w:hAnsi="Times New Roman"/>
        </w:rPr>
        <w:t xml:space="preserve"> </w:t>
      </w:r>
      <w:r w:rsidR="007E4B5F" w:rsidRPr="001E4E73">
        <w:rPr>
          <w:rFonts w:ascii="Times New Roman" w:hAnsi="Times New Roman"/>
        </w:rPr>
        <w:t xml:space="preserve">any </w:t>
      </w:r>
      <w:r w:rsidR="00A240D1" w:rsidRPr="001E4E73">
        <w:rPr>
          <w:rFonts w:ascii="Times New Roman" w:hAnsi="Times New Roman"/>
        </w:rPr>
        <w:t xml:space="preserve">extenuating factors into account, noting that </w:t>
      </w:r>
      <w:r w:rsidR="00B00CE0" w:rsidRPr="001E4E73">
        <w:rPr>
          <w:rFonts w:ascii="Times New Roman" w:hAnsi="Times New Roman"/>
        </w:rPr>
        <w:t xml:space="preserve">depending on </w:t>
      </w:r>
      <w:r w:rsidR="002B5CE3" w:rsidRPr="001E4E73">
        <w:rPr>
          <w:rFonts w:ascii="Times New Roman" w:hAnsi="Times New Roman"/>
        </w:rPr>
        <w:t xml:space="preserve">the </w:t>
      </w:r>
      <w:r w:rsidR="007E4B5F" w:rsidRPr="001E4E73">
        <w:rPr>
          <w:rFonts w:ascii="Times New Roman" w:hAnsi="Times New Roman"/>
        </w:rPr>
        <w:t>situation</w:t>
      </w:r>
      <w:r w:rsidR="00B00CE0" w:rsidRPr="001E4E73">
        <w:rPr>
          <w:rFonts w:ascii="Times New Roman" w:hAnsi="Times New Roman"/>
        </w:rPr>
        <w:t xml:space="preserve">, it may </w:t>
      </w:r>
      <w:r w:rsidR="00A240D1" w:rsidRPr="001E4E73">
        <w:rPr>
          <w:rFonts w:ascii="Times New Roman" w:hAnsi="Times New Roman"/>
        </w:rPr>
        <w:t xml:space="preserve">take some time to resolve capacity issues. </w:t>
      </w:r>
      <w:r w:rsidR="002B5CE3" w:rsidRPr="001E4E73">
        <w:rPr>
          <w:rFonts w:ascii="Times New Roman" w:hAnsi="Times New Roman"/>
        </w:rPr>
        <w:t xml:space="preserve">Ideally, with appropriate prior notice by the developer and forward planning by the SIP, this type of situation should be anticipated and therefore capacity provided </w:t>
      </w:r>
      <w:r w:rsidR="00F74135" w:rsidRPr="001E4E73">
        <w:rPr>
          <w:rFonts w:ascii="Times New Roman" w:hAnsi="Times New Roman"/>
        </w:rPr>
        <w:t xml:space="preserve">by the SIP </w:t>
      </w:r>
      <w:r w:rsidR="002B5CE3" w:rsidRPr="001E4E73">
        <w:rPr>
          <w:rFonts w:ascii="Times New Roman" w:hAnsi="Times New Roman"/>
        </w:rPr>
        <w:t>in advance of premises being occupied.</w:t>
      </w:r>
    </w:p>
    <w:p w14:paraId="4F45B972" w14:textId="77777777" w:rsidR="002B5CE3" w:rsidRPr="001E4E73" w:rsidRDefault="002B5CE3" w:rsidP="00AE5ACA">
      <w:pPr>
        <w:spacing w:after="0" w:line="276" w:lineRule="auto"/>
        <w:rPr>
          <w:rFonts w:ascii="Times New Roman" w:hAnsi="Times New Roman"/>
        </w:rPr>
      </w:pPr>
    </w:p>
    <w:p w14:paraId="40E817AA" w14:textId="77777777" w:rsidR="00A240D1" w:rsidRPr="001E4E73" w:rsidRDefault="00A240D1" w:rsidP="00AE5ACA">
      <w:pPr>
        <w:spacing w:after="0" w:line="276" w:lineRule="auto"/>
        <w:rPr>
          <w:rFonts w:ascii="Times New Roman" w:hAnsi="Times New Roman"/>
        </w:rPr>
      </w:pPr>
      <w:r w:rsidRPr="001E4E73">
        <w:rPr>
          <w:rFonts w:ascii="Times New Roman" w:hAnsi="Times New Roman"/>
        </w:rPr>
        <w:t>As already noted above, the Minister may make standards, rules and benchmarks that SIPs must generally comply with in relation to their operations, and this could exten</w:t>
      </w:r>
      <w:r w:rsidR="00E0541D" w:rsidRPr="001E4E73">
        <w:rPr>
          <w:rFonts w:ascii="Times New Roman" w:hAnsi="Times New Roman"/>
        </w:rPr>
        <w:t>d</w:t>
      </w:r>
      <w:r w:rsidRPr="001E4E73">
        <w:rPr>
          <w:rFonts w:ascii="Times New Roman" w:hAnsi="Times New Roman"/>
        </w:rPr>
        <w:t xml:space="preserve"> to establishing reasonable timeframes for SIPs to respond to any capacity issues.</w:t>
      </w:r>
    </w:p>
    <w:p w14:paraId="22E0B904" w14:textId="77777777" w:rsidR="00AE5ACA" w:rsidRPr="001E4E73" w:rsidRDefault="00AE5ACA" w:rsidP="00AE5ACA">
      <w:pPr>
        <w:spacing w:after="0" w:line="276" w:lineRule="auto"/>
        <w:rPr>
          <w:rFonts w:ascii="Times New Roman" w:hAnsi="Times New Roman"/>
        </w:rPr>
      </w:pPr>
    </w:p>
    <w:p w14:paraId="22268348" w14:textId="77777777" w:rsidR="00447E74" w:rsidRPr="001E4E73" w:rsidRDefault="008C23AE" w:rsidP="00F62BB9">
      <w:pPr>
        <w:spacing w:line="276" w:lineRule="auto"/>
        <w:rPr>
          <w:rFonts w:ascii="Times New Roman" w:hAnsi="Times New Roman"/>
          <w:i/>
        </w:rPr>
      </w:pPr>
      <w:r w:rsidRPr="001E4E73">
        <w:rPr>
          <w:rFonts w:ascii="Times New Roman" w:hAnsi="Times New Roman"/>
          <w:i/>
        </w:rPr>
        <w:t>Comparison with USO Instrument</w:t>
      </w:r>
    </w:p>
    <w:p w14:paraId="3A8716CE" w14:textId="4872EC01" w:rsidR="00FF22F6" w:rsidRPr="001E4E73" w:rsidRDefault="00447E74" w:rsidP="00F62BB9">
      <w:pPr>
        <w:spacing w:after="0" w:line="276" w:lineRule="auto"/>
        <w:rPr>
          <w:rFonts w:ascii="Times New Roman" w:hAnsi="Times New Roman"/>
        </w:rPr>
      </w:pPr>
      <w:r w:rsidRPr="001E4E73">
        <w:rPr>
          <w:rFonts w:ascii="Times New Roman" w:hAnsi="Times New Roman"/>
        </w:rPr>
        <w:t xml:space="preserve">In </w:t>
      </w:r>
      <w:r w:rsidR="005D1F44" w:rsidRPr="001E4E73">
        <w:rPr>
          <w:rFonts w:ascii="Times New Roman" w:hAnsi="Times New Roman"/>
        </w:rPr>
        <w:t>drafting</w:t>
      </w:r>
      <w:r w:rsidRPr="001E4E73">
        <w:rPr>
          <w:rFonts w:ascii="Times New Roman" w:hAnsi="Times New Roman"/>
        </w:rPr>
        <w:t xml:space="preserve"> the</w:t>
      </w:r>
      <w:r w:rsidR="00D4404A" w:rsidRPr="001E4E73">
        <w:rPr>
          <w:rFonts w:ascii="Times New Roman" w:hAnsi="Times New Roman"/>
        </w:rPr>
        <w:t xml:space="preserve"> </w:t>
      </w:r>
      <w:r w:rsidR="00B25844" w:rsidRPr="001E4E73">
        <w:rPr>
          <w:rFonts w:ascii="Times New Roman" w:hAnsi="Times New Roman"/>
        </w:rPr>
        <w:t xml:space="preserve">2021 </w:t>
      </w:r>
      <w:r w:rsidR="001B729D" w:rsidRPr="001E4E73">
        <w:rPr>
          <w:rFonts w:ascii="Times New Roman" w:hAnsi="Times New Roman"/>
        </w:rPr>
        <w:t>i</w:t>
      </w:r>
      <w:r w:rsidRPr="001E4E73">
        <w:rPr>
          <w:rFonts w:ascii="Times New Roman" w:hAnsi="Times New Roman"/>
        </w:rPr>
        <w:t xml:space="preserve">nstrument, regard </w:t>
      </w:r>
      <w:r w:rsidR="00D4404A" w:rsidRPr="001E4E73">
        <w:rPr>
          <w:rFonts w:ascii="Times New Roman" w:hAnsi="Times New Roman"/>
        </w:rPr>
        <w:t>was</w:t>
      </w:r>
      <w:r w:rsidRPr="001E4E73">
        <w:rPr>
          <w:rFonts w:ascii="Times New Roman" w:hAnsi="Times New Roman"/>
        </w:rPr>
        <w:t xml:space="preserve"> given to the</w:t>
      </w:r>
      <w:r w:rsidRPr="001E4E73">
        <w:rPr>
          <w:rFonts w:ascii="Times New Roman" w:hAnsi="Times New Roman"/>
          <w:i/>
        </w:rPr>
        <w:t xml:space="preserve"> Telecommunications Universal Service Obligation (Standard Telephone Service—Requirements and Circumstances) Determination 2011</w:t>
      </w:r>
      <w:r w:rsidRPr="001E4E73">
        <w:rPr>
          <w:rStyle w:val="FootnoteReference"/>
          <w:rFonts w:ascii="Times New Roman" w:hAnsi="Times New Roman"/>
        </w:rPr>
        <w:footnoteReference w:id="3"/>
      </w:r>
      <w:r w:rsidRPr="001E4E73">
        <w:rPr>
          <w:rFonts w:ascii="Times New Roman" w:hAnsi="Times New Roman"/>
          <w:i/>
        </w:rPr>
        <w:t xml:space="preserve"> </w:t>
      </w:r>
      <w:r w:rsidR="00F54984" w:rsidRPr="001E4E73">
        <w:rPr>
          <w:rFonts w:ascii="Times New Roman" w:hAnsi="Times New Roman"/>
        </w:rPr>
        <w:t>(</w:t>
      </w:r>
      <w:r w:rsidRPr="001E4E73">
        <w:rPr>
          <w:rFonts w:ascii="Times New Roman" w:hAnsi="Times New Roman"/>
        </w:rPr>
        <w:t xml:space="preserve">the </w:t>
      </w:r>
      <w:r w:rsidR="00F54984" w:rsidRPr="001E4E73">
        <w:rPr>
          <w:rFonts w:ascii="Times New Roman" w:hAnsi="Times New Roman"/>
        </w:rPr>
        <w:t>Universal Service Obligation (</w:t>
      </w:r>
      <w:r w:rsidRPr="001E4E73">
        <w:rPr>
          <w:rFonts w:ascii="Times New Roman" w:hAnsi="Times New Roman"/>
        </w:rPr>
        <w:t>USO</w:t>
      </w:r>
      <w:r w:rsidR="00F54984" w:rsidRPr="001E4E73">
        <w:rPr>
          <w:rFonts w:ascii="Times New Roman" w:hAnsi="Times New Roman"/>
        </w:rPr>
        <w:t>)</w:t>
      </w:r>
      <w:r w:rsidRPr="001E4E73">
        <w:rPr>
          <w:rFonts w:ascii="Times New Roman" w:hAnsi="Times New Roman"/>
        </w:rPr>
        <w:t xml:space="preserve"> </w:t>
      </w:r>
      <w:r w:rsidR="009C0D38" w:rsidRPr="001E4E73">
        <w:rPr>
          <w:rFonts w:ascii="Times New Roman" w:hAnsi="Times New Roman"/>
        </w:rPr>
        <w:t>I</w:t>
      </w:r>
      <w:r w:rsidRPr="001E4E73">
        <w:rPr>
          <w:rFonts w:ascii="Times New Roman" w:hAnsi="Times New Roman"/>
        </w:rPr>
        <w:t xml:space="preserve">nstrument), which performs a similar role in relation to the USO, </w:t>
      </w:r>
      <w:r w:rsidR="006B1796" w:rsidRPr="001E4E73">
        <w:rPr>
          <w:rFonts w:ascii="Times New Roman" w:hAnsi="Times New Roman"/>
        </w:rPr>
        <w:t>requir</w:t>
      </w:r>
      <w:r w:rsidR="001B729D" w:rsidRPr="001E4E73">
        <w:rPr>
          <w:rFonts w:ascii="Times New Roman" w:hAnsi="Times New Roman"/>
        </w:rPr>
        <w:t>ing</w:t>
      </w:r>
      <w:r w:rsidR="006B1796" w:rsidRPr="001E4E73">
        <w:rPr>
          <w:rFonts w:ascii="Times New Roman" w:hAnsi="Times New Roman"/>
        </w:rPr>
        <w:t xml:space="preserve"> Telstra Limited to ensure that voice services and payphones are reasonably accessible to all people in Australia, regardless of where they live or </w:t>
      </w:r>
      <w:r w:rsidR="001B729D" w:rsidRPr="001E4E73">
        <w:rPr>
          <w:rFonts w:ascii="Times New Roman" w:hAnsi="Times New Roman"/>
        </w:rPr>
        <w:t>conduct</w:t>
      </w:r>
      <w:r w:rsidR="006B1796" w:rsidRPr="001E4E73">
        <w:rPr>
          <w:rFonts w:ascii="Times New Roman" w:hAnsi="Times New Roman"/>
        </w:rPr>
        <w:t xml:space="preserve"> business</w:t>
      </w:r>
      <w:r w:rsidRPr="001E4E73">
        <w:rPr>
          <w:rFonts w:ascii="Times New Roman" w:hAnsi="Times New Roman"/>
        </w:rPr>
        <w:t xml:space="preserve">. </w:t>
      </w:r>
      <w:r w:rsidR="00667827" w:rsidRPr="001E4E73">
        <w:rPr>
          <w:rFonts w:ascii="Times New Roman" w:hAnsi="Times New Roman"/>
        </w:rPr>
        <w:t xml:space="preserve">The </w:t>
      </w:r>
      <w:r w:rsidRPr="001E4E73">
        <w:rPr>
          <w:rFonts w:ascii="Times New Roman" w:hAnsi="Times New Roman"/>
        </w:rPr>
        <w:t>USO Instrument</w:t>
      </w:r>
      <w:r w:rsidR="00667827" w:rsidRPr="001E4E73">
        <w:rPr>
          <w:rFonts w:ascii="Times New Roman" w:hAnsi="Times New Roman"/>
        </w:rPr>
        <w:t xml:space="preserve"> </w:t>
      </w:r>
      <w:r w:rsidR="00435CFC" w:rsidRPr="001E4E73">
        <w:rPr>
          <w:rFonts w:ascii="Times New Roman" w:hAnsi="Times New Roman"/>
        </w:rPr>
        <w:t>adopt</w:t>
      </w:r>
      <w:r w:rsidR="00E20252" w:rsidRPr="001E4E73">
        <w:rPr>
          <w:rFonts w:ascii="Times New Roman" w:hAnsi="Times New Roman"/>
        </w:rPr>
        <w:t>s</w:t>
      </w:r>
      <w:r w:rsidR="00435CFC" w:rsidRPr="001E4E73">
        <w:rPr>
          <w:rFonts w:ascii="Times New Roman" w:hAnsi="Times New Roman"/>
        </w:rPr>
        <w:t xml:space="preserve"> </w:t>
      </w:r>
      <w:r w:rsidR="00566D73" w:rsidRPr="001E4E73">
        <w:rPr>
          <w:rFonts w:ascii="Times New Roman" w:hAnsi="Times New Roman"/>
        </w:rPr>
        <w:t xml:space="preserve">a </w:t>
      </w:r>
      <w:r w:rsidR="006D4F2B" w:rsidRPr="001E4E73">
        <w:rPr>
          <w:rFonts w:ascii="Times New Roman" w:hAnsi="Times New Roman"/>
        </w:rPr>
        <w:t xml:space="preserve">prescriptive </w:t>
      </w:r>
      <w:r w:rsidR="00566D73" w:rsidRPr="001E4E73">
        <w:rPr>
          <w:rFonts w:ascii="Times New Roman" w:hAnsi="Times New Roman"/>
        </w:rPr>
        <w:t>approach</w:t>
      </w:r>
      <w:r w:rsidR="00D47411" w:rsidRPr="001E4E73">
        <w:rPr>
          <w:rFonts w:ascii="Times New Roman" w:hAnsi="Times New Roman"/>
        </w:rPr>
        <w:t xml:space="preserve"> </w:t>
      </w:r>
      <w:r w:rsidR="0069312B" w:rsidRPr="001E4E73">
        <w:rPr>
          <w:rFonts w:ascii="Times New Roman" w:hAnsi="Times New Roman"/>
        </w:rPr>
        <w:t xml:space="preserve">to </w:t>
      </w:r>
      <w:r w:rsidR="00D47411" w:rsidRPr="001E4E73">
        <w:rPr>
          <w:rFonts w:ascii="Times New Roman" w:hAnsi="Times New Roman"/>
        </w:rPr>
        <w:t xml:space="preserve">defining </w:t>
      </w:r>
      <w:r w:rsidR="00F54984" w:rsidRPr="001E4E73">
        <w:rPr>
          <w:rFonts w:ascii="Times New Roman" w:hAnsi="Times New Roman"/>
        </w:rPr>
        <w:t xml:space="preserve">types of </w:t>
      </w:r>
      <w:r w:rsidR="006D4F2B" w:rsidRPr="001E4E73">
        <w:rPr>
          <w:rFonts w:ascii="Times New Roman" w:hAnsi="Times New Roman"/>
        </w:rPr>
        <w:t xml:space="preserve">eligible and non-eligible </w:t>
      </w:r>
      <w:r w:rsidRPr="001E4E73">
        <w:rPr>
          <w:rFonts w:ascii="Times New Roman" w:hAnsi="Times New Roman"/>
        </w:rPr>
        <w:t>premises</w:t>
      </w:r>
      <w:r w:rsidR="0069312B" w:rsidRPr="001E4E73">
        <w:rPr>
          <w:rFonts w:ascii="Times New Roman" w:hAnsi="Times New Roman"/>
        </w:rPr>
        <w:t>,</w:t>
      </w:r>
      <w:r w:rsidR="00FF22F6" w:rsidRPr="001E4E73">
        <w:rPr>
          <w:rFonts w:ascii="Times New Roman" w:hAnsi="Times New Roman"/>
        </w:rPr>
        <w:t xml:space="preserve"> reflecting many years of accumulated experience on the ground</w:t>
      </w:r>
      <w:r w:rsidR="0069312B" w:rsidRPr="001E4E73">
        <w:rPr>
          <w:rFonts w:ascii="Times New Roman" w:hAnsi="Times New Roman"/>
        </w:rPr>
        <w:t xml:space="preserve">. </w:t>
      </w:r>
      <w:r w:rsidR="005D1F44" w:rsidRPr="001E4E73">
        <w:rPr>
          <w:rFonts w:ascii="Times New Roman" w:hAnsi="Times New Roman"/>
        </w:rPr>
        <w:t xml:space="preserve">In contrast, </w:t>
      </w:r>
      <w:r w:rsidR="00B80897" w:rsidRPr="001E4E73">
        <w:rPr>
          <w:rFonts w:ascii="Times New Roman" w:hAnsi="Times New Roman"/>
        </w:rPr>
        <w:t xml:space="preserve">this </w:t>
      </w:r>
      <w:r w:rsidR="006D4F2B" w:rsidRPr="001E4E73">
        <w:rPr>
          <w:rFonts w:ascii="Times New Roman" w:hAnsi="Times New Roman"/>
        </w:rPr>
        <w:t xml:space="preserve">Instrument </w:t>
      </w:r>
      <w:r w:rsidR="00D07D1C" w:rsidRPr="001E4E73">
        <w:rPr>
          <w:rFonts w:ascii="Times New Roman" w:hAnsi="Times New Roman"/>
        </w:rPr>
        <w:t>was designed with a</w:t>
      </w:r>
      <w:r w:rsidR="00FF22F6" w:rsidRPr="001E4E73">
        <w:rPr>
          <w:rFonts w:ascii="Times New Roman" w:hAnsi="Times New Roman"/>
        </w:rPr>
        <w:t xml:space="preserve"> more streamlined, principles-based approach</w:t>
      </w:r>
      <w:r w:rsidR="00D07D1C" w:rsidRPr="001E4E73">
        <w:rPr>
          <w:rFonts w:ascii="Times New Roman" w:hAnsi="Times New Roman"/>
        </w:rPr>
        <w:t>,</w:t>
      </w:r>
      <w:r w:rsidR="00FF22F6" w:rsidRPr="001E4E73">
        <w:rPr>
          <w:rFonts w:ascii="Times New Roman" w:hAnsi="Times New Roman"/>
        </w:rPr>
        <w:t xml:space="preserve"> </w:t>
      </w:r>
      <w:r w:rsidR="00D07D1C" w:rsidRPr="001E4E73">
        <w:rPr>
          <w:rFonts w:ascii="Times New Roman" w:hAnsi="Times New Roman"/>
        </w:rPr>
        <w:t xml:space="preserve">making it </w:t>
      </w:r>
      <w:r w:rsidR="00C20A10" w:rsidRPr="001E4E73">
        <w:rPr>
          <w:rFonts w:ascii="Times New Roman" w:hAnsi="Times New Roman"/>
        </w:rPr>
        <w:t xml:space="preserve">easier </w:t>
      </w:r>
      <w:r w:rsidR="00FF22F6" w:rsidRPr="001E4E73">
        <w:rPr>
          <w:rFonts w:ascii="Times New Roman" w:hAnsi="Times New Roman"/>
        </w:rPr>
        <w:t xml:space="preserve">for stakeholders to </w:t>
      </w:r>
      <w:r w:rsidR="00C20A10" w:rsidRPr="001E4E73">
        <w:rPr>
          <w:rFonts w:ascii="Times New Roman" w:hAnsi="Times New Roman"/>
        </w:rPr>
        <w:t>underst</w:t>
      </w:r>
      <w:r w:rsidR="00FF22F6" w:rsidRPr="001E4E73">
        <w:rPr>
          <w:rFonts w:ascii="Times New Roman" w:hAnsi="Times New Roman"/>
        </w:rPr>
        <w:t>and</w:t>
      </w:r>
      <w:r w:rsidR="00C20A10" w:rsidRPr="001E4E73">
        <w:rPr>
          <w:rFonts w:ascii="Times New Roman" w:hAnsi="Times New Roman"/>
        </w:rPr>
        <w:t xml:space="preserve"> and more straightforward for SIPs to implement</w:t>
      </w:r>
      <w:r w:rsidR="006D4F2B" w:rsidRPr="001E4E73">
        <w:rPr>
          <w:rFonts w:ascii="Times New Roman" w:hAnsi="Times New Roman"/>
        </w:rPr>
        <w:t xml:space="preserve">. </w:t>
      </w:r>
      <w:r w:rsidR="00D07D1C" w:rsidRPr="001E4E73">
        <w:rPr>
          <w:rFonts w:ascii="Times New Roman" w:hAnsi="Times New Roman"/>
        </w:rPr>
        <w:t>T</w:t>
      </w:r>
      <w:r w:rsidRPr="001E4E73">
        <w:rPr>
          <w:rFonts w:ascii="Times New Roman" w:hAnsi="Times New Roman"/>
        </w:rPr>
        <w:t xml:space="preserve">here </w:t>
      </w:r>
      <w:r w:rsidR="00EF32B0" w:rsidRPr="001E4E73">
        <w:rPr>
          <w:rFonts w:ascii="Times New Roman" w:hAnsi="Times New Roman"/>
        </w:rPr>
        <w:t>is some alignment</w:t>
      </w:r>
      <w:r w:rsidRPr="001E4E73">
        <w:rPr>
          <w:rFonts w:ascii="Times New Roman" w:hAnsi="Times New Roman"/>
        </w:rPr>
        <w:t xml:space="preserve"> between the two instruments</w:t>
      </w:r>
      <w:r w:rsidR="00D07D1C" w:rsidRPr="001E4E73">
        <w:rPr>
          <w:rFonts w:ascii="Times New Roman" w:hAnsi="Times New Roman"/>
        </w:rPr>
        <w:t>,</w:t>
      </w:r>
      <w:r w:rsidRPr="001E4E73">
        <w:rPr>
          <w:rFonts w:ascii="Times New Roman" w:hAnsi="Times New Roman"/>
        </w:rPr>
        <w:t xml:space="preserve"> </w:t>
      </w:r>
      <w:r w:rsidR="006D4F2B" w:rsidRPr="001E4E73">
        <w:rPr>
          <w:rFonts w:ascii="Times New Roman" w:hAnsi="Times New Roman"/>
        </w:rPr>
        <w:t xml:space="preserve">with </w:t>
      </w:r>
      <w:r w:rsidRPr="001E4E73">
        <w:rPr>
          <w:rFonts w:ascii="Times New Roman" w:hAnsi="Times New Roman"/>
        </w:rPr>
        <w:t xml:space="preserve">many </w:t>
      </w:r>
      <w:r w:rsidR="00EF0BA4" w:rsidRPr="001E4E73">
        <w:rPr>
          <w:rFonts w:ascii="Times New Roman" w:hAnsi="Times New Roman"/>
        </w:rPr>
        <w:t>exception</w:t>
      </w:r>
      <w:r w:rsidR="006D4F2B" w:rsidRPr="001E4E73">
        <w:rPr>
          <w:rFonts w:ascii="Times New Roman" w:hAnsi="Times New Roman"/>
        </w:rPr>
        <w:t xml:space="preserve">s </w:t>
      </w:r>
      <w:r w:rsidRPr="001E4E73">
        <w:rPr>
          <w:rFonts w:ascii="Times New Roman" w:hAnsi="Times New Roman"/>
        </w:rPr>
        <w:t>similar in concept</w:t>
      </w:r>
      <w:r w:rsidR="006D4F2B" w:rsidRPr="001E4E73">
        <w:rPr>
          <w:rFonts w:ascii="Times New Roman" w:hAnsi="Times New Roman"/>
        </w:rPr>
        <w:t>,</w:t>
      </w:r>
      <w:r w:rsidRPr="001E4E73">
        <w:rPr>
          <w:rFonts w:ascii="Times New Roman" w:hAnsi="Times New Roman"/>
        </w:rPr>
        <w:t xml:space="preserve"> if not exact wording.</w:t>
      </w:r>
    </w:p>
    <w:p w14:paraId="6B82B8C5" w14:textId="77777777" w:rsidR="00F62BB9" w:rsidRPr="001E4E73" w:rsidRDefault="00F62BB9" w:rsidP="00F62BB9">
      <w:pPr>
        <w:spacing w:after="0" w:line="276" w:lineRule="auto"/>
        <w:rPr>
          <w:rFonts w:ascii="Times New Roman" w:hAnsi="Times New Roman"/>
        </w:rPr>
      </w:pPr>
    </w:p>
    <w:p w14:paraId="10F758E7" w14:textId="77777777" w:rsidR="00447E74" w:rsidRPr="001E4E73" w:rsidRDefault="006B1796" w:rsidP="00F62BB9">
      <w:pPr>
        <w:spacing w:after="0" w:line="276" w:lineRule="auto"/>
        <w:rPr>
          <w:rFonts w:ascii="Times New Roman" w:hAnsi="Times New Roman"/>
        </w:rPr>
      </w:pPr>
      <w:r w:rsidRPr="001E4E73">
        <w:rPr>
          <w:rFonts w:ascii="Times New Roman" w:hAnsi="Times New Roman"/>
        </w:rPr>
        <w:t>I</w:t>
      </w:r>
      <w:r w:rsidR="00014A8B" w:rsidRPr="001E4E73">
        <w:rPr>
          <w:rFonts w:ascii="Times New Roman" w:hAnsi="Times New Roman"/>
        </w:rPr>
        <w:t>n circumstances where</w:t>
      </w:r>
      <w:r w:rsidR="00447E74" w:rsidRPr="001E4E73">
        <w:rPr>
          <w:rFonts w:ascii="Times New Roman" w:hAnsi="Times New Roman"/>
        </w:rPr>
        <w:t xml:space="preserve"> SIP</w:t>
      </w:r>
      <w:r w:rsidR="003514F4" w:rsidRPr="001E4E73">
        <w:rPr>
          <w:rFonts w:ascii="Times New Roman" w:hAnsi="Times New Roman"/>
        </w:rPr>
        <w:t xml:space="preserve">s </w:t>
      </w:r>
      <w:r w:rsidR="00BC5C13" w:rsidRPr="001E4E73">
        <w:rPr>
          <w:rFonts w:ascii="Times New Roman" w:hAnsi="Times New Roman"/>
        </w:rPr>
        <w:t xml:space="preserve">are obliged to </w:t>
      </w:r>
      <w:r w:rsidR="003514F4" w:rsidRPr="001E4E73">
        <w:rPr>
          <w:rFonts w:ascii="Times New Roman" w:hAnsi="Times New Roman"/>
        </w:rPr>
        <w:t>connect and supply</w:t>
      </w:r>
      <w:r w:rsidR="00BC5C13" w:rsidRPr="001E4E73">
        <w:rPr>
          <w:rFonts w:ascii="Times New Roman" w:hAnsi="Times New Roman"/>
        </w:rPr>
        <w:t xml:space="preserve"> </w:t>
      </w:r>
      <w:r w:rsidR="00002E06" w:rsidRPr="001E4E73">
        <w:rPr>
          <w:rFonts w:ascii="Times New Roman" w:hAnsi="Times New Roman"/>
        </w:rPr>
        <w:t xml:space="preserve">voice and </w:t>
      </w:r>
      <w:r w:rsidR="00BC5C13" w:rsidRPr="001E4E73">
        <w:rPr>
          <w:rFonts w:ascii="Times New Roman" w:hAnsi="Times New Roman"/>
        </w:rPr>
        <w:t>broadband</w:t>
      </w:r>
      <w:r w:rsidR="003514F4" w:rsidRPr="001E4E73">
        <w:rPr>
          <w:rFonts w:ascii="Times New Roman" w:hAnsi="Times New Roman"/>
        </w:rPr>
        <w:t xml:space="preserve"> </w:t>
      </w:r>
      <w:r w:rsidR="00447E74" w:rsidRPr="001E4E73">
        <w:rPr>
          <w:rFonts w:ascii="Times New Roman" w:hAnsi="Times New Roman"/>
        </w:rPr>
        <w:t>services</w:t>
      </w:r>
      <w:r w:rsidR="00BC5C13" w:rsidRPr="001E4E73">
        <w:rPr>
          <w:rFonts w:ascii="Times New Roman" w:hAnsi="Times New Roman"/>
        </w:rPr>
        <w:t xml:space="preserve">, </w:t>
      </w:r>
      <w:r w:rsidR="00447E74" w:rsidRPr="001E4E73">
        <w:rPr>
          <w:rFonts w:ascii="Times New Roman" w:hAnsi="Times New Roman"/>
        </w:rPr>
        <w:t xml:space="preserve">Telstra </w:t>
      </w:r>
      <w:r w:rsidR="00BC5C13" w:rsidRPr="001E4E73">
        <w:rPr>
          <w:rFonts w:ascii="Times New Roman" w:hAnsi="Times New Roman"/>
        </w:rPr>
        <w:t xml:space="preserve">is </w:t>
      </w:r>
      <w:r w:rsidR="00002E06" w:rsidRPr="001E4E73">
        <w:rPr>
          <w:rFonts w:ascii="Times New Roman" w:hAnsi="Times New Roman"/>
        </w:rPr>
        <w:t xml:space="preserve">likewise </w:t>
      </w:r>
      <w:r w:rsidR="00BC5C13" w:rsidRPr="001E4E73">
        <w:rPr>
          <w:rFonts w:ascii="Times New Roman" w:hAnsi="Times New Roman"/>
        </w:rPr>
        <w:t>obliged to</w:t>
      </w:r>
      <w:r w:rsidR="00C72035" w:rsidRPr="001E4E73">
        <w:rPr>
          <w:rFonts w:ascii="Times New Roman" w:hAnsi="Times New Roman"/>
        </w:rPr>
        <w:t xml:space="preserve"> </w:t>
      </w:r>
      <w:r w:rsidR="00447E74" w:rsidRPr="001E4E73">
        <w:rPr>
          <w:rFonts w:ascii="Times New Roman" w:hAnsi="Times New Roman"/>
        </w:rPr>
        <w:t>provide voice service</w:t>
      </w:r>
      <w:r w:rsidR="00BC5C13" w:rsidRPr="001E4E73">
        <w:rPr>
          <w:rFonts w:ascii="Times New Roman" w:hAnsi="Times New Roman"/>
        </w:rPr>
        <w:t>s</w:t>
      </w:r>
      <w:r w:rsidR="00002E06" w:rsidRPr="001E4E73">
        <w:rPr>
          <w:rFonts w:ascii="Times New Roman" w:hAnsi="Times New Roman"/>
        </w:rPr>
        <w:t xml:space="preserve"> under the USO</w:t>
      </w:r>
      <w:r w:rsidR="00BC5C13" w:rsidRPr="001E4E73">
        <w:rPr>
          <w:rFonts w:ascii="Times New Roman" w:hAnsi="Times New Roman"/>
        </w:rPr>
        <w:t xml:space="preserve">. </w:t>
      </w:r>
      <w:r w:rsidR="00447E74" w:rsidRPr="001E4E73">
        <w:rPr>
          <w:rFonts w:ascii="Times New Roman" w:hAnsi="Times New Roman"/>
        </w:rPr>
        <w:t>This is</w:t>
      </w:r>
      <w:r w:rsidR="00002E06" w:rsidRPr="001E4E73">
        <w:rPr>
          <w:rFonts w:ascii="Times New Roman" w:hAnsi="Times New Roman"/>
        </w:rPr>
        <w:t xml:space="preserve"> </w:t>
      </w:r>
      <w:r w:rsidR="003514F4" w:rsidRPr="001E4E73">
        <w:rPr>
          <w:rFonts w:ascii="Times New Roman" w:hAnsi="Times New Roman"/>
        </w:rPr>
        <w:t>complementary</w:t>
      </w:r>
      <w:r w:rsidR="00240D97" w:rsidRPr="001E4E73">
        <w:rPr>
          <w:rFonts w:ascii="Times New Roman" w:hAnsi="Times New Roman"/>
        </w:rPr>
        <w:t xml:space="preserve"> to</w:t>
      </w:r>
      <w:r w:rsidR="003514F4" w:rsidRPr="001E4E73">
        <w:rPr>
          <w:rFonts w:ascii="Times New Roman" w:hAnsi="Times New Roman"/>
        </w:rPr>
        <w:t xml:space="preserve"> </w:t>
      </w:r>
      <w:r w:rsidR="00447E74" w:rsidRPr="001E4E73">
        <w:rPr>
          <w:rFonts w:ascii="Times New Roman" w:hAnsi="Times New Roman"/>
        </w:rPr>
        <w:t>fixed line and fixed wireless</w:t>
      </w:r>
      <w:r w:rsidR="0069312B" w:rsidRPr="001E4E73">
        <w:rPr>
          <w:rFonts w:ascii="Times New Roman" w:hAnsi="Times New Roman"/>
        </w:rPr>
        <w:t xml:space="preserve"> </w:t>
      </w:r>
      <w:r w:rsidR="00002E06" w:rsidRPr="001E4E73">
        <w:rPr>
          <w:rFonts w:ascii="Times New Roman" w:hAnsi="Times New Roman"/>
        </w:rPr>
        <w:t>SIP networks</w:t>
      </w:r>
      <w:r w:rsidR="003514F4" w:rsidRPr="001E4E73">
        <w:rPr>
          <w:rFonts w:ascii="Times New Roman" w:hAnsi="Times New Roman"/>
        </w:rPr>
        <w:t xml:space="preserve"> </w:t>
      </w:r>
      <w:r w:rsidRPr="001E4E73">
        <w:rPr>
          <w:rFonts w:ascii="Times New Roman" w:hAnsi="Times New Roman"/>
        </w:rPr>
        <w:t xml:space="preserve">needing to support </w:t>
      </w:r>
      <w:r w:rsidR="00447E74" w:rsidRPr="001E4E73">
        <w:rPr>
          <w:rFonts w:ascii="Times New Roman" w:hAnsi="Times New Roman"/>
        </w:rPr>
        <w:t>voice services</w:t>
      </w:r>
      <w:r w:rsidR="00002E06" w:rsidRPr="001E4E73">
        <w:rPr>
          <w:rFonts w:ascii="Times New Roman" w:hAnsi="Times New Roman"/>
        </w:rPr>
        <w:t xml:space="preserve"> (noting that satellite services are excepted from </w:t>
      </w:r>
      <w:r w:rsidRPr="001E4E73">
        <w:rPr>
          <w:rFonts w:ascii="Times New Roman" w:hAnsi="Times New Roman"/>
        </w:rPr>
        <w:t xml:space="preserve">needing to support </w:t>
      </w:r>
      <w:r w:rsidR="00002E06" w:rsidRPr="001E4E73">
        <w:rPr>
          <w:rFonts w:ascii="Times New Roman" w:hAnsi="Times New Roman"/>
        </w:rPr>
        <w:t xml:space="preserve">voice services under the </w:t>
      </w:r>
      <w:r w:rsidR="00002E06" w:rsidRPr="001E4E73">
        <w:rPr>
          <w:rFonts w:ascii="Times New Roman" w:hAnsi="Times New Roman"/>
          <w:i/>
        </w:rPr>
        <w:t>Telecommunications Act 1997</w:t>
      </w:r>
      <w:r w:rsidR="00002E06" w:rsidRPr="001E4E73">
        <w:rPr>
          <w:rFonts w:ascii="Times New Roman" w:hAnsi="Times New Roman"/>
        </w:rPr>
        <w:t>)</w:t>
      </w:r>
      <w:r w:rsidR="00DF4C57" w:rsidRPr="001E4E73">
        <w:rPr>
          <w:rFonts w:ascii="Times New Roman" w:hAnsi="Times New Roman"/>
        </w:rPr>
        <w:t>.</w:t>
      </w:r>
      <w:r w:rsidR="00187A00" w:rsidRPr="001E4E73">
        <w:rPr>
          <w:rFonts w:ascii="Times New Roman" w:hAnsi="Times New Roman"/>
        </w:rPr>
        <w:t xml:space="preserve"> SIP fixed-line networks are available to 94% of Australia’s population.</w:t>
      </w:r>
      <w:r w:rsidR="00DF4C57" w:rsidRPr="001E4E73">
        <w:rPr>
          <w:rFonts w:ascii="Times New Roman" w:hAnsi="Times New Roman"/>
        </w:rPr>
        <w:t xml:space="preserve"> This</w:t>
      </w:r>
      <w:r w:rsidR="00240D97" w:rsidRPr="001E4E73">
        <w:rPr>
          <w:rFonts w:ascii="Times New Roman" w:hAnsi="Times New Roman"/>
        </w:rPr>
        <w:t xml:space="preserve"> arrangement</w:t>
      </w:r>
      <w:r w:rsidR="00DF4C57" w:rsidRPr="001E4E73">
        <w:rPr>
          <w:rFonts w:ascii="Times New Roman" w:hAnsi="Times New Roman"/>
        </w:rPr>
        <w:t xml:space="preserve"> supports </w:t>
      </w:r>
      <w:r w:rsidR="00447E74" w:rsidRPr="001E4E73">
        <w:rPr>
          <w:rFonts w:ascii="Times New Roman" w:hAnsi="Times New Roman"/>
        </w:rPr>
        <w:t>the delivery of voice services under the USO</w:t>
      </w:r>
      <w:r w:rsidR="00DF4C57" w:rsidRPr="001E4E73">
        <w:rPr>
          <w:rFonts w:ascii="Times New Roman" w:hAnsi="Times New Roman"/>
        </w:rPr>
        <w:t xml:space="preserve">, </w:t>
      </w:r>
      <w:r w:rsidR="00240D97" w:rsidRPr="001E4E73">
        <w:rPr>
          <w:rFonts w:ascii="Times New Roman" w:hAnsi="Times New Roman"/>
        </w:rPr>
        <w:t xml:space="preserve">because </w:t>
      </w:r>
      <w:r w:rsidR="00187A00" w:rsidRPr="001E4E73">
        <w:rPr>
          <w:rFonts w:ascii="Times New Roman" w:hAnsi="Times New Roman"/>
        </w:rPr>
        <w:t>NBN</w:t>
      </w:r>
      <w:r w:rsidR="002F146E" w:rsidRPr="001E4E73">
        <w:rPr>
          <w:rFonts w:ascii="Times New Roman" w:hAnsi="Times New Roman"/>
        </w:rPr>
        <w:t xml:space="preserve"> Co’s</w:t>
      </w:r>
      <w:r w:rsidR="00DF4C57" w:rsidRPr="001E4E73">
        <w:rPr>
          <w:rFonts w:ascii="Times New Roman" w:hAnsi="Times New Roman"/>
        </w:rPr>
        <w:t xml:space="preserve"> fixed line network</w:t>
      </w:r>
      <w:r w:rsidR="00240D97" w:rsidRPr="001E4E73">
        <w:rPr>
          <w:rFonts w:ascii="Times New Roman" w:hAnsi="Times New Roman"/>
        </w:rPr>
        <w:t>s are</w:t>
      </w:r>
      <w:r w:rsidR="00DF4C57" w:rsidRPr="001E4E73">
        <w:rPr>
          <w:rFonts w:ascii="Times New Roman" w:hAnsi="Times New Roman"/>
        </w:rPr>
        <w:t xml:space="preserve"> the platform</w:t>
      </w:r>
      <w:r w:rsidR="00240D97" w:rsidRPr="001E4E73">
        <w:rPr>
          <w:rFonts w:ascii="Times New Roman" w:hAnsi="Times New Roman"/>
        </w:rPr>
        <w:t>s</w:t>
      </w:r>
      <w:r w:rsidR="00DF4C57" w:rsidRPr="001E4E73">
        <w:rPr>
          <w:rFonts w:ascii="Times New Roman" w:hAnsi="Times New Roman"/>
        </w:rPr>
        <w:t xml:space="preserve"> Telstra </w:t>
      </w:r>
      <w:r w:rsidR="00240D97" w:rsidRPr="001E4E73">
        <w:rPr>
          <w:rFonts w:ascii="Times New Roman" w:hAnsi="Times New Roman"/>
        </w:rPr>
        <w:t>predominantly</w:t>
      </w:r>
      <w:r w:rsidR="00DF4C57" w:rsidRPr="001E4E73">
        <w:rPr>
          <w:rFonts w:ascii="Times New Roman" w:hAnsi="Times New Roman"/>
        </w:rPr>
        <w:t xml:space="preserve"> use</w:t>
      </w:r>
      <w:r w:rsidR="00240D97" w:rsidRPr="001E4E73">
        <w:rPr>
          <w:rFonts w:ascii="Times New Roman" w:hAnsi="Times New Roman"/>
        </w:rPr>
        <w:t>s</w:t>
      </w:r>
      <w:r w:rsidR="00DF4C57" w:rsidRPr="001E4E73">
        <w:rPr>
          <w:rFonts w:ascii="Times New Roman" w:hAnsi="Times New Roman"/>
        </w:rPr>
        <w:t xml:space="preserve"> to deliver USO voice services</w:t>
      </w:r>
      <w:r w:rsidR="00187A00" w:rsidRPr="001E4E73">
        <w:rPr>
          <w:rFonts w:ascii="Times New Roman" w:hAnsi="Times New Roman"/>
        </w:rPr>
        <w:t>.</w:t>
      </w:r>
    </w:p>
    <w:p w14:paraId="7C1A48CA" w14:textId="77777777" w:rsidR="004D642E" w:rsidRPr="001E4E73" w:rsidRDefault="004D642E" w:rsidP="00F62BB9">
      <w:pPr>
        <w:spacing w:after="0" w:line="276" w:lineRule="auto"/>
        <w:rPr>
          <w:rFonts w:ascii="Times New Roman" w:hAnsi="Times New Roman"/>
        </w:rPr>
      </w:pPr>
    </w:p>
    <w:p w14:paraId="17677A67" w14:textId="77777777" w:rsidR="00C20A10" w:rsidRPr="001E4E73" w:rsidRDefault="00C20A10" w:rsidP="002F0574">
      <w:pPr>
        <w:keepNext/>
        <w:keepLines/>
        <w:spacing w:line="276" w:lineRule="auto"/>
        <w:rPr>
          <w:rFonts w:ascii="Times New Roman" w:hAnsi="Times New Roman"/>
          <w:i/>
        </w:rPr>
      </w:pPr>
      <w:r w:rsidRPr="001E4E73">
        <w:rPr>
          <w:rFonts w:ascii="Times New Roman" w:hAnsi="Times New Roman"/>
          <w:i/>
        </w:rPr>
        <w:lastRenderedPageBreak/>
        <w:t xml:space="preserve">Concept of </w:t>
      </w:r>
      <w:r w:rsidR="008C23AE" w:rsidRPr="001E4E73">
        <w:rPr>
          <w:rFonts w:ascii="Times New Roman" w:hAnsi="Times New Roman"/>
          <w:i/>
        </w:rPr>
        <w:t>‘</w:t>
      </w:r>
      <w:r w:rsidRPr="001E4E73">
        <w:rPr>
          <w:rFonts w:ascii="Times New Roman" w:hAnsi="Times New Roman"/>
          <w:i/>
        </w:rPr>
        <w:t>premises</w:t>
      </w:r>
      <w:r w:rsidR="008C23AE" w:rsidRPr="001E4E73">
        <w:rPr>
          <w:rFonts w:ascii="Times New Roman" w:hAnsi="Times New Roman"/>
          <w:i/>
        </w:rPr>
        <w:t>’</w:t>
      </w:r>
    </w:p>
    <w:p w14:paraId="77CF6F32" w14:textId="7BD4C6D7" w:rsidR="008C23AE" w:rsidRPr="001E4E73" w:rsidRDefault="002E23D7" w:rsidP="00B75867">
      <w:pPr>
        <w:keepNext/>
        <w:keepLines/>
        <w:spacing w:after="0" w:line="276" w:lineRule="auto"/>
        <w:rPr>
          <w:rFonts w:ascii="Times New Roman" w:hAnsi="Times New Roman"/>
        </w:rPr>
      </w:pPr>
      <w:r w:rsidRPr="001E4E73">
        <w:rPr>
          <w:rFonts w:ascii="Times New Roman" w:hAnsi="Times New Roman"/>
        </w:rPr>
        <w:t>The</w:t>
      </w:r>
      <w:r w:rsidR="008C23AE" w:rsidRPr="001E4E73">
        <w:rPr>
          <w:rFonts w:ascii="Times New Roman" w:hAnsi="Times New Roman"/>
        </w:rPr>
        <w:t xml:space="preserve"> Instrument uses a broad, undefined concept of </w:t>
      </w:r>
      <w:r w:rsidR="005C31EB" w:rsidRPr="001E4E73">
        <w:rPr>
          <w:rFonts w:ascii="Times New Roman" w:hAnsi="Times New Roman"/>
        </w:rPr>
        <w:t>‘</w:t>
      </w:r>
      <w:r w:rsidR="008C23AE" w:rsidRPr="001E4E73">
        <w:rPr>
          <w:rFonts w:ascii="Times New Roman" w:hAnsi="Times New Roman"/>
        </w:rPr>
        <w:t>premises</w:t>
      </w:r>
      <w:r w:rsidR="005C31EB" w:rsidRPr="001E4E73">
        <w:rPr>
          <w:rFonts w:ascii="Times New Roman" w:hAnsi="Times New Roman"/>
        </w:rPr>
        <w:t>’</w:t>
      </w:r>
      <w:r w:rsidR="008C23AE" w:rsidRPr="001E4E73">
        <w:rPr>
          <w:rFonts w:ascii="Times New Roman" w:hAnsi="Times New Roman"/>
        </w:rPr>
        <w:t>, in keeping with the approach adopted in primary legislation. The intention is that ‘premises’ will be understood to have its common-sense meaning and, if necessary, the meaning of ‘premises’ under common law.</w:t>
      </w:r>
      <w:r w:rsidR="00B75867" w:rsidRPr="001E4E73">
        <w:rPr>
          <w:rFonts w:ascii="Times New Roman" w:hAnsi="Times New Roman"/>
        </w:rPr>
        <w:t xml:space="preserve"> </w:t>
      </w:r>
      <w:r w:rsidR="00A15131" w:rsidRPr="001E4E73">
        <w:rPr>
          <w:rFonts w:ascii="Times New Roman" w:hAnsi="Times New Roman"/>
        </w:rPr>
        <w:t>In line with common usage,</w:t>
      </w:r>
      <w:r w:rsidR="008C23AE" w:rsidRPr="001E4E73">
        <w:rPr>
          <w:rFonts w:ascii="Times New Roman" w:hAnsi="Times New Roman"/>
        </w:rPr>
        <w:t xml:space="preserve"> ‘premises’ is taken to mean a </w:t>
      </w:r>
      <w:proofErr w:type="gramStart"/>
      <w:r w:rsidR="008C23AE" w:rsidRPr="001E4E73">
        <w:rPr>
          <w:rFonts w:ascii="Times New Roman" w:hAnsi="Times New Roman"/>
        </w:rPr>
        <w:t>single premises</w:t>
      </w:r>
      <w:proofErr w:type="gramEnd"/>
      <w:r w:rsidR="00B75867" w:rsidRPr="001E4E73">
        <w:rPr>
          <w:rFonts w:ascii="Times New Roman" w:hAnsi="Times New Roman"/>
        </w:rPr>
        <w:t xml:space="preserve"> (the ‘s’ does not denote plural)</w:t>
      </w:r>
      <w:r w:rsidR="008C23AE" w:rsidRPr="001E4E73">
        <w:rPr>
          <w:rFonts w:ascii="Times New Roman" w:hAnsi="Times New Roman"/>
        </w:rPr>
        <w:t>. In situations where it is important to distinguish between one premises or multiple premises, this will be apparent from the context in which the term appears.</w:t>
      </w:r>
    </w:p>
    <w:p w14:paraId="6BE9D0B1" w14:textId="77777777" w:rsidR="00B75867" w:rsidRPr="001E4E73" w:rsidRDefault="00B75867" w:rsidP="002F0574">
      <w:pPr>
        <w:spacing w:after="0" w:line="276" w:lineRule="auto"/>
        <w:rPr>
          <w:rFonts w:ascii="Times New Roman" w:hAnsi="Times New Roman"/>
        </w:rPr>
      </w:pPr>
    </w:p>
    <w:p w14:paraId="03F7F623" w14:textId="2CDD1633" w:rsidR="00CE2DA6" w:rsidRPr="001E4E73" w:rsidRDefault="003514F4" w:rsidP="002F0574">
      <w:pPr>
        <w:spacing w:after="0" w:line="276" w:lineRule="auto"/>
        <w:rPr>
          <w:rFonts w:ascii="Times New Roman" w:hAnsi="Times New Roman"/>
        </w:rPr>
      </w:pPr>
      <w:r w:rsidRPr="001E4E73">
        <w:rPr>
          <w:rFonts w:ascii="Times New Roman" w:hAnsi="Times New Roman"/>
        </w:rPr>
        <w:t xml:space="preserve">SIPs are expected to connect and supply services to distinct residential premises, places of business, schools, places of worship, or the premises of community groups, charities and not-for-profits. A residence </w:t>
      </w:r>
      <w:r w:rsidR="00B75867" w:rsidRPr="001E4E73">
        <w:rPr>
          <w:rFonts w:ascii="Times New Roman" w:hAnsi="Times New Roman"/>
        </w:rPr>
        <w:t>should</w:t>
      </w:r>
      <w:r w:rsidRPr="001E4E73">
        <w:rPr>
          <w:rFonts w:ascii="Times New Roman" w:hAnsi="Times New Roman"/>
        </w:rPr>
        <w:t xml:space="preserve"> be capable of supporting continual or periodic independent private residency, </w:t>
      </w:r>
      <w:r w:rsidR="005C31EB" w:rsidRPr="001E4E73">
        <w:rPr>
          <w:rFonts w:ascii="Times New Roman" w:hAnsi="Times New Roman"/>
        </w:rPr>
        <w:t xml:space="preserve">have basic utilities, </w:t>
      </w:r>
      <w:r w:rsidRPr="001E4E73">
        <w:rPr>
          <w:rFonts w:ascii="Times New Roman" w:hAnsi="Times New Roman"/>
        </w:rPr>
        <w:t>and provide reasonable access to sanitation and food preparation facilities.</w:t>
      </w:r>
    </w:p>
    <w:p w14:paraId="5AAA5C7A" w14:textId="77777777" w:rsidR="002F0574" w:rsidRPr="001E4E73" w:rsidRDefault="002F0574" w:rsidP="002F0574">
      <w:pPr>
        <w:spacing w:after="0" w:line="276" w:lineRule="auto"/>
        <w:rPr>
          <w:rFonts w:ascii="Times New Roman" w:hAnsi="Times New Roman"/>
        </w:rPr>
      </w:pPr>
    </w:p>
    <w:p w14:paraId="54AAA443" w14:textId="38A9722D" w:rsidR="00741888" w:rsidRPr="001E4E73" w:rsidRDefault="00C20A10" w:rsidP="002F0574">
      <w:pPr>
        <w:spacing w:after="0" w:line="276" w:lineRule="auto"/>
        <w:rPr>
          <w:rFonts w:ascii="Times New Roman" w:hAnsi="Times New Roman"/>
        </w:rPr>
      </w:pPr>
      <w:r w:rsidRPr="001E4E73">
        <w:rPr>
          <w:rFonts w:ascii="Times New Roman" w:hAnsi="Times New Roman"/>
        </w:rPr>
        <w:t>I</w:t>
      </w:r>
      <w:r w:rsidR="003514F4" w:rsidRPr="001E4E73">
        <w:rPr>
          <w:rFonts w:ascii="Times New Roman" w:hAnsi="Times New Roman"/>
        </w:rPr>
        <w:t xml:space="preserve">ndividual rooms in </w:t>
      </w:r>
      <w:r w:rsidR="00CE2DA6" w:rsidRPr="001E4E73">
        <w:rPr>
          <w:rFonts w:ascii="Times New Roman" w:hAnsi="Times New Roman"/>
        </w:rPr>
        <w:t xml:space="preserve">hotels, </w:t>
      </w:r>
      <w:r w:rsidR="003514F4" w:rsidRPr="001E4E73">
        <w:rPr>
          <w:rFonts w:ascii="Times New Roman" w:hAnsi="Times New Roman"/>
        </w:rPr>
        <w:t>nursing homes</w:t>
      </w:r>
      <w:r w:rsidR="0069312B" w:rsidRPr="001E4E73">
        <w:rPr>
          <w:rFonts w:ascii="Times New Roman" w:hAnsi="Times New Roman"/>
        </w:rPr>
        <w:t xml:space="preserve"> or</w:t>
      </w:r>
      <w:r w:rsidR="003514F4" w:rsidRPr="001E4E73">
        <w:rPr>
          <w:rFonts w:ascii="Times New Roman" w:hAnsi="Times New Roman"/>
        </w:rPr>
        <w:t xml:space="preserve"> hospitals</w:t>
      </w:r>
      <w:r w:rsidR="00342EA5" w:rsidRPr="001E4E73">
        <w:rPr>
          <w:rFonts w:ascii="Times New Roman" w:hAnsi="Times New Roman"/>
        </w:rPr>
        <w:t xml:space="preserve"> are </w:t>
      </w:r>
      <w:r w:rsidR="003514F4" w:rsidRPr="001E4E73">
        <w:rPr>
          <w:rFonts w:ascii="Times New Roman" w:hAnsi="Times New Roman"/>
        </w:rPr>
        <w:t xml:space="preserve">not considered </w:t>
      </w:r>
      <w:r w:rsidR="00342EA5" w:rsidRPr="001E4E73">
        <w:rPr>
          <w:rFonts w:ascii="Times New Roman" w:hAnsi="Times New Roman"/>
        </w:rPr>
        <w:t>distinct</w:t>
      </w:r>
      <w:r w:rsidR="003514F4" w:rsidRPr="001E4E73">
        <w:rPr>
          <w:rFonts w:ascii="Times New Roman" w:hAnsi="Times New Roman"/>
        </w:rPr>
        <w:t xml:space="preserve"> residential premises as these do not provide for independent private residency</w:t>
      </w:r>
      <w:r w:rsidR="00342EA5" w:rsidRPr="001E4E73">
        <w:rPr>
          <w:rFonts w:ascii="Times New Roman" w:hAnsi="Times New Roman"/>
        </w:rPr>
        <w:t>. H</w:t>
      </w:r>
      <w:r w:rsidR="00CE2DA6" w:rsidRPr="001E4E73">
        <w:rPr>
          <w:rFonts w:ascii="Times New Roman" w:hAnsi="Times New Roman"/>
        </w:rPr>
        <w:t xml:space="preserve">owever, the buildings in which </w:t>
      </w:r>
      <w:r w:rsidR="00342EA5" w:rsidRPr="001E4E73">
        <w:rPr>
          <w:rFonts w:ascii="Times New Roman" w:hAnsi="Times New Roman"/>
        </w:rPr>
        <w:t>they</w:t>
      </w:r>
      <w:r w:rsidR="00CE2DA6" w:rsidRPr="001E4E73">
        <w:rPr>
          <w:rFonts w:ascii="Times New Roman" w:hAnsi="Times New Roman"/>
        </w:rPr>
        <w:t xml:space="preserve"> are located </w:t>
      </w:r>
      <w:r w:rsidR="00342EA5" w:rsidRPr="001E4E73">
        <w:rPr>
          <w:rFonts w:ascii="Times New Roman" w:hAnsi="Times New Roman"/>
        </w:rPr>
        <w:t>are</w:t>
      </w:r>
      <w:r w:rsidR="00CE2DA6" w:rsidRPr="001E4E73">
        <w:rPr>
          <w:rFonts w:ascii="Times New Roman" w:hAnsi="Times New Roman"/>
        </w:rPr>
        <w:t xml:space="preserve"> considered premises, with</w:t>
      </w:r>
      <w:r w:rsidR="00342EA5" w:rsidRPr="001E4E73">
        <w:rPr>
          <w:rFonts w:ascii="Times New Roman" w:hAnsi="Times New Roman"/>
        </w:rPr>
        <w:t xml:space="preserve"> a concordant obligation by SIPs to provide</w:t>
      </w:r>
      <w:r w:rsidR="00CE2DA6" w:rsidRPr="001E4E73">
        <w:rPr>
          <w:rFonts w:ascii="Times New Roman" w:hAnsi="Times New Roman"/>
        </w:rPr>
        <w:t xml:space="preserve"> </w:t>
      </w:r>
      <w:r w:rsidR="00EA4D43" w:rsidRPr="001E4E73">
        <w:rPr>
          <w:rFonts w:ascii="Times New Roman" w:hAnsi="Times New Roman"/>
        </w:rPr>
        <w:t xml:space="preserve">a </w:t>
      </w:r>
      <w:r w:rsidR="00342EA5" w:rsidRPr="001E4E73">
        <w:rPr>
          <w:rFonts w:ascii="Times New Roman" w:hAnsi="Times New Roman"/>
        </w:rPr>
        <w:t xml:space="preserve">centralised </w:t>
      </w:r>
      <w:r w:rsidR="00506041" w:rsidRPr="001E4E73">
        <w:rPr>
          <w:rFonts w:ascii="Times New Roman" w:hAnsi="Times New Roman"/>
        </w:rPr>
        <w:t>supply of</w:t>
      </w:r>
      <w:r w:rsidR="00CE2DA6" w:rsidRPr="001E4E73">
        <w:rPr>
          <w:rFonts w:ascii="Times New Roman" w:hAnsi="Times New Roman"/>
        </w:rPr>
        <w:t xml:space="preserve"> service</w:t>
      </w:r>
      <w:r w:rsidR="00342EA5" w:rsidRPr="001E4E73">
        <w:rPr>
          <w:rFonts w:ascii="Times New Roman" w:hAnsi="Times New Roman"/>
        </w:rPr>
        <w:t>s</w:t>
      </w:r>
      <w:r w:rsidR="00CE2DA6" w:rsidRPr="001E4E73">
        <w:rPr>
          <w:rFonts w:ascii="Times New Roman" w:hAnsi="Times New Roman"/>
        </w:rPr>
        <w:t>. Unless other arrangements are put in place</w:t>
      </w:r>
      <w:r w:rsidR="005C31EB" w:rsidRPr="001E4E73">
        <w:rPr>
          <w:rFonts w:ascii="Times New Roman" w:hAnsi="Times New Roman"/>
        </w:rPr>
        <w:t xml:space="preserve"> (like separate leaseholds)</w:t>
      </w:r>
      <w:r w:rsidR="00CE2DA6" w:rsidRPr="001E4E73">
        <w:rPr>
          <w:rFonts w:ascii="Times New Roman" w:hAnsi="Times New Roman"/>
        </w:rPr>
        <w:t xml:space="preserve">, </w:t>
      </w:r>
      <w:r w:rsidR="005C31EB" w:rsidRPr="001E4E73">
        <w:rPr>
          <w:rFonts w:ascii="Times New Roman" w:hAnsi="Times New Roman"/>
        </w:rPr>
        <w:t xml:space="preserve">SIP </w:t>
      </w:r>
      <w:r w:rsidR="00CE2DA6" w:rsidRPr="001E4E73">
        <w:rPr>
          <w:rFonts w:ascii="Times New Roman" w:hAnsi="Times New Roman"/>
        </w:rPr>
        <w:t xml:space="preserve">connections </w:t>
      </w:r>
      <w:r w:rsidR="005C31EB" w:rsidRPr="001E4E73">
        <w:rPr>
          <w:rFonts w:ascii="Times New Roman" w:hAnsi="Times New Roman"/>
        </w:rPr>
        <w:t xml:space="preserve">to premises with multiple </w:t>
      </w:r>
      <w:r w:rsidR="002D0E71" w:rsidRPr="001E4E73">
        <w:rPr>
          <w:rFonts w:ascii="Times New Roman" w:hAnsi="Times New Roman"/>
        </w:rPr>
        <w:t>individual rooms</w:t>
      </w:r>
      <w:r w:rsidR="005C31EB" w:rsidRPr="001E4E73">
        <w:rPr>
          <w:rFonts w:ascii="Times New Roman" w:hAnsi="Times New Roman"/>
        </w:rPr>
        <w:t xml:space="preserve"> </w:t>
      </w:r>
      <w:r w:rsidR="00CE2DA6" w:rsidRPr="001E4E73">
        <w:rPr>
          <w:rFonts w:ascii="Times New Roman" w:hAnsi="Times New Roman"/>
        </w:rPr>
        <w:t xml:space="preserve">would be </w:t>
      </w:r>
      <w:r w:rsidR="00EA4D43" w:rsidRPr="001E4E73">
        <w:rPr>
          <w:rFonts w:ascii="Times New Roman" w:hAnsi="Times New Roman"/>
        </w:rPr>
        <w:t>distributed to end users</w:t>
      </w:r>
      <w:r w:rsidR="00CE2DA6" w:rsidRPr="001E4E73">
        <w:rPr>
          <w:rFonts w:ascii="Times New Roman" w:hAnsi="Times New Roman"/>
        </w:rPr>
        <w:t xml:space="preserve"> by the entities </w:t>
      </w:r>
      <w:r w:rsidR="002258DD" w:rsidRPr="001E4E73">
        <w:rPr>
          <w:rFonts w:ascii="Times New Roman" w:hAnsi="Times New Roman"/>
        </w:rPr>
        <w:t xml:space="preserve">that </w:t>
      </w:r>
      <w:r w:rsidR="00CE2DA6" w:rsidRPr="001E4E73">
        <w:rPr>
          <w:rFonts w:ascii="Times New Roman" w:hAnsi="Times New Roman"/>
        </w:rPr>
        <w:t>own or operat</w:t>
      </w:r>
      <w:r w:rsidR="002258DD" w:rsidRPr="001E4E73">
        <w:rPr>
          <w:rFonts w:ascii="Times New Roman" w:hAnsi="Times New Roman"/>
        </w:rPr>
        <w:t>e</w:t>
      </w:r>
      <w:r w:rsidR="00CE2DA6" w:rsidRPr="001E4E73">
        <w:rPr>
          <w:rFonts w:ascii="Times New Roman" w:hAnsi="Times New Roman"/>
        </w:rPr>
        <w:t xml:space="preserve"> those buildings.</w:t>
      </w:r>
      <w:r w:rsidR="00EA4D43" w:rsidRPr="001E4E73">
        <w:rPr>
          <w:rFonts w:ascii="Times New Roman" w:hAnsi="Times New Roman"/>
        </w:rPr>
        <w:t xml:space="preserve"> Solutions may include a building MDF with internal wiring to rooms or distributed wireless access points.</w:t>
      </w:r>
    </w:p>
    <w:p w14:paraId="316C866B" w14:textId="77777777" w:rsidR="002F0574" w:rsidRPr="001E4E73" w:rsidRDefault="002F0574" w:rsidP="00B92ECA">
      <w:pPr>
        <w:spacing w:after="0" w:line="276" w:lineRule="auto"/>
        <w:rPr>
          <w:rFonts w:ascii="Times New Roman" w:hAnsi="Times New Roman"/>
        </w:rPr>
      </w:pPr>
    </w:p>
    <w:p w14:paraId="2B6D75D0" w14:textId="578E0568" w:rsidR="00B92ECA" w:rsidRPr="001E4E73" w:rsidRDefault="00741888" w:rsidP="00B92ECA">
      <w:pPr>
        <w:spacing w:after="0" w:line="276" w:lineRule="auto"/>
      </w:pPr>
      <w:r w:rsidRPr="001E4E73">
        <w:rPr>
          <w:rFonts w:ascii="Times New Roman" w:hAnsi="Times New Roman"/>
        </w:rPr>
        <w:t xml:space="preserve">In circumstances where </w:t>
      </w:r>
      <w:r w:rsidR="003514F4" w:rsidRPr="001E4E73">
        <w:rPr>
          <w:rFonts w:ascii="Times New Roman" w:hAnsi="Times New Roman"/>
        </w:rPr>
        <w:t xml:space="preserve">there are multiple premises </w:t>
      </w:r>
      <w:r w:rsidR="00B92ECA" w:rsidRPr="001E4E73">
        <w:rPr>
          <w:rFonts w:ascii="Times New Roman" w:hAnsi="Times New Roman"/>
        </w:rPr>
        <w:t>on</w:t>
      </w:r>
      <w:r w:rsidR="003514F4" w:rsidRPr="001E4E73">
        <w:rPr>
          <w:rFonts w:ascii="Times New Roman" w:hAnsi="Times New Roman"/>
        </w:rPr>
        <w:t xml:space="preserve"> the same lot, a SIP is expected to connect</w:t>
      </w:r>
      <w:r w:rsidR="006142DA" w:rsidRPr="001E4E73">
        <w:rPr>
          <w:rFonts w:ascii="Times New Roman" w:hAnsi="Times New Roman"/>
        </w:rPr>
        <w:t>/</w:t>
      </w:r>
      <w:r w:rsidR="003514F4" w:rsidRPr="001E4E73">
        <w:rPr>
          <w:rFonts w:ascii="Times New Roman" w:hAnsi="Times New Roman"/>
        </w:rPr>
        <w:t xml:space="preserve">supply </w:t>
      </w:r>
      <w:r w:rsidR="00B92ECA" w:rsidRPr="001E4E73">
        <w:rPr>
          <w:rFonts w:ascii="Times New Roman" w:hAnsi="Times New Roman"/>
        </w:rPr>
        <w:t xml:space="preserve">service </w:t>
      </w:r>
      <w:r w:rsidR="003514F4" w:rsidRPr="001E4E73">
        <w:rPr>
          <w:rFonts w:ascii="Times New Roman" w:hAnsi="Times New Roman"/>
        </w:rPr>
        <w:t>requests to each identifiable premises on that lot</w:t>
      </w:r>
      <w:r w:rsidR="00B92ECA" w:rsidRPr="001E4E73">
        <w:rPr>
          <w:rFonts w:ascii="Times New Roman" w:hAnsi="Times New Roman"/>
        </w:rPr>
        <w:t xml:space="preserve">. </w:t>
      </w:r>
      <w:r w:rsidR="00CE2DA6" w:rsidRPr="001E4E73">
        <w:rPr>
          <w:rFonts w:ascii="Times New Roman" w:hAnsi="Times New Roman"/>
        </w:rPr>
        <w:t>Depending on the relevant title arrangements, possible e</w:t>
      </w:r>
      <w:r w:rsidR="003514F4" w:rsidRPr="001E4E73">
        <w:rPr>
          <w:rFonts w:ascii="Times New Roman" w:hAnsi="Times New Roman"/>
        </w:rPr>
        <w:t>xamples include</w:t>
      </w:r>
      <w:r w:rsidR="00B80897" w:rsidRPr="001E4E73">
        <w:rPr>
          <w:rFonts w:ascii="Times New Roman" w:hAnsi="Times New Roman"/>
        </w:rPr>
        <w:t>,</w:t>
      </w:r>
      <w:r w:rsidR="003514F4" w:rsidRPr="001E4E73">
        <w:rPr>
          <w:rFonts w:ascii="Times New Roman" w:hAnsi="Times New Roman"/>
        </w:rPr>
        <w:t xml:space="preserve"> but are not limited to:</w:t>
      </w:r>
    </w:p>
    <w:p w14:paraId="214D7638" w14:textId="77777777" w:rsidR="003514F4" w:rsidRPr="001E4E73" w:rsidRDefault="003514F4" w:rsidP="003514F4">
      <w:pPr>
        <w:pStyle w:val="ListParagraph"/>
        <w:numPr>
          <w:ilvl w:val="0"/>
          <w:numId w:val="28"/>
        </w:numPr>
        <w:spacing w:before="0" w:beforeAutospacing="0" w:after="0" w:afterAutospacing="0" w:line="276" w:lineRule="auto"/>
        <w:ind w:left="357" w:hanging="357"/>
      </w:pPr>
      <w:r w:rsidRPr="001E4E73">
        <w:t xml:space="preserve">a farm with a homestead and </w:t>
      </w:r>
      <w:r w:rsidR="00B80897" w:rsidRPr="001E4E73">
        <w:t xml:space="preserve">one or more </w:t>
      </w:r>
      <w:r w:rsidR="00CE2DA6" w:rsidRPr="001E4E73">
        <w:t xml:space="preserve">staff </w:t>
      </w:r>
      <w:r w:rsidR="005C31EB" w:rsidRPr="001E4E73">
        <w:t>residences</w:t>
      </w:r>
      <w:r w:rsidRPr="001E4E73">
        <w:t>;</w:t>
      </w:r>
    </w:p>
    <w:p w14:paraId="33BD0B06" w14:textId="77777777" w:rsidR="003514F4" w:rsidRPr="001E4E73" w:rsidRDefault="003514F4" w:rsidP="003514F4">
      <w:pPr>
        <w:pStyle w:val="ListParagraph"/>
        <w:numPr>
          <w:ilvl w:val="0"/>
          <w:numId w:val="28"/>
        </w:numPr>
        <w:spacing w:before="0" w:beforeAutospacing="0" w:after="0" w:afterAutospacing="0" w:line="276" w:lineRule="auto"/>
        <w:ind w:left="357" w:hanging="357"/>
      </w:pPr>
      <w:r w:rsidRPr="001E4E73">
        <w:t xml:space="preserve">a house and a self-contained </w:t>
      </w:r>
      <w:r w:rsidR="00B92ECA" w:rsidRPr="001E4E73">
        <w:t>apartment</w:t>
      </w:r>
      <w:r w:rsidRPr="001E4E73">
        <w:t xml:space="preserve"> located on a single lot;</w:t>
      </w:r>
    </w:p>
    <w:p w14:paraId="765CC65C" w14:textId="7E72578B" w:rsidR="003514F4" w:rsidRPr="001E4E73" w:rsidRDefault="00741888" w:rsidP="003514F4">
      <w:pPr>
        <w:pStyle w:val="ListParagraph"/>
        <w:numPr>
          <w:ilvl w:val="0"/>
          <w:numId w:val="28"/>
        </w:numPr>
        <w:spacing w:before="0" w:beforeAutospacing="0" w:after="0" w:afterAutospacing="0" w:line="276" w:lineRule="auto"/>
        <w:ind w:left="357" w:hanging="357"/>
      </w:pPr>
      <w:r w:rsidRPr="001E4E73">
        <w:t xml:space="preserve">a </w:t>
      </w:r>
      <w:r w:rsidR="003514F4" w:rsidRPr="001E4E73">
        <w:t>retirement village with standalone villas or units;</w:t>
      </w:r>
    </w:p>
    <w:p w14:paraId="6032A7D0" w14:textId="77777777" w:rsidR="003514F4" w:rsidRPr="001E4E73" w:rsidRDefault="003514F4" w:rsidP="003514F4">
      <w:pPr>
        <w:pStyle w:val="ListParagraph"/>
        <w:numPr>
          <w:ilvl w:val="0"/>
          <w:numId w:val="28"/>
        </w:numPr>
        <w:spacing w:before="0" w:beforeAutospacing="0" w:after="0" w:afterAutospacing="0" w:line="276" w:lineRule="auto"/>
        <w:ind w:left="357" w:hanging="357"/>
      </w:pPr>
      <w:r w:rsidRPr="001E4E73">
        <w:t>a campus with separate educational buildings; or</w:t>
      </w:r>
    </w:p>
    <w:p w14:paraId="125CC216" w14:textId="77777777" w:rsidR="003514F4" w:rsidRPr="001E4E73" w:rsidRDefault="00741888" w:rsidP="003514F4">
      <w:pPr>
        <w:pStyle w:val="ListParagraph"/>
        <w:numPr>
          <w:ilvl w:val="0"/>
          <w:numId w:val="28"/>
        </w:numPr>
        <w:spacing w:before="0" w:beforeAutospacing="0" w:after="0" w:afterAutospacing="0" w:line="276" w:lineRule="auto"/>
        <w:ind w:left="357" w:hanging="357"/>
      </w:pPr>
      <w:r w:rsidRPr="001E4E73">
        <w:t xml:space="preserve">a </w:t>
      </w:r>
      <w:r w:rsidR="003514F4" w:rsidRPr="001E4E73">
        <w:t xml:space="preserve">shopping centre </w:t>
      </w:r>
      <w:r w:rsidR="00D47411" w:rsidRPr="001E4E73">
        <w:t xml:space="preserve">with separate, </w:t>
      </w:r>
      <w:r w:rsidR="003514F4" w:rsidRPr="001E4E73">
        <w:t>individual business premises</w:t>
      </w:r>
      <w:r w:rsidR="00EB7C04" w:rsidRPr="001E4E73">
        <w:t xml:space="preserve"> within the complex</w:t>
      </w:r>
      <w:r w:rsidR="003514F4" w:rsidRPr="001E4E73">
        <w:t>.</w:t>
      </w:r>
    </w:p>
    <w:p w14:paraId="0B8E9293" w14:textId="77777777" w:rsidR="003514F4" w:rsidRPr="001E4E73" w:rsidRDefault="003514F4" w:rsidP="003514F4">
      <w:pPr>
        <w:pStyle w:val="ListParagraph"/>
        <w:spacing w:before="0" w:beforeAutospacing="0" w:after="0" w:afterAutospacing="0" w:line="276" w:lineRule="auto"/>
        <w:ind w:left="357"/>
      </w:pPr>
    </w:p>
    <w:p w14:paraId="7799B6F0" w14:textId="03957DDD" w:rsidR="00CC00E4" w:rsidRPr="001E4E73" w:rsidRDefault="00BC2868" w:rsidP="00B92ECA">
      <w:pPr>
        <w:spacing w:after="0" w:line="276" w:lineRule="auto"/>
        <w:rPr>
          <w:rFonts w:ascii="Times New Roman" w:hAnsi="Times New Roman"/>
        </w:rPr>
      </w:pPr>
      <w:r w:rsidRPr="001E4E73">
        <w:rPr>
          <w:rFonts w:ascii="Times New Roman" w:hAnsi="Times New Roman"/>
        </w:rPr>
        <w:t>For example</w:t>
      </w:r>
      <w:r w:rsidR="00CC00E4" w:rsidRPr="001E4E73">
        <w:rPr>
          <w:rFonts w:ascii="Times New Roman" w:hAnsi="Times New Roman"/>
        </w:rPr>
        <w:t xml:space="preserve">, if a granny flat </w:t>
      </w:r>
      <w:r w:rsidR="000E267F" w:rsidRPr="001E4E73">
        <w:rPr>
          <w:rFonts w:ascii="Times New Roman" w:hAnsi="Times New Roman"/>
        </w:rPr>
        <w:t xml:space="preserve">is </w:t>
      </w:r>
      <w:r w:rsidR="00CC00E4" w:rsidRPr="001E4E73">
        <w:rPr>
          <w:rFonts w:ascii="Times New Roman" w:hAnsi="Times New Roman"/>
        </w:rPr>
        <w:t>located on the same lot</w:t>
      </w:r>
      <w:r w:rsidR="0005284E" w:rsidRPr="001E4E73">
        <w:rPr>
          <w:rFonts w:ascii="Times New Roman" w:hAnsi="Times New Roman"/>
        </w:rPr>
        <w:t xml:space="preserve"> (same property title)</w:t>
      </w:r>
      <w:r w:rsidR="00CC00E4" w:rsidRPr="001E4E73">
        <w:rPr>
          <w:rFonts w:ascii="Times New Roman" w:hAnsi="Times New Roman"/>
        </w:rPr>
        <w:t xml:space="preserve"> as a house</w:t>
      </w:r>
      <w:r w:rsidR="000E267F" w:rsidRPr="001E4E73">
        <w:rPr>
          <w:rFonts w:ascii="Times New Roman" w:hAnsi="Times New Roman"/>
        </w:rPr>
        <w:t xml:space="preserve"> </w:t>
      </w:r>
      <w:r w:rsidR="0005284E" w:rsidRPr="001E4E73">
        <w:rPr>
          <w:rFonts w:ascii="Times New Roman" w:hAnsi="Times New Roman"/>
        </w:rPr>
        <w:t xml:space="preserve">and it is being utilised as a </w:t>
      </w:r>
      <w:proofErr w:type="gramStart"/>
      <w:r w:rsidR="0005284E" w:rsidRPr="001E4E73">
        <w:rPr>
          <w:rFonts w:ascii="Times New Roman" w:hAnsi="Times New Roman"/>
        </w:rPr>
        <w:t>separate premises</w:t>
      </w:r>
      <w:proofErr w:type="gramEnd"/>
      <w:r w:rsidR="0005284E" w:rsidRPr="001E4E73">
        <w:rPr>
          <w:rFonts w:ascii="Times New Roman" w:hAnsi="Times New Roman"/>
        </w:rPr>
        <w:t xml:space="preserve">, the SIP for that service area is obliged to connect/supply </w:t>
      </w:r>
      <w:r w:rsidR="00350BA3" w:rsidRPr="001E4E73">
        <w:rPr>
          <w:rFonts w:ascii="Times New Roman" w:hAnsi="Times New Roman"/>
        </w:rPr>
        <w:t xml:space="preserve">separate </w:t>
      </w:r>
      <w:r w:rsidR="0005284E" w:rsidRPr="001E4E73">
        <w:rPr>
          <w:rFonts w:ascii="Times New Roman" w:hAnsi="Times New Roman"/>
        </w:rPr>
        <w:t xml:space="preserve">services to the granny flat upon request from a CSP. The technical means of providing that connection is </w:t>
      </w:r>
      <w:r w:rsidR="005C2F18" w:rsidRPr="001E4E73">
        <w:rPr>
          <w:rFonts w:ascii="Times New Roman" w:hAnsi="Times New Roman"/>
        </w:rPr>
        <w:t>a decision for</w:t>
      </w:r>
      <w:r w:rsidR="0005284E" w:rsidRPr="001E4E73">
        <w:rPr>
          <w:rFonts w:ascii="Times New Roman" w:hAnsi="Times New Roman"/>
        </w:rPr>
        <w:t xml:space="preserve"> the SIP, as long as the granny flat has a separate billable account </w:t>
      </w:r>
      <w:r w:rsidR="00E20AE6" w:rsidRPr="001E4E73">
        <w:rPr>
          <w:rFonts w:ascii="Times New Roman" w:hAnsi="Times New Roman"/>
        </w:rPr>
        <w:t>with</w:t>
      </w:r>
      <w:r w:rsidR="0005284E" w:rsidRPr="001E4E73">
        <w:rPr>
          <w:rFonts w:ascii="Times New Roman" w:hAnsi="Times New Roman"/>
        </w:rPr>
        <w:t xml:space="preserve"> the</w:t>
      </w:r>
      <w:r w:rsidR="005C2F18" w:rsidRPr="001E4E73">
        <w:rPr>
          <w:rFonts w:ascii="Times New Roman" w:hAnsi="Times New Roman"/>
        </w:rPr>
        <w:t>ir</w:t>
      </w:r>
      <w:r w:rsidR="0005284E" w:rsidRPr="001E4E73">
        <w:rPr>
          <w:rFonts w:ascii="Times New Roman" w:hAnsi="Times New Roman"/>
        </w:rPr>
        <w:t xml:space="preserve"> RSP</w:t>
      </w:r>
      <w:r w:rsidR="005C2F18" w:rsidRPr="001E4E73">
        <w:rPr>
          <w:rFonts w:ascii="Times New Roman" w:hAnsi="Times New Roman"/>
        </w:rPr>
        <w:t xml:space="preserve"> that they can access independently from any other accounts or end-users associated with the other premises (house). This maintains privacy for residents of the granny flat. Some </w:t>
      </w:r>
      <w:r w:rsidR="00EE6899" w:rsidRPr="001E4E73">
        <w:rPr>
          <w:rFonts w:ascii="Times New Roman" w:hAnsi="Times New Roman"/>
        </w:rPr>
        <w:t>possible</w:t>
      </w:r>
      <w:r w:rsidR="005C2F18" w:rsidRPr="001E4E73">
        <w:rPr>
          <w:rFonts w:ascii="Times New Roman" w:hAnsi="Times New Roman"/>
        </w:rPr>
        <w:t xml:space="preserve"> connection options include extending cabling from</w:t>
      </w:r>
      <w:r w:rsidR="00E338F0" w:rsidRPr="001E4E73">
        <w:rPr>
          <w:rFonts w:ascii="Times New Roman" w:hAnsi="Times New Roman"/>
        </w:rPr>
        <w:t xml:space="preserve"> a vacant port in</w:t>
      </w:r>
      <w:r w:rsidR="005C2F18" w:rsidRPr="001E4E73">
        <w:rPr>
          <w:rFonts w:ascii="Times New Roman" w:hAnsi="Times New Roman"/>
        </w:rPr>
        <w:t xml:space="preserve"> the SIP </w:t>
      </w:r>
      <w:r w:rsidR="008C01DD" w:rsidRPr="001E4E73">
        <w:rPr>
          <w:rFonts w:ascii="Times New Roman" w:hAnsi="Times New Roman"/>
        </w:rPr>
        <w:t>Network Termination Device (</w:t>
      </w:r>
      <w:r w:rsidR="005C2F18" w:rsidRPr="001E4E73">
        <w:rPr>
          <w:rFonts w:ascii="Times New Roman" w:hAnsi="Times New Roman"/>
        </w:rPr>
        <w:t>NTD</w:t>
      </w:r>
      <w:r w:rsidR="008C01DD" w:rsidRPr="001E4E73">
        <w:rPr>
          <w:rFonts w:ascii="Times New Roman" w:hAnsi="Times New Roman"/>
        </w:rPr>
        <w:t xml:space="preserve">, </w:t>
      </w:r>
      <w:r w:rsidR="00E338F0" w:rsidRPr="001E4E73">
        <w:rPr>
          <w:rFonts w:ascii="Times New Roman" w:hAnsi="Times New Roman"/>
        </w:rPr>
        <w:t>sometimes called a</w:t>
      </w:r>
      <w:r w:rsidR="00716176" w:rsidRPr="001E4E73">
        <w:rPr>
          <w:rFonts w:ascii="Times New Roman" w:hAnsi="Times New Roman"/>
        </w:rPr>
        <w:t>n</w:t>
      </w:r>
      <w:r w:rsidR="00E338F0" w:rsidRPr="001E4E73">
        <w:rPr>
          <w:rFonts w:ascii="Times New Roman" w:hAnsi="Times New Roman"/>
        </w:rPr>
        <w:t xml:space="preserve"> NTU)</w:t>
      </w:r>
      <w:r w:rsidR="005C2F18" w:rsidRPr="001E4E73">
        <w:rPr>
          <w:rFonts w:ascii="Times New Roman" w:hAnsi="Times New Roman"/>
        </w:rPr>
        <w:t xml:space="preserve"> located at the house to a router at the granny flat</w:t>
      </w:r>
      <w:r w:rsidR="00E338F0" w:rsidRPr="001E4E73">
        <w:rPr>
          <w:rFonts w:ascii="Times New Roman" w:hAnsi="Times New Roman"/>
        </w:rPr>
        <w:t xml:space="preserve"> (so the NTD would have 2 </w:t>
      </w:r>
      <w:r w:rsidR="00716176" w:rsidRPr="001E4E73">
        <w:rPr>
          <w:rFonts w:ascii="Times New Roman" w:hAnsi="Times New Roman"/>
        </w:rPr>
        <w:t xml:space="preserve">separate </w:t>
      </w:r>
      <w:r w:rsidR="00E338F0" w:rsidRPr="001E4E73">
        <w:rPr>
          <w:rFonts w:ascii="Times New Roman" w:hAnsi="Times New Roman"/>
        </w:rPr>
        <w:t>activated services through 2 different ports)</w:t>
      </w:r>
      <w:r w:rsidR="005C2F18" w:rsidRPr="001E4E73">
        <w:rPr>
          <w:rFonts w:ascii="Times New Roman" w:hAnsi="Times New Roman"/>
        </w:rPr>
        <w:t>, or a separate NTD could be installed at the granny flat.</w:t>
      </w:r>
      <w:r w:rsidR="004319AA" w:rsidRPr="001E4E73">
        <w:rPr>
          <w:rFonts w:ascii="Times New Roman" w:hAnsi="Times New Roman"/>
        </w:rPr>
        <w:t xml:space="preserve"> Although the means of connection is a decision for the SIP, the owners of the property are responsible for funding any </w:t>
      </w:r>
      <w:r w:rsidR="007573ED" w:rsidRPr="001E4E73">
        <w:rPr>
          <w:rFonts w:ascii="Times New Roman" w:hAnsi="Times New Roman"/>
        </w:rPr>
        <w:t>installation</w:t>
      </w:r>
      <w:r w:rsidR="004319AA" w:rsidRPr="001E4E73">
        <w:rPr>
          <w:rFonts w:ascii="Times New Roman" w:hAnsi="Times New Roman"/>
        </w:rPr>
        <w:t xml:space="preserve"> of cabling or pathways (pits, </w:t>
      </w:r>
      <w:r w:rsidR="00F11088" w:rsidRPr="001E4E73">
        <w:rPr>
          <w:rFonts w:ascii="Times New Roman" w:hAnsi="Times New Roman"/>
        </w:rPr>
        <w:t>pipe</w:t>
      </w:r>
      <w:r w:rsidR="00716176" w:rsidRPr="001E4E73">
        <w:rPr>
          <w:rFonts w:ascii="Times New Roman" w:hAnsi="Times New Roman"/>
        </w:rPr>
        <w:t>/conduit</w:t>
      </w:r>
      <w:r w:rsidR="004319AA" w:rsidRPr="001E4E73">
        <w:rPr>
          <w:rFonts w:ascii="Times New Roman" w:hAnsi="Times New Roman"/>
        </w:rPr>
        <w:t>, cable trays</w:t>
      </w:r>
      <w:r w:rsidR="00350BA3" w:rsidRPr="001E4E73">
        <w:rPr>
          <w:rFonts w:ascii="Times New Roman" w:hAnsi="Times New Roman"/>
        </w:rPr>
        <w:t xml:space="preserve">, </w:t>
      </w:r>
      <w:r w:rsidR="00350BA3" w:rsidRPr="001E4E73">
        <w:rPr>
          <w:rFonts w:ascii="Times New Roman" w:hAnsi="Times New Roman"/>
        </w:rPr>
        <w:lastRenderedPageBreak/>
        <w:t>and associated construction works</w:t>
      </w:r>
      <w:r w:rsidR="004319AA" w:rsidRPr="001E4E73">
        <w:rPr>
          <w:rFonts w:ascii="Times New Roman" w:hAnsi="Times New Roman"/>
        </w:rPr>
        <w:t>)</w:t>
      </w:r>
      <w:r w:rsidR="00601E56" w:rsidRPr="001E4E73">
        <w:rPr>
          <w:rFonts w:ascii="Times New Roman" w:hAnsi="Times New Roman"/>
        </w:rPr>
        <w:t xml:space="preserve"> within the lot boundaries</w:t>
      </w:r>
      <w:r w:rsidR="004319AA" w:rsidRPr="001E4E73">
        <w:rPr>
          <w:rFonts w:ascii="Times New Roman" w:hAnsi="Times New Roman"/>
        </w:rPr>
        <w:t xml:space="preserve"> to </w:t>
      </w:r>
      <w:r w:rsidR="009B3850" w:rsidRPr="001E4E73">
        <w:rPr>
          <w:rFonts w:ascii="Times New Roman" w:hAnsi="Times New Roman"/>
        </w:rPr>
        <w:t>facilitate</w:t>
      </w:r>
      <w:r w:rsidR="004319AA" w:rsidRPr="001E4E73">
        <w:rPr>
          <w:rFonts w:ascii="Times New Roman" w:hAnsi="Times New Roman"/>
        </w:rPr>
        <w:t xml:space="preserve"> implementation of the SIP’s </w:t>
      </w:r>
      <w:r w:rsidR="00F11088" w:rsidRPr="001E4E73">
        <w:rPr>
          <w:rFonts w:ascii="Times New Roman" w:hAnsi="Times New Roman"/>
        </w:rPr>
        <w:t xml:space="preserve">preferred </w:t>
      </w:r>
      <w:r w:rsidR="004319AA" w:rsidRPr="001E4E73">
        <w:rPr>
          <w:rFonts w:ascii="Times New Roman" w:hAnsi="Times New Roman"/>
        </w:rPr>
        <w:t xml:space="preserve">solution. </w:t>
      </w:r>
      <w:r w:rsidR="00AA721E" w:rsidRPr="001E4E73">
        <w:rPr>
          <w:rFonts w:ascii="Times New Roman" w:hAnsi="Times New Roman"/>
        </w:rPr>
        <w:t>In principle, t</w:t>
      </w:r>
      <w:r w:rsidR="004319AA" w:rsidRPr="001E4E73">
        <w:rPr>
          <w:rFonts w:ascii="Times New Roman" w:hAnsi="Times New Roman"/>
        </w:rPr>
        <w:t>his is consistent with legislation regarding new real estate development</w:t>
      </w:r>
      <w:r w:rsidR="00AA721E" w:rsidRPr="001E4E73">
        <w:rPr>
          <w:rFonts w:ascii="Times New Roman" w:hAnsi="Times New Roman"/>
        </w:rPr>
        <w:t xml:space="preserve"> projects</w:t>
      </w:r>
      <w:r w:rsidR="004319AA" w:rsidRPr="001E4E73">
        <w:rPr>
          <w:rFonts w:ascii="Times New Roman" w:hAnsi="Times New Roman"/>
        </w:rPr>
        <w:t xml:space="preserve"> as specified in</w:t>
      </w:r>
      <w:r w:rsidR="00716176" w:rsidRPr="001E4E73">
        <w:rPr>
          <w:rFonts w:ascii="Times New Roman" w:hAnsi="Times New Roman"/>
        </w:rPr>
        <w:t xml:space="preserve"> Part 20A of</w:t>
      </w:r>
      <w:r w:rsidR="004319AA" w:rsidRPr="001E4E73">
        <w:rPr>
          <w:rFonts w:ascii="Times New Roman" w:hAnsi="Times New Roman"/>
        </w:rPr>
        <w:t xml:space="preserve"> the </w:t>
      </w:r>
      <w:r w:rsidR="004319AA" w:rsidRPr="001E4E73">
        <w:rPr>
          <w:rFonts w:ascii="Times New Roman" w:hAnsi="Times New Roman"/>
          <w:i/>
        </w:rPr>
        <w:t>Telecommunications Act 1997</w:t>
      </w:r>
      <w:r w:rsidR="004319AA" w:rsidRPr="001E4E73">
        <w:rPr>
          <w:rFonts w:ascii="Times New Roman" w:hAnsi="Times New Roman"/>
        </w:rPr>
        <w:t>, whereby the developer</w:t>
      </w:r>
      <w:r w:rsidR="00F11088" w:rsidRPr="001E4E73">
        <w:rPr>
          <w:rFonts w:ascii="Times New Roman" w:hAnsi="Times New Roman"/>
        </w:rPr>
        <w:t xml:space="preserve"> (who is the property owner</w:t>
      </w:r>
      <w:r w:rsidR="00AA721E" w:rsidRPr="001E4E73">
        <w:rPr>
          <w:rFonts w:ascii="Times New Roman" w:hAnsi="Times New Roman"/>
        </w:rPr>
        <w:t xml:space="preserve"> at that stage</w:t>
      </w:r>
      <w:r w:rsidR="00F11088" w:rsidRPr="001E4E73">
        <w:rPr>
          <w:rFonts w:ascii="Times New Roman" w:hAnsi="Times New Roman"/>
        </w:rPr>
        <w:t>)</w:t>
      </w:r>
      <w:r w:rsidR="004319AA" w:rsidRPr="001E4E73">
        <w:rPr>
          <w:rFonts w:ascii="Times New Roman" w:hAnsi="Times New Roman"/>
        </w:rPr>
        <w:t xml:space="preserve"> is obliged to install ‘fibre-ready facilities’ (pit and pipe) </w:t>
      </w:r>
      <w:r w:rsidR="00F11088" w:rsidRPr="001E4E73">
        <w:rPr>
          <w:rFonts w:ascii="Times New Roman" w:hAnsi="Times New Roman"/>
        </w:rPr>
        <w:t>for</w:t>
      </w:r>
      <w:r w:rsidR="004319AA" w:rsidRPr="001E4E73">
        <w:rPr>
          <w:rFonts w:ascii="Times New Roman" w:hAnsi="Times New Roman"/>
        </w:rPr>
        <w:t xml:space="preserve"> each new </w:t>
      </w:r>
      <w:r w:rsidR="00AA721E" w:rsidRPr="001E4E73">
        <w:rPr>
          <w:rFonts w:ascii="Times New Roman" w:hAnsi="Times New Roman"/>
        </w:rPr>
        <w:t>lot</w:t>
      </w:r>
      <w:r w:rsidR="004319AA" w:rsidRPr="001E4E73">
        <w:rPr>
          <w:rFonts w:ascii="Times New Roman" w:hAnsi="Times New Roman"/>
        </w:rPr>
        <w:t xml:space="preserve"> in a real estate development project</w:t>
      </w:r>
      <w:r w:rsidR="00AA721E" w:rsidRPr="001E4E73">
        <w:rPr>
          <w:rFonts w:ascii="Times New Roman" w:hAnsi="Times New Roman"/>
        </w:rPr>
        <w:t xml:space="preserve"> before any lots are sold</w:t>
      </w:r>
      <w:r w:rsidR="004319AA" w:rsidRPr="001E4E73">
        <w:rPr>
          <w:rFonts w:ascii="Times New Roman" w:hAnsi="Times New Roman"/>
        </w:rPr>
        <w:t xml:space="preserve">. </w:t>
      </w:r>
      <w:r w:rsidR="00AA721E" w:rsidRPr="001E4E73">
        <w:rPr>
          <w:rFonts w:ascii="Times New Roman" w:hAnsi="Times New Roman"/>
        </w:rPr>
        <w:t xml:space="preserve">In </w:t>
      </w:r>
      <w:r w:rsidR="00FD4C7C" w:rsidRPr="001E4E73">
        <w:rPr>
          <w:rFonts w:ascii="Times New Roman" w:hAnsi="Times New Roman"/>
        </w:rPr>
        <w:t>this</w:t>
      </w:r>
      <w:r w:rsidR="00AA721E" w:rsidRPr="001E4E73">
        <w:rPr>
          <w:rFonts w:ascii="Times New Roman" w:hAnsi="Times New Roman"/>
        </w:rPr>
        <w:t xml:space="preserve"> granny flat example, i</w:t>
      </w:r>
      <w:r w:rsidR="00F11088" w:rsidRPr="001E4E73">
        <w:rPr>
          <w:rFonts w:ascii="Times New Roman" w:hAnsi="Times New Roman"/>
        </w:rPr>
        <w:t xml:space="preserve">f the owner of the property </w:t>
      </w:r>
      <w:r w:rsidR="0079271E" w:rsidRPr="001E4E73">
        <w:rPr>
          <w:rFonts w:ascii="Times New Roman" w:hAnsi="Times New Roman"/>
        </w:rPr>
        <w:t>has not yet carried out</w:t>
      </w:r>
      <w:r w:rsidR="00F11088" w:rsidRPr="001E4E73">
        <w:rPr>
          <w:rFonts w:ascii="Times New Roman" w:hAnsi="Times New Roman"/>
        </w:rPr>
        <w:t xml:space="preserve"> </w:t>
      </w:r>
      <w:r w:rsidR="00FD4C7C" w:rsidRPr="001E4E73">
        <w:rPr>
          <w:rFonts w:ascii="Times New Roman" w:hAnsi="Times New Roman"/>
        </w:rPr>
        <w:t>the</w:t>
      </w:r>
      <w:r w:rsidR="00F11088" w:rsidRPr="001E4E73">
        <w:rPr>
          <w:rFonts w:ascii="Times New Roman" w:hAnsi="Times New Roman"/>
        </w:rPr>
        <w:t xml:space="preserve"> </w:t>
      </w:r>
      <w:r w:rsidR="00AA721E" w:rsidRPr="001E4E73">
        <w:rPr>
          <w:rFonts w:ascii="Times New Roman" w:hAnsi="Times New Roman"/>
        </w:rPr>
        <w:t>construction</w:t>
      </w:r>
      <w:r w:rsidR="00F11088" w:rsidRPr="001E4E73">
        <w:rPr>
          <w:rFonts w:ascii="Times New Roman" w:hAnsi="Times New Roman"/>
        </w:rPr>
        <w:t xml:space="preserve"> works required to extend </w:t>
      </w:r>
      <w:r w:rsidR="00350BA3" w:rsidRPr="001E4E73">
        <w:rPr>
          <w:rFonts w:ascii="Times New Roman" w:hAnsi="Times New Roman"/>
        </w:rPr>
        <w:t>cabling and pathways</w:t>
      </w:r>
      <w:r w:rsidR="00F11088" w:rsidRPr="001E4E73">
        <w:rPr>
          <w:rFonts w:ascii="Times New Roman" w:hAnsi="Times New Roman"/>
        </w:rPr>
        <w:t xml:space="preserve"> beyond the main house to connect the granny flat, the SIP would be eligible for a</w:t>
      </w:r>
      <w:r w:rsidR="00350BA3" w:rsidRPr="001E4E73">
        <w:rPr>
          <w:rFonts w:ascii="Times New Roman" w:hAnsi="Times New Roman"/>
        </w:rPr>
        <w:t xml:space="preserve"> connection/supply</w:t>
      </w:r>
      <w:r w:rsidR="00F11088" w:rsidRPr="001E4E73">
        <w:rPr>
          <w:rFonts w:ascii="Times New Roman" w:hAnsi="Times New Roman"/>
        </w:rPr>
        <w:t xml:space="preserve"> e</w:t>
      </w:r>
      <w:r w:rsidR="00350BA3" w:rsidRPr="001E4E73">
        <w:rPr>
          <w:rFonts w:ascii="Times New Roman" w:hAnsi="Times New Roman"/>
        </w:rPr>
        <w:t>xception</w:t>
      </w:r>
      <w:r w:rsidR="00F11088" w:rsidRPr="001E4E73">
        <w:rPr>
          <w:rFonts w:ascii="Times New Roman" w:hAnsi="Times New Roman"/>
        </w:rPr>
        <w:t xml:space="preserve"> under this Instrument</w:t>
      </w:r>
      <w:r w:rsidR="0079271E" w:rsidRPr="001E4E73">
        <w:rPr>
          <w:rFonts w:ascii="Times New Roman" w:hAnsi="Times New Roman"/>
        </w:rPr>
        <w:t xml:space="preserve"> until such time as the civil works have been carried out</w:t>
      </w:r>
      <w:r w:rsidR="00F11088" w:rsidRPr="001E4E73">
        <w:rPr>
          <w:rFonts w:ascii="Times New Roman" w:hAnsi="Times New Roman"/>
        </w:rPr>
        <w:t>.</w:t>
      </w:r>
    </w:p>
    <w:p w14:paraId="5F0C1577" w14:textId="77777777" w:rsidR="00350BA3" w:rsidRPr="001E4E73" w:rsidRDefault="00350BA3" w:rsidP="00B92ECA">
      <w:pPr>
        <w:spacing w:after="0" w:line="276" w:lineRule="auto"/>
        <w:rPr>
          <w:rFonts w:ascii="Times New Roman" w:hAnsi="Times New Roman"/>
        </w:rPr>
      </w:pPr>
    </w:p>
    <w:p w14:paraId="6DA04EDE" w14:textId="77777777" w:rsidR="00350BA3" w:rsidRPr="001E4E73" w:rsidRDefault="00350BA3" w:rsidP="00B92ECA">
      <w:pPr>
        <w:spacing w:after="0" w:line="276" w:lineRule="auto"/>
        <w:rPr>
          <w:rFonts w:ascii="Times New Roman" w:hAnsi="Times New Roman"/>
        </w:rPr>
      </w:pPr>
      <w:r w:rsidRPr="001E4E73">
        <w:rPr>
          <w:rFonts w:ascii="Times New Roman" w:hAnsi="Times New Roman"/>
        </w:rPr>
        <w:t xml:space="preserve">The same principles described in the above paragraph are applicable to other types of multi-premises arrangements on a single lot. The key policy outcome </w:t>
      </w:r>
      <w:r w:rsidR="00986066" w:rsidRPr="001E4E73">
        <w:rPr>
          <w:rFonts w:ascii="Times New Roman" w:hAnsi="Times New Roman"/>
        </w:rPr>
        <w:t xml:space="preserve">of the SIP regime </w:t>
      </w:r>
      <w:r w:rsidRPr="001E4E73">
        <w:rPr>
          <w:rFonts w:ascii="Times New Roman" w:hAnsi="Times New Roman"/>
        </w:rPr>
        <w:t xml:space="preserve">is that all premises in Australia </w:t>
      </w:r>
      <w:r w:rsidR="00986066" w:rsidRPr="001E4E73">
        <w:rPr>
          <w:rFonts w:ascii="Times New Roman" w:hAnsi="Times New Roman"/>
        </w:rPr>
        <w:t>have</w:t>
      </w:r>
      <w:r w:rsidRPr="001E4E73">
        <w:rPr>
          <w:rFonts w:ascii="Times New Roman" w:hAnsi="Times New Roman"/>
        </w:rPr>
        <w:t xml:space="preserve"> access </w:t>
      </w:r>
      <w:r w:rsidR="00986066" w:rsidRPr="001E4E73">
        <w:rPr>
          <w:rFonts w:ascii="Times New Roman" w:hAnsi="Times New Roman"/>
        </w:rPr>
        <w:t xml:space="preserve">to </w:t>
      </w:r>
      <w:r w:rsidRPr="001E4E73">
        <w:rPr>
          <w:rFonts w:ascii="Times New Roman" w:hAnsi="Times New Roman"/>
        </w:rPr>
        <w:t xml:space="preserve">eligible </w:t>
      </w:r>
      <w:r w:rsidR="00986066" w:rsidRPr="001E4E73">
        <w:rPr>
          <w:rFonts w:ascii="Times New Roman" w:hAnsi="Times New Roman"/>
        </w:rPr>
        <w:t>telephone and broadband internet</w:t>
      </w:r>
      <w:r w:rsidRPr="001E4E73">
        <w:rPr>
          <w:rFonts w:ascii="Times New Roman" w:hAnsi="Times New Roman"/>
        </w:rPr>
        <w:t xml:space="preserve"> services. The presence of </w:t>
      </w:r>
      <w:proofErr w:type="gramStart"/>
      <w:r w:rsidRPr="001E4E73">
        <w:rPr>
          <w:rFonts w:ascii="Times New Roman" w:hAnsi="Times New Roman"/>
        </w:rPr>
        <w:t>another</w:t>
      </w:r>
      <w:proofErr w:type="gramEnd"/>
      <w:r w:rsidRPr="001E4E73">
        <w:rPr>
          <w:rFonts w:ascii="Times New Roman" w:hAnsi="Times New Roman"/>
        </w:rPr>
        <w:t xml:space="preserve"> premises on the same title should not be an </w:t>
      </w:r>
      <w:r w:rsidR="006D323B" w:rsidRPr="001E4E73">
        <w:rPr>
          <w:rFonts w:ascii="Times New Roman" w:hAnsi="Times New Roman"/>
        </w:rPr>
        <w:t xml:space="preserve">insurmountable </w:t>
      </w:r>
      <w:r w:rsidRPr="001E4E73">
        <w:rPr>
          <w:rFonts w:ascii="Times New Roman" w:hAnsi="Times New Roman"/>
        </w:rPr>
        <w:t>obstacle to that outcome, and SIPs should work cons</w:t>
      </w:r>
      <w:r w:rsidR="00986066" w:rsidRPr="001E4E73">
        <w:rPr>
          <w:rFonts w:ascii="Times New Roman" w:hAnsi="Times New Roman"/>
        </w:rPr>
        <w:t>tructively</w:t>
      </w:r>
      <w:r w:rsidR="006D323B" w:rsidRPr="001E4E73">
        <w:rPr>
          <w:rFonts w:ascii="Times New Roman" w:hAnsi="Times New Roman"/>
        </w:rPr>
        <w:t xml:space="preserve"> and cooperatively</w:t>
      </w:r>
      <w:r w:rsidR="00986066" w:rsidRPr="001E4E73">
        <w:rPr>
          <w:rFonts w:ascii="Times New Roman" w:hAnsi="Times New Roman"/>
        </w:rPr>
        <w:t xml:space="preserve"> with CSPs and end-users to achieve </w:t>
      </w:r>
      <w:r w:rsidR="006D323B" w:rsidRPr="001E4E73">
        <w:rPr>
          <w:rFonts w:ascii="Times New Roman" w:hAnsi="Times New Roman"/>
        </w:rPr>
        <w:t>the goals of the SIP regime.</w:t>
      </w:r>
    </w:p>
    <w:p w14:paraId="39FE9648" w14:textId="77777777" w:rsidR="00CC00E4" w:rsidRPr="001E4E73" w:rsidRDefault="00CC00E4" w:rsidP="00B92ECA">
      <w:pPr>
        <w:spacing w:after="0" w:line="276" w:lineRule="auto"/>
        <w:rPr>
          <w:rFonts w:ascii="Times New Roman" w:hAnsi="Times New Roman"/>
        </w:rPr>
      </w:pPr>
    </w:p>
    <w:p w14:paraId="76D816E7" w14:textId="190A3F42" w:rsidR="003514F4" w:rsidRPr="001E4E73" w:rsidRDefault="003514F4" w:rsidP="00B92ECA">
      <w:pPr>
        <w:spacing w:after="0" w:line="276" w:lineRule="auto"/>
        <w:rPr>
          <w:rFonts w:ascii="Times New Roman" w:hAnsi="Times New Roman"/>
        </w:rPr>
      </w:pPr>
      <w:r w:rsidRPr="001E4E73">
        <w:rPr>
          <w:rFonts w:ascii="Times New Roman" w:hAnsi="Times New Roman"/>
        </w:rPr>
        <w:t xml:space="preserve">The SIP connection and supply obligations </w:t>
      </w:r>
      <w:r w:rsidR="00B92ECA" w:rsidRPr="001E4E73">
        <w:rPr>
          <w:rFonts w:ascii="Times New Roman" w:hAnsi="Times New Roman"/>
        </w:rPr>
        <w:t>do not</w:t>
      </w:r>
      <w:r w:rsidRPr="001E4E73">
        <w:rPr>
          <w:rFonts w:ascii="Times New Roman" w:hAnsi="Times New Roman"/>
        </w:rPr>
        <w:t xml:space="preserve"> extend to SIPs </w:t>
      </w:r>
      <w:r w:rsidR="00CC00E4" w:rsidRPr="001E4E73">
        <w:rPr>
          <w:rFonts w:ascii="Times New Roman" w:hAnsi="Times New Roman"/>
        </w:rPr>
        <w:t>providing</w:t>
      </w:r>
      <w:r w:rsidRPr="001E4E73">
        <w:rPr>
          <w:rFonts w:ascii="Times New Roman" w:hAnsi="Times New Roman"/>
        </w:rPr>
        <w:t xml:space="preserve"> multiple connections to </w:t>
      </w:r>
      <w:r w:rsidR="00B80897" w:rsidRPr="001E4E73">
        <w:rPr>
          <w:rFonts w:ascii="Times New Roman" w:hAnsi="Times New Roman"/>
        </w:rPr>
        <w:t xml:space="preserve">the same identifiable </w:t>
      </w:r>
      <w:r w:rsidRPr="001E4E73">
        <w:rPr>
          <w:rFonts w:ascii="Times New Roman" w:hAnsi="Times New Roman"/>
        </w:rPr>
        <w:t xml:space="preserve">premises. For example, if </w:t>
      </w:r>
      <w:r w:rsidR="00D14BA1" w:rsidRPr="001E4E73">
        <w:rPr>
          <w:rFonts w:ascii="Times New Roman" w:hAnsi="Times New Roman"/>
        </w:rPr>
        <w:t>3</w:t>
      </w:r>
      <w:r w:rsidRPr="001E4E73">
        <w:rPr>
          <w:rFonts w:ascii="Times New Roman" w:hAnsi="Times New Roman"/>
        </w:rPr>
        <w:t xml:space="preserve"> students </w:t>
      </w:r>
      <w:r w:rsidR="00741888" w:rsidRPr="001E4E73">
        <w:rPr>
          <w:rFonts w:ascii="Times New Roman" w:hAnsi="Times New Roman"/>
        </w:rPr>
        <w:t xml:space="preserve">reside </w:t>
      </w:r>
      <w:r w:rsidRPr="001E4E73">
        <w:rPr>
          <w:rFonts w:ascii="Times New Roman" w:hAnsi="Times New Roman"/>
        </w:rPr>
        <w:t xml:space="preserve">in a </w:t>
      </w:r>
      <w:r w:rsidR="00D14BA1" w:rsidRPr="001E4E73">
        <w:rPr>
          <w:rFonts w:ascii="Times New Roman" w:hAnsi="Times New Roman"/>
        </w:rPr>
        <w:t xml:space="preserve">share </w:t>
      </w:r>
      <w:r w:rsidRPr="001E4E73">
        <w:rPr>
          <w:rFonts w:ascii="Times New Roman" w:hAnsi="Times New Roman"/>
        </w:rPr>
        <w:t>house</w:t>
      </w:r>
      <w:r w:rsidR="00A41C85" w:rsidRPr="001E4E73">
        <w:rPr>
          <w:rFonts w:ascii="Times New Roman" w:hAnsi="Times New Roman"/>
        </w:rPr>
        <w:t xml:space="preserve"> (which would have some shared communal facilities</w:t>
      </w:r>
      <w:r w:rsidR="00BC3A4C" w:rsidRPr="001E4E73">
        <w:rPr>
          <w:rFonts w:ascii="Times New Roman" w:hAnsi="Times New Roman"/>
        </w:rPr>
        <w:t xml:space="preserve"> such as a kitchen</w:t>
      </w:r>
      <w:r w:rsidR="00A41C85" w:rsidRPr="001E4E73">
        <w:rPr>
          <w:rFonts w:ascii="Times New Roman" w:hAnsi="Times New Roman"/>
        </w:rPr>
        <w:t>)</w:t>
      </w:r>
      <w:r w:rsidRPr="001E4E73">
        <w:rPr>
          <w:rFonts w:ascii="Times New Roman" w:hAnsi="Times New Roman"/>
        </w:rPr>
        <w:t xml:space="preserve">, </w:t>
      </w:r>
      <w:r w:rsidR="00D14BA1" w:rsidRPr="001E4E73">
        <w:rPr>
          <w:rFonts w:ascii="Times New Roman" w:hAnsi="Times New Roman"/>
        </w:rPr>
        <w:t xml:space="preserve">upon request from a CSP </w:t>
      </w:r>
      <w:r w:rsidRPr="001E4E73">
        <w:rPr>
          <w:rFonts w:ascii="Times New Roman" w:hAnsi="Times New Roman"/>
        </w:rPr>
        <w:t xml:space="preserve">the SIP would </w:t>
      </w:r>
      <w:r w:rsidR="00D14BA1" w:rsidRPr="001E4E73">
        <w:rPr>
          <w:rFonts w:ascii="Times New Roman" w:hAnsi="Times New Roman"/>
        </w:rPr>
        <w:t xml:space="preserve">only </w:t>
      </w:r>
      <w:r w:rsidRPr="001E4E73">
        <w:rPr>
          <w:rFonts w:ascii="Times New Roman" w:hAnsi="Times New Roman"/>
        </w:rPr>
        <w:t xml:space="preserve">be expected </w:t>
      </w:r>
      <w:r w:rsidR="00D14BA1" w:rsidRPr="001E4E73">
        <w:rPr>
          <w:rFonts w:ascii="Times New Roman" w:hAnsi="Times New Roman"/>
        </w:rPr>
        <w:t>to connect/supply</w:t>
      </w:r>
      <w:r w:rsidR="00B80897" w:rsidRPr="001E4E73">
        <w:rPr>
          <w:rFonts w:ascii="Times New Roman" w:hAnsi="Times New Roman"/>
        </w:rPr>
        <w:t xml:space="preserve"> a </w:t>
      </w:r>
      <w:r w:rsidRPr="001E4E73">
        <w:rPr>
          <w:rFonts w:ascii="Times New Roman" w:hAnsi="Times New Roman"/>
        </w:rPr>
        <w:t xml:space="preserve">single </w:t>
      </w:r>
      <w:r w:rsidR="00D14BA1" w:rsidRPr="001E4E73">
        <w:rPr>
          <w:rFonts w:ascii="Times New Roman" w:hAnsi="Times New Roman"/>
        </w:rPr>
        <w:t>service</w:t>
      </w:r>
      <w:r w:rsidRPr="001E4E73">
        <w:rPr>
          <w:rFonts w:ascii="Times New Roman" w:hAnsi="Times New Roman"/>
        </w:rPr>
        <w:t xml:space="preserve"> to the house</w:t>
      </w:r>
      <w:r w:rsidR="00D14BA1" w:rsidRPr="001E4E73">
        <w:rPr>
          <w:rFonts w:ascii="Times New Roman" w:hAnsi="Times New Roman"/>
        </w:rPr>
        <w:t xml:space="preserve">. </w:t>
      </w:r>
      <w:r w:rsidRPr="001E4E73">
        <w:rPr>
          <w:rFonts w:ascii="Times New Roman" w:hAnsi="Times New Roman"/>
        </w:rPr>
        <w:t xml:space="preserve">However, a SIP </w:t>
      </w:r>
      <w:r w:rsidR="00D14BA1" w:rsidRPr="001E4E73">
        <w:rPr>
          <w:rFonts w:ascii="Times New Roman" w:hAnsi="Times New Roman"/>
        </w:rPr>
        <w:t>is always at liberty</w:t>
      </w:r>
      <w:r w:rsidRPr="001E4E73">
        <w:rPr>
          <w:rFonts w:ascii="Times New Roman" w:hAnsi="Times New Roman"/>
        </w:rPr>
        <w:t xml:space="preserve"> to make multiple connections to a</w:t>
      </w:r>
      <w:r w:rsidR="00D14BA1" w:rsidRPr="001E4E73">
        <w:rPr>
          <w:rFonts w:ascii="Times New Roman" w:hAnsi="Times New Roman"/>
        </w:rPr>
        <w:t xml:space="preserve"> </w:t>
      </w:r>
      <w:proofErr w:type="gramStart"/>
      <w:r w:rsidR="00D14BA1" w:rsidRPr="001E4E73">
        <w:rPr>
          <w:rFonts w:ascii="Times New Roman" w:hAnsi="Times New Roman"/>
        </w:rPr>
        <w:t xml:space="preserve">single </w:t>
      </w:r>
      <w:r w:rsidRPr="001E4E73">
        <w:rPr>
          <w:rFonts w:ascii="Times New Roman" w:hAnsi="Times New Roman"/>
        </w:rPr>
        <w:t>premises</w:t>
      </w:r>
      <w:proofErr w:type="gramEnd"/>
      <w:r w:rsidRPr="001E4E73">
        <w:rPr>
          <w:rFonts w:ascii="Times New Roman" w:hAnsi="Times New Roman"/>
        </w:rPr>
        <w:t xml:space="preserve"> if it chooses to do so on a commercial basis.</w:t>
      </w:r>
      <w:r w:rsidR="00A40209" w:rsidRPr="001E4E73">
        <w:rPr>
          <w:rFonts w:ascii="Times New Roman" w:hAnsi="Times New Roman"/>
        </w:rPr>
        <w:t xml:space="preserve"> A share house is distinguished from a granny flat (as described above) because each bedroom is not considered a </w:t>
      </w:r>
      <w:proofErr w:type="gramStart"/>
      <w:r w:rsidR="00A40209" w:rsidRPr="001E4E73">
        <w:rPr>
          <w:rFonts w:ascii="Times New Roman" w:hAnsi="Times New Roman"/>
        </w:rPr>
        <w:t>separate premis</w:t>
      </w:r>
      <w:r w:rsidR="004368FF" w:rsidRPr="001E4E73">
        <w:rPr>
          <w:rFonts w:ascii="Times New Roman" w:hAnsi="Times New Roman"/>
        </w:rPr>
        <w:t>es</w:t>
      </w:r>
      <w:proofErr w:type="gramEnd"/>
      <w:r w:rsidR="00A40209" w:rsidRPr="001E4E73">
        <w:rPr>
          <w:rFonts w:ascii="Times New Roman" w:hAnsi="Times New Roman"/>
        </w:rPr>
        <w:t>.</w:t>
      </w:r>
      <w:r w:rsidR="004368FF" w:rsidRPr="001E4E73">
        <w:rPr>
          <w:rFonts w:ascii="Times New Roman" w:hAnsi="Times New Roman"/>
        </w:rPr>
        <w:t xml:space="preserve"> Residents of a share house</w:t>
      </w:r>
      <w:r w:rsidR="00BC3A4C" w:rsidRPr="001E4E73">
        <w:rPr>
          <w:rFonts w:ascii="Times New Roman" w:hAnsi="Times New Roman"/>
        </w:rPr>
        <w:t xml:space="preserve"> are expected</w:t>
      </w:r>
      <w:r w:rsidR="004368FF" w:rsidRPr="001E4E73">
        <w:rPr>
          <w:rFonts w:ascii="Times New Roman" w:hAnsi="Times New Roman"/>
        </w:rPr>
        <w:t xml:space="preserve"> to share an internet connection though</w:t>
      </w:r>
      <w:r w:rsidR="00BC3A4C" w:rsidRPr="001E4E73">
        <w:rPr>
          <w:rFonts w:ascii="Times New Roman" w:hAnsi="Times New Roman"/>
        </w:rPr>
        <w:t xml:space="preserve"> internally-wired ethernet sockets</w:t>
      </w:r>
      <w:r w:rsidR="004368FF" w:rsidRPr="001E4E73">
        <w:rPr>
          <w:rFonts w:ascii="Times New Roman" w:hAnsi="Times New Roman"/>
        </w:rPr>
        <w:t xml:space="preserve"> </w:t>
      </w:r>
      <w:r w:rsidR="00BC3A4C" w:rsidRPr="001E4E73">
        <w:rPr>
          <w:rFonts w:ascii="Times New Roman" w:hAnsi="Times New Roman"/>
        </w:rPr>
        <w:t xml:space="preserve">or </w:t>
      </w:r>
      <w:r w:rsidR="004368FF" w:rsidRPr="001E4E73">
        <w:rPr>
          <w:rFonts w:ascii="Times New Roman" w:hAnsi="Times New Roman"/>
        </w:rPr>
        <w:t>a wireless router</w:t>
      </w:r>
      <w:r w:rsidR="00BC3A4C" w:rsidRPr="001E4E73">
        <w:rPr>
          <w:rFonts w:ascii="Times New Roman" w:hAnsi="Times New Roman"/>
        </w:rPr>
        <w:t>, much as they share other communal facilities and utilities (power, water) within the premises.</w:t>
      </w:r>
    </w:p>
    <w:p w14:paraId="5AF39873" w14:textId="77777777" w:rsidR="00B92ECA" w:rsidRPr="001E4E73" w:rsidRDefault="00B92ECA" w:rsidP="00B92ECA">
      <w:pPr>
        <w:spacing w:after="0" w:line="276" w:lineRule="auto"/>
        <w:rPr>
          <w:rFonts w:ascii="Times New Roman" w:hAnsi="Times New Roman"/>
        </w:rPr>
      </w:pPr>
    </w:p>
    <w:p w14:paraId="4E2C496B" w14:textId="392994C1" w:rsidR="00293E6A" w:rsidRPr="001E4E73" w:rsidRDefault="00F51458" w:rsidP="00293E6A">
      <w:pPr>
        <w:spacing w:after="0" w:line="276" w:lineRule="auto"/>
        <w:rPr>
          <w:rFonts w:ascii="Times New Roman" w:hAnsi="Times New Roman"/>
        </w:rPr>
      </w:pPr>
      <w:r w:rsidRPr="001E4E73">
        <w:rPr>
          <w:rFonts w:ascii="Times New Roman" w:hAnsi="Times New Roman"/>
        </w:rPr>
        <w:t xml:space="preserve">This approach </w:t>
      </w:r>
      <w:r w:rsidR="005D1F44" w:rsidRPr="001E4E73">
        <w:rPr>
          <w:rFonts w:ascii="Times New Roman" w:hAnsi="Times New Roman"/>
        </w:rPr>
        <w:t xml:space="preserve">to the definition of </w:t>
      </w:r>
      <w:r w:rsidRPr="001E4E73">
        <w:rPr>
          <w:rFonts w:ascii="Times New Roman" w:hAnsi="Times New Roman"/>
        </w:rPr>
        <w:t>premises is consistent with NBN Co’s practice</w:t>
      </w:r>
      <w:r w:rsidR="0050440A" w:rsidRPr="001E4E73">
        <w:rPr>
          <w:rFonts w:ascii="Times New Roman" w:hAnsi="Times New Roman"/>
        </w:rPr>
        <w:t xml:space="preserve">s </w:t>
      </w:r>
      <w:r w:rsidRPr="001E4E73">
        <w:rPr>
          <w:rFonts w:ascii="Times New Roman" w:hAnsi="Times New Roman"/>
        </w:rPr>
        <w:t>of not defining the types of premises it services, generally leaving this to operational practice.</w:t>
      </w:r>
      <w:r w:rsidR="0050440A" w:rsidRPr="001E4E73">
        <w:rPr>
          <w:rFonts w:ascii="Times New Roman" w:hAnsi="Times New Roman"/>
        </w:rPr>
        <w:t xml:space="preserve"> </w:t>
      </w:r>
      <w:r w:rsidR="005D1F44" w:rsidRPr="001E4E73">
        <w:rPr>
          <w:rFonts w:ascii="Times New Roman" w:hAnsi="Times New Roman"/>
        </w:rPr>
        <w:t xml:space="preserve">It </w:t>
      </w:r>
      <w:r w:rsidR="00C70053" w:rsidRPr="001E4E73">
        <w:rPr>
          <w:rFonts w:ascii="Times New Roman" w:hAnsi="Times New Roman"/>
        </w:rPr>
        <w:t xml:space="preserve">was </w:t>
      </w:r>
      <w:r w:rsidRPr="001E4E73">
        <w:rPr>
          <w:rFonts w:ascii="Times New Roman" w:hAnsi="Times New Roman"/>
        </w:rPr>
        <w:t xml:space="preserve">deliberately </w:t>
      </w:r>
      <w:r w:rsidR="005D1F44" w:rsidRPr="001E4E73">
        <w:rPr>
          <w:rFonts w:ascii="Times New Roman" w:hAnsi="Times New Roman"/>
        </w:rPr>
        <w:t xml:space="preserve">adopted </w:t>
      </w:r>
      <w:r w:rsidR="00C70053" w:rsidRPr="001E4E73">
        <w:rPr>
          <w:rFonts w:ascii="Times New Roman" w:hAnsi="Times New Roman"/>
        </w:rPr>
        <w:t>when this</w:t>
      </w:r>
      <w:r w:rsidR="00D03493" w:rsidRPr="001E4E73">
        <w:rPr>
          <w:rFonts w:ascii="Times New Roman" w:hAnsi="Times New Roman"/>
        </w:rPr>
        <w:t xml:space="preserve"> Instrument</w:t>
      </w:r>
      <w:r w:rsidR="00C70053" w:rsidRPr="001E4E73">
        <w:rPr>
          <w:rFonts w:ascii="Times New Roman" w:hAnsi="Times New Roman"/>
        </w:rPr>
        <w:t xml:space="preserve"> was first made in 2021 </w:t>
      </w:r>
      <w:r w:rsidR="00F45A5A" w:rsidRPr="001E4E73">
        <w:rPr>
          <w:rFonts w:ascii="Times New Roman" w:hAnsi="Times New Roman"/>
        </w:rPr>
        <w:t xml:space="preserve">in order </w:t>
      </w:r>
      <w:r w:rsidR="00C70053" w:rsidRPr="001E4E73">
        <w:rPr>
          <w:rFonts w:ascii="Times New Roman" w:hAnsi="Times New Roman"/>
        </w:rPr>
        <w:t xml:space="preserve">to be </w:t>
      </w:r>
      <w:r w:rsidR="005C31EB" w:rsidRPr="001E4E73">
        <w:rPr>
          <w:rFonts w:ascii="Times New Roman" w:hAnsi="Times New Roman"/>
        </w:rPr>
        <w:t>consistent with the statute</w:t>
      </w:r>
      <w:r w:rsidR="00C70053" w:rsidRPr="001E4E73">
        <w:rPr>
          <w:rFonts w:ascii="Times New Roman" w:hAnsi="Times New Roman"/>
        </w:rPr>
        <w:t xml:space="preserve">. This </w:t>
      </w:r>
      <w:r w:rsidRPr="001E4E73">
        <w:rPr>
          <w:rFonts w:ascii="Times New Roman" w:hAnsi="Times New Roman"/>
        </w:rPr>
        <w:t>avoid</w:t>
      </w:r>
      <w:r w:rsidR="00C70053" w:rsidRPr="001E4E73">
        <w:rPr>
          <w:rFonts w:ascii="Times New Roman" w:hAnsi="Times New Roman"/>
        </w:rPr>
        <w:t>s</w:t>
      </w:r>
      <w:r w:rsidRPr="001E4E73">
        <w:rPr>
          <w:rFonts w:ascii="Times New Roman" w:hAnsi="Times New Roman"/>
        </w:rPr>
        <w:t xml:space="preserve"> the risk of defining premises and </w:t>
      </w:r>
      <w:r w:rsidR="00C70053" w:rsidRPr="001E4E73">
        <w:rPr>
          <w:rFonts w:ascii="Times New Roman" w:hAnsi="Times New Roman"/>
        </w:rPr>
        <w:t xml:space="preserve">therefore </w:t>
      </w:r>
      <w:r w:rsidRPr="001E4E73">
        <w:rPr>
          <w:rFonts w:ascii="Times New Roman" w:hAnsi="Times New Roman"/>
        </w:rPr>
        <w:t>unintentionally excluding a type o</w:t>
      </w:r>
      <w:r w:rsidR="00F54984" w:rsidRPr="001E4E73">
        <w:rPr>
          <w:rFonts w:ascii="Times New Roman" w:hAnsi="Times New Roman"/>
        </w:rPr>
        <w:t>f</w:t>
      </w:r>
      <w:r w:rsidRPr="001E4E73">
        <w:rPr>
          <w:rFonts w:ascii="Times New Roman" w:hAnsi="Times New Roman"/>
        </w:rPr>
        <w:t xml:space="preserve"> premises that </w:t>
      </w:r>
      <w:r w:rsidR="00F45A5A" w:rsidRPr="001E4E73">
        <w:rPr>
          <w:rFonts w:ascii="Times New Roman" w:hAnsi="Times New Roman"/>
        </w:rPr>
        <w:t xml:space="preserve">would </w:t>
      </w:r>
      <w:r w:rsidRPr="001E4E73">
        <w:rPr>
          <w:rFonts w:ascii="Times New Roman" w:hAnsi="Times New Roman"/>
        </w:rPr>
        <w:t>warrant access to a broadband service.</w:t>
      </w:r>
      <w:r w:rsidR="0050440A" w:rsidRPr="001E4E73">
        <w:rPr>
          <w:rFonts w:ascii="Times New Roman" w:hAnsi="Times New Roman"/>
        </w:rPr>
        <w:t xml:space="preserve"> However, the approach taken in the Instrument </w:t>
      </w:r>
      <w:r w:rsidR="00741888" w:rsidRPr="001E4E73">
        <w:rPr>
          <w:rFonts w:ascii="Times New Roman" w:hAnsi="Times New Roman"/>
        </w:rPr>
        <w:t xml:space="preserve">may </w:t>
      </w:r>
      <w:r w:rsidRPr="001E4E73">
        <w:rPr>
          <w:rFonts w:ascii="Times New Roman" w:hAnsi="Times New Roman"/>
        </w:rPr>
        <w:t xml:space="preserve">be revisited </w:t>
      </w:r>
      <w:r w:rsidR="00741888" w:rsidRPr="001E4E73">
        <w:rPr>
          <w:rFonts w:ascii="Times New Roman" w:hAnsi="Times New Roman"/>
        </w:rPr>
        <w:t xml:space="preserve">in the future </w:t>
      </w:r>
      <w:r w:rsidRPr="001E4E73">
        <w:rPr>
          <w:rFonts w:ascii="Times New Roman" w:hAnsi="Times New Roman"/>
        </w:rPr>
        <w:t>if it proves problematic</w:t>
      </w:r>
      <w:r w:rsidR="0050440A" w:rsidRPr="001E4E73">
        <w:rPr>
          <w:rFonts w:ascii="Times New Roman" w:hAnsi="Times New Roman"/>
        </w:rPr>
        <w:t xml:space="preserve"> in its interpretation and/or application (e.g. resulting in a </w:t>
      </w:r>
      <w:r w:rsidRPr="001E4E73">
        <w:rPr>
          <w:rFonts w:ascii="Times New Roman" w:hAnsi="Times New Roman"/>
        </w:rPr>
        <w:t xml:space="preserve">too </w:t>
      </w:r>
      <w:r w:rsidR="0050440A" w:rsidRPr="001E4E73">
        <w:rPr>
          <w:rFonts w:ascii="Times New Roman" w:hAnsi="Times New Roman"/>
        </w:rPr>
        <w:t xml:space="preserve">broad, </w:t>
      </w:r>
      <w:r w:rsidRPr="001E4E73">
        <w:rPr>
          <w:rFonts w:ascii="Times New Roman" w:hAnsi="Times New Roman"/>
        </w:rPr>
        <w:t>or too narrow</w:t>
      </w:r>
      <w:r w:rsidR="0050440A" w:rsidRPr="001E4E73">
        <w:rPr>
          <w:rFonts w:ascii="Times New Roman" w:hAnsi="Times New Roman"/>
        </w:rPr>
        <w:t xml:space="preserve">, </w:t>
      </w:r>
      <w:r w:rsidRPr="001E4E73">
        <w:rPr>
          <w:rFonts w:ascii="Times New Roman" w:hAnsi="Times New Roman"/>
        </w:rPr>
        <w:t>range of premises being excluded</w:t>
      </w:r>
      <w:r w:rsidR="0050440A" w:rsidRPr="001E4E73">
        <w:rPr>
          <w:rFonts w:ascii="Times New Roman" w:hAnsi="Times New Roman"/>
        </w:rPr>
        <w:t>).</w:t>
      </w:r>
    </w:p>
    <w:p w14:paraId="14097F51" w14:textId="77777777" w:rsidR="005D0295" w:rsidRPr="001E4E73" w:rsidRDefault="005D0295" w:rsidP="00293E6A">
      <w:pPr>
        <w:spacing w:after="0" w:line="276" w:lineRule="auto"/>
      </w:pPr>
    </w:p>
    <w:p w14:paraId="4B65FA0D" w14:textId="77777777" w:rsidR="0050440A" w:rsidRPr="001E4E73" w:rsidRDefault="0050440A" w:rsidP="00293E6A">
      <w:pPr>
        <w:spacing w:after="0" w:line="276" w:lineRule="auto"/>
        <w:rPr>
          <w:rFonts w:ascii="Times New Roman" w:hAnsi="Times New Roman"/>
        </w:rPr>
      </w:pPr>
      <w:r w:rsidRPr="001E4E73">
        <w:rPr>
          <w:rFonts w:ascii="Times New Roman" w:hAnsi="Times New Roman"/>
        </w:rPr>
        <w:t>SIPs are not expected to connect or supply services to</w:t>
      </w:r>
      <w:r w:rsidR="00741888" w:rsidRPr="001E4E73">
        <w:rPr>
          <w:rFonts w:ascii="Times New Roman" w:hAnsi="Times New Roman"/>
        </w:rPr>
        <w:t xml:space="preserve"> things or places which are not ordinar</w:t>
      </w:r>
      <w:r w:rsidR="00043C5D" w:rsidRPr="001E4E73">
        <w:rPr>
          <w:rFonts w:ascii="Times New Roman" w:hAnsi="Times New Roman"/>
        </w:rPr>
        <w:t>il</w:t>
      </w:r>
      <w:r w:rsidR="00741888" w:rsidRPr="001E4E73">
        <w:rPr>
          <w:rFonts w:ascii="Times New Roman" w:hAnsi="Times New Roman"/>
        </w:rPr>
        <w:t>y considered premises</w:t>
      </w:r>
      <w:r w:rsidR="005B4F41" w:rsidRPr="001E4E73">
        <w:rPr>
          <w:rFonts w:ascii="Times New Roman" w:hAnsi="Times New Roman"/>
        </w:rPr>
        <w:t xml:space="preserve"> (</w:t>
      </w:r>
      <w:r w:rsidRPr="001E4E73">
        <w:rPr>
          <w:rFonts w:ascii="Times New Roman" w:hAnsi="Times New Roman"/>
        </w:rPr>
        <w:t>‘non-premises’</w:t>
      </w:r>
      <w:r w:rsidR="005B4F41" w:rsidRPr="001E4E73">
        <w:rPr>
          <w:rFonts w:ascii="Times New Roman" w:hAnsi="Times New Roman"/>
        </w:rPr>
        <w:t>)</w:t>
      </w:r>
      <w:r w:rsidRPr="001E4E73">
        <w:rPr>
          <w:rFonts w:ascii="Times New Roman" w:hAnsi="Times New Roman"/>
        </w:rPr>
        <w:t>. Examples of non-premises could include</w:t>
      </w:r>
      <w:r w:rsidR="00B80897" w:rsidRPr="001E4E73">
        <w:rPr>
          <w:rFonts w:ascii="Times New Roman" w:hAnsi="Times New Roman"/>
        </w:rPr>
        <w:t>, but are not limited to</w:t>
      </w:r>
      <w:r w:rsidRPr="001E4E73">
        <w:rPr>
          <w:rFonts w:ascii="Times New Roman" w:hAnsi="Times New Roman"/>
        </w:rPr>
        <w:t>:</w:t>
      </w:r>
    </w:p>
    <w:p w14:paraId="2236A455" w14:textId="77777777" w:rsidR="0050440A" w:rsidRPr="001E4E73" w:rsidRDefault="00D03493" w:rsidP="0050440A">
      <w:pPr>
        <w:pStyle w:val="ListParagraph"/>
        <w:numPr>
          <w:ilvl w:val="0"/>
          <w:numId w:val="28"/>
        </w:numPr>
        <w:spacing w:before="0" w:beforeAutospacing="0" w:after="0" w:afterAutospacing="0" w:line="276" w:lineRule="auto"/>
        <w:ind w:left="357" w:hanging="357"/>
      </w:pPr>
      <w:r w:rsidRPr="001E4E73">
        <w:t>t</w:t>
      </w:r>
      <w:r w:rsidR="0050440A" w:rsidRPr="001E4E73">
        <w:t>raffic lights</w:t>
      </w:r>
      <w:r w:rsidRPr="001E4E73">
        <w:t>,</w:t>
      </w:r>
      <w:r w:rsidR="0050440A" w:rsidRPr="001E4E73">
        <w:t xml:space="preserve"> traffic light controller</w:t>
      </w:r>
      <w:r w:rsidRPr="001E4E73">
        <w:t>s,</w:t>
      </w:r>
      <w:r w:rsidR="0050440A" w:rsidRPr="001E4E73">
        <w:t xml:space="preserve"> electronic sign</w:t>
      </w:r>
      <w:r w:rsidRPr="001E4E73">
        <w:t xml:space="preserve">s, </w:t>
      </w:r>
      <w:r w:rsidR="0050440A" w:rsidRPr="001E4E73">
        <w:t>traffic signals, including variable speed signs</w:t>
      </w:r>
      <w:r w:rsidRPr="001E4E73">
        <w:t>, and other similar transport equipment</w:t>
      </w:r>
      <w:r w:rsidR="0050440A" w:rsidRPr="001E4E73">
        <w:t>;</w:t>
      </w:r>
    </w:p>
    <w:p w14:paraId="254B2207" w14:textId="0B3C786C" w:rsidR="0050440A" w:rsidRPr="001E4E73" w:rsidRDefault="00D03493" w:rsidP="0050440A">
      <w:pPr>
        <w:pStyle w:val="ListParagraph"/>
        <w:numPr>
          <w:ilvl w:val="0"/>
          <w:numId w:val="28"/>
        </w:numPr>
        <w:spacing w:before="0" w:beforeAutospacing="0" w:after="0" w:afterAutospacing="0" w:line="276" w:lineRule="auto"/>
        <w:ind w:left="357" w:hanging="357"/>
      </w:pPr>
      <w:r w:rsidRPr="001E4E73">
        <w:t>b</w:t>
      </w:r>
      <w:r w:rsidR="0050440A" w:rsidRPr="001E4E73">
        <w:t xml:space="preserve">us </w:t>
      </w:r>
      <w:r w:rsidR="00B80897" w:rsidRPr="001E4E73">
        <w:t>or</w:t>
      </w:r>
      <w:r w:rsidR="0050440A" w:rsidRPr="001E4E73">
        <w:t xml:space="preserve"> tram stop</w:t>
      </w:r>
      <w:r w:rsidR="00B80897" w:rsidRPr="001E4E73">
        <w:t>s</w:t>
      </w:r>
      <w:r w:rsidR="0050440A" w:rsidRPr="001E4E73">
        <w:t>;</w:t>
      </w:r>
    </w:p>
    <w:p w14:paraId="4E653584" w14:textId="29E48594" w:rsidR="0050440A" w:rsidRPr="001E4E73" w:rsidRDefault="00D03493" w:rsidP="0050440A">
      <w:pPr>
        <w:pStyle w:val="ListParagraph"/>
        <w:numPr>
          <w:ilvl w:val="0"/>
          <w:numId w:val="28"/>
        </w:numPr>
        <w:spacing w:before="0" w:beforeAutospacing="0" w:after="0" w:afterAutospacing="0" w:line="276" w:lineRule="auto"/>
        <w:ind w:left="357" w:hanging="357"/>
      </w:pPr>
      <w:r w:rsidRPr="001E4E73">
        <w:t>b</w:t>
      </w:r>
      <w:r w:rsidR="0050440A" w:rsidRPr="001E4E73">
        <w:t xml:space="preserve">anking </w:t>
      </w:r>
      <w:r w:rsidR="00A00E7B" w:rsidRPr="001E4E73">
        <w:t xml:space="preserve">and payment </w:t>
      </w:r>
      <w:r w:rsidRPr="001E4E73">
        <w:t xml:space="preserve">terminals </w:t>
      </w:r>
      <w:r w:rsidR="0050440A" w:rsidRPr="001E4E73">
        <w:t>(</w:t>
      </w:r>
      <w:r w:rsidRPr="001E4E73">
        <w:t xml:space="preserve">e.g. </w:t>
      </w:r>
      <w:r w:rsidR="0050440A" w:rsidRPr="001E4E73">
        <w:t>EFTPOS</w:t>
      </w:r>
      <w:r w:rsidR="00A00E7B" w:rsidRPr="001E4E73">
        <w:t>,</w:t>
      </w:r>
      <w:r w:rsidR="0050440A" w:rsidRPr="001E4E73">
        <w:t xml:space="preserve"> ATM</w:t>
      </w:r>
      <w:r w:rsidR="00A00E7B" w:rsidRPr="001E4E73">
        <w:t>, carpark kiosks, vending machines</w:t>
      </w:r>
      <w:r w:rsidR="0050440A" w:rsidRPr="001E4E73">
        <w:t>);</w:t>
      </w:r>
    </w:p>
    <w:p w14:paraId="1BC2F407" w14:textId="77777777" w:rsidR="0050440A" w:rsidRPr="001E4E73" w:rsidRDefault="0050440A" w:rsidP="0050440A">
      <w:pPr>
        <w:pStyle w:val="ListParagraph"/>
        <w:numPr>
          <w:ilvl w:val="0"/>
          <w:numId w:val="28"/>
        </w:numPr>
        <w:spacing w:before="0" w:beforeAutospacing="0" w:after="0" w:afterAutospacing="0" w:line="276" w:lineRule="auto"/>
        <w:ind w:left="357" w:hanging="357"/>
      </w:pPr>
      <w:r w:rsidRPr="001E4E73">
        <w:lastRenderedPageBreak/>
        <w:t>payphones;</w:t>
      </w:r>
    </w:p>
    <w:p w14:paraId="211879AD" w14:textId="3EE5370A" w:rsidR="0050440A" w:rsidRPr="001E4E73" w:rsidRDefault="00D03493" w:rsidP="0050440A">
      <w:pPr>
        <w:pStyle w:val="ListParagraph"/>
        <w:numPr>
          <w:ilvl w:val="0"/>
          <w:numId w:val="28"/>
        </w:numPr>
        <w:spacing w:before="0" w:beforeAutospacing="0" w:after="0" w:afterAutospacing="0" w:line="276" w:lineRule="auto"/>
        <w:ind w:left="357" w:hanging="357"/>
      </w:pPr>
      <w:r w:rsidRPr="001E4E73">
        <w:t>a</w:t>
      </w:r>
      <w:r w:rsidR="0050440A" w:rsidRPr="001E4E73">
        <w:t>ssistance telephones (e.g. elevator and roadside phones);</w:t>
      </w:r>
    </w:p>
    <w:p w14:paraId="4300A01D" w14:textId="7A7D3DEA" w:rsidR="0072522F" w:rsidRPr="001E4E73" w:rsidDel="0072522F" w:rsidRDefault="0072522F" w:rsidP="0072522F">
      <w:pPr>
        <w:pStyle w:val="ListParagraph"/>
        <w:numPr>
          <w:ilvl w:val="0"/>
          <w:numId w:val="28"/>
        </w:numPr>
        <w:spacing w:before="0" w:beforeAutospacing="0" w:after="0" w:afterAutospacing="0" w:line="276" w:lineRule="auto"/>
        <w:ind w:left="357" w:right="-569" w:hanging="357"/>
      </w:pPr>
      <w:r w:rsidRPr="001E4E73" w:rsidDel="0072522F">
        <w:t>water</w:t>
      </w:r>
      <w:r w:rsidR="005C31EB" w:rsidRPr="001E4E73">
        <w:t>,</w:t>
      </w:r>
      <w:r w:rsidRPr="001E4E73" w:rsidDel="0072522F">
        <w:t xml:space="preserve"> gas</w:t>
      </w:r>
      <w:r w:rsidR="005C31EB" w:rsidRPr="001E4E73">
        <w:t>,</w:t>
      </w:r>
      <w:r w:rsidRPr="001E4E73" w:rsidDel="0072522F">
        <w:t xml:space="preserve"> </w:t>
      </w:r>
      <w:r w:rsidR="00D03493" w:rsidRPr="001E4E73">
        <w:t xml:space="preserve">electricity equipment </w:t>
      </w:r>
      <w:r w:rsidRPr="001E4E73">
        <w:t xml:space="preserve">and </w:t>
      </w:r>
      <w:r w:rsidRPr="001E4E73" w:rsidDel="0072522F">
        <w:t>other utility infrastructure</w:t>
      </w:r>
      <w:r w:rsidR="005C31EB" w:rsidRPr="001E4E73">
        <w:t xml:space="preserve"> </w:t>
      </w:r>
      <w:r w:rsidR="005C31EB" w:rsidRPr="001E4E73" w:rsidDel="0072522F">
        <w:t>(including storm water and sewage management</w:t>
      </w:r>
      <w:r w:rsidR="00DF470E" w:rsidRPr="001E4E73">
        <w:t xml:space="preserve"> facilities, </w:t>
      </w:r>
      <w:r w:rsidR="005C31EB" w:rsidRPr="001E4E73">
        <w:t>transformers, pad mount substations, pole mount transformers, power links, street lighting pole, and street light controllers</w:t>
      </w:r>
      <w:r w:rsidR="005C31EB" w:rsidRPr="001E4E73" w:rsidDel="0072522F">
        <w:t>)</w:t>
      </w:r>
      <w:r w:rsidRPr="001E4E73" w:rsidDel="0072522F">
        <w:t>;</w:t>
      </w:r>
    </w:p>
    <w:p w14:paraId="0A0B5034" w14:textId="77777777" w:rsidR="0050440A" w:rsidRPr="001E4E73" w:rsidRDefault="00D03493" w:rsidP="00C74A1F">
      <w:pPr>
        <w:pStyle w:val="ListParagraph"/>
        <w:numPr>
          <w:ilvl w:val="0"/>
          <w:numId w:val="28"/>
        </w:numPr>
        <w:spacing w:before="0" w:beforeAutospacing="0" w:after="0" w:afterAutospacing="0" w:line="276" w:lineRule="auto"/>
        <w:ind w:left="357" w:right="-569" w:hanging="357"/>
      </w:pPr>
      <w:r w:rsidRPr="001E4E73">
        <w:t>o</w:t>
      </w:r>
      <w:r w:rsidR="0050440A" w:rsidRPr="001E4E73">
        <w:t>ther metering point</w:t>
      </w:r>
      <w:r w:rsidRPr="001E4E73">
        <w:t>s</w:t>
      </w:r>
      <w:r w:rsidR="0050440A" w:rsidRPr="001E4E73">
        <w:t xml:space="preserve"> (</w:t>
      </w:r>
      <w:r w:rsidR="00DF470E" w:rsidRPr="001E4E73">
        <w:t xml:space="preserve">for </w:t>
      </w:r>
      <w:r w:rsidR="0050440A" w:rsidRPr="001E4E73">
        <w:t xml:space="preserve">any </w:t>
      </w:r>
      <w:r w:rsidR="00DF470E" w:rsidRPr="001E4E73">
        <w:t xml:space="preserve">type of </w:t>
      </w:r>
      <w:r w:rsidR="0050440A" w:rsidRPr="001E4E73">
        <w:t>service);</w:t>
      </w:r>
    </w:p>
    <w:p w14:paraId="6F10A24B" w14:textId="77777777" w:rsidR="0050440A" w:rsidRPr="001E4E73" w:rsidRDefault="00D03493" w:rsidP="0050440A">
      <w:pPr>
        <w:pStyle w:val="ListParagraph"/>
        <w:numPr>
          <w:ilvl w:val="0"/>
          <w:numId w:val="28"/>
        </w:numPr>
        <w:spacing w:before="0" w:beforeAutospacing="0" w:after="0" w:afterAutospacing="0" w:line="276" w:lineRule="auto"/>
        <w:ind w:left="357" w:hanging="357"/>
      </w:pPr>
      <w:r w:rsidRPr="001E4E73">
        <w:t>c</w:t>
      </w:r>
      <w:r w:rsidR="0050440A" w:rsidRPr="001E4E73">
        <w:t>amera</w:t>
      </w:r>
      <w:r w:rsidRPr="001E4E73">
        <w:t>s</w:t>
      </w:r>
      <w:r w:rsidR="0050440A" w:rsidRPr="001E4E73">
        <w:t xml:space="preserve"> (</w:t>
      </w:r>
      <w:r w:rsidRPr="001E4E73">
        <w:t xml:space="preserve">e.g. for </w:t>
      </w:r>
      <w:r w:rsidR="0050440A" w:rsidRPr="001E4E73">
        <w:t>security</w:t>
      </w:r>
      <w:r w:rsidRPr="001E4E73">
        <w:t xml:space="preserve"> or</w:t>
      </w:r>
      <w:r w:rsidR="0050440A" w:rsidRPr="001E4E73">
        <w:t xml:space="preserve"> traffic);</w:t>
      </w:r>
    </w:p>
    <w:p w14:paraId="6C2F1B6B" w14:textId="77777777" w:rsidR="0050440A" w:rsidRPr="001E4E73" w:rsidRDefault="00A00E7B" w:rsidP="0050440A">
      <w:pPr>
        <w:pStyle w:val="ListParagraph"/>
        <w:numPr>
          <w:ilvl w:val="0"/>
          <w:numId w:val="28"/>
        </w:numPr>
        <w:spacing w:before="0" w:beforeAutospacing="0" w:after="0" w:afterAutospacing="0" w:line="276" w:lineRule="auto"/>
        <w:ind w:left="357" w:hanging="357"/>
      </w:pPr>
      <w:r w:rsidRPr="001E4E73">
        <w:t>b</w:t>
      </w:r>
      <w:r w:rsidR="0050440A" w:rsidRPr="001E4E73">
        <w:t>ridge control</w:t>
      </w:r>
      <w:r w:rsidRPr="001E4E73">
        <w:t>s</w:t>
      </w:r>
      <w:r w:rsidR="0050440A" w:rsidRPr="001E4E73">
        <w:t>, swing bridge</w:t>
      </w:r>
      <w:r w:rsidRPr="001E4E73">
        <w:t>s</w:t>
      </w:r>
      <w:r w:rsidR="0050440A" w:rsidRPr="001E4E73">
        <w:t xml:space="preserve">, </w:t>
      </w:r>
      <w:r w:rsidRPr="001E4E73">
        <w:t xml:space="preserve">and </w:t>
      </w:r>
      <w:r w:rsidR="0050440A" w:rsidRPr="001E4E73">
        <w:t>traffic control gate</w:t>
      </w:r>
      <w:r w:rsidRPr="001E4E73">
        <w:t>s</w:t>
      </w:r>
      <w:r w:rsidR="0050440A" w:rsidRPr="001E4E73">
        <w:t>;</w:t>
      </w:r>
    </w:p>
    <w:p w14:paraId="663BC198" w14:textId="77777777" w:rsidR="0050440A" w:rsidRPr="001E4E73" w:rsidRDefault="00A00E7B" w:rsidP="0050440A">
      <w:pPr>
        <w:pStyle w:val="ListParagraph"/>
        <w:numPr>
          <w:ilvl w:val="0"/>
          <w:numId w:val="28"/>
        </w:numPr>
        <w:spacing w:before="0" w:beforeAutospacing="0" w:after="0" w:afterAutospacing="0" w:line="276" w:lineRule="auto"/>
        <w:ind w:left="357" w:hanging="357"/>
      </w:pPr>
      <w:r w:rsidRPr="001E4E73">
        <w:t>m</w:t>
      </w:r>
      <w:r w:rsidR="0050440A" w:rsidRPr="001E4E73">
        <w:t>obile phone cell tower</w:t>
      </w:r>
      <w:r w:rsidRPr="001E4E73">
        <w:t>s and</w:t>
      </w:r>
      <w:r w:rsidR="0050440A" w:rsidRPr="001E4E73">
        <w:t xml:space="preserve"> radio antenna</w:t>
      </w:r>
      <w:r w:rsidRPr="001E4E73">
        <w:t>s</w:t>
      </w:r>
      <w:r w:rsidR="0050440A" w:rsidRPr="001E4E73">
        <w:t>;</w:t>
      </w:r>
    </w:p>
    <w:p w14:paraId="1D7EC973" w14:textId="77777777" w:rsidR="0050440A" w:rsidRPr="001E4E73" w:rsidRDefault="00A00E7B" w:rsidP="0050440A">
      <w:pPr>
        <w:pStyle w:val="ListParagraph"/>
        <w:numPr>
          <w:ilvl w:val="0"/>
          <w:numId w:val="28"/>
        </w:numPr>
        <w:spacing w:before="0" w:beforeAutospacing="0" w:after="0" w:afterAutospacing="0" w:line="276" w:lineRule="auto"/>
        <w:ind w:left="357" w:hanging="357"/>
      </w:pPr>
      <w:r w:rsidRPr="001E4E73">
        <w:t>b</w:t>
      </w:r>
      <w:r w:rsidR="0050440A" w:rsidRPr="001E4E73">
        <w:t>andstand</w:t>
      </w:r>
      <w:r w:rsidRPr="001E4E73">
        <w:t>s</w:t>
      </w:r>
      <w:r w:rsidR="0050440A" w:rsidRPr="001E4E73">
        <w:t>, rotunda</w:t>
      </w:r>
      <w:r w:rsidRPr="001E4E73">
        <w:t>s</w:t>
      </w:r>
      <w:r w:rsidR="0050440A" w:rsidRPr="001E4E73">
        <w:t xml:space="preserve">, </w:t>
      </w:r>
      <w:r w:rsidRPr="001E4E73">
        <w:t xml:space="preserve">and </w:t>
      </w:r>
      <w:r w:rsidR="0050440A" w:rsidRPr="001E4E73">
        <w:t>other park building</w:t>
      </w:r>
      <w:r w:rsidRPr="001E4E73">
        <w:t>s</w:t>
      </w:r>
      <w:r w:rsidR="0050440A" w:rsidRPr="001E4E73">
        <w:t>;</w:t>
      </w:r>
    </w:p>
    <w:p w14:paraId="24030377" w14:textId="77777777" w:rsidR="0050440A" w:rsidRPr="001E4E73" w:rsidRDefault="00A00E7B" w:rsidP="0050440A">
      <w:pPr>
        <w:pStyle w:val="ListParagraph"/>
        <w:numPr>
          <w:ilvl w:val="0"/>
          <w:numId w:val="28"/>
        </w:numPr>
        <w:spacing w:before="0" w:beforeAutospacing="0" w:after="0" w:afterAutospacing="0" w:line="276" w:lineRule="auto"/>
        <w:ind w:left="357" w:hanging="357"/>
      </w:pPr>
      <w:r w:rsidRPr="001E4E73">
        <w:t>w</w:t>
      </w:r>
      <w:r w:rsidR="0050440A" w:rsidRPr="001E4E73">
        <w:t xml:space="preserve">eather </w:t>
      </w:r>
      <w:r w:rsidRPr="001E4E73">
        <w:t xml:space="preserve">and pollution </w:t>
      </w:r>
      <w:r w:rsidR="0050440A" w:rsidRPr="001E4E73">
        <w:t>monitoring devices;</w:t>
      </w:r>
      <w:r w:rsidR="00A8382C" w:rsidRPr="001E4E73">
        <w:t xml:space="preserve"> or</w:t>
      </w:r>
    </w:p>
    <w:p w14:paraId="22A8B909" w14:textId="77777777" w:rsidR="0050440A" w:rsidRPr="001E4E73" w:rsidRDefault="00A00E7B" w:rsidP="0050440A">
      <w:pPr>
        <w:pStyle w:val="ListParagraph"/>
        <w:numPr>
          <w:ilvl w:val="0"/>
          <w:numId w:val="28"/>
        </w:numPr>
        <w:spacing w:before="0" w:beforeAutospacing="0" w:after="0" w:afterAutospacing="0" w:line="276" w:lineRule="auto"/>
        <w:ind w:left="357" w:hanging="357"/>
      </w:pPr>
      <w:r w:rsidRPr="001E4E73">
        <w:t>p</w:t>
      </w:r>
      <w:r w:rsidR="0050440A" w:rsidRPr="001E4E73">
        <w:t>ublic alarm and security systems.</w:t>
      </w:r>
    </w:p>
    <w:p w14:paraId="3DCF48B7" w14:textId="77777777" w:rsidR="0050440A" w:rsidRPr="001E4E73" w:rsidRDefault="0050440A" w:rsidP="0050440A">
      <w:pPr>
        <w:spacing w:after="0" w:line="276" w:lineRule="auto"/>
        <w:rPr>
          <w:rFonts w:ascii="Times New Roman" w:hAnsi="Times New Roman"/>
        </w:rPr>
      </w:pPr>
    </w:p>
    <w:p w14:paraId="54256208" w14:textId="77777777" w:rsidR="0050440A" w:rsidRPr="001E4E73" w:rsidRDefault="005D1F44" w:rsidP="0050440A">
      <w:pPr>
        <w:spacing w:after="0" w:line="276" w:lineRule="auto"/>
        <w:rPr>
          <w:rFonts w:ascii="Times New Roman" w:hAnsi="Times New Roman"/>
        </w:rPr>
      </w:pPr>
      <w:r w:rsidRPr="001E4E73">
        <w:rPr>
          <w:rFonts w:ascii="Times New Roman" w:hAnsi="Times New Roman"/>
        </w:rPr>
        <w:t xml:space="preserve">These examples of </w:t>
      </w:r>
      <w:r w:rsidR="0050440A" w:rsidRPr="001E4E73">
        <w:rPr>
          <w:rFonts w:ascii="Times New Roman" w:hAnsi="Times New Roman"/>
        </w:rPr>
        <w:t xml:space="preserve">non-premises </w:t>
      </w:r>
      <w:r w:rsidRPr="001E4E73">
        <w:rPr>
          <w:rFonts w:ascii="Times New Roman" w:hAnsi="Times New Roman"/>
        </w:rPr>
        <w:t xml:space="preserve">are </w:t>
      </w:r>
      <w:r w:rsidR="0050440A" w:rsidRPr="001E4E73">
        <w:rPr>
          <w:rFonts w:ascii="Times New Roman" w:hAnsi="Times New Roman"/>
        </w:rPr>
        <w:t>consistent with th</w:t>
      </w:r>
      <w:r w:rsidRPr="001E4E73">
        <w:rPr>
          <w:rFonts w:ascii="Times New Roman" w:hAnsi="Times New Roman"/>
        </w:rPr>
        <w:t xml:space="preserve">ose </w:t>
      </w:r>
      <w:r w:rsidR="0050440A" w:rsidRPr="001E4E73">
        <w:rPr>
          <w:rFonts w:ascii="Times New Roman" w:hAnsi="Times New Roman"/>
        </w:rPr>
        <w:t xml:space="preserve">set out in the original Statement of Expectations issued to NBN Co in </w:t>
      </w:r>
      <w:r w:rsidR="00112B82" w:rsidRPr="001E4E73">
        <w:rPr>
          <w:rFonts w:ascii="Times New Roman" w:hAnsi="Times New Roman"/>
        </w:rPr>
        <w:t>December 2010</w:t>
      </w:r>
      <w:r w:rsidRPr="001E4E73">
        <w:rPr>
          <w:rFonts w:ascii="Times New Roman" w:hAnsi="Times New Roman"/>
        </w:rPr>
        <w:t>,</w:t>
      </w:r>
      <w:r w:rsidR="0050440A" w:rsidRPr="001E4E73">
        <w:rPr>
          <w:rFonts w:ascii="Times New Roman" w:hAnsi="Times New Roman"/>
        </w:rPr>
        <w:t xml:space="preserve"> and </w:t>
      </w:r>
      <w:r w:rsidR="00112B82" w:rsidRPr="001E4E73">
        <w:rPr>
          <w:rFonts w:ascii="Times New Roman" w:hAnsi="Times New Roman"/>
        </w:rPr>
        <w:t xml:space="preserve">NBN Co’s publicly available </w:t>
      </w:r>
      <w:r w:rsidR="000257BF" w:rsidRPr="001E4E73">
        <w:rPr>
          <w:rFonts w:ascii="Times New Roman" w:hAnsi="Times New Roman"/>
        </w:rPr>
        <w:t>Approved N</w:t>
      </w:r>
      <w:r w:rsidR="00112B82" w:rsidRPr="001E4E73">
        <w:rPr>
          <w:rFonts w:ascii="Times New Roman" w:hAnsi="Times New Roman"/>
        </w:rPr>
        <w:t>on-</w:t>
      </w:r>
      <w:r w:rsidR="000257BF" w:rsidRPr="001E4E73">
        <w:rPr>
          <w:rFonts w:ascii="Times New Roman" w:hAnsi="Times New Roman"/>
        </w:rPr>
        <w:t>P</w:t>
      </w:r>
      <w:r w:rsidR="00112B82" w:rsidRPr="001E4E73">
        <w:rPr>
          <w:rFonts w:ascii="Times New Roman" w:hAnsi="Times New Roman"/>
        </w:rPr>
        <w:t xml:space="preserve">remises </w:t>
      </w:r>
      <w:r w:rsidR="000257BF" w:rsidRPr="001E4E73">
        <w:rPr>
          <w:rFonts w:ascii="Times New Roman" w:hAnsi="Times New Roman"/>
        </w:rPr>
        <w:t>L</w:t>
      </w:r>
      <w:r w:rsidR="00112B82" w:rsidRPr="001E4E73">
        <w:rPr>
          <w:rFonts w:ascii="Times New Roman" w:hAnsi="Times New Roman"/>
        </w:rPr>
        <w:t>ist</w:t>
      </w:r>
      <w:r w:rsidR="00112B82" w:rsidRPr="001E4E73">
        <w:rPr>
          <w:rStyle w:val="FootnoteReference"/>
          <w:rFonts w:ascii="Times New Roman" w:hAnsi="Times New Roman"/>
        </w:rPr>
        <w:footnoteReference w:id="4"/>
      </w:r>
      <w:r w:rsidR="0050440A" w:rsidRPr="001E4E73">
        <w:rPr>
          <w:rFonts w:ascii="Times New Roman" w:hAnsi="Times New Roman"/>
        </w:rPr>
        <w:t xml:space="preserve">. </w:t>
      </w:r>
      <w:r w:rsidR="00DF470E" w:rsidRPr="001E4E73">
        <w:rPr>
          <w:rFonts w:ascii="Times New Roman" w:hAnsi="Times New Roman"/>
        </w:rPr>
        <w:t>While SIP</w:t>
      </w:r>
      <w:r w:rsidR="00596AD1" w:rsidRPr="001E4E73">
        <w:rPr>
          <w:rFonts w:ascii="Times New Roman" w:hAnsi="Times New Roman"/>
        </w:rPr>
        <w:t>s</w:t>
      </w:r>
      <w:r w:rsidR="00DF470E" w:rsidRPr="001E4E73">
        <w:rPr>
          <w:rFonts w:ascii="Times New Roman" w:hAnsi="Times New Roman"/>
        </w:rPr>
        <w:t xml:space="preserve"> are not obliged to connect and/or supply to ‘non-premises’, they may do so if they choose</w:t>
      </w:r>
      <w:r w:rsidR="004F7588" w:rsidRPr="001E4E73">
        <w:rPr>
          <w:rFonts w:ascii="Times New Roman" w:hAnsi="Times New Roman"/>
        </w:rPr>
        <w:t xml:space="preserve"> on a commercial basis</w:t>
      </w:r>
      <w:r w:rsidR="00DF470E" w:rsidRPr="001E4E73">
        <w:rPr>
          <w:rFonts w:ascii="Times New Roman" w:hAnsi="Times New Roman"/>
        </w:rPr>
        <w:t>.</w:t>
      </w:r>
    </w:p>
    <w:p w14:paraId="392EA6AC" w14:textId="77777777" w:rsidR="00293E6A" w:rsidRPr="001E4E73" w:rsidRDefault="00293E6A" w:rsidP="0050440A">
      <w:pPr>
        <w:spacing w:after="0" w:line="276" w:lineRule="auto"/>
        <w:rPr>
          <w:rFonts w:ascii="Times New Roman" w:hAnsi="Times New Roman"/>
        </w:rPr>
      </w:pPr>
    </w:p>
    <w:p w14:paraId="4DBCDF30" w14:textId="77777777" w:rsidR="003514F4" w:rsidRPr="001E4E73" w:rsidRDefault="00112B82" w:rsidP="00293E6A">
      <w:pPr>
        <w:spacing w:after="100" w:afterAutospacing="1" w:line="276" w:lineRule="auto"/>
        <w:rPr>
          <w:rFonts w:ascii="Times New Roman" w:hAnsi="Times New Roman"/>
          <w:i/>
        </w:rPr>
      </w:pPr>
      <w:r w:rsidRPr="001E4E73">
        <w:rPr>
          <w:rFonts w:ascii="Times New Roman" w:hAnsi="Times New Roman"/>
          <w:i/>
        </w:rPr>
        <w:t>References to ‘end-user’</w:t>
      </w:r>
    </w:p>
    <w:p w14:paraId="61CB11F2" w14:textId="31BD3E8F" w:rsidR="00DC62BF" w:rsidRPr="001E4E73" w:rsidRDefault="00112B82" w:rsidP="00DC62BF">
      <w:pPr>
        <w:spacing w:after="0" w:line="276" w:lineRule="auto"/>
        <w:rPr>
          <w:rFonts w:ascii="Times New Roman" w:hAnsi="Times New Roman"/>
        </w:rPr>
      </w:pPr>
      <w:r w:rsidRPr="001E4E73">
        <w:rPr>
          <w:rFonts w:ascii="Times New Roman" w:hAnsi="Times New Roman"/>
        </w:rPr>
        <w:t xml:space="preserve">While the SIP </w:t>
      </w:r>
      <w:r w:rsidR="001E37A8" w:rsidRPr="001E4E73">
        <w:rPr>
          <w:rFonts w:ascii="Times New Roman" w:hAnsi="Times New Roman"/>
        </w:rPr>
        <w:t xml:space="preserve">regime </w:t>
      </w:r>
      <w:r w:rsidRPr="001E4E73">
        <w:rPr>
          <w:rFonts w:ascii="Times New Roman" w:hAnsi="Times New Roman"/>
        </w:rPr>
        <w:t>is concerned with</w:t>
      </w:r>
      <w:r w:rsidR="00C4481A" w:rsidRPr="001E4E73">
        <w:rPr>
          <w:rFonts w:ascii="Times New Roman" w:hAnsi="Times New Roman"/>
        </w:rPr>
        <w:t xml:space="preserve"> access </w:t>
      </w:r>
      <w:r w:rsidR="00B80897" w:rsidRPr="001E4E73">
        <w:rPr>
          <w:rFonts w:ascii="Times New Roman" w:hAnsi="Times New Roman"/>
        </w:rPr>
        <w:t xml:space="preserve">to </w:t>
      </w:r>
      <w:r w:rsidRPr="001E4E73">
        <w:rPr>
          <w:rFonts w:ascii="Times New Roman" w:hAnsi="Times New Roman"/>
        </w:rPr>
        <w:t>baseline broadband services</w:t>
      </w:r>
      <w:r w:rsidR="00A240D1" w:rsidRPr="001E4E73">
        <w:rPr>
          <w:rFonts w:ascii="Times New Roman" w:hAnsi="Times New Roman"/>
        </w:rPr>
        <w:t>,</w:t>
      </w:r>
      <w:r w:rsidR="00766F5F" w:rsidRPr="001E4E73">
        <w:rPr>
          <w:rFonts w:ascii="Times New Roman" w:hAnsi="Times New Roman"/>
        </w:rPr>
        <w:t xml:space="preserve"> </w:t>
      </w:r>
      <w:r w:rsidR="00857BEB" w:rsidRPr="001E4E73">
        <w:rPr>
          <w:rFonts w:ascii="Times New Roman" w:hAnsi="Times New Roman"/>
        </w:rPr>
        <w:t>individuals</w:t>
      </w:r>
      <w:r w:rsidRPr="001E4E73">
        <w:rPr>
          <w:rFonts w:ascii="Times New Roman" w:hAnsi="Times New Roman"/>
        </w:rPr>
        <w:t xml:space="preserve"> </w:t>
      </w:r>
      <w:r w:rsidR="00741888" w:rsidRPr="001E4E73">
        <w:rPr>
          <w:rFonts w:ascii="Times New Roman" w:hAnsi="Times New Roman"/>
        </w:rPr>
        <w:t xml:space="preserve">and businesses </w:t>
      </w:r>
      <w:r w:rsidR="00766F5F" w:rsidRPr="001E4E73">
        <w:rPr>
          <w:rFonts w:ascii="Times New Roman" w:hAnsi="Times New Roman"/>
        </w:rPr>
        <w:t xml:space="preserve">will not </w:t>
      </w:r>
      <w:r w:rsidR="00857BEB" w:rsidRPr="001E4E73">
        <w:rPr>
          <w:rFonts w:ascii="Times New Roman" w:hAnsi="Times New Roman"/>
        </w:rPr>
        <w:t>usually</w:t>
      </w:r>
      <w:r w:rsidR="00766F5F" w:rsidRPr="001E4E73">
        <w:rPr>
          <w:rFonts w:ascii="Times New Roman" w:hAnsi="Times New Roman"/>
        </w:rPr>
        <w:t xml:space="preserve"> </w:t>
      </w:r>
      <w:r w:rsidR="002672C0" w:rsidRPr="001E4E73">
        <w:rPr>
          <w:rFonts w:ascii="Times New Roman" w:hAnsi="Times New Roman"/>
        </w:rPr>
        <w:t>communicate</w:t>
      </w:r>
      <w:r w:rsidRPr="001E4E73">
        <w:rPr>
          <w:rFonts w:ascii="Times New Roman" w:hAnsi="Times New Roman"/>
        </w:rPr>
        <w:t xml:space="preserve"> </w:t>
      </w:r>
      <w:r w:rsidR="00766F5F" w:rsidRPr="001E4E73">
        <w:rPr>
          <w:rFonts w:ascii="Times New Roman" w:hAnsi="Times New Roman"/>
        </w:rPr>
        <w:t>directly with SIPs</w:t>
      </w:r>
      <w:r w:rsidR="00857BEB" w:rsidRPr="001E4E73">
        <w:rPr>
          <w:rFonts w:ascii="Times New Roman" w:hAnsi="Times New Roman"/>
        </w:rPr>
        <w:t xml:space="preserve">. </w:t>
      </w:r>
      <w:r w:rsidR="006F7FFD" w:rsidRPr="001E4E73">
        <w:rPr>
          <w:rFonts w:ascii="Times New Roman" w:hAnsi="Times New Roman"/>
        </w:rPr>
        <w:t xml:space="preserve">Their contract for a service is </w:t>
      </w:r>
      <w:r w:rsidRPr="001E4E73">
        <w:rPr>
          <w:rFonts w:ascii="Times New Roman" w:hAnsi="Times New Roman"/>
        </w:rPr>
        <w:t>with</w:t>
      </w:r>
      <w:r w:rsidR="006F7FFD" w:rsidRPr="001E4E73">
        <w:rPr>
          <w:rFonts w:ascii="Times New Roman" w:hAnsi="Times New Roman"/>
        </w:rPr>
        <w:t xml:space="preserve"> </w:t>
      </w:r>
      <w:r w:rsidR="002672C0" w:rsidRPr="001E4E73">
        <w:rPr>
          <w:rFonts w:ascii="Times New Roman" w:hAnsi="Times New Roman"/>
        </w:rPr>
        <w:t>a</w:t>
      </w:r>
      <w:r w:rsidR="006F7FFD" w:rsidRPr="001E4E73">
        <w:rPr>
          <w:rFonts w:ascii="Times New Roman" w:hAnsi="Times New Roman"/>
        </w:rPr>
        <w:t xml:space="preserve"> CSP, who </w:t>
      </w:r>
      <w:r w:rsidRPr="001E4E73">
        <w:rPr>
          <w:rFonts w:ascii="Times New Roman" w:hAnsi="Times New Roman"/>
        </w:rPr>
        <w:t>in t</w:t>
      </w:r>
      <w:r w:rsidR="002F50E1" w:rsidRPr="001E4E73">
        <w:rPr>
          <w:rFonts w:ascii="Times New Roman" w:hAnsi="Times New Roman"/>
        </w:rPr>
        <w:t xml:space="preserve">urn </w:t>
      </w:r>
      <w:r w:rsidR="002672C0" w:rsidRPr="001E4E73">
        <w:rPr>
          <w:rFonts w:ascii="Times New Roman" w:hAnsi="Times New Roman"/>
        </w:rPr>
        <w:t>ha</w:t>
      </w:r>
      <w:r w:rsidR="00FD3C73" w:rsidRPr="001E4E73">
        <w:rPr>
          <w:rFonts w:ascii="Times New Roman" w:hAnsi="Times New Roman"/>
        </w:rPr>
        <w:t>s</w:t>
      </w:r>
      <w:r w:rsidR="002672C0" w:rsidRPr="001E4E73">
        <w:rPr>
          <w:rFonts w:ascii="Times New Roman" w:hAnsi="Times New Roman"/>
        </w:rPr>
        <w:t xml:space="preserve"> a</w:t>
      </w:r>
      <w:r w:rsidR="00741888" w:rsidRPr="001E4E73">
        <w:rPr>
          <w:rFonts w:ascii="Times New Roman" w:hAnsi="Times New Roman"/>
        </w:rPr>
        <w:t xml:space="preserve"> contract</w:t>
      </w:r>
      <w:r w:rsidR="002672C0" w:rsidRPr="001E4E73">
        <w:rPr>
          <w:rFonts w:ascii="Times New Roman" w:hAnsi="Times New Roman"/>
        </w:rPr>
        <w:t xml:space="preserve"> with</w:t>
      </w:r>
      <w:r w:rsidR="00741888" w:rsidRPr="001E4E73">
        <w:rPr>
          <w:rFonts w:ascii="Times New Roman" w:hAnsi="Times New Roman"/>
        </w:rPr>
        <w:t xml:space="preserve"> </w:t>
      </w:r>
      <w:r w:rsidR="00B80897" w:rsidRPr="001E4E73">
        <w:rPr>
          <w:rFonts w:ascii="Times New Roman" w:hAnsi="Times New Roman"/>
        </w:rPr>
        <w:t>SIPs</w:t>
      </w:r>
      <w:r w:rsidR="006F7FFD" w:rsidRPr="001E4E73">
        <w:rPr>
          <w:rFonts w:ascii="Times New Roman" w:hAnsi="Times New Roman"/>
        </w:rPr>
        <w:t xml:space="preserve"> such as NBN Co</w:t>
      </w:r>
      <w:r w:rsidRPr="001E4E73">
        <w:rPr>
          <w:rFonts w:ascii="Times New Roman" w:hAnsi="Times New Roman"/>
        </w:rPr>
        <w:t>.</w:t>
      </w:r>
    </w:p>
    <w:p w14:paraId="467C6521" w14:textId="77777777" w:rsidR="00367531" w:rsidRPr="001E4E73" w:rsidRDefault="00367531" w:rsidP="00DC62BF">
      <w:pPr>
        <w:spacing w:after="0" w:line="276" w:lineRule="auto"/>
        <w:rPr>
          <w:rFonts w:ascii="Times New Roman" w:hAnsi="Times New Roman"/>
        </w:rPr>
      </w:pPr>
    </w:p>
    <w:p w14:paraId="2D407244" w14:textId="77777777" w:rsidR="00596EFD" w:rsidRPr="001E4E73" w:rsidRDefault="005B1834" w:rsidP="00596EFD">
      <w:pPr>
        <w:spacing w:after="120" w:line="276" w:lineRule="auto"/>
        <w:rPr>
          <w:rFonts w:ascii="Times New Roman" w:hAnsi="Times New Roman"/>
        </w:rPr>
      </w:pPr>
      <w:r w:rsidRPr="001E4E73">
        <w:rPr>
          <w:rFonts w:ascii="Times New Roman" w:hAnsi="Times New Roman"/>
        </w:rPr>
        <w:t>The relationship</w:t>
      </w:r>
      <w:r w:rsidR="00596EFD" w:rsidRPr="001E4E73">
        <w:rPr>
          <w:rFonts w:ascii="Times New Roman" w:hAnsi="Times New Roman"/>
        </w:rPr>
        <w:t>s</w:t>
      </w:r>
      <w:r w:rsidRPr="001E4E73">
        <w:rPr>
          <w:rFonts w:ascii="Times New Roman" w:hAnsi="Times New Roman"/>
        </w:rPr>
        <w:t xml:space="preserve"> are </w:t>
      </w:r>
      <w:r w:rsidR="00841C5D" w:rsidRPr="001E4E73">
        <w:rPr>
          <w:rFonts w:ascii="Times New Roman" w:hAnsi="Times New Roman"/>
        </w:rPr>
        <w:t>shown</w:t>
      </w:r>
      <w:r w:rsidRPr="001E4E73">
        <w:rPr>
          <w:rFonts w:ascii="Times New Roman" w:hAnsi="Times New Roman"/>
        </w:rPr>
        <w:t xml:space="preserve"> in the following diagram</w:t>
      </w:r>
      <w:r w:rsidR="00841C5D" w:rsidRPr="001E4E73">
        <w:rPr>
          <w:rFonts w:ascii="Times New Roman" w:hAnsi="Times New Roman"/>
        </w:rPr>
        <w:t>:</w:t>
      </w:r>
    </w:p>
    <w:p w14:paraId="1C6C54ED" w14:textId="77777777" w:rsidR="00596EFD" w:rsidRPr="001E4E73" w:rsidRDefault="00596EFD" w:rsidP="00596EFD">
      <w:pPr>
        <w:spacing w:before="120" w:after="120" w:line="276" w:lineRule="auto"/>
        <w:rPr>
          <w:rFonts w:ascii="Times New Roman" w:hAnsi="Times New Roman"/>
        </w:rPr>
      </w:pPr>
      <w:bookmarkStart w:id="0" w:name="_GoBack"/>
      <w:r w:rsidRPr="001E4E73">
        <w:rPr>
          <w:rFonts w:ascii="Times New Roman" w:hAnsi="Times New Roman"/>
          <w:noProof/>
        </w:rPr>
        <w:drawing>
          <wp:inline distT="0" distB="0" distL="0" distR="0" wp14:anchorId="67B33B54" wp14:editId="643F7FC1">
            <wp:extent cx="5753100" cy="846455"/>
            <wp:effectExtent l="0" t="0" r="0" b="0"/>
            <wp:docPr id="10" name="Picture 10" descr="Diagram displaying the relationships between CSPs, SIPs and end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46455"/>
                    </a:xfrm>
                    <a:prstGeom prst="rect">
                      <a:avLst/>
                    </a:prstGeom>
                    <a:noFill/>
                    <a:ln>
                      <a:noFill/>
                    </a:ln>
                  </pic:spPr>
                </pic:pic>
              </a:graphicData>
            </a:graphic>
          </wp:inline>
        </w:drawing>
      </w:r>
      <w:bookmarkEnd w:id="0"/>
    </w:p>
    <w:p w14:paraId="0302C0BF" w14:textId="77777777" w:rsidR="00B80897" w:rsidRPr="001E4E73" w:rsidRDefault="00B80897" w:rsidP="00DC62BF">
      <w:pPr>
        <w:spacing w:after="0" w:line="276" w:lineRule="auto"/>
        <w:rPr>
          <w:rFonts w:ascii="Times New Roman" w:hAnsi="Times New Roman"/>
        </w:rPr>
      </w:pPr>
      <w:r w:rsidRPr="001E4E73">
        <w:rPr>
          <w:rFonts w:ascii="Times New Roman" w:hAnsi="Times New Roman"/>
        </w:rPr>
        <w:t>The Act makes reference to connection and supply of services to be requested by CSPs on behalf of an ‘end</w:t>
      </w:r>
      <w:r w:rsidR="00CB28EC" w:rsidRPr="001E4E73">
        <w:rPr>
          <w:rFonts w:ascii="Times New Roman" w:hAnsi="Times New Roman"/>
        </w:rPr>
        <w:t>-</w:t>
      </w:r>
      <w:r w:rsidRPr="001E4E73">
        <w:rPr>
          <w:rFonts w:ascii="Times New Roman" w:hAnsi="Times New Roman"/>
        </w:rPr>
        <w:t xml:space="preserve">user’ or to facilitate the supply of services to ‘end-users’. </w:t>
      </w:r>
      <w:r w:rsidR="00841C5D" w:rsidRPr="001E4E73">
        <w:rPr>
          <w:rFonts w:ascii="Times New Roman" w:hAnsi="Times New Roman"/>
        </w:rPr>
        <w:t>However, t</w:t>
      </w:r>
      <w:r w:rsidR="00741888" w:rsidRPr="001E4E73">
        <w:rPr>
          <w:rFonts w:ascii="Times New Roman" w:hAnsi="Times New Roman"/>
        </w:rPr>
        <w:t xml:space="preserve">he Act does not define </w:t>
      </w:r>
      <w:r w:rsidR="00841C5D" w:rsidRPr="001E4E73">
        <w:rPr>
          <w:rFonts w:ascii="Times New Roman" w:hAnsi="Times New Roman"/>
        </w:rPr>
        <w:t>‘</w:t>
      </w:r>
      <w:r w:rsidR="00741888" w:rsidRPr="001E4E73">
        <w:rPr>
          <w:rFonts w:ascii="Times New Roman" w:hAnsi="Times New Roman"/>
        </w:rPr>
        <w:t>end-user</w:t>
      </w:r>
      <w:r w:rsidR="00841C5D" w:rsidRPr="001E4E73">
        <w:rPr>
          <w:rFonts w:ascii="Times New Roman" w:hAnsi="Times New Roman"/>
        </w:rPr>
        <w:t>’</w:t>
      </w:r>
      <w:r w:rsidR="00741888" w:rsidRPr="001E4E73">
        <w:rPr>
          <w:rFonts w:ascii="Times New Roman" w:hAnsi="Times New Roman"/>
        </w:rPr>
        <w:t xml:space="preserve">. </w:t>
      </w:r>
      <w:r w:rsidR="00841C5D" w:rsidRPr="001E4E73">
        <w:rPr>
          <w:rFonts w:ascii="Times New Roman" w:hAnsi="Times New Roman"/>
        </w:rPr>
        <w:t>W</w:t>
      </w:r>
      <w:r w:rsidR="00D63BC8" w:rsidRPr="001E4E73">
        <w:rPr>
          <w:rFonts w:ascii="Times New Roman" w:hAnsi="Times New Roman"/>
        </w:rPr>
        <w:t>ithin the Instrument</w:t>
      </w:r>
      <w:r w:rsidR="00841C5D" w:rsidRPr="001E4E73">
        <w:rPr>
          <w:rFonts w:ascii="Times New Roman" w:hAnsi="Times New Roman"/>
        </w:rPr>
        <w:t>, the end-user</w:t>
      </w:r>
      <w:r w:rsidR="00D63BC8" w:rsidRPr="001E4E73">
        <w:rPr>
          <w:rFonts w:ascii="Times New Roman" w:hAnsi="Times New Roman"/>
        </w:rPr>
        <w:t xml:space="preserve"> is considered to </w:t>
      </w:r>
      <w:r w:rsidR="00F31AEE" w:rsidRPr="001E4E73">
        <w:rPr>
          <w:rFonts w:ascii="Times New Roman" w:hAnsi="Times New Roman"/>
        </w:rPr>
        <w:t xml:space="preserve">be </w:t>
      </w:r>
      <w:r w:rsidRPr="001E4E73">
        <w:rPr>
          <w:rFonts w:ascii="Times New Roman" w:hAnsi="Times New Roman"/>
        </w:rPr>
        <w:t xml:space="preserve">the person </w:t>
      </w:r>
      <w:r w:rsidR="00F31AEE" w:rsidRPr="001E4E73">
        <w:rPr>
          <w:rFonts w:ascii="Times New Roman" w:hAnsi="Times New Roman"/>
        </w:rPr>
        <w:t>who is entering into an</w:t>
      </w:r>
      <w:r w:rsidR="00043C5D" w:rsidRPr="001E4E73">
        <w:rPr>
          <w:rFonts w:ascii="Times New Roman" w:hAnsi="Times New Roman"/>
        </w:rPr>
        <w:t xml:space="preserve"> </w:t>
      </w:r>
      <w:r w:rsidR="007D4F1A" w:rsidRPr="001E4E73">
        <w:rPr>
          <w:rFonts w:ascii="Times New Roman" w:hAnsi="Times New Roman"/>
        </w:rPr>
        <w:t xml:space="preserve">arrangement </w:t>
      </w:r>
      <w:r w:rsidR="00043C5D" w:rsidRPr="001E4E73">
        <w:rPr>
          <w:rFonts w:ascii="Times New Roman" w:hAnsi="Times New Roman"/>
        </w:rPr>
        <w:t>for</w:t>
      </w:r>
      <w:r w:rsidR="00741888" w:rsidRPr="001E4E73">
        <w:rPr>
          <w:rFonts w:ascii="Times New Roman" w:hAnsi="Times New Roman"/>
        </w:rPr>
        <w:t xml:space="preserve"> either </w:t>
      </w:r>
      <w:r w:rsidR="00A87D5A" w:rsidRPr="001E4E73">
        <w:rPr>
          <w:rFonts w:ascii="Times New Roman" w:hAnsi="Times New Roman"/>
        </w:rPr>
        <w:t xml:space="preserve">the </w:t>
      </w:r>
      <w:r w:rsidR="00741888" w:rsidRPr="001E4E73">
        <w:rPr>
          <w:rFonts w:ascii="Times New Roman" w:hAnsi="Times New Roman"/>
        </w:rPr>
        <w:t xml:space="preserve">connection and </w:t>
      </w:r>
      <w:r w:rsidR="00043C5D" w:rsidRPr="001E4E73">
        <w:rPr>
          <w:rFonts w:ascii="Times New Roman" w:hAnsi="Times New Roman"/>
        </w:rPr>
        <w:t xml:space="preserve">supply of </w:t>
      </w:r>
      <w:r w:rsidR="00D63BC8" w:rsidRPr="001E4E73">
        <w:rPr>
          <w:rFonts w:ascii="Times New Roman" w:hAnsi="Times New Roman"/>
        </w:rPr>
        <w:t xml:space="preserve">a </w:t>
      </w:r>
      <w:r w:rsidR="00741888" w:rsidRPr="001E4E73">
        <w:rPr>
          <w:rFonts w:ascii="Times New Roman" w:hAnsi="Times New Roman"/>
        </w:rPr>
        <w:t>broadband service</w:t>
      </w:r>
      <w:r w:rsidR="00A87D5A" w:rsidRPr="001E4E73">
        <w:rPr>
          <w:rFonts w:ascii="Times New Roman" w:hAnsi="Times New Roman"/>
        </w:rPr>
        <w:t>,</w:t>
      </w:r>
      <w:r w:rsidR="00741888" w:rsidRPr="001E4E73">
        <w:rPr>
          <w:rFonts w:ascii="Times New Roman" w:hAnsi="Times New Roman"/>
        </w:rPr>
        <w:t xml:space="preserve"> or just </w:t>
      </w:r>
      <w:r w:rsidR="00043C5D" w:rsidRPr="001E4E73">
        <w:rPr>
          <w:rFonts w:ascii="Times New Roman" w:hAnsi="Times New Roman"/>
        </w:rPr>
        <w:t>the supply of a</w:t>
      </w:r>
      <w:r w:rsidR="00741888" w:rsidRPr="001E4E73">
        <w:rPr>
          <w:rFonts w:ascii="Times New Roman" w:hAnsi="Times New Roman"/>
        </w:rPr>
        <w:t xml:space="preserve"> broadband service (where a </w:t>
      </w:r>
      <w:r w:rsidR="00841C5D" w:rsidRPr="001E4E73">
        <w:rPr>
          <w:rFonts w:ascii="Times New Roman" w:hAnsi="Times New Roman"/>
        </w:rPr>
        <w:t xml:space="preserve">physical </w:t>
      </w:r>
      <w:r w:rsidR="00741888" w:rsidRPr="001E4E73">
        <w:rPr>
          <w:rFonts w:ascii="Times New Roman" w:hAnsi="Times New Roman"/>
        </w:rPr>
        <w:t>connection</w:t>
      </w:r>
      <w:r w:rsidR="00841C5D" w:rsidRPr="001E4E73">
        <w:rPr>
          <w:rFonts w:ascii="Times New Roman" w:hAnsi="Times New Roman"/>
        </w:rPr>
        <w:t xml:space="preserve"> to infrastructure</w:t>
      </w:r>
      <w:r w:rsidR="00741888" w:rsidRPr="001E4E73">
        <w:rPr>
          <w:rFonts w:ascii="Times New Roman" w:hAnsi="Times New Roman"/>
        </w:rPr>
        <w:t xml:space="preserve"> already exists</w:t>
      </w:r>
      <w:r w:rsidR="00D63BC8" w:rsidRPr="001E4E73">
        <w:rPr>
          <w:rFonts w:ascii="Times New Roman" w:hAnsi="Times New Roman"/>
        </w:rPr>
        <w:t>).</w:t>
      </w:r>
      <w:r w:rsidR="00CE4388" w:rsidRPr="001E4E73">
        <w:rPr>
          <w:rFonts w:ascii="Times New Roman" w:hAnsi="Times New Roman"/>
        </w:rPr>
        <w:t xml:space="preserve"> </w:t>
      </w:r>
      <w:r w:rsidR="009F24E7" w:rsidRPr="001E4E73">
        <w:rPr>
          <w:rFonts w:ascii="Times New Roman" w:hAnsi="Times New Roman"/>
        </w:rPr>
        <w:t>A</w:t>
      </w:r>
      <w:r w:rsidR="00CE4388" w:rsidRPr="001E4E73">
        <w:rPr>
          <w:rFonts w:ascii="Times New Roman" w:hAnsi="Times New Roman"/>
        </w:rPr>
        <w:t xml:space="preserve">n end-user </w:t>
      </w:r>
      <w:r w:rsidR="00DF470E" w:rsidRPr="001E4E73">
        <w:rPr>
          <w:rFonts w:ascii="Times New Roman" w:hAnsi="Times New Roman"/>
        </w:rPr>
        <w:t xml:space="preserve">in this context </w:t>
      </w:r>
      <w:r w:rsidR="00841C5D" w:rsidRPr="001E4E73">
        <w:rPr>
          <w:rFonts w:ascii="Times New Roman" w:hAnsi="Times New Roman"/>
        </w:rPr>
        <w:t>is</w:t>
      </w:r>
      <w:r w:rsidR="00CE4388" w:rsidRPr="001E4E73">
        <w:rPr>
          <w:rFonts w:ascii="Times New Roman" w:hAnsi="Times New Roman"/>
        </w:rPr>
        <w:t xml:space="preserve"> not necessarily the </w:t>
      </w:r>
      <w:r w:rsidR="00DF470E" w:rsidRPr="001E4E73">
        <w:rPr>
          <w:rFonts w:ascii="Times New Roman" w:hAnsi="Times New Roman"/>
        </w:rPr>
        <w:t xml:space="preserve">final </w:t>
      </w:r>
      <w:r w:rsidR="00CE4388" w:rsidRPr="001E4E73">
        <w:rPr>
          <w:rFonts w:ascii="Times New Roman" w:hAnsi="Times New Roman"/>
        </w:rPr>
        <w:t>consumer of the broadband service</w:t>
      </w:r>
      <w:r w:rsidR="009F24E7" w:rsidRPr="001E4E73">
        <w:rPr>
          <w:rFonts w:ascii="Times New Roman" w:hAnsi="Times New Roman"/>
        </w:rPr>
        <w:t xml:space="preserve">. For example, </w:t>
      </w:r>
      <w:r w:rsidR="00CE4388" w:rsidRPr="001E4E73">
        <w:rPr>
          <w:rFonts w:ascii="Times New Roman" w:hAnsi="Times New Roman"/>
        </w:rPr>
        <w:t xml:space="preserve">an end-user could be </w:t>
      </w:r>
      <w:r w:rsidR="00841C5D" w:rsidRPr="001E4E73">
        <w:rPr>
          <w:rFonts w:ascii="Times New Roman" w:hAnsi="Times New Roman"/>
        </w:rPr>
        <w:t>a landlord for a share house</w:t>
      </w:r>
      <w:r w:rsidR="00CE4388" w:rsidRPr="001E4E73">
        <w:rPr>
          <w:rFonts w:ascii="Times New Roman" w:hAnsi="Times New Roman"/>
        </w:rPr>
        <w:t xml:space="preserve"> that enters into </w:t>
      </w:r>
      <w:r w:rsidR="00841C5D" w:rsidRPr="001E4E73">
        <w:rPr>
          <w:rFonts w:ascii="Times New Roman" w:hAnsi="Times New Roman"/>
        </w:rPr>
        <w:t xml:space="preserve">a </w:t>
      </w:r>
      <w:r w:rsidR="00CE4388" w:rsidRPr="001E4E73">
        <w:rPr>
          <w:rFonts w:ascii="Times New Roman" w:hAnsi="Times New Roman"/>
        </w:rPr>
        <w:t xml:space="preserve">contract </w:t>
      </w:r>
      <w:r w:rsidR="00841C5D" w:rsidRPr="001E4E73">
        <w:rPr>
          <w:rFonts w:ascii="Times New Roman" w:hAnsi="Times New Roman"/>
        </w:rPr>
        <w:t>for a</w:t>
      </w:r>
      <w:r w:rsidR="00CE4388" w:rsidRPr="001E4E73">
        <w:rPr>
          <w:rFonts w:ascii="Times New Roman" w:hAnsi="Times New Roman"/>
        </w:rPr>
        <w:t xml:space="preserve"> broadband service </w:t>
      </w:r>
      <w:r w:rsidR="00841C5D" w:rsidRPr="001E4E73">
        <w:rPr>
          <w:rFonts w:ascii="Times New Roman" w:hAnsi="Times New Roman"/>
        </w:rPr>
        <w:t>that tenants in the share house utilise</w:t>
      </w:r>
      <w:r w:rsidR="00F63C0D" w:rsidRPr="001E4E73">
        <w:rPr>
          <w:rFonts w:ascii="Times New Roman" w:hAnsi="Times New Roman"/>
        </w:rPr>
        <w:t xml:space="preserve">, </w:t>
      </w:r>
      <w:r w:rsidR="00CE4388" w:rsidRPr="001E4E73">
        <w:rPr>
          <w:rFonts w:ascii="Times New Roman" w:hAnsi="Times New Roman"/>
        </w:rPr>
        <w:t xml:space="preserve">or an end-user could be a business that enters into a contract for a broadband service that is </w:t>
      </w:r>
      <w:r w:rsidR="00841C5D" w:rsidRPr="001E4E73">
        <w:rPr>
          <w:rFonts w:ascii="Times New Roman" w:hAnsi="Times New Roman"/>
        </w:rPr>
        <w:t>utilised</w:t>
      </w:r>
      <w:r w:rsidR="00CE4388" w:rsidRPr="001E4E73">
        <w:rPr>
          <w:rFonts w:ascii="Times New Roman" w:hAnsi="Times New Roman"/>
        </w:rPr>
        <w:t xml:space="preserve"> by its staff or customers.</w:t>
      </w:r>
    </w:p>
    <w:p w14:paraId="1BA91F27" w14:textId="77777777" w:rsidR="00DC62BF" w:rsidRPr="001E4E73" w:rsidRDefault="00DC62BF" w:rsidP="00DC62BF">
      <w:pPr>
        <w:spacing w:after="0" w:line="276" w:lineRule="auto"/>
        <w:rPr>
          <w:rFonts w:ascii="Times New Roman" w:hAnsi="Times New Roman"/>
        </w:rPr>
      </w:pPr>
    </w:p>
    <w:p w14:paraId="421CE4C0" w14:textId="4415B3DD" w:rsidR="008E212B" w:rsidRPr="001E4E73" w:rsidRDefault="008E212B" w:rsidP="00DC62BF">
      <w:pPr>
        <w:spacing w:after="100" w:afterAutospacing="1" w:line="276" w:lineRule="auto"/>
        <w:rPr>
          <w:rFonts w:ascii="Times New Roman" w:hAnsi="Times New Roman"/>
          <w:i/>
        </w:rPr>
      </w:pPr>
      <w:r w:rsidRPr="001E4E73">
        <w:rPr>
          <w:rFonts w:ascii="Times New Roman" w:hAnsi="Times New Roman"/>
          <w:i/>
        </w:rPr>
        <w:t xml:space="preserve">Circumstances for </w:t>
      </w:r>
      <w:r w:rsidR="00EF0BA4" w:rsidRPr="001E4E73">
        <w:rPr>
          <w:rFonts w:ascii="Times New Roman" w:hAnsi="Times New Roman"/>
          <w:i/>
        </w:rPr>
        <w:t>exception</w:t>
      </w:r>
      <w:r w:rsidRPr="001E4E73">
        <w:rPr>
          <w:rFonts w:ascii="Times New Roman" w:hAnsi="Times New Roman"/>
          <w:i/>
        </w:rPr>
        <w:t>s</w:t>
      </w:r>
    </w:p>
    <w:p w14:paraId="69807276" w14:textId="77777777" w:rsidR="00242062" w:rsidRPr="001E4E73" w:rsidRDefault="00192BBB" w:rsidP="006E3C3D">
      <w:pPr>
        <w:spacing w:after="0" w:line="276" w:lineRule="auto"/>
        <w:rPr>
          <w:rFonts w:ascii="Times New Roman" w:hAnsi="Times New Roman"/>
        </w:rPr>
      </w:pPr>
      <w:r w:rsidRPr="001E4E73">
        <w:rPr>
          <w:rFonts w:ascii="Times New Roman" w:hAnsi="Times New Roman"/>
        </w:rPr>
        <w:t xml:space="preserve">The Instrument </w:t>
      </w:r>
      <w:r w:rsidR="00944551" w:rsidRPr="001E4E73">
        <w:rPr>
          <w:rFonts w:ascii="Times New Roman" w:hAnsi="Times New Roman"/>
        </w:rPr>
        <w:t xml:space="preserve">provides a </w:t>
      </w:r>
      <w:r w:rsidR="002F50E1" w:rsidRPr="001E4E73">
        <w:rPr>
          <w:rFonts w:ascii="Times New Roman" w:hAnsi="Times New Roman"/>
        </w:rPr>
        <w:t xml:space="preserve">range </w:t>
      </w:r>
      <w:r w:rsidR="00944551" w:rsidRPr="001E4E73">
        <w:rPr>
          <w:rFonts w:ascii="Times New Roman" w:hAnsi="Times New Roman"/>
        </w:rPr>
        <w:t xml:space="preserve">of </w:t>
      </w:r>
      <w:r w:rsidR="00741888" w:rsidRPr="001E4E73">
        <w:rPr>
          <w:rFonts w:ascii="Times New Roman" w:hAnsi="Times New Roman"/>
        </w:rPr>
        <w:t xml:space="preserve">specific </w:t>
      </w:r>
      <w:r w:rsidR="00EC113D" w:rsidRPr="001E4E73">
        <w:rPr>
          <w:rFonts w:ascii="Times New Roman" w:hAnsi="Times New Roman"/>
        </w:rPr>
        <w:t xml:space="preserve">circumstances </w:t>
      </w:r>
      <w:r w:rsidRPr="001E4E73">
        <w:rPr>
          <w:rFonts w:ascii="Times New Roman" w:hAnsi="Times New Roman"/>
        </w:rPr>
        <w:t>where</w:t>
      </w:r>
      <w:r w:rsidR="00A973CE" w:rsidRPr="001E4E73">
        <w:rPr>
          <w:rFonts w:ascii="Times New Roman" w:hAnsi="Times New Roman"/>
        </w:rPr>
        <w:t xml:space="preserve"> </w:t>
      </w:r>
      <w:r w:rsidRPr="001E4E73">
        <w:rPr>
          <w:rFonts w:ascii="Times New Roman" w:hAnsi="Times New Roman"/>
        </w:rPr>
        <w:t>the obligation</w:t>
      </w:r>
      <w:r w:rsidR="00393139" w:rsidRPr="001E4E73">
        <w:rPr>
          <w:rFonts w:ascii="Times New Roman" w:hAnsi="Times New Roman"/>
        </w:rPr>
        <w:t>s</w:t>
      </w:r>
      <w:r w:rsidRPr="001E4E73">
        <w:rPr>
          <w:rFonts w:ascii="Times New Roman" w:hAnsi="Times New Roman"/>
        </w:rPr>
        <w:t xml:space="preserve"> on SIPs to connect and</w:t>
      </w:r>
      <w:r w:rsidR="00393139" w:rsidRPr="001E4E73">
        <w:rPr>
          <w:rFonts w:ascii="Times New Roman" w:hAnsi="Times New Roman"/>
        </w:rPr>
        <w:t>/or</w:t>
      </w:r>
      <w:r w:rsidRPr="001E4E73">
        <w:rPr>
          <w:rFonts w:ascii="Times New Roman" w:hAnsi="Times New Roman"/>
        </w:rPr>
        <w:t xml:space="preserve"> supply wholesale broadband services</w:t>
      </w:r>
      <w:r w:rsidR="00242062" w:rsidRPr="001E4E73">
        <w:rPr>
          <w:rFonts w:ascii="Times New Roman" w:hAnsi="Times New Roman"/>
        </w:rPr>
        <w:t xml:space="preserve"> </w:t>
      </w:r>
      <w:r w:rsidR="00A973CE" w:rsidRPr="001E4E73">
        <w:rPr>
          <w:rFonts w:ascii="Times New Roman" w:hAnsi="Times New Roman"/>
        </w:rPr>
        <w:t xml:space="preserve">would not </w:t>
      </w:r>
      <w:r w:rsidR="00242062" w:rsidRPr="001E4E73">
        <w:rPr>
          <w:rFonts w:ascii="Times New Roman" w:hAnsi="Times New Roman"/>
        </w:rPr>
        <w:t>apply</w:t>
      </w:r>
      <w:r w:rsidR="009F1CA3" w:rsidRPr="001E4E73">
        <w:rPr>
          <w:rFonts w:ascii="Times New Roman" w:hAnsi="Times New Roman"/>
        </w:rPr>
        <w:t>. However, an exception does not apply indefinitely</w:t>
      </w:r>
      <w:r w:rsidR="00337639" w:rsidRPr="001E4E73">
        <w:rPr>
          <w:rFonts w:ascii="Times New Roman" w:hAnsi="Times New Roman"/>
        </w:rPr>
        <w:t xml:space="preserve"> –</w:t>
      </w:r>
      <w:r w:rsidR="009F1CA3" w:rsidRPr="001E4E73">
        <w:rPr>
          <w:rFonts w:ascii="Times New Roman" w:hAnsi="Times New Roman"/>
        </w:rPr>
        <w:t xml:space="preserve"> it is dependent on the context at the time of the request for a service. A</w:t>
      </w:r>
      <w:r w:rsidR="00242062" w:rsidRPr="001E4E73">
        <w:rPr>
          <w:rFonts w:ascii="Times New Roman" w:hAnsi="Times New Roman"/>
        </w:rPr>
        <w:t xml:space="preserve">ny subsequent connection and supply requests </w:t>
      </w:r>
      <w:r w:rsidR="00E81F2D" w:rsidRPr="001E4E73">
        <w:rPr>
          <w:rFonts w:ascii="Times New Roman" w:hAnsi="Times New Roman"/>
        </w:rPr>
        <w:t>would need to</w:t>
      </w:r>
      <w:r w:rsidR="00FF7E42" w:rsidRPr="001E4E73">
        <w:rPr>
          <w:rFonts w:ascii="Times New Roman" w:hAnsi="Times New Roman"/>
        </w:rPr>
        <w:t xml:space="preserve"> be </w:t>
      </w:r>
      <w:r w:rsidR="00242062" w:rsidRPr="001E4E73">
        <w:rPr>
          <w:rFonts w:ascii="Times New Roman" w:hAnsi="Times New Roman"/>
        </w:rPr>
        <w:t xml:space="preserve">considered </w:t>
      </w:r>
      <w:r w:rsidR="009F1CA3" w:rsidRPr="001E4E73">
        <w:rPr>
          <w:rFonts w:ascii="Times New Roman" w:hAnsi="Times New Roman"/>
        </w:rPr>
        <w:t>at that point in time,</w:t>
      </w:r>
      <w:r w:rsidR="00242062" w:rsidRPr="001E4E73">
        <w:rPr>
          <w:rFonts w:ascii="Times New Roman" w:hAnsi="Times New Roman"/>
        </w:rPr>
        <w:t xml:space="preserve"> </w:t>
      </w:r>
      <w:r w:rsidR="009F1CA3" w:rsidRPr="001E4E73">
        <w:rPr>
          <w:rFonts w:ascii="Times New Roman" w:hAnsi="Times New Roman"/>
        </w:rPr>
        <w:t>because</w:t>
      </w:r>
      <w:r w:rsidR="00242062" w:rsidRPr="001E4E73">
        <w:rPr>
          <w:rFonts w:ascii="Times New Roman" w:hAnsi="Times New Roman"/>
        </w:rPr>
        <w:t xml:space="preserve"> circumstances may have changed.</w:t>
      </w:r>
    </w:p>
    <w:p w14:paraId="7FB41B77" w14:textId="77777777" w:rsidR="006E3C3D" w:rsidRPr="001E4E73" w:rsidRDefault="006E3C3D" w:rsidP="006E3C3D">
      <w:pPr>
        <w:spacing w:after="0" w:line="276" w:lineRule="auto"/>
        <w:rPr>
          <w:rFonts w:ascii="Times New Roman" w:hAnsi="Times New Roman"/>
        </w:rPr>
      </w:pPr>
    </w:p>
    <w:p w14:paraId="3B8E9513" w14:textId="0FA1FCCE" w:rsidR="00333592" w:rsidRPr="001E4E73" w:rsidRDefault="00192BBB" w:rsidP="006E3C3D">
      <w:pPr>
        <w:spacing w:after="0" w:line="276" w:lineRule="auto"/>
        <w:rPr>
          <w:rFonts w:ascii="Times New Roman" w:hAnsi="Times New Roman"/>
        </w:rPr>
      </w:pPr>
      <w:r w:rsidRPr="001E4E73">
        <w:rPr>
          <w:rFonts w:ascii="Times New Roman" w:hAnsi="Times New Roman"/>
        </w:rPr>
        <w:t>A</w:t>
      </w:r>
      <w:r w:rsidR="00242062" w:rsidRPr="001E4E73">
        <w:rPr>
          <w:rFonts w:ascii="Times New Roman" w:hAnsi="Times New Roman"/>
        </w:rPr>
        <w:t xml:space="preserve"> </w:t>
      </w:r>
      <w:r w:rsidRPr="001E4E73">
        <w:rPr>
          <w:rFonts w:ascii="Times New Roman" w:hAnsi="Times New Roman"/>
        </w:rPr>
        <w:t xml:space="preserve">description </w:t>
      </w:r>
      <w:r w:rsidR="00AD273D" w:rsidRPr="001E4E73">
        <w:rPr>
          <w:rFonts w:ascii="Times New Roman" w:hAnsi="Times New Roman"/>
        </w:rPr>
        <w:t xml:space="preserve">and explanation </w:t>
      </w:r>
      <w:r w:rsidRPr="001E4E73">
        <w:rPr>
          <w:rFonts w:ascii="Times New Roman" w:hAnsi="Times New Roman"/>
        </w:rPr>
        <w:t xml:space="preserve">of the individual </w:t>
      </w:r>
      <w:r w:rsidR="00EC113D" w:rsidRPr="001E4E73">
        <w:rPr>
          <w:rFonts w:ascii="Times New Roman" w:hAnsi="Times New Roman"/>
        </w:rPr>
        <w:t xml:space="preserve">circumstances </w:t>
      </w:r>
      <w:r w:rsidR="00AD273D" w:rsidRPr="001E4E73">
        <w:rPr>
          <w:rFonts w:ascii="Times New Roman" w:hAnsi="Times New Roman"/>
        </w:rPr>
        <w:t xml:space="preserve">contained </w:t>
      </w:r>
      <w:r w:rsidRPr="001E4E73">
        <w:rPr>
          <w:rFonts w:ascii="Times New Roman" w:hAnsi="Times New Roman"/>
        </w:rPr>
        <w:t xml:space="preserve">in the Instrument </w:t>
      </w:r>
      <w:r w:rsidR="00AD273D" w:rsidRPr="001E4E73">
        <w:rPr>
          <w:rFonts w:ascii="Times New Roman" w:hAnsi="Times New Roman"/>
        </w:rPr>
        <w:t xml:space="preserve">is provided at </w:t>
      </w:r>
      <w:r w:rsidR="00AD273D" w:rsidRPr="001E4E73">
        <w:rPr>
          <w:rFonts w:ascii="Times New Roman" w:hAnsi="Times New Roman"/>
          <w:b/>
        </w:rPr>
        <w:t>Attachment A</w:t>
      </w:r>
      <w:r w:rsidRPr="001E4E73">
        <w:rPr>
          <w:rFonts w:ascii="Times New Roman" w:hAnsi="Times New Roman"/>
        </w:rPr>
        <w:t>.</w:t>
      </w:r>
    </w:p>
    <w:p w14:paraId="67F9C2A8" w14:textId="77777777" w:rsidR="006E3C3D" w:rsidRPr="001E4E73" w:rsidRDefault="006E3C3D" w:rsidP="006E3C3D">
      <w:pPr>
        <w:spacing w:after="0" w:line="276" w:lineRule="auto"/>
        <w:rPr>
          <w:rFonts w:ascii="Times New Roman" w:hAnsi="Times New Roman"/>
        </w:rPr>
      </w:pPr>
    </w:p>
    <w:p w14:paraId="73AD8F2E" w14:textId="77777777" w:rsidR="00A5219F" w:rsidRPr="001E4E73" w:rsidRDefault="00EC113D" w:rsidP="006E3C3D">
      <w:pPr>
        <w:spacing w:after="0" w:line="276" w:lineRule="auto"/>
        <w:rPr>
          <w:rFonts w:ascii="Times New Roman" w:hAnsi="Times New Roman"/>
        </w:rPr>
      </w:pPr>
      <w:r w:rsidRPr="001E4E73">
        <w:rPr>
          <w:rFonts w:ascii="Times New Roman" w:hAnsi="Times New Roman"/>
        </w:rPr>
        <w:t xml:space="preserve">Division 1 </w:t>
      </w:r>
      <w:r w:rsidR="002B2876" w:rsidRPr="001E4E73">
        <w:rPr>
          <w:rFonts w:ascii="Times New Roman" w:hAnsi="Times New Roman"/>
        </w:rPr>
        <w:t>of the Instrument set</w:t>
      </w:r>
      <w:r w:rsidR="0075336C" w:rsidRPr="001E4E73">
        <w:rPr>
          <w:rFonts w:ascii="Times New Roman" w:hAnsi="Times New Roman"/>
        </w:rPr>
        <w:t>s</w:t>
      </w:r>
      <w:r w:rsidR="002B2876" w:rsidRPr="001E4E73">
        <w:rPr>
          <w:rFonts w:ascii="Times New Roman" w:hAnsi="Times New Roman"/>
        </w:rPr>
        <w:t xml:space="preserve"> out </w:t>
      </w:r>
      <w:r w:rsidR="001E37A8" w:rsidRPr="001E4E73">
        <w:rPr>
          <w:rFonts w:ascii="Times New Roman" w:hAnsi="Times New Roman"/>
        </w:rPr>
        <w:t xml:space="preserve">the </w:t>
      </w:r>
      <w:r w:rsidR="002B2876" w:rsidRPr="001E4E73">
        <w:rPr>
          <w:rFonts w:ascii="Times New Roman" w:hAnsi="Times New Roman"/>
        </w:rPr>
        <w:t xml:space="preserve">circumstances where </w:t>
      </w:r>
      <w:r w:rsidR="0075336C" w:rsidRPr="001E4E73">
        <w:rPr>
          <w:rFonts w:ascii="Times New Roman" w:hAnsi="Times New Roman"/>
        </w:rPr>
        <w:t xml:space="preserve">the </w:t>
      </w:r>
      <w:r w:rsidR="002B2876" w:rsidRPr="001E4E73">
        <w:rPr>
          <w:rFonts w:ascii="Times New Roman" w:hAnsi="Times New Roman"/>
        </w:rPr>
        <w:t xml:space="preserve">SIP </w:t>
      </w:r>
      <w:r w:rsidR="0075336C" w:rsidRPr="001E4E73">
        <w:rPr>
          <w:rFonts w:ascii="Times New Roman" w:hAnsi="Times New Roman"/>
        </w:rPr>
        <w:t xml:space="preserve">is not required </w:t>
      </w:r>
      <w:r w:rsidR="002B2876" w:rsidRPr="001E4E73">
        <w:rPr>
          <w:rFonts w:ascii="Times New Roman" w:hAnsi="Times New Roman"/>
        </w:rPr>
        <w:t xml:space="preserve">to </w:t>
      </w:r>
      <w:r w:rsidR="00E81F2D" w:rsidRPr="001E4E73">
        <w:rPr>
          <w:rFonts w:ascii="Times New Roman" w:hAnsi="Times New Roman"/>
        </w:rPr>
        <w:t xml:space="preserve">fulfil the obligations to </w:t>
      </w:r>
      <w:r w:rsidR="006D4C19" w:rsidRPr="001E4E73">
        <w:rPr>
          <w:rFonts w:ascii="Times New Roman" w:hAnsi="Times New Roman"/>
        </w:rPr>
        <w:t>‘</w:t>
      </w:r>
      <w:r w:rsidR="00D91775" w:rsidRPr="001E4E73">
        <w:rPr>
          <w:rFonts w:ascii="Times New Roman" w:hAnsi="Times New Roman"/>
        </w:rPr>
        <w:t>connect</w:t>
      </w:r>
      <w:r w:rsidR="006D4C19" w:rsidRPr="001E4E73">
        <w:rPr>
          <w:rFonts w:ascii="Times New Roman" w:hAnsi="Times New Roman"/>
        </w:rPr>
        <w:t>’</w:t>
      </w:r>
      <w:r w:rsidR="008A1F3C" w:rsidRPr="001E4E73">
        <w:rPr>
          <w:rFonts w:ascii="Times New Roman" w:hAnsi="Times New Roman"/>
        </w:rPr>
        <w:t xml:space="preserve"> </w:t>
      </w:r>
      <w:r w:rsidR="00393139" w:rsidRPr="001E4E73">
        <w:rPr>
          <w:rFonts w:ascii="Times New Roman" w:hAnsi="Times New Roman"/>
        </w:rPr>
        <w:t xml:space="preserve">premises </w:t>
      </w:r>
      <w:r w:rsidR="00840024" w:rsidRPr="001E4E73">
        <w:rPr>
          <w:rFonts w:ascii="Times New Roman" w:hAnsi="Times New Roman"/>
        </w:rPr>
        <w:t>and</w:t>
      </w:r>
      <w:r w:rsidR="0075336C" w:rsidRPr="001E4E73">
        <w:rPr>
          <w:rFonts w:ascii="Times New Roman" w:hAnsi="Times New Roman"/>
        </w:rPr>
        <w:t xml:space="preserve"> Division 2 of the Instrument sets out the circumstances where the SIP is not required to </w:t>
      </w:r>
      <w:r w:rsidR="006D4C19" w:rsidRPr="001E4E73">
        <w:rPr>
          <w:rFonts w:ascii="Times New Roman" w:hAnsi="Times New Roman"/>
        </w:rPr>
        <w:t>‘</w:t>
      </w:r>
      <w:r w:rsidR="00840024" w:rsidRPr="001E4E73">
        <w:rPr>
          <w:rFonts w:ascii="Times New Roman" w:hAnsi="Times New Roman"/>
        </w:rPr>
        <w:t>supply</w:t>
      </w:r>
      <w:r w:rsidR="006D4C19" w:rsidRPr="001E4E73">
        <w:rPr>
          <w:rFonts w:ascii="Times New Roman" w:hAnsi="Times New Roman"/>
        </w:rPr>
        <w:t>’</w:t>
      </w:r>
      <w:r w:rsidR="00840024" w:rsidRPr="001E4E73">
        <w:rPr>
          <w:rFonts w:ascii="Times New Roman" w:hAnsi="Times New Roman"/>
        </w:rPr>
        <w:t xml:space="preserve"> </w:t>
      </w:r>
      <w:r w:rsidR="00393139" w:rsidRPr="001E4E73">
        <w:rPr>
          <w:rFonts w:ascii="Times New Roman" w:hAnsi="Times New Roman"/>
        </w:rPr>
        <w:t>wholesale services</w:t>
      </w:r>
      <w:r w:rsidR="00840024" w:rsidRPr="001E4E73">
        <w:rPr>
          <w:rFonts w:ascii="Times New Roman" w:hAnsi="Times New Roman"/>
        </w:rPr>
        <w:t xml:space="preserve">. </w:t>
      </w:r>
      <w:r w:rsidR="00944551" w:rsidRPr="001E4E73">
        <w:rPr>
          <w:rFonts w:ascii="Times New Roman" w:hAnsi="Times New Roman"/>
        </w:rPr>
        <w:t xml:space="preserve">This </w:t>
      </w:r>
      <w:r w:rsidR="00D42AF7" w:rsidRPr="001E4E73">
        <w:rPr>
          <w:rFonts w:ascii="Times New Roman" w:hAnsi="Times New Roman"/>
        </w:rPr>
        <w:t>aligns with</w:t>
      </w:r>
      <w:r w:rsidR="00944551" w:rsidRPr="001E4E73">
        <w:rPr>
          <w:rFonts w:ascii="Times New Roman" w:hAnsi="Times New Roman"/>
        </w:rPr>
        <w:t xml:space="preserve"> Part 19</w:t>
      </w:r>
      <w:r w:rsidR="007B23F8" w:rsidRPr="001E4E73">
        <w:rPr>
          <w:rFonts w:ascii="Times New Roman" w:hAnsi="Times New Roman"/>
        </w:rPr>
        <w:t xml:space="preserve"> of the Act</w:t>
      </w:r>
      <w:r w:rsidR="00944551" w:rsidRPr="001E4E73">
        <w:rPr>
          <w:rFonts w:ascii="Times New Roman" w:hAnsi="Times New Roman"/>
        </w:rPr>
        <w:t xml:space="preserve">, </w:t>
      </w:r>
      <w:r w:rsidR="00D42AF7" w:rsidRPr="001E4E73">
        <w:rPr>
          <w:rFonts w:ascii="Times New Roman" w:hAnsi="Times New Roman"/>
        </w:rPr>
        <w:t xml:space="preserve">where connection and supply obligations are described in separate subsections. This is because </w:t>
      </w:r>
      <w:r w:rsidR="00944551" w:rsidRPr="001E4E73">
        <w:rPr>
          <w:rFonts w:ascii="Times New Roman" w:hAnsi="Times New Roman"/>
        </w:rPr>
        <w:t xml:space="preserve">connection and supply involve different </w:t>
      </w:r>
      <w:r w:rsidR="00C559F2" w:rsidRPr="001E4E73">
        <w:rPr>
          <w:rFonts w:ascii="Times New Roman" w:hAnsi="Times New Roman"/>
        </w:rPr>
        <w:t>actions</w:t>
      </w:r>
      <w:r w:rsidR="00944551" w:rsidRPr="001E4E73">
        <w:rPr>
          <w:rFonts w:ascii="Times New Roman" w:hAnsi="Times New Roman"/>
        </w:rPr>
        <w:t xml:space="preserve"> </w:t>
      </w:r>
      <w:r w:rsidR="007B23F8" w:rsidRPr="001E4E73">
        <w:rPr>
          <w:rFonts w:ascii="Times New Roman" w:hAnsi="Times New Roman"/>
        </w:rPr>
        <w:t>to be undertaken by the SIP</w:t>
      </w:r>
      <w:r w:rsidR="00944551" w:rsidRPr="001E4E73">
        <w:rPr>
          <w:rFonts w:ascii="Times New Roman" w:hAnsi="Times New Roman"/>
        </w:rPr>
        <w:t>.</w:t>
      </w:r>
      <w:r w:rsidR="00024670" w:rsidRPr="001E4E73">
        <w:rPr>
          <w:rFonts w:ascii="Times New Roman" w:hAnsi="Times New Roman"/>
        </w:rPr>
        <w:t xml:space="preserve"> For example, </w:t>
      </w:r>
      <w:r w:rsidR="00A5219F" w:rsidRPr="001E4E73">
        <w:rPr>
          <w:rFonts w:ascii="Times New Roman" w:hAnsi="Times New Roman"/>
        </w:rPr>
        <w:t xml:space="preserve">the </w:t>
      </w:r>
      <w:r w:rsidR="00D42AF7" w:rsidRPr="001E4E73">
        <w:rPr>
          <w:rFonts w:ascii="Times New Roman" w:hAnsi="Times New Roman"/>
        </w:rPr>
        <w:t>actions</w:t>
      </w:r>
      <w:r w:rsidR="00A5219F" w:rsidRPr="001E4E73">
        <w:rPr>
          <w:rFonts w:ascii="Times New Roman" w:hAnsi="Times New Roman"/>
        </w:rPr>
        <w:t xml:space="preserve"> involved for a </w:t>
      </w:r>
      <w:r w:rsidR="00AB074F" w:rsidRPr="001E4E73">
        <w:rPr>
          <w:rFonts w:ascii="Times New Roman" w:hAnsi="Times New Roman"/>
        </w:rPr>
        <w:t xml:space="preserve">SIP </w:t>
      </w:r>
      <w:r w:rsidR="001E37A8" w:rsidRPr="001E4E73">
        <w:rPr>
          <w:rFonts w:ascii="Times New Roman" w:hAnsi="Times New Roman"/>
        </w:rPr>
        <w:t xml:space="preserve">in </w:t>
      </w:r>
      <w:r w:rsidR="00AB074F" w:rsidRPr="001E4E73">
        <w:rPr>
          <w:rFonts w:ascii="Times New Roman" w:hAnsi="Times New Roman"/>
        </w:rPr>
        <w:t>connect</w:t>
      </w:r>
      <w:r w:rsidR="001E37A8" w:rsidRPr="001E4E73">
        <w:rPr>
          <w:rFonts w:ascii="Times New Roman" w:hAnsi="Times New Roman"/>
        </w:rPr>
        <w:t>ing</w:t>
      </w:r>
      <w:r w:rsidR="00AB074F" w:rsidRPr="001E4E73">
        <w:rPr>
          <w:rFonts w:ascii="Times New Roman" w:hAnsi="Times New Roman"/>
        </w:rPr>
        <w:t xml:space="preserve"> premises </w:t>
      </w:r>
      <w:r w:rsidR="007D4F1A" w:rsidRPr="001E4E73">
        <w:rPr>
          <w:rFonts w:ascii="Times New Roman" w:hAnsi="Times New Roman"/>
        </w:rPr>
        <w:t xml:space="preserve">for the first time to </w:t>
      </w:r>
      <w:r w:rsidR="0002143C" w:rsidRPr="001E4E73">
        <w:rPr>
          <w:rFonts w:ascii="Times New Roman" w:hAnsi="Times New Roman"/>
        </w:rPr>
        <w:t xml:space="preserve">an existing network </w:t>
      </w:r>
      <w:r w:rsidR="00A5219F" w:rsidRPr="001E4E73">
        <w:rPr>
          <w:rFonts w:ascii="Times New Roman" w:hAnsi="Times New Roman"/>
        </w:rPr>
        <w:t xml:space="preserve">would </w:t>
      </w:r>
      <w:r w:rsidR="00AB074F" w:rsidRPr="001E4E73">
        <w:rPr>
          <w:rFonts w:ascii="Times New Roman" w:hAnsi="Times New Roman"/>
        </w:rPr>
        <w:t xml:space="preserve">differ from the </w:t>
      </w:r>
      <w:r w:rsidR="00A5219F" w:rsidRPr="001E4E73">
        <w:rPr>
          <w:rFonts w:ascii="Times New Roman" w:hAnsi="Times New Roman"/>
        </w:rPr>
        <w:t xml:space="preserve">activities involved if a </w:t>
      </w:r>
      <w:r w:rsidR="00AB074F" w:rsidRPr="001E4E73">
        <w:rPr>
          <w:rFonts w:ascii="Times New Roman" w:hAnsi="Times New Roman"/>
        </w:rPr>
        <w:t>SIP</w:t>
      </w:r>
      <w:r w:rsidR="00A5219F" w:rsidRPr="001E4E73">
        <w:rPr>
          <w:rFonts w:ascii="Times New Roman" w:hAnsi="Times New Roman"/>
        </w:rPr>
        <w:t xml:space="preserve"> is requested </w:t>
      </w:r>
      <w:r w:rsidR="00AB074F" w:rsidRPr="001E4E73">
        <w:rPr>
          <w:rFonts w:ascii="Times New Roman" w:hAnsi="Times New Roman"/>
        </w:rPr>
        <w:t xml:space="preserve">to </w:t>
      </w:r>
      <w:r w:rsidR="00A5219F" w:rsidRPr="001E4E73">
        <w:rPr>
          <w:rFonts w:ascii="Times New Roman" w:hAnsi="Times New Roman"/>
        </w:rPr>
        <w:t xml:space="preserve">commence </w:t>
      </w:r>
      <w:r w:rsidR="00AB074F" w:rsidRPr="001E4E73">
        <w:rPr>
          <w:rFonts w:ascii="Times New Roman" w:hAnsi="Times New Roman"/>
        </w:rPr>
        <w:t>supply</w:t>
      </w:r>
      <w:r w:rsidR="00A5219F" w:rsidRPr="001E4E73">
        <w:rPr>
          <w:rFonts w:ascii="Times New Roman" w:hAnsi="Times New Roman"/>
        </w:rPr>
        <w:t>ing</w:t>
      </w:r>
      <w:r w:rsidR="00AB074F" w:rsidRPr="001E4E73">
        <w:rPr>
          <w:rFonts w:ascii="Times New Roman" w:hAnsi="Times New Roman"/>
        </w:rPr>
        <w:t xml:space="preserve"> eligible service</w:t>
      </w:r>
      <w:r w:rsidR="0002143C" w:rsidRPr="001E4E73">
        <w:rPr>
          <w:rFonts w:ascii="Times New Roman" w:hAnsi="Times New Roman"/>
        </w:rPr>
        <w:t>s</w:t>
      </w:r>
      <w:r w:rsidR="00AB074F" w:rsidRPr="001E4E73">
        <w:rPr>
          <w:rFonts w:ascii="Times New Roman" w:hAnsi="Times New Roman"/>
        </w:rPr>
        <w:t xml:space="preserve"> </w:t>
      </w:r>
      <w:r w:rsidR="0002143C" w:rsidRPr="001E4E73">
        <w:rPr>
          <w:rFonts w:ascii="Times New Roman" w:hAnsi="Times New Roman"/>
        </w:rPr>
        <w:t xml:space="preserve">where </w:t>
      </w:r>
      <w:r w:rsidR="00C8141D" w:rsidRPr="001E4E73">
        <w:rPr>
          <w:rFonts w:ascii="Times New Roman" w:hAnsi="Times New Roman"/>
        </w:rPr>
        <w:t xml:space="preserve">a </w:t>
      </w:r>
      <w:r w:rsidR="0002143C" w:rsidRPr="001E4E73">
        <w:rPr>
          <w:rFonts w:ascii="Times New Roman" w:hAnsi="Times New Roman"/>
        </w:rPr>
        <w:t>connection to a network has occurred</w:t>
      </w:r>
      <w:r w:rsidR="00C8141D" w:rsidRPr="001E4E73">
        <w:rPr>
          <w:rFonts w:ascii="Times New Roman" w:hAnsi="Times New Roman"/>
        </w:rPr>
        <w:t xml:space="preserve"> previously and can be re</w:t>
      </w:r>
      <w:r w:rsidR="00DF470E" w:rsidRPr="001E4E73">
        <w:rPr>
          <w:rFonts w:ascii="Times New Roman" w:hAnsi="Times New Roman"/>
        </w:rPr>
        <w:t>activated</w:t>
      </w:r>
      <w:r w:rsidR="001E37A8" w:rsidRPr="001E4E73">
        <w:rPr>
          <w:rFonts w:ascii="Times New Roman" w:hAnsi="Times New Roman"/>
        </w:rPr>
        <w:t xml:space="preserve">. </w:t>
      </w:r>
      <w:r w:rsidR="00A5219F" w:rsidRPr="001E4E73">
        <w:rPr>
          <w:rFonts w:ascii="Times New Roman" w:hAnsi="Times New Roman"/>
        </w:rPr>
        <w:t xml:space="preserve">This drafting approach provides flexibility so </w:t>
      </w:r>
      <w:r w:rsidR="00EF0BA4" w:rsidRPr="001E4E73">
        <w:rPr>
          <w:rFonts w:ascii="Times New Roman" w:hAnsi="Times New Roman"/>
        </w:rPr>
        <w:t>exception</w:t>
      </w:r>
      <w:r w:rsidR="00A5219F" w:rsidRPr="001E4E73">
        <w:rPr>
          <w:rFonts w:ascii="Times New Roman" w:hAnsi="Times New Roman"/>
        </w:rPr>
        <w:t xml:space="preserve">s relating to connection and supply can be </w:t>
      </w:r>
      <w:r w:rsidR="00DF470E" w:rsidRPr="001E4E73">
        <w:rPr>
          <w:rFonts w:ascii="Times New Roman" w:hAnsi="Times New Roman"/>
        </w:rPr>
        <w:t>worded as required</w:t>
      </w:r>
      <w:r w:rsidR="00A5219F" w:rsidRPr="001E4E73">
        <w:rPr>
          <w:rFonts w:ascii="Times New Roman" w:hAnsi="Times New Roman"/>
        </w:rPr>
        <w:t>.</w:t>
      </w:r>
    </w:p>
    <w:p w14:paraId="645AC3FB" w14:textId="77777777" w:rsidR="006E3C3D" w:rsidRPr="001E4E73" w:rsidRDefault="006E3C3D" w:rsidP="006E3C3D">
      <w:pPr>
        <w:spacing w:after="0" w:line="276" w:lineRule="auto"/>
        <w:rPr>
          <w:rFonts w:ascii="Times New Roman" w:hAnsi="Times New Roman"/>
        </w:rPr>
      </w:pPr>
    </w:p>
    <w:p w14:paraId="091D6029" w14:textId="77777777" w:rsidR="009D3182" w:rsidRPr="001E4E73" w:rsidRDefault="009D3182" w:rsidP="009D3182">
      <w:pPr>
        <w:spacing w:line="276" w:lineRule="auto"/>
        <w:rPr>
          <w:rFonts w:ascii="Times New Roman" w:hAnsi="Times New Roman"/>
          <w:b/>
        </w:rPr>
      </w:pPr>
      <w:r w:rsidRPr="001E4E73">
        <w:rPr>
          <w:rFonts w:ascii="Times New Roman" w:hAnsi="Times New Roman"/>
          <w:b/>
        </w:rPr>
        <w:t xml:space="preserve">Remaking of Instrument </w:t>
      </w:r>
      <w:r w:rsidR="0079271E" w:rsidRPr="001E4E73">
        <w:rPr>
          <w:rFonts w:ascii="Times New Roman" w:hAnsi="Times New Roman"/>
          <w:b/>
        </w:rPr>
        <w:t xml:space="preserve">during </w:t>
      </w:r>
      <w:r w:rsidRPr="001E4E73">
        <w:rPr>
          <w:rFonts w:ascii="Times New Roman" w:hAnsi="Times New Roman"/>
          <w:b/>
        </w:rPr>
        <w:t>2024</w:t>
      </w:r>
    </w:p>
    <w:p w14:paraId="46FEAE8E" w14:textId="77777777" w:rsidR="00090411" w:rsidRPr="001E4E73" w:rsidRDefault="009D3182" w:rsidP="00090411">
      <w:pPr>
        <w:spacing w:after="100" w:afterAutospacing="1" w:line="276" w:lineRule="auto"/>
        <w:rPr>
          <w:rFonts w:ascii="Times New Roman" w:hAnsi="Times New Roman"/>
          <w:i/>
        </w:rPr>
      </w:pPr>
      <w:r w:rsidRPr="001E4E73">
        <w:rPr>
          <w:rFonts w:ascii="Times New Roman" w:hAnsi="Times New Roman"/>
          <w:i/>
        </w:rPr>
        <w:t>Consultation</w:t>
      </w:r>
    </w:p>
    <w:p w14:paraId="337B5720" w14:textId="154EF1AA" w:rsidR="0037273E" w:rsidRPr="001E4E73" w:rsidRDefault="009D3182" w:rsidP="0037273E">
      <w:pPr>
        <w:spacing w:after="0" w:line="276" w:lineRule="auto"/>
        <w:rPr>
          <w:rFonts w:ascii="Times New Roman" w:hAnsi="Times New Roman"/>
        </w:rPr>
      </w:pPr>
      <w:r w:rsidRPr="001E4E73">
        <w:rPr>
          <w:rFonts w:ascii="Times New Roman" w:hAnsi="Times New Roman"/>
        </w:rPr>
        <w:t xml:space="preserve">With the </w:t>
      </w:r>
      <w:r w:rsidR="00A818EB" w:rsidRPr="001E4E73">
        <w:rPr>
          <w:rFonts w:ascii="Times New Roman" w:hAnsi="Times New Roman"/>
        </w:rPr>
        <w:t xml:space="preserve">2021 </w:t>
      </w:r>
      <w:r w:rsidRPr="001E4E73">
        <w:rPr>
          <w:rFonts w:ascii="Times New Roman" w:hAnsi="Times New Roman"/>
        </w:rPr>
        <w:t>Instrument due to self-repeal in May 2024</w:t>
      </w:r>
      <w:r w:rsidR="00893A8B" w:rsidRPr="001E4E73">
        <w:rPr>
          <w:rFonts w:ascii="Times New Roman" w:hAnsi="Times New Roman"/>
        </w:rPr>
        <w:t xml:space="preserve">, the Department </w:t>
      </w:r>
      <w:r w:rsidR="0063620B" w:rsidRPr="001E4E73">
        <w:rPr>
          <w:rFonts w:ascii="Times New Roman" w:hAnsi="Times New Roman"/>
        </w:rPr>
        <w:t>of Infrastructure, Transport, Regional Development</w:t>
      </w:r>
      <w:r w:rsidR="00090411" w:rsidRPr="001E4E73">
        <w:rPr>
          <w:rFonts w:ascii="Times New Roman" w:hAnsi="Times New Roman"/>
        </w:rPr>
        <w:t xml:space="preserve">, </w:t>
      </w:r>
      <w:r w:rsidR="0063620B" w:rsidRPr="001E4E73">
        <w:rPr>
          <w:rFonts w:ascii="Times New Roman" w:hAnsi="Times New Roman"/>
        </w:rPr>
        <w:t xml:space="preserve">Communications </w:t>
      </w:r>
      <w:r w:rsidR="00090411" w:rsidRPr="001E4E73">
        <w:rPr>
          <w:rFonts w:ascii="Times New Roman" w:hAnsi="Times New Roman"/>
        </w:rPr>
        <w:t xml:space="preserve">and the Arts (the Department) </w:t>
      </w:r>
      <w:r w:rsidR="00A818EB" w:rsidRPr="001E4E73">
        <w:rPr>
          <w:rFonts w:ascii="Times New Roman" w:hAnsi="Times New Roman"/>
        </w:rPr>
        <w:t xml:space="preserve">consulted stakeholders on whether the instrument should continue, be allowed to lapse, or continue in an amended form. The Department’s </w:t>
      </w:r>
      <w:r w:rsidR="00090411" w:rsidRPr="001E4E73">
        <w:rPr>
          <w:rFonts w:ascii="Times New Roman" w:hAnsi="Times New Roman"/>
        </w:rPr>
        <w:t xml:space="preserve">initial view </w:t>
      </w:r>
      <w:r w:rsidR="00403F33" w:rsidRPr="001E4E73">
        <w:rPr>
          <w:rFonts w:ascii="Times New Roman" w:hAnsi="Times New Roman"/>
        </w:rPr>
        <w:t xml:space="preserve">was </w:t>
      </w:r>
      <w:r w:rsidR="00090411" w:rsidRPr="001E4E73">
        <w:rPr>
          <w:rFonts w:ascii="Times New Roman" w:hAnsi="Times New Roman"/>
        </w:rPr>
        <w:t xml:space="preserve">that the </w:t>
      </w:r>
      <w:r w:rsidR="00A818EB" w:rsidRPr="001E4E73">
        <w:rPr>
          <w:rFonts w:ascii="Times New Roman" w:hAnsi="Times New Roman"/>
        </w:rPr>
        <w:t xml:space="preserve">2021 </w:t>
      </w:r>
      <w:r w:rsidR="00090411" w:rsidRPr="001E4E73">
        <w:rPr>
          <w:rFonts w:ascii="Times New Roman" w:hAnsi="Times New Roman"/>
        </w:rPr>
        <w:t>Instrument should be remade, as it provided a</w:t>
      </w:r>
      <w:r w:rsidR="00FD2238" w:rsidRPr="001E4E73">
        <w:rPr>
          <w:rFonts w:ascii="Times New Roman" w:hAnsi="Times New Roman"/>
        </w:rPr>
        <w:t xml:space="preserve"> valuable</w:t>
      </w:r>
      <w:r w:rsidR="00090411" w:rsidRPr="001E4E73">
        <w:rPr>
          <w:rFonts w:ascii="Times New Roman" w:hAnsi="Times New Roman"/>
        </w:rPr>
        <w:t xml:space="preserve"> mechanism for SIPs to seek an exception where it is impractical, unsafe, unreasonable or unaffordable for SIPs to connect or supply a service. The </w:t>
      </w:r>
      <w:r w:rsidR="00403F33" w:rsidRPr="001E4E73">
        <w:rPr>
          <w:rFonts w:ascii="Times New Roman" w:hAnsi="Times New Roman"/>
        </w:rPr>
        <w:t>i</w:t>
      </w:r>
      <w:r w:rsidR="00090411" w:rsidRPr="001E4E73">
        <w:rPr>
          <w:rFonts w:ascii="Times New Roman" w:hAnsi="Times New Roman"/>
        </w:rPr>
        <w:t xml:space="preserve">nstrument provided clarity for stakeholders and ensured SIP resources were used in an efficient and equitable manner. Informal feedback to the Department </w:t>
      </w:r>
      <w:r w:rsidR="0037273E" w:rsidRPr="001E4E73">
        <w:rPr>
          <w:rFonts w:ascii="Times New Roman" w:hAnsi="Times New Roman"/>
        </w:rPr>
        <w:t xml:space="preserve">in the years since the original </w:t>
      </w:r>
      <w:r w:rsidR="00A818EB" w:rsidRPr="001E4E73">
        <w:rPr>
          <w:rFonts w:ascii="Times New Roman" w:hAnsi="Times New Roman"/>
        </w:rPr>
        <w:t xml:space="preserve">instrument </w:t>
      </w:r>
      <w:r w:rsidR="0037273E" w:rsidRPr="001E4E73">
        <w:rPr>
          <w:rFonts w:ascii="Times New Roman" w:hAnsi="Times New Roman"/>
        </w:rPr>
        <w:t>was made indicated it was valued by stakeholders and should be retained.</w:t>
      </w:r>
    </w:p>
    <w:p w14:paraId="1DCA42CA" w14:textId="77777777" w:rsidR="0037273E" w:rsidRPr="001E4E73" w:rsidRDefault="0037273E" w:rsidP="0037273E">
      <w:pPr>
        <w:spacing w:after="0" w:line="276" w:lineRule="auto"/>
        <w:rPr>
          <w:rFonts w:ascii="Times New Roman" w:hAnsi="Times New Roman"/>
        </w:rPr>
      </w:pPr>
    </w:p>
    <w:p w14:paraId="737102E4" w14:textId="1099CA59" w:rsidR="00C211B4" w:rsidRPr="001E4E73" w:rsidRDefault="00090411" w:rsidP="0037273E">
      <w:pPr>
        <w:spacing w:after="0" w:line="276" w:lineRule="auto"/>
        <w:rPr>
          <w:rFonts w:ascii="Times New Roman" w:hAnsi="Times New Roman"/>
        </w:rPr>
      </w:pPr>
      <w:r w:rsidRPr="001E4E73">
        <w:rPr>
          <w:rFonts w:ascii="Times New Roman" w:hAnsi="Times New Roman"/>
        </w:rPr>
        <w:t xml:space="preserve">The Department </w:t>
      </w:r>
      <w:r w:rsidR="00893A8B" w:rsidRPr="001E4E73">
        <w:rPr>
          <w:rFonts w:ascii="Times New Roman" w:hAnsi="Times New Roman"/>
        </w:rPr>
        <w:t xml:space="preserve">undertook </w:t>
      </w:r>
      <w:r w:rsidR="002356B8" w:rsidRPr="001E4E73">
        <w:rPr>
          <w:rFonts w:ascii="Times New Roman" w:hAnsi="Times New Roman"/>
        </w:rPr>
        <w:t xml:space="preserve">a </w:t>
      </w:r>
      <w:r w:rsidR="00893A8B" w:rsidRPr="001E4E73">
        <w:rPr>
          <w:rFonts w:ascii="Times New Roman" w:hAnsi="Times New Roman"/>
        </w:rPr>
        <w:t xml:space="preserve">consultation process </w:t>
      </w:r>
      <w:r w:rsidR="000968BF" w:rsidRPr="001E4E73">
        <w:rPr>
          <w:rFonts w:ascii="Times New Roman" w:hAnsi="Times New Roman"/>
        </w:rPr>
        <w:t xml:space="preserve">during </w:t>
      </w:r>
      <w:r w:rsidRPr="001E4E73">
        <w:rPr>
          <w:rFonts w:ascii="Times New Roman" w:hAnsi="Times New Roman"/>
        </w:rPr>
        <w:t>February</w:t>
      </w:r>
      <w:r w:rsidR="007B1F26" w:rsidRPr="001E4E73">
        <w:rPr>
          <w:rFonts w:ascii="Times New Roman" w:hAnsi="Times New Roman"/>
        </w:rPr>
        <w:t>-</w:t>
      </w:r>
      <w:r w:rsidRPr="001E4E73">
        <w:rPr>
          <w:rFonts w:ascii="Times New Roman" w:hAnsi="Times New Roman"/>
        </w:rPr>
        <w:t>April</w:t>
      </w:r>
      <w:r w:rsidR="004F3968" w:rsidRPr="001E4E73">
        <w:rPr>
          <w:rFonts w:ascii="Times New Roman" w:hAnsi="Times New Roman"/>
        </w:rPr>
        <w:t xml:space="preserve"> 202</w:t>
      </w:r>
      <w:r w:rsidRPr="001E4E73">
        <w:rPr>
          <w:rFonts w:ascii="Times New Roman" w:hAnsi="Times New Roman"/>
        </w:rPr>
        <w:t>4</w:t>
      </w:r>
      <w:r w:rsidR="00F371D1" w:rsidRPr="001E4E73">
        <w:rPr>
          <w:rFonts w:ascii="Times New Roman" w:hAnsi="Times New Roman"/>
        </w:rPr>
        <w:t xml:space="preserve"> </w:t>
      </w:r>
      <w:r w:rsidR="0037273E" w:rsidRPr="001E4E73">
        <w:rPr>
          <w:rFonts w:ascii="Times New Roman" w:hAnsi="Times New Roman"/>
        </w:rPr>
        <w:t>with SIPs, industry representatives, consumer representatives and regulators</w:t>
      </w:r>
      <w:r w:rsidR="001E37A8" w:rsidRPr="001E4E73">
        <w:rPr>
          <w:rFonts w:ascii="Times New Roman" w:hAnsi="Times New Roman"/>
        </w:rPr>
        <w:t>.</w:t>
      </w:r>
      <w:r w:rsidR="00893A8B" w:rsidRPr="001E4E73">
        <w:rPr>
          <w:rFonts w:ascii="Times New Roman" w:hAnsi="Times New Roman"/>
        </w:rPr>
        <w:t xml:space="preserve"> </w:t>
      </w:r>
      <w:r w:rsidR="002356B8" w:rsidRPr="001E4E73">
        <w:rPr>
          <w:rFonts w:ascii="Times New Roman" w:hAnsi="Times New Roman"/>
        </w:rPr>
        <w:t>S</w:t>
      </w:r>
      <w:r w:rsidR="00893A8B" w:rsidRPr="001E4E73">
        <w:rPr>
          <w:rFonts w:ascii="Times New Roman" w:hAnsi="Times New Roman"/>
        </w:rPr>
        <w:t>takeholders were given the opportunity to provide</w:t>
      </w:r>
      <w:r w:rsidR="0037273E" w:rsidRPr="001E4E73">
        <w:rPr>
          <w:rFonts w:ascii="Times New Roman" w:hAnsi="Times New Roman"/>
        </w:rPr>
        <w:t xml:space="preserve"> general</w:t>
      </w:r>
      <w:r w:rsidR="00893A8B" w:rsidRPr="001E4E73">
        <w:rPr>
          <w:rFonts w:ascii="Times New Roman" w:hAnsi="Times New Roman"/>
        </w:rPr>
        <w:t xml:space="preserve"> </w:t>
      </w:r>
      <w:r w:rsidR="00012CC2" w:rsidRPr="001E4E73">
        <w:rPr>
          <w:rFonts w:ascii="Times New Roman" w:hAnsi="Times New Roman"/>
        </w:rPr>
        <w:t xml:space="preserve">feedback on </w:t>
      </w:r>
      <w:r w:rsidR="000968BF" w:rsidRPr="001E4E73">
        <w:rPr>
          <w:rFonts w:ascii="Times New Roman" w:hAnsi="Times New Roman"/>
        </w:rPr>
        <w:t>the i</w:t>
      </w:r>
      <w:r w:rsidR="00893A8B" w:rsidRPr="001E4E73">
        <w:rPr>
          <w:rFonts w:ascii="Times New Roman" w:hAnsi="Times New Roman"/>
        </w:rPr>
        <w:t>nstrument</w:t>
      </w:r>
      <w:r w:rsidR="0037273E" w:rsidRPr="001E4E73">
        <w:rPr>
          <w:rFonts w:ascii="Times New Roman" w:hAnsi="Times New Roman"/>
        </w:rPr>
        <w:t xml:space="preserve"> and whether it was functioning as intended, as well as an open invitation to suggest any amendments to existing exceptions or possible new inclusions. They were also asked for an opinion on an appropriate sunset period for the remade </w:t>
      </w:r>
      <w:r w:rsidR="00A818EB" w:rsidRPr="001E4E73">
        <w:rPr>
          <w:rFonts w:ascii="Times New Roman" w:hAnsi="Times New Roman"/>
        </w:rPr>
        <w:t>instrument</w:t>
      </w:r>
      <w:r w:rsidR="0037273E" w:rsidRPr="001E4E73">
        <w:rPr>
          <w:rFonts w:ascii="Times New Roman" w:hAnsi="Times New Roman"/>
        </w:rPr>
        <w:t>.</w:t>
      </w:r>
    </w:p>
    <w:p w14:paraId="5188D7EB" w14:textId="77777777" w:rsidR="00C211B4" w:rsidRPr="001E4E73" w:rsidRDefault="00C211B4" w:rsidP="0037273E">
      <w:pPr>
        <w:spacing w:after="0" w:line="276" w:lineRule="auto"/>
        <w:rPr>
          <w:rFonts w:ascii="Times New Roman" w:hAnsi="Times New Roman"/>
        </w:rPr>
      </w:pPr>
    </w:p>
    <w:p w14:paraId="09D02C37" w14:textId="77777777" w:rsidR="00893A8B" w:rsidRPr="001E4E73" w:rsidRDefault="00FD2238" w:rsidP="0037273E">
      <w:pPr>
        <w:spacing w:after="0" w:line="276" w:lineRule="auto"/>
        <w:rPr>
          <w:rFonts w:ascii="Times New Roman" w:hAnsi="Times New Roman"/>
        </w:rPr>
      </w:pPr>
      <w:r w:rsidRPr="001E4E73">
        <w:rPr>
          <w:rFonts w:ascii="Times New Roman" w:hAnsi="Times New Roman"/>
        </w:rPr>
        <w:lastRenderedPageBreak/>
        <w:t xml:space="preserve">The department received formal written submissions </w:t>
      </w:r>
      <w:r w:rsidR="0079271E" w:rsidRPr="001E4E73">
        <w:rPr>
          <w:rFonts w:ascii="Times New Roman" w:hAnsi="Times New Roman"/>
        </w:rPr>
        <w:t xml:space="preserve">or </w:t>
      </w:r>
      <w:r w:rsidRPr="001E4E73">
        <w:rPr>
          <w:rFonts w:ascii="Times New Roman" w:hAnsi="Times New Roman"/>
        </w:rPr>
        <w:t xml:space="preserve">informal feedback from 6 stakeholders, including the Australian Communications Consumer Action Network (ACCAN), </w:t>
      </w:r>
      <w:r w:rsidR="004D15FA" w:rsidRPr="001E4E73">
        <w:rPr>
          <w:rFonts w:ascii="Times New Roman" w:hAnsi="Times New Roman"/>
        </w:rPr>
        <w:t xml:space="preserve">the </w:t>
      </w:r>
      <w:r w:rsidRPr="001E4E73">
        <w:rPr>
          <w:rFonts w:ascii="Times New Roman" w:hAnsi="Times New Roman"/>
        </w:rPr>
        <w:t xml:space="preserve">Australian Communications and Media Authority (ACMA), Communications Alliance, NBN Co, </w:t>
      </w:r>
      <w:r w:rsidR="004D15FA" w:rsidRPr="001E4E73">
        <w:rPr>
          <w:rFonts w:ascii="Times New Roman" w:hAnsi="Times New Roman"/>
        </w:rPr>
        <w:t xml:space="preserve">the </w:t>
      </w:r>
      <w:r w:rsidRPr="001E4E73">
        <w:rPr>
          <w:rFonts w:ascii="Times New Roman" w:hAnsi="Times New Roman"/>
        </w:rPr>
        <w:t>Telecommunications Industry Ombudsman (TIO)</w:t>
      </w:r>
      <w:r w:rsidR="004D15FA" w:rsidRPr="001E4E73">
        <w:rPr>
          <w:rFonts w:ascii="Times New Roman" w:hAnsi="Times New Roman"/>
        </w:rPr>
        <w:t xml:space="preserve"> and TPG Telecom.</w:t>
      </w:r>
    </w:p>
    <w:p w14:paraId="123CE54B" w14:textId="77777777" w:rsidR="004D15FA" w:rsidRPr="001E4E73" w:rsidRDefault="004D15FA" w:rsidP="0037273E">
      <w:pPr>
        <w:spacing w:after="0" w:line="276" w:lineRule="auto"/>
        <w:rPr>
          <w:rFonts w:ascii="Times New Roman" w:hAnsi="Times New Roman"/>
        </w:rPr>
      </w:pPr>
    </w:p>
    <w:p w14:paraId="45352146" w14:textId="77777777" w:rsidR="004D15FA" w:rsidRPr="001E4E73" w:rsidRDefault="00A818EB" w:rsidP="0037273E">
      <w:pPr>
        <w:spacing w:after="0" w:line="276" w:lineRule="auto"/>
        <w:rPr>
          <w:rFonts w:ascii="Times New Roman" w:hAnsi="Times New Roman"/>
        </w:rPr>
      </w:pPr>
      <w:r w:rsidRPr="001E4E73">
        <w:rPr>
          <w:rFonts w:ascii="Times New Roman" w:hAnsi="Times New Roman"/>
        </w:rPr>
        <w:t>Most</w:t>
      </w:r>
      <w:r w:rsidR="003C593A" w:rsidRPr="001E4E73">
        <w:rPr>
          <w:rFonts w:ascii="Times New Roman" w:hAnsi="Times New Roman"/>
        </w:rPr>
        <w:t xml:space="preserve"> </w:t>
      </w:r>
      <w:r w:rsidR="00E8358E" w:rsidRPr="001E4E73">
        <w:rPr>
          <w:rFonts w:ascii="Times New Roman" w:hAnsi="Times New Roman"/>
        </w:rPr>
        <w:t>stakeholders considered the existing Instrument fit-for-purpose, and did not propose any changes to the exceptions included. On the appropriate length of sunsetting for the Instrument, the majority of stakeholders supported 10 years</w:t>
      </w:r>
      <w:r w:rsidR="003C593A" w:rsidRPr="001E4E73">
        <w:rPr>
          <w:rFonts w:ascii="Times New Roman" w:hAnsi="Times New Roman"/>
        </w:rPr>
        <w:t xml:space="preserve"> as an appropriate timeframe. NBN </w:t>
      </w:r>
      <w:r w:rsidR="00F932F2" w:rsidRPr="001E4E73">
        <w:rPr>
          <w:rFonts w:ascii="Times New Roman" w:hAnsi="Times New Roman"/>
        </w:rPr>
        <w:t xml:space="preserve">Co </w:t>
      </w:r>
      <w:r w:rsidRPr="001E4E73">
        <w:rPr>
          <w:rFonts w:ascii="Times New Roman" w:hAnsi="Times New Roman"/>
        </w:rPr>
        <w:t xml:space="preserve">noted that there were some inconsistencies between </w:t>
      </w:r>
      <w:r w:rsidR="000C17D0" w:rsidRPr="001E4E73">
        <w:rPr>
          <w:rFonts w:ascii="Times New Roman" w:hAnsi="Times New Roman"/>
        </w:rPr>
        <w:t xml:space="preserve">exceptions available to it </w:t>
      </w:r>
      <w:r w:rsidR="0079271E" w:rsidRPr="001E4E73">
        <w:rPr>
          <w:rFonts w:ascii="Times New Roman" w:hAnsi="Times New Roman"/>
        </w:rPr>
        <w:t xml:space="preserve">from </w:t>
      </w:r>
      <w:r w:rsidR="000C17D0" w:rsidRPr="001E4E73">
        <w:rPr>
          <w:rFonts w:ascii="Times New Roman" w:hAnsi="Times New Roman"/>
        </w:rPr>
        <w:t xml:space="preserve">the Standard Access Obligations under Part XIC of the </w:t>
      </w:r>
      <w:r w:rsidR="000C17D0" w:rsidRPr="001E4E73">
        <w:rPr>
          <w:rFonts w:ascii="Times New Roman" w:hAnsi="Times New Roman"/>
          <w:i/>
        </w:rPr>
        <w:t>Competition and Consumer Act 2010</w:t>
      </w:r>
      <w:r w:rsidR="000C17D0" w:rsidRPr="001E4E73">
        <w:rPr>
          <w:rFonts w:ascii="Times New Roman" w:hAnsi="Times New Roman"/>
        </w:rPr>
        <w:t>, and the SIP connection and supply obligations. It proposed the instrument be amended to address this issue. It also proposed some amendments to deal with circumstances where CSPs have accepted a SIP’s standard offer, but then do not follow the requirements necessary for the SIP to supply a service.</w:t>
      </w:r>
    </w:p>
    <w:p w14:paraId="224A48A8" w14:textId="77777777" w:rsidR="00184E65" w:rsidRPr="001E4E73" w:rsidRDefault="00184E65" w:rsidP="0037273E">
      <w:pPr>
        <w:spacing w:after="0" w:line="276" w:lineRule="auto"/>
        <w:rPr>
          <w:rFonts w:ascii="Times New Roman" w:hAnsi="Times New Roman"/>
        </w:rPr>
      </w:pPr>
    </w:p>
    <w:p w14:paraId="16D220C9" w14:textId="76F465A9" w:rsidR="00184E65" w:rsidRPr="001E4E73" w:rsidRDefault="00184E65" w:rsidP="0037273E">
      <w:pPr>
        <w:spacing w:after="0" w:line="276" w:lineRule="auto"/>
        <w:rPr>
          <w:rFonts w:ascii="Times New Roman" w:hAnsi="Times New Roman"/>
        </w:rPr>
      </w:pPr>
      <w:r w:rsidRPr="001E4E73">
        <w:rPr>
          <w:rFonts w:ascii="Times New Roman" w:hAnsi="Times New Roman"/>
        </w:rPr>
        <w:t xml:space="preserve">The department considered the submissions and feedback received from stakeholders, and </w:t>
      </w:r>
      <w:r w:rsidR="000C17D0" w:rsidRPr="001E4E73">
        <w:rPr>
          <w:rFonts w:ascii="Times New Roman" w:hAnsi="Times New Roman"/>
        </w:rPr>
        <w:t>has made some amendments as a result</w:t>
      </w:r>
      <w:r w:rsidRPr="001E4E73">
        <w:rPr>
          <w:rFonts w:ascii="Times New Roman" w:hAnsi="Times New Roman"/>
        </w:rPr>
        <w:t>.</w:t>
      </w:r>
    </w:p>
    <w:p w14:paraId="16408B00" w14:textId="77777777" w:rsidR="00A4471E" w:rsidRPr="001E4E73" w:rsidRDefault="00A4471E" w:rsidP="0037273E">
      <w:pPr>
        <w:spacing w:after="0" w:line="276" w:lineRule="auto"/>
        <w:rPr>
          <w:rFonts w:ascii="Times New Roman" w:hAnsi="Times New Roman"/>
        </w:rPr>
      </w:pPr>
    </w:p>
    <w:p w14:paraId="45213985" w14:textId="18ED007A" w:rsidR="00A4471E" w:rsidRPr="001E4E73" w:rsidRDefault="00A4471E" w:rsidP="0037273E">
      <w:pPr>
        <w:spacing w:after="0" w:line="276" w:lineRule="auto"/>
        <w:rPr>
          <w:rFonts w:ascii="Times New Roman" w:hAnsi="Times New Roman"/>
          <w:i/>
        </w:rPr>
      </w:pPr>
      <w:bookmarkStart w:id="1" w:name="_Hlk165650454"/>
      <w:r w:rsidRPr="001E4E73">
        <w:rPr>
          <w:rFonts w:ascii="Times New Roman" w:hAnsi="Times New Roman"/>
          <w:i/>
        </w:rPr>
        <w:t>Amendments to the Instrument</w:t>
      </w:r>
    </w:p>
    <w:bookmarkEnd w:id="1"/>
    <w:p w14:paraId="26A877D6" w14:textId="77777777" w:rsidR="009D3182" w:rsidRPr="001E4E73" w:rsidRDefault="009D3182" w:rsidP="009D3182">
      <w:pPr>
        <w:spacing w:after="0" w:line="276" w:lineRule="auto"/>
        <w:rPr>
          <w:rFonts w:ascii="Times New Roman" w:hAnsi="Times New Roman"/>
        </w:rPr>
      </w:pPr>
    </w:p>
    <w:p w14:paraId="280A2263" w14:textId="57381A5E" w:rsidR="00080A6A" w:rsidRPr="001E4E73" w:rsidRDefault="00BC2086" w:rsidP="00E40501">
      <w:pPr>
        <w:spacing w:after="0" w:line="276" w:lineRule="auto"/>
        <w:rPr>
          <w:rFonts w:ascii="Times New Roman" w:hAnsi="Times New Roman"/>
        </w:rPr>
      </w:pPr>
      <w:r w:rsidRPr="001E4E73">
        <w:rPr>
          <w:rFonts w:ascii="Times New Roman" w:hAnsi="Times New Roman"/>
        </w:rPr>
        <w:t xml:space="preserve">Following consideration of the </w:t>
      </w:r>
      <w:r w:rsidR="002E4867" w:rsidRPr="001E4E73">
        <w:rPr>
          <w:rFonts w:ascii="Times New Roman" w:hAnsi="Times New Roman"/>
        </w:rPr>
        <w:t>issues raised by stakeholders</w:t>
      </w:r>
      <w:r w:rsidR="00B80897" w:rsidRPr="001E4E73">
        <w:rPr>
          <w:rFonts w:ascii="Times New Roman" w:hAnsi="Times New Roman"/>
        </w:rPr>
        <w:t xml:space="preserve"> during consultation</w:t>
      </w:r>
      <w:r w:rsidRPr="001E4E73">
        <w:rPr>
          <w:rFonts w:ascii="Times New Roman" w:hAnsi="Times New Roman"/>
        </w:rPr>
        <w:t xml:space="preserve"> (including </w:t>
      </w:r>
      <w:r w:rsidR="00080A6A" w:rsidRPr="001E4E73">
        <w:rPr>
          <w:rFonts w:ascii="Times New Roman" w:hAnsi="Times New Roman"/>
        </w:rPr>
        <w:t>proposed drafting suggestions), changes were made to the Instrument. There are new exceptions in Division 2 (supply</w:t>
      </w:r>
      <w:r w:rsidR="0024213E" w:rsidRPr="001E4E73">
        <w:rPr>
          <w:rFonts w:ascii="Times New Roman" w:hAnsi="Times New Roman"/>
        </w:rPr>
        <w:t xml:space="preserve"> obligations</w:t>
      </w:r>
      <w:r w:rsidR="00080A6A" w:rsidRPr="001E4E73">
        <w:rPr>
          <w:rFonts w:ascii="Times New Roman" w:hAnsi="Times New Roman"/>
        </w:rPr>
        <w:t xml:space="preserve">) that </w:t>
      </w:r>
      <w:r w:rsidR="00D85DCA" w:rsidRPr="001E4E73">
        <w:rPr>
          <w:rFonts w:ascii="Times New Roman" w:hAnsi="Times New Roman"/>
        </w:rPr>
        <w:t>align with</w:t>
      </w:r>
      <w:r w:rsidR="00080A6A" w:rsidRPr="001E4E73">
        <w:rPr>
          <w:rFonts w:ascii="Times New Roman" w:hAnsi="Times New Roman"/>
        </w:rPr>
        <w:t xml:space="preserve"> the exceptions available </w:t>
      </w:r>
      <w:r w:rsidR="0079271E" w:rsidRPr="001E4E73">
        <w:rPr>
          <w:rFonts w:ascii="Times New Roman" w:hAnsi="Times New Roman"/>
        </w:rPr>
        <w:t xml:space="preserve">from </w:t>
      </w:r>
      <w:r w:rsidR="00080A6A" w:rsidRPr="001E4E73">
        <w:rPr>
          <w:rFonts w:ascii="Times New Roman" w:hAnsi="Times New Roman"/>
        </w:rPr>
        <w:t xml:space="preserve">the Standard Access Obligations under Part XIC of the </w:t>
      </w:r>
      <w:r w:rsidR="00080A6A" w:rsidRPr="001E4E73">
        <w:rPr>
          <w:rFonts w:ascii="Times New Roman" w:hAnsi="Times New Roman"/>
          <w:i/>
        </w:rPr>
        <w:t>Competition and Consumer Act 2010</w:t>
      </w:r>
      <w:r w:rsidR="00E40501" w:rsidRPr="001E4E73">
        <w:rPr>
          <w:rFonts w:ascii="Times New Roman" w:hAnsi="Times New Roman"/>
        </w:rPr>
        <w:t xml:space="preserve">, as well as exceptions relating to standard processes under industry codes and SIP </w:t>
      </w:r>
      <w:r w:rsidR="0079271E" w:rsidRPr="001E4E73">
        <w:rPr>
          <w:rFonts w:ascii="Times New Roman" w:hAnsi="Times New Roman"/>
        </w:rPr>
        <w:t>standard offers</w:t>
      </w:r>
      <w:r w:rsidR="00E40501" w:rsidRPr="001E4E73">
        <w:rPr>
          <w:rFonts w:ascii="Times New Roman" w:hAnsi="Times New Roman"/>
        </w:rPr>
        <w:t xml:space="preserve">. These are explained in detail in </w:t>
      </w:r>
      <w:r w:rsidR="00E40501" w:rsidRPr="001E4E73">
        <w:rPr>
          <w:rFonts w:ascii="Times New Roman" w:hAnsi="Times New Roman"/>
          <w:b/>
        </w:rPr>
        <w:t>Attachment A</w:t>
      </w:r>
      <w:r w:rsidR="00E40501" w:rsidRPr="001E4E73">
        <w:rPr>
          <w:rFonts w:ascii="Times New Roman" w:hAnsi="Times New Roman"/>
        </w:rPr>
        <w:t>.</w:t>
      </w:r>
    </w:p>
    <w:p w14:paraId="27D5FB0B" w14:textId="77777777" w:rsidR="00E40501" w:rsidRPr="001E4E73" w:rsidRDefault="00E40501" w:rsidP="00E40501">
      <w:pPr>
        <w:spacing w:after="0" w:line="276" w:lineRule="auto"/>
        <w:rPr>
          <w:rFonts w:ascii="Times New Roman" w:hAnsi="Times New Roman"/>
        </w:rPr>
      </w:pPr>
    </w:p>
    <w:p w14:paraId="570CAEFC" w14:textId="1E585E05" w:rsidR="00A3071A" w:rsidRPr="001E4E73" w:rsidRDefault="003F5809" w:rsidP="00724804">
      <w:pPr>
        <w:keepNext/>
        <w:keepLines/>
        <w:spacing w:line="276" w:lineRule="auto"/>
        <w:rPr>
          <w:rFonts w:ascii="Times New Roman" w:hAnsi="Times New Roman"/>
          <w:bCs/>
          <w:i/>
        </w:rPr>
      </w:pPr>
      <w:r w:rsidRPr="001E4E73">
        <w:rPr>
          <w:rFonts w:ascii="Times New Roman" w:hAnsi="Times New Roman"/>
          <w:bCs/>
          <w:i/>
        </w:rPr>
        <w:t>Impact Analysis</w:t>
      </w:r>
    </w:p>
    <w:p w14:paraId="1CA1D928" w14:textId="3F1B9F70" w:rsidR="00012CC2" w:rsidRPr="001E4E73" w:rsidRDefault="000C17D0" w:rsidP="00043C5D">
      <w:pPr>
        <w:keepNext/>
        <w:keepLines/>
        <w:spacing w:before="100" w:beforeAutospacing="1" w:after="100" w:afterAutospacing="1" w:line="276" w:lineRule="auto"/>
        <w:rPr>
          <w:rFonts w:ascii="Times New Roman" w:hAnsi="Times New Roman"/>
        </w:rPr>
      </w:pPr>
      <w:r w:rsidRPr="001E4E73">
        <w:rPr>
          <w:rFonts w:ascii="Times New Roman" w:hAnsi="Times New Roman"/>
        </w:rPr>
        <w:t>T</w:t>
      </w:r>
      <w:r w:rsidR="00012CC2" w:rsidRPr="001E4E73">
        <w:rPr>
          <w:rFonts w:ascii="Times New Roman" w:hAnsi="Times New Roman"/>
        </w:rPr>
        <w:t xml:space="preserve">he Office of </w:t>
      </w:r>
      <w:r w:rsidR="003F5809" w:rsidRPr="001E4E73">
        <w:rPr>
          <w:rFonts w:ascii="Times New Roman" w:hAnsi="Times New Roman"/>
        </w:rPr>
        <w:t xml:space="preserve">Impact Analysis </w:t>
      </w:r>
      <w:r w:rsidR="00012CC2" w:rsidRPr="001E4E73">
        <w:rPr>
          <w:rFonts w:ascii="Times New Roman" w:hAnsi="Times New Roman"/>
        </w:rPr>
        <w:t>(O</w:t>
      </w:r>
      <w:r w:rsidR="003F5809" w:rsidRPr="001E4E73">
        <w:rPr>
          <w:rFonts w:ascii="Times New Roman" w:hAnsi="Times New Roman"/>
        </w:rPr>
        <w:t>IA</w:t>
      </w:r>
      <w:r w:rsidR="00012CC2" w:rsidRPr="001E4E73">
        <w:rPr>
          <w:rFonts w:ascii="Times New Roman" w:hAnsi="Times New Roman"/>
        </w:rPr>
        <w:t xml:space="preserve">) has advised </w:t>
      </w:r>
      <w:r w:rsidR="003F5809" w:rsidRPr="001E4E73">
        <w:rPr>
          <w:rFonts w:ascii="Times New Roman" w:hAnsi="Times New Roman"/>
        </w:rPr>
        <w:t>that a detailed impact analysis is not required</w:t>
      </w:r>
      <w:r w:rsidR="00012CC2" w:rsidRPr="001E4E73">
        <w:rPr>
          <w:rFonts w:ascii="Times New Roman" w:hAnsi="Times New Roman"/>
        </w:rPr>
        <w:t xml:space="preserve"> (</w:t>
      </w:r>
      <w:r w:rsidR="003F5809" w:rsidRPr="001E4E73">
        <w:rPr>
          <w:rFonts w:ascii="Times New Roman" w:hAnsi="Times New Roman"/>
        </w:rPr>
        <w:t>OIA24-07346</w:t>
      </w:r>
      <w:r w:rsidR="00012CC2" w:rsidRPr="001E4E73">
        <w:rPr>
          <w:rFonts w:ascii="Times New Roman" w:hAnsi="Times New Roman"/>
        </w:rPr>
        <w:t>).</w:t>
      </w:r>
    </w:p>
    <w:p w14:paraId="0814A4AF" w14:textId="77777777" w:rsidR="00A3071A" w:rsidRPr="001E4E73" w:rsidRDefault="00A3071A" w:rsidP="00724804">
      <w:pPr>
        <w:keepNext/>
        <w:keepLines/>
        <w:spacing w:line="276" w:lineRule="auto"/>
        <w:rPr>
          <w:rFonts w:ascii="Times New Roman" w:hAnsi="Times New Roman"/>
          <w:bCs/>
          <w:i/>
        </w:rPr>
      </w:pPr>
      <w:r w:rsidRPr="001E4E73">
        <w:rPr>
          <w:rFonts w:ascii="Times New Roman" w:hAnsi="Times New Roman"/>
          <w:bCs/>
          <w:i/>
        </w:rPr>
        <w:t>Statement of compatibility with human rights</w:t>
      </w:r>
    </w:p>
    <w:p w14:paraId="1AFE7630" w14:textId="77777777" w:rsidR="0095290F" w:rsidRPr="001E4E73" w:rsidRDefault="00A3071A" w:rsidP="00C27C89">
      <w:pPr>
        <w:spacing w:after="0" w:line="276" w:lineRule="auto"/>
        <w:rPr>
          <w:rFonts w:ascii="Times New Roman" w:hAnsi="Times New Roman"/>
        </w:rPr>
        <w:sectPr w:rsidR="0095290F" w:rsidRPr="001E4E73" w:rsidSect="000A2F7D">
          <w:headerReference w:type="default" r:id="rId12"/>
          <w:footerReference w:type="default" r:id="rId13"/>
          <w:headerReference w:type="first" r:id="rId14"/>
          <w:footerReference w:type="first" r:id="rId15"/>
          <w:pgSz w:w="11906" w:h="16838" w:code="9"/>
          <w:pgMar w:top="1418" w:right="1418" w:bottom="1418" w:left="1418" w:header="720" w:footer="720" w:gutter="0"/>
          <w:cols w:space="720"/>
          <w:docGrid w:linePitch="360"/>
        </w:sectPr>
      </w:pPr>
      <w:r w:rsidRPr="001E4E73">
        <w:rPr>
          <w:rFonts w:ascii="Times New Roman" w:hAnsi="Times New Roman"/>
        </w:rPr>
        <w:t xml:space="preserve">A statement of compatibility with human rights for the purposes of Part 3 of the </w:t>
      </w:r>
      <w:r w:rsidRPr="001E4E73">
        <w:rPr>
          <w:rFonts w:ascii="Times New Roman" w:hAnsi="Times New Roman"/>
          <w:i/>
        </w:rPr>
        <w:t xml:space="preserve">Human Rights (Parliamentary Scrutiny) Act 2011 </w:t>
      </w:r>
      <w:r w:rsidRPr="001E4E73">
        <w:rPr>
          <w:rFonts w:ascii="Times New Roman" w:hAnsi="Times New Roman"/>
        </w:rPr>
        <w:t xml:space="preserve">is set out at </w:t>
      </w:r>
      <w:r w:rsidRPr="001E4E73">
        <w:rPr>
          <w:rFonts w:ascii="Times New Roman" w:hAnsi="Times New Roman"/>
          <w:b/>
        </w:rPr>
        <w:t>Attachment B</w:t>
      </w:r>
      <w:r w:rsidRPr="001E4E73">
        <w:rPr>
          <w:rFonts w:ascii="Times New Roman" w:hAnsi="Times New Roman"/>
        </w:rPr>
        <w:t>.</w:t>
      </w:r>
    </w:p>
    <w:p w14:paraId="2F08D426" w14:textId="77777777" w:rsidR="00A3071A" w:rsidRPr="001E4E73" w:rsidRDefault="00A3071A" w:rsidP="00A3071A">
      <w:pPr>
        <w:ind w:right="91"/>
        <w:jc w:val="right"/>
        <w:rPr>
          <w:rFonts w:ascii="Times New Roman" w:hAnsi="Times New Roman"/>
          <w:b/>
          <w:sz w:val="28"/>
          <w:szCs w:val="28"/>
        </w:rPr>
      </w:pPr>
      <w:r w:rsidRPr="001E4E73">
        <w:rPr>
          <w:rFonts w:ascii="Times New Roman" w:hAnsi="Times New Roman"/>
          <w:b/>
          <w:sz w:val="28"/>
          <w:szCs w:val="28"/>
        </w:rPr>
        <w:lastRenderedPageBreak/>
        <w:t>Attachment A</w:t>
      </w:r>
    </w:p>
    <w:p w14:paraId="00BF7EF0" w14:textId="77777777" w:rsidR="00BD1C55" w:rsidRPr="001E4E73" w:rsidRDefault="00A3071A" w:rsidP="00E46F52">
      <w:pPr>
        <w:spacing w:after="0" w:line="276" w:lineRule="auto"/>
        <w:ind w:right="91"/>
        <w:rPr>
          <w:rFonts w:ascii="Times New Roman" w:hAnsi="Times New Roman"/>
          <w:b/>
          <w:i/>
          <w:sz w:val="28"/>
          <w:szCs w:val="28"/>
        </w:rPr>
      </w:pPr>
      <w:r w:rsidRPr="001E4E73">
        <w:rPr>
          <w:rFonts w:ascii="Times New Roman" w:hAnsi="Times New Roman"/>
          <w:b/>
          <w:sz w:val="28"/>
          <w:szCs w:val="28"/>
        </w:rPr>
        <w:t>Details of the</w:t>
      </w:r>
      <w:r w:rsidR="00BD1C55" w:rsidRPr="001E4E73">
        <w:rPr>
          <w:rFonts w:ascii="Times New Roman" w:hAnsi="Times New Roman"/>
          <w:b/>
          <w:sz w:val="28"/>
          <w:szCs w:val="28"/>
        </w:rPr>
        <w:t xml:space="preserve"> </w:t>
      </w:r>
      <w:r w:rsidR="00592BCC" w:rsidRPr="001E4E73">
        <w:rPr>
          <w:rFonts w:ascii="Times New Roman" w:hAnsi="Times New Roman"/>
          <w:b/>
          <w:i/>
          <w:sz w:val="28"/>
          <w:szCs w:val="28"/>
        </w:rPr>
        <w:t>Telecommunications (Statutory Infrastructure Providers—Circumstances for Exceptions to Connection and Supply Obligations) Determination 202</w:t>
      </w:r>
      <w:r w:rsidR="00B81E75" w:rsidRPr="001E4E73">
        <w:rPr>
          <w:rFonts w:ascii="Times New Roman" w:hAnsi="Times New Roman"/>
          <w:b/>
          <w:i/>
          <w:sz w:val="28"/>
          <w:szCs w:val="28"/>
        </w:rPr>
        <w:t>4</w:t>
      </w:r>
    </w:p>
    <w:p w14:paraId="4D757B74" w14:textId="77777777" w:rsidR="008330C4" w:rsidRPr="001E4E73" w:rsidRDefault="008330C4" w:rsidP="00E46F52">
      <w:pPr>
        <w:spacing w:after="0" w:line="276" w:lineRule="auto"/>
        <w:ind w:right="91"/>
        <w:rPr>
          <w:rFonts w:ascii="Times New Roman" w:hAnsi="Times New Roman"/>
        </w:rPr>
      </w:pPr>
    </w:p>
    <w:p w14:paraId="2F0DE8CF" w14:textId="77777777" w:rsidR="00AC067C" w:rsidRPr="001E4E73" w:rsidRDefault="00AC067C" w:rsidP="00E46F52">
      <w:pPr>
        <w:widowControl w:val="0"/>
        <w:spacing w:line="276" w:lineRule="auto"/>
        <w:rPr>
          <w:rStyle w:val="CharPartText"/>
          <w:rFonts w:ascii="Times New Roman" w:eastAsiaTheme="minorHAnsi" w:hAnsi="Times New Roman"/>
          <w:b/>
          <w:kern w:val="24"/>
          <w:sz w:val="28"/>
          <w:szCs w:val="28"/>
          <w:lang w:eastAsia="en-US"/>
        </w:rPr>
      </w:pPr>
      <w:bookmarkStart w:id="2" w:name="_Toc489271478"/>
      <w:r w:rsidRPr="001E4E73">
        <w:rPr>
          <w:rStyle w:val="CharPartText"/>
          <w:rFonts w:ascii="Times New Roman" w:eastAsiaTheme="minorHAnsi" w:hAnsi="Times New Roman"/>
          <w:b/>
          <w:kern w:val="24"/>
          <w:sz w:val="28"/>
          <w:szCs w:val="28"/>
          <w:lang w:eastAsia="en-US"/>
        </w:rPr>
        <w:t>Part 1—Introductory</w:t>
      </w:r>
      <w:bookmarkEnd w:id="2"/>
    </w:p>
    <w:p w14:paraId="43A92012" w14:textId="77777777" w:rsidR="00A3071A" w:rsidRPr="001E4E73" w:rsidRDefault="00A3071A" w:rsidP="00E46F52">
      <w:pPr>
        <w:widowControl w:val="0"/>
        <w:spacing w:line="276" w:lineRule="auto"/>
        <w:ind w:right="91"/>
        <w:rPr>
          <w:rFonts w:ascii="Times New Roman" w:eastAsiaTheme="minorHAnsi" w:hAnsi="Times New Roman"/>
          <w:kern w:val="24"/>
          <w:u w:val="single"/>
          <w:lang w:eastAsia="en-US"/>
        </w:rPr>
      </w:pPr>
      <w:r w:rsidRPr="001E4E73">
        <w:rPr>
          <w:rFonts w:ascii="Times New Roman" w:eastAsiaTheme="minorHAnsi" w:hAnsi="Times New Roman"/>
          <w:kern w:val="24"/>
          <w:u w:val="single"/>
          <w:lang w:eastAsia="en-US"/>
        </w:rPr>
        <w:t>Section 1 – Name</w:t>
      </w:r>
    </w:p>
    <w:p w14:paraId="4A402855" w14:textId="77777777" w:rsidR="00A3071A" w:rsidRPr="001E4E73" w:rsidRDefault="00A3071A" w:rsidP="00E46F52">
      <w:pPr>
        <w:widowControl w:val="0"/>
        <w:spacing w:after="0" w:line="276" w:lineRule="auto"/>
        <w:ind w:right="91"/>
        <w:rPr>
          <w:rFonts w:ascii="Times New Roman" w:eastAsiaTheme="minorHAnsi" w:hAnsi="Times New Roman"/>
          <w:kern w:val="24"/>
          <w:lang w:eastAsia="en-US"/>
        </w:rPr>
      </w:pPr>
      <w:r w:rsidRPr="001E4E73">
        <w:rPr>
          <w:rFonts w:ascii="Times New Roman" w:eastAsiaTheme="minorHAnsi" w:hAnsi="Times New Roman"/>
          <w:kern w:val="24"/>
          <w:lang w:eastAsia="en-US"/>
        </w:rPr>
        <w:t xml:space="preserve">This section </w:t>
      </w:r>
      <w:r w:rsidR="00027216" w:rsidRPr="001E4E73">
        <w:rPr>
          <w:rFonts w:ascii="Times New Roman" w:eastAsiaTheme="minorHAnsi" w:hAnsi="Times New Roman"/>
          <w:kern w:val="24"/>
          <w:lang w:eastAsia="en-US"/>
        </w:rPr>
        <w:t>states</w:t>
      </w:r>
      <w:r w:rsidRPr="001E4E73">
        <w:rPr>
          <w:rFonts w:ascii="Times New Roman" w:eastAsiaTheme="minorHAnsi" w:hAnsi="Times New Roman"/>
          <w:kern w:val="24"/>
          <w:lang w:eastAsia="en-US"/>
        </w:rPr>
        <w:t xml:space="preserve"> that the </w:t>
      </w:r>
      <w:r w:rsidR="00592BCC" w:rsidRPr="001E4E73">
        <w:rPr>
          <w:rFonts w:ascii="Times New Roman" w:eastAsiaTheme="minorHAnsi" w:hAnsi="Times New Roman"/>
          <w:kern w:val="24"/>
          <w:lang w:eastAsia="en-US"/>
        </w:rPr>
        <w:t xml:space="preserve">name of the Instrument </w:t>
      </w:r>
      <w:r w:rsidRPr="001E4E73">
        <w:rPr>
          <w:rFonts w:ascii="Times New Roman" w:eastAsiaTheme="minorHAnsi" w:hAnsi="Times New Roman"/>
          <w:kern w:val="24"/>
          <w:lang w:eastAsia="en-US"/>
        </w:rPr>
        <w:t xml:space="preserve">is the </w:t>
      </w:r>
      <w:r w:rsidR="00592BCC" w:rsidRPr="001E4E73">
        <w:rPr>
          <w:rFonts w:ascii="Times New Roman" w:eastAsiaTheme="minorHAnsi" w:hAnsi="Times New Roman"/>
          <w:i/>
          <w:kern w:val="24"/>
          <w:lang w:eastAsia="en-US"/>
        </w:rPr>
        <w:t>Telecommunications (Statutory Infrastructure Providers—Circumstances for Exceptions to Connection and Supply Obligations) Determination 202</w:t>
      </w:r>
      <w:r w:rsidR="00E422BC" w:rsidRPr="001E4E73">
        <w:rPr>
          <w:rFonts w:ascii="Times New Roman" w:eastAsiaTheme="minorHAnsi" w:hAnsi="Times New Roman"/>
          <w:i/>
          <w:kern w:val="24"/>
          <w:lang w:eastAsia="en-US"/>
        </w:rPr>
        <w:t>4</w:t>
      </w:r>
      <w:r w:rsidR="00B93F9F" w:rsidRPr="001E4E73">
        <w:rPr>
          <w:rFonts w:ascii="Times New Roman" w:eastAsiaTheme="minorHAnsi" w:hAnsi="Times New Roman"/>
          <w:kern w:val="24"/>
          <w:lang w:eastAsia="en-US"/>
        </w:rPr>
        <w:t>.</w:t>
      </w:r>
    </w:p>
    <w:p w14:paraId="1A581DE5" w14:textId="77777777" w:rsidR="008330C4" w:rsidRPr="001E4E73" w:rsidRDefault="008330C4" w:rsidP="00E46F52">
      <w:pPr>
        <w:widowControl w:val="0"/>
        <w:spacing w:after="0" w:line="276" w:lineRule="auto"/>
        <w:ind w:right="91"/>
        <w:rPr>
          <w:rFonts w:ascii="Times New Roman" w:eastAsiaTheme="minorHAnsi" w:hAnsi="Times New Roman"/>
          <w:kern w:val="24"/>
          <w:lang w:eastAsia="en-US"/>
        </w:rPr>
      </w:pPr>
    </w:p>
    <w:p w14:paraId="417FABF0" w14:textId="77777777" w:rsidR="00A3071A" w:rsidRPr="001E4E73" w:rsidRDefault="00A3071A" w:rsidP="00E46F52">
      <w:pPr>
        <w:widowControl w:val="0"/>
        <w:spacing w:line="276" w:lineRule="auto"/>
        <w:ind w:right="91"/>
        <w:rPr>
          <w:rFonts w:ascii="Times New Roman" w:eastAsiaTheme="minorHAnsi" w:hAnsi="Times New Roman"/>
          <w:kern w:val="24"/>
          <w:u w:val="single"/>
          <w:lang w:eastAsia="en-US"/>
        </w:rPr>
      </w:pPr>
      <w:r w:rsidRPr="001E4E73">
        <w:rPr>
          <w:rFonts w:ascii="Times New Roman" w:eastAsiaTheme="minorHAnsi" w:hAnsi="Times New Roman"/>
          <w:kern w:val="24"/>
          <w:u w:val="single"/>
          <w:lang w:eastAsia="en-US"/>
        </w:rPr>
        <w:t>Section 2 – Commencement</w:t>
      </w:r>
    </w:p>
    <w:p w14:paraId="59F3F68B" w14:textId="77777777" w:rsidR="00A3071A" w:rsidRPr="001E4E73" w:rsidRDefault="00A3071A" w:rsidP="00E46F52">
      <w:pPr>
        <w:widowControl w:val="0"/>
        <w:spacing w:after="0" w:line="276" w:lineRule="auto"/>
        <w:ind w:right="91"/>
        <w:rPr>
          <w:rFonts w:ascii="Times New Roman" w:eastAsiaTheme="minorHAnsi" w:hAnsi="Times New Roman"/>
          <w:kern w:val="24"/>
          <w:lang w:eastAsia="en-US"/>
        </w:rPr>
      </w:pPr>
      <w:r w:rsidRPr="001E4E73">
        <w:rPr>
          <w:rFonts w:ascii="Times New Roman" w:eastAsiaTheme="minorHAnsi" w:hAnsi="Times New Roman"/>
          <w:kern w:val="24"/>
          <w:lang w:eastAsia="en-US"/>
        </w:rPr>
        <w:t xml:space="preserve">This section </w:t>
      </w:r>
      <w:r w:rsidR="00027216" w:rsidRPr="001E4E73">
        <w:rPr>
          <w:rFonts w:ascii="Times New Roman" w:eastAsiaTheme="minorHAnsi" w:hAnsi="Times New Roman"/>
          <w:kern w:val="24"/>
          <w:lang w:eastAsia="en-US"/>
        </w:rPr>
        <w:t>states that the Instrument</w:t>
      </w:r>
      <w:r w:rsidRPr="001E4E73">
        <w:rPr>
          <w:rFonts w:ascii="Times New Roman" w:eastAsiaTheme="minorHAnsi" w:hAnsi="Times New Roman"/>
          <w:kern w:val="24"/>
          <w:lang w:eastAsia="en-US"/>
        </w:rPr>
        <w:t xml:space="preserve"> commence</w:t>
      </w:r>
      <w:r w:rsidR="00027216" w:rsidRPr="001E4E73">
        <w:rPr>
          <w:rFonts w:ascii="Times New Roman" w:eastAsiaTheme="minorHAnsi" w:hAnsi="Times New Roman"/>
          <w:kern w:val="24"/>
          <w:lang w:eastAsia="en-US"/>
        </w:rPr>
        <w:t>s</w:t>
      </w:r>
      <w:r w:rsidRPr="001E4E73">
        <w:rPr>
          <w:rFonts w:ascii="Times New Roman" w:eastAsiaTheme="minorHAnsi" w:hAnsi="Times New Roman"/>
          <w:kern w:val="24"/>
          <w:lang w:eastAsia="en-US"/>
        </w:rPr>
        <w:t xml:space="preserve"> on the day after it is registered on the Federal Register of Legislation.</w:t>
      </w:r>
    </w:p>
    <w:p w14:paraId="7F4622F6" w14:textId="77777777" w:rsidR="008330C4" w:rsidRPr="001E4E73" w:rsidRDefault="008330C4" w:rsidP="00E46F52">
      <w:pPr>
        <w:widowControl w:val="0"/>
        <w:spacing w:after="0" w:line="276" w:lineRule="auto"/>
        <w:ind w:right="91"/>
        <w:rPr>
          <w:rFonts w:ascii="Times New Roman" w:eastAsiaTheme="minorHAnsi" w:hAnsi="Times New Roman"/>
          <w:kern w:val="24"/>
          <w:lang w:eastAsia="en-US"/>
        </w:rPr>
      </w:pPr>
    </w:p>
    <w:p w14:paraId="40B829DC" w14:textId="77777777" w:rsidR="00A3071A" w:rsidRPr="001E4E73" w:rsidRDefault="00A3071A" w:rsidP="00E46F52">
      <w:pPr>
        <w:widowControl w:val="0"/>
        <w:spacing w:line="276" w:lineRule="auto"/>
        <w:ind w:right="91"/>
        <w:rPr>
          <w:rFonts w:ascii="Times New Roman" w:eastAsiaTheme="minorHAnsi" w:hAnsi="Times New Roman"/>
          <w:kern w:val="24"/>
          <w:u w:val="single"/>
          <w:lang w:eastAsia="en-US"/>
        </w:rPr>
      </w:pPr>
      <w:r w:rsidRPr="001E4E73">
        <w:rPr>
          <w:rFonts w:ascii="Times New Roman" w:eastAsiaTheme="minorHAnsi" w:hAnsi="Times New Roman"/>
          <w:kern w:val="24"/>
          <w:u w:val="single"/>
          <w:lang w:eastAsia="en-US"/>
        </w:rPr>
        <w:t xml:space="preserve">Section 3 – Authority </w:t>
      </w:r>
    </w:p>
    <w:p w14:paraId="742AA560" w14:textId="77777777" w:rsidR="00A3071A" w:rsidRPr="001E4E73" w:rsidRDefault="00A3071A" w:rsidP="00E46F52">
      <w:pPr>
        <w:widowControl w:val="0"/>
        <w:spacing w:after="0" w:line="276" w:lineRule="auto"/>
        <w:ind w:right="91"/>
        <w:rPr>
          <w:rFonts w:ascii="Times New Roman" w:eastAsiaTheme="minorHAnsi" w:hAnsi="Times New Roman"/>
          <w:kern w:val="24"/>
          <w:lang w:eastAsia="en-US"/>
        </w:rPr>
      </w:pPr>
      <w:r w:rsidRPr="001E4E73">
        <w:rPr>
          <w:rFonts w:ascii="Times New Roman" w:eastAsiaTheme="minorHAnsi" w:hAnsi="Times New Roman"/>
          <w:kern w:val="24"/>
          <w:lang w:eastAsia="en-US"/>
        </w:rPr>
        <w:t xml:space="preserve">This section </w:t>
      </w:r>
      <w:r w:rsidR="005850F4" w:rsidRPr="001E4E73">
        <w:rPr>
          <w:rFonts w:ascii="Times New Roman" w:eastAsiaTheme="minorHAnsi" w:hAnsi="Times New Roman"/>
          <w:kern w:val="24"/>
          <w:lang w:eastAsia="en-US"/>
        </w:rPr>
        <w:t>states</w:t>
      </w:r>
      <w:r w:rsidRPr="001E4E73">
        <w:rPr>
          <w:rFonts w:ascii="Times New Roman" w:eastAsiaTheme="minorHAnsi" w:hAnsi="Times New Roman"/>
          <w:kern w:val="24"/>
          <w:lang w:eastAsia="en-US"/>
        </w:rPr>
        <w:t xml:space="preserve"> that the </w:t>
      </w:r>
      <w:r w:rsidR="00E63847" w:rsidRPr="001E4E73">
        <w:rPr>
          <w:rFonts w:ascii="Times New Roman" w:eastAsiaTheme="minorHAnsi" w:hAnsi="Times New Roman"/>
          <w:kern w:val="24"/>
          <w:lang w:eastAsia="en-US"/>
        </w:rPr>
        <w:t xml:space="preserve">Instrument </w:t>
      </w:r>
      <w:r w:rsidRPr="001E4E73">
        <w:rPr>
          <w:rFonts w:ascii="Times New Roman" w:eastAsiaTheme="minorHAnsi" w:hAnsi="Times New Roman"/>
          <w:kern w:val="24"/>
          <w:lang w:eastAsia="en-US"/>
        </w:rPr>
        <w:t xml:space="preserve">is made under </w:t>
      </w:r>
      <w:r w:rsidR="00677AA8" w:rsidRPr="001E4E73">
        <w:rPr>
          <w:rFonts w:ascii="Times New Roman" w:eastAsiaTheme="minorHAnsi" w:hAnsi="Times New Roman"/>
          <w:kern w:val="24"/>
          <w:lang w:eastAsia="en-US"/>
        </w:rPr>
        <w:t>sub</w:t>
      </w:r>
      <w:r w:rsidR="00B93F9F" w:rsidRPr="001E4E73">
        <w:rPr>
          <w:rFonts w:ascii="Times New Roman" w:eastAsiaTheme="minorHAnsi" w:hAnsi="Times New Roman"/>
          <w:kern w:val="24"/>
          <w:lang w:eastAsia="en-US"/>
        </w:rPr>
        <w:t>section</w:t>
      </w:r>
      <w:r w:rsidR="00B51E22" w:rsidRPr="001E4E73">
        <w:rPr>
          <w:rFonts w:ascii="Times New Roman" w:eastAsiaTheme="minorHAnsi" w:hAnsi="Times New Roman"/>
          <w:kern w:val="24"/>
          <w:lang w:eastAsia="en-US"/>
        </w:rPr>
        <w:t>s</w:t>
      </w:r>
      <w:r w:rsidRPr="001E4E73">
        <w:rPr>
          <w:rFonts w:ascii="Times New Roman" w:eastAsiaTheme="minorHAnsi" w:hAnsi="Times New Roman"/>
          <w:kern w:val="24"/>
          <w:lang w:eastAsia="en-US"/>
        </w:rPr>
        <w:t xml:space="preserve"> 360</w:t>
      </w:r>
      <w:proofErr w:type="gramStart"/>
      <w:r w:rsidR="00E63847" w:rsidRPr="001E4E73">
        <w:rPr>
          <w:rFonts w:ascii="Times New Roman" w:eastAsiaTheme="minorHAnsi" w:hAnsi="Times New Roman"/>
          <w:kern w:val="24"/>
          <w:lang w:eastAsia="en-US"/>
        </w:rPr>
        <w:t>P</w:t>
      </w:r>
      <w:r w:rsidR="00677AA8" w:rsidRPr="001E4E73">
        <w:rPr>
          <w:rFonts w:ascii="Times New Roman" w:eastAsiaTheme="minorHAnsi" w:hAnsi="Times New Roman"/>
          <w:kern w:val="24"/>
          <w:lang w:eastAsia="en-US"/>
        </w:rPr>
        <w:t>(</w:t>
      </w:r>
      <w:proofErr w:type="gramEnd"/>
      <w:r w:rsidR="00E63847" w:rsidRPr="001E4E73">
        <w:rPr>
          <w:rFonts w:ascii="Times New Roman" w:eastAsiaTheme="minorHAnsi" w:hAnsi="Times New Roman"/>
          <w:kern w:val="24"/>
          <w:lang w:eastAsia="en-US"/>
        </w:rPr>
        <w:t>3</w:t>
      </w:r>
      <w:r w:rsidR="00677AA8" w:rsidRPr="001E4E73">
        <w:rPr>
          <w:rFonts w:ascii="Times New Roman" w:eastAsiaTheme="minorHAnsi" w:hAnsi="Times New Roman"/>
          <w:kern w:val="24"/>
          <w:lang w:eastAsia="en-US"/>
        </w:rPr>
        <w:t>)</w:t>
      </w:r>
      <w:r w:rsidR="00E63847" w:rsidRPr="001E4E73">
        <w:rPr>
          <w:rFonts w:ascii="Times New Roman" w:eastAsiaTheme="minorHAnsi" w:hAnsi="Times New Roman"/>
          <w:kern w:val="24"/>
          <w:lang w:eastAsia="en-US"/>
        </w:rPr>
        <w:t xml:space="preserve"> and 360Q(4) </w:t>
      </w:r>
      <w:r w:rsidRPr="001E4E73">
        <w:rPr>
          <w:rFonts w:ascii="Times New Roman" w:eastAsiaTheme="minorHAnsi" w:hAnsi="Times New Roman"/>
          <w:kern w:val="24"/>
          <w:lang w:eastAsia="en-US"/>
        </w:rPr>
        <w:t xml:space="preserve">of the </w:t>
      </w:r>
      <w:r w:rsidRPr="001E4E73">
        <w:rPr>
          <w:rFonts w:ascii="Times New Roman" w:eastAsiaTheme="minorHAnsi" w:hAnsi="Times New Roman"/>
          <w:i/>
          <w:kern w:val="24"/>
          <w:lang w:eastAsia="en-US"/>
        </w:rPr>
        <w:t xml:space="preserve">Telecommunications Act 1997 </w:t>
      </w:r>
      <w:r w:rsidRPr="001E4E73">
        <w:rPr>
          <w:rFonts w:ascii="Times New Roman" w:eastAsiaTheme="minorHAnsi" w:hAnsi="Times New Roman"/>
          <w:kern w:val="24"/>
          <w:lang w:eastAsia="en-US"/>
        </w:rPr>
        <w:t>(the Act).</w:t>
      </w:r>
    </w:p>
    <w:p w14:paraId="23174684" w14:textId="77777777" w:rsidR="008330C4" w:rsidRPr="001E4E73" w:rsidRDefault="008330C4" w:rsidP="00E46F52">
      <w:pPr>
        <w:widowControl w:val="0"/>
        <w:spacing w:after="0" w:line="276" w:lineRule="auto"/>
        <w:ind w:right="91"/>
        <w:rPr>
          <w:rFonts w:ascii="Times New Roman" w:eastAsiaTheme="minorHAnsi" w:hAnsi="Times New Roman"/>
          <w:kern w:val="24"/>
          <w:lang w:eastAsia="en-US"/>
        </w:rPr>
      </w:pPr>
    </w:p>
    <w:p w14:paraId="4EF90C7F" w14:textId="77777777" w:rsidR="00A3071A" w:rsidRPr="001E4E73" w:rsidRDefault="00A3071A" w:rsidP="00E46F52">
      <w:pPr>
        <w:spacing w:line="276" w:lineRule="auto"/>
        <w:ind w:right="91"/>
        <w:rPr>
          <w:rFonts w:ascii="Times New Roman" w:hAnsi="Times New Roman"/>
          <w:u w:val="single"/>
        </w:rPr>
      </w:pPr>
      <w:r w:rsidRPr="001E4E73">
        <w:rPr>
          <w:rFonts w:ascii="Times New Roman" w:eastAsiaTheme="minorHAnsi" w:hAnsi="Times New Roman"/>
          <w:kern w:val="24"/>
          <w:u w:val="single"/>
          <w:lang w:eastAsia="en-US"/>
        </w:rPr>
        <w:t>Section 4</w:t>
      </w:r>
      <w:r w:rsidR="00D645BD" w:rsidRPr="001E4E73">
        <w:rPr>
          <w:rFonts w:ascii="Times New Roman" w:eastAsiaTheme="minorHAnsi" w:hAnsi="Times New Roman"/>
          <w:kern w:val="24"/>
          <w:u w:val="single"/>
          <w:lang w:eastAsia="en-US"/>
        </w:rPr>
        <w:t xml:space="preserve"> –</w:t>
      </w:r>
      <w:r w:rsidRPr="001E4E73">
        <w:rPr>
          <w:rFonts w:ascii="Times New Roman" w:eastAsiaTheme="minorHAnsi" w:hAnsi="Times New Roman"/>
          <w:kern w:val="24"/>
          <w:u w:val="single"/>
          <w:lang w:eastAsia="en-US"/>
        </w:rPr>
        <w:t xml:space="preserve"> Definitions</w:t>
      </w:r>
    </w:p>
    <w:p w14:paraId="4361361C" w14:textId="77777777" w:rsidR="00A3071A" w:rsidRPr="001E4E73" w:rsidRDefault="00A3071A" w:rsidP="00E46F52">
      <w:pPr>
        <w:widowControl w:val="0"/>
        <w:spacing w:after="0" w:line="276" w:lineRule="auto"/>
        <w:ind w:right="91"/>
        <w:rPr>
          <w:rFonts w:ascii="Times New Roman" w:eastAsiaTheme="minorHAnsi" w:hAnsi="Times New Roman"/>
          <w:kern w:val="24"/>
          <w:lang w:eastAsia="en-US"/>
        </w:rPr>
      </w:pPr>
      <w:r w:rsidRPr="001E4E73">
        <w:rPr>
          <w:rFonts w:ascii="Times New Roman" w:eastAsiaTheme="minorHAnsi" w:hAnsi="Times New Roman"/>
          <w:kern w:val="24"/>
          <w:lang w:eastAsia="en-US"/>
        </w:rPr>
        <w:t xml:space="preserve">This section provides definitions of terms used in the </w:t>
      </w:r>
      <w:r w:rsidR="00E63847" w:rsidRPr="001E4E73">
        <w:rPr>
          <w:rFonts w:ascii="Times New Roman" w:eastAsiaTheme="minorHAnsi" w:hAnsi="Times New Roman"/>
          <w:kern w:val="24"/>
          <w:lang w:eastAsia="en-US"/>
        </w:rPr>
        <w:t>Instrument</w:t>
      </w:r>
      <w:r w:rsidRPr="001E4E73">
        <w:rPr>
          <w:rFonts w:ascii="Times New Roman" w:eastAsiaTheme="minorHAnsi" w:hAnsi="Times New Roman"/>
          <w:kern w:val="24"/>
          <w:lang w:eastAsia="en-US"/>
        </w:rPr>
        <w:t>.</w:t>
      </w:r>
    </w:p>
    <w:p w14:paraId="03659F13" w14:textId="77777777" w:rsidR="00E46F52" w:rsidRPr="001E4E73" w:rsidRDefault="00E46F52" w:rsidP="00E46F52">
      <w:pPr>
        <w:widowControl w:val="0"/>
        <w:spacing w:after="0" w:line="276" w:lineRule="auto"/>
        <w:ind w:right="91"/>
        <w:rPr>
          <w:rFonts w:ascii="Times New Roman" w:eastAsiaTheme="minorHAnsi" w:hAnsi="Times New Roman"/>
          <w:kern w:val="24"/>
          <w:lang w:eastAsia="en-US"/>
        </w:rPr>
      </w:pPr>
    </w:p>
    <w:p w14:paraId="6C9459A4" w14:textId="77777777" w:rsidR="00A3071A" w:rsidRPr="001E4E73" w:rsidRDefault="00A3071A" w:rsidP="00E46F52">
      <w:pPr>
        <w:widowControl w:val="0"/>
        <w:spacing w:after="0" w:line="276" w:lineRule="auto"/>
        <w:ind w:right="91"/>
        <w:rPr>
          <w:rFonts w:ascii="Times New Roman" w:hAnsi="Times New Roman"/>
        </w:rPr>
      </w:pPr>
      <w:r w:rsidRPr="001E4E73">
        <w:rPr>
          <w:rFonts w:ascii="Times New Roman" w:eastAsiaTheme="minorHAnsi" w:hAnsi="Times New Roman"/>
          <w:kern w:val="24"/>
          <w:lang w:eastAsia="en-US"/>
        </w:rPr>
        <w:t xml:space="preserve">The note in the section </w:t>
      </w:r>
      <w:r w:rsidR="00713ECB" w:rsidRPr="001E4E73">
        <w:rPr>
          <w:rFonts w:ascii="Times New Roman" w:eastAsiaTheme="minorHAnsi" w:hAnsi="Times New Roman"/>
          <w:kern w:val="24"/>
          <w:lang w:eastAsia="en-US"/>
        </w:rPr>
        <w:t xml:space="preserve">indicates </w:t>
      </w:r>
      <w:r w:rsidRPr="001E4E73">
        <w:rPr>
          <w:rFonts w:ascii="Times New Roman" w:eastAsiaTheme="minorHAnsi" w:hAnsi="Times New Roman"/>
          <w:kern w:val="24"/>
          <w:lang w:eastAsia="en-US"/>
        </w:rPr>
        <w:t>that a number of terms</w:t>
      </w:r>
      <w:r w:rsidRPr="001E4E73">
        <w:rPr>
          <w:rFonts w:ascii="Times New Roman" w:hAnsi="Times New Roman"/>
        </w:rPr>
        <w:t xml:space="preserve"> used in the </w:t>
      </w:r>
      <w:r w:rsidR="00E63847" w:rsidRPr="001E4E73">
        <w:rPr>
          <w:rFonts w:ascii="Times New Roman" w:hAnsi="Times New Roman"/>
        </w:rPr>
        <w:t xml:space="preserve">Instrument </w:t>
      </w:r>
      <w:r w:rsidRPr="001E4E73">
        <w:rPr>
          <w:rFonts w:ascii="Times New Roman" w:hAnsi="Times New Roman"/>
        </w:rPr>
        <w:t xml:space="preserve">are defined in the Act, including </w:t>
      </w:r>
      <w:r w:rsidR="00606603" w:rsidRPr="001E4E73">
        <w:rPr>
          <w:rFonts w:ascii="Times New Roman" w:hAnsi="Times New Roman"/>
        </w:rPr>
        <w:t xml:space="preserve">building lot, </w:t>
      </w:r>
      <w:r w:rsidR="00E63847" w:rsidRPr="001E4E73">
        <w:rPr>
          <w:rFonts w:ascii="Times New Roman" w:hAnsi="Times New Roman"/>
        </w:rPr>
        <w:t>carriage service provider,</w:t>
      </w:r>
      <w:r w:rsidR="00A70198" w:rsidRPr="001E4E73">
        <w:rPr>
          <w:rFonts w:ascii="Times New Roman" w:hAnsi="Times New Roman"/>
        </w:rPr>
        <w:t xml:space="preserve"> </w:t>
      </w:r>
      <w:r w:rsidR="00E63847" w:rsidRPr="001E4E73">
        <w:rPr>
          <w:rFonts w:ascii="Times New Roman" w:hAnsi="Times New Roman"/>
        </w:rPr>
        <w:t xml:space="preserve">connected, eligible service, </w:t>
      </w:r>
      <w:r w:rsidR="00E9368E" w:rsidRPr="001E4E73">
        <w:rPr>
          <w:rFonts w:ascii="Times New Roman" w:hAnsi="Times New Roman"/>
        </w:rPr>
        <w:t>NBN</w:t>
      </w:r>
      <w:r w:rsidR="00BF0F68" w:rsidRPr="001E4E73">
        <w:rPr>
          <w:rFonts w:ascii="Times New Roman" w:hAnsi="Times New Roman"/>
        </w:rPr>
        <w:t xml:space="preserve"> corporation, </w:t>
      </w:r>
      <w:r w:rsidR="00E63847" w:rsidRPr="001E4E73">
        <w:rPr>
          <w:rFonts w:ascii="Times New Roman" w:hAnsi="Times New Roman"/>
        </w:rPr>
        <w:t>qualifying carriage service, qualifying telecommunications network, relevant service area, request, service area</w:t>
      </w:r>
      <w:r w:rsidR="00606603" w:rsidRPr="001E4E73">
        <w:rPr>
          <w:rFonts w:ascii="Times New Roman" w:hAnsi="Times New Roman"/>
        </w:rPr>
        <w:t xml:space="preserve"> and statutory infrastructure provider</w:t>
      </w:r>
      <w:r w:rsidR="00E63847" w:rsidRPr="001E4E73">
        <w:rPr>
          <w:rFonts w:ascii="Times New Roman" w:hAnsi="Times New Roman"/>
        </w:rPr>
        <w:t xml:space="preserve">. </w:t>
      </w:r>
      <w:r w:rsidRPr="001E4E73">
        <w:rPr>
          <w:rFonts w:ascii="Times New Roman" w:hAnsi="Times New Roman"/>
        </w:rPr>
        <w:t xml:space="preserve">These terms have the same meaning in the </w:t>
      </w:r>
      <w:r w:rsidR="006C76CA" w:rsidRPr="001E4E73">
        <w:rPr>
          <w:rFonts w:ascii="Times New Roman" w:hAnsi="Times New Roman"/>
        </w:rPr>
        <w:t xml:space="preserve">Instrument </w:t>
      </w:r>
      <w:r w:rsidRPr="001E4E73">
        <w:rPr>
          <w:rFonts w:ascii="Times New Roman" w:hAnsi="Times New Roman"/>
        </w:rPr>
        <w:t>as und</w:t>
      </w:r>
      <w:r w:rsidR="00CE24E6" w:rsidRPr="001E4E73">
        <w:rPr>
          <w:rFonts w:ascii="Times New Roman" w:hAnsi="Times New Roman"/>
        </w:rPr>
        <w:t>er the Act, pursuant to section </w:t>
      </w:r>
      <w:r w:rsidRPr="001E4E73">
        <w:rPr>
          <w:rFonts w:ascii="Times New Roman" w:hAnsi="Times New Roman"/>
        </w:rPr>
        <w:t xml:space="preserve">13 of the </w:t>
      </w:r>
      <w:r w:rsidRPr="001E4E73">
        <w:rPr>
          <w:rFonts w:ascii="Times New Roman" w:hAnsi="Times New Roman"/>
          <w:i/>
        </w:rPr>
        <w:t>Legislation Act 2003</w:t>
      </w:r>
      <w:r w:rsidRPr="001E4E73">
        <w:rPr>
          <w:rFonts w:ascii="Times New Roman" w:hAnsi="Times New Roman"/>
        </w:rPr>
        <w:t>.</w:t>
      </w:r>
    </w:p>
    <w:p w14:paraId="123FDC32" w14:textId="77777777" w:rsidR="00E46F52" w:rsidRPr="001E4E73" w:rsidRDefault="00E46F52" w:rsidP="00E46F52">
      <w:pPr>
        <w:spacing w:after="0" w:line="276" w:lineRule="auto"/>
        <w:rPr>
          <w:rFonts w:ascii="Times New Roman" w:hAnsi="Times New Roman"/>
        </w:rPr>
      </w:pPr>
    </w:p>
    <w:p w14:paraId="36EF2821" w14:textId="21C05951" w:rsidR="00E46F52" w:rsidRPr="001E4E73" w:rsidRDefault="00E46F52" w:rsidP="00E46F52">
      <w:pPr>
        <w:spacing w:after="0" w:line="276" w:lineRule="auto"/>
        <w:rPr>
          <w:rFonts w:ascii="Times New Roman" w:hAnsi="Times New Roman"/>
        </w:rPr>
      </w:pPr>
      <w:r w:rsidRPr="001E4E73">
        <w:rPr>
          <w:rFonts w:ascii="Times New Roman" w:hAnsi="Times New Roman"/>
        </w:rPr>
        <w:t xml:space="preserve">The term </w:t>
      </w:r>
      <w:r w:rsidRPr="001E4E73">
        <w:rPr>
          <w:rFonts w:ascii="Times New Roman" w:hAnsi="Times New Roman"/>
          <w:b/>
          <w:i/>
        </w:rPr>
        <w:t>statutory infrastructure provider</w:t>
      </w:r>
      <w:r w:rsidRPr="001E4E73">
        <w:rPr>
          <w:rFonts w:ascii="Times New Roman" w:hAnsi="Times New Roman"/>
        </w:rPr>
        <w:t xml:space="preserve"> is defined as a statutory infrastructure provider within the meaning of section 360A of the </w:t>
      </w:r>
      <w:r w:rsidRPr="001E4E73">
        <w:rPr>
          <w:rFonts w:ascii="Times New Roman" w:hAnsi="Times New Roman"/>
          <w:i/>
        </w:rPr>
        <w:t>Telecommunications Act 1997</w:t>
      </w:r>
      <w:r w:rsidRPr="001E4E73">
        <w:rPr>
          <w:rFonts w:ascii="Times New Roman" w:hAnsi="Times New Roman"/>
        </w:rPr>
        <w:t>. An abbreviation of the term, ‘SIP’ is used in the Instrument and has the same meaning.</w:t>
      </w:r>
    </w:p>
    <w:p w14:paraId="0FE35C26" w14:textId="77777777" w:rsidR="00E46F52" w:rsidRPr="001E4E73" w:rsidRDefault="00E46F52" w:rsidP="00E46F52">
      <w:pPr>
        <w:spacing w:after="0" w:line="276" w:lineRule="auto"/>
        <w:ind w:right="91"/>
        <w:rPr>
          <w:rFonts w:ascii="Times New Roman" w:hAnsi="Times New Roman"/>
        </w:rPr>
      </w:pPr>
    </w:p>
    <w:p w14:paraId="2052CF56" w14:textId="77777777" w:rsidR="00BC2086" w:rsidRPr="001E4E73" w:rsidRDefault="00BC2086" w:rsidP="00E46F52">
      <w:pPr>
        <w:spacing w:after="0" w:line="276" w:lineRule="auto"/>
        <w:ind w:right="91"/>
        <w:rPr>
          <w:rFonts w:ascii="Times New Roman" w:hAnsi="Times New Roman"/>
        </w:rPr>
      </w:pPr>
      <w:r w:rsidRPr="001E4E73">
        <w:rPr>
          <w:rFonts w:ascii="Times New Roman" w:hAnsi="Times New Roman"/>
        </w:rPr>
        <w:t xml:space="preserve">Subsection (4)(1) </w:t>
      </w:r>
      <w:r w:rsidR="008330C4" w:rsidRPr="001E4E73">
        <w:rPr>
          <w:rFonts w:ascii="Times New Roman" w:hAnsi="Times New Roman"/>
        </w:rPr>
        <w:t>defines</w:t>
      </w:r>
      <w:r w:rsidRPr="001E4E73">
        <w:rPr>
          <w:rFonts w:ascii="Times New Roman" w:hAnsi="Times New Roman"/>
        </w:rPr>
        <w:t xml:space="preserve"> specific </w:t>
      </w:r>
      <w:r w:rsidR="008330C4" w:rsidRPr="001E4E73">
        <w:rPr>
          <w:rFonts w:ascii="Times New Roman" w:hAnsi="Times New Roman"/>
        </w:rPr>
        <w:t>terms</w:t>
      </w:r>
      <w:r w:rsidRPr="001E4E73">
        <w:rPr>
          <w:rFonts w:ascii="Times New Roman" w:hAnsi="Times New Roman"/>
        </w:rPr>
        <w:t xml:space="preserve"> used in the Instrument.</w:t>
      </w:r>
    </w:p>
    <w:p w14:paraId="23E8CC31" w14:textId="77777777" w:rsidR="00E46F52" w:rsidRPr="001E4E73" w:rsidRDefault="00E46F52" w:rsidP="00E46F52">
      <w:pPr>
        <w:spacing w:after="0" w:line="276" w:lineRule="auto"/>
        <w:ind w:right="91"/>
        <w:rPr>
          <w:rFonts w:ascii="Times New Roman" w:hAnsi="Times New Roman"/>
        </w:rPr>
      </w:pPr>
    </w:p>
    <w:p w14:paraId="34EE4540" w14:textId="77777777" w:rsidR="00A3071A" w:rsidRPr="001E4E73" w:rsidRDefault="00A3071A" w:rsidP="00E46F52">
      <w:pPr>
        <w:spacing w:after="0" w:line="276" w:lineRule="auto"/>
        <w:ind w:right="91"/>
        <w:rPr>
          <w:rFonts w:ascii="Times New Roman" w:hAnsi="Times New Roman"/>
        </w:rPr>
      </w:pPr>
      <w:r w:rsidRPr="001E4E73">
        <w:rPr>
          <w:rFonts w:ascii="Times New Roman" w:hAnsi="Times New Roman"/>
          <w:b/>
          <w:i/>
        </w:rPr>
        <w:t>Act</w:t>
      </w:r>
      <w:r w:rsidRPr="001E4E73">
        <w:rPr>
          <w:rFonts w:ascii="Times New Roman" w:hAnsi="Times New Roman"/>
        </w:rPr>
        <w:t xml:space="preserve"> mean</w:t>
      </w:r>
      <w:r w:rsidR="00E46F52" w:rsidRPr="001E4E73">
        <w:rPr>
          <w:rFonts w:ascii="Times New Roman" w:hAnsi="Times New Roman"/>
        </w:rPr>
        <w:t>s</w:t>
      </w:r>
      <w:r w:rsidRPr="001E4E73">
        <w:rPr>
          <w:rFonts w:ascii="Times New Roman" w:hAnsi="Times New Roman"/>
        </w:rPr>
        <w:t xml:space="preserve"> the </w:t>
      </w:r>
      <w:r w:rsidRPr="001E4E73">
        <w:rPr>
          <w:rFonts w:ascii="Times New Roman" w:hAnsi="Times New Roman"/>
          <w:i/>
        </w:rPr>
        <w:t>Telecommunications Act 1997</w:t>
      </w:r>
      <w:r w:rsidRPr="001E4E73">
        <w:rPr>
          <w:rFonts w:ascii="Times New Roman" w:hAnsi="Times New Roman"/>
        </w:rPr>
        <w:t>.</w:t>
      </w:r>
    </w:p>
    <w:p w14:paraId="33E36CBC" w14:textId="486EE9A0" w:rsidR="008330C4" w:rsidRPr="001E4E73" w:rsidRDefault="008330C4" w:rsidP="00E46F52">
      <w:pPr>
        <w:pStyle w:val="Definition"/>
        <w:spacing w:before="0" w:line="276" w:lineRule="auto"/>
        <w:ind w:left="0"/>
        <w:rPr>
          <w:sz w:val="24"/>
          <w:szCs w:val="24"/>
        </w:rPr>
      </w:pPr>
      <w:r w:rsidRPr="001E4E73">
        <w:rPr>
          <w:b/>
          <w:i/>
          <w:sz w:val="24"/>
          <w:szCs w:val="24"/>
        </w:rPr>
        <w:t xml:space="preserve">CCA </w:t>
      </w:r>
      <w:r w:rsidRPr="001E4E73">
        <w:rPr>
          <w:sz w:val="24"/>
          <w:szCs w:val="24"/>
        </w:rPr>
        <w:t xml:space="preserve">means the </w:t>
      </w:r>
      <w:r w:rsidRPr="001E4E73">
        <w:rPr>
          <w:i/>
          <w:sz w:val="24"/>
          <w:szCs w:val="24"/>
        </w:rPr>
        <w:t>Competition and Consumer Act 2010</w:t>
      </w:r>
      <w:r w:rsidRPr="001E4E73">
        <w:rPr>
          <w:sz w:val="24"/>
          <w:szCs w:val="24"/>
        </w:rPr>
        <w:t>.</w:t>
      </w:r>
    </w:p>
    <w:p w14:paraId="36CF42E3" w14:textId="62057404" w:rsidR="00E46F52" w:rsidRPr="001E4E73" w:rsidRDefault="00E46F52" w:rsidP="00E46F52">
      <w:pPr>
        <w:pStyle w:val="Definition"/>
        <w:spacing w:before="0" w:line="276" w:lineRule="auto"/>
        <w:ind w:left="0"/>
        <w:rPr>
          <w:sz w:val="24"/>
          <w:szCs w:val="24"/>
        </w:rPr>
      </w:pPr>
      <w:r w:rsidRPr="001E4E73">
        <w:rPr>
          <w:b/>
          <w:i/>
          <w:sz w:val="24"/>
          <w:szCs w:val="24"/>
        </w:rPr>
        <w:t xml:space="preserve">declared service </w:t>
      </w:r>
      <w:r w:rsidRPr="001E4E73">
        <w:rPr>
          <w:sz w:val="24"/>
          <w:szCs w:val="24"/>
        </w:rPr>
        <w:t>has the same meaning as given by section 152AL of the CCA.</w:t>
      </w:r>
    </w:p>
    <w:p w14:paraId="4845C918" w14:textId="0640B5F1" w:rsidR="008330C4" w:rsidRPr="001E4E73" w:rsidRDefault="00304797" w:rsidP="00304797">
      <w:pPr>
        <w:pStyle w:val="Definition"/>
        <w:spacing w:before="0" w:line="276" w:lineRule="auto"/>
        <w:ind w:left="0"/>
        <w:rPr>
          <w:sz w:val="24"/>
          <w:szCs w:val="24"/>
        </w:rPr>
      </w:pPr>
      <w:r w:rsidRPr="001E4E73">
        <w:rPr>
          <w:b/>
          <w:i/>
          <w:sz w:val="24"/>
          <w:szCs w:val="24"/>
        </w:rPr>
        <w:lastRenderedPageBreak/>
        <w:t xml:space="preserve">relevant SIP </w:t>
      </w:r>
      <w:r w:rsidRPr="001E4E73">
        <w:rPr>
          <w:sz w:val="24"/>
          <w:szCs w:val="24"/>
        </w:rPr>
        <w:t xml:space="preserve">means a statutory infrastructure provider for a service area within which the premises is subject to a request for a connection of an end-user, or supply of an eligible service to a carriage service provider (in order that the carriage service provider can provide qualifying carriage services to the end-user at premises). </w:t>
      </w:r>
      <w:r w:rsidR="00A86A84" w:rsidRPr="001E4E73">
        <w:rPr>
          <w:sz w:val="24"/>
          <w:szCs w:val="24"/>
        </w:rPr>
        <w:t>There can be more than one relevant SIP for a service area, but this is relatively uncommon.</w:t>
      </w:r>
    </w:p>
    <w:p w14:paraId="38407443" w14:textId="77777777" w:rsidR="006D3F0B" w:rsidRPr="001E4E73" w:rsidRDefault="006D3F0B" w:rsidP="00E46F52">
      <w:pPr>
        <w:spacing w:after="0" w:line="276" w:lineRule="auto"/>
        <w:rPr>
          <w:rFonts w:ascii="Times New Roman" w:hAnsi="Times New Roman"/>
        </w:rPr>
      </w:pPr>
    </w:p>
    <w:p w14:paraId="1BB90050" w14:textId="77777777" w:rsidR="006D3F0B" w:rsidRPr="001E4E73" w:rsidRDefault="006D3F0B" w:rsidP="00E46F52">
      <w:pPr>
        <w:spacing w:after="0" w:line="276" w:lineRule="auto"/>
        <w:rPr>
          <w:rFonts w:ascii="Times New Roman" w:hAnsi="Times New Roman"/>
        </w:rPr>
      </w:pPr>
      <w:r w:rsidRPr="001E4E73">
        <w:rPr>
          <w:rFonts w:ascii="Times New Roman" w:hAnsi="Times New Roman"/>
        </w:rPr>
        <w:t>S</w:t>
      </w:r>
      <w:r w:rsidR="00B3346E" w:rsidRPr="001E4E73">
        <w:rPr>
          <w:rFonts w:ascii="Times New Roman" w:hAnsi="Times New Roman"/>
        </w:rPr>
        <w:t>ubs</w:t>
      </w:r>
      <w:r w:rsidRPr="001E4E73">
        <w:rPr>
          <w:rFonts w:ascii="Times New Roman" w:hAnsi="Times New Roman"/>
        </w:rPr>
        <w:t>ection (4)(2</w:t>
      </w:r>
      <w:r w:rsidR="00DF2584" w:rsidRPr="001E4E73">
        <w:rPr>
          <w:rFonts w:ascii="Times New Roman" w:hAnsi="Times New Roman"/>
        </w:rPr>
        <w:t xml:space="preserve">) </w:t>
      </w:r>
      <w:r w:rsidRPr="001E4E73">
        <w:rPr>
          <w:rFonts w:ascii="Times New Roman" w:hAnsi="Times New Roman"/>
        </w:rPr>
        <w:t>clarifies references to end-user</w:t>
      </w:r>
      <w:r w:rsidR="00DF2584" w:rsidRPr="001E4E73">
        <w:rPr>
          <w:rFonts w:ascii="Times New Roman" w:hAnsi="Times New Roman"/>
        </w:rPr>
        <w:t xml:space="preserve"> </w:t>
      </w:r>
      <w:r w:rsidR="001D3AE5" w:rsidRPr="001E4E73">
        <w:rPr>
          <w:rFonts w:ascii="Times New Roman" w:hAnsi="Times New Roman"/>
        </w:rPr>
        <w:t xml:space="preserve">as being the person </w:t>
      </w:r>
      <w:r w:rsidR="007D4F1A" w:rsidRPr="001E4E73">
        <w:rPr>
          <w:rFonts w:ascii="Times New Roman" w:hAnsi="Times New Roman"/>
        </w:rPr>
        <w:t xml:space="preserve">who has </w:t>
      </w:r>
      <w:r w:rsidR="001D3AE5" w:rsidRPr="001E4E73">
        <w:rPr>
          <w:rFonts w:ascii="Times New Roman" w:hAnsi="Times New Roman"/>
        </w:rPr>
        <w:t>enter</w:t>
      </w:r>
      <w:r w:rsidR="007D4F1A" w:rsidRPr="001E4E73">
        <w:rPr>
          <w:rFonts w:ascii="Times New Roman" w:hAnsi="Times New Roman"/>
        </w:rPr>
        <w:t>ed</w:t>
      </w:r>
      <w:r w:rsidR="001D3AE5" w:rsidRPr="001E4E73">
        <w:rPr>
          <w:rFonts w:ascii="Times New Roman" w:hAnsi="Times New Roman"/>
        </w:rPr>
        <w:t xml:space="preserve"> into a legally binding </w:t>
      </w:r>
      <w:r w:rsidR="007D4F1A" w:rsidRPr="001E4E73">
        <w:rPr>
          <w:rFonts w:ascii="Times New Roman" w:hAnsi="Times New Roman"/>
        </w:rPr>
        <w:t xml:space="preserve">arrangement </w:t>
      </w:r>
      <w:r w:rsidR="001D3AE5" w:rsidRPr="001E4E73">
        <w:rPr>
          <w:rFonts w:ascii="Times New Roman" w:hAnsi="Times New Roman"/>
        </w:rPr>
        <w:t xml:space="preserve">with the carriage service provider </w:t>
      </w:r>
      <w:r w:rsidR="005F5BFD" w:rsidRPr="001E4E73">
        <w:rPr>
          <w:rFonts w:ascii="Times New Roman" w:hAnsi="Times New Roman"/>
        </w:rPr>
        <w:t xml:space="preserve">for the </w:t>
      </w:r>
      <w:r w:rsidR="001D3AE5" w:rsidRPr="001E4E73">
        <w:rPr>
          <w:rFonts w:ascii="Times New Roman" w:hAnsi="Times New Roman"/>
        </w:rPr>
        <w:t xml:space="preserve">connection </w:t>
      </w:r>
      <w:r w:rsidR="005F5BFD" w:rsidRPr="001E4E73">
        <w:rPr>
          <w:rFonts w:ascii="Times New Roman" w:hAnsi="Times New Roman"/>
        </w:rPr>
        <w:t xml:space="preserve">or </w:t>
      </w:r>
      <w:r w:rsidR="001D3AE5" w:rsidRPr="001E4E73">
        <w:rPr>
          <w:rFonts w:ascii="Times New Roman" w:hAnsi="Times New Roman"/>
        </w:rPr>
        <w:t>supply of a</w:t>
      </w:r>
      <w:r w:rsidR="005F5BFD" w:rsidRPr="001E4E73">
        <w:rPr>
          <w:rFonts w:ascii="Times New Roman" w:hAnsi="Times New Roman"/>
        </w:rPr>
        <w:t>n eligible</w:t>
      </w:r>
      <w:r w:rsidR="001D3AE5" w:rsidRPr="001E4E73">
        <w:rPr>
          <w:rFonts w:ascii="Times New Roman" w:hAnsi="Times New Roman"/>
        </w:rPr>
        <w:t xml:space="preserve"> service.</w:t>
      </w:r>
    </w:p>
    <w:p w14:paraId="234DCBF7" w14:textId="77777777" w:rsidR="003B2874" w:rsidRPr="001E4E73" w:rsidRDefault="003B2874" w:rsidP="00E46F52">
      <w:pPr>
        <w:spacing w:after="0" w:line="276" w:lineRule="auto"/>
        <w:rPr>
          <w:rFonts w:ascii="Times New Roman" w:hAnsi="Times New Roman"/>
        </w:rPr>
      </w:pPr>
    </w:p>
    <w:p w14:paraId="7A968078" w14:textId="7B909505" w:rsidR="00DF2584" w:rsidRPr="001E4E73" w:rsidRDefault="00DF2584" w:rsidP="00E46F52">
      <w:pPr>
        <w:spacing w:after="0" w:line="276" w:lineRule="auto"/>
        <w:rPr>
          <w:rFonts w:ascii="Times New Roman" w:hAnsi="Times New Roman"/>
        </w:rPr>
      </w:pPr>
      <w:r w:rsidRPr="001E4E73">
        <w:rPr>
          <w:rFonts w:ascii="Times New Roman" w:hAnsi="Times New Roman"/>
        </w:rPr>
        <w:t>S</w:t>
      </w:r>
      <w:r w:rsidR="00B3346E" w:rsidRPr="001E4E73">
        <w:rPr>
          <w:rFonts w:ascii="Times New Roman" w:hAnsi="Times New Roman"/>
        </w:rPr>
        <w:t>ubs</w:t>
      </w:r>
      <w:r w:rsidRPr="001E4E73">
        <w:rPr>
          <w:rFonts w:ascii="Times New Roman" w:hAnsi="Times New Roman"/>
        </w:rPr>
        <w:t xml:space="preserve">ection (4)(3) </w:t>
      </w:r>
      <w:r w:rsidR="00682E9E" w:rsidRPr="001E4E73">
        <w:rPr>
          <w:rFonts w:ascii="Times New Roman" w:hAnsi="Times New Roman"/>
        </w:rPr>
        <w:t>states</w:t>
      </w:r>
      <w:r w:rsidR="002D7DA1" w:rsidRPr="001E4E73">
        <w:rPr>
          <w:rFonts w:ascii="Times New Roman" w:hAnsi="Times New Roman"/>
        </w:rPr>
        <w:t xml:space="preserve"> that </w:t>
      </w:r>
      <w:r w:rsidRPr="001E4E73">
        <w:rPr>
          <w:rFonts w:ascii="Times New Roman" w:hAnsi="Times New Roman"/>
        </w:rPr>
        <w:t xml:space="preserve">references within the Instrument relating to a request for a connection or supply of an eligible service to premises </w:t>
      </w:r>
      <w:r w:rsidR="00D61BDE" w:rsidRPr="001E4E73">
        <w:rPr>
          <w:rFonts w:ascii="Times New Roman" w:hAnsi="Times New Roman"/>
        </w:rPr>
        <w:t>located</w:t>
      </w:r>
      <w:r w:rsidRPr="001E4E73">
        <w:rPr>
          <w:rFonts w:ascii="Times New Roman" w:hAnsi="Times New Roman"/>
        </w:rPr>
        <w:t xml:space="preserve"> at</w:t>
      </w:r>
      <w:r w:rsidR="005F5BFD" w:rsidRPr="001E4E73">
        <w:rPr>
          <w:rFonts w:ascii="Times New Roman" w:hAnsi="Times New Roman"/>
        </w:rPr>
        <w:t xml:space="preserve"> a</w:t>
      </w:r>
      <w:r w:rsidRPr="001E4E73">
        <w:rPr>
          <w:rFonts w:ascii="Times New Roman" w:hAnsi="Times New Roman"/>
        </w:rPr>
        <w:t xml:space="preserve"> building lot that has more than one premises is taken to relate to the individual premises specified in the request</w:t>
      </w:r>
      <w:r w:rsidR="00D61BDE" w:rsidRPr="001E4E73">
        <w:rPr>
          <w:rFonts w:ascii="Times New Roman" w:hAnsi="Times New Roman"/>
        </w:rPr>
        <w:t>,</w:t>
      </w:r>
      <w:r w:rsidRPr="001E4E73">
        <w:rPr>
          <w:rFonts w:ascii="Times New Roman" w:hAnsi="Times New Roman"/>
        </w:rPr>
        <w:t xml:space="preserve"> </w:t>
      </w:r>
      <w:r w:rsidR="001D3AE5" w:rsidRPr="001E4E73">
        <w:rPr>
          <w:rFonts w:ascii="Times New Roman" w:hAnsi="Times New Roman"/>
        </w:rPr>
        <w:t>regardless of the existence of other premises at the building lot</w:t>
      </w:r>
      <w:r w:rsidRPr="001E4E73">
        <w:rPr>
          <w:rFonts w:ascii="Times New Roman" w:hAnsi="Times New Roman"/>
        </w:rPr>
        <w:t>.</w:t>
      </w:r>
      <w:r w:rsidR="001D3AE5" w:rsidRPr="001E4E73">
        <w:rPr>
          <w:rFonts w:ascii="Times New Roman" w:hAnsi="Times New Roman"/>
        </w:rPr>
        <w:t xml:space="preserve"> This is to clarify that where there are multiple premises at a building lot, each premises </w:t>
      </w:r>
      <w:proofErr w:type="gramStart"/>
      <w:r w:rsidR="00D61BDE" w:rsidRPr="001E4E73">
        <w:rPr>
          <w:rFonts w:ascii="Times New Roman" w:hAnsi="Times New Roman"/>
        </w:rPr>
        <w:t>is</w:t>
      </w:r>
      <w:proofErr w:type="gramEnd"/>
      <w:r w:rsidR="00D61BDE" w:rsidRPr="001E4E73">
        <w:rPr>
          <w:rFonts w:ascii="Times New Roman" w:hAnsi="Times New Roman"/>
        </w:rPr>
        <w:t xml:space="preserve"> </w:t>
      </w:r>
      <w:r w:rsidR="001D3AE5" w:rsidRPr="001E4E73">
        <w:rPr>
          <w:rFonts w:ascii="Times New Roman" w:hAnsi="Times New Roman"/>
        </w:rPr>
        <w:t xml:space="preserve">entitled to </w:t>
      </w:r>
      <w:r w:rsidR="000D2E8D" w:rsidRPr="001E4E73">
        <w:rPr>
          <w:rFonts w:ascii="Times New Roman" w:hAnsi="Times New Roman"/>
        </w:rPr>
        <w:t>connection</w:t>
      </w:r>
      <w:r w:rsidR="001D3AE5" w:rsidRPr="001E4E73">
        <w:rPr>
          <w:rFonts w:ascii="Times New Roman" w:hAnsi="Times New Roman"/>
        </w:rPr>
        <w:t xml:space="preserve"> and/or suppl</w:t>
      </w:r>
      <w:r w:rsidR="00D61BDE" w:rsidRPr="001E4E73">
        <w:rPr>
          <w:rFonts w:ascii="Times New Roman" w:hAnsi="Times New Roman"/>
        </w:rPr>
        <w:t>y, unless an exception applies under the Instrument</w:t>
      </w:r>
      <w:r w:rsidR="001D3AE5" w:rsidRPr="001E4E73">
        <w:rPr>
          <w:rFonts w:ascii="Times New Roman" w:hAnsi="Times New Roman"/>
        </w:rPr>
        <w:t>.</w:t>
      </w:r>
      <w:r w:rsidR="00D61BDE" w:rsidRPr="001E4E73">
        <w:rPr>
          <w:rFonts w:ascii="Times New Roman" w:hAnsi="Times New Roman"/>
        </w:rPr>
        <w:t xml:space="preserve"> This is discussed in more detail above (pages 6-7).</w:t>
      </w:r>
    </w:p>
    <w:p w14:paraId="7ACB6F34" w14:textId="77777777" w:rsidR="00A86A84" w:rsidRPr="001E4E73" w:rsidRDefault="00A86A84" w:rsidP="00E46F52">
      <w:pPr>
        <w:spacing w:after="0" w:line="276" w:lineRule="auto"/>
        <w:rPr>
          <w:rFonts w:ascii="Times New Roman" w:hAnsi="Times New Roman"/>
        </w:rPr>
      </w:pPr>
    </w:p>
    <w:p w14:paraId="69762895" w14:textId="77777777" w:rsidR="00A86A84" w:rsidRPr="001E4E73" w:rsidRDefault="00A86A84" w:rsidP="00E46F52">
      <w:pPr>
        <w:spacing w:after="0" w:line="276" w:lineRule="auto"/>
        <w:rPr>
          <w:rFonts w:ascii="Times New Roman" w:hAnsi="Times New Roman"/>
        </w:rPr>
      </w:pPr>
      <w:r w:rsidRPr="001E4E73">
        <w:rPr>
          <w:rFonts w:ascii="Times New Roman" w:hAnsi="Times New Roman"/>
        </w:rPr>
        <w:t>Subsection (4)(4) states that where there is more than one relevant SIP for a service area, the circumstances determined in Part 2 may be applicable in relation to each relevant SIP. In other words, an exception that applies to one SIP in a service area may also apply to any other relevant SIP in that same service area, depending on the context.</w:t>
      </w:r>
    </w:p>
    <w:p w14:paraId="74FFBE5B" w14:textId="77777777" w:rsidR="00564B10" w:rsidRPr="001E4E73" w:rsidRDefault="00564B10" w:rsidP="00E46F52">
      <w:pPr>
        <w:spacing w:after="0" w:line="276" w:lineRule="auto"/>
        <w:rPr>
          <w:rFonts w:ascii="Times New Roman" w:hAnsi="Times New Roman"/>
        </w:rPr>
      </w:pPr>
    </w:p>
    <w:p w14:paraId="1236AE49" w14:textId="77777777" w:rsidR="00564B10" w:rsidRPr="001E4E73" w:rsidRDefault="00564B10" w:rsidP="00564B10">
      <w:pPr>
        <w:spacing w:line="276" w:lineRule="auto"/>
        <w:ind w:right="91"/>
        <w:rPr>
          <w:rFonts w:ascii="Times New Roman" w:hAnsi="Times New Roman"/>
          <w:u w:val="single"/>
        </w:rPr>
      </w:pPr>
      <w:r w:rsidRPr="001E4E73">
        <w:rPr>
          <w:rFonts w:ascii="Times New Roman" w:eastAsiaTheme="minorHAnsi" w:hAnsi="Times New Roman"/>
          <w:kern w:val="24"/>
          <w:u w:val="single"/>
          <w:lang w:eastAsia="en-US"/>
        </w:rPr>
        <w:t>Section 5 – Schedules</w:t>
      </w:r>
    </w:p>
    <w:p w14:paraId="56C8D87F" w14:textId="77777777" w:rsidR="00564B10" w:rsidRPr="001E4E73" w:rsidRDefault="00564B10" w:rsidP="00E46F52">
      <w:pPr>
        <w:spacing w:after="0" w:line="276" w:lineRule="auto"/>
        <w:rPr>
          <w:rFonts w:ascii="Times New Roman" w:hAnsi="Times New Roman"/>
        </w:rPr>
      </w:pPr>
      <w:r w:rsidRPr="001E4E73">
        <w:rPr>
          <w:rFonts w:ascii="Times New Roman" w:hAnsi="Times New Roman"/>
        </w:rPr>
        <w:t>This section states that each instrument that is specified in a Schedule to this instrument is amended or repealed as set out in the applicable items in the Schedule concerned, and any other item in a Schedule to this instrument has effect according to its terms.</w:t>
      </w:r>
    </w:p>
    <w:p w14:paraId="72265FE4" w14:textId="77777777" w:rsidR="00C85578" w:rsidRPr="001E4E73" w:rsidRDefault="00C85578" w:rsidP="00E46F52">
      <w:pPr>
        <w:spacing w:after="0" w:line="276" w:lineRule="auto"/>
        <w:rPr>
          <w:rFonts w:ascii="Times New Roman" w:hAnsi="Times New Roman"/>
        </w:rPr>
      </w:pPr>
    </w:p>
    <w:p w14:paraId="4539B347" w14:textId="77777777" w:rsidR="00AC067C" w:rsidRPr="001E4E73" w:rsidRDefault="00AC067C" w:rsidP="00E46F52">
      <w:pPr>
        <w:widowControl w:val="0"/>
        <w:spacing w:line="276" w:lineRule="auto"/>
        <w:rPr>
          <w:rStyle w:val="CharPartText"/>
          <w:rFonts w:ascii="Times New Roman" w:eastAsiaTheme="minorHAnsi" w:hAnsi="Times New Roman"/>
          <w:b/>
          <w:kern w:val="24"/>
          <w:sz w:val="28"/>
          <w:szCs w:val="28"/>
          <w:lang w:eastAsia="en-US"/>
        </w:rPr>
      </w:pPr>
      <w:r w:rsidRPr="001E4E73">
        <w:rPr>
          <w:rStyle w:val="CharPartText"/>
          <w:rFonts w:ascii="Times New Roman" w:eastAsiaTheme="minorHAnsi" w:hAnsi="Times New Roman"/>
          <w:b/>
          <w:kern w:val="24"/>
          <w:sz w:val="28"/>
          <w:szCs w:val="28"/>
          <w:lang w:eastAsia="en-US"/>
        </w:rPr>
        <w:t>Part 2—Circumstances</w:t>
      </w:r>
    </w:p>
    <w:p w14:paraId="519F7199" w14:textId="77777777" w:rsidR="00B26C67" w:rsidRPr="001E4E73" w:rsidRDefault="003A187C" w:rsidP="003A187C">
      <w:pPr>
        <w:spacing w:line="276" w:lineRule="auto"/>
        <w:ind w:right="91"/>
        <w:rPr>
          <w:rFonts w:ascii="Times New Roman" w:hAnsi="Times New Roman"/>
          <w:b/>
        </w:rPr>
      </w:pPr>
      <w:r w:rsidRPr="001E4E73">
        <w:rPr>
          <w:rFonts w:ascii="Times New Roman" w:hAnsi="Times New Roman"/>
          <w:b/>
        </w:rPr>
        <w:t>Division 1</w:t>
      </w:r>
      <w:r w:rsidR="006F298E" w:rsidRPr="001E4E73">
        <w:rPr>
          <w:rFonts w:ascii="Times New Roman" w:hAnsi="Times New Roman"/>
          <w:b/>
        </w:rPr>
        <w:t>—Exceptions to the obligation to connect premises to a qualifying telecommunications network</w:t>
      </w:r>
    </w:p>
    <w:p w14:paraId="6CD5ED5F" w14:textId="77777777" w:rsidR="002E4867" w:rsidRPr="001E4E73" w:rsidRDefault="006A7E87" w:rsidP="00564B10">
      <w:pPr>
        <w:spacing w:after="0" w:line="276" w:lineRule="auto"/>
        <w:ind w:right="91"/>
        <w:rPr>
          <w:rFonts w:ascii="Times New Roman" w:hAnsi="Times New Roman"/>
        </w:rPr>
      </w:pPr>
      <w:r w:rsidRPr="001E4E73">
        <w:rPr>
          <w:rFonts w:ascii="Times New Roman" w:hAnsi="Times New Roman"/>
        </w:rPr>
        <w:t xml:space="preserve">Division 1 </w:t>
      </w:r>
      <w:r w:rsidR="008B15F5" w:rsidRPr="001E4E73">
        <w:rPr>
          <w:rFonts w:ascii="Times New Roman" w:hAnsi="Times New Roman"/>
        </w:rPr>
        <w:t xml:space="preserve">of the Instrument sets out the circumstances </w:t>
      </w:r>
      <w:r w:rsidR="002A605F" w:rsidRPr="001E4E73">
        <w:rPr>
          <w:rFonts w:ascii="Times New Roman" w:hAnsi="Times New Roman"/>
        </w:rPr>
        <w:t>in which the connection obligation under subsection 360</w:t>
      </w:r>
      <w:proofErr w:type="gramStart"/>
      <w:r w:rsidR="002A605F" w:rsidRPr="001E4E73">
        <w:rPr>
          <w:rFonts w:ascii="Times New Roman" w:hAnsi="Times New Roman"/>
        </w:rPr>
        <w:t>P(</w:t>
      </w:r>
      <w:proofErr w:type="gramEnd"/>
      <w:r w:rsidR="002A605F" w:rsidRPr="001E4E73">
        <w:rPr>
          <w:rFonts w:ascii="Times New Roman" w:hAnsi="Times New Roman"/>
        </w:rPr>
        <w:t>1) of the Act does not apply.</w:t>
      </w:r>
    </w:p>
    <w:p w14:paraId="660039D7" w14:textId="77777777" w:rsidR="006F298E" w:rsidRPr="001E4E73" w:rsidRDefault="006F298E" w:rsidP="00564B10">
      <w:pPr>
        <w:spacing w:after="0" w:line="276" w:lineRule="auto"/>
        <w:ind w:right="91"/>
        <w:rPr>
          <w:rFonts w:ascii="Times New Roman" w:hAnsi="Times New Roman"/>
        </w:rPr>
      </w:pPr>
    </w:p>
    <w:p w14:paraId="31B7CF56" w14:textId="77777777" w:rsidR="006F298E" w:rsidRPr="001E4E73" w:rsidRDefault="006F298E" w:rsidP="00564B10">
      <w:pPr>
        <w:spacing w:after="0" w:line="276" w:lineRule="auto"/>
        <w:ind w:right="91"/>
        <w:rPr>
          <w:rFonts w:ascii="Times New Roman" w:hAnsi="Times New Roman"/>
        </w:rPr>
      </w:pPr>
      <w:r w:rsidRPr="001E4E73">
        <w:rPr>
          <w:rFonts w:ascii="Times New Roman" w:hAnsi="Times New Roman"/>
        </w:rPr>
        <w:t>Note 1 states that under subsection 360</w:t>
      </w:r>
      <w:proofErr w:type="gramStart"/>
      <w:r w:rsidRPr="001E4E73">
        <w:rPr>
          <w:rFonts w:ascii="Times New Roman" w:hAnsi="Times New Roman"/>
        </w:rPr>
        <w:t>P(</w:t>
      </w:r>
      <w:proofErr w:type="gramEnd"/>
      <w:r w:rsidRPr="001E4E73">
        <w:rPr>
          <w:rFonts w:ascii="Times New Roman" w:hAnsi="Times New Roman"/>
        </w:rPr>
        <w:t>1) of the Act, a SIP for a service area is obliged to connect an end user at premises in the service area, on reasonable request by a carriage service provider (CSP) on behalf of the end user, to a qualifying telecommunications network.</w:t>
      </w:r>
    </w:p>
    <w:p w14:paraId="7399F519" w14:textId="77777777" w:rsidR="00C915C7" w:rsidRPr="001E4E73" w:rsidRDefault="00C915C7" w:rsidP="00564B10">
      <w:pPr>
        <w:spacing w:after="0" w:line="276" w:lineRule="auto"/>
        <w:ind w:right="91"/>
        <w:rPr>
          <w:rFonts w:ascii="Times New Roman" w:hAnsi="Times New Roman"/>
        </w:rPr>
      </w:pPr>
    </w:p>
    <w:p w14:paraId="745CBEA2" w14:textId="74B1E30A" w:rsidR="00C915C7" w:rsidRPr="001E4E73" w:rsidRDefault="00C915C7" w:rsidP="00564B10">
      <w:pPr>
        <w:spacing w:after="0" w:line="276" w:lineRule="auto"/>
        <w:ind w:right="91"/>
        <w:rPr>
          <w:rFonts w:ascii="Times New Roman" w:hAnsi="Times New Roman"/>
        </w:rPr>
      </w:pPr>
      <w:r w:rsidRPr="001E4E73">
        <w:rPr>
          <w:rFonts w:ascii="Times New Roman" w:hAnsi="Times New Roman"/>
        </w:rPr>
        <w:t xml:space="preserve">Note 2 states </w:t>
      </w:r>
      <w:r w:rsidR="00FC78B8" w:rsidRPr="001E4E73">
        <w:rPr>
          <w:rFonts w:ascii="Times New Roman" w:hAnsi="Times New Roman"/>
        </w:rPr>
        <w:t>that under subsection 360</w:t>
      </w:r>
      <w:proofErr w:type="gramStart"/>
      <w:r w:rsidR="00FC78B8" w:rsidRPr="001E4E73">
        <w:rPr>
          <w:rFonts w:ascii="Times New Roman" w:hAnsi="Times New Roman"/>
        </w:rPr>
        <w:t>P(</w:t>
      </w:r>
      <w:proofErr w:type="gramEnd"/>
      <w:r w:rsidR="00FC78B8" w:rsidRPr="001E4E73">
        <w:rPr>
          <w:rFonts w:ascii="Times New Roman" w:hAnsi="Times New Roman"/>
        </w:rPr>
        <w:t xml:space="preserve">2) of the Act, the obligation to connect premises to a qualifying telecommunications network does not arise under subsection 360P(1) in the </w:t>
      </w:r>
      <w:r w:rsidR="00FC78B8" w:rsidRPr="001E4E73">
        <w:rPr>
          <w:rFonts w:ascii="Times New Roman" w:hAnsi="Times New Roman"/>
        </w:rPr>
        <w:lastRenderedPageBreak/>
        <w:t>circumstances specified in a ministerial determination under subsection 360P(3). This Instrument is a ministerial determination under subsection 360</w:t>
      </w:r>
      <w:proofErr w:type="gramStart"/>
      <w:r w:rsidR="00FC78B8" w:rsidRPr="001E4E73">
        <w:rPr>
          <w:rFonts w:ascii="Times New Roman" w:hAnsi="Times New Roman"/>
        </w:rPr>
        <w:t>P(</w:t>
      </w:r>
      <w:proofErr w:type="gramEnd"/>
      <w:r w:rsidR="00FC78B8" w:rsidRPr="001E4E73">
        <w:rPr>
          <w:rFonts w:ascii="Times New Roman" w:hAnsi="Times New Roman"/>
        </w:rPr>
        <w:t>3).</w:t>
      </w:r>
    </w:p>
    <w:p w14:paraId="250A451D" w14:textId="77777777" w:rsidR="00FC78B8" w:rsidRPr="001E4E73" w:rsidRDefault="00FC78B8" w:rsidP="00564B10">
      <w:pPr>
        <w:spacing w:after="0" w:line="276" w:lineRule="auto"/>
        <w:ind w:right="91"/>
        <w:rPr>
          <w:rFonts w:ascii="Times New Roman" w:hAnsi="Times New Roman"/>
        </w:rPr>
      </w:pPr>
    </w:p>
    <w:p w14:paraId="160A318B" w14:textId="675FEB25" w:rsidR="00FC78B8" w:rsidRPr="001E4E73" w:rsidRDefault="00FC78B8" w:rsidP="00564B10">
      <w:pPr>
        <w:spacing w:after="0" w:line="276" w:lineRule="auto"/>
        <w:ind w:right="91"/>
        <w:rPr>
          <w:rFonts w:ascii="Times New Roman" w:hAnsi="Times New Roman"/>
        </w:rPr>
      </w:pPr>
      <w:r w:rsidRPr="001E4E73">
        <w:rPr>
          <w:rFonts w:ascii="Times New Roman" w:hAnsi="Times New Roman"/>
        </w:rPr>
        <w:t>Note 3 states that connection to a qualifying fixed line telecommunications network is required unless it is not reasonable to do so, and where it is not reasonable to do so, connection must be to another type of qualifying telecommunications network, such as one which uses either a fixed wireless or satellite technology platform (see paragraphs 360P(1)(a) and (b) of the Act).</w:t>
      </w:r>
    </w:p>
    <w:p w14:paraId="201B6A54" w14:textId="77777777" w:rsidR="00FC78B8" w:rsidRPr="001E4E73" w:rsidRDefault="00FC78B8" w:rsidP="00564B10">
      <w:pPr>
        <w:spacing w:after="0" w:line="276" w:lineRule="auto"/>
        <w:ind w:right="91"/>
        <w:rPr>
          <w:rFonts w:ascii="Times New Roman" w:hAnsi="Times New Roman"/>
        </w:rPr>
      </w:pPr>
    </w:p>
    <w:p w14:paraId="56CAE145" w14:textId="65CCD5A9" w:rsidR="00FC78B8" w:rsidRPr="001E4E73" w:rsidRDefault="00FC78B8" w:rsidP="00564B10">
      <w:pPr>
        <w:spacing w:after="0" w:line="276" w:lineRule="auto"/>
        <w:ind w:right="91"/>
        <w:rPr>
          <w:rFonts w:ascii="Times New Roman" w:hAnsi="Times New Roman"/>
        </w:rPr>
      </w:pPr>
      <w:r w:rsidRPr="001E4E73">
        <w:rPr>
          <w:rFonts w:ascii="Times New Roman" w:hAnsi="Times New Roman"/>
        </w:rPr>
        <w:t>Note 4 states that a SIP is not obliged under subsection 360</w:t>
      </w:r>
      <w:proofErr w:type="gramStart"/>
      <w:r w:rsidRPr="001E4E73">
        <w:rPr>
          <w:rFonts w:ascii="Times New Roman" w:hAnsi="Times New Roman"/>
        </w:rPr>
        <w:t>P(</w:t>
      </w:r>
      <w:proofErr w:type="gramEnd"/>
      <w:r w:rsidRPr="001E4E73">
        <w:rPr>
          <w:rFonts w:ascii="Times New Roman" w:hAnsi="Times New Roman"/>
        </w:rPr>
        <w:t xml:space="preserve">1) of the Act to connect premises in order that a CSP can provide qualifying carriage services to an end user, where the premises is not situated in the provider’s service area. In other words, a SIP’s obligation to connect and supply only applies in a service area where they are the </w:t>
      </w:r>
      <w:r w:rsidR="001718BF" w:rsidRPr="001E4E73">
        <w:rPr>
          <w:rFonts w:ascii="Times New Roman" w:hAnsi="Times New Roman"/>
        </w:rPr>
        <w:t>designated SIP (or the default SIP, in the case of NBN Co).</w:t>
      </w:r>
    </w:p>
    <w:p w14:paraId="4030FC38" w14:textId="77777777" w:rsidR="00564B10" w:rsidRPr="001E4E73" w:rsidRDefault="00564B10" w:rsidP="00564B10">
      <w:pPr>
        <w:spacing w:after="0" w:line="276" w:lineRule="auto"/>
        <w:ind w:right="91"/>
        <w:rPr>
          <w:rFonts w:ascii="Times New Roman" w:hAnsi="Times New Roman"/>
        </w:rPr>
      </w:pPr>
    </w:p>
    <w:p w14:paraId="3248B641" w14:textId="77777777" w:rsidR="00E91CB9" w:rsidRPr="001E4E73" w:rsidRDefault="00283F84" w:rsidP="007B107B">
      <w:pPr>
        <w:spacing w:line="276" w:lineRule="auto"/>
        <w:ind w:right="91"/>
        <w:rPr>
          <w:rFonts w:ascii="Times New Roman" w:hAnsi="Times New Roman"/>
          <w:u w:val="single"/>
        </w:rPr>
      </w:pPr>
      <w:r w:rsidRPr="001E4E73">
        <w:rPr>
          <w:rFonts w:ascii="Times New Roman" w:hAnsi="Times New Roman"/>
          <w:u w:val="single"/>
        </w:rPr>
        <w:t xml:space="preserve">Section </w:t>
      </w:r>
      <w:r w:rsidR="006F298E" w:rsidRPr="001E4E73">
        <w:rPr>
          <w:rFonts w:ascii="Times New Roman" w:hAnsi="Times New Roman"/>
          <w:u w:val="single"/>
        </w:rPr>
        <w:t>6</w:t>
      </w:r>
      <w:r w:rsidRPr="001E4E73">
        <w:rPr>
          <w:rFonts w:ascii="Times New Roman" w:hAnsi="Times New Roman"/>
          <w:u w:val="single"/>
        </w:rPr>
        <w:t xml:space="preserve"> – Determination of </w:t>
      </w:r>
      <w:r w:rsidR="00951A24" w:rsidRPr="001E4E73">
        <w:rPr>
          <w:rFonts w:ascii="Times New Roman" w:hAnsi="Times New Roman"/>
          <w:u w:val="single"/>
        </w:rPr>
        <w:t xml:space="preserve">connection </w:t>
      </w:r>
      <w:r w:rsidRPr="001E4E73">
        <w:rPr>
          <w:rFonts w:ascii="Times New Roman" w:hAnsi="Times New Roman"/>
          <w:u w:val="single"/>
        </w:rPr>
        <w:t>circumstances</w:t>
      </w:r>
    </w:p>
    <w:p w14:paraId="2A84A126" w14:textId="7E2DB1D2" w:rsidR="00367531" w:rsidRPr="001E4E73" w:rsidRDefault="00B3346E" w:rsidP="00E91CB9">
      <w:pPr>
        <w:spacing w:after="0" w:line="276" w:lineRule="auto"/>
        <w:ind w:right="91"/>
        <w:rPr>
          <w:rFonts w:ascii="Times New Roman" w:hAnsi="Times New Roman"/>
        </w:rPr>
      </w:pPr>
      <w:r w:rsidRPr="001E4E73">
        <w:rPr>
          <w:rFonts w:ascii="Times New Roman" w:hAnsi="Times New Roman"/>
        </w:rPr>
        <w:t xml:space="preserve">Paragraphs </w:t>
      </w:r>
      <w:r w:rsidR="000F529D" w:rsidRPr="001E4E73">
        <w:rPr>
          <w:rFonts w:ascii="Times New Roman" w:hAnsi="Times New Roman"/>
        </w:rPr>
        <w:t>6</w:t>
      </w:r>
      <w:r w:rsidR="00D43760" w:rsidRPr="001E4E73">
        <w:rPr>
          <w:rFonts w:ascii="Times New Roman" w:hAnsi="Times New Roman"/>
        </w:rPr>
        <w:t>(a</w:t>
      </w:r>
      <w:r w:rsidR="00D3509B" w:rsidRPr="001E4E73">
        <w:rPr>
          <w:rFonts w:ascii="Times New Roman" w:hAnsi="Times New Roman"/>
        </w:rPr>
        <w:t>)–(</w:t>
      </w:r>
      <w:r w:rsidR="00D43760" w:rsidRPr="001E4E73">
        <w:rPr>
          <w:rFonts w:ascii="Times New Roman" w:hAnsi="Times New Roman"/>
        </w:rPr>
        <w:t xml:space="preserve">m) </w:t>
      </w:r>
      <w:bookmarkStart w:id="3" w:name="_Hlk166187625"/>
      <w:r w:rsidR="00D3509B" w:rsidRPr="001E4E73">
        <w:rPr>
          <w:rFonts w:ascii="Times New Roman" w:hAnsi="Times New Roman"/>
        </w:rPr>
        <w:t>describe separate</w:t>
      </w:r>
      <w:r w:rsidR="00D43760" w:rsidRPr="001E4E73">
        <w:rPr>
          <w:rFonts w:ascii="Times New Roman" w:hAnsi="Times New Roman"/>
        </w:rPr>
        <w:t xml:space="preserve"> circumstances </w:t>
      </w:r>
      <w:r w:rsidR="00D3509B" w:rsidRPr="001E4E73">
        <w:rPr>
          <w:rFonts w:ascii="Times New Roman" w:hAnsi="Times New Roman"/>
        </w:rPr>
        <w:t>where a SIP</w:t>
      </w:r>
      <w:r w:rsidR="00D43760" w:rsidRPr="001E4E73">
        <w:rPr>
          <w:rFonts w:ascii="Times New Roman" w:hAnsi="Times New Roman"/>
        </w:rPr>
        <w:t xml:space="preserve"> </w:t>
      </w:r>
      <w:r w:rsidR="00D3509B" w:rsidRPr="001E4E73">
        <w:rPr>
          <w:rFonts w:ascii="Times New Roman" w:hAnsi="Times New Roman"/>
        </w:rPr>
        <w:t>is eligible for</w:t>
      </w:r>
      <w:r w:rsidR="00D43760" w:rsidRPr="001E4E73">
        <w:rPr>
          <w:rFonts w:ascii="Times New Roman" w:hAnsi="Times New Roman"/>
        </w:rPr>
        <w:t xml:space="preserve"> an exception from its obligations under Part 19 of the Act to arrange a connection to premises.</w:t>
      </w:r>
      <w:bookmarkEnd w:id="3"/>
    </w:p>
    <w:p w14:paraId="3D26F7DC" w14:textId="77777777" w:rsidR="00E91CB9" w:rsidRPr="001E4E73" w:rsidRDefault="00E91CB9" w:rsidP="00D3509B">
      <w:pPr>
        <w:spacing w:after="0" w:line="276" w:lineRule="auto"/>
        <w:ind w:right="91"/>
        <w:rPr>
          <w:rFonts w:ascii="Times New Roman" w:hAnsi="Times New Roman"/>
        </w:rPr>
      </w:pPr>
    </w:p>
    <w:p w14:paraId="1AFF9096" w14:textId="77777777" w:rsidR="00CB2E36" w:rsidRPr="001E4E73" w:rsidRDefault="009C1D23" w:rsidP="00D3509B">
      <w:pPr>
        <w:spacing w:line="276" w:lineRule="auto"/>
        <w:ind w:right="91"/>
        <w:rPr>
          <w:rFonts w:ascii="Times New Roman" w:hAnsi="Times New Roman"/>
          <w:i/>
        </w:rPr>
      </w:pPr>
      <w:r w:rsidRPr="001E4E73">
        <w:rPr>
          <w:rFonts w:ascii="Times New Roman" w:hAnsi="Times New Roman"/>
          <w:i/>
        </w:rPr>
        <w:t>Premises under construction</w:t>
      </w:r>
    </w:p>
    <w:p w14:paraId="595A7FEA" w14:textId="77777777" w:rsidR="006A5B40" w:rsidRPr="001E4E73" w:rsidRDefault="00BD582C" w:rsidP="0023713A">
      <w:pPr>
        <w:spacing w:after="0" w:line="276" w:lineRule="auto"/>
        <w:ind w:right="91"/>
        <w:rPr>
          <w:rFonts w:ascii="Times New Roman" w:hAnsi="Times New Roman"/>
        </w:rPr>
      </w:pPr>
      <w:r w:rsidRPr="001E4E73">
        <w:rPr>
          <w:rFonts w:ascii="Times New Roman" w:hAnsi="Times New Roman"/>
        </w:rPr>
        <w:t>S</w:t>
      </w:r>
      <w:r w:rsidR="00043C5D" w:rsidRPr="001E4E73">
        <w:rPr>
          <w:rFonts w:ascii="Times New Roman" w:hAnsi="Times New Roman"/>
        </w:rPr>
        <w:t>ub</w:t>
      </w:r>
      <w:r w:rsidR="00B3346E" w:rsidRPr="001E4E73">
        <w:rPr>
          <w:rFonts w:ascii="Times New Roman" w:hAnsi="Times New Roman"/>
        </w:rPr>
        <w:t xml:space="preserve">paragraph </w:t>
      </w:r>
      <w:r w:rsidR="000F529D" w:rsidRPr="001E4E73">
        <w:rPr>
          <w:rFonts w:ascii="Times New Roman" w:hAnsi="Times New Roman"/>
        </w:rPr>
        <w:t>6</w:t>
      </w:r>
      <w:r w:rsidR="004F766F" w:rsidRPr="001E4E73">
        <w:rPr>
          <w:rFonts w:ascii="Times New Roman" w:hAnsi="Times New Roman"/>
        </w:rPr>
        <w:t>(a)(</w:t>
      </w:r>
      <w:proofErr w:type="spellStart"/>
      <w:r w:rsidR="004F766F" w:rsidRPr="001E4E73">
        <w:rPr>
          <w:rFonts w:ascii="Times New Roman" w:hAnsi="Times New Roman"/>
        </w:rPr>
        <w:t>i</w:t>
      </w:r>
      <w:proofErr w:type="spellEnd"/>
      <w:r w:rsidR="004F766F" w:rsidRPr="001E4E73">
        <w:rPr>
          <w:rFonts w:ascii="Times New Roman" w:hAnsi="Times New Roman"/>
        </w:rPr>
        <w:t xml:space="preserve">) </w:t>
      </w:r>
      <w:r w:rsidR="00EF6BB6" w:rsidRPr="001E4E73">
        <w:rPr>
          <w:rFonts w:ascii="Times New Roman" w:hAnsi="Times New Roman"/>
        </w:rPr>
        <w:t>provides an exception to the obligation on SIPs to connect premises where the SIP</w:t>
      </w:r>
      <w:r w:rsidR="00414EB3" w:rsidRPr="001E4E73">
        <w:rPr>
          <w:rFonts w:ascii="Times New Roman" w:hAnsi="Times New Roman"/>
        </w:rPr>
        <w:t xml:space="preserve"> considers </w:t>
      </w:r>
      <w:r w:rsidR="00513FE7" w:rsidRPr="001E4E73">
        <w:rPr>
          <w:rFonts w:ascii="Times New Roman" w:hAnsi="Times New Roman"/>
        </w:rPr>
        <w:t xml:space="preserve">construction of the premises has not adequately progressed to support a connection. </w:t>
      </w:r>
      <w:r w:rsidR="00E11496" w:rsidRPr="001E4E73">
        <w:rPr>
          <w:rFonts w:ascii="Times New Roman" w:hAnsi="Times New Roman"/>
        </w:rPr>
        <w:t>Thus</w:t>
      </w:r>
      <w:r w:rsidR="00414EB3" w:rsidRPr="001E4E73">
        <w:rPr>
          <w:rFonts w:ascii="Times New Roman" w:hAnsi="Times New Roman"/>
        </w:rPr>
        <w:t>,</w:t>
      </w:r>
      <w:r w:rsidR="00E11496" w:rsidRPr="001E4E73">
        <w:rPr>
          <w:rFonts w:ascii="Times New Roman" w:hAnsi="Times New Roman"/>
        </w:rPr>
        <w:t xml:space="preserve"> it is not sufficient in itself for the SIP to argue that th</w:t>
      </w:r>
      <w:r w:rsidR="00B80E50" w:rsidRPr="001E4E73">
        <w:rPr>
          <w:rFonts w:ascii="Times New Roman" w:hAnsi="Times New Roman"/>
        </w:rPr>
        <w:t>e</w:t>
      </w:r>
      <w:r w:rsidR="00E11496" w:rsidRPr="001E4E73">
        <w:rPr>
          <w:rFonts w:ascii="Times New Roman" w:hAnsi="Times New Roman"/>
        </w:rPr>
        <w:t xml:space="preserve"> premises </w:t>
      </w:r>
      <w:r w:rsidR="00B80E50" w:rsidRPr="001E4E73">
        <w:rPr>
          <w:rFonts w:ascii="Times New Roman" w:hAnsi="Times New Roman"/>
        </w:rPr>
        <w:t>are</w:t>
      </w:r>
      <w:r w:rsidR="00E11496" w:rsidRPr="001E4E73">
        <w:rPr>
          <w:rFonts w:ascii="Times New Roman" w:hAnsi="Times New Roman"/>
        </w:rPr>
        <w:t xml:space="preserve"> not complete, but rather that construction is not sufficiently advanced. </w:t>
      </w:r>
      <w:r w:rsidR="00B340EF" w:rsidRPr="001E4E73">
        <w:rPr>
          <w:rFonts w:ascii="Times New Roman" w:hAnsi="Times New Roman"/>
        </w:rPr>
        <w:t>As such, t</w:t>
      </w:r>
      <w:r w:rsidR="00E11496" w:rsidRPr="001E4E73">
        <w:rPr>
          <w:rFonts w:ascii="Times New Roman" w:hAnsi="Times New Roman"/>
        </w:rPr>
        <w:t>he provision recognises the common industry practice of pre-provisioning connections during construction to facil</w:t>
      </w:r>
      <w:r w:rsidR="006407B9" w:rsidRPr="001E4E73">
        <w:rPr>
          <w:rFonts w:ascii="Times New Roman" w:hAnsi="Times New Roman"/>
        </w:rPr>
        <w:t>itate</w:t>
      </w:r>
      <w:r w:rsidR="00E11496" w:rsidRPr="001E4E73">
        <w:rPr>
          <w:rFonts w:ascii="Times New Roman" w:hAnsi="Times New Roman"/>
        </w:rPr>
        <w:t xml:space="preserve"> ready access to services when people move into a new premises. This approach is consistent with the objective of </w:t>
      </w:r>
      <w:r w:rsidR="00CB3110" w:rsidRPr="001E4E73">
        <w:rPr>
          <w:rFonts w:ascii="Times New Roman" w:hAnsi="Times New Roman"/>
        </w:rPr>
        <w:t>the Telecommunications in New Developments (TIND) policy</w:t>
      </w:r>
      <w:r w:rsidR="00B80897" w:rsidRPr="001E4E73">
        <w:rPr>
          <w:rFonts w:ascii="Times New Roman" w:hAnsi="Times New Roman"/>
          <w:vertAlign w:val="superscript"/>
        </w:rPr>
        <w:footnoteReference w:id="5"/>
      </w:r>
      <w:r w:rsidR="00A70198" w:rsidRPr="001E4E73">
        <w:rPr>
          <w:rFonts w:ascii="Times New Roman" w:hAnsi="Times New Roman"/>
        </w:rPr>
        <w:t xml:space="preserve"> to maximise ready access to modern telecommunications</w:t>
      </w:r>
      <w:r w:rsidR="00CB3110" w:rsidRPr="001E4E73">
        <w:rPr>
          <w:rFonts w:ascii="Times New Roman" w:hAnsi="Times New Roman"/>
        </w:rPr>
        <w:t>. Th</w:t>
      </w:r>
      <w:r w:rsidR="00F57C06" w:rsidRPr="001E4E73">
        <w:rPr>
          <w:rFonts w:ascii="Times New Roman" w:hAnsi="Times New Roman"/>
        </w:rPr>
        <w:t>is</w:t>
      </w:r>
      <w:r w:rsidR="00CB3110" w:rsidRPr="001E4E73">
        <w:rPr>
          <w:rFonts w:ascii="Times New Roman" w:hAnsi="Times New Roman"/>
        </w:rPr>
        <w:t xml:space="preserve"> </w:t>
      </w:r>
      <w:r w:rsidR="00B80897" w:rsidRPr="001E4E73">
        <w:rPr>
          <w:rFonts w:ascii="Times New Roman" w:hAnsi="Times New Roman"/>
        </w:rPr>
        <w:t xml:space="preserve">circumstance </w:t>
      </w:r>
      <w:r w:rsidR="006A5B40" w:rsidRPr="001E4E73">
        <w:rPr>
          <w:rFonts w:ascii="Times New Roman" w:hAnsi="Times New Roman"/>
        </w:rPr>
        <w:t xml:space="preserve">provides the SIP with some discretion </w:t>
      </w:r>
      <w:r w:rsidR="006407B9" w:rsidRPr="001E4E73">
        <w:rPr>
          <w:rFonts w:ascii="Times New Roman" w:hAnsi="Times New Roman"/>
        </w:rPr>
        <w:t xml:space="preserve">as to </w:t>
      </w:r>
      <w:r w:rsidR="006A5B40" w:rsidRPr="001E4E73">
        <w:rPr>
          <w:rFonts w:ascii="Times New Roman" w:hAnsi="Times New Roman"/>
        </w:rPr>
        <w:t>when such work can occur</w:t>
      </w:r>
      <w:r w:rsidR="003230D3" w:rsidRPr="001E4E73">
        <w:rPr>
          <w:rFonts w:ascii="Times New Roman" w:hAnsi="Times New Roman"/>
        </w:rPr>
        <w:t xml:space="preserve"> during the construction phase</w:t>
      </w:r>
      <w:r w:rsidR="006A5B40" w:rsidRPr="001E4E73">
        <w:rPr>
          <w:rFonts w:ascii="Times New Roman" w:hAnsi="Times New Roman"/>
        </w:rPr>
        <w:t xml:space="preserve">. </w:t>
      </w:r>
      <w:r w:rsidR="00F57C06" w:rsidRPr="001E4E73">
        <w:rPr>
          <w:rFonts w:ascii="Times New Roman" w:hAnsi="Times New Roman"/>
        </w:rPr>
        <w:t>In practice,</w:t>
      </w:r>
      <w:r w:rsidR="002E4867" w:rsidRPr="001E4E73">
        <w:rPr>
          <w:rFonts w:ascii="Times New Roman" w:hAnsi="Times New Roman"/>
        </w:rPr>
        <w:t xml:space="preserve"> SIPs </w:t>
      </w:r>
      <w:r w:rsidR="00F57C06" w:rsidRPr="001E4E73">
        <w:rPr>
          <w:rFonts w:ascii="Times New Roman" w:hAnsi="Times New Roman"/>
        </w:rPr>
        <w:t>are likely</w:t>
      </w:r>
      <w:r w:rsidR="002E4867" w:rsidRPr="001E4E73">
        <w:rPr>
          <w:rFonts w:ascii="Times New Roman" w:hAnsi="Times New Roman"/>
        </w:rPr>
        <w:t xml:space="preserve"> to facilitate </w:t>
      </w:r>
      <w:r w:rsidR="00F57C06" w:rsidRPr="001E4E73">
        <w:rPr>
          <w:rFonts w:ascii="Times New Roman" w:hAnsi="Times New Roman"/>
        </w:rPr>
        <w:t xml:space="preserve">connection </w:t>
      </w:r>
      <w:r w:rsidR="002E4867" w:rsidRPr="001E4E73">
        <w:rPr>
          <w:rFonts w:ascii="Times New Roman" w:hAnsi="Times New Roman"/>
        </w:rPr>
        <w:t xml:space="preserve">requests </w:t>
      </w:r>
      <w:r w:rsidR="00F57C06" w:rsidRPr="001E4E73">
        <w:rPr>
          <w:rFonts w:ascii="Times New Roman" w:hAnsi="Times New Roman"/>
        </w:rPr>
        <w:t xml:space="preserve">before construction is complete as it is more </w:t>
      </w:r>
      <w:r w:rsidR="00071FED" w:rsidRPr="001E4E73">
        <w:rPr>
          <w:rFonts w:ascii="Times New Roman" w:hAnsi="Times New Roman"/>
        </w:rPr>
        <w:t>cost-effective</w:t>
      </w:r>
      <w:r w:rsidR="00B80897" w:rsidRPr="001E4E73">
        <w:rPr>
          <w:rFonts w:ascii="Times New Roman" w:hAnsi="Times New Roman"/>
        </w:rPr>
        <w:t xml:space="preserve"> tha</w:t>
      </w:r>
      <w:r w:rsidR="00414EB3" w:rsidRPr="001E4E73">
        <w:rPr>
          <w:rFonts w:ascii="Times New Roman" w:hAnsi="Times New Roman"/>
        </w:rPr>
        <w:t>n</w:t>
      </w:r>
      <w:r w:rsidR="00B80897" w:rsidRPr="001E4E73">
        <w:rPr>
          <w:rFonts w:ascii="Times New Roman" w:hAnsi="Times New Roman"/>
        </w:rPr>
        <w:t xml:space="preserve"> retro-fitting infrastructure </w:t>
      </w:r>
      <w:r w:rsidR="00EE05EA" w:rsidRPr="001E4E73">
        <w:rPr>
          <w:rFonts w:ascii="Times New Roman" w:hAnsi="Times New Roman"/>
        </w:rPr>
        <w:t>after completion</w:t>
      </w:r>
      <w:r w:rsidR="00071FED" w:rsidRPr="001E4E73">
        <w:rPr>
          <w:rFonts w:ascii="Times New Roman" w:hAnsi="Times New Roman"/>
        </w:rPr>
        <w:t>.</w:t>
      </w:r>
      <w:r w:rsidR="00F57C06" w:rsidRPr="001E4E73">
        <w:rPr>
          <w:rFonts w:ascii="Times New Roman" w:hAnsi="Times New Roman"/>
        </w:rPr>
        <w:t xml:space="preserve"> For example, the trenching/boring of conduit is easier</w:t>
      </w:r>
      <w:r w:rsidR="00EE05EA" w:rsidRPr="001E4E73">
        <w:rPr>
          <w:rFonts w:ascii="Times New Roman" w:hAnsi="Times New Roman"/>
        </w:rPr>
        <w:t xml:space="preserve"> and cheaper</w:t>
      </w:r>
      <w:r w:rsidR="00F57C06" w:rsidRPr="001E4E73">
        <w:rPr>
          <w:rFonts w:ascii="Times New Roman" w:hAnsi="Times New Roman"/>
        </w:rPr>
        <w:t xml:space="preserve"> in </w:t>
      </w:r>
      <w:r w:rsidR="00EE05EA" w:rsidRPr="001E4E73">
        <w:rPr>
          <w:rFonts w:ascii="Times New Roman" w:hAnsi="Times New Roman"/>
        </w:rPr>
        <w:t>bare soil</w:t>
      </w:r>
      <w:r w:rsidR="00F57C06" w:rsidRPr="001E4E73">
        <w:rPr>
          <w:rFonts w:ascii="Times New Roman" w:hAnsi="Times New Roman"/>
        </w:rPr>
        <w:t xml:space="preserve"> as opposed to breaking out concrete </w:t>
      </w:r>
      <w:r w:rsidR="00EE05EA" w:rsidRPr="001E4E73">
        <w:rPr>
          <w:rFonts w:ascii="Times New Roman" w:hAnsi="Times New Roman"/>
        </w:rPr>
        <w:t>driveways/pathways</w:t>
      </w:r>
      <w:r w:rsidR="00F57C06" w:rsidRPr="001E4E73">
        <w:rPr>
          <w:rFonts w:ascii="Times New Roman" w:hAnsi="Times New Roman"/>
        </w:rPr>
        <w:t xml:space="preserve"> to access the ground underneath.</w:t>
      </w:r>
    </w:p>
    <w:p w14:paraId="7FEA2166" w14:textId="77777777" w:rsidR="0023713A" w:rsidRPr="001E4E73" w:rsidRDefault="0023713A" w:rsidP="0023713A">
      <w:pPr>
        <w:spacing w:after="0" w:line="276" w:lineRule="auto"/>
        <w:ind w:right="91"/>
        <w:rPr>
          <w:rFonts w:ascii="Times New Roman" w:hAnsi="Times New Roman"/>
        </w:rPr>
      </w:pPr>
    </w:p>
    <w:p w14:paraId="54104DC0" w14:textId="77777777" w:rsidR="0023713A" w:rsidRPr="001E4E73" w:rsidRDefault="0023713A" w:rsidP="0023713A">
      <w:pPr>
        <w:spacing w:line="276" w:lineRule="auto"/>
        <w:ind w:right="91"/>
        <w:rPr>
          <w:rFonts w:ascii="Times New Roman" w:hAnsi="Times New Roman"/>
          <w:i/>
        </w:rPr>
      </w:pPr>
      <w:r w:rsidRPr="001E4E73">
        <w:rPr>
          <w:rFonts w:ascii="Times New Roman" w:hAnsi="Times New Roman"/>
          <w:i/>
        </w:rPr>
        <w:t>Premises and development</w:t>
      </w:r>
    </w:p>
    <w:p w14:paraId="108396CB" w14:textId="3A0BC80A" w:rsidR="006A5B40" w:rsidRPr="001E4E73" w:rsidRDefault="006407B9" w:rsidP="0023713A">
      <w:pPr>
        <w:spacing w:after="0" w:line="276" w:lineRule="auto"/>
        <w:contextualSpacing/>
        <w:rPr>
          <w:rFonts w:ascii="Times New Roman" w:hAnsi="Times New Roman"/>
        </w:rPr>
      </w:pPr>
      <w:r w:rsidRPr="001E4E73">
        <w:rPr>
          <w:rFonts w:ascii="Times New Roman" w:hAnsi="Times New Roman"/>
        </w:rPr>
        <w:t>S</w:t>
      </w:r>
      <w:r w:rsidR="00043C5D" w:rsidRPr="001E4E73">
        <w:rPr>
          <w:rFonts w:ascii="Times New Roman" w:hAnsi="Times New Roman"/>
        </w:rPr>
        <w:t>ub</w:t>
      </w:r>
      <w:r w:rsidR="00B3346E" w:rsidRPr="001E4E73">
        <w:rPr>
          <w:rFonts w:ascii="Times New Roman" w:hAnsi="Times New Roman"/>
        </w:rPr>
        <w:t xml:space="preserve">paragraph </w:t>
      </w:r>
      <w:r w:rsidR="000F529D" w:rsidRPr="001E4E73">
        <w:rPr>
          <w:rFonts w:ascii="Times New Roman" w:hAnsi="Times New Roman"/>
        </w:rPr>
        <w:t>6</w:t>
      </w:r>
      <w:r w:rsidR="006A5B40" w:rsidRPr="001E4E73">
        <w:rPr>
          <w:rFonts w:ascii="Times New Roman" w:hAnsi="Times New Roman"/>
        </w:rPr>
        <w:t xml:space="preserve">(a)(ii) </w:t>
      </w:r>
      <w:r w:rsidR="00EF6BB6" w:rsidRPr="001E4E73">
        <w:rPr>
          <w:rFonts w:ascii="Times New Roman" w:hAnsi="Times New Roman"/>
        </w:rPr>
        <w:t xml:space="preserve">provides an exception to the obligation on SIPs to connect premises </w:t>
      </w:r>
      <w:r w:rsidRPr="001E4E73">
        <w:rPr>
          <w:rFonts w:ascii="Times New Roman" w:hAnsi="Times New Roman"/>
        </w:rPr>
        <w:t xml:space="preserve">where premises do not </w:t>
      </w:r>
      <w:r w:rsidR="006A5B40" w:rsidRPr="001E4E73">
        <w:rPr>
          <w:rFonts w:ascii="Times New Roman" w:hAnsi="Times New Roman"/>
        </w:rPr>
        <w:t xml:space="preserve">comply with planning and development laws </w:t>
      </w:r>
      <w:r w:rsidR="00EE05EA" w:rsidRPr="001E4E73">
        <w:rPr>
          <w:rFonts w:ascii="Times New Roman" w:hAnsi="Times New Roman"/>
        </w:rPr>
        <w:t>on</w:t>
      </w:r>
      <w:r w:rsidR="006A5B40" w:rsidRPr="001E4E73">
        <w:rPr>
          <w:rFonts w:ascii="Times New Roman" w:hAnsi="Times New Roman"/>
        </w:rPr>
        <w:t xml:space="preserve"> structural safety and integrity. This means a SIP could not rely on this circumstance </w:t>
      </w:r>
      <w:r w:rsidR="00EF2F10" w:rsidRPr="001E4E73">
        <w:rPr>
          <w:rFonts w:ascii="Times New Roman" w:hAnsi="Times New Roman"/>
        </w:rPr>
        <w:t xml:space="preserve">to reject a connection request </w:t>
      </w:r>
      <w:r w:rsidR="00EF2F10" w:rsidRPr="001E4E73">
        <w:rPr>
          <w:rFonts w:ascii="Times New Roman" w:hAnsi="Times New Roman"/>
        </w:rPr>
        <w:lastRenderedPageBreak/>
        <w:t xml:space="preserve">on the basis of </w:t>
      </w:r>
      <w:r w:rsidR="006A5B40" w:rsidRPr="001E4E73">
        <w:rPr>
          <w:rFonts w:ascii="Times New Roman" w:hAnsi="Times New Roman"/>
        </w:rPr>
        <w:t>a minor</w:t>
      </w:r>
      <w:r w:rsidR="001E37A8" w:rsidRPr="001E4E73">
        <w:rPr>
          <w:rFonts w:ascii="Times New Roman" w:hAnsi="Times New Roman"/>
        </w:rPr>
        <w:t>,</w:t>
      </w:r>
      <w:r w:rsidR="006A5B40" w:rsidRPr="001E4E73">
        <w:rPr>
          <w:rFonts w:ascii="Times New Roman" w:hAnsi="Times New Roman"/>
        </w:rPr>
        <w:t xml:space="preserve"> unapproved </w:t>
      </w:r>
      <w:r w:rsidR="00FE7F0C" w:rsidRPr="001E4E73">
        <w:rPr>
          <w:rFonts w:ascii="Times New Roman" w:hAnsi="Times New Roman"/>
        </w:rPr>
        <w:t>element of the premises that is unrelated to structural safety and integrity</w:t>
      </w:r>
      <w:r w:rsidR="006A5B40" w:rsidRPr="001E4E73">
        <w:rPr>
          <w:rFonts w:ascii="Times New Roman" w:hAnsi="Times New Roman"/>
        </w:rPr>
        <w:t>.</w:t>
      </w:r>
    </w:p>
    <w:p w14:paraId="233CADA2" w14:textId="77777777" w:rsidR="006A5B40" w:rsidRPr="001E4E73" w:rsidRDefault="006A5B40" w:rsidP="00E46F52">
      <w:pPr>
        <w:spacing w:before="100" w:beforeAutospacing="1" w:after="100" w:afterAutospacing="1" w:line="276" w:lineRule="auto"/>
        <w:contextualSpacing/>
        <w:rPr>
          <w:rFonts w:ascii="Times New Roman" w:hAnsi="Times New Roman"/>
        </w:rPr>
      </w:pPr>
    </w:p>
    <w:p w14:paraId="69DDE90E" w14:textId="7106001F" w:rsidR="009C1D23" w:rsidRPr="001E4E73" w:rsidRDefault="009C1D23" w:rsidP="00E46F52">
      <w:pPr>
        <w:spacing w:line="276" w:lineRule="auto"/>
        <w:ind w:right="91"/>
        <w:rPr>
          <w:rFonts w:ascii="Times New Roman" w:hAnsi="Times New Roman"/>
          <w:i/>
        </w:rPr>
      </w:pPr>
      <w:r w:rsidRPr="001E4E73">
        <w:rPr>
          <w:rFonts w:ascii="Times New Roman" w:hAnsi="Times New Roman"/>
          <w:i/>
        </w:rPr>
        <w:t>Moveable premises</w:t>
      </w:r>
    </w:p>
    <w:p w14:paraId="0142A9B0" w14:textId="0E3F92F6" w:rsidR="00E05666" w:rsidRPr="001E4E73" w:rsidRDefault="00043C5D" w:rsidP="00E46F52">
      <w:pPr>
        <w:spacing w:before="100" w:beforeAutospacing="1" w:after="100" w:afterAutospacing="1" w:line="276" w:lineRule="auto"/>
        <w:contextualSpacing/>
        <w:rPr>
          <w:rFonts w:ascii="Times New Roman" w:hAnsi="Times New Roman"/>
        </w:rPr>
      </w:pPr>
      <w:r w:rsidRPr="001E4E73">
        <w:rPr>
          <w:rFonts w:ascii="Times New Roman" w:hAnsi="Times New Roman"/>
        </w:rPr>
        <w:t>Subp</w:t>
      </w:r>
      <w:r w:rsidR="00B3346E" w:rsidRPr="001E4E73">
        <w:rPr>
          <w:rFonts w:ascii="Times New Roman" w:hAnsi="Times New Roman"/>
        </w:rPr>
        <w:t xml:space="preserve">aragraph </w:t>
      </w:r>
      <w:r w:rsidR="000F529D" w:rsidRPr="001E4E73">
        <w:rPr>
          <w:rFonts w:ascii="Times New Roman" w:hAnsi="Times New Roman"/>
        </w:rPr>
        <w:t>6</w:t>
      </w:r>
      <w:r w:rsidR="006A5B40" w:rsidRPr="001E4E73">
        <w:rPr>
          <w:rFonts w:ascii="Times New Roman" w:hAnsi="Times New Roman"/>
        </w:rPr>
        <w:t>(a)(iii)</w:t>
      </w:r>
      <w:r w:rsidR="000906B9" w:rsidRPr="001E4E73">
        <w:rPr>
          <w:rFonts w:ascii="Times New Roman" w:hAnsi="Times New Roman"/>
        </w:rPr>
        <w:t xml:space="preserve"> </w:t>
      </w:r>
      <w:r w:rsidR="00D001BC" w:rsidRPr="001E4E73">
        <w:rPr>
          <w:rFonts w:ascii="Times New Roman" w:hAnsi="Times New Roman"/>
        </w:rPr>
        <w:t xml:space="preserve">provides an exception to the obligation on SIPs to connect premises </w:t>
      </w:r>
      <w:r w:rsidR="00E40CEA" w:rsidRPr="001E4E73">
        <w:rPr>
          <w:rFonts w:ascii="Times New Roman" w:hAnsi="Times New Roman"/>
        </w:rPr>
        <w:t xml:space="preserve">where </w:t>
      </w:r>
      <w:r w:rsidR="006A5B40" w:rsidRPr="001E4E73">
        <w:rPr>
          <w:rFonts w:ascii="Times New Roman" w:hAnsi="Times New Roman"/>
        </w:rPr>
        <w:t>premise</w:t>
      </w:r>
      <w:r w:rsidR="001E37A8" w:rsidRPr="001E4E73">
        <w:rPr>
          <w:rFonts w:ascii="Times New Roman" w:hAnsi="Times New Roman"/>
        </w:rPr>
        <w:t>s</w:t>
      </w:r>
      <w:r w:rsidR="006A5B40" w:rsidRPr="001E4E73">
        <w:rPr>
          <w:rFonts w:ascii="Times New Roman" w:hAnsi="Times New Roman"/>
        </w:rPr>
        <w:t xml:space="preserve"> </w:t>
      </w:r>
      <w:r w:rsidR="005948CC" w:rsidRPr="001E4E73">
        <w:rPr>
          <w:rFonts w:ascii="Times New Roman" w:hAnsi="Times New Roman"/>
        </w:rPr>
        <w:t>are</w:t>
      </w:r>
      <w:r w:rsidR="00E40CEA" w:rsidRPr="001E4E73">
        <w:rPr>
          <w:rFonts w:ascii="Times New Roman" w:hAnsi="Times New Roman"/>
        </w:rPr>
        <w:t xml:space="preserve"> </w:t>
      </w:r>
      <w:r w:rsidR="000906B9" w:rsidRPr="001E4E73">
        <w:rPr>
          <w:rFonts w:ascii="Times New Roman" w:hAnsi="Times New Roman"/>
        </w:rPr>
        <w:t xml:space="preserve">moveable </w:t>
      </w:r>
      <w:r w:rsidR="009C1D23" w:rsidRPr="001E4E73">
        <w:rPr>
          <w:rFonts w:ascii="Times New Roman" w:hAnsi="Times New Roman"/>
        </w:rPr>
        <w:t>structure</w:t>
      </w:r>
      <w:r w:rsidR="00BC4D17" w:rsidRPr="001E4E73">
        <w:rPr>
          <w:rFonts w:ascii="Times New Roman" w:hAnsi="Times New Roman"/>
        </w:rPr>
        <w:t>s</w:t>
      </w:r>
      <w:r w:rsidR="009C1D23" w:rsidRPr="001E4E73">
        <w:rPr>
          <w:rFonts w:ascii="Times New Roman" w:hAnsi="Times New Roman"/>
        </w:rPr>
        <w:t xml:space="preserve"> </w:t>
      </w:r>
      <w:r w:rsidR="000906B9" w:rsidRPr="001E4E73">
        <w:rPr>
          <w:rFonts w:ascii="Times New Roman" w:hAnsi="Times New Roman"/>
        </w:rPr>
        <w:t xml:space="preserve">and </w:t>
      </w:r>
      <w:r w:rsidR="00E40CEA" w:rsidRPr="001E4E73">
        <w:rPr>
          <w:rFonts w:ascii="Times New Roman" w:hAnsi="Times New Roman"/>
        </w:rPr>
        <w:t>the structure is</w:t>
      </w:r>
      <w:r w:rsidR="00F758DB" w:rsidRPr="001E4E73">
        <w:rPr>
          <w:rFonts w:ascii="Times New Roman" w:hAnsi="Times New Roman"/>
        </w:rPr>
        <w:t xml:space="preserve"> </w:t>
      </w:r>
      <w:r w:rsidR="000906B9" w:rsidRPr="001E4E73">
        <w:rPr>
          <w:rFonts w:ascii="Times New Roman" w:hAnsi="Times New Roman"/>
        </w:rPr>
        <w:t xml:space="preserve">not </w:t>
      </w:r>
      <w:r w:rsidR="00C328E4" w:rsidRPr="001E4E73">
        <w:rPr>
          <w:rFonts w:ascii="Times New Roman" w:hAnsi="Times New Roman"/>
        </w:rPr>
        <w:t xml:space="preserve">reasonably </w:t>
      </w:r>
      <w:r w:rsidR="00F758DB" w:rsidRPr="001E4E73">
        <w:rPr>
          <w:rFonts w:ascii="Times New Roman" w:hAnsi="Times New Roman"/>
        </w:rPr>
        <w:t xml:space="preserve">expected to </w:t>
      </w:r>
      <w:r w:rsidR="00C328E4" w:rsidRPr="001E4E73">
        <w:rPr>
          <w:rFonts w:ascii="Times New Roman" w:hAnsi="Times New Roman"/>
        </w:rPr>
        <w:t xml:space="preserve">be </w:t>
      </w:r>
      <w:r w:rsidR="000906B9" w:rsidRPr="001E4E73">
        <w:rPr>
          <w:rFonts w:ascii="Times New Roman" w:hAnsi="Times New Roman"/>
        </w:rPr>
        <w:t>continuously located at a given site</w:t>
      </w:r>
      <w:r w:rsidR="00E40CEA" w:rsidRPr="001E4E73">
        <w:rPr>
          <w:rFonts w:ascii="Times New Roman" w:hAnsi="Times New Roman"/>
        </w:rPr>
        <w:t>.</w:t>
      </w:r>
      <w:r w:rsidR="00F758DB" w:rsidRPr="001E4E73">
        <w:rPr>
          <w:rFonts w:ascii="Times New Roman" w:hAnsi="Times New Roman"/>
        </w:rPr>
        <w:t xml:space="preserve"> </w:t>
      </w:r>
      <w:r w:rsidR="00E40CEA" w:rsidRPr="001E4E73">
        <w:rPr>
          <w:rFonts w:ascii="Times New Roman" w:hAnsi="Times New Roman"/>
        </w:rPr>
        <w:t>E</w:t>
      </w:r>
      <w:r w:rsidR="00F758DB" w:rsidRPr="001E4E73">
        <w:rPr>
          <w:rFonts w:ascii="Times New Roman" w:hAnsi="Times New Roman"/>
        </w:rPr>
        <w:t>xamples</w:t>
      </w:r>
      <w:r w:rsidR="00E40CEA" w:rsidRPr="001E4E73">
        <w:rPr>
          <w:rFonts w:ascii="Times New Roman" w:hAnsi="Times New Roman"/>
        </w:rPr>
        <w:t xml:space="preserve"> of structures that would not be considered as continuously located </w:t>
      </w:r>
      <w:r w:rsidR="000F529D" w:rsidRPr="001E4E73">
        <w:rPr>
          <w:rFonts w:ascii="Times New Roman" w:hAnsi="Times New Roman"/>
        </w:rPr>
        <w:t>are</w:t>
      </w:r>
      <w:r w:rsidR="00F758DB" w:rsidRPr="001E4E73">
        <w:rPr>
          <w:rFonts w:ascii="Times New Roman" w:hAnsi="Times New Roman"/>
        </w:rPr>
        <w:t xml:space="preserve"> moored boats</w:t>
      </w:r>
      <w:r w:rsidR="000F529D" w:rsidRPr="001E4E73">
        <w:rPr>
          <w:rFonts w:ascii="Times New Roman" w:hAnsi="Times New Roman"/>
        </w:rPr>
        <w:t>,</w:t>
      </w:r>
      <w:r w:rsidR="00F758DB" w:rsidRPr="001E4E73">
        <w:rPr>
          <w:rFonts w:ascii="Times New Roman" w:hAnsi="Times New Roman"/>
        </w:rPr>
        <w:t xml:space="preserve"> motorhomes</w:t>
      </w:r>
      <w:r w:rsidR="000F529D" w:rsidRPr="001E4E73">
        <w:rPr>
          <w:rFonts w:ascii="Times New Roman" w:hAnsi="Times New Roman"/>
        </w:rPr>
        <w:t>,</w:t>
      </w:r>
      <w:r w:rsidR="00F758DB" w:rsidRPr="001E4E73">
        <w:rPr>
          <w:rFonts w:ascii="Times New Roman" w:hAnsi="Times New Roman"/>
        </w:rPr>
        <w:t xml:space="preserve"> </w:t>
      </w:r>
      <w:r w:rsidR="00BC4D17" w:rsidRPr="001E4E73">
        <w:rPr>
          <w:rFonts w:ascii="Times New Roman" w:hAnsi="Times New Roman"/>
        </w:rPr>
        <w:t>and</w:t>
      </w:r>
      <w:r w:rsidR="00F758DB" w:rsidRPr="001E4E73">
        <w:rPr>
          <w:rFonts w:ascii="Times New Roman" w:hAnsi="Times New Roman"/>
        </w:rPr>
        <w:t xml:space="preserve"> caravans</w:t>
      </w:r>
      <w:r w:rsidR="00CB28EC" w:rsidRPr="001E4E73">
        <w:rPr>
          <w:rFonts w:ascii="Times New Roman" w:hAnsi="Times New Roman"/>
        </w:rPr>
        <w:t xml:space="preserve"> not </w:t>
      </w:r>
      <w:r w:rsidR="000F529D" w:rsidRPr="001E4E73">
        <w:rPr>
          <w:rFonts w:ascii="Times New Roman" w:hAnsi="Times New Roman"/>
        </w:rPr>
        <w:t xml:space="preserve">parked at a </w:t>
      </w:r>
      <w:r w:rsidR="00BC4D17" w:rsidRPr="001E4E73">
        <w:rPr>
          <w:rFonts w:ascii="Times New Roman" w:hAnsi="Times New Roman"/>
        </w:rPr>
        <w:t>locat</w:t>
      </w:r>
      <w:r w:rsidR="000F529D" w:rsidRPr="001E4E73">
        <w:rPr>
          <w:rFonts w:ascii="Times New Roman" w:hAnsi="Times New Roman"/>
        </w:rPr>
        <w:t>ion</w:t>
      </w:r>
      <w:r w:rsidR="00BC4D17" w:rsidRPr="001E4E73">
        <w:rPr>
          <w:rFonts w:ascii="Times New Roman" w:hAnsi="Times New Roman"/>
        </w:rPr>
        <w:t xml:space="preserve"> </w:t>
      </w:r>
      <w:r w:rsidR="00CB28EC" w:rsidRPr="001E4E73">
        <w:rPr>
          <w:rFonts w:ascii="Times New Roman" w:hAnsi="Times New Roman"/>
        </w:rPr>
        <w:t>on an ongoing basis</w:t>
      </w:r>
      <w:r w:rsidR="00F758DB" w:rsidRPr="001E4E73">
        <w:rPr>
          <w:rFonts w:ascii="Times New Roman" w:hAnsi="Times New Roman"/>
        </w:rPr>
        <w:t xml:space="preserve">. </w:t>
      </w:r>
      <w:r w:rsidR="00E05666" w:rsidRPr="001E4E73">
        <w:rPr>
          <w:rFonts w:ascii="Times New Roman" w:hAnsi="Times New Roman"/>
        </w:rPr>
        <w:t xml:space="preserve">It is not reasonable </w:t>
      </w:r>
      <w:r w:rsidR="00C328E4" w:rsidRPr="001E4E73">
        <w:rPr>
          <w:rFonts w:ascii="Times New Roman" w:hAnsi="Times New Roman"/>
        </w:rPr>
        <w:t>to require</w:t>
      </w:r>
      <w:r w:rsidR="00E05666" w:rsidRPr="001E4E73">
        <w:rPr>
          <w:rFonts w:ascii="Times New Roman" w:hAnsi="Times New Roman"/>
        </w:rPr>
        <w:t xml:space="preserve"> SIPs to </w:t>
      </w:r>
      <w:r w:rsidR="00CB28EC" w:rsidRPr="001E4E73">
        <w:rPr>
          <w:rFonts w:ascii="Times New Roman" w:hAnsi="Times New Roman"/>
        </w:rPr>
        <w:t>bear the cost of</w:t>
      </w:r>
      <w:r w:rsidR="00C328E4" w:rsidRPr="001E4E73">
        <w:rPr>
          <w:rFonts w:ascii="Times New Roman" w:hAnsi="Times New Roman"/>
        </w:rPr>
        <w:t xml:space="preserve"> arranging </w:t>
      </w:r>
      <w:r w:rsidR="008F6317" w:rsidRPr="001E4E73">
        <w:rPr>
          <w:rFonts w:ascii="Times New Roman" w:hAnsi="Times New Roman"/>
        </w:rPr>
        <w:t xml:space="preserve">fixed </w:t>
      </w:r>
      <w:r w:rsidR="00E05666" w:rsidRPr="001E4E73">
        <w:rPr>
          <w:rFonts w:ascii="Times New Roman" w:hAnsi="Times New Roman"/>
        </w:rPr>
        <w:t xml:space="preserve">connection to </w:t>
      </w:r>
      <w:r w:rsidR="009C1D23" w:rsidRPr="001E4E73">
        <w:rPr>
          <w:rFonts w:ascii="Times New Roman" w:hAnsi="Times New Roman"/>
        </w:rPr>
        <w:t>premises that are relocated frequently</w:t>
      </w:r>
      <w:r w:rsidR="00E40CEA" w:rsidRPr="001E4E73">
        <w:rPr>
          <w:rFonts w:ascii="Times New Roman" w:hAnsi="Times New Roman"/>
        </w:rPr>
        <w:t xml:space="preserve">. </w:t>
      </w:r>
      <w:r w:rsidR="00686BD4" w:rsidRPr="001E4E73">
        <w:rPr>
          <w:rFonts w:ascii="Times New Roman" w:hAnsi="Times New Roman"/>
        </w:rPr>
        <w:t>If</w:t>
      </w:r>
      <w:r w:rsidR="0055107D" w:rsidRPr="001E4E73">
        <w:rPr>
          <w:rFonts w:ascii="Times New Roman" w:hAnsi="Times New Roman"/>
        </w:rPr>
        <w:t xml:space="preserve"> a structure is moved, SIP infrastructure </w:t>
      </w:r>
      <w:r w:rsidR="0084150A" w:rsidRPr="001E4E73">
        <w:rPr>
          <w:rFonts w:ascii="Times New Roman" w:hAnsi="Times New Roman"/>
        </w:rPr>
        <w:t>may</w:t>
      </w:r>
      <w:r w:rsidR="008F6317" w:rsidRPr="001E4E73">
        <w:rPr>
          <w:rFonts w:ascii="Times New Roman" w:hAnsi="Times New Roman"/>
        </w:rPr>
        <w:t xml:space="preserve"> be damaged </w:t>
      </w:r>
      <w:r w:rsidR="009C1D23" w:rsidRPr="001E4E73">
        <w:rPr>
          <w:rFonts w:ascii="Times New Roman" w:hAnsi="Times New Roman"/>
        </w:rPr>
        <w:t xml:space="preserve">or </w:t>
      </w:r>
      <w:r w:rsidR="0084150A" w:rsidRPr="001E4E73">
        <w:rPr>
          <w:rFonts w:ascii="Times New Roman" w:hAnsi="Times New Roman"/>
        </w:rPr>
        <w:t>lose functionality</w:t>
      </w:r>
      <w:r w:rsidR="00C328E4" w:rsidRPr="001E4E73">
        <w:rPr>
          <w:rFonts w:ascii="Times New Roman" w:hAnsi="Times New Roman"/>
        </w:rPr>
        <w:t>.</w:t>
      </w:r>
      <w:r w:rsidR="00686BD4" w:rsidRPr="001E4E73">
        <w:rPr>
          <w:rFonts w:ascii="Times New Roman" w:hAnsi="Times New Roman"/>
        </w:rPr>
        <w:t xml:space="preserve"> This applies to both fixed-line infrastructure and fixed wireless/satellite services. Movement of an antenna could reduce performance or even lead to complete loss of a service.</w:t>
      </w:r>
      <w:r w:rsidR="008F6317" w:rsidRPr="001E4E73">
        <w:rPr>
          <w:rFonts w:ascii="Times New Roman" w:hAnsi="Times New Roman"/>
        </w:rPr>
        <w:t xml:space="preserve"> </w:t>
      </w:r>
      <w:r w:rsidR="00686BD4" w:rsidRPr="001E4E73">
        <w:rPr>
          <w:rFonts w:ascii="Times New Roman" w:hAnsi="Times New Roman"/>
        </w:rPr>
        <w:t>For</w:t>
      </w:r>
      <w:r w:rsidR="00A70198" w:rsidRPr="001E4E73">
        <w:rPr>
          <w:rFonts w:ascii="Times New Roman" w:hAnsi="Times New Roman"/>
        </w:rPr>
        <w:t xml:space="preserve"> moveable premises</w:t>
      </w:r>
      <w:r w:rsidR="00686BD4" w:rsidRPr="001E4E73">
        <w:rPr>
          <w:rFonts w:ascii="Times New Roman" w:hAnsi="Times New Roman"/>
        </w:rPr>
        <w:t xml:space="preserve">, </w:t>
      </w:r>
      <w:r w:rsidR="003736EF" w:rsidRPr="001E4E73">
        <w:rPr>
          <w:rFonts w:ascii="Times New Roman" w:hAnsi="Times New Roman"/>
        </w:rPr>
        <w:t xml:space="preserve">connectivity </w:t>
      </w:r>
      <w:r w:rsidR="00686BD4" w:rsidRPr="001E4E73">
        <w:rPr>
          <w:rFonts w:ascii="Times New Roman" w:hAnsi="Times New Roman"/>
        </w:rPr>
        <w:t>would</w:t>
      </w:r>
      <w:r w:rsidR="003736EF" w:rsidRPr="001E4E73">
        <w:rPr>
          <w:rFonts w:ascii="Times New Roman" w:hAnsi="Times New Roman"/>
        </w:rPr>
        <w:t xml:space="preserve"> be better </w:t>
      </w:r>
      <w:r w:rsidR="0055107D" w:rsidRPr="001E4E73">
        <w:rPr>
          <w:rFonts w:ascii="Times New Roman" w:hAnsi="Times New Roman"/>
        </w:rPr>
        <w:t xml:space="preserve">sourced </w:t>
      </w:r>
      <w:r w:rsidR="00686BD4" w:rsidRPr="001E4E73">
        <w:rPr>
          <w:rFonts w:ascii="Times New Roman" w:hAnsi="Times New Roman"/>
        </w:rPr>
        <w:t xml:space="preserve">via a </w:t>
      </w:r>
      <w:r w:rsidR="0055107D" w:rsidRPr="001E4E73">
        <w:rPr>
          <w:rFonts w:ascii="Times New Roman" w:hAnsi="Times New Roman"/>
        </w:rPr>
        <w:t xml:space="preserve">mobile </w:t>
      </w:r>
      <w:r w:rsidR="00686BD4" w:rsidRPr="001E4E73">
        <w:rPr>
          <w:rFonts w:ascii="Times New Roman" w:hAnsi="Times New Roman"/>
        </w:rPr>
        <w:t xml:space="preserve">phone </w:t>
      </w:r>
      <w:r w:rsidR="0055107D" w:rsidRPr="001E4E73">
        <w:rPr>
          <w:rFonts w:ascii="Times New Roman" w:hAnsi="Times New Roman"/>
        </w:rPr>
        <w:t xml:space="preserve">service or </w:t>
      </w:r>
      <w:r w:rsidR="00686BD4" w:rsidRPr="001E4E73">
        <w:rPr>
          <w:rFonts w:ascii="Times New Roman" w:hAnsi="Times New Roman"/>
        </w:rPr>
        <w:t>a mobile broadband dongle</w:t>
      </w:r>
      <w:r w:rsidR="0055107D" w:rsidRPr="001E4E73">
        <w:rPr>
          <w:rFonts w:ascii="Times New Roman" w:hAnsi="Times New Roman"/>
        </w:rPr>
        <w:t xml:space="preserve">. </w:t>
      </w:r>
      <w:r w:rsidR="00686BD4" w:rsidRPr="001E4E73">
        <w:rPr>
          <w:rFonts w:ascii="Times New Roman" w:hAnsi="Times New Roman"/>
        </w:rPr>
        <w:t xml:space="preserve">However, a compromise may be possible, such as the SIP </w:t>
      </w:r>
      <w:r w:rsidR="003736EF" w:rsidRPr="001E4E73">
        <w:rPr>
          <w:rFonts w:ascii="Times New Roman" w:hAnsi="Times New Roman"/>
        </w:rPr>
        <w:t>connect</w:t>
      </w:r>
      <w:r w:rsidR="00686BD4" w:rsidRPr="001E4E73">
        <w:rPr>
          <w:rFonts w:ascii="Times New Roman" w:hAnsi="Times New Roman"/>
        </w:rPr>
        <w:t>ing</w:t>
      </w:r>
      <w:r w:rsidR="003736EF" w:rsidRPr="001E4E73">
        <w:rPr>
          <w:rFonts w:ascii="Times New Roman" w:hAnsi="Times New Roman"/>
        </w:rPr>
        <w:t xml:space="preserve"> </w:t>
      </w:r>
      <w:r w:rsidR="009C1D23" w:rsidRPr="001E4E73">
        <w:rPr>
          <w:rFonts w:ascii="Times New Roman" w:hAnsi="Times New Roman"/>
        </w:rPr>
        <w:t xml:space="preserve">fixed </w:t>
      </w:r>
      <w:r w:rsidR="003736EF" w:rsidRPr="001E4E73">
        <w:rPr>
          <w:rFonts w:ascii="Times New Roman" w:hAnsi="Times New Roman"/>
        </w:rPr>
        <w:t>services to permanent premises</w:t>
      </w:r>
      <w:r w:rsidR="00686BD4" w:rsidRPr="001E4E73">
        <w:rPr>
          <w:rFonts w:ascii="Times New Roman" w:hAnsi="Times New Roman"/>
        </w:rPr>
        <w:t xml:space="preserve"> on site,</w:t>
      </w:r>
      <w:r w:rsidR="003736EF" w:rsidRPr="001E4E73">
        <w:rPr>
          <w:rFonts w:ascii="Times New Roman" w:hAnsi="Times New Roman"/>
        </w:rPr>
        <w:t xml:space="preserve"> such as the office of a caravan park</w:t>
      </w:r>
      <w:r w:rsidR="00686BD4" w:rsidRPr="001E4E73">
        <w:rPr>
          <w:rFonts w:ascii="Times New Roman" w:hAnsi="Times New Roman"/>
        </w:rPr>
        <w:t>. From this location,</w:t>
      </w:r>
      <w:r w:rsidR="0055107D" w:rsidRPr="001E4E73">
        <w:rPr>
          <w:rFonts w:ascii="Times New Roman" w:hAnsi="Times New Roman"/>
        </w:rPr>
        <w:t xml:space="preserve"> </w:t>
      </w:r>
      <w:r w:rsidR="00686BD4" w:rsidRPr="001E4E73">
        <w:rPr>
          <w:rFonts w:ascii="Times New Roman" w:hAnsi="Times New Roman"/>
        </w:rPr>
        <w:t>access could be provided via wireless access points</w:t>
      </w:r>
      <w:r w:rsidR="0055107D" w:rsidRPr="001E4E73">
        <w:rPr>
          <w:rFonts w:ascii="Times New Roman" w:hAnsi="Times New Roman"/>
        </w:rPr>
        <w:t xml:space="preserve"> </w:t>
      </w:r>
      <w:r w:rsidR="00BC4D17" w:rsidRPr="001E4E73">
        <w:rPr>
          <w:rFonts w:ascii="Times New Roman" w:hAnsi="Times New Roman"/>
        </w:rPr>
        <w:t>within the grounds</w:t>
      </w:r>
      <w:r w:rsidR="00686BD4" w:rsidRPr="001E4E73">
        <w:rPr>
          <w:rFonts w:ascii="Times New Roman" w:hAnsi="Times New Roman"/>
        </w:rPr>
        <w:t>.</w:t>
      </w:r>
    </w:p>
    <w:p w14:paraId="7574721E" w14:textId="77777777" w:rsidR="008F6317" w:rsidRPr="001E4E73" w:rsidRDefault="008F6317" w:rsidP="00E46F52">
      <w:pPr>
        <w:spacing w:before="100" w:beforeAutospacing="1" w:after="100" w:afterAutospacing="1" w:line="276" w:lineRule="auto"/>
        <w:contextualSpacing/>
        <w:rPr>
          <w:rFonts w:ascii="Times New Roman" w:hAnsi="Times New Roman"/>
        </w:rPr>
      </w:pPr>
    </w:p>
    <w:p w14:paraId="0F4AD70C" w14:textId="77777777" w:rsidR="00E32ABA" w:rsidRPr="001E4E73" w:rsidRDefault="00BC4D17" w:rsidP="00E46F52">
      <w:pPr>
        <w:spacing w:before="100" w:beforeAutospacing="1" w:after="100" w:afterAutospacing="1" w:line="276" w:lineRule="auto"/>
        <w:contextualSpacing/>
        <w:rPr>
          <w:rFonts w:ascii="Times New Roman" w:hAnsi="Times New Roman"/>
        </w:rPr>
      </w:pPr>
      <w:r w:rsidRPr="001E4E73">
        <w:rPr>
          <w:rFonts w:ascii="Times New Roman" w:hAnsi="Times New Roman"/>
        </w:rPr>
        <w:t>H</w:t>
      </w:r>
      <w:r w:rsidR="0055107D" w:rsidRPr="001E4E73">
        <w:rPr>
          <w:rFonts w:ascii="Times New Roman" w:hAnsi="Times New Roman"/>
        </w:rPr>
        <w:t>owever</w:t>
      </w:r>
      <w:r w:rsidR="009C1D23" w:rsidRPr="001E4E73">
        <w:rPr>
          <w:rFonts w:ascii="Times New Roman" w:hAnsi="Times New Roman"/>
        </w:rPr>
        <w:t>, SIPs are expected to arrange connections to</w:t>
      </w:r>
      <w:r w:rsidR="00C328E4" w:rsidRPr="001E4E73">
        <w:rPr>
          <w:rFonts w:ascii="Times New Roman" w:hAnsi="Times New Roman"/>
        </w:rPr>
        <w:t xml:space="preserve"> </w:t>
      </w:r>
      <w:r w:rsidR="008F6317" w:rsidRPr="001E4E73">
        <w:rPr>
          <w:rFonts w:ascii="Times New Roman" w:hAnsi="Times New Roman"/>
        </w:rPr>
        <w:t xml:space="preserve">moveable </w:t>
      </w:r>
      <w:r w:rsidR="009C1D23" w:rsidRPr="001E4E73">
        <w:rPr>
          <w:rFonts w:ascii="Times New Roman" w:hAnsi="Times New Roman"/>
        </w:rPr>
        <w:t>structures</w:t>
      </w:r>
      <w:r w:rsidR="00C328E4" w:rsidRPr="001E4E73">
        <w:rPr>
          <w:rFonts w:ascii="Times New Roman" w:hAnsi="Times New Roman"/>
        </w:rPr>
        <w:t xml:space="preserve"> </w:t>
      </w:r>
      <w:r w:rsidR="009C1D23" w:rsidRPr="001E4E73">
        <w:rPr>
          <w:rFonts w:ascii="Times New Roman" w:hAnsi="Times New Roman"/>
        </w:rPr>
        <w:t xml:space="preserve">that are </w:t>
      </w:r>
      <w:r w:rsidR="00C328E4" w:rsidRPr="001E4E73">
        <w:rPr>
          <w:rFonts w:ascii="Times New Roman" w:hAnsi="Times New Roman"/>
        </w:rPr>
        <w:t xml:space="preserve">expected to be continuously located at a given location. Examples could include </w:t>
      </w:r>
      <w:r w:rsidR="00952630" w:rsidRPr="001E4E73">
        <w:rPr>
          <w:rFonts w:ascii="Times New Roman" w:hAnsi="Times New Roman"/>
        </w:rPr>
        <w:t>demountable</w:t>
      </w:r>
      <w:r w:rsidR="0055107D" w:rsidRPr="001E4E73">
        <w:rPr>
          <w:rFonts w:ascii="Times New Roman" w:hAnsi="Times New Roman"/>
        </w:rPr>
        <w:t xml:space="preserve"> offices</w:t>
      </w:r>
      <w:r w:rsidR="00F63C0D" w:rsidRPr="001E4E73">
        <w:rPr>
          <w:rFonts w:ascii="Times New Roman" w:hAnsi="Times New Roman"/>
        </w:rPr>
        <w:t xml:space="preserve"> or</w:t>
      </w:r>
      <w:r w:rsidRPr="001E4E73">
        <w:rPr>
          <w:rFonts w:ascii="Times New Roman" w:hAnsi="Times New Roman"/>
        </w:rPr>
        <w:t xml:space="preserve"> </w:t>
      </w:r>
      <w:r w:rsidR="0055107D" w:rsidRPr="001E4E73">
        <w:rPr>
          <w:rFonts w:ascii="Times New Roman" w:hAnsi="Times New Roman"/>
        </w:rPr>
        <w:t>homes</w:t>
      </w:r>
      <w:r w:rsidR="00F63C0D" w:rsidRPr="001E4E73">
        <w:rPr>
          <w:rFonts w:ascii="Times New Roman" w:hAnsi="Times New Roman"/>
        </w:rPr>
        <w:t>,</w:t>
      </w:r>
      <w:r w:rsidR="0055107D" w:rsidRPr="001E4E73">
        <w:rPr>
          <w:rFonts w:ascii="Times New Roman" w:hAnsi="Times New Roman"/>
        </w:rPr>
        <w:t xml:space="preserve"> or caravans that are located on private property </w:t>
      </w:r>
      <w:r w:rsidR="00952630" w:rsidRPr="001E4E73">
        <w:rPr>
          <w:rFonts w:ascii="Times New Roman" w:hAnsi="Times New Roman"/>
        </w:rPr>
        <w:t>and fixed in place</w:t>
      </w:r>
      <w:r w:rsidR="00E32ABA" w:rsidRPr="001E4E73">
        <w:rPr>
          <w:rFonts w:ascii="Times New Roman" w:hAnsi="Times New Roman"/>
        </w:rPr>
        <w:t xml:space="preserve"> </w:t>
      </w:r>
      <w:r w:rsidR="00F758DB" w:rsidRPr="001E4E73">
        <w:rPr>
          <w:rFonts w:ascii="Times New Roman" w:hAnsi="Times New Roman"/>
        </w:rPr>
        <w:t>such</w:t>
      </w:r>
      <w:r w:rsidR="00E32ABA" w:rsidRPr="001E4E73">
        <w:rPr>
          <w:rFonts w:ascii="Times New Roman" w:hAnsi="Times New Roman"/>
        </w:rPr>
        <w:t xml:space="preserve"> that </w:t>
      </w:r>
      <w:r w:rsidR="00C328E4" w:rsidRPr="001E4E73">
        <w:rPr>
          <w:rFonts w:ascii="Times New Roman" w:hAnsi="Times New Roman"/>
        </w:rPr>
        <w:t>they</w:t>
      </w:r>
      <w:r w:rsidR="00E32ABA" w:rsidRPr="001E4E73">
        <w:rPr>
          <w:rFonts w:ascii="Times New Roman" w:hAnsi="Times New Roman"/>
        </w:rPr>
        <w:t xml:space="preserve"> could not be readily moved</w:t>
      </w:r>
      <w:r w:rsidR="0055107D" w:rsidRPr="001E4E73">
        <w:rPr>
          <w:rFonts w:ascii="Times New Roman" w:hAnsi="Times New Roman"/>
        </w:rPr>
        <w:t xml:space="preserve"> (e.g. they are connected with power</w:t>
      </w:r>
      <w:r w:rsidR="00FF37A8" w:rsidRPr="001E4E73">
        <w:rPr>
          <w:rFonts w:ascii="Times New Roman" w:hAnsi="Times New Roman"/>
        </w:rPr>
        <w:t>, water</w:t>
      </w:r>
      <w:r w:rsidR="0055107D" w:rsidRPr="001E4E73">
        <w:rPr>
          <w:rFonts w:ascii="Times New Roman" w:hAnsi="Times New Roman"/>
        </w:rPr>
        <w:t xml:space="preserve"> and sewerage</w:t>
      </w:r>
      <w:r w:rsidR="009E7301" w:rsidRPr="001E4E73">
        <w:rPr>
          <w:rFonts w:ascii="Times New Roman" w:hAnsi="Times New Roman"/>
        </w:rPr>
        <w:t xml:space="preserve"> by utility provider</w:t>
      </w:r>
      <w:r w:rsidR="00952630" w:rsidRPr="001E4E73">
        <w:rPr>
          <w:rFonts w:ascii="Times New Roman" w:hAnsi="Times New Roman"/>
        </w:rPr>
        <w:t>s</w:t>
      </w:r>
      <w:r w:rsidR="0055107D" w:rsidRPr="001E4E73">
        <w:rPr>
          <w:rFonts w:ascii="Times New Roman" w:hAnsi="Times New Roman"/>
        </w:rPr>
        <w:t>).</w:t>
      </w:r>
    </w:p>
    <w:p w14:paraId="4528A6D3" w14:textId="77777777" w:rsidR="00065B5F" w:rsidRPr="001E4E73" w:rsidRDefault="00065B5F" w:rsidP="00E46F52">
      <w:pPr>
        <w:spacing w:before="100" w:beforeAutospacing="1" w:after="100" w:afterAutospacing="1" w:line="276" w:lineRule="auto"/>
        <w:contextualSpacing/>
      </w:pPr>
    </w:p>
    <w:p w14:paraId="4394C0B9" w14:textId="37F597D9" w:rsidR="008C4A38" w:rsidRPr="001E4E73" w:rsidRDefault="008C4A38" w:rsidP="00E46F52">
      <w:pPr>
        <w:spacing w:line="276" w:lineRule="auto"/>
        <w:ind w:right="91"/>
        <w:rPr>
          <w:rFonts w:ascii="Times New Roman" w:hAnsi="Times New Roman"/>
          <w:i/>
        </w:rPr>
      </w:pPr>
      <w:r w:rsidRPr="001E4E73">
        <w:rPr>
          <w:rFonts w:ascii="Times New Roman" w:hAnsi="Times New Roman"/>
          <w:i/>
        </w:rPr>
        <w:t>Power source</w:t>
      </w:r>
    </w:p>
    <w:p w14:paraId="3CB24B67" w14:textId="63CF2750" w:rsidR="0055789B" w:rsidRPr="001E4E73" w:rsidRDefault="00C740DD" w:rsidP="0023713A">
      <w:pPr>
        <w:spacing w:after="0" w:line="276" w:lineRule="auto"/>
        <w:rPr>
          <w:rFonts w:ascii="Times New Roman" w:hAnsi="Times New Roman"/>
        </w:rPr>
      </w:pPr>
      <w:r w:rsidRPr="001E4E73">
        <w:rPr>
          <w:rFonts w:ascii="Times New Roman" w:hAnsi="Times New Roman"/>
        </w:rPr>
        <w:t xml:space="preserve">Paragraph </w:t>
      </w:r>
      <w:r w:rsidR="006D1213" w:rsidRPr="001E4E73">
        <w:rPr>
          <w:rFonts w:ascii="Times New Roman" w:hAnsi="Times New Roman"/>
        </w:rPr>
        <w:t>6</w:t>
      </w:r>
      <w:r w:rsidR="006A5B40" w:rsidRPr="001E4E73">
        <w:rPr>
          <w:rFonts w:ascii="Times New Roman" w:hAnsi="Times New Roman"/>
        </w:rPr>
        <w:t xml:space="preserve">(b) </w:t>
      </w:r>
      <w:r w:rsidR="00F54984" w:rsidRPr="001E4E73">
        <w:rPr>
          <w:rFonts w:ascii="Times New Roman" w:hAnsi="Times New Roman"/>
        </w:rPr>
        <w:t>provides an exception</w:t>
      </w:r>
      <w:r w:rsidR="0036274A" w:rsidRPr="001E4E73">
        <w:rPr>
          <w:rFonts w:ascii="Times New Roman" w:hAnsi="Times New Roman"/>
        </w:rPr>
        <w:t xml:space="preserve"> </w:t>
      </w:r>
      <w:r w:rsidR="00002875" w:rsidRPr="001E4E73">
        <w:rPr>
          <w:rFonts w:ascii="Times New Roman" w:hAnsi="Times New Roman"/>
        </w:rPr>
        <w:t xml:space="preserve">to the obligation on SIPs to connect premises </w:t>
      </w:r>
      <w:r w:rsidR="003B7184" w:rsidRPr="001E4E73">
        <w:rPr>
          <w:rFonts w:ascii="Times New Roman" w:hAnsi="Times New Roman"/>
        </w:rPr>
        <w:t xml:space="preserve">if the end-user has not </w:t>
      </w:r>
      <w:r w:rsidR="00F54984" w:rsidRPr="001E4E73">
        <w:rPr>
          <w:rFonts w:ascii="Times New Roman" w:hAnsi="Times New Roman"/>
        </w:rPr>
        <w:t xml:space="preserve">arranged an </w:t>
      </w:r>
      <w:r w:rsidR="006A5B40" w:rsidRPr="001E4E73">
        <w:rPr>
          <w:rFonts w:ascii="Times New Roman" w:hAnsi="Times New Roman"/>
        </w:rPr>
        <w:t xml:space="preserve">adequate source of power </w:t>
      </w:r>
      <w:r w:rsidR="006D1213" w:rsidRPr="001E4E73">
        <w:rPr>
          <w:rFonts w:ascii="Times New Roman" w:hAnsi="Times New Roman"/>
        </w:rPr>
        <w:t>at</w:t>
      </w:r>
      <w:r w:rsidR="006A5B40" w:rsidRPr="001E4E73">
        <w:rPr>
          <w:rFonts w:ascii="Times New Roman" w:hAnsi="Times New Roman"/>
        </w:rPr>
        <w:t xml:space="preserve"> the premises</w:t>
      </w:r>
      <w:r w:rsidR="00F55781" w:rsidRPr="001E4E73">
        <w:rPr>
          <w:rFonts w:ascii="Times New Roman" w:hAnsi="Times New Roman"/>
        </w:rPr>
        <w:t xml:space="preserve"> to support the connection.</w:t>
      </w:r>
      <w:r w:rsidR="0036274A" w:rsidRPr="001E4E73">
        <w:rPr>
          <w:rFonts w:ascii="Times New Roman" w:hAnsi="Times New Roman"/>
        </w:rPr>
        <w:t xml:space="preserve"> While mains power is the source at most premises around Australia,</w:t>
      </w:r>
      <w:r w:rsidR="00F55781" w:rsidRPr="001E4E73">
        <w:rPr>
          <w:rFonts w:ascii="Times New Roman" w:hAnsi="Times New Roman"/>
        </w:rPr>
        <w:t xml:space="preserve"> </w:t>
      </w:r>
      <w:r w:rsidR="0036274A" w:rsidRPr="001E4E73">
        <w:rPr>
          <w:rFonts w:ascii="Times New Roman" w:hAnsi="Times New Roman"/>
        </w:rPr>
        <w:t>i</w:t>
      </w:r>
      <w:r w:rsidR="00467619" w:rsidRPr="001E4E73">
        <w:rPr>
          <w:rFonts w:ascii="Times New Roman" w:hAnsi="Times New Roman"/>
        </w:rPr>
        <w:t xml:space="preserve">n </w:t>
      </w:r>
      <w:r w:rsidR="0036274A" w:rsidRPr="001E4E73">
        <w:rPr>
          <w:rFonts w:ascii="Times New Roman" w:hAnsi="Times New Roman"/>
        </w:rPr>
        <w:t>some</w:t>
      </w:r>
      <w:r w:rsidR="00467619" w:rsidRPr="001E4E73">
        <w:rPr>
          <w:rFonts w:ascii="Times New Roman" w:hAnsi="Times New Roman"/>
        </w:rPr>
        <w:t xml:space="preserve"> remote locations, mains power </w:t>
      </w:r>
      <w:r w:rsidR="0036274A" w:rsidRPr="001E4E73">
        <w:rPr>
          <w:rFonts w:ascii="Times New Roman" w:hAnsi="Times New Roman"/>
        </w:rPr>
        <w:t>is</w:t>
      </w:r>
      <w:r w:rsidR="00467619" w:rsidRPr="001E4E73">
        <w:rPr>
          <w:rFonts w:ascii="Times New Roman" w:hAnsi="Times New Roman"/>
        </w:rPr>
        <w:t xml:space="preserve"> not available, </w:t>
      </w:r>
      <w:r w:rsidR="0036274A" w:rsidRPr="001E4E73">
        <w:rPr>
          <w:rFonts w:ascii="Times New Roman" w:hAnsi="Times New Roman"/>
        </w:rPr>
        <w:t xml:space="preserve">so power must be generated on site (e.g. a fuel, solar or wind generator). </w:t>
      </w:r>
      <w:r w:rsidR="008362CA" w:rsidRPr="001E4E73">
        <w:rPr>
          <w:rFonts w:ascii="Times New Roman" w:hAnsi="Times New Roman"/>
        </w:rPr>
        <w:t xml:space="preserve">This exception </w:t>
      </w:r>
      <w:r w:rsidR="0036274A" w:rsidRPr="001E4E73">
        <w:rPr>
          <w:rFonts w:ascii="Times New Roman" w:hAnsi="Times New Roman"/>
        </w:rPr>
        <w:t>is</w:t>
      </w:r>
      <w:r w:rsidR="008362CA" w:rsidRPr="001E4E73">
        <w:rPr>
          <w:rFonts w:ascii="Times New Roman" w:hAnsi="Times New Roman"/>
        </w:rPr>
        <w:t xml:space="preserve"> </w:t>
      </w:r>
      <w:r w:rsidR="0036274A" w:rsidRPr="001E4E73">
        <w:rPr>
          <w:rFonts w:ascii="Times New Roman" w:hAnsi="Times New Roman"/>
        </w:rPr>
        <w:t>an acknowledgment that</w:t>
      </w:r>
      <w:r w:rsidR="00467619" w:rsidRPr="001E4E73">
        <w:rPr>
          <w:rFonts w:ascii="Times New Roman" w:hAnsi="Times New Roman"/>
        </w:rPr>
        <w:t xml:space="preserve"> </w:t>
      </w:r>
      <w:r w:rsidR="0036274A" w:rsidRPr="001E4E73">
        <w:rPr>
          <w:rFonts w:ascii="Times New Roman" w:hAnsi="Times New Roman"/>
        </w:rPr>
        <w:t>SIP br</w:t>
      </w:r>
      <w:r w:rsidR="006D1213" w:rsidRPr="001E4E73">
        <w:rPr>
          <w:rFonts w:ascii="Times New Roman" w:hAnsi="Times New Roman"/>
        </w:rPr>
        <w:t>oa</w:t>
      </w:r>
      <w:r w:rsidR="0036274A" w:rsidRPr="001E4E73">
        <w:rPr>
          <w:rFonts w:ascii="Times New Roman" w:hAnsi="Times New Roman"/>
        </w:rPr>
        <w:t>dband connections require power to operate, which is a departure from the old days of copper phone lines, where power was supplied from the telephone exchange</w:t>
      </w:r>
      <w:r w:rsidR="006D1213" w:rsidRPr="001E4E73">
        <w:rPr>
          <w:rFonts w:ascii="Times New Roman" w:hAnsi="Times New Roman"/>
        </w:rPr>
        <w:t xml:space="preserve"> and end-users could make and receive phone calls without power at the premises</w:t>
      </w:r>
      <w:r w:rsidR="0036274A" w:rsidRPr="001E4E73">
        <w:rPr>
          <w:rFonts w:ascii="Times New Roman" w:hAnsi="Times New Roman"/>
        </w:rPr>
        <w:t>.</w:t>
      </w:r>
    </w:p>
    <w:p w14:paraId="1F03923A" w14:textId="77777777" w:rsidR="0023713A" w:rsidRPr="001E4E73" w:rsidRDefault="0023713A" w:rsidP="0023713A">
      <w:pPr>
        <w:spacing w:after="0" w:line="276" w:lineRule="auto"/>
        <w:rPr>
          <w:rFonts w:ascii="Times New Roman" w:hAnsi="Times New Roman"/>
        </w:rPr>
      </w:pPr>
    </w:p>
    <w:p w14:paraId="670D6C72" w14:textId="77777777" w:rsidR="006A5B40" w:rsidRPr="001E4E73" w:rsidRDefault="003736EF" w:rsidP="00002875">
      <w:pPr>
        <w:spacing w:line="276" w:lineRule="auto"/>
        <w:rPr>
          <w:rFonts w:ascii="Times New Roman" w:hAnsi="Times New Roman"/>
          <w:i/>
        </w:rPr>
      </w:pPr>
      <w:r w:rsidRPr="001E4E73">
        <w:rPr>
          <w:rFonts w:ascii="Times New Roman" w:hAnsi="Times New Roman"/>
          <w:i/>
        </w:rPr>
        <w:t>Compliance with laws</w:t>
      </w:r>
    </w:p>
    <w:p w14:paraId="09064628" w14:textId="1D240CD8" w:rsidR="00743FEE" w:rsidRPr="001E4E73" w:rsidRDefault="00C740DD" w:rsidP="00002875">
      <w:pPr>
        <w:spacing w:after="0" w:line="276" w:lineRule="auto"/>
        <w:rPr>
          <w:rFonts w:ascii="Times New Roman" w:hAnsi="Times New Roman"/>
        </w:rPr>
      </w:pPr>
      <w:r w:rsidRPr="001E4E73">
        <w:rPr>
          <w:rFonts w:ascii="Times New Roman" w:hAnsi="Times New Roman"/>
        </w:rPr>
        <w:t xml:space="preserve">Paragraph </w:t>
      </w:r>
      <w:r w:rsidR="00002875" w:rsidRPr="001E4E73">
        <w:rPr>
          <w:rFonts w:ascii="Times New Roman" w:hAnsi="Times New Roman"/>
        </w:rPr>
        <w:t>6</w:t>
      </w:r>
      <w:r w:rsidR="006A5B40" w:rsidRPr="001E4E73">
        <w:rPr>
          <w:rFonts w:ascii="Times New Roman" w:hAnsi="Times New Roman"/>
        </w:rPr>
        <w:t xml:space="preserve">(c) </w:t>
      </w:r>
      <w:r w:rsidR="003B7184" w:rsidRPr="001E4E73">
        <w:rPr>
          <w:rFonts w:ascii="Times New Roman" w:hAnsi="Times New Roman"/>
        </w:rPr>
        <w:t>provides an ex</w:t>
      </w:r>
      <w:r w:rsidR="001E37A8" w:rsidRPr="001E4E73">
        <w:rPr>
          <w:rFonts w:ascii="Times New Roman" w:hAnsi="Times New Roman"/>
        </w:rPr>
        <w:t xml:space="preserve">ception </w:t>
      </w:r>
      <w:r w:rsidR="003B7184" w:rsidRPr="001E4E73">
        <w:rPr>
          <w:rFonts w:ascii="Times New Roman" w:hAnsi="Times New Roman"/>
        </w:rPr>
        <w:t>to the obligation on SIPs to connect premises if</w:t>
      </w:r>
      <w:r w:rsidR="00002875" w:rsidRPr="001E4E73">
        <w:rPr>
          <w:rFonts w:ascii="Times New Roman" w:hAnsi="Times New Roman"/>
        </w:rPr>
        <w:t>,</w:t>
      </w:r>
      <w:r w:rsidR="003B7184" w:rsidRPr="001E4E73">
        <w:rPr>
          <w:rFonts w:ascii="Times New Roman" w:hAnsi="Times New Roman"/>
        </w:rPr>
        <w:t xml:space="preserve"> </w:t>
      </w:r>
      <w:r w:rsidR="00F54984" w:rsidRPr="001E4E73">
        <w:rPr>
          <w:rFonts w:ascii="Times New Roman" w:hAnsi="Times New Roman"/>
        </w:rPr>
        <w:t xml:space="preserve">in </w:t>
      </w:r>
      <w:r w:rsidR="003B7184" w:rsidRPr="001E4E73">
        <w:rPr>
          <w:rFonts w:ascii="Times New Roman" w:hAnsi="Times New Roman"/>
        </w:rPr>
        <w:t xml:space="preserve">doing so, </w:t>
      </w:r>
      <w:r w:rsidR="001E37A8" w:rsidRPr="001E4E73">
        <w:rPr>
          <w:rFonts w:ascii="Times New Roman" w:hAnsi="Times New Roman"/>
        </w:rPr>
        <w:t xml:space="preserve">the SIP </w:t>
      </w:r>
      <w:r w:rsidR="003B7184" w:rsidRPr="001E4E73">
        <w:rPr>
          <w:rFonts w:ascii="Times New Roman" w:hAnsi="Times New Roman"/>
        </w:rPr>
        <w:t xml:space="preserve">would </w:t>
      </w:r>
      <w:r w:rsidR="003736EF" w:rsidRPr="001E4E73">
        <w:rPr>
          <w:rFonts w:ascii="Times New Roman" w:hAnsi="Times New Roman"/>
        </w:rPr>
        <w:t xml:space="preserve">contravene </w:t>
      </w:r>
      <w:r w:rsidR="003B7184" w:rsidRPr="001E4E73">
        <w:rPr>
          <w:rFonts w:ascii="Times New Roman" w:hAnsi="Times New Roman"/>
        </w:rPr>
        <w:t xml:space="preserve">an </w:t>
      </w:r>
      <w:r w:rsidR="00F54984" w:rsidRPr="001E4E73">
        <w:rPr>
          <w:rFonts w:ascii="Times New Roman" w:hAnsi="Times New Roman"/>
        </w:rPr>
        <w:t xml:space="preserve">applicable </w:t>
      </w:r>
      <w:r w:rsidR="003B7184" w:rsidRPr="001E4E73">
        <w:rPr>
          <w:rFonts w:ascii="Times New Roman" w:hAnsi="Times New Roman"/>
        </w:rPr>
        <w:t xml:space="preserve">Commonwealth, State, Territory or local government law. </w:t>
      </w:r>
      <w:r w:rsidR="00002875" w:rsidRPr="001E4E73">
        <w:rPr>
          <w:rFonts w:ascii="Times New Roman" w:hAnsi="Times New Roman"/>
        </w:rPr>
        <w:t>E</w:t>
      </w:r>
      <w:r w:rsidR="002B24C4" w:rsidRPr="001E4E73">
        <w:rPr>
          <w:rFonts w:ascii="Times New Roman" w:hAnsi="Times New Roman"/>
        </w:rPr>
        <w:t xml:space="preserve">xamples </w:t>
      </w:r>
      <w:r w:rsidR="00A240D1" w:rsidRPr="001E4E73">
        <w:rPr>
          <w:rFonts w:ascii="Times New Roman" w:hAnsi="Times New Roman"/>
        </w:rPr>
        <w:t xml:space="preserve">that may apply to SIPs in fulfilling connection and supply requests </w:t>
      </w:r>
      <w:r w:rsidR="00002875" w:rsidRPr="001E4E73">
        <w:rPr>
          <w:rFonts w:ascii="Times New Roman" w:hAnsi="Times New Roman"/>
        </w:rPr>
        <w:t>are:</w:t>
      </w:r>
      <w:r w:rsidR="002B24C4" w:rsidRPr="001E4E73">
        <w:rPr>
          <w:rFonts w:ascii="Times New Roman" w:hAnsi="Times New Roman"/>
        </w:rPr>
        <w:t xml:space="preserve"> laws dealing with workplace health and safety, or laws dealing with environmental, cultural or heritage issues.</w:t>
      </w:r>
    </w:p>
    <w:p w14:paraId="50BE1FDB" w14:textId="77777777" w:rsidR="00002875" w:rsidRPr="001E4E73" w:rsidRDefault="00002875" w:rsidP="00002875">
      <w:pPr>
        <w:spacing w:after="0" w:line="276" w:lineRule="auto"/>
        <w:rPr>
          <w:rFonts w:ascii="Times New Roman" w:hAnsi="Times New Roman"/>
        </w:rPr>
      </w:pPr>
    </w:p>
    <w:p w14:paraId="28D8FEA9" w14:textId="77777777" w:rsidR="00002875" w:rsidRPr="001E4E73" w:rsidRDefault="00FC6520" w:rsidP="00002875">
      <w:pPr>
        <w:spacing w:after="0" w:line="276" w:lineRule="auto"/>
        <w:rPr>
          <w:rFonts w:ascii="Times New Roman" w:hAnsi="Times New Roman"/>
        </w:rPr>
      </w:pPr>
      <w:r w:rsidRPr="001E4E73">
        <w:rPr>
          <w:rFonts w:ascii="Times New Roman" w:hAnsi="Times New Roman"/>
        </w:rPr>
        <w:lastRenderedPageBreak/>
        <w:t>The concept of c</w:t>
      </w:r>
      <w:r w:rsidR="002B24C4" w:rsidRPr="001E4E73">
        <w:rPr>
          <w:rFonts w:ascii="Times New Roman" w:hAnsi="Times New Roman"/>
        </w:rPr>
        <w:t>ontravention of a law</w:t>
      </w:r>
      <w:r w:rsidRPr="001E4E73">
        <w:rPr>
          <w:rFonts w:ascii="Times New Roman" w:hAnsi="Times New Roman"/>
        </w:rPr>
        <w:t xml:space="preserve"> </w:t>
      </w:r>
      <w:r w:rsidR="002B24C4" w:rsidRPr="001E4E73">
        <w:rPr>
          <w:rFonts w:ascii="Times New Roman" w:hAnsi="Times New Roman"/>
        </w:rPr>
        <w:t xml:space="preserve">is </w:t>
      </w:r>
      <w:r w:rsidRPr="001E4E73">
        <w:rPr>
          <w:rFonts w:ascii="Times New Roman" w:hAnsi="Times New Roman"/>
        </w:rPr>
        <w:t xml:space="preserve">intended to be interpreted </w:t>
      </w:r>
      <w:r w:rsidR="003736EF" w:rsidRPr="001E4E73">
        <w:rPr>
          <w:rFonts w:ascii="Times New Roman" w:hAnsi="Times New Roman"/>
        </w:rPr>
        <w:t>broadly</w:t>
      </w:r>
      <w:r w:rsidR="00611A22" w:rsidRPr="001E4E73">
        <w:rPr>
          <w:rFonts w:ascii="Times New Roman" w:hAnsi="Times New Roman"/>
        </w:rPr>
        <w:t xml:space="preserve">. This could involve </w:t>
      </w:r>
      <w:r w:rsidR="00C72035" w:rsidRPr="001E4E73">
        <w:rPr>
          <w:rFonts w:ascii="Times New Roman" w:hAnsi="Times New Roman"/>
        </w:rPr>
        <w:t>direct statutory obligations</w:t>
      </w:r>
      <w:r w:rsidR="00B51E22" w:rsidRPr="001E4E73">
        <w:rPr>
          <w:rFonts w:ascii="Times New Roman" w:hAnsi="Times New Roman"/>
        </w:rPr>
        <w:t xml:space="preserve"> imposed by primary legislation</w:t>
      </w:r>
      <w:r w:rsidR="00C72035" w:rsidRPr="001E4E73">
        <w:rPr>
          <w:rFonts w:ascii="Times New Roman" w:hAnsi="Times New Roman"/>
        </w:rPr>
        <w:t xml:space="preserve">, requirements set out in subordinate </w:t>
      </w:r>
      <w:r w:rsidRPr="001E4E73">
        <w:rPr>
          <w:rFonts w:ascii="Times New Roman" w:hAnsi="Times New Roman"/>
        </w:rPr>
        <w:t>legislation</w:t>
      </w:r>
      <w:r w:rsidR="00002875" w:rsidRPr="001E4E73">
        <w:rPr>
          <w:rFonts w:ascii="Times New Roman" w:hAnsi="Times New Roman"/>
        </w:rPr>
        <w:t xml:space="preserve">, </w:t>
      </w:r>
      <w:r w:rsidR="002B24C4" w:rsidRPr="001E4E73">
        <w:rPr>
          <w:rFonts w:ascii="Times New Roman" w:hAnsi="Times New Roman"/>
        </w:rPr>
        <w:t>directions from a</w:t>
      </w:r>
      <w:r w:rsidR="003736EF" w:rsidRPr="001E4E73">
        <w:rPr>
          <w:rFonts w:ascii="Times New Roman" w:hAnsi="Times New Roman"/>
        </w:rPr>
        <w:t xml:space="preserve"> court, </w:t>
      </w:r>
      <w:r w:rsidR="00611A22" w:rsidRPr="001E4E73">
        <w:rPr>
          <w:rFonts w:ascii="Times New Roman" w:hAnsi="Times New Roman"/>
        </w:rPr>
        <w:t xml:space="preserve">or directions from a </w:t>
      </w:r>
      <w:r w:rsidR="003736EF" w:rsidRPr="001E4E73">
        <w:rPr>
          <w:rFonts w:ascii="Times New Roman" w:hAnsi="Times New Roman"/>
        </w:rPr>
        <w:t xml:space="preserve">regulator or </w:t>
      </w:r>
      <w:r w:rsidR="00611A22" w:rsidRPr="001E4E73">
        <w:rPr>
          <w:rFonts w:ascii="Times New Roman" w:hAnsi="Times New Roman"/>
        </w:rPr>
        <w:t>statutory</w:t>
      </w:r>
      <w:r w:rsidR="003736EF" w:rsidRPr="001E4E73">
        <w:rPr>
          <w:rFonts w:ascii="Times New Roman" w:hAnsi="Times New Roman"/>
        </w:rPr>
        <w:t xml:space="preserve"> authority</w:t>
      </w:r>
      <w:r w:rsidR="002B24C4" w:rsidRPr="001E4E73">
        <w:rPr>
          <w:rFonts w:ascii="Times New Roman" w:hAnsi="Times New Roman"/>
        </w:rPr>
        <w:t xml:space="preserve">. </w:t>
      </w:r>
      <w:r w:rsidR="006A5B40" w:rsidRPr="001E4E73">
        <w:rPr>
          <w:rFonts w:ascii="Times New Roman" w:hAnsi="Times New Roman"/>
        </w:rPr>
        <w:t xml:space="preserve">However, </w:t>
      </w:r>
      <w:r w:rsidR="00B80897" w:rsidRPr="001E4E73">
        <w:rPr>
          <w:rFonts w:ascii="Times New Roman" w:hAnsi="Times New Roman"/>
        </w:rPr>
        <w:t xml:space="preserve">to rely on </w:t>
      </w:r>
      <w:r w:rsidR="006A5B40" w:rsidRPr="001E4E73">
        <w:rPr>
          <w:rFonts w:ascii="Times New Roman" w:hAnsi="Times New Roman"/>
        </w:rPr>
        <w:t>th</w:t>
      </w:r>
      <w:r w:rsidR="00B80897" w:rsidRPr="001E4E73">
        <w:rPr>
          <w:rFonts w:ascii="Times New Roman" w:hAnsi="Times New Roman"/>
        </w:rPr>
        <w:t>is</w:t>
      </w:r>
      <w:r w:rsidR="006A5B40" w:rsidRPr="001E4E73">
        <w:rPr>
          <w:rFonts w:ascii="Times New Roman" w:hAnsi="Times New Roman"/>
        </w:rPr>
        <w:t xml:space="preserve"> </w:t>
      </w:r>
      <w:r w:rsidR="003B2874" w:rsidRPr="001E4E73">
        <w:rPr>
          <w:rFonts w:ascii="Times New Roman" w:hAnsi="Times New Roman"/>
        </w:rPr>
        <w:t>circumstance</w:t>
      </w:r>
      <w:r w:rsidR="00B80897" w:rsidRPr="001E4E73">
        <w:rPr>
          <w:rFonts w:ascii="Times New Roman" w:hAnsi="Times New Roman"/>
        </w:rPr>
        <w:t xml:space="preserve">, the SIP would need to </w:t>
      </w:r>
      <w:r w:rsidR="00611A22" w:rsidRPr="001E4E73">
        <w:rPr>
          <w:rFonts w:ascii="Times New Roman" w:hAnsi="Times New Roman"/>
        </w:rPr>
        <w:t>have</w:t>
      </w:r>
      <w:r w:rsidR="00B80897" w:rsidRPr="001E4E73">
        <w:rPr>
          <w:rFonts w:ascii="Times New Roman" w:hAnsi="Times New Roman"/>
        </w:rPr>
        <w:t xml:space="preserve"> no </w:t>
      </w:r>
      <w:r w:rsidR="006A5B40" w:rsidRPr="001E4E73">
        <w:rPr>
          <w:rFonts w:ascii="Times New Roman" w:hAnsi="Times New Roman"/>
        </w:rPr>
        <w:t xml:space="preserve">reasonable steps </w:t>
      </w:r>
      <w:r w:rsidR="00B80897" w:rsidRPr="001E4E73">
        <w:rPr>
          <w:rFonts w:ascii="Times New Roman" w:hAnsi="Times New Roman"/>
        </w:rPr>
        <w:t xml:space="preserve">available </w:t>
      </w:r>
      <w:r w:rsidRPr="001E4E73">
        <w:rPr>
          <w:rFonts w:ascii="Times New Roman" w:hAnsi="Times New Roman"/>
        </w:rPr>
        <w:t xml:space="preserve">to </w:t>
      </w:r>
      <w:r w:rsidR="006A5B40" w:rsidRPr="001E4E73">
        <w:rPr>
          <w:rFonts w:ascii="Times New Roman" w:hAnsi="Times New Roman"/>
        </w:rPr>
        <w:t>lawfully avoid a potential contravention.</w:t>
      </w:r>
    </w:p>
    <w:p w14:paraId="27AE54AA" w14:textId="77777777" w:rsidR="002C6F4E" w:rsidRPr="001E4E73" w:rsidRDefault="00F6267F" w:rsidP="00002875">
      <w:pPr>
        <w:spacing w:after="0" w:line="276" w:lineRule="auto"/>
        <w:rPr>
          <w:rFonts w:ascii="Times New Roman" w:hAnsi="Times New Roman"/>
        </w:rPr>
      </w:pPr>
      <w:r w:rsidRPr="001E4E73">
        <w:rPr>
          <w:rFonts w:ascii="Times New Roman" w:hAnsi="Times New Roman"/>
        </w:rPr>
        <w:t xml:space="preserve"> </w:t>
      </w:r>
    </w:p>
    <w:p w14:paraId="65F2CB3B" w14:textId="77777777" w:rsidR="00104653" w:rsidRPr="001E4E73" w:rsidRDefault="003736EF" w:rsidP="00805D99">
      <w:pPr>
        <w:spacing w:line="276" w:lineRule="auto"/>
        <w:rPr>
          <w:rFonts w:ascii="Times New Roman" w:hAnsi="Times New Roman"/>
          <w:i/>
        </w:rPr>
      </w:pPr>
      <w:r w:rsidRPr="001E4E73">
        <w:rPr>
          <w:rFonts w:ascii="Times New Roman" w:hAnsi="Times New Roman"/>
          <w:i/>
        </w:rPr>
        <w:t>C</w:t>
      </w:r>
      <w:r w:rsidR="00104653" w:rsidRPr="001E4E73">
        <w:rPr>
          <w:rFonts w:ascii="Times New Roman" w:hAnsi="Times New Roman"/>
          <w:i/>
        </w:rPr>
        <w:t>ivil works</w:t>
      </w:r>
    </w:p>
    <w:p w14:paraId="2E6B8F98" w14:textId="0B0D79B6" w:rsidR="000408CF" w:rsidRPr="001E4E73" w:rsidRDefault="00C740DD" w:rsidP="007114D6">
      <w:pPr>
        <w:spacing w:before="240" w:after="0" w:line="276" w:lineRule="auto"/>
        <w:rPr>
          <w:rFonts w:ascii="Times New Roman" w:hAnsi="Times New Roman"/>
        </w:rPr>
      </w:pPr>
      <w:r w:rsidRPr="001E4E73">
        <w:rPr>
          <w:rFonts w:ascii="Times New Roman" w:hAnsi="Times New Roman"/>
        </w:rPr>
        <w:t>Paragraph</w:t>
      </w:r>
      <w:r w:rsidR="00AF5457" w:rsidRPr="001E4E73">
        <w:rPr>
          <w:rFonts w:ascii="Times New Roman" w:hAnsi="Times New Roman"/>
        </w:rPr>
        <w:t xml:space="preserve"> </w:t>
      </w:r>
      <w:r w:rsidR="00805D99" w:rsidRPr="001E4E73">
        <w:rPr>
          <w:rFonts w:ascii="Times New Roman" w:hAnsi="Times New Roman"/>
        </w:rPr>
        <w:t>6</w:t>
      </w:r>
      <w:r w:rsidR="00AF5457" w:rsidRPr="001E4E73">
        <w:rPr>
          <w:rFonts w:ascii="Times New Roman" w:hAnsi="Times New Roman"/>
        </w:rPr>
        <w:t xml:space="preserve">(d) </w:t>
      </w:r>
      <w:r w:rsidR="00F65A90" w:rsidRPr="001E4E73">
        <w:rPr>
          <w:rFonts w:ascii="Times New Roman" w:hAnsi="Times New Roman"/>
        </w:rPr>
        <w:t xml:space="preserve">provides an exception to the obligation on SIPs to connect premises </w:t>
      </w:r>
      <w:r w:rsidR="00467619" w:rsidRPr="001E4E73">
        <w:rPr>
          <w:rFonts w:ascii="Times New Roman" w:hAnsi="Times New Roman"/>
        </w:rPr>
        <w:t xml:space="preserve">where </w:t>
      </w:r>
      <w:r w:rsidR="00805D99" w:rsidRPr="001E4E73">
        <w:rPr>
          <w:rFonts w:ascii="Times New Roman" w:hAnsi="Times New Roman"/>
        </w:rPr>
        <w:t xml:space="preserve">there are incomplete </w:t>
      </w:r>
      <w:r w:rsidR="00467619" w:rsidRPr="001E4E73">
        <w:rPr>
          <w:rFonts w:ascii="Times New Roman" w:hAnsi="Times New Roman"/>
        </w:rPr>
        <w:t xml:space="preserve">civil works </w:t>
      </w:r>
      <w:r w:rsidR="003C7B14" w:rsidRPr="001E4E73">
        <w:rPr>
          <w:rFonts w:ascii="Times New Roman" w:hAnsi="Times New Roman"/>
        </w:rPr>
        <w:t xml:space="preserve">that are a </w:t>
      </w:r>
      <w:r w:rsidR="00467619" w:rsidRPr="001E4E73">
        <w:rPr>
          <w:rFonts w:ascii="Times New Roman" w:hAnsi="Times New Roman"/>
        </w:rPr>
        <w:t xml:space="preserve">necessary </w:t>
      </w:r>
      <w:r w:rsidR="005B366E" w:rsidRPr="001E4E73">
        <w:rPr>
          <w:rFonts w:ascii="Times New Roman" w:hAnsi="Times New Roman"/>
        </w:rPr>
        <w:t>pre-requisite for the connection</w:t>
      </w:r>
      <w:r w:rsidR="00DA6497" w:rsidRPr="001E4E73">
        <w:rPr>
          <w:rFonts w:ascii="Times New Roman" w:hAnsi="Times New Roman"/>
        </w:rPr>
        <w:t>,</w:t>
      </w:r>
      <w:r w:rsidR="005B366E" w:rsidRPr="001E4E73">
        <w:rPr>
          <w:rFonts w:ascii="Times New Roman" w:hAnsi="Times New Roman"/>
        </w:rPr>
        <w:t xml:space="preserve"> </w:t>
      </w:r>
      <w:r w:rsidR="003C7B14" w:rsidRPr="001E4E73">
        <w:rPr>
          <w:rFonts w:ascii="Times New Roman" w:hAnsi="Times New Roman"/>
        </w:rPr>
        <w:t xml:space="preserve">and </w:t>
      </w:r>
      <w:r w:rsidR="00805D99" w:rsidRPr="001E4E73">
        <w:rPr>
          <w:rFonts w:ascii="Times New Roman" w:hAnsi="Times New Roman"/>
        </w:rPr>
        <w:t>the civil works are the</w:t>
      </w:r>
      <w:r w:rsidR="00467619" w:rsidRPr="001E4E73">
        <w:rPr>
          <w:rFonts w:ascii="Times New Roman" w:hAnsi="Times New Roman"/>
        </w:rPr>
        <w:t xml:space="preserve"> responsibility of another </w:t>
      </w:r>
      <w:r w:rsidR="00805D99" w:rsidRPr="001E4E73">
        <w:rPr>
          <w:rFonts w:ascii="Times New Roman" w:hAnsi="Times New Roman"/>
        </w:rPr>
        <w:t>party other than the SIP.</w:t>
      </w:r>
    </w:p>
    <w:p w14:paraId="6F70890A" w14:textId="77777777" w:rsidR="007114D6" w:rsidRPr="001E4E73" w:rsidRDefault="007114D6" w:rsidP="007114D6">
      <w:pPr>
        <w:spacing w:after="0" w:line="276" w:lineRule="auto"/>
        <w:rPr>
          <w:rFonts w:ascii="Times New Roman" w:hAnsi="Times New Roman"/>
        </w:rPr>
      </w:pPr>
    </w:p>
    <w:p w14:paraId="4B464822" w14:textId="1F02FA49" w:rsidR="00A240D1" w:rsidRPr="001E4E73" w:rsidRDefault="005B366E" w:rsidP="009D067B">
      <w:pPr>
        <w:spacing w:after="0" w:line="276" w:lineRule="auto"/>
        <w:rPr>
          <w:rFonts w:ascii="Times New Roman" w:hAnsi="Times New Roman"/>
        </w:rPr>
      </w:pPr>
      <w:r w:rsidRPr="001E4E73">
        <w:rPr>
          <w:rFonts w:ascii="Times New Roman" w:hAnsi="Times New Roman"/>
        </w:rPr>
        <w:t>While SIPs</w:t>
      </w:r>
      <w:r w:rsidR="00A20C79" w:rsidRPr="001E4E73">
        <w:rPr>
          <w:rFonts w:ascii="Times New Roman" w:hAnsi="Times New Roman"/>
        </w:rPr>
        <w:t xml:space="preserve"> </w:t>
      </w:r>
      <w:r w:rsidRPr="001E4E73">
        <w:rPr>
          <w:rFonts w:ascii="Times New Roman" w:hAnsi="Times New Roman"/>
        </w:rPr>
        <w:t xml:space="preserve">provide </w:t>
      </w:r>
      <w:r w:rsidR="003C7B14" w:rsidRPr="001E4E73">
        <w:rPr>
          <w:rFonts w:ascii="Times New Roman" w:hAnsi="Times New Roman"/>
        </w:rPr>
        <w:t xml:space="preserve">much of the </w:t>
      </w:r>
      <w:r w:rsidRPr="001E4E73">
        <w:rPr>
          <w:rFonts w:ascii="Times New Roman" w:hAnsi="Times New Roman"/>
        </w:rPr>
        <w:t xml:space="preserve">infrastructure to </w:t>
      </w:r>
      <w:r w:rsidR="00A20C79" w:rsidRPr="001E4E73">
        <w:rPr>
          <w:rFonts w:ascii="Times New Roman" w:hAnsi="Times New Roman"/>
        </w:rPr>
        <w:t>connect premises</w:t>
      </w:r>
      <w:r w:rsidRPr="001E4E73">
        <w:rPr>
          <w:rFonts w:ascii="Times New Roman" w:hAnsi="Times New Roman"/>
        </w:rPr>
        <w:t xml:space="preserve">, there </w:t>
      </w:r>
      <w:r w:rsidR="00DA6497" w:rsidRPr="001E4E73">
        <w:rPr>
          <w:rFonts w:ascii="Times New Roman" w:hAnsi="Times New Roman"/>
        </w:rPr>
        <w:t xml:space="preserve">may </w:t>
      </w:r>
      <w:r w:rsidR="00987634" w:rsidRPr="001E4E73">
        <w:rPr>
          <w:rFonts w:ascii="Times New Roman" w:hAnsi="Times New Roman"/>
        </w:rPr>
        <w:t xml:space="preserve">be </w:t>
      </w:r>
      <w:r w:rsidR="000408CF" w:rsidRPr="001E4E73">
        <w:rPr>
          <w:rFonts w:ascii="Times New Roman" w:hAnsi="Times New Roman"/>
        </w:rPr>
        <w:t xml:space="preserve">circumstances where </w:t>
      </w:r>
      <w:r w:rsidR="00833DAB" w:rsidRPr="001E4E73">
        <w:rPr>
          <w:rFonts w:ascii="Times New Roman" w:hAnsi="Times New Roman"/>
        </w:rPr>
        <w:t>further infrastructure needs to be installed</w:t>
      </w:r>
      <w:r w:rsidR="00D2105F" w:rsidRPr="001E4E73">
        <w:rPr>
          <w:rFonts w:ascii="Times New Roman" w:hAnsi="Times New Roman"/>
        </w:rPr>
        <w:t xml:space="preserve">, </w:t>
      </w:r>
      <w:r w:rsidR="00A20C79" w:rsidRPr="001E4E73">
        <w:rPr>
          <w:rFonts w:ascii="Times New Roman" w:hAnsi="Times New Roman"/>
        </w:rPr>
        <w:t xml:space="preserve">either </w:t>
      </w:r>
      <w:r w:rsidRPr="001E4E73">
        <w:rPr>
          <w:rFonts w:ascii="Times New Roman" w:hAnsi="Times New Roman"/>
        </w:rPr>
        <w:t>by developers or the</w:t>
      </w:r>
      <w:r w:rsidR="00A20C79" w:rsidRPr="001E4E73">
        <w:rPr>
          <w:rFonts w:ascii="Times New Roman" w:hAnsi="Times New Roman"/>
        </w:rPr>
        <w:t xml:space="preserve"> owner of </w:t>
      </w:r>
      <w:r w:rsidRPr="001E4E73">
        <w:rPr>
          <w:rFonts w:ascii="Times New Roman" w:hAnsi="Times New Roman"/>
        </w:rPr>
        <w:t xml:space="preserve">the premises. </w:t>
      </w:r>
      <w:r w:rsidR="00833DAB" w:rsidRPr="001E4E73">
        <w:rPr>
          <w:rFonts w:ascii="Times New Roman" w:hAnsi="Times New Roman"/>
        </w:rPr>
        <w:t>U</w:t>
      </w:r>
      <w:r w:rsidR="00067F33" w:rsidRPr="001E4E73">
        <w:rPr>
          <w:rFonts w:ascii="Times New Roman" w:hAnsi="Times New Roman"/>
        </w:rPr>
        <w:t>nder Part 20A</w:t>
      </w:r>
      <w:r w:rsidRPr="001E4E73">
        <w:rPr>
          <w:rFonts w:ascii="Times New Roman" w:hAnsi="Times New Roman"/>
        </w:rPr>
        <w:t xml:space="preserve"> </w:t>
      </w:r>
      <w:r w:rsidR="003C7B14" w:rsidRPr="001E4E73">
        <w:rPr>
          <w:rFonts w:ascii="Times New Roman" w:hAnsi="Times New Roman"/>
        </w:rPr>
        <w:t xml:space="preserve">of the </w:t>
      </w:r>
      <w:r w:rsidR="00DA6497" w:rsidRPr="001E4E73">
        <w:rPr>
          <w:rFonts w:ascii="Times New Roman" w:hAnsi="Times New Roman"/>
        </w:rPr>
        <w:t>Act</w:t>
      </w:r>
      <w:r w:rsidR="00833DAB" w:rsidRPr="001E4E73">
        <w:rPr>
          <w:rFonts w:ascii="Times New Roman" w:hAnsi="Times New Roman"/>
        </w:rPr>
        <w:t xml:space="preserve">, </w:t>
      </w:r>
      <w:r w:rsidR="006321A8" w:rsidRPr="001E4E73">
        <w:rPr>
          <w:rFonts w:ascii="Times New Roman" w:hAnsi="Times New Roman"/>
        </w:rPr>
        <w:t xml:space="preserve">before selling new premises or lots, </w:t>
      </w:r>
      <w:r w:rsidR="00833DAB" w:rsidRPr="001E4E73">
        <w:rPr>
          <w:rFonts w:ascii="Times New Roman" w:hAnsi="Times New Roman"/>
        </w:rPr>
        <w:t>developers are responsible for</w:t>
      </w:r>
      <w:r w:rsidRPr="001E4E73">
        <w:rPr>
          <w:rFonts w:ascii="Times New Roman" w:hAnsi="Times New Roman"/>
        </w:rPr>
        <w:t xml:space="preserve"> providing</w:t>
      </w:r>
      <w:r w:rsidR="00833DAB" w:rsidRPr="001E4E73">
        <w:rPr>
          <w:rFonts w:ascii="Times New Roman" w:hAnsi="Times New Roman"/>
        </w:rPr>
        <w:t xml:space="preserve"> ‘fibre-ready facilities’ such as </w:t>
      </w:r>
      <w:r w:rsidRPr="001E4E73">
        <w:rPr>
          <w:rFonts w:ascii="Times New Roman" w:hAnsi="Times New Roman"/>
        </w:rPr>
        <w:t>pit and pipe</w:t>
      </w:r>
      <w:r w:rsidR="00004CB5" w:rsidRPr="001E4E73">
        <w:rPr>
          <w:rFonts w:ascii="Times New Roman" w:hAnsi="Times New Roman"/>
        </w:rPr>
        <w:t>,</w:t>
      </w:r>
      <w:r w:rsidRPr="001E4E73">
        <w:rPr>
          <w:rFonts w:ascii="Times New Roman" w:hAnsi="Times New Roman"/>
        </w:rPr>
        <w:t xml:space="preserve"> </w:t>
      </w:r>
      <w:r w:rsidR="00833DAB" w:rsidRPr="001E4E73">
        <w:rPr>
          <w:rFonts w:ascii="Times New Roman" w:hAnsi="Times New Roman"/>
        </w:rPr>
        <w:t>as well as any associated trenching or construction works. This is necessary so</w:t>
      </w:r>
      <w:r w:rsidRPr="001E4E73">
        <w:rPr>
          <w:rFonts w:ascii="Times New Roman" w:hAnsi="Times New Roman"/>
        </w:rPr>
        <w:t xml:space="preserve"> SIP</w:t>
      </w:r>
      <w:r w:rsidR="00833DAB" w:rsidRPr="001E4E73">
        <w:rPr>
          <w:rFonts w:ascii="Times New Roman" w:hAnsi="Times New Roman"/>
        </w:rPr>
        <w:t xml:space="preserve"> fixed-line</w:t>
      </w:r>
      <w:r w:rsidRPr="001E4E73">
        <w:rPr>
          <w:rFonts w:ascii="Times New Roman" w:hAnsi="Times New Roman"/>
        </w:rPr>
        <w:t xml:space="preserve"> cabling can be </w:t>
      </w:r>
      <w:r w:rsidR="00833DAB" w:rsidRPr="001E4E73">
        <w:rPr>
          <w:rFonts w:ascii="Times New Roman" w:hAnsi="Times New Roman"/>
        </w:rPr>
        <w:t>extended</w:t>
      </w:r>
      <w:r w:rsidRPr="001E4E73">
        <w:rPr>
          <w:rFonts w:ascii="Times New Roman" w:hAnsi="Times New Roman"/>
        </w:rPr>
        <w:t xml:space="preserve"> to the premises </w:t>
      </w:r>
      <w:r w:rsidR="00833DAB" w:rsidRPr="001E4E73">
        <w:rPr>
          <w:rFonts w:ascii="Times New Roman" w:hAnsi="Times New Roman"/>
        </w:rPr>
        <w:t>from the nearest network presence</w:t>
      </w:r>
      <w:r w:rsidRPr="001E4E73">
        <w:rPr>
          <w:rFonts w:ascii="Times New Roman" w:hAnsi="Times New Roman"/>
        </w:rPr>
        <w:t>.</w:t>
      </w:r>
      <w:r w:rsidR="00F109F2" w:rsidRPr="001E4E73">
        <w:rPr>
          <w:rFonts w:ascii="Times New Roman" w:hAnsi="Times New Roman"/>
        </w:rPr>
        <w:t xml:space="preserve"> </w:t>
      </w:r>
      <w:r w:rsidR="006321A8" w:rsidRPr="001E4E73">
        <w:rPr>
          <w:rFonts w:ascii="Times New Roman" w:hAnsi="Times New Roman"/>
        </w:rPr>
        <w:t xml:space="preserve">If the developer fails to install fibre-ready facilities, the onus falls on the current owner of the premises. </w:t>
      </w:r>
      <w:r w:rsidR="00006D7F" w:rsidRPr="001E4E73">
        <w:rPr>
          <w:rFonts w:ascii="Times New Roman" w:hAnsi="Times New Roman"/>
        </w:rPr>
        <w:t xml:space="preserve">This allocation of responsibilities is consistent with the </w:t>
      </w:r>
      <w:r w:rsidR="00833DAB" w:rsidRPr="001E4E73">
        <w:rPr>
          <w:rFonts w:ascii="Times New Roman" w:hAnsi="Times New Roman"/>
        </w:rPr>
        <w:t>Telecommunications in New Developments (</w:t>
      </w:r>
      <w:r w:rsidR="00006D7F" w:rsidRPr="001E4E73">
        <w:rPr>
          <w:rFonts w:ascii="Times New Roman" w:hAnsi="Times New Roman"/>
        </w:rPr>
        <w:t>TIND</w:t>
      </w:r>
      <w:r w:rsidR="00833DAB" w:rsidRPr="001E4E73">
        <w:rPr>
          <w:rFonts w:ascii="Times New Roman" w:hAnsi="Times New Roman"/>
        </w:rPr>
        <w:t>)</w:t>
      </w:r>
      <w:r w:rsidR="00006D7F" w:rsidRPr="001E4E73">
        <w:rPr>
          <w:rFonts w:ascii="Times New Roman" w:hAnsi="Times New Roman"/>
        </w:rPr>
        <w:t xml:space="preserve"> Policy</w:t>
      </w:r>
      <w:r w:rsidR="009D067B" w:rsidRPr="001E4E73">
        <w:rPr>
          <w:rFonts w:ascii="Times New Roman" w:hAnsi="Times New Roman"/>
        </w:rPr>
        <w:t xml:space="preserve"> 2024.</w:t>
      </w:r>
    </w:p>
    <w:p w14:paraId="624A11CC" w14:textId="77777777" w:rsidR="009D067B" w:rsidRPr="001E4E73" w:rsidRDefault="009D067B" w:rsidP="009D067B">
      <w:pPr>
        <w:spacing w:after="0" w:line="276" w:lineRule="auto"/>
        <w:rPr>
          <w:rFonts w:ascii="Times New Roman" w:hAnsi="Times New Roman"/>
        </w:rPr>
      </w:pPr>
    </w:p>
    <w:p w14:paraId="4E99A9F5" w14:textId="77777777" w:rsidR="00006D7F" w:rsidRPr="001E4E73" w:rsidRDefault="006321A8" w:rsidP="009D067B">
      <w:pPr>
        <w:spacing w:after="0" w:line="276" w:lineRule="auto"/>
        <w:rPr>
          <w:rFonts w:ascii="Times New Roman" w:hAnsi="Times New Roman"/>
        </w:rPr>
      </w:pPr>
      <w:r w:rsidRPr="001E4E73">
        <w:rPr>
          <w:rFonts w:ascii="Times New Roman" w:hAnsi="Times New Roman"/>
        </w:rPr>
        <w:t>As an alternative measure, the</w:t>
      </w:r>
      <w:r w:rsidR="00006D7F" w:rsidRPr="001E4E73">
        <w:rPr>
          <w:rFonts w:ascii="Times New Roman" w:hAnsi="Times New Roman"/>
        </w:rPr>
        <w:t xml:space="preserve"> SIP </w:t>
      </w:r>
      <w:r w:rsidRPr="001E4E73">
        <w:rPr>
          <w:rFonts w:ascii="Times New Roman" w:hAnsi="Times New Roman"/>
        </w:rPr>
        <w:t>may choose</w:t>
      </w:r>
      <w:r w:rsidR="00006D7F" w:rsidRPr="001E4E73">
        <w:rPr>
          <w:rFonts w:ascii="Times New Roman" w:hAnsi="Times New Roman"/>
        </w:rPr>
        <w:t xml:space="preserve"> </w:t>
      </w:r>
      <w:r w:rsidRPr="001E4E73">
        <w:rPr>
          <w:rFonts w:ascii="Times New Roman" w:hAnsi="Times New Roman"/>
        </w:rPr>
        <w:t>to install</w:t>
      </w:r>
      <w:r w:rsidR="00006D7F" w:rsidRPr="001E4E73">
        <w:rPr>
          <w:rFonts w:ascii="Times New Roman" w:hAnsi="Times New Roman"/>
        </w:rPr>
        <w:t xml:space="preserve"> pit and pipe</w:t>
      </w:r>
      <w:r w:rsidR="000408CF" w:rsidRPr="001E4E73">
        <w:rPr>
          <w:rFonts w:ascii="Times New Roman" w:hAnsi="Times New Roman"/>
        </w:rPr>
        <w:t xml:space="preserve"> (</w:t>
      </w:r>
      <w:r w:rsidR="00006D7F" w:rsidRPr="001E4E73">
        <w:rPr>
          <w:rFonts w:ascii="Times New Roman" w:hAnsi="Times New Roman"/>
        </w:rPr>
        <w:t xml:space="preserve">if </w:t>
      </w:r>
      <w:r w:rsidRPr="001E4E73">
        <w:rPr>
          <w:rFonts w:ascii="Times New Roman" w:hAnsi="Times New Roman"/>
        </w:rPr>
        <w:t>the</w:t>
      </w:r>
      <w:r w:rsidR="00006D7F" w:rsidRPr="001E4E73">
        <w:rPr>
          <w:rFonts w:ascii="Times New Roman" w:hAnsi="Times New Roman"/>
        </w:rPr>
        <w:t xml:space="preserve"> developer did not do so</w:t>
      </w:r>
      <w:r w:rsidR="000408CF" w:rsidRPr="001E4E73">
        <w:rPr>
          <w:rFonts w:ascii="Times New Roman" w:hAnsi="Times New Roman"/>
        </w:rPr>
        <w:t>)</w:t>
      </w:r>
      <w:r w:rsidR="00006D7F" w:rsidRPr="001E4E73">
        <w:rPr>
          <w:rFonts w:ascii="Times New Roman" w:hAnsi="Times New Roman"/>
        </w:rPr>
        <w:t xml:space="preserve"> and seek to recover the cost</w:t>
      </w:r>
      <w:r w:rsidRPr="001E4E73">
        <w:rPr>
          <w:rFonts w:ascii="Times New Roman" w:hAnsi="Times New Roman"/>
        </w:rPr>
        <w:t>s</w:t>
      </w:r>
      <w:r w:rsidR="00006D7F" w:rsidRPr="001E4E73">
        <w:rPr>
          <w:rFonts w:ascii="Times New Roman" w:hAnsi="Times New Roman"/>
        </w:rPr>
        <w:t xml:space="preserve"> from the developer or end-users. </w:t>
      </w:r>
      <w:r w:rsidRPr="001E4E73">
        <w:rPr>
          <w:rFonts w:ascii="Times New Roman" w:hAnsi="Times New Roman"/>
        </w:rPr>
        <w:t>If it is</w:t>
      </w:r>
      <w:r w:rsidR="00F658D1" w:rsidRPr="001E4E73">
        <w:rPr>
          <w:rFonts w:ascii="Times New Roman" w:hAnsi="Times New Roman"/>
        </w:rPr>
        <w:t xml:space="preserve"> </w:t>
      </w:r>
      <w:r w:rsidRPr="001E4E73">
        <w:rPr>
          <w:rFonts w:ascii="Times New Roman" w:hAnsi="Times New Roman"/>
        </w:rPr>
        <w:t>technically feasible,</w:t>
      </w:r>
      <w:r w:rsidR="00006D7F" w:rsidRPr="001E4E73">
        <w:rPr>
          <w:rFonts w:ascii="Times New Roman" w:hAnsi="Times New Roman"/>
        </w:rPr>
        <w:t xml:space="preserve"> a SIP can </w:t>
      </w:r>
      <w:r w:rsidRPr="001E4E73">
        <w:rPr>
          <w:rFonts w:ascii="Times New Roman" w:hAnsi="Times New Roman"/>
        </w:rPr>
        <w:t xml:space="preserve">choose to </w:t>
      </w:r>
      <w:r w:rsidR="00006D7F" w:rsidRPr="001E4E73">
        <w:rPr>
          <w:rFonts w:ascii="Times New Roman" w:hAnsi="Times New Roman"/>
        </w:rPr>
        <w:t xml:space="preserve">provide a connection in the absence of such works, but </w:t>
      </w:r>
      <w:r w:rsidR="00F658D1" w:rsidRPr="001E4E73">
        <w:rPr>
          <w:rFonts w:ascii="Times New Roman" w:hAnsi="Times New Roman"/>
        </w:rPr>
        <w:t>due to the exception available under this Instrument, SIPs are not obliged to do so.</w:t>
      </w:r>
    </w:p>
    <w:p w14:paraId="7819F697" w14:textId="77777777" w:rsidR="009D067B" w:rsidRPr="001E4E73" w:rsidRDefault="009D067B" w:rsidP="009D067B">
      <w:pPr>
        <w:spacing w:after="0" w:line="276" w:lineRule="auto"/>
        <w:rPr>
          <w:rFonts w:ascii="Times New Roman" w:hAnsi="Times New Roman"/>
        </w:rPr>
      </w:pPr>
    </w:p>
    <w:p w14:paraId="1715EFDA" w14:textId="50487AB7" w:rsidR="00D26AFA" w:rsidRPr="001E4E73" w:rsidRDefault="00F658D1" w:rsidP="009D067B">
      <w:pPr>
        <w:spacing w:after="0" w:line="276" w:lineRule="auto"/>
        <w:rPr>
          <w:rFonts w:ascii="Times New Roman" w:hAnsi="Times New Roman"/>
        </w:rPr>
      </w:pPr>
      <w:r w:rsidRPr="001E4E73">
        <w:rPr>
          <w:rFonts w:ascii="Times New Roman" w:hAnsi="Times New Roman"/>
        </w:rPr>
        <w:t>To facilitate timely connection of new premises,</w:t>
      </w:r>
      <w:r w:rsidR="00D26AFA" w:rsidRPr="001E4E73">
        <w:rPr>
          <w:rFonts w:ascii="Times New Roman" w:hAnsi="Times New Roman"/>
        </w:rPr>
        <w:t xml:space="preserve"> </w:t>
      </w:r>
      <w:r w:rsidR="00A240D1" w:rsidRPr="001E4E73">
        <w:rPr>
          <w:rFonts w:ascii="Times New Roman" w:hAnsi="Times New Roman"/>
        </w:rPr>
        <w:t>developer</w:t>
      </w:r>
      <w:r w:rsidR="00D26AFA" w:rsidRPr="001E4E73">
        <w:rPr>
          <w:rFonts w:ascii="Times New Roman" w:hAnsi="Times New Roman"/>
        </w:rPr>
        <w:t>s</w:t>
      </w:r>
      <w:r w:rsidR="00A240D1" w:rsidRPr="001E4E73">
        <w:rPr>
          <w:rFonts w:ascii="Times New Roman" w:hAnsi="Times New Roman"/>
        </w:rPr>
        <w:t xml:space="preserve"> </w:t>
      </w:r>
      <w:r w:rsidRPr="001E4E73">
        <w:rPr>
          <w:rFonts w:ascii="Times New Roman" w:hAnsi="Times New Roman"/>
        </w:rPr>
        <w:t>should contact</w:t>
      </w:r>
      <w:r w:rsidR="00A240D1" w:rsidRPr="001E4E73">
        <w:rPr>
          <w:rFonts w:ascii="Times New Roman" w:hAnsi="Times New Roman"/>
        </w:rPr>
        <w:t xml:space="preserve"> a SIP </w:t>
      </w:r>
      <w:r w:rsidR="00D26AFA" w:rsidRPr="001E4E73">
        <w:rPr>
          <w:rFonts w:ascii="Times New Roman" w:hAnsi="Times New Roman"/>
        </w:rPr>
        <w:t>early in the development process</w:t>
      </w:r>
      <w:r w:rsidRPr="001E4E73">
        <w:rPr>
          <w:rFonts w:ascii="Times New Roman" w:hAnsi="Times New Roman"/>
        </w:rPr>
        <w:t xml:space="preserve"> to organise a connection,</w:t>
      </w:r>
      <w:r w:rsidR="00D26AFA" w:rsidRPr="001E4E73">
        <w:rPr>
          <w:rFonts w:ascii="Times New Roman" w:hAnsi="Times New Roman"/>
        </w:rPr>
        <w:t xml:space="preserve"> </w:t>
      </w:r>
      <w:r w:rsidR="00A240D1" w:rsidRPr="001E4E73">
        <w:rPr>
          <w:rFonts w:ascii="Times New Roman" w:hAnsi="Times New Roman"/>
        </w:rPr>
        <w:t xml:space="preserve">arrange </w:t>
      </w:r>
      <w:r w:rsidR="00D26AFA" w:rsidRPr="001E4E73">
        <w:rPr>
          <w:rFonts w:ascii="Times New Roman" w:hAnsi="Times New Roman"/>
        </w:rPr>
        <w:t xml:space="preserve">the </w:t>
      </w:r>
      <w:r w:rsidR="00A240D1" w:rsidRPr="001E4E73">
        <w:rPr>
          <w:rFonts w:ascii="Times New Roman" w:hAnsi="Times New Roman"/>
        </w:rPr>
        <w:t>installation of pit and pipe</w:t>
      </w:r>
      <w:r w:rsidR="00D26AFA" w:rsidRPr="001E4E73">
        <w:rPr>
          <w:rFonts w:ascii="Times New Roman" w:hAnsi="Times New Roman"/>
        </w:rPr>
        <w:t xml:space="preserve"> </w:t>
      </w:r>
      <w:r w:rsidRPr="001E4E73">
        <w:rPr>
          <w:rFonts w:ascii="Times New Roman" w:hAnsi="Times New Roman"/>
        </w:rPr>
        <w:t>according to industry guidelines (Comms Alliance G645:2017)</w:t>
      </w:r>
      <w:r w:rsidR="00841674" w:rsidRPr="001E4E73">
        <w:rPr>
          <w:rFonts w:ascii="Times New Roman" w:hAnsi="Times New Roman"/>
        </w:rPr>
        <w:t>,</w:t>
      </w:r>
      <w:r w:rsidRPr="001E4E73">
        <w:rPr>
          <w:rFonts w:ascii="Times New Roman" w:hAnsi="Times New Roman"/>
        </w:rPr>
        <w:t xml:space="preserve"> and </w:t>
      </w:r>
      <w:r w:rsidR="00841674" w:rsidRPr="001E4E73">
        <w:rPr>
          <w:rFonts w:ascii="Times New Roman" w:hAnsi="Times New Roman"/>
        </w:rPr>
        <w:t>follow</w:t>
      </w:r>
      <w:r w:rsidRPr="001E4E73">
        <w:rPr>
          <w:rFonts w:ascii="Times New Roman" w:hAnsi="Times New Roman"/>
        </w:rPr>
        <w:t xml:space="preserve"> SIP</w:t>
      </w:r>
      <w:r w:rsidR="00841674" w:rsidRPr="001E4E73">
        <w:rPr>
          <w:rFonts w:ascii="Times New Roman" w:hAnsi="Times New Roman"/>
        </w:rPr>
        <w:t xml:space="preserve"> form and</w:t>
      </w:r>
      <w:r w:rsidRPr="001E4E73">
        <w:rPr>
          <w:rFonts w:ascii="Times New Roman" w:hAnsi="Times New Roman"/>
        </w:rPr>
        <w:t xml:space="preserve"> process</w:t>
      </w:r>
      <w:r w:rsidR="00841674" w:rsidRPr="001E4E73">
        <w:rPr>
          <w:rFonts w:ascii="Times New Roman" w:hAnsi="Times New Roman"/>
        </w:rPr>
        <w:t xml:space="preserve"> requirements</w:t>
      </w:r>
      <w:r w:rsidR="00A240D1" w:rsidRPr="001E4E73">
        <w:rPr>
          <w:rFonts w:ascii="Times New Roman" w:hAnsi="Times New Roman"/>
        </w:rPr>
        <w:t xml:space="preserve">, </w:t>
      </w:r>
      <w:r w:rsidR="00D26AFA" w:rsidRPr="001E4E73">
        <w:rPr>
          <w:rFonts w:ascii="Times New Roman" w:hAnsi="Times New Roman"/>
        </w:rPr>
        <w:t xml:space="preserve">so </w:t>
      </w:r>
      <w:r w:rsidRPr="001E4E73">
        <w:rPr>
          <w:rFonts w:ascii="Times New Roman" w:hAnsi="Times New Roman"/>
        </w:rPr>
        <w:t xml:space="preserve">premises have </w:t>
      </w:r>
      <w:r w:rsidR="00841674" w:rsidRPr="001E4E73">
        <w:rPr>
          <w:rFonts w:ascii="Times New Roman" w:hAnsi="Times New Roman"/>
        </w:rPr>
        <w:t>an eligible service available for end-users from the date they move in.</w:t>
      </w:r>
    </w:p>
    <w:p w14:paraId="3F9F2E60" w14:textId="77777777" w:rsidR="009D067B" w:rsidRPr="001E4E73" w:rsidRDefault="009D067B" w:rsidP="009D067B">
      <w:pPr>
        <w:spacing w:after="0" w:line="276" w:lineRule="auto"/>
        <w:rPr>
          <w:rFonts w:ascii="Times New Roman" w:hAnsi="Times New Roman"/>
        </w:rPr>
      </w:pPr>
    </w:p>
    <w:p w14:paraId="58C2EAD8" w14:textId="0798A12A" w:rsidR="0005314F" w:rsidRPr="001E4E73" w:rsidRDefault="0005314F" w:rsidP="009D067B">
      <w:pPr>
        <w:spacing w:line="276" w:lineRule="auto"/>
        <w:rPr>
          <w:rFonts w:ascii="Times New Roman" w:hAnsi="Times New Roman"/>
          <w:i/>
        </w:rPr>
      </w:pPr>
      <w:r w:rsidRPr="001E4E73">
        <w:rPr>
          <w:rFonts w:ascii="Times New Roman" w:hAnsi="Times New Roman"/>
          <w:i/>
        </w:rPr>
        <w:t>Pre-existing connections or requests</w:t>
      </w:r>
    </w:p>
    <w:p w14:paraId="48B855BB" w14:textId="056B8434" w:rsidR="004A567C" w:rsidRPr="001E4E73" w:rsidRDefault="00C740DD" w:rsidP="00150387">
      <w:pPr>
        <w:spacing w:after="0" w:line="276" w:lineRule="auto"/>
        <w:rPr>
          <w:rFonts w:ascii="Times New Roman" w:hAnsi="Times New Roman"/>
        </w:rPr>
      </w:pPr>
      <w:r w:rsidRPr="001E4E73">
        <w:rPr>
          <w:rFonts w:ascii="Times New Roman" w:hAnsi="Times New Roman"/>
        </w:rPr>
        <w:t xml:space="preserve">Paragraph </w:t>
      </w:r>
      <w:r w:rsidR="00150387" w:rsidRPr="001E4E73">
        <w:rPr>
          <w:rFonts w:ascii="Times New Roman" w:hAnsi="Times New Roman"/>
        </w:rPr>
        <w:t>6</w:t>
      </w:r>
      <w:r w:rsidR="006A5B40" w:rsidRPr="001E4E73">
        <w:rPr>
          <w:rFonts w:ascii="Times New Roman" w:hAnsi="Times New Roman"/>
        </w:rPr>
        <w:t xml:space="preserve">(e) </w:t>
      </w:r>
      <w:r w:rsidR="00AF5457" w:rsidRPr="001E4E73">
        <w:rPr>
          <w:rFonts w:ascii="Times New Roman" w:hAnsi="Times New Roman"/>
        </w:rPr>
        <w:t xml:space="preserve">provides </w:t>
      </w:r>
      <w:r w:rsidR="00150387" w:rsidRPr="001E4E73">
        <w:rPr>
          <w:rFonts w:ascii="Times New Roman" w:hAnsi="Times New Roman"/>
        </w:rPr>
        <w:t>an exception to connection obligations</w:t>
      </w:r>
      <w:r w:rsidR="00D7726F" w:rsidRPr="001E4E73">
        <w:rPr>
          <w:rFonts w:ascii="Times New Roman" w:hAnsi="Times New Roman"/>
        </w:rPr>
        <w:t xml:space="preserve"> where there is a pre-existing connection or </w:t>
      </w:r>
      <w:r w:rsidR="00150387" w:rsidRPr="001E4E73">
        <w:rPr>
          <w:rFonts w:ascii="Times New Roman" w:hAnsi="Times New Roman"/>
        </w:rPr>
        <w:t xml:space="preserve">outstanding </w:t>
      </w:r>
      <w:r w:rsidR="00D7726F" w:rsidRPr="001E4E73">
        <w:rPr>
          <w:rFonts w:ascii="Times New Roman" w:hAnsi="Times New Roman"/>
        </w:rPr>
        <w:t xml:space="preserve">request for a connection </w:t>
      </w:r>
      <w:r w:rsidR="00150387" w:rsidRPr="001E4E73">
        <w:rPr>
          <w:rFonts w:ascii="Times New Roman" w:hAnsi="Times New Roman"/>
        </w:rPr>
        <w:t>at</w:t>
      </w:r>
      <w:r w:rsidR="00D7726F" w:rsidRPr="001E4E73">
        <w:rPr>
          <w:rFonts w:ascii="Times New Roman" w:hAnsi="Times New Roman"/>
        </w:rPr>
        <w:t xml:space="preserve"> </w:t>
      </w:r>
      <w:r w:rsidR="0070628E" w:rsidRPr="001E4E73">
        <w:rPr>
          <w:rFonts w:ascii="Times New Roman" w:hAnsi="Times New Roman"/>
        </w:rPr>
        <w:t xml:space="preserve">the </w:t>
      </w:r>
      <w:r w:rsidR="00D7726F" w:rsidRPr="001E4E73">
        <w:rPr>
          <w:rFonts w:ascii="Times New Roman" w:hAnsi="Times New Roman"/>
        </w:rPr>
        <w:t xml:space="preserve">premises. </w:t>
      </w:r>
      <w:r w:rsidR="00150387" w:rsidRPr="001E4E73">
        <w:rPr>
          <w:rFonts w:ascii="Times New Roman" w:hAnsi="Times New Roman"/>
        </w:rPr>
        <w:t>T</w:t>
      </w:r>
      <w:r w:rsidR="00D7726F" w:rsidRPr="001E4E73">
        <w:rPr>
          <w:rFonts w:ascii="Times New Roman" w:hAnsi="Times New Roman"/>
        </w:rPr>
        <w:t xml:space="preserve">he SIP </w:t>
      </w:r>
      <w:r w:rsidR="00150387" w:rsidRPr="001E4E73">
        <w:rPr>
          <w:rFonts w:ascii="Times New Roman" w:hAnsi="Times New Roman"/>
        </w:rPr>
        <w:t>is not obliged</w:t>
      </w:r>
      <w:r w:rsidR="00D7726F" w:rsidRPr="001E4E73">
        <w:rPr>
          <w:rFonts w:ascii="Times New Roman" w:hAnsi="Times New Roman"/>
        </w:rPr>
        <w:t xml:space="preserve"> to provide</w:t>
      </w:r>
      <w:r w:rsidR="00AF5457" w:rsidRPr="001E4E73">
        <w:rPr>
          <w:rFonts w:ascii="Times New Roman" w:hAnsi="Times New Roman"/>
        </w:rPr>
        <w:t xml:space="preserve"> </w:t>
      </w:r>
      <w:r w:rsidR="006A5B40" w:rsidRPr="001E4E73">
        <w:rPr>
          <w:rFonts w:ascii="Times New Roman" w:hAnsi="Times New Roman"/>
        </w:rPr>
        <w:t xml:space="preserve">multiple connections to </w:t>
      </w:r>
      <w:r w:rsidR="00AF5457" w:rsidRPr="001E4E73">
        <w:rPr>
          <w:rFonts w:ascii="Times New Roman" w:hAnsi="Times New Roman"/>
        </w:rPr>
        <w:t xml:space="preserve">the same </w:t>
      </w:r>
      <w:r w:rsidR="00B80897" w:rsidRPr="001E4E73">
        <w:rPr>
          <w:rFonts w:ascii="Times New Roman" w:hAnsi="Times New Roman"/>
        </w:rPr>
        <w:t xml:space="preserve">identified </w:t>
      </w:r>
      <w:r w:rsidR="006A5B40" w:rsidRPr="001E4E73">
        <w:rPr>
          <w:rFonts w:ascii="Times New Roman" w:hAnsi="Times New Roman"/>
        </w:rPr>
        <w:t>premises</w:t>
      </w:r>
      <w:r w:rsidR="00150387" w:rsidRPr="001E4E73">
        <w:rPr>
          <w:rFonts w:ascii="Times New Roman" w:hAnsi="Times New Roman"/>
        </w:rPr>
        <w:t xml:space="preserve">, such as a share house, but SIPs are open to doing this on a commercial basis if they wish. </w:t>
      </w:r>
      <w:r w:rsidR="0005314F" w:rsidRPr="001E4E73">
        <w:rPr>
          <w:rFonts w:ascii="Times New Roman" w:hAnsi="Times New Roman"/>
        </w:rPr>
        <w:t xml:space="preserve">However, </w:t>
      </w:r>
      <w:r w:rsidR="004A567C" w:rsidRPr="001E4E73">
        <w:rPr>
          <w:rFonts w:ascii="Times New Roman" w:hAnsi="Times New Roman"/>
        </w:rPr>
        <w:t>as explained above</w:t>
      </w:r>
      <w:r w:rsidR="00DD5DFE" w:rsidRPr="001E4E73">
        <w:rPr>
          <w:rFonts w:ascii="Times New Roman" w:hAnsi="Times New Roman"/>
        </w:rPr>
        <w:t xml:space="preserve">, if there are multiple </w:t>
      </w:r>
      <w:r w:rsidR="00D7726F" w:rsidRPr="001E4E73">
        <w:rPr>
          <w:rFonts w:ascii="Times New Roman" w:hAnsi="Times New Roman"/>
        </w:rPr>
        <w:t xml:space="preserve">self-contained </w:t>
      </w:r>
      <w:r w:rsidR="00DD5DFE" w:rsidRPr="001E4E73">
        <w:rPr>
          <w:rFonts w:ascii="Times New Roman" w:hAnsi="Times New Roman"/>
        </w:rPr>
        <w:t>premises on a lot,</w:t>
      </w:r>
      <w:r w:rsidR="004A567C" w:rsidRPr="001E4E73">
        <w:rPr>
          <w:rFonts w:ascii="Times New Roman" w:hAnsi="Times New Roman"/>
        </w:rPr>
        <w:t xml:space="preserve"> </w:t>
      </w:r>
      <w:r w:rsidR="00D7726F" w:rsidRPr="001E4E73">
        <w:rPr>
          <w:rFonts w:ascii="Times New Roman" w:hAnsi="Times New Roman"/>
        </w:rPr>
        <w:t xml:space="preserve">a </w:t>
      </w:r>
      <w:r w:rsidR="00DD5DFE" w:rsidRPr="001E4E73">
        <w:rPr>
          <w:rFonts w:ascii="Times New Roman" w:hAnsi="Times New Roman"/>
        </w:rPr>
        <w:t>SIP</w:t>
      </w:r>
      <w:r w:rsidR="00D7726F" w:rsidRPr="001E4E73">
        <w:rPr>
          <w:rFonts w:ascii="Times New Roman" w:hAnsi="Times New Roman"/>
        </w:rPr>
        <w:t xml:space="preserve"> is</w:t>
      </w:r>
      <w:r w:rsidR="00DD5DFE" w:rsidRPr="001E4E73">
        <w:rPr>
          <w:rFonts w:ascii="Times New Roman" w:hAnsi="Times New Roman"/>
        </w:rPr>
        <w:t xml:space="preserve"> </w:t>
      </w:r>
      <w:r w:rsidR="00150387" w:rsidRPr="001E4E73">
        <w:rPr>
          <w:rFonts w:ascii="Times New Roman" w:hAnsi="Times New Roman"/>
        </w:rPr>
        <w:t>obliged</w:t>
      </w:r>
      <w:r w:rsidR="00DD5DFE" w:rsidRPr="001E4E73">
        <w:rPr>
          <w:rFonts w:ascii="Times New Roman" w:hAnsi="Times New Roman"/>
        </w:rPr>
        <w:t xml:space="preserve"> to </w:t>
      </w:r>
      <w:r w:rsidR="00D7726F" w:rsidRPr="001E4E73">
        <w:rPr>
          <w:rFonts w:ascii="Times New Roman" w:hAnsi="Times New Roman"/>
        </w:rPr>
        <w:t>provide</w:t>
      </w:r>
      <w:r w:rsidR="00E32ABA" w:rsidRPr="001E4E73">
        <w:rPr>
          <w:rFonts w:ascii="Times New Roman" w:hAnsi="Times New Roman"/>
        </w:rPr>
        <w:t xml:space="preserve"> </w:t>
      </w:r>
      <w:r w:rsidR="00D7726F" w:rsidRPr="001E4E73">
        <w:rPr>
          <w:rFonts w:ascii="Times New Roman" w:hAnsi="Times New Roman"/>
        </w:rPr>
        <w:t xml:space="preserve">a connection </w:t>
      </w:r>
      <w:r w:rsidR="00DD5DFE" w:rsidRPr="001E4E73">
        <w:rPr>
          <w:rFonts w:ascii="Times New Roman" w:hAnsi="Times New Roman"/>
        </w:rPr>
        <w:t>to each identifiable premises</w:t>
      </w:r>
      <w:r w:rsidR="00C151F8" w:rsidRPr="001E4E73">
        <w:rPr>
          <w:rFonts w:ascii="Times New Roman" w:hAnsi="Times New Roman"/>
        </w:rPr>
        <w:t>.</w:t>
      </w:r>
    </w:p>
    <w:p w14:paraId="62BDCB09" w14:textId="77777777" w:rsidR="007C2B41" w:rsidRPr="001E4E73" w:rsidRDefault="007C2B41" w:rsidP="00150387">
      <w:pPr>
        <w:spacing w:after="0" w:line="276" w:lineRule="auto"/>
        <w:rPr>
          <w:rFonts w:ascii="Times New Roman" w:hAnsi="Times New Roman"/>
        </w:rPr>
      </w:pPr>
    </w:p>
    <w:p w14:paraId="26230BE3" w14:textId="77777777" w:rsidR="00BB6F1C" w:rsidRPr="001E4E73" w:rsidRDefault="00BB6F1C">
      <w:pPr>
        <w:spacing w:after="160" w:line="259" w:lineRule="auto"/>
        <w:rPr>
          <w:rFonts w:ascii="Times New Roman" w:hAnsi="Times New Roman"/>
          <w:i/>
        </w:rPr>
      </w:pPr>
      <w:r w:rsidRPr="001E4E73">
        <w:rPr>
          <w:rFonts w:ascii="Times New Roman" w:hAnsi="Times New Roman"/>
          <w:i/>
        </w:rPr>
        <w:br w:type="page"/>
      </w:r>
    </w:p>
    <w:p w14:paraId="298BC15B" w14:textId="40E7A63A" w:rsidR="00297DD5" w:rsidRPr="001E4E73" w:rsidRDefault="00297DD5" w:rsidP="00150387">
      <w:pPr>
        <w:spacing w:line="276" w:lineRule="auto"/>
        <w:rPr>
          <w:rFonts w:ascii="Times New Roman" w:hAnsi="Times New Roman"/>
          <w:i/>
        </w:rPr>
      </w:pPr>
      <w:r w:rsidRPr="001E4E73">
        <w:rPr>
          <w:rFonts w:ascii="Times New Roman" w:hAnsi="Times New Roman"/>
          <w:i/>
        </w:rPr>
        <w:lastRenderedPageBreak/>
        <w:t>Connections to third party networks</w:t>
      </w:r>
    </w:p>
    <w:p w14:paraId="71859B3E" w14:textId="77777777" w:rsidR="006A5B40" w:rsidRPr="001E4E73" w:rsidRDefault="00C74A1F" w:rsidP="007C2B41">
      <w:pPr>
        <w:spacing w:after="0" w:line="276" w:lineRule="auto"/>
        <w:rPr>
          <w:rFonts w:ascii="Times New Roman" w:hAnsi="Times New Roman"/>
        </w:rPr>
      </w:pPr>
      <w:r w:rsidRPr="001E4E73">
        <w:rPr>
          <w:rFonts w:ascii="Times New Roman" w:hAnsi="Times New Roman"/>
        </w:rPr>
        <w:t xml:space="preserve">Paragraph </w:t>
      </w:r>
      <w:r w:rsidR="007C2B41" w:rsidRPr="001E4E73">
        <w:rPr>
          <w:rFonts w:ascii="Times New Roman" w:hAnsi="Times New Roman"/>
        </w:rPr>
        <w:t>6</w:t>
      </w:r>
      <w:r w:rsidRPr="001E4E73">
        <w:rPr>
          <w:rFonts w:ascii="Times New Roman" w:hAnsi="Times New Roman"/>
        </w:rPr>
        <w:t xml:space="preserve">(f) provides </w:t>
      </w:r>
      <w:r w:rsidR="007C2B41" w:rsidRPr="001E4E73">
        <w:rPr>
          <w:rFonts w:ascii="Times New Roman" w:hAnsi="Times New Roman"/>
        </w:rPr>
        <w:t>an exception</w:t>
      </w:r>
      <w:r w:rsidRPr="001E4E73">
        <w:rPr>
          <w:rFonts w:ascii="Times New Roman" w:hAnsi="Times New Roman"/>
        </w:rPr>
        <w:t xml:space="preserve"> where the premises are already connected to another </w:t>
      </w:r>
      <w:proofErr w:type="gramStart"/>
      <w:r w:rsidRPr="001E4E73">
        <w:rPr>
          <w:rFonts w:ascii="Times New Roman" w:hAnsi="Times New Roman"/>
        </w:rPr>
        <w:t>third party</w:t>
      </w:r>
      <w:proofErr w:type="gramEnd"/>
      <w:r w:rsidRPr="001E4E73">
        <w:rPr>
          <w:rFonts w:ascii="Times New Roman" w:hAnsi="Times New Roman"/>
        </w:rPr>
        <w:t xml:space="preserve"> qualifying telecommunications network, the SIP is reasonably satisfied a qualifying carriage service is being supplied, and the service is not being withdrawn by the provider or being terminated by the end-user. </w:t>
      </w:r>
      <w:r w:rsidR="007C2B41" w:rsidRPr="001E4E73">
        <w:rPr>
          <w:rFonts w:ascii="Times New Roman" w:hAnsi="Times New Roman"/>
        </w:rPr>
        <w:t>In many SIP service areas</w:t>
      </w:r>
      <w:r w:rsidR="00297DD5" w:rsidRPr="001E4E73">
        <w:rPr>
          <w:rFonts w:ascii="Times New Roman" w:hAnsi="Times New Roman"/>
        </w:rPr>
        <w:t xml:space="preserve"> there </w:t>
      </w:r>
      <w:r w:rsidR="007C2B41" w:rsidRPr="001E4E73">
        <w:rPr>
          <w:rFonts w:ascii="Times New Roman" w:hAnsi="Times New Roman"/>
        </w:rPr>
        <w:t>are</w:t>
      </w:r>
      <w:r w:rsidR="00297DD5" w:rsidRPr="001E4E73">
        <w:rPr>
          <w:rFonts w:ascii="Times New Roman" w:hAnsi="Times New Roman"/>
        </w:rPr>
        <w:t xml:space="preserve"> alternative networks </w:t>
      </w:r>
      <w:r w:rsidR="007C2B41" w:rsidRPr="001E4E73">
        <w:rPr>
          <w:rFonts w:ascii="Times New Roman" w:hAnsi="Times New Roman"/>
        </w:rPr>
        <w:t>capable of supplying a qualifying carriage service</w:t>
      </w:r>
      <w:r w:rsidR="00386A08" w:rsidRPr="001E4E73">
        <w:rPr>
          <w:rFonts w:ascii="Times New Roman" w:hAnsi="Times New Roman"/>
        </w:rPr>
        <w:t xml:space="preserve">, </w:t>
      </w:r>
      <w:r w:rsidR="0070628E" w:rsidRPr="001E4E73">
        <w:rPr>
          <w:rFonts w:ascii="Times New Roman" w:hAnsi="Times New Roman"/>
        </w:rPr>
        <w:t xml:space="preserve">and </w:t>
      </w:r>
      <w:r w:rsidR="00386A08" w:rsidRPr="001E4E73">
        <w:rPr>
          <w:rFonts w:ascii="Times New Roman" w:hAnsi="Times New Roman"/>
        </w:rPr>
        <w:t xml:space="preserve">it </w:t>
      </w:r>
      <w:r w:rsidR="00C06BBD" w:rsidRPr="001E4E73">
        <w:rPr>
          <w:rFonts w:ascii="Times New Roman" w:hAnsi="Times New Roman"/>
        </w:rPr>
        <w:t>w</w:t>
      </w:r>
      <w:r w:rsidR="0070628E" w:rsidRPr="001E4E73">
        <w:rPr>
          <w:rFonts w:ascii="Times New Roman" w:hAnsi="Times New Roman"/>
        </w:rPr>
        <w:t xml:space="preserve">ould </w:t>
      </w:r>
      <w:r w:rsidR="00386A08" w:rsidRPr="001E4E73">
        <w:rPr>
          <w:rFonts w:ascii="Times New Roman" w:hAnsi="Times New Roman"/>
        </w:rPr>
        <w:t>be uneconomic to</w:t>
      </w:r>
      <w:r w:rsidR="0070628E" w:rsidRPr="001E4E73">
        <w:rPr>
          <w:rFonts w:ascii="Times New Roman" w:hAnsi="Times New Roman"/>
        </w:rPr>
        <w:t xml:space="preserve"> </w:t>
      </w:r>
      <w:r w:rsidR="00386A08" w:rsidRPr="001E4E73">
        <w:rPr>
          <w:rFonts w:ascii="Times New Roman" w:hAnsi="Times New Roman"/>
        </w:rPr>
        <w:t xml:space="preserve">require </w:t>
      </w:r>
      <w:r w:rsidR="007D5BBF" w:rsidRPr="001E4E73">
        <w:rPr>
          <w:rFonts w:ascii="Times New Roman" w:hAnsi="Times New Roman"/>
        </w:rPr>
        <w:t>the</w:t>
      </w:r>
      <w:r w:rsidR="00386A08" w:rsidRPr="001E4E73">
        <w:rPr>
          <w:rFonts w:ascii="Times New Roman" w:hAnsi="Times New Roman"/>
        </w:rPr>
        <w:t xml:space="preserve"> SIP </w:t>
      </w:r>
      <w:r w:rsidR="007C2B41" w:rsidRPr="001E4E73">
        <w:rPr>
          <w:rFonts w:ascii="Times New Roman" w:hAnsi="Times New Roman"/>
        </w:rPr>
        <w:t xml:space="preserve">to </w:t>
      </w:r>
      <w:r w:rsidR="007D5BBF" w:rsidRPr="001E4E73">
        <w:rPr>
          <w:rFonts w:ascii="Times New Roman" w:hAnsi="Times New Roman"/>
        </w:rPr>
        <w:t>connect</w:t>
      </w:r>
      <w:r w:rsidR="007C2B41" w:rsidRPr="001E4E73">
        <w:rPr>
          <w:rFonts w:ascii="Times New Roman" w:hAnsi="Times New Roman"/>
        </w:rPr>
        <w:t xml:space="preserve"> a </w:t>
      </w:r>
      <w:proofErr w:type="gramStart"/>
      <w:r w:rsidR="007C2B41" w:rsidRPr="001E4E73">
        <w:rPr>
          <w:rFonts w:ascii="Times New Roman" w:hAnsi="Times New Roman"/>
        </w:rPr>
        <w:t>premises</w:t>
      </w:r>
      <w:proofErr w:type="gramEnd"/>
      <w:r w:rsidR="007D5BBF" w:rsidRPr="001E4E73">
        <w:rPr>
          <w:rFonts w:ascii="Times New Roman" w:hAnsi="Times New Roman"/>
        </w:rPr>
        <w:t xml:space="preserve"> where </w:t>
      </w:r>
      <w:r w:rsidR="007C2B41" w:rsidRPr="001E4E73">
        <w:rPr>
          <w:rFonts w:ascii="Times New Roman" w:hAnsi="Times New Roman"/>
        </w:rPr>
        <w:t xml:space="preserve">a third-party connection </w:t>
      </w:r>
      <w:r w:rsidR="007D5BBF" w:rsidRPr="001E4E73">
        <w:rPr>
          <w:rFonts w:ascii="Times New Roman" w:hAnsi="Times New Roman"/>
        </w:rPr>
        <w:t>is already in place</w:t>
      </w:r>
      <w:r w:rsidR="00386A08" w:rsidRPr="001E4E73">
        <w:rPr>
          <w:rFonts w:ascii="Times New Roman" w:hAnsi="Times New Roman"/>
        </w:rPr>
        <w:t>.</w:t>
      </w:r>
      <w:r w:rsidR="00297DD5" w:rsidRPr="001E4E73">
        <w:rPr>
          <w:rFonts w:ascii="Times New Roman" w:hAnsi="Times New Roman"/>
        </w:rPr>
        <w:t xml:space="preserve"> </w:t>
      </w:r>
      <w:r w:rsidR="006A5B40" w:rsidRPr="001E4E73">
        <w:rPr>
          <w:rFonts w:ascii="Times New Roman" w:hAnsi="Times New Roman"/>
        </w:rPr>
        <w:t>However,</w:t>
      </w:r>
      <w:r w:rsidR="007C2B41" w:rsidRPr="001E4E73">
        <w:rPr>
          <w:rFonts w:ascii="Times New Roman" w:hAnsi="Times New Roman"/>
        </w:rPr>
        <w:t xml:space="preserve"> this exception is not permanent </w:t>
      </w:r>
      <w:r w:rsidR="00C06BBD" w:rsidRPr="001E4E73">
        <w:rPr>
          <w:rFonts w:ascii="Times New Roman" w:hAnsi="Times New Roman"/>
        </w:rPr>
        <w:t>and depends on the context</w:t>
      </w:r>
      <w:r w:rsidR="007C2B41" w:rsidRPr="001E4E73">
        <w:rPr>
          <w:rFonts w:ascii="Times New Roman" w:hAnsi="Times New Roman"/>
        </w:rPr>
        <w:t>:</w:t>
      </w:r>
      <w:r w:rsidR="006A5B40" w:rsidRPr="001E4E73">
        <w:rPr>
          <w:rFonts w:ascii="Times New Roman" w:hAnsi="Times New Roman"/>
        </w:rPr>
        <w:t xml:space="preserve"> </w:t>
      </w:r>
      <w:r w:rsidR="00386A08" w:rsidRPr="001E4E73">
        <w:rPr>
          <w:rFonts w:ascii="Times New Roman" w:hAnsi="Times New Roman"/>
        </w:rPr>
        <w:t xml:space="preserve">providers that are not SIPs may refuse to supply </w:t>
      </w:r>
      <w:r w:rsidR="007C2B41" w:rsidRPr="001E4E73">
        <w:rPr>
          <w:rFonts w:ascii="Times New Roman" w:hAnsi="Times New Roman"/>
        </w:rPr>
        <w:t xml:space="preserve">a </w:t>
      </w:r>
      <w:r w:rsidR="00386A08" w:rsidRPr="001E4E73">
        <w:rPr>
          <w:rFonts w:ascii="Times New Roman" w:hAnsi="Times New Roman"/>
        </w:rPr>
        <w:t>service, or withdraw services</w:t>
      </w:r>
      <w:r w:rsidR="007C2B41" w:rsidRPr="001E4E73">
        <w:rPr>
          <w:rFonts w:ascii="Times New Roman" w:hAnsi="Times New Roman"/>
        </w:rPr>
        <w:t xml:space="preserve"> on a commercial basis</w:t>
      </w:r>
      <w:r w:rsidR="00386A08" w:rsidRPr="001E4E73">
        <w:rPr>
          <w:rFonts w:ascii="Times New Roman" w:hAnsi="Times New Roman"/>
        </w:rPr>
        <w:t>, or end-users may not be satisfied with their service</w:t>
      </w:r>
      <w:r w:rsidR="007C2B41" w:rsidRPr="001E4E73">
        <w:rPr>
          <w:rFonts w:ascii="Times New Roman" w:hAnsi="Times New Roman"/>
        </w:rPr>
        <w:t xml:space="preserve"> and cancel it. </w:t>
      </w:r>
      <w:r w:rsidR="00386A08" w:rsidRPr="001E4E73">
        <w:rPr>
          <w:rFonts w:ascii="Times New Roman" w:hAnsi="Times New Roman"/>
        </w:rPr>
        <w:t>In such circumstances</w:t>
      </w:r>
      <w:r w:rsidR="0070628E" w:rsidRPr="001E4E73">
        <w:rPr>
          <w:rFonts w:ascii="Times New Roman" w:hAnsi="Times New Roman"/>
        </w:rPr>
        <w:t xml:space="preserve">, </w:t>
      </w:r>
      <w:r w:rsidR="007C2B41" w:rsidRPr="001E4E73">
        <w:rPr>
          <w:rFonts w:ascii="Times New Roman" w:hAnsi="Times New Roman"/>
        </w:rPr>
        <w:t xml:space="preserve">the exception would no longer apply, and </w:t>
      </w:r>
      <w:r w:rsidR="00386A08" w:rsidRPr="001E4E73">
        <w:rPr>
          <w:rFonts w:ascii="Times New Roman" w:hAnsi="Times New Roman"/>
        </w:rPr>
        <w:t xml:space="preserve">SIPs </w:t>
      </w:r>
      <w:r w:rsidR="00C06BBD" w:rsidRPr="001E4E73">
        <w:rPr>
          <w:rFonts w:ascii="Times New Roman" w:hAnsi="Times New Roman"/>
        </w:rPr>
        <w:t>would be</w:t>
      </w:r>
      <w:r w:rsidR="00386A08" w:rsidRPr="001E4E73">
        <w:rPr>
          <w:rFonts w:ascii="Times New Roman" w:hAnsi="Times New Roman"/>
        </w:rPr>
        <w:t xml:space="preserve"> obliged </w:t>
      </w:r>
      <w:r w:rsidR="00C06BBD" w:rsidRPr="001E4E73">
        <w:rPr>
          <w:rFonts w:ascii="Times New Roman" w:hAnsi="Times New Roman"/>
        </w:rPr>
        <w:t xml:space="preserve">to </w:t>
      </w:r>
      <w:r w:rsidR="003F2071" w:rsidRPr="001E4E73">
        <w:rPr>
          <w:rFonts w:ascii="Times New Roman" w:hAnsi="Times New Roman"/>
        </w:rPr>
        <w:t xml:space="preserve">connect </w:t>
      </w:r>
      <w:r w:rsidR="00C06BBD" w:rsidRPr="001E4E73">
        <w:rPr>
          <w:rFonts w:ascii="Times New Roman" w:hAnsi="Times New Roman"/>
        </w:rPr>
        <w:t xml:space="preserve">these </w:t>
      </w:r>
      <w:r w:rsidR="007F4AE9" w:rsidRPr="001E4E73">
        <w:rPr>
          <w:rFonts w:ascii="Times New Roman" w:hAnsi="Times New Roman"/>
        </w:rPr>
        <w:t>premises</w:t>
      </w:r>
      <w:r w:rsidR="00386A08" w:rsidRPr="001E4E73">
        <w:rPr>
          <w:rFonts w:ascii="Times New Roman" w:hAnsi="Times New Roman"/>
        </w:rPr>
        <w:t xml:space="preserve"> </w:t>
      </w:r>
      <w:r w:rsidR="00C06BBD" w:rsidRPr="001E4E73">
        <w:rPr>
          <w:rFonts w:ascii="Times New Roman" w:hAnsi="Times New Roman"/>
        </w:rPr>
        <w:t>upon request.</w:t>
      </w:r>
    </w:p>
    <w:p w14:paraId="2DA19BE6" w14:textId="77777777" w:rsidR="007C2B41" w:rsidRPr="001E4E73" w:rsidRDefault="007C2B41" w:rsidP="007C2B41">
      <w:pPr>
        <w:spacing w:after="0" w:line="276" w:lineRule="auto"/>
        <w:rPr>
          <w:rFonts w:ascii="Times New Roman" w:hAnsi="Times New Roman"/>
        </w:rPr>
      </w:pPr>
    </w:p>
    <w:p w14:paraId="2BE6A27E" w14:textId="77777777" w:rsidR="00297DD5" w:rsidRPr="001E4E73" w:rsidRDefault="00297DD5" w:rsidP="007C2B41">
      <w:pPr>
        <w:keepNext/>
        <w:keepLines/>
        <w:spacing w:line="276" w:lineRule="auto"/>
        <w:rPr>
          <w:rFonts w:ascii="Times New Roman" w:hAnsi="Times New Roman"/>
          <w:i/>
        </w:rPr>
      </w:pPr>
      <w:r w:rsidRPr="001E4E73">
        <w:rPr>
          <w:rFonts w:ascii="Times New Roman" w:hAnsi="Times New Roman"/>
          <w:i/>
        </w:rPr>
        <w:t>Health and safety</w:t>
      </w:r>
    </w:p>
    <w:p w14:paraId="49F490BE" w14:textId="77777777" w:rsidR="00D22B28" w:rsidRPr="001E4E73" w:rsidRDefault="00C740DD" w:rsidP="007C2B41">
      <w:pPr>
        <w:keepNext/>
        <w:keepLines/>
        <w:spacing w:after="0" w:line="276" w:lineRule="auto"/>
        <w:rPr>
          <w:rFonts w:ascii="Times New Roman" w:hAnsi="Times New Roman"/>
        </w:rPr>
      </w:pPr>
      <w:r w:rsidRPr="001E4E73">
        <w:rPr>
          <w:rFonts w:ascii="Times New Roman" w:hAnsi="Times New Roman"/>
        </w:rPr>
        <w:t xml:space="preserve">Paragraph </w:t>
      </w:r>
      <w:r w:rsidR="00691060" w:rsidRPr="001E4E73">
        <w:rPr>
          <w:rFonts w:ascii="Times New Roman" w:hAnsi="Times New Roman"/>
        </w:rPr>
        <w:t>6</w:t>
      </w:r>
      <w:r w:rsidR="006A5B40" w:rsidRPr="001E4E73">
        <w:rPr>
          <w:rFonts w:ascii="Times New Roman" w:hAnsi="Times New Roman"/>
        </w:rPr>
        <w:t>(g)</w:t>
      </w:r>
      <w:r w:rsidR="00297DD5" w:rsidRPr="001E4E73">
        <w:rPr>
          <w:rFonts w:ascii="Times New Roman" w:hAnsi="Times New Roman"/>
        </w:rPr>
        <w:t xml:space="preserve"> </w:t>
      </w:r>
      <w:r w:rsidR="00B80897" w:rsidRPr="001E4E73">
        <w:rPr>
          <w:rFonts w:ascii="Times New Roman" w:hAnsi="Times New Roman"/>
        </w:rPr>
        <w:t xml:space="preserve">provides </w:t>
      </w:r>
      <w:r w:rsidR="00691060" w:rsidRPr="001E4E73">
        <w:rPr>
          <w:rFonts w:ascii="Times New Roman" w:hAnsi="Times New Roman"/>
        </w:rPr>
        <w:t>an exception to connection of a</w:t>
      </w:r>
      <w:r w:rsidR="00D22B28" w:rsidRPr="001E4E73">
        <w:rPr>
          <w:rFonts w:ascii="Times New Roman" w:hAnsi="Times New Roman"/>
        </w:rPr>
        <w:t xml:space="preserve"> </w:t>
      </w:r>
      <w:r w:rsidR="00297DD5" w:rsidRPr="001E4E73">
        <w:rPr>
          <w:rFonts w:ascii="Times New Roman" w:hAnsi="Times New Roman"/>
        </w:rPr>
        <w:t xml:space="preserve">premises </w:t>
      </w:r>
      <w:r w:rsidR="00B80897" w:rsidRPr="001E4E73">
        <w:rPr>
          <w:rFonts w:ascii="Times New Roman" w:hAnsi="Times New Roman"/>
        </w:rPr>
        <w:t xml:space="preserve">if </w:t>
      </w:r>
      <w:r w:rsidR="00297DD5" w:rsidRPr="001E4E73">
        <w:rPr>
          <w:rFonts w:ascii="Times New Roman" w:hAnsi="Times New Roman"/>
        </w:rPr>
        <w:t>health and safety risks are present</w:t>
      </w:r>
      <w:r w:rsidR="00932CBA" w:rsidRPr="001E4E73">
        <w:rPr>
          <w:rFonts w:ascii="Times New Roman" w:hAnsi="Times New Roman"/>
        </w:rPr>
        <w:t xml:space="preserve"> and cannot be reasonably mitigated</w:t>
      </w:r>
      <w:r w:rsidR="00DD5DFE" w:rsidRPr="001E4E73">
        <w:rPr>
          <w:rFonts w:ascii="Times New Roman" w:hAnsi="Times New Roman"/>
        </w:rPr>
        <w:t>.</w:t>
      </w:r>
      <w:r w:rsidR="00297DD5" w:rsidRPr="001E4E73">
        <w:rPr>
          <w:rFonts w:ascii="Times New Roman" w:hAnsi="Times New Roman"/>
        </w:rPr>
        <w:t xml:space="preserve"> SIPs</w:t>
      </w:r>
      <w:r w:rsidR="00691060" w:rsidRPr="001E4E73">
        <w:rPr>
          <w:rFonts w:ascii="Times New Roman" w:hAnsi="Times New Roman"/>
        </w:rPr>
        <w:t xml:space="preserve"> (inclusive of </w:t>
      </w:r>
      <w:r w:rsidR="00297DD5" w:rsidRPr="001E4E73">
        <w:rPr>
          <w:rFonts w:ascii="Times New Roman" w:hAnsi="Times New Roman"/>
        </w:rPr>
        <w:t>their employees</w:t>
      </w:r>
      <w:r w:rsidR="00691060" w:rsidRPr="001E4E73">
        <w:rPr>
          <w:rFonts w:ascii="Times New Roman" w:hAnsi="Times New Roman"/>
        </w:rPr>
        <w:t xml:space="preserve">, </w:t>
      </w:r>
      <w:r w:rsidR="00297DD5" w:rsidRPr="001E4E73">
        <w:rPr>
          <w:rFonts w:ascii="Times New Roman" w:hAnsi="Times New Roman"/>
        </w:rPr>
        <w:t xml:space="preserve">sub-contractors and agents), end-users and the community should </w:t>
      </w:r>
      <w:r w:rsidR="00B80897" w:rsidRPr="001E4E73">
        <w:rPr>
          <w:rFonts w:ascii="Times New Roman" w:hAnsi="Times New Roman"/>
        </w:rPr>
        <w:t xml:space="preserve">not be exposed to </w:t>
      </w:r>
      <w:r w:rsidR="00297DD5" w:rsidRPr="001E4E73">
        <w:rPr>
          <w:rFonts w:ascii="Times New Roman" w:hAnsi="Times New Roman"/>
        </w:rPr>
        <w:t>unsafe or hazardous working conditions or environments</w:t>
      </w:r>
      <w:r w:rsidR="00DD5DFE" w:rsidRPr="001E4E73">
        <w:rPr>
          <w:rFonts w:ascii="Times New Roman" w:hAnsi="Times New Roman"/>
        </w:rPr>
        <w:t>.</w:t>
      </w:r>
    </w:p>
    <w:p w14:paraId="4661A21D" w14:textId="77777777" w:rsidR="007C2B41" w:rsidRPr="001E4E73" w:rsidRDefault="007C2B41" w:rsidP="007C2B41">
      <w:pPr>
        <w:keepNext/>
        <w:keepLines/>
        <w:spacing w:after="0" w:line="276" w:lineRule="auto"/>
        <w:rPr>
          <w:rFonts w:ascii="Times New Roman" w:hAnsi="Times New Roman"/>
        </w:rPr>
      </w:pPr>
    </w:p>
    <w:p w14:paraId="2A950B40" w14:textId="77777777" w:rsidR="00932CBA" w:rsidRPr="001E4E73" w:rsidRDefault="00932CBA" w:rsidP="001D554F">
      <w:pPr>
        <w:keepNext/>
        <w:keepLines/>
        <w:spacing w:line="276" w:lineRule="auto"/>
        <w:rPr>
          <w:rFonts w:ascii="Times New Roman" w:hAnsi="Times New Roman"/>
          <w:i/>
        </w:rPr>
      </w:pPr>
      <w:r w:rsidRPr="001E4E73">
        <w:rPr>
          <w:rFonts w:ascii="Times New Roman" w:hAnsi="Times New Roman"/>
          <w:i/>
        </w:rPr>
        <w:t xml:space="preserve">Access </w:t>
      </w:r>
      <w:r w:rsidR="00DD5DFE" w:rsidRPr="001E4E73">
        <w:rPr>
          <w:rFonts w:ascii="Times New Roman" w:hAnsi="Times New Roman"/>
          <w:i/>
        </w:rPr>
        <w:t>and consent</w:t>
      </w:r>
    </w:p>
    <w:p w14:paraId="32DD727D" w14:textId="77777777" w:rsidR="00660290" w:rsidRPr="001E4E73" w:rsidRDefault="00932CBA" w:rsidP="001D554F">
      <w:pPr>
        <w:keepNext/>
        <w:keepLines/>
        <w:spacing w:after="0" w:line="276" w:lineRule="auto"/>
        <w:rPr>
          <w:rFonts w:ascii="Times New Roman" w:hAnsi="Times New Roman"/>
        </w:rPr>
      </w:pPr>
      <w:r w:rsidRPr="001E4E73">
        <w:rPr>
          <w:rFonts w:ascii="Times New Roman" w:hAnsi="Times New Roman"/>
        </w:rPr>
        <w:t xml:space="preserve">In performing connection activities, </w:t>
      </w:r>
      <w:r w:rsidR="006A5B40" w:rsidRPr="001E4E73">
        <w:rPr>
          <w:rFonts w:ascii="Times New Roman" w:hAnsi="Times New Roman"/>
        </w:rPr>
        <w:t>SIP</w:t>
      </w:r>
      <w:r w:rsidR="00AF5457" w:rsidRPr="001E4E73">
        <w:rPr>
          <w:rFonts w:ascii="Times New Roman" w:hAnsi="Times New Roman"/>
        </w:rPr>
        <w:t>s</w:t>
      </w:r>
      <w:r w:rsidR="006A5B40" w:rsidRPr="001E4E73">
        <w:rPr>
          <w:rFonts w:ascii="Times New Roman" w:hAnsi="Times New Roman"/>
        </w:rPr>
        <w:t xml:space="preserve"> </w:t>
      </w:r>
      <w:r w:rsidR="00B80897" w:rsidRPr="001E4E73">
        <w:rPr>
          <w:rFonts w:ascii="Times New Roman" w:hAnsi="Times New Roman"/>
        </w:rPr>
        <w:t xml:space="preserve">may </w:t>
      </w:r>
      <w:r w:rsidRPr="001E4E73">
        <w:rPr>
          <w:rFonts w:ascii="Times New Roman" w:hAnsi="Times New Roman"/>
        </w:rPr>
        <w:t xml:space="preserve">need </w:t>
      </w:r>
      <w:r w:rsidR="006A5B40" w:rsidRPr="001E4E73">
        <w:rPr>
          <w:rFonts w:ascii="Times New Roman" w:hAnsi="Times New Roman"/>
        </w:rPr>
        <w:t xml:space="preserve">access </w:t>
      </w:r>
      <w:r w:rsidR="004F70A9" w:rsidRPr="001E4E73">
        <w:rPr>
          <w:rFonts w:ascii="Times New Roman" w:hAnsi="Times New Roman"/>
        </w:rPr>
        <w:t xml:space="preserve">to land </w:t>
      </w:r>
      <w:r w:rsidR="001D554F" w:rsidRPr="001E4E73">
        <w:rPr>
          <w:rFonts w:ascii="Times New Roman" w:hAnsi="Times New Roman"/>
        </w:rPr>
        <w:t>or</w:t>
      </w:r>
      <w:r w:rsidR="00736EAE" w:rsidRPr="001E4E73">
        <w:rPr>
          <w:rFonts w:ascii="Times New Roman" w:hAnsi="Times New Roman"/>
        </w:rPr>
        <w:t xml:space="preserve"> buildings </w:t>
      </w:r>
      <w:r w:rsidR="00660290" w:rsidRPr="001E4E73">
        <w:rPr>
          <w:rFonts w:ascii="Times New Roman" w:hAnsi="Times New Roman"/>
        </w:rPr>
        <w:t xml:space="preserve">for </w:t>
      </w:r>
      <w:r w:rsidRPr="001E4E73">
        <w:rPr>
          <w:rFonts w:ascii="Times New Roman" w:hAnsi="Times New Roman"/>
        </w:rPr>
        <w:t xml:space="preserve">the </w:t>
      </w:r>
      <w:r w:rsidR="00660290" w:rsidRPr="001E4E73">
        <w:rPr>
          <w:rFonts w:ascii="Times New Roman" w:hAnsi="Times New Roman"/>
        </w:rPr>
        <w:t xml:space="preserve">installation of </w:t>
      </w:r>
      <w:r w:rsidR="001D554F" w:rsidRPr="001E4E73">
        <w:rPr>
          <w:rFonts w:ascii="Times New Roman" w:hAnsi="Times New Roman"/>
        </w:rPr>
        <w:t>infrastructure</w:t>
      </w:r>
      <w:r w:rsidRPr="001E4E73">
        <w:rPr>
          <w:rFonts w:ascii="Times New Roman" w:hAnsi="Times New Roman"/>
        </w:rPr>
        <w:t xml:space="preserve">. </w:t>
      </w:r>
      <w:r w:rsidR="00660290" w:rsidRPr="001E4E73">
        <w:rPr>
          <w:rFonts w:ascii="Times New Roman" w:hAnsi="Times New Roman"/>
        </w:rPr>
        <w:t>I</w:t>
      </w:r>
      <w:r w:rsidRPr="001E4E73">
        <w:rPr>
          <w:rFonts w:ascii="Times New Roman" w:hAnsi="Times New Roman"/>
        </w:rPr>
        <w:t xml:space="preserve">n circumstances where </w:t>
      </w:r>
      <w:r w:rsidR="00951950" w:rsidRPr="001E4E73">
        <w:rPr>
          <w:rFonts w:ascii="Times New Roman" w:hAnsi="Times New Roman"/>
        </w:rPr>
        <w:t xml:space="preserve">such </w:t>
      </w:r>
      <w:r w:rsidR="00736EAE" w:rsidRPr="001E4E73">
        <w:rPr>
          <w:rFonts w:ascii="Times New Roman" w:hAnsi="Times New Roman"/>
        </w:rPr>
        <w:t xml:space="preserve">access </w:t>
      </w:r>
      <w:r w:rsidR="00660290" w:rsidRPr="001E4E73">
        <w:rPr>
          <w:rFonts w:ascii="Times New Roman" w:hAnsi="Times New Roman"/>
        </w:rPr>
        <w:t xml:space="preserve">is required, </w:t>
      </w:r>
      <w:r w:rsidR="00951950" w:rsidRPr="001E4E73">
        <w:rPr>
          <w:rFonts w:ascii="Times New Roman" w:hAnsi="Times New Roman"/>
        </w:rPr>
        <w:t xml:space="preserve">the SIP </w:t>
      </w:r>
      <w:r w:rsidR="001D554F" w:rsidRPr="001E4E73">
        <w:rPr>
          <w:rFonts w:ascii="Times New Roman" w:hAnsi="Times New Roman"/>
        </w:rPr>
        <w:t>should</w:t>
      </w:r>
      <w:r w:rsidR="00660290" w:rsidRPr="001E4E73">
        <w:rPr>
          <w:rFonts w:ascii="Times New Roman" w:hAnsi="Times New Roman"/>
        </w:rPr>
        <w:t xml:space="preserve"> inform the </w:t>
      </w:r>
      <w:r w:rsidR="004F70A9" w:rsidRPr="001E4E73">
        <w:rPr>
          <w:rFonts w:ascii="Times New Roman" w:hAnsi="Times New Roman"/>
        </w:rPr>
        <w:t xml:space="preserve">requesting CSP. This is </w:t>
      </w:r>
      <w:r w:rsidR="001D554F" w:rsidRPr="001E4E73">
        <w:rPr>
          <w:rFonts w:ascii="Times New Roman" w:hAnsi="Times New Roman"/>
        </w:rPr>
        <w:t>so</w:t>
      </w:r>
      <w:r w:rsidR="004F70A9" w:rsidRPr="001E4E73">
        <w:rPr>
          <w:rFonts w:ascii="Times New Roman" w:hAnsi="Times New Roman"/>
        </w:rPr>
        <w:t xml:space="preserve"> the CSP </w:t>
      </w:r>
      <w:r w:rsidR="001D554F" w:rsidRPr="001E4E73">
        <w:rPr>
          <w:rFonts w:ascii="Times New Roman" w:hAnsi="Times New Roman"/>
        </w:rPr>
        <w:t>can relay</w:t>
      </w:r>
      <w:r w:rsidR="004F70A9" w:rsidRPr="001E4E73">
        <w:rPr>
          <w:rFonts w:ascii="Times New Roman" w:hAnsi="Times New Roman"/>
        </w:rPr>
        <w:t xml:space="preserve"> information </w:t>
      </w:r>
      <w:r w:rsidR="001D554F" w:rsidRPr="001E4E73">
        <w:rPr>
          <w:rFonts w:ascii="Times New Roman" w:hAnsi="Times New Roman"/>
        </w:rPr>
        <w:t xml:space="preserve">to assist in providing </w:t>
      </w:r>
      <w:r w:rsidR="00736EAE" w:rsidRPr="001E4E73">
        <w:rPr>
          <w:rFonts w:ascii="Times New Roman" w:hAnsi="Times New Roman"/>
        </w:rPr>
        <w:t xml:space="preserve">access </w:t>
      </w:r>
      <w:r w:rsidR="00DD5DFE" w:rsidRPr="001E4E73">
        <w:rPr>
          <w:rFonts w:ascii="Times New Roman" w:hAnsi="Times New Roman"/>
        </w:rPr>
        <w:t xml:space="preserve">(e.g. from landlords, body corporates </w:t>
      </w:r>
      <w:r w:rsidR="00315297" w:rsidRPr="001E4E73">
        <w:rPr>
          <w:rFonts w:ascii="Times New Roman" w:hAnsi="Times New Roman"/>
        </w:rPr>
        <w:t>or residents</w:t>
      </w:r>
      <w:r w:rsidR="00DD5DFE" w:rsidRPr="001E4E73">
        <w:rPr>
          <w:rFonts w:ascii="Times New Roman" w:hAnsi="Times New Roman"/>
        </w:rPr>
        <w:t>)</w:t>
      </w:r>
      <w:r w:rsidR="00660290" w:rsidRPr="001E4E73">
        <w:rPr>
          <w:rFonts w:ascii="Times New Roman" w:hAnsi="Times New Roman"/>
        </w:rPr>
        <w:t>.</w:t>
      </w:r>
      <w:r w:rsidRPr="001E4E73">
        <w:rPr>
          <w:rFonts w:ascii="Times New Roman" w:hAnsi="Times New Roman"/>
        </w:rPr>
        <w:t xml:space="preserve"> </w:t>
      </w:r>
      <w:r w:rsidR="00D156FF" w:rsidRPr="001E4E73">
        <w:rPr>
          <w:rFonts w:ascii="Times New Roman" w:hAnsi="Times New Roman"/>
        </w:rPr>
        <w:t>A</w:t>
      </w:r>
      <w:r w:rsidR="00511379" w:rsidRPr="001E4E73">
        <w:rPr>
          <w:rFonts w:ascii="Times New Roman" w:hAnsi="Times New Roman"/>
        </w:rPr>
        <w:t xml:space="preserve"> SIP </w:t>
      </w:r>
      <w:r w:rsidR="00D156FF" w:rsidRPr="001E4E73">
        <w:rPr>
          <w:rFonts w:ascii="Times New Roman" w:hAnsi="Times New Roman"/>
        </w:rPr>
        <w:t xml:space="preserve">must </w:t>
      </w:r>
      <w:r w:rsidR="00511379" w:rsidRPr="001E4E73">
        <w:rPr>
          <w:rFonts w:ascii="Times New Roman" w:hAnsi="Times New Roman"/>
        </w:rPr>
        <w:t>tak</w:t>
      </w:r>
      <w:r w:rsidR="00D156FF" w:rsidRPr="001E4E73">
        <w:rPr>
          <w:rFonts w:ascii="Times New Roman" w:hAnsi="Times New Roman"/>
        </w:rPr>
        <w:t>e</w:t>
      </w:r>
      <w:r w:rsidR="00511379" w:rsidRPr="001E4E73">
        <w:rPr>
          <w:rFonts w:ascii="Times New Roman" w:hAnsi="Times New Roman"/>
        </w:rPr>
        <w:t xml:space="preserve"> reasonable </w:t>
      </w:r>
      <w:r w:rsidR="00315297" w:rsidRPr="001E4E73">
        <w:rPr>
          <w:rFonts w:ascii="Times New Roman" w:hAnsi="Times New Roman"/>
        </w:rPr>
        <w:t xml:space="preserve">steps </w:t>
      </w:r>
      <w:r w:rsidR="00511379" w:rsidRPr="001E4E73">
        <w:rPr>
          <w:rFonts w:ascii="Times New Roman" w:hAnsi="Times New Roman"/>
        </w:rPr>
        <w:t xml:space="preserve">to obtain access, including </w:t>
      </w:r>
      <w:r w:rsidR="00736EAE" w:rsidRPr="001E4E73">
        <w:rPr>
          <w:rFonts w:ascii="Times New Roman" w:hAnsi="Times New Roman"/>
        </w:rPr>
        <w:t xml:space="preserve">obtaining consent or using </w:t>
      </w:r>
      <w:r w:rsidR="00511379" w:rsidRPr="001E4E73">
        <w:rPr>
          <w:rFonts w:ascii="Times New Roman" w:hAnsi="Times New Roman"/>
        </w:rPr>
        <w:t>all lawful available avenues (including any under Commonwealth law)</w:t>
      </w:r>
      <w:r w:rsidR="00D156FF" w:rsidRPr="001E4E73">
        <w:rPr>
          <w:rFonts w:ascii="Times New Roman" w:hAnsi="Times New Roman"/>
        </w:rPr>
        <w:t>, including carrier powers and immunities (see below)</w:t>
      </w:r>
      <w:r w:rsidR="00511379" w:rsidRPr="001E4E73">
        <w:rPr>
          <w:rFonts w:ascii="Times New Roman" w:hAnsi="Times New Roman"/>
        </w:rPr>
        <w:t xml:space="preserve">. </w:t>
      </w:r>
      <w:r w:rsidR="00D156FF" w:rsidRPr="001E4E73">
        <w:rPr>
          <w:rFonts w:ascii="Times New Roman" w:hAnsi="Times New Roman"/>
        </w:rPr>
        <w:t xml:space="preserve">If </w:t>
      </w:r>
      <w:r w:rsidR="00736EAE" w:rsidRPr="001E4E73">
        <w:rPr>
          <w:rFonts w:ascii="Times New Roman" w:hAnsi="Times New Roman"/>
        </w:rPr>
        <w:t>access</w:t>
      </w:r>
      <w:r w:rsidR="00D156FF" w:rsidRPr="001E4E73">
        <w:rPr>
          <w:rFonts w:ascii="Times New Roman" w:hAnsi="Times New Roman"/>
        </w:rPr>
        <w:t xml:space="preserve"> cannot be </w:t>
      </w:r>
      <w:r w:rsidR="00315297" w:rsidRPr="001E4E73">
        <w:rPr>
          <w:rFonts w:ascii="Times New Roman" w:hAnsi="Times New Roman"/>
        </w:rPr>
        <w:t>obtained</w:t>
      </w:r>
      <w:r w:rsidR="00D156FF" w:rsidRPr="001E4E73">
        <w:rPr>
          <w:rFonts w:ascii="Times New Roman" w:hAnsi="Times New Roman"/>
        </w:rPr>
        <w:t>, paragraph</w:t>
      </w:r>
      <w:r w:rsidR="00D156FF" w:rsidRPr="001E4E73" w:rsidDel="00C740DD">
        <w:rPr>
          <w:rFonts w:ascii="Times New Roman" w:hAnsi="Times New Roman"/>
        </w:rPr>
        <w:t xml:space="preserve"> </w:t>
      </w:r>
      <w:r w:rsidR="00315297" w:rsidRPr="001E4E73">
        <w:rPr>
          <w:rFonts w:ascii="Times New Roman" w:hAnsi="Times New Roman"/>
        </w:rPr>
        <w:t>6</w:t>
      </w:r>
      <w:r w:rsidR="00D156FF" w:rsidRPr="001E4E73">
        <w:rPr>
          <w:rFonts w:ascii="Times New Roman" w:hAnsi="Times New Roman"/>
        </w:rPr>
        <w:t>(h) provides a SIP with an exception from connection obligation</w:t>
      </w:r>
      <w:r w:rsidR="00315297" w:rsidRPr="001E4E73">
        <w:rPr>
          <w:rFonts w:ascii="Times New Roman" w:hAnsi="Times New Roman"/>
        </w:rPr>
        <w:t>s.</w:t>
      </w:r>
    </w:p>
    <w:p w14:paraId="747DEFE3" w14:textId="77777777" w:rsidR="001D554F" w:rsidRPr="001E4E73" w:rsidRDefault="001D554F" w:rsidP="001D554F">
      <w:pPr>
        <w:keepNext/>
        <w:keepLines/>
        <w:spacing w:after="0" w:line="276" w:lineRule="auto"/>
        <w:rPr>
          <w:rFonts w:ascii="Times New Roman" w:hAnsi="Times New Roman"/>
        </w:rPr>
      </w:pPr>
    </w:p>
    <w:p w14:paraId="1E68C670" w14:textId="77777777" w:rsidR="006A5B40" w:rsidRPr="001E4E73" w:rsidRDefault="00315297" w:rsidP="001D554F">
      <w:pPr>
        <w:spacing w:after="0" w:line="276" w:lineRule="auto"/>
        <w:rPr>
          <w:rFonts w:ascii="Times New Roman" w:hAnsi="Times New Roman"/>
        </w:rPr>
      </w:pPr>
      <w:r w:rsidRPr="001E4E73">
        <w:rPr>
          <w:rFonts w:ascii="Times New Roman" w:hAnsi="Times New Roman"/>
        </w:rPr>
        <w:t>Under</w:t>
      </w:r>
      <w:r w:rsidR="006A5B40" w:rsidRPr="001E4E73">
        <w:rPr>
          <w:rFonts w:ascii="Times New Roman" w:hAnsi="Times New Roman"/>
        </w:rPr>
        <w:t xml:space="preserve"> Schedule 3 of the Act, </w:t>
      </w:r>
      <w:r w:rsidR="00EF2F10" w:rsidRPr="001E4E73">
        <w:rPr>
          <w:rFonts w:ascii="Times New Roman" w:hAnsi="Times New Roman"/>
        </w:rPr>
        <w:t>carriers</w:t>
      </w:r>
      <w:r w:rsidRPr="001E4E73">
        <w:rPr>
          <w:rFonts w:ascii="Times New Roman" w:hAnsi="Times New Roman"/>
        </w:rPr>
        <w:t xml:space="preserve"> (</w:t>
      </w:r>
      <w:r w:rsidR="006A5B40" w:rsidRPr="001E4E73">
        <w:rPr>
          <w:rFonts w:ascii="Times New Roman" w:hAnsi="Times New Roman"/>
        </w:rPr>
        <w:t>including SIPs</w:t>
      </w:r>
      <w:r w:rsidRPr="001E4E73">
        <w:rPr>
          <w:rFonts w:ascii="Times New Roman" w:hAnsi="Times New Roman"/>
        </w:rPr>
        <w:t>)</w:t>
      </w:r>
      <w:r w:rsidR="006A5B40" w:rsidRPr="001E4E73">
        <w:rPr>
          <w:rFonts w:ascii="Times New Roman" w:hAnsi="Times New Roman"/>
        </w:rPr>
        <w:t xml:space="preserve">, have powers to </w:t>
      </w:r>
      <w:r w:rsidR="00691AE4" w:rsidRPr="001E4E73">
        <w:rPr>
          <w:rFonts w:ascii="Times New Roman" w:hAnsi="Times New Roman"/>
        </w:rPr>
        <w:t xml:space="preserve">inspect </w:t>
      </w:r>
      <w:r w:rsidR="006A5B40" w:rsidRPr="001E4E73">
        <w:rPr>
          <w:rFonts w:ascii="Times New Roman" w:hAnsi="Times New Roman"/>
        </w:rPr>
        <w:t>land</w:t>
      </w:r>
      <w:r w:rsidR="00691AE4" w:rsidRPr="001E4E73">
        <w:rPr>
          <w:rFonts w:ascii="Times New Roman" w:hAnsi="Times New Roman"/>
        </w:rPr>
        <w:t xml:space="preserve">, </w:t>
      </w:r>
      <w:r w:rsidR="006A5B40" w:rsidRPr="001E4E73">
        <w:rPr>
          <w:rFonts w:ascii="Times New Roman" w:hAnsi="Times New Roman"/>
        </w:rPr>
        <w:t xml:space="preserve">install </w:t>
      </w:r>
      <w:r w:rsidR="00691AE4" w:rsidRPr="001E4E73">
        <w:rPr>
          <w:rFonts w:ascii="Times New Roman" w:hAnsi="Times New Roman"/>
        </w:rPr>
        <w:t xml:space="preserve">certain </w:t>
      </w:r>
      <w:r w:rsidR="006A5B40" w:rsidRPr="001E4E73">
        <w:rPr>
          <w:rFonts w:ascii="Times New Roman" w:hAnsi="Times New Roman"/>
        </w:rPr>
        <w:t>telecommunications facilities</w:t>
      </w:r>
      <w:r w:rsidR="00691AE4" w:rsidRPr="001E4E73">
        <w:rPr>
          <w:rFonts w:ascii="Times New Roman" w:hAnsi="Times New Roman"/>
        </w:rPr>
        <w:t xml:space="preserve">, maintain existing telecommunications facilities, and have </w:t>
      </w:r>
      <w:r w:rsidR="006A5B40" w:rsidRPr="001E4E73">
        <w:rPr>
          <w:rFonts w:ascii="Times New Roman" w:hAnsi="Times New Roman"/>
        </w:rPr>
        <w:t>immunit</w:t>
      </w:r>
      <w:r w:rsidRPr="001E4E73">
        <w:rPr>
          <w:rFonts w:ascii="Times New Roman" w:hAnsi="Times New Roman"/>
        </w:rPr>
        <w:t>y</w:t>
      </w:r>
      <w:r w:rsidR="006A5B40" w:rsidRPr="001E4E73">
        <w:rPr>
          <w:rFonts w:ascii="Times New Roman" w:hAnsi="Times New Roman"/>
        </w:rPr>
        <w:t xml:space="preserve"> from </w:t>
      </w:r>
      <w:r w:rsidRPr="001E4E73">
        <w:rPr>
          <w:rFonts w:ascii="Times New Roman" w:hAnsi="Times New Roman"/>
        </w:rPr>
        <w:t xml:space="preserve">some </w:t>
      </w:r>
      <w:r w:rsidR="006A5B40" w:rsidRPr="001E4E73">
        <w:rPr>
          <w:rFonts w:ascii="Times New Roman" w:hAnsi="Times New Roman"/>
        </w:rPr>
        <w:t>state and territory legislation</w:t>
      </w:r>
      <w:r w:rsidR="00691AE4" w:rsidRPr="001E4E73">
        <w:rPr>
          <w:rFonts w:ascii="Times New Roman" w:hAnsi="Times New Roman"/>
        </w:rPr>
        <w:t>, such as planning laws</w:t>
      </w:r>
      <w:r w:rsidR="006A5B40" w:rsidRPr="001E4E73">
        <w:rPr>
          <w:rFonts w:ascii="Times New Roman" w:hAnsi="Times New Roman"/>
        </w:rPr>
        <w:t xml:space="preserve">. Known as the ‘powers and immunities’ </w:t>
      </w:r>
      <w:r w:rsidR="004B68AC" w:rsidRPr="001E4E73">
        <w:rPr>
          <w:rFonts w:ascii="Times New Roman" w:hAnsi="Times New Roman"/>
        </w:rPr>
        <w:t>framework</w:t>
      </w:r>
      <w:r w:rsidR="006A5B40" w:rsidRPr="001E4E73">
        <w:rPr>
          <w:rFonts w:ascii="Times New Roman" w:hAnsi="Times New Roman"/>
        </w:rPr>
        <w:t xml:space="preserve">, </w:t>
      </w:r>
      <w:r w:rsidRPr="001E4E73">
        <w:rPr>
          <w:rFonts w:ascii="Times New Roman" w:hAnsi="Times New Roman"/>
        </w:rPr>
        <w:t>it</w:t>
      </w:r>
      <w:r w:rsidR="006A5B40" w:rsidRPr="001E4E73">
        <w:rPr>
          <w:rFonts w:ascii="Times New Roman" w:hAnsi="Times New Roman"/>
        </w:rPr>
        <w:t xml:space="preserve"> facilitate</w:t>
      </w:r>
      <w:r w:rsidRPr="001E4E73">
        <w:rPr>
          <w:rFonts w:ascii="Times New Roman" w:hAnsi="Times New Roman"/>
        </w:rPr>
        <w:t>s</w:t>
      </w:r>
      <w:r w:rsidR="006A5B40" w:rsidRPr="001E4E73">
        <w:rPr>
          <w:rFonts w:ascii="Times New Roman" w:hAnsi="Times New Roman"/>
        </w:rPr>
        <w:t xml:space="preserve"> the efficient</w:t>
      </w:r>
      <w:r w:rsidR="004B68AC" w:rsidRPr="001E4E73">
        <w:rPr>
          <w:rFonts w:ascii="Times New Roman" w:hAnsi="Times New Roman"/>
        </w:rPr>
        <w:t>, cost</w:t>
      </w:r>
      <w:r w:rsidRPr="001E4E73">
        <w:rPr>
          <w:rFonts w:ascii="Times New Roman" w:hAnsi="Times New Roman"/>
        </w:rPr>
        <w:t>-</w:t>
      </w:r>
      <w:r w:rsidR="004B68AC" w:rsidRPr="001E4E73">
        <w:rPr>
          <w:rFonts w:ascii="Times New Roman" w:hAnsi="Times New Roman"/>
        </w:rPr>
        <w:t xml:space="preserve">effective, and nationally consistent </w:t>
      </w:r>
      <w:r w:rsidR="006A5B40" w:rsidRPr="001E4E73">
        <w:rPr>
          <w:rFonts w:ascii="Times New Roman" w:hAnsi="Times New Roman"/>
        </w:rPr>
        <w:t>construction and maintenance of telecommunications networks.</w:t>
      </w:r>
      <w:r w:rsidR="00994DAF" w:rsidRPr="001E4E73">
        <w:rPr>
          <w:rFonts w:ascii="Times New Roman" w:hAnsi="Times New Roman"/>
        </w:rPr>
        <w:t xml:space="preserve"> </w:t>
      </w:r>
      <w:r w:rsidR="004B68AC" w:rsidRPr="001E4E73">
        <w:rPr>
          <w:rFonts w:ascii="Times New Roman" w:hAnsi="Times New Roman"/>
        </w:rPr>
        <w:t xml:space="preserve">The powers and immunities framework </w:t>
      </w:r>
      <w:proofErr w:type="gramStart"/>
      <w:r w:rsidR="004B68AC" w:rsidRPr="001E4E73">
        <w:rPr>
          <w:rFonts w:ascii="Times New Roman" w:hAnsi="Times New Roman"/>
        </w:rPr>
        <w:t>protects</w:t>
      </w:r>
      <w:proofErr w:type="gramEnd"/>
      <w:r w:rsidR="004B68AC" w:rsidRPr="001E4E73">
        <w:rPr>
          <w:rFonts w:ascii="Times New Roman" w:hAnsi="Times New Roman"/>
        </w:rPr>
        <w:t xml:space="preserve"> landowner</w:t>
      </w:r>
      <w:r w:rsidRPr="001E4E73">
        <w:rPr>
          <w:rFonts w:ascii="Times New Roman" w:hAnsi="Times New Roman"/>
        </w:rPr>
        <w:t xml:space="preserve">s </w:t>
      </w:r>
      <w:r w:rsidR="004B68AC" w:rsidRPr="001E4E73">
        <w:rPr>
          <w:rFonts w:ascii="Times New Roman" w:hAnsi="Times New Roman"/>
        </w:rPr>
        <w:t>by requiring carriers</w:t>
      </w:r>
      <w:r w:rsidRPr="001E4E73">
        <w:rPr>
          <w:rFonts w:ascii="Times New Roman" w:hAnsi="Times New Roman"/>
        </w:rPr>
        <w:t xml:space="preserve"> (</w:t>
      </w:r>
      <w:r w:rsidR="004B68AC" w:rsidRPr="001E4E73">
        <w:rPr>
          <w:rFonts w:ascii="Times New Roman" w:hAnsi="Times New Roman"/>
        </w:rPr>
        <w:t>including SIPs</w:t>
      </w:r>
      <w:r w:rsidRPr="001E4E73">
        <w:rPr>
          <w:rFonts w:ascii="Times New Roman" w:hAnsi="Times New Roman"/>
        </w:rPr>
        <w:t>)</w:t>
      </w:r>
      <w:r w:rsidR="004B68AC" w:rsidRPr="001E4E73">
        <w:rPr>
          <w:rFonts w:ascii="Times New Roman" w:hAnsi="Times New Roman"/>
        </w:rPr>
        <w:t>, to undertake community notification and/or consultation when upgrading or deploying new infrastructure. Carriers (including SIPs) are also required to act in accordance with good engineering practices and interfere as little as practicable with the landowner’s use of the land.</w:t>
      </w:r>
    </w:p>
    <w:p w14:paraId="34916A9D" w14:textId="77777777" w:rsidR="00BD53B5" w:rsidRPr="001E4E73" w:rsidRDefault="00BD53B5" w:rsidP="001D554F">
      <w:pPr>
        <w:spacing w:after="0" w:line="276" w:lineRule="auto"/>
        <w:rPr>
          <w:rFonts w:ascii="Times New Roman" w:hAnsi="Times New Roman"/>
        </w:rPr>
      </w:pPr>
    </w:p>
    <w:p w14:paraId="49B3DE27" w14:textId="77777777" w:rsidR="00004635" w:rsidRPr="001E4E73" w:rsidRDefault="00004635" w:rsidP="00BD53B5">
      <w:pPr>
        <w:keepNext/>
        <w:keepLines/>
        <w:spacing w:line="276" w:lineRule="auto"/>
        <w:rPr>
          <w:rFonts w:ascii="Times New Roman" w:hAnsi="Times New Roman"/>
          <w:i/>
        </w:rPr>
      </w:pPr>
      <w:r w:rsidRPr="001E4E73">
        <w:rPr>
          <w:rFonts w:ascii="Times New Roman" w:hAnsi="Times New Roman"/>
          <w:i/>
        </w:rPr>
        <w:lastRenderedPageBreak/>
        <w:t>SIP’s terms and conditions</w:t>
      </w:r>
    </w:p>
    <w:p w14:paraId="145E6533" w14:textId="11E0D790" w:rsidR="00660290" w:rsidRPr="001E4E73" w:rsidRDefault="00C740DD" w:rsidP="008000A1">
      <w:pPr>
        <w:keepNext/>
        <w:keepLines/>
        <w:spacing w:after="0" w:line="276" w:lineRule="auto"/>
        <w:rPr>
          <w:rFonts w:ascii="Times New Roman" w:hAnsi="Times New Roman"/>
        </w:rPr>
      </w:pPr>
      <w:r w:rsidRPr="001E4E73">
        <w:rPr>
          <w:rFonts w:ascii="Times New Roman" w:hAnsi="Times New Roman"/>
        </w:rPr>
        <w:t xml:space="preserve">Paragraph </w:t>
      </w:r>
      <w:r w:rsidR="00BD53B5" w:rsidRPr="001E4E73">
        <w:rPr>
          <w:rFonts w:ascii="Times New Roman" w:hAnsi="Times New Roman"/>
        </w:rPr>
        <w:t>6</w:t>
      </w:r>
      <w:r w:rsidR="00660290" w:rsidRPr="001E4E73">
        <w:rPr>
          <w:rFonts w:ascii="Times New Roman" w:hAnsi="Times New Roman"/>
        </w:rPr>
        <w:t>(</w:t>
      </w:r>
      <w:proofErr w:type="spellStart"/>
      <w:r w:rsidR="00660290" w:rsidRPr="001E4E73">
        <w:rPr>
          <w:rFonts w:ascii="Times New Roman" w:hAnsi="Times New Roman"/>
        </w:rPr>
        <w:t>i</w:t>
      </w:r>
      <w:proofErr w:type="spellEnd"/>
      <w:r w:rsidR="00660290" w:rsidRPr="001E4E73">
        <w:rPr>
          <w:rFonts w:ascii="Times New Roman" w:hAnsi="Times New Roman"/>
        </w:rPr>
        <w:t xml:space="preserve">) </w:t>
      </w:r>
      <w:r w:rsidR="00DD5DFE" w:rsidRPr="001E4E73">
        <w:rPr>
          <w:rFonts w:ascii="Times New Roman" w:hAnsi="Times New Roman"/>
        </w:rPr>
        <w:t>provides an exception to</w:t>
      </w:r>
      <w:r w:rsidR="00004635" w:rsidRPr="001E4E73">
        <w:rPr>
          <w:rFonts w:ascii="Times New Roman" w:hAnsi="Times New Roman"/>
        </w:rPr>
        <w:t xml:space="preserve"> SIP</w:t>
      </w:r>
      <w:r w:rsidR="00DD5DFE" w:rsidRPr="001E4E73">
        <w:rPr>
          <w:rFonts w:ascii="Times New Roman" w:hAnsi="Times New Roman"/>
        </w:rPr>
        <w:t>s</w:t>
      </w:r>
      <w:r w:rsidR="00004635" w:rsidRPr="001E4E73">
        <w:rPr>
          <w:rFonts w:ascii="Times New Roman" w:hAnsi="Times New Roman"/>
        </w:rPr>
        <w:t xml:space="preserve"> </w:t>
      </w:r>
      <w:r w:rsidR="00DD5DFE" w:rsidRPr="001E4E73">
        <w:rPr>
          <w:rFonts w:ascii="Times New Roman" w:hAnsi="Times New Roman"/>
        </w:rPr>
        <w:t>from</w:t>
      </w:r>
      <w:r w:rsidR="00004635" w:rsidRPr="001E4E73">
        <w:rPr>
          <w:rFonts w:ascii="Times New Roman" w:hAnsi="Times New Roman"/>
        </w:rPr>
        <w:t xml:space="preserve"> connect</w:t>
      </w:r>
      <w:r w:rsidR="00DD5DFE" w:rsidRPr="001E4E73">
        <w:rPr>
          <w:rFonts w:ascii="Times New Roman" w:hAnsi="Times New Roman"/>
        </w:rPr>
        <w:t>ing</w:t>
      </w:r>
      <w:r w:rsidR="00004635" w:rsidRPr="001E4E73">
        <w:rPr>
          <w:rFonts w:ascii="Times New Roman" w:hAnsi="Times New Roman"/>
        </w:rPr>
        <w:t xml:space="preserve"> premises if the CSP refuses to accept the SIP’s terms and conditions (provided those terms and conditions are </w:t>
      </w:r>
      <w:r w:rsidR="00BB74CC" w:rsidRPr="001E4E73">
        <w:rPr>
          <w:rFonts w:ascii="Times New Roman" w:hAnsi="Times New Roman"/>
        </w:rPr>
        <w:t>not in</w:t>
      </w:r>
      <w:r w:rsidR="00004635" w:rsidRPr="001E4E73">
        <w:rPr>
          <w:rFonts w:ascii="Times New Roman" w:hAnsi="Times New Roman"/>
        </w:rPr>
        <w:t xml:space="preserve">consistent with this Instrument). </w:t>
      </w:r>
      <w:r w:rsidR="008000A1" w:rsidRPr="001E4E73">
        <w:rPr>
          <w:rFonts w:ascii="Times New Roman" w:hAnsi="Times New Roman"/>
        </w:rPr>
        <w:t xml:space="preserve">Under </w:t>
      </w:r>
      <w:r w:rsidR="007A6EE1" w:rsidRPr="001E4E73">
        <w:rPr>
          <w:rFonts w:ascii="Times New Roman" w:hAnsi="Times New Roman"/>
        </w:rPr>
        <w:t xml:space="preserve">Part 19 of the </w:t>
      </w:r>
      <w:r w:rsidR="00C72035" w:rsidRPr="001E4E73">
        <w:rPr>
          <w:rFonts w:ascii="Times New Roman" w:hAnsi="Times New Roman"/>
        </w:rPr>
        <w:t xml:space="preserve">Act, each SIP </w:t>
      </w:r>
      <w:r w:rsidR="008000A1" w:rsidRPr="001E4E73">
        <w:rPr>
          <w:rFonts w:ascii="Times New Roman" w:hAnsi="Times New Roman"/>
        </w:rPr>
        <w:t>must make available</w:t>
      </w:r>
      <w:r w:rsidR="00C72035" w:rsidRPr="001E4E73">
        <w:rPr>
          <w:rFonts w:ascii="Times New Roman" w:hAnsi="Times New Roman"/>
        </w:rPr>
        <w:t xml:space="preserve"> on its website the price and non-price terms and conditions on which it offers to connect premises in the relevant service area.</w:t>
      </w:r>
    </w:p>
    <w:p w14:paraId="045CFFA4" w14:textId="77777777" w:rsidR="00BD53B5" w:rsidRPr="001E4E73" w:rsidRDefault="00BD53B5" w:rsidP="00BD53B5">
      <w:pPr>
        <w:spacing w:after="0" w:line="276" w:lineRule="auto"/>
        <w:rPr>
          <w:rFonts w:ascii="Times New Roman" w:hAnsi="Times New Roman"/>
        </w:rPr>
      </w:pPr>
    </w:p>
    <w:p w14:paraId="7EC7ED33" w14:textId="77777777" w:rsidR="00004635" w:rsidRPr="001E4E73" w:rsidRDefault="00685909" w:rsidP="00E46F52">
      <w:pPr>
        <w:keepNext/>
        <w:keepLines/>
        <w:spacing w:line="276" w:lineRule="auto"/>
        <w:rPr>
          <w:rFonts w:ascii="Times New Roman" w:hAnsi="Times New Roman"/>
          <w:i/>
        </w:rPr>
      </w:pPr>
      <w:r w:rsidRPr="001E4E73">
        <w:rPr>
          <w:rFonts w:ascii="Times New Roman" w:hAnsi="Times New Roman"/>
          <w:i/>
        </w:rPr>
        <w:t>Identification information</w:t>
      </w:r>
    </w:p>
    <w:p w14:paraId="56E3A753" w14:textId="77777777" w:rsidR="00A23E8E" w:rsidRPr="001E4E73" w:rsidRDefault="00C740DD" w:rsidP="00DA0925">
      <w:pPr>
        <w:keepNext/>
        <w:keepLines/>
        <w:spacing w:after="0" w:line="276" w:lineRule="auto"/>
        <w:rPr>
          <w:rFonts w:ascii="Times New Roman" w:hAnsi="Times New Roman"/>
        </w:rPr>
      </w:pPr>
      <w:r w:rsidRPr="001E4E73">
        <w:rPr>
          <w:rFonts w:ascii="Times New Roman" w:hAnsi="Times New Roman"/>
        </w:rPr>
        <w:t xml:space="preserve">Paragraph </w:t>
      </w:r>
      <w:r w:rsidR="00DD49CB" w:rsidRPr="001E4E73">
        <w:rPr>
          <w:rFonts w:ascii="Times New Roman" w:hAnsi="Times New Roman"/>
        </w:rPr>
        <w:t>6</w:t>
      </w:r>
      <w:r w:rsidR="00421FBB" w:rsidRPr="001E4E73">
        <w:rPr>
          <w:rFonts w:ascii="Times New Roman" w:hAnsi="Times New Roman"/>
        </w:rPr>
        <w:t>(</w:t>
      </w:r>
      <w:r w:rsidR="00B5377F" w:rsidRPr="001E4E73">
        <w:rPr>
          <w:rFonts w:ascii="Times New Roman" w:hAnsi="Times New Roman"/>
        </w:rPr>
        <w:t>j</w:t>
      </w:r>
      <w:r w:rsidR="00421FBB" w:rsidRPr="001E4E73">
        <w:rPr>
          <w:rFonts w:ascii="Times New Roman" w:hAnsi="Times New Roman"/>
        </w:rPr>
        <w:t xml:space="preserve">) </w:t>
      </w:r>
      <w:r w:rsidR="00F14FAD" w:rsidRPr="001E4E73">
        <w:rPr>
          <w:rFonts w:ascii="Times New Roman" w:hAnsi="Times New Roman"/>
        </w:rPr>
        <w:t xml:space="preserve">provides </w:t>
      </w:r>
      <w:r w:rsidR="00DD49CB" w:rsidRPr="001E4E73">
        <w:rPr>
          <w:rFonts w:ascii="Times New Roman" w:hAnsi="Times New Roman"/>
        </w:rPr>
        <w:t>an exception to connection obligations</w:t>
      </w:r>
      <w:r w:rsidR="00F14FAD" w:rsidRPr="001E4E73">
        <w:rPr>
          <w:rFonts w:ascii="Times New Roman" w:hAnsi="Times New Roman"/>
        </w:rPr>
        <w:t xml:space="preserve"> </w:t>
      </w:r>
      <w:r w:rsidR="00F94E1B" w:rsidRPr="001E4E73">
        <w:rPr>
          <w:rFonts w:ascii="Times New Roman" w:hAnsi="Times New Roman"/>
        </w:rPr>
        <w:t xml:space="preserve">in </w:t>
      </w:r>
      <w:r w:rsidR="00F14FAD" w:rsidRPr="001E4E73">
        <w:rPr>
          <w:rFonts w:ascii="Times New Roman" w:hAnsi="Times New Roman"/>
        </w:rPr>
        <w:t xml:space="preserve">circumstances where </w:t>
      </w:r>
      <w:r w:rsidR="00DD49CB" w:rsidRPr="001E4E73">
        <w:rPr>
          <w:rFonts w:ascii="Times New Roman" w:hAnsi="Times New Roman"/>
        </w:rPr>
        <w:t>the SIP</w:t>
      </w:r>
      <w:r w:rsidR="00F14FAD" w:rsidRPr="001E4E73">
        <w:rPr>
          <w:rFonts w:ascii="Times New Roman" w:hAnsi="Times New Roman"/>
        </w:rPr>
        <w:t xml:space="preserve"> has </w:t>
      </w:r>
      <w:r w:rsidR="00421FBB" w:rsidRPr="001E4E73">
        <w:rPr>
          <w:rFonts w:ascii="Times New Roman" w:hAnsi="Times New Roman"/>
        </w:rPr>
        <w:t>a</w:t>
      </w:r>
      <w:r w:rsidR="00F14FAD" w:rsidRPr="001E4E73">
        <w:rPr>
          <w:rFonts w:ascii="Times New Roman" w:hAnsi="Times New Roman"/>
        </w:rPr>
        <w:t xml:space="preserve"> </w:t>
      </w:r>
      <w:r w:rsidR="00367531" w:rsidRPr="001E4E73">
        <w:rPr>
          <w:rFonts w:ascii="Times New Roman" w:hAnsi="Times New Roman"/>
        </w:rPr>
        <w:t>reasonable</w:t>
      </w:r>
      <w:r w:rsidR="00F14FAD" w:rsidRPr="001E4E73">
        <w:rPr>
          <w:rFonts w:ascii="Times New Roman" w:hAnsi="Times New Roman"/>
        </w:rPr>
        <w:t xml:space="preserve"> need t</w:t>
      </w:r>
      <w:r w:rsidR="00421FBB" w:rsidRPr="001E4E73">
        <w:rPr>
          <w:rFonts w:ascii="Times New Roman" w:hAnsi="Times New Roman"/>
        </w:rPr>
        <w:t xml:space="preserve">o identify an end-user, </w:t>
      </w:r>
      <w:r w:rsidR="00F14FAD" w:rsidRPr="001E4E73">
        <w:rPr>
          <w:rFonts w:ascii="Times New Roman" w:hAnsi="Times New Roman"/>
        </w:rPr>
        <w:t xml:space="preserve">and </w:t>
      </w:r>
      <w:r w:rsidR="00421FBB" w:rsidRPr="001E4E73">
        <w:rPr>
          <w:rFonts w:ascii="Times New Roman" w:hAnsi="Times New Roman"/>
        </w:rPr>
        <w:t>the requested information</w:t>
      </w:r>
      <w:r w:rsidR="00A23E8E" w:rsidRPr="001E4E73">
        <w:rPr>
          <w:rFonts w:ascii="Times New Roman" w:hAnsi="Times New Roman"/>
        </w:rPr>
        <w:t xml:space="preserve"> (from the CSP) has not been </w:t>
      </w:r>
      <w:r w:rsidR="00421FBB" w:rsidRPr="001E4E73">
        <w:rPr>
          <w:rFonts w:ascii="Times New Roman" w:hAnsi="Times New Roman"/>
        </w:rPr>
        <w:t xml:space="preserve">made available to the SIP. </w:t>
      </w:r>
      <w:r w:rsidR="00DD49CB" w:rsidRPr="001E4E73">
        <w:rPr>
          <w:rFonts w:ascii="Times New Roman" w:hAnsi="Times New Roman"/>
        </w:rPr>
        <w:t xml:space="preserve">This </w:t>
      </w:r>
      <w:r w:rsidR="006B10E3" w:rsidRPr="001E4E73">
        <w:rPr>
          <w:rFonts w:ascii="Times New Roman" w:hAnsi="Times New Roman"/>
        </w:rPr>
        <w:t xml:space="preserve">reflects </w:t>
      </w:r>
      <w:r w:rsidR="00C94E0A" w:rsidRPr="001E4E73">
        <w:rPr>
          <w:rFonts w:ascii="Times New Roman" w:hAnsi="Times New Roman"/>
        </w:rPr>
        <w:t xml:space="preserve">that </w:t>
      </w:r>
      <w:r w:rsidR="006B10E3" w:rsidRPr="001E4E73">
        <w:rPr>
          <w:rFonts w:ascii="Times New Roman" w:hAnsi="Times New Roman"/>
        </w:rPr>
        <w:t xml:space="preserve">SIPs </w:t>
      </w:r>
      <w:r w:rsidR="00C94E0A" w:rsidRPr="001E4E73">
        <w:rPr>
          <w:rFonts w:ascii="Times New Roman" w:hAnsi="Times New Roman"/>
        </w:rPr>
        <w:t>are subject to broader legislative requirements (</w:t>
      </w:r>
      <w:r w:rsidR="00BB74CC" w:rsidRPr="001E4E73">
        <w:rPr>
          <w:rFonts w:ascii="Times New Roman" w:hAnsi="Times New Roman"/>
        </w:rPr>
        <w:t xml:space="preserve">it may be necessary for a SIP to identify an end-user for </w:t>
      </w:r>
      <w:r w:rsidR="00367531" w:rsidRPr="001E4E73">
        <w:rPr>
          <w:rFonts w:ascii="Times New Roman" w:hAnsi="Times New Roman"/>
        </w:rPr>
        <w:t xml:space="preserve">operational or </w:t>
      </w:r>
      <w:r w:rsidR="00C94E0A" w:rsidRPr="001E4E73">
        <w:rPr>
          <w:rFonts w:ascii="Times New Roman" w:hAnsi="Times New Roman"/>
        </w:rPr>
        <w:t>law enforcement purposes)</w:t>
      </w:r>
      <w:r w:rsidR="00A23E8E" w:rsidRPr="001E4E73">
        <w:rPr>
          <w:rFonts w:ascii="Times New Roman" w:hAnsi="Times New Roman"/>
        </w:rPr>
        <w:t>.</w:t>
      </w:r>
    </w:p>
    <w:p w14:paraId="76970745" w14:textId="77777777" w:rsidR="00DA0925" w:rsidRPr="001E4E73" w:rsidRDefault="00DA0925" w:rsidP="00DA0925">
      <w:pPr>
        <w:keepNext/>
        <w:keepLines/>
        <w:spacing w:after="0" w:line="276" w:lineRule="auto"/>
        <w:rPr>
          <w:rFonts w:ascii="Times New Roman" w:hAnsi="Times New Roman"/>
        </w:rPr>
      </w:pPr>
    </w:p>
    <w:p w14:paraId="1AFEE664" w14:textId="77777777" w:rsidR="00BD6E9D" w:rsidRPr="001E4E73" w:rsidRDefault="008957D4" w:rsidP="00DA0925">
      <w:pPr>
        <w:spacing w:line="276" w:lineRule="auto"/>
        <w:rPr>
          <w:rFonts w:ascii="Times New Roman" w:hAnsi="Times New Roman"/>
          <w:i/>
        </w:rPr>
      </w:pPr>
      <w:r w:rsidRPr="001E4E73">
        <w:rPr>
          <w:rFonts w:ascii="Times New Roman" w:hAnsi="Times New Roman"/>
          <w:i/>
        </w:rPr>
        <w:t>Fraud</w:t>
      </w:r>
    </w:p>
    <w:p w14:paraId="3FD95BC7" w14:textId="79BA76A4" w:rsidR="004F70A9" w:rsidRPr="001E4E73" w:rsidRDefault="00043C5D" w:rsidP="00DA0925">
      <w:pPr>
        <w:spacing w:after="0" w:line="276" w:lineRule="auto"/>
        <w:rPr>
          <w:rFonts w:ascii="Times New Roman" w:hAnsi="Times New Roman"/>
        </w:rPr>
      </w:pPr>
      <w:r w:rsidRPr="001E4E73">
        <w:rPr>
          <w:rFonts w:ascii="Times New Roman" w:hAnsi="Times New Roman"/>
        </w:rPr>
        <w:t xml:space="preserve">Paragraph </w:t>
      </w:r>
      <w:r w:rsidR="00DD49CB" w:rsidRPr="001E4E73">
        <w:rPr>
          <w:rFonts w:ascii="Times New Roman" w:hAnsi="Times New Roman"/>
        </w:rPr>
        <w:t>6</w:t>
      </w:r>
      <w:r w:rsidR="004F70A9" w:rsidRPr="001E4E73">
        <w:rPr>
          <w:rFonts w:ascii="Times New Roman" w:hAnsi="Times New Roman"/>
        </w:rPr>
        <w:t>(</w:t>
      </w:r>
      <w:r w:rsidR="00B5377F" w:rsidRPr="001E4E73">
        <w:rPr>
          <w:rFonts w:ascii="Times New Roman" w:hAnsi="Times New Roman"/>
        </w:rPr>
        <w:t>k</w:t>
      </w:r>
      <w:r w:rsidR="004F70A9" w:rsidRPr="001E4E73">
        <w:rPr>
          <w:rFonts w:ascii="Times New Roman" w:hAnsi="Times New Roman"/>
        </w:rPr>
        <w:t xml:space="preserve">) </w:t>
      </w:r>
      <w:r w:rsidR="00985B61" w:rsidRPr="001E4E73">
        <w:rPr>
          <w:rFonts w:ascii="Times New Roman" w:hAnsi="Times New Roman"/>
        </w:rPr>
        <w:t>provides</w:t>
      </w:r>
      <w:r w:rsidR="001872E5" w:rsidRPr="001E4E73">
        <w:rPr>
          <w:rFonts w:ascii="Times New Roman" w:hAnsi="Times New Roman"/>
        </w:rPr>
        <w:t xml:space="preserve"> an exception to connection obligations</w:t>
      </w:r>
      <w:r w:rsidR="00985B61" w:rsidRPr="001E4E73">
        <w:rPr>
          <w:rFonts w:ascii="Times New Roman" w:hAnsi="Times New Roman"/>
        </w:rPr>
        <w:t xml:space="preserve"> </w:t>
      </w:r>
      <w:r w:rsidR="008957D4" w:rsidRPr="001E4E73">
        <w:rPr>
          <w:rFonts w:ascii="Times New Roman" w:hAnsi="Times New Roman"/>
        </w:rPr>
        <w:t>if the SIP believes, on reasonable grounds, that</w:t>
      </w:r>
      <w:r w:rsidR="003C332C" w:rsidRPr="001E4E73">
        <w:rPr>
          <w:rFonts w:ascii="Times New Roman" w:hAnsi="Times New Roman"/>
        </w:rPr>
        <w:t xml:space="preserve"> the request to </w:t>
      </w:r>
      <w:r w:rsidR="008957D4" w:rsidRPr="001E4E73">
        <w:rPr>
          <w:rFonts w:ascii="Times New Roman" w:hAnsi="Times New Roman"/>
        </w:rPr>
        <w:t xml:space="preserve">connect the premises </w:t>
      </w:r>
      <w:r w:rsidR="003C332C" w:rsidRPr="001E4E73">
        <w:rPr>
          <w:rFonts w:ascii="Times New Roman" w:hAnsi="Times New Roman"/>
        </w:rPr>
        <w:t xml:space="preserve">is </w:t>
      </w:r>
      <w:r w:rsidR="008957D4" w:rsidRPr="001E4E73">
        <w:rPr>
          <w:rFonts w:ascii="Times New Roman" w:hAnsi="Times New Roman"/>
        </w:rPr>
        <w:t xml:space="preserve">fraudulent. </w:t>
      </w:r>
      <w:r w:rsidR="002B568B" w:rsidRPr="001E4E73">
        <w:rPr>
          <w:rFonts w:ascii="Times New Roman" w:hAnsi="Times New Roman"/>
        </w:rPr>
        <w:t>This exception</w:t>
      </w:r>
      <w:r w:rsidR="004F70A9" w:rsidRPr="001E4E73">
        <w:rPr>
          <w:rFonts w:ascii="Times New Roman" w:hAnsi="Times New Roman"/>
        </w:rPr>
        <w:t xml:space="preserve"> is intended to reduce the risk of SIP</w:t>
      </w:r>
      <w:r w:rsidR="007E6F15" w:rsidRPr="001E4E73">
        <w:rPr>
          <w:rFonts w:ascii="Times New Roman" w:hAnsi="Times New Roman"/>
        </w:rPr>
        <w:t>s</w:t>
      </w:r>
      <w:r w:rsidR="004F70A9" w:rsidRPr="001E4E73">
        <w:rPr>
          <w:rFonts w:ascii="Times New Roman" w:hAnsi="Times New Roman"/>
        </w:rPr>
        <w:t xml:space="preserve"> </w:t>
      </w:r>
      <w:r w:rsidR="007A6EE1" w:rsidRPr="001E4E73">
        <w:rPr>
          <w:rFonts w:ascii="Times New Roman" w:hAnsi="Times New Roman"/>
        </w:rPr>
        <w:t xml:space="preserve">incurring </w:t>
      </w:r>
      <w:r w:rsidR="00F94E1B" w:rsidRPr="001E4E73">
        <w:rPr>
          <w:rFonts w:ascii="Times New Roman" w:hAnsi="Times New Roman"/>
        </w:rPr>
        <w:t xml:space="preserve">losses or other liabilities </w:t>
      </w:r>
      <w:r w:rsidR="002B568B" w:rsidRPr="001E4E73">
        <w:rPr>
          <w:rFonts w:ascii="Times New Roman" w:hAnsi="Times New Roman"/>
        </w:rPr>
        <w:t>due to</w:t>
      </w:r>
      <w:r w:rsidR="007A6EE1" w:rsidRPr="001E4E73">
        <w:rPr>
          <w:rFonts w:ascii="Times New Roman" w:hAnsi="Times New Roman"/>
        </w:rPr>
        <w:t xml:space="preserve"> third party fraudulent transactions or activities</w:t>
      </w:r>
      <w:r w:rsidR="002B568B" w:rsidRPr="001E4E73">
        <w:rPr>
          <w:rFonts w:ascii="Times New Roman" w:hAnsi="Times New Roman"/>
        </w:rPr>
        <w:t>.</w:t>
      </w:r>
    </w:p>
    <w:p w14:paraId="10A2A5C8" w14:textId="77777777" w:rsidR="00DA0925" w:rsidRPr="001E4E73" w:rsidRDefault="00DA0925" w:rsidP="00DA0925">
      <w:pPr>
        <w:spacing w:after="0" w:line="276" w:lineRule="auto"/>
        <w:rPr>
          <w:rFonts w:ascii="Times New Roman" w:hAnsi="Times New Roman"/>
        </w:rPr>
      </w:pPr>
    </w:p>
    <w:p w14:paraId="4ABE9DE2" w14:textId="77777777" w:rsidR="008957D4" w:rsidRPr="001E4E73" w:rsidRDefault="008957D4" w:rsidP="00E46F52">
      <w:pPr>
        <w:spacing w:line="276" w:lineRule="auto"/>
        <w:rPr>
          <w:rFonts w:ascii="Times New Roman" w:hAnsi="Times New Roman"/>
          <w:i/>
        </w:rPr>
      </w:pPr>
      <w:r w:rsidRPr="001E4E73">
        <w:rPr>
          <w:rFonts w:ascii="Times New Roman" w:hAnsi="Times New Roman"/>
          <w:i/>
        </w:rPr>
        <w:t>Occupancy rights</w:t>
      </w:r>
    </w:p>
    <w:p w14:paraId="0DBBB1BC" w14:textId="77777777" w:rsidR="00350696" w:rsidRPr="001E4E73" w:rsidRDefault="007A6EE1" w:rsidP="002B568B">
      <w:pPr>
        <w:spacing w:after="0" w:line="276" w:lineRule="auto"/>
        <w:rPr>
          <w:rFonts w:ascii="Times New Roman" w:hAnsi="Times New Roman"/>
        </w:rPr>
      </w:pPr>
      <w:r w:rsidRPr="001E4E73">
        <w:rPr>
          <w:rFonts w:ascii="Times New Roman" w:hAnsi="Times New Roman"/>
        </w:rPr>
        <w:t xml:space="preserve">Paragraph </w:t>
      </w:r>
      <w:r w:rsidR="002B568B" w:rsidRPr="001E4E73">
        <w:rPr>
          <w:rFonts w:ascii="Times New Roman" w:hAnsi="Times New Roman"/>
        </w:rPr>
        <w:t>6</w:t>
      </w:r>
      <w:r w:rsidR="004F70A9" w:rsidRPr="001E4E73">
        <w:rPr>
          <w:rFonts w:ascii="Times New Roman" w:hAnsi="Times New Roman"/>
        </w:rPr>
        <w:t>(</w:t>
      </w:r>
      <w:r w:rsidR="00B5377F" w:rsidRPr="001E4E73">
        <w:rPr>
          <w:rFonts w:ascii="Times New Roman" w:hAnsi="Times New Roman"/>
        </w:rPr>
        <w:t>l</w:t>
      </w:r>
      <w:r w:rsidR="004F70A9" w:rsidRPr="001E4E73">
        <w:rPr>
          <w:rFonts w:ascii="Times New Roman" w:hAnsi="Times New Roman"/>
        </w:rPr>
        <w:t xml:space="preserve">) </w:t>
      </w:r>
      <w:r w:rsidR="00985B61" w:rsidRPr="001E4E73">
        <w:rPr>
          <w:rFonts w:ascii="Times New Roman" w:hAnsi="Times New Roman"/>
        </w:rPr>
        <w:t>provides</w:t>
      </w:r>
      <w:r w:rsidR="000538BE" w:rsidRPr="001E4E73">
        <w:rPr>
          <w:rFonts w:ascii="Times New Roman" w:hAnsi="Times New Roman"/>
        </w:rPr>
        <w:t xml:space="preserve"> an exception to connection obligations</w:t>
      </w:r>
      <w:r w:rsidR="00985B61" w:rsidRPr="001E4E73">
        <w:rPr>
          <w:rFonts w:ascii="Times New Roman" w:hAnsi="Times New Roman"/>
        </w:rPr>
        <w:t xml:space="preserve"> </w:t>
      </w:r>
      <w:r w:rsidR="00350696" w:rsidRPr="001E4E73">
        <w:rPr>
          <w:rFonts w:ascii="Times New Roman" w:hAnsi="Times New Roman"/>
        </w:rPr>
        <w:t xml:space="preserve">if </w:t>
      </w:r>
      <w:r w:rsidR="00CD5DA2" w:rsidRPr="001E4E73">
        <w:rPr>
          <w:rFonts w:ascii="Times New Roman" w:hAnsi="Times New Roman"/>
        </w:rPr>
        <w:t xml:space="preserve">the SIP </w:t>
      </w:r>
      <w:r w:rsidR="000538BE" w:rsidRPr="001E4E73">
        <w:rPr>
          <w:rFonts w:ascii="Times New Roman" w:hAnsi="Times New Roman"/>
        </w:rPr>
        <w:t>believes,</w:t>
      </w:r>
      <w:r w:rsidR="00350696" w:rsidRPr="001E4E73">
        <w:rPr>
          <w:rFonts w:ascii="Times New Roman" w:hAnsi="Times New Roman"/>
        </w:rPr>
        <w:t xml:space="preserve"> on reasonable grounds, that the </w:t>
      </w:r>
      <w:r w:rsidR="00CD5DA2" w:rsidRPr="001E4E73">
        <w:rPr>
          <w:rFonts w:ascii="Times New Roman" w:hAnsi="Times New Roman"/>
        </w:rPr>
        <w:t xml:space="preserve">person to whom the connection relates </w:t>
      </w:r>
      <w:r w:rsidR="00350696" w:rsidRPr="001E4E73">
        <w:rPr>
          <w:rFonts w:ascii="Times New Roman" w:hAnsi="Times New Roman"/>
        </w:rPr>
        <w:t>does not have a legal right to occupy the premises.</w:t>
      </w:r>
    </w:p>
    <w:p w14:paraId="749E2979" w14:textId="77777777" w:rsidR="002B568B" w:rsidRPr="001E4E73" w:rsidRDefault="002B568B" w:rsidP="002B568B">
      <w:pPr>
        <w:spacing w:after="0" w:line="276" w:lineRule="auto"/>
        <w:rPr>
          <w:rFonts w:ascii="Times New Roman" w:hAnsi="Times New Roman"/>
        </w:rPr>
      </w:pPr>
    </w:p>
    <w:p w14:paraId="72A9FF4A" w14:textId="77777777" w:rsidR="00885972" w:rsidRPr="001E4E73" w:rsidRDefault="00E05666" w:rsidP="000538BE">
      <w:pPr>
        <w:spacing w:line="276" w:lineRule="auto"/>
        <w:rPr>
          <w:rFonts w:ascii="Times New Roman" w:hAnsi="Times New Roman"/>
          <w:i/>
        </w:rPr>
      </w:pPr>
      <w:r w:rsidRPr="001E4E73">
        <w:rPr>
          <w:rFonts w:ascii="Times New Roman" w:hAnsi="Times New Roman"/>
          <w:i/>
        </w:rPr>
        <w:t>Topographical or other impediments</w:t>
      </w:r>
    </w:p>
    <w:p w14:paraId="7EB3AF4B" w14:textId="01666ECA" w:rsidR="00F94E1B" w:rsidRPr="001E4E73" w:rsidRDefault="00F36602" w:rsidP="000538BE">
      <w:pPr>
        <w:spacing w:after="0" w:line="276" w:lineRule="auto"/>
        <w:rPr>
          <w:rFonts w:ascii="Times New Roman" w:hAnsi="Times New Roman"/>
        </w:rPr>
      </w:pPr>
      <w:r w:rsidRPr="001E4E73">
        <w:rPr>
          <w:rFonts w:ascii="Times New Roman" w:hAnsi="Times New Roman"/>
        </w:rPr>
        <w:t xml:space="preserve">Paragraph </w:t>
      </w:r>
      <w:r w:rsidR="000538BE" w:rsidRPr="001E4E73">
        <w:rPr>
          <w:rFonts w:ascii="Times New Roman" w:hAnsi="Times New Roman"/>
        </w:rPr>
        <w:t>6</w:t>
      </w:r>
      <w:r w:rsidR="009065B3" w:rsidRPr="001E4E73">
        <w:rPr>
          <w:rFonts w:ascii="Times New Roman" w:hAnsi="Times New Roman"/>
        </w:rPr>
        <w:t>(</w:t>
      </w:r>
      <w:r w:rsidR="00B5377F" w:rsidRPr="001E4E73">
        <w:rPr>
          <w:rFonts w:ascii="Times New Roman" w:hAnsi="Times New Roman"/>
        </w:rPr>
        <w:t>m</w:t>
      </w:r>
      <w:r w:rsidR="009065B3" w:rsidRPr="001E4E73">
        <w:rPr>
          <w:rFonts w:ascii="Times New Roman" w:hAnsi="Times New Roman"/>
        </w:rPr>
        <w:t>)</w:t>
      </w:r>
      <w:r w:rsidR="00E30DD8" w:rsidRPr="001E4E73">
        <w:rPr>
          <w:rFonts w:ascii="Times New Roman" w:hAnsi="Times New Roman"/>
        </w:rPr>
        <w:t xml:space="preserve"> provides</w:t>
      </w:r>
      <w:r w:rsidR="000538BE" w:rsidRPr="001E4E73">
        <w:rPr>
          <w:rFonts w:ascii="Times New Roman" w:hAnsi="Times New Roman"/>
        </w:rPr>
        <w:t xml:space="preserve"> an exception</w:t>
      </w:r>
      <w:r w:rsidR="00E30DD8" w:rsidRPr="001E4E73">
        <w:rPr>
          <w:rFonts w:ascii="Times New Roman" w:hAnsi="Times New Roman"/>
        </w:rPr>
        <w:t xml:space="preserve"> </w:t>
      </w:r>
      <w:r w:rsidR="000538BE" w:rsidRPr="001E4E73">
        <w:rPr>
          <w:rFonts w:ascii="Times New Roman" w:hAnsi="Times New Roman"/>
        </w:rPr>
        <w:t xml:space="preserve">to connection obligations </w:t>
      </w:r>
      <w:r w:rsidR="009065B3" w:rsidRPr="001E4E73">
        <w:rPr>
          <w:rFonts w:ascii="Times New Roman" w:hAnsi="Times New Roman"/>
        </w:rPr>
        <w:t>where</w:t>
      </w:r>
      <w:r w:rsidR="00885972" w:rsidRPr="001E4E73">
        <w:rPr>
          <w:rFonts w:ascii="Times New Roman" w:hAnsi="Times New Roman"/>
        </w:rPr>
        <w:t>,</w:t>
      </w:r>
      <w:r w:rsidR="00AE55BA" w:rsidRPr="001E4E73">
        <w:rPr>
          <w:rFonts w:ascii="Times New Roman" w:hAnsi="Times New Roman"/>
        </w:rPr>
        <w:t xml:space="preserve"> after visiting the premises or undertaking other relevant inquiries, the S</w:t>
      </w:r>
      <w:r w:rsidR="009065B3" w:rsidRPr="001E4E73">
        <w:rPr>
          <w:rFonts w:ascii="Times New Roman" w:hAnsi="Times New Roman"/>
        </w:rPr>
        <w:t xml:space="preserve">IP </w:t>
      </w:r>
      <w:r w:rsidR="00951A24" w:rsidRPr="001E4E73">
        <w:rPr>
          <w:rFonts w:ascii="Times New Roman" w:hAnsi="Times New Roman"/>
        </w:rPr>
        <w:t xml:space="preserve">has </w:t>
      </w:r>
      <w:r w:rsidR="009065B3" w:rsidRPr="001E4E73">
        <w:rPr>
          <w:rFonts w:ascii="Times New Roman" w:hAnsi="Times New Roman"/>
        </w:rPr>
        <w:t>identifie</w:t>
      </w:r>
      <w:r w:rsidR="00951A24" w:rsidRPr="001E4E73">
        <w:rPr>
          <w:rFonts w:ascii="Times New Roman" w:hAnsi="Times New Roman"/>
        </w:rPr>
        <w:t xml:space="preserve">d </w:t>
      </w:r>
      <w:r w:rsidR="009065B3" w:rsidRPr="001E4E73">
        <w:rPr>
          <w:rFonts w:ascii="Times New Roman" w:hAnsi="Times New Roman"/>
        </w:rPr>
        <w:t xml:space="preserve">an ‘impediment’ to </w:t>
      </w:r>
      <w:r w:rsidR="00951A24" w:rsidRPr="001E4E73">
        <w:rPr>
          <w:rFonts w:ascii="Times New Roman" w:hAnsi="Times New Roman"/>
        </w:rPr>
        <w:t xml:space="preserve">the </w:t>
      </w:r>
      <w:r w:rsidR="00AE55BA" w:rsidRPr="001E4E73">
        <w:rPr>
          <w:rFonts w:ascii="Times New Roman" w:hAnsi="Times New Roman"/>
        </w:rPr>
        <w:t xml:space="preserve">connection </w:t>
      </w:r>
      <w:r w:rsidR="00885972" w:rsidRPr="001E4E73">
        <w:rPr>
          <w:rFonts w:ascii="Times New Roman" w:hAnsi="Times New Roman"/>
        </w:rPr>
        <w:t>(</w:t>
      </w:r>
      <w:r w:rsidR="00AE55BA" w:rsidRPr="001E4E73">
        <w:rPr>
          <w:rFonts w:ascii="Times New Roman" w:hAnsi="Times New Roman"/>
        </w:rPr>
        <w:t xml:space="preserve">or the subsequent </w:t>
      </w:r>
      <w:r w:rsidR="009065B3" w:rsidRPr="001E4E73">
        <w:rPr>
          <w:rFonts w:ascii="Times New Roman" w:hAnsi="Times New Roman"/>
        </w:rPr>
        <w:t>provision of a properly functioning service</w:t>
      </w:r>
      <w:r w:rsidR="00885972" w:rsidRPr="001E4E73">
        <w:rPr>
          <w:rFonts w:ascii="Times New Roman" w:hAnsi="Times New Roman"/>
        </w:rPr>
        <w:t>)</w:t>
      </w:r>
      <w:r w:rsidR="00E05666" w:rsidRPr="001E4E73">
        <w:rPr>
          <w:rFonts w:ascii="Times New Roman" w:hAnsi="Times New Roman"/>
        </w:rPr>
        <w:t xml:space="preserve">. </w:t>
      </w:r>
      <w:r w:rsidR="00C72035" w:rsidRPr="001E4E73">
        <w:rPr>
          <w:rFonts w:ascii="Times New Roman" w:hAnsi="Times New Roman"/>
        </w:rPr>
        <w:t>An</w:t>
      </w:r>
      <w:r w:rsidR="00E05666" w:rsidRPr="001E4E73">
        <w:rPr>
          <w:rFonts w:ascii="Times New Roman" w:hAnsi="Times New Roman"/>
        </w:rPr>
        <w:t xml:space="preserve"> impediment must relate to features of the premises or the location of the premises</w:t>
      </w:r>
      <w:r w:rsidR="009065B3" w:rsidRPr="001E4E73">
        <w:rPr>
          <w:rFonts w:ascii="Times New Roman" w:hAnsi="Times New Roman"/>
        </w:rPr>
        <w:t>.</w:t>
      </w:r>
    </w:p>
    <w:p w14:paraId="4E58C25D" w14:textId="77777777" w:rsidR="000538BE" w:rsidRPr="001E4E73" w:rsidRDefault="000538BE" w:rsidP="000538BE">
      <w:pPr>
        <w:spacing w:after="0" w:line="276" w:lineRule="auto"/>
        <w:rPr>
          <w:rFonts w:ascii="Times New Roman" w:hAnsi="Times New Roman"/>
        </w:rPr>
      </w:pPr>
    </w:p>
    <w:p w14:paraId="3E2535D6" w14:textId="51B4DC93" w:rsidR="00885972" w:rsidRPr="001E4E73" w:rsidRDefault="00F94E1B" w:rsidP="000538BE">
      <w:pPr>
        <w:spacing w:after="0" w:line="276" w:lineRule="auto"/>
        <w:rPr>
          <w:rFonts w:ascii="Times New Roman" w:hAnsi="Times New Roman"/>
        </w:rPr>
      </w:pPr>
      <w:r w:rsidRPr="001E4E73">
        <w:rPr>
          <w:rFonts w:ascii="Times New Roman" w:hAnsi="Times New Roman"/>
        </w:rPr>
        <w:t xml:space="preserve">However, </w:t>
      </w:r>
      <w:r w:rsidR="000538BE" w:rsidRPr="001E4E73">
        <w:rPr>
          <w:rFonts w:ascii="Times New Roman" w:hAnsi="Times New Roman"/>
        </w:rPr>
        <w:t>before invoking this</w:t>
      </w:r>
      <w:r w:rsidRPr="001E4E73">
        <w:rPr>
          <w:rFonts w:ascii="Times New Roman" w:hAnsi="Times New Roman"/>
        </w:rPr>
        <w:t xml:space="preserve"> exception, </w:t>
      </w:r>
      <w:r w:rsidR="00885972" w:rsidRPr="001E4E73">
        <w:rPr>
          <w:rFonts w:ascii="Times New Roman" w:hAnsi="Times New Roman"/>
        </w:rPr>
        <w:t xml:space="preserve">the SIP </w:t>
      </w:r>
      <w:r w:rsidR="00E05666" w:rsidRPr="001E4E73">
        <w:rPr>
          <w:rFonts w:ascii="Times New Roman" w:hAnsi="Times New Roman"/>
        </w:rPr>
        <w:t xml:space="preserve">must </w:t>
      </w:r>
      <w:r w:rsidR="00885972" w:rsidRPr="001E4E73">
        <w:rPr>
          <w:rFonts w:ascii="Times New Roman" w:hAnsi="Times New Roman"/>
        </w:rPr>
        <w:t xml:space="preserve">advise the CSP of the impediment, and if applicable, </w:t>
      </w:r>
      <w:r w:rsidR="00A1268F" w:rsidRPr="001E4E73">
        <w:rPr>
          <w:rFonts w:ascii="Times New Roman" w:hAnsi="Times New Roman"/>
        </w:rPr>
        <w:t xml:space="preserve">undertake </w:t>
      </w:r>
      <w:r w:rsidR="00885972" w:rsidRPr="001E4E73">
        <w:rPr>
          <w:rFonts w:ascii="Times New Roman" w:hAnsi="Times New Roman"/>
        </w:rPr>
        <w:t xml:space="preserve">any </w:t>
      </w:r>
      <w:r w:rsidRPr="001E4E73">
        <w:rPr>
          <w:rFonts w:ascii="Times New Roman" w:hAnsi="Times New Roman"/>
        </w:rPr>
        <w:t>adjustment</w:t>
      </w:r>
      <w:r w:rsidR="00885972" w:rsidRPr="001E4E73">
        <w:rPr>
          <w:rFonts w:ascii="Times New Roman" w:hAnsi="Times New Roman"/>
        </w:rPr>
        <w:t xml:space="preserve"> </w:t>
      </w:r>
      <w:r w:rsidR="00E05666" w:rsidRPr="001E4E73">
        <w:rPr>
          <w:rFonts w:ascii="Times New Roman" w:hAnsi="Times New Roman"/>
        </w:rPr>
        <w:t xml:space="preserve">within reasonable timeframes </w:t>
      </w:r>
      <w:r w:rsidR="00C72035" w:rsidRPr="001E4E73">
        <w:rPr>
          <w:rFonts w:ascii="Times New Roman" w:hAnsi="Times New Roman"/>
        </w:rPr>
        <w:t xml:space="preserve">to </w:t>
      </w:r>
      <w:r w:rsidR="00885972" w:rsidRPr="001E4E73">
        <w:rPr>
          <w:rFonts w:ascii="Times New Roman" w:hAnsi="Times New Roman"/>
        </w:rPr>
        <w:t>resolve the impediment</w:t>
      </w:r>
      <w:r w:rsidRPr="001E4E73">
        <w:rPr>
          <w:rFonts w:ascii="Times New Roman" w:hAnsi="Times New Roman"/>
        </w:rPr>
        <w:t xml:space="preserve">, </w:t>
      </w:r>
      <w:r w:rsidR="00E05666" w:rsidRPr="001E4E73">
        <w:rPr>
          <w:rFonts w:ascii="Times New Roman" w:hAnsi="Times New Roman"/>
        </w:rPr>
        <w:t xml:space="preserve">and </w:t>
      </w:r>
      <w:r w:rsidRPr="001E4E73">
        <w:rPr>
          <w:rFonts w:ascii="Times New Roman" w:hAnsi="Times New Roman"/>
        </w:rPr>
        <w:t xml:space="preserve">request that the </w:t>
      </w:r>
      <w:r w:rsidR="00885972" w:rsidRPr="001E4E73">
        <w:rPr>
          <w:rFonts w:ascii="Times New Roman" w:hAnsi="Times New Roman"/>
        </w:rPr>
        <w:t xml:space="preserve">CSP </w:t>
      </w:r>
      <w:r w:rsidRPr="001E4E73">
        <w:rPr>
          <w:rFonts w:ascii="Times New Roman" w:hAnsi="Times New Roman"/>
        </w:rPr>
        <w:t>provide those details to the end</w:t>
      </w:r>
      <w:r w:rsidR="00F57A3E" w:rsidRPr="001E4E73">
        <w:rPr>
          <w:rFonts w:ascii="Times New Roman" w:hAnsi="Times New Roman"/>
        </w:rPr>
        <w:t>-</w:t>
      </w:r>
      <w:r w:rsidRPr="001E4E73">
        <w:rPr>
          <w:rFonts w:ascii="Times New Roman" w:hAnsi="Times New Roman"/>
        </w:rPr>
        <w:t>user</w:t>
      </w:r>
      <w:r w:rsidR="00885972" w:rsidRPr="001E4E73">
        <w:rPr>
          <w:rFonts w:ascii="Times New Roman" w:hAnsi="Times New Roman"/>
        </w:rPr>
        <w:t xml:space="preserve">. </w:t>
      </w:r>
      <w:r w:rsidRPr="001E4E73">
        <w:rPr>
          <w:rFonts w:ascii="Times New Roman" w:hAnsi="Times New Roman"/>
        </w:rPr>
        <w:t>If there are no steps that can be undertaken</w:t>
      </w:r>
      <w:r w:rsidR="00885972" w:rsidRPr="001E4E73">
        <w:rPr>
          <w:rFonts w:ascii="Times New Roman" w:hAnsi="Times New Roman"/>
        </w:rPr>
        <w:t xml:space="preserve"> </w:t>
      </w:r>
      <w:r w:rsidR="00BA4B33" w:rsidRPr="001E4E73">
        <w:rPr>
          <w:rFonts w:ascii="Times New Roman" w:hAnsi="Times New Roman"/>
        </w:rPr>
        <w:t xml:space="preserve">by the SIP or CSP </w:t>
      </w:r>
      <w:r w:rsidRPr="001E4E73">
        <w:rPr>
          <w:rFonts w:ascii="Times New Roman" w:hAnsi="Times New Roman"/>
        </w:rPr>
        <w:t xml:space="preserve">to address the impediment, or the end-user does not </w:t>
      </w:r>
      <w:r w:rsidR="00BA4B33" w:rsidRPr="001E4E73">
        <w:rPr>
          <w:rFonts w:ascii="Times New Roman" w:hAnsi="Times New Roman"/>
        </w:rPr>
        <w:t>act</w:t>
      </w:r>
      <w:r w:rsidRPr="001E4E73">
        <w:rPr>
          <w:rFonts w:ascii="Times New Roman" w:hAnsi="Times New Roman"/>
        </w:rPr>
        <w:t xml:space="preserve"> to remove the impediment or make other reasonable adjustments, then the SIP is </w:t>
      </w:r>
      <w:r w:rsidR="000538BE" w:rsidRPr="001E4E73">
        <w:rPr>
          <w:rFonts w:ascii="Times New Roman" w:hAnsi="Times New Roman"/>
        </w:rPr>
        <w:t>eligible for this exception.</w:t>
      </w:r>
    </w:p>
    <w:p w14:paraId="348F3A98" w14:textId="77777777" w:rsidR="000538BE" w:rsidRPr="001E4E73" w:rsidRDefault="000538BE" w:rsidP="000538BE">
      <w:pPr>
        <w:spacing w:after="0" w:line="276" w:lineRule="auto"/>
        <w:rPr>
          <w:rFonts w:ascii="Times New Roman" w:hAnsi="Times New Roman"/>
        </w:rPr>
      </w:pPr>
    </w:p>
    <w:p w14:paraId="75C7A99D" w14:textId="227EDF27" w:rsidR="00AE55BA" w:rsidRPr="001E4E73" w:rsidRDefault="00F57A3E" w:rsidP="000538BE">
      <w:pPr>
        <w:spacing w:after="0" w:line="276" w:lineRule="auto"/>
        <w:rPr>
          <w:rFonts w:ascii="Times New Roman" w:hAnsi="Times New Roman"/>
        </w:rPr>
      </w:pPr>
      <w:r w:rsidRPr="001E4E73">
        <w:rPr>
          <w:rFonts w:ascii="Times New Roman" w:hAnsi="Times New Roman"/>
        </w:rPr>
        <w:t xml:space="preserve">This approach has been adopted </w:t>
      </w:r>
      <w:r w:rsidR="00985B61" w:rsidRPr="001E4E73">
        <w:rPr>
          <w:rFonts w:ascii="Times New Roman" w:hAnsi="Times New Roman"/>
        </w:rPr>
        <w:t xml:space="preserve">to give end-users the opportunity to take steps to rectify matters within their control that may otherwise prevent </w:t>
      </w:r>
      <w:r w:rsidR="007D5BBF" w:rsidRPr="001E4E73">
        <w:rPr>
          <w:rFonts w:ascii="Times New Roman" w:hAnsi="Times New Roman"/>
        </w:rPr>
        <w:t>the premises</w:t>
      </w:r>
      <w:r w:rsidR="00985B61" w:rsidRPr="001E4E73">
        <w:rPr>
          <w:rFonts w:ascii="Times New Roman" w:hAnsi="Times New Roman"/>
        </w:rPr>
        <w:t xml:space="preserve"> </w:t>
      </w:r>
      <w:r w:rsidR="006B10E3" w:rsidRPr="001E4E73">
        <w:rPr>
          <w:rFonts w:ascii="Times New Roman" w:hAnsi="Times New Roman"/>
        </w:rPr>
        <w:t xml:space="preserve">from </w:t>
      </w:r>
      <w:r w:rsidR="00985B61" w:rsidRPr="001E4E73">
        <w:rPr>
          <w:rFonts w:ascii="Times New Roman" w:hAnsi="Times New Roman"/>
        </w:rPr>
        <w:t xml:space="preserve">receiving a SIP </w:t>
      </w:r>
      <w:r w:rsidR="00985B61" w:rsidRPr="001E4E73">
        <w:rPr>
          <w:rFonts w:ascii="Times New Roman" w:hAnsi="Times New Roman"/>
        </w:rPr>
        <w:lastRenderedPageBreak/>
        <w:t xml:space="preserve">connection. </w:t>
      </w:r>
      <w:r w:rsidR="00BA4B33" w:rsidRPr="001E4E73">
        <w:rPr>
          <w:rFonts w:ascii="Times New Roman" w:hAnsi="Times New Roman"/>
        </w:rPr>
        <w:t>The ‘i</w:t>
      </w:r>
      <w:r w:rsidR="006A076A" w:rsidRPr="001E4E73">
        <w:rPr>
          <w:rFonts w:ascii="Times New Roman" w:hAnsi="Times New Roman"/>
        </w:rPr>
        <w:t>mpediment</w:t>
      </w:r>
      <w:r w:rsidR="00BA4B33" w:rsidRPr="001E4E73">
        <w:rPr>
          <w:rFonts w:ascii="Times New Roman" w:hAnsi="Times New Roman"/>
        </w:rPr>
        <w:t>’</w:t>
      </w:r>
      <w:r w:rsidR="006A076A" w:rsidRPr="001E4E73">
        <w:rPr>
          <w:rFonts w:ascii="Times New Roman" w:hAnsi="Times New Roman"/>
        </w:rPr>
        <w:t xml:space="preserve"> </w:t>
      </w:r>
      <w:r w:rsidR="00BA4B33" w:rsidRPr="001E4E73">
        <w:rPr>
          <w:rFonts w:ascii="Times New Roman" w:hAnsi="Times New Roman"/>
        </w:rPr>
        <w:t>could be</w:t>
      </w:r>
      <w:r w:rsidR="009A035B" w:rsidRPr="001E4E73">
        <w:rPr>
          <w:rFonts w:ascii="Times New Roman" w:hAnsi="Times New Roman"/>
        </w:rPr>
        <w:t xml:space="preserve"> </w:t>
      </w:r>
      <w:r w:rsidR="006A076A" w:rsidRPr="001E4E73">
        <w:rPr>
          <w:rFonts w:ascii="Times New Roman" w:hAnsi="Times New Roman"/>
        </w:rPr>
        <w:t xml:space="preserve">range </w:t>
      </w:r>
      <w:r w:rsidR="009A035B" w:rsidRPr="001E4E73">
        <w:rPr>
          <w:rFonts w:ascii="Times New Roman" w:hAnsi="Times New Roman"/>
        </w:rPr>
        <w:t xml:space="preserve">of different </w:t>
      </w:r>
      <w:r w:rsidR="00BA4B33" w:rsidRPr="001E4E73">
        <w:rPr>
          <w:rFonts w:ascii="Times New Roman" w:hAnsi="Times New Roman"/>
        </w:rPr>
        <w:t>things</w:t>
      </w:r>
      <w:r w:rsidR="009A035B" w:rsidRPr="001E4E73">
        <w:rPr>
          <w:rFonts w:ascii="Times New Roman" w:hAnsi="Times New Roman"/>
        </w:rPr>
        <w:t xml:space="preserve">. For example, </w:t>
      </w:r>
      <w:r w:rsidR="000538BE" w:rsidRPr="001E4E73">
        <w:rPr>
          <w:rFonts w:ascii="Times New Roman" w:hAnsi="Times New Roman"/>
        </w:rPr>
        <w:t xml:space="preserve">it </w:t>
      </w:r>
      <w:r w:rsidR="00BA4B33" w:rsidRPr="001E4E73">
        <w:rPr>
          <w:rFonts w:ascii="Times New Roman" w:hAnsi="Times New Roman"/>
        </w:rPr>
        <w:t xml:space="preserve">may </w:t>
      </w:r>
      <w:r w:rsidR="000538BE" w:rsidRPr="001E4E73">
        <w:rPr>
          <w:rFonts w:ascii="Times New Roman" w:hAnsi="Times New Roman"/>
        </w:rPr>
        <w:t>be a</w:t>
      </w:r>
      <w:r w:rsidR="009A035B" w:rsidRPr="001E4E73">
        <w:rPr>
          <w:rFonts w:ascii="Times New Roman" w:hAnsi="Times New Roman"/>
        </w:rPr>
        <w:t xml:space="preserve"> </w:t>
      </w:r>
      <w:r w:rsidR="006A076A" w:rsidRPr="001E4E73">
        <w:rPr>
          <w:rFonts w:ascii="Times New Roman" w:hAnsi="Times New Roman"/>
        </w:rPr>
        <w:t xml:space="preserve">minor </w:t>
      </w:r>
      <w:r w:rsidR="009A035B" w:rsidRPr="001E4E73">
        <w:rPr>
          <w:rFonts w:ascii="Times New Roman" w:hAnsi="Times New Roman"/>
        </w:rPr>
        <w:t xml:space="preserve">impediment, such as </w:t>
      </w:r>
      <w:r w:rsidR="00BA4B33" w:rsidRPr="001E4E73">
        <w:rPr>
          <w:rFonts w:ascii="Times New Roman" w:hAnsi="Times New Roman"/>
        </w:rPr>
        <w:t>thick</w:t>
      </w:r>
      <w:r w:rsidR="00E05666" w:rsidRPr="001E4E73">
        <w:rPr>
          <w:rFonts w:ascii="Times New Roman" w:hAnsi="Times New Roman"/>
        </w:rPr>
        <w:t xml:space="preserve"> </w:t>
      </w:r>
      <w:r w:rsidRPr="001E4E73">
        <w:rPr>
          <w:rFonts w:ascii="Times New Roman" w:hAnsi="Times New Roman"/>
        </w:rPr>
        <w:t>vegetation</w:t>
      </w:r>
      <w:r w:rsidR="00BA4B33" w:rsidRPr="001E4E73">
        <w:rPr>
          <w:rFonts w:ascii="Times New Roman" w:hAnsi="Times New Roman"/>
        </w:rPr>
        <w:t xml:space="preserve"> blocking access</w:t>
      </w:r>
      <w:r w:rsidR="009065B3" w:rsidRPr="001E4E73">
        <w:rPr>
          <w:rFonts w:ascii="Times New Roman" w:hAnsi="Times New Roman"/>
        </w:rPr>
        <w:t xml:space="preserve">, through to more complex </w:t>
      </w:r>
      <w:r w:rsidR="006A076A" w:rsidRPr="001E4E73">
        <w:rPr>
          <w:rFonts w:ascii="Times New Roman" w:hAnsi="Times New Roman"/>
        </w:rPr>
        <w:t xml:space="preserve">issues </w:t>
      </w:r>
      <w:r w:rsidR="00C91C5F" w:rsidRPr="001E4E73">
        <w:rPr>
          <w:rFonts w:ascii="Times New Roman" w:hAnsi="Times New Roman"/>
        </w:rPr>
        <w:t>like the</w:t>
      </w:r>
      <w:r w:rsidR="00985B61" w:rsidRPr="001E4E73">
        <w:rPr>
          <w:rFonts w:ascii="Times New Roman" w:hAnsi="Times New Roman"/>
        </w:rPr>
        <w:t xml:space="preserve"> location of premises relative to a </w:t>
      </w:r>
      <w:r w:rsidR="009A035B" w:rsidRPr="001E4E73">
        <w:rPr>
          <w:rFonts w:ascii="Times New Roman" w:hAnsi="Times New Roman"/>
        </w:rPr>
        <w:t xml:space="preserve">particular </w:t>
      </w:r>
      <w:r w:rsidR="009065B3" w:rsidRPr="001E4E73">
        <w:rPr>
          <w:rFonts w:ascii="Times New Roman" w:hAnsi="Times New Roman"/>
        </w:rPr>
        <w:t>topographical</w:t>
      </w:r>
      <w:r w:rsidRPr="001E4E73">
        <w:rPr>
          <w:rFonts w:ascii="Times New Roman" w:hAnsi="Times New Roman"/>
        </w:rPr>
        <w:t xml:space="preserve"> </w:t>
      </w:r>
      <w:r w:rsidR="00985B61" w:rsidRPr="001E4E73">
        <w:rPr>
          <w:rFonts w:ascii="Times New Roman" w:hAnsi="Times New Roman"/>
        </w:rPr>
        <w:t xml:space="preserve">feature </w:t>
      </w:r>
      <w:r w:rsidR="000538BE" w:rsidRPr="001E4E73">
        <w:rPr>
          <w:rFonts w:ascii="Times New Roman" w:hAnsi="Times New Roman"/>
        </w:rPr>
        <w:t>(</w:t>
      </w:r>
      <w:r w:rsidR="00985B61" w:rsidRPr="001E4E73">
        <w:rPr>
          <w:rFonts w:ascii="Times New Roman" w:hAnsi="Times New Roman"/>
        </w:rPr>
        <w:t>such as a hill, valley, cliff</w:t>
      </w:r>
      <w:r w:rsidRPr="001E4E73">
        <w:rPr>
          <w:rFonts w:ascii="Times New Roman" w:hAnsi="Times New Roman"/>
        </w:rPr>
        <w:t xml:space="preserve"> </w:t>
      </w:r>
      <w:r w:rsidR="00985B61" w:rsidRPr="001E4E73">
        <w:rPr>
          <w:rFonts w:ascii="Times New Roman" w:hAnsi="Times New Roman"/>
        </w:rPr>
        <w:t>or being underground</w:t>
      </w:r>
      <w:r w:rsidR="000538BE" w:rsidRPr="001E4E73">
        <w:rPr>
          <w:rFonts w:ascii="Times New Roman" w:hAnsi="Times New Roman"/>
        </w:rPr>
        <w:t>)</w:t>
      </w:r>
      <w:r w:rsidR="00985B61" w:rsidRPr="001E4E73">
        <w:rPr>
          <w:rFonts w:ascii="Times New Roman" w:hAnsi="Times New Roman"/>
        </w:rPr>
        <w:t xml:space="preserve"> </w:t>
      </w:r>
      <w:r w:rsidRPr="001E4E73">
        <w:rPr>
          <w:rFonts w:ascii="Times New Roman" w:hAnsi="Times New Roman"/>
        </w:rPr>
        <w:t xml:space="preserve">that </w:t>
      </w:r>
      <w:r w:rsidR="000538BE" w:rsidRPr="001E4E73">
        <w:rPr>
          <w:rFonts w:ascii="Times New Roman" w:hAnsi="Times New Roman"/>
        </w:rPr>
        <w:t>makes</w:t>
      </w:r>
      <w:r w:rsidRPr="001E4E73">
        <w:rPr>
          <w:rFonts w:ascii="Times New Roman" w:hAnsi="Times New Roman"/>
        </w:rPr>
        <w:t xml:space="preserve"> connect</w:t>
      </w:r>
      <w:r w:rsidR="000538BE" w:rsidRPr="001E4E73">
        <w:rPr>
          <w:rFonts w:ascii="Times New Roman" w:hAnsi="Times New Roman"/>
        </w:rPr>
        <w:t>ing</w:t>
      </w:r>
      <w:r w:rsidRPr="001E4E73">
        <w:rPr>
          <w:rFonts w:ascii="Times New Roman" w:hAnsi="Times New Roman"/>
        </w:rPr>
        <w:t xml:space="preserve"> the premises </w:t>
      </w:r>
      <w:r w:rsidR="00A5414E" w:rsidRPr="001E4E73">
        <w:rPr>
          <w:rFonts w:ascii="Times New Roman" w:hAnsi="Times New Roman"/>
        </w:rPr>
        <w:t>impractical</w:t>
      </w:r>
      <w:r w:rsidR="00C91C5F" w:rsidRPr="001E4E73">
        <w:rPr>
          <w:rFonts w:ascii="Times New Roman" w:hAnsi="Times New Roman"/>
        </w:rPr>
        <w:t xml:space="preserve"> without remediation</w:t>
      </w:r>
      <w:r w:rsidR="0035337E" w:rsidRPr="001E4E73">
        <w:rPr>
          <w:rFonts w:ascii="Times New Roman" w:hAnsi="Times New Roman"/>
        </w:rPr>
        <w:t xml:space="preserve">. </w:t>
      </w:r>
      <w:r w:rsidR="00C91C5F" w:rsidRPr="001E4E73">
        <w:rPr>
          <w:rFonts w:ascii="Times New Roman" w:hAnsi="Times New Roman"/>
        </w:rPr>
        <w:t>For these examples, remediation could be as simple as</w:t>
      </w:r>
      <w:r w:rsidR="00A75A82" w:rsidRPr="001E4E73">
        <w:rPr>
          <w:rFonts w:ascii="Times New Roman" w:hAnsi="Times New Roman"/>
        </w:rPr>
        <w:t xml:space="preserve"> removing vegetation, </w:t>
      </w:r>
      <w:r w:rsidR="00C91C5F" w:rsidRPr="001E4E73">
        <w:rPr>
          <w:rFonts w:ascii="Times New Roman" w:hAnsi="Times New Roman"/>
        </w:rPr>
        <w:t>to more complex solutions like</w:t>
      </w:r>
      <w:r w:rsidR="00A75A82" w:rsidRPr="001E4E73">
        <w:rPr>
          <w:rFonts w:ascii="Times New Roman" w:hAnsi="Times New Roman"/>
        </w:rPr>
        <w:t xml:space="preserve"> providin</w:t>
      </w:r>
      <w:r w:rsidR="00C91C5F" w:rsidRPr="001E4E73">
        <w:rPr>
          <w:rFonts w:ascii="Times New Roman" w:hAnsi="Times New Roman"/>
        </w:rPr>
        <w:t>g</w:t>
      </w:r>
      <w:r w:rsidR="00A75A82" w:rsidRPr="001E4E73">
        <w:rPr>
          <w:rFonts w:ascii="Times New Roman" w:hAnsi="Times New Roman"/>
        </w:rPr>
        <w:t xml:space="preserve"> a mounted antenna </w:t>
      </w:r>
      <w:r w:rsidR="00C91C5F" w:rsidRPr="001E4E73">
        <w:rPr>
          <w:rFonts w:ascii="Times New Roman" w:hAnsi="Times New Roman"/>
        </w:rPr>
        <w:t>to extend a wireless/satellite</w:t>
      </w:r>
      <w:r w:rsidR="00A5414E" w:rsidRPr="001E4E73">
        <w:rPr>
          <w:rFonts w:ascii="Times New Roman" w:hAnsi="Times New Roman"/>
        </w:rPr>
        <w:t xml:space="preserve"> signal to the premises</w:t>
      </w:r>
      <w:r w:rsidR="00A75A82" w:rsidRPr="001E4E73">
        <w:rPr>
          <w:rFonts w:ascii="Times New Roman" w:hAnsi="Times New Roman"/>
        </w:rPr>
        <w:t>.</w:t>
      </w:r>
    </w:p>
    <w:p w14:paraId="07C2E86B" w14:textId="77777777" w:rsidR="000538BE" w:rsidRPr="001E4E73" w:rsidRDefault="000538BE" w:rsidP="000538BE">
      <w:pPr>
        <w:spacing w:after="0" w:line="276" w:lineRule="auto"/>
        <w:rPr>
          <w:rFonts w:ascii="Times New Roman" w:hAnsi="Times New Roman"/>
        </w:rPr>
      </w:pPr>
    </w:p>
    <w:p w14:paraId="5B5B186D" w14:textId="7843A1BF" w:rsidR="00DB63DB" w:rsidRPr="001E4E73" w:rsidRDefault="00C91C5F" w:rsidP="000538BE">
      <w:pPr>
        <w:spacing w:after="0" w:line="276" w:lineRule="auto"/>
        <w:rPr>
          <w:rFonts w:ascii="Times New Roman" w:hAnsi="Times New Roman"/>
        </w:rPr>
      </w:pPr>
      <w:r w:rsidRPr="001E4E73">
        <w:rPr>
          <w:rFonts w:ascii="Times New Roman" w:hAnsi="Times New Roman"/>
        </w:rPr>
        <w:t>In most</w:t>
      </w:r>
      <w:r w:rsidR="00A5414E" w:rsidRPr="001E4E73">
        <w:rPr>
          <w:rFonts w:ascii="Times New Roman" w:hAnsi="Times New Roman"/>
        </w:rPr>
        <w:t xml:space="preserve"> </w:t>
      </w:r>
      <w:r w:rsidRPr="001E4E73">
        <w:rPr>
          <w:rFonts w:ascii="Times New Roman" w:hAnsi="Times New Roman"/>
        </w:rPr>
        <w:t>cases,</w:t>
      </w:r>
      <w:r w:rsidR="00A5414E" w:rsidRPr="001E4E73">
        <w:rPr>
          <w:rFonts w:ascii="Times New Roman" w:hAnsi="Times New Roman"/>
        </w:rPr>
        <w:t xml:space="preserve"> </w:t>
      </w:r>
      <w:r w:rsidR="00F57A3E" w:rsidRPr="001E4E73">
        <w:rPr>
          <w:rFonts w:ascii="Times New Roman" w:hAnsi="Times New Roman"/>
        </w:rPr>
        <w:t xml:space="preserve">the </w:t>
      </w:r>
      <w:r w:rsidR="008A77A6" w:rsidRPr="001E4E73">
        <w:rPr>
          <w:rFonts w:ascii="Times New Roman" w:hAnsi="Times New Roman"/>
        </w:rPr>
        <w:t xml:space="preserve">end-user </w:t>
      </w:r>
      <w:r w:rsidRPr="001E4E73">
        <w:rPr>
          <w:rFonts w:ascii="Times New Roman" w:hAnsi="Times New Roman"/>
        </w:rPr>
        <w:t>is the</w:t>
      </w:r>
      <w:r w:rsidR="00A5414E" w:rsidRPr="001E4E73">
        <w:rPr>
          <w:rFonts w:ascii="Times New Roman" w:hAnsi="Times New Roman"/>
        </w:rPr>
        <w:t xml:space="preserve"> </w:t>
      </w:r>
      <w:r w:rsidR="008A77A6" w:rsidRPr="001E4E73">
        <w:rPr>
          <w:rFonts w:ascii="Times New Roman" w:hAnsi="Times New Roman"/>
        </w:rPr>
        <w:t>best</w:t>
      </w:r>
      <w:r w:rsidRPr="001E4E73">
        <w:rPr>
          <w:rFonts w:ascii="Times New Roman" w:hAnsi="Times New Roman"/>
        </w:rPr>
        <w:t>-</w:t>
      </w:r>
      <w:r w:rsidR="008A77A6" w:rsidRPr="001E4E73">
        <w:rPr>
          <w:rFonts w:ascii="Times New Roman" w:hAnsi="Times New Roman"/>
        </w:rPr>
        <w:t xml:space="preserve">placed </w:t>
      </w:r>
      <w:r w:rsidRPr="001E4E73">
        <w:rPr>
          <w:rFonts w:ascii="Times New Roman" w:hAnsi="Times New Roman"/>
        </w:rPr>
        <w:t xml:space="preserve">party </w:t>
      </w:r>
      <w:r w:rsidR="00A5414E" w:rsidRPr="001E4E73">
        <w:rPr>
          <w:rFonts w:ascii="Times New Roman" w:hAnsi="Times New Roman"/>
        </w:rPr>
        <w:t>to address such impediments, either directly, or with</w:t>
      </w:r>
      <w:r w:rsidRPr="001E4E73">
        <w:rPr>
          <w:rFonts w:ascii="Times New Roman" w:hAnsi="Times New Roman"/>
        </w:rPr>
        <w:t xml:space="preserve"> the assistance of</w:t>
      </w:r>
      <w:r w:rsidR="00A5414E" w:rsidRPr="001E4E73">
        <w:rPr>
          <w:rFonts w:ascii="Times New Roman" w:hAnsi="Times New Roman"/>
        </w:rPr>
        <w:t xml:space="preserve"> </w:t>
      </w:r>
      <w:r w:rsidRPr="001E4E73">
        <w:rPr>
          <w:rFonts w:ascii="Times New Roman" w:hAnsi="Times New Roman"/>
        </w:rPr>
        <w:t>expert contractors</w:t>
      </w:r>
      <w:r w:rsidR="00885972" w:rsidRPr="001E4E73">
        <w:rPr>
          <w:rFonts w:ascii="Times New Roman" w:hAnsi="Times New Roman"/>
        </w:rPr>
        <w:t xml:space="preserve">. </w:t>
      </w:r>
      <w:r w:rsidR="00BE6AEE" w:rsidRPr="001E4E73">
        <w:rPr>
          <w:rFonts w:ascii="Times New Roman" w:hAnsi="Times New Roman"/>
        </w:rPr>
        <w:t xml:space="preserve">If there are </w:t>
      </w:r>
      <w:r w:rsidR="008A77A6" w:rsidRPr="001E4E73">
        <w:rPr>
          <w:rFonts w:ascii="Times New Roman" w:hAnsi="Times New Roman"/>
        </w:rPr>
        <w:t>any costs associated with the removal of the impediment</w:t>
      </w:r>
      <w:r w:rsidR="00BE6AEE" w:rsidRPr="001E4E73">
        <w:rPr>
          <w:rFonts w:ascii="Times New Roman" w:hAnsi="Times New Roman"/>
        </w:rPr>
        <w:t xml:space="preserve">, </w:t>
      </w:r>
      <w:r w:rsidR="00115A53" w:rsidRPr="001E4E73">
        <w:rPr>
          <w:rFonts w:ascii="Times New Roman" w:hAnsi="Times New Roman"/>
        </w:rPr>
        <w:t xml:space="preserve">these would be </w:t>
      </w:r>
      <w:r w:rsidR="00E05666" w:rsidRPr="001E4E73">
        <w:rPr>
          <w:rFonts w:ascii="Times New Roman" w:hAnsi="Times New Roman"/>
        </w:rPr>
        <w:t xml:space="preserve">met by </w:t>
      </w:r>
      <w:r w:rsidR="008A77A6" w:rsidRPr="001E4E73">
        <w:rPr>
          <w:rFonts w:ascii="Times New Roman" w:hAnsi="Times New Roman"/>
        </w:rPr>
        <w:t>the end-user, unless otherwise agreed</w:t>
      </w:r>
      <w:r w:rsidR="009A035B" w:rsidRPr="001E4E73">
        <w:rPr>
          <w:rFonts w:ascii="Times New Roman" w:hAnsi="Times New Roman"/>
        </w:rPr>
        <w:t xml:space="preserve"> between the relevant parties</w:t>
      </w:r>
      <w:r w:rsidR="008A77A6" w:rsidRPr="001E4E73">
        <w:rPr>
          <w:rFonts w:ascii="Times New Roman" w:hAnsi="Times New Roman"/>
        </w:rPr>
        <w:t>.</w:t>
      </w:r>
    </w:p>
    <w:p w14:paraId="50C4F958" w14:textId="77777777" w:rsidR="000538BE" w:rsidRPr="001E4E73" w:rsidRDefault="000538BE" w:rsidP="000538BE">
      <w:pPr>
        <w:spacing w:after="0" w:line="276" w:lineRule="auto"/>
        <w:rPr>
          <w:rFonts w:ascii="Times New Roman" w:hAnsi="Times New Roman"/>
        </w:rPr>
      </w:pPr>
    </w:p>
    <w:p w14:paraId="2F9E8674" w14:textId="77777777" w:rsidR="00BB71F6" w:rsidRPr="001E4E73" w:rsidRDefault="006A7E87" w:rsidP="00E46F52">
      <w:pPr>
        <w:spacing w:line="276" w:lineRule="auto"/>
        <w:rPr>
          <w:rFonts w:ascii="Times New Roman" w:hAnsi="Times New Roman"/>
          <w:b/>
        </w:rPr>
      </w:pPr>
      <w:r w:rsidRPr="001E4E73">
        <w:rPr>
          <w:rFonts w:ascii="Times New Roman" w:hAnsi="Times New Roman"/>
          <w:b/>
        </w:rPr>
        <w:t>Division 2</w:t>
      </w:r>
      <w:r w:rsidR="000640A2" w:rsidRPr="001E4E73">
        <w:rPr>
          <w:rFonts w:ascii="Times New Roman" w:hAnsi="Times New Roman"/>
          <w:b/>
        </w:rPr>
        <w:t>—Exceptions to the obligation to supply eligible services</w:t>
      </w:r>
    </w:p>
    <w:p w14:paraId="6F98CFAD" w14:textId="55A120A2" w:rsidR="002A605F" w:rsidRPr="001E4E73" w:rsidRDefault="002A605F" w:rsidP="00B812C9">
      <w:pPr>
        <w:spacing w:after="0" w:line="276" w:lineRule="auto"/>
        <w:ind w:right="91"/>
        <w:rPr>
          <w:rFonts w:ascii="Times New Roman" w:hAnsi="Times New Roman"/>
        </w:rPr>
      </w:pPr>
      <w:r w:rsidRPr="001E4E73">
        <w:rPr>
          <w:rFonts w:ascii="Times New Roman" w:hAnsi="Times New Roman"/>
        </w:rPr>
        <w:t>Division 2 of the Instrument sets out the circumstances in which the supply obligation under subsection 360</w:t>
      </w:r>
      <w:proofErr w:type="gramStart"/>
      <w:r w:rsidRPr="001E4E73">
        <w:rPr>
          <w:rFonts w:ascii="Times New Roman" w:hAnsi="Times New Roman"/>
        </w:rPr>
        <w:t>Q(</w:t>
      </w:r>
      <w:proofErr w:type="gramEnd"/>
      <w:r w:rsidRPr="001E4E73">
        <w:rPr>
          <w:rFonts w:ascii="Times New Roman" w:hAnsi="Times New Roman"/>
        </w:rPr>
        <w:t>1) of the Act does not apply.</w:t>
      </w:r>
    </w:p>
    <w:p w14:paraId="5464213F" w14:textId="77777777" w:rsidR="00B812C9" w:rsidRPr="001E4E73" w:rsidRDefault="00B812C9" w:rsidP="00B812C9">
      <w:pPr>
        <w:spacing w:after="0" w:line="276" w:lineRule="auto"/>
        <w:ind w:right="91"/>
        <w:rPr>
          <w:rFonts w:ascii="Times New Roman" w:hAnsi="Times New Roman"/>
        </w:rPr>
      </w:pPr>
    </w:p>
    <w:p w14:paraId="205C6267" w14:textId="77777777" w:rsidR="00B812C9" w:rsidRPr="001E4E73" w:rsidRDefault="00B812C9" w:rsidP="00B812C9">
      <w:pPr>
        <w:spacing w:after="0" w:line="276" w:lineRule="auto"/>
        <w:ind w:right="91"/>
        <w:rPr>
          <w:rFonts w:ascii="Times New Roman" w:hAnsi="Times New Roman"/>
        </w:rPr>
      </w:pPr>
      <w:r w:rsidRPr="001E4E73">
        <w:rPr>
          <w:rFonts w:ascii="Times New Roman" w:hAnsi="Times New Roman"/>
        </w:rPr>
        <w:t>Note 1 states the obligation under 360Q(1)(a) of the Act for SIPs to supply an eligible service to a CSP (if reasonably requested by the CSP on behalf of an end-user) in order for the CSP to provide a qualifying carriage service to the end-user.</w:t>
      </w:r>
    </w:p>
    <w:p w14:paraId="1337CE35" w14:textId="77777777" w:rsidR="00B812C9" w:rsidRPr="001E4E73" w:rsidRDefault="00B812C9" w:rsidP="00B812C9">
      <w:pPr>
        <w:spacing w:after="0" w:line="276" w:lineRule="auto"/>
        <w:ind w:right="91"/>
        <w:rPr>
          <w:rFonts w:ascii="Times New Roman" w:hAnsi="Times New Roman"/>
        </w:rPr>
      </w:pPr>
    </w:p>
    <w:p w14:paraId="5EEE70FD" w14:textId="216DD79F" w:rsidR="00B812C9" w:rsidRPr="001E4E73" w:rsidRDefault="00B812C9" w:rsidP="00B812C9">
      <w:pPr>
        <w:spacing w:after="0" w:line="276" w:lineRule="auto"/>
        <w:ind w:right="91"/>
        <w:rPr>
          <w:rFonts w:ascii="Times New Roman" w:hAnsi="Times New Roman"/>
        </w:rPr>
      </w:pPr>
      <w:r w:rsidRPr="001E4E73">
        <w:rPr>
          <w:rFonts w:ascii="Times New Roman" w:hAnsi="Times New Roman"/>
        </w:rPr>
        <w:t xml:space="preserve">Note 2 </w:t>
      </w:r>
      <w:r w:rsidR="00FC0A63" w:rsidRPr="001E4E73">
        <w:rPr>
          <w:rFonts w:ascii="Times New Roman" w:hAnsi="Times New Roman"/>
        </w:rPr>
        <w:t>states</w:t>
      </w:r>
      <w:r w:rsidRPr="001E4E73">
        <w:rPr>
          <w:rFonts w:ascii="Times New Roman" w:hAnsi="Times New Roman"/>
        </w:rPr>
        <w:t xml:space="preserve"> the obligation </w:t>
      </w:r>
      <w:r w:rsidR="00FC0A63" w:rsidRPr="001E4E73">
        <w:rPr>
          <w:rFonts w:ascii="Times New Roman" w:hAnsi="Times New Roman"/>
        </w:rPr>
        <w:t xml:space="preserve">for </w:t>
      </w:r>
      <w:r w:rsidRPr="001E4E73">
        <w:rPr>
          <w:rFonts w:ascii="Times New Roman" w:hAnsi="Times New Roman"/>
        </w:rPr>
        <w:t>SIPs to supply eligible services to CSPs does not arise in the circumstances specified in a ministerial determination under subsection 360</w:t>
      </w:r>
      <w:proofErr w:type="gramStart"/>
      <w:r w:rsidRPr="001E4E73">
        <w:rPr>
          <w:rFonts w:ascii="Times New Roman" w:hAnsi="Times New Roman"/>
        </w:rPr>
        <w:t>Q(</w:t>
      </w:r>
      <w:proofErr w:type="gramEnd"/>
      <w:r w:rsidRPr="001E4E73">
        <w:rPr>
          <w:rFonts w:ascii="Times New Roman" w:hAnsi="Times New Roman"/>
        </w:rPr>
        <w:t>4) of the Act.</w:t>
      </w:r>
      <w:r w:rsidR="00FC0A63" w:rsidRPr="001E4E73">
        <w:rPr>
          <w:rFonts w:ascii="Times New Roman" w:hAnsi="Times New Roman"/>
        </w:rPr>
        <w:t xml:space="preserve"> This Instrument is a ministerial determination under subsection 360</w:t>
      </w:r>
      <w:proofErr w:type="gramStart"/>
      <w:r w:rsidR="00FC0A63" w:rsidRPr="001E4E73">
        <w:rPr>
          <w:rFonts w:ascii="Times New Roman" w:hAnsi="Times New Roman"/>
        </w:rPr>
        <w:t>Q(</w:t>
      </w:r>
      <w:proofErr w:type="gramEnd"/>
      <w:r w:rsidR="00FC0A63" w:rsidRPr="001E4E73">
        <w:rPr>
          <w:rFonts w:ascii="Times New Roman" w:hAnsi="Times New Roman"/>
        </w:rPr>
        <w:t>4).</w:t>
      </w:r>
    </w:p>
    <w:p w14:paraId="7C717A6A" w14:textId="77777777" w:rsidR="00B812C9" w:rsidRPr="001E4E73" w:rsidRDefault="00B812C9" w:rsidP="00B812C9">
      <w:pPr>
        <w:spacing w:after="0" w:line="276" w:lineRule="auto"/>
        <w:ind w:right="91"/>
        <w:rPr>
          <w:rFonts w:ascii="Times New Roman" w:hAnsi="Times New Roman"/>
        </w:rPr>
      </w:pPr>
    </w:p>
    <w:p w14:paraId="287232EA" w14:textId="77777777" w:rsidR="00B812C9" w:rsidRPr="001E4E73" w:rsidRDefault="00B812C9" w:rsidP="00B812C9">
      <w:pPr>
        <w:spacing w:after="0" w:line="276" w:lineRule="auto"/>
        <w:ind w:right="91"/>
        <w:rPr>
          <w:rFonts w:ascii="Times New Roman" w:hAnsi="Times New Roman"/>
        </w:rPr>
      </w:pPr>
      <w:r w:rsidRPr="001E4E73">
        <w:rPr>
          <w:rFonts w:ascii="Times New Roman" w:hAnsi="Times New Roman"/>
        </w:rPr>
        <w:t xml:space="preserve">Note 3 </w:t>
      </w:r>
      <w:r w:rsidR="00FC0A63" w:rsidRPr="001E4E73">
        <w:rPr>
          <w:rFonts w:ascii="Times New Roman" w:hAnsi="Times New Roman"/>
        </w:rPr>
        <w:t xml:space="preserve">states </w:t>
      </w:r>
      <w:r w:rsidRPr="001E4E73">
        <w:rPr>
          <w:rFonts w:ascii="Times New Roman" w:hAnsi="Times New Roman"/>
        </w:rPr>
        <w:t>that SIPs are not obliged to supply</w:t>
      </w:r>
      <w:r w:rsidR="00FC0A63" w:rsidRPr="001E4E73">
        <w:rPr>
          <w:rFonts w:ascii="Times New Roman" w:hAnsi="Times New Roman"/>
        </w:rPr>
        <w:t xml:space="preserve"> eligible</w:t>
      </w:r>
      <w:r w:rsidRPr="001E4E73">
        <w:rPr>
          <w:rFonts w:ascii="Times New Roman" w:hAnsi="Times New Roman"/>
        </w:rPr>
        <w:t xml:space="preserve"> services to a CSP requesting supply </w:t>
      </w:r>
      <w:r w:rsidR="00FC0A63" w:rsidRPr="001E4E73">
        <w:rPr>
          <w:rFonts w:ascii="Times New Roman" w:hAnsi="Times New Roman"/>
        </w:rPr>
        <w:t>in order to provide qualifying carriage services to an end-user at</w:t>
      </w:r>
      <w:r w:rsidRPr="001E4E73">
        <w:rPr>
          <w:rFonts w:ascii="Times New Roman" w:hAnsi="Times New Roman"/>
        </w:rPr>
        <w:t xml:space="preserve"> premises</w:t>
      </w:r>
      <w:r w:rsidR="002208B7" w:rsidRPr="001E4E73">
        <w:rPr>
          <w:rFonts w:ascii="Times New Roman" w:hAnsi="Times New Roman"/>
        </w:rPr>
        <w:t>, if the premises</w:t>
      </w:r>
      <w:r w:rsidRPr="001E4E73">
        <w:rPr>
          <w:rFonts w:ascii="Times New Roman" w:hAnsi="Times New Roman"/>
        </w:rPr>
        <w:t xml:space="preserve"> </w:t>
      </w:r>
      <w:proofErr w:type="gramStart"/>
      <w:r w:rsidR="002208B7" w:rsidRPr="001E4E73">
        <w:rPr>
          <w:rFonts w:ascii="Times New Roman" w:hAnsi="Times New Roman"/>
        </w:rPr>
        <w:t>is</w:t>
      </w:r>
      <w:proofErr w:type="gramEnd"/>
      <w:r w:rsidRPr="001E4E73">
        <w:rPr>
          <w:rFonts w:ascii="Times New Roman" w:hAnsi="Times New Roman"/>
        </w:rPr>
        <w:t xml:space="preserve"> not located in the SIP</w:t>
      </w:r>
      <w:r w:rsidR="00BB6F1C" w:rsidRPr="001E4E73">
        <w:rPr>
          <w:rFonts w:ascii="Times New Roman" w:hAnsi="Times New Roman"/>
        </w:rPr>
        <w:t>’</w:t>
      </w:r>
      <w:r w:rsidRPr="001E4E73">
        <w:rPr>
          <w:rFonts w:ascii="Times New Roman" w:hAnsi="Times New Roman"/>
        </w:rPr>
        <w:t>s designated service area.</w:t>
      </w:r>
    </w:p>
    <w:p w14:paraId="4017FEF8" w14:textId="77777777" w:rsidR="002208B7" w:rsidRPr="001E4E73" w:rsidRDefault="002208B7" w:rsidP="00B812C9">
      <w:pPr>
        <w:spacing w:after="0" w:line="276" w:lineRule="auto"/>
        <w:ind w:right="91"/>
        <w:rPr>
          <w:rFonts w:ascii="Times New Roman" w:hAnsi="Times New Roman"/>
        </w:rPr>
      </w:pPr>
    </w:p>
    <w:p w14:paraId="739D4044" w14:textId="77777777" w:rsidR="002208B7" w:rsidRPr="001E4E73" w:rsidRDefault="002208B7" w:rsidP="00B812C9">
      <w:pPr>
        <w:spacing w:after="0" w:line="276" w:lineRule="auto"/>
        <w:ind w:right="91"/>
        <w:rPr>
          <w:rFonts w:ascii="Times New Roman" w:hAnsi="Times New Roman"/>
        </w:rPr>
      </w:pPr>
      <w:r w:rsidRPr="001E4E73">
        <w:rPr>
          <w:rFonts w:ascii="Times New Roman" w:hAnsi="Times New Roman"/>
        </w:rPr>
        <w:t>Note 4 states that subsections 152</w:t>
      </w:r>
      <w:proofErr w:type="gramStart"/>
      <w:r w:rsidRPr="001E4E73">
        <w:rPr>
          <w:rFonts w:ascii="Times New Roman" w:hAnsi="Times New Roman"/>
        </w:rPr>
        <w:t>AR(</w:t>
      </w:r>
      <w:proofErr w:type="gramEnd"/>
      <w:r w:rsidRPr="001E4E73">
        <w:rPr>
          <w:rFonts w:ascii="Times New Roman" w:hAnsi="Times New Roman"/>
        </w:rPr>
        <w:t>4) and (9) in Part XIC of the CCA set out the exceptions to category A standard access obligations applicable to the supply of declared services by a carrier or a carriage service provider that is not an NBN corporation.</w:t>
      </w:r>
      <w:r w:rsidR="00BB6F1C" w:rsidRPr="001E4E73">
        <w:rPr>
          <w:rFonts w:ascii="Times New Roman" w:hAnsi="Times New Roman"/>
        </w:rPr>
        <w:t xml:space="preserve"> This relates to the exception at paragraph 7(m).</w:t>
      </w:r>
    </w:p>
    <w:p w14:paraId="72B7582D" w14:textId="77777777" w:rsidR="002208B7" w:rsidRPr="001E4E73" w:rsidRDefault="002208B7" w:rsidP="00B812C9">
      <w:pPr>
        <w:spacing w:after="0" w:line="276" w:lineRule="auto"/>
        <w:ind w:right="91"/>
        <w:rPr>
          <w:rFonts w:ascii="Times New Roman" w:hAnsi="Times New Roman"/>
        </w:rPr>
      </w:pPr>
    </w:p>
    <w:p w14:paraId="7EBEB0B4" w14:textId="77777777" w:rsidR="002208B7" w:rsidRPr="001E4E73" w:rsidRDefault="002208B7" w:rsidP="00B812C9">
      <w:pPr>
        <w:spacing w:after="0" w:line="276" w:lineRule="auto"/>
        <w:ind w:right="91"/>
        <w:rPr>
          <w:rFonts w:ascii="Times New Roman" w:hAnsi="Times New Roman"/>
        </w:rPr>
      </w:pPr>
      <w:r w:rsidRPr="001E4E73">
        <w:rPr>
          <w:rFonts w:ascii="Times New Roman" w:hAnsi="Times New Roman"/>
        </w:rPr>
        <w:t>Note 5 states that subsections 152</w:t>
      </w:r>
      <w:proofErr w:type="gramStart"/>
      <w:r w:rsidRPr="001E4E73">
        <w:rPr>
          <w:rFonts w:ascii="Times New Roman" w:hAnsi="Times New Roman"/>
        </w:rPr>
        <w:t>AXB(</w:t>
      </w:r>
      <w:proofErr w:type="gramEnd"/>
      <w:r w:rsidRPr="001E4E73">
        <w:rPr>
          <w:rFonts w:ascii="Times New Roman" w:hAnsi="Times New Roman"/>
        </w:rPr>
        <w:t xml:space="preserve">3) and (6) in Part XIC of the CCA set out the exceptions to category B standard access obligations applicable to the supply of declared services by an NBN corporation. </w:t>
      </w:r>
      <w:r w:rsidR="00BB6F1C" w:rsidRPr="001E4E73">
        <w:rPr>
          <w:rFonts w:ascii="Times New Roman" w:hAnsi="Times New Roman"/>
        </w:rPr>
        <w:t>This relates to the exception at paragraph 7(n).</w:t>
      </w:r>
    </w:p>
    <w:p w14:paraId="748DDB0E" w14:textId="77777777" w:rsidR="00B812C9" w:rsidRPr="001E4E73" w:rsidRDefault="00B812C9" w:rsidP="00B812C9">
      <w:pPr>
        <w:spacing w:after="0" w:line="276" w:lineRule="auto"/>
        <w:ind w:right="91"/>
        <w:rPr>
          <w:rFonts w:ascii="Times New Roman" w:hAnsi="Times New Roman"/>
        </w:rPr>
      </w:pPr>
    </w:p>
    <w:p w14:paraId="0119970F" w14:textId="77777777" w:rsidR="006A7E87" w:rsidRPr="001E4E73" w:rsidRDefault="006A7E87" w:rsidP="00E46F52">
      <w:pPr>
        <w:spacing w:line="276" w:lineRule="auto"/>
        <w:rPr>
          <w:rFonts w:ascii="Times New Roman" w:hAnsi="Times New Roman"/>
          <w:u w:val="single"/>
        </w:rPr>
      </w:pPr>
      <w:r w:rsidRPr="001E4E73">
        <w:rPr>
          <w:rFonts w:ascii="Times New Roman" w:hAnsi="Times New Roman"/>
          <w:u w:val="single"/>
        </w:rPr>
        <w:t xml:space="preserve">Section </w:t>
      </w:r>
      <w:r w:rsidR="00B826D1" w:rsidRPr="001E4E73">
        <w:rPr>
          <w:rFonts w:ascii="Times New Roman" w:hAnsi="Times New Roman"/>
          <w:u w:val="single"/>
        </w:rPr>
        <w:t>7</w:t>
      </w:r>
      <w:r w:rsidRPr="001E4E73">
        <w:rPr>
          <w:rFonts w:ascii="Times New Roman" w:hAnsi="Times New Roman"/>
          <w:u w:val="single"/>
        </w:rPr>
        <w:t xml:space="preserve"> – Determination of </w:t>
      </w:r>
      <w:r w:rsidR="00951A24" w:rsidRPr="001E4E73">
        <w:rPr>
          <w:rFonts w:ascii="Times New Roman" w:hAnsi="Times New Roman"/>
          <w:u w:val="single"/>
        </w:rPr>
        <w:t xml:space="preserve">supply </w:t>
      </w:r>
      <w:r w:rsidRPr="001E4E73">
        <w:rPr>
          <w:rFonts w:ascii="Times New Roman" w:hAnsi="Times New Roman"/>
          <w:u w:val="single"/>
        </w:rPr>
        <w:t>circumstances</w:t>
      </w:r>
    </w:p>
    <w:p w14:paraId="4DC4CE60" w14:textId="0DF5B067" w:rsidR="00D43760" w:rsidRPr="001E4E73" w:rsidRDefault="00043C5D" w:rsidP="00AF229E">
      <w:pPr>
        <w:spacing w:after="0" w:line="276" w:lineRule="auto"/>
        <w:ind w:right="91"/>
        <w:rPr>
          <w:rFonts w:ascii="Times New Roman" w:hAnsi="Times New Roman"/>
        </w:rPr>
      </w:pPr>
      <w:r w:rsidRPr="001E4E73">
        <w:rPr>
          <w:rFonts w:ascii="Times New Roman" w:hAnsi="Times New Roman"/>
        </w:rPr>
        <w:t xml:space="preserve">Paragraphs </w:t>
      </w:r>
      <w:r w:rsidR="00AF229E" w:rsidRPr="001E4E73">
        <w:rPr>
          <w:rFonts w:ascii="Times New Roman" w:hAnsi="Times New Roman"/>
        </w:rPr>
        <w:t>7</w:t>
      </w:r>
      <w:r w:rsidR="00D43760" w:rsidRPr="001E4E73">
        <w:rPr>
          <w:rFonts w:ascii="Times New Roman" w:hAnsi="Times New Roman"/>
        </w:rPr>
        <w:t>(a)</w:t>
      </w:r>
      <w:r w:rsidR="006C0838" w:rsidRPr="001E4E73">
        <w:rPr>
          <w:rFonts w:ascii="Times New Roman" w:hAnsi="Times New Roman"/>
        </w:rPr>
        <w:t>–</w:t>
      </w:r>
      <w:r w:rsidR="00D43760" w:rsidRPr="001E4E73">
        <w:rPr>
          <w:rFonts w:ascii="Times New Roman" w:hAnsi="Times New Roman"/>
        </w:rPr>
        <w:t>(</w:t>
      </w:r>
      <w:r w:rsidR="00F57D8F" w:rsidRPr="001E4E73">
        <w:rPr>
          <w:rFonts w:ascii="Times New Roman" w:hAnsi="Times New Roman"/>
        </w:rPr>
        <w:t>p</w:t>
      </w:r>
      <w:r w:rsidR="00D43760" w:rsidRPr="001E4E73">
        <w:rPr>
          <w:rFonts w:ascii="Times New Roman" w:hAnsi="Times New Roman"/>
        </w:rPr>
        <w:t xml:space="preserve">) </w:t>
      </w:r>
      <w:r w:rsidR="00AF229E" w:rsidRPr="001E4E73">
        <w:rPr>
          <w:rFonts w:ascii="Times New Roman" w:hAnsi="Times New Roman"/>
        </w:rPr>
        <w:t>describe</w:t>
      </w:r>
      <w:r w:rsidR="00D43760" w:rsidRPr="001E4E73">
        <w:rPr>
          <w:rFonts w:ascii="Times New Roman" w:hAnsi="Times New Roman"/>
        </w:rPr>
        <w:t xml:space="preserve"> </w:t>
      </w:r>
      <w:r w:rsidR="00AF229E" w:rsidRPr="001E4E73">
        <w:rPr>
          <w:rFonts w:ascii="Times New Roman" w:hAnsi="Times New Roman"/>
        </w:rPr>
        <w:t>separate</w:t>
      </w:r>
      <w:r w:rsidR="00D43760" w:rsidRPr="001E4E73">
        <w:rPr>
          <w:rFonts w:ascii="Times New Roman" w:hAnsi="Times New Roman"/>
        </w:rPr>
        <w:t xml:space="preserve"> circumstances</w:t>
      </w:r>
      <w:r w:rsidR="00AF229E" w:rsidRPr="001E4E73">
        <w:rPr>
          <w:rFonts w:ascii="Times New Roman" w:hAnsi="Times New Roman"/>
        </w:rPr>
        <w:t xml:space="preserve"> where a SIP is eligible for an exception from its obligations under Part 19 of the Act to </w:t>
      </w:r>
      <w:r w:rsidR="00D43760" w:rsidRPr="001E4E73">
        <w:rPr>
          <w:rFonts w:ascii="Times New Roman" w:hAnsi="Times New Roman"/>
        </w:rPr>
        <w:t xml:space="preserve">supply eligible services to premises on request from a CSP. </w:t>
      </w:r>
      <w:r w:rsidR="00AF229E" w:rsidRPr="001E4E73">
        <w:rPr>
          <w:rFonts w:ascii="Times New Roman" w:hAnsi="Times New Roman"/>
        </w:rPr>
        <w:t>Paragraphs 7(a)</w:t>
      </w:r>
      <w:r w:rsidR="006C0838" w:rsidRPr="001E4E73">
        <w:rPr>
          <w:rFonts w:ascii="Times New Roman" w:hAnsi="Times New Roman"/>
        </w:rPr>
        <w:t>–</w:t>
      </w:r>
      <w:r w:rsidR="00AF229E" w:rsidRPr="001E4E73">
        <w:rPr>
          <w:rFonts w:ascii="Times New Roman" w:hAnsi="Times New Roman"/>
        </w:rPr>
        <w:t xml:space="preserve">(l) in </w:t>
      </w:r>
      <w:r w:rsidRPr="001E4E73">
        <w:rPr>
          <w:rFonts w:ascii="Times New Roman" w:hAnsi="Times New Roman"/>
        </w:rPr>
        <w:t>Division 2</w:t>
      </w:r>
      <w:r w:rsidR="00D43760" w:rsidRPr="001E4E73">
        <w:rPr>
          <w:rFonts w:ascii="Times New Roman" w:hAnsi="Times New Roman"/>
        </w:rPr>
        <w:t xml:space="preserve"> </w:t>
      </w:r>
      <w:r w:rsidR="00AF229E" w:rsidRPr="001E4E73">
        <w:rPr>
          <w:rFonts w:ascii="Times New Roman" w:hAnsi="Times New Roman"/>
        </w:rPr>
        <w:t xml:space="preserve">are </w:t>
      </w:r>
      <w:r w:rsidR="006C0838" w:rsidRPr="001E4E73">
        <w:rPr>
          <w:rFonts w:ascii="Times New Roman" w:hAnsi="Times New Roman"/>
        </w:rPr>
        <w:t>broadly similar to</w:t>
      </w:r>
      <w:r w:rsidR="00D43760" w:rsidRPr="001E4E73">
        <w:rPr>
          <w:rFonts w:ascii="Times New Roman" w:hAnsi="Times New Roman"/>
        </w:rPr>
        <w:t xml:space="preserve"> Division 1, but </w:t>
      </w:r>
      <w:r w:rsidR="00D43760" w:rsidRPr="001E4E73">
        <w:rPr>
          <w:rFonts w:ascii="Times New Roman" w:hAnsi="Times New Roman"/>
        </w:rPr>
        <w:lastRenderedPageBreak/>
        <w:t xml:space="preserve">with amendments to focus on </w:t>
      </w:r>
      <w:r w:rsidR="008E34EF" w:rsidRPr="001E4E73">
        <w:rPr>
          <w:rFonts w:ascii="Times New Roman" w:hAnsi="Times New Roman"/>
        </w:rPr>
        <w:t xml:space="preserve">the </w:t>
      </w:r>
      <w:r w:rsidR="00D43760" w:rsidRPr="001E4E73">
        <w:rPr>
          <w:rFonts w:ascii="Times New Roman" w:hAnsi="Times New Roman"/>
        </w:rPr>
        <w:t>‘supply’ of services rather than the ‘connection’ of premises.</w:t>
      </w:r>
      <w:r w:rsidR="006C0838" w:rsidRPr="001E4E73">
        <w:rPr>
          <w:rFonts w:ascii="Times New Roman" w:hAnsi="Times New Roman"/>
        </w:rPr>
        <w:t xml:space="preserve"> Paragraphs 7(m)–(</w:t>
      </w:r>
      <w:r w:rsidR="00F57D8F" w:rsidRPr="001E4E73">
        <w:rPr>
          <w:rFonts w:ascii="Times New Roman" w:hAnsi="Times New Roman"/>
        </w:rPr>
        <w:t>p</w:t>
      </w:r>
      <w:r w:rsidR="006C0838" w:rsidRPr="001E4E73">
        <w:rPr>
          <w:rFonts w:ascii="Times New Roman" w:hAnsi="Times New Roman"/>
        </w:rPr>
        <w:t>) are new additions to the 2024 Instrument and will be described below in more detail.</w:t>
      </w:r>
    </w:p>
    <w:p w14:paraId="122E0DFF" w14:textId="77777777" w:rsidR="00AF229E" w:rsidRPr="001E4E73" w:rsidRDefault="00AF229E" w:rsidP="00AF229E">
      <w:pPr>
        <w:spacing w:after="0" w:line="276" w:lineRule="auto"/>
        <w:ind w:right="91"/>
        <w:rPr>
          <w:rFonts w:ascii="Times New Roman" w:hAnsi="Times New Roman"/>
        </w:rPr>
      </w:pPr>
    </w:p>
    <w:p w14:paraId="0BDBBBC4" w14:textId="257D1764" w:rsidR="00AF1285" w:rsidRPr="001E4E73" w:rsidRDefault="00043C5D" w:rsidP="00AF229E">
      <w:pPr>
        <w:spacing w:after="0" w:line="276" w:lineRule="auto"/>
        <w:rPr>
          <w:rFonts w:ascii="Times New Roman" w:hAnsi="Times New Roman"/>
        </w:rPr>
      </w:pPr>
      <w:r w:rsidRPr="001E4E73">
        <w:rPr>
          <w:rFonts w:ascii="Times New Roman" w:hAnsi="Times New Roman"/>
        </w:rPr>
        <w:t>Subp</w:t>
      </w:r>
      <w:r w:rsidR="008B15F5" w:rsidRPr="001E4E73">
        <w:rPr>
          <w:rFonts w:ascii="Times New Roman" w:hAnsi="Times New Roman"/>
        </w:rPr>
        <w:t xml:space="preserve">aragraph </w:t>
      </w:r>
      <w:r w:rsidR="006C0838" w:rsidRPr="001E4E73">
        <w:rPr>
          <w:rFonts w:ascii="Times New Roman" w:hAnsi="Times New Roman"/>
        </w:rPr>
        <w:t>7</w:t>
      </w:r>
      <w:r w:rsidR="00B80897" w:rsidRPr="001E4E73">
        <w:rPr>
          <w:rFonts w:ascii="Times New Roman" w:hAnsi="Times New Roman"/>
        </w:rPr>
        <w:t>(a)(</w:t>
      </w:r>
      <w:proofErr w:type="spellStart"/>
      <w:r w:rsidR="00B80897" w:rsidRPr="001E4E73">
        <w:rPr>
          <w:rFonts w:ascii="Times New Roman" w:hAnsi="Times New Roman"/>
        </w:rPr>
        <w:t>i</w:t>
      </w:r>
      <w:proofErr w:type="spellEnd"/>
      <w:r w:rsidR="00B80897" w:rsidRPr="001E4E73">
        <w:rPr>
          <w:rFonts w:ascii="Times New Roman" w:hAnsi="Times New Roman"/>
        </w:rPr>
        <w:t xml:space="preserve">) </w:t>
      </w:r>
      <w:r w:rsidR="006C0838" w:rsidRPr="001E4E73">
        <w:rPr>
          <w:rFonts w:ascii="Times New Roman" w:hAnsi="Times New Roman"/>
        </w:rPr>
        <w:t>states that</w:t>
      </w:r>
      <w:r w:rsidR="00B80897" w:rsidRPr="001E4E73">
        <w:rPr>
          <w:rFonts w:ascii="Times New Roman" w:hAnsi="Times New Roman"/>
        </w:rPr>
        <w:t xml:space="preserve"> </w:t>
      </w:r>
      <w:r w:rsidR="00C72F56" w:rsidRPr="001E4E73">
        <w:rPr>
          <w:rFonts w:ascii="Times New Roman" w:hAnsi="Times New Roman"/>
        </w:rPr>
        <w:t>a</w:t>
      </w:r>
      <w:r w:rsidR="00B80897" w:rsidRPr="001E4E73">
        <w:rPr>
          <w:rFonts w:ascii="Times New Roman" w:hAnsi="Times New Roman"/>
        </w:rPr>
        <w:t xml:space="preserve"> SIP is not required to </w:t>
      </w:r>
      <w:r w:rsidR="00C72F56" w:rsidRPr="001E4E73">
        <w:rPr>
          <w:rFonts w:ascii="Times New Roman" w:hAnsi="Times New Roman"/>
        </w:rPr>
        <w:t xml:space="preserve">supply a service if </w:t>
      </w:r>
      <w:r w:rsidR="00B80897" w:rsidRPr="001E4E73">
        <w:rPr>
          <w:rFonts w:ascii="Times New Roman" w:hAnsi="Times New Roman"/>
        </w:rPr>
        <w:t>connect</w:t>
      </w:r>
      <w:r w:rsidR="00C72F56" w:rsidRPr="001E4E73">
        <w:rPr>
          <w:rFonts w:ascii="Times New Roman" w:hAnsi="Times New Roman"/>
        </w:rPr>
        <w:t>ion of</w:t>
      </w:r>
      <w:r w:rsidR="00B80897" w:rsidRPr="001E4E73">
        <w:rPr>
          <w:rFonts w:ascii="Times New Roman" w:hAnsi="Times New Roman"/>
        </w:rPr>
        <w:t xml:space="preserve"> the premises </w:t>
      </w:r>
      <w:r w:rsidR="00C72F56" w:rsidRPr="001E4E73">
        <w:rPr>
          <w:rFonts w:ascii="Times New Roman" w:hAnsi="Times New Roman"/>
        </w:rPr>
        <w:t xml:space="preserve">is not required </w:t>
      </w:r>
      <w:r w:rsidR="00B80897" w:rsidRPr="001E4E73">
        <w:rPr>
          <w:rFonts w:ascii="Times New Roman" w:hAnsi="Times New Roman"/>
        </w:rPr>
        <w:t xml:space="preserve">under </w:t>
      </w:r>
      <w:r w:rsidR="008B15F5" w:rsidRPr="001E4E73">
        <w:rPr>
          <w:rFonts w:ascii="Times New Roman" w:hAnsi="Times New Roman"/>
        </w:rPr>
        <w:t xml:space="preserve">subsection </w:t>
      </w:r>
      <w:r w:rsidR="00B80897" w:rsidRPr="001E4E73">
        <w:rPr>
          <w:rFonts w:ascii="Times New Roman" w:hAnsi="Times New Roman"/>
        </w:rPr>
        <w:t>360</w:t>
      </w:r>
      <w:proofErr w:type="gramStart"/>
      <w:r w:rsidR="00B80897" w:rsidRPr="001E4E73">
        <w:rPr>
          <w:rFonts w:ascii="Times New Roman" w:hAnsi="Times New Roman"/>
        </w:rPr>
        <w:t>P(</w:t>
      </w:r>
      <w:proofErr w:type="gramEnd"/>
      <w:r w:rsidR="00B80897" w:rsidRPr="001E4E73">
        <w:rPr>
          <w:rFonts w:ascii="Times New Roman" w:hAnsi="Times New Roman"/>
        </w:rPr>
        <w:t>1) of the Act</w:t>
      </w:r>
      <w:r w:rsidR="008E34EF" w:rsidRPr="001E4E73">
        <w:rPr>
          <w:rFonts w:ascii="Times New Roman" w:hAnsi="Times New Roman"/>
        </w:rPr>
        <w:t>, this being a necessary pre</w:t>
      </w:r>
      <w:r w:rsidR="00FE5634" w:rsidRPr="001E4E73">
        <w:rPr>
          <w:rFonts w:ascii="Times New Roman" w:hAnsi="Times New Roman"/>
        </w:rPr>
        <w:t>-</w:t>
      </w:r>
      <w:r w:rsidR="008E34EF" w:rsidRPr="001E4E73">
        <w:rPr>
          <w:rFonts w:ascii="Times New Roman" w:hAnsi="Times New Roman"/>
        </w:rPr>
        <w:t>requisite to supply</w:t>
      </w:r>
      <w:r w:rsidR="00B80897" w:rsidRPr="001E4E73">
        <w:rPr>
          <w:rFonts w:ascii="Times New Roman" w:hAnsi="Times New Roman"/>
        </w:rPr>
        <w:t xml:space="preserve">. Otherwise, </w:t>
      </w:r>
      <w:r w:rsidR="009A035B" w:rsidRPr="001E4E73">
        <w:rPr>
          <w:rFonts w:ascii="Times New Roman" w:hAnsi="Times New Roman"/>
        </w:rPr>
        <w:t xml:space="preserve">subparagraphs </w:t>
      </w:r>
      <w:r w:rsidR="006C0838" w:rsidRPr="001E4E73">
        <w:rPr>
          <w:rFonts w:ascii="Times New Roman" w:hAnsi="Times New Roman"/>
        </w:rPr>
        <w:t>7</w:t>
      </w:r>
      <w:r w:rsidR="00AF1285" w:rsidRPr="001E4E73">
        <w:rPr>
          <w:rFonts w:ascii="Times New Roman" w:hAnsi="Times New Roman"/>
        </w:rPr>
        <w:t>(a)</w:t>
      </w:r>
      <w:r w:rsidR="00B80897" w:rsidRPr="001E4E73">
        <w:rPr>
          <w:rFonts w:ascii="Times New Roman" w:hAnsi="Times New Roman"/>
        </w:rPr>
        <w:t>(ii</w:t>
      </w:r>
      <w:r w:rsidR="009A035B" w:rsidRPr="001E4E73">
        <w:rPr>
          <w:rFonts w:ascii="Times New Roman" w:hAnsi="Times New Roman"/>
        </w:rPr>
        <w:t>)</w:t>
      </w:r>
      <w:r w:rsidR="0002278C" w:rsidRPr="001E4E73">
        <w:rPr>
          <w:rFonts w:ascii="Times New Roman" w:hAnsi="Times New Roman"/>
        </w:rPr>
        <w:t>–</w:t>
      </w:r>
      <w:r w:rsidR="009A035B" w:rsidRPr="001E4E73">
        <w:rPr>
          <w:rFonts w:ascii="Times New Roman" w:hAnsi="Times New Roman"/>
        </w:rPr>
        <w:t>(</w:t>
      </w:r>
      <w:r w:rsidR="00B80897" w:rsidRPr="001E4E73">
        <w:rPr>
          <w:rFonts w:ascii="Times New Roman" w:hAnsi="Times New Roman"/>
        </w:rPr>
        <w:t>iv)</w:t>
      </w:r>
      <w:r w:rsidR="00AF1285" w:rsidRPr="001E4E73">
        <w:rPr>
          <w:rFonts w:ascii="Times New Roman" w:hAnsi="Times New Roman"/>
        </w:rPr>
        <w:t xml:space="preserve"> </w:t>
      </w:r>
      <w:r w:rsidR="00B80897" w:rsidRPr="001E4E73">
        <w:rPr>
          <w:rFonts w:ascii="Times New Roman" w:hAnsi="Times New Roman"/>
        </w:rPr>
        <w:t xml:space="preserve">mirror the </w:t>
      </w:r>
      <w:r w:rsidR="00AF1285" w:rsidRPr="001E4E73">
        <w:rPr>
          <w:rFonts w:ascii="Times New Roman" w:hAnsi="Times New Roman"/>
        </w:rPr>
        <w:t xml:space="preserve">circumstances set out in </w:t>
      </w:r>
      <w:r w:rsidR="008B15F5" w:rsidRPr="001E4E73">
        <w:rPr>
          <w:rFonts w:ascii="Times New Roman" w:hAnsi="Times New Roman"/>
        </w:rPr>
        <w:t xml:space="preserve">subparagraphs </w:t>
      </w:r>
      <w:r w:rsidR="006C0838" w:rsidRPr="001E4E73">
        <w:rPr>
          <w:rFonts w:ascii="Times New Roman" w:hAnsi="Times New Roman"/>
        </w:rPr>
        <w:t>6</w:t>
      </w:r>
      <w:r w:rsidR="00AF1285" w:rsidRPr="001E4E73">
        <w:rPr>
          <w:rFonts w:ascii="Times New Roman" w:hAnsi="Times New Roman"/>
        </w:rPr>
        <w:t>(a)(</w:t>
      </w:r>
      <w:proofErr w:type="spellStart"/>
      <w:r w:rsidR="00AF1285" w:rsidRPr="001E4E73">
        <w:rPr>
          <w:rFonts w:ascii="Times New Roman" w:hAnsi="Times New Roman"/>
        </w:rPr>
        <w:t>i</w:t>
      </w:r>
      <w:proofErr w:type="spellEnd"/>
      <w:r w:rsidR="00AF1285" w:rsidRPr="001E4E73">
        <w:rPr>
          <w:rFonts w:ascii="Times New Roman" w:hAnsi="Times New Roman"/>
        </w:rPr>
        <w:t>)</w:t>
      </w:r>
      <w:r w:rsidR="0002278C" w:rsidRPr="001E4E73">
        <w:rPr>
          <w:rFonts w:ascii="Times New Roman" w:hAnsi="Times New Roman"/>
        </w:rPr>
        <w:t>–</w:t>
      </w:r>
      <w:r w:rsidR="00AF1285" w:rsidRPr="001E4E73">
        <w:rPr>
          <w:rFonts w:ascii="Times New Roman" w:hAnsi="Times New Roman"/>
        </w:rPr>
        <w:t>(iii).</w:t>
      </w:r>
    </w:p>
    <w:p w14:paraId="07BF16AA" w14:textId="77777777" w:rsidR="00AF229E" w:rsidRPr="001E4E73" w:rsidRDefault="00AF229E" w:rsidP="00AF229E">
      <w:pPr>
        <w:spacing w:after="0" w:line="276" w:lineRule="auto"/>
        <w:rPr>
          <w:rFonts w:ascii="Times New Roman" w:hAnsi="Times New Roman"/>
        </w:rPr>
      </w:pPr>
    </w:p>
    <w:p w14:paraId="48D51DAC" w14:textId="4AF7251A" w:rsidR="00C72F56" w:rsidRPr="001E4E73" w:rsidRDefault="00C72F56" w:rsidP="00AF229E">
      <w:pPr>
        <w:spacing w:after="0" w:line="276" w:lineRule="auto"/>
        <w:rPr>
          <w:rFonts w:ascii="Times New Roman" w:hAnsi="Times New Roman"/>
        </w:rPr>
      </w:pPr>
      <w:r w:rsidRPr="001E4E73">
        <w:rPr>
          <w:rFonts w:ascii="Times New Roman" w:hAnsi="Times New Roman"/>
        </w:rPr>
        <w:t xml:space="preserve">Paragraph </w:t>
      </w:r>
      <w:r w:rsidR="006C0838" w:rsidRPr="001E4E73">
        <w:rPr>
          <w:rFonts w:ascii="Times New Roman" w:hAnsi="Times New Roman"/>
        </w:rPr>
        <w:t>6</w:t>
      </w:r>
      <w:r w:rsidRPr="001E4E73">
        <w:rPr>
          <w:rFonts w:ascii="Times New Roman" w:hAnsi="Times New Roman"/>
        </w:rPr>
        <w:t>(d) (</w:t>
      </w:r>
      <w:r w:rsidRPr="001E4E73">
        <w:rPr>
          <w:rFonts w:ascii="Times New Roman" w:hAnsi="Times New Roman"/>
          <w:i/>
        </w:rPr>
        <w:t>civil works)</w:t>
      </w:r>
      <w:r w:rsidRPr="001E4E73">
        <w:rPr>
          <w:rFonts w:ascii="Times New Roman" w:hAnsi="Times New Roman"/>
        </w:rPr>
        <w:t xml:space="preserve"> is not replicated in Division 2, as civil works are relevant for connection requests, but not in the context of supply requests</w:t>
      </w:r>
      <w:r w:rsidR="006C0838" w:rsidRPr="001E4E73">
        <w:rPr>
          <w:rFonts w:ascii="Times New Roman" w:hAnsi="Times New Roman"/>
        </w:rPr>
        <w:t>, since the infrastructure is already connected</w:t>
      </w:r>
      <w:r w:rsidRPr="001E4E73">
        <w:rPr>
          <w:rFonts w:ascii="Times New Roman" w:hAnsi="Times New Roman"/>
        </w:rPr>
        <w:t>.</w:t>
      </w:r>
    </w:p>
    <w:p w14:paraId="32E025E1" w14:textId="77777777" w:rsidR="006C0838" w:rsidRPr="001E4E73" w:rsidRDefault="006C0838" w:rsidP="00AF229E">
      <w:pPr>
        <w:spacing w:after="0" w:line="276" w:lineRule="auto"/>
        <w:rPr>
          <w:rFonts w:ascii="Times New Roman" w:hAnsi="Times New Roman"/>
        </w:rPr>
      </w:pPr>
    </w:p>
    <w:p w14:paraId="5C19ECC6" w14:textId="77777777" w:rsidR="00AF1285" w:rsidRPr="001E4E73" w:rsidRDefault="00AF1285" w:rsidP="00AF229E">
      <w:pPr>
        <w:spacing w:after="0" w:line="276" w:lineRule="auto"/>
        <w:rPr>
          <w:rFonts w:ascii="Times New Roman" w:hAnsi="Times New Roman"/>
        </w:rPr>
      </w:pPr>
      <w:r w:rsidRPr="001E4E73">
        <w:rPr>
          <w:rFonts w:ascii="Times New Roman" w:hAnsi="Times New Roman"/>
        </w:rPr>
        <w:t xml:space="preserve">The remaining </w:t>
      </w:r>
      <w:r w:rsidR="00D43760" w:rsidRPr="001E4E73">
        <w:rPr>
          <w:rFonts w:ascii="Times New Roman" w:hAnsi="Times New Roman"/>
        </w:rPr>
        <w:t xml:space="preserve">circumstances </w:t>
      </w:r>
      <w:r w:rsidRPr="001E4E73">
        <w:rPr>
          <w:rFonts w:ascii="Times New Roman" w:hAnsi="Times New Roman"/>
        </w:rPr>
        <w:t xml:space="preserve">in </w:t>
      </w:r>
      <w:r w:rsidR="006C0838" w:rsidRPr="001E4E73">
        <w:rPr>
          <w:rFonts w:ascii="Times New Roman" w:hAnsi="Times New Roman"/>
        </w:rPr>
        <w:t>paragraphs</w:t>
      </w:r>
      <w:r w:rsidRPr="001E4E73">
        <w:rPr>
          <w:rFonts w:ascii="Times New Roman" w:hAnsi="Times New Roman"/>
        </w:rPr>
        <w:t xml:space="preserve"> </w:t>
      </w:r>
      <w:r w:rsidR="006C0838" w:rsidRPr="001E4E73">
        <w:rPr>
          <w:rFonts w:ascii="Times New Roman" w:hAnsi="Times New Roman"/>
        </w:rPr>
        <w:t>7(a)–(</w:t>
      </w:r>
      <w:r w:rsidR="006C6111" w:rsidRPr="001E4E73">
        <w:rPr>
          <w:rFonts w:ascii="Times New Roman" w:hAnsi="Times New Roman"/>
        </w:rPr>
        <w:t>l</w:t>
      </w:r>
      <w:r w:rsidR="006C0838" w:rsidRPr="001E4E73">
        <w:rPr>
          <w:rFonts w:ascii="Times New Roman" w:hAnsi="Times New Roman"/>
        </w:rPr>
        <w:t>) are broadly similar</w:t>
      </w:r>
      <w:r w:rsidRPr="001E4E73">
        <w:rPr>
          <w:rFonts w:ascii="Times New Roman" w:hAnsi="Times New Roman"/>
        </w:rPr>
        <w:t xml:space="preserve"> </w:t>
      </w:r>
      <w:r w:rsidR="006C0838" w:rsidRPr="001E4E73">
        <w:rPr>
          <w:rFonts w:ascii="Times New Roman" w:hAnsi="Times New Roman"/>
        </w:rPr>
        <w:t>to the</w:t>
      </w:r>
      <w:r w:rsidRPr="001E4E73">
        <w:rPr>
          <w:rFonts w:ascii="Times New Roman" w:hAnsi="Times New Roman"/>
        </w:rPr>
        <w:t xml:space="preserve"> circumstances as </w:t>
      </w:r>
      <w:r w:rsidR="006C0838" w:rsidRPr="001E4E73">
        <w:rPr>
          <w:rFonts w:ascii="Times New Roman" w:hAnsi="Times New Roman"/>
        </w:rPr>
        <w:t>specified</w:t>
      </w:r>
      <w:r w:rsidRPr="001E4E73">
        <w:rPr>
          <w:rFonts w:ascii="Times New Roman" w:hAnsi="Times New Roman"/>
        </w:rPr>
        <w:t xml:space="preserve"> in section </w:t>
      </w:r>
      <w:r w:rsidR="006C0838" w:rsidRPr="001E4E73">
        <w:rPr>
          <w:rFonts w:ascii="Times New Roman" w:hAnsi="Times New Roman"/>
        </w:rPr>
        <w:t>6</w:t>
      </w:r>
      <w:r w:rsidRPr="001E4E73">
        <w:rPr>
          <w:rFonts w:ascii="Times New Roman" w:hAnsi="Times New Roman"/>
        </w:rPr>
        <w:t>, but adapted to the supply of wholesale services by a SIP.</w:t>
      </w:r>
      <w:r w:rsidR="00367531" w:rsidRPr="001E4E73">
        <w:rPr>
          <w:rFonts w:ascii="Times New Roman" w:hAnsi="Times New Roman"/>
        </w:rPr>
        <w:t xml:space="preserve"> The explanation provided for these provisions in section </w:t>
      </w:r>
      <w:r w:rsidR="006C0838" w:rsidRPr="001E4E73">
        <w:rPr>
          <w:rFonts w:ascii="Times New Roman" w:hAnsi="Times New Roman"/>
        </w:rPr>
        <w:t>6</w:t>
      </w:r>
      <w:r w:rsidR="00367531" w:rsidRPr="001E4E73">
        <w:rPr>
          <w:rFonts w:ascii="Times New Roman" w:hAnsi="Times New Roman"/>
        </w:rPr>
        <w:t xml:space="preserve"> </w:t>
      </w:r>
      <w:r w:rsidR="0004432B" w:rsidRPr="001E4E73">
        <w:rPr>
          <w:rFonts w:ascii="Times New Roman" w:hAnsi="Times New Roman"/>
        </w:rPr>
        <w:t>is applicable</w:t>
      </w:r>
      <w:r w:rsidR="00367531" w:rsidRPr="001E4E73">
        <w:rPr>
          <w:rFonts w:ascii="Times New Roman" w:hAnsi="Times New Roman"/>
        </w:rPr>
        <w:t xml:space="preserve"> to the circumstances in section </w:t>
      </w:r>
      <w:r w:rsidR="0004432B" w:rsidRPr="001E4E73">
        <w:rPr>
          <w:rFonts w:ascii="Times New Roman" w:hAnsi="Times New Roman"/>
        </w:rPr>
        <w:t>7.</w:t>
      </w:r>
    </w:p>
    <w:p w14:paraId="699D3F12" w14:textId="77777777" w:rsidR="0004432B" w:rsidRPr="001E4E73" w:rsidRDefault="0004432B" w:rsidP="00AF229E">
      <w:pPr>
        <w:spacing w:after="0" w:line="276" w:lineRule="auto"/>
        <w:rPr>
          <w:rFonts w:ascii="Times New Roman" w:hAnsi="Times New Roman"/>
        </w:rPr>
      </w:pPr>
    </w:p>
    <w:p w14:paraId="508978E5" w14:textId="77777777" w:rsidR="0004432B" w:rsidRPr="001E4E73" w:rsidRDefault="0004432B" w:rsidP="0004432B">
      <w:pPr>
        <w:spacing w:line="276" w:lineRule="auto"/>
        <w:rPr>
          <w:rFonts w:ascii="Times New Roman" w:hAnsi="Times New Roman"/>
        </w:rPr>
      </w:pPr>
      <w:r w:rsidRPr="001E4E73">
        <w:rPr>
          <w:rFonts w:ascii="Times New Roman" w:hAnsi="Times New Roman"/>
          <w:i/>
        </w:rPr>
        <w:t>Exceptions under Category A standard access obligations in Part XIC of the CCA</w:t>
      </w:r>
    </w:p>
    <w:p w14:paraId="44EFBD7C" w14:textId="77777777" w:rsidR="0004432B" w:rsidRPr="001E4E73" w:rsidRDefault="003F5AD2" w:rsidP="00AF229E">
      <w:pPr>
        <w:spacing w:after="0" w:line="276" w:lineRule="auto"/>
        <w:rPr>
          <w:rFonts w:ascii="Times New Roman" w:hAnsi="Times New Roman"/>
        </w:rPr>
      </w:pPr>
      <w:bookmarkStart w:id="4" w:name="_Hlk166192319"/>
      <w:r w:rsidRPr="001E4E73">
        <w:rPr>
          <w:rFonts w:ascii="Times New Roman" w:hAnsi="Times New Roman"/>
        </w:rPr>
        <w:t>In this Instrument, n</w:t>
      </w:r>
      <w:r w:rsidR="00C56EDE" w:rsidRPr="001E4E73">
        <w:rPr>
          <w:rFonts w:ascii="Times New Roman" w:hAnsi="Times New Roman"/>
        </w:rPr>
        <w:t>ew p</w:t>
      </w:r>
      <w:r w:rsidR="0004432B" w:rsidRPr="001E4E73">
        <w:rPr>
          <w:rFonts w:ascii="Times New Roman" w:hAnsi="Times New Roman"/>
        </w:rPr>
        <w:t>aragraph 7(m) provides an exception to supply obligations</w:t>
      </w:r>
      <w:r w:rsidR="00717F32" w:rsidRPr="001E4E73">
        <w:rPr>
          <w:rFonts w:ascii="Times New Roman" w:hAnsi="Times New Roman"/>
        </w:rPr>
        <w:t xml:space="preserve"> where a SIP (other than </w:t>
      </w:r>
      <w:r w:rsidR="00172FC7" w:rsidRPr="001E4E73">
        <w:rPr>
          <w:rFonts w:ascii="Times New Roman" w:hAnsi="Times New Roman"/>
        </w:rPr>
        <w:t xml:space="preserve">an </w:t>
      </w:r>
      <w:r w:rsidR="00717F32" w:rsidRPr="001E4E73">
        <w:rPr>
          <w:rFonts w:ascii="Times New Roman" w:hAnsi="Times New Roman"/>
        </w:rPr>
        <w:t xml:space="preserve">NBN </w:t>
      </w:r>
      <w:r w:rsidR="00172FC7" w:rsidRPr="001E4E73">
        <w:rPr>
          <w:rFonts w:ascii="Times New Roman" w:hAnsi="Times New Roman"/>
        </w:rPr>
        <w:t>corporation</w:t>
      </w:r>
      <w:r w:rsidR="00717F32" w:rsidRPr="001E4E73">
        <w:rPr>
          <w:rFonts w:ascii="Times New Roman" w:hAnsi="Times New Roman"/>
        </w:rPr>
        <w:t>)</w:t>
      </w:r>
      <w:bookmarkEnd w:id="4"/>
      <w:r w:rsidR="00717F32" w:rsidRPr="001E4E73">
        <w:rPr>
          <w:rFonts w:ascii="Times New Roman" w:hAnsi="Times New Roman"/>
        </w:rPr>
        <w:t xml:space="preserve"> is supplying an eligible service that is also a declared service; and the SIP is subject to a category A standard access obligation (within the meaning of Part XIC of the CCA); and the SIP is </w:t>
      </w:r>
      <w:r w:rsidR="00717F32" w:rsidRPr="001E4E73">
        <w:rPr>
          <w:rFonts w:ascii="Times New Roman" w:hAnsi="Times New Roman"/>
          <w:i/>
        </w:rPr>
        <w:t xml:space="preserve">not </w:t>
      </w:r>
      <w:r w:rsidR="00717F32" w:rsidRPr="001E4E73">
        <w:rPr>
          <w:rFonts w:ascii="Times New Roman" w:hAnsi="Times New Roman"/>
        </w:rPr>
        <w:t>required to supply the declared service under subsection 152</w:t>
      </w:r>
      <w:proofErr w:type="gramStart"/>
      <w:r w:rsidR="00717F32" w:rsidRPr="001E4E73">
        <w:rPr>
          <w:rFonts w:ascii="Times New Roman" w:hAnsi="Times New Roman"/>
        </w:rPr>
        <w:t>AR(</w:t>
      </w:r>
      <w:proofErr w:type="gramEnd"/>
      <w:r w:rsidR="00717F32" w:rsidRPr="001E4E73">
        <w:rPr>
          <w:rFonts w:ascii="Times New Roman" w:hAnsi="Times New Roman"/>
        </w:rPr>
        <w:t>3) of the CCA on the basis that:</w:t>
      </w:r>
    </w:p>
    <w:p w14:paraId="3C452526" w14:textId="0657451E" w:rsidR="00717F32" w:rsidRPr="001E4E73" w:rsidRDefault="00717F32" w:rsidP="00717F32">
      <w:pPr>
        <w:spacing w:after="0" w:line="276" w:lineRule="auto"/>
        <w:ind w:left="720"/>
        <w:rPr>
          <w:rFonts w:ascii="Times New Roman" w:hAnsi="Times New Roman"/>
        </w:rPr>
      </w:pPr>
      <w:r w:rsidRPr="001E4E73">
        <w:rPr>
          <w:rFonts w:ascii="Times New Roman" w:hAnsi="Times New Roman"/>
        </w:rPr>
        <w:t>A. supplying the declared service would have any of the effects set out at paragraphs 152AR(4)(a) to (f) of the CCA; or</w:t>
      </w:r>
    </w:p>
    <w:p w14:paraId="43AEFA3F" w14:textId="5D034E3D" w:rsidR="00717F32" w:rsidRPr="001E4E73" w:rsidRDefault="00717F32" w:rsidP="00717F32">
      <w:pPr>
        <w:spacing w:after="0" w:line="276" w:lineRule="auto"/>
        <w:ind w:left="720"/>
        <w:rPr>
          <w:rFonts w:ascii="Times New Roman" w:hAnsi="Times New Roman"/>
        </w:rPr>
      </w:pPr>
      <w:r w:rsidRPr="001E4E73">
        <w:rPr>
          <w:rFonts w:ascii="Times New Roman" w:hAnsi="Times New Roman"/>
        </w:rPr>
        <w:t>B. there are reasonable grounds to believe any of the events set out at paragraphs 152AR(9)(a) or (b) of the CCA would occur, including on the basis of the grounds set out at paragraphs 152</w:t>
      </w:r>
      <w:proofErr w:type="gramStart"/>
      <w:r w:rsidRPr="001E4E73">
        <w:rPr>
          <w:rFonts w:ascii="Times New Roman" w:hAnsi="Times New Roman"/>
        </w:rPr>
        <w:t>AR(</w:t>
      </w:r>
      <w:proofErr w:type="gramEnd"/>
      <w:r w:rsidRPr="001E4E73">
        <w:rPr>
          <w:rFonts w:ascii="Times New Roman" w:hAnsi="Times New Roman"/>
        </w:rPr>
        <w:t>10)(a) and (b) of the CCA (where applicable)</w:t>
      </w:r>
      <w:r w:rsidR="00C56EDE" w:rsidRPr="001E4E73">
        <w:rPr>
          <w:rFonts w:ascii="Times New Roman" w:hAnsi="Times New Roman"/>
        </w:rPr>
        <w:t>.</w:t>
      </w:r>
    </w:p>
    <w:p w14:paraId="2AC31BC1" w14:textId="77777777" w:rsidR="00C56EDE" w:rsidRPr="001E4E73" w:rsidRDefault="00C56EDE" w:rsidP="00717F32">
      <w:pPr>
        <w:spacing w:after="0" w:line="276" w:lineRule="auto"/>
        <w:ind w:left="720"/>
        <w:rPr>
          <w:rFonts w:ascii="Times New Roman" w:hAnsi="Times New Roman"/>
        </w:rPr>
      </w:pPr>
    </w:p>
    <w:p w14:paraId="1A0C7EED" w14:textId="77777777" w:rsidR="00BB6F1C" w:rsidRPr="001E4E73" w:rsidRDefault="00BB6F1C" w:rsidP="00C56EDE">
      <w:pPr>
        <w:spacing w:after="0" w:line="276" w:lineRule="auto"/>
        <w:rPr>
          <w:rFonts w:ascii="Times New Roman" w:hAnsi="Times New Roman"/>
        </w:rPr>
      </w:pPr>
      <w:r w:rsidRPr="001E4E73">
        <w:rPr>
          <w:rFonts w:ascii="Times New Roman" w:hAnsi="Times New Roman"/>
        </w:rPr>
        <w:t>Category A standard access obligations are obligations that apply to all access providers other than an NBN corporation. They include basic obligations to interconnect</w:t>
      </w:r>
      <w:r w:rsidR="005414AC" w:rsidRPr="001E4E73">
        <w:rPr>
          <w:rFonts w:ascii="Times New Roman" w:hAnsi="Times New Roman"/>
        </w:rPr>
        <w:t xml:space="preserve"> facilities</w:t>
      </w:r>
      <w:r w:rsidRPr="001E4E73">
        <w:rPr>
          <w:rFonts w:ascii="Times New Roman" w:hAnsi="Times New Roman"/>
        </w:rPr>
        <w:t xml:space="preserve">, supply active declared services and </w:t>
      </w:r>
      <w:r w:rsidR="005414AC" w:rsidRPr="001E4E73">
        <w:rPr>
          <w:rFonts w:ascii="Times New Roman" w:hAnsi="Times New Roman"/>
        </w:rPr>
        <w:t>supply services necessary to obtain access to conditional-access customer equipment. Similar obligations apply to NBN corporations, but with some minor differences to reflect the wholesale-only obligations on NBN corporations. Those obligations are known as Category B standard access obligations (see the proposed exception at paragraph 7(n) below).</w:t>
      </w:r>
    </w:p>
    <w:p w14:paraId="6C6E0C55" w14:textId="77777777" w:rsidR="00BB6F1C" w:rsidRPr="001E4E73" w:rsidRDefault="00BB6F1C" w:rsidP="00C56EDE">
      <w:pPr>
        <w:spacing w:after="0" w:line="276" w:lineRule="auto"/>
        <w:rPr>
          <w:rFonts w:ascii="Times New Roman" w:hAnsi="Times New Roman"/>
        </w:rPr>
      </w:pPr>
    </w:p>
    <w:p w14:paraId="54DC0899" w14:textId="62DD58CB" w:rsidR="00C56EDE" w:rsidRPr="001E4E73" w:rsidRDefault="00526F9B" w:rsidP="00C56EDE">
      <w:pPr>
        <w:spacing w:after="0" w:line="276" w:lineRule="auto"/>
        <w:rPr>
          <w:rFonts w:ascii="Times New Roman" w:hAnsi="Times New Roman"/>
        </w:rPr>
      </w:pPr>
      <w:r w:rsidRPr="001E4E73">
        <w:rPr>
          <w:rFonts w:ascii="Times New Roman" w:hAnsi="Times New Roman"/>
        </w:rPr>
        <w:t>In Part XIC of the CCA, paragraphs 152AR(4)(a)–(f) state there is no obligation to supply a declared service (an exception</w:t>
      </w:r>
      <w:r w:rsidR="00583D60" w:rsidRPr="001E4E73">
        <w:rPr>
          <w:rFonts w:ascii="Times New Roman" w:hAnsi="Times New Roman"/>
        </w:rPr>
        <w:t xml:space="preserve"> applies</w:t>
      </w:r>
      <w:r w:rsidRPr="001E4E73">
        <w:rPr>
          <w:rFonts w:ascii="Times New Roman" w:hAnsi="Times New Roman"/>
        </w:rPr>
        <w:t>) if the imposition of the obligation would have any of the following effects:</w:t>
      </w:r>
    </w:p>
    <w:p w14:paraId="1842A8D5" w14:textId="77777777" w:rsidR="00526F9B" w:rsidRPr="001E4E73" w:rsidRDefault="00526F9B" w:rsidP="00526F9B">
      <w:pPr>
        <w:spacing w:after="0" w:line="276" w:lineRule="auto"/>
        <w:rPr>
          <w:rFonts w:ascii="Times New Roman" w:hAnsi="Times New Roman"/>
        </w:rPr>
      </w:pPr>
    </w:p>
    <w:p w14:paraId="50539F49"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lastRenderedPageBreak/>
        <w:t>(a) preventing a service provider who already has access to the declared service from obtaining a sufficient amount of the service to be able to meet the service provider’s reasonably anticipated requirements, measured at the time when the request was made;</w:t>
      </w:r>
    </w:p>
    <w:p w14:paraId="33129E4B"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t>(b) preventing the access provider from obtaining a sufficient amount of the service to be able to meet the access provider’s reasonably anticipated requirements, measured at the time when the request was made;</w:t>
      </w:r>
    </w:p>
    <w:p w14:paraId="6C4F76DD"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t>(c) preventing a person from obtaining, by the exercise of a pre‑request right, a sufficient level of access to the declared service to be able to meet the person’s actual requirements;</w:t>
      </w:r>
    </w:p>
    <w:p w14:paraId="102CAC4D" w14:textId="351777F1" w:rsidR="00526F9B" w:rsidRPr="001E4E73" w:rsidRDefault="00526F9B" w:rsidP="00526F9B">
      <w:pPr>
        <w:spacing w:after="0" w:line="276" w:lineRule="auto"/>
        <w:rPr>
          <w:rFonts w:ascii="Times New Roman" w:hAnsi="Times New Roman"/>
        </w:rPr>
      </w:pPr>
      <w:r w:rsidRPr="001E4E73">
        <w:rPr>
          <w:rFonts w:ascii="Times New Roman" w:hAnsi="Times New Roman"/>
        </w:rPr>
        <w:t>(d) depriving any person of a protected contractual right;</w:t>
      </w:r>
    </w:p>
    <w:p w14:paraId="1CDABC13"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t>(da) preventing a designated Telstra successor company from complying with an undertaking in force under section 577A of the Telecommunications Act 1997;</w:t>
      </w:r>
    </w:p>
    <w:p w14:paraId="0E6DDDED"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t xml:space="preserve">(e) preventing </w:t>
      </w:r>
      <w:bookmarkStart w:id="5" w:name="_Hlk166191267"/>
      <w:r w:rsidRPr="001E4E73">
        <w:rPr>
          <w:rFonts w:ascii="Times New Roman" w:hAnsi="Times New Roman"/>
        </w:rPr>
        <w:t>Telstra from complying with an undertaking in force under section 577C or 577E of the</w:t>
      </w:r>
      <w:bookmarkEnd w:id="5"/>
      <w:r w:rsidRPr="001E4E73">
        <w:rPr>
          <w:rFonts w:ascii="Times New Roman" w:hAnsi="Times New Roman"/>
        </w:rPr>
        <w:t xml:space="preserve"> Telecommunications Act 1997; or</w:t>
      </w:r>
    </w:p>
    <w:p w14:paraId="27E78958" w14:textId="77777777" w:rsidR="00526F9B" w:rsidRPr="001E4E73" w:rsidRDefault="00526F9B" w:rsidP="00526F9B">
      <w:pPr>
        <w:spacing w:after="0" w:line="276" w:lineRule="auto"/>
        <w:rPr>
          <w:rFonts w:ascii="Times New Roman" w:hAnsi="Times New Roman"/>
        </w:rPr>
      </w:pPr>
      <w:r w:rsidRPr="001E4E73">
        <w:rPr>
          <w:rFonts w:ascii="Times New Roman" w:hAnsi="Times New Roman"/>
        </w:rPr>
        <w:t>(f) if a final migration plan is in force—</w:t>
      </w:r>
      <w:bookmarkStart w:id="6" w:name="_Hlk166191377"/>
      <w:r w:rsidRPr="001E4E73">
        <w:rPr>
          <w:rFonts w:ascii="Times New Roman" w:hAnsi="Times New Roman"/>
        </w:rPr>
        <w:t>requiring a designated Telstra successor company to engage in conduct in connection with matters covered by the final migration plan</w:t>
      </w:r>
      <w:bookmarkEnd w:id="6"/>
      <w:r w:rsidRPr="001E4E73">
        <w:rPr>
          <w:rFonts w:ascii="Times New Roman" w:hAnsi="Times New Roman"/>
        </w:rPr>
        <w:t>.</w:t>
      </w:r>
    </w:p>
    <w:p w14:paraId="788CA9F1" w14:textId="77777777" w:rsidR="00BF2E79" w:rsidRPr="001E4E73" w:rsidRDefault="00BF2E79" w:rsidP="00526F9B">
      <w:pPr>
        <w:spacing w:after="0" w:line="276" w:lineRule="auto"/>
        <w:rPr>
          <w:rFonts w:ascii="Times New Roman" w:hAnsi="Times New Roman"/>
        </w:rPr>
      </w:pPr>
    </w:p>
    <w:p w14:paraId="47606C80" w14:textId="77777777" w:rsidR="00BF2E79" w:rsidRPr="001E4E73" w:rsidRDefault="00BF2E79" w:rsidP="00526F9B">
      <w:pPr>
        <w:spacing w:after="0" w:line="276" w:lineRule="auto"/>
        <w:rPr>
          <w:rFonts w:ascii="Times New Roman" w:hAnsi="Times New Roman"/>
        </w:rPr>
      </w:pPr>
      <w:r w:rsidRPr="001E4E73">
        <w:rPr>
          <w:rFonts w:ascii="Times New Roman" w:hAnsi="Times New Roman"/>
        </w:rPr>
        <w:t>In Part XIC of the CCA, paragraphs 152AR(9)(a) and (b) describe exceptions to the obligation to supply a service if there are reasonable grounds to believe that:</w:t>
      </w:r>
    </w:p>
    <w:p w14:paraId="592F3E58" w14:textId="77777777" w:rsidR="00BF2E79" w:rsidRPr="001E4E73" w:rsidRDefault="00BF2E79" w:rsidP="00BF2E79">
      <w:pPr>
        <w:spacing w:after="0" w:line="276" w:lineRule="auto"/>
        <w:rPr>
          <w:rFonts w:ascii="Times New Roman" w:hAnsi="Times New Roman"/>
        </w:rPr>
      </w:pPr>
    </w:p>
    <w:p w14:paraId="047799A1"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(a) the access seeker would fail, to a material extent, to comply with the terms and conditions on which the access provider complies, or on which the access provider is reasonably likely to comply, with that obligation; or</w:t>
      </w:r>
    </w:p>
    <w:p w14:paraId="7B4D58ED"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(b) the access seeker would fail, in connection with that obligation, to protect:</w:t>
      </w:r>
    </w:p>
    <w:p w14:paraId="61597914"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 xml:space="preserve"> </w:t>
      </w:r>
      <w:r w:rsidRPr="001E4E73">
        <w:rPr>
          <w:rFonts w:ascii="Times New Roman" w:hAnsi="Times New Roman"/>
        </w:rPr>
        <w:tab/>
        <w:t>(</w:t>
      </w:r>
      <w:proofErr w:type="spellStart"/>
      <w:r w:rsidRPr="001E4E73">
        <w:rPr>
          <w:rFonts w:ascii="Times New Roman" w:hAnsi="Times New Roman"/>
        </w:rPr>
        <w:t>i</w:t>
      </w:r>
      <w:proofErr w:type="spellEnd"/>
      <w:r w:rsidRPr="001E4E73">
        <w:rPr>
          <w:rFonts w:ascii="Times New Roman" w:hAnsi="Times New Roman"/>
        </w:rPr>
        <w:t>) the integrity of a telecommunications network; or</w:t>
      </w:r>
    </w:p>
    <w:p w14:paraId="4086CD35" w14:textId="77777777" w:rsidR="00BF2E79" w:rsidRPr="001E4E73" w:rsidRDefault="00BF2E79" w:rsidP="00BF2E79">
      <w:pPr>
        <w:spacing w:after="0" w:line="276" w:lineRule="auto"/>
        <w:ind w:left="720"/>
        <w:rPr>
          <w:rFonts w:ascii="Times New Roman" w:hAnsi="Times New Roman"/>
        </w:rPr>
      </w:pPr>
      <w:r w:rsidRPr="001E4E73">
        <w:rPr>
          <w:rFonts w:ascii="Times New Roman" w:hAnsi="Times New Roman"/>
        </w:rPr>
        <w:t>(ii) the safety of individuals working on, or using services supplied by means of, a telecommunications network or a facility.</w:t>
      </w:r>
    </w:p>
    <w:p w14:paraId="0E7B3509" w14:textId="77777777" w:rsidR="00BF2E79" w:rsidRPr="001E4E73" w:rsidRDefault="00BF2E79" w:rsidP="00BF2E79">
      <w:pPr>
        <w:spacing w:after="0" w:line="276" w:lineRule="auto"/>
        <w:rPr>
          <w:rFonts w:ascii="Times New Roman" w:hAnsi="Times New Roman"/>
        </w:rPr>
      </w:pPr>
    </w:p>
    <w:p w14:paraId="27AE5863"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Paragraph (10) lists examples of grounds for believing as mentioned in paragraph (9)(a):</w:t>
      </w:r>
    </w:p>
    <w:p w14:paraId="668197B1"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(a) evidence that the access seeker is not creditworthy; and</w:t>
      </w:r>
    </w:p>
    <w:p w14:paraId="14A55751" w14:textId="77777777" w:rsidR="00BF2E79" w:rsidRPr="001E4E73" w:rsidRDefault="00BF2E79" w:rsidP="00BF2E79">
      <w:pPr>
        <w:spacing w:after="0" w:line="276" w:lineRule="auto"/>
        <w:rPr>
          <w:rFonts w:ascii="Times New Roman" w:hAnsi="Times New Roman"/>
        </w:rPr>
      </w:pPr>
      <w:r w:rsidRPr="001E4E73">
        <w:rPr>
          <w:rFonts w:ascii="Times New Roman" w:hAnsi="Times New Roman"/>
        </w:rPr>
        <w:t>(b) repeated failures by the access seeker to comply with the terms and conditions on which the same or similar access has been provided (whether or not by the access provider).</w:t>
      </w:r>
    </w:p>
    <w:p w14:paraId="26137520" w14:textId="77777777" w:rsidR="003F5AD2" w:rsidRPr="001E4E73" w:rsidRDefault="003F5AD2" w:rsidP="00BF2E79">
      <w:pPr>
        <w:spacing w:after="0" w:line="276" w:lineRule="auto"/>
        <w:rPr>
          <w:rFonts w:ascii="Times New Roman" w:hAnsi="Times New Roman"/>
        </w:rPr>
      </w:pPr>
    </w:p>
    <w:p w14:paraId="53811707" w14:textId="77777777" w:rsidR="003F5AD2" w:rsidRPr="001E4E73" w:rsidRDefault="003A7B5F" w:rsidP="00BF2E79">
      <w:pPr>
        <w:spacing w:after="0" w:line="276" w:lineRule="auto"/>
        <w:rPr>
          <w:rFonts w:ascii="Times New Roman" w:hAnsi="Times New Roman"/>
        </w:rPr>
      </w:pPr>
      <w:r w:rsidRPr="001E4E73">
        <w:rPr>
          <w:rFonts w:ascii="Times New Roman" w:hAnsi="Times New Roman"/>
        </w:rPr>
        <w:t>In simplified terms</w:t>
      </w:r>
      <w:r w:rsidR="00183DC7" w:rsidRPr="001E4E73">
        <w:rPr>
          <w:rFonts w:ascii="Times New Roman" w:hAnsi="Times New Roman"/>
        </w:rPr>
        <w:t>, the new exceptions above would apply if:</w:t>
      </w:r>
    </w:p>
    <w:p w14:paraId="1A5D4F8C" w14:textId="60A44D65" w:rsidR="00183DC7" w:rsidRPr="001E4E73" w:rsidRDefault="00183DC7" w:rsidP="000852C5">
      <w:pPr>
        <w:pStyle w:val="ListParagraph"/>
        <w:numPr>
          <w:ilvl w:val="0"/>
          <w:numId w:val="39"/>
        </w:numPr>
        <w:spacing w:before="0" w:beforeAutospacing="0" w:after="0" w:line="276" w:lineRule="auto"/>
      </w:pPr>
      <w:bookmarkStart w:id="7" w:name="_Hlk166193204"/>
      <w:r w:rsidRPr="001E4E73">
        <w:t xml:space="preserve">Supplying the requested new service would compromise the requirements of an existing </w:t>
      </w:r>
      <w:r w:rsidR="003A7B5F" w:rsidRPr="001E4E73">
        <w:t xml:space="preserve">declared </w:t>
      </w:r>
      <w:r w:rsidRPr="001E4E73">
        <w:t>service supplied by the SIP to a CSP.</w:t>
      </w:r>
    </w:p>
    <w:p w14:paraId="08C165D6" w14:textId="77777777" w:rsidR="00183DC7" w:rsidRPr="001E4E73" w:rsidRDefault="00183DC7" w:rsidP="00183DC7">
      <w:pPr>
        <w:pStyle w:val="ListParagraph"/>
        <w:numPr>
          <w:ilvl w:val="0"/>
          <w:numId w:val="39"/>
        </w:numPr>
        <w:spacing w:after="0" w:line="276" w:lineRule="auto"/>
      </w:pPr>
      <w:r w:rsidRPr="001E4E73">
        <w:t xml:space="preserve">Supplying the requested new service would compromise the SIP’s </w:t>
      </w:r>
      <w:r w:rsidR="003A7B5F" w:rsidRPr="001E4E73">
        <w:t>requirement</w:t>
      </w:r>
      <w:r w:rsidRPr="001E4E73">
        <w:t xml:space="preserve"> to have </w:t>
      </w:r>
      <w:r w:rsidR="003A7B5F" w:rsidRPr="001E4E73">
        <w:t xml:space="preserve">some of </w:t>
      </w:r>
      <w:r w:rsidR="00BB6F1C" w:rsidRPr="001E4E73">
        <w:t>a declared service</w:t>
      </w:r>
      <w:r w:rsidR="003A7B5F" w:rsidRPr="001E4E73">
        <w:t xml:space="preserve"> available for itself to perform network management functions.</w:t>
      </w:r>
    </w:p>
    <w:p w14:paraId="7E6C6A27" w14:textId="1A39F9E1" w:rsidR="003A7B5F" w:rsidRPr="001E4E73" w:rsidRDefault="003A7B5F" w:rsidP="00183DC7">
      <w:pPr>
        <w:pStyle w:val="ListParagraph"/>
        <w:numPr>
          <w:ilvl w:val="0"/>
          <w:numId w:val="39"/>
        </w:numPr>
        <w:spacing w:after="0" w:line="276" w:lineRule="auto"/>
      </w:pPr>
      <w:r w:rsidRPr="001E4E73">
        <w:t>Supplying the requested new service would prevent a person with a pre-request right from obtaining a sufficient level of access to the declared service.</w:t>
      </w:r>
    </w:p>
    <w:bookmarkEnd w:id="7"/>
    <w:p w14:paraId="203148D7" w14:textId="77777777" w:rsidR="003A7B5F" w:rsidRPr="001E4E73" w:rsidRDefault="003A7B5F" w:rsidP="00183DC7">
      <w:pPr>
        <w:pStyle w:val="ListParagraph"/>
        <w:numPr>
          <w:ilvl w:val="0"/>
          <w:numId w:val="39"/>
        </w:numPr>
        <w:spacing w:after="0" w:line="276" w:lineRule="auto"/>
      </w:pPr>
      <w:r w:rsidRPr="001E4E73">
        <w:t>Supplying the requested new service would depriving any person of a protected contractual right.</w:t>
      </w:r>
    </w:p>
    <w:p w14:paraId="1DC41E86" w14:textId="77777777" w:rsidR="003A7B5F" w:rsidRPr="001E4E73" w:rsidRDefault="003A7B5F" w:rsidP="00183DC7">
      <w:pPr>
        <w:pStyle w:val="ListParagraph"/>
        <w:numPr>
          <w:ilvl w:val="0"/>
          <w:numId w:val="39"/>
        </w:numPr>
        <w:spacing w:after="0" w:line="276" w:lineRule="auto"/>
      </w:pPr>
      <w:r w:rsidRPr="001E4E73">
        <w:lastRenderedPageBreak/>
        <w:t>Supplying the requested new service would prevent a designated Telstra successor company from complying with an undertaking in force under section 577A of the Act.</w:t>
      </w:r>
    </w:p>
    <w:p w14:paraId="07D3B9EC" w14:textId="77777777" w:rsidR="003A7B5F" w:rsidRPr="001E4E73" w:rsidRDefault="003A7B5F" w:rsidP="00183DC7">
      <w:pPr>
        <w:pStyle w:val="ListParagraph"/>
        <w:numPr>
          <w:ilvl w:val="0"/>
          <w:numId w:val="39"/>
        </w:numPr>
        <w:spacing w:after="0" w:line="276" w:lineRule="auto"/>
      </w:pPr>
      <w:r w:rsidRPr="001E4E73">
        <w:t>Supplying the requested new service would prevent Telstra from complying with an undertaking in force under section 577C or 577E of the Act.</w:t>
      </w:r>
    </w:p>
    <w:p w14:paraId="609051E6" w14:textId="3D33EC94" w:rsidR="003A7B5F" w:rsidRPr="001E4E73" w:rsidRDefault="003A7B5F" w:rsidP="00183DC7">
      <w:pPr>
        <w:pStyle w:val="ListParagraph"/>
        <w:numPr>
          <w:ilvl w:val="0"/>
          <w:numId w:val="39"/>
        </w:numPr>
        <w:spacing w:after="0" w:line="276" w:lineRule="auto"/>
      </w:pPr>
      <w:r w:rsidRPr="001E4E73">
        <w:t>Supplying the requested new service would require a designated Telstra successor company to engage in conduct in connection with matters covered by the final migration plan.</w:t>
      </w:r>
    </w:p>
    <w:p w14:paraId="1BA2C31E" w14:textId="0C07BA51" w:rsidR="00BC619A" w:rsidRPr="001E4E73" w:rsidRDefault="00F63E60" w:rsidP="00183DC7">
      <w:pPr>
        <w:pStyle w:val="ListParagraph"/>
        <w:numPr>
          <w:ilvl w:val="0"/>
          <w:numId w:val="39"/>
        </w:numPr>
        <w:spacing w:after="0" w:line="276" w:lineRule="auto"/>
      </w:pPr>
      <w:bookmarkStart w:id="8" w:name="_Hlk166193313"/>
      <w:r w:rsidRPr="001E4E73">
        <w:t>T</w:t>
      </w:r>
      <w:r w:rsidR="00BC619A" w:rsidRPr="001E4E73">
        <w:t xml:space="preserve">he SIP has reasonable grounds to believe that the CSP would fail to comply with the terms and conditions on which the </w:t>
      </w:r>
      <w:r w:rsidRPr="001E4E73">
        <w:t>SIP</w:t>
      </w:r>
      <w:r w:rsidR="00BC619A" w:rsidRPr="001E4E73">
        <w:t xml:space="preserve"> complies</w:t>
      </w:r>
      <w:r w:rsidRPr="001E4E73">
        <w:t>, such as if the CSP is not creditworthy; or repeatedly fails to comply with the terms and conditions on which the same or similar supply has been provided previously.</w:t>
      </w:r>
    </w:p>
    <w:p w14:paraId="4E241237" w14:textId="1F837305" w:rsidR="00F63E60" w:rsidRPr="001E4E73" w:rsidRDefault="00F63E60" w:rsidP="000852C5">
      <w:pPr>
        <w:pStyle w:val="ListParagraph"/>
        <w:numPr>
          <w:ilvl w:val="0"/>
          <w:numId w:val="39"/>
        </w:numPr>
        <w:spacing w:before="0" w:beforeAutospacing="0" w:after="0" w:afterAutospacing="0" w:line="276" w:lineRule="auto"/>
      </w:pPr>
      <w:r w:rsidRPr="001E4E73">
        <w:t>The SIP has reasonable grounds to believe that the CSP would fail to protect the integrity of a telecommunications network; or the safety of individuals working on, or using services supplied by means of, a telecommunications network or a facility.</w:t>
      </w:r>
    </w:p>
    <w:bookmarkEnd w:id="8"/>
    <w:p w14:paraId="58DBAA49" w14:textId="77777777" w:rsidR="000852C5" w:rsidRPr="001E4E73" w:rsidRDefault="000852C5" w:rsidP="00F63E60">
      <w:pPr>
        <w:spacing w:after="0" w:line="276" w:lineRule="auto"/>
        <w:rPr>
          <w:rFonts w:ascii="Times New Roman" w:hAnsi="Times New Roman"/>
        </w:rPr>
      </w:pPr>
    </w:p>
    <w:p w14:paraId="7E209858" w14:textId="10E04622" w:rsidR="00F63E60" w:rsidRPr="001E4E73" w:rsidRDefault="00F63E60" w:rsidP="00F63E60">
      <w:pPr>
        <w:spacing w:after="0" w:line="276" w:lineRule="auto"/>
        <w:rPr>
          <w:rFonts w:ascii="Times New Roman" w:hAnsi="Times New Roman"/>
        </w:rPr>
      </w:pPr>
      <w:r w:rsidRPr="001E4E73">
        <w:rPr>
          <w:rFonts w:ascii="Times New Roman" w:hAnsi="Times New Roman"/>
        </w:rPr>
        <w:t xml:space="preserve">These new exception circumstances ensure that there is no inconsistency between </w:t>
      </w:r>
      <w:r w:rsidR="00A23512" w:rsidRPr="001E4E73">
        <w:rPr>
          <w:rFonts w:ascii="Times New Roman" w:hAnsi="Times New Roman"/>
        </w:rPr>
        <w:t xml:space="preserve">supply </w:t>
      </w:r>
      <w:r w:rsidRPr="001E4E73">
        <w:rPr>
          <w:rFonts w:ascii="Times New Roman" w:hAnsi="Times New Roman"/>
        </w:rPr>
        <w:t>requirements under Part XIC of the CCA and</w:t>
      </w:r>
      <w:r w:rsidR="00A23512" w:rsidRPr="001E4E73">
        <w:rPr>
          <w:rFonts w:ascii="Times New Roman" w:hAnsi="Times New Roman"/>
        </w:rPr>
        <w:t xml:space="preserve"> requirements under</w:t>
      </w:r>
      <w:r w:rsidRPr="001E4E73">
        <w:rPr>
          <w:rFonts w:ascii="Times New Roman" w:hAnsi="Times New Roman"/>
        </w:rPr>
        <w:t xml:space="preserve"> the SIP regime.</w:t>
      </w:r>
    </w:p>
    <w:p w14:paraId="43816267" w14:textId="77777777" w:rsidR="0014730A" w:rsidRPr="001E4E73" w:rsidRDefault="0014730A" w:rsidP="00F63E60">
      <w:pPr>
        <w:spacing w:after="0" w:line="276" w:lineRule="auto"/>
        <w:rPr>
          <w:rFonts w:ascii="Times New Roman" w:hAnsi="Times New Roman"/>
        </w:rPr>
      </w:pPr>
    </w:p>
    <w:p w14:paraId="55A8DBC3" w14:textId="77777777" w:rsidR="0014730A" w:rsidRPr="001E4E73" w:rsidRDefault="0014730A" w:rsidP="0014730A">
      <w:pPr>
        <w:spacing w:line="276" w:lineRule="auto"/>
        <w:rPr>
          <w:rFonts w:ascii="Times New Roman" w:hAnsi="Times New Roman"/>
          <w:i/>
        </w:rPr>
      </w:pPr>
      <w:r w:rsidRPr="001E4E73">
        <w:rPr>
          <w:rFonts w:ascii="Times New Roman" w:hAnsi="Times New Roman"/>
          <w:i/>
        </w:rPr>
        <w:t>Exceptions under Category B standard access obligations in Part XIC of the CCA</w:t>
      </w:r>
    </w:p>
    <w:p w14:paraId="4A03B995" w14:textId="77777777" w:rsidR="0014730A" w:rsidRPr="001E4E73" w:rsidRDefault="0014730A" w:rsidP="0014730A">
      <w:pPr>
        <w:spacing w:after="0" w:line="276" w:lineRule="auto"/>
        <w:rPr>
          <w:rFonts w:ascii="Times New Roman" w:hAnsi="Times New Roman"/>
        </w:rPr>
      </w:pPr>
      <w:r w:rsidRPr="001E4E73">
        <w:rPr>
          <w:rFonts w:ascii="Times New Roman" w:hAnsi="Times New Roman"/>
        </w:rPr>
        <w:t xml:space="preserve">In this Instrument, new paragraph 7(n) provides an exception to supply obligations where </w:t>
      </w:r>
      <w:r w:rsidR="00F508AA" w:rsidRPr="001E4E73">
        <w:rPr>
          <w:rFonts w:ascii="Times New Roman" w:hAnsi="Times New Roman"/>
        </w:rPr>
        <w:t xml:space="preserve">an </w:t>
      </w:r>
      <w:r w:rsidRPr="001E4E73">
        <w:rPr>
          <w:rFonts w:ascii="Times New Roman" w:hAnsi="Times New Roman"/>
        </w:rPr>
        <w:t xml:space="preserve">NBN </w:t>
      </w:r>
      <w:r w:rsidR="00F508AA" w:rsidRPr="001E4E73">
        <w:rPr>
          <w:rFonts w:ascii="Times New Roman" w:hAnsi="Times New Roman"/>
        </w:rPr>
        <w:t>corporation</w:t>
      </w:r>
      <w:r w:rsidRPr="001E4E73">
        <w:rPr>
          <w:rFonts w:ascii="Times New Roman" w:hAnsi="Times New Roman"/>
        </w:rPr>
        <w:t xml:space="preserve"> is supplying an eligible service that is also a declared service; and</w:t>
      </w:r>
      <w:r w:rsidR="00F508AA" w:rsidRPr="001E4E73">
        <w:rPr>
          <w:rFonts w:ascii="Times New Roman" w:hAnsi="Times New Roman"/>
        </w:rPr>
        <w:t xml:space="preserve"> the</w:t>
      </w:r>
      <w:r w:rsidRPr="001E4E73">
        <w:rPr>
          <w:rFonts w:ascii="Times New Roman" w:hAnsi="Times New Roman"/>
        </w:rPr>
        <w:t xml:space="preserve"> NBN </w:t>
      </w:r>
      <w:r w:rsidR="00F508AA" w:rsidRPr="001E4E73">
        <w:rPr>
          <w:rFonts w:ascii="Times New Roman" w:hAnsi="Times New Roman"/>
        </w:rPr>
        <w:t>c</w:t>
      </w:r>
      <w:r w:rsidRPr="001E4E73">
        <w:rPr>
          <w:rFonts w:ascii="Times New Roman" w:hAnsi="Times New Roman"/>
        </w:rPr>
        <w:t>o</w:t>
      </w:r>
      <w:r w:rsidR="00F508AA" w:rsidRPr="001E4E73">
        <w:rPr>
          <w:rFonts w:ascii="Times New Roman" w:hAnsi="Times New Roman"/>
        </w:rPr>
        <w:t>rporation</w:t>
      </w:r>
      <w:r w:rsidRPr="001E4E73">
        <w:rPr>
          <w:rFonts w:ascii="Times New Roman" w:hAnsi="Times New Roman"/>
        </w:rPr>
        <w:t xml:space="preserve"> is subject to a category B standard access obligation (within the meaning of Part XIC of the CCA); and </w:t>
      </w:r>
      <w:r w:rsidR="00F508AA" w:rsidRPr="001E4E73">
        <w:rPr>
          <w:rFonts w:ascii="Times New Roman" w:hAnsi="Times New Roman"/>
        </w:rPr>
        <w:t xml:space="preserve">the </w:t>
      </w:r>
      <w:r w:rsidRPr="001E4E73">
        <w:rPr>
          <w:rFonts w:ascii="Times New Roman" w:hAnsi="Times New Roman"/>
        </w:rPr>
        <w:t xml:space="preserve">NBN </w:t>
      </w:r>
      <w:r w:rsidR="00F508AA" w:rsidRPr="001E4E73">
        <w:rPr>
          <w:rFonts w:ascii="Times New Roman" w:hAnsi="Times New Roman"/>
        </w:rPr>
        <w:t>corporation</w:t>
      </w:r>
      <w:r w:rsidRPr="001E4E73">
        <w:rPr>
          <w:rFonts w:ascii="Times New Roman" w:hAnsi="Times New Roman"/>
        </w:rPr>
        <w:t xml:space="preserve"> is not required to supply the declared service under subsection 152</w:t>
      </w:r>
      <w:proofErr w:type="gramStart"/>
      <w:r w:rsidRPr="001E4E73">
        <w:rPr>
          <w:rFonts w:ascii="Times New Roman" w:hAnsi="Times New Roman"/>
        </w:rPr>
        <w:t>AXB(</w:t>
      </w:r>
      <w:proofErr w:type="gramEnd"/>
      <w:r w:rsidRPr="001E4E73">
        <w:rPr>
          <w:rFonts w:ascii="Times New Roman" w:hAnsi="Times New Roman"/>
        </w:rPr>
        <w:t>2) of the CCA on the basis that:</w:t>
      </w:r>
    </w:p>
    <w:p w14:paraId="0BF358A2" w14:textId="06EF4C7D" w:rsidR="0014730A" w:rsidRPr="001E4E73" w:rsidRDefault="0014730A" w:rsidP="0014730A">
      <w:pPr>
        <w:spacing w:after="0" w:line="276" w:lineRule="auto"/>
        <w:ind w:left="720"/>
        <w:rPr>
          <w:rFonts w:ascii="Times New Roman" w:hAnsi="Times New Roman"/>
        </w:rPr>
      </w:pPr>
      <w:r w:rsidRPr="001E4E73">
        <w:rPr>
          <w:rFonts w:ascii="Times New Roman" w:hAnsi="Times New Roman"/>
        </w:rPr>
        <w:t>A. supplying the declared service would have any of the effects set out at paragraphs 152AXB(3)(a) to (c) of the CCA; or</w:t>
      </w:r>
    </w:p>
    <w:p w14:paraId="119BE79E" w14:textId="77777777" w:rsidR="0014730A" w:rsidRPr="001E4E73" w:rsidRDefault="0014730A" w:rsidP="0014730A">
      <w:pPr>
        <w:spacing w:after="0" w:line="276" w:lineRule="auto"/>
        <w:ind w:left="720"/>
        <w:rPr>
          <w:rFonts w:ascii="Times New Roman" w:hAnsi="Times New Roman"/>
        </w:rPr>
      </w:pPr>
      <w:r w:rsidRPr="001E4E73">
        <w:rPr>
          <w:rFonts w:ascii="Times New Roman" w:hAnsi="Times New Roman"/>
        </w:rPr>
        <w:t>B. there are reasonable grounds to believe any of the events set out at paragraphs 152AXB(6)(a) or (b) of the CCA would occur, including on the basis of the grounds set out at paragraphs 152AXB(7)(a) and (b) of the CCA (where applicable).</w:t>
      </w:r>
    </w:p>
    <w:p w14:paraId="251144AF" w14:textId="77777777" w:rsidR="0014730A" w:rsidRPr="001E4E73" w:rsidRDefault="0014730A" w:rsidP="0014730A">
      <w:pPr>
        <w:spacing w:after="0" w:line="276" w:lineRule="auto"/>
        <w:rPr>
          <w:rFonts w:ascii="Times New Roman" w:hAnsi="Times New Roman"/>
        </w:rPr>
      </w:pPr>
    </w:p>
    <w:p w14:paraId="2284AE77" w14:textId="25560B7D" w:rsidR="008574C4" w:rsidRPr="001E4E73" w:rsidRDefault="0014730A" w:rsidP="00052BC7">
      <w:pPr>
        <w:spacing w:after="0" w:line="276" w:lineRule="auto"/>
        <w:rPr>
          <w:rFonts w:ascii="Times New Roman" w:hAnsi="Times New Roman"/>
        </w:rPr>
      </w:pPr>
      <w:r w:rsidRPr="001E4E73">
        <w:rPr>
          <w:rFonts w:ascii="Times New Roman" w:hAnsi="Times New Roman"/>
        </w:rPr>
        <w:t>In Part XIC of the CCA, paragraphs 152AXB(3)(a)–(c) state there is no obligation to supply a declared service (an exception) if the imposition of the obligation would have any of the following effects:</w:t>
      </w:r>
    </w:p>
    <w:p w14:paraId="5725CA3E" w14:textId="77777777" w:rsidR="008574C4" w:rsidRPr="001E4E73" w:rsidRDefault="008574C4" w:rsidP="00052BC7">
      <w:pPr>
        <w:spacing w:after="0" w:line="276" w:lineRule="auto"/>
        <w:rPr>
          <w:rFonts w:ascii="Times New Roman" w:hAnsi="Times New Roman"/>
        </w:rPr>
      </w:pPr>
    </w:p>
    <w:p w14:paraId="5FCCA382" w14:textId="77777777" w:rsidR="00052BC7" w:rsidRPr="001E4E73" w:rsidRDefault="00052BC7" w:rsidP="00052BC7">
      <w:pPr>
        <w:spacing w:after="0" w:line="276" w:lineRule="auto"/>
        <w:rPr>
          <w:rFonts w:ascii="Times New Roman" w:hAnsi="Times New Roman"/>
        </w:rPr>
      </w:pPr>
      <w:r w:rsidRPr="001E4E73">
        <w:rPr>
          <w:rFonts w:ascii="Times New Roman" w:hAnsi="Times New Roman"/>
        </w:rPr>
        <w:t>(a) preventing a service provider who already has access to the declared service from obtaining a sufficient amount of the service to be able to meet the service provider’s reasonably anticipated requirements, measured at the time when the request was made;</w:t>
      </w:r>
    </w:p>
    <w:p w14:paraId="48A99D26" w14:textId="77777777" w:rsidR="00052BC7" w:rsidRPr="001E4E73" w:rsidRDefault="00052BC7" w:rsidP="00052BC7">
      <w:pPr>
        <w:spacing w:after="0" w:line="276" w:lineRule="auto"/>
        <w:rPr>
          <w:rFonts w:ascii="Times New Roman" w:hAnsi="Times New Roman"/>
        </w:rPr>
      </w:pPr>
      <w:r w:rsidRPr="001E4E73">
        <w:rPr>
          <w:rFonts w:ascii="Times New Roman" w:hAnsi="Times New Roman"/>
        </w:rPr>
        <w:t>(b) preventing the NBN corporation from obtaining a sufficient amount of the service to be able to meet the NBN corporation’s reasonably anticipated requirements, measured at the time when the request was made;</w:t>
      </w:r>
    </w:p>
    <w:p w14:paraId="2DFE9C5D" w14:textId="77777777" w:rsidR="00052BC7" w:rsidRPr="001E4E73" w:rsidRDefault="00052BC7" w:rsidP="00052BC7">
      <w:pPr>
        <w:spacing w:after="0" w:line="276" w:lineRule="auto"/>
        <w:rPr>
          <w:rFonts w:ascii="Times New Roman" w:hAnsi="Times New Roman"/>
        </w:rPr>
      </w:pPr>
      <w:r w:rsidRPr="001E4E73">
        <w:rPr>
          <w:rFonts w:ascii="Times New Roman" w:hAnsi="Times New Roman"/>
        </w:rPr>
        <w:t>(c) preventing a person from obtaining, by the exercise of a pre‑request right, a sufficient level of access to the declared service to be able to meet the person’s actual requirements.</w:t>
      </w:r>
    </w:p>
    <w:p w14:paraId="1BC1624C" w14:textId="77777777" w:rsidR="008574C4" w:rsidRPr="001E4E73" w:rsidRDefault="008574C4" w:rsidP="00052BC7">
      <w:pPr>
        <w:spacing w:after="0" w:line="276" w:lineRule="auto"/>
        <w:rPr>
          <w:rFonts w:ascii="Times New Roman" w:hAnsi="Times New Roman"/>
        </w:rPr>
      </w:pPr>
    </w:p>
    <w:p w14:paraId="64E4AE29" w14:textId="77777777" w:rsidR="008574C4" w:rsidRPr="001E4E73" w:rsidRDefault="008574C4" w:rsidP="008574C4">
      <w:pPr>
        <w:spacing w:after="0" w:line="276" w:lineRule="auto"/>
        <w:rPr>
          <w:rFonts w:ascii="Times New Roman" w:hAnsi="Times New Roman"/>
        </w:rPr>
      </w:pPr>
      <w:r w:rsidRPr="001E4E73">
        <w:rPr>
          <w:rFonts w:ascii="Times New Roman" w:hAnsi="Times New Roman"/>
        </w:rPr>
        <w:lastRenderedPageBreak/>
        <w:t>In Part XIC of the CCA, paragraphs 152AXB(6)(a) and (b) describe exceptions to the obligation to supply a service if there are reasonable grounds to believe that:</w:t>
      </w:r>
    </w:p>
    <w:p w14:paraId="33FA4FB5" w14:textId="77777777" w:rsidR="008574C4" w:rsidRPr="001E4E73" w:rsidRDefault="008574C4" w:rsidP="008574C4">
      <w:pPr>
        <w:spacing w:after="0" w:line="276" w:lineRule="auto"/>
        <w:rPr>
          <w:rFonts w:ascii="Times New Roman" w:hAnsi="Times New Roman"/>
        </w:rPr>
      </w:pPr>
    </w:p>
    <w:p w14:paraId="24D0B36A" w14:textId="77777777" w:rsidR="008574C4" w:rsidRPr="001E4E73" w:rsidRDefault="008574C4" w:rsidP="008574C4">
      <w:pPr>
        <w:spacing w:after="0" w:line="276" w:lineRule="auto"/>
        <w:rPr>
          <w:rFonts w:ascii="Times New Roman" w:hAnsi="Times New Roman"/>
        </w:rPr>
      </w:pPr>
      <w:r w:rsidRPr="001E4E73">
        <w:rPr>
          <w:rFonts w:ascii="Times New Roman" w:hAnsi="Times New Roman"/>
        </w:rPr>
        <w:t>(a) the access seeker would fail, to a material extent, to comply with the terms and conditions on which the NBN corporation complies, or on which the NBN corporation is reasonably likely to comply, with that obligation; or</w:t>
      </w:r>
    </w:p>
    <w:p w14:paraId="757FA91E" w14:textId="77777777" w:rsidR="008574C4" w:rsidRPr="001E4E73" w:rsidRDefault="008574C4" w:rsidP="008574C4">
      <w:pPr>
        <w:spacing w:after="0" w:line="276" w:lineRule="auto"/>
        <w:rPr>
          <w:rFonts w:ascii="Times New Roman" w:hAnsi="Times New Roman"/>
        </w:rPr>
      </w:pPr>
      <w:r w:rsidRPr="001E4E73">
        <w:rPr>
          <w:rFonts w:ascii="Times New Roman" w:hAnsi="Times New Roman"/>
        </w:rPr>
        <w:t>(b) the access seeker would fail, in connection with that obligation, to protect:</w:t>
      </w:r>
    </w:p>
    <w:p w14:paraId="3D87EC45" w14:textId="77777777" w:rsidR="008574C4" w:rsidRPr="001E4E73" w:rsidRDefault="008574C4" w:rsidP="008574C4">
      <w:pPr>
        <w:spacing w:after="0" w:line="276" w:lineRule="auto"/>
        <w:ind w:firstLine="720"/>
        <w:rPr>
          <w:rFonts w:ascii="Times New Roman" w:hAnsi="Times New Roman"/>
        </w:rPr>
      </w:pPr>
      <w:r w:rsidRPr="001E4E73">
        <w:rPr>
          <w:rFonts w:ascii="Times New Roman" w:hAnsi="Times New Roman"/>
        </w:rPr>
        <w:t>(</w:t>
      </w:r>
      <w:proofErr w:type="spellStart"/>
      <w:r w:rsidRPr="001E4E73">
        <w:rPr>
          <w:rFonts w:ascii="Times New Roman" w:hAnsi="Times New Roman"/>
        </w:rPr>
        <w:t>i</w:t>
      </w:r>
      <w:proofErr w:type="spellEnd"/>
      <w:r w:rsidRPr="001E4E73">
        <w:rPr>
          <w:rFonts w:ascii="Times New Roman" w:hAnsi="Times New Roman"/>
        </w:rPr>
        <w:t>) the integrity of a telecommunications network; or</w:t>
      </w:r>
    </w:p>
    <w:p w14:paraId="227FDD06" w14:textId="71037719" w:rsidR="008574C4" w:rsidRPr="001E4E73" w:rsidRDefault="008574C4" w:rsidP="008574C4">
      <w:pPr>
        <w:spacing w:after="0" w:line="276" w:lineRule="auto"/>
        <w:ind w:left="720"/>
        <w:rPr>
          <w:rFonts w:ascii="Times New Roman" w:hAnsi="Times New Roman"/>
        </w:rPr>
      </w:pPr>
      <w:r w:rsidRPr="001E4E73">
        <w:rPr>
          <w:rFonts w:ascii="Times New Roman" w:hAnsi="Times New Roman"/>
        </w:rPr>
        <w:t>(ii) the safety of individuals working on, or using services supplied by means of, a telecommunications network or a facility.</w:t>
      </w:r>
    </w:p>
    <w:p w14:paraId="1E4EED5F" w14:textId="77777777" w:rsidR="000852C5" w:rsidRPr="001E4E73" w:rsidRDefault="000852C5" w:rsidP="000852C5">
      <w:pPr>
        <w:spacing w:after="0" w:line="276" w:lineRule="auto"/>
        <w:rPr>
          <w:rFonts w:ascii="Times New Roman" w:hAnsi="Times New Roman"/>
        </w:rPr>
      </w:pPr>
    </w:p>
    <w:p w14:paraId="54F52635" w14:textId="77777777" w:rsidR="000852C5" w:rsidRPr="001E4E73" w:rsidRDefault="000852C5" w:rsidP="000852C5">
      <w:pPr>
        <w:spacing w:after="0" w:line="276" w:lineRule="auto"/>
        <w:rPr>
          <w:rFonts w:ascii="Times New Roman" w:hAnsi="Times New Roman"/>
        </w:rPr>
      </w:pPr>
      <w:r w:rsidRPr="001E4E73">
        <w:rPr>
          <w:rFonts w:ascii="Times New Roman" w:hAnsi="Times New Roman"/>
        </w:rPr>
        <w:t>Paragraph (7) lists examples of grounds for believing as mentioned in paragraph (6)(a):</w:t>
      </w:r>
    </w:p>
    <w:p w14:paraId="5BC7B125" w14:textId="77777777" w:rsidR="000852C5" w:rsidRPr="001E4E73" w:rsidRDefault="000852C5" w:rsidP="000852C5">
      <w:pPr>
        <w:spacing w:after="0" w:line="276" w:lineRule="auto"/>
        <w:rPr>
          <w:rFonts w:ascii="Times New Roman" w:hAnsi="Times New Roman"/>
        </w:rPr>
      </w:pPr>
      <w:r w:rsidRPr="001E4E73">
        <w:rPr>
          <w:rFonts w:ascii="Times New Roman" w:hAnsi="Times New Roman"/>
        </w:rPr>
        <w:t>(a) evidence that the access seeker is not creditworthy; and</w:t>
      </w:r>
    </w:p>
    <w:p w14:paraId="16E3B5E1" w14:textId="77777777" w:rsidR="000852C5" w:rsidRPr="001E4E73" w:rsidRDefault="000852C5" w:rsidP="000852C5">
      <w:pPr>
        <w:spacing w:after="0" w:line="276" w:lineRule="auto"/>
        <w:rPr>
          <w:rFonts w:ascii="Times New Roman" w:hAnsi="Times New Roman"/>
        </w:rPr>
      </w:pPr>
      <w:r w:rsidRPr="001E4E73">
        <w:rPr>
          <w:rFonts w:ascii="Times New Roman" w:hAnsi="Times New Roman"/>
        </w:rPr>
        <w:t>(b) repeated failures by the access seeker to comply with the terms and conditions on which the same or similar access has been provided (whether or not by the NBN corporation).</w:t>
      </w:r>
    </w:p>
    <w:p w14:paraId="38C53F9F" w14:textId="77777777" w:rsidR="000852C5" w:rsidRPr="001E4E73" w:rsidRDefault="000852C5" w:rsidP="000852C5">
      <w:pPr>
        <w:spacing w:after="0" w:line="276" w:lineRule="auto"/>
        <w:rPr>
          <w:rFonts w:ascii="Times New Roman" w:hAnsi="Times New Roman"/>
        </w:rPr>
      </w:pPr>
    </w:p>
    <w:p w14:paraId="02268A29" w14:textId="77777777" w:rsidR="000852C5" w:rsidRPr="001E4E73" w:rsidRDefault="000852C5" w:rsidP="000852C5">
      <w:pPr>
        <w:spacing w:after="0" w:line="276" w:lineRule="auto"/>
        <w:rPr>
          <w:rFonts w:ascii="Times New Roman" w:hAnsi="Times New Roman"/>
        </w:rPr>
      </w:pPr>
      <w:r w:rsidRPr="001E4E73">
        <w:rPr>
          <w:rFonts w:ascii="Times New Roman" w:hAnsi="Times New Roman"/>
        </w:rPr>
        <w:t>In simplified terms, the new exceptions above would apply if:</w:t>
      </w:r>
    </w:p>
    <w:p w14:paraId="1B8F00BE" w14:textId="2CFCFF3B" w:rsidR="000852C5" w:rsidRPr="001E4E73" w:rsidRDefault="000852C5" w:rsidP="000852C5">
      <w:pPr>
        <w:pStyle w:val="ListParagraph"/>
        <w:numPr>
          <w:ilvl w:val="0"/>
          <w:numId w:val="40"/>
        </w:numPr>
        <w:spacing w:before="0" w:beforeAutospacing="0" w:after="0" w:line="276" w:lineRule="auto"/>
      </w:pPr>
      <w:r w:rsidRPr="001E4E73">
        <w:t xml:space="preserve">Supplying the requested new service would compromise the requirements of an existing declared service supplied by </w:t>
      </w:r>
      <w:r w:rsidR="00715BEE" w:rsidRPr="001E4E73">
        <w:t xml:space="preserve">an </w:t>
      </w:r>
      <w:r w:rsidRPr="001E4E73">
        <w:t xml:space="preserve">NBN </w:t>
      </w:r>
      <w:r w:rsidR="003B6109" w:rsidRPr="001E4E73">
        <w:t>corporation</w:t>
      </w:r>
      <w:r w:rsidRPr="001E4E73">
        <w:t xml:space="preserve"> to a CSP.</w:t>
      </w:r>
    </w:p>
    <w:p w14:paraId="581C3531" w14:textId="77777777" w:rsidR="000852C5" w:rsidRPr="001E4E73" w:rsidRDefault="000852C5" w:rsidP="000852C5">
      <w:pPr>
        <w:pStyle w:val="ListParagraph"/>
        <w:numPr>
          <w:ilvl w:val="0"/>
          <w:numId w:val="40"/>
        </w:numPr>
        <w:spacing w:after="0" w:line="276" w:lineRule="auto"/>
      </w:pPr>
      <w:r w:rsidRPr="001E4E73">
        <w:t>Supplying the requested new service would compromise</w:t>
      </w:r>
      <w:r w:rsidR="00715BEE" w:rsidRPr="001E4E73">
        <w:t xml:space="preserve"> an </w:t>
      </w:r>
      <w:r w:rsidRPr="001E4E73">
        <w:t xml:space="preserve">NBN </w:t>
      </w:r>
      <w:r w:rsidR="00715BEE" w:rsidRPr="001E4E73">
        <w:t>corporation</w:t>
      </w:r>
      <w:r w:rsidRPr="001E4E73">
        <w:t xml:space="preserve">’s requirement to have some of the </w:t>
      </w:r>
      <w:r w:rsidR="005414AC" w:rsidRPr="001E4E73">
        <w:t xml:space="preserve">declared service </w:t>
      </w:r>
      <w:r w:rsidRPr="001E4E73">
        <w:t>available for itself to perform network management functions.</w:t>
      </w:r>
    </w:p>
    <w:p w14:paraId="4D31842C" w14:textId="00D84BBC" w:rsidR="000852C5" w:rsidRPr="001E4E73" w:rsidRDefault="000852C5" w:rsidP="000852C5">
      <w:pPr>
        <w:pStyle w:val="ListParagraph"/>
        <w:numPr>
          <w:ilvl w:val="0"/>
          <w:numId w:val="40"/>
        </w:numPr>
        <w:spacing w:after="0" w:line="276" w:lineRule="auto"/>
      </w:pPr>
      <w:r w:rsidRPr="001E4E73">
        <w:t>Supplying the requested new service would prevent a person with a pre-request right from obtaining a sufficient level of access to the declared service.</w:t>
      </w:r>
    </w:p>
    <w:p w14:paraId="7FA870FC" w14:textId="04DE21D9" w:rsidR="000852C5" w:rsidRPr="001E4E73" w:rsidRDefault="00725C0B" w:rsidP="000852C5">
      <w:pPr>
        <w:pStyle w:val="ListParagraph"/>
        <w:numPr>
          <w:ilvl w:val="0"/>
          <w:numId w:val="40"/>
        </w:numPr>
        <w:spacing w:after="0" w:line="276" w:lineRule="auto"/>
      </w:pPr>
      <w:r w:rsidRPr="001E4E73">
        <w:t xml:space="preserve">An </w:t>
      </w:r>
      <w:r w:rsidR="000852C5" w:rsidRPr="001E4E73">
        <w:t xml:space="preserve">NBN </w:t>
      </w:r>
      <w:r w:rsidRPr="001E4E73">
        <w:t>corporation</w:t>
      </w:r>
      <w:r w:rsidR="000852C5" w:rsidRPr="001E4E73">
        <w:t xml:space="preserve"> has reasonable grounds to believe that the CSP would fail to comply with the terms and conditions on which </w:t>
      </w:r>
      <w:r w:rsidRPr="001E4E73">
        <w:t xml:space="preserve">the </w:t>
      </w:r>
      <w:r w:rsidR="000852C5" w:rsidRPr="001E4E73">
        <w:t xml:space="preserve">NBN </w:t>
      </w:r>
      <w:r w:rsidRPr="001E4E73">
        <w:t>corporation</w:t>
      </w:r>
      <w:r w:rsidR="000852C5" w:rsidRPr="001E4E73">
        <w:t xml:space="preserve"> complies, such as if the CSP is not creditworthy; or repeatedly fails to comply with the terms and conditions on which the same or similar supply has been provided previously.</w:t>
      </w:r>
    </w:p>
    <w:p w14:paraId="7C036E0D" w14:textId="58C53E4D" w:rsidR="000852C5" w:rsidRPr="001E4E73" w:rsidRDefault="00725C0B" w:rsidP="000852C5">
      <w:pPr>
        <w:pStyle w:val="ListParagraph"/>
        <w:numPr>
          <w:ilvl w:val="0"/>
          <w:numId w:val="40"/>
        </w:numPr>
        <w:spacing w:before="0" w:beforeAutospacing="0" w:after="0" w:afterAutospacing="0" w:line="276" w:lineRule="auto"/>
      </w:pPr>
      <w:r w:rsidRPr="001E4E73">
        <w:t xml:space="preserve">An </w:t>
      </w:r>
      <w:r w:rsidR="000852C5" w:rsidRPr="001E4E73">
        <w:t xml:space="preserve">NBN </w:t>
      </w:r>
      <w:r w:rsidRPr="001E4E73">
        <w:t>corporation</w:t>
      </w:r>
      <w:r w:rsidR="000852C5" w:rsidRPr="001E4E73">
        <w:t xml:space="preserve"> has reasonable grounds to believe that the CSP would fail to protect the integrity of a telecommunications network; or the safety of individuals working on, or using services supplied by means of, a telecommunications network or a facility.</w:t>
      </w:r>
    </w:p>
    <w:p w14:paraId="2AA1E854" w14:textId="77777777" w:rsidR="000852C5" w:rsidRPr="001E4E73" w:rsidRDefault="000852C5" w:rsidP="000852C5">
      <w:pPr>
        <w:spacing w:after="0" w:line="276" w:lineRule="auto"/>
      </w:pPr>
    </w:p>
    <w:p w14:paraId="205A9EE2" w14:textId="21F3E55A" w:rsidR="00F839DD" w:rsidRPr="001E4E73" w:rsidRDefault="00641977" w:rsidP="00F839DD">
      <w:pPr>
        <w:spacing w:after="0" w:line="276" w:lineRule="auto"/>
        <w:rPr>
          <w:rFonts w:ascii="Times New Roman" w:hAnsi="Times New Roman"/>
        </w:rPr>
      </w:pPr>
      <w:r w:rsidRPr="001E4E73">
        <w:rPr>
          <w:rFonts w:ascii="Times New Roman" w:hAnsi="Times New Roman"/>
        </w:rPr>
        <w:t>As with paragraph 7(</w:t>
      </w:r>
      <w:r w:rsidR="005414AC" w:rsidRPr="001E4E73">
        <w:rPr>
          <w:rFonts w:ascii="Times New Roman" w:hAnsi="Times New Roman"/>
        </w:rPr>
        <w:t>m</w:t>
      </w:r>
      <w:r w:rsidRPr="001E4E73">
        <w:rPr>
          <w:rFonts w:ascii="Times New Roman" w:hAnsi="Times New Roman"/>
        </w:rPr>
        <w:t>), t</w:t>
      </w:r>
      <w:r w:rsidR="00F839DD" w:rsidRPr="001E4E73">
        <w:rPr>
          <w:rFonts w:ascii="Times New Roman" w:hAnsi="Times New Roman"/>
        </w:rPr>
        <w:t>hese new exception circumstances ensure that there is no inconsistency between supply requirements under Part XIC of the CCA and requirements under the SIP regime</w:t>
      </w:r>
      <w:r w:rsidRPr="001E4E73">
        <w:rPr>
          <w:rFonts w:ascii="Times New Roman" w:hAnsi="Times New Roman"/>
        </w:rPr>
        <w:t xml:space="preserve"> (</w:t>
      </w:r>
      <w:r w:rsidR="00D17C88" w:rsidRPr="001E4E73">
        <w:rPr>
          <w:rFonts w:ascii="Times New Roman" w:hAnsi="Times New Roman"/>
        </w:rPr>
        <w:t>as it</w:t>
      </w:r>
      <w:r w:rsidRPr="001E4E73">
        <w:rPr>
          <w:rFonts w:ascii="Times New Roman" w:hAnsi="Times New Roman"/>
        </w:rPr>
        <w:t xml:space="preserve"> specifically applies to </w:t>
      </w:r>
      <w:r w:rsidR="00D17C88" w:rsidRPr="001E4E73">
        <w:rPr>
          <w:rFonts w:ascii="Times New Roman" w:hAnsi="Times New Roman"/>
        </w:rPr>
        <w:t xml:space="preserve">an </w:t>
      </w:r>
      <w:r w:rsidRPr="001E4E73">
        <w:rPr>
          <w:rFonts w:ascii="Times New Roman" w:hAnsi="Times New Roman"/>
        </w:rPr>
        <w:t xml:space="preserve">NBN </w:t>
      </w:r>
      <w:r w:rsidR="00D17C88" w:rsidRPr="001E4E73">
        <w:rPr>
          <w:rFonts w:ascii="Times New Roman" w:hAnsi="Times New Roman"/>
        </w:rPr>
        <w:t>corporation</w:t>
      </w:r>
      <w:r w:rsidRPr="001E4E73">
        <w:rPr>
          <w:rFonts w:ascii="Times New Roman" w:hAnsi="Times New Roman"/>
        </w:rPr>
        <w:t>)</w:t>
      </w:r>
      <w:r w:rsidR="00F839DD" w:rsidRPr="001E4E73">
        <w:rPr>
          <w:rFonts w:ascii="Times New Roman" w:hAnsi="Times New Roman"/>
        </w:rPr>
        <w:t>.</w:t>
      </w:r>
    </w:p>
    <w:p w14:paraId="4F8DF8B3" w14:textId="77777777" w:rsidR="00E50037" w:rsidRPr="001E4E73" w:rsidRDefault="00E50037" w:rsidP="00F839DD">
      <w:pPr>
        <w:spacing w:after="0" w:line="276" w:lineRule="auto"/>
        <w:rPr>
          <w:rFonts w:ascii="Times New Roman" w:hAnsi="Times New Roman"/>
        </w:rPr>
      </w:pPr>
    </w:p>
    <w:p w14:paraId="148AD880" w14:textId="77777777" w:rsidR="00E50037" w:rsidRPr="001E4E73" w:rsidRDefault="00E50037" w:rsidP="00E50037">
      <w:pPr>
        <w:spacing w:line="276" w:lineRule="auto"/>
        <w:rPr>
          <w:rFonts w:ascii="Times New Roman" w:hAnsi="Times New Roman"/>
          <w:i/>
        </w:rPr>
      </w:pPr>
      <w:bookmarkStart w:id="9" w:name="_Hlk166194560"/>
      <w:r w:rsidRPr="001E4E73">
        <w:rPr>
          <w:rFonts w:ascii="Times New Roman" w:hAnsi="Times New Roman"/>
          <w:i/>
        </w:rPr>
        <w:t>Process or form requirements under SIP access agreements</w:t>
      </w:r>
    </w:p>
    <w:bookmarkEnd w:id="9"/>
    <w:p w14:paraId="2DA06870" w14:textId="77777777" w:rsidR="00E50037" w:rsidRPr="001E4E73" w:rsidRDefault="00E50037" w:rsidP="00F839DD">
      <w:pPr>
        <w:spacing w:after="0" w:line="276" w:lineRule="auto"/>
        <w:rPr>
          <w:rFonts w:ascii="Times New Roman" w:hAnsi="Times New Roman"/>
        </w:rPr>
      </w:pPr>
      <w:r w:rsidRPr="001E4E73">
        <w:rPr>
          <w:rFonts w:ascii="Times New Roman" w:hAnsi="Times New Roman"/>
        </w:rPr>
        <w:t xml:space="preserve">New paragraph 7(o) provides an exception to supply obligations where a request for the supply of an eligible service does not comply with any reasonable process or form requirements for the request of supply of an eligible service as set out in a relevant SIP’s access agreement </w:t>
      </w:r>
      <w:r w:rsidR="005414AC" w:rsidRPr="001E4E73">
        <w:rPr>
          <w:rFonts w:ascii="Times New Roman" w:hAnsi="Times New Roman"/>
        </w:rPr>
        <w:t xml:space="preserve">with an access seeker </w:t>
      </w:r>
      <w:r w:rsidRPr="001E4E73">
        <w:rPr>
          <w:rFonts w:ascii="Times New Roman" w:hAnsi="Times New Roman"/>
        </w:rPr>
        <w:t xml:space="preserve">or the terms and conditions published in accordance with section 360X of the Act, including where a request includes invalid, inaccurate or </w:t>
      </w:r>
      <w:r w:rsidRPr="001E4E73">
        <w:rPr>
          <w:rFonts w:ascii="Times New Roman" w:hAnsi="Times New Roman"/>
        </w:rPr>
        <w:lastRenderedPageBreak/>
        <w:t>incomplete information that would prevent a relevant SIP from fulfilling the supply obligation.</w:t>
      </w:r>
    </w:p>
    <w:p w14:paraId="7DD36487" w14:textId="77777777" w:rsidR="005414AC" w:rsidRPr="001E4E73" w:rsidRDefault="005414AC" w:rsidP="00F839DD">
      <w:pPr>
        <w:spacing w:after="0" w:line="276" w:lineRule="auto"/>
        <w:rPr>
          <w:rFonts w:ascii="Times New Roman" w:hAnsi="Times New Roman"/>
        </w:rPr>
      </w:pPr>
    </w:p>
    <w:p w14:paraId="31C49910" w14:textId="51747426" w:rsidR="005414AC" w:rsidRPr="001E4E73" w:rsidRDefault="005414AC" w:rsidP="00F839DD">
      <w:pPr>
        <w:spacing w:after="0" w:line="276" w:lineRule="auto"/>
        <w:rPr>
          <w:rFonts w:ascii="Times New Roman" w:hAnsi="Times New Roman"/>
        </w:rPr>
      </w:pPr>
      <w:r w:rsidRPr="001E4E73">
        <w:rPr>
          <w:rFonts w:ascii="Times New Roman" w:hAnsi="Times New Roman"/>
        </w:rPr>
        <w:t xml:space="preserve">An </w:t>
      </w:r>
      <w:r w:rsidR="00D9393E" w:rsidRPr="001E4E73">
        <w:rPr>
          <w:rFonts w:ascii="Times New Roman" w:hAnsi="Times New Roman"/>
        </w:rPr>
        <w:t>‘</w:t>
      </w:r>
      <w:r w:rsidRPr="001E4E73">
        <w:rPr>
          <w:rFonts w:ascii="Times New Roman" w:hAnsi="Times New Roman"/>
        </w:rPr>
        <w:t>access agreement’ is a contract between an access provider and an access seeker relating to the supply of declared services. Section 360X of the Act requires SIPs to make standard offers for the supply of wholesale services available on their websites, including service prices and maximum timeframes for connection and fault rectification. Under subsection 360</w:t>
      </w:r>
      <w:proofErr w:type="gramStart"/>
      <w:r w:rsidRPr="001E4E73">
        <w:rPr>
          <w:rFonts w:ascii="Times New Roman" w:hAnsi="Times New Roman"/>
        </w:rPr>
        <w:t>Q(</w:t>
      </w:r>
      <w:proofErr w:type="gramEnd"/>
      <w:r w:rsidRPr="001E4E73">
        <w:rPr>
          <w:rFonts w:ascii="Times New Roman" w:hAnsi="Times New Roman"/>
        </w:rPr>
        <w:t>9) of the Act, if a CSP submits a request for supply to a SIP that is based on the terms and conditions in the SIP’s standard offer as available on its website, then the SIP must comply with the request.</w:t>
      </w:r>
    </w:p>
    <w:p w14:paraId="5E30C4C4" w14:textId="77777777" w:rsidR="00E50037" w:rsidRPr="001E4E73" w:rsidRDefault="00E50037" w:rsidP="00F839DD">
      <w:pPr>
        <w:spacing w:after="0" w:line="276" w:lineRule="auto"/>
        <w:rPr>
          <w:rFonts w:ascii="Times New Roman" w:hAnsi="Times New Roman"/>
        </w:rPr>
      </w:pPr>
    </w:p>
    <w:p w14:paraId="0FF977C3" w14:textId="77777777" w:rsidR="00E50037" w:rsidRPr="001E4E73" w:rsidRDefault="00E50037" w:rsidP="00F839DD">
      <w:pPr>
        <w:spacing w:after="0" w:line="276" w:lineRule="auto"/>
        <w:rPr>
          <w:rFonts w:ascii="Times New Roman" w:hAnsi="Times New Roman"/>
        </w:rPr>
      </w:pPr>
      <w:r w:rsidRPr="001E4E73">
        <w:rPr>
          <w:rFonts w:ascii="Times New Roman" w:hAnsi="Times New Roman"/>
        </w:rPr>
        <w:t xml:space="preserve">This circumstance is included to cover </w:t>
      </w:r>
      <w:r w:rsidR="00D740F4" w:rsidRPr="001E4E73">
        <w:rPr>
          <w:rFonts w:ascii="Times New Roman" w:hAnsi="Times New Roman"/>
        </w:rPr>
        <w:t>situations where a CSP fails to follow process or form requirements under a SIP access agreement (</w:t>
      </w:r>
      <w:r w:rsidR="00EB31AD" w:rsidRPr="001E4E73">
        <w:rPr>
          <w:rFonts w:ascii="Times New Roman" w:hAnsi="Times New Roman"/>
        </w:rPr>
        <w:t xml:space="preserve">such as </w:t>
      </w:r>
      <w:r w:rsidR="00D740F4" w:rsidRPr="001E4E73">
        <w:rPr>
          <w:rFonts w:ascii="Times New Roman" w:hAnsi="Times New Roman"/>
        </w:rPr>
        <w:t xml:space="preserve">NBN Co </w:t>
      </w:r>
      <w:r w:rsidR="003D4935" w:rsidRPr="001E4E73">
        <w:rPr>
          <w:rFonts w:ascii="Times New Roman" w:hAnsi="Times New Roman"/>
        </w:rPr>
        <w:t>Wholesale Broadband Agreements (</w:t>
      </w:r>
      <w:r w:rsidR="00D740F4" w:rsidRPr="001E4E73">
        <w:rPr>
          <w:rFonts w:ascii="Times New Roman" w:hAnsi="Times New Roman"/>
        </w:rPr>
        <w:t>WBAs</w:t>
      </w:r>
      <w:r w:rsidR="003D4935" w:rsidRPr="001E4E73">
        <w:rPr>
          <w:rFonts w:ascii="Times New Roman" w:hAnsi="Times New Roman"/>
        </w:rPr>
        <w:t>)</w:t>
      </w:r>
      <w:r w:rsidR="00D740F4" w:rsidRPr="001E4E73">
        <w:rPr>
          <w:rFonts w:ascii="Times New Roman" w:hAnsi="Times New Roman"/>
        </w:rPr>
        <w:t xml:space="preserve">). This will protect SIPs from an obligation to supply where a CSP has signed the access agreement, but does not comply with terms and conditions, making it difficult, costly or impossible for the SIP to supply the service. The SIP is expected to work with the CSP to try and resolve any issues (such as confusion on behalf of the CSP) before utilising this exception. </w:t>
      </w:r>
      <w:r w:rsidR="00B57392" w:rsidRPr="001E4E73">
        <w:rPr>
          <w:rFonts w:ascii="Times New Roman" w:hAnsi="Times New Roman"/>
        </w:rPr>
        <w:t>The outcome of this new exception circumstance is more efficient usage of resources for SIPs.</w:t>
      </w:r>
    </w:p>
    <w:p w14:paraId="70741E2C" w14:textId="77777777" w:rsidR="00B57392" w:rsidRPr="001E4E73" w:rsidRDefault="00B57392" w:rsidP="00F839DD">
      <w:pPr>
        <w:spacing w:after="0" w:line="276" w:lineRule="auto"/>
        <w:rPr>
          <w:rFonts w:ascii="Times New Roman" w:hAnsi="Times New Roman"/>
        </w:rPr>
      </w:pPr>
    </w:p>
    <w:p w14:paraId="31B66FE0" w14:textId="77777777" w:rsidR="00B57392" w:rsidRPr="001E4E73" w:rsidRDefault="00B57392" w:rsidP="00B57392">
      <w:pPr>
        <w:spacing w:line="276" w:lineRule="auto"/>
        <w:rPr>
          <w:rFonts w:ascii="Times New Roman" w:hAnsi="Times New Roman"/>
          <w:i/>
        </w:rPr>
      </w:pPr>
      <w:r w:rsidRPr="001E4E73">
        <w:rPr>
          <w:rFonts w:ascii="Times New Roman" w:hAnsi="Times New Roman"/>
          <w:i/>
        </w:rPr>
        <w:t>Transfer of eligible services</w:t>
      </w:r>
    </w:p>
    <w:p w14:paraId="3EEEC1D0" w14:textId="77777777" w:rsidR="00B57392" w:rsidRPr="001E4E73" w:rsidRDefault="00B57392" w:rsidP="00B57392">
      <w:pPr>
        <w:spacing w:after="0" w:line="276" w:lineRule="auto"/>
        <w:rPr>
          <w:rFonts w:ascii="Times New Roman" w:hAnsi="Times New Roman"/>
        </w:rPr>
      </w:pPr>
      <w:r w:rsidRPr="001E4E73">
        <w:rPr>
          <w:rFonts w:ascii="Times New Roman" w:hAnsi="Times New Roman"/>
        </w:rPr>
        <w:t>New paragraph 7(p) provides an exception to supply obligations where processing a request for the supply of an eligible service would result in the transfer of an eligible service that a relevant SIP is already supplying to another carriage service provider; and the requesting carriage service provider has not undertaken all actions required under any industry standard, industry code or supplementary industry guideline applicable to such a transfer.</w:t>
      </w:r>
    </w:p>
    <w:p w14:paraId="688E0F71" w14:textId="77777777" w:rsidR="00B57392" w:rsidRPr="001E4E73" w:rsidRDefault="00B57392" w:rsidP="00B57392">
      <w:pPr>
        <w:spacing w:after="0" w:line="276" w:lineRule="auto"/>
        <w:rPr>
          <w:rFonts w:ascii="Times New Roman" w:hAnsi="Times New Roman"/>
        </w:rPr>
      </w:pPr>
    </w:p>
    <w:p w14:paraId="2CF35BD0" w14:textId="24B26BF6" w:rsidR="00651FB0" w:rsidRPr="001E4E73" w:rsidRDefault="00B57392" w:rsidP="002A1139">
      <w:pPr>
        <w:spacing w:after="0" w:line="276" w:lineRule="auto"/>
        <w:rPr>
          <w:rFonts w:ascii="Times New Roman" w:hAnsi="Times New Roman"/>
        </w:rPr>
      </w:pPr>
      <w:r w:rsidRPr="001E4E73">
        <w:rPr>
          <w:rFonts w:ascii="Times New Roman" w:hAnsi="Times New Roman"/>
        </w:rPr>
        <w:t xml:space="preserve">This circumstance captures situations where </w:t>
      </w:r>
      <w:r w:rsidR="002A1139" w:rsidRPr="001E4E73">
        <w:rPr>
          <w:rFonts w:ascii="Times New Roman" w:hAnsi="Times New Roman"/>
        </w:rPr>
        <w:t>a SIP is transferring an eligible service provided to an end-user from one CSP to another CSP. The requesting CSP is required to follow industry standards</w:t>
      </w:r>
      <w:r w:rsidR="00CF1F4E" w:rsidRPr="001E4E73">
        <w:rPr>
          <w:rFonts w:ascii="Times New Roman" w:hAnsi="Times New Roman"/>
        </w:rPr>
        <w:t xml:space="preserve">, </w:t>
      </w:r>
      <w:r w:rsidR="002A1139" w:rsidRPr="001E4E73">
        <w:rPr>
          <w:rFonts w:ascii="Times New Roman" w:hAnsi="Times New Roman"/>
        </w:rPr>
        <w:t>codes</w:t>
      </w:r>
      <w:r w:rsidR="00CF1F4E" w:rsidRPr="001E4E73">
        <w:rPr>
          <w:rFonts w:ascii="Times New Roman" w:hAnsi="Times New Roman"/>
        </w:rPr>
        <w:t xml:space="preserve">, or </w:t>
      </w:r>
      <w:r w:rsidR="002A1139" w:rsidRPr="001E4E73">
        <w:rPr>
          <w:rFonts w:ascii="Times New Roman" w:hAnsi="Times New Roman"/>
        </w:rPr>
        <w:t>guidelines, such as</w:t>
      </w:r>
      <w:r w:rsidR="005414AC" w:rsidRPr="001E4E73">
        <w:rPr>
          <w:rFonts w:ascii="Times New Roman" w:hAnsi="Times New Roman"/>
        </w:rPr>
        <w:t>, in the case of services supplied over the National Broadband Network,</w:t>
      </w:r>
      <w:r w:rsidR="002A1139" w:rsidRPr="001E4E73">
        <w:rPr>
          <w:rFonts w:ascii="Times New Roman" w:hAnsi="Times New Roman"/>
        </w:rPr>
        <w:t xml:space="preserve"> Communications Alliance’s </w:t>
      </w:r>
      <w:r w:rsidR="002A1139" w:rsidRPr="001E4E73">
        <w:rPr>
          <w:rFonts w:ascii="Times New Roman" w:hAnsi="Times New Roman"/>
          <w:i/>
        </w:rPr>
        <w:t>C647:2023 NBN Access Transfer</w:t>
      </w:r>
      <w:r w:rsidR="00830A89" w:rsidRPr="001E4E73">
        <w:rPr>
          <w:rFonts w:ascii="Times New Roman" w:hAnsi="Times New Roman"/>
        </w:rPr>
        <w:t xml:space="preserve"> (this may be updated periodically)</w:t>
      </w:r>
      <w:r w:rsidR="002A1139" w:rsidRPr="001E4E73">
        <w:rPr>
          <w:rFonts w:ascii="Times New Roman" w:hAnsi="Times New Roman"/>
          <w:i/>
        </w:rPr>
        <w:t>.</w:t>
      </w:r>
      <w:r w:rsidR="002A1139" w:rsidRPr="001E4E73">
        <w:rPr>
          <w:rFonts w:ascii="Times New Roman" w:hAnsi="Times New Roman"/>
        </w:rPr>
        <w:t xml:space="preserve"> This is to ensure appropriate procedures are followed to minimise the amount of time an end-user’s service may be out of action, and to prevent attempts at fraud from proceeding. In the first instance, the SIP is expected to work with CSPs who may not follow the requirements of any standard, code or guideline due to a misunderstanding. If there are repeated failures to follow requirements, this exception is available to SIPs.</w:t>
      </w:r>
    </w:p>
    <w:p w14:paraId="0F15F469" w14:textId="77777777" w:rsidR="00651FB0" w:rsidRPr="001E4E73" w:rsidRDefault="00651FB0" w:rsidP="002A1139">
      <w:pPr>
        <w:spacing w:after="0" w:line="276" w:lineRule="auto"/>
        <w:rPr>
          <w:rFonts w:ascii="Times New Roman" w:hAnsi="Times New Roman"/>
        </w:rPr>
      </w:pPr>
    </w:p>
    <w:p w14:paraId="584E1C50" w14:textId="3B0FE4AD" w:rsidR="00651FB0" w:rsidRPr="001E4E73" w:rsidRDefault="00651FB0" w:rsidP="002A1139">
      <w:pPr>
        <w:spacing w:after="0" w:line="276" w:lineRule="auto"/>
        <w:rPr>
          <w:rFonts w:ascii="Times New Roman" w:hAnsi="Times New Roman"/>
        </w:rPr>
      </w:pPr>
      <w:r w:rsidRPr="001E4E73">
        <w:rPr>
          <w:rFonts w:ascii="Times New Roman" w:hAnsi="Times New Roman"/>
        </w:rPr>
        <w:t xml:space="preserve">Within the industry, a service ‘substitution’ is sometimes referred to separately from a service transfer. For the purpose of this Instrument, a service ‘substitution’ is taken to be covered by the transfer exception circumstance. A substitution still involves a transfer from one CSP to another requesting CSP, but the end-user’s service may need to be cancelled and a new service supplied in order to fulfil the </w:t>
      </w:r>
      <w:r w:rsidR="00F016BC" w:rsidRPr="001E4E73">
        <w:rPr>
          <w:rFonts w:ascii="Times New Roman" w:hAnsi="Times New Roman"/>
        </w:rPr>
        <w:t xml:space="preserve">specific </w:t>
      </w:r>
      <w:r w:rsidRPr="001E4E73">
        <w:rPr>
          <w:rFonts w:ascii="Times New Roman" w:hAnsi="Times New Roman"/>
        </w:rPr>
        <w:t>requirements of th</w:t>
      </w:r>
      <w:r w:rsidR="00F016BC" w:rsidRPr="001E4E73">
        <w:rPr>
          <w:rFonts w:ascii="Times New Roman" w:hAnsi="Times New Roman"/>
        </w:rPr>
        <w:t>e</w:t>
      </w:r>
      <w:r w:rsidRPr="001E4E73">
        <w:rPr>
          <w:rFonts w:ascii="Times New Roman" w:hAnsi="Times New Roman"/>
        </w:rPr>
        <w:t xml:space="preserve"> service/product ordered or</w:t>
      </w:r>
      <w:r w:rsidR="00F016BC" w:rsidRPr="001E4E73">
        <w:rPr>
          <w:rFonts w:ascii="Times New Roman" w:hAnsi="Times New Roman"/>
        </w:rPr>
        <w:t xml:space="preserve"> </w:t>
      </w:r>
      <w:r w:rsidR="00F016BC" w:rsidRPr="001E4E73">
        <w:rPr>
          <w:rFonts w:ascii="Times New Roman" w:hAnsi="Times New Roman"/>
        </w:rPr>
        <w:lastRenderedPageBreak/>
        <w:t>requirements of the</w:t>
      </w:r>
      <w:r w:rsidRPr="001E4E73">
        <w:rPr>
          <w:rFonts w:ascii="Times New Roman" w:hAnsi="Times New Roman"/>
        </w:rPr>
        <w:t xml:space="preserve"> end-user. Just as with transfers, CSPs are expected to follow any industry standards</w:t>
      </w:r>
      <w:r w:rsidR="00732A8F" w:rsidRPr="001E4E73">
        <w:rPr>
          <w:rFonts w:ascii="Times New Roman" w:hAnsi="Times New Roman"/>
        </w:rPr>
        <w:t xml:space="preserve">, </w:t>
      </w:r>
      <w:r w:rsidRPr="001E4E73">
        <w:rPr>
          <w:rFonts w:ascii="Times New Roman" w:hAnsi="Times New Roman"/>
        </w:rPr>
        <w:t>codes</w:t>
      </w:r>
      <w:r w:rsidR="00732A8F" w:rsidRPr="001E4E73">
        <w:rPr>
          <w:rFonts w:ascii="Times New Roman" w:hAnsi="Times New Roman"/>
        </w:rPr>
        <w:t xml:space="preserve"> or </w:t>
      </w:r>
      <w:r w:rsidRPr="001E4E73">
        <w:rPr>
          <w:rFonts w:ascii="Times New Roman" w:hAnsi="Times New Roman"/>
        </w:rPr>
        <w:t>guidelines that are applicable to situations where a substitution of a service occurs.</w:t>
      </w:r>
    </w:p>
    <w:p w14:paraId="47A0FD6E" w14:textId="77777777" w:rsidR="00651FB0" w:rsidRPr="001E4E73" w:rsidRDefault="00651FB0" w:rsidP="002A1139">
      <w:pPr>
        <w:spacing w:after="0" w:line="276" w:lineRule="auto"/>
        <w:rPr>
          <w:rFonts w:ascii="Times New Roman" w:hAnsi="Times New Roman"/>
        </w:rPr>
      </w:pPr>
    </w:p>
    <w:p w14:paraId="06275309" w14:textId="6BC49EBB" w:rsidR="002A1139" w:rsidRPr="001E4E73" w:rsidRDefault="002A1139" w:rsidP="002A1139">
      <w:pPr>
        <w:spacing w:after="0" w:line="276" w:lineRule="auto"/>
        <w:rPr>
          <w:rFonts w:ascii="Times New Roman" w:hAnsi="Times New Roman"/>
        </w:rPr>
      </w:pPr>
      <w:r w:rsidRPr="001E4E73">
        <w:rPr>
          <w:rFonts w:ascii="Times New Roman" w:hAnsi="Times New Roman"/>
        </w:rPr>
        <w:t xml:space="preserve">The outcome of this new exception circumstance is more efficient usage of resources for SIPs, </w:t>
      </w:r>
      <w:r w:rsidR="003255ED" w:rsidRPr="001E4E73">
        <w:rPr>
          <w:rFonts w:ascii="Times New Roman" w:hAnsi="Times New Roman"/>
        </w:rPr>
        <w:t>more efficient and accurate transfer of services for end-users, and a reduction in fraud instances</w:t>
      </w:r>
      <w:r w:rsidRPr="001E4E73">
        <w:rPr>
          <w:rFonts w:ascii="Times New Roman" w:hAnsi="Times New Roman"/>
        </w:rPr>
        <w:t>.</w:t>
      </w:r>
    </w:p>
    <w:p w14:paraId="2DA92D3A" w14:textId="77777777" w:rsidR="000B31BC" w:rsidRPr="001E4E73" w:rsidRDefault="000B31BC" w:rsidP="00AB1A62">
      <w:pPr>
        <w:spacing w:after="0" w:line="276" w:lineRule="auto"/>
        <w:rPr>
          <w:rFonts w:ascii="Times New Roman" w:hAnsi="Times New Roman"/>
        </w:rPr>
      </w:pPr>
      <w:r w:rsidRPr="001E4E73">
        <w:rPr>
          <w:rFonts w:ascii="Times New Roman" w:hAnsi="Times New Roman"/>
          <w:b/>
          <w:sz w:val="28"/>
          <w:szCs w:val="28"/>
        </w:rPr>
        <w:br w:type="page"/>
      </w:r>
    </w:p>
    <w:p w14:paraId="4E38E34F" w14:textId="77777777" w:rsidR="00A3071A" w:rsidRPr="001E4E73" w:rsidRDefault="00A3071A" w:rsidP="00A3071A">
      <w:pPr>
        <w:spacing w:after="160" w:line="259" w:lineRule="auto"/>
        <w:ind w:left="6480" w:firstLine="720"/>
        <w:rPr>
          <w:rFonts w:ascii="Times New Roman" w:hAnsi="Times New Roman"/>
          <w:b/>
          <w:sz w:val="28"/>
          <w:szCs w:val="28"/>
        </w:rPr>
      </w:pPr>
      <w:r w:rsidRPr="001E4E73">
        <w:rPr>
          <w:rFonts w:ascii="Times New Roman" w:hAnsi="Times New Roman"/>
          <w:b/>
          <w:sz w:val="28"/>
          <w:szCs w:val="28"/>
        </w:rPr>
        <w:lastRenderedPageBreak/>
        <w:t>Attachment B</w:t>
      </w:r>
    </w:p>
    <w:p w14:paraId="77753459" w14:textId="77777777" w:rsidR="00A3071A" w:rsidRPr="001E4E73" w:rsidRDefault="00A3071A" w:rsidP="00A3071A">
      <w:pPr>
        <w:pStyle w:val="Heading2"/>
        <w:rPr>
          <w:rFonts w:eastAsiaTheme="minorHAnsi"/>
        </w:rPr>
      </w:pPr>
      <w:r w:rsidRPr="001E4E73">
        <w:rPr>
          <w:rFonts w:eastAsiaTheme="minorHAnsi"/>
        </w:rPr>
        <w:t>Statement of Compatibility with Human Rights</w:t>
      </w:r>
    </w:p>
    <w:p w14:paraId="666634B0" w14:textId="77777777" w:rsidR="00A3071A" w:rsidRPr="001E4E73" w:rsidRDefault="00A3071A" w:rsidP="00A3071A">
      <w:pPr>
        <w:spacing w:before="120" w:after="120"/>
        <w:jc w:val="center"/>
        <w:rPr>
          <w:rFonts w:ascii="Times New Roman" w:hAnsi="Times New Roman"/>
        </w:rPr>
      </w:pPr>
      <w:r w:rsidRPr="001E4E73">
        <w:rPr>
          <w:rFonts w:ascii="Times New Roman" w:hAnsi="Times New Roman"/>
          <w:i/>
        </w:rPr>
        <w:t>Prepared in accordance with Part 3 of the Human Rights (Parliamentary Scrutiny) Act 2011</w:t>
      </w:r>
    </w:p>
    <w:p w14:paraId="7A00359A" w14:textId="77777777" w:rsidR="00A3071A" w:rsidRPr="001E4E73" w:rsidRDefault="00A3071A" w:rsidP="00A3071A">
      <w:pPr>
        <w:spacing w:before="120" w:after="120"/>
        <w:jc w:val="center"/>
        <w:rPr>
          <w:rFonts w:ascii="Times New Roman" w:hAnsi="Times New Roman"/>
        </w:rPr>
      </w:pPr>
    </w:p>
    <w:p w14:paraId="751543D6" w14:textId="77777777" w:rsidR="00F53AE6" w:rsidRPr="001E4E73" w:rsidRDefault="00F53AE6" w:rsidP="00F53AE6">
      <w:pPr>
        <w:shd w:val="clear" w:color="auto" w:fill="FFFFFF"/>
        <w:spacing w:before="100" w:beforeAutospacing="1" w:after="160"/>
        <w:contextualSpacing/>
        <w:jc w:val="center"/>
        <w:rPr>
          <w:rFonts w:ascii="Times New Roman" w:hAnsi="Times New Roman"/>
          <w:b/>
          <w:sz w:val="28"/>
          <w:szCs w:val="28"/>
        </w:rPr>
      </w:pPr>
      <w:r w:rsidRPr="001E4E73">
        <w:rPr>
          <w:rFonts w:ascii="Times New Roman" w:hAnsi="Times New Roman"/>
          <w:b/>
          <w:sz w:val="28"/>
          <w:szCs w:val="28"/>
        </w:rPr>
        <w:t>Telecommunications (Statutory Infrastructure Providers—Circumstances for Exceptions to Connection and Supply Obligations) Determination 202</w:t>
      </w:r>
      <w:r w:rsidR="00AA374C" w:rsidRPr="001E4E73">
        <w:rPr>
          <w:rFonts w:ascii="Times New Roman" w:hAnsi="Times New Roman"/>
          <w:b/>
          <w:sz w:val="28"/>
          <w:szCs w:val="28"/>
        </w:rPr>
        <w:t>4</w:t>
      </w:r>
    </w:p>
    <w:p w14:paraId="4BD8625A" w14:textId="77777777" w:rsidR="00F53AE6" w:rsidRPr="001E4E73" w:rsidRDefault="00F53AE6" w:rsidP="00F53AE6">
      <w:pPr>
        <w:shd w:val="clear" w:color="auto" w:fill="FFFFFF"/>
        <w:spacing w:before="100" w:beforeAutospacing="1" w:after="160"/>
        <w:contextualSpacing/>
        <w:jc w:val="center"/>
        <w:rPr>
          <w:rFonts w:ascii="Times New Roman" w:hAnsi="Times New Roman"/>
          <w:b/>
          <w:sz w:val="28"/>
          <w:szCs w:val="28"/>
        </w:rPr>
      </w:pPr>
    </w:p>
    <w:p w14:paraId="06E53061" w14:textId="34584C2E" w:rsidR="00A3071A" w:rsidRPr="001E4E73" w:rsidRDefault="00A3071A" w:rsidP="00CA6BE1">
      <w:pPr>
        <w:rPr>
          <w:rFonts w:ascii="Times New Roman" w:hAnsi="Times New Roman"/>
          <w:b/>
        </w:rPr>
      </w:pPr>
      <w:r w:rsidRPr="001E4E73">
        <w:rPr>
          <w:rFonts w:ascii="Times New Roman" w:hAnsi="Times New Roman"/>
          <w:b/>
        </w:rPr>
        <w:t>Overview</w:t>
      </w:r>
    </w:p>
    <w:p w14:paraId="217DA200" w14:textId="784CC617" w:rsidR="00F91AA6" w:rsidRPr="001E4E73" w:rsidRDefault="00FC6520" w:rsidP="00CA6BE1">
      <w:pPr>
        <w:spacing w:after="0" w:line="276" w:lineRule="auto"/>
        <w:rPr>
          <w:rFonts w:ascii="Times New Roman" w:hAnsi="Times New Roman"/>
        </w:rPr>
      </w:pPr>
      <w:r w:rsidRPr="001E4E73">
        <w:rPr>
          <w:rFonts w:ascii="Times New Roman" w:hAnsi="Times New Roman"/>
        </w:rPr>
        <w:t xml:space="preserve">Part 19 of the </w:t>
      </w:r>
      <w:r w:rsidRPr="001E4E73">
        <w:rPr>
          <w:rFonts w:ascii="Times New Roman" w:hAnsi="Times New Roman"/>
          <w:i/>
        </w:rPr>
        <w:t xml:space="preserve">Telecommunications Act 1997 </w:t>
      </w:r>
      <w:r w:rsidRPr="001E4E73">
        <w:rPr>
          <w:rFonts w:ascii="Times New Roman" w:hAnsi="Times New Roman"/>
        </w:rPr>
        <w:t xml:space="preserve">(the Act) establishes a statutory infrastructure provider (SIP) </w:t>
      </w:r>
      <w:r w:rsidR="00F91AA6" w:rsidRPr="001E4E73">
        <w:rPr>
          <w:rFonts w:ascii="Times New Roman" w:hAnsi="Times New Roman"/>
        </w:rPr>
        <w:t xml:space="preserve">regime </w:t>
      </w:r>
      <w:r w:rsidRPr="001E4E73">
        <w:rPr>
          <w:rFonts w:ascii="Times New Roman" w:hAnsi="Times New Roman"/>
        </w:rPr>
        <w:t xml:space="preserve">to provide </w:t>
      </w:r>
      <w:r w:rsidR="00C72F56" w:rsidRPr="001E4E73">
        <w:rPr>
          <w:rFonts w:ascii="Times New Roman" w:hAnsi="Times New Roman"/>
        </w:rPr>
        <w:t xml:space="preserve">people </w:t>
      </w:r>
      <w:r w:rsidRPr="001E4E73">
        <w:rPr>
          <w:rFonts w:ascii="Times New Roman" w:hAnsi="Times New Roman"/>
        </w:rPr>
        <w:t xml:space="preserve">in Australia </w:t>
      </w:r>
      <w:r w:rsidR="00C72F56" w:rsidRPr="001E4E73">
        <w:rPr>
          <w:rFonts w:ascii="Times New Roman" w:hAnsi="Times New Roman"/>
        </w:rPr>
        <w:t>with</w:t>
      </w:r>
      <w:r w:rsidRPr="001E4E73">
        <w:rPr>
          <w:rFonts w:ascii="Times New Roman" w:hAnsi="Times New Roman"/>
        </w:rPr>
        <w:t xml:space="preserve"> reasonable access to infrastructure </w:t>
      </w:r>
      <w:r w:rsidR="00944BBC" w:rsidRPr="001E4E73">
        <w:rPr>
          <w:rFonts w:ascii="Times New Roman" w:hAnsi="Times New Roman"/>
        </w:rPr>
        <w:t>and</w:t>
      </w:r>
      <w:r w:rsidRPr="001E4E73">
        <w:rPr>
          <w:rFonts w:ascii="Times New Roman" w:hAnsi="Times New Roman"/>
        </w:rPr>
        <w:t xml:space="preserve"> wholesale </w:t>
      </w:r>
      <w:r w:rsidR="00944BBC" w:rsidRPr="001E4E73">
        <w:rPr>
          <w:rFonts w:ascii="Times New Roman" w:hAnsi="Times New Roman"/>
        </w:rPr>
        <w:t xml:space="preserve">services for the delivery of </w:t>
      </w:r>
      <w:r w:rsidRPr="001E4E73">
        <w:rPr>
          <w:rFonts w:ascii="Times New Roman" w:hAnsi="Times New Roman"/>
        </w:rPr>
        <w:t xml:space="preserve">superfast broadband </w:t>
      </w:r>
      <w:r w:rsidR="00F91AA6" w:rsidRPr="001E4E73">
        <w:rPr>
          <w:rFonts w:ascii="Times New Roman" w:hAnsi="Times New Roman"/>
        </w:rPr>
        <w:t xml:space="preserve">services </w:t>
      </w:r>
      <w:r w:rsidR="00944BBC" w:rsidRPr="001E4E73">
        <w:rPr>
          <w:rFonts w:ascii="Times New Roman" w:hAnsi="Times New Roman"/>
        </w:rPr>
        <w:t xml:space="preserve">by </w:t>
      </w:r>
      <w:r w:rsidR="00043C5D" w:rsidRPr="001E4E73">
        <w:rPr>
          <w:rFonts w:ascii="Times New Roman" w:hAnsi="Times New Roman"/>
        </w:rPr>
        <w:t>carriage service providers (CSPs)</w:t>
      </w:r>
      <w:r w:rsidR="00944BBC" w:rsidRPr="001E4E73">
        <w:rPr>
          <w:rFonts w:ascii="Times New Roman" w:hAnsi="Times New Roman"/>
        </w:rPr>
        <w:t xml:space="preserve"> to their premises</w:t>
      </w:r>
      <w:r w:rsidRPr="001E4E73">
        <w:rPr>
          <w:rFonts w:ascii="Times New Roman" w:hAnsi="Times New Roman"/>
        </w:rPr>
        <w:t>.</w:t>
      </w:r>
    </w:p>
    <w:p w14:paraId="6BBCACA5" w14:textId="77777777" w:rsidR="00CA6BE1" w:rsidRPr="001E4E73" w:rsidRDefault="00CA6BE1" w:rsidP="00CA6BE1">
      <w:pPr>
        <w:spacing w:after="0" w:line="276" w:lineRule="auto"/>
        <w:rPr>
          <w:rFonts w:ascii="Times New Roman" w:hAnsi="Times New Roman"/>
        </w:rPr>
      </w:pPr>
    </w:p>
    <w:p w14:paraId="40381D31" w14:textId="2152C8DE" w:rsidR="00043C5D" w:rsidRPr="001E4E73" w:rsidRDefault="00FC6520" w:rsidP="00CA6BE1">
      <w:pPr>
        <w:spacing w:after="0" w:line="276" w:lineRule="auto"/>
        <w:rPr>
          <w:rFonts w:ascii="Times New Roman" w:hAnsi="Times New Roman"/>
        </w:rPr>
      </w:pPr>
      <w:r w:rsidRPr="001E4E73">
        <w:rPr>
          <w:rFonts w:ascii="Times New Roman" w:hAnsi="Times New Roman"/>
        </w:rPr>
        <w:t xml:space="preserve">NBN Co Limited (NBN Co) is the default SIP for all of Australia. Other carriers can also become </w:t>
      </w:r>
      <w:r w:rsidR="00944BBC" w:rsidRPr="001E4E73">
        <w:rPr>
          <w:rFonts w:ascii="Times New Roman" w:hAnsi="Times New Roman"/>
        </w:rPr>
        <w:t>the</w:t>
      </w:r>
      <w:r w:rsidRPr="001E4E73">
        <w:rPr>
          <w:rFonts w:ascii="Times New Roman" w:hAnsi="Times New Roman"/>
        </w:rPr>
        <w:t xml:space="preserve"> SIP </w:t>
      </w:r>
      <w:r w:rsidR="00043C5D" w:rsidRPr="001E4E73">
        <w:rPr>
          <w:rFonts w:ascii="Times New Roman" w:hAnsi="Times New Roman"/>
        </w:rPr>
        <w:t xml:space="preserve">for a particular area by entering into a contract to provide telecommunications services in real estate development projects. </w:t>
      </w:r>
      <w:r w:rsidR="00603241" w:rsidRPr="001E4E73">
        <w:rPr>
          <w:rFonts w:ascii="Times New Roman" w:hAnsi="Times New Roman"/>
        </w:rPr>
        <w:t xml:space="preserve">There are </w:t>
      </w:r>
      <w:r w:rsidR="00625DCB" w:rsidRPr="001E4E73">
        <w:rPr>
          <w:rFonts w:ascii="Times New Roman" w:hAnsi="Times New Roman"/>
        </w:rPr>
        <w:t xml:space="preserve">33 </w:t>
      </w:r>
      <w:r w:rsidR="00603241" w:rsidRPr="001E4E73">
        <w:rPr>
          <w:rFonts w:ascii="Times New Roman" w:hAnsi="Times New Roman"/>
        </w:rPr>
        <w:t>SIPs</w:t>
      </w:r>
      <w:r w:rsidR="00835712" w:rsidRPr="001E4E73">
        <w:rPr>
          <w:rFonts w:ascii="Times New Roman" w:hAnsi="Times New Roman"/>
        </w:rPr>
        <w:t xml:space="preserve"> as of April 2024</w:t>
      </w:r>
      <w:r w:rsidR="00603241" w:rsidRPr="001E4E73">
        <w:rPr>
          <w:rFonts w:ascii="Times New Roman" w:hAnsi="Times New Roman"/>
        </w:rPr>
        <w:t>.</w:t>
      </w:r>
    </w:p>
    <w:p w14:paraId="43C4C654" w14:textId="77777777" w:rsidR="00CA6BE1" w:rsidRPr="001E4E73" w:rsidRDefault="00CA6BE1" w:rsidP="00CA6BE1">
      <w:pPr>
        <w:spacing w:after="0" w:line="276" w:lineRule="auto"/>
        <w:rPr>
          <w:rFonts w:ascii="Times New Roman" w:hAnsi="Times New Roman"/>
        </w:rPr>
      </w:pPr>
    </w:p>
    <w:p w14:paraId="6EF96313" w14:textId="77777777" w:rsidR="00684187" w:rsidRPr="001E4E73" w:rsidRDefault="00EF0BA4" w:rsidP="00CA6BE1">
      <w:pPr>
        <w:spacing w:after="0" w:line="276" w:lineRule="auto"/>
        <w:rPr>
          <w:rFonts w:ascii="Times New Roman" w:hAnsi="Times New Roman"/>
        </w:rPr>
      </w:pPr>
      <w:r w:rsidRPr="001E4E73">
        <w:rPr>
          <w:rFonts w:ascii="Times New Roman" w:hAnsi="Times New Roman"/>
        </w:rPr>
        <w:t xml:space="preserve">Under </w:t>
      </w:r>
      <w:r w:rsidR="00684187" w:rsidRPr="001E4E73">
        <w:rPr>
          <w:rFonts w:ascii="Times New Roman" w:hAnsi="Times New Roman"/>
        </w:rPr>
        <w:t xml:space="preserve">Part 19 of </w:t>
      </w:r>
      <w:r w:rsidRPr="001E4E73">
        <w:rPr>
          <w:rFonts w:ascii="Times New Roman" w:hAnsi="Times New Roman"/>
        </w:rPr>
        <w:t xml:space="preserve">the Act, all SIPs are currently bound by default obligations to connect premises </w:t>
      </w:r>
      <w:r w:rsidR="00684187" w:rsidRPr="001E4E73">
        <w:rPr>
          <w:rFonts w:ascii="Times New Roman" w:hAnsi="Times New Roman"/>
        </w:rPr>
        <w:t>(</w:t>
      </w:r>
      <w:r w:rsidR="00043C5D" w:rsidRPr="001E4E73">
        <w:rPr>
          <w:rFonts w:ascii="Times New Roman" w:hAnsi="Times New Roman"/>
        </w:rPr>
        <w:t>sub</w:t>
      </w:r>
      <w:r w:rsidR="00684187" w:rsidRPr="001E4E73">
        <w:rPr>
          <w:rFonts w:ascii="Times New Roman" w:hAnsi="Times New Roman"/>
        </w:rPr>
        <w:t>section 360</w:t>
      </w:r>
      <w:proofErr w:type="gramStart"/>
      <w:r w:rsidR="00FC6520" w:rsidRPr="001E4E73">
        <w:rPr>
          <w:rFonts w:ascii="Times New Roman" w:hAnsi="Times New Roman"/>
        </w:rPr>
        <w:t>P</w:t>
      </w:r>
      <w:r w:rsidR="00684187" w:rsidRPr="001E4E73">
        <w:rPr>
          <w:rFonts w:ascii="Times New Roman" w:hAnsi="Times New Roman"/>
        </w:rPr>
        <w:t>(</w:t>
      </w:r>
      <w:proofErr w:type="gramEnd"/>
      <w:r w:rsidR="00684187" w:rsidRPr="001E4E73">
        <w:rPr>
          <w:rFonts w:ascii="Times New Roman" w:hAnsi="Times New Roman"/>
        </w:rPr>
        <w:t>1)</w:t>
      </w:r>
      <w:r w:rsidR="00043C5D" w:rsidRPr="001E4E73">
        <w:rPr>
          <w:rFonts w:ascii="Times New Roman" w:hAnsi="Times New Roman"/>
        </w:rPr>
        <w:t>)</w:t>
      </w:r>
      <w:r w:rsidR="00684187" w:rsidRPr="001E4E73">
        <w:rPr>
          <w:rFonts w:ascii="Times New Roman" w:hAnsi="Times New Roman"/>
        </w:rPr>
        <w:t xml:space="preserve"> </w:t>
      </w:r>
      <w:r w:rsidRPr="001E4E73">
        <w:rPr>
          <w:rFonts w:ascii="Times New Roman" w:hAnsi="Times New Roman"/>
        </w:rPr>
        <w:t xml:space="preserve">and </w:t>
      </w:r>
      <w:r w:rsidR="00D3225D" w:rsidRPr="001E4E73">
        <w:rPr>
          <w:rFonts w:ascii="Times New Roman" w:hAnsi="Times New Roman"/>
        </w:rPr>
        <w:t xml:space="preserve">to </w:t>
      </w:r>
      <w:r w:rsidRPr="001E4E73">
        <w:rPr>
          <w:rFonts w:ascii="Times New Roman" w:hAnsi="Times New Roman"/>
        </w:rPr>
        <w:t>supply wholesale</w:t>
      </w:r>
      <w:r w:rsidR="00835712" w:rsidRPr="001E4E73">
        <w:rPr>
          <w:rFonts w:ascii="Times New Roman" w:hAnsi="Times New Roman"/>
        </w:rPr>
        <w:t xml:space="preserve"> </w:t>
      </w:r>
      <w:r w:rsidRPr="001E4E73">
        <w:rPr>
          <w:rFonts w:ascii="Times New Roman" w:hAnsi="Times New Roman"/>
        </w:rPr>
        <w:t>services on reasonable request from a CSP on behalf of an end-user</w:t>
      </w:r>
      <w:r w:rsidR="00684187" w:rsidRPr="001E4E73">
        <w:rPr>
          <w:rFonts w:ascii="Times New Roman" w:hAnsi="Times New Roman"/>
        </w:rPr>
        <w:t xml:space="preserve"> (subsection 360Q(1))</w:t>
      </w:r>
      <w:r w:rsidRPr="001E4E73">
        <w:rPr>
          <w:rFonts w:ascii="Times New Roman" w:hAnsi="Times New Roman"/>
        </w:rPr>
        <w:t>.</w:t>
      </w:r>
      <w:r w:rsidR="000C17D0" w:rsidRPr="001E4E73">
        <w:rPr>
          <w:rFonts w:ascii="Times New Roman" w:hAnsi="Times New Roman"/>
        </w:rPr>
        <w:t xml:space="preserve"> The wholesale services should allow the CSP to supply the end-user with high-speed broadband and, on fixed-line and fixed wireless networks, support a voice service.</w:t>
      </w:r>
    </w:p>
    <w:p w14:paraId="705AB295" w14:textId="77777777" w:rsidR="00CA6BE1" w:rsidRPr="001E4E73" w:rsidRDefault="00CA6BE1" w:rsidP="00CA6BE1">
      <w:pPr>
        <w:spacing w:after="0" w:line="276" w:lineRule="auto"/>
        <w:rPr>
          <w:rFonts w:ascii="Times New Roman" w:hAnsi="Times New Roman"/>
        </w:rPr>
      </w:pPr>
    </w:p>
    <w:p w14:paraId="6281E082" w14:textId="3A6F42E0" w:rsidR="00684187" w:rsidRPr="001E4E73" w:rsidRDefault="00684187" w:rsidP="00CA6BE1">
      <w:pPr>
        <w:spacing w:after="0" w:line="276" w:lineRule="auto"/>
        <w:rPr>
          <w:rFonts w:ascii="Times New Roman" w:hAnsi="Times New Roman"/>
        </w:rPr>
      </w:pPr>
      <w:r w:rsidRPr="001E4E73">
        <w:rPr>
          <w:rFonts w:ascii="Times New Roman" w:hAnsi="Times New Roman"/>
        </w:rPr>
        <w:t>Under subsections 360</w:t>
      </w:r>
      <w:proofErr w:type="gramStart"/>
      <w:r w:rsidRPr="001E4E73">
        <w:rPr>
          <w:rFonts w:ascii="Times New Roman" w:hAnsi="Times New Roman"/>
        </w:rPr>
        <w:t>P(</w:t>
      </w:r>
      <w:proofErr w:type="gramEnd"/>
      <w:r w:rsidRPr="001E4E73">
        <w:rPr>
          <w:rFonts w:ascii="Times New Roman" w:hAnsi="Times New Roman"/>
        </w:rPr>
        <w:t xml:space="preserve">3) and 360Q(4) of the Act, the Minister has the authority to make an instrument determining the circumstances where </w:t>
      </w:r>
      <w:r w:rsidR="00944BBC" w:rsidRPr="001E4E73">
        <w:rPr>
          <w:rFonts w:ascii="Times New Roman" w:hAnsi="Times New Roman"/>
        </w:rPr>
        <w:t xml:space="preserve">the </w:t>
      </w:r>
      <w:r w:rsidRPr="001E4E73">
        <w:rPr>
          <w:rFonts w:ascii="Times New Roman" w:hAnsi="Times New Roman"/>
        </w:rPr>
        <w:t>connection obligation and</w:t>
      </w:r>
      <w:r w:rsidR="00944BBC" w:rsidRPr="001E4E73">
        <w:rPr>
          <w:rFonts w:ascii="Times New Roman" w:hAnsi="Times New Roman"/>
        </w:rPr>
        <w:t xml:space="preserve"> the</w:t>
      </w:r>
      <w:r w:rsidRPr="001E4E73">
        <w:rPr>
          <w:rFonts w:ascii="Times New Roman" w:hAnsi="Times New Roman"/>
        </w:rPr>
        <w:t xml:space="preserve"> supply obligation do not arise in relation to</w:t>
      </w:r>
      <w:r w:rsidR="00D17844" w:rsidRPr="001E4E73">
        <w:rPr>
          <w:rFonts w:ascii="Times New Roman" w:hAnsi="Times New Roman"/>
        </w:rPr>
        <w:t xml:space="preserve"> CSP</w:t>
      </w:r>
      <w:r w:rsidRPr="001E4E73">
        <w:rPr>
          <w:rFonts w:ascii="Times New Roman" w:hAnsi="Times New Roman"/>
        </w:rPr>
        <w:t xml:space="preserve"> requests for </w:t>
      </w:r>
      <w:r w:rsidR="00D3225D" w:rsidRPr="001E4E73">
        <w:rPr>
          <w:rFonts w:ascii="Times New Roman" w:hAnsi="Times New Roman"/>
        </w:rPr>
        <w:t xml:space="preserve">the supply of </w:t>
      </w:r>
      <w:r w:rsidRPr="001E4E73">
        <w:rPr>
          <w:rFonts w:ascii="Times New Roman" w:hAnsi="Times New Roman"/>
        </w:rPr>
        <w:t>wholesale broadband services from a S</w:t>
      </w:r>
      <w:r w:rsidR="00FC6520" w:rsidRPr="001E4E73">
        <w:rPr>
          <w:rFonts w:ascii="Times New Roman" w:hAnsi="Times New Roman"/>
        </w:rPr>
        <w:t>IP</w:t>
      </w:r>
      <w:r w:rsidRPr="001E4E73">
        <w:rPr>
          <w:rFonts w:ascii="Times New Roman" w:hAnsi="Times New Roman"/>
        </w:rPr>
        <w:t>.</w:t>
      </w:r>
    </w:p>
    <w:p w14:paraId="2B8EC819" w14:textId="77777777" w:rsidR="00CA6BE1" w:rsidRPr="001E4E73" w:rsidRDefault="00CA6BE1" w:rsidP="00CA6BE1">
      <w:pPr>
        <w:spacing w:after="0" w:line="276" w:lineRule="auto"/>
        <w:rPr>
          <w:rFonts w:ascii="Times New Roman" w:hAnsi="Times New Roman"/>
        </w:rPr>
      </w:pPr>
    </w:p>
    <w:p w14:paraId="1F9F3E00" w14:textId="77777777" w:rsidR="00EF0BA4" w:rsidRPr="001E4E73" w:rsidRDefault="00EF0BA4" w:rsidP="00CA6BE1">
      <w:pPr>
        <w:spacing w:after="0" w:line="276" w:lineRule="auto"/>
        <w:rPr>
          <w:rFonts w:ascii="Times New Roman" w:hAnsi="Times New Roman"/>
        </w:rPr>
      </w:pPr>
      <w:r w:rsidRPr="001E4E73">
        <w:rPr>
          <w:rFonts w:ascii="Times New Roman" w:hAnsi="Times New Roman"/>
        </w:rPr>
        <w:t xml:space="preserve">The </w:t>
      </w:r>
      <w:r w:rsidRPr="001E4E73">
        <w:rPr>
          <w:rFonts w:ascii="Times New Roman" w:hAnsi="Times New Roman"/>
          <w:i/>
        </w:rPr>
        <w:t>Telecommunications (Statutory Infrastructure Providers—Circumstances for Exceptions to Connection and Supply Obligations) Determination 202</w:t>
      </w:r>
      <w:r w:rsidR="00B869A7" w:rsidRPr="001E4E73">
        <w:rPr>
          <w:rFonts w:ascii="Times New Roman" w:hAnsi="Times New Roman"/>
          <w:i/>
        </w:rPr>
        <w:t>4</w:t>
      </w:r>
      <w:r w:rsidRPr="001E4E73">
        <w:rPr>
          <w:rFonts w:ascii="Times New Roman" w:hAnsi="Times New Roman"/>
          <w:i/>
        </w:rPr>
        <w:t xml:space="preserve"> </w:t>
      </w:r>
      <w:r w:rsidRPr="001E4E73">
        <w:rPr>
          <w:rFonts w:ascii="Times New Roman" w:hAnsi="Times New Roman"/>
        </w:rPr>
        <w:t>(the Instrument)</w:t>
      </w:r>
      <w:r w:rsidR="00FC6520" w:rsidRPr="001E4E73">
        <w:rPr>
          <w:rFonts w:ascii="Times New Roman" w:hAnsi="Times New Roman"/>
        </w:rPr>
        <w:t xml:space="preserve"> is made under subsection</w:t>
      </w:r>
      <w:r w:rsidR="00D760AD" w:rsidRPr="001E4E73">
        <w:rPr>
          <w:rFonts w:ascii="Times New Roman" w:hAnsi="Times New Roman"/>
        </w:rPr>
        <w:t>s 360</w:t>
      </w:r>
      <w:proofErr w:type="gramStart"/>
      <w:r w:rsidR="00D760AD" w:rsidRPr="001E4E73">
        <w:rPr>
          <w:rFonts w:ascii="Times New Roman" w:hAnsi="Times New Roman"/>
        </w:rPr>
        <w:t>P(</w:t>
      </w:r>
      <w:proofErr w:type="gramEnd"/>
      <w:r w:rsidR="00D760AD" w:rsidRPr="001E4E73">
        <w:rPr>
          <w:rFonts w:ascii="Times New Roman" w:hAnsi="Times New Roman"/>
        </w:rPr>
        <w:t xml:space="preserve">3) and </w:t>
      </w:r>
      <w:r w:rsidR="00F91AA6" w:rsidRPr="001E4E73">
        <w:rPr>
          <w:rFonts w:ascii="Times New Roman" w:hAnsi="Times New Roman"/>
        </w:rPr>
        <w:t xml:space="preserve">360Q(4) of the Act. The Instrument </w:t>
      </w:r>
      <w:r w:rsidR="00CA6BE1" w:rsidRPr="001E4E73">
        <w:rPr>
          <w:rFonts w:ascii="Times New Roman" w:hAnsi="Times New Roman"/>
        </w:rPr>
        <w:t>describes</w:t>
      </w:r>
      <w:r w:rsidRPr="001E4E73">
        <w:rPr>
          <w:rFonts w:ascii="Times New Roman" w:hAnsi="Times New Roman"/>
        </w:rPr>
        <w:t xml:space="preserve"> </w:t>
      </w:r>
      <w:r w:rsidR="00F91AA6" w:rsidRPr="001E4E73">
        <w:rPr>
          <w:rFonts w:ascii="Times New Roman" w:hAnsi="Times New Roman"/>
        </w:rPr>
        <w:t xml:space="preserve">specific </w:t>
      </w:r>
      <w:r w:rsidRPr="001E4E73">
        <w:rPr>
          <w:rFonts w:ascii="Times New Roman" w:hAnsi="Times New Roman"/>
        </w:rPr>
        <w:t xml:space="preserve">circumstances where a SIP </w:t>
      </w:r>
      <w:r w:rsidR="00CA6BE1" w:rsidRPr="001E4E73">
        <w:rPr>
          <w:rFonts w:ascii="Times New Roman" w:hAnsi="Times New Roman"/>
        </w:rPr>
        <w:t>is</w:t>
      </w:r>
      <w:r w:rsidRPr="001E4E73">
        <w:rPr>
          <w:rFonts w:ascii="Times New Roman" w:hAnsi="Times New Roman"/>
        </w:rPr>
        <w:t xml:space="preserve"> excepted from these obligation</w:t>
      </w:r>
      <w:r w:rsidR="000A77EC" w:rsidRPr="001E4E73">
        <w:rPr>
          <w:rFonts w:ascii="Times New Roman" w:hAnsi="Times New Roman"/>
        </w:rPr>
        <w:t>s</w:t>
      </w:r>
      <w:r w:rsidRPr="001E4E73">
        <w:rPr>
          <w:rFonts w:ascii="Times New Roman" w:hAnsi="Times New Roman"/>
        </w:rPr>
        <w:t xml:space="preserve">. </w:t>
      </w:r>
      <w:r w:rsidR="000C17D0" w:rsidRPr="001E4E73">
        <w:rPr>
          <w:rFonts w:ascii="Times New Roman" w:hAnsi="Times New Roman"/>
        </w:rPr>
        <w:t>The Instrument re-makes a previous instrument, made in 2021, that will self-repeal on 28 May 2024.</w:t>
      </w:r>
    </w:p>
    <w:p w14:paraId="3B1A5473" w14:textId="77777777" w:rsidR="00CA6BE1" w:rsidRPr="001E4E73" w:rsidRDefault="00CA6BE1" w:rsidP="00CA6BE1">
      <w:pPr>
        <w:spacing w:after="0" w:line="276" w:lineRule="auto"/>
        <w:rPr>
          <w:rFonts w:ascii="Times New Roman" w:hAnsi="Times New Roman"/>
        </w:rPr>
      </w:pPr>
    </w:p>
    <w:p w14:paraId="7C26A06E" w14:textId="77777777" w:rsidR="00CA6BE1" w:rsidRPr="001E4E73" w:rsidRDefault="00EF0BA4" w:rsidP="00CA6BE1">
      <w:pPr>
        <w:spacing w:after="0" w:line="276" w:lineRule="auto"/>
        <w:rPr>
          <w:rFonts w:ascii="Times New Roman" w:hAnsi="Times New Roman"/>
        </w:rPr>
      </w:pPr>
      <w:r w:rsidRPr="001E4E73">
        <w:rPr>
          <w:rFonts w:ascii="Times New Roman" w:hAnsi="Times New Roman"/>
        </w:rPr>
        <w:t xml:space="preserve">The primary objective of the Instrument is to </w:t>
      </w:r>
      <w:r w:rsidR="00944BBC" w:rsidRPr="001E4E73">
        <w:rPr>
          <w:rFonts w:ascii="Times New Roman" w:hAnsi="Times New Roman"/>
        </w:rPr>
        <w:t xml:space="preserve">provide </w:t>
      </w:r>
      <w:r w:rsidRPr="001E4E73">
        <w:rPr>
          <w:rFonts w:ascii="Times New Roman" w:hAnsi="Times New Roman"/>
        </w:rPr>
        <w:t xml:space="preserve">clarity and consistency </w:t>
      </w:r>
      <w:r w:rsidR="00944BBC" w:rsidRPr="001E4E73">
        <w:rPr>
          <w:rFonts w:ascii="Times New Roman" w:hAnsi="Times New Roman"/>
        </w:rPr>
        <w:t xml:space="preserve">for stakeholders </w:t>
      </w:r>
      <w:r w:rsidRPr="001E4E73">
        <w:rPr>
          <w:rFonts w:ascii="Times New Roman" w:hAnsi="Times New Roman"/>
        </w:rPr>
        <w:t xml:space="preserve">by </w:t>
      </w:r>
      <w:r w:rsidR="00E26879" w:rsidRPr="001E4E73">
        <w:rPr>
          <w:rFonts w:ascii="Times New Roman" w:hAnsi="Times New Roman"/>
        </w:rPr>
        <w:t>describing</w:t>
      </w:r>
      <w:r w:rsidRPr="001E4E73">
        <w:rPr>
          <w:rFonts w:ascii="Times New Roman" w:hAnsi="Times New Roman"/>
        </w:rPr>
        <w:t xml:space="preserve"> circumstances where SIPs are not obliged to connect premises and/or supply wholesale services</w:t>
      </w:r>
      <w:r w:rsidR="00E26879" w:rsidRPr="001E4E73">
        <w:rPr>
          <w:rFonts w:ascii="Times New Roman" w:hAnsi="Times New Roman"/>
        </w:rPr>
        <w:t>. This provides a consistent baseline standard across all SIPs.</w:t>
      </w:r>
    </w:p>
    <w:p w14:paraId="70E5A84D" w14:textId="77777777" w:rsidR="00E26879" w:rsidRPr="001E4E73" w:rsidRDefault="00E26879" w:rsidP="00CA6BE1">
      <w:pPr>
        <w:spacing w:after="0" w:line="276" w:lineRule="auto"/>
        <w:rPr>
          <w:rFonts w:ascii="Times New Roman" w:hAnsi="Times New Roman"/>
        </w:rPr>
      </w:pPr>
    </w:p>
    <w:p w14:paraId="3576740E" w14:textId="422D3079" w:rsidR="00A10C7A" w:rsidRPr="001E4E73" w:rsidRDefault="00A10C7A" w:rsidP="000C2857">
      <w:pPr>
        <w:spacing w:line="276" w:lineRule="auto"/>
        <w:rPr>
          <w:rFonts w:ascii="Times New Roman" w:hAnsi="Times New Roman"/>
          <w:b/>
        </w:rPr>
      </w:pPr>
      <w:r w:rsidRPr="001E4E73">
        <w:rPr>
          <w:rFonts w:ascii="Times New Roman" w:hAnsi="Times New Roman"/>
          <w:b/>
        </w:rPr>
        <w:t>Human rights implications</w:t>
      </w:r>
    </w:p>
    <w:p w14:paraId="1C4F0E16" w14:textId="77777777" w:rsidR="00AE5F24" w:rsidRPr="001E4E73" w:rsidRDefault="00AE5F24" w:rsidP="000C2857">
      <w:pPr>
        <w:spacing w:after="0" w:line="276" w:lineRule="auto"/>
        <w:rPr>
          <w:rFonts w:ascii="Times New Roman" w:hAnsi="Times New Roman"/>
        </w:rPr>
      </w:pPr>
      <w:r w:rsidRPr="001E4E73">
        <w:rPr>
          <w:rFonts w:ascii="Times New Roman" w:hAnsi="Times New Roman"/>
        </w:rPr>
        <w:t>No human rights issues were raised during the consultation process.</w:t>
      </w:r>
    </w:p>
    <w:p w14:paraId="1FDC2308" w14:textId="77777777" w:rsidR="000C2857" w:rsidRPr="001E4E73" w:rsidRDefault="000C2857" w:rsidP="000C2857">
      <w:pPr>
        <w:spacing w:after="0" w:line="276" w:lineRule="auto"/>
        <w:rPr>
          <w:rFonts w:ascii="Times New Roman" w:hAnsi="Times New Roman"/>
        </w:rPr>
      </w:pPr>
    </w:p>
    <w:p w14:paraId="5B38B6DB" w14:textId="59654DC3" w:rsidR="00A10C7A" w:rsidRPr="001E4E73" w:rsidRDefault="00A10C7A" w:rsidP="000C2857">
      <w:pPr>
        <w:spacing w:after="0" w:line="276" w:lineRule="auto"/>
        <w:rPr>
          <w:rFonts w:ascii="Times New Roman" w:hAnsi="Times New Roman"/>
        </w:rPr>
      </w:pPr>
      <w:r w:rsidRPr="001E4E73">
        <w:rPr>
          <w:rFonts w:ascii="Times New Roman" w:hAnsi="Times New Roman"/>
        </w:rPr>
        <w:t xml:space="preserve">The Instrument is compatible with the rights and freedoms recognised or declared by the international instruments listed in subsection 3(1) of the </w:t>
      </w:r>
      <w:r w:rsidRPr="001E4E73">
        <w:rPr>
          <w:rFonts w:ascii="Times New Roman" w:hAnsi="Times New Roman"/>
          <w:i/>
        </w:rPr>
        <w:t xml:space="preserve">Human Rights (Parliamentary Scrutiny) Act 2011 </w:t>
      </w:r>
      <w:r w:rsidRPr="001E4E73">
        <w:rPr>
          <w:rFonts w:ascii="Times New Roman" w:hAnsi="Times New Roman"/>
        </w:rPr>
        <w:t>as they apply to Australia.</w:t>
      </w:r>
    </w:p>
    <w:p w14:paraId="29CBDE4E" w14:textId="77777777" w:rsidR="000C2857" w:rsidRPr="001E4E73" w:rsidRDefault="000C2857" w:rsidP="000C2857">
      <w:pPr>
        <w:spacing w:after="0" w:line="276" w:lineRule="auto"/>
        <w:rPr>
          <w:rFonts w:ascii="Times New Roman" w:hAnsi="Times New Roman"/>
        </w:rPr>
      </w:pPr>
    </w:p>
    <w:p w14:paraId="0D1C1BA6" w14:textId="77777777" w:rsidR="00A10C7A" w:rsidRPr="001E4E73" w:rsidRDefault="00A10C7A" w:rsidP="000C2857">
      <w:pPr>
        <w:spacing w:after="0" w:line="276" w:lineRule="auto"/>
        <w:rPr>
          <w:rFonts w:ascii="Times New Roman" w:hAnsi="Times New Roman"/>
        </w:rPr>
      </w:pPr>
      <w:r w:rsidRPr="001E4E73">
        <w:rPr>
          <w:rFonts w:ascii="Times New Roman" w:hAnsi="Times New Roman"/>
        </w:rPr>
        <w:t>The Instrument does not engage any of the applicable rights or freedoms.</w:t>
      </w:r>
    </w:p>
    <w:p w14:paraId="0A5D6375" w14:textId="77777777" w:rsidR="000C2857" w:rsidRPr="001E4E73" w:rsidRDefault="000C2857" w:rsidP="000C2857">
      <w:pPr>
        <w:spacing w:after="0" w:line="276" w:lineRule="auto"/>
        <w:rPr>
          <w:rFonts w:ascii="Times New Roman" w:hAnsi="Times New Roman"/>
        </w:rPr>
      </w:pPr>
    </w:p>
    <w:p w14:paraId="3BBD432A" w14:textId="77777777" w:rsidR="00A10C7A" w:rsidRPr="001E4E73" w:rsidRDefault="00A10C7A" w:rsidP="000C2857">
      <w:pPr>
        <w:spacing w:line="276" w:lineRule="auto"/>
        <w:rPr>
          <w:rFonts w:ascii="Times New Roman" w:hAnsi="Times New Roman"/>
          <w:b/>
        </w:rPr>
      </w:pPr>
      <w:r w:rsidRPr="001E4E73">
        <w:rPr>
          <w:rFonts w:ascii="Times New Roman" w:hAnsi="Times New Roman"/>
          <w:b/>
        </w:rPr>
        <w:t>Conclusion</w:t>
      </w:r>
    </w:p>
    <w:p w14:paraId="66C67CEB" w14:textId="77777777" w:rsidR="00EA46BC" w:rsidRPr="00635AB8" w:rsidRDefault="00A10C7A" w:rsidP="0067402A">
      <w:pPr>
        <w:spacing w:line="276" w:lineRule="auto"/>
        <w:rPr>
          <w:rFonts w:ascii="Times New Roman" w:hAnsi="Times New Roman"/>
        </w:rPr>
      </w:pPr>
      <w:r w:rsidRPr="001E4E73">
        <w:rPr>
          <w:rFonts w:ascii="Times New Roman" w:hAnsi="Times New Roman"/>
        </w:rPr>
        <w:t>The Instrument is compatible with human rights as it does not raise any human rights issues.</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DFA4" w14:textId="77777777" w:rsidR="00BD2B2D" w:rsidRDefault="00BD2B2D">
      <w:pPr>
        <w:spacing w:after="0"/>
      </w:pPr>
      <w:r>
        <w:separator/>
      </w:r>
    </w:p>
  </w:endnote>
  <w:endnote w:type="continuationSeparator" w:id="0">
    <w:p w14:paraId="1D4F00A9" w14:textId="77777777" w:rsidR="00BD2B2D" w:rsidRDefault="00BD2B2D">
      <w:pPr>
        <w:spacing w:after="0"/>
      </w:pPr>
      <w:r>
        <w:continuationSeparator/>
      </w:r>
    </w:p>
  </w:endnote>
  <w:endnote w:type="continuationNotice" w:id="1">
    <w:p w14:paraId="74F77304" w14:textId="77777777" w:rsidR="00BD2B2D" w:rsidRDefault="00BD2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7691A36C" w14:textId="77777777" w:rsidR="00526F9B" w:rsidRPr="00E90BCB" w:rsidRDefault="00526F9B">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Pr>
            <w:rFonts w:ascii="Times New Roman" w:hAnsi="Times New Roman"/>
            <w:noProof/>
            <w:sz w:val="24"/>
          </w:rPr>
          <w:t>1</w:t>
        </w:r>
        <w:r w:rsidRPr="00E90BCB">
          <w:rPr>
            <w:rFonts w:ascii="Times New Roman" w:hAnsi="Times New Roman"/>
            <w:noProof/>
            <w:sz w:val="24"/>
          </w:rPr>
          <w:fldChar w:fldCharType="end"/>
        </w:r>
      </w:p>
    </w:sdtContent>
  </w:sdt>
  <w:p w14:paraId="4C3767DC" w14:textId="77777777" w:rsidR="00526F9B" w:rsidRDefault="00526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9C8E" w14:textId="77777777" w:rsidR="00526F9B" w:rsidRPr="00767979" w:rsidRDefault="00526F9B"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Pr>
        <w:rStyle w:val="PageNumber"/>
        <w:rFonts w:ascii="Times New Roman" w:hAnsi="Times New Roman"/>
        <w:noProof/>
      </w:rPr>
      <w:t>11</w:t>
    </w:r>
    <w:r w:rsidRPr="009027D6">
      <w:rPr>
        <w:rStyle w:val="PageNumber"/>
        <w:rFonts w:ascii="Times New Roman" w:hAnsi="Times New Roman"/>
      </w:rPr>
      <w:fldChar w:fldCharType="end"/>
    </w:r>
  </w:p>
  <w:p w14:paraId="18D8B0A8" w14:textId="77777777" w:rsidR="00526F9B" w:rsidRDefault="00526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D609" w14:textId="77777777" w:rsidR="00BD2B2D" w:rsidRDefault="00BD2B2D">
      <w:pPr>
        <w:spacing w:after="0"/>
      </w:pPr>
      <w:r>
        <w:separator/>
      </w:r>
    </w:p>
  </w:footnote>
  <w:footnote w:type="continuationSeparator" w:id="0">
    <w:p w14:paraId="7E37347A" w14:textId="77777777" w:rsidR="00BD2B2D" w:rsidRDefault="00BD2B2D">
      <w:pPr>
        <w:spacing w:after="0"/>
      </w:pPr>
      <w:r>
        <w:continuationSeparator/>
      </w:r>
    </w:p>
  </w:footnote>
  <w:footnote w:type="continuationNotice" w:id="1">
    <w:p w14:paraId="41E3F740" w14:textId="77777777" w:rsidR="00BD2B2D" w:rsidRDefault="00BD2B2D">
      <w:pPr>
        <w:spacing w:after="0"/>
      </w:pPr>
    </w:p>
  </w:footnote>
  <w:footnote w:id="2">
    <w:p w14:paraId="2D4518DE" w14:textId="77777777" w:rsidR="00526F9B" w:rsidRPr="00334310" w:rsidRDefault="00526F9B" w:rsidP="00B665D3">
      <w:pPr>
        <w:pStyle w:val="FootnoteText"/>
        <w:rPr>
          <w:sz w:val="18"/>
          <w:szCs w:val="18"/>
        </w:rPr>
      </w:pPr>
      <w:r>
        <w:rPr>
          <w:rStyle w:val="FootnoteReference"/>
        </w:rPr>
        <w:footnoteRef/>
      </w:r>
      <w:r>
        <w:t xml:space="preserve"> See: </w:t>
      </w:r>
      <w:hyperlink r:id="rId1" w:history="1">
        <w:r w:rsidRPr="00334310">
          <w:rPr>
            <w:rStyle w:val="Hyperlink"/>
            <w:rFonts w:ascii="Times New Roman" w:hAnsi="Times New Roman"/>
            <w:sz w:val="18"/>
            <w:szCs w:val="18"/>
          </w:rPr>
          <w:t>www.pmc.gov.au/resource-centre/government/legislation-handbook</w:t>
        </w:r>
      </w:hyperlink>
      <w:r>
        <w:rPr>
          <w:rFonts w:ascii="Times New Roman" w:hAnsi="Times New Roman"/>
          <w:sz w:val="18"/>
          <w:szCs w:val="18"/>
        </w:rPr>
        <w:t xml:space="preserve"> </w:t>
      </w:r>
      <w:r>
        <w:rPr>
          <w:rFonts w:ascii="Times New Roman" w:hAnsi="Times New Roman"/>
          <w:color w:val="000000" w:themeColor="text1"/>
        </w:rPr>
        <w:t>(section 5.65)</w:t>
      </w:r>
    </w:p>
  </w:footnote>
  <w:footnote w:id="3">
    <w:p w14:paraId="4ED7D1FE" w14:textId="77777777" w:rsidR="00526F9B" w:rsidRPr="00400E71" w:rsidRDefault="00526F9B">
      <w:pPr>
        <w:pStyle w:val="FootnoteText"/>
        <w:rPr>
          <w:rFonts w:ascii="Times New Roman" w:hAnsi="Times New Roman"/>
          <w:sz w:val="18"/>
          <w:szCs w:val="18"/>
        </w:rPr>
      </w:pPr>
      <w:r w:rsidRPr="00400E71">
        <w:rPr>
          <w:rStyle w:val="FootnoteReference"/>
          <w:rFonts w:ascii="Times New Roman" w:hAnsi="Times New Roman"/>
          <w:sz w:val="18"/>
          <w:szCs w:val="18"/>
        </w:rPr>
        <w:footnoteRef/>
      </w:r>
      <w:r w:rsidRPr="00400E71">
        <w:rPr>
          <w:rFonts w:ascii="Times New Roman" w:hAnsi="Times New Roman"/>
          <w:sz w:val="18"/>
          <w:szCs w:val="18"/>
        </w:rPr>
        <w:t xml:space="preserve"> </w:t>
      </w:r>
      <w:r w:rsidRPr="00400E71">
        <w:rPr>
          <w:sz w:val="18"/>
          <w:szCs w:val="18"/>
        </w:rPr>
        <w:t>https://www.legislation.gov.au/F2011L00417/latest/text</w:t>
      </w:r>
      <w:r w:rsidRPr="00400E71">
        <w:rPr>
          <w:rStyle w:val="Hyperlink"/>
          <w:rFonts w:ascii="Times New Roman" w:hAnsi="Times New Roman"/>
          <w:color w:val="auto"/>
          <w:sz w:val="18"/>
          <w:szCs w:val="18"/>
          <w:u w:val="none"/>
        </w:rPr>
        <w:t xml:space="preserve">. Please note that this instrument was re-made in 2023 – see </w:t>
      </w:r>
      <w:r w:rsidR="008D5647" w:rsidRPr="008D5647">
        <w:rPr>
          <w:rFonts w:ascii="Times New Roman" w:hAnsi="Times New Roman"/>
          <w:sz w:val="18"/>
          <w:szCs w:val="18"/>
        </w:rPr>
        <w:t>https://www.legislation.gov.au/F2023L00221/asmade/text</w:t>
      </w:r>
      <w:r w:rsidRPr="00400E71">
        <w:rPr>
          <w:rStyle w:val="Hyperlink"/>
          <w:rFonts w:ascii="Times New Roman" w:hAnsi="Times New Roman"/>
          <w:sz w:val="18"/>
          <w:szCs w:val="18"/>
        </w:rPr>
        <w:t xml:space="preserve">. </w:t>
      </w:r>
    </w:p>
    <w:p w14:paraId="489FD2D7" w14:textId="77777777" w:rsidR="00526F9B" w:rsidRDefault="00526F9B">
      <w:pPr>
        <w:pStyle w:val="FootnoteText"/>
      </w:pPr>
    </w:p>
  </w:footnote>
  <w:footnote w:id="4">
    <w:p w14:paraId="36686C94" w14:textId="77777777" w:rsidR="00526F9B" w:rsidRPr="008211DC" w:rsidRDefault="00526F9B">
      <w:pPr>
        <w:pStyle w:val="FootnoteText"/>
        <w:rPr>
          <w:rFonts w:ascii="Times New Roman" w:hAnsi="Times New Roman"/>
          <w:sz w:val="18"/>
          <w:szCs w:val="18"/>
        </w:rPr>
      </w:pPr>
      <w:r w:rsidRPr="00397C19">
        <w:rPr>
          <w:rStyle w:val="FootnoteReference"/>
          <w:rFonts w:ascii="Times New Roman" w:hAnsi="Times New Roman"/>
          <w:sz w:val="18"/>
          <w:szCs w:val="18"/>
        </w:rPr>
        <w:footnoteRef/>
      </w:r>
      <w:r w:rsidRPr="008211DC">
        <w:rPr>
          <w:rFonts w:ascii="Times New Roman" w:hAnsi="Times New Roman"/>
          <w:sz w:val="18"/>
          <w:szCs w:val="18"/>
        </w:rPr>
        <w:t xml:space="preserve"> See </w:t>
      </w:r>
      <w:hyperlink r:id="rId2" w:history="1">
        <w:r w:rsidRPr="00F67E72">
          <w:rPr>
            <w:rStyle w:val="Hyperlink"/>
            <w:rFonts w:ascii="Times New Roman" w:hAnsi="Times New Roman"/>
            <w:sz w:val="18"/>
            <w:szCs w:val="18"/>
          </w:rPr>
          <w:t>https://www.nbnco.com.au/content/dam/nbn/documents/sell/wba/2023/wba5/nbn-approved-non-premises-list-20231201.pdf.coredownload.pdf</w:t>
        </w:r>
      </w:hyperlink>
      <w:r>
        <w:rPr>
          <w:rFonts w:ascii="Times New Roman" w:hAnsi="Times New Roman"/>
          <w:sz w:val="18"/>
          <w:szCs w:val="18"/>
        </w:rPr>
        <w:t xml:space="preserve"> </w:t>
      </w:r>
    </w:p>
    <w:p w14:paraId="5F1A47E0" w14:textId="77777777" w:rsidR="00526F9B" w:rsidRDefault="00526F9B">
      <w:pPr>
        <w:pStyle w:val="FootnoteText"/>
      </w:pPr>
    </w:p>
  </w:footnote>
  <w:footnote w:id="5">
    <w:p w14:paraId="0E443B9D" w14:textId="77777777" w:rsidR="00526F9B" w:rsidRPr="001C1E0E" w:rsidRDefault="00526F9B" w:rsidP="00B80897">
      <w:pPr>
        <w:pStyle w:val="FootnoteText"/>
        <w:rPr>
          <w:rFonts w:ascii="Times New Roman" w:hAnsi="Times New Roman"/>
          <w:sz w:val="16"/>
          <w:szCs w:val="16"/>
        </w:rPr>
      </w:pPr>
      <w:r w:rsidRPr="001C1E0E">
        <w:rPr>
          <w:rStyle w:val="FootnoteReference"/>
          <w:rFonts w:ascii="Times New Roman" w:hAnsi="Times New Roman"/>
          <w:sz w:val="16"/>
          <w:szCs w:val="16"/>
        </w:rPr>
        <w:footnoteRef/>
      </w:r>
      <w:r w:rsidRPr="001C1E0E">
        <w:rPr>
          <w:rFonts w:ascii="Times New Roman" w:hAnsi="Times New Roman"/>
          <w:sz w:val="16"/>
          <w:szCs w:val="16"/>
        </w:rPr>
        <w:t xml:space="preserve"> See </w:t>
      </w:r>
      <w:hyperlink r:id="rId3" w:history="1">
        <w:r w:rsidRPr="00F67E72">
          <w:rPr>
            <w:rStyle w:val="Hyperlink"/>
            <w:rFonts w:ascii="Times New Roman" w:hAnsi="Times New Roman"/>
            <w:sz w:val="16"/>
            <w:szCs w:val="16"/>
          </w:rPr>
          <w:t>https://www.infrastructure.gov.au/department/media/publications/2024-telecommunications-new-developments-policy</w:t>
        </w:r>
      </w:hyperlink>
      <w:r>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CB02" w14:textId="77777777" w:rsidR="00526F9B" w:rsidRPr="000A2F7D" w:rsidRDefault="00526F9B"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679" w14:textId="77777777" w:rsidR="00526F9B" w:rsidRPr="00767979" w:rsidRDefault="00526F9B"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130"/>
    <w:multiLevelType w:val="hybridMultilevel"/>
    <w:tmpl w:val="4EE0744C"/>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17031"/>
    <w:multiLevelType w:val="hybridMultilevel"/>
    <w:tmpl w:val="A82E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95246"/>
    <w:multiLevelType w:val="hybridMultilevel"/>
    <w:tmpl w:val="3C3C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6C2ED2"/>
    <w:multiLevelType w:val="hybridMultilevel"/>
    <w:tmpl w:val="D470731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178FC"/>
    <w:multiLevelType w:val="hybridMultilevel"/>
    <w:tmpl w:val="515E1B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ED65AB"/>
    <w:multiLevelType w:val="hybridMultilevel"/>
    <w:tmpl w:val="3FF4EE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205FD4"/>
    <w:multiLevelType w:val="hybridMultilevel"/>
    <w:tmpl w:val="16B6A0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33"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4"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82424"/>
    <w:multiLevelType w:val="hybridMultilevel"/>
    <w:tmpl w:val="7D7683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6"/>
  </w:num>
  <w:num w:numId="4">
    <w:abstractNumId w:val="25"/>
  </w:num>
  <w:num w:numId="5">
    <w:abstractNumId w:val="21"/>
  </w:num>
  <w:num w:numId="6">
    <w:abstractNumId w:val="7"/>
  </w:num>
  <w:num w:numId="7">
    <w:abstractNumId w:val="24"/>
  </w:num>
  <w:num w:numId="8">
    <w:abstractNumId w:val="2"/>
  </w:num>
  <w:num w:numId="9">
    <w:abstractNumId w:val="38"/>
  </w:num>
  <w:num w:numId="10">
    <w:abstractNumId w:val="8"/>
  </w:num>
  <w:num w:numId="11">
    <w:abstractNumId w:val="35"/>
  </w:num>
  <w:num w:numId="12">
    <w:abstractNumId w:val="30"/>
  </w:num>
  <w:num w:numId="13">
    <w:abstractNumId w:val="31"/>
  </w:num>
  <w:num w:numId="14">
    <w:abstractNumId w:val="33"/>
  </w:num>
  <w:num w:numId="15">
    <w:abstractNumId w:val="32"/>
  </w:num>
  <w:num w:numId="16">
    <w:abstractNumId w:val="4"/>
  </w:num>
  <w:num w:numId="17">
    <w:abstractNumId w:val="23"/>
  </w:num>
  <w:num w:numId="18">
    <w:abstractNumId w:val="14"/>
  </w:num>
  <w:num w:numId="19">
    <w:abstractNumId w:val="6"/>
  </w:num>
  <w:num w:numId="20">
    <w:abstractNumId w:val="37"/>
  </w:num>
  <w:num w:numId="21">
    <w:abstractNumId w:val="15"/>
  </w:num>
  <w:num w:numId="22">
    <w:abstractNumId w:val="1"/>
  </w:num>
  <w:num w:numId="23">
    <w:abstractNumId w:val="20"/>
  </w:num>
  <w:num w:numId="24">
    <w:abstractNumId w:val="39"/>
  </w:num>
  <w:num w:numId="25">
    <w:abstractNumId w:val="28"/>
  </w:num>
  <w:num w:numId="26">
    <w:abstractNumId w:val="18"/>
  </w:num>
  <w:num w:numId="27">
    <w:abstractNumId w:val="34"/>
  </w:num>
  <w:num w:numId="28">
    <w:abstractNumId w:val="0"/>
  </w:num>
  <w:num w:numId="29">
    <w:abstractNumId w:val="29"/>
  </w:num>
  <w:num w:numId="30">
    <w:abstractNumId w:val="19"/>
  </w:num>
  <w:num w:numId="31">
    <w:abstractNumId w:val="27"/>
  </w:num>
  <w:num w:numId="32">
    <w:abstractNumId w:val="13"/>
  </w:num>
  <w:num w:numId="33">
    <w:abstractNumId w:val="10"/>
  </w:num>
  <w:num w:numId="34">
    <w:abstractNumId w:val="11"/>
  </w:num>
  <w:num w:numId="35">
    <w:abstractNumId w:val="9"/>
  </w:num>
  <w:num w:numId="36">
    <w:abstractNumId w:val="17"/>
  </w:num>
  <w:num w:numId="37">
    <w:abstractNumId w:val="22"/>
  </w:num>
  <w:num w:numId="38">
    <w:abstractNumId w:val="36"/>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92"/>
    <w:rsid w:val="00002163"/>
    <w:rsid w:val="00002875"/>
    <w:rsid w:val="00002E06"/>
    <w:rsid w:val="0000436C"/>
    <w:rsid w:val="00004635"/>
    <w:rsid w:val="00004CB5"/>
    <w:rsid w:val="000050B9"/>
    <w:rsid w:val="00006D7F"/>
    <w:rsid w:val="000108A2"/>
    <w:rsid w:val="000124ED"/>
    <w:rsid w:val="00012CC2"/>
    <w:rsid w:val="00014872"/>
    <w:rsid w:val="00014A8B"/>
    <w:rsid w:val="00017084"/>
    <w:rsid w:val="0002143C"/>
    <w:rsid w:val="0002278C"/>
    <w:rsid w:val="00024670"/>
    <w:rsid w:val="000257BF"/>
    <w:rsid w:val="00027216"/>
    <w:rsid w:val="0002761C"/>
    <w:rsid w:val="00027911"/>
    <w:rsid w:val="00033908"/>
    <w:rsid w:val="0003453E"/>
    <w:rsid w:val="00035567"/>
    <w:rsid w:val="0003740F"/>
    <w:rsid w:val="00040225"/>
    <w:rsid w:val="000408CF"/>
    <w:rsid w:val="00042326"/>
    <w:rsid w:val="0004396E"/>
    <w:rsid w:val="00043C5D"/>
    <w:rsid w:val="0004432B"/>
    <w:rsid w:val="00046B29"/>
    <w:rsid w:val="0005001E"/>
    <w:rsid w:val="00050EDE"/>
    <w:rsid w:val="0005284E"/>
    <w:rsid w:val="00052BC7"/>
    <w:rsid w:val="00052FB9"/>
    <w:rsid w:val="0005314F"/>
    <w:rsid w:val="000538BE"/>
    <w:rsid w:val="000556EC"/>
    <w:rsid w:val="00055915"/>
    <w:rsid w:val="0005693D"/>
    <w:rsid w:val="00056EBE"/>
    <w:rsid w:val="00057861"/>
    <w:rsid w:val="00062F28"/>
    <w:rsid w:val="000630A6"/>
    <w:rsid w:val="000640A2"/>
    <w:rsid w:val="00065374"/>
    <w:rsid w:val="00065AAA"/>
    <w:rsid w:val="00065B5F"/>
    <w:rsid w:val="00067C99"/>
    <w:rsid w:val="00067F33"/>
    <w:rsid w:val="0007195B"/>
    <w:rsid w:val="00071FED"/>
    <w:rsid w:val="00073851"/>
    <w:rsid w:val="000738CA"/>
    <w:rsid w:val="0007453D"/>
    <w:rsid w:val="00075910"/>
    <w:rsid w:val="00075CF5"/>
    <w:rsid w:val="00077844"/>
    <w:rsid w:val="00080A6A"/>
    <w:rsid w:val="00082E6F"/>
    <w:rsid w:val="000852C5"/>
    <w:rsid w:val="000860EF"/>
    <w:rsid w:val="000864BF"/>
    <w:rsid w:val="00086703"/>
    <w:rsid w:val="00090411"/>
    <w:rsid w:val="000906B9"/>
    <w:rsid w:val="000968BF"/>
    <w:rsid w:val="000A0950"/>
    <w:rsid w:val="000A1521"/>
    <w:rsid w:val="000A2F7D"/>
    <w:rsid w:val="000A6E2D"/>
    <w:rsid w:val="000A77EC"/>
    <w:rsid w:val="000B10B5"/>
    <w:rsid w:val="000B18DE"/>
    <w:rsid w:val="000B2CE2"/>
    <w:rsid w:val="000B31BC"/>
    <w:rsid w:val="000B7CEF"/>
    <w:rsid w:val="000C0EAD"/>
    <w:rsid w:val="000C17D0"/>
    <w:rsid w:val="000C2857"/>
    <w:rsid w:val="000C5386"/>
    <w:rsid w:val="000C70E8"/>
    <w:rsid w:val="000D04CB"/>
    <w:rsid w:val="000D061A"/>
    <w:rsid w:val="000D091B"/>
    <w:rsid w:val="000D15DA"/>
    <w:rsid w:val="000D2E8D"/>
    <w:rsid w:val="000D7F02"/>
    <w:rsid w:val="000E07CC"/>
    <w:rsid w:val="000E0F4A"/>
    <w:rsid w:val="000E1C9D"/>
    <w:rsid w:val="000E20F9"/>
    <w:rsid w:val="000E267F"/>
    <w:rsid w:val="000E4509"/>
    <w:rsid w:val="000E6A26"/>
    <w:rsid w:val="000F163C"/>
    <w:rsid w:val="000F1677"/>
    <w:rsid w:val="000F529D"/>
    <w:rsid w:val="000F63D3"/>
    <w:rsid w:val="000F7A7D"/>
    <w:rsid w:val="001004B5"/>
    <w:rsid w:val="001015E9"/>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826"/>
    <w:rsid w:val="00125ABC"/>
    <w:rsid w:val="001307E5"/>
    <w:rsid w:val="001432C9"/>
    <w:rsid w:val="00144278"/>
    <w:rsid w:val="0014730A"/>
    <w:rsid w:val="00150387"/>
    <w:rsid w:val="001509C1"/>
    <w:rsid w:val="001510F5"/>
    <w:rsid w:val="00151755"/>
    <w:rsid w:val="001537E5"/>
    <w:rsid w:val="001606AF"/>
    <w:rsid w:val="00162101"/>
    <w:rsid w:val="001626C5"/>
    <w:rsid w:val="00163C60"/>
    <w:rsid w:val="00164CE9"/>
    <w:rsid w:val="00165409"/>
    <w:rsid w:val="00165819"/>
    <w:rsid w:val="00166F31"/>
    <w:rsid w:val="00171812"/>
    <w:rsid w:val="001718BF"/>
    <w:rsid w:val="0017248D"/>
    <w:rsid w:val="00172FC7"/>
    <w:rsid w:val="0017360D"/>
    <w:rsid w:val="00174A72"/>
    <w:rsid w:val="00174B0E"/>
    <w:rsid w:val="00177889"/>
    <w:rsid w:val="00177CD2"/>
    <w:rsid w:val="00180130"/>
    <w:rsid w:val="001806EB"/>
    <w:rsid w:val="001823AB"/>
    <w:rsid w:val="0018322A"/>
    <w:rsid w:val="00183DC7"/>
    <w:rsid w:val="001841F4"/>
    <w:rsid w:val="00184E13"/>
    <w:rsid w:val="00184E65"/>
    <w:rsid w:val="001872E5"/>
    <w:rsid w:val="00187A00"/>
    <w:rsid w:val="001907CD"/>
    <w:rsid w:val="00191736"/>
    <w:rsid w:val="00191BAA"/>
    <w:rsid w:val="00192BBB"/>
    <w:rsid w:val="00192E8D"/>
    <w:rsid w:val="0019331D"/>
    <w:rsid w:val="001940F6"/>
    <w:rsid w:val="0019621D"/>
    <w:rsid w:val="001A00D9"/>
    <w:rsid w:val="001A1640"/>
    <w:rsid w:val="001A1A92"/>
    <w:rsid w:val="001A3476"/>
    <w:rsid w:val="001A36D3"/>
    <w:rsid w:val="001A5AE0"/>
    <w:rsid w:val="001A5FD3"/>
    <w:rsid w:val="001A628D"/>
    <w:rsid w:val="001A71E7"/>
    <w:rsid w:val="001B2FEA"/>
    <w:rsid w:val="001B32C6"/>
    <w:rsid w:val="001B4AF3"/>
    <w:rsid w:val="001B57CB"/>
    <w:rsid w:val="001B729D"/>
    <w:rsid w:val="001B7EB6"/>
    <w:rsid w:val="001C1E0E"/>
    <w:rsid w:val="001C2661"/>
    <w:rsid w:val="001C2A7E"/>
    <w:rsid w:val="001C3688"/>
    <w:rsid w:val="001C73AD"/>
    <w:rsid w:val="001D0379"/>
    <w:rsid w:val="001D2423"/>
    <w:rsid w:val="001D3AE5"/>
    <w:rsid w:val="001D3DF3"/>
    <w:rsid w:val="001D44F8"/>
    <w:rsid w:val="001D541C"/>
    <w:rsid w:val="001D554F"/>
    <w:rsid w:val="001E0512"/>
    <w:rsid w:val="001E0AA0"/>
    <w:rsid w:val="001E10ED"/>
    <w:rsid w:val="001E2A87"/>
    <w:rsid w:val="001E37A8"/>
    <w:rsid w:val="001E4E73"/>
    <w:rsid w:val="001E5706"/>
    <w:rsid w:val="001E7AF7"/>
    <w:rsid w:val="001F17AD"/>
    <w:rsid w:val="001F21C8"/>
    <w:rsid w:val="001F23CA"/>
    <w:rsid w:val="001F72ED"/>
    <w:rsid w:val="001F75C3"/>
    <w:rsid w:val="00200F5F"/>
    <w:rsid w:val="00202F90"/>
    <w:rsid w:val="00203A2E"/>
    <w:rsid w:val="00204F36"/>
    <w:rsid w:val="0020767B"/>
    <w:rsid w:val="00207753"/>
    <w:rsid w:val="0021093D"/>
    <w:rsid w:val="00210AF8"/>
    <w:rsid w:val="002112E8"/>
    <w:rsid w:val="00211D55"/>
    <w:rsid w:val="00211E10"/>
    <w:rsid w:val="002123F3"/>
    <w:rsid w:val="002147DF"/>
    <w:rsid w:val="002164D6"/>
    <w:rsid w:val="002166F3"/>
    <w:rsid w:val="002205FC"/>
    <w:rsid w:val="002208B7"/>
    <w:rsid w:val="00222843"/>
    <w:rsid w:val="002244D0"/>
    <w:rsid w:val="002258DD"/>
    <w:rsid w:val="00225C54"/>
    <w:rsid w:val="00225E00"/>
    <w:rsid w:val="00227C70"/>
    <w:rsid w:val="00231869"/>
    <w:rsid w:val="00232AB6"/>
    <w:rsid w:val="002356B8"/>
    <w:rsid w:val="00235ADC"/>
    <w:rsid w:val="0023713A"/>
    <w:rsid w:val="00240D97"/>
    <w:rsid w:val="00242062"/>
    <w:rsid w:val="0024213E"/>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672C0"/>
    <w:rsid w:val="00270A88"/>
    <w:rsid w:val="00270EAD"/>
    <w:rsid w:val="002716CC"/>
    <w:rsid w:val="002723A6"/>
    <w:rsid w:val="00273A0F"/>
    <w:rsid w:val="00274E79"/>
    <w:rsid w:val="002763F7"/>
    <w:rsid w:val="00281930"/>
    <w:rsid w:val="00282A56"/>
    <w:rsid w:val="00283F84"/>
    <w:rsid w:val="00284ED6"/>
    <w:rsid w:val="00287092"/>
    <w:rsid w:val="0028738F"/>
    <w:rsid w:val="00291929"/>
    <w:rsid w:val="00293E6A"/>
    <w:rsid w:val="00297DD5"/>
    <w:rsid w:val="002A017B"/>
    <w:rsid w:val="002A1139"/>
    <w:rsid w:val="002A33FD"/>
    <w:rsid w:val="002A44BC"/>
    <w:rsid w:val="002A457B"/>
    <w:rsid w:val="002A605F"/>
    <w:rsid w:val="002A7D24"/>
    <w:rsid w:val="002B0212"/>
    <w:rsid w:val="002B0A5B"/>
    <w:rsid w:val="002B24C4"/>
    <w:rsid w:val="002B2876"/>
    <w:rsid w:val="002B3522"/>
    <w:rsid w:val="002B5618"/>
    <w:rsid w:val="002B568B"/>
    <w:rsid w:val="002B58D2"/>
    <w:rsid w:val="002B5CE3"/>
    <w:rsid w:val="002B772A"/>
    <w:rsid w:val="002C3347"/>
    <w:rsid w:val="002C381C"/>
    <w:rsid w:val="002C4505"/>
    <w:rsid w:val="002C46D5"/>
    <w:rsid w:val="002C5D6D"/>
    <w:rsid w:val="002C69B5"/>
    <w:rsid w:val="002C6CDC"/>
    <w:rsid w:val="002C6F4E"/>
    <w:rsid w:val="002D039F"/>
    <w:rsid w:val="002D0E71"/>
    <w:rsid w:val="002D6C6E"/>
    <w:rsid w:val="002D706E"/>
    <w:rsid w:val="002D7DA1"/>
    <w:rsid w:val="002E1002"/>
    <w:rsid w:val="002E23D7"/>
    <w:rsid w:val="002E267B"/>
    <w:rsid w:val="002E4102"/>
    <w:rsid w:val="002E462A"/>
    <w:rsid w:val="002E4867"/>
    <w:rsid w:val="002E59FB"/>
    <w:rsid w:val="002E5C21"/>
    <w:rsid w:val="002E5C8D"/>
    <w:rsid w:val="002F0574"/>
    <w:rsid w:val="002F146E"/>
    <w:rsid w:val="002F2BDA"/>
    <w:rsid w:val="002F2BF6"/>
    <w:rsid w:val="002F2C81"/>
    <w:rsid w:val="002F340C"/>
    <w:rsid w:val="002F3FF2"/>
    <w:rsid w:val="002F50E1"/>
    <w:rsid w:val="002F5EE1"/>
    <w:rsid w:val="003041A2"/>
    <w:rsid w:val="00304797"/>
    <w:rsid w:val="00306CC6"/>
    <w:rsid w:val="00307C56"/>
    <w:rsid w:val="00307F03"/>
    <w:rsid w:val="003115E2"/>
    <w:rsid w:val="00313CCA"/>
    <w:rsid w:val="00313D71"/>
    <w:rsid w:val="003142BD"/>
    <w:rsid w:val="00315297"/>
    <w:rsid w:val="003172B0"/>
    <w:rsid w:val="0031795D"/>
    <w:rsid w:val="00320E7B"/>
    <w:rsid w:val="00322362"/>
    <w:rsid w:val="00322899"/>
    <w:rsid w:val="003230D3"/>
    <w:rsid w:val="0032333B"/>
    <w:rsid w:val="0032423A"/>
    <w:rsid w:val="0032456F"/>
    <w:rsid w:val="003253AB"/>
    <w:rsid w:val="003255ED"/>
    <w:rsid w:val="00326F10"/>
    <w:rsid w:val="00326F96"/>
    <w:rsid w:val="00330163"/>
    <w:rsid w:val="00333592"/>
    <w:rsid w:val="00335056"/>
    <w:rsid w:val="003355A6"/>
    <w:rsid w:val="00336274"/>
    <w:rsid w:val="00337639"/>
    <w:rsid w:val="0034077B"/>
    <w:rsid w:val="00342EA5"/>
    <w:rsid w:val="003502FE"/>
    <w:rsid w:val="00350696"/>
    <w:rsid w:val="00350BA3"/>
    <w:rsid w:val="003514F4"/>
    <w:rsid w:val="00352002"/>
    <w:rsid w:val="0035337E"/>
    <w:rsid w:val="00356526"/>
    <w:rsid w:val="0035778E"/>
    <w:rsid w:val="00362558"/>
    <w:rsid w:val="0036274A"/>
    <w:rsid w:val="00362FE1"/>
    <w:rsid w:val="00363FBC"/>
    <w:rsid w:val="00365D87"/>
    <w:rsid w:val="00367531"/>
    <w:rsid w:val="00371461"/>
    <w:rsid w:val="0037273E"/>
    <w:rsid w:val="0037363D"/>
    <w:rsid w:val="003736EF"/>
    <w:rsid w:val="00377D8F"/>
    <w:rsid w:val="0038254F"/>
    <w:rsid w:val="00382E5F"/>
    <w:rsid w:val="00383E01"/>
    <w:rsid w:val="00384FA7"/>
    <w:rsid w:val="00385E0E"/>
    <w:rsid w:val="00386A08"/>
    <w:rsid w:val="00386FF7"/>
    <w:rsid w:val="0038793C"/>
    <w:rsid w:val="0038794B"/>
    <w:rsid w:val="003913FF"/>
    <w:rsid w:val="00391733"/>
    <w:rsid w:val="00393139"/>
    <w:rsid w:val="00393BF8"/>
    <w:rsid w:val="003941B1"/>
    <w:rsid w:val="00397604"/>
    <w:rsid w:val="00397C19"/>
    <w:rsid w:val="003A0CFA"/>
    <w:rsid w:val="003A187C"/>
    <w:rsid w:val="003A1B52"/>
    <w:rsid w:val="003A2C7C"/>
    <w:rsid w:val="003A396B"/>
    <w:rsid w:val="003A4975"/>
    <w:rsid w:val="003A5D5E"/>
    <w:rsid w:val="003A634B"/>
    <w:rsid w:val="003A6C45"/>
    <w:rsid w:val="003A78CC"/>
    <w:rsid w:val="003A7B5F"/>
    <w:rsid w:val="003B02A8"/>
    <w:rsid w:val="003B2874"/>
    <w:rsid w:val="003B6109"/>
    <w:rsid w:val="003B7184"/>
    <w:rsid w:val="003C1685"/>
    <w:rsid w:val="003C2263"/>
    <w:rsid w:val="003C2DA8"/>
    <w:rsid w:val="003C332C"/>
    <w:rsid w:val="003C4C96"/>
    <w:rsid w:val="003C593A"/>
    <w:rsid w:val="003C7B14"/>
    <w:rsid w:val="003D040D"/>
    <w:rsid w:val="003D10F2"/>
    <w:rsid w:val="003D1A55"/>
    <w:rsid w:val="003D23D2"/>
    <w:rsid w:val="003D3FF7"/>
    <w:rsid w:val="003D4935"/>
    <w:rsid w:val="003D6388"/>
    <w:rsid w:val="003D7998"/>
    <w:rsid w:val="003E02A4"/>
    <w:rsid w:val="003E1210"/>
    <w:rsid w:val="003E3F31"/>
    <w:rsid w:val="003E41C1"/>
    <w:rsid w:val="003E45BA"/>
    <w:rsid w:val="003E5360"/>
    <w:rsid w:val="003E74FE"/>
    <w:rsid w:val="003E7EE1"/>
    <w:rsid w:val="003F2071"/>
    <w:rsid w:val="003F5809"/>
    <w:rsid w:val="003F5923"/>
    <w:rsid w:val="003F5AD2"/>
    <w:rsid w:val="003F706E"/>
    <w:rsid w:val="00400E71"/>
    <w:rsid w:val="00401AD7"/>
    <w:rsid w:val="00403320"/>
    <w:rsid w:val="004034E0"/>
    <w:rsid w:val="004038FE"/>
    <w:rsid w:val="00403DDC"/>
    <w:rsid w:val="00403F33"/>
    <w:rsid w:val="00405556"/>
    <w:rsid w:val="00406126"/>
    <w:rsid w:val="00410A4C"/>
    <w:rsid w:val="00410FF2"/>
    <w:rsid w:val="00412946"/>
    <w:rsid w:val="00413CB2"/>
    <w:rsid w:val="00414EB3"/>
    <w:rsid w:val="004176B7"/>
    <w:rsid w:val="004209DE"/>
    <w:rsid w:val="00421FBB"/>
    <w:rsid w:val="00422631"/>
    <w:rsid w:val="00423417"/>
    <w:rsid w:val="004269FE"/>
    <w:rsid w:val="00426EA0"/>
    <w:rsid w:val="004319AA"/>
    <w:rsid w:val="00433572"/>
    <w:rsid w:val="00435470"/>
    <w:rsid w:val="00435CFC"/>
    <w:rsid w:val="0043622D"/>
    <w:rsid w:val="004368FF"/>
    <w:rsid w:val="004370A5"/>
    <w:rsid w:val="004400E7"/>
    <w:rsid w:val="00441F9E"/>
    <w:rsid w:val="00442700"/>
    <w:rsid w:val="00442BE6"/>
    <w:rsid w:val="0044404B"/>
    <w:rsid w:val="004441F6"/>
    <w:rsid w:val="00444515"/>
    <w:rsid w:val="0044558E"/>
    <w:rsid w:val="00445813"/>
    <w:rsid w:val="004467FC"/>
    <w:rsid w:val="00447E74"/>
    <w:rsid w:val="004513B4"/>
    <w:rsid w:val="00452BC1"/>
    <w:rsid w:val="00460A43"/>
    <w:rsid w:val="00461C52"/>
    <w:rsid w:val="00465BB0"/>
    <w:rsid w:val="004671BC"/>
    <w:rsid w:val="00467619"/>
    <w:rsid w:val="00471B0E"/>
    <w:rsid w:val="00474025"/>
    <w:rsid w:val="00475C71"/>
    <w:rsid w:val="00476394"/>
    <w:rsid w:val="004819E5"/>
    <w:rsid w:val="00483BC9"/>
    <w:rsid w:val="0048418F"/>
    <w:rsid w:val="00485E99"/>
    <w:rsid w:val="00486222"/>
    <w:rsid w:val="0048710F"/>
    <w:rsid w:val="00487640"/>
    <w:rsid w:val="00487AB1"/>
    <w:rsid w:val="004913DE"/>
    <w:rsid w:val="00491B4F"/>
    <w:rsid w:val="00492D8C"/>
    <w:rsid w:val="004933DB"/>
    <w:rsid w:val="004A15F0"/>
    <w:rsid w:val="004A38F9"/>
    <w:rsid w:val="004A43C8"/>
    <w:rsid w:val="004A4D72"/>
    <w:rsid w:val="004A558C"/>
    <w:rsid w:val="004A567C"/>
    <w:rsid w:val="004A69F8"/>
    <w:rsid w:val="004B0103"/>
    <w:rsid w:val="004B622D"/>
    <w:rsid w:val="004B68AC"/>
    <w:rsid w:val="004B789F"/>
    <w:rsid w:val="004C16E7"/>
    <w:rsid w:val="004C3063"/>
    <w:rsid w:val="004C4061"/>
    <w:rsid w:val="004C6860"/>
    <w:rsid w:val="004D079A"/>
    <w:rsid w:val="004D159C"/>
    <w:rsid w:val="004D15FA"/>
    <w:rsid w:val="004D2628"/>
    <w:rsid w:val="004D44CF"/>
    <w:rsid w:val="004D642E"/>
    <w:rsid w:val="004D7BAF"/>
    <w:rsid w:val="004E0FFA"/>
    <w:rsid w:val="004E345B"/>
    <w:rsid w:val="004E5A3B"/>
    <w:rsid w:val="004E711A"/>
    <w:rsid w:val="004E72F2"/>
    <w:rsid w:val="004F1B52"/>
    <w:rsid w:val="004F2551"/>
    <w:rsid w:val="004F3968"/>
    <w:rsid w:val="004F44E5"/>
    <w:rsid w:val="004F69DF"/>
    <w:rsid w:val="004F70A9"/>
    <w:rsid w:val="004F7588"/>
    <w:rsid w:val="004F766F"/>
    <w:rsid w:val="004F7BFC"/>
    <w:rsid w:val="0050079C"/>
    <w:rsid w:val="0050174C"/>
    <w:rsid w:val="00501F7B"/>
    <w:rsid w:val="0050224F"/>
    <w:rsid w:val="00503852"/>
    <w:rsid w:val="0050440A"/>
    <w:rsid w:val="005046E5"/>
    <w:rsid w:val="0050566C"/>
    <w:rsid w:val="00505C96"/>
    <w:rsid w:val="00506041"/>
    <w:rsid w:val="00510031"/>
    <w:rsid w:val="00511379"/>
    <w:rsid w:val="005138A6"/>
    <w:rsid w:val="00513FE7"/>
    <w:rsid w:val="00515A21"/>
    <w:rsid w:val="005171FA"/>
    <w:rsid w:val="005226F0"/>
    <w:rsid w:val="0052363C"/>
    <w:rsid w:val="005261A2"/>
    <w:rsid w:val="00526C1F"/>
    <w:rsid w:val="00526F9B"/>
    <w:rsid w:val="00527FF5"/>
    <w:rsid w:val="005311DF"/>
    <w:rsid w:val="0053270C"/>
    <w:rsid w:val="00532EC0"/>
    <w:rsid w:val="005414AC"/>
    <w:rsid w:val="0054288A"/>
    <w:rsid w:val="00543133"/>
    <w:rsid w:val="00543F61"/>
    <w:rsid w:val="0054469C"/>
    <w:rsid w:val="00544E96"/>
    <w:rsid w:val="00547150"/>
    <w:rsid w:val="005472B9"/>
    <w:rsid w:val="00550575"/>
    <w:rsid w:val="00550C19"/>
    <w:rsid w:val="0055107D"/>
    <w:rsid w:val="00552A6F"/>
    <w:rsid w:val="0055789B"/>
    <w:rsid w:val="00557B02"/>
    <w:rsid w:val="005618F1"/>
    <w:rsid w:val="00561E10"/>
    <w:rsid w:val="0056429F"/>
    <w:rsid w:val="00564B10"/>
    <w:rsid w:val="0056578D"/>
    <w:rsid w:val="00566D73"/>
    <w:rsid w:val="0057181F"/>
    <w:rsid w:val="00574243"/>
    <w:rsid w:val="005744E8"/>
    <w:rsid w:val="00574600"/>
    <w:rsid w:val="0057508E"/>
    <w:rsid w:val="00575F52"/>
    <w:rsid w:val="00581619"/>
    <w:rsid w:val="005822AC"/>
    <w:rsid w:val="00582FE7"/>
    <w:rsid w:val="00583898"/>
    <w:rsid w:val="00583D60"/>
    <w:rsid w:val="005850F4"/>
    <w:rsid w:val="00586EAA"/>
    <w:rsid w:val="00586FD4"/>
    <w:rsid w:val="00592BCC"/>
    <w:rsid w:val="005943E5"/>
    <w:rsid w:val="005948CC"/>
    <w:rsid w:val="005955C1"/>
    <w:rsid w:val="00596AD1"/>
    <w:rsid w:val="00596EFD"/>
    <w:rsid w:val="005A09D3"/>
    <w:rsid w:val="005A1112"/>
    <w:rsid w:val="005A1DB5"/>
    <w:rsid w:val="005A1F48"/>
    <w:rsid w:val="005A36C9"/>
    <w:rsid w:val="005A47DE"/>
    <w:rsid w:val="005A4FA6"/>
    <w:rsid w:val="005B1834"/>
    <w:rsid w:val="005B21E6"/>
    <w:rsid w:val="005B2C9F"/>
    <w:rsid w:val="005B321E"/>
    <w:rsid w:val="005B366E"/>
    <w:rsid w:val="005B4DAA"/>
    <w:rsid w:val="005B4F41"/>
    <w:rsid w:val="005C2177"/>
    <w:rsid w:val="005C2F18"/>
    <w:rsid w:val="005C31EB"/>
    <w:rsid w:val="005C3D21"/>
    <w:rsid w:val="005D0295"/>
    <w:rsid w:val="005D1482"/>
    <w:rsid w:val="005D1A0B"/>
    <w:rsid w:val="005D1F44"/>
    <w:rsid w:val="005D1F6A"/>
    <w:rsid w:val="005D2652"/>
    <w:rsid w:val="005D2F8B"/>
    <w:rsid w:val="005D7720"/>
    <w:rsid w:val="005D7A0E"/>
    <w:rsid w:val="005E05F1"/>
    <w:rsid w:val="005E0CC4"/>
    <w:rsid w:val="005E4DCF"/>
    <w:rsid w:val="005E6AF5"/>
    <w:rsid w:val="005F06E6"/>
    <w:rsid w:val="005F20D4"/>
    <w:rsid w:val="005F28C2"/>
    <w:rsid w:val="005F5BFD"/>
    <w:rsid w:val="006004FE"/>
    <w:rsid w:val="00601E56"/>
    <w:rsid w:val="00602BFE"/>
    <w:rsid w:val="00603241"/>
    <w:rsid w:val="00603689"/>
    <w:rsid w:val="00603C32"/>
    <w:rsid w:val="00604A3F"/>
    <w:rsid w:val="00605447"/>
    <w:rsid w:val="00606603"/>
    <w:rsid w:val="006071FC"/>
    <w:rsid w:val="006103EE"/>
    <w:rsid w:val="00610FA6"/>
    <w:rsid w:val="006114F6"/>
    <w:rsid w:val="00611A22"/>
    <w:rsid w:val="00611BD0"/>
    <w:rsid w:val="0061209F"/>
    <w:rsid w:val="00613DDB"/>
    <w:rsid w:val="006142DA"/>
    <w:rsid w:val="006154B6"/>
    <w:rsid w:val="006161B9"/>
    <w:rsid w:val="0061645C"/>
    <w:rsid w:val="00616FB0"/>
    <w:rsid w:val="006201C7"/>
    <w:rsid w:val="00620B7C"/>
    <w:rsid w:val="00622AA2"/>
    <w:rsid w:val="0062498D"/>
    <w:rsid w:val="00625859"/>
    <w:rsid w:val="00625DCB"/>
    <w:rsid w:val="0062782D"/>
    <w:rsid w:val="00627E24"/>
    <w:rsid w:val="00630960"/>
    <w:rsid w:val="006321A8"/>
    <w:rsid w:val="00633C2F"/>
    <w:rsid w:val="006340CC"/>
    <w:rsid w:val="00635AB8"/>
    <w:rsid w:val="00635B8F"/>
    <w:rsid w:val="0063620B"/>
    <w:rsid w:val="00636A06"/>
    <w:rsid w:val="00640197"/>
    <w:rsid w:val="006407B9"/>
    <w:rsid w:val="00641977"/>
    <w:rsid w:val="0064280F"/>
    <w:rsid w:val="00642F0E"/>
    <w:rsid w:val="00643572"/>
    <w:rsid w:val="00651207"/>
    <w:rsid w:val="006516A4"/>
    <w:rsid w:val="00651EED"/>
    <w:rsid w:val="00651FB0"/>
    <w:rsid w:val="00652786"/>
    <w:rsid w:val="00653D55"/>
    <w:rsid w:val="00654E0D"/>
    <w:rsid w:val="00660254"/>
    <w:rsid w:val="00660290"/>
    <w:rsid w:val="00664A18"/>
    <w:rsid w:val="00667827"/>
    <w:rsid w:val="0066786D"/>
    <w:rsid w:val="00667ED6"/>
    <w:rsid w:val="006716FD"/>
    <w:rsid w:val="0067402A"/>
    <w:rsid w:val="00677AA8"/>
    <w:rsid w:val="0068077E"/>
    <w:rsid w:val="00680B8C"/>
    <w:rsid w:val="0068261C"/>
    <w:rsid w:val="00682E9E"/>
    <w:rsid w:val="00683B78"/>
    <w:rsid w:val="00684187"/>
    <w:rsid w:val="006849FF"/>
    <w:rsid w:val="00685003"/>
    <w:rsid w:val="006850C4"/>
    <w:rsid w:val="00685909"/>
    <w:rsid w:val="00686BD4"/>
    <w:rsid w:val="00691060"/>
    <w:rsid w:val="00691AE4"/>
    <w:rsid w:val="00691FAD"/>
    <w:rsid w:val="00692D4C"/>
    <w:rsid w:val="006930A4"/>
    <w:rsid w:val="0069312B"/>
    <w:rsid w:val="006A037F"/>
    <w:rsid w:val="006A076A"/>
    <w:rsid w:val="006A349F"/>
    <w:rsid w:val="006A3B8B"/>
    <w:rsid w:val="006A5028"/>
    <w:rsid w:val="006A5B40"/>
    <w:rsid w:val="006A688A"/>
    <w:rsid w:val="006A7E87"/>
    <w:rsid w:val="006B10E3"/>
    <w:rsid w:val="006B157D"/>
    <w:rsid w:val="006B1763"/>
    <w:rsid w:val="006B1796"/>
    <w:rsid w:val="006B2FA5"/>
    <w:rsid w:val="006B3F93"/>
    <w:rsid w:val="006B49AC"/>
    <w:rsid w:val="006B5C8A"/>
    <w:rsid w:val="006B6B79"/>
    <w:rsid w:val="006C0838"/>
    <w:rsid w:val="006C319E"/>
    <w:rsid w:val="006C4964"/>
    <w:rsid w:val="006C4C26"/>
    <w:rsid w:val="006C5868"/>
    <w:rsid w:val="006C5C49"/>
    <w:rsid w:val="006C6111"/>
    <w:rsid w:val="006C76CA"/>
    <w:rsid w:val="006D066D"/>
    <w:rsid w:val="006D1213"/>
    <w:rsid w:val="006D1E7D"/>
    <w:rsid w:val="006D323B"/>
    <w:rsid w:val="006D355D"/>
    <w:rsid w:val="006D3A20"/>
    <w:rsid w:val="006D3F0B"/>
    <w:rsid w:val="006D4688"/>
    <w:rsid w:val="006D4C19"/>
    <w:rsid w:val="006D4F2B"/>
    <w:rsid w:val="006D6312"/>
    <w:rsid w:val="006D6F41"/>
    <w:rsid w:val="006E3C3D"/>
    <w:rsid w:val="006E6C66"/>
    <w:rsid w:val="006F0543"/>
    <w:rsid w:val="006F0571"/>
    <w:rsid w:val="006F298E"/>
    <w:rsid w:val="006F63CD"/>
    <w:rsid w:val="006F6C1E"/>
    <w:rsid w:val="006F7FFD"/>
    <w:rsid w:val="00701BE6"/>
    <w:rsid w:val="00703150"/>
    <w:rsid w:val="007049EF"/>
    <w:rsid w:val="00705F22"/>
    <w:rsid w:val="0070628E"/>
    <w:rsid w:val="007063F3"/>
    <w:rsid w:val="00710042"/>
    <w:rsid w:val="007112EB"/>
    <w:rsid w:val="007114D6"/>
    <w:rsid w:val="0071215C"/>
    <w:rsid w:val="00713ECB"/>
    <w:rsid w:val="00715BEE"/>
    <w:rsid w:val="00716176"/>
    <w:rsid w:val="00716740"/>
    <w:rsid w:val="00716FF8"/>
    <w:rsid w:val="007179AF"/>
    <w:rsid w:val="00717F32"/>
    <w:rsid w:val="00720B36"/>
    <w:rsid w:val="00722416"/>
    <w:rsid w:val="007242E5"/>
    <w:rsid w:val="00724804"/>
    <w:rsid w:val="00724B0E"/>
    <w:rsid w:val="0072522F"/>
    <w:rsid w:val="00725C0B"/>
    <w:rsid w:val="007305A9"/>
    <w:rsid w:val="00732A2B"/>
    <w:rsid w:val="00732A8F"/>
    <w:rsid w:val="00733B8B"/>
    <w:rsid w:val="0073557C"/>
    <w:rsid w:val="00735EDF"/>
    <w:rsid w:val="00736EAE"/>
    <w:rsid w:val="00737A40"/>
    <w:rsid w:val="00740029"/>
    <w:rsid w:val="00741888"/>
    <w:rsid w:val="00743FEE"/>
    <w:rsid w:val="00745F94"/>
    <w:rsid w:val="00746066"/>
    <w:rsid w:val="00746FD5"/>
    <w:rsid w:val="0075284B"/>
    <w:rsid w:val="0075302A"/>
    <w:rsid w:val="0075336C"/>
    <w:rsid w:val="00753E1C"/>
    <w:rsid w:val="00754F53"/>
    <w:rsid w:val="00755237"/>
    <w:rsid w:val="007552EB"/>
    <w:rsid w:val="007573ED"/>
    <w:rsid w:val="00761039"/>
    <w:rsid w:val="00761663"/>
    <w:rsid w:val="00763BBF"/>
    <w:rsid w:val="00763BF6"/>
    <w:rsid w:val="00763F1B"/>
    <w:rsid w:val="007641A7"/>
    <w:rsid w:val="007646AE"/>
    <w:rsid w:val="00765D64"/>
    <w:rsid w:val="00766EE0"/>
    <w:rsid w:val="00766F5F"/>
    <w:rsid w:val="0076721B"/>
    <w:rsid w:val="00767979"/>
    <w:rsid w:val="00770F4C"/>
    <w:rsid w:val="0077247C"/>
    <w:rsid w:val="00773171"/>
    <w:rsid w:val="00773AEF"/>
    <w:rsid w:val="00776F02"/>
    <w:rsid w:val="00777874"/>
    <w:rsid w:val="00777922"/>
    <w:rsid w:val="00784DFD"/>
    <w:rsid w:val="00785835"/>
    <w:rsid w:val="00786E6D"/>
    <w:rsid w:val="0079271E"/>
    <w:rsid w:val="00792D98"/>
    <w:rsid w:val="00793387"/>
    <w:rsid w:val="00794D74"/>
    <w:rsid w:val="0079527C"/>
    <w:rsid w:val="007A1FCC"/>
    <w:rsid w:val="007A33E5"/>
    <w:rsid w:val="007A6EE1"/>
    <w:rsid w:val="007B107B"/>
    <w:rsid w:val="007B1F26"/>
    <w:rsid w:val="007B23F8"/>
    <w:rsid w:val="007B3CED"/>
    <w:rsid w:val="007B5AE0"/>
    <w:rsid w:val="007C1639"/>
    <w:rsid w:val="007C1DD1"/>
    <w:rsid w:val="007C2B41"/>
    <w:rsid w:val="007D0821"/>
    <w:rsid w:val="007D0A6F"/>
    <w:rsid w:val="007D15BD"/>
    <w:rsid w:val="007D290E"/>
    <w:rsid w:val="007D3176"/>
    <w:rsid w:val="007D466E"/>
    <w:rsid w:val="007D4F1A"/>
    <w:rsid w:val="007D534F"/>
    <w:rsid w:val="007D5BBF"/>
    <w:rsid w:val="007E081C"/>
    <w:rsid w:val="007E1668"/>
    <w:rsid w:val="007E41F2"/>
    <w:rsid w:val="007E4B5F"/>
    <w:rsid w:val="007E54CB"/>
    <w:rsid w:val="007E5E5A"/>
    <w:rsid w:val="007E6EB5"/>
    <w:rsid w:val="007E6F15"/>
    <w:rsid w:val="007F2E2F"/>
    <w:rsid w:val="007F347B"/>
    <w:rsid w:val="007F4AE9"/>
    <w:rsid w:val="007F59A0"/>
    <w:rsid w:val="007F5E20"/>
    <w:rsid w:val="007F61C5"/>
    <w:rsid w:val="007F74A0"/>
    <w:rsid w:val="008000A1"/>
    <w:rsid w:val="00800E7C"/>
    <w:rsid w:val="00801513"/>
    <w:rsid w:val="0080261E"/>
    <w:rsid w:val="00803C08"/>
    <w:rsid w:val="00804A6E"/>
    <w:rsid w:val="00805635"/>
    <w:rsid w:val="00805D99"/>
    <w:rsid w:val="00806E7E"/>
    <w:rsid w:val="00807174"/>
    <w:rsid w:val="00811F67"/>
    <w:rsid w:val="00812A3B"/>
    <w:rsid w:val="008146AD"/>
    <w:rsid w:val="00814FED"/>
    <w:rsid w:val="008162A4"/>
    <w:rsid w:val="00817FAC"/>
    <w:rsid w:val="008211DC"/>
    <w:rsid w:val="008253F5"/>
    <w:rsid w:val="008279BD"/>
    <w:rsid w:val="00830197"/>
    <w:rsid w:val="00830A89"/>
    <w:rsid w:val="00831101"/>
    <w:rsid w:val="0083188C"/>
    <w:rsid w:val="00831C54"/>
    <w:rsid w:val="008330C4"/>
    <w:rsid w:val="0083383A"/>
    <w:rsid w:val="00833DAB"/>
    <w:rsid w:val="00833E5E"/>
    <w:rsid w:val="00833EB7"/>
    <w:rsid w:val="0083402C"/>
    <w:rsid w:val="00835712"/>
    <w:rsid w:val="008362CA"/>
    <w:rsid w:val="00836E65"/>
    <w:rsid w:val="00840024"/>
    <w:rsid w:val="0084150A"/>
    <w:rsid w:val="00841674"/>
    <w:rsid w:val="00841B34"/>
    <w:rsid w:val="00841C5D"/>
    <w:rsid w:val="008430F9"/>
    <w:rsid w:val="00843650"/>
    <w:rsid w:val="00847325"/>
    <w:rsid w:val="00847F94"/>
    <w:rsid w:val="00852102"/>
    <w:rsid w:val="0085436D"/>
    <w:rsid w:val="00854755"/>
    <w:rsid w:val="00854AF3"/>
    <w:rsid w:val="008558D2"/>
    <w:rsid w:val="008574C4"/>
    <w:rsid w:val="008579D6"/>
    <w:rsid w:val="00857BEB"/>
    <w:rsid w:val="00866F0F"/>
    <w:rsid w:val="00867931"/>
    <w:rsid w:val="00871C1E"/>
    <w:rsid w:val="00873E5A"/>
    <w:rsid w:val="00874F54"/>
    <w:rsid w:val="008753C4"/>
    <w:rsid w:val="00876588"/>
    <w:rsid w:val="00885092"/>
    <w:rsid w:val="00885297"/>
    <w:rsid w:val="00885972"/>
    <w:rsid w:val="00890B88"/>
    <w:rsid w:val="00890F50"/>
    <w:rsid w:val="00892116"/>
    <w:rsid w:val="00893A8B"/>
    <w:rsid w:val="00893F5B"/>
    <w:rsid w:val="00894AA8"/>
    <w:rsid w:val="00894CA6"/>
    <w:rsid w:val="008957D4"/>
    <w:rsid w:val="0089601F"/>
    <w:rsid w:val="00897BC7"/>
    <w:rsid w:val="008A1F3C"/>
    <w:rsid w:val="008A3CEF"/>
    <w:rsid w:val="008A5FF1"/>
    <w:rsid w:val="008A614D"/>
    <w:rsid w:val="008A62A4"/>
    <w:rsid w:val="008A77A6"/>
    <w:rsid w:val="008B03DD"/>
    <w:rsid w:val="008B0477"/>
    <w:rsid w:val="008B15F5"/>
    <w:rsid w:val="008B2448"/>
    <w:rsid w:val="008B3FB3"/>
    <w:rsid w:val="008B4F12"/>
    <w:rsid w:val="008B5D29"/>
    <w:rsid w:val="008C0173"/>
    <w:rsid w:val="008C01DD"/>
    <w:rsid w:val="008C23AE"/>
    <w:rsid w:val="008C4A38"/>
    <w:rsid w:val="008C4BB8"/>
    <w:rsid w:val="008C51D2"/>
    <w:rsid w:val="008C6013"/>
    <w:rsid w:val="008C7B34"/>
    <w:rsid w:val="008D0F7F"/>
    <w:rsid w:val="008D2A40"/>
    <w:rsid w:val="008D3F8D"/>
    <w:rsid w:val="008D4FCE"/>
    <w:rsid w:val="008D5647"/>
    <w:rsid w:val="008D6F5C"/>
    <w:rsid w:val="008D7957"/>
    <w:rsid w:val="008E07A0"/>
    <w:rsid w:val="008E0B7E"/>
    <w:rsid w:val="008E212B"/>
    <w:rsid w:val="008E32CA"/>
    <w:rsid w:val="008E34EF"/>
    <w:rsid w:val="008E35D3"/>
    <w:rsid w:val="008E377E"/>
    <w:rsid w:val="008E74ED"/>
    <w:rsid w:val="008F1E07"/>
    <w:rsid w:val="008F6317"/>
    <w:rsid w:val="008F6FD3"/>
    <w:rsid w:val="009024F7"/>
    <w:rsid w:val="009034E0"/>
    <w:rsid w:val="0090426D"/>
    <w:rsid w:val="00906360"/>
    <w:rsid w:val="009065B3"/>
    <w:rsid w:val="00906DC4"/>
    <w:rsid w:val="00907999"/>
    <w:rsid w:val="0091740B"/>
    <w:rsid w:val="0092092E"/>
    <w:rsid w:val="00922DBC"/>
    <w:rsid w:val="00923CBF"/>
    <w:rsid w:val="009255A1"/>
    <w:rsid w:val="00926488"/>
    <w:rsid w:val="00932CBA"/>
    <w:rsid w:val="00933C05"/>
    <w:rsid w:val="009342BA"/>
    <w:rsid w:val="00940E93"/>
    <w:rsid w:val="00941734"/>
    <w:rsid w:val="009426D1"/>
    <w:rsid w:val="00943D42"/>
    <w:rsid w:val="00944551"/>
    <w:rsid w:val="00944BBC"/>
    <w:rsid w:val="009457E3"/>
    <w:rsid w:val="0094689B"/>
    <w:rsid w:val="00951950"/>
    <w:rsid w:val="00951A24"/>
    <w:rsid w:val="00952630"/>
    <w:rsid w:val="0095290F"/>
    <w:rsid w:val="00952A3E"/>
    <w:rsid w:val="00953408"/>
    <w:rsid w:val="0095424E"/>
    <w:rsid w:val="00954669"/>
    <w:rsid w:val="009558A4"/>
    <w:rsid w:val="00955E2B"/>
    <w:rsid w:val="009569ED"/>
    <w:rsid w:val="00956C87"/>
    <w:rsid w:val="00957241"/>
    <w:rsid w:val="009672BF"/>
    <w:rsid w:val="00967E8B"/>
    <w:rsid w:val="0097376E"/>
    <w:rsid w:val="009746FE"/>
    <w:rsid w:val="009758E8"/>
    <w:rsid w:val="00975974"/>
    <w:rsid w:val="009765D7"/>
    <w:rsid w:val="009816FE"/>
    <w:rsid w:val="00981EE7"/>
    <w:rsid w:val="00982AE6"/>
    <w:rsid w:val="00985B61"/>
    <w:rsid w:val="00986066"/>
    <w:rsid w:val="00987634"/>
    <w:rsid w:val="00991DC6"/>
    <w:rsid w:val="009938CC"/>
    <w:rsid w:val="00994DAF"/>
    <w:rsid w:val="0099586F"/>
    <w:rsid w:val="00995E29"/>
    <w:rsid w:val="009962C6"/>
    <w:rsid w:val="009A035B"/>
    <w:rsid w:val="009A15E4"/>
    <w:rsid w:val="009A27D2"/>
    <w:rsid w:val="009A4714"/>
    <w:rsid w:val="009B2A3F"/>
    <w:rsid w:val="009B3850"/>
    <w:rsid w:val="009B5C08"/>
    <w:rsid w:val="009B6400"/>
    <w:rsid w:val="009B6903"/>
    <w:rsid w:val="009C0D38"/>
    <w:rsid w:val="009C0EE0"/>
    <w:rsid w:val="009C1260"/>
    <w:rsid w:val="009C1D23"/>
    <w:rsid w:val="009C1ED6"/>
    <w:rsid w:val="009C2B01"/>
    <w:rsid w:val="009C5A85"/>
    <w:rsid w:val="009C5D5B"/>
    <w:rsid w:val="009C6232"/>
    <w:rsid w:val="009C71A8"/>
    <w:rsid w:val="009C724E"/>
    <w:rsid w:val="009C74CE"/>
    <w:rsid w:val="009D067B"/>
    <w:rsid w:val="009D0717"/>
    <w:rsid w:val="009D0FF9"/>
    <w:rsid w:val="009D1EA7"/>
    <w:rsid w:val="009D3182"/>
    <w:rsid w:val="009D4F7D"/>
    <w:rsid w:val="009D6775"/>
    <w:rsid w:val="009E07C8"/>
    <w:rsid w:val="009E0ECA"/>
    <w:rsid w:val="009E2DB4"/>
    <w:rsid w:val="009E2F23"/>
    <w:rsid w:val="009E487C"/>
    <w:rsid w:val="009E4FC1"/>
    <w:rsid w:val="009E672F"/>
    <w:rsid w:val="009E7301"/>
    <w:rsid w:val="009F05DF"/>
    <w:rsid w:val="009F0B25"/>
    <w:rsid w:val="009F1CA3"/>
    <w:rsid w:val="009F24E7"/>
    <w:rsid w:val="009F4DB7"/>
    <w:rsid w:val="00A00E7B"/>
    <w:rsid w:val="00A04C83"/>
    <w:rsid w:val="00A066C0"/>
    <w:rsid w:val="00A0736B"/>
    <w:rsid w:val="00A0759B"/>
    <w:rsid w:val="00A10C7A"/>
    <w:rsid w:val="00A10E3D"/>
    <w:rsid w:val="00A11086"/>
    <w:rsid w:val="00A1268F"/>
    <w:rsid w:val="00A14BBD"/>
    <w:rsid w:val="00A15131"/>
    <w:rsid w:val="00A20C79"/>
    <w:rsid w:val="00A21DB3"/>
    <w:rsid w:val="00A23512"/>
    <w:rsid w:val="00A23B0B"/>
    <w:rsid w:val="00A23E8E"/>
    <w:rsid w:val="00A240D1"/>
    <w:rsid w:val="00A24F29"/>
    <w:rsid w:val="00A25D72"/>
    <w:rsid w:val="00A3071A"/>
    <w:rsid w:val="00A30822"/>
    <w:rsid w:val="00A311CB"/>
    <w:rsid w:val="00A31309"/>
    <w:rsid w:val="00A318D2"/>
    <w:rsid w:val="00A31C5F"/>
    <w:rsid w:val="00A33735"/>
    <w:rsid w:val="00A34A98"/>
    <w:rsid w:val="00A35536"/>
    <w:rsid w:val="00A40209"/>
    <w:rsid w:val="00A413E5"/>
    <w:rsid w:val="00A41667"/>
    <w:rsid w:val="00A41C85"/>
    <w:rsid w:val="00A4334A"/>
    <w:rsid w:val="00A4471E"/>
    <w:rsid w:val="00A44FB1"/>
    <w:rsid w:val="00A4515D"/>
    <w:rsid w:val="00A4798E"/>
    <w:rsid w:val="00A50FFA"/>
    <w:rsid w:val="00A5219F"/>
    <w:rsid w:val="00A5414E"/>
    <w:rsid w:val="00A64071"/>
    <w:rsid w:val="00A67611"/>
    <w:rsid w:val="00A67A9A"/>
    <w:rsid w:val="00A67BD3"/>
    <w:rsid w:val="00A67FF7"/>
    <w:rsid w:val="00A70198"/>
    <w:rsid w:val="00A72BBA"/>
    <w:rsid w:val="00A74311"/>
    <w:rsid w:val="00A75A82"/>
    <w:rsid w:val="00A76733"/>
    <w:rsid w:val="00A7768A"/>
    <w:rsid w:val="00A818EB"/>
    <w:rsid w:val="00A825C6"/>
    <w:rsid w:val="00A82C64"/>
    <w:rsid w:val="00A8382C"/>
    <w:rsid w:val="00A8588A"/>
    <w:rsid w:val="00A86A84"/>
    <w:rsid w:val="00A87D5A"/>
    <w:rsid w:val="00A91835"/>
    <w:rsid w:val="00A91F32"/>
    <w:rsid w:val="00A941E9"/>
    <w:rsid w:val="00A947A7"/>
    <w:rsid w:val="00A973CE"/>
    <w:rsid w:val="00AA0D6F"/>
    <w:rsid w:val="00AA0DC5"/>
    <w:rsid w:val="00AA19FB"/>
    <w:rsid w:val="00AA252B"/>
    <w:rsid w:val="00AA374C"/>
    <w:rsid w:val="00AA721E"/>
    <w:rsid w:val="00AB074F"/>
    <w:rsid w:val="00AB0877"/>
    <w:rsid w:val="00AB1A62"/>
    <w:rsid w:val="00AB2FE6"/>
    <w:rsid w:val="00AB5694"/>
    <w:rsid w:val="00AB6EED"/>
    <w:rsid w:val="00AC067C"/>
    <w:rsid w:val="00AC561C"/>
    <w:rsid w:val="00AC7E2B"/>
    <w:rsid w:val="00AD06B4"/>
    <w:rsid w:val="00AD08B2"/>
    <w:rsid w:val="00AD12DD"/>
    <w:rsid w:val="00AD1A19"/>
    <w:rsid w:val="00AD273D"/>
    <w:rsid w:val="00AD6358"/>
    <w:rsid w:val="00AD64E2"/>
    <w:rsid w:val="00AD6ECF"/>
    <w:rsid w:val="00AE2256"/>
    <w:rsid w:val="00AE2CE3"/>
    <w:rsid w:val="00AE4827"/>
    <w:rsid w:val="00AE515E"/>
    <w:rsid w:val="00AE55BA"/>
    <w:rsid w:val="00AE5ACA"/>
    <w:rsid w:val="00AE5F24"/>
    <w:rsid w:val="00AF1285"/>
    <w:rsid w:val="00AF19C5"/>
    <w:rsid w:val="00AF1EBB"/>
    <w:rsid w:val="00AF229E"/>
    <w:rsid w:val="00AF2F47"/>
    <w:rsid w:val="00AF4154"/>
    <w:rsid w:val="00AF4F82"/>
    <w:rsid w:val="00AF50A9"/>
    <w:rsid w:val="00AF5457"/>
    <w:rsid w:val="00AF5C83"/>
    <w:rsid w:val="00AF7C22"/>
    <w:rsid w:val="00AF7DF1"/>
    <w:rsid w:val="00B00977"/>
    <w:rsid w:val="00B00CCE"/>
    <w:rsid w:val="00B00CE0"/>
    <w:rsid w:val="00B0151A"/>
    <w:rsid w:val="00B043B9"/>
    <w:rsid w:val="00B07240"/>
    <w:rsid w:val="00B122AD"/>
    <w:rsid w:val="00B12653"/>
    <w:rsid w:val="00B133E7"/>
    <w:rsid w:val="00B15391"/>
    <w:rsid w:val="00B201AE"/>
    <w:rsid w:val="00B2236E"/>
    <w:rsid w:val="00B224EA"/>
    <w:rsid w:val="00B24CA1"/>
    <w:rsid w:val="00B25844"/>
    <w:rsid w:val="00B26C67"/>
    <w:rsid w:val="00B30359"/>
    <w:rsid w:val="00B31D7F"/>
    <w:rsid w:val="00B3346E"/>
    <w:rsid w:val="00B33A9E"/>
    <w:rsid w:val="00B340EF"/>
    <w:rsid w:val="00B34FC5"/>
    <w:rsid w:val="00B36C33"/>
    <w:rsid w:val="00B378C0"/>
    <w:rsid w:val="00B4053C"/>
    <w:rsid w:val="00B40B0E"/>
    <w:rsid w:val="00B421AF"/>
    <w:rsid w:val="00B44E99"/>
    <w:rsid w:val="00B503C2"/>
    <w:rsid w:val="00B513E3"/>
    <w:rsid w:val="00B51E22"/>
    <w:rsid w:val="00B5377F"/>
    <w:rsid w:val="00B547CB"/>
    <w:rsid w:val="00B55323"/>
    <w:rsid w:val="00B57392"/>
    <w:rsid w:val="00B6231B"/>
    <w:rsid w:val="00B639AA"/>
    <w:rsid w:val="00B64C67"/>
    <w:rsid w:val="00B66465"/>
    <w:rsid w:val="00B665D3"/>
    <w:rsid w:val="00B70469"/>
    <w:rsid w:val="00B707F4"/>
    <w:rsid w:val="00B7122F"/>
    <w:rsid w:val="00B7486F"/>
    <w:rsid w:val="00B75867"/>
    <w:rsid w:val="00B75BC2"/>
    <w:rsid w:val="00B80897"/>
    <w:rsid w:val="00B80E50"/>
    <w:rsid w:val="00B812C9"/>
    <w:rsid w:val="00B81E75"/>
    <w:rsid w:val="00B826D1"/>
    <w:rsid w:val="00B82C4E"/>
    <w:rsid w:val="00B858CA"/>
    <w:rsid w:val="00B869A7"/>
    <w:rsid w:val="00B86C0E"/>
    <w:rsid w:val="00B87185"/>
    <w:rsid w:val="00B87AE2"/>
    <w:rsid w:val="00B90776"/>
    <w:rsid w:val="00B91495"/>
    <w:rsid w:val="00B91E72"/>
    <w:rsid w:val="00B92ECA"/>
    <w:rsid w:val="00B93EBB"/>
    <w:rsid w:val="00B93F9F"/>
    <w:rsid w:val="00B9578C"/>
    <w:rsid w:val="00B96FEE"/>
    <w:rsid w:val="00BA326A"/>
    <w:rsid w:val="00BA4B33"/>
    <w:rsid w:val="00BA54DC"/>
    <w:rsid w:val="00BA641E"/>
    <w:rsid w:val="00BA66FE"/>
    <w:rsid w:val="00BA6AF9"/>
    <w:rsid w:val="00BA7D71"/>
    <w:rsid w:val="00BB1FB6"/>
    <w:rsid w:val="00BB2ACF"/>
    <w:rsid w:val="00BB3652"/>
    <w:rsid w:val="00BB371B"/>
    <w:rsid w:val="00BB6F1C"/>
    <w:rsid w:val="00BB71F6"/>
    <w:rsid w:val="00BB74CC"/>
    <w:rsid w:val="00BB7AF7"/>
    <w:rsid w:val="00BC0197"/>
    <w:rsid w:val="00BC055D"/>
    <w:rsid w:val="00BC2086"/>
    <w:rsid w:val="00BC285B"/>
    <w:rsid w:val="00BC2868"/>
    <w:rsid w:val="00BC3A4C"/>
    <w:rsid w:val="00BC4D17"/>
    <w:rsid w:val="00BC5406"/>
    <w:rsid w:val="00BC5C13"/>
    <w:rsid w:val="00BC5C8B"/>
    <w:rsid w:val="00BC5D70"/>
    <w:rsid w:val="00BC619A"/>
    <w:rsid w:val="00BC636B"/>
    <w:rsid w:val="00BC6ED1"/>
    <w:rsid w:val="00BD0582"/>
    <w:rsid w:val="00BD12CB"/>
    <w:rsid w:val="00BD1C55"/>
    <w:rsid w:val="00BD2104"/>
    <w:rsid w:val="00BD2B2D"/>
    <w:rsid w:val="00BD2BB8"/>
    <w:rsid w:val="00BD3694"/>
    <w:rsid w:val="00BD38BE"/>
    <w:rsid w:val="00BD53B5"/>
    <w:rsid w:val="00BD582C"/>
    <w:rsid w:val="00BD6E9D"/>
    <w:rsid w:val="00BD77D5"/>
    <w:rsid w:val="00BD7D59"/>
    <w:rsid w:val="00BE1CB6"/>
    <w:rsid w:val="00BE2A8C"/>
    <w:rsid w:val="00BE5D0D"/>
    <w:rsid w:val="00BE6AEE"/>
    <w:rsid w:val="00BF0A36"/>
    <w:rsid w:val="00BF0F68"/>
    <w:rsid w:val="00BF144D"/>
    <w:rsid w:val="00BF17FB"/>
    <w:rsid w:val="00BF1D5F"/>
    <w:rsid w:val="00BF2E79"/>
    <w:rsid w:val="00BF3299"/>
    <w:rsid w:val="00BF3F48"/>
    <w:rsid w:val="00BF4FBE"/>
    <w:rsid w:val="00BF6B5B"/>
    <w:rsid w:val="00BF7FF3"/>
    <w:rsid w:val="00C003E3"/>
    <w:rsid w:val="00C00E12"/>
    <w:rsid w:val="00C01B23"/>
    <w:rsid w:val="00C02BA0"/>
    <w:rsid w:val="00C0343F"/>
    <w:rsid w:val="00C038E3"/>
    <w:rsid w:val="00C0422D"/>
    <w:rsid w:val="00C049E1"/>
    <w:rsid w:val="00C061E7"/>
    <w:rsid w:val="00C069F4"/>
    <w:rsid w:val="00C06BBD"/>
    <w:rsid w:val="00C1069C"/>
    <w:rsid w:val="00C11065"/>
    <w:rsid w:val="00C12949"/>
    <w:rsid w:val="00C12F88"/>
    <w:rsid w:val="00C142C7"/>
    <w:rsid w:val="00C151F8"/>
    <w:rsid w:val="00C1791D"/>
    <w:rsid w:val="00C20A10"/>
    <w:rsid w:val="00C20E6C"/>
    <w:rsid w:val="00C211B4"/>
    <w:rsid w:val="00C22150"/>
    <w:rsid w:val="00C224E4"/>
    <w:rsid w:val="00C25984"/>
    <w:rsid w:val="00C264A5"/>
    <w:rsid w:val="00C26955"/>
    <w:rsid w:val="00C27C89"/>
    <w:rsid w:val="00C3279E"/>
    <w:rsid w:val="00C328E4"/>
    <w:rsid w:val="00C32C8F"/>
    <w:rsid w:val="00C3659A"/>
    <w:rsid w:val="00C4046C"/>
    <w:rsid w:val="00C42040"/>
    <w:rsid w:val="00C4481A"/>
    <w:rsid w:val="00C44E93"/>
    <w:rsid w:val="00C451B2"/>
    <w:rsid w:val="00C4600F"/>
    <w:rsid w:val="00C4783D"/>
    <w:rsid w:val="00C502B4"/>
    <w:rsid w:val="00C514B3"/>
    <w:rsid w:val="00C52269"/>
    <w:rsid w:val="00C559F2"/>
    <w:rsid w:val="00C55B7A"/>
    <w:rsid w:val="00C56AA6"/>
    <w:rsid w:val="00C56EDE"/>
    <w:rsid w:val="00C62171"/>
    <w:rsid w:val="00C64370"/>
    <w:rsid w:val="00C65305"/>
    <w:rsid w:val="00C70053"/>
    <w:rsid w:val="00C70313"/>
    <w:rsid w:val="00C72035"/>
    <w:rsid w:val="00C72119"/>
    <w:rsid w:val="00C72F56"/>
    <w:rsid w:val="00C740DD"/>
    <w:rsid w:val="00C74A1F"/>
    <w:rsid w:val="00C759AA"/>
    <w:rsid w:val="00C769EC"/>
    <w:rsid w:val="00C8141D"/>
    <w:rsid w:val="00C81DAB"/>
    <w:rsid w:val="00C85578"/>
    <w:rsid w:val="00C8592C"/>
    <w:rsid w:val="00C85E12"/>
    <w:rsid w:val="00C87E77"/>
    <w:rsid w:val="00C915C7"/>
    <w:rsid w:val="00C91C5F"/>
    <w:rsid w:val="00C937C9"/>
    <w:rsid w:val="00C94BF2"/>
    <w:rsid w:val="00C94E0A"/>
    <w:rsid w:val="00C9554D"/>
    <w:rsid w:val="00CA1AB6"/>
    <w:rsid w:val="00CA4673"/>
    <w:rsid w:val="00CA4FC5"/>
    <w:rsid w:val="00CA5CED"/>
    <w:rsid w:val="00CA6BE1"/>
    <w:rsid w:val="00CA74AD"/>
    <w:rsid w:val="00CB045B"/>
    <w:rsid w:val="00CB16F1"/>
    <w:rsid w:val="00CB28EC"/>
    <w:rsid w:val="00CB2E36"/>
    <w:rsid w:val="00CB3110"/>
    <w:rsid w:val="00CB3209"/>
    <w:rsid w:val="00CB4814"/>
    <w:rsid w:val="00CB568B"/>
    <w:rsid w:val="00CB5AF3"/>
    <w:rsid w:val="00CB6843"/>
    <w:rsid w:val="00CB70A6"/>
    <w:rsid w:val="00CC00E4"/>
    <w:rsid w:val="00CC1F55"/>
    <w:rsid w:val="00CC4E93"/>
    <w:rsid w:val="00CC657E"/>
    <w:rsid w:val="00CC6D4A"/>
    <w:rsid w:val="00CC6D7D"/>
    <w:rsid w:val="00CC71E1"/>
    <w:rsid w:val="00CD0676"/>
    <w:rsid w:val="00CD27B1"/>
    <w:rsid w:val="00CD3270"/>
    <w:rsid w:val="00CD54BB"/>
    <w:rsid w:val="00CD5DA2"/>
    <w:rsid w:val="00CE1C5C"/>
    <w:rsid w:val="00CE24E6"/>
    <w:rsid w:val="00CE2DA6"/>
    <w:rsid w:val="00CE4388"/>
    <w:rsid w:val="00CE595B"/>
    <w:rsid w:val="00CE64A0"/>
    <w:rsid w:val="00CE67E2"/>
    <w:rsid w:val="00CE6ED8"/>
    <w:rsid w:val="00CE7159"/>
    <w:rsid w:val="00CE7E89"/>
    <w:rsid w:val="00CF19E3"/>
    <w:rsid w:val="00CF1F4E"/>
    <w:rsid w:val="00CF25EC"/>
    <w:rsid w:val="00CF30CE"/>
    <w:rsid w:val="00CF6EA0"/>
    <w:rsid w:val="00D001BC"/>
    <w:rsid w:val="00D03493"/>
    <w:rsid w:val="00D04DA7"/>
    <w:rsid w:val="00D058C2"/>
    <w:rsid w:val="00D07D1C"/>
    <w:rsid w:val="00D1334F"/>
    <w:rsid w:val="00D1356C"/>
    <w:rsid w:val="00D1393B"/>
    <w:rsid w:val="00D14BA1"/>
    <w:rsid w:val="00D14EF2"/>
    <w:rsid w:val="00D1521B"/>
    <w:rsid w:val="00D156FF"/>
    <w:rsid w:val="00D15E27"/>
    <w:rsid w:val="00D17844"/>
    <w:rsid w:val="00D17B7B"/>
    <w:rsid w:val="00D17C88"/>
    <w:rsid w:val="00D2062F"/>
    <w:rsid w:val="00D2105F"/>
    <w:rsid w:val="00D219E1"/>
    <w:rsid w:val="00D22B28"/>
    <w:rsid w:val="00D24800"/>
    <w:rsid w:val="00D248F6"/>
    <w:rsid w:val="00D26AFA"/>
    <w:rsid w:val="00D30FE6"/>
    <w:rsid w:val="00D3225D"/>
    <w:rsid w:val="00D32D96"/>
    <w:rsid w:val="00D32EB5"/>
    <w:rsid w:val="00D3509B"/>
    <w:rsid w:val="00D3624F"/>
    <w:rsid w:val="00D42AF7"/>
    <w:rsid w:val="00D43760"/>
    <w:rsid w:val="00D4404A"/>
    <w:rsid w:val="00D443AC"/>
    <w:rsid w:val="00D454C4"/>
    <w:rsid w:val="00D4563A"/>
    <w:rsid w:val="00D46E5D"/>
    <w:rsid w:val="00D47411"/>
    <w:rsid w:val="00D47F6B"/>
    <w:rsid w:val="00D50CAD"/>
    <w:rsid w:val="00D538AA"/>
    <w:rsid w:val="00D53AB1"/>
    <w:rsid w:val="00D53C34"/>
    <w:rsid w:val="00D53F72"/>
    <w:rsid w:val="00D578A3"/>
    <w:rsid w:val="00D609C6"/>
    <w:rsid w:val="00D61954"/>
    <w:rsid w:val="00D61BDE"/>
    <w:rsid w:val="00D6349F"/>
    <w:rsid w:val="00D63BC8"/>
    <w:rsid w:val="00D645BD"/>
    <w:rsid w:val="00D669FA"/>
    <w:rsid w:val="00D740F4"/>
    <w:rsid w:val="00D760AD"/>
    <w:rsid w:val="00D7726F"/>
    <w:rsid w:val="00D77DEB"/>
    <w:rsid w:val="00D8154F"/>
    <w:rsid w:val="00D85DCA"/>
    <w:rsid w:val="00D862F4"/>
    <w:rsid w:val="00D869B0"/>
    <w:rsid w:val="00D86C41"/>
    <w:rsid w:val="00D903D2"/>
    <w:rsid w:val="00D91775"/>
    <w:rsid w:val="00D91AE9"/>
    <w:rsid w:val="00D927C7"/>
    <w:rsid w:val="00D9393E"/>
    <w:rsid w:val="00D94D43"/>
    <w:rsid w:val="00D9511E"/>
    <w:rsid w:val="00D951FB"/>
    <w:rsid w:val="00D96DF2"/>
    <w:rsid w:val="00D96F0B"/>
    <w:rsid w:val="00DA0925"/>
    <w:rsid w:val="00DA6497"/>
    <w:rsid w:val="00DB1B01"/>
    <w:rsid w:val="00DB3D08"/>
    <w:rsid w:val="00DB63DB"/>
    <w:rsid w:val="00DB7B3A"/>
    <w:rsid w:val="00DB7B8E"/>
    <w:rsid w:val="00DC37F0"/>
    <w:rsid w:val="00DC42D1"/>
    <w:rsid w:val="00DC62BF"/>
    <w:rsid w:val="00DC7B01"/>
    <w:rsid w:val="00DD06AE"/>
    <w:rsid w:val="00DD1BEF"/>
    <w:rsid w:val="00DD2D7B"/>
    <w:rsid w:val="00DD3437"/>
    <w:rsid w:val="00DD49CB"/>
    <w:rsid w:val="00DD5DFE"/>
    <w:rsid w:val="00DE16A1"/>
    <w:rsid w:val="00DE1950"/>
    <w:rsid w:val="00DE7C17"/>
    <w:rsid w:val="00DF0235"/>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06543"/>
    <w:rsid w:val="00E11496"/>
    <w:rsid w:val="00E1266D"/>
    <w:rsid w:val="00E147BF"/>
    <w:rsid w:val="00E150AB"/>
    <w:rsid w:val="00E17460"/>
    <w:rsid w:val="00E20252"/>
    <w:rsid w:val="00E20AE6"/>
    <w:rsid w:val="00E22686"/>
    <w:rsid w:val="00E23C4F"/>
    <w:rsid w:val="00E24EB6"/>
    <w:rsid w:val="00E26879"/>
    <w:rsid w:val="00E27F00"/>
    <w:rsid w:val="00E30DD8"/>
    <w:rsid w:val="00E32ABA"/>
    <w:rsid w:val="00E32F64"/>
    <w:rsid w:val="00E338F0"/>
    <w:rsid w:val="00E34E6B"/>
    <w:rsid w:val="00E36450"/>
    <w:rsid w:val="00E40501"/>
    <w:rsid w:val="00E40CEA"/>
    <w:rsid w:val="00E40EAB"/>
    <w:rsid w:val="00E41C6A"/>
    <w:rsid w:val="00E422BC"/>
    <w:rsid w:val="00E4353F"/>
    <w:rsid w:val="00E44A30"/>
    <w:rsid w:val="00E458A1"/>
    <w:rsid w:val="00E46F52"/>
    <w:rsid w:val="00E470D5"/>
    <w:rsid w:val="00E4721F"/>
    <w:rsid w:val="00E47B31"/>
    <w:rsid w:val="00E50037"/>
    <w:rsid w:val="00E53BD7"/>
    <w:rsid w:val="00E55507"/>
    <w:rsid w:val="00E560A1"/>
    <w:rsid w:val="00E61641"/>
    <w:rsid w:val="00E62366"/>
    <w:rsid w:val="00E63059"/>
    <w:rsid w:val="00E63847"/>
    <w:rsid w:val="00E66B5F"/>
    <w:rsid w:val="00E71F87"/>
    <w:rsid w:val="00E73FDE"/>
    <w:rsid w:val="00E77DE1"/>
    <w:rsid w:val="00E81F2D"/>
    <w:rsid w:val="00E8358E"/>
    <w:rsid w:val="00E846BF"/>
    <w:rsid w:val="00E900C6"/>
    <w:rsid w:val="00E90BCB"/>
    <w:rsid w:val="00E91360"/>
    <w:rsid w:val="00E91694"/>
    <w:rsid w:val="00E918E6"/>
    <w:rsid w:val="00E91CB9"/>
    <w:rsid w:val="00E92FE8"/>
    <w:rsid w:val="00E9368E"/>
    <w:rsid w:val="00E9410F"/>
    <w:rsid w:val="00EA17AF"/>
    <w:rsid w:val="00EA3128"/>
    <w:rsid w:val="00EA37F7"/>
    <w:rsid w:val="00EA3990"/>
    <w:rsid w:val="00EA46BC"/>
    <w:rsid w:val="00EA4D43"/>
    <w:rsid w:val="00EA5890"/>
    <w:rsid w:val="00EA6AD6"/>
    <w:rsid w:val="00EB3030"/>
    <w:rsid w:val="00EB31AD"/>
    <w:rsid w:val="00EB7C04"/>
    <w:rsid w:val="00EC05A9"/>
    <w:rsid w:val="00EC113D"/>
    <w:rsid w:val="00EC1911"/>
    <w:rsid w:val="00EC3C38"/>
    <w:rsid w:val="00EC3DBC"/>
    <w:rsid w:val="00EC5F6C"/>
    <w:rsid w:val="00EC6833"/>
    <w:rsid w:val="00ED2AB2"/>
    <w:rsid w:val="00ED324A"/>
    <w:rsid w:val="00ED3AAD"/>
    <w:rsid w:val="00ED3CEC"/>
    <w:rsid w:val="00ED4133"/>
    <w:rsid w:val="00ED5468"/>
    <w:rsid w:val="00EE05EA"/>
    <w:rsid w:val="00EE0DE4"/>
    <w:rsid w:val="00EE4B5F"/>
    <w:rsid w:val="00EE6899"/>
    <w:rsid w:val="00EF0483"/>
    <w:rsid w:val="00EF0BA4"/>
    <w:rsid w:val="00EF2458"/>
    <w:rsid w:val="00EF2A91"/>
    <w:rsid w:val="00EF2B60"/>
    <w:rsid w:val="00EF2F10"/>
    <w:rsid w:val="00EF2FF3"/>
    <w:rsid w:val="00EF32B0"/>
    <w:rsid w:val="00EF3685"/>
    <w:rsid w:val="00EF3F08"/>
    <w:rsid w:val="00EF6BB6"/>
    <w:rsid w:val="00EF7FE4"/>
    <w:rsid w:val="00F007EB"/>
    <w:rsid w:val="00F016A6"/>
    <w:rsid w:val="00F016BC"/>
    <w:rsid w:val="00F01A28"/>
    <w:rsid w:val="00F025B9"/>
    <w:rsid w:val="00F0346E"/>
    <w:rsid w:val="00F0391F"/>
    <w:rsid w:val="00F109F2"/>
    <w:rsid w:val="00F10D62"/>
    <w:rsid w:val="00F11088"/>
    <w:rsid w:val="00F115A0"/>
    <w:rsid w:val="00F12AF9"/>
    <w:rsid w:val="00F14BBA"/>
    <w:rsid w:val="00F14E5E"/>
    <w:rsid w:val="00F14FAD"/>
    <w:rsid w:val="00F158CB"/>
    <w:rsid w:val="00F20871"/>
    <w:rsid w:val="00F21919"/>
    <w:rsid w:val="00F27681"/>
    <w:rsid w:val="00F30208"/>
    <w:rsid w:val="00F31AEE"/>
    <w:rsid w:val="00F3204D"/>
    <w:rsid w:val="00F34C25"/>
    <w:rsid w:val="00F36602"/>
    <w:rsid w:val="00F3702C"/>
    <w:rsid w:val="00F371D1"/>
    <w:rsid w:val="00F45A5A"/>
    <w:rsid w:val="00F462BB"/>
    <w:rsid w:val="00F47029"/>
    <w:rsid w:val="00F47C09"/>
    <w:rsid w:val="00F508AA"/>
    <w:rsid w:val="00F51458"/>
    <w:rsid w:val="00F52C48"/>
    <w:rsid w:val="00F53AE6"/>
    <w:rsid w:val="00F53EE4"/>
    <w:rsid w:val="00F54984"/>
    <w:rsid w:val="00F556D7"/>
    <w:rsid w:val="00F55781"/>
    <w:rsid w:val="00F57084"/>
    <w:rsid w:val="00F57A3E"/>
    <w:rsid w:val="00F57B6A"/>
    <w:rsid w:val="00F57C06"/>
    <w:rsid w:val="00F57D8F"/>
    <w:rsid w:val="00F6066A"/>
    <w:rsid w:val="00F60AE2"/>
    <w:rsid w:val="00F616D6"/>
    <w:rsid w:val="00F61B04"/>
    <w:rsid w:val="00F6267F"/>
    <w:rsid w:val="00F62BB9"/>
    <w:rsid w:val="00F63C0D"/>
    <w:rsid w:val="00F63E60"/>
    <w:rsid w:val="00F64937"/>
    <w:rsid w:val="00F64EED"/>
    <w:rsid w:val="00F658D1"/>
    <w:rsid w:val="00F65A90"/>
    <w:rsid w:val="00F6605D"/>
    <w:rsid w:val="00F6616C"/>
    <w:rsid w:val="00F66D18"/>
    <w:rsid w:val="00F66FBA"/>
    <w:rsid w:val="00F73E7F"/>
    <w:rsid w:val="00F74135"/>
    <w:rsid w:val="00F742E9"/>
    <w:rsid w:val="00F743FC"/>
    <w:rsid w:val="00F758DB"/>
    <w:rsid w:val="00F764E4"/>
    <w:rsid w:val="00F80F79"/>
    <w:rsid w:val="00F82291"/>
    <w:rsid w:val="00F828DB"/>
    <w:rsid w:val="00F82DAC"/>
    <w:rsid w:val="00F839DD"/>
    <w:rsid w:val="00F91AA6"/>
    <w:rsid w:val="00F932F2"/>
    <w:rsid w:val="00F93DEE"/>
    <w:rsid w:val="00F94E1B"/>
    <w:rsid w:val="00FA05B4"/>
    <w:rsid w:val="00FA0B59"/>
    <w:rsid w:val="00FA276D"/>
    <w:rsid w:val="00FA7B69"/>
    <w:rsid w:val="00FB408F"/>
    <w:rsid w:val="00FB7B38"/>
    <w:rsid w:val="00FC0A63"/>
    <w:rsid w:val="00FC1B1D"/>
    <w:rsid w:val="00FC1EED"/>
    <w:rsid w:val="00FC2387"/>
    <w:rsid w:val="00FC254A"/>
    <w:rsid w:val="00FC502D"/>
    <w:rsid w:val="00FC5498"/>
    <w:rsid w:val="00FC6520"/>
    <w:rsid w:val="00FC7589"/>
    <w:rsid w:val="00FC78B8"/>
    <w:rsid w:val="00FC7B84"/>
    <w:rsid w:val="00FD21C4"/>
    <w:rsid w:val="00FD2238"/>
    <w:rsid w:val="00FD266F"/>
    <w:rsid w:val="00FD3C73"/>
    <w:rsid w:val="00FD4553"/>
    <w:rsid w:val="00FD4C7C"/>
    <w:rsid w:val="00FE108C"/>
    <w:rsid w:val="00FE5634"/>
    <w:rsid w:val="00FE5891"/>
    <w:rsid w:val="00FE69D5"/>
    <w:rsid w:val="00FE7F0C"/>
    <w:rsid w:val="00FF12B6"/>
    <w:rsid w:val="00FF1AC2"/>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EE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392"/>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B1796"/>
    <w:rPr>
      <w:color w:val="605E5C"/>
      <w:shd w:val="clear" w:color="auto" w:fill="E1DFDD"/>
    </w:rPr>
  </w:style>
  <w:style w:type="paragraph" w:customStyle="1" w:styleId="Definition">
    <w:name w:val="Definition"/>
    <w:aliases w:val="dd"/>
    <w:basedOn w:val="Normal"/>
    <w:rsid w:val="008330C4"/>
    <w:pPr>
      <w:spacing w:before="180" w:after="0"/>
      <w:ind w:left="1134"/>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gov.au/department/media/publications/2024-telecommunications-new-developments-policy" TargetMode="External"/><Relationship Id="rId2" Type="http://schemas.openxmlformats.org/officeDocument/2006/relationships/hyperlink" Target="https://www.nbnco.com.au/content/dam/nbn/documents/sell/wba/2023/wba5/nbn-approved-non-premises-list-20231201.pdf.coredownload.pdf" TargetMode="External"/><Relationship Id="rId1" Type="http://schemas.openxmlformats.org/officeDocument/2006/relationships/hyperlink" Target="http://www.pmc.gov.au/resource-centre/government/legisl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E1E1-4A8A-4A5D-9F59-679BB77E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7AB2F-F2B5-4581-A7F9-9D0038392CCC}">
  <ds:schemaRefs>
    <ds:schemaRef ds:uri="http://schemas.microsoft.com/office/2006/metadata/properties"/>
    <ds:schemaRef ds:uri="http://schemas.microsoft.com/office/infopath/2007/PartnerControls"/>
    <ds:schemaRef ds:uri="D7BB1FB6-409F-4626-B36D-91472BC75BE5"/>
  </ds:schemaRefs>
</ds:datastoreItem>
</file>

<file path=customXml/itemProps3.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4.xml><?xml version="1.0" encoding="utf-8"?>
<ds:datastoreItem xmlns:ds="http://schemas.openxmlformats.org/officeDocument/2006/customXml" ds:itemID="{CD943C2D-1698-4AF2-87C1-E194621D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9746</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2021-11-02T02:01:00Z</dcterms:created>
  <dcterms:modified xsi:type="dcterms:W3CDTF">2024-05-23T02:44:00Z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y fmtid="{D5CDD505-2E9C-101B-9397-08002B2CF9AE}" pid="3" name="TrimRevisionNumber">
    <vt:i4>56</vt:i4>
  </property>
</Properties>
</file>