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4AA9" w14:textId="77777777" w:rsidR="0048364F" w:rsidRPr="00575173" w:rsidRDefault="00193461" w:rsidP="0020300C">
      <w:pPr>
        <w:rPr>
          <w:sz w:val="28"/>
        </w:rPr>
      </w:pPr>
      <w:r w:rsidRPr="00575173">
        <w:rPr>
          <w:noProof/>
          <w:lang w:eastAsia="en-AU"/>
        </w:rPr>
        <w:drawing>
          <wp:inline distT="0" distB="0" distL="0" distR="0" wp14:anchorId="20C6D3CB" wp14:editId="461BF9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2329" w14:textId="77777777" w:rsidR="0048364F" w:rsidRPr="00575173" w:rsidRDefault="0048364F" w:rsidP="0048364F">
      <w:pPr>
        <w:rPr>
          <w:sz w:val="19"/>
        </w:rPr>
      </w:pPr>
    </w:p>
    <w:p w14:paraId="4839E025" w14:textId="77777777" w:rsidR="0048364F" w:rsidRPr="00575173" w:rsidRDefault="00E61262" w:rsidP="0048364F">
      <w:pPr>
        <w:pStyle w:val="ShortT"/>
      </w:pPr>
      <w:r w:rsidRPr="00575173">
        <w:t xml:space="preserve">Health Insurance Legislation Amendment (2024 Measures No. 3) </w:t>
      </w:r>
      <w:r w:rsidR="00A7728E" w:rsidRPr="00575173">
        <w:t>Regulations 2</w:t>
      </w:r>
      <w:r w:rsidRPr="00575173">
        <w:t>024</w:t>
      </w:r>
    </w:p>
    <w:p w14:paraId="6F58B5D8" w14:textId="77777777" w:rsidR="00E61262" w:rsidRPr="00575173" w:rsidRDefault="00E61262" w:rsidP="0085559E">
      <w:pPr>
        <w:pStyle w:val="SignCoverPageStart"/>
        <w:spacing w:before="240"/>
        <w:rPr>
          <w:szCs w:val="22"/>
        </w:rPr>
      </w:pPr>
      <w:r w:rsidRPr="00575173">
        <w:rPr>
          <w:szCs w:val="22"/>
        </w:rPr>
        <w:t>I, General the Honourable David Hurley AC DSC (Retd), Governor</w:t>
      </w:r>
      <w:r w:rsidR="00A7728E" w:rsidRPr="00575173">
        <w:rPr>
          <w:szCs w:val="22"/>
        </w:rPr>
        <w:noBreakHyphen/>
      </w:r>
      <w:r w:rsidRPr="00575173">
        <w:rPr>
          <w:szCs w:val="22"/>
        </w:rPr>
        <w:t>General of the Commonwealth of Australia, acting with the advice of the Federal Executive Council, make the following regulations.</w:t>
      </w:r>
    </w:p>
    <w:p w14:paraId="39450778" w14:textId="62244A2C" w:rsidR="00E61262" w:rsidRPr="00575173" w:rsidRDefault="00E61262" w:rsidP="0085559E">
      <w:pPr>
        <w:keepNext/>
        <w:spacing w:before="720" w:line="240" w:lineRule="atLeast"/>
        <w:ind w:right="397"/>
        <w:jc w:val="both"/>
        <w:rPr>
          <w:szCs w:val="22"/>
        </w:rPr>
      </w:pPr>
      <w:r w:rsidRPr="00575173">
        <w:rPr>
          <w:szCs w:val="22"/>
        </w:rPr>
        <w:t xml:space="preserve">Dated </w:t>
      </w:r>
      <w:r w:rsidRPr="00575173">
        <w:rPr>
          <w:szCs w:val="22"/>
        </w:rPr>
        <w:tab/>
      </w:r>
      <w:r w:rsidRPr="00575173">
        <w:rPr>
          <w:szCs w:val="22"/>
        </w:rPr>
        <w:tab/>
      </w:r>
      <w:r w:rsidRPr="00575173">
        <w:rPr>
          <w:szCs w:val="22"/>
        </w:rPr>
        <w:tab/>
      </w:r>
      <w:r w:rsidR="00B92607" w:rsidRPr="00575173">
        <w:rPr>
          <w:szCs w:val="22"/>
        </w:rPr>
        <w:t>23 May</w:t>
      </w:r>
      <w:r w:rsidRPr="00575173">
        <w:rPr>
          <w:szCs w:val="22"/>
        </w:rPr>
        <w:tab/>
      </w:r>
      <w:r w:rsidRPr="00575173">
        <w:rPr>
          <w:szCs w:val="22"/>
        </w:rPr>
        <w:fldChar w:fldCharType="begin"/>
      </w:r>
      <w:r w:rsidRPr="00575173">
        <w:rPr>
          <w:szCs w:val="22"/>
        </w:rPr>
        <w:instrText xml:space="preserve"> DOCPROPERTY  DateMade </w:instrText>
      </w:r>
      <w:r w:rsidRPr="00575173">
        <w:rPr>
          <w:szCs w:val="22"/>
        </w:rPr>
        <w:fldChar w:fldCharType="separate"/>
      </w:r>
      <w:r w:rsidR="00354E3F" w:rsidRPr="00575173">
        <w:rPr>
          <w:szCs w:val="22"/>
        </w:rPr>
        <w:t>2024</w:t>
      </w:r>
      <w:r w:rsidRPr="00575173">
        <w:rPr>
          <w:szCs w:val="22"/>
        </w:rPr>
        <w:fldChar w:fldCharType="end"/>
      </w:r>
    </w:p>
    <w:p w14:paraId="283C64EE" w14:textId="77777777" w:rsidR="00E61262" w:rsidRPr="00575173" w:rsidRDefault="00E61262" w:rsidP="0085559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5173">
        <w:rPr>
          <w:szCs w:val="22"/>
        </w:rPr>
        <w:t>David Hurley</w:t>
      </w:r>
    </w:p>
    <w:p w14:paraId="2FF8CC3D" w14:textId="77777777" w:rsidR="00E61262" w:rsidRPr="00575173" w:rsidRDefault="00E61262" w:rsidP="0085559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5173">
        <w:rPr>
          <w:szCs w:val="22"/>
        </w:rPr>
        <w:t>Governor</w:t>
      </w:r>
      <w:r w:rsidR="00A7728E" w:rsidRPr="00575173">
        <w:rPr>
          <w:szCs w:val="22"/>
        </w:rPr>
        <w:noBreakHyphen/>
      </w:r>
      <w:r w:rsidRPr="00575173">
        <w:rPr>
          <w:szCs w:val="22"/>
        </w:rPr>
        <w:t>General</w:t>
      </w:r>
    </w:p>
    <w:p w14:paraId="76C00877" w14:textId="77777777" w:rsidR="00E61262" w:rsidRPr="00575173" w:rsidRDefault="00E61262" w:rsidP="0085559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75173">
        <w:rPr>
          <w:szCs w:val="22"/>
        </w:rPr>
        <w:t>By His Excellency’s Command</w:t>
      </w:r>
    </w:p>
    <w:p w14:paraId="4011A1EF" w14:textId="77777777" w:rsidR="00E61262" w:rsidRPr="00575173" w:rsidRDefault="00E61262" w:rsidP="0085559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5173">
        <w:rPr>
          <w:szCs w:val="22"/>
        </w:rPr>
        <w:t>Mark Butler</w:t>
      </w:r>
    </w:p>
    <w:p w14:paraId="7F7E2C75" w14:textId="77777777" w:rsidR="00E61262" w:rsidRPr="00575173" w:rsidRDefault="00E61262" w:rsidP="0085559E">
      <w:pPr>
        <w:pStyle w:val="SignCoverPageEnd"/>
        <w:rPr>
          <w:szCs w:val="22"/>
        </w:rPr>
      </w:pPr>
      <w:r w:rsidRPr="00575173">
        <w:rPr>
          <w:szCs w:val="22"/>
        </w:rPr>
        <w:t>Minister for Health and Aged Care</w:t>
      </w:r>
    </w:p>
    <w:p w14:paraId="267C6E28" w14:textId="77777777" w:rsidR="00E61262" w:rsidRPr="00575173" w:rsidRDefault="00E61262" w:rsidP="0085559E"/>
    <w:p w14:paraId="0E9AAC82" w14:textId="77777777" w:rsidR="00E61262" w:rsidRPr="00575173" w:rsidRDefault="00E61262" w:rsidP="0085559E"/>
    <w:p w14:paraId="5ED89EA3" w14:textId="77777777" w:rsidR="00E61262" w:rsidRPr="00575173" w:rsidRDefault="00E61262" w:rsidP="0085559E"/>
    <w:p w14:paraId="374AC1E3" w14:textId="77777777" w:rsidR="0048364F" w:rsidRPr="00575173" w:rsidRDefault="0048364F" w:rsidP="0048364F">
      <w:pPr>
        <w:pStyle w:val="Header"/>
        <w:tabs>
          <w:tab w:val="clear" w:pos="4150"/>
          <w:tab w:val="clear" w:pos="8307"/>
        </w:tabs>
      </w:pPr>
      <w:r w:rsidRPr="00575173">
        <w:rPr>
          <w:rStyle w:val="CharAmSchNo"/>
        </w:rPr>
        <w:t xml:space="preserve"> </w:t>
      </w:r>
      <w:r w:rsidRPr="00575173">
        <w:rPr>
          <w:rStyle w:val="CharAmSchText"/>
        </w:rPr>
        <w:t xml:space="preserve"> </w:t>
      </w:r>
    </w:p>
    <w:p w14:paraId="49FCDFCE" w14:textId="77777777" w:rsidR="0048364F" w:rsidRPr="00575173" w:rsidRDefault="0048364F" w:rsidP="0048364F">
      <w:pPr>
        <w:pStyle w:val="Header"/>
        <w:tabs>
          <w:tab w:val="clear" w:pos="4150"/>
          <w:tab w:val="clear" w:pos="8307"/>
        </w:tabs>
      </w:pPr>
      <w:r w:rsidRPr="00575173">
        <w:rPr>
          <w:rStyle w:val="CharAmPartNo"/>
        </w:rPr>
        <w:t xml:space="preserve"> </w:t>
      </w:r>
      <w:r w:rsidRPr="00575173">
        <w:rPr>
          <w:rStyle w:val="CharAmPartText"/>
        </w:rPr>
        <w:t xml:space="preserve"> </w:t>
      </w:r>
    </w:p>
    <w:p w14:paraId="0522C079" w14:textId="77777777" w:rsidR="0048364F" w:rsidRPr="00575173" w:rsidRDefault="0048364F" w:rsidP="0048364F">
      <w:pPr>
        <w:sectPr w:rsidR="0048364F" w:rsidRPr="00575173" w:rsidSect="00205A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3EA53F" w14:textId="77777777" w:rsidR="00220A0C" w:rsidRPr="00575173" w:rsidRDefault="0048364F" w:rsidP="0048364F">
      <w:pPr>
        <w:outlineLvl w:val="0"/>
        <w:rPr>
          <w:sz w:val="36"/>
        </w:rPr>
      </w:pPr>
      <w:r w:rsidRPr="00575173">
        <w:rPr>
          <w:sz w:val="36"/>
        </w:rPr>
        <w:lastRenderedPageBreak/>
        <w:t>Contents</w:t>
      </w:r>
    </w:p>
    <w:p w14:paraId="7B5619B4" w14:textId="6E526584" w:rsidR="00A7728E" w:rsidRPr="00575173" w:rsidRDefault="00A772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173">
        <w:fldChar w:fldCharType="begin"/>
      </w:r>
      <w:r w:rsidRPr="00575173">
        <w:instrText xml:space="preserve"> TOC \o "1-9" </w:instrText>
      </w:r>
      <w:r w:rsidRPr="00575173">
        <w:fldChar w:fldCharType="separate"/>
      </w:r>
      <w:r w:rsidRPr="00575173">
        <w:rPr>
          <w:noProof/>
        </w:rPr>
        <w:t>1</w:t>
      </w:r>
      <w:r w:rsidRPr="00575173">
        <w:rPr>
          <w:noProof/>
        </w:rPr>
        <w:tab/>
        <w:t>Name</w:t>
      </w:r>
      <w:r w:rsidRPr="00575173">
        <w:rPr>
          <w:noProof/>
        </w:rPr>
        <w:tab/>
      </w:r>
      <w:r w:rsidRPr="00575173">
        <w:rPr>
          <w:noProof/>
        </w:rPr>
        <w:fldChar w:fldCharType="begin"/>
      </w:r>
      <w:r w:rsidRPr="00575173">
        <w:rPr>
          <w:noProof/>
        </w:rPr>
        <w:instrText xml:space="preserve"> PAGEREF _Toc164258792 \h </w:instrText>
      </w:r>
      <w:r w:rsidRPr="00575173">
        <w:rPr>
          <w:noProof/>
        </w:rPr>
      </w:r>
      <w:r w:rsidRPr="00575173">
        <w:rPr>
          <w:noProof/>
        </w:rPr>
        <w:fldChar w:fldCharType="separate"/>
      </w:r>
      <w:r w:rsidR="00354E3F" w:rsidRPr="00575173">
        <w:rPr>
          <w:noProof/>
        </w:rPr>
        <w:t>1</w:t>
      </w:r>
      <w:r w:rsidRPr="00575173">
        <w:rPr>
          <w:noProof/>
        </w:rPr>
        <w:fldChar w:fldCharType="end"/>
      </w:r>
    </w:p>
    <w:p w14:paraId="31251AF5" w14:textId="1FDCDD14" w:rsidR="00A7728E" w:rsidRPr="00575173" w:rsidRDefault="00A772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173">
        <w:rPr>
          <w:noProof/>
        </w:rPr>
        <w:t>2</w:t>
      </w:r>
      <w:r w:rsidRPr="00575173">
        <w:rPr>
          <w:noProof/>
        </w:rPr>
        <w:tab/>
        <w:t>Commencement</w:t>
      </w:r>
      <w:r w:rsidRPr="00575173">
        <w:rPr>
          <w:noProof/>
        </w:rPr>
        <w:tab/>
      </w:r>
      <w:r w:rsidRPr="00575173">
        <w:rPr>
          <w:noProof/>
        </w:rPr>
        <w:fldChar w:fldCharType="begin"/>
      </w:r>
      <w:r w:rsidRPr="00575173">
        <w:rPr>
          <w:noProof/>
        </w:rPr>
        <w:instrText xml:space="preserve"> PAGEREF _Toc164258793 \h </w:instrText>
      </w:r>
      <w:r w:rsidRPr="00575173">
        <w:rPr>
          <w:noProof/>
        </w:rPr>
      </w:r>
      <w:r w:rsidRPr="00575173">
        <w:rPr>
          <w:noProof/>
        </w:rPr>
        <w:fldChar w:fldCharType="separate"/>
      </w:r>
      <w:r w:rsidR="00354E3F" w:rsidRPr="00575173">
        <w:rPr>
          <w:noProof/>
        </w:rPr>
        <w:t>1</w:t>
      </w:r>
      <w:r w:rsidRPr="00575173">
        <w:rPr>
          <w:noProof/>
        </w:rPr>
        <w:fldChar w:fldCharType="end"/>
      </w:r>
    </w:p>
    <w:p w14:paraId="7787F98C" w14:textId="3A7C9DF7" w:rsidR="00A7728E" w:rsidRPr="00575173" w:rsidRDefault="00A772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173">
        <w:rPr>
          <w:noProof/>
        </w:rPr>
        <w:t>3</w:t>
      </w:r>
      <w:r w:rsidRPr="00575173">
        <w:rPr>
          <w:noProof/>
        </w:rPr>
        <w:tab/>
        <w:t>Authority</w:t>
      </w:r>
      <w:r w:rsidRPr="00575173">
        <w:rPr>
          <w:noProof/>
        </w:rPr>
        <w:tab/>
      </w:r>
      <w:r w:rsidRPr="00575173">
        <w:rPr>
          <w:noProof/>
        </w:rPr>
        <w:fldChar w:fldCharType="begin"/>
      </w:r>
      <w:r w:rsidRPr="00575173">
        <w:rPr>
          <w:noProof/>
        </w:rPr>
        <w:instrText xml:space="preserve"> PAGEREF _Toc164258794 \h </w:instrText>
      </w:r>
      <w:r w:rsidRPr="00575173">
        <w:rPr>
          <w:noProof/>
        </w:rPr>
      </w:r>
      <w:r w:rsidRPr="00575173">
        <w:rPr>
          <w:noProof/>
        </w:rPr>
        <w:fldChar w:fldCharType="separate"/>
      </w:r>
      <w:r w:rsidR="00354E3F" w:rsidRPr="00575173">
        <w:rPr>
          <w:noProof/>
        </w:rPr>
        <w:t>1</w:t>
      </w:r>
      <w:r w:rsidRPr="00575173">
        <w:rPr>
          <w:noProof/>
        </w:rPr>
        <w:fldChar w:fldCharType="end"/>
      </w:r>
    </w:p>
    <w:p w14:paraId="367D7A2E" w14:textId="6F221F7D" w:rsidR="00A7728E" w:rsidRPr="00575173" w:rsidRDefault="00A772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173">
        <w:rPr>
          <w:noProof/>
        </w:rPr>
        <w:t>4</w:t>
      </w:r>
      <w:r w:rsidRPr="00575173">
        <w:rPr>
          <w:noProof/>
        </w:rPr>
        <w:tab/>
        <w:t>Schedules</w:t>
      </w:r>
      <w:r w:rsidRPr="00575173">
        <w:rPr>
          <w:noProof/>
        </w:rPr>
        <w:tab/>
      </w:r>
      <w:r w:rsidRPr="00575173">
        <w:rPr>
          <w:noProof/>
        </w:rPr>
        <w:fldChar w:fldCharType="begin"/>
      </w:r>
      <w:r w:rsidRPr="00575173">
        <w:rPr>
          <w:noProof/>
        </w:rPr>
        <w:instrText xml:space="preserve"> PAGEREF _Toc164258795 \h </w:instrText>
      </w:r>
      <w:r w:rsidRPr="00575173">
        <w:rPr>
          <w:noProof/>
        </w:rPr>
      </w:r>
      <w:r w:rsidRPr="00575173">
        <w:rPr>
          <w:noProof/>
        </w:rPr>
        <w:fldChar w:fldCharType="separate"/>
      </w:r>
      <w:r w:rsidR="00354E3F" w:rsidRPr="00575173">
        <w:rPr>
          <w:noProof/>
        </w:rPr>
        <w:t>1</w:t>
      </w:r>
      <w:r w:rsidRPr="00575173">
        <w:rPr>
          <w:noProof/>
        </w:rPr>
        <w:fldChar w:fldCharType="end"/>
      </w:r>
    </w:p>
    <w:p w14:paraId="06C4F62E" w14:textId="3C8B3C45" w:rsidR="00A7728E" w:rsidRPr="00575173" w:rsidRDefault="00A772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5173">
        <w:rPr>
          <w:noProof/>
        </w:rPr>
        <w:t>Schedule 1—Amendments</w:t>
      </w:r>
      <w:r w:rsidRPr="00575173">
        <w:rPr>
          <w:b w:val="0"/>
          <w:noProof/>
          <w:sz w:val="18"/>
        </w:rPr>
        <w:tab/>
      </w:r>
      <w:r w:rsidRPr="00575173">
        <w:rPr>
          <w:b w:val="0"/>
          <w:noProof/>
          <w:sz w:val="18"/>
        </w:rPr>
        <w:fldChar w:fldCharType="begin"/>
      </w:r>
      <w:r w:rsidRPr="00575173">
        <w:rPr>
          <w:b w:val="0"/>
          <w:noProof/>
          <w:sz w:val="18"/>
        </w:rPr>
        <w:instrText xml:space="preserve"> PAGEREF _Toc164258796 \h </w:instrText>
      </w:r>
      <w:r w:rsidRPr="00575173">
        <w:rPr>
          <w:b w:val="0"/>
          <w:noProof/>
          <w:sz w:val="18"/>
        </w:rPr>
      </w:r>
      <w:r w:rsidRPr="00575173">
        <w:rPr>
          <w:b w:val="0"/>
          <w:noProof/>
          <w:sz w:val="18"/>
        </w:rPr>
        <w:fldChar w:fldCharType="separate"/>
      </w:r>
      <w:r w:rsidR="00354E3F" w:rsidRPr="00575173">
        <w:rPr>
          <w:b w:val="0"/>
          <w:noProof/>
          <w:sz w:val="18"/>
        </w:rPr>
        <w:t>2</w:t>
      </w:r>
      <w:r w:rsidRPr="00575173">
        <w:rPr>
          <w:b w:val="0"/>
          <w:noProof/>
          <w:sz w:val="18"/>
        </w:rPr>
        <w:fldChar w:fldCharType="end"/>
      </w:r>
    </w:p>
    <w:p w14:paraId="4D24F06B" w14:textId="7A68D853" w:rsidR="00A7728E" w:rsidRPr="00575173" w:rsidRDefault="00A772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5173">
        <w:rPr>
          <w:noProof/>
        </w:rPr>
        <w:t>Health Insurance (General Medical Services Table) Regulations 2021</w:t>
      </w:r>
      <w:r w:rsidRPr="00575173">
        <w:rPr>
          <w:i w:val="0"/>
          <w:noProof/>
          <w:sz w:val="18"/>
        </w:rPr>
        <w:tab/>
      </w:r>
      <w:r w:rsidRPr="00575173">
        <w:rPr>
          <w:i w:val="0"/>
          <w:noProof/>
          <w:sz w:val="18"/>
        </w:rPr>
        <w:fldChar w:fldCharType="begin"/>
      </w:r>
      <w:r w:rsidRPr="00575173">
        <w:rPr>
          <w:i w:val="0"/>
          <w:noProof/>
          <w:sz w:val="18"/>
        </w:rPr>
        <w:instrText xml:space="preserve"> PAGEREF _Toc164258797 \h </w:instrText>
      </w:r>
      <w:r w:rsidRPr="00575173">
        <w:rPr>
          <w:i w:val="0"/>
          <w:noProof/>
          <w:sz w:val="18"/>
        </w:rPr>
      </w:r>
      <w:r w:rsidRPr="00575173">
        <w:rPr>
          <w:i w:val="0"/>
          <w:noProof/>
          <w:sz w:val="18"/>
        </w:rPr>
        <w:fldChar w:fldCharType="separate"/>
      </w:r>
      <w:r w:rsidR="00354E3F" w:rsidRPr="00575173">
        <w:rPr>
          <w:i w:val="0"/>
          <w:noProof/>
          <w:sz w:val="18"/>
        </w:rPr>
        <w:t>2</w:t>
      </w:r>
      <w:r w:rsidRPr="00575173">
        <w:rPr>
          <w:i w:val="0"/>
          <w:noProof/>
          <w:sz w:val="18"/>
        </w:rPr>
        <w:fldChar w:fldCharType="end"/>
      </w:r>
    </w:p>
    <w:p w14:paraId="1D280B12" w14:textId="634C390D" w:rsidR="00A7728E" w:rsidRPr="00575173" w:rsidRDefault="00A772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5173">
        <w:rPr>
          <w:noProof/>
        </w:rPr>
        <w:t>Health Insurance Regulations 2018</w:t>
      </w:r>
      <w:r w:rsidRPr="00575173">
        <w:rPr>
          <w:i w:val="0"/>
          <w:noProof/>
          <w:sz w:val="18"/>
        </w:rPr>
        <w:tab/>
      </w:r>
      <w:r w:rsidRPr="00575173">
        <w:rPr>
          <w:i w:val="0"/>
          <w:noProof/>
          <w:sz w:val="18"/>
        </w:rPr>
        <w:fldChar w:fldCharType="begin"/>
      </w:r>
      <w:r w:rsidRPr="00575173">
        <w:rPr>
          <w:i w:val="0"/>
          <w:noProof/>
          <w:sz w:val="18"/>
        </w:rPr>
        <w:instrText xml:space="preserve"> PAGEREF _Toc164258802 \h </w:instrText>
      </w:r>
      <w:r w:rsidRPr="00575173">
        <w:rPr>
          <w:i w:val="0"/>
          <w:noProof/>
          <w:sz w:val="18"/>
        </w:rPr>
      </w:r>
      <w:r w:rsidRPr="00575173">
        <w:rPr>
          <w:i w:val="0"/>
          <w:noProof/>
          <w:sz w:val="18"/>
        </w:rPr>
        <w:fldChar w:fldCharType="separate"/>
      </w:r>
      <w:r w:rsidR="00354E3F" w:rsidRPr="00575173">
        <w:rPr>
          <w:i w:val="0"/>
          <w:noProof/>
          <w:sz w:val="18"/>
        </w:rPr>
        <w:t>16</w:t>
      </w:r>
      <w:r w:rsidRPr="00575173">
        <w:rPr>
          <w:i w:val="0"/>
          <w:noProof/>
          <w:sz w:val="18"/>
        </w:rPr>
        <w:fldChar w:fldCharType="end"/>
      </w:r>
    </w:p>
    <w:p w14:paraId="243D6EFB" w14:textId="77777777" w:rsidR="0048364F" w:rsidRPr="00575173" w:rsidRDefault="00A7728E" w:rsidP="0048364F">
      <w:r w:rsidRPr="00575173">
        <w:fldChar w:fldCharType="end"/>
      </w:r>
    </w:p>
    <w:p w14:paraId="63D76AEC" w14:textId="77777777" w:rsidR="0048364F" w:rsidRPr="00575173" w:rsidRDefault="0048364F" w:rsidP="0048364F">
      <w:pPr>
        <w:sectPr w:rsidR="0048364F" w:rsidRPr="00575173" w:rsidSect="00205A1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2DD479" w14:textId="77777777" w:rsidR="0048364F" w:rsidRPr="00575173" w:rsidRDefault="0048364F" w:rsidP="0048364F">
      <w:pPr>
        <w:pStyle w:val="ActHead5"/>
      </w:pPr>
      <w:bookmarkStart w:id="0" w:name="_Toc164258792"/>
      <w:r w:rsidRPr="00575173">
        <w:rPr>
          <w:rStyle w:val="CharSectno"/>
        </w:rPr>
        <w:lastRenderedPageBreak/>
        <w:t>1</w:t>
      </w:r>
      <w:r w:rsidRPr="00575173">
        <w:t xml:space="preserve">  </w:t>
      </w:r>
      <w:r w:rsidR="004F676E" w:rsidRPr="00575173">
        <w:t>Name</w:t>
      </w:r>
      <w:bookmarkEnd w:id="0"/>
    </w:p>
    <w:p w14:paraId="2B3CFFA6" w14:textId="77777777" w:rsidR="0048364F" w:rsidRPr="00575173" w:rsidRDefault="0048364F" w:rsidP="0048364F">
      <w:pPr>
        <w:pStyle w:val="subsection"/>
      </w:pPr>
      <w:r w:rsidRPr="00575173">
        <w:tab/>
      </w:r>
      <w:r w:rsidRPr="00575173">
        <w:tab/>
      </w:r>
      <w:r w:rsidR="00E61262" w:rsidRPr="00575173">
        <w:t>This instrument is</w:t>
      </w:r>
      <w:r w:rsidRPr="00575173">
        <w:t xml:space="preserve"> the </w:t>
      </w:r>
      <w:r w:rsidR="00A7728E" w:rsidRPr="00575173">
        <w:rPr>
          <w:i/>
          <w:noProof/>
        </w:rPr>
        <w:t>Health Insurance Legislation Amendment (2024 Measures No. 3) Regulations 2024</w:t>
      </w:r>
      <w:r w:rsidRPr="00575173">
        <w:t>.</w:t>
      </w:r>
    </w:p>
    <w:p w14:paraId="5E28470A" w14:textId="77777777" w:rsidR="004F676E" w:rsidRPr="00575173" w:rsidRDefault="0048364F" w:rsidP="005452CC">
      <w:pPr>
        <w:pStyle w:val="ActHead5"/>
      </w:pPr>
      <w:bookmarkStart w:id="1" w:name="_Toc164258793"/>
      <w:r w:rsidRPr="00575173">
        <w:rPr>
          <w:rStyle w:val="CharSectno"/>
        </w:rPr>
        <w:t>2</w:t>
      </w:r>
      <w:r w:rsidRPr="00575173">
        <w:t xml:space="preserve">  Commencement</w:t>
      </w:r>
      <w:bookmarkEnd w:id="1"/>
    </w:p>
    <w:p w14:paraId="4A3A2C44" w14:textId="77777777" w:rsidR="005452CC" w:rsidRPr="00575173" w:rsidRDefault="005452CC" w:rsidP="0085559E">
      <w:pPr>
        <w:pStyle w:val="subsection"/>
      </w:pPr>
      <w:r w:rsidRPr="00575173">
        <w:tab/>
        <w:t>(1)</w:t>
      </w:r>
      <w:r w:rsidRPr="00575173">
        <w:tab/>
        <w:t xml:space="preserve">Each provision of </w:t>
      </w:r>
      <w:r w:rsidR="00E61262" w:rsidRPr="00575173">
        <w:t>this instrument</w:t>
      </w:r>
      <w:r w:rsidRPr="00575173">
        <w:t xml:space="preserve"> specified in column 1 of the table commences, or is taken to have commenced, in accordance with column 2 of the table. Any other statement in column 2 has effect according to its terms.</w:t>
      </w:r>
    </w:p>
    <w:p w14:paraId="34C0FA2E" w14:textId="77777777" w:rsidR="005452CC" w:rsidRPr="00575173" w:rsidRDefault="005452CC" w:rsidP="0085559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75173" w14:paraId="488A0F0D" w14:textId="77777777" w:rsidTr="009167A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4A8981" w14:textId="77777777" w:rsidR="005452CC" w:rsidRPr="00575173" w:rsidRDefault="005452CC" w:rsidP="0085559E">
            <w:pPr>
              <w:pStyle w:val="TableHeading"/>
            </w:pPr>
            <w:r w:rsidRPr="00575173">
              <w:t>Commencement information</w:t>
            </w:r>
          </w:p>
        </w:tc>
      </w:tr>
      <w:tr w:rsidR="005452CC" w:rsidRPr="00575173" w14:paraId="7DDA8212" w14:textId="77777777" w:rsidTr="009167A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7042DB" w14:textId="77777777" w:rsidR="005452CC" w:rsidRPr="00575173" w:rsidRDefault="005452CC" w:rsidP="0085559E">
            <w:pPr>
              <w:pStyle w:val="TableHeading"/>
            </w:pPr>
            <w:r w:rsidRPr="0057517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C1C34C" w14:textId="77777777" w:rsidR="005452CC" w:rsidRPr="00575173" w:rsidRDefault="005452CC" w:rsidP="0085559E">
            <w:pPr>
              <w:pStyle w:val="TableHeading"/>
            </w:pPr>
            <w:r w:rsidRPr="0057517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6DF847" w14:textId="77777777" w:rsidR="005452CC" w:rsidRPr="00575173" w:rsidRDefault="005452CC" w:rsidP="0085559E">
            <w:pPr>
              <w:pStyle w:val="TableHeading"/>
            </w:pPr>
            <w:r w:rsidRPr="00575173">
              <w:t>Column 3</w:t>
            </w:r>
          </w:p>
        </w:tc>
      </w:tr>
      <w:tr w:rsidR="005452CC" w:rsidRPr="00575173" w14:paraId="33877C8A" w14:textId="77777777" w:rsidTr="009167A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BCFB47" w14:textId="77777777" w:rsidR="005452CC" w:rsidRPr="00575173" w:rsidRDefault="005452CC" w:rsidP="0085559E">
            <w:pPr>
              <w:pStyle w:val="TableHeading"/>
            </w:pPr>
            <w:r w:rsidRPr="0057517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00ADAE" w14:textId="77777777" w:rsidR="005452CC" w:rsidRPr="00575173" w:rsidRDefault="005452CC" w:rsidP="0085559E">
            <w:pPr>
              <w:pStyle w:val="TableHeading"/>
            </w:pPr>
            <w:r w:rsidRPr="0057517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13D2B7" w14:textId="77777777" w:rsidR="005452CC" w:rsidRPr="00575173" w:rsidRDefault="005452CC" w:rsidP="0085559E">
            <w:pPr>
              <w:pStyle w:val="TableHeading"/>
            </w:pPr>
            <w:r w:rsidRPr="00575173">
              <w:t>Date/Details</w:t>
            </w:r>
          </w:p>
        </w:tc>
      </w:tr>
      <w:tr w:rsidR="00E03BFD" w:rsidRPr="00575173" w14:paraId="4A76E62C" w14:textId="77777777" w:rsidTr="009167A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C18D9A" w14:textId="77777777" w:rsidR="00E03BFD" w:rsidRPr="00575173" w:rsidRDefault="00E03BFD" w:rsidP="00E03BFD">
            <w:pPr>
              <w:pStyle w:val="Tabletext"/>
            </w:pPr>
            <w:r w:rsidRPr="00575173">
              <w:t xml:space="preserve">1.  </w:t>
            </w:r>
            <w:r w:rsidR="009167AF" w:rsidRPr="0057517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62341E" w14:textId="77777777" w:rsidR="00E03BFD" w:rsidRPr="00575173" w:rsidRDefault="009167AF" w:rsidP="00E03BFD">
            <w:pPr>
              <w:pStyle w:val="Tabletext"/>
            </w:pPr>
            <w:r w:rsidRPr="00575173">
              <w:t xml:space="preserve">Immediately after the commencement of Schedule 1 to the </w:t>
            </w:r>
            <w:r w:rsidRPr="00575173">
              <w:rPr>
                <w:i/>
                <w:iCs/>
                <w:lang w:eastAsia="en-US"/>
              </w:rPr>
              <w:t xml:space="preserve">Health Insurance Legislation Amendment (2024 Measures No. 2) </w:t>
            </w:r>
            <w:r w:rsidR="00A7728E" w:rsidRPr="00575173">
              <w:rPr>
                <w:i/>
                <w:iCs/>
                <w:lang w:eastAsia="en-US"/>
              </w:rPr>
              <w:t>Regulations 2</w:t>
            </w:r>
            <w:r w:rsidRPr="00575173">
              <w:rPr>
                <w:i/>
                <w:iCs/>
                <w:lang w:eastAsia="en-US"/>
              </w:rPr>
              <w:t>024</w:t>
            </w:r>
            <w:r w:rsidRPr="0057517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7667C0" w14:textId="5F0808EC" w:rsidR="00E03BFD" w:rsidRPr="00575173" w:rsidRDefault="009028E7" w:rsidP="00E03BFD">
            <w:pPr>
              <w:pStyle w:val="Tabletext"/>
            </w:pPr>
            <w:r>
              <w:t>1 July 2024</w:t>
            </w:r>
            <w:bookmarkStart w:id="2" w:name="_GoBack"/>
            <w:bookmarkEnd w:id="2"/>
          </w:p>
        </w:tc>
      </w:tr>
    </w:tbl>
    <w:p w14:paraId="4E691361" w14:textId="77777777" w:rsidR="005452CC" w:rsidRPr="00575173" w:rsidRDefault="005452CC" w:rsidP="0085559E">
      <w:pPr>
        <w:pStyle w:val="notetext"/>
      </w:pPr>
      <w:r w:rsidRPr="00575173">
        <w:rPr>
          <w:snapToGrid w:val="0"/>
          <w:lang w:eastAsia="en-US"/>
        </w:rPr>
        <w:t>Note:</w:t>
      </w:r>
      <w:r w:rsidRPr="00575173">
        <w:rPr>
          <w:snapToGrid w:val="0"/>
          <w:lang w:eastAsia="en-US"/>
        </w:rPr>
        <w:tab/>
        <w:t xml:space="preserve">This table relates only to the provisions of </w:t>
      </w:r>
      <w:r w:rsidR="00E61262" w:rsidRPr="00575173">
        <w:rPr>
          <w:snapToGrid w:val="0"/>
          <w:lang w:eastAsia="en-US"/>
        </w:rPr>
        <w:t>this instrument</w:t>
      </w:r>
      <w:r w:rsidRPr="00575173">
        <w:t xml:space="preserve"> </w:t>
      </w:r>
      <w:r w:rsidRPr="00575173">
        <w:rPr>
          <w:snapToGrid w:val="0"/>
          <w:lang w:eastAsia="en-US"/>
        </w:rPr>
        <w:t xml:space="preserve">as originally made. It will not be amended to deal with any later amendments of </w:t>
      </w:r>
      <w:r w:rsidR="00E61262" w:rsidRPr="00575173">
        <w:rPr>
          <w:snapToGrid w:val="0"/>
          <w:lang w:eastAsia="en-US"/>
        </w:rPr>
        <w:t>this instrument</w:t>
      </w:r>
      <w:r w:rsidRPr="00575173">
        <w:rPr>
          <w:snapToGrid w:val="0"/>
          <w:lang w:eastAsia="en-US"/>
        </w:rPr>
        <w:t>.</w:t>
      </w:r>
    </w:p>
    <w:p w14:paraId="30195192" w14:textId="77777777" w:rsidR="005452CC" w:rsidRPr="00575173" w:rsidRDefault="005452CC" w:rsidP="004F676E">
      <w:pPr>
        <w:pStyle w:val="subsection"/>
      </w:pPr>
      <w:r w:rsidRPr="00575173">
        <w:tab/>
        <w:t>(2)</w:t>
      </w:r>
      <w:r w:rsidRPr="00575173">
        <w:tab/>
        <w:t xml:space="preserve">Any information in column 3 of the table is not part of </w:t>
      </w:r>
      <w:r w:rsidR="00E61262" w:rsidRPr="00575173">
        <w:t>this instrument</w:t>
      </w:r>
      <w:r w:rsidRPr="00575173">
        <w:t xml:space="preserve">. Information may be inserted in this column, or information in it may be edited, in any published version of </w:t>
      </w:r>
      <w:r w:rsidR="00E61262" w:rsidRPr="00575173">
        <w:t>this instrument</w:t>
      </w:r>
      <w:r w:rsidRPr="00575173">
        <w:t>.</w:t>
      </w:r>
    </w:p>
    <w:p w14:paraId="565B2601" w14:textId="77777777" w:rsidR="00BF6650" w:rsidRPr="00575173" w:rsidRDefault="00BF6650" w:rsidP="00BF6650">
      <w:pPr>
        <w:pStyle w:val="ActHead5"/>
      </w:pPr>
      <w:bookmarkStart w:id="3" w:name="_Toc164258794"/>
      <w:r w:rsidRPr="00575173">
        <w:rPr>
          <w:rStyle w:val="CharSectno"/>
        </w:rPr>
        <w:t>3</w:t>
      </w:r>
      <w:r w:rsidRPr="00575173">
        <w:t xml:space="preserve">  Authority</w:t>
      </w:r>
      <w:bookmarkEnd w:id="3"/>
    </w:p>
    <w:p w14:paraId="01CDD7A6" w14:textId="77777777" w:rsidR="00BF6650" w:rsidRPr="00575173" w:rsidRDefault="00BF6650" w:rsidP="00BF6650">
      <w:pPr>
        <w:pStyle w:val="subsection"/>
      </w:pPr>
      <w:r w:rsidRPr="00575173">
        <w:tab/>
      </w:r>
      <w:r w:rsidRPr="00575173">
        <w:tab/>
      </w:r>
      <w:r w:rsidR="00E61262" w:rsidRPr="00575173">
        <w:t>This instrument is</w:t>
      </w:r>
      <w:r w:rsidRPr="00575173">
        <w:t xml:space="preserve"> made under the </w:t>
      </w:r>
      <w:r w:rsidR="00E03BFD" w:rsidRPr="00575173">
        <w:rPr>
          <w:i/>
        </w:rPr>
        <w:t>Health Insurance Act 1973</w:t>
      </w:r>
      <w:r w:rsidR="00546FA3" w:rsidRPr="00575173">
        <w:t>.</w:t>
      </w:r>
    </w:p>
    <w:p w14:paraId="50D6A244" w14:textId="77777777" w:rsidR="00557C7A" w:rsidRPr="00575173" w:rsidRDefault="00BF6650" w:rsidP="00557C7A">
      <w:pPr>
        <w:pStyle w:val="ActHead5"/>
      </w:pPr>
      <w:bookmarkStart w:id="4" w:name="_Toc164258795"/>
      <w:r w:rsidRPr="00575173">
        <w:rPr>
          <w:rStyle w:val="CharSectno"/>
        </w:rPr>
        <w:t>4</w:t>
      </w:r>
      <w:r w:rsidR="00557C7A" w:rsidRPr="00575173">
        <w:t xml:space="preserve">  </w:t>
      </w:r>
      <w:r w:rsidR="00083F48" w:rsidRPr="00575173">
        <w:t>Schedules</w:t>
      </w:r>
      <w:bookmarkEnd w:id="4"/>
    </w:p>
    <w:p w14:paraId="551BF5ED" w14:textId="77777777" w:rsidR="00557C7A" w:rsidRPr="00575173" w:rsidRDefault="00557C7A" w:rsidP="00557C7A">
      <w:pPr>
        <w:pStyle w:val="subsection"/>
      </w:pPr>
      <w:r w:rsidRPr="00575173">
        <w:tab/>
      </w:r>
      <w:r w:rsidRPr="00575173">
        <w:tab/>
      </w:r>
      <w:r w:rsidR="00083F48" w:rsidRPr="00575173">
        <w:t xml:space="preserve">Each </w:t>
      </w:r>
      <w:r w:rsidR="00160BD7" w:rsidRPr="00575173">
        <w:t>instrument</w:t>
      </w:r>
      <w:r w:rsidR="00083F48" w:rsidRPr="00575173">
        <w:t xml:space="preserve"> that is specified in a Schedule to </w:t>
      </w:r>
      <w:r w:rsidR="00E61262" w:rsidRPr="00575173">
        <w:t>this instrument</w:t>
      </w:r>
      <w:r w:rsidR="00083F48" w:rsidRPr="00575173">
        <w:t xml:space="preserve"> is amended or repealed as set out in the applicable items in the Schedule concerned, and any other item in a Schedule to </w:t>
      </w:r>
      <w:r w:rsidR="00E61262" w:rsidRPr="00575173">
        <w:t>this instrument</w:t>
      </w:r>
      <w:r w:rsidR="00083F48" w:rsidRPr="00575173">
        <w:t xml:space="preserve"> has effect according to its terms.</w:t>
      </w:r>
    </w:p>
    <w:p w14:paraId="2CB6732B" w14:textId="77777777" w:rsidR="0048364F" w:rsidRPr="00575173" w:rsidRDefault="00AF5758" w:rsidP="009C5989">
      <w:pPr>
        <w:pStyle w:val="ActHead6"/>
        <w:pageBreakBefore/>
      </w:pPr>
      <w:bookmarkStart w:id="5" w:name="_Toc164258796"/>
      <w:r w:rsidRPr="00575173">
        <w:rPr>
          <w:rStyle w:val="CharAmSchNo"/>
        </w:rPr>
        <w:lastRenderedPageBreak/>
        <w:t>Schedule 1</w:t>
      </w:r>
      <w:r w:rsidR="0048364F" w:rsidRPr="00575173">
        <w:t>—</w:t>
      </w:r>
      <w:r w:rsidR="00460499" w:rsidRPr="00575173">
        <w:rPr>
          <w:rStyle w:val="CharAmSchText"/>
        </w:rPr>
        <w:t>Amendments</w:t>
      </w:r>
      <w:bookmarkEnd w:id="5"/>
    </w:p>
    <w:p w14:paraId="6E6D0BF0" w14:textId="77777777" w:rsidR="0004044E" w:rsidRPr="00575173" w:rsidRDefault="0004044E" w:rsidP="0004044E">
      <w:pPr>
        <w:pStyle w:val="Header"/>
      </w:pPr>
      <w:r w:rsidRPr="00575173">
        <w:rPr>
          <w:rStyle w:val="CharAmPartNo"/>
        </w:rPr>
        <w:t xml:space="preserve"> </w:t>
      </w:r>
      <w:r w:rsidRPr="00575173">
        <w:rPr>
          <w:rStyle w:val="CharAmPartText"/>
        </w:rPr>
        <w:t xml:space="preserve"> </w:t>
      </w:r>
    </w:p>
    <w:p w14:paraId="686FF5CA" w14:textId="77777777" w:rsidR="00AA5C78" w:rsidRPr="00575173" w:rsidRDefault="00AA5C78" w:rsidP="00AA5C78">
      <w:pPr>
        <w:pStyle w:val="ActHead9"/>
      </w:pPr>
      <w:bookmarkStart w:id="6" w:name="_Toc164258797"/>
      <w:r w:rsidRPr="00575173">
        <w:t xml:space="preserve">Health Insurance (General Medical Services Table) </w:t>
      </w:r>
      <w:r w:rsidR="00A7728E" w:rsidRPr="00575173">
        <w:t>Regulations 2</w:t>
      </w:r>
      <w:r w:rsidRPr="00575173">
        <w:t>021</w:t>
      </w:r>
      <w:bookmarkEnd w:id="6"/>
    </w:p>
    <w:p w14:paraId="2A352D1C" w14:textId="77777777" w:rsidR="00A3796A" w:rsidRPr="00575173" w:rsidRDefault="003A3A75" w:rsidP="00A3796A">
      <w:pPr>
        <w:pStyle w:val="ItemHead"/>
      </w:pPr>
      <w:r w:rsidRPr="00575173">
        <w:t>1</w:t>
      </w:r>
      <w:r w:rsidR="00A3796A" w:rsidRPr="00575173">
        <w:t xml:space="preserve">  </w:t>
      </w:r>
      <w:r w:rsidR="00AF5758" w:rsidRPr="00575173">
        <w:t>Subclause 1</w:t>
      </w:r>
      <w:r w:rsidR="00A3796A" w:rsidRPr="00575173">
        <w:t xml:space="preserve">.2.6(1) of </w:t>
      </w:r>
      <w:r w:rsidR="00AF5758" w:rsidRPr="00575173">
        <w:t>Schedule 1</w:t>
      </w:r>
    </w:p>
    <w:p w14:paraId="55106622" w14:textId="77777777" w:rsidR="00A3796A" w:rsidRPr="00575173" w:rsidRDefault="00A3796A" w:rsidP="00A3796A">
      <w:pPr>
        <w:pStyle w:val="Item"/>
      </w:pPr>
      <w:r w:rsidRPr="00575173">
        <w:t>Omit “15600,”, substitute “15942, 15944, 15946, 15948,”.</w:t>
      </w:r>
    </w:p>
    <w:p w14:paraId="712B13D2" w14:textId="77777777" w:rsidR="00A3796A" w:rsidRPr="00575173" w:rsidRDefault="003A3A75" w:rsidP="00A3796A">
      <w:pPr>
        <w:pStyle w:val="ItemHead"/>
      </w:pPr>
      <w:r w:rsidRPr="00575173">
        <w:t>2</w:t>
      </w:r>
      <w:r w:rsidR="00A3796A" w:rsidRPr="00575173">
        <w:t xml:space="preserve">  </w:t>
      </w:r>
      <w:r w:rsidR="00AF5758" w:rsidRPr="00575173">
        <w:t>Subclause 1</w:t>
      </w:r>
      <w:r w:rsidR="00A3796A" w:rsidRPr="00575173">
        <w:t xml:space="preserve">.2.7(1) of </w:t>
      </w:r>
      <w:r w:rsidR="00AF5758" w:rsidRPr="00575173">
        <w:t>Schedule 1</w:t>
      </w:r>
    </w:p>
    <w:p w14:paraId="1CA44797" w14:textId="77777777" w:rsidR="00A3796A" w:rsidRPr="00575173" w:rsidRDefault="00A3796A" w:rsidP="00A3796A">
      <w:pPr>
        <w:pStyle w:val="Item"/>
      </w:pPr>
      <w:r w:rsidRPr="00575173">
        <w:t>Omit “15600,”, substitute “15942, 15944, 15946, 15948,”.</w:t>
      </w:r>
    </w:p>
    <w:p w14:paraId="655B3FB3" w14:textId="77777777" w:rsidR="00AA5C78" w:rsidRPr="00575173" w:rsidRDefault="003A3A75" w:rsidP="00AA5C78">
      <w:pPr>
        <w:pStyle w:val="ItemHead"/>
      </w:pPr>
      <w:r w:rsidRPr="00575173">
        <w:t>3</w:t>
      </w:r>
      <w:r w:rsidR="00AA5C78" w:rsidRPr="00575173">
        <w:t xml:space="preserve">  </w:t>
      </w:r>
      <w:r w:rsidR="00AF5758" w:rsidRPr="00575173">
        <w:t>Subclause 1</w:t>
      </w:r>
      <w:r w:rsidR="00AA5C78" w:rsidRPr="00575173">
        <w:t xml:space="preserve">.2.11(1) of </w:t>
      </w:r>
      <w:r w:rsidR="00AF5758" w:rsidRPr="00575173">
        <w:t>Schedule 1</w:t>
      </w:r>
    </w:p>
    <w:p w14:paraId="78A799AE" w14:textId="77777777" w:rsidR="00AA5C78" w:rsidRPr="00575173" w:rsidRDefault="00AA5C78" w:rsidP="00AA5C78">
      <w:pPr>
        <w:pStyle w:val="Item"/>
      </w:pPr>
      <w:r w:rsidRPr="00575173">
        <w:t>Omit “15000 to 15336, 15339 to 15357, 15500 to 15539”, substitute “15900 to 15984”.</w:t>
      </w:r>
    </w:p>
    <w:p w14:paraId="50BF9861" w14:textId="77777777" w:rsidR="007010A1" w:rsidRPr="00575173" w:rsidRDefault="003A3A75" w:rsidP="007010A1">
      <w:pPr>
        <w:pStyle w:val="ItemHead"/>
      </w:pPr>
      <w:r w:rsidRPr="00575173">
        <w:t>4</w:t>
      </w:r>
      <w:r w:rsidR="007010A1" w:rsidRPr="00575173">
        <w:t xml:space="preserve">  Subparagraph 1.3.1(3)(c)(iv) of </w:t>
      </w:r>
      <w:r w:rsidR="00AF5758" w:rsidRPr="00575173">
        <w:t>Schedule 1</w:t>
      </w:r>
    </w:p>
    <w:p w14:paraId="614597EE" w14:textId="77777777" w:rsidR="007010A1" w:rsidRPr="00575173" w:rsidRDefault="007010A1" w:rsidP="007010A1">
      <w:pPr>
        <w:pStyle w:val="Item"/>
      </w:pPr>
      <w:r w:rsidRPr="00575173">
        <w:t>Omit “2.20.2A;”, substitute “2.20.2A.”.</w:t>
      </w:r>
    </w:p>
    <w:p w14:paraId="45E2655E" w14:textId="77777777" w:rsidR="007010A1" w:rsidRPr="00575173" w:rsidRDefault="003A3A75" w:rsidP="007010A1">
      <w:pPr>
        <w:pStyle w:val="ItemHead"/>
      </w:pPr>
      <w:r w:rsidRPr="00575173">
        <w:t>5</w:t>
      </w:r>
      <w:r w:rsidR="007010A1" w:rsidRPr="00575173">
        <w:t xml:space="preserve">  Subparagraph 1.3.1(3)(c)(v) of </w:t>
      </w:r>
      <w:r w:rsidR="00AF5758" w:rsidRPr="00575173">
        <w:t>Schedule 1</w:t>
      </w:r>
    </w:p>
    <w:p w14:paraId="1957B42C" w14:textId="77777777" w:rsidR="007010A1" w:rsidRPr="00575173" w:rsidRDefault="007010A1" w:rsidP="007010A1">
      <w:pPr>
        <w:pStyle w:val="Item"/>
      </w:pPr>
      <w:r w:rsidRPr="00575173">
        <w:t>Repeal the subparagraph.</w:t>
      </w:r>
    </w:p>
    <w:p w14:paraId="54A7BA79" w14:textId="77777777" w:rsidR="00AA5C78" w:rsidRPr="00575173" w:rsidRDefault="003A3A75" w:rsidP="00AA5C78">
      <w:pPr>
        <w:pStyle w:val="ItemHead"/>
      </w:pPr>
      <w:r w:rsidRPr="00575173">
        <w:t>6</w:t>
      </w:r>
      <w:r w:rsidR="00AA5C78" w:rsidRPr="00575173">
        <w:t xml:space="preserve">  </w:t>
      </w:r>
      <w:r w:rsidR="00AF5758" w:rsidRPr="00575173">
        <w:t>Division 5</w:t>
      </w:r>
      <w:r w:rsidR="00AA5C78" w:rsidRPr="00575173">
        <w:t xml:space="preserve">.3 of </w:t>
      </w:r>
      <w:r w:rsidR="00AF5758" w:rsidRPr="00575173">
        <w:t>Part 5</w:t>
      </w:r>
      <w:r w:rsidR="00AA5C78" w:rsidRPr="00575173">
        <w:t xml:space="preserve"> of </w:t>
      </w:r>
      <w:r w:rsidR="00AF5758" w:rsidRPr="00575173">
        <w:t>Schedule 1</w:t>
      </w:r>
    </w:p>
    <w:p w14:paraId="41A9A087" w14:textId="77777777" w:rsidR="00AA5C78" w:rsidRPr="00575173" w:rsidRDefault="00AA5C78" w:rsidP="00AA5C78">
      <w:pPr>
        <w:pStyle w:val="Item"/>
      </w:pPr>
      <w:r w:rsidRPr="00575173">
        <w:t>Repeal the Division, substitute:</w:t>
      </w:r>
    </w:p>
    <w:p w14:paraId="23803C74" w14:textId="77777777" w:rsidR="00AA5C78" w:rsidRPr="00575173" w:rsidRDefault="00AF5758" w:rsidP="00AA5C78">
      <w:pPr>
        <w:pStyle w:val="ActHead3"/>
      </w:pPr>
      <w:bookmarkStart w:id="7" w:name="_Toc164258798"/>
      <w:r w:rsidRPr="00575173">
        <w:rPr>
          <w:rStyle w:val="CharDivNo"/>
        </w:rPr>
        <w:t>Division 5</w:t>
      </w:r>
      <w:r w:rsidR="00AA5C78" w:rsidRPr="00575173">
        <w:rPr>
          <w:rStyle w:val="CharDivNo"/>
        </w:rPr>
        <w:t>.3</w:t>
      </w:r>
      <w:r w:rsidR="00AA5C78" w:rsidRPr="00575173">
        <w:t>—</w:t>
      </w:r>
      <w:r w:rsidR="00AA5C78" w:rsidRPr="00575173">
        <w:rPr>
          <w:rStyle w:val="CharDivText"/>
        </w:rPr>
        <w:t>Group T2: Radiation oncology</w:t>
      </w:r>
      <w:bookmarkEnd w:id="7"/>
    </w:p>
    <w:p w14:paraId="099BE6B7" w14:textId="77777777" w:rsidR="00AA5C78" w:rsidRPr="00575173" w:rsidRDefault="00AA5C78" w:rsidP="00AA5C78">
      <w:pPr>
        <w:pStyle w:val="ActHead5"/>
      </w:pPr>
      <w:bookmarkStart w:id="8" w:name="_Toc164258799"/>
      <w:r w:rsidRPr="00575173">
        <w:rPr>
          <w:rStyle w:val="CharSectno"/>
        </w:rPr>
        <w:t>5.3.1</w:t>
      </w:r>
      <w:r w:rsidRPr="00575173">
        <w:t xml:space="preserve">  Meaning of </w:t>
      </w:r>
      <w:r w:rsidRPr="00575173">
        <w:rPr>
          <w:i/>
        </w:rPr>
        <w:t xml:space="preserve">amount under </w:t>
      </w:r>
      <w:r w:rsidR="00AF5758" w:rsidRPr="00575173">
        <w:rPr>
          <w:i/>
        </w:rPr>
        <w:t>clause 5</w:t>
      </w:r>
      <w:r w:rsidRPr="00575173">
        <w:rPr>
          <w:i/>
        </w:rPr>
        <w:t>.3.1</w:t>
      </w:r>
      <w:bookmarkEnd w:id="8"/>
    </w:p>
    <w:p w14:paraId="3CEEB347" w14:textId="77777777" w:rsidR="00AA5C78" w:rsidRPr="00575173" w:rsidRDefault="00AA5C78" w:rsidP="00AA5C78">
      <w:pPr>
        <w:pStyle w:val="subsection"/>
      </w:pPr>
      <w:r w:rsidRPr="00575173">
        <w:tab/>
      </w:r>
      <w:r w:rsidRPr="00575173">
        <w:tab/>
        <w:t xml:space="preserve">In </w:t>
      </w:r>
      <w:r w:rsidR="0004317E" w:rsidRPr="00575173">
        <w:t>item 1</w:t>
      </w:r>
      <w:r w:rsidRPr="00575173">
        <w:t>5954:</w:t>
      </w:r>
    </w:p>
    <w:p w14:paraId="2C60787F" w14:textId="77777777" w:rsidR="00AA5C78" w:rsidRPr="00575173" w:rsidRDefault="00AA5C78" w:rsidP="00AA5C78">
      <w:pPr>
        <w:pStyle w:val="Definition"/>
      </w:pPr>
      <w:r w:rsidRPr="00575173">
        <w:rPr>
          <w:b/>
          <w:i/>
        </w:rPr>
        <w:t xml:space="preserve">amount under </w:t>
      </w:r>
      <w:r w:rsidR="00AF5758" w:rsidRPr="00575173">
        <w:rPr>
          <w:b/>
          <w:i/>
        </w:rPr>
        <w:t>clause 5</w:t>
      </w:r>
      <w:r w:rsidRPr="00575173">
        <w:rPr>
          <w:b/>
          <w:i/>
        </w:rPr>
        <w:t xml:space="preserve">.3.1 </w:t>
      </w:r>
      <w:r w:rsidRPr="00575173">
        <w:t>means the sum of:</w:t>
      </w:r>
    </w:p>
    <w:p w14:paraId="0BFB617A" w14:textId="77777777" w:rsidR="00AA5C78" w:rsidRPr="00575173" w:rsidRDefault="00AA5C78" w:rsidP="00AA5C78">
      <w:pPr>
        <w:pStyle w:val="paragraph"/>
      </w:pPr>
      <w:r w:rsidRPr="00575173">
        <w:tab/>
        <w:t>(a)</w:t>
      </w:r>
      <w:r w:rsidRPr="00575173">
        <w:tab/>
        <w:t xml:space="preserve">the fee for </w:t>
      </w:r>
      <w:r w:rsidR="0004317E" w:rsidRPr="00575173">
        <w:t>item 1</w:t>
      </w:r>
      <w:r w:rsidRPr="00575173">
        <w:t>5952; and</w:t>
      </w:r>
    </w:p>
    <w:p w14:paraId="45D747C8" w14:textId="77777777" w:rsidR="00AA5C78" w:rsidRPr="00575173" w:rsidRDefault="00AA5C78" w:rsidP="00AA5C78">
      <w:pPr>
        <w:pStyle w:val="paragraph"/>
      </w:pPr>
      <w:r w:rsidRPr="00575173">
        <w:tab/>
        <w:t>(b)</w:t>
      </w:r>
      <w:r w:rsidRPr="00575173">
        <w:tab/>
        <w:t xml:space="preserve">$22.00 for each </w:t>
      </w:r>
      <w:r w:rsidR="00754CC3" w:rsidRPr="00575173">
        <w:t>anatomical site</w:t>
      </w:r>
      <w:r w:rsidRPr="00575173">
        <w:t xml:space="preserve"> separately treated in excess of one.</w:t>
      </w:r>
    </w:p>
    <w:p w14:paraId="6EE9A1EA" w14:textId="77777777" w:rsidR="00CC37F5" w:rsidRPr="00575173" w:rsidRDefault="00CC37F5" w:rsidP="00AA5C78">
      <w:pPr>
        <w:pStyle w:val="ActHead5"/>
      </w:pPr>
      <w:bookmarkStart w:id="9" w:name="_Toc164258800"/>
      <w:r w:rsidRPr="00575173">
        <w:rPr>
          <w:rStyle w:val="CharSectno"/>
        </w:rPr>
        <w:t>5.3.2</w:t>
      </w:r>
      <w:r w:rsidRPr="00575173">
        <w:t xml:space="preserve">  Meaning of </w:t>
      </w:r>
      <w:r w:rsidRPr="00575173">
        <w:rPr>
          <w:i/>
        </w:rPr>
        <w:t>radiation oncologist</w:t>
      </w:r>
      <w:bookmarkEnd w:id="9"/>
    </w:p>
    <w:p w14:paraId="13F57B2E" w14:textId="77777777" w:rsidR="00715F1C" w:rsidRPr="00575173" w:rsidRDefault="00715F1C" w:rsidP="00715F1C">
      <w:pPr>
        <w:pStyle w:val="subsection"/>
      </w:pPr>
      <w:r w:rsidRPr="00575173">
        <w:tab/>
      </w:r>
      <w:r w:rsidRPr="00575173">
        <w:tab/>
        <w:t>In this Schedule</w:t>
      </w:r>
      <w:r w:rsidR="00F531CF" w:rsidRPr="00575173">
        <w:t>:</w:t>
      </w:r>
    </w:p>
    <w:p w14:paraId="4B836036" w14:textId="77777777" w:rsidR="00F531CF" w:rsidRPr="00575173" w:rsidRDefault="00F531CF" w:rsidP="00F531CF">
      <w:pPr>
        <w:pStyle w:val="Definition"/>
      </w:pPr>
      <w:r w:rsidRPr="00575173">
        <w:rPr>
          <w:b/>
          <w:i/>
        </w:rPr>
        <w:t>radiation oncologist</w:t>
      </w:r>
      <w:r w:rsidRPr="00575173">
        <w:t xml:space="preserve"> means a specialist practising in the specialist’s specialty of radiation oncology.</w:t>
      </w:r>
    </w:p>
    <w:p w14:paraId="0A0EE2EB" w14:textId="77777777" w:rsidR="00AA5C78" w:rsidRPr="00575173" w:rsidRDefault="00AA5C78" w:rsidP="00AA5C78">
      <w:pPr>
        <w:pStyle w:val="ActHead5"/>
      </w:pPr>
      <w:bookmarkStart w:id="10" w:name="_Toc164258801"/>
      <w:r w:rsidRPr="00575173">
        <w:rPr>
          <w:rStyle w:val="CharSectno"/>
        </w:rPr>
        <w:t>5.3.</w:t>
      </w:r>
      <w:r w:rsidR="00F531CF" w:rsidRPr="00575173">
        <w:rPr>
          <w:rStyle w:val="CharSectno"/>
        </w:rPr>
        <w:t>3</w:t>
      </w:r>
      <w:r w:rsidRPr="00575173">
        <w:t xml:space="preserve">  Items in Group T2</w:t>
      </w:r>
      <w:bookmarkEnd w:id="10"/>
    </w:p>
    <w:p w14:paraId="7824090A" w14:textId="77777777" w:rsidR="00AA5C78" w:rsidRPr="00575173" w:rsidRDefault="00AA5C78" w:rsidP="00AA5C78">
      <w:pPr>
        <w:pStyle w:val="subsection"/>
      </w:pPr>
      <w:r w:rsidRPr="00575173">
        <w:tab/>
      </w:r>
      <w:r w:rsidRPr="00575173">
        <w:tab/>
        <w:t>This clause sets out items in Group T2.</w:t>
      </w:r>
    </w:p>
    <w:p w14:paraId="197BC344" w14:textId="77777777" w:rsidR="00AA5C78" w:rsidRPr="00575173" w:rsidRDefault="00AA5C78" w:rsidP="00AA5C78">
      <w:pPr>
        <w:pStyle w:val="notetext"/>
      </w:pPr>
      <w:r w:rsidRPr="00575173">
        <w:t>Note:</w:t>
      </w:r>
      <w:r w:rsidRPr="00575173">
        <w:tab/>
        <w:t xml:space="preserve">The fees in Group T2 are indexed in accordance with </w:t>
      </w:r>
      <w:r w:rsidR="00AF5758" w:rsidRPr="00575173">
        <w:t>clause 1</w:t>
      </w:r>
      <w:r w:rsidRPr="00575173">
        <w:t>.3.1.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58"/>
        <w:gridCol w:w="5884"/>
        <w:gridCol w:w="1385"/>
      </w:tblGrid>
      <w:tr w:rsidR="00AA5C78" w:rsidRPr="00575173" w14:paraId="363D26F0" w14:textId="77777777" w:rsidTr="0085559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FEBA48" w14:textId="77777777" w:rsidR="00AA5C78" w:rsidRPr="00575173" w:rsidRDefault="00AA5C78" w:rsidP="0085559E">
            <w:pPr>
              <w:pStyle w:val="TableHeading"/>
              <w:keepLines/>
            </w:pPr>
            <w:r w:rsidRPr="00575173">
              <w:t>Group T2—Radiation oncology</w:t>
            </w:r>
          </w:p>
        </w:tc>
      </w:tr>
      <w:tr w:rsidR="00AA5C78" w:rsidRPr="00575173" w14:paraId="17D366A7" w14:textId="77777777" w:rsidTr="0085559E">
        <w:trPr>
          <w:tblHeader/>
        </w:trPr>
        <w:tc>
          <w:tcPr>
            <w:tcW w:w="7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0B834D" w14:textId="77777777" w:rsidR="00AA5C78" w:rsidRPr="00575173" w:rsidRDefault="00AA5C78" w:rsidP="0085559E">
            <w:pPr>
              <w:pStyle w:val="TableHeading"/>
            </w:pPr>
            <w:r w:rsidRPr="00575173">
              <w:t>Column 1</w:t>
            </w:r>
          </w:p>
          <w:p w14:paraId="4BB91111" w14:textId="77777777" w:rsidR="00AA5C78" w:rsidRPr="00575173" w:rsidRDefault="00AA5C78" w:rsidP="0085559E">
            <w:pPr>
              <w:pStyle w:val="TableHeading"/>
            </w:pPr>
            <w:r w:rsidRPr="00575173">
              <w:t>Item</w:t>
            </w:r>
          </w:p>
        </w:tc>
        <w:tc>
          <w:tcPr>
            <w:tcW w:w="34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D088D4" w14:textId="77777777" w:rsidR="00AA5C78" w:rsidRPr="00575173" w:rsidRDefault="00AA5C78" w:rsidP="0085559E">
            <w:pPr>
              <w:pStyle w:val="TableHeading"/>
            </w:pPr>
            <w:r w:rsidRPr="00575173">
              <w:t>Column 2</w:t>
            </w:r>
          </w:p>
          <w:p w14:paraId="7C1DE3B6" w14:textId="77777777" w:rsidR="00AA5C78" w:rsidRPr="00575173" w:rsidRDefault="00AA5C78" w:rsidP="0085559E">
            <w:pPr>
              <w:pStyle w:val="TableHeading"/>
            </w:pPr>
            <w:r w:rsidRPr="00575173">
              <w:t>Description</w:t>
            </w:r>
          </w:p>
        </w:tc>
        <w:tc>
          <w:tcPr>
            <w:tcW w:w="8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B5ADE3" w14:textId="77777777" w:rsidR="00AA5C78" w:rsidRPr="00575173" w:rsidRDefault="00AA5C78" w:rsidP="0085559E">
            <w:pPr>
              <w:pStyle w:val="TableHeading"/>
              <w:jc w:val="right"/>
            </w:pPr>
            <w:r w:rsidRPr="00575173">
              <w:t>Column 3</w:t>
            </w:r>
          </w:p>
          <w:p w14:paraId="51DC9F2D" w14:textId="77777777" w:rsidR="00AA5C78" w:rsidRPr="00575173" w:rsidRDefault="00AA5C78" w:rsidP="0085559E">
            <w:pPr>
              <w:pStyle w:val="TableHeading"/>
              <w:jc w:val="right"/>
            </w:pPr>
            <w:r w:rsidRPr="00575173">
              <w:t>Fee ($)</w:t>
            </w:r>
          </w:p>
        </w:tc>
      </w:tr>
      <w:tr w:rsidR="00AA5C78" w:rsidRPr="00575173" w14:paraId="75FEDED4" w14:textId="77777777" w:rsidTr="0085559E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415DE53" w14:textId="77777777" w:rsidR="00AA5C78" w:rsidRPr="00575173" w:rsidRDefault="00AA5C78" w:rsidP="0085559E">
            <w:pPr>
              <w:pStyle w:val="TableHeading"/>
            </w:pPr>
            <w:r w:rsidRPr="00575173">
              <w:t>Subgroup 1—Targeted intraoperative radiation therapy</w:t>
            </w:r>
          </w:p>
        </w:tc>
      </w:tr>
      <w:tr w:rsidR="00AA5C78" w:rsidRPr="00575173" w14:paraId="7233F48A" w14:textId="77777777" w:rsidTr="0085559E">
        <w:tc>
          <w:tcPr>
            <w:tcW w:w="738" w:type="pct"/>
            <w:shd w:val="clear" w:color="auto" w:fill="auto"/>
          </w:tcPr>
          <w:p w14:paraId="4DB7728F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15900</w:t>
            </w:r>
          </w:p>
        </w:tc>
        <w:tc>
          <w:tcPr>
            <w:tcW w:w="3450" w:type="pct"/>
            <w:shd w:val="clear" w:color="auto" w:fill="auto"/>
          </w:tcPr>
          <w:p w14:paraId="11B2C86B" w14:textId="77777777" w:rsidR="00AA5C78" w:rsidRPr="00575173" w:rsidRDefault="00AA5C78" w:rsidP="0085559E">
            <w:pPr>
              <w:pStyle w:val="Tabletext"/>
            </w:pPr>
            <w:r w:rsidRPr="00575173">
              <w:t xml:space="preserve">Breast, malignant tumour, targeted intraoperative radiation therapy, </w:t>
            </w:r>
            <w:r w:rsidRPr="00575173">
              <w:lastRenderedPageBreak/>
              <w:t>using an Intrabeam® or Xoft® Axxent® device, delivered at the time of breast</w:t>
            </w:r>
            <w:r w:rsidR="00A7728E" w:rsidRPr="00575173">
              <w:noBreakHyphen/>
            </w:r>
            <w:r w:rsidRPr="00575173">
              <w:t>conserving surgery (partial mastectomy or lumpectomy) for a patient who:</w:t>
            </w:r>
          </w:p>
          <w:p w14:paraId="12BF7D00" w14:textId="77777777" w:rsidR="00AA5C78" w:rsidRPr="00575173" w:rsidRDefault="00AA5C78" w:rsidP="0085559E">
            <w:pPr>
              <w:pStyle w:val="Tablea"/>
            </w:pPr>
            <w:r w:rsidRPr="00575173">
              <w:t>(a) is 45 years of age or over; and</w:t>
            </w:r>
          </w:p>
          <w:p w14:paraId="572B3174" w14:textId="77777777" w:rsidR="00AA5C78" w:rsidRPr="00575173" w:rsidRDefault="00AA5C78" w:rsidP="0085559E">
            <w:pPr>
              <w:pStyle w:val="Tablea"/>
            </w:pPr>
            <w:r w:rsidRPr="00575173">
              <w:t>(b) has a T1 or small T2 (less than or equal to 3</w:t>
            </w:r>
            <w:r w:rsidR="00EF0611" w:rsidRPr="00575173">
              <w:t xml:space="preserve"> </w:t>
            </w:r>
            <w:r w:rsidRPr="00575173">
              <w:t>cm in diameter) primary tumour; and</w:t>
            </w:r>
          </w:p>
          <w:p w14:paraId="2F1521C8" w14:textId="77777777" w:rsidR="00AA5C78" w:rsidRPr="00575173" w:rsidRDefault="00AA5C78" w:rsidP="0085559E">
            <w:pPr>
              <w:pStyle w:val="Tablea"/>
            </w:pPr>
            <w:r w:rsidRPr="00575173">
              <w:t>(c) has a histologic grade 1 or 2 tumour; and</w:t>
            </w:r>
          </w:p>
          <w:p w14:paraId="58BDCC0C" w14:textId="77777777" w:rsidR="00AA5C78" w:rsidRPr="00575173" w:rsidRDefault="00AA5C78" w:rsidP="0085559E">
            <w:pPr>
              <w:pStyle w:val="Tablea"/>
            </w:pPr>
            <w:r w:rsidRPr="00575173">
              <w:t>(d) has an oestrogen</w:t>
            </w:r>
            <w:r w:rsidR="00A7728E" w:rsidRPr="00575173">
              <w:noBreakHyphen/>
            </w:r>
            <w:r w:rsidRPr="00575173">
              <w:t>receptor positive tumour; and</w:t>
            </w:r>
          </w:p>
          <w:p w14:paraId="0449D2C3" w14:textId="77777777" w:rsidR="00AA5C78" w:rsidRPr="00575173" w:rsidRDefault="00AA5C78" w:rsidP="0085559E">
            <w:pPr>
              <w:pStyle w:val="Tablea"/>
            </w:pPr>
            <w:r w:rsidRPr="00575173">
              <w:t>(e) has a node negative malignancy; and</w:t>
            </w:r>
          </w:p>
          <w:p w14:paraId="1F27339F" w14:textId="77777777" w:rsidR="00AA5C78" w:rsidRPr="00575173" w:rsidRDefault="00AA5C78" w:rsidP="0085559E">
            <w:pPr>
              <w:pStyle w:val="Tablea"/>
            </w:pPr>
            <w:r w:rsidRPr="00575173">
              <w:t>(f) is suitable for wide local excision of a primary invasive ductal carcinoma that was diagnosed as unifocal on conventional examination and imaging; and</w:t>
            </w:r>
          </w:p>
          <w:p w14:paraId="3DF417C1" w14:textId="77777777" w:rsidR="00AA5C78" w:rsidRPr="00575173" w:rsidRDefault="00AA5C78" w:rsidP="0085559E">
            <w:pPr>
              <w:pStyle w:val="Tablea"/>
            </w:pPr>
            <w:r w:rsidRPr="00575173">
              <w:t>(g) has no contra</w:t>
            </w:r>
            <w:r w:rsidR="00A7728E" w:rsidRPr="00575173">
              <w:noBreakHyphen/>
            </w:r>
            <w:r w:rsidRPr="00575173">
              <w:t>indications to breast irradiation</w:t>
            </w:r>
          </w:p>
          <w:p w14:paraId="58401B68" w14:textId="77777777" w:rsidR="00AA5C78" w:rsidRPr="00575173" w:rsidRDefault="00AA5C78" w:rsidP="009D6217">
            <w:pPr>
              <w:pStyle w:val="Tabletext"/>
            </w:pPr>
            <w:r w:rsidRPr="00575173">
              <w:t>Applicable once per breast per lifetime (H)</w:t>
            </w:r>
          </w:p>
        </w:tc>
        <w:tc>
          <w:tcPr>
            <w:tcW w:w="812" w:type="pct"/>
            <w:shd w:val="clear" w:color="auto" w:fill="auto"/>
          </w:tcPr>
          <w:p w14:paraId="2E684BE2" w14:textId="77777777" w:rsidR="00AA5C78" w:rsidRPr="00575173" w:rsidRDefault="00706911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lang w:eastAsia="en-US"/>
              </w:rPr>
              <w:lastRenderedPageBreak/>
              <w:t>284.75</w:t>
            </w:r>
          </w:p>
        </w:tc>
      </w:tr>
      <w:tr w:rsidR="00AA5C78" w:rsidRPr="00575173" w14:paraId="07F320C0" w14:textId="77777777" w:rsidTr="0085559E">
        <w:tc>
          <w:tcPr>
            <w:tcW w:w="5000" w:type="pct"/>
            <w:gridSpan w:val="3"/>
            <w:shd w:val="clear" w:color="auto" w:fill="auto"/>
          </w:tcPr>
          <w:p w14:paraId="4E39515C" w14:textId="77777777" w:rsidR="00AA5C78" w:rsidRPr="00575173" w:rsidRDefault="00AA5C78" w:rsidP="00017EF3">
            <w:pPr>
              <w:pStyle w:val="TableHeading"/>
              <w:rPr>
                <w:iCs/>
                <w:kern w:val="2"/>
                <w14:ligatures w14:val="standardContextual"/>
              </w:rPr>
            </w:pPr>
            <w:r w:rsidRPr="00575173">
              <w:t>Subgroup 2—Megavoltage</w:t>
            </w:r>
          </w:p>
        </w:tc>
      </w:tr>
      <w:tr w:rsidR="00AA5C78" w:rsidRPr="00575173" w14:paraId="328BA07B" w14:textId="77777777" w:rsidTr="0085559E">
        <w:tc>
          <w:tcPr>
            <w:tcW w:w="738" w:type="pct"/>
            <w:shd w:val="clear" w:color="auto" w:fill="auto"/>
          </w:tcPr>
          <w:p w14:paraId="153C0F90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15902</w:t>
            </w:r>
          </w:p>
        </w:tc>
        <w:tc>
          <w:tcPr>
            <w:tcW w:w="3450" w:type="pct"/>
            <w:shd w:val="clear" w:color="auto" w:fill="auto"/>
          </w:tcPr>
          <w:p w14:paraId="3C2DC86D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1.1</w:t>
            </w:r>
          </w:p>
          <w:p w14:paraId="436ED184" w14:textId="77777777" w:rsidR="00AA5C78" w:rsidRPr="00575173" w:rsidRDefault="00AA5C78" w:rsidP="0085559E">
            <w:pPr>
              <w:pStyle w:val="Tabletext"/>
            </w:pPr>
            <w:r w:rsidRPr="00575173">
              <w:t>Simple complexity single</w:t>
            </w:r>
            <w:r w:rsidR="00A7728E" w:rsidRPr="00575173">
              <w:noBreakHyphen/>
            </w:r>
            <w:r w:rsidRPr="00575173">
              <w:t xml:space="preserve">field </w:t>
            </w:r>
            <w:r w:rsidR="005D13A0" w:rsidRPr="00575173">
              <w:t xml:space="preserve">radiation therapy </w:t>
            </w:r>
            <w:r w:rsidRPr="00575173">
              <w:t>simulation and dosimetry for treatment planning, without imaging for field setting, if:</w:t>
            </w:r>
          </w:p>
          <w:p w14:paraId="0D689F94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01BEB674" w14:textId="77777777" w:rsidR="00AA5C78" w:rsidRPr="00575173" w:rsidRDefault="00AA5C78" w:rsidP="0085559E">
            <w:pPr>
              <w:pStyle w:val="Tablei"/>
            </w:pPr>
            <w:r w:rsidRPr="00575173">
              <w:t>(i) the simulation is to one site;</w:t>
            </w:r>
          </w:p>
          <w:p w14:paraId="0C6A30C6" w14:textId="77777777" w:rsidR="00AA5C78" w:rsidRPr="00575173" w:rsidRDefault="00AA5C78" w:rsidP="0085559E">
            <w:pPr>
              <w:pStyle w:val="Tablei"/>
            </w:pPr>
            <w:r w:rsidRPr="00575173">
              <w:t>(ii) localisation is based on clinical mark</w:t>
            </w:r>
            <w:r w:rsidR="00A7728E" w:rsidRPr="00575173">
              <w:noBreakHyphen/>
            </w:r>
            <w:r w:rsidRPr="00575173">
              <w:t>up and image</w:t>
            </w:r>
            <w:r w:rsidR="00A7728E" w:rsidRPr="00575173">
              <w:noBreakHyphen/>
            </w:r>
            <w:r w:rsidRPr="00575173">
              <w:t>based simulation is not required;</w:t>
            </w:r>
          </w:p>
          <w:p w14:paraId="60DDCAFC" w14:textId="77777777" w:rsidR="00AA5C78" w:rsidRPr="00575173" w:rsidRDefault="00AA5C78" w:rsidP="0085559E">
            <w:pPr>
              <w:pStyle w:val="Tablei"/>
            </w:pPr>
            <w:r w:rsidRPr="00575173">
              <w:t>(iii) patient set</w:t>
            </w:r>
            <w:r w:rsidR="00A7728E" w:rsidRPr="00575173">
              <w:noBreakHyphen/>
            </w:r>
            <w:r w:rsidRPr="00575173">
              <w:t>up and immobilisation techniques are suitable for two</w:t>
            </w:r>
            <w:r w:rsidR="00A7728E" w:rsidRPr="00575173">
              <w:noBreakHyphen/>
            </w:r>
            <w:r w:rsidRPr="00575173">
              <w:t>dimensional radiation therapy treatment, with wide margins and allowance for movement; and</w:t>
            </w:r>
          </w:p>
          <w:p w14:paraId="37C11914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05EBE245" w14:textId="77777777" w:rsidR="00AA5C78" w:rsidRPr="00575173" w:rsidRDefault="00AA5C78" w:rsidP="0085559E">
            <w:pPr>
              <w:pStyle w:val="Tablei"/>
            </w:pPr>
            <w:r w:rsidRPr="00575173">
              <w:t>(i) the planning process is required to deliver a prescribed dose to a point, either at depth or on the surface of the patient;</w:t>
            </w:r>
          </w:p>
          <w:p w14:paraId="455427EA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planning process does not require the differential of dose between target, organs at risk and normal tissue dose;</w:t>
            </w:r>
          </w:p>
          <w:p w14:paraId="488C1459" w14:textId="77777777" w:rsidR="00AA5C78" w:rsidRPr="00575173" w:rsidRDefault="00AA5C78" w:rsidP="0085559E">
            <w:pPr>
              <w:pStyle w:val="Tablei"/>
            </w:pPr>
            <w:r w:rsidRPr="00575173">
              <w:t>(iii) delineation of structures is not possible or required, and field borders will delineate the treatment volume;</w:t>
            </w:r>
          </w:p>
          <w:p w14:paraId="40F57A17" w14:textId="77777777" w:rsidR="00AA5C78" w:rsidRPr="00575173" w:rsidRDefault="00AA5C78" w:rsidP="0085559E">
            <w:pPr>
              <w:pStyle w:val="Tablei"/>
            </w:pPr>
            <w:r w:rsidRPr="00575173">
              <w:t>(iv) doses are calculated in reference to a point, either at depth or on the surface of the patient, from tables, charts or data from a treatment planning system</w:t>
            </w:r>
          </w:p>
          <w:p w14:paraId="2459A371" w14:textId="77777777" w:rsidR="00A3008C" w:rsidRPr="00575173" w:rsidRDefault="004268E1" w:rsidP="00E844F9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1DDFECC9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725.45</w:t>
            </w:r>
          </w:p>
        </w:tc>
      </w:tr>
      <w:tr w:rsidR="00AA5C78" w:rsidRPr="00575173" w14:paraId="4DBED156" w14:textId="77777777" w:rsidTr="0085559E">
        <w:tc>
          <w:tcPr>
            <w:tcW w:w="738" w:type="pct"/>
            <w:shd w:val="clear" w:color="auto" w:fill="auto"/>
            <w:hideMark/>
          </w:tcPr>
          <w:p w14:paraId="319850C6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15904</w:t>
            </w:r>
          </w:p>
        </w:tc>
        <w:tc>
          <w:tcPr>
            <w:tcW w:w="3450" w:type="pct"/>
            <w:shd w:val="clear" w:color="auto" w:fill="auto"/>
          </w:tcPr>
          <w:p w14:paraId="3B5F7759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1.2</w:t>
            </w:r>
          </w:p>
          <w:p w14:paraId="58726CBE" w14:textId="77777777" w:rsidR="00AA5C78" w:rsidRPr="00575173" w:rsidRDefault="00AA5C78" w:rsidP="0085559E">
            <w:pPr>
              <w:pStyle w:val="Tabletext"/>
            </w:pPr>
            <w:r w:rsidRPr="00575173">
              <w:t>Simple complexity</w:t>
            </w:r>
            <w:r w:rsidR="00E844F9" w:rsidRPr="00575173">
              <w:t xml:space="preserve"> radiation therapy</w:t>
            </w:r>
            <w:r w:rsidRPr="00575173">
              <w:t xml:space="preserve"> simulation and dosimetry for treatment planning, with imaging for field setting, if:</w:t>
            </w:r>
          </w:p>
          <w:p w14:paraId="38C2A5F1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1E64DE21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two</w:t>
            </w:r>
            <w:r w:rsidR="00A7728E" w:rsidRPr="00575173">
              <w:noBreakHyphen/>
            </w:r>
            <w:r w:rsidRPr="00575173">
              <w:t>dimensional radiation therapy dose planning;</w:t>
            </w:r>
          </w:p>
          <w:p w14:paraId="1EAA47B8" w14:textId="77777777" w:rsidR="00AA5C78" w:rsidRPr="00575173" w:rsidRDefault="00AA5C78" w:rsidP="0085559E">
            <w:pPr>
              <w:pStyle w:val="Tablei"/>
            </w:pPr>
            <w:r w:rsidRPr="00575173">
              <w:t>(ii) patient set</w:t>
            </w:r>
            <w:r w:rsidR="00A7728E" w:rsidRPr="00575173">
              <w:noBreakHyphen/>
            </w:r>
            <w:r w:rsidRPr="00575173">
              <w:t>up and immobilisation techniques are suitable for two</w:t>
            </w:r>
            <w:r w:rsidR="00A7728E" w:rsidRPr="00575173">
              <w:noBreakHyphen/>
            </w:r>
            <w:r w:rsidRPr="00575173">
              <w:t>dimensional radiation therapy treatment where interfraction reproducibility is required;</w:t>
            </w:r>
          </w:p>
          <w:p w14:paraId="058E2C5F" w14:textId="77777777" w:rsidR="00AA5C78" w:rsidRPr="00575173" w:rsidRDefault="00AA5C78" w:rsidP="0085559E">
            <w:pPr>
              <w:pStyle w:val="Tablei"/>
            </w:pPr>
            <w:r w:rsidRPr="00575173">
              <w:t>(iii) imaging datasets are acquired for the relevant region of interest to be planned; and</w:t>
            </w:r>
          </w:p>
          <w:p w14:paraId="3A48F9C6" w14:textId="77777777" w:rsidR="00AA5C78" w:rsidRPr="00575173" w:rsidRDefault="00AA5C78" w:rsidP="0085559E">
            <w:pPr>
              <w:pStyle w:val="Tablea"/>
            </w:pPr>
            <w:r w:rsidRPr="00575173">
              <w:lastRenderedPageBreak/>
              <w:t>(b) all of the following apply in relation to the dosimetry:</w:t>
            </w:r>
          </w:p>
          <w:p w14:paraId="1CA302CA" w14:textId="77777777" w:rsidR="00AA5C78" w:rsidRPr="00575173" w:rsidRDefault="00AA5C78" w:rsidP="0085559E">
            <w:pPr>
              <w:pStyle w:val="Tablei"/>
            </w:pPr>
            <w:r w:rsidRPr="00575173">
              <w:t>(i) the two</w:t>
            </w:r>
            <w:r w:rsidR="00A7728E" w:rsidRPr="00575173">
              <w:noBreakHyphen/>
            </w:r>
            <w:r w:rsidRPr="00575173">
              <w:t>dimensional planning process is required to calculate dose to a volume</w:t>
            </w:r>
            <w:r w:rsidR="00127BD8" w:rsidRPr="00575173">
              <w:t>,</w:t>
            </w:r>
            <w:r w:rsidRPr="00575173">
              <w:t xml:space="preserve"> </w:t>
            </w:r>
            <w:r w:rsidR="009E7FED" w:rsidRPr="00575173">
              <w:t>however</w:t>
            </w:r>
            <w:r w:rsidRPr="00575173">
              <w:t xml:space="preserve"> a dose</w:t>
            </w:r>
            <w:r w:rsidR="00A7728E" w:rsidRPr="00575173">
              <w:noBreakHyphen/>
            </w:r>
            <w:r w:rsidRPr="00575173">
              <w:t xml:space="preserve">volume histogram </w:t>
            </w:r>
            <w:r w:rsidR="009E7FED" w:rsidRPr="00575173">
              <w:t xml:space="preserve">is not required </w:t>
            </w:r>
            <w:r w:rsidRPr="00575173">
              <w:t>to complete the planning process;</w:t>
            </w:r>
          </w:p>
          <w:p w14:paraId="34AEBB67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two</w:t>
            </w:r>
            <w:r w:rsidR="00A7728E" w:rsidRPr="00575173">
              <w:noBreakHyphen/>
            </w:r>
            <w:r w:rsidRPr="00575173">
              <w:t>dimensional planning process is not required to maximise the differential between target dose and normal tissue dose;</w:t>
            </w:r>
          </w:p>
          <w:p w14:paraId="2E5824DA" w14:textId="77777777" w:rsidR="00AA5C78" w:rsidRPr="00575173" w:rsidRDefault="00AA5C78" w:rsidP="0085559E">
            <w:pPr>
              <w:pStyle w:val="Tablei"/>
            </w:pPr>
            <w:r w:rsidRPr="00575173">
              <w:t>(iii) the target (which may include gross, clinical and planning targets as a composite structure or field border outline), as defined in the prescription, is rendered as a two</w:t>
            </w:r>
            <w:r w:rsidR="00A7728E" w:rsidRPr="00575173">
              <w:noBreakHyphen/>
            </w:r>
            <w:r w:rsidRPr="00575173">
              <w:t>dimensional structure as field borders or a volume;</w:t>
            </w:r>
          </w:p>
          <w:p w14:paraId="068A8F26" w14:textId="77777777" w:rsidR="00AA5C78" w:rsidRPr="00575173" w:rsidRDefault="00AA5C78" w:rsidP="0085559E">
            <w:pPr>
              <w:pStyle w:val="Tablei"/>
            </w:pPr>
            <w:r w:rsidRPr="00575173">
              <w:t>(iv) organs at risk are delineated if required, and assessment of dose to these structures is derived from dose point calculations, rather than full calculation and inclusion in a dose</w:t>
            </w:r>
            <w:r w:rsidR="00A7728E" w:rsidRPr="00575173">
              <w:noBreakHyphen/>
            </w:r>
            <w:r w:rsidRPr="00575173">
              <w:t>volume histogram;</w:t>
            </w:r>
          </w:p>
          <w:p w14:paraId="0CA25104" w14:textId="77777777" w:rsidR="00AA5C78" w:rsidRPr="00575173" w:rsidRDefault="00AA5C78" w:rsidP="009E7FED">
            <w:pPr>
              <w:pStyle w:val="Tablei"/>
            </w:pPr>
            <w:r w:rsidRPr="00575173">
              <w:t>(v) dose calculations</w:t>
            </w:r>
            <w:r w:rsidR="009E7FED" w:rsidRPr="00575173">
              <w:t xml:space="preserve"> are calculated using a specialised algorithm</w:t>
            </w:r>
            <w:r w:rsidRPr="00575173">
              <w:t xml:space="preserve">, </w:t>
            </w:r>
            <w:r w:rsidR="009E7FED" w:rsidRPr="00575173">
              <w:t xml:space="preserve">with </w:t>
            </w:r>
            <w:r w:rsidRPr="00575173">
              <w:t>prescription and plan details approved and recorded with the plan</w:t>
            </w:r>
          </w:p>
          <w:p w14:paraId="4A0AC05F" w14:textId="77777777" w:rsidR="004268E1" w:rsidRPr="00575173" w:rsidRDefault="004268E1" w:rsidP="004268E1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1982E603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1,062.85</w:t>
            </w:r>
          </w:p>
        </w:tc>
      </w:tr>
      <w:tr w:rsidR="00AA5C78" w:rsidRPr="00575173" w14:paraId="0F4485B8" w14:textId="77777777" w:rsidTr="0085559E">
        <w:tc>
          <w:tcPr>
            <w:tcW w:w="738" w:type="pct"/>
            <w:shd w:val="clear" w:color="auto" w:fill="auto"/>
            <w:hideMark/>
          </w:tcPr>
          <w:p w14:paraId="2C71BEB0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15906</w:t>
            </w:r>
          </w:p>
        </w:tc>
        <w:tc>
          <w:tcPr>
            <w:tcW w:w="3450" w:type="pct"/>
            <w:shd w:val="clear" w:color="auto" w:fill="auto"/>
          </w:tcPr>
          <w:p w14:paraId="22AD35BD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2.1</w:t>
            </w:r>
          </w:p>
          <w:p w14:paraId="69F3584B" w14:textId="77777777" w:rsidR="00AA5C78" w:rsidRPr="00575173" w:rsidRDefault="00AA5C78" w:rsidP="0085559E">
            <w:pPr>
              <w:pStyle w:val="Tabletext"/>
            </w:pPr>
            <w:r w:rsidRPr="00575173">
              <w:t>Three</w:t>
            </w:r>
            <w:r w:rsidR="00A7728E" w:rsidRPr="00575173">
              <w:noBreakHyphen/>
            </w:r>
            <w:r w:rsidRPr="00575173">
              <w:t xml:space="preserve">dimensional </w:t>
            </w:r>
            <w:r w:rsidR="00E844F9" w:rsidRPr="00575173">
              <w:t xml:space="preserve">radiation therapy </w:t>
            </w:r>
            <w:r w:rsidRPr="00575173">
              <w:t>simulation and dosimetry for treatment planning, without motion management, if:</w:t>
            </w:r>
          </w:p>
          <w:p w14:paraId="378F1DC6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0875F752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three</w:t>
            </w:r>
            <w:r w:rsidR="00A7728E" w:rsidRPr="00575173">
              <w:noBreakHyphen/>
            </w:r>
            <w:r w:rsidRPr="00575173">
              <w:t>dimensional planning without consideration of motion management;</w:t>
            </w:r>
          </w:p>
          <w:p w14:paraId="309DB5B8" w14:textId="77777777" w:rsidR="00AA5C78" w:rsidRPr="00575173" w:rsidRDefault="00AA5C78" w:rsidP="0085559E">
            <w:pPr>
              <w:pStyle w:val="Tablei"/>
            </w:pPr>
            <w:r w:rsidRPr="00575173">
              <w:t>(ii) patient set</w:t>
            </w:r>
            <w:r w:rsidR="00A7728E" w:rsidRPr="00575173">
              <w:noBreakHyphen/>
            </w:r>
            <w:r w:rsidRPr="00575173">
              <w:t>up and immobilisation techniques are reproducible for treatment;</w:t>
            </w:r>
          </w:p>
          <w:p w14:paraId="2D511EC6" w14:textId="77777777" w:rsidR="00AA5C78" w:rsidRPr="00575173" w:rsidRDefault="00AA5C78" w:rsidP="0085559E">
            <w:pPr>
              <w:pStyle w:val="Tablei"/>
            </w:pPr>
            <w:r w:rsidRPr="00575173">
              <w:t>(iii) a high</w:t>
            </w:r>
            <w:r w:rsidR="00A7728E" w:rsidRPr="00575173">
              <w:noBreakHyphen/>
            </w:r>
            <w:r w:rsidRPr="00575173">
              <w:t>quality dataset is acquired in treatment position for the relevant region of interest to be planned and treated with image verification; and</w:t>
            </w:r>
          </w:p>
          <w:p w14:paraId="1C165DFC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21204E09" w14:textId="77777777" w:rsidR="00AA5C78" w:rsidRPr="00575173" w:rsidRDefault="00AA5C78" w:rsidP="0085559E">
            <w:pPr>
              <w:pStyle w:val="Tablei"/>
            </w:pPr>
            <w:r w:rsidRPr="00575173">
              <w:t>(i) the three</w:t>
            </w:r>
            <w:r w:rsidR="00A7728E" w:rsidRPr="00575173">
              <w:noBreakHyphen/>
            </w:r>
            <w:r w:rsidRPr="00575173">
              <w:t>dimensional planning process is required to calculate dose to three</w:t>
            </w:r>
            <w:r w:rsidR="00A7728E" w:rsidRPr="00575173">
              <w:noBreakHyphen/>
            </w:r>
            <w:r w:rsidRPr="00575173">
              <w:t>dimensional volume structures and requires a dose</w:t>
            </w:r>
            <w:r w:rsidR="00A7728E" w:rsidRPr="00575173">
              <w:noBreakHyphen/>
            </w:r>
            <w:r w:rsidRPr="00575173">
              <w:t>volume histogram to complete the planning process;</w:t>
            </w:r>
          </w:p>
          <w:p w14:paraId="6F5E7FAA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rPr>
                <w:lang w:eastAsia="en-US"/>
              </w:rPr>
              <w:t>radiation oncologist</w:t>
            </w:r>
            <w:r w:rsidRPr="00575173">
              <w:t>, the three</w:t>
            </w:r>
            <w:r w:rsidR="00A7728E" w:rsidRPr="00575173">
              <w:noBreakHyphen/>
            </w:r>
            <w:r w:rsidRPr="00575173">
              <w:t xml:space="preserve">dimensional planning process </w:t>
            </w:r>
            <w:r w:rsidR="00B7622B" w:rsidRPr="00575173">
              <w:t>(which must include multi</w:t>
            </w:r>
            <w:r w:rsidR="00A7728E" w:rsidRPr="00575173">
              <w:noBreakHyphen/>
            </w:r>
            <w:r w:rsidR="00B7622B" w:rsidRPr="00575173">
              <w:t>leaf collimator</w:t>
            </w:r>
            <w:r w:rsidR="00A7728E" w:rsidRPr="00575173">
              <w:noBreakHyphen/>
            </w:r>
            <w:r w:rsidR="00B7622B" w:rsidRPr="00575173">
              <w:t xml:space="preserve">based shaping to achieve target dose conformity and organs at risk avoidance or dose management or reduction) </w:t>
            </w:r>
            <w:r w:rsidRPr="00575173">
              <w:t>is required to optimise the differential between target dose and normal tissue dose;</w:t>
            </w:r>
          </w:p>
          <w:p w14:paraId="17549924" w14:textId="77777777" w:rsidR="00AA5C78" w:rsidRPr="00575173" w:rsidRDefault="00AA5C78" w:rsidP="0085559E">
            <w:pPr>
              <w:pStyle w:val="Tablei"/>
            </w:pPr>
            <w:r w:rsidRPr="00575173">
              <w:t>(iii) the planning target volume is rendered as a three</w:t>
            </w:r>
            <w:r w:rsidR="00A7728E" w:rsidRPr="00575173">
              <w:noBreakHyphen/>
            </w:r>
            <w:r w:rsidRPr="00575173">
              <w:t>dimensional structure on planning outputs (three</w:t>
            </w:r>
            <w:r w:rsidR="00A7728E" w:rsidRPr="00575173">
              <w:noBreakHyphen/>
            </w:r>
            <w:r w:rsidRPr="00575173">
              <w:t>dimensional plan review, three</w:t>
            </w:r>
            <w:r w:rsidR="00A7728E" w:rsidRPr="00575173">
              <w:noBreakHyphen/>
            </w:r>
            <w:r w:rsidRPr="00575173">
              <w:t>planar sections review or dose</w:t>
            </w:r>
            <w:r w:rsidR="00A7728E" w:rsidRPr="00575173">
              <w:noBreakHyphen/>
            </w:r>
            <w:r w:rsidRPr="00575173">
              <w:t>volume histogram);</w:t>
            </w:r>
          </w:p>
          <w:p w14:paraId="2383C1A3" w14:textId="77777777" w:rsidR="00AA5C78" w:rsidRPr="00575173" w:rsidRDefault="00AA5C78" w:rsidP="00B7622B">
            <w:pPr>
              <w:pStyle w:val="Tablei"/>
            </w:pPr>
            <w:r w:rsidRPr="00575173">
              <w:t>(iv) organs at risk are delineated, and assessment of dose to these structures is derived from calculation and inclusion in a dose</w:t>
            </w:r>
            <w:r w:rsidR="00A7728E" w:rsidRPr="00575173">
              <w:noBreakHyphen/>
            </w:r>
            <w:r w:rsidRPr="00575173">
              <w:t>volume histogram</w:t>
            </w:r>
          </w:p>
          <w:p w14:paraId="10A84F9A" w14:textId="77777777" w:rsidR="004268E1" w:rsidRPr="00575173" w:rsidRDefault="004268E1" w:rsidP="004268E1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24028211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1,638.70</w:t>
            </w:r>
          </w:p>
        </w:tc>
      </w:tr>
      <w:tr w:rsidR="00AA5C78" w:rsidRPr="00575173" w14:paraId="21F15796" w14:textId="77777777" w:rsidTr="0085559E">
        <w:tc>
          <w:tcPr>
            <w:tcW w:w="738" w:type="pct"/>
            <w:shd w:val="clear" w:color="auto" w:fill="auto"/>
            <w:hideMark/>
          </w:tcPr>
          <w:p w14:paraId="52CA9884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lastRenderedPageBreak/>
              <w:t>15908</w:t>
            </w:r>
          </w:p>
        </w:tc>
        <w:tc>
          <w:tcPr>
            <w:tcW w:w="3450" w:type="pct"/>
            <w:shd w:val="clear" w:color="auto" w:fill="auto"/>
          </w:tcPr>
          <w:p w14:paraId="4149F464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2.2</w:t>
            </w:r>
          </w:p>
          <w:p w14:paraId="4D318482" w14:textId="77777777" w:rsidR="00AA5C78" w:rsidRPr="00575173" w:rsidRDefault="00AA5C78" w:rsidP="0085559E">
            <w:pPr>
              <w:pStyle w:val="Tabletext"/>
            </w:pPr>
            <w:r w:rsidRPr="00575173">
              <w:t>Three</w:t>
            </w:r>
            <w:r w:rsidR="00A7728E" w:rsidRPr="00575173">
              <w:noBreakHyphen/>
            </w:r>
            <w:r w:rsidRPr="00575173">
              <w:t xml:space="preserve">dimensional </w:t>
            </w:r>
            <w:r w:rsidR="00E844F9" w:rsidRPr="00575173">
              <w:t xml:space="preserve">radiation therapy </w:t>
            </w:r>
            <w:r w:rsidRPr="00575173">
              <w:t>simulation and dosimetry for treatment planning with motion management, if:</w:t>
            </w:r>
          </w:p>
          <w:p w14:paraId="7FB54371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67E94C8C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complex three</w:t>
            </w:r>
            <w:r w:rsidR="00A7728E" w:rsidRPr="00575173">
              <w:noBreakHyphen/>
            </w:r>
            <w:r w:rsidRPr="00575173">
              <w:t>dimensional planning with consideration of motion management;</w:t>
            </w:r>
          </w:p>
          <w:p w14:paraId="7C2A727E" w14:textId="77777777" w:rsidR="00AA5C78" w:rsidRPr="00575173" w:rsidRDefault="00AA5C78" w:rsidP="0085559E">
            <w:pPr>
              <w:pStyle w:val="Tablei"/>
            </w:pPr>
            <w:r w:rsidRPr="00575173">
              <w:t>(ii) patient set</w:t>
            </w:r>
            <w:r w:rsidR="00A7728E" w:rsidRPr="00575173">
              <w:noBreakHyphen/>
            </w:r>
            <w:r w:rsidRPr="00575173">
              <w:t>up and immobilisation techniques are reproducible for treatment;</w:t>
            </w:r>
          </w:p>
          <w:p w14:paraId="03775199" w14:textId="77777777" w:rsidR="00AA5C78" w:rsidRPr="00575173" w:rsidRDefault="00AA5C78" w:rsidP="0085559E">
            <w:pPr>
              <w:pStyle w:val="Tablei"/>
            </w:pPr>
            <w:r w:rsidRPr="00575173">
              <w:t>(iii) a high</w:t>
            </w:r>
            <w:r w:rsidR="00A7728E" w:rsidRPr="00575173">
              <w:noBreakHyphen/>
            </w:r>
            <w:r w:rsidRPr="00575173">
              <w:t>quality three</w:t>
            </w:r>
            <w:r w:rsidR="00A7728E" w:rsidRPr="00575173">
              <w:noBreakHyphen/>
            </w:r>
            <w:r w:rsidRPr="00575173">
              <w:t>dimensional or four</w:t>
            </w:r>
            <w:r w:rsidR="00A7728E" w:rsidRPr="00575173">
              <w:noBreakHyphen/>
            </w:r>
            <w:r w:rsidRPr="00575173">
              <w:t>dimensional image volume dataset is acquired in treatment position for the relevant region of interest to be planned and treated with image verification; and</w:t>
            </w:r>
          </w:p>
          <w:p w14:paraId="13821DF2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01C38BB5" w14:textId="77777777" w:rsidR="00AA5C78" w:rsidRPr="00575173" w:rsidRDefault="00AA5C78" w:rsidP="0085559E">
            <w:pPr>
              <w:pStyle w:val="Tablei"/>
            </w:pPr>
            <w:r w:rsidRPr="00575173">
              <w:t>(i) the three</w:t>
            </w:r>
            <w:r w:rsidR="00A7728E" w:rsidRPr="00575173">
              <w:noBreakHyphen/>
            </w:r>
            <w:r w:rsidRPr="00575173">
              <w:t>dimensional planning process is required to calculate dose to three</w:t>
            </w:r>
            <w:r w:rsidR="00A7728E" w:rsidRPr="00575173">
              <w:noBreakHyphen/>
            </w:r>
            <w:r w:rsidRPr="00575173">
              <w:t>dimensional volume structures (which must include structures moving with physiologic processes) and requires a dose</w:t>
            </w:r>
            <w:r w:rsidR="00A7728E" w:rsidRPr="00575173">
              <w:noBreakHyphen/>
            </w:r>
            <w:r w:rsidRPr="00575173">
              <w:t>volume histogram to complete the planning process;</w:t>
            </w:r>
          </w:p>
          <w:p w14:paraId="45D35A79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three</w:t>
            </w:r>
            <w:r w:rsidR="00A7728E" w:rsidRPr="00575173">
              <w:noBreakHyphen/>
            </w:r>
            <w:r w:rsidRPr="00575173">
              <w:t>dimensional planning process</w:t>
            </w:r>
            <w:r w:rsidR="00472254" w:rsidRPr="00575173">
              <w:t xml:space="preserve"> (which must include multi</w:t>
            </w:r>
            <w:r w:rsidR="00A7728E" w:rsidRPr="00575173">
              <w:noBreakHyphen/>
            </w:r>
            <w:r w:rsidR="00472254" w:rsidRPr="00575173">
              <w:t>leaf collimator</w:t>
            </w:r>
            <w:r w:rsidR="00A7728E" w:rsidRPr="00575173">
              <w:noBreakHyphen/>
            </w:r>
            <w:r w:rsidR="00472254" w:rsidRPr="00575173">
              <w:t>based shaping to achieve target dose conformity and organs at risk avoidance or dose management or reduction)</w:t>
            </w:r>
            <w:r w:rsidRPr="00575173">
              <w:t xml:space="preserve"> is required to optimise the differential between target dose and normal tissue dose;</w:t>
            </w:r>
          </w:p>
          <w:p w14:paraId="5842A4E1" w14:textId="77777777" w:rsidR="00AA5C78" w:rsidRPr="00575173" w:rsidRDefault="00AA5C78" w:rsidP="0085559E">
            <w:pPr>
              <w:pStyle w:val="Tablei"/>
            </w:pPr>
            <w:r w:rsidRPr="00575173">
              <w:t>(iii) the planning target volume is rendered as a three</w:t>
            </w:r>
            <w:r w:rsidR="00A7728E" w:rsidRPr="00575173">
              <w:noBreakHyphen/>
            </w:r>
            <w:r w:rsidRPr="00575173">
              <w:t>dimensional structure on planning outputs (three</w:t>
            </w:r>
            <w:r w:rsidR="00A7728E" w:rsidRPr="00575173">
              <w:noBreakHyphen/>
            </w:r>
            <w:r w:rsidRPr="00575173">
              <w:t>dimensional plan review, three</w:t>
            </w:r>
            <w:r w:rsidR="00A7728E" w:rsidRPr="00575173">
              <w:noBreakHyphen/>
            </w:r>
            <w:r w:rsidRPr="00575173">
              <w:t>planar sections review or dose</w:t>
            </w:r>
            <w:r w:rsidR="00A7728E" w:rsidRPr="00575173">
              <w:noBreakHyphen/>
            </w:r>
            <w:r w:rsidRPr="00575173">
              <w:t>volume histogram);</w:t>
            </w:r>
          </w:p>
          <w:p w14:paraId="0FBC432D" w14:textId="77777777" w:rsidR="00AA5C78" w:rsidRPr="00575173" w:rsidRDefault="00AA5C78" w:rsidP="009D6217">
            <w:pPr>
              <w:pStyle w:val="Tablei"/>
            </w:pPr>
            <w:r w:rsidRPr="00575173">
              <w:t>(iv) organs at risk are delineated, and assessment of dose to these structures is derived from full calculation and inclusion in a dose</w:t>
            </w:r>
            <w:r w:rsidR="00A7728E" w:rsidRPr="00575173">
              <w:noBreakHyphen/>
            </w:r>
            <w:r w:rsidRPr="00575173">
              <w:t>volume histogram</w:t>
            </w:r>
          </w:p>
          <w:p w14:paraId="4469DD5B" w14:textId="77777777" w:rsidR="00B076B1" w:rsidRPr="00575173" w:rsidRDefault="00B076B1" w:rsidP="00B076B1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2C5DB4E4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2,649.25</w:t>
            </w:r>
          </w:p>
        </w:tc>
      </w:tr>
      <w:tr w:rsidR="00AA5C78" w:rsidRPr="00575173" w14:paraId="27FB9D65" w14:textId="77777777" w:rsidTr="0085559E">
        <w:tc>
          <w:tcPr>
            <w:tcW w:w="738" w:type="pct"/>
            <w:shd w:val="clear" w:color="auto" w:fill="auto"/>
            <w:hideMark/>
          </w:tcPr>
          <w:p w14:paraId="42B9D748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bookmarkStart w:id="11" w:name="CU_14405261"/>
            <w:bookmarkStart w:id="12" w:name="CU_14407753"/>
            <w:bookmarkEnd w:id="11"/>
            <w:bookmarkEnd w:id="12"/>
            <w:r w:rsidRPr="00575173">
              <w:rPr>
                <w:snapToGrid w:val="0"/>
              </w:rPr>
              <w:t>15910</w:t>
            </w:r>
          </w:p>
        </w:tc>
        <w:tc>
          <w:tcPr>
            <w:tcW w:w="3450" w:type="pct"/>
            <w:shd w:val="clear" w:color="auto" w:fill="auto"/>
          </w:tcPr>
          <w:p w14:paraId="6E84AB10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3.1</w:t>
            </w:r>
          </w:p>
          <w:p w14:paraId="72A370B5" w14:textId="77777777" w:rsidR="00AA5C78" w:rsidRPr="00575173" w:rsidRDefault="00AA5C78" w:rsidP="0085559E">
            <w:pPr>
              <w:pStyle w:val="Tabletext"/>
            </w:pPr>
            <w:r w:rsidRPr="00575173">
              <w:t>Standard intensity modulated radiation therapy (IMRT) simulation and dosimetry for treatment planning, if:</w:t>
            </w:r>
          </w:p>
          <w:p w14:paraId="0327BF2D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26DDD8B9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single</w:t>
            </w:r>
            <w:r w:rsidR="00A7728E" w:rsidRPr="00575173">
              <w:noBreakHyphen/>
            </w:r>
            <w:r w:rsidRPr="00575173">
              <w:t>dose level IMRT planning without motion management;</w:t>
            </w:r>
          </w:p>
          <w:p w14:paraId="27CFED9A" w14:textId="77777777" w:rsidR="00AA5C78" w:rsidRPr="00575173" w:rsidRDefault="00AA5C78" w:rsidP="0085559E">
            <w:pPr>
              <w:pStyle w:val="Tablei"/>
            </w:pPr>
            <w:r w:rsidRPr="00575173">
              <w:t>(ii) patient set</w:t>
            </w:r>
            <w:r w:rsidR="00A7728E" w:rsidRPr="00575173">
              <w:noBreakHyphen/>
            </w:r>
            <w:r w:rsidRPr="00575173">
              <w:t>up and immobilisation techniques are suitable for image volume data acquisition and reproducible IMRT treatment;</w:t>
            </w:r>
          </w:p>
          <w:p w14:paraId="6EDB06DB" w14:textId="77777777" w:rsidR="00AA5C78" w:rsidRPr="00575173" w:rsidRDefault="00AA5C78" w:rsidP="0085559E">
            <w:pPr>
              <w:pStyle w:val="Tablei"/>
            </w:pPr>
            <w:r w:rsidRPr="00575173">
              <w:t>(iii) a high</w:t>
            </w:r>
            <w:r w:rsidR="00A7728E" w:rsidRPr="00575173">
              <w:noBreakHyphen/>
            </w:r>
            <w:r w:rsidRPr="00575173">
              <w:t>quality three</w:t>
            </w:r>
            <w:r w:rsidR="00A7728E" w:rsidRPr="00575173">
              <w:noBreakHyphen/>
            </w:r>
            <w:r w:rsidRPr="00575173">
              <w:t>dimensional image volume dataset is acquired in treatment position for the relevant region of interest to be planned and treated with image verification; and</w:t>
            </w:r>
          </w:p>
          <w:p w14:paraId="63A2FE8F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7F0CAFA7" w14:textId="77777777" w:rsidR="00AA5C78" w:rsidRPr="00575173" w:rsidRDefault="00AA5C78" w:rsidP="0085559E">
            <w:pPr>
              <w:pStyle w:val="Tablei"/>
            </w:pPr>
            <w:r w:rsidRPr="00575173">
              <w:t>(i) the IMRT planning process is required to calculate dose to a single</w:t>
            </w:r>
            <w:r w:rsidR="00A7728E" w:rsidRPr="00575173">
              <w:noBreakHyphen/>
            </w:r>
            <w:r w:rsidRPr="00575173">
              <w:t xml:space="preserve">dose level volume </w:t>
            </w:r>
            <w:r w:rsidR="00945E03" w:rsidRPr="00575173">
              <w:t xml:space="preserve">structure </w:t>
            </w:r>
            <w:r w:rsidRPr="00575173">
              <w:t xml:space="preserve">and requires a </w:t>
            </w:r>
            <w:r w:rsidRPr="00575173">
              <w:lastRenderedPageBreak/>
              <w:t>dose</w:t>
            </w:r>
            <w:r w:rsidR="00A7728E" w:rsidRPr="00575173">
              <w:noBreakHyphen/>
            </w:r>
            <w:r w:rsidRPr="00575173">
              <w:t>volume histogram to complete the planning process;</w:t>
            </w:r>
          </w:p>
          <w:p w14:paraId="24BB959A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IMRT planning process optimises the differential between target dose, organs at risk and normal tissue dose;</w:t>
            </w:r>
          </w:p>
          <w:p w14:paraId="4B66F934" w14:textId="77777777" w:rsidR="00AA5C78" w:rsidRPr="00575173" w:rsidRDefault="00AA5C78" w:rsidP="0085559E">
            <w:pPr>
              <w:pStyle w:val="Tablei"/>
            </w:pPr>
            <w:r w:rsidRPr="00575173">
              <w:t>(iii) all relevant gross tumour volumes, clinical target volumes, planning target volumes and organs at risk are rendered as volumes and nominated with planning dose objectives;</w:t>
            </w:r>
          </w:p>
          <w:p w14:paraId="48732BF0" w14:textId="77777777" w:rsidR="00AA5C78" w:rsidRPr="00575173" w:rsidRDefault="00AA5C78" w:rsidP="0085559E">
            <w:pPr>
              <w:pStyle w:val="Tablei"/>
            </w:pPr>
            <w:r w:rsidRPr="00575173">
              <w:t>(iv) organs at risk are nominated as planning dose constraints;</w:t>
            </w:r>
          </w:p>
          <w:p w14:paraId="05696D2F" w14:textId="77777777" w:rsidR="00AA5C78" w:rsidRPr="00575173" w:rsidRDefault="00AA5C78" w:rsidP="0085559E">
            <w:pPr>
              <w:pStyle w:val="Tablei"/>
            </w:pPr>
            <w:r w:rsidRPr="00575173">
              <w:t>(v) dose calculations and dose</w:t>
            </w:r>
            <w:r w:rsidR="00A7728E" w:rsidRPr="00575173">
              <w:noBreakHyphen/>
            </w:r>
            <w:r w:rsidRPr="00575173">
              <w:t>volume histograms are generated in an inverse planned process</w:t>
            </w:r>
            <w:r w:rsidR="00472254" w:rsidRPr="00575173">
              <w:t xml:space="preserve"> using a specialised algorithm</w:t>
            </w:r>
            <w:r w:rsidRPr="00575173">
              <w:t>, with prescription and plan details approved and recorded with the plan;</w:t>
            </w:r>
          </w:p>
          <w:p w14:paraId="388E5321" w14:textId="77777777" w:rsidR="00DA5D06" w:rsidRPr="00575173" w:rsidRDefault="00AA5C78" w:rsidP="00DF43D9">
            <w:pPr>
              <w:pStyle w:val="Tablei"/>
            </w:pPr>
            <w:r w:rsidRPr="00575173">
              <w:t>(vi) a three</w:t>
            </w:r>
            <w:r w:rsidR="00A7728E" w:rsidRPr="00575173">
              <w:noBreakHyphen/>
            </w:r>
            <w:r w:rsidRPr="00575173">
              <w:t>dimensional image volume dataset is used for the relevant region to be planned and treated with image verification</w:t>
            </w:r>
          </w:p>
          <w:p w14:paraId="4717F586" w14:textId="77777777" w:rsidR="00FC5453" w:rsidRPr="00575173" w:rsidRDefault="00FC5453" w:rsidP="00FC545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7D32FC07" w14:textId="77777777" w:rsidR="00AA5C78" w:rsidRPr="00575173" w:rsidRDefault="00AA5C78" w:rsidP="00200C86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4,142.70</w:t>
            </w:r>
          </w:p>
        </w:tc>
      </w:tr>
      <w:tr w:rsidR="00AA5C78" w:rsidRPr="00575173" w14:paraId="3763BAD3" w14:textId="77777777" w:rsidTr="0085559E">
        <w:tc>
          <w:tcPr>
            <w:tcW w:w="738" w:type="pct"/>
            <w:shd w:val="clear" w:color="auto" w:fill="auto"/>
            <w:hideMark/>
          </w:tcPr>
          <w:p w14:paraId="7AD1E11D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15912</w:t>
            </w:r>
          </w:p>
        </w:tc>
        <w:tc>
          <w:tcPr>
            <w:tcW w:w="3450" w:type="pct"/>
            <w:shd w:val="clear" w:color="auto" w:fill="auto"/>
          </w:tcPr>
          <w:p w14:paraId="60B602EE" w14:textId="77777777" w:rsidR="00AA5C78" w:rsidRPr="00575173" w:rsidRDefault="00AA5C78" w:rsidP="0085559E">
            <w:pPr>
              <w:pStyle w:val="Tabletext"/>
            </w:pPr>
            <w:r w:rsidRPr="00575173">
              <w:t>Megavoltage re</w:t>
            </w:r>
            <w:r w:rsidR="00A7728E" w:rsidRPr="00575173">
              <w:noBreakHyphen/>
            </w:r>
            <w:r w:rsidRPr="00575173">
              <w:t>planning—level 3.1</w:t>
            </w:r>
          </w:p>
          <w:p w14:paraId="419B45CB" w14:textId="77777777" w:rsidR="00AA5C78" w:rsidRPr="00575173" w:rsidRDefault="00AA5C78" w:rsidP="0085559E">
            <w:pPr>
              <w:pStyle w:val="Tabletext"/>
            </w:pPr>
            <w:r w:rsidRPr="00575173">
              <w:t>Additional dosimetry plan for re</w:t>
            </w:r>
            <w:r w:rsidR="00A7728E" w:rsidRPr="00575173">
              <w:noBreakHyphen/>
            </w:r>
            <w:r w:rsidRPr="00575173">
              <w:t>planning of standard intensity modulated radiation therapy (IMRT) treatment, if:</w:t>
            </w:r>
          </w:p>
          <w:p w14:paraId="7CD154B5" w14:textId="77777777" w:rsidR="00AA5C78" w:rsidRPr="00575173" w:rsidRDefault="00AA5C78" w:rsidP="0085559E">
            <w:pPr>
              <w:pStyle w:val="Tablea"/>
            </w:pPr>
            <w:r w:rsidRPr="00575173">
              <w:t xml:space="preserve">(a) an initial treatment plan described in </w:t>
            </w:r>
            <w:r w:rsidR="0004317E" w:rsidRPr="00575173">
              <w:t>item 1</w:t>
            </w:r>
            <w:r w:rsidRPr="00575173">
              <w:t>5910 has been prepared; and</w:t>
            </w:r>
          </w:p>
          <w:p w14:paraId="05ABAD67" w14:textId="77777777" w:rsidR="00AA5C78" w:rsidRPr="00575173" w:rsidRDefault="00AA5C78" w:rsidP="002651D4">
            <w:pPr>
              <w:pStyle w:val="Tablea"/>
            </w:pPr>
            <w:r w:rsidRPr="00575173">
              <w:t>(b) treatment adjustments to the initial plan are inadequate to satisfy treatment protocol requirements</w:t>
            </w:r>
          </w:p>
          <w:p w14:paraId="2627EF75" w14:textId="77777777" w:rsidR="00FC5453" w:rsidRPr="00575173" w:rsidRDefault="00FC5453" w:rsidP="00FC545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651A2754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2,071.35</w:t>
            </w:r>
          </w:p>
        </w:tc>
      </w:tr>
      <w:tr w:rsidR="00AA5C78" w:rsidRPr="00575173" w14:paraId="4A717161" w14:textId="77777777" w:rsidTr="0085559E">
        <w:tc>
          <w:tcPr>
            <w:tcW w:w="738" w:type="pct"/>
            <w:shd w:val="clear" w:color="auto" w:fill="auto"/>
            <w:hideMark/>
          </w:tcPr>
          <w:p w14:paraId="08030D6B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15914</w:t>
            </w:r>
          </w:p>
        </w:tc>
        <w:tc>
          <w:tcPr>
            <w:tcW w:w="3450" w:type="pct"/>
            <w:shd w:val="clear" w:color="auto" w:fill="auto"/>
          </w:tcPr>
          <w:p w14:paraId="78267066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3.2</w:t>
            </w:r>
          </w:p>
          <w:p w14:paraId="75B2F189" w14:textId="77777777" w:rsidR="00AA5C78" w:rsidRPr="00575173" w:rsidRDefault="00AA5C78" w:rsidP="0085559E">
            <w:pPr>
              <w:pStyle w:val="Tabletext"/>
            </w:pPr>
            <w:r w:rsidRPr="00575173">
              <w:t>Complex intensity modulated radiation therapy (IMRT) simulation and dosimetry for treatment planning, if</w:t>
            </w:r>
          </w:p>
          <w:p w14:paraId="6CE917F7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45496108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multiple</w:t>
            </w:r>
            <w:r w:rsidR="00A7728E" w:rsidRPr="00575173">
              <w:noBreakHyphen/>
            </w:r>
            <w:r w:rsidRPr="00575173">
              <w:t>dose level IMRT planning or single</w:t>
            </w:r>
            <w:r w:rsidR="00A7728E" w:rsidRPr="00575173">
              <w:noBreakHyphen/>
            </w:r>
            <w:r w:rsidRPr="00575173">
              <w:t>dose level IMRT planning requiring motion management;</w:t>
            </w:r>
          </w:p>
          <w:p w14:paraId="2B1C44F4" w14:textId="77777777" w:rsidR="00AA5C78" w:rsidRPr="00575173" w:rsidRDefault="00AA5C78" w:rsidP="0085559E">
            <w:pPr>
              <w:pStyle w:val="Tablei"/>
            </w:pPr>
            <w:r w:rsidRPr="00575173">
              <w:t>(ii) patient set</w:t>
            </w:r>
            <w:r w:rsidR="00A7728E" w:rsidRPr="00575173">
              <w:noBreakHyphen/>
            </w:r>
            <w:r w:rsidRPr="00575173">
              <w:t>up and immobilisation techniques are suitable for image volume data acquisition and reproducible IMRT treatment;</w:t>
            </w:r>
          </w:p>
          <w:p w14:paraId="768DFE55" w14:textId="77777777" w:rsidR="00AA5C78" w:rsidRPr="00575173" w:rsidRDefault="00AA5C78" w:rsidP="0085559E">
            <w:pPr>
              <w:pStyle w:val="Tablei"/>
            </w:pPr>
            <w:r w:rsidRPr="00575173">
              <w:t>(iii) a high</w:t>
            </w:r>
            <w:r w:rsidR="00A7728E" w:rsidRPr="00575173">
              <w:noBreakHyphen/>
            </w:r>
            <w:r w:rsidRPr="00575173">
              <w:t>quality three</w:t>
            </w:r>
            <w:r w:rsidR="00A7728E" w:rsidRPr="00575173">
              <w:noBreakHyphen/>
            </w:r>
            <w:r w:rsidRPr="00575173">
              <w:t>dimensional or four</w:t>
            </w:r>
            <w:r w:rsidR="00A7728E" w:rsidRPr="00575173">
              <w:noBreakHyphen/>
            </w:r>
            <w:r w:rsidRPr="00575173">
              <w:t>dimensional volume dataset is acquired in treatment position for the relevant region of interest to be planned and treated with image verification; and</w:t>
            </w:r>
          </w:p>
          <w:p w14:paraId="4062FDD6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30B0D76E" w14:textId="77777777" w:rsidR="00AA5C78" w:rsidRPr="00575173" w:rsidRDefault="00AA5C78" w:rsidP="0085559E">
            <w:pPr>
              <w:pStyle w:val="Tablei"/>
            </w:pPr>
            <w:r w:rsidRPr="00575173">
              <w:t>(i) the IMRT planning process is required to calculate dose to multiple</w:t>
            </w:r>
            <w:r w:rsidR="00A7728E" w:rsidRPr="00575173">
              <w:noBreakHyphen/>
            </w:r>
            <w:r w:rsidRPr="00575173">
              <w:t>dose level volume structures or single</w:t>
            </w:r>
            <w:r w:rsidR="00A7728E" w:rsidRPr="00575173">
              <w:noBreakHyphen/>
            </w:r>
            <w:r w:rsidRPr="00575173">
              <w:t>dose level volume structures (including structures moving with physiologic processes or requiring precise positioning with respect to beam edges) and requires a dose</w:t>
            </w:r>
            <w:r w:rsidR="00A7728E" w:rsidRPr="00575173">
              <w:noBreakHyphen/>
            </w:r>
            <w:r w:rsidRPr="00575173">
              <w:t>volume histogram to complete the planning process;</w:t>
            </w:r>
          </w:p>
          <w:p w14:paraId="0B4564E4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IMRT planning process optimises the differential between target dose, organs at risk and normal tissue dose;</w:t>
            </w:r>
          </w:p>
          <w:p w14:paraId="003C2EB6" w14:textId="77777777" w:rsidR="00AA5C78" w:rsidRPr="00575173" w:rsidRDefault="00AA5C78" w:rsidP="0085559E">
            <w:pPr>
              <w:pStyle w:val="Tablei"/>
            </w:pPr>
            <w:r w:rsidRPr="00575173">
              <w:t xml:space="preserve">(iii) all relevant gross tumour targets, clinical target volumes, </w:t>
            </w:r>
            <w:r w:rsidRPr="00575173">
              <w:lastRenderedPageBreak/>
              <w:t>planning target volumes, internal target volumes and organs at risk are rendered and nominated with planning dose objectives;</w:t>
            </w:r>
          </w:p>
          <w:p w14:paraId="1FD8B238" w14:textId="77777777" w:rsidR="00AA5C78" w:rsidRPr="00575173" w:rsidRDefault="00AA5C78" w:rsidP="0085559E">
            <w:pPr>
              <w:pStyle w:val="Tablei"/>
            </w:pPr>
            <w:r w:rsidRPr="00575173">
              <w:t>(iv) organs at risk are nominated as planning dose constraints;</w:t>
            </w:r>
          </w:p>
          <w:p w14:paraId="5739C75D" w14:textId="77777777" w:rsidR="00AA5C78" w:rsidRPr="00575173" w:rsidRDefault="00AA5C78" w:rsidP="0085559E">
            <w:pPr>
              <w:pStyle w:val="Tablei"/>
            </w:pPr>
            <w:r w:rsidRPr="00575173">
              <w:t>(v) dose calculations and dose</w:t>
            </w:r>
            <w:r w:rsidR="00A7728E" w:rsidRPr="00575173">
              <w:noBreakHyphen/>
            </w:r>
            <w:r w:rsidRPr="00575173">
              <w:t>volume histograms are generated in an inverse planned process</w:t>
            </w:r>
            <w:r w:rsidR="00DA5D06" w:rsidRPr="00575173">
              <w:t xml:space="preserve"> using a specialised algorithm</w:t>
            </w:r>
            <w:r w:rsidRPr="00575173">
              <w:t>, with prescription and plan details approved and recorded with the plan;</w:t>
            </w:r>
          </w:p>
          <w:p w14:paraId="5EA22BC7" w14:textId="77777777" w:rsidR="00AA5C78" w:rsidRPr="00575173" w:rsidRDefault="00AA5C78" w:rsidP="00DA5D06">
            <w:pPr>
              <w:pStyle w:val="Tablei"/>
            </w:pPr>
            <w:r w:rsidRPr="00575173">
              <w:t>(vi) a three</w:t>
            </w:r>
            <w:r w:rsidR="00A7728E" w:rsidRPr="00575173">
              <w:noBreakHyphen/>
            </w:r>
            <w:r w:rsidRPr="00575173">
              <w:t>dimensional or four</w:t>
            </w:r>
            <w:r w:rsidR="00A7728E" w:rsidRPr="00575173">
              <w:noBreakHyphen/>
            </w:r>
            <w:r w:rsidRPr="00575173">
              <w:t>dimensional image volume dataset is used for the relevant region to be planned and treated, with image verification for a multiple</w:t>
            </w:r>
            <w:r w:rsidR="00A7728E" w:rsidRPr="00575173">
              <w:noBreakHyphen/>
            </w:r>
            <w:r w:rsidRPr="00575173">
              <w:t>dose level IMRT planning or single</w:t>
            </w:r>
            <w:r w:rsidR="00A7728E" w:rsidRPr="00575173">
              <w:noBreakHyphen/>
            </w:r>
            <w:r w:rsidRPr="00575173">
              <w:t>dose level IMRT planning requiring motion management</w:t>
            </w:r>
          </w:p>
          <w:p w14:paraId="0E7647D7" w14:textId="77777777" w:rsidR="00FC5453" w:rsidRPr="00575173" w:rsidRDefault="00FC5453" w:rsidP="00FC545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6AAEAEB6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5,953.95</w:t>
            </w:r>
          </w:p>
        </w:tc>
      </w:tr>
      <w:tr w:rsidR="00AA5C78" w:rsidRPr="00575173" w14:paraId="0A3C586C" w14:textId="77777777" w:rsidTr="0085559E">
        <w:tc>
          <w:tcPr>
            <w:tcW w:w="738" w:type="pct"/>
            <w:shd w:val="clear" w:color="auto" w:fill="auto"/>
            <w:hideMark/>
          </w:tcPr>
          <w:p w14:paraId="7D177A57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15916</w:t>
            </w:r>
          </w:p>
        </w:tc>
        <w:tc>
          <w:tcPr>
            <w:tcW w:w="3450" w:type="pct"/>
            <w:shd w:val="clear" w:color="auto" w:fill="auto"/>
          </w:tcPr>
          <w:p w14:paraId="08BD4F39" w14:textId="77777777" w:rsidR="00AA5C78" w:rsidRPr="00575173" w:rsidRDefault="00AA5C78" w:rsidP="0085559E">
            <w:pPr>
              <w:pStyle w:val="Tabletext"/>
            </w:pPr>
            <w:r w:rsidRPr="00575173">
              <w:t>Megavoltage re</w:t>
            </w:r>
            <w:r w:rsidR="00A7728E" w:rsidRPr="00575173">
              <w:noBreakHyphen/>
            </w:r>
            <w:r w:rsidRPr="00575173">
              <w:t>planning—level 3.2</w:t>
            </w:r>
          </w:p>
          <w:p w14:paraId="6194FBAC" w14:textId="77777777" w:rsidR="00AA5C78" w:rsidRPr="00575173" w:rsidRDefault="00AA5C78" w:rsidP="0085559E">
            <w:pPr>
              <w:pStyle w:val="Tabletext"/>
            </w:pPr>
            <w:r w:rsidRPr="00575173">
              <w:t>Additional dosimetry plan for re</w:t>
            </w:r>
            <w:r w:rsidR="00A7728E" w:rsidRPr="00575173">
              <w:noBreakHyphen/>
            </w:r>
            <w:r w:rsidRPr="00575173">
              <w:t>planning of complex intensity modulated radiation therapy (IMRT) treatment, if:</w:t>
            </w:r>
          </w:p>
          <w:p w14:paraId="2B87D7A4" w14:textId="77777777" w:rsidR="00AA5C78" w:rsidRPr="00575173" w:rsidRDefault="00AA5C78" w:rsidP="0085559E">
            <w:pPr>
              <w:pStyle w:val="Tablea"/>
            </w:pPr>
            <w:r w:rsidRPr="00575173">
              <w:t xml:space="preserve">(a) an initial treatment plan described in </w:t>
            </w:r>
            <w:r w:rsidR="0004317E" w:rsidRPr="00575173">
              <w:t>item 1</w:t>
            </w:r>
            <w:r w:rsidRPr="00575173">
              <w:t>5914 has been prepared; and</w:t>
            </w:r>
          </w:p>
          <w:p w14:paraId="15688679" w14:textId="77777777" w:rsidR="00AA5C78" w:rsidRPr="00575173" w:rsidRDefault="00AA5C78" w:rsidP="009D6217">
            <w:pPr>
              <w:pStyle w:val="Tablea"/>
            </w:pPr>
            <w:r w:rsidRPr="00575173">
              <w:t>(b) treatment adjustments to the initial plan are inadequate to satisfy treatment protocol requirements</w:t>
            </w:r>
          </w:p>
          <w:p w14:paraId="65FB85E7" w14:textId="77777777" w:rsidR="00FC5453" w:rsidRPr="00575173" w:rsidRDefault="00FC5453" w:rsidP="00FC545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7D4CE6BA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2,976.95</w:t>
            </w:r>
          </w:p>
        </w:tc>
      </w:tr>
      <w:tr w:rsidR="00AA5C78" w:rsidRPr="00575173" w14:paraId="64ED04D3" w14:textId="77777777" w:rsidTr="0085559E">
        <w:tc>
          <w:tcPr>
            <w:tcW w:w="738" w:type="pct"/>
            <w:shd w:val="clear" w:color="auto" w:fill="auto"/>
            <w:hideMark/>
          </w:tcPr>
          <w:p w14:paraId="4818DB9C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15918</w:t>
            </w:r>
          </w:p>
        </w:tc>
        <w:tc>
          <w:tcPr>
            <w:tcW w:w="3450" w:type="pct"/>
            <w:shd w:val="clear" w:color="auto" w:fill="auto"/>
          </w:tcPr>
          <w:p w14:paraId="7CADC83C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4</w:t>
            </w:r>
          </w:p>
          <w:p w14:paraId="31E79A76" w14:textId="77777777" w:rsidR="00AA5C78" w:rsidRPr="00575173" w:rsidRDefault="00AA5C78" w:rsidP="0085559E">
            <w:pPr>
              <w:pStyle w:val="Tabletext"/>
            </w:pPr>
            <w:r w:rsidRPr="00575173">
              <w:t>Intracranial stereotactic radiation therapy (SRT) simulation and dosimetry for treatment planning, if:</w:t>
            </w:r>
          </w:p>
          <w:p w14:paraId="1D1D73AA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0DEB0F96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multiple non</w:t>
            </w:r>
            <w:r w:rsidR="00A7728E" w:rsidRPr="00575173">
              <w:noBreakHyphen/>
            </w:r>
            <w:r w:rsidRPr="00575173">
              <w:t>coplanar, rotational or fixed beam stereotactic delivery;</w:t>
            </w:r>
          </w:p>
          <w:p w14:paraId="0DC1A445" w14:textId="77777777" w:rsidR="00AA5C78" w:rsidRPr="00575173" w:rsidRDefault="00AA5C78" w:rsidP="0085559E">
            <w:pPr>
              <w:pStyle w:val="Tablei"/>
            </w:pPr>
            <w:r w:rsidRPr="00575173">
              <w:t>(ii) precise personalised patient set</w:t>
            </w:r>
            <w:r w:rsidR="00A7728E" w:rsidRPr="00575173">
              <w:noBreakHyphen/>
            </w:r>
            <w:r w:rsidRPr="00575173">
              <w:t>up and immobilisation techniques are suitable for reliable imaging acquisition and reproducible SRT small</w:t>
            </w:r>
            <w:r w:rsidR="00A7728E" w:rsidRPr="00575173">
              <w:noBreakHyphen/>
            </w:r>
            <w:r w:rsidRPr="00575173">
              <w:t>field and ablative treatments;</w:t>
            </w:r>
          </w:p>
          <w:p w14:paraId="58C79613" w14:textId="77777777" w:rsidR="00AA5C78" w:rsidRPr="00575173" w:rsidRDefault="00AA5C78" w:rsidP="0085559E">
            <w:pPr>
              <w:pStyle w:val="Tablei"/>
            </w:pPr>
            <w:r w:rsidRPr="00575173">
              <w:t>(iii) a high</w:t>
            </w:r>
            <w:r w:rsidR="00A7728E" w:rsidRPr="00575173">
              <w:noBreakHyphen/>
            </w:r>
            <w:r w:rsidRPr="00575173">
              <w:t>quality three</w:t>
            </w:r>
            <w:r w:rsidR="00A7728E" w:rsidRPr="00575173">
              <w:noBreakHyphen/>
            </w:r>
            <w:r w:rsidRPr="00575173">
              <w:t>dimensional image volume dataset is acquired in treatment position for the intracranial lesions to be planned and treated and verified; and</w:t>
            </w:r>
          </w:p>
          <w:p w14:paraId="7BD53AC7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3E3CE95E" w14:textId="77777777" w:rsidR="00AA5C78" w:rsidRPr="00575173" w:rsidRDefault="00AA5C78" w:rsidP="0085559E">
            <w:pPr>
              <w:pStyle w:val="Tablei"/>
            </w:pPr>
            <w:r w:rsidRPr="00575173">
              <w:t>(i) the planning process is required to calculate dose to single or multiple target structures and requires a dose</w:t>
            </w:r>
            <w:r w:rsidR="00A7728E" w:rsidRPr="00575173">
              <w:noBreakHyphen/>
            </w:r>
            <w:r w:rsidRPr="00575173">
              <w:t>volume histogram to complete the planning process;</w:t>
            </w:r>
          </w:p>
          <w:p w14:paraId="41D18567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planning process maximises the differential between target dose, organs at risk and normal tissue dose;</w:t>
            </w:r>
          </w:p>
          <w:p w14:paraId="1DF79A7C" w14:textId="77777777" w:rsidR="00AA5C78" w:rsidRPr="00575173" w:rsidRDefault="00AA5C78" w:rsidP="0085559E">
            <w:pPr>
              <w:pStyle w:val="Tablei"/>
            </w:pPr>
            <w:r w:rsidRPr="00575173">
              <w:t>(iii) all relevant gross tumour volumes, clinical target volumes, planning target volumes and organs at risk are rendered and nominated with planning dose objectives;</w:t>
            </w:r>
          </w:p>
          <w:p w14:paraId="3EEE4743" w14:textId="77777777" w:rsidR="00AA5C78" w:rsidRPr="00575173" w:rsidRDefault="00AA5C78" w:rsidP="0085559E">
            <w:pPr>
              <w:pStyle w:val="Tablei"/>
            </w:pPr>
            <w:r w:rsidRPr="00575173">
              <w:t>(iv) organs at risk are nominated as planning dose constraints;</w:t>
            </w:r>
          </w:p>
          <w:p w14:paraId="5630A25D" w14:textId="77777777" w:rsidR="00DA5D06" w:rsidRPr="00575173" w:rsidRDefault="00AA5C78" w:rsidP="001654BD">
            <w:pPr>
              <w:pStyle w:val="Tablei"/>
            </w:pPr>
            <w:r w:rsidRPr="00575173">
              <w:t>(v) dose calculations and dose</w:t>
            </w:r>
            <w:r w:rsidR="00A7728E" w:rsidRPr="00575173">
              <w:noBreakHyphen/>
            </w:r>
            <w:r w:rsidRPr="00575173">
              <w:t>volume histograms are generated</w:t>
            </w:r>
            <w:r w:rsidR="00DA5D06" w:rsidRPr="00575173">
              <w:t xml:space="preserve"> using a </w:t>
            </w:r>
            <w:r w:rsidR="00DF43D9" w:rsidRPr="00575173">
              <w:t>validated</w:t>
            </w:r>
            <w:r w:rsidR="00DA5D06" w:rsidRPr="00575173">
              <w:t xml:space="preserve"> stereotactic</w:t>
            </w:r>
            <w:r w:rsidR="00A7728E" w:rsidRPr="00575173">
              <w:noBreakHyphen/>
            </w:r>
            <w:r w:rsidR="00DA5D06" w:rsidRPr="00575173">
              <w:t>type algorithm</w:t>
            </w:r>
            <w:r w:rsidRPr="00575173">
              <w:t>, with prescription and plan details approved and recorded with the plan</w:t>
            </w:r>
          </w:p>
          <w:p w14:paraId="22D1BF80" w14:textId="77777777" w:rsidR="00FC5453" w:rsidRPr="00575173" w:rsidRDefault="00FC5453" w:rsidP="00FC5453">
            <w:pPr>
              <w:pStyle w:val="Tabletext"/>
            </w:pPr>
            <w:r w:rsidRPr="00575173">
              <w:lastRenderedPageBreak/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63AC52B0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6,676.00</w:t>
            </w:r>
          </w:p>
        </w:tc>
      </w:tr>
      <w:tr w:rsidR="00AA5C78" w:rsidRPr="00575173" w14:paraId="7D5CB8A1" w14:textId="77777777" w:rsidTr="0085559E">
        <w:tc>
          <w:tcPr>
            <w:tcW w:w="738" w:type="pct"/>
            <w:shd w:val="clear" w:color="auto" w:fill="auto"/>
            <w:hideMark/>
          </w:tcPr>
          <w:p w14:paraId="73DEF927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15920</w:t>
            </w:r>
          </w:p>
        </w:tc>
        <w:tc>
          <w:tcPr>
            <w:tcW w:w="3450" w:type="pct"/>
            <w:shd w:val="clear" w:color="auto" w:fill="auto"/>
          </w:tcPr>
          <w:p w14:paraId="4C093997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4</w:t>
            </w:r>
          </w:p>
          <w:p w14:paraId="18F32967" w14:textId="77777777" w:rsidR="00AA5C78" w:rsidRPr="00575173" w:rsidRDefault="00AA5C78" w:rsidP="0085559E">
            <w:pPr>
              <w:pStyle w:val="Tabletext"/>
            </w:pPr>
            <w:r w:rsidRPr="00575173">
              <w:t>Stereotactic body radiation therapy (SBRT) simulation and dosimetry for treatment planning, if:</w:t>
            </w:r>
          </w:p>
          <w:p w14:paraId="43881C33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57AEAAD1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inverse planning with multiple non</w:t>
            </w:r>
            <w:r w:rsidR="00A7728E" w:rsidRPr="00575173">
              <w:noBreakHyphen/>
            </w:r>
            <w:r w:rsidRPr="00575173">
              <w:t>coplanar, rotational or fixed beam stereotactic delivery or intensity modulated radiation therapy (IMRT) stereotactic delivery;</w:t>
            </w:r>
          </w:p>
          <w:p w14:paraId="62DBE90B" w14:textId="77777777" w:rsidR="00AA5C78" w:rsidRPr="00575173" w:rsidRDefault="00AA5C78" w:rsidP="0085559E">
            <w:pPr>
              <w:pStyle w:val="Tablei"/>
            </w:pPr>
            <w:r w:rsidRPr="00575173">
              <w:t>(ii) personalised patient set</w:t>
            </w:r>
            <w:r w:rsidR="00A7728E" w:rsidRPr="00575173">
              <w:noBreakHyphen/>
            </w:r>
            <w:r w:rsidRPr="00575173">
              <w:t>up and immobilisation techniques are suitable for reliable imaging acquisition and reproducible, including techniques to minimise motion of organs at risk and targets;</w:t>
            </w:r>
          </w:p>
          <w:p w14:paraId="29883206" w14:textId="77777777" w:rsidR="00AA5C78" w:rsidRPr="00575173" w:rsidRDefault="00AA5C78" w:rsidP="0085559E">
            <w:pPr>
              <w:pStyle w:val="Tablei"/>
            </w:pPr>
            <w:r w:rsidRPr="00575173">
              <w:t>(iii) small</w:t>
            </w:r>
            <w:r w:rsidR="00A7728E" w:rsidRPr="00575173">
              <w:noBreakHyphen/>
            </w:r>
            <w:r w:rsidRPr="00575173">
              <w:t>field and ablative treatment is used;</w:t>
            </w:r>
          </w:p>
          <w:p w14:paraId="68F3E0A7" w14:textId="77777777" w:rsidR="00AA5C78" w:rsidRPr="00575173" w:rsidRDefault="00AA5C78" w:rsidP="0085559E">
            <w:pPr>
              <w:pStyle w:val="Tablei"/>
            </w:pPr>
            <w:r w:rsidRPr="00575173">
              <w:t>(iv) a high</w:t>
            </w:r>
            <w:r w:rsidR="00A7728E" w:rsidRPr="00575173">
              <w:noBreakHyphen/>
            </w:r>
            <w:r w:rsidRPr="00575173">
              <w:t>quality three</w:t>
            </w:r>
            <w:r w:rsidR="00A7728E" w:rsidRPr="00575173">
              <w:noBreakHyphen/>
            </w:r>
            <w:r w:rsidRPr="00575173">
              <w:t>dimensional or four</w:t>
            </w:r>
            <w:r w:rsidR="00A7728E" w:rsidRPr="00575173">
              <w:noBreakHyphen/>
            </w:r>
            <w:r w:rsidRPr="00575173">
              <w:t>dimensional image volume dataset is acquired in treatment position for the relevant region of interest to be planned, treated and verified (through daily planar or volumetric image guidance strategies); and</w:t>
            </w:r>
          </w:p>
          <w:p w14:paraId="6EFE43A7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2B764778" w14:textId="77777777" w:rsidR="00AA5C78" w:rsidRPr="00575173" w:rsidRDefault="00AA5C78" w:rsidP="0085559E">
            <w:pPr>
              <w:pStyle w:val="Tablei"/>
            </w:pPr>
            <w:r w:rsidRPr="00575173">
              <w:t>(i) the planning process is required to calculate dose to single or multiple target structures and requires a dose</w:t>
            </w:r>
            <w:r w:rsidR="00A7728E" w:rsidRPr="00575173">
              <w:noBreakHyphen/>
            </w:r>
            <w:r w:rsidRPr="00575173">
              <w:t>volume histogram to complete the planning process;</w:t>
            </w:r>
          </w:p>
          <w:p w14:paraId="73A08C59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planning process maximises the differential between target dose, organs at risk and normal tissue dose;</w:t>
            </w:r>
          </w:p>
          <w:p w14:paraId="713536A7" w14:textId="77777777" w:rsidR="00AA5C78" w:rsidRPr="00575173" w:rsidRDefault="00AA5C78" w:rsidP="0085559E">
            <w:pPr>
              <w:pStyle w:val="Tablei"/>
            </w:pPr>
            <w:r w:rsidRPr="00575173">
              <w:t>(iii) all relevant gross tumour volumes, clinical target volumes, planning target volumes and organs at risk are rendered and nominated with planning dose objectives;</w:t>
            </w:r>
          </w:p>
          <w:p w14:paraId="217E9C7B" w14:textId="77777777" w:rsidR="00AA5C78" w:rsidRPr="00575173" w:rsidRDefault="00AA5C78" w:rsidP="0085559E">
            <w:pPr>
              <w:pStyle w:val="Tablei"/>
            </w:pPr>
            <w:r w:rsidRPr="00575173">
              <w:t>(iv) organs at risk are nominated as planning dose constraints;</w:t>
            </w:r>
          </w:p>
          <w:p w14:paraId="1145DF3F" w14:textId="77777777" w:rsidR="00AA5C78" w:rsidRPr="00575173" w:rsidRDefault="00AA5C78" w:rsidP="001654BD">
            <w:pPr>
              <w:pStyle w:val="Tablei"/>
            </w:pPr>
            <w:r w:rsidRPr="00575173">
              <w:t>(v) dose calculations and dose</w:t>
            </w:r>
            <w:r w:rsidR="00A7728E" w:rsidRPr="00575173">
              <w:noBreakHyphen/>
            </w:r>
            <w:r w:rsidRPr="00575173">
              <w:t>volume histograms are generated</w:t>
            </w:r>
            <w:r w:rsidR="008C35D5" w:rsidRPr="00575173">
              <w:t xml:space="preserve"> using a valid</w:t>
            </w:r>
            <w:r w:rsidR="001654BD" w:rsidRPr="00575173">
              <w:t>ated</w:t>
            </w:r>
            <w:r w:rsidR="008C35D5" w:rsidRPr="00575173">
              <w:t xml:space="preserve"> stereotactic</w:t>
            </w:r>
            <w:r w:rsidR="00A7728E" w:rsidRPr="00575173">
              <w:noBreakHyphen/>
            </w:r>
            <w:r w:rsidR="008C35D5" w:rsidRPr="00575173">
              <w:t>type algorithm</w:t>
            </w:r>
            <w:r w:rsidRPr="00575173">
              <w:t xml:space="preserve">, </w:t>
            </w:r>
            <w:r w:rsidR="001654BD" w:rsidRPr="00575173">
              <w:t xml:space="preserve">with </w:t>
            </w:r>
            <w:r w:rsidRPr="00575173">
              <w:t>prescription and plan details approved and recorded with the plan</w:t>
            </w:r>
          </w:p>
          <w:p w14:paraId="40922F15" w14:textId="77777777" w:rsidR="00FC5453" w:rsidRPr="00575173" w:rsidRDefault="00FC5453" w:rsidP="00FC545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4324FF23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6,676.00</w:t>
            </w:r>
          </w:p>
        </w:tc>
      </w:tr>
      <w:tr w:rsidR="00AA5C78" w:rsidRPr="00575173" w14:paraId="323496F9" w14:textId="77777777" w:rsidTr="0085559E">
        <w:tc>
          <w:tcPr>
            <w:tcW w:w="738" w:type="pct"/>
            <w:shd w:val="clear" w:color="auto" w:fill="auto"/>
            <w:hideMark/>
          </w:tcPr>
          <w:p w14:paraId="6923ED4D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15922</w:t>
            </w:r>
          </w:p>
        </w:tc>
        <w:tc>
          <w:tcPr>
            <w:tcW w:w="3450" w:type="pct"/>
            <w:shd w:val="clear" w:color="auto" w:fill="auto"/>
          </w:tcPr>
          <w:p w14:paraId="225383B5" w14:textId="77777777" w:rsidR="00AA5C78" w:rsidRPr="00575173" w:rsidRDefault="00AA5C78" w:rsidP="0085559E">
            <w:pPr>
              <w:pStyle w:val="Tabletext"/>
            </w:pPr>
            <w:r w:rsidRPr="00575173">
              <w:t>Megavoltage re</w:t>
            </w:r>
            <w:r w:rsidR="00A7728E" w:rsidRPr="00575173">
              <w:noBreakHyphen/>
            </w:r>
            <w:r w:rsidRPr="00575173">
              <w:t>planning—level 4</w:t>
            </w:r>
          </w:p>
          <w:p w14:paraId="78F07D55" w14:textId="77777777" w:rsidR="00AA5C78" w:rsidRPr="00575173" w:rsidRDefault="00AA5C78" w:rsidP="0085559E">
            <w:pPr>
              <w:pStyle w:val="Tabletext"/>
            </w:pPr>
            <w:r w:rsidRPr="00575173">
              <w:t>Additional dosimetry plan for re</w:t>
            </w:r>
            <w:r w:rsidR="00A7728E" w:rsidRPr="00575173">
              <w:noBreakHyphen/>
            </w:r>
            <w:r w:rsidRPr="00575173">
              <w:t>planning of intracranial stereotactic radiation therapy (SRT) or stereotactic body radiation therapy (SBRT) treatment, if:</w:t>
            </w:r>
          </w:p>
          <w:p w14:paraId="3D052A21" w14:textId="77777777" w:rsidR="00AA5C78" w:rsidRPr="00575173" w:rsidRDefault="00AA5C78" w:rsidP="0085559E">
            <w:pPr>
              <w:pStyle w:val="Tablea"/>
            </w:pPr>
            <w:r w:rsidRPr="00575173">
              <w:t xml:space="preserve">(a) an initial treatment plan described in </w:t>
            </w:r>
            <w:r w:rsidR="0004317E" w:rsidRPr="00575173">
              <w:t>item 1</w:t>
            </w:r>
            <w:r w:rsidRPr="00575173">
              <w:t>5918 or 15920 has been prepared; and</w:t>
            </w:r>
          </w:p>
          <w:p w14:paraId="0A2DFE65" w14:textId="77777777" w:rsidR="00AA5C78" w:rsidRPr="00575173" w:rsidRDefault="00AA5C78" w:rsidP="008C35D5">
            <w:pPr>
              <w:pStyle w:val="Tablea"/>
            </w:pPr>
            <w:r w:rsidRPr="00575173">
              <w:t>(b) treatment adjustments to the initial plan are inadequate to satisfy treatment protocol requirements</w:t>
            </w:r>
          </w:p>
          <w:p w14:paraId="21852A55" w14:textId="77777777" w:rsidR="00FC5453" w:rsidRPr="00575173" w:rsidRDefault="00FC5453" w:rsidP="00FC545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0CB5B6DB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3,338.05</w:t>
            </w:r>
          </w:p>
        </w:tc>
      </w:tr>
      <w:tr w:rsidR="00AA5C78" w:rsidRPr="00575173" w14:paraId="5D695FA2" w14:textId="77777777" w:rsidTr="0085559E">
        <w:tc>
          <w:tcPr>
            <w:tcW w:w="738" w:type="pct"/>
            <w:shd w:val="clear" w:color="auto" w:fill="auto"/>
            <w:hideMark/>
          </w:tcPr>
          <w:p w14:paraId="269096C4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15924</w:t>
            </w:r>
          </w:p>
        </w:tc>
        <w:tc>
          <w:tcPr>
            <w:tcW w:w="3450" w:type="pct"/>
            <w:shd w:val="clear" w:color="auto" w:fill="auto"/>
          </w:tcPr>
          <w:p w14:paraId="13F49B8C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5</w:t>
            </w:r>
          </w:p>
          <w:p w14:paraId="2A000222" w14:textId="77777777" w:rsidR="00AA5C78" w:rsidRPr="00575173" w:rsidRDefault="00AA5C78" w:rsidP="0085559E">
            <w:pPr>
              <w:pStyle w:val="Tabletext"/>
            </w:pPr>
            <w:r w:rsidRPr="00575173">
              <w:t>Specialised radiation therapy simulation and dosimetry for treatment planning, if</w:t>
            </w:r>
            <w:r w:rsidR="008C35D5" w:rsidRPr="00575173">
              <w:t xml:space="preserve"> both of the following apply in relation to the simulation:</w:t>
            </w:r>
          </w:p>
          <w:p w14:paraId="5D5E95A3" w14:textId="77777777" w:rsidR="00AA5C78" w:rsidRPr="00575173" w:rsidRDefault="00AA5C78" w:rsidP="0085559E">
            <w:pPr>
              <w:pStyle w:val="Tablea"/>
            </w:pPr>
            <w:r w:rsidRPr="00575173">
              <w:t>(a) treatment set</w:t>
            </w:r>
            <w:r w:rsidR="00A7728E" w:rsidRPr="00575173">
              <w:noBreakHyphen/>
            </w:r>
            <w:r w:rsidRPr="00575173">
              <w:t xml:space="preserve">up and technique specifications are in preparation for </w:t>
            </w:r>
            <w:r w:rsidRPr="00575173">
              <w:lastRenderedPageBreak/>
              <w:t>a specialised case with general anaesthetic or sedation supervised by an anaesthetist;</w:t>
            </w:r>
          </w:p>
          <w:p w14:paraId="109F6C67" w14:textId="77777777" w:rsidR="00AA5C78" w:rsidRPr="00575173" w:rsidRDefault="00AA5C78" w:rsidP="0085559E">
            <w:pPr>
              <w:pStyle w:val="Tablea"/>
            </w:pPr>
            <w:r w:rsidRPr="00575173">
              <w:t>(b) a high</w:t>
            </w:r>
            <w:r w:rsidR="00A7728E" w:rsidRPr="00575173">
              <w:noBreakHyphen/>
            </w:r>
            <w:r w:rsidRPr="00575173">
              <w:t>quality three</w:t>
            </w:r>
            <w:r w:rsidR="00A7728E" w:rsidRPr="00575173">
              <w:noBreakHyphen/>
            </w:r>
            <w:r w:rsidRPr="00575173">
              <w:t>dimensional or four</w:t>
            </w:r>
            <w:r w:rsidR="00A7728E" w:rsidRPr="00575173">
              <w:noBreakHyphen/>
            </w:r>
            <w:r w:rsidRPr="00575173">
              <w:t>dimensional image volume dataset is acquired in treatment position for the relevant region of interest to be planned and treated with image verification</w:t>
            </w:r>
          </w:p>
          <w:p w14:paraId="4F0E6B42" w14:textId="77777777" w:rsidR="00AA5C78" w:rsidRPr="00575173" w:rsidRDefault="003C263E" w:rsidP="008C35D5">
            <w:pPr>
              <w:pStyle w:val="Tabletext"/>
            </w:pPr>
            <w:r w:rsidRPr="00575173">
              <w:t xml:space="preserve">Applicable once per course of treatment </w:t>
            </w:r>
            <w:r w:rsidR="00AA5C78" w:rsidRPr="00575173">
              <w:t>(Anaes.)</w:t>
            </w:r>
          </w:p>
        </w:tc>
        <w:tc>
          <w:tcPr>
            <w:tcW w:w="812" w:type="pct"/>
            <w:shd w:val="clear" w:color="auto" w:fill="auto"/>
          </w:tcPr>
          <w:p w14:paraId="77359385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7,046.30</w:t>
            </w:r>
          </w:p>
        </w:tc>
      </w:tr>
      <w:tr w:rsidR="00AA5C78" w:rsidRPr="00575173" w14:paraId="21FC2022" w14:textId="77777777" w:rsidTr="0085559E">
        <w:tc>
          <w:tcPr>
            <w:tcW w:w="738" w:type="pct"/>
            <w:shd w:val="clear" w:color="auto" w:fill="auto"/>
            <w:hideMark/>
          </w:tcPr>
          <w:p w14:paraId="2E86AFAE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15926</w:t>
            </w:r>
          </w:p>
        </w:tc>
        <w:tc>
          <w:tcPr>
            <w:tcW w:w="3450" w:type="pct"/>
            <w:shd w:val="clear" w:color="auto" w:fill="auto"/>
          </w:tcPr>
          <w:p w14:paraId="000E7A49" w14:textId="77777777" w:rsidR="00AA5C78" w:rsidRPr="00575173" w:rsidRDefault="00AA5C78" w:rsidP="0085559E">
            <w:pPr>
              <w:pStyle w:val="Tabletext"/>
            </w:pPr>
            <w:r w:rsidRPr="00575173">
              <w:t>Megavoltage planning—level 5</w:t>
            </w:r>
          </w:p>
          <w:p w14:paraId="4675EE5A" w14:textId="77777777" w:rsidR="00AA5C78" w:rsidRPr="00575173" w:rsidRDefault="00AA5C78" w:rsidP="0085559E">
            <w:pPr>
              <w:pStyle w:val="Tabletext"/>
            </w:pPr>
            <w:r w:rsidRPr="00575173">
              <w:t>Specialised radiation therapy simulation and dosimetry for treatment planning, if:</w:t>
            </w:r>
          </w:p>
          <w:p w14:paraId="3545D681" w14:textId="77777777" w:rsidR="00AA5C78" w:rsidRPr="00575173" w:rsidRDefault="00AA5C78" w:rsidP="0085559E">
            <w:pPr>
              <w:pStyle w:val="Tablea"/>
            </w:pPr>
            <w:r w:rsidRPr="00575173">
              <w:t>(a) all of the following apply in relation to the simulation:</w:t>
            </w:r>
          </w:p>
          <w:p w14:paraId="5342D1E1" w14:textId="77777777" w:rsidR="00AA5C78" w:rsidRPr="00575173" w:rsidRDefault="00AA5C78" w:rsidP="0085559E">
            <w:pPr>
              <w:pStyle w:val="Tablei"/>
            </w:pPr>
            <w:r w:rsidRPr="00575173">
              <w:t>(i) treatment set</w:t>
            </w:r>
            <w:r w:rsidR="00A7728E" w:rsidRPr="00575173">
              <w:noBreakHyphen/>
            </w:r>
            <w:r w:rsidRPr="00575173">
              <w:t>up and technique specifications are in preparation for a specialised application such as total skin electron therapy (TSE) or total body irradiation (TBI);</w:t>
            </w:r>
          </w:p>
          <w:p w14:paraId="457A755C" w14:textId="77777777" w:rsidR="00AA5C78" w:rsidRPr="00575173" w:rsidRDefault="00AA5C78" w:rsidP="00CC4689">
            <w:pPr>
              <w:pStyle w:val="Tablei"/>
            </w:pPr>
            <w:r w:rsidRPr="00575173">
              <w:t xml:space="preserve">(ii) </w:t>
            </w:r>
            <w:r w:rsidR="004A3174" w:rsidRPr="00575173">
              <w:t xml:space="preserve">reproducible </w:t>
            </w:r>
            <w:r w:rsidRPr="00575173">
              <w:t>personalised patient set</w:t>
            </w:r>
            <w:r w:rsidR="00A7728E" w:rsidRPr="00575173">
              <w:noBreakHyphen/>
            </w:r>
            <w:r w:rsidRPr="00575173">
              <w:t>up and immobilisation techniques are suitable</w:t>
            </w:r>
            <w:r w:rsidR="004A3174" w:rsidRPr="00575173">
              <w:t xml:space="preserve"> to implement</w:t>
            </w:r>
            <w:r w:rsidR="00CC4689" w:rsidRPr="00575173">
              <w:t xml:space="preserve"> three</w:t>
            </w:r>
            <w:r w:rsidR="00A7728E" w:rsidRPr="00575173">
              <w:noBreakHyphen/>
            </w:r>
            <w:r w:rsidR="00CC4689" w:rsidRPr="00575173">
              <w:t xml:space="preserve">dimensional radiation therapy, intensity modulated radiation therapy </w:t>
            </w:r>
            <w:r w:rsidR="001A5DDF" w:rsidRPr="00575173">
              <w:t xml:space="preserve">(IMRT) </w:t>
            </w:r>
            <w:r w:rsidR="00CC4689" w:rsidRPr="00575173">
              <w:t>(including</w:t>
            </w:r>
            <w:r w:rsidRPr="00575173">
              <w:t xml:space="preserve"> multiple non</w:t>
            </w:r>
            <w:r w:rsidR="00A7728E" w:rsidRPr="00575173">
              <w:noBreakHyphen/>
            </w:r>
            <w:r w:rsidRPr="00575173">
              <w:t>coplanar, rotational or fixed beam treatment delivery</w:t>
            </w:r>
            <w:r w:rsidR="00CC4689" w:rsidRPr="00575173">
              <w:t>) or</w:t>
            </w:r>
            <w:r w:rsidR="00537434" w:rsidRPr="00575173">
              <w:t xml:space="preserve"> a </w:t>
            </w:r>
            <w:r w:rsidRPr="00575173">
              <w:t>specialised total body treatment delivery method;</w:t>
            </w:r>
          </w:p>
          <w:p w14:paraId="05F53559" w14:textId="77777777" w:rsidR="00AA5C78" w:rsidRPr="00575173" w:rsidRDefault="00AA5C78" w:rsidP="0085559E">
            <w:pPr>
              <w:pStyle w:val="Tablei"/>
            </w:pPr>
            <w:r w:rsidRPr="00575173">
              <w:t>(iii) a specialised dataset of anatomical dimensions is acquired in the treatment position for TSE or TBI; and</w:t>
            </w:r>
          </w:p>
          <w:p w14:paraId="2B0C5287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12C6CB8E" w14:textId="77777777" w:rsidR="00AA5C78" w:rsidRPr="00575173" w:rsidRDefault="00AA5C78" w:rsidP="0085559E">
            <w:pPr>
              <w:pStyle w:val="Tablei"/>
            </w:pPr>
            <w:r w:rsidRPr="00575173">
              <w:t>(i) total TSE, TBI, IMRT or multiple non</w:t>
            </w:r>
            <w:r w:rsidR="00A7728E" w:rsidRPr="00575173">
              <w:noBreakHyphen/>
            </w:r>
            <w:r w:rsidRPr="00575173">
              <w:t>coplanar, rotational or fixed beam treatment is used;</w:t>
            </w:r>
          </w:p>
          <w:p w14:paraId="6F7BB723" w14:textId="77777777" w:rsidR="00AA5C78" w:rsidRPr="00575173" w:rsidRDefault="00AA5C78" w:rsidP="0085559E">
            <w:pPr>
              <w:pStyle w:val="Tablei"/>
            </w:pPr>
            <w:r w:rsidRPr="00575173">
              <w:t>(ii) the final dosimetry plan is validated by a radiation therapist and a medical physicist, using quality assurance processes;</w:t>
            </w:r>
          </w:p>
          <w:p w14:paraId="782DAE86" w14:textId="77777777" w:rsidR="00AA5C78" w:rsidRPr="00575173" w:rsidRDefault="00AA5C78" w:rsidP="00BA2ADA">
            <w:pPr>
              <w:pStyle w:val="Tablei"/>
            </w:pPr>
            <w:r w:rsidRPr="00575173">
              <w:t xml:space="preserve">(iii) the final dosimetry plan is approved, prior to treatment delivery, by a </w:t>
            </w:r>
            <w:r w:rsidR="00131594" w:rsidRPr="00575173">
              <w:t>radiation oncologist</w:t>
            </w:r>
          </w:p>
          <w:p w14:paraId="0B8D51C7" w14:textId="77777777" w:rsidR="00506EDA" w:rsidRPr="00575173" w:rsidRDefault="00506EDA" w:rsidP="00506EDA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478705F3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7,046.30</w:t>
            </w:r>
          </w:p>
        </w:tc>
      </w:tr>
      <w:tr w:rsidR="00AA5C78" w:rsidRPr="00575173" w14:paraId="762B5092" w14:textId="77777777" w:rsidTr="0085559E">
        <w:tc>
          <w:tcPr>
            <w:tcW w:w="738" w:type="pct"/>
            <w:shd w:val="clear" w:color="auto" w:fill="auto"/>
            <w:hideMark/>
          </w:tcPr>
          <w:p w14:paraId="60697E8F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15928</w:t>
            </w:r>
          </w:p>
        </w:tc>
        <w:tc>
          <w:tcPr>
            <w:tcW w:w="3450" w:type="pct"/>
            <w:shd w:val="clear" w:color="auto" w:fill="auto"/>
          </w:tcPr>
          <w:p w14:paraId="4A29155B" w14:textId="77777777" w:rsidR="00AA5C78" w:rsidRPr="00575173" w:rsidRDefault="00AA5C78" w:rsidP="0085559E">
            <w:pPr>
              <w:pStyle w:val="Tabletext"/>
            </w:pPr>
            <w:r w:rsidRPr="00575173">
              <w:t>Megavoltage re</w:t>
            </w:r>
            <w:r w:rsidR="00A7728E" w:rsidRPr="00575173">
              <w:noBreakHyphen/>
            </w:r>
            <w:r w:rsidRPr="00575173">
              <w:t>planning—level 5</w:t>
            </w:r>
          </w:p>
          <w:p w14:paraId="252522FF" w14:textId="77777777" w:rsidR="00AA5C78" w:rsidRPr="00575173" w:rsidRDefault="00AA5C78" w:rsidP="0085559E">
            <w:pPr>
              <w:pStyle w:val="Tabletext"/>
            </w:pPr>
            <w:r w:rsidRPr="00575173">
              <w:t>Additional dosimetry plan for re</w:t>
            </w:r>
            <w:r w:rsidR="00A7728E" w:rsidRPr="00575173">
              <w:noBreakHyphen/>
            </w:r>
            <w:r w:rsidRPr="00575173">
              <w:t>planning of specialised radiation therapy if:</w:t>
            </w:r>
          </w:p>
          <w:p w14:paraId="1CBC496F" w14:textId="77777777" w:rsidR="00AA5C78" w:rsidRPr="00575173" w:rsidRDefault="00AA5C78" w:rsidP="0085559E">
            <w:pPr>
              <w:pStyle w:val="Tablea"/>
            </w:pPr>
            <w:r w:rsidRPr="00575173">
              <w:t>(a) an initial treatment plan described in 15924 or 15926 has been prepared; and</w:t>
            </w:r>
          </w:p>
          <w:p w14:paraId="7E59F505" w14:textId="77777777" w:rsidR="00AA5C78" w:rsidRPr="00575173" w:rsidRDefault="00AA5C78" w:rsidP="0085559E">
            <w:pPr>
              <w:pStyle w:val="Tablea"/>
            </w:pPr>
            <w:r w:rsidRPr="00575173">
              <w:t>(b) treatment adjustments to the initial plan are inadequate to satisfy treatment protocol requirements</w:t>
            </w:r>
          </w:p>
          <w:p w14:paraId="5C19CEE1" w14:textId="77777777" w:rsidR="00AA5C78" w:rsidRPr="00575173" w:rsidRDefault="00506EDA" w:rsidP="0085559E">
            <w:pPr>
              <w:pStyle w:val="Tabletext"/>
            </w:pPr>
            <w:r w:rsidRPr="00575173">
              <w:t xml:space="preserve">Applicable once per course of treatment </w:t>
            </w:r>
            <w:r w:rsidR="00AA5C78" w:rsidRPr="00575173">
              <w:t>(Anaes.)</w:t>
            </w:r>
          </w:p>
        </w:tc>
        <w:tc>
          <w:tcPr>
            <w:tcW w:w="812" w:type="pct"/>
            <w:shd w:val="clear" w:color="auto" w:fill="auto"/>
          </w:tcPr>
          <w:p w14:paraId="65227690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3,523.15</w:t>
            </w:r>
          </w:p>
        </w:tc>
      </w:tr>
      <w:tr w:rsidR="00AA5C78" w:rsidRPr="00575173" w14:paraId="605F0BCE" w14:textId="77777777" w:rsidTr="0085559E">
        <w:tc>
          <w:tcPr>
            <w:tcW w:w="738" w:type="pct"/>
            <w:shd w:val="clear" w:color="auto" w:fill="auto"/>
            <w:hideMark/>
          </w:tcPr>
          <w:p w14:paraId="76BEDE35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15930</w:t>
            </w:r>
          </w:p>
        </w:tc>
        <w:tc>
          <w:tcPr>
            <w:tcW w:w="3450" w:type="pct"/>
            <w:shd w:val="clear" w:color="auto" w:fill="auto"/>
          </w:tcPr>
          <w:p w14:paraId="135F8A1F" w14:textId="77777777" w:rsidR="00AA5C78" w:rsidRPr="00575173" w:rsidRDefault="00AA5C78" w:rsidP="008B234B">
            <w:pPr>
              <w:pStyle w:val="Tabletext"/>
            </w:pPr>
            <w:r w:rsidRPr="00575173">
              <w:t>Megavoltage treatment—level 1.1</w:t>
            </w:r>
          </w:p>
          <w:p w14:paraId="53428C45" w14:textId="77777777" w:rsidR="00AA5C78" w:rsidRPr="00575173" w:rsidRDefault="00AA5C78" w:rsidP="0085559E">
            <w:pPr>
              <w:pStyle w:val="Tabletext"/>
            </w:pPr>
            <w:r w:rsidRPr="00575173">
              <w:t>Radiation therapy for simple, single</w:t>
            </w:r>
            <w:r w:rsidR="00A7728E" w:rsidRPr="00575173">
              <w:noBreakHyphen/>
            </w:r>
            <w:r w:rsidRPr="00575173">
              <w:t>field treatment (including electron beam treatments), if:</w:t>
            </w:r>
          </w:p>
          <w:p w14:paraId="3B0C1812" w14:textId="77777777" w:rsidR="00AA5C78" w:rsidRPr="00575173" w:rsidRDefault="00AA5C78" w:rsidP="0085559E">
            <w:pPr>
              <w:pStyle w:val="Tablea"/>
            </w:pPr>
            <w:r w:rsidRPr="00575173">
              <w:t>(a) the treatment does not use imaging for field setting; and</w:t>
            </w:r>
          </w:p>
          <w:p w14:paraId="5A043EAF" w14:textId="77777777" w:rsidR="00AA5C78" w:rsidRPr="00575173" w:rsidRDefault="00AA5C78" w:rsidP="0085559E">
            <w:pPr>
              <w:pStyle w:val="Tablea"/>
            </w:pPr>
            <w:r w:rsidRPr="00575173">
              <w:t xml:space="preserve">(b) the treatment is delivered using a device </w:t>
            </w:r>
            <w:r w:rsidR="007A1658" w:rsidRPr="00575173">
              <w:t xml:space="preserve">that is </w:t>
            </w:r>
            <w:r w:rsidR="00796C33" w:rsidRPr="00575173">
              <w:t>included in</w:t>
            </w:r>
            <w:r w:rsidR="007A1658" w:rsidRPr="00575173">
              <w:t xml:space="preserve"> the Australian Register of Therapeutic Goods</w:t>
            </w:r>
            <w:r w:rsidRPr="00575173">
              <w:t>; and</w:t>
            </w:r>
          </w:p>
          <w:p w14:paraId="6FE598BC" w14:textId="77777777" w:rsidR="00AA5C78" w:rsidRPr="00575173" w:rsidRDefault="00AA5C78" w:rsidP="0085559E">
            <w:pPr>
              <w:pStyle w:val="Tablea"/>
            </w:pPr>
            <w:r w:rsidRPr="00575173">
              <w:t>(c) the treatment is delivered with a one</w:t>
            </w:r>
            <w:r w:rsidR="00A7728E" w:rsidRPr="00575173">
              <w:noBreakHyphen/>
            </w:r>
            <w:r w:rsidRPr="00575173">
              <w:t>dimensional plan; and</w:t>
            </w:r>
          </w:p>
          <w:p w14:paraId="56216A58" w14:textId="77777777" w:rsidR="00AA5C78" w:rsidRPr="00575173" w:rsidRDefault="00AA5C78" w:rsidP="0085559E">
            <w:pPr>
              <w:pStyle w:val="Tablea"/>
            </w:pPr>
            <w:r w:rsidRPr="00575173">
              <w:t>(d) a two</w:t>
            </w:r>
            <w:r w:rsidR="00A7728E" w:rsidRPr="00575173">
              <w:noBreakHyphen/>
            </w:r>
            <w:r w:rsidRPr="00575173">
              <w:t>dimensional single</w:t>
            </w:r>
            <w:r w:rsidR="00A7728E" w:rsidRPr="00575173">
              <w:noBreakHyphen/>
            </w:r>
            <w:r w:rsidRPr="00575173">
              <w:t>field treatment delivery mode is utilised</w:t>
            </w:r>
          </w:p>
          <w:p w14:paraId="5AF98A28" w14:textId="77777777" w:rsidR="002D452F" w:rsidRPr="00575173" w:rsidRDefault="00796C33" w:rsidP="00B84A0E">
            <w:pPr>
              <w:pStyle w:val="Tabletext"/>
            </w:pPr>
            <w:r w:rsidRPr="00575173">
              <w:t xml:space="preserve">Applicable </w:t>
            </w:r>
            <w:r w:rsidR="0093002E" w:rsidRPr="00575173">
              <w:t>once per plan</w:t>
            </w:r>
            <w:r w:rsidR="002D452F" w:rsidRPr="00575173">
              <w:t xml:space="preserve"> per day</w:t>
            </w:r>
          </w:p>
        </w:tc>
        <w:tc>
          <w:tcPr>
            <w:tcW w:w="812" w:type="pct"/>
            <w:shd w:val="clear" w:color="auto" w:fill="auto"/>
          </w:tcPr>
          <w:p w14:paraId="323618B8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color w:val="000000"/>
                <w:kern w:val="2"/>
                <w14:ligatures w14:val="standardContextual"/>
              </w:rPr>
              <w:t>91.25</w:t>
            </w:r>
          </w:p>
        </w:tc>
      </w:tr>
      <w:tr w:rsidR="00AA5C78" w:rsidRPr="00575173" w14:paraId="411855C7" w14:textId="77777777" w:rsidTr="0085559E">
        <w:tc>
          <w:tcPr>
            <w:tcW w:w="738" w:type="pct"/>
            <w:shd w:val="clear" w:color="auto" w:fill="auto"/>
            <w:hideMark/>
          </w:tcPr>
          <w:p w14:paraId="3954CA2F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15932</w:t>
            </w:r>
          </w:p>
        </w:tc>
        <w:tc>
          <w:tcPr>
            <w:tcW w:w="3450" w:type="pct"/>
            <w:shd w:val="clear" w:color="auto" w:fill="auto"/>
          </w:tcPr>
          <w:p w14:paraId="04DD3994" w14:textId="77777777" w:rsidR="00AA5C78" w:rsidRPr="00575173" w:rsidRDefault="00AA5C78" w:rsidP="0085559E">
            <w:pPr>
              <w:pStyle w:val="Tabletext"/>
            </w:pPr>
            <w:r w:rsidRPr="00575173">
              <w:t>Megavoltage treatment—level 1.2</w:t>
            </w:r>
          </w:p>
          <w:p w14:paraId="35F6A7B3" w14:textId="77777777" w:rsidR="00AA5C78" w:rsidRPr="00575173" w:rsidRDefault="00AA5C78" w:rsidP="0085559E">
            <w:pPr>
              <w:pStyle w:val="Tabletext"/>
            </w:pPr>
            <w:r w:rsidRPr="00575173">
              <w:t xml:space="preserve">Radiation therapy and image verification for simple treatment, with </w:t>
            </w:r>
            <w:r w:rsidRPr="00575173">
              <w:lastRenderedPageBreak/>
              <w:t>imaging for field setting, if:</w:t>
            </w:r>
          </w:p>
          <w:p w14:paraId="528C5C10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EC3734" w:rsidRPr="00575173">
              <w:t>that is included in the Australian Register of Therapeutic Goods</w:t>
            </w:r>
            <w:r w:rsidRPr="00575173">
              <w:t>; and</w:t>
            </w:r>
          </w:p>
          <w:p w14:paraId="6DB4AA13" w14:textId="77777777" w:rsidR="00AA5C78" w:rsidRPr="00575173" w:rsidRDefault="00AA5C78" w:rsidP="0085559E">
            <w:pPr>
              <w:pStyle w:val="Tablea"/>
            </w:pPr>
            <w:r w:rsidRPr="00575173">
              <w:t>(b) image</w:t>
            </w:r>
            <w:r w:rsidR="00A7728E" w:rsidRPr="00575173">
              <w:noBreakHyphen/>
            </w:r>
            <w:r w:rsidRPr="00575173">
              <w:t>guided radiation therapy (IGRT) imaging is used to implement a two</w:t>
            </w:r>
            <w:r w:rsidR="00A7728E" w:rsidRPr="00575173">
              <w:noBreakHyphen/>
            </w:r>
            <w:r w:rsidRPr="00575173">
              <w:t>dimensional plan, and</w:t>
            </w:r>
          </w:p>
          <w:p w14:paraId="46ED9A0E" w14:textId="77777777" w:rsidR="00AA5C78" w:rsidRPr="00575173" w:rsidRDefault="00AA5C78" w:rsidP="0085559E">
            <w:pPr>
              <w:pStyle w:val="Tablea"/>
            </w:pPr>
            <w:r w:rsidRPr="00575173">
              <w:t>(c) two</w:t>
            </w:r>
            <w:r w:rsidR="00A7728E" w:rsidRPr="00575173">
              <w:noBreakHyphen/>
            </w:r>
            <w:r w:rsidRPr="00575173">
              <w:t>dimensional treatment is delivered; and</w:t>
            </w:r>
          </w:p>
          <w:p w14:paraId="243BEE5E" w14:textId="77777777" w:rsidR="00AA5C78" w:rsidRPr="00575173" w:rsidRDefault="00AA5C78" w:rsidP="0085559E">
            <w:pPr>
              <w:pStyle w:val="Tablea"/>
            </w:pPr>
            <w:r w:rsidRPr="00575173">
              <w:t>(d) image verification decisions and actions are documented in the patient’s record</w:t>
            </w:r>
          </w:p>
          <w:p w14:paraId="2A34597A" w14:textId="77777777" w:rsidR="00AA5C78" w:rsidRPr="00575173" w:rsidRDefault="0076044E" w:rsidP="00EC3734">
            <w:pPr>
              <w:pStyle w:val="Tabletext"/>
            </w:pPr>
            <w:r w:rsidRPr="00575173">
              <w:t>Applicable once per plan per day</w:t>
            </w:r>
          </w:p>
        </w:tc>
        <w:tc>
          <w:tcPr>
            <w:tcW w:w="812" w:type="pct"/>
            <w:shd w:val="clear" w:color="auto" w:fill="auto"/>
          </w:tcPr>
          <w:p w14:paraId="3559622E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113</w:t>
            </w:r>
            <w:r w:rsidRPr="00575173">
              <w:rPr>
                <w:color w:val="000000"/>
                <w:kern w:val="2"/>
                <w14:ligatures w14:val="standardContextual"/>
              </w:rPr>
              <w:t>.65</w:t>
            </w:r>
          </w:p>
        </w:tc>
      </w:tr>
      <w:tr w:rsidR="00AA5C78" w:rsidRPr="00575173" w14:paraId="5FF99671" w14:textId="77777777" w:rsidTr="0085559E">
        <w:tc>
          <w:tcPr>
            <w:tcW w:w="738" w:type="pct"/>
            <w:shd w:val="clear" w:color="auto" w:fill="auto"/>
            <w:hideMark/>
          </w:tcPr>
          <w:p w14:paraId="5D9F8FAE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15934</w:t>
            </w:r>
          </w:p>
        </w:tc>
        <w:tc>
          <w:tcPr>
            <w:tcW w:w="3450" w:type="pct"/>
            <w:shd w:val="clear" w:color="auto" w:fill="auto"/>
          </w:tcPr>
          <w:p w14:paraId="4D57DEA0" w14:textId="77777777" w:rsidR="00AA5C78" w:rsidRPr="00575173" w:rsidRDefault="00AA5C78" w:rsidP="00517B92">
            <w:pPr>
              <w:pStyle w:val="Tabletext"/>
            </w:pPr>
            <w:r w:rsidRPr="00575173">
              <w:t>Megavoltage treatment—level 2.1</w:t>
            </w:r>
          </w:p>
          <w:p w14:paraId="3F0486DA" w14:textId="77777777" w:rsidR="00AA5C78" w:rsidRPr="00575173" w:rsidRDefault="00AA5C78" w:rsidP="0085559E">
            <w:pPr>
              <w:pStyle w:val="Tabletext"/>
            </w:pPr>
            <w:r w:rsidRPr="00575173">
              <w:t>Radiation therapy and image verification for three</w:t>
            </w:r>
            <w:r w:rsidR="00A7728E" w:rsidRPr="00575173">
              <w:noBreakHyphen/>
            </w:r>
            <w:r w:rsidRPr="00575173">
              <w:t>dimensional treatment, without motion management, if:</w:t>
            </w:r>
          </w:p>
          <w:p w14:paraId="2BB63429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17B92" w:rsidRPr="00575173">
              <w:t>that is included in the Australian Register of Therapeutic Goods</w:t>
            </w:r>
            <w:r w:rsidRPr="00575173">
              <w:t>; and</w:t>
            </w:r>
          </w:p>
          <w:p w14:paraId="07FBD001" w14:textId="77777777" w:rsidR="00AA5C78" w:rsidRPr="00575173" w:rsidRDefault="00AA5C78" w:rsidP="0085559E">
            <w:pPr>
              <w:pStyle w:val="Tablea"/>
            </w:pPr>
            <w:r w:rsidRPr="00575173">
              <w:t>(b) image</w:t>
            </w:r>
            <w:r w:rsidR="00A7728E" w:rsidRPr="00575173">
              <w:noBreakHyphen/>
            </w:r>
            <w:r w:rsidRPr="00575173">
              <w:t>guided radiation therapy (IGRT) imaging is used to implement a standard three</w:t>
            </w:r>
            <w:r w:rsidR="00A7728E" w:rsidRPr="00575173">
              <w:noBreakHyphen/>
            </w:r>
            <w:r w:rsidRPr="00575173">
              <w:t>dimensional plan; and</w:t>
            </w:r>
          </w:p>
          <w:p w14:paraId="6267784C" w14:textId="77777777" w:rsidR="00AA5C78" w:rsidRPr="00575173" w:rsidRDefault="00AA5C78" w:rsidP="0085559E">
            <w:pPr>
              <w:pStyle w:val="Tablea"/>
            </w:pPr>
            <w:r w:rsidRPr="00575173">
              <w:t>(c) three</w:t>
            </w:r>
            <w:r w:rsidR="00A7728E" w:rsidRPr="00575173">
              <w:noBreakHyphen/>
            </w:r>
            <w:r w:rsidRPr="00575173">
              <w:t>dimensional treatment is delivered; and</w:t>
            </w:r>
          </w:p>
          <w:p w14:paraId="367EF5D1" w14:textId="77777777" w:rsidR="00AA5C78" w:rsidRPr="00575173" w:rsidRDefault="00AA5C78" w:rsidP="0085559E">
            <w:pPr>
              <w:pStyle w:val="Tablea"/>
            </w:pPr>
            <w:r w:rsidRPr="00575173">
              <w:t>(d) image verification decisions and actions are documented in the patient’s record</w:t>
            </w:r>
          </w:p>
          <w:p w14:paraId="3FA93695" w14:textId="77777777" w:rsidR="00AA5C78" w:rsidRPr="00575173" w:rsidRDefault="0076044E" w:rsidP="00517B92">
            <w:pPr>
              <w:pStyle w:val="Tabletext"/>
            </w:pPr>
            <w:r w:rsidRPr="00575173">
              <w:t>Applicable once per plan per day</w:t>
            </w:r>
          </w:p>
        </w:tc>
        <w:tc>
          <w:tcPr>
            <w:tcW w:w="812" w:type="pct"/>
            <w:shd w:val="clear" w:color="auto" w:fill="auto"/>
          </w:tcPr>
          <w:p w14:paraId="599FBBEF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255</w:t>
            </w:r>
            <w:r w:rsidRPr="00575173">
              <w:rPr>
                <w:color w:val="000000"/>
                <w:kern w:val="2"/>
                <w14:ligatures w14:val="standardContextual"/>
              </w:rPr>
              <w:t>.95</w:t>
            </w:r>
          </w:p>
        </w:tc>
      </w:tr>
      <w:tr w:rsidR="00AA5C78" w:rsidRPr="00575173" w14:paraId="490EC698" w14:textId="77777777" w:rsidTr="0085559E">
        <w:tc>
          <w:tcPr>
            <w:tcW w:w="738" w:type="pct"/>
            <w:shd w:val="clear" w:color="auto" w:fill="auto"/>
            <w:hideMark/>
          </w:tcPr>
          <w:p w14:paraId="050D45FF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15936</w:t>
            </w:r>
          </w:p>
        </w:tc>
        <w:tc>
          <w:tcPr>
            <w:tcW w:w="3450" w:type="pct"/>
            <w:shd w:val="clear" w:color="auto" w:fill="auto"/>
          </w:tcPr>
          <w:p w14:paraId="6942EC0D" w14:textId="77777777" w:rsidR="00AA5C78" w:rsidRPr="00575173" w:rsidRDefault="00AA5C78" w:rsidP="0085559E">
            <w:pPr>
              <w:pStyle w:val="Tabletext"/>
            </w:pPr>
            <w:r w:rsidRPr="00575173">
              <w:t>Megavoltage treatment—level 2.2</w:t>
            </w:r>
          </w:p>
          <w:p w14:paraId="47669334" w14:textId="77777777" w:rsidR="00AA5C78" w:rsidRPr="00575173" w:rsidRDefault="00AA5C78" w:rsidP="0085559E">
            <w:pPr>
              <w:pStyle w:val="Tabletext"/>
            </w:pPr>
            <w:r w:rsidRPr="00575173">
              <w:t>Radiation therapy and image verification for three</w:t>
            </w:r>
            <w:r w:rsidR="00A7728E" w:rsidRPr="00575173">
              <w:noBreakHyphen/>
            </w:r>
            <w:r w:rsidRPr="00575173">
              <w:t>dimensional treatment, if:</w:t>
            </w:r>
          </w:p>
          <w:p w14:paraId="4529FB9F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17B92" w:rsidRPr="00575173">
              <w:t>that is included in the Australian Register of Therapeutic Goods</w:t>
            </w:r>
            <w:r w:rsidRPr="00575173">
              <w:t>; and</w:t>
            </w:r>
          </w:p>
          <w:p w14:paraId="76A6D268" w14:textId="77777777" w:rsidR="00AA5C78" w:rsidRPr="00575173" w:rsidRDefault="00AA5C78" w:rsidP="0085559E">
            <w:pPr>
              <w:pStyle w:val="Tablea"/>
            </w:pPr>
            <w:r w:rsidRPr="00575173">
              <w:t>(b) image</w:t>
            </w:r>
            <w:r w:rsidR="00A7728E" w:rsidRPr="00575173">
              <w:noBreakHyphen/>
            </w:r>
            <w:r w:rsidRPr="00575173">
              <w:t>guided radiation therapy (IGRT) imaging is used to implement a complex three</w:t>
            </w:r>
            <w:r w:rsidR="00A7728E" w:rsidRPr="00575173">
              <w:noBreakHyphen/>
            </w:r>
            <w:r w:rsidRPr="00575173">
              <w:t>dimensional plan; and</w:t>
            </w:r>
          </w:p>
          <w:p w14:paraId="78E2E334" w14:textId="77777777" w:rsidR="00AA5C78" w:rsidRPr="00575173" w:rsidRDefault="00AA5C78" w:rsidP="0085559E">
            <w:pPr>
              <w:pStyle w:val="Tablea"/>
            </w:pPr>
            <w:r w:rsidRPr="00575173">
              <w:t>(c) complex three</w:t>
            </w:r>
            <w:r w:rsidR="00A7728E" w:rsidRPr="00575173">
              <w:noBreakHyphen/>
            </w:r>
            <w:r w:rsidRPr="00575173">
              <w:t>dimensional treatment is delivered with management of motion; and</w:t>
            </w:r>
          </w:p>
          <w:p w14:paraId="333332CF" w14:textId="77777777" w:rsidR="00AA5C78" w:rsidRPr="00575173" w:rsidRDefault="00AA5C78" w:rsidP="0085559E">
            <w:pPr>
              <w:pStyle w:val="Tablea"/>
            </w:pPr>
            <w:r w:rsidRPr="00575173">
              <w:t>(d) image decisions and actions are documented in the patient’s record</w:t>
            </w:r>
          </w:p>
          <w:p w14:paraId="4E30FED9" w14:textId="77777777" w:rsidR="00AA5C78" w:rsidRPr="00575173" w:rsidRDefault="0076044E" w:rsidP="00517B92">
            <w:pPr>
              <w:pStyle w:val="Tabletext"/>
            </w:pPr>
            <w:r w:rsidRPr="00575173">
              <w:t>Applicable once per plan per day</w:t>
            </w:r>
          </w:p>
        </w:tc>
        <w:tc>
          <w:tcPr>
            <w:tcW w:w="812" w:type="pct"/>
            <w:shd w:val="clear" w:color="auto" w:fill="auto"/>
          </w:tcPr>
          <w:p w14:paraId="48ADA7E5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color w:val="000000"/>
                <w:kern w:val="2"/>
                <w14:ligatures w14:val="standardContextual"/>
              </w:rPr>
              <w:t>278.40</w:t>
            </w:r>
          </w:p>
        </w:tc>
      </w:tr>
      <w:tr w:rsidR="00AA5C78" w:rsidRPr="00575173" w14:paraId="1C8FEF33" w14:textId="77777777" w:rsidTr="0085559E">
        <w:tc>
          <w:tcPr>
            <w:tcW w:w="738" w:type="pct"/>
            <w:shd w:val="clear" w:color="auto" w:fill="auto"/>
            <w:hideMark/>
          </w:tcPr>
          <w:p w14:paraId="56E59D38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15938</w:t>
            </w:r>
          </w:p>
        </w:tc>
        <w:tc>
          <w:tcPr>
            <w:tcW w:w="3450" w:type="pct"/>
            <w:shd w:val="clear" w:color="auto" w:fill="auto"/>
          </w:tcPr>
          <w:p w14:paraId="41CD4BAE" w14:textId="77777777" w:rsidR="00AA5C78" w:rsidRPr="00575173" w:rsidRDefault="00AA5C78" w:rsidP="0085559E">
            <w:pPr>
              <w:pStyle w:val="Tabletext"/>
            </w:pPr>
            <w:r w:rsidRPr="00575173">
              <w:t>Megavoltage treatment—level 3.1</w:t>
            </w:r>
          </w:p>
          <w:p w14:paraId="7BDD1FFC" w14:textId="77777777" w:rsidR="00AA5C78" w:rsidRPr="00575173" w:rsidRDefault="00AA5C78" w:rsidP="0085559E">
            <w:pPr>
              <w:pStyle w:val="Tabletext"/>
            </w:pPr>
            <w:r w:rsidRPr="00575173">
              <w:t>Standard single</w:t>
            </w:r>
            <w:r w:rsidR="00A7728E" w:rsidRPr="00575173">
              <w:noBreakHyphen/>
            </w:r>
            <w:r w:rsidRPr="00575173">
              <w:t xml:space="preserve">dose level </w:t>
            </w:r>
            <w:r w:rsidR="00D24752" w:rsidRPr="00575173">
              <w:t>intensity modulated radiation therapy (</w:t>
            </w:r>
            <w:r w:rsidRPr="00575173">
              <w:t>IMRT</w:t>
            </w:r>
            <w:r w:rsidR="00D24752" w:rsidRPr="00575173">
              <w:t xml:space="preserve">) </w:t>
            </w:r>
            <w:r w:rsidRPr="00575173">
              <w:t>treatment and image verification, without motion management, if:</w:t>
            </w:r>
          </w:p>
          <w:p w14:paraId="6D20F537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86D3D" w:rsidRPr="00575173">
              <w:t>that is included in the Australian Register of Therapeutic Goods</w:t>
            </w:r>
            <w:r w:rsidRPr="00575173">
              <w:t>; and</w:t>
            </w:r>
          </w:p>
          <w:p w14:paraId="246C23C3" w14:textId="77777777" w:rsidR="00AA5C78" w:rsidRPr="00575173" w:rsidRDefault="00AA5C78" w:rsidP="0085559E">
            <w:pPr>
              <w:pStyle w:val="Tablea"/>
            </w:pPr>
            <w:r w:rsidRPr="00575173">
              <w:t>(b) image</w:t>
            </w:r>
            <w:r w:rsidR="00A7728E" w:rsidRPr="00575173">
              <w:noBreakHyphen/>
            </w:r>
            <w:r w:rsidRPr="00575173">
              <w:t xml:space="preserve">guided radiation therapy (IGRT) imaging is used to implement a standard IMRT plan described in </w:t>
            </w:r>
            <w:r w:rsidR="0004317E" w:rsidRPr="00575173">
              <w:t>item 1</w:t>
            </w:r>
            <w:r w:rsidRPr="00575173">
              <w:t>5910</w:t>
            </w:r>
          </w:p>
          <w:p w14:paraId="63A4AF27" w14:textId="77777777" w:rsidR="00AA5C78" w:rsidRPr="00575173" w:rsidRDefault="0076044E" w:rsidP="00586D3D">
            <w:pPr>
              <w:pStyle w:val="Tabletext"/>
            </w:pPr>
            <w:r w:rsidRPr="00575173">
              <w:t>Applicable once per plan per day</w:t>
            </w:r>
          </w:p>
        </w:tc>
        <w:tc>
          <w:tcPr>
            <w:tcW w:w="812" w:type="pct"/>
            <w:shd w:val="clear" w:color="auto" w:fill="auto"/>
          </w:tcPr>
          <w:p w14:paraId="3FE057AA" w14:textId="77777777" w:rsidR="00AA5C78" w:rsidRPr="00575173" w:rsidRDefault="00AA5C78" w:rsidP="0085559E">
            <w:pPr>
              <w:keepNext/>
              <w:spacing w:before="60" w:after="60"/>
              <w:ind w:left="594" w:right="-665"/>
              <w:rPr>
                <w:rFonts w:eastAsia="Times New Roman" w:cs="Times New Roman"/>
                <w:color w:val="000000"/>
                <w:kern w:val="2"/>
                <w:sz w:val="20"/>
                <w:lang w:eastAsia="en-AU"/>
                <w14:ligatures w14:val="standardContextual"/>
              </w:rPr>
            </w:pPr>
            <w:r w:rsidRPr="00575173">
              <w:rPr>
                <w:rFonts w:eastAsia="Times New Roman" w:cs="Times New Roman"/>
                <w:color w:val="000000"/>
                <w:kern w:val="2"/>
                <w:sz w:val="20"/>
                <w:lang w:eastAsia="en-AU"/>
                <w14:ligatures w14:val="standardContextual"/>
              </w:rPr>
              <w:t>278.40</w:t>
            </w:r>
          </w:p>
        </w:tc>
      </w:tr>
      <w:tr w:rsidR="00AA5C78" w:rsidRPr="00575173" w14:paraId="769A2AA3" w14:textId="77777777" w:rsidTr="0085559E">
        <w:tc>
          <w:tcPr>
            <w:tcW w:w="738" w:type="pct"/>
            <w:shd w:val="clear" w:color="auto" w:fill="auto"/>
            <w:hideMark/>
          </w:tcPr>
          <w:p w14:paraId="58D83438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15940</w:t>
            </w:r>
          </w:p>
        </w:tc>
        <w:tc>
          <w:tcPr>
            <w:tcW w:w="3450" w:type="pct"/>
            <w:shd w:val="clear" w:color="auto" w:fill="auto"/>
          </w:tcPr>
          <w:p w14:paraId="79582720" w14:textId="77777777" w:rsidR="00AA5C78" w:rsidRPr="00575173" w:rsidRDefault="00AA5C78" w:rsidP="0085559E">
            <w:pPr>
              <w:pStyle w:val="Tabletext"/>
            </w:pPr>
            <w:r w:rsidRPr="00575173">
              <w:t xml:space="preserve">Megavoltage </w:t>
            </w:r>
            <w:r w:rsidR="00586D3D" w:rsidRPr="00575173">
              <w:t>treatment</w:t>
            </w:r>
            <w:r w:rsidRPr="00575173">
              <w:t>—level 3.2</w:t>
            </w:r>
          </w:p>
          <w:p w14:paraId="45E1EE36" w14:textId="77777777" w:rsidR="00AA5C78" w:rsidRPr="00575173" w:rsidRDefault="00AA5C78" w:rsidP="0085559E">
            <w:pPr>
              <w:pStyle w:val="Tabletext"/>
            </w:pPr>
            <w:r w:rsidRPr="00575173">
              <w:t>Complex multiple</w:t>
            </w:r>
            <w:r w:rsidR="00A7728E" w:rsidRPr="00575173">
              <w:noBreakHyphen/>
            </w:r>
            <w:r w:rsidRPr="00575173">
              <w:t>dose level intensity modulated radiation therapy (IMRT) treatment, or single</w:t>
            </w:r>
            <w:r w:rsidR="00A7728E" w:rsidRPr="00575173">
              <w:noBreakHyphen/>
            </w:r>
            <w:r w:rsidRPr="00575173">
              <w:t>dose level IMRT treatment requiring motion management, and image verification, if:</w:t>
            </w:r>
          </w:p>
          <w:p w14:paraId="077C6390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86D3D" w:rsidRPr="00575173">
              <w:t>that is included in the Australian Register of Therapeutic Goods</w:t>
            </w:r>
            <w:r w:rsidRPr="00575173">
              <w:t>; and</w:t>
            </w:r>
          </w:p>
          <w:p w14:paraId="4A044BE7" w14:textId="77777777" w:rsidR="00AA5C78" w:rsidRPr="00575173" w:rsidRDefault="00AA5C78" w:rsidP="0085559E">
            <w:pPr>
              <w:pStyle w:val="Tablea"/>
            </w:pPr>
            <w:r w:rsidRPr="00575173">
              <w:lastRenderedPageBreak/>
              <w:t>(b) image</w:t>
            </w:r>
            <w:r w:rsidR="00A7728E" w:rsidRPr="00575173">
              <w:noBreakHyphen/>
            </w:r>
            <w:r w:rsidRPr="00575173">
              <w:t xml:space="preserve">guided radiation therapy (IGRT) imaging is used (with motion management functionality if required) to implement a complex IMRT plan described in </w:t>
            </w:r>
            <w:r w:rsidR="0004317E" w:rsidRPr="00575173">
              <w:t>item 1</w:t>
            </w:r>
            <w:r w:rsidRPr="00575173">
              <w:t>5914; and</w:t>
            </w:r>
          </w:p>
          <w:p w14:paraId="21E0A66D" w14:textId="77777777" w:rsidR="00AA5C78" w:rsidRPr="00575173" w:rsidRDefault="00AA5C78" w:rsidP="0085559E">
            <w:pPr>
              <w:pStyle w:val="Tablea"/>
            </w:pPr>
            <w:r w:rsidRPr="00575173">
              <w:t>(c) radiation field positioning requires accurate dose delivery to the target; and</w:t>
            </w:r>
          </w:p>
          <w:p w14:paraId="425D5E57" w14:textId="77777777" w:rsidR="00AA5C78" w:rsidRPr="00575173" w:rsidRDefault="00AA5C78" w:rsidP="0085559E">
            <w:pPr>
              <w:pStyle w:val="Tablea"/>
            </w:pPr>
            <w:r w:rsidRPr="00575173">
              <w:t>(d) image decisions and actions are documented in the patient’s record</w:t>
            </w:r>
          </w:p>
          <w:p w14:paraId="12F91908" w14:textId="77777777" w:rsidR="00AA5C78" w:rsidRPr="00575173" w:rsidRDefault="0076044E" w:rsidP="00586D3D">
            <w:pPr>
              <w:pStyle w:val="Tabletext"/>
            </w:pPr>
            <w:r w:rsidRPr="00575173">
              <w:t>Applicable once per plan per day</w:t>
            </w:r>
          </w:p>
        </w:tc>
        <w:tc>
          <w:tcPr>
            <w:tcW w:w="812" w:type="pct"/>
            <w:shd w:val="clear" w:color="auto" w:fill="auto"/>
          </w:tcPr>
          <w:p w14:paraId="7942112F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color w:val="000000"/>
                <w:kern w:val="2"/>
                <w14:ligatures w14:val="standardContextual"/>
              </w:rPr>
              <w:lastRenderedPageBreak/>
              <w:t>306.25</w:t>
            </w:r>
          </w:p>
        </w:tc>
      </w:tr>
      <w:tr w:rsidR="00AA5C78" w:rsidRPr="00575173" w14:paraId="36958A06" w14:textId="77777777" w:rsidTr="0085559E">
        <w:tc>
          <w:tcPr>
            <w:tcW w:w="738" w:type="pct"/>
            <w:shd w:val="clear" w:color="auto" w:fill="auto"/>
            <w:hideMark/>
          </w:tcPr>
          <w:p w14:paraId="1362A515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15942</w:t>
            </w:r>
          </w:p>
        </w:tc>
        <w:tc>
          <w:tcPr>
            <w:tcW w:w="3450" w:type="pct"/>
            <w:shd w:val="clear" w:color="auto" w:fill="auto"/>
          </w:tcPr>
          <w:p w14:paraId="4A63BF77" w14:textId="77777777" w:rsidR="00AA5C78" w:rsidRPr="00575173" w:rsidRDefault="00AA5C78" w:rsidP="0085559E">
            <w:pPr>
              <w:pStyle w:val="Tabletext"/>
            </w:pPr>
            <w:r w:rsidRPr="00575173">
              <w:t xml:space="preserve">Megavoltage </w:t>
            </w:r>
            <w:r w:rsidR="00586D3D" w:rsidRPr="00575173">
              <w:t>treatment</w:t>
            </w:r>
            <w:r w:rsidRPr="00575173">
              <w:t>—level 4</w:t>
            </w:r>
          </w:p>
          <w:p w14:paraId="6FB511D8" w14:textId="77777777" w:rsidR="00AA5C78" w:rsidRPr="00575173" w:rsidRDefault="00AA5C78" w:rsidP="0085559E">
            <w:pPr>
              <w:pStyle w:val="Tabletext"/>
            </w:pPr>
            <w:r w:rsidRPr="00575173">
              <w:t>Intracranial stereotactic radiation therapy treatment and image verification, if:</w:t>
            </w:r>
          </w:p>
          <w:p w14:paraId="107A6E9A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86D3D" w:rsidRPr="00575173">
              <w:t>that is included in the Australian Register of Therapeutic Goods</w:t>
            </w:r>
            <w:r w:rsidRPr="00575173">
              <w:t>; and</w:t>
            </w:r>
          </w:p>
          <w:p w14:paraId="43F1C969" w14:textId="77777777" w:rsidR="00AA5C78" w:rsidRPr="00575173" w:rsidRDefault="00AA5C78" w:rsidP="0085559E">
            <w:pPr>
              <w:pStyle w:val="Tablea"/>
            </w:pPr>
            <w:r w:rsidRPr="00575173">
              <w:t>(b) image</w:t>
            </w:r>
            <w:r w:rsidR="00A7728E" w:rsidRPr="00575173">
              <w:noBreakHyphen/>
            </w:r>
            <w:r w:rsidRPr="00575173">
              <w:t xml:space="preserve">guided radiation therapy (IGRT) or minimally invasive stereotactic frame localisation is used to implement an intracranial stereotactic treatment plan described in </w:t>
            </w:r>
            <w:r w:rsidR="0004317E" w:rsidRPr="00575173">
              <w:t>item 1</w:t>
            </w:r>
            <w:r w:rsidRPr="00575173">
              <w:t>5918; and</w:t>
            </w:r>
          </w:p>
          <w:p w14:paraId="2DC89537" w14:textId="77777777" w:rsidR="00AA5C78" w:rsidRPr="00575173" w:rsidRDefault="00AA5C78" w:rsidP="0085559E">
            <w:pPr>
              <w:pStyle w:val="Tablea"/>
            </w:pPr>
            <w:r w:rsidRPr="00575173">
              <w:t>(c) radiation field positioning requires accurate dose delivery to the target; and</w:t>
            </w:r>
          </w:p>
          <w:p w14:paraId="0311312E" w14:textId="77777777" w:rsidR="00AA5C78" w:rsidRPr="00575173" w:rsidRDefault="00AA5C78" w:rsidP="0085559E">
            <w:pPr>
              <w:pStyle w:val="Tablea"/>
            </w:pPr>
            <w:r w:rsidRPr="00575173">
              <w:t>(d) image decisions and actions are documented in the patient’s record</w:t>
            </w:r>
          </w:p>
          <w:p w14:paraId="45986F27" w14:textId="77777777" w:rsidR="00D24752" w:rsidRPr="00575173" w:rsidRDefault="00586D3D" w:rsidP="0021635C">
            <w:pPr>
              <w:pStyle w:val="Tabletext"/>
            </w:pPr>
            <w:r w:rsidRPr="00575173">
              <w:t>Applicable once per day</w:t>
            </w:r>
          </w:p>
        </w:tc>
        <w:tc>
          <w:tcPr>
            <w:tcW w:w="812" w:type="pct"/>
            <w:shd w:val="clear" w:color="auto" w:fill="auto"/>
          </w:tcPr>
          <w:p w14:paraId="03ED02EA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789</w:t>
            </w:r>
            <w:r w:rsidRPr="00575173">
              <w:rPr>
                <w:color w:val="000000"/>
                <w:kern w:val="2"/>
                <w14:ligatures w14:val="standardContextual"/>
              </w:rPr>
              <w:t>.35</w:t>
            </w:r>
          </w:p>
        </w:tc>
      </w:tr>
      <w:tr w:rsidR="00AA5C78" w:rsidRPr="00575173" w14:paraId="33CAF1B4" w14:textId="77777777" w:rsidTr="0085559E">
        <w:tc>
          <w:tcPr>
            <w:tcW w:w="738" w:type="pct"/>
            <w:shd w:val="clear" w:color="auto" w:fill="auto"/>
            <w:hideMark/>
          </w:tcPr>
          <w:p w14:paraId="21DCD8CE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15944</w:t>
            </w:r>
          </w:p>
        </w:tc>
        <w:tc>
          <w:tcPr>
            <w:tcW w:w="3450" w:type="pct"/>
            <w:shd w:val="clear" w:color="auto" w:fill="auto"/>
          </w:tcPr>
          <w:p w14:paraId="30761B66" w14:textId="77777777" w:rsidR="00AA5C78" w:rsidRPr="00575173" w:rsidRDefault="00AA5C78" w:rsidP="0085559E">
            <w:pPr>
              <w:pStyle w:val="Tabletext"/>
            </w:pPr>
            <w:r w:rsidRPr="00575173">
              <w:t xml:space="preserve">Megavoltage </w:t>
            </w:r>
            <w:r w:rsidR="00586D3D" w:rsidRPr="00575173">
              <w:t>treatment</w:t>
            </w:r>
            <w:r w:rsidRPr="00575173">
              <w:t>—level 4</w:t>
            </w:r>
          </w:p>
          <w:p w14:paraId="3E05D340" w14:textId="77777777" w:rsidR="00AA5C78" w:rsidRPr="00575173" w:rsidRDefault="00AA5C78" w:rsidP="0085559E">
            <w:pPr>
              <w:pStyle w:val="Tabletext"/>
            </w:pPr>
            <w:r w:rsidRPr="00575173">
              <w:t>Stereotactic body radiation therapy (SBRT) treatment and image verification, if:</w:t>
            </w:r>
          </w:p>
          <w:p w14:paraId="008604C3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86D3D" w:rsidRPr="00575173">
              <w:t>that is included in the Australian Register of Therapeutic Goods</w:t>
            </w:r>
            <w:r w:rsidRPr="00575173">
              <w:t>; and</w:t>
            </w:r>
          </w:p>
          <w:p w14:paraId="30715D65" w14:textId="77777777" w:rsidR="00AA5C78" w:rsidRPr="00575173" w:rsidRDefault="00AA5C78" w:rsidP="0085559E">
            <w:pPr>
              <w:pStyle w:val="Tablea"/>
            </w:pPr>
            <w:r w:rsidRPr="00575173">
              <w:t>(b) image</w:t>
            </w:r>
            <w:r w:rsidR="00A7728E" w:rsidRPr="00575173">
              <w:noBreakHyphen/>
            </w:r>
            <w:r w:rsidRPr="00575173">
              <w:t>guided radiation therapy (IGRT) is used (with motion management functionality if required) to implement a stereotactic body radiation therapy plan</w:t>
            </w:r>
            <w:r w:rsidR="00586D3D" w:rsidRPr="00575173">
              <w:t xml:space="preserve"> described in </w:t>
            </w:r>
            <w:r w:rsidR="0004317E" w:rsidRPr="00575173">
              <w:t>item 1</w:t>
            </w:r>
            <w:r w:rsidR="00586D3D" w:rsidRPr="00575173">
              <w:t>5920</w:t>
            </w:r>
            <w:r w:rsidRPr="00575173">
              <w:t>; and</w:t>
            </w:r>
          </w:p>
          <w:p w14:paraId="0818BA25" w14:textId="77777777" w:rsidR="00AA5C78" w:rsidRPr="00575173" w:rsidRDefault="00AA5C78" w:rsidP="0085559E">
            <w:pPr>
              <w:pStyle w:val="Tablea"/>
            </w:pPr>
            <w:r w:rsidRPr="00575173">
              <w:t>(c) radiation field positioning requires accurate dose delivery to the target; and</w:t>
            </w:r>
          </w:p>
          <w:p w14:paraId="37A9E33D" w14:textId="77777777" w:rsidR="00AA5C78" w:rsidRPr="00575173" w:rsidRDefault="00AA5C78" w:rsidP="0085559E">
            <w:pPr>
              <w:pStyle w:val="Tablea"/>
            </w:pPr>
            <w:r w:rsidRPr="00575173">
              <w:t>(d) image decisions and actions are documented in the patient’s record</w:t>
            </w:r>
          </w:p>
          <w:p w14:paraId="0B7F696D" w14:textId="77777777" w:rsidR="00AC1869" w:rsidRPr="00575173" w:rsidRDefault="00586D3D" w:rsidP="00B84A0E">
            <w:pPr>
              <w:pStyle w:val="Tabletext"/>
            </w:pPr>
            <w:r w:rsidRPr="00575173">
              <w:t>Applicable once per day</w:t>
            </w:r>
          </w:p>
        </w:tc>
        <w:tc>
          <w:tcPr>
            <w:tcW w:w="812" w:type="pct"/>
            <w:shd w:val="clear" w:color="auto" w:fill="auto"/>
          </w:tcPr>
          <w:p w14:paraId="31FC36B1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color w:val="000000"/>
                <w:kern w:val="2"/>
                <w14:ligatures w14:val="standardContextual"/>
              </w:rPr>
              <w:t>789.</w:t>
            </w:r>
            <w:r w:rsidRPr="00575173">
              <w:rPr>
                <w:iCs/>
                <w:kern w:val="2"/>
                <w14:ligatures w14:val="standardContextual"/>
              </w:rPr>
              <w:t>35</w:t>
            </w:r>
          </w:p>
        </w:tc>
      </w:tr>
      <w:tr w:rsidR="00AA5C78" w:rsidRPr="00575173" w14:paraId="53145CE8" w14:textId="77777777" w:rsidTr="0085559E">
        <w:tc>
          <w:tcPr>
            <w:tcW w:w="738" w:type="pct"/>
            <w:shd w:val="clear" w:color="auto" w:fill="auto"/>
            <w:hideMark/>
          </w:tcPr>
          <w:p w14:paraId="0BA75239" w14:textId="77777777" w:rsidR="00AA5C78" w:rsidRPr="00575173" w:rsidRDefault="00AA5C78" w:rsidP="0085559E">
            <w:pPr>
              <w:pStyle w:val="Tabletext"/>
            </w:pPr>
            <w:r w:rsidRPr="00575173">
              <w:rPr>
                <w:snapToGrid w:val="0"/>
              </w:rPr>
              <w:t>15946</w:t>
            </w:r>
          </w:p>
        </w:tc>
        <w:tc>
          <w:tcPr>
            <w:tcW w:w="3450" w:type="pct"/>
            <w:shd w:val="clear" w:color="auto" w:fill="auto"/>
          </w:tcPr>
          <w:p w14:paraId="2D0A014A" w14:textId="77777777" w:rsidR="00AA5C78" w:rsidRPr="00575173" w:rsidRDefault="00AA5C78" w:rsidP="0085559E">
            <w:pPr>
              <w:pStyle w:val="Tabletext"/>
            </w:pPr>
            <w:r w:rsidRPr="00575173">
              <w:t xml:space="preserve">Megavoltage </w:t>
            </w:r>
            <w:r w:rsidR="00586D3D" w:rsidRPr="00575173">
              <w:t>treatment</w:t>
            </w:r>
            <w:r w:rsidRPr="00575173">
              <w:t>—level 5</w:t>
            </w:r>
          </w:p>
          <w:p w14:paraId="73E050A4" w14:textId="77777777" w:rsidR="00AA5C78" w:rsidRPr="00575173" w:rsidRDefault="00AA5C78" w:rsidP="0085559E">
            <w:pPr>
              <w:pStyle w:val="Tabletext"/>
            </w:pPr>
            <w:r w:rsidRPr="00575173">
              <w:t xml:space="preserve">Specialised </w:t>
            </w:r>
            <w:r w:rsidR="00586D3D" w:rsidRPr="00575173">
              <w:t xml:space="preserve">radiation therapy </w:t>
            </w:r>
            <w:r w:rsidRPr="00575173">
              <w:t>treatment and verification, if:</w:t>
            </w:r>
          </w:p>
          <w:p w14:paraId="7F829ED5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86D3D" w:rsidRPr="00575173">
              <w:t>that is included in the Australian Register of Therapeutic Goods</w:t>
            </w:r>
            <w:r w:rsidRPr="00575173">
              <w:t>; and</w:t>
            </w:r>
          </w:p>
          <w:p w14:paraId="511449F0" w14:textId="77777777" w:rsidR="00AA5C78" w:rsidRPr="00575173" w:rsidRDefault="00AA5C78" w:rsidP="0085559E">
            <w:pPr>
              <w:pStyle w:val="Tablea"/>
            </w:pPr>
            <w:r w:rsidRPr="00575173">
              <w:t>(b) a specialised technique is used with general anaesthetic or sedation supervised by an anaesthetist</w:t>
            </w:r>
          </w:p>
          <w:p w14:paraId="12656012" w14:textId="77777777" w:rsidR="00AA5C78" w:rsidRPr="00575173" w:rsidRDefault="0076044E" w:rsidP="00586D3D">
            <w:pPr>
              <w:pStyle w:val="Tabletext"/>
            </w:pPr>
            <w:r w:rsidRPr="00575173">
              <w:t>Applicable once per plan per day</w:t>
            </w:r>
          </w:p>
        </w:tc>
        <w:tc>
          <w:tcPr>
            <w:tcW w:w="812" w:type="pct"/>
            <w:shd w:val="clear" w:color="auto" w:fill="auto"/>
          </w:tcPr>
          <w:p w14:paraId="56234AE2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color w:val="000000"/>
                <w:kern w:val="2"/>
                <w14:ligatures w14:val="standardContextual"/>
              </w:rPr>
              <w:t>907.</w:t>
            </w:r>
            <w:r w:rsidRPr="00575173">
              <w:rPr>
                <w:iCs/>
                <w:kern w:val="2"/>
                <w14:ligatures w14:val="standardContextual"/>
              </w:rPr>
              <w:t>75</w:t>
            </w:r>
          </w:p>
          <w:p w14:paraId="22FCB0B9" w14:textId="77777777" w:rsidR="00AA5C78" w:rsidRPr="00575173" w:rsidRDefault="00AA5C78" w:rsidP="0085559E">
            <w:pPr>
              <w:keepNext/>
              <w:spacing w:before="60" w:after="60"/>
              <w:ind w:left="594" w:right="-665"/>
              <w:rPr>
                <w:rFonts w:eastAsia="Times New Roman" w:cs="Times New Roman"/>
                <w:color w:val="000000"/>
                <w:kern w:val="2"/>
                <w:sz w:val="20"/>
                <w:lang w:eastAsia="en-AU"/>
                <w14:ligatures w14:val="standardContextual"/>
              </w:rPr>
            </w:pPr>
          </w:p>
        </w:tc>
      </w:tr>
      <w:tr w:rsidR="00AA5C78" w:rsidRPr="00575173" w14:paraId="36CE764E" w14:textId="77777777" w:rsidTr="0085559E">
        <w:tc>
          <w:tcPr>
            <w:tcW w:w="738" w:type="pct"/>
            <w:shd w:val="clear" w:color="auto" w:fill="auto"/>
            <w:hideMark/>
          </w:tcPr>
          <w:p w14:paraId="4F3D16DC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15948</w:t>
            </w:r>
          </w:p>
        </w:tc>
        <w:tc>
          <w:tcPr>
            <w:tcW w:w="3450" w:type="pct"/>
            <w:shd w:val="clear" w:color="auto" w:fill="auto"/>
          </w:tcPr>
          <w:p w14:paraId="75A2C2F2" w14:textId="77777777" w:rsidR="00AA5C78" w:rsidRPr="00575173" w:rsidRDefault="00AA5C78" w:rsidP="0085559E">
            <w:pPr>
              <w:pStyle w:val="Tabletext"/>
            </w:pPr>
            <w:r w:rsidRPr="00575173">
              <w:t xml:space="preserve">Megavoltage </w:t>
            </w:r>
            <w:r w:rsidR="00586D3D" w:rsidRPr="00575173">
              <w:t>treatment</w:t>
            </w:r>
            <w:r w:rsidRPr="00575173">
              <w:t>—level 5</w:t>
            </w:r>
          </w:p>
          <w:p w14:paraId="001DB3A1" w14:textId="77777777" w:rsidR="00AA5C78" w:rsidRPr="00575173" w:rsidRDefault="00AA5C78" w:rsidP="0085559E">
            <w:pPr>
              <w:pStyle w:val="Tabletext"/>
            </w:pPr>
            <w:r w:rsidRPr="00575173">
              <w:t xml:space="preserve">Specialised </w:t>
            </w:r>
            <w:r w:rsidR="00586D3D" w:rsidRPr="00575173">
              <w:t xml:space="preserve">radiation therapy </w:t>
            </w:r>
            <w:r w:rsidRPr="00575173">
              <w:t>treatment and verification, if:</w:t>
            </w:r>
          </w:p>
          <w:p w14:paraId="0E80E8C1" w14:textId="77777777" w:rsidR="00AA5C78" w:rsidRPr="00575173" w:rsidRDefault="00AA5C78" w:rsidP="0085559E">
            <w:pPr>
              <w:pStyle w:val="Tablea"/>
            </w:pPr>
            <w:r w:rsidRPr="00575173">
              <w:t xml:space="preserve">(a) the treatment is delivered using a device </w:t>
            </w:r>
            <w:r w:rsidR="00586D3D" w:rsidRPr="00575173">
              <w:t>that is included in the Australian Register of Therapeutic Goods</w:t>
            </w:r>
            <w:r w:rsidRPr="00575173">
              <w:t>; and</w:t>
            </w:r>
          </w:p>
          <w:p w14:paraId="026DEF9D" w14:textId="77777777" w:rsidR="00AA5C78" w:rsidRPr="00575173" w:rsidRDefault="00AA5C78" w:rsidP="0085559E">
            <w:pPr>
              <w:pStyle w:val="Tablea"/>
            </w:pPr>
            <w:r w:rsidRPr="00575173">
              <w:t xml:space="preserve">(b) a specialised technique, such as total skin electron therapy (TSE) or total body irradiation (TBI), is used to implement a treatment plan described in </w:t>
            </w:r>
            <w:r w:rsidR="0004317E" w:rsidRPr="00575173">
              <w:t>item 1</w:t>
            </w:r>
            <w:r w:rsidRPr="00575173">
              <w:t>5926; and</w:t>
            </w:r>
          </w:p>
          <w:p w14:paraId="4E8DFE0E" w14:textId="77777777" w:rsidR="00586D3D" w:rsidRPr="00575173" w:rsidRDefault="00AA5C78" w:rsidP="0085559E">
            <w:pPr>
              <w:pStyle w:val="Tablea"/>
            </w:pPr>
            <w:r w:rsidRPr="00575173">
              <w:t>(c) image</w:t>
            </w:r>
            <w:r w:rsidR="00A7728E" w:rsidRPr="00575173">
              <w:noBreakHyphen/>
            </w:r>
            <w:r w:rsidRPr="00575173">
              <w:t>guided radiation therapy (IGRT) is used (with motion management functionality, if required)</w:t>
            </w:r>
            <w:r w:rsidR="00586D3D" w:rsidRPr="00575173">
              <w:t xml:space="preserve"> to implement:</w:t>
            </w:r>
          </w:p>
          <w:p w14:paraId="38584EF0" w14:textId="77777777" w:rsidR="00B559C3" w:rsidRPr="00575173" w:rsidRDefault="00586D3D" w:rsidP="00586D3D">
            <w:pPr>
              <w:pStyle w:val="Tablei"/>
            </w:pPr>
            <w:r w:rsidRPr="00575173">
              <w:lastRenderedPageBreak/>
              <w:t xml:space="preserve">(i) </w:t>
            </w:r>
            <w:r w:rsidR="00AA5C78" w:rsidRPr="00575173">
              <w:t>three</w:t>
            </w:r>
            <w:r w:rsidR="00A7728E" w:rsidRPr="00575173">
              <w:noBreakHyphen/>
            </w:r>
            <w:r w:rsidR="00AA5C78" w:rsidRPr="00575173">
              <w:t xml:space="preserve">dimensional </w:t>
            </w:r>
            <w:r w:rsidR="00B559C3" w:rsidRPr="00575173">
              <w:t>radiation therapy; or</w:t>
            </w:r>
          </w:p>
          <w:p w14:paraId="2ED926CE" w14:textId="77777777" w:rsidR="00586D3D" w:rsidRPr="00575173" w:rsidRDefault="00B559C3" w:rsidP="00586D3D">
            <w:pPr>
              <w:pStyle w:val="Tablei"/>
            </w:pPr>
            <w:r w:rsidRPr="00575173">
              <w:t xml:space="preserve">(ii) </w:t>
            </w:r>
            <w:r w:rsidR="00AA5C78" w:rsidRPr="00575173">
              <w:t>intensity modulated radiation therapy (IMRT)</w:t>
            </w:r>
            <w:r w:rsidRPr="00575173">
              <w:t xml:space="preserve"> (including multiple non</w:t>
            </w:r>
            <w:r w:rsidR="00A7728E" w:rsidRPr="00575173">
              <w:noBreakHyphen/>
            </w:r>
            <w:r w:rsidRPr="00575173">
              <w:t>coplanar, rotational or fixed beam treatment)</w:t>
            </w:r>
            <w:r w:rsidR="004F7E42" w:rsidRPr="00575173">
              <w:t>; or</w:t>
            </w:r>
          </w:p>
          <w:p w14:paraId="5BB2699A" w14:textId="77777777" w:rsidR="00AA5C78" w:rsidRPr="00575173" w:rsidRDefault="00586D3D" w:rsidP="00586D3D">
            <w:pPr>
              <w:pStyle w:val="Tablei"/>
            </w:pPr>
            <w:r w:rsidRPr="00575173">
              <w:t>(</w:t>
            </w:r>
            <w:r w:rsidR="004F7E42" w:rsidRPr="00575173">
              <w:t>iii</w:t>
            </w:r>
            <w:r w:rsidRPr="00575173">
              <w:t>) total skin electrons (TSE)</w:t>
            </w:r>
            <w:r w:rsidR="004F7E42" w:rsidRPr="00575173">
              <w:t xml:space="preserve"> where there is individualised treatment</w:t>
            </w:r>
          </w:p>
          <w:p w14:paraId="668A1EB2" w14:textId="77777777" w:rsidR="00AA5C78" w:rsidRPr="00575173" w:rsidRDefault="00586D3D" w:rsidP="005A69E0">
            <w:pPr>
              <w:pStyle w:val="Tabletext"/>
            </w:pPr>
            <w:r w:rsidRPr="00575173">
              <w:t>Applicable once per day</w:t>
            </w:r>
          </w:p>
        </w:tc>
        <w:tc>
          <w:tcPr>
            <w:tcW w:w="812" w:type="pct"/>
            <w:shd w:val="clear" w:color="auto" w:fill="auto"/>
          </w:tcPr>
          <w:p w14:paraId="5BC88621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color w:val="000000"/>
                <w:kern w:val="2"/>
                <w14:ligatures w14:val="standardContextual"/>
              </w:rPr>
            </w:pPr>
            <w:r w:rsidRPr="00575173">
              <w:rPr>
                <w:color w:val="000000"/>
                <w:kern w:val="2"/>
                <w14:ligatures w14:val="standardContextual"/>
              </w:rPr>
              <w:lastRenderedPageBreak/>
              <w:t>907.75</w:t>
            </w:r>
          </w:p>
        </w:tc>
      </w:tr>
      <w:tr w:rsidR="00AA5C78" w:rsidRPr="00575173" w14:paraId="18224778" w14:textId="77777777" w:rsidTr="0085559E">
        <w:tc>
          <w:tcPr>
            <w:tcW w:w="5000" w:type="pct"/>
            <w:gridSpan w:val="3"/>
            <w:shd w:val="clear" w:color="auto" w:fill="auto"/>
            <w:hideMark/>
          </w:tcPr>
          <w:p w14:paraId="299D71C4" w14:textId="77777777" w:rsidR="00AA5C78" w:rsidRPr="00575173" w:rsidRDefault="00AA5C78" w:rsidP="0085559E">
            <w:pPr>
              <w:pStyle w:val="TableHeading"/>
            </w:pPr>
            <w:bookmarkStart w:id="13" w:name="CU_35410657"/>
            <w:bookmarkStart w:id="14" w:name="CU_35413149"/>
            <w:bookmarkEnd w:id="13"/>
            <w:bookmarkEnd w:id="14"/>
            <w:r w:rsidRPr="00575173">
              <w:t>Subgroup 3—Kilovoltage</w:t>
            </w:r>
          </w:p>
        </w:tc>
      </w:tr>
      <w:tr w:rsidR="00AA5C78" w:rsidRPr="00575173" w14:paraId="202C3F20" w14:textId="77777777" w:rsidTr="0085559E">
        <w:tc>
          <w:tcPr>
            <w:tcW w:w="738" w:type="pct"/>
            <w:shd w:val="clear" w:color="auto" w:fill="auto"/>
            <w:hideMark/>
          </w:tcPr>
          <w:p w14:paraId="761C8335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15950</w:t>
            </w:r>
          </w:p>
        </w:tc>
        <w:tc>
          <w:tcPr>
            <w:tcW w:w="3450" w:type="pct"/>
            <w:shd w:val="clear" w:color="auto" w:fill="auto"/>
          </w:tcPr>
          <w:p w14:paraId="3EE2866F" w14:textId="77777777" w:rsidR="00AA5C78" w:rsidRPr="00575173" w:rsidRDefault="00AA5C78" w:rsidP="0085559E">
            <w:pPr>
              <w:pStyle w:val="Tabletext"/>
            </w:pPr>
            <w:r w:rsidRPr="00575173">
              <w:t>Kilovoltage planning</w:t>
            </w:r>
          </w:p>
          <w:p w14:paraId="134C25AC" w14:textId="77777777" w:rsidR="00AA5C78" w:rsidRPr="00575173" w:rsidRDefault="00AA5C78" w:rsidP="0085559E">
            <w:pPr>
              <w:pStyle w:val="Tabletext"/>
            </w:pPr>
            <w:r w:rsidRPr="00575173">
              <w:t>Simple complexity single</w:t>
            </w:r>
            <w:r w:rsidR="00A7728E" w:rsidRPr="00575173">
              <w:noBreakHyphen/>
            </w:r>
            <w:r w:rsidRPr="00575173">
              <w:t xml:space="preserve">field </w:t>
            </w:r>
            <w:r w:rsidR="00F33474" w:rsidRPr="00575173">
              <w:t xml:space="preserve">radiation therapy </w:t>
            </w:r>
            <w:r w:rsidRPr="00575173">
              <w:t>simulation and dosimetry for treatment planning without imaging for field setting, if:</w:t>
            </w:r>
          </w:p>
          <w:p w14:paraId="6B4DE6B0" w14:textId="77777777" w:rsidR="00AA5C78" w:rsidRPr="00575173" w:rsidRDefault="00AA5C78" w:rsidP="0085559E">
            <w:pPr>
              <w:pStyle w:val="Tablea"/>
            </w:pPr>
            <w:r w:rsidRPr="00575173">
              <w:t>(a) both of the following apply in relation to the simulation:</w:t>
            </w:r>
          </w:p>
          <w:p w14:paraId="2697D86A" w14:textId="77777777" w:rsidR="00AA5C78" w:rsidRPr="00575173" w:rsidRDefault="00AA5C78" w:rsidP="0085559E">
            <w:pPr>
              <w:pStyle w:val="Tablei"/>
            </w:pPr>
            <w:r w:rsidRPr="00575173">
              <w:t>(i) localisation is based on clinical mark</w:t>
            </w:r>
            <w:r w:rsidR="00A7728E" w:rsidRPr="00575173">
              <w:noBreakHyphen/>
            </w:r>
            <w:r w:rsidRPr="00575173">
              <w:t>up and image</w:t>
            </w:r>
            <w:r w:rsidR="00A7728E" w:rsidRPr="00575173">
              <w:noBreakHyphen/>
            </w:r>
            <w:r w:rsidRPr="00575173">
              <w:t>based simulation is not required;</w:t>
            </w:r>
          </w:p>
          <w:p w14:paraId="2A561255" w14:textId="77777777" w:rsidR="00AA5C78" w:rsidRPr="00575173" w:rsidRDefault="00AA5C78" w:rsidP="0085559E">
            <w:pPr>
              <w:pStyle w:val="Tablei"/>
            </w:pPr>
            <w:r w:rsidRPr="00575173">
              <w:t>(ii) patient set</w:t>
            </w:r>
            <w:r w:rsidR="00A7728E" w:rsidRPr="00575173">
              <w:noBreakHyphen/>
            </w:r>
            <w:r w:rsidRPr="00575173">
              <w:t>up and immobilisation techniques are suitable for two</w:t>
            </w:r>
            <w:r w:rsidR="00A7728E" w:rsidRPr="00575173">
              <w:noBreakHyphen/>
            </w:r>
            <w:r w:rsidRPr="00575173">
              <w:t>dimensional radiation therapy treatment, with wide margins and allowance for movement; and</w:t>
            </w:r>
          </w:p>
          <w:p w14:paraId="430A06B8" w14:textId="77777777" w:rsidR="00AA5C78" w:rsidRPr="00575173" w:rsidRDefault="00AA5C78" w:rsidP="0085559E">
            <w:pPr>
              <w:pStyle w:val="Tablea"/>
            </w:pPr>
            <w:r w:rsidRPr="00575173">
              <w:t>(b) all of the following apply in relation to the dosimetry:</w:t>
            </w:r>
          </w:p>
          <w:p w14:paraId="72B09164" w14:textId="77777777" w:rsidR="00AA5C78" w:rsidRPr="00575173" w:rsidRDefault="00AA5C78" w:rsidP="0085559E">
            <w:pPr>
              <w:pStyle w:val="Tablei"/>
            </w:pPr>
            <w:r w:rsidRPr="00575173">
              <w:t>(i) the planning process is required to deliver a prescribed dose to a point, either at depth or on the surface of the patient;</w:t>
            </w:r>
          </w:p>
          <w:p w14:paraId="7AC68D47" w14:textId="77777777" w:rsidR="00AA5C78" w:rsidRPr="00575173" w:rsidRDefault="00AA5C78" w:rsidP="0085559E">
            <w:pPr>
              <w:pStyle w:val="Tablei"/>
            </w:pPr>
            <w:r w:rsidRPr="00575173">
              <w:t xml:space="preserve">(ii) based on review and assessment by a </w:t>
            </w:r>
            <w:r w:rsidR="00131594" w:rsidRPr="00575173">
              <w:t>radiation oncologist</w:t>
            </w:r>
            <w:r w:rsidRPr="00575173">
              <w:t>, the planning process does not require the differential of dose between target, organs at risk and normal tissue dose;</w:t>
            </w:r>
          </w:p>
          <w:p w14:paraId="2E26E8FC" w14:textId="77777777" w:rsidR="00AA5C78" w:rsidRPr="00575173" w:rsidRDefault="00AA5C78" w:rsidP="0085559E">
            <w:pPr>
              <w:pStyle w:val="Tablei"/>
            </w:pPr>
            <w:r w:rsidRPr="00575173">
              <w:t>(iii) delineation of structures is not possible or required, and field borders will delineate the treatment volume;</w:t>
            </w:r>
          </w:p>
          <w:p w14:paraId="25C4DFB1" w14:textId="77777777" w:rsidR="00AA5C78" w:rsidRPr="00575173" w:rsidRDefault="00AA5C78" w:rsidP="009D6217">
            <w:pPr>
              <w:pStyle w:val="Tablei"/>
            </w:pPr>
            <w:r w:rsidRPr="00575173">
              <w:t>(iv) doses are calculated in reference to a point, either at depth or on the surface of the patient, from tables, charts or data from a treatment planning system</w:t>
            </w:r>
          </w:p>
          <w:p w14:paraId="0CC66278" w14:textId="77777777" w:rsidR="00753D68" w:rsidRPr="00575173" w:rsidRDefault="00753D68" w:rsidP="00753D68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31BC4EEA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203.70</w:t>
            </w:r>
          </w:p>
        </w:tc>
      </w:tr>
      <w:tr w:rsidR="00AA5C78" w:rsidRPr="00575173" w14:paraId="79B93571" w14:textId="77777777" w:rsidTr="0085559E">
        <w:tc>
          <w:tcPr>
            <w:tcW w:w="738" w:type="pct"/>
            <w:shd w:val="clear" w:color="auto" w:fill="auto"/>
            <w:hideMark/>
          </w:tcPr>
          <w:p w14:paraId="5C7E797A" w14:textId="77777777" w:rsidR="00AA5C78" w:rsidRPr="00575173" w:rsidRDefault="00AA5C78" w:rsidP="0085559E">
            <w:pPr>
              <w:pStyle w:val="Tabletext"/>
            </w:pPr>
            <w:r w:rsidRPr="00575173">
              <w:t>15952</w:t>
            </w:r>
          </w:p>
        </w:tc>
        <w:tc>
          <w:tcPr>
            <w:tcW w:w="3450" w:type="pct"/>
            <w:shd w:val="clear" w:color="auto" w:fill="auto"/>
          </w:tcPr>
          <w:p w14:paraId="7B0728C4" w14:textId="77777777" w:rsidR="00AA5C78" w:rsidRPr="00575173" w:rsidRDefault="00AA5C78" w:rsidP="001C1822">
            <w:pPr>
              <w:pStyle w:val="Tabletext"/>
            </w:pPr>
            <w:r w:rsidRPr="00575173">
              <w:t xml:space="preserve">Delivery of kilovoltage radiation therapy (50 kV to 500 kV range) to one </w:t>
            </w:r>
            <w:r w:rsidRPr="00575173">
              <w:rPr>
                <w:lang w:eastAsia="en-US"/>
              </w:rPr>
              <w:t>anatomical site</w:t>
            </w:r>
            <w:r w:rsidRPr="00575173">
              <w:t xml:space="preserve"> (excluding orbital structures where there is placement of an internal eye shield), other than a service to which </w:t>
            </w:r>
            <w:r w:rsidR="0004317E" w:rsidRPr="00575173">
              <w:t>item 1</w:t>
            </w:r>
            <w:r w:rsidRPr="00575173">
              <w:t>5954 applies</w:t>
            </w:r>
          </w:p>
        </w:tc>
        <w:tc>
          <w:tcPr>
            <w:tcW w:w="812" w:type="pct"/>
            <w:shd w:val="clear" w:color="auto" w:fill="auto"/>
          </w:tcPr>
          <w:p w14:paraId="5CB3D32C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54.85</w:t>
            </w:r>
          </w:p>
        </w:tc>
      </w:tr>
      <w:tr w:rsidR="00AA5C78" w:rsidRPr="00575173" w14:paraId="294FD6EB" w14:textId="77777777" w:rsidTr="0085559E">
        <w:tc>
          <w:tcPr>
            <w:tcW w:w="738" w:type="pct"/>
            <w:shd w:val="clear" w:color="auto" w:fill="auto"/>
            <w:hideMark/>
          </w:tcPr>
          <w:p w14:paraId="514436EC" w14:textId="77777777" w:rsidR="00AA5C78" w:rsidRPr="00575173" w:rsidRDefault="00AA5C78" w:rsidP="0085559E">
            <w:pPr>
              <w:pStyle w:val="Tabletext"/>
            </w:pPr>
            <w:r w:rsidRPr="00575173">
              <w:t>15954</w:t>
            </w:r>
          </w:p>
        </w:tc>
        <w:tc>
          <w:tcPr>
            <w:tcW w:w="3450" w:type="pct"/>
            <w:shd w:val="clear" w:color="auto" w:fill="auto"/>
          </w:tcPr>
          <w:p w14:paraId="40FBD3C6" w14:textId="77777777" w:rsidR="00AA5C78" w:rsidRPr="00575173" w:rsidRDefault="00AA5C78" w:rsidP="001C1822">
            <w:pPr>
              <w:pStyle w:val="Tabletext"/>
            </w:pPr>
            <w:r w:rsidRPr="00575173">
              <w:t xml:space="preserve">Delivery of kilovoltage radiation therapy (50 kV to 500 kV range) to 2 or more </w:t>
            </w:r>
            <w:r w:rsidR="00754CC3" w:rsidRPr="00575173">
              <w:t>anatomical sites</w:t>
            </w:r>
            <w:r w:rsidRPr="00575173">
              <w:t xml:space="preserve"> (excluding orbital structures where there is placement of an internal eye shield)</w:t>
            </w:r>
          </w:p>
        </w:tc>
        <w:tc>
          <w:tcPr>
            <w:tcW w:w="812" w:type="pct"/>
            <w:shd w:val="clear" w:color="auto" w:fill="auto"/>
          </w:tcPr>
          <w:p w14:paraId="17F83D2E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 xml:space="preserve">Amount under </w:t>
            </w:r>
            <w:r w:rsidR="00AF5758" w:rsidRPr="00575173">
              <w:rPr>
                <w:iCs/>
                <w:kern w:val="2"/>
                <w14:ligatures w14:val="standardContextual"/>
              </w:rPr>
              <w:t>clause 5</w:t>
            </w:r>
            <w:r w:rsidRPr="00575173">
              <w:rPr>
                <w:iCs/>
                <w:kern w:val="2"/>
                <w14:ligatures w14:val="standardContextual"/>
              </w:rPr>
              <w:t>.3.1</w:t>
            </w:r>
          </w:p>
        </w:tc>
      </w:tr>
      <w:tr w:rsidR="00AA5C78" w:rsidRPr="00575173" w14:paraId="31622FC4" w14:textId="77777777" w:rsidTr="0085559E">
        <w:tc>
          <w:tcPr>
            <w:tcW w:w="738" w:type="pct"/>
            <w:shd w:val="clear" w:color="auto" w:fill="auto"/>
            <w:hideMark/>
          </w:tcPr>
          <w:p w14:paraId="76F4BA9A" w14:textId="77777777" w:rsidR="00AA5C78" w:rsidRPr="00575173" w:rsidRDefault="00AA5C78" w:rsidP="0085559E">
            <w:pPr>
              <w:pStyle w:val="Tabletext"/>
            </w:pPr>
            <w:r w:rsidRPr="00575173">
              <w:t>15956</w:t>
            </w:r>
          </w:p>
        </w:tc>
        <w:tc>
          <w:tcPr>
            <w:tcW w:w="3450" w:type="pct"/>
            <w:shd w:val="clear" w:color="auto" w:fill="auto"/>
          </w:tcPr>
          <w:p w14:paraId="25A79FDB" w14:textId="77777777" w:rsidR="00AA5C78" w:rsidRPr="00575173" w:rsidRDefault="00AA5C78" w:rsidP="00754CC3">
            <w:pPr>
              <w:pStyle w:val="Tabletext"/>
              <w:rPr>
                <w:i/>
              </w:rPr>
            </w:pPr>
            <w:r w:rsidRPr="00575173">
              <w:t>Delivery of kilovoltage radiation therapy (50 kV to 500 kV range) to orbital structures where there is placement of an internal eye shield</w:t>
            </w:r>
          </w:p>
        </w:tc>
        <w:tc>
          <w:tcPr>
            <w:tcW w:w="812" w:type="pct"/>
            <w:shd w:val="clear" w:color="auto" w:fill="auto"/>
          </w:tcPr>
          <w:p w14:paraId="2AAC5C6B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67.45</w:t>
            </w:r>
          </w:p>
        </w:tc>
      </w:tr>
      <w:tr w:rsidR="00AA5C78" w:rsidRPr="00575173" w14:paraId="1051E2EE" w14:textId="77777777" w:rsidTr="0085559E">
        <w:tc>
          <w:tcPr>
            <w:tcW w:w="5000" w:type="pct"/>
            <w:gridSpan w:val="3"/>
            <w:shd w:val="clear" w:color="auto" w:fill="auto"/>
            <w:hideMark/>
          </w:tcPr>
          <w:p w14:paraId="1ECF4334" w14:textId="77777777" w:rsidR="00AA5C78" w:rsidRPr="00575173" w:rsidRDefault="00AA5C78" w:rsidP="0085559E">
            <w:pPr>
              <w:pStyle w:val="TableHeading"/>
            </w:pPr>
            <w:bookmarkStart w:id="15" w:name="CU_53414854"/>
            <w:bookmarkStart w:id="16" w:name="CU_53417346"/>
            <w:bookmarkEnd w:id="15"/>
            <w:bookmarkEnd w:id="16"/>
            <w:r w:rsidRPr="00575173">
              <w:t>Subgroup 4—Brachytherapy</w:t>
            </w:r>
          </w:p>
        </w:tc>
      </w:tr>
      <w:tr w:rsidR="00AA5C78" w:rsidRPr="00575173" w14:paraId="4093F333" w14:textId="77777777" w:rsidTr="0085559E">
        <w:tc>
          <w:tcPr>
            <w:tcW w:w="738" w:type="pct"/>
            <w:shd w:val="clear" w:color="auto" w:fill="auto"/>
            <w:hideMark/>
          </w:tcPr>
          <w:p w14:paraId="307B916A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15958</w:t>
            </w:r>
          </w:p>
        </w:tc>
        <w:tc>
          <w:tcPr>
            <w:tcW w:w="3450" w:type="pct"/>
            <w:shd w:val="clear" w:color="auto" w:fill="auto"/>
          </w:tcPr>
          <w:p w14:paraId="0F8657E4" w14:textId="77777777" w:rsidR="00754CC3" w:rsidRPr="00575173" w:rsidRDefault="00AA5C78" w:rsidP="0085559E">
            <w:pPr>
              <w:pStyle w:val="Tabletext"/>
            </w:pPr>
            <w:r w:rsidRPr="00575173">
              <w:t>Simple</w:t>
            </w:r>
            <w:r w:rsidR="00741E10" w:rsidRPr="00575173">
              <w:t xml:space="preserve"> placement</w:t>
            </w:r>
            <w:r w:rsidR="009E440E" w:rsidRPr="00575173">
              <w:t xml:space="preserve"> or insertion</w:t>
            </w:r>
            <w:r w:rsidR="00741E10" w:rsidRPr="00575173">
              <w:t xml:space="preserve"> of </w:t>
            </w:r>
            <w:r w:rsidR="009E440E" w:rsidRPr="00575173">
              <w:t xml:space="preserve">any of the following kinds of </w:t>
            </w:r>
            <w:r w:rsidR="00741E10" w:rsidRPr="00575173">
              <w:t>brachytherapy device</w:t>
            </w:r>
            <w:r w:rsidR="008077B4" w:rsidRPr="00575173">
              <w:t>,</w:t>
            </w:r>
            <w:r w:rsidR="005B3C9A" w:rsidRPr="00575173">
              <w:t xml:space="preserve"> </w:t>
            </w:r>
            <w:r w:rsidR="00741E10" w:rsidRPr="00575173">
              <w:t>without image guidance:</w:t>
            </w:r>
          </w:p>
          <w:p w14:paraId="2FE68B23" w14:textId="77777777" w:rsidR="00AA5C78" w:rsidRPr="00575173" w:rsidRDefault="00AA5C78" w:rsidP="00A93ABE">
            <w:pPr>
              <w:pStyle w:val="Tablea"/>
            </w:pPr>
            <w:r w:rsidRPr="00575173">
              <w:t>(a) intracavitary vaginal cylinder, vaginal ovoids, vaginal ring or vaginal mould;</w:t>
            </w:r>
          </w:p>
          <w:p w14:paraId="3A74983B" w14:textId="77777777" w:rsidR="00AA5C78" w:rsidRPr="00575173" w:rsidRDefault="00680E87" w:rsidP="00A93ABE">
            <w:pPr>
              <w:pStyle w:val="Tablea"/>
            </w:pPr>
            <w:r w:rsidRPr="00575173">
              <w:t>(</w:t>
            </w:r>
            <w:r w:rsidR="00A93ABE" w:rsidRPr="00575173">
              <w:t>b</w:t>
            </w:r>
            <w:r w:rsidRPr="00575173">
              <w:t xml:space="preserve">) </w:t>
            </w:r>
            <w:r w:rsidR="00AA5C78" w:rsidRPr="00575173">
              <w:t>surface mould or applicator, with catheters fixed to or embedded into mould</w:t>
            </w:r>
            <w:r w:rsidR="00754CC3" w:rsidRPr="00575173">
              <w:t xml:space="preserve"> or applicator</w:t>
            </w:r>
            <w:r w:rsidR="00AA5C78" w:rsidRPr="00575173">
              <w:t xml:space="preserve">, </w:t>
            </w:r>
            <w:r w:rsidR="00A93ABE" w:rsidRPr="00575173">
              <w:t>on</w:t>
            </w:r>
            <w:r w:rsidR="00AA5C78" w:rsidRPr="00575173">
              <w:t xml:space="preserve"> external surface of body</w:t>
            </w:r>
            <w:r w:rsidR="00754CC3" w:rsidRPr="00575173">
              <w:t>;</w:t>
            </w:r>
          </w:p>
          <w:p w14:paraId="2600D319" w14:textId="77777777" w:rsidR="00AA5C78" w:rsidRPr="00575173" w:rsidRDefault="00E624D6" w:rsidP="002C4A91">
            <w:pPr>
              <w:pStyle w:val="Tabletext"/>
            </w:pPr>
            <w:r w:rsidRPr="00575173">
              <w:t>including the</w:t>
            </w:r>
            <w:r w:rsidR="00754CC3" w:rsidRPr="00575173">
              <w:t xml:space="preserve"> removal of applicators</w:t>
            </w:r>
            <w:r w:rsidR="00003829" w:rsidRPr="00575173">
              <w:t xml:space="preserve">, </w:t>
            </w:r>
            <w:r w:rsidR="00754CC3" w:rsidRPr="00575173">
              <w:t>catheters or needle</w:t>
            </w:r>
            <w:r w:rsidR="00003829" w:rsidRPr="00575173">
              <w:t>s</w:t>
            </w:r>
          </w:p>
        </w:tc>
        <w:tc>
          <w:tcPr>
            <w:tcW w:w="812" w:type="pct"/>
            <w:shd w:val="clear" w:color="auto" w:fill="auto"/>
          </w:tcPr>
          <w:p w14:paraId="08AF1A63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106.40</w:t>
            </w:r>
          </w:p>
        </w:tc>
      </w:tr>
      <w:tr w:rsidR="00AA5C78" w:rsidRPr="00575173" w14:paraId="48D2825D" w14:textId="77777777" w:rsidTr="0085559E">
        <w:tc>
          <w:tcPr>
            <w:tcW w:w="738" w:type="pct"/>
            <w:shd w:val="clear" w:color="auto" w:fill="auto"/>
            <w:hideMark/>
          </w:tcPr>
          <w:p w14:paraId="06E5BDF4" w14:textId="77777777" w:rsidR="00AA5C78" w:rsidRPr="00575173" w:rsidRDefault="00AA5C78" w:rsidP="0085559E">
            <w:pPr>
              <w:pStyle w:val="Tabletext"/>
            </w:pPr>
            <w:r w:rsidRPr="00575173">
              <w:t>15960</w:t>
            </w:r>
          </w:p>
        </w:tc>
        <w:tc>
          <w:tcPr>
            <w:tcW w:w="3450" w:type="pct"/>
            <w:shd w:val="clear" w:color="auto" w:fill="auto"/>
          </w:tcPr>
          <w:p w14:paraId="36B4E5A0" w14:textId="77777777" w:rsidR="00AA5C78" w:rsidRPr="00575173" w:rsidRDefault="00AA5C78" w:rsidP="00003829">
            <w:pPr>
              <w:pStyle w:val="Tabletext"/>
            </w:pPr>
            <w:r w:rsidRPr="00575173">
              <w:t xml:space="preserve">Complex construction and manufacture of a personalised </w:t>
            </w:r>
            <w:r w:rsidR="006D66C1" w:rsidRPr="00575173">
              <w:t xml:space="preserve">brachytherapy </w:t>
            </w:r>
            <w:r w:rsidRPr="00575173">
              <w:t>applicator or mould, derived from three</w:t>
            </w:r>
            <w:r w:rsidR="00A7728E" w:rsidRPr="00575173">
              <w:noBreakHyphen/>
            </w:r>
            <w:r w:rsidRPr="00575173">
              <w:t xml:space="preserve">dimensional </w:t>
            </w:r>
            <w:r w:rsidRPr="00575173">
              <w:lastRenderedPageBreak/>
              <w:t>image volume datasets, to treat intracavitary, intraoral or intranasal site</w:t>
            </w:r>
            <w:r w:rsidR="004B5063" w:rsidRPr="00575173">
              <w:t>, including the removal of applicators, catheters or needles</w:t>
            </w:r>
          </w:p>
        </w:tc>
        <w:tc>
          <w:tcPr>
            <w:tcW w:w="812" w:type="pct"/>
            <w:shd w:val="clear" w:color="auto" w:fill="auto"/>
          </w:tcPr>
          <w:p w14:paraId="54D9F680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146.80</w:t>
            </w:r>
          </w:p>
        </w:tc>
      </w:tr>
      <w:tr w:rsidR="00AA5C78" w:rsidRPr="00575173" w14:paraId="70E39E51" w14:textId="77777777" w:rsidTr="0085559E">
        <w:tc>
          <w:tcPr>
            <w:tcW w:w="738" w:type="pct"/>
            <w:shd w:val="clear" w:color="auto" w:fill="auto"/>
            <w:hideMark/>
          </w:tcPr>
          <w:p w14:paraId="4EDFF8E9" w14:textId="77777777" w:rsidR="00AA5C78" w:rsidRPr="00575173" w:rsidRDefault="00AA5C78" w:rsidP="0085559E">
            <w:pPr>
              <w:pStyle w:val="Tabletext"/>
            </w:pPr>
            <w:bookmarkStart w:id="17" w:name="CU_69421241"/>
            <w:bookmarkEnd w:id="17"/>
            <w:r w:rsidRPr="00575173">
              <w:t>15962</w:t>
            </w:r>
          </w:p>
        </w:tc>
        <w:tc>
          <w:tcPr>
            <w:tcW w:w="3450" w:type="pct"/>
            <w:shd w:val="clear" w:color="auto" w:fill="auto"/>
          </w:tcPr>
          <w:p w14:paraId="015CD54B" w14:textId="77777777" w:rsidR="00AA5C78" w:rsidRPr="00575173" w:rsidRDefault="00AA5C78" w:rsidP="0085559E">
            <w:pPr>
              <w:pStyle w:val="Tabletext"/>
            </w:pPr>
            <w:r w:rsidRPr="00575173">
              <w:t xml:space="preserve">Complex insertion </w:t>
            </w:r>
            <w:r w:rsidR="00052F75" w:rsidRPr="00575173">
              <w:t xml:space="preserve">of any of the following kinds of </w:t>
            </w:r>
            <w:r w:rsidR="005A6AE9" w:rsidRPr="00575173">
              <w:t>brachytherapy device</w:t>
            </w:r>
            <w:r w:rsidR="000F0A4C" w:rsidRPr="00575173">
              <w:t>,</w:t>
            </w:r>
            <w:r w:rsidR="005A6AE9" w:rsidRPr="00575173">
              <w:t xml:space="preserve"> with image guidance</w:t>
            </w:r>
            <w:r w:rsidR="00824D59" w:rsidRPr="00575173">
              <w:t xml:space="preserve"> and if a </w:t>
            </w:r>
            <w:r w:rsidR="00131594" w:rsidRPr="00575173">
              <w:t>radiation oncologist</w:t>
            </w:r>
            <w:r w:rsidR="00824D59" w:rsidRPr="00575173">
              <w:t xml:space="preserve"> is in attendance at the initiation of the service</w:t>
            </w:r>
            <w:r w:rsidR="00003829" w:rsidRPr="00575173">
              <w:t>:</w:t>
            </w:r>
          </w:p>
          <w:p w14:paraId="616F5F22" w14:textId="77777777" w:rsidR="00AA5C78" w:rsidRPr="00575173" w:rsidRDefault="00AA5C78" w:rsidP="0085559E">
            <w:pPr>
              <w:pStyle w:val="Tablea"/>
            </w:pPr>
            <w:r w:rsidRPr="00575173">
              <w:t>(a) intrauterine tubes with or without ovoids, ring or cylinder;</w:t>
            </w:r>
          </w:p>
          <w:p w14:paraId="08A180BC" w14:textId="77777777" w:rsidR="00AA5C78" w:rsidRPr="00575173" w:rsidRDefault="00AA5C78" w:rsidP="0085559E">
            <w:pPr>
              <w:pStyle w:val="Tablea"/>
            </w:pPr>
            <w:r w:rsidRPr="00575173">
              <w:t>(b) endocavity applicator</w:t>
            </w:r>
            <w:r w:rsidR="00B878C8" w:rsidRPr="00575173">
              <w:t>s</w:t>
            </w:r>
            <w:r w:rsidRPr="00575173">
              <w:t>;</w:t>
            </w:r>
          </w:p>
          <w:p w14:paraId="36D46205" w14:textId="77777777" w:rsidR="00AA5C78" w:rsidRPr="00575173" w:rsidRDefault="00AA5C78" w:rsidP="0085559E">
            <w:pPr>
              <w:pStyle w:val="Tablea"/>
            </w:pPr>
            <w:r w:rsidRPr="00575173">
              <w:t>(c) intraluminal catheters for treatment of bronchus, trachea, oesophagus, nasopharynx, bile duct;</w:t>
            </w:r>
          </w:p>
          <w:p w14:paraId="0CC13CBA" w14:textId="77777777" w:rsidR="00AA5C78" w:rsidRPr="00575173" w:rsidRDefault="00AA5C78" w:rsidP="0085559E">
            <w:pPr>
              <w:pStyle w:val="Tablea"/>
            </w:pPr>
            <w:r w:rsidRPr="00575173">
              <w:t>(d) endovascular catheters for treatment of vessels;</w:t>
            </w:r>
          </w:p>
          <w:p w14:paraId="6C43560D" w14:textId="77777777" w:rsidR="00824D59" w:rsidRPr="00575173" w:rsidRDefault="00003829" w:rsidP="00824D59">
            <w:pPr>
              <w:pStyle w:val="Tabletext"/>
            </w:pPr>
            <w:r w:rsidRPr="00575173">
              <w:t>including the removal of applicators, catheters or needles</w:t>
            </w:r>
          </w:p>
          <w:p w14:paraId="6E49308C" w14:textId="77777777" w:rsidR="00AA5C78" w:rsidRPr="00575173" w:rsidRDefault="00AA5C78" w:rsidP="004C6E42">
            <w:pPr>
              <w:pStyle w:val="Tabletext"/>
            </w:pPr>
            <w:bookmarkStart w:id="18" w:name="_Hlk162513906"/>
            <w:r w:rsidRPr="00575173">
              <w:t>(Anaes.)</w:t>
            </w:r>
            <w:bookmarkEnd w:id="18"/>
          </w:p>
        </w:tc>
        <w:tc>
          <w:tcPr>
            <w:tcW w:w="812" w:type="pct"/>
            <w:shd w:val="clear" w:color="auto" w:fill="auto"/>
          </w:tcPr>
          <w:p w14:paraId="08D86692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319.15</w:t>
            </w:r>
          </w:p>
        </w:tc>
      </w:tr>
      <w:tr w:rsidR="00AA5C78" w:rsidRPr="00575173" w14:paraId="3C6CCF95" w14:textId="77777777" w:rsidTr="0085559E">
        <w:tc>
          <w:tcPr>
            <w:tcW w:w="738" w:type="pct"/>
            <w:shd w:val="clear" w:color="auto" w:fill="auto"/>
            <w:hideMark/>
          </w:tcPr>
          <w:p w14:paraId="673D7ADD" w14:textId="77777777" w:rsidR="00AA5C78" w:rsidRPr="00575173" w:rsidRDefault="00AA5C78" w:rsidP="0085559E">
            <w:pPr>
              <w:pStyle w:val="Tabletext"/>
            </w:pPr>
            <w:bookmarkStart w:id="19" w:name="CU_70419139"/>
            <w:bookmarkEnd w:id="19"/>
            <w:r w:rsidRPr="00575173">
              <w:t>15964</w:t>
            </w:r>
          </w:p>
        </w:tc>
        <w:tc>
          <w:tcPr>
            <w:tcW w:w="3450" w:type="pct"/>
            <w:shd w:val="clear" w:color="auto" w:fill="auto"/>
          </w:tcPr>
          <w:p w14:paraId="3C9F70CA" w14:textId="77777777" w:rsidR="00AA5C78" w:rsidRPr="00575173" w:rsidRDefault="00AA5C78" w:rsidP="0001699E">
            <w:pPr>
              <w:pStyle w:val="Tabletext"/>
            </w:pPr>
            <w:r w:rsidRPr="00575173">
              <w:t xml:space="preserve">Complex insertion and removal of hybrid intracavitary </w:t>
            </w:r>
            <w:r w:rsidR="0078333E" w:rsidRPr="00575173">
              <w:t xml:space="preserve">and </w:t>
            </w:r>
            <w:r w:rsidRPr="00575173">
              <w:t>interstitial</w:t>
            </w:r>
            <w:r w:rsidR="0001699E" w:rsidRPr="00575173">
              <w:t xml:space="preserve"> </w:t>
            </w:r>
            <w:r w:rsidR="006D66C1" w:rsidRPr="00575173">
              <w:t xml:space="preserve">brachytherapy </w:t>
            </w:r>
            <w:r w:rsidR="0001699E" w:rsidRPr="00575173">
              <w:t>applicat</w:t>
            </w:r>
            <w:r w:rsidR="00A863FB" w:rsidRPr="00575173">
              <w:t>ors</w:t>
            </w:r>
            <w:r w:rsidR="00A70D56" w:rsidRPr="00575173">
              <w:t>,</w:t>
            </w:r>
            <w:r w:rsidRPr="00575173">
              <w:t xml:space="preserve"> </w:t>
            </w:r>
            <w:r w:rsidR="00696632" w:rsidRPr="00575173">
              <w:t>or intracavitary and</w:t>
            </w:r>
            <w:r w:rsidRPr="00575173">
              <w:t xml:space="preserve"> multi</w:t>
            </w:r>
            <w:r w:rsidR="00A7728E" w:rsidRPr="00575173">
              <w:noBreakHyphen/>
            </w:r>
            <w:r w:rsidRPr="00575173">
              <w:t>cathete</w:t>
            </w:r>
            <w:r w:rsidR="0001699E" w:rsidRPr="00575173">
              <w:t xml:space="preserve">r </w:t>
            </w:r>
            <w:r w:rsidRPr="00575173">
              <w:t>applicators</w:t>
            </w:r>
            <w:r w:rsidR="0001699E" w:rsidRPr="00575173">
              <w:t>,</w:t>
            </w:r>
            <w:r w:rsidR="003B237C" w:rsidRPr="00575173">
              <w:t xml:space="preserve"> </w:t>
            </w:r>
            <w:r w:rsidRPr="00575173">
              <w:t>with image guidance</w:t>
            </w:r>
            <w:r w:rsidR="006F50A6" w:rsidRPr="00575173">
              <w:t xml:space="preserve"> and </w:t>
            </w:r>
            <w:r w:rsidR="004933EC" w:rsidRPr="00575173">
              <w:t>if a</w:t>
            </w:r>
            <w:r w:rsidRPr="00575173">
              <w:t xml:space="preserve"> </w:t>
            </w:r>
            <w:r w:rsidR="00131594" w:rsidRPr="00575173">
              <w:t>radiation oncologist</w:t>
            </w:r>
            <w:r w:rsidRPr="00575173">
              <w:t xml:space="preserve"> is in attendance at the initiation of the service (Anaes.)</w:t>
            </w:r>
          </w:p>
        </w:tc>
        <w:tc>
          <w:tcPr>
            <w:tcW w:w="812" w:type="pct"/>
            <w:shd w:val="clear" w:color="auto" w:fill="auto"/>
          </w:tcPr>
          <w:p w14:paraId="4BB6BC90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425.60</w:t>
            </w:r>
          </w:p>
        </w:tc>
      </w:tr>
      <w:tr w:rsidR="00AA5C78" w:rsidRPr="00575173" w14:paraId="53D75900" w14:textId="77777777" w:rsidTr="0085559E">
        <w:tc>
          <w:tcPr>
            <w:tcW w:w="738" w:type="pct"/>
            <w:shd w:val="clear" w:color="auto" w:fill="auto"/>
            <w:hideMark/>
          </w:tcPr>
          <w:p w14:paraId="356456DB" w14:textId="77777777" w:rsidR="00AA5C78" w:rsidRPr="00575173" w:rsidRDefault="00AA5C78" w:rsidP="0085559E">
            <w:pPr>
              <w:pStyle w:val="Tabletext"/>
            </w:pPr>
            <w:r w:rsidRPr="00575173">
              <w:t>15966</w:t>
            </w:r>
          </w:p>
        </w:tc>
        <w:tc>
          <w:tcPr>
            <w:tcW w:w="3450" w:type="pct"/>
            <w:shd w:val="clear" w:color="auto" w:fill="auto"/>
          </w:tcPr>
          <w:p w14:paraId="6564CD39" w14:textId="77777777" w:rsidR="00AA5C78" w:rsidRPr="00575173" w:rsidRDefault="00AA5C78" w:rsidP="0085559E">
            <w:pPr>
              <w:pStyle w:val="Tabletext"/>
            </w:pPr>
            <w:r w:rsidRPr="00575173">
              <w:t xml:space="preserve">Complex insertion of </w:t>
            </w:r>
            <w:r w:rsidR="001C3E27" w:rsidRPr="00575173">
              <w:t xml:space="preserve">any of the following kinds of </w:t>
            </w:r>
            <w:r w:rsidRPr="00575173">
              <w:t xml:space="preserve">interstitial </w:t>
            </w:r>
            <w:r w:rsidR="007B2AA8" w:rsidRPr="00575173">
              <w:t xml:space="preserve">brachytherapy </w:t>
            </w:r>
            <w:r w:rsidRPr="00575173">
              <w:t>implants not requiring surgical exposure</w:t>
            </w:r>
            <w:r w:rsidR="001C3E27" w:rsidRPr="00575173">
              <w:t>,</w:t>
            </w:r>
            <w:r w:rsidRPr="00575173">
              <w:t xml:space="preserve"> with image guidance</w:t>
            </w:r>
            <w:r w:rsidR="001C3E27" w:rsidRPr="00575173">
              <w:t xml:space="preserve">, and if a </w:t>
            </w:r>
            <w:r w:rsidR="00131594" w:rsidRPr="00575173">
              <w:t>radiation oncologist</w:t>
            </w:r>
            <w:r w:rsidR="001C3E27" w:rsidRPr="00575173">
              <w:t xml:space="preserve"> is in attendance during the service:</w:t>
            </w:r>
          </w:p>
          <w:p w14:paraId="6721F05A" w14:textId="77777777" w:rsidR="00AA5C78" w:rsidRPr="00575173" w:rsidRDefault="00AA5C78" w:rsidP="0085559E">
            <w:pPr>
              <w:pStyle w:val="Tablea"/>
            </w:pPr>
            <w:r w:rsidRPr="00575173">
              <w:t>(a) catheters or needles for temporary implants;</w:t>
            </w:r>
          </w:p>
          <w:p w14:paraId="1C0E9513" w14:textId="77777777" w:rsidR="00AA5C78" w:rsidRPr="00575173" w:rsidRDefault="00AA5C78" w:rsidP="0085559E">
            <w:pPr>
              <w:pStyle w:val="Tablea"/>
            </w:pPr>
            <w:r w:rsidRPr="00575173">
              <w:t>(b) radioactive sources for permanent implants;</w:t>
            </w:r>
          </w:p>
          <w:p w14:paraId="7679AE59" w14:textId="77777777" w:rsidR="00AA5C78" w:rsidRPr="00575173" w:rsidRDefault="00AA5C78" w:rsidP="0085559E">
            <w:pPr>
              <w:pStyle w:val="Tablea"/>
            </w:pPr>
            <w:r w:rsidRPr="00575173">
              <w:t>(c) breast applicators, single channel and multi</w:t>
            </w:r>
            <w:r w:rsidR="00A7728E" w:rsidRPr="00575173">
              <w:noBreakHyphen/>
            </w:r>
            <w:r w:rsidRPr="00575173">
              <w:t>channel strut devices;</w:t>
            </w:r>
          </w:p>
          <w:p w14:paraId="3522923B" w14:textId="77777777" w:rsidR="00AA5C78" w:rsidRPr="00575173" w:rsidRDefault="00B73C55" w:rsidP="001C3E27">
            <w:pPr>
              <w:pStyle w:val="Tabletext"/>
            </w:pPr>
            <w:bookmarkStart w:id="20" w:name="_Hlk162513887"/>
            <w:r w:rsidRPr="00575173">
              <w:t>including the removal of applicators</w:t>
            </w:r>
            <w:r w:rsidR="005364BD" w:rsidRPr="00575173">
              <w:t xml:space="preserve">, </w:t>
            </w:r>
            <w:r w:rsidRPr="00575173">
              <w:t>catheters or needles</w:t>
            </w:r>
            <w:r w:rsidR="001C3E27" w:rsidRPr="00575173">
              <w:t xml:space="preserve"> </w:t>
            </w:r>
            <w:r w:rsidR="00AA5C78" w:rsidRPr="00575173">
              <w:t>(Anaes.)</w:t>
            </w:r>
            <w:bookmarkEnd w:id="20"/>
          </w:p>
        </w:tc>
        <w:tc>
          <w:tcPr>
            <w:tcW w:w="812" w:type="pct"/>
            <w:shd w:val="clear" w:color="auto" w:fill="auto"/>
          </w:tcPr>
          <w:p w14:paraId="0A50ABB1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531.95</w:t>
            </w:r>
          </w:p>
        </w:tc>
      </w:tr>
      <w:tr w:rsidR="00AA5C78" w:rsidRPr="00575173" w14:paraId="1C9E7BD9" w14:textId="77777777" w:rsidTr="0085559E">
        <w:tc>
          <w:tcPr>
            <w:tcW w:w="738" w:type="pct"/>
            <w:shd w:val="clear" w:color="auto" w:fill="auto"/>
            <w:hideMark/>
          </w:tcPr>
          <w:p w14:paraId="077E3B95" w14:textId="77777777" w:rsidR="00AA5C78" w:rsidRPr="00575173" w:rsidRDefault="00AA5C78" w:rsidP="0085559E">
            <w:pPr>
              <w:pStyle w:val="Tabletext"/>
            </w:pPr>
            <w:r w:rsidRPr="00575173">
              <w:t>15968</w:t>
            </w:r>
          </w:p>
        </w:tc>
        <w:tc>
          <w:tcPr>
            <w:tcW w:w="3450" w:type="pct"/>
            <w:shd w:val="clear" w:color="auto" w:fill="auto"/>
          </w:tcPr>
          <w:p w14:paraId="10C069CC" w14:textId="77777777" w:rsidR="00E66CB8" w:rsidRPr="00575173" w:rsidRDefault="00AA5C78" w:rsidP="00E66CB8">
            <w:pPr>
              <w:pStyle w:val="Tabletext"/>
            </w:pPr>
            <w:r w:rsidRPr="00575173">
              <w:t xml:space="preserve">Complex insertion of </w:t>
            </w:r>
            <w:r w:rsidR="00E66CB8" w:rsidRPr="00575173">
              <w:t xml:space="preserve">any of the following </w:t>
            </w:r>
            <w:r w:rsidRPr="00575173">
              <w:t>interstitial</w:t>
            </w:r>
            <w:r w:rsidR="007B2AA8" w:rsidRPr="00575173">
              <w:t xml:space="preserve"> brachytherapy</w:t>
            </w:r>
            <w:r w:rsidRPr="00575173">
              <w:t xml:space="preserve"> implants requiring surgical exposure</w:t>
            </w:r>
            <w:r w:rsidR="00273D7F" w:rsidRPr="00575173">
              <w:t xml:space="preserve"> (other than a service to which </w:t>
            </w:r>
            <w:r w:rsidR="0004317E" w:rsidRPr="00575173">
              <w:t>item 1</w:t>
            </w:r>
            <w:r w:rsidR="00273D7F" w:rsidRPr="00575173">
              <w:t>5900 applies)</w:t>
            </w:r>
            <w:r w:rsidRPr="00575173">
              <w:t xml:space="preserve">, </w:t>
            </w:r>
            <w:r w:rsidR="00E66CB8" w:rsidRPr="00575173">
              <w:t xml:space="preserve">if a </w:t>
            </w:r>
            <w:r w:rsidR="00131594" w:rsidRPr="00575173">
              <w:t>radiation oncologist</w:t>
            </w:r>
            <w:r w:rsidR="00E66CB8" w:rsidRPr="00575173">
              <w:t xml:space="preserve"> is in attendance at the initiation of the service:</w:t>
            </w:r>
          </w:p>
          <w:p w14:paraId="40A76018" w14:textId="77777777" w:rsidR="00AA5C78" w:rsidRPr="00575173" w:rsidRDefault="00AA5C78" w:rsidP="00E66CB8">
            <w:pPr>
              <w:pStyle w:val="Tablea"/>
            </w:pPr>
            <w:r w:rsidRPr="00575173">
              <w:t>(a) catheters, needles or applicators to a region requiring surgical exposure;</w:t>
            </w:r>
          </w:p>
          <w:p w14:paraId="701E6044" w14:textId="77777777" w:rsidR="00AA5C78" w:rsidRPr="00575173" w:rsidRDefault="00AA5C78" w:rsidP="0085559E">
            <w:pPr>
              <w:pStyle w:val="Tablea"/>
            </w:pPr>
            <w:r w:rsidRPr="00575173">
              <w:t>(b) radioactive sources for permanent implants;</w:t>
            </w:r>
          </w:p>
          <w:p w14:paraId="586011F4" w14:textId="77777777" w:rsidR="00AA5C78" w:rsidRPr="00575173" w:rsidRDefault="00AA5C78" w:rsidP="0085559E">
            <w:pPr>
              <w:pStyle w:val="Tablea"/>
            </w:pPr>
            <w:r w:rsidRPr="00575173">
              <w:t>(c) surface moulds during intraoperative brachytherapy;</w:t>
            </w:r>
          </w:p>
          <w:p w14:paraId="789DA437" w14:textId="77777777" w:rsidR="00AA5C78" w:rsidRPr="00575173" w:rsidRDefault="00AA5C78" w:rsidP="0085559E">
            <w:pPr>
              <w:pStyle w:val="Tablea"/>
            </w:pPr>
            <w:r w:rsidRPr="00575173">
              <w:t>(d) plastic catheters or stainless steel needles, requiring surgical exposure;</w:t>
            </w:r>
          </w:p>
          <w:p w14:paraId="52B1C55F" w14:textId="77777777" w:rsidR="00E66CB8" w:rsidRPr="00575173" w:rsidRDefault="00E66CB8" w:rsidP="005364BD">
            <w:pPr>
              <w:pStyle w:val="Tabletext"/>
            </w:pPr>
            <w:r w:rsidRPr="00575173">
              <w:t>including implantation and removal of applicators</w:t>
            </w:r>
            <w:r w:rsidR="005364BD" w:rsidRPr="00575173">
              <w:t xml:space="preserve">, </w:t>
            </w:r>
            <w:r w:rsidRPr="00575173">
              <w:t>catheters or needle</w:t>
            </w:r>
            <w:r w:rsidR="005364BD" w:rsidRPr="00575173">
              <w:t>s</w:t>
            </w:r>
          </w:p>
          <w:p w14:paraId="08ED9CDD" w14:textId="77777777" w:rsidR="00AA5C78" w:rsidRPr="00575173" w:rsidRDefault="00AA5C78" w:rsidP="005364BD">
            <w:pPr>
              <w:pStyle w:val="Tabletext"/>
            </w:pPr>
            <w:r w:rsidRPr="00575173">
              <w:t>(Anaes.)</w:t>
            </w:r>
          </w:p>
        </w:tc>
        <w:tc>
          <w:tcPr>
            <w:tcW w:w="812" w:type="pct"/>
            <w:shd w:val="clear" w:color="auto" w:fill="auto"/>
          </w:tcPr>
          <w:p w14:paraId="1EA78B7A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833.80</w:t>
            </w:r>
          </w:p>
        </w:tc>
      </w:tr>
      <w:tr w:rsidR="00AA5C78" w:rsidRPr="00575173" w14:paraId="07DE290E" w14:textId="77777777" w:rsidTr="0085559E">
        <w:tc>
          <w:tcPr>
            <w:tcW w:w="738" w:type="pct"/>
            <w:shd w:val="clear" w:color="auto" w:fill="auto"/>
            <w:hideMark/>
          </w:tcPr>
          <w:p w14:paraId="0701F3F9" w14:textId="77777777" w:rsidR="00AA5C78" w:rsidRPr="00575173" w:rsidRDefault="00AA5C78" w:rsidP="0085559E">
            <w:pPr>
              <w:pStyle w:val="Tabletext"/>
            </w:pPr>
            <w:r w:rsidRPr="00575173">
              <w:t>15970</w:t>
            </w:r>
          </w:p>
        </w:tc>
        <w:tc>
          <w:tcPr>
            <w:tcW w:w="3450" w:type="pct"/>
            <w:shd w:val="clear" w:color="auto" w:fill="auto"/>
          </w:tcPr>
          <w:p w14:paraId="70F95D83" w14:textId="77777777" w:rsidR="00AA5C78" w:rsidRPr="00575173" w:rsidRDefault="00AA5C78" w:rsidP="0085559E">
            <w:pPr>
              <w:pStyle w:val="Tabletext"/>
            </w:pPr>
            <w:r w:rsidRPr="00575173">
              <w:t>Simple level dosimetry for</w:t>
            </w:r>
            <w:r w:rsidR="007B2AA8" w:rsidRPr="00575173">
              <w:t xml:space="preserve"> brachytherapy</w:t>
            </w:r>
            <w:r w:rsidRPr="00575173">
              <w:t xml:space="preserve"> plans prescribed to surface or depth from catheter and library plans, if:</w:t>
            </w:r>
          </w:p>
          <w:p w14:paraId="2985646D" w14:textId="77777777" w:rsidR="00AA5C78" w:rsidRPr="00575173" w:rsidRDefault="00AA5C78" w:rsidP="0085559E">
            <w:pPr>
              <w:pStyle w:val="Tablea"/>
            </w:pPr>
            <w:r w:rsidRPr="00575173">
              <w:t>(a) the planning process is required to deliver a prescribed dose to a three</w:t>
            </w:r>
            <w:r w:rsidR="00A7728E" w:rsidRPr="00575173">
              <w:noBreakHyphen/>
            </w:r>
            <w:r w:rsidRPr="00575173">
              <w:t>dimensional volume, and relative to a single line or multiple channel delivery applicator; and</w:t>
            </w:r>
          </w:p>
          <w:p w14:paraId="7D6A6A8F" w14:textId="77777777" w:rsidR="00AA5C78" w:rsidRPr="00575173" w:rsidRDefault="00AA5C78" w:rsidP="0085559E">
            <w:pPr>
              <w:pStyle w:val="Tablea"/>
            </w:pPr>
            <w:r w:rsidRPr="00575173">
              <w:t>(b) the planning process does not require the differential of dose between the target, organs at risk and normal tissue dose; and</w:t>
            </w:r>
          </w:p>
          <w:p w14:paraId="7686DC4B" w14:textId="77777777" w:rsidR="00AA5C78" w:rsidRPr="00575173" w:rsidRDefault="00AA5C78" w:rsidP="0085559E">
            <w:pPr>
              <w:pStyle w:val="Tablea"/>
            </w:pPr>
            <w:r w:rsidRPr="00575173">
              <w:t>(c) delineation of structures is not required; and</w:t>
            </w:r>
          </w:p>
          <w:p w14:paraId="2EBE1C43" w14:textId="77777777" w:rsidR="00AA5C78" w:rsidRPr="00575173" w:rsidRDefault="00AA5C78" w:rsidP="0054506A">
            <w:pPr>
              <w:pStyle w:val="Tablea"/>
            </w:pPr>
            <w:r w:rsidRPr="00575173">
              <w:t xml:space="preserve">(d) </w:t>
            </w:r>
            <w:r w:rsidR="00B7537F" w:rsidRPr="00575173">
              <w:t>dose calculations are performed in reference to the surface or a point at depth (two</w:t>
            </w:r>
            <w:r w:rsidR="00A7728E" w:rsidRPr="00575173">
              <w:noBreakHyphen/>
            </w:r>
            <w:r w:rsidR="00B7537F" w:rsidRPr="00575173">
              <w:t xml:space="preserve">dimensional plan) from tables, charts or data </w:t>
            </w:r>
            <w:r w:rsidR="00B7537F" w:rsidRPr="00575173">
              <w:lastRenderedPageBreak/>
              <w:t>from a treatment planning system</w:t>
            </w:r>
            <w:r w:rsidR="00D23A03" w:rsidRPr="00575173">
              <w:t xml:space="preserve"> library plan</w:t>
            </w:r>
          </w:p>
          <w:p w14:paraId="4E4F0949" w14:textId="77777777" w:rsidR="003321EE" w:rsidRPr="00575173" w:rsidRDefault="00753D68" w:rsidP="00E5109E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49241248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138.35</w:t>
            </w:r>
          </w:p>
        </w:tc>
      </w:tr>
      <w:tr w:rsidR="00AA5C78" w:rsidRPr="00575173" w14:paraId="160EF826" w14:textId="77777777" w:rsidTr="0085559E">
        <w:tc>
          <w:tcPr>
            <w:tcW w:w="738" w:type="pct"/>
            <w:shd w:val="clear" w:color="auto" w:fill="auto"/>
            <w:hideMark/>
          </w:tcPr>
          <w:p w14:paraId="70D9A9D7" w14:textId="77777777" w:rsidR="00AA5C78" w:rsidRPr="00575173" w:rsidRDefault="00AA5C78" w:rsidP="0085559E">
            <w:pPr>
              <w:pStyle w:val="Tabletext"/>
            </w:pPr>
            <w:r w:rsidRPr="00575173">
              <w:t>15972</w:t>
            </w:r>
          </w:p>
        </w:tc>
        <w:tc>
          <w:tcPr>
            <w:tcW w:w="3450" w:type="pct"/>
            <w:shd w:val="clear" w:color="auto" w:fill="auto"/>
          </w:tcPr>
          <w:p w14:paraId="6955A04D" w14:textId="77777777" w:rsidR="00742DDE" w:rsidRPr="00575173" w:rsidRDefault="000037D8" w:rsidP="00983A0B">
            <w:pPr>
              <w:pStyle w:val="Tabletext"/>
            </w:pPr>
            <w:r w:rsidRPr="00575173">
              <w:t>S</w:t>
            </w:r>
            <w:r w:rsidR="00DF42FB" w:rsidRPr="00575173">
              <w:t>imple level dosimetry re</w:t>
            </w:r>
            <w:r w:rsidR="00A7728E" w:rsidRPr="00575173">
              <w:noBreakHyphen/>
            </w:r>
            <w:r w:rsidR="00DF42FB" w:rsidRPr="00575173">
              <w:t xml:space="preserve">planning of </w:t>
            </w:r>
            <w:r w:rsidR="00E37E85" w:rsidRPr="00575173">
              <w:t xml:space="preserve">an initial </w:t>
            </w:r>
            <w:r w:rsidR="007B2AA8" w:rsidRPr="00575173">
              <w:t>brachytherapy</w:t>
            </w:r>
            <w:r w:rsidR="00E37E85" w:rsidRPr="00575173">
              <w:t xml:space="preserve"> plan described in </w:t>
            </w:r>
            <w:r w:rsidR="0004317E" w:rsidRPr="00575173">
              <w:t>item 1</w:t>
            </w:r>
            <w:r w:rsidR="00E37E85" w:rsidRPr="00575173">
              <w:t xml:space="preserve">5970 if treatment adjustments to </w:t>
            </w:r>
            <w:r w:rsidR="00742DDE" w:rsidRPr="00575173">
              <w:t>that</w:t>
            </w:r>
            <w:r w:rsidR="00E37E85" w:rsidRPr="00575173">
              <w:t xml:space="preserve"> initial plan are inadequate to satisfy treatment protocol requirements</w:t>
            </w:r>
          </w:p>
          <w:p w14:paraId="14F3AC47" w14:textId="77777777" w:rsidR="00753D68" w:rsidRPr="00575173" w:rsidRDefault="00753D68" w:rsidP="00983A0B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6324CE66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69.20</w:t>
            </w:r>
          </w:p>
        </w:tc>
      </w:tr>
      <w:tr w:rsidR="00AA5C78" w:rsidRPr="00575173" w14:paraId="6E8EF95A" w14:textId="77777777" w:rsidTr="0085559E">
        <w:tc>
          <w:tcPr>
            <w:tcW w:w="738" w:type="pct"/>
            <w:shd w:val="clear" w:color="auto" w:fill="auto"/>
            <w:hideMark/>
          </w:tcPr>
          <w:p w14:paraId="57527C28" w14:textId="77777777" w:rsidR="00AA5C78" w:rsidRPr="00575173" w:rsidRDefault="00AA5C78" w:rsidP="0085559E">
            <w:pPr>
              <w:pStyle w:val="Tabletext"/>
            </w:pPr>
            <w:r w:rsidRPr="00575173">
              <w:t>15974</w:t>
            </w:r>
          </w:p>
        </w:tc>
        <w:tc>
          <w:tcPr>
            <w:tcW w:w="3450" w:type="pct"/>
            <w:shd w:val="clear" w:color="auto" w:fill="auto"/>
          </w:tcPr>
          <w:p w14:paraId="1271E6C5" w14:textId="77777777" w:rsidR="00AA5C78" w:rsidRPr="00575173" w:rsidRDefault="00AA5C78" w:rsidP="0085559E">
            <w:pPr>
              <w:pStyle w:val="Tabletext"/>
            </w:pPr>
            <w:r w:rsidRPr="00575173">
              <w:t xml:space="preserve">Intermediate level dosimetry calculated on a volumetric dataset for intracavitary or intraluminal or endocavity applicators, for </w:t>
            </w:r>
            <w:r w:rsidR="007B2AA8" w:rsidRPr="00575173">
              <w:t xml:space="preserve">brachytherapy </w:t>
            </w:r>
            <w:r w:rsidRPr="00575173">
              <w:t>plans that have three</w:t>
            </w:r>
            <w:r w:rsidR="00A7728E" w:rsidRPr="00575173">
              <w:noBreakHyphen/>
            </w:r>
            <w:r w:rsidRPr="00575173">
              <w:t>dimensional image datasets acquired as part of simulation, if:</w:t>
            </w:r>
          </w:p>
          <w:p w14:paraId="36AEDE0C" w14:textId="77777777" w:rsidR="00AA5C78" w:rsidRPr="00575173" w:rsidRDefault="00AA5C78" w:rsidP="0085559E">
            <w:pPr>
              <w:pStyle w:val="Tablea"/>
            </w:pPr>
            <w:r w:rsidRPr="00575173">
              <w:t>(a) the planning process is required to deliver the prescribed dose to a three</w:t>
            </w:r>
            <w:r w:rsidR="00A7728E" w:rsidRPr="00575173">
              <w:noBreakHyphen/>
            </w:r>
            <w:r w:rsidRPr="00575173">
              <w:t>dimensional volume, and relative to multiple line for channel delivery applicators (excluding interstitial catheters and needles and multi</w:t>
            </w:r>
            <w:r w:rsidR="00A7728E" w:rsidRPr="00575173">
              <w:noBreakHyphen/>
            </w:r>
            <w:r w:rsidRPr="00575173">
              <w:t>catheter devices); and</w:t>
            </w:r>
          </w:p>
          <w:p w14:paraId="6D893AF6" w14:textId="77777777" w:rsidR="00AA5C78" w:rsidRPr="00575173" w:rsidRDefault="00AA5C78" w:rsidP="0085559E">
            <w:pPr>
              <w:pStyle w:val="Tablea"/>
            </w:pPr>
            <w:r w:rsidRPr="00575173">
              <w:t xml:space="preserve">(b) based on review and assessment by a </w:t>
            </w:r>
            <w:r w:rsidR="00131594" w:rsidRPr="00575173">
              <w:t>radiation oncologist</w:t>
            </w:r>
            <w:r w:rsidRPr="00575173">
              <w:t>, the planning process requires the differential of dose between target, organs at risk and normal tissue dose using avoidance strategies (which include placement of sources and/or dwell</w:t>
            </w:r>
            <w:r w:rsidR="00A7728E" w:rsidRPr="00575173">
              <w:noBreakHyphen/>
            </w:r>
            <w:r w:rsidRPr="00575173">
              <w:t>times or tissue packing); and</w:t>
            </w:r>
          </w:p>
          <w:p w14:paraId="44A7EFF2" w14:textId="77777777" w:rsidR="00AA5C78" w:rsidRPr="00575173" w:rsidRDefault="00AA5C78" w:rsidP="0085559E">
            <w:pPr>
              <w:pStyle w:val="Tablea"/>
            </w:pPr>
            <w:r w:rsidRPr="00575173">
              <w:t>(c) delineation of structures is required as part of the planning process to produce a dose</w:t>
            </w:r>
            <w:r w:rsidR="00A7728E" w:rsidRPr="00575173">
              <w:noBreakHyphen/>
            </w:r>
            <w:r w:rsidRPr="00575173">
              <w:t>volume histogram integral to the avoidance strategies; and</w:t>
            </w:r>
          </w:p>
          <w:p w14:paraId="79ACE510" w14:textId="77777777" w:rsidR="00AA5C78" w:rsidRPr="00575173" w:rsidRDefault="00AA5C78" w:rsidP="0085559E">
            <w:pPr>
              <w:pStyle w:val="Tablea"/>
            </w:pPr>
            <w:r w:rsidRPr="00575173">
              <w:t>(d) dose calculations are performed on a personalised basis, which must include three</w:t>
            </w:r>
            <w:r w:rsidR="00A7728E" w:rsidRPr="00575173">
              <w:noBreakHyphen/>
            </w:r>
            <w:r w:rsidRPr="00575173">
              <w:t>dimensional dose calculation to target and organ</w:t>
            </w:r>
            <w:r w:rsidR="00A7728E" w:rsidRPr="00575173">
              <w:noBreakHyphen/>
            </w:r>
            <w:r w:rsidRPr="00575173">
              <w:t>at</w:t>
            </w:r>
            <w:r w:rsidR="00A7728E" w:rsidRPr="00575173">
              <w:noBreakHyphen/>
            </w:r>
            <w:r w:rsidRPr="00575173">
              <w:t>risk volumes; and</w:t>
            </w:r>
          </w:p>
          <w:p w14:paraId="78DC81F5" w14:textId="77777777" w:rsidR="00AA5C78" w:rsidRPr="00575173" w:rsidRDefault="00AA5C78" w:rsidP="00290BEA">
            <w:pPr>
              <w:pStyle w:val="Tablea"/>
            </w:pPr>
            <w:r w:rsidRPr="00575173">
              <w:t>(e) dose calculations and the dose</w:t>
            </w:r>
            <w:r w:rsidR="00A7728E" w:rsidRPr="00575173">
              <w:noBreakHyphen/>
            </w:r>
            <w:r w:rsidRPr="00575173">
              <w:t xml:space="preserve">volume histogram </w:t>
            </w:r>
            <w:r w:rsidR="00F105F2" w:rsidRPr="00575173">
              <w:t>are</w:t>
            </w:r>
            <w:r w:rsidR="00290BEA" w:rsidRPr="00575173">
              <w:t xml:space="preserve"> </w:t>
            </w:r>
            <w:r w:rsidRPr="00575173">
              <w:t>approved and recorded with the plan</w:t>
            </w:r>
          </w:p>
          <w:p w14:paraId="3E728A9E" w14:textId="77777777" w:rsidR="00753D68" w:rsidRPr="00575173" w:rsidRDefault="00753D68" w:rsidP="0056768F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4B3C978E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927.75</w:t>
            </w:r>
          </w:p>
        </w:tc>
      </w:tr>
      <w:tr w:rsidR="00AA5C78" w:rsidRPr="00575173" w14:paraId="5163C04F" w14:textId="77777777" w:rsidTr="0085559E">
        <w:tc>
          <w:tcPr>
            <w:tcW w:w="738" w:type="pct"/>
            <w:shd w:val="clear" w:color="auto" w:fill="auto"/>
            <w:hideMark/>
          </w:tcPr>
          <w:p w14:paraId="7E00D892" w14:textId="77777777" w:rsidR="00AA5C78" w:rsidRPr="00575173" w:rsidRDefault="00AA5C78" w:rsidP="0085559E">
            <w:pPr>
              <w:pStyle w:val="Tabletext"/>
            </w:pPr>
            <w:r w:rsidRPr="00575173">
              <w:t>15976</w:t>
            </w:r>
          </w:p>
        </w:tc>
        <w:tc>
          <w:tcPr>
            <w:tcW w:w="3450" w:type="pct"/>
            <w:shd w:val="clear" w:color="auto" w:fill="auto"/>
          </w:tcPr>
          <w:p w14:paraId="01814205" w14:textId="77777777" w:rsidR="00C356A5" w:rsidRPr="00575173" w:rsidRDefault="00983A0B" w:rsidP="000C6A83">
            <w:pPr>
              <w:pStyle w:val="Tabletext"/>
            </w:pPr>
            <w:r w:rsidRPr="00575173">
              <w:t>I</w:t>
            </w:r>
            <w:r w:rsidR="00AA5C78" w:rsidRPr="00575173">
              <w:t xml:space="preserve">ntermediate level dosimetry </w:t>
            </w:r>
            <w:r w:rsidRPr="00575173">
              <w:t>re</w:t>
            </w:r>
            <w:r w:rsidR="00A7728E" w:rsidRPr="00575173">
              <w:noBreakHyphen/>
            </w:r>
            <w:r w:rsidRPr="00575173">
              <w:t xml:space="preserve">planning of an </w:t>
            </w:r>
            <w:r w:rsidR="00AA5C78" w:rsidRPr="00575173">
              <w:t xml:space="preserve">initial </w:t>
            </w:r>
            <w:r w:rsidR="007B3EA7" w:rsidRPr="00575173">
              <w:t xml:space="preserve">brachytherapy </w:t>
            </w:r>
            <w:r w:rsidR="00AA5C78" w:rsidRPr="00575173">
              <w:t xml:space="preserve">plan described in </w:t>
            </w:r>
            <w:r w:rsidR="0004317E" w:rsidRPr="00575173">
              <w:t>item 1</w:t>
            </w:r>
            <w:r w:rsidR="00AA5C78" w:rsidRPr="00575173">
              <w:t xml:space="preserve">5974 </w:t>
            </w:r>
            <w:r w:rsidRPr="00575173">
              <w:t xml:space="preserve">if </w:t>
            </w:r>
            <w:r w:rsidR="00AA5C78" w:rsidRPr="00575173">
              <w:t xml:space="preserve">treatment adjustments to </w:t>
            </w:r>
            <w:r w:rsidR="000C6A83" w:rsidRPr="00575173">
              <w:t>that</w:t>
            </w:r>
            <w:r w:rsidR="00AA5C78" w:rsidRPr="00575173">
              <w:t xml:space="preserve"> initial plan are inadequate to satisfy treatment protocol requirements</w:t>
            </w:r>
          </w:p>
          <w:p w14:paraId="56CE595C" w14:textId="77777777" w:rsidR="00753D68" w:rsidRPr="00575173" w:rsidRDefault="00753D68" w:rsidP="000C6A8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45470A52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463.90</w:t>
            </w:r>
          </w:p>
        </w:tc>
      </w:tr>
      <w:tr w:rsidR="00AA5C78" w:rsidRPr="00575173" w14:paraId="228DFEDB" w14:textId="77777777" w:rsidTr="0085559E">
        <w:tc>
          <w:tcPr>
            <w:tcW w:w="738" w:type="pct"/>
            <w:shd w:val="clear" w:color="auto" w:fill="auto"/>
            <w:hideMark/>
          </w:tcPr>
          <w:p w14:paraId="7AD56C57" w14:textId="77777777" w:rsidR="00AA5C78" w:rsidRPr="00575173" w:rsidRDefault="00AA5C78" w:rsidP="0085559E">
            <w:pPr>
              <w:pStyle w:val="Tabletext"/>
            </w:pPr>
            <w:bookmarkStart w:id="21" w:name="CU_77421021"/>
            <w:bookmarkStart w:id="22" w:name="CU_77423513"/>
            <w:bookmarkEnd w:id="21"/>
            <w:bookmarkEnd w:id="22"/>
            <w:r w:rsidRPr="00575173">
              <w:t>15978</w:t>
            </w:r>
          </w:p>
        </w:tc>
        <w:tc>
          <w:tcPr>
            <w:tcW w:w="3450" w:type="pct"/>
            <w:shd w:val="clear" w:color="auto" w:fill="auto"/>
          </w:tcPr>
          <w:p w14:paraId="68AA370B" w14:textId="77777777" w:rsidR="00AA5C78" w:rsidRPr="00575173" w:rsidRDefault="00AA5C78" w:rsidP="0085559E">
            <w:pPr>
              <w:pStyle w:val="Tabletext"/>
            </w:pPr>
            <w:r w:rsidRPr="00575173">
              <w:t xml:space="preserve">Complex level dosimetry for </w:t>
            </w:r>
            <w:r w:rsidR="007B3EA7" w:rsidRPr="00575173">
              <w:t xml:space="preserve">brachytherapy </w:t>
            </w:r>
            <w:r w:rsidRPr="00575173">
              <w:t>plans that contain multiple needles</w:t>
            </w:r>
            <w:r w:rsidR="00F52673" w:rsidRPr="00575173">
              <w:t xml:space="preserve">, </w:t>
            </w:r>
            <w:r w:rsidRPr="00575173">
              <w:t xml:space="preserve">catheters or radiation sources, </w:t>
            </w:r>
            <w:r w:rsidR="00F52673" w:rsidRPr="00575173">
              <w:t>calculated on the three</w:t>
            </w:r>
            <w:r w:rsidR="00A7728E" w:rsidRPr="00575173">
              <w:noBreakHyphen/>
            </w:r>
            <w:r w:rsidR="00F52673" w:rsidRPr="00575173">
              <w:t xml:space="preserve">dimensional volumetric dataset, </w:t>
            </w:r>
            <w:r w:rsidRPr="00575173">
              <w:t>if:</w:t>
            </w:r>
          </w:p>
          <w:p w14:paraId="650EA17F" w14:textId="77777777" w:rsidR="00AA5C78" w:rsidRPr="00575173" w:rsidRDefault="00AA5C78" w:rsidP="0085559E">
            <w:pPr>
              <w:pStyle w:val="Tablea"/>
            </w:pPr>
            <w:r w:rsidRPr="00575173">
              <w:t>(a) the planning process is required to deliver a prescribed dose to a target volume relative to multiple channel delivery applicators, needles or catheters or radiation sources; and</w:t>
            </w:r>
          </w:p>
          <w:p w14:paraId="7D5672AE" w14:textId="77777777" w:rsidR="00AA5C78" w:rsidRPr="00575173" w:rsidRDefault="00AA5C78" w:rsidP="0085559E">
            <w:pPr>
              <w:pStyle w:val="Tablea"/>
            </w:pPr>
            <w:r w:rsidRPr="00575173">
              <w:t xml:space="preserve">(b) based on review and assessment by a </w:t>
            </w:r>
            <w:r w:rsidR="00131594" w:rsidRPr="00575173">
              <w:t>radiation oncologist</w:t>
            </w:r>
            <w:r w:rsidRPr="00575173">
              <w:t>, the planning process requires the differential of doses between the target, organs at risk and normal tissue dose using avoidance strategies (which include the placement of sources and/or dwell times or tissue packing; and</w:t>
            </w:r>
          </w:p>
          <w:p w14:paraId="787A6C7A" w14:textId="77777777" w:rsidR="00AA5C78" w:rsidRPr="00575173" w:rsidRDefault="00AA5C78" w:rsidP="0085559E">
            <w:pPr>
              <w:pStyle w:val="Tablea"/>
            </w:pPr>
            <w:r w:rsidRPr="00575173">
              <w:t>(c) delineation of structures is required as part of the planning process, in order to produce a dose</w:t>
            </w:r>
            <w:r w:rsidR="00A7728E" w:rsidRPr="00575173">
              <w:noBreakHyphen/>
            </w:r>
            <w:r w:rsidRPr="00575173">
              <w:t>volume histogram to review and assess the plan; and</w:t>
            </w:r>
          </w:p>
          <w:p w14:paraId="0BA07A7C" w14:textId="77777777" w:rsidR="00AA5C78" w:rsidRPr="00575173" w:rsidRDefault="00AA5C78" w:rsidP="0085559E">
            <w:pPr>
              <w:pStyle w:val="Tablea"/>
            </w:pPr>
            <w:r w:rsidRPr="00575173">
              <w:t>(d) dose calculations are performed on a personalised basis, which must include three</w:t>
            </w:r>
            <w:r w:rsidR="00A7728E" w:rsidRPr="00575173">
              <w:noBreakHyphen/>
            </w:r>
            <w:r w:rsidRPr="00575173">
              <w:t>dimensional dose calculation to target and organ at risk volumes; and</w:t>
            </w:r>
          </w:p>
          <w:p w14:paraId="2687ABC2" w14:textId="77777777" w:rsidR="00AA5C78" w:rsidRPr="00575173" w:rsidRDefault="00AA5C78" w:rsidP="003A6FE9">
            <w:pPr>
              <w:pStyle w:val="Tablea"/>
            </w:pPr>
            <w:r w:rsidRPr="00575173">
              <w:lastRenderedPageBreak/>
              <w:t>(e) dose calculations and the dose</w:t>
            </w:r>
            <w:r w:rsidR="00A7728E" w:rsidRPr="00575173">
              <w:noBreakHyphen/>
            </w:r>
            <w:r w:rsidRPr="00575173">
              <w:t>volume histogram</w:t>
            </w:r>
            <w:r w:rsidR="003A6FE9" w:rsidRPr="00575173">
              <w:t xml:space="preserve"> are</w:t>
            </w:r>
            <w:r w:rsidRPr="00575173">
              <w:t xml:space="preserve"> approved and recorded with the plan</w:t>
            </w:r>
          </w:p>
          <w:p w14:paraId="3DD4FA9B" w14:textId="77777777" w:rsidR="00753D68" w:rsidRPr="00575173" w:rsidRDefault="00753D68" w:rsidP="0056768F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2E9EF0F0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lastRenderedPageBreak/>
              <w:t>1,078.10</w:t>
            </w:r>
          </w:p>
        </w:tc>
      </w:tr>
      <w:tr w:rsidR="00AA5C78" w:rsidRPr="00575173" w14:paraId="69C07832" w14:textId="77777777" w:rsidTr="0085559E">
        <w:tc>
          <w:tcPr>
            <w:tcW w:w="738" w:type="pct"/>
            <w:shd w:val="clear" w:color="auto" w:fill="auto"/>
            <w:hideMark/>
          </w:tcPr>
          <w:p w14:paraId="3C76DEF7" w14:textId="77777777" w:rsidR="00AA5C78" w:rsidRPr="00575173" w:rsidRDefault="00AA5C78" w:rsidP="0085559E">
            <w:pPr>
              <w:pStyle w:val="Tabletext"/>
            </w:pPr>
            <w:r w:rsidRPr="00575173">
              <w:t>15980</w:t>
            </w:r>
          </w:p>
        </w:tc>
        <w:tc>
          <w:tcPr>
            <w:tcW w:w="3450" w:type="pct"/>
            <w:shd w:val="clear" w:color="auto" w:fill="auto"/>
          </w:tcPr>
          <w:p w14:paraId="3754878B" w14:textId="77777777" w:rsidR="00AA5C78" w:rsidRPr="00575173" w:rsidRDefault="000C6A83" w:rsidP="000C6A83">
            <w:pPr>
              <w:pStyle w:val="Tabletext"/>
            </w:pPr>
            <w:r w:rsidRPr="00575173">
              <w:t>C</w:t>
            </w:r>
            <w:r w:rsidR="00AA5C78" w:rsidRPr="00575173">
              <w:t>omplex level dosimetry re</w:t>
            </w:r>
            <w:r w:rsidR="00A7728E" w:rsidRPr="00575173">
              <w:noBreakHyphen/>
            </w:r>
            <w:r w:rsidR="00AA5C78" w:rsidRPr="00575173">
              <w:t xml:space="preserve">planning </w:t>
            </w:r>
            <w:r w:rsidRPr="00575173">
              <w:t xml:space="preserve">of </w:t>
            </w:r>
            <w:r w:rsidR="00AA5C78" w:rsidRPr="00575173">
              <w:t xml:space="preserve">an initial </w:t>
            </w:r>
            <w:r w:rsidR="007B3EA7" w:rsidRPr="00575173">
              <w:t>brachytherapy</w:t>
            </w:r>
            <w:r w:rsidR="00AA5C78" w:rsidRPr="00575173">
              <w:t xml:space="preserve"> plan described in </w:t>
            </w:r>
            <w:r w:rsidR="0004317E" w:rsidRPr="00575173">
              <w:t>item 1</w:t>
            </w:r>
            <w:r w:rsidR="00AA5C78" w:rsidRPr="00575173">
              <w:t xml:space="preserve">5978 </w:t>
            </w:r>
            <w:r w:rsidRPr="00575173">
              <w:t xml:space="preserve">if </w:t>
            </w:r>
            <w:r w:rsidR="00AA5C78" w:rsidRPr="00575173">
              <w:t>treatment adjustments to the initial plan are inadequate to satisfy treatment protocol requirements</w:t>
            </w:r>
          </w:p>
          <w:p w14:paraId="40E0A2DB" w14:textId="77777777" w:rsidR="00753D68" w:rsidRPr="00575173" w:rsidRDefault="00753D68" w:rsidP="000C6A83">
            <w:pPr>
              <w:pStyle w:val="Tabletext"/>
            </w:pPr>
            <w:r w:rsidRPr="00575173">
              <w:t>Applicable once per course of treatment</w:t>
            </w:r>
          </w:p>
        </w:tc>
        <w:tc>
          <w:tcPr>
            <w:tcW w:w="812" w:type="pct"/>
            <w:shd w:val="clear" w:color="auto" w:fill="auto"/>
          </w:tcPr>
          <w:p w14:paraId="04D490B7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539.10</w:t>
            </w:r>
          </w:p>
        </w:tc>
      </w:tr>
      <w:tr w:rsidR="00AA5C78" w:rsidRPr="00575173" w14:paraId="4FC8AEF0" w14:textId="77777777" w:rsidTr="0085559E">
        <w:tc>
          <w:tcPr>
            <w:tcW w:w="73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17D00D74" w14:textId="77777777" w:rsidR="00AA5C78" w:rsidRPr="00575173" w:rsidRDefault="00AA5C78" w:rsidP="0085559E">
            <w:pPr>
              <w:pStyle w:val="Tabletext"/>
            </w:pPr>
            <w:r w:rsidRPr="00575173">
              <w:t>15982</w:t>
            </w:r>
          </w:p>
        </w:tc>
        <w:tc>
          <w:tcPr>
            <w:tcW w:w="3450" w:type="pct"/>
            <w:tcBorders>
              <w:bottom w:val="single" w:sz="2" w:space="0" w:color="auto"/>
            </w:tcBorders>
            <w:shd w:val="clear" w:color="auto" w:fill="auto"/>
          </w:tcPr>
          <w:p w14:paraId="23A0D536" w14:textId="77777777" w:rsidR="00AA5C78" w:rsidRPr="00575173" w:rsidRDefault="00AA5C78" w:rsidP="0085559E">
            <w:pPr>
              <w:pStyle w:val="Tabletext"/>
            </w:pPr>
            <w:r w:rsidRPr="00575173">
              <w:t>Brachytherapy treatment, if:</w:t>
            </w:r>
          </w:p>
          <w:p w14:paraId="6C2049B0" w14:textId="77777777" w:rsidR="00AA5C78" w:rsidRPr="00575173" w:rsidRDefault="00AA5C78" w:rsidP="006530D0">
            <w:pPr>
              <w:pStyle w:val="Tablea"/>
            </w:pPr>
            <w:r w:rsidRPr="00575173">
              <w:t>(a) the service is performed by radiation therapists and medical physicists</w:t>
            </w:r>
            <w:r w:rsidR="00AA0B70" w:rsidRPr="00575173">
              <w:t>;</w:t>
            </w:r>
            <w:r w:rsidRPr="00575173">
              <w:t xml:space="preserve"> and</w:t>
            </w:r>
          </w:p>
          <w:p w14:paraId="2DB7D34F" w14:textId="77777777" w:rsidR="00AA5C78" w:rsidRPr="00575173" w:rsidRDefault="00AA5C78" w:rsidP="0085559E">
            <w:pPr>
              <w:pStyle w:val="Tablea"/>
            </w:pPr>
            <w:r w:rsidRPr="00575173">
              <w:t xml:space="preserve">(b) a </w:t>
            </w:r>
            <w:r w:rsidR="00131594" w:rsidRPr="00575173">
              <w:t>radiation oncologist</w:t>
            </w:r>
            <w:r w:rsidRPr="00575173">
              <w:t xml:space="preserve"> is in attendance during the service; and</w:t>
            </w:r>
          </w:p>
          <w:p w14:paraId="0032469C" w14:textId="77777777" w:rsidR="00AA5C78" w:rsidRPr="00575173" w:rsidRDefault="00AA5C78" w:rsidP="006E073F">
            <w:pPr>
              <w:pStyle w:val="Tablea"/>
            </w:pPr>
            <w:r w:rsidRPr="00575173">
              <w:t xml:space="preserve">(c) the treatment is to implement a brachytherapy treatment plan described in </w:t>
            </w:r>
            <w:r w:rsidR="006E073F" w:rsidRPr="00575173">
              <w:t xml:space="preserve">any of </w:t>
            </w:r>
            <w:r w:rsidR="00AF5758" w:rsidRPr="00575173">
              <w:t>items 1</w:t>
            </w:r>
            <w:r w:rsidRPr="00575173">
              <w:t xml:space="preserve">5970, 15972, 15974, 15976, 15978 </w:t>
            </w:r>
            <w:r w:rsidR="006E073F" w:rsidRPr="00575173">
              <w:t>and</w:t>
            </w:r>
            <w:r w:rsidRPr="00575173">
              <w:t xml:space="preserve"> 15980</w:t>
            </w:r>
          </w:p>
        </w:tc>
        <w:tc>
          <w:tcPr>
            <w:tcW w:w="812" w:type="pct"/>
            <w:tcBorders>
              <w:bottom w:val="single" w:sz="2" w:space="0" w:color="auto"/>
            </w:tcBorders>
            <w:shd w:val="clear" w:color="auto" w:fill="auto"/>
          </w:tcPr>
          <w:p w14:paraId="23CB7809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404.25</w:t>
            </w:r>
          </w:p>
        </w:tc>
      </w:tr>
      <w:tr w:rsidR="00AA5C78" w:rsidRPr="00575173" w14:paraId="3017719D" w14:textId="77777777" w:rsidTr="0085559E">
        <w:tc>
          <w:tcPr>
            <w:tcW w:w="73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EC01DB" w14:textId="77777777" w:rsidR="00AA5C78" w:rsidRPr="00575173" w:rsidRDefault="00AA5C78" w:rsidP="0085559E">
            <w:pPr>
              <w:pStyle w:val="Tabletext"/>
              <w:rPr>
                <w:snapToGrid w:val="0"/>
              </w:rPr>
            </w:pPr>
            <w:r w:rsidRPr="00575173">
              <w:rPr>
                <w:snapToGrid w:val="0"/>
              </w:rPr>
              <w:t>15984</w:t>
            </w:r>
          </w:p>
        </w:tc>
        <w:tc>
          <w:tcPr>
            <w:tcW w:w="345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101223" w14:textId="77777777" w:rsidR="00AA5C78" w:rsidRPr="00575173" w:rsidRDefault="00AA5C78" w:rsidP="0085559E">
            <w:pPr>
              <w:pStyle w:val="Tabletext"/>
            </w:pPr>
            <w:r w:rsidRPr="00575173">
              <w:t xml:space="preserve">Verification of position of </w:t>
            </w:r>
            <w:r w:rsidR="007B3EA7" w:rsidRPr="00575173">
              <w:t xml:space="preserve">brachytherapy </w:t>
            </w:r>
            <w:r w:rsidRPr="00575173">
              <w:t>applicators, needles, catheters or radioactive sources</w:t>
            </w:r>
            <w:r w:rsidR="00996A0D" w:rsidRPr="00575173">
              <w:t>,</w:t>
            </w:r>
            <w:r w:rsidRPr="00575173">
              <w:t xml:space="preserve"> if:</w:t>
            </w:r>
          </w:p>
          <w:p w14:paraId="5894B1EA" w14:textId="77777777" w:rsidR="00AA5C78" w:rsidRPr="00575173" w:rsidRDefault="00AA5C78" w:rsidP="0085559E">
            <w:pPr>
              <w:pStyle w:val="Tablea"/>
            </w:pPr>
            <w:r w:rsidRPr="00575173">
              <w:t xml:space="preserve">(a) </w:t>
            </w:r>
            <w:r w:rsidR="00E604D8" w:rsidRPr="00575173">
              <w:t xml:space="preserve">a </w:t>
            </w:r>
            <w:r w:rsidRPr="00575173">
              <w:t>two</w:t>
            </w:r>
            <w:r w:rsidR="00A7728E" w:rsidRPr="00575173">
              <w:noBreakHyphen/>
            </w:r>
            <w:r w:rsidRPr="00575173">
              <w:t>dimensional or three</w:t>
            </w:r>
            <w:r w:rsidR="00A7728E" w:rsidRPr="00575173">
              <w:noBreakHyphen/>
            </w:r>
            <w:r w:rsidRPr="00575173">
              <w:t>dimensional volumetric image set, or a validated in</w:t>
            </w:r>
            <w:r w:rsidR="00A7728E" w:rsidRPr="00575173">
              <w:noBreakHyphen/>
            </w:r>
            <w:r w:rsidRPr="00575173">
              <w:t xml:space="preserve">vivo dosimetry measurement, </w:t>
            </w:r>
            <w:r w:rsidR="004F196B" w:rsidRPr="00575173">
              <w:t xml:space="preserve">is required </w:t>
            </w:r>
            <w:r w:rsidRPr="00575173">
              <w:t>to facilitate an adjustment to the applicators</w:t>
            </w:r>
            <w:r w:rsidR="004F196B" w:rsidRPr="00575173">
              <w:t xml:space="preserve">, </w:t>
            </w:r>
            <w:r w:rsidRPr="00575173">
              <w:t>needles</w:t>
            </w:r>
            <w:r w:rsidR="004F196B" w:rsidRPr="00575173">
              <w:t xml:space="preserve">, </w:t>
            </w:r>
            <w:r w:rsidRPr="00575173">
              <w:t>catheters or dosimetry plan</w:t>
            </w:r>
            <w:r w:rsidR="004B33CA" w:rsidRPr="00575173">
              <w:t>;</w:t>
            </w:r>
            <w:r w:rsidRPr="00575173">
              <w:t xml:space="preserve"> and</w:t>
            </w:r>
          </w:p>
          <w:p w14:paraId="5B7A38BF" w14:textId="77777777" w:rsidR="00AA5C78" w:rsidRPr="00575173" w:rsidRDefault="00AA5C78" w:rsidP="00947A81">
            <w:pPr>
              <w:pStyle w:val="Tablea"/>
            </w:pPr>
            <w:r w:rsidRPr="00575173">
              <w:t xml:space="preserve">(b) decisions using the acquired images are based on action algorithms and enacted immediately prior to, or during, treatment, </w:t>
            </w:r>
            <w:r w:rsidR="006C5FCD" w:rsidRPr="00575173">
              <w:t>where treatment is preceded by</w:t>
            </w:r>
            <w:r w:rsidRPr="00575173">
              <w:t xml:space="preserve"> manipulation or adjustment of delivery applicator or adjustment of the dosimetry plan; and</w:t>
            </w:r>
          </w:p>
          <w:p w14:paraId="7ADFCFF3" w14:textId="77777777" w:rsidR="00AA5C78" w:rsidRPr="00575173" w:rsidRDefault="00AA5C78" w:rsidP="0085559E">
            <w:pPr>
              <w:pStyle w:val="Tablea"/>
            </w:pPr>
            <w:r w:rsidRPr="00575173">
              <w:t>(c) the service is associated with a service to which any of the following items apply:</w:t>
            </w:r>
          </w:p>
          <w:p w14:paraId="773991F0" w14:textId="77777777" w:rsidR="00AA5C78" w:rsidRPr="00575173" w:rsidRDefault="00AA5C78" w:rsidP="0085559E">
            <w:pPr>
              <w:pStyle w:val="Tablei"/>
            </w:pPr>
            <w:r w:rsidRPr="00575173">
              <w:t xml:space="preserve">(i) </w:t>
            </w:r>
            <w:r w:rsidR="00AF5758" w:rsidRPr="00575173">
              <w:t>items 1</w:t>
            </w:r>
            <w:r w:rsidRPr="00575173">
              <w:t>5958 to 15968;</w:t>
            </w:r>
          </w:p>
          <w:p w14:paraId="76A09D58" w14:textId="77777777" w:rsidR="00AA5C78" w:rsidRPr="00575173" w:rsidRDefault="00AA5C78" w:rsidP="006C5FCD">
            <w:pPr>
              <w:pStyle w:val="Tablei"/>
            </w:pPr>
            <w:r w:rsidRPr="00575173">
              <w:t xml:space="preserve">(ii) </w:t>
            </w:r>
            <w:r w:rsidR="0004317E" w:rsidRPr="00575173">
              <w:t>item 1</w:t>
            </w:r>
            <w:r w:rsidRPr="00575173">
              <w:t>5982</w:t>
            </w:r>
          </w:p>
        </w:tc>
        <w:tc>
          <w:tcPr>
            <w:tcW w:w="8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C12E3C" w14:textId="77777777" w:rsidR="00AA5C78" w:rsidRPr="00575173" w:rsidRDefault="00AA5C78" w:rsidP="0085559E">
            <w:pPr>
              <w:pStyle w:val="Tabletext"/>
              <w:keepNext/>
              <w:keepLines/>
              <w:jc w:val="right"/>
              <w:rPr>
                <w:iCs/>
                <w:kern w:val="2"/>
                <w14:ligatures w14:val="standardContextual"/>
              </w:rPr>
            </w:pPr>
            <w:r w:rsidRPr="00575173">
              <w:rPr>
                <w:iCs/>
                <w:kern w:val="2"/>
                <w14:ligatures w14:val="standardContextual"/>
              </w:rPr>
              <w:t>148.95</w:t>
            </w:r>
          </w:p>
        </w:tc>
      </w:tr>
    </w:tbl>
    <w:p w14:paraId="0E6E6842" w14:textId="77777777" w:rsidR="004B46E6" w:rsidRPr="00575173" w:rsidRDefault="003A3A75" w:rsidP="004B46E6">
      <w:pPr>
        <w:pStyle w:val="ItemHead"/>
      </w:pPr>
      <w:r w:rsidRPr="00575173">
        <w:t>7</w:t>
      </w:r>
      <w:r w:rsidR="004B46E6" w:rsidRPr="00575173">
        <w:t xml:space="preserve">  </w:t>
      </w:r>
      <w:r w:rsidR="00AF5758" w:rsidRPr="00575173">
        <w:t>Schedule 1</w:t>
      </w:r>
      <w:r w:rsidR="004B46E6" w:rsidRPr="00575173">
        <w:t xml:space="preserve"> (</w:t>
      </w:r>
      <w:r w:rsidR="00AF5758" w:rsidRPr="00575173">
        <w:t>item 3</w:t>
      </w:r>
      <w:r w:rsidR="004B46E6" w:rsidRPr="00575173">
        <w:t>7220</w:t>
      </w:r>
      <w:r w:rsidR="009577FD" w:rsidRPr="00575173">
        <w:t xml:space="preserve">, column 2, </w:t>
      </w:r>
      <w:r w:rsidR="00AF5758" w:rsidRPr="00575173">
        <w:t>subparagraph (</w:t>
      </w:r>
      <w:r w:rsidR="003C5067" w:rsidRPr="00575173">
        <w:t>c)(i)</w:t>
      </w:r>
      <w:r w:rsidR="004B46E6" w:rsidRPr="00575173">
        <w:t>)</w:t>
      </w:r>
    </w:p>
    <w:p w14:paraId="3CA265BF" w14:textId="77777777" w:rsidR="003C5067" w:rsidRPr="00575173" w:rsidRDefault="003C5067" w:rsidP="003C5067">
      <w:pPr>
        <w:pStyle w:val="Item"/>
      </w:pPr>
      <w:r w:rsidRPr="00575173">
        <w:t>Omit “15338”, substitute “15966”.</w:t>
      </w:r>
    </w:p>
    <w:p w14:paraId="3D262BF3" w14:textId="77777777" w:rsidR="003C5067" w:rsidRPr="00575173" w:rsidRDefault="003A3A75" w:rsidP="003C5067">
      <w:pPr>
        <w:pStyle w:val="ItemHead"/>
      </w:pPr>
      <w:r w:rsidRPr="00575173">
        <w:t>8</w:t>
      </w:r>
      <w:r w:rsidR="003C5067" w:rsidRPr="00575173">
        <w:t xml:space="preserve">  </w:t>
      </w:r>
      <w:r w:rsidR="00AF5758" w:rsidRPr="00575173">
        <w:t>Schedule 1</w:t>
      </w:r>
      <w:r w:rsidR="003C5067" w:rsidRPr="00575173">
        <w:t xml:space="preserve"> (</w:t>
      </w:r>
      <w:r w:rsidR="00AF5758" w:rsidRPr="00575173">
        <w:t>item 3</w:t>
      </w:r>
      <w:r w:rsidR="003C5067" w:rsidRPr="00575173">
        <w:t>7227, column 2)</w:t>
      </w:r>
    </w:p>
    <w:p w14:paraId="7C70E1C4" w14:textId="77777777" w:rsidR="003C5067" w:rsidRPr="00575173" w:rsidRDefault="003C5067" w:rsidP="003C5067">
      <w:pPr>
        <w:pStyle w:val="Item"/>
      </w:pPr>
      <w:r w:rsidRPr="00575173">
        <w:t>Omit “15331 or 15332”, substitute “</w:t>
      </w:r>
      <w:r w:rsidR="007D12AB" w:rsidRPr="00575173">
        <w:t>15966”.</w:t>
      </w:r>
    </w:p>
    <w:p w14:paraId="119209E7" w14:textId="77777777" w:rsidR="00510FFD" w:rsidRPr="00575173" w:rsidRDefault="003A3A75" w:rsidP="00510FFD">
      <w:pPr>
        <w:pStyle w:val="ItemHead"/>
      </w:pPr>
      <w:r w:rsidRPr="00575173">
        <w:t>9</w:t>
      </w:r>
      <w:r w:rsidR="00510FFD" w:rsidRPr="00575173">
        <w:t xml:space="preserve">  </w:t>
      </w:r>
      <w:r w:rsidR="00AF5758" w:rsidRPr="00575173">
        <w:t>Clause 7</w:t>
      </w:r>
      <w:r w:rsidR="00EC3734" w:rsidRPr="00575173">
        <w:t xml:space="preserve">.1.1 of </w:t>
      </w:r>
      <w:r w:rsidR="00AF5758" w:rsidRPr="00575173">
        <w:t>Schedule 1</w:t>
      </w:r>
    </w:p>
    <w:p w14:paraId="2A929366" w14:textId="77777777" w:rsidR="00510FFD" w:rsidRPr="00575173" w:rsidRDefault="00510FFD" w:rsidP="00510FFD">
      <w:pPr>
        <w:pStyle w:val="Item"/>
      </w:pPr>
      <w:r w:rsidRPr="00575173">
        <w:t>Insert:</w:t>
      </w:r>
    </w:p>
    <w:p w14:paraId="542D7789" w14:textId="77777777" w:rsidR="001D0BED" w:rsidRPr="00575173" w:rsidRDefault="001D0BED" w:rsidP="001D0BED">
      <w:pPr>
        <w:pStyle w:val="Definition"/>
      </w:pPr>
      <w:r w:rsidRPr="00575173">
        <w:rPr>
          <w:b/>
          <w:i/>
        </w:rPr>
        <w:t>Australian Register of Therapeutic Goods</w:t>
      </w:r>
      <w:r w:rsidRPr="00575173">
        <w:t xml:space="preserve"> means the register maintained under section 9A of the </w:t>
      </w:r>
      <w:r w:rsidRPr="00575173">
        <w:rPr>
          <w:i/>
        </w:rPr>
        <w:t>Therapeutic Goods Act 1989</w:t>
      </w:r>
      <w:r w:rsidRPr="00575173">
        <w:t>.</w:t>
      </w:r>
    </w:p>
    <w:p w14:paraId="6F4FA78C" w14:textId="77777777" w:rsidR="008540A2" w:rsidRPr="00575173" w:rsidRDefault="008540A2" w:rsidP="001D0BED">
      <w:pPr>
        <w:pStyle w:val="Definition"/>
      </w:pPr>
      <w:r w:rsidRPr="00575173">
        <w:rPr>
          <w:b/>
          <w:i/>
        </w:rPr>
        <w:t>radiation oncologist</w:t>
      </w:r>
      <w:r w:rsidRPr="00575173">
        <w:t xml:space="preserve"> has the meaning given by </w:t>
      </w:r>
      <w:r w:rsidR="00AF5758" w:rsidRPr="00575173">
        <w:t>clause 5</w:t>
      </w:r>
      <w:r w:rsidRPr="00575173">
        <w:t>.3.2.</w:t>
      </w:r>
    </w:p>
    <w:p w14:paraId="5DDB8B76" w14:textId="77777777" w:rsidR="001D0BED" w:rsidRPr="00575173" w:rsidRDefault="003A3A75" w:rsidP="001D0BED">
      <w:pPr>
        <w:pStyle w:val="ItemHead"/>
      </w:pPr>
      <w:r w:rsidRPr="00575173">
        <w:t>10</w:t>
      </w:r>
      <w:r w:rsidR="001D0BED" w:rsidRPr="00575173">
        <w:t xml:space="preserve">  </w:t>
      </w:r>
      <w:r w:rsidR="00AF5758" w:rsidRPr="00575173">
        <w:t>Clause 7</w:t>
      </w:r>
      <w:r w:rsidR="00EC3734" w:rsidRPr="00575173">
        <w:t xml:space="preserve">.1.1 of </w:t>
      </w:r>
      <w:r w:rsidR="00AF5758" w:rsidRPr="00575173">
        <w:t>Schedule 1</w:t>
      </w:r>
      <w:r w:rsidR="001D0BED" w:rsidRPr="00575173">
        <w:t xml:space="preserve"> (definition of </w:t>
      </w:r>
      <w:r w:rsidR="001D0BED" w:rsidRPr="00575173">
        <w:rPr>
          <w:i/>
        </w:rPr>
        <w:t>registered vaccine</w:t>
      </w:r>
      <w:r w:rsidR="001D0BED" w:rsidRPr="00575173">
        <w:t>)</w:t>
      </w:r>
    </w:p>
    <w:p w14:paraId="4A821365" w14:textId="77777777" w:rsidR="001D0BED" w:rsidRPr="00575173" w:rsidRDefault="001D0BED" w:rsidP="001D0BED">
      <w:pPr>
        <w:pStyle w:val="Item"/>
      </w:pPr>
      <w:r w:rsidRPr="00575173">
        <w:t xml:space="preserve">Omit “being the Register maintained under section 9A of the </w:t>
      </w:r>
      <w:r w:rsidRPr="00575173">
        <w:rPr>
          <w:i/>
        </w:rPr>
        <w:t>Therapeutic Goods Act 1989</w:t>
      </w:r>
      <w:r w:rsidRPr="00575173">
        <w:t>,”.</w:t>
      </w:r>
    </w:p>
    <w:p w14:paraId="7B2EE83F" w14:textId="77777777" w:rsidR="00AA5C78" w:rsidRPr="00575173" w:rsidRDefault="00AA5C78" w:rsidP="00AA5C78">
      <w:pPr>
        <w:pStyle w:val="ActHead9"/>
      </w:pPr>
      <w:bookmarkStart w:id="23" w:name="_Toc164258802"/>
      <w:r w:rsidRPr="00575173">
        <w:lastRenderedPageBreak/>
        <w:t xml:space="preserve">Health Insurance </w:t>
      </w:r>
      <w:r w:rsidR="00A7728E" w:rsidRPr="00575173">
        <w:t>Regulations 2</w:t>
      </w:r>
      <w:r w:rsidRPr="00575173">
        <w:t>018</w:t>
      </w:r>
      <w:bookmarkEnd w:id="23"/>
    </w:p>
    <w:p w14:paraId="5190C1EE" w14:textId="77777777" w:rsidR="00AA5C78" w:rsidRPr="00575173" w:rsidRDefault="003A3A75" w:rsidP="00AA5C78">
      <w:pPr>
        <w:pStyle w:val="ItemHead"/>
      </w:pPr>
      <w:r w:rsidRPr="00575173">
        <w:t>11</w:t>
      </w:r>
      <w:r w:rsidR="00AA5C78" w:rsidRPr="00575173">
        <w:t xml:space="preserve">  </w:t>
      </w:r>
      <w:r w:rsidR="00AF5758" w:rsidRPr="00575173">
        <w:t>Section 4</w:t>
      </w:r>
      <w:r w:rsidR="00AA5C78" w:rsidRPr="00575173">
        <w:t>6</w:t>
      </w:r>
    </w:p>
    <w:p w14:paraId="396CA9D8" w14:textId="77777777" w:rsidR="00AA5C78" w:rsidRPr="00575173" w:rsidRDefault="00AA5C78" w:rsidP="00AA5C78">
      <w:pPr>
        <w:pStyle w:val="Item"/>
      </w:pPr>
      <w:r w:rsidRPr="00575173">
        <w:t>Omit “Subgroup 3, 4 or 5 of”.</w:t>
      </w:r>
    </w:p>
    <w:p w14:paraId="18BC89E7" w14:textId="77777777" w:rsidR="00AA5C78" w:rsidRPr="00575173" w:rsidRDefault="003A3A75" w:rsidP="00AA5C78">
      <w:pPr>
        <w:pStyle w:val="ItemHead"/>
      </w:pPr>
      <w:r w:rsidRPr="00575173">
        <w:t>12</w:t>
      </w:r>
      <w:r w:rsidR="00AA5C78" w:rsidRPr="00575173">
        <w:t xml:space="preserve">  </w:t>
      </w:r>
      <w:r w:rsidR="00AF5758" w:rsidRPr="00575173">
        <w:t>Paragraph 5</w:t>
      </w:r>
      <w:r w:rsidR="00AA5C78" w:rsidRPr="00575173">
        <w:t>1(1)(a)</w:t>
      </w:r>
    </w:p>
    <w:p w14:paraId="140332DF" w14:textId="77777777" w:rsidR="00AA5C78" w:rsidRPr="00575173" w:rsidRDefault="00AA5C78" w:rsidP="00AA5C78">
      <w:pPr>
        <w:pStyle w:val="Item"/>
      </w:pPr>
      <w:r w:rsidRPr="00575173">
        <w:t>Omit “15000 to 15600”, substitute “1590</w:t>
      </w:r>
      <w:r w:rsidR="007147BB" w:rsidRPr="00575173">
        <w:t>0</w:t>
      </w:r>
      <w:r w:rsidRPr="00575173">
        <w:t xml:space="preserve"> to 15984”.</w:t>
      </w:r>
    </w:p>
    <w:p w14:paraId="59C34138" w14:textId="77777777" w:rsidR="00AA5C78" w:rsidRPr="00575173" w:rsidRDefault="003A3A75" w:rsidP="00AA5C78">
      <w:pPr>
        <w:pStyle w:val="ItemHead"/>
      </w:pPr>
      <w:r w:rsidRPr="00575173">
        <w:t>13</w:t>
      </w:r>
      <w:r w:rsidR="00AA5C78" w:rsidRPr="00575173">
        <w:t xml:space="preserve">  </w:t>
      </w:r>
      <w:r w:rsidR="00AF5758" w:rsidRPr="00575173">
        <w:t>Subsection 5</w:t>
      </w:r>
      <w:r w:rsidR="00AA5C78" w:rsidRPr="00575173">
        <w:t>2(1)</w:t>
      </w:r>
    </w:p>
    <w:p w14:paraId="32A9E1A1" w14:textId="77777777" w:rsidR="00AA5C78" w:rsidRPr="00575173" w:rsidRDefault="00AA5C78" w:rsidP="00AA5C78">
      <w:pPr>
        <w:pStyle w:val="Item"/>
      </w:pPr>
      <w:r w:rsidRPr="00575173">
        <w:t>Omit “15000 to 15600”, substitute “1590</w:t>
      </w:r>
      <w:r w:rsidR="008B5DC3" w:rsidRPr="00575173">
        <w:t>0</w:t>
      </w:r>
      <w:r w:rsidRPr="00575173">
        <w:t xml:space="preserve"> to 15984”.</w:t>
      </w:r>
    </w:p>
    <w:p w14:paraId="3A41A0A0" w14:textId="77777777" w:rsidR="00AA5C78" w:rsidRPr="00575173" w:rsidRDefault="003A3A75" w:rsidP="00AA5C78">
      <w:pPr>
        <w:pStyle w:val="ItemHead"/>
      </w:pPr>
      <w:r w:rsidRPr="00575173">
        <w:t>14</w:t>
      </w:r>
      <w:r w:rsidR="00AA5C78" w:rsidRPr="00575173">
        <w:t xml:space="preserve">  </w:t>
      </w:r>
      <w:r w:rsidR="00AF5758" w:rsidRPr="00575173">
        <w:t>Paragraph 8</w:t>
      </w:r>
      <w:r w:rsidR="00AA5C78" w:rsidRPr="00575173">
        <w:t>0(a)</w:t>
      </w:r>
    </w:p>
    <w:p w14:paraId="02BBEA61" w14:textId="77777777" w:rsidR="00AA5C78" w:rsidRPr="00575173" w:rsidRDefault="00AA5C78" w:rsidP="00AA5C78">
      <w:pPr>
        <w:pStyle w:val="Item"/>
      </w:pPr>
      <w:r w:rsidRPr="00575173">
        <w:t>Omit “3”, substitute “2”.</w:t>
      </w:r>
    </w:p>
    <w:p w14:paraId="7E1B2CF4" w14:textId="77777777" w:rsidR="00AA5C78" w:rsidRPr="00575173" w:rsidRDefault="003A3A75" w:rsidP="00AA5C78">
      <w:pPr>
        <w:pStyle w:val="ItemHead"/>
      </w:pPr>
      <w:r w:rsidRPr="00575173">
        <w:t>15</w:t>
      </w:r>
      <w:r w:rsidR="00AA5C78" w:rsidRPr="00575173">
        <w:t xml:space="preserve">  After </w:t>
      </w:r>
      <w:r w:rsidR="00AF5758" w:rsidRPr="00575173">
        <w:t>paragraph 8</w:t>
      </w:r>
      <w:r w:rsidR="00AA5C78" w:rsidRPr="00575173">
        <w:t>0(a)</w:t>
      </w:r>
    </w:p>
    <w:p w14:paraId="739882CD" w14:textId="77777777" w:rsidR="00AA5C78" w:rsidRPr="00575173" w:rsidRDefault="00AA5C78" w:rsidP="00AA5C78">
      <w:pPr>
        <w:pStyle w:val="Item"/>
      </w:pPr>
      <w:r w:rsidRPr="00575173">
        <w:t>Insert:</w:t>
      </w:r>
    </w:p>
    <w:p w14:paraId="3CDEF479" w14:textId="77777777" w:rsidR="00AA5C78" w:rsidRPr="00575173" w:rsidRDefault="00AA5C78" w:rsidP="00AA5C78">
      <w:pPr>
        <w:pStyle w:val="paragraph"/>
      </w:pPr>
      <w:r w:rsidRPr="00575173">
        <w:tab/>
        <w:t>(ab)</w:t>
      </w:r>
      <w:r w:rsidRPr="00575173">
        <w:tab/>
        <w:t>kilovoltage equipment, that is, equipment that is primarily used in the rendering of a service specified in any item in Subgroup 3 of Group T2 in the general medical services table;</w:t>
      </w:r>
    </w:p>
    <w:p w14:paraId="5055A57D" w14:textId="77777777" w:rsidR="00AA5C78" w:rsidRPr="00575173" w:rsidRDefault="003A3A75" w:rsidP="00AA5C78">
      <w:pPr>
        <w:pStyle w:val="ItemHead"/>
      </w:pPr>
      <w:r w:rsidRPr="00575173">
        <w:t>16</w:t>
      </w:r>
      <w:r w:rsidR="00AA5C78" w:rsidRPr="00575173">
        <w:t xml:space="preserve">  </w:t>
      </w:r>
      <w:r w:rsidR="00AF5758" w:rsidRPr="00575173">
        <w:t>Paragraph 8</w:t>
      </w:r>
      <w:r w:rsidR="00AA5C78" w:rsidRPr="00575173">
        <w:t>0(b)</w:t>
      </w:r>
    </w:p>
    <w:p w14:paraId="00BA9CF5" w14:textId="77777777" w:rsidR="00AA5C78" w:rsidRPr="00575173" w:rsidRDefault="00AA5C78" w:rsidP="00AA5C78">
      <w:pPr>
        <w:pStyle w:val="Item"/>
      </w:pPr>
      <w:r w:rsidRPr="00575173">
        <w:t>Omit “table;”, substitute “table</w:t>
      </w:r>
      <w:r w:rsidR="008F6B16" w:rsidRPr="00575173">
        <w:t>.</w:t>
      </w:r>
      <w:r w:rsidR="003E37F7" w:rsidRPr="00575173">
        <w:t>”</w:t>
      </w:r>
      <w:r w:rsidRPr="00575173">
        <w:t>.</w:t>
      </w:r>
    </w:p>
    <w:p w14:paraId="12240FBD" w14:textId="77777777" w:rsidR="00AA5C78" w:rsidRPr="00575173" w:rsidRDefault="003A3A75" w:rsidP="00AA5C78">
      <w:pPr>
        <w:pStyle w:val="ItemHead"/>
      </w:pPr>
      <w:r w:rsidRPr="00575173">
        <w:t>17</w:t>
      </w:r>
      <w:r w:rsidR="00AA5C78" w:rsidRPr="00575173">
        <w:t xml:space="preserve">  </w:t>
      </w:r>
      <w:r w:rsidR="00AF5758" w:rsidRPr="00575173">
        <w:t>Paragraph 8</w:t>
      </w:r>
      <w:r w:rsidR="00AA5C78" w:rsidRPr="00575173">
        <w:t>0(c)</w:t>
      </w:r>
    </w:p>
    <w:p w14:paraId="0C7C8A00" w14:textId="77777777" w:rsidR="0084172C" w:rsidRPr="00A7728E" w:rsidRDefault="00AA5C78" w:rsidP="0042701F">
      <w:pPr>
        <w:pStyle w:val="Item"/>
      </w:pPr>
      <w:r w:rsidRPr="00575173">
        <w:t>Repeal the paragraph.</w:t>
      </w:r>
    </w:p>
    <w:sectPr w:rsidR="0084172C" w:rsidRPr="00A7728E" w:rsidSect="00205A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4A4F" w14:textId="77777777" w:rsidR="00DA2EFF" w:rsidRDefault="00DA2EFF" w:rsidP="0048364F">
      <w:pPr>
        <w:spacing w:line="240" w:lineRule="auto"/>
      </w:pPr>
      <w:r>
        <w:separator/>
      </w:r>
    </w:p>
  </w:endnote>
  <w:endnote w:type="continuationSeparator" w:id="0">
    <w:p w14:paraId="1CFBDFFB" w14:textId="77777777" w:rsidR="00DA2EFF" w:rsidRDefault="00DA2E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0C0D" w14:textId="77777777" w:rsidR="008F6B16" w:rsidRPr="00205A10" w:rsidRDefault="00205A10" w:rsidP="00205A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5A10">
      <w:rPr>
        <w:i/>
        <w:sz w:val="18"/>
      </w:rPr>
      <w:t>OPC66944 -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A22D" w14:textId="77777777" w:rsidR="008F6B16" w:rsidRDefault="008F6B16" w:rsidP="00E97334"/>
  <w:p w14:paraId="4C946F1D" w14:textId="77777777" w:rsidR="008F6B16" w:rsidRPr="00205A10" w:rsidRDefault="00205A10" w:rsidP="00205A10">
    <w:pPr>
      <w:rPr>
        <w:rFonts w:cs="Times New Roman"/>
        <w:i/>
        <w:sz w:val="18"/>
      </w:rPr>
    </w:pPr>
    <w:r w:rsidRPr="00205A10">
      <w:rPr>
        <w:rFonts w:cs="Times New Roman"/>
        <w:i/>
        <w:sz w:val="18"/>
      </w:rPr>
      <w:t>OPC66944 -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59C2" w14:textId="77777777" w:rsidR="008F6B16" w:rsidRPr="00205A10" w:rsidRDefault="00205A10" w:rsidP="00205A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5A10">
      <w:rPr>
        <w:i/>
        <w:sz w:val="18"/>
      </w:rPr>
      <w:t>OPC66944 -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6F5A" w14:textId="77777777" w:rsidR="008F6B16" w:rsidRPr="00E33C1C" w:rsidRDefault="008F6B1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6B16" w14:paraId="3543A62C" w14:textId="77777777" w:rsidTr="00B858C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2C7E26" w14:textId="77777777" w:rsidR="008F6B16" w:rsidRDefault="008F6B16" w:rsidP="008555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F06952" w14:textId="3732B1EA" w:rsidR="008F6B16" w:rsidRDefault="008F6B16" w:rsidP="00855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E3F">
            <w:rPr>
              <w:i/>
              <w:sz w:val="18"/>
            </w:rPr>
            <w:t>Health Insurance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0566C0" w14:textId="77777777" w:rsidR="008F6B16" w:rsidRDefault="008F6B16" w:rsidP="0085559E">
          <w:pPr>
            <w:spacing w:line="0" w:lineRule="atLeast"/>
            <w:jc w:val="right"/>
            <w:rPr>
              <w:sz w:val="18"/>
            </w:rPr>
          </w:pPr>
        </w:p>
      </w:tc>
    </w:tr>
  </w:tbl>
  <w:p w14:paraId="7F4AB854" w14:textId="77777777" w:rsidR="008F6B16" w:rsidRPr="00205A10" w:rsidRDefault="00205A10" w:rsidP="00205A10">
    <w:pPr>
      <w:rPr>
        <w:rFonts w:cs="Times New Roman"/>
        <w:i/>
        <w:sz w:val="18"/>
      </w:rPr>
    </w:pPr>
    <w:r w:rsidRPr="00205A10">
      <w:rPr>
        <w:rFonts w:cs="Times New Roman"/>
        <w:i/>
        <w:sz w:val="18"/>
      </w:rPr>
      <w:t>OPC66944 -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93A1" w14:textId="77777777" w:rsidR="008F6B16" w:rsidRPr="00E33C1C" w:rsidRDefault="008F6B1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F6B16" w14:paraId="1F12E317" w14:textId="77777777" w:rsidTr="00B858C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9F3E42" w14:textId="77777777" w:rsidR="008F6B16" w:rsidRDefault="008F6B16" w:rsidP="008555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2461B7" w14:textId="674799FB" w:rsidR="008F6B16" w:rsidRDefault="008F6B16" w:rsidP="00855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E3F">
            <w:rPr>
              <w:i/>
              <w:sz w:val="18"/>
            </w:rPr>
            <w:t>Health Insurance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C56726" w14:textId="77777777" w:rsidR="008F6B16" w:rsidRDefault="008F6B16" w:rsidP="008555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9EAB5E" w14:textId="77777777" w:rsidR="008F6B16" w:rsidRPr="00205A10" w:rsidRDefault="00205A10" w:rsidP="00205A10">
    <w:pPr>
      <w:rPr>
        <w:rFonts w:cs="Times New Roman"/>
        <w:i/>
        <w:sz w:val="18"/>
      </w:rPr>
    </w:pPr>
    <w:r w:rsidRPr="00205A10">
      <w:rPr>
        <w:rFonts w:cs="Times New Roman"/>
        <w:i/>
        <w:sz w:val="18"/>
      </w:rPr>
      <w:t>OPC66944 -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3873" w14:textId="77777777" w:rsidR="008F6B16" w:rsidRPr="00E33C1C" w:rsidRDefault="008F6B1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6B16" w14:paraId="1604CEEF" w14:textId="77777777" w:rsidTr="00B858C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E77F13" w14:textId="77777777" w:rsidR="008F6B16" w:rsidRDefault="008F6B16" w:rsidP="008555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2D9F1" w14:textId="247E8975" w:rsidR="008F6B16" w:rsidRDefault="008F6B16" w:rsidP="00855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E3F">
            <w:rPr>
              <w:i/>
              <w:sz w:val="18"/>
            </w:rPr>
            <w:t>Health Insurance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6FA474" w14:textId="77777777" w:rsidR="008F6B16" w:rsidRDefault="008F6B16" w:rsidP="0085559E">
          <w:pPr>
            <w:spacing w:line="0" w:lineRule="atLeast"/>
            <w:jc w:val="right"/>
            <w:rPr>
              <w:sz w:val="18"/>
            </w:rPr>
          </w:pPr>
        </w:p>
      </w:tc>
    </w:tr>
  </w:tbl>
  <w:p w14:paraId="518363AA" w14:textId="77777777" w:rsidR="008F6B16" w:rsidRPr="00205A10" w:rsidRDefault="00205A10" w:rsidP="00205A10">
    <w:pPr>
      <w:rPr>
        <w:rFonts w:cs="Times New Roman"/>
        <w:i/>
        <w:sz w:val="18"/>
      </w:rPr>
    </w:pPr>
    <w:r w:rsidRPr="00205A10">
      <w:rPr>
        <w:rFonts w:cs="Times New Roman"/>
        <w:i/>
        <w:sz w:val="18"/>
      </w:rPr>
      <w:t>OPC66944 -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00AB" w14:textId="77777777" w:rsidR="008F6B16" w:rsidRPr="00E33C1C" w:rsidRDefault="008F6B1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6B16" w14:paraId="3A283D13" w14:textId="77777777" w:rsidTr="008555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45073" w14:textId="77777777" w:rsidR="008F6B16" w:rsidRDefault="008F6B16" w:rsidP="008555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8F2BAF" w14:textId="3C0F679D" w:rsidR="008F6B16" w:rsidRDefault="008F6B16" w:rsidP="00855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E3F">
            <w:rPr>
              <w:i/>
              <w:sz w:val="18"/>
            </w:rPr>
            <w:t>Health Insurance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8BC599" w14:textId="77777777" w:rsidR="008F6B16" w:rsidRDefault="008F6B16" w:rsidP="008555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BBC81C" w14:textId="77777777" w:rsidR="008F6B16" w:rsidRPr="00205A10" w:rsidRDefault="00205A10" w:rsidP="00205A10">
    <w:pPr>
      <w:rPr>
        <w:rFonts w:cs="Times New Roman"/>
        <w:i/>
        <w:sz w:val="18"/>
      </w:rPr>
    </w:pPr>
    <w:r w:rsidRPr="00205A10">
      <w:rPr>
        <w:rFonts w:cs="Times New Roman"/>
        <w:i/>
        <w:sz w:val="18"/>
      </w:rPr>
      <w:t>OPC66944 -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FBC24" w14:textId="77777777" w:rsidR="008F6B16" w:rsidRPr="00E33C1C" w:rsidRDefault="008F6B1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6B16" w14:paraId="119317E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21726B" w14:textId="77777777" w:rsidR="008F6B16" w:rsidRDefault="008F6B16" w:rsidP="008555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2F3556" w14:textId="3D9FE3DC" w:rsidR="008F6B16" w:rsidRDefault="008F6B16" w:rsidP="00855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E3F">
            <w:rPr>
              <w:i/>
              <w:sz w:val="18"/>
            </w:rPr>
            <w:t>Health Insurance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1DDC24" w14:textId="77777777" w:rsidR="008F6B16" w:rsidRDefault="008F6B16" w:rsidP="008555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082BE4" w14:textId="77777777" w:rsidR="008F6B16" w:rsidRPr="00205A10" w:rsidRDefault="00205A10" w:rsidP="00205A10">
    <w:pPr>
      <w:rPr>
        <w:rFonts w:cs="Times New Roman"/>
        <w:i/>
        <w:sz w:val="18"/>
      </w:rPr>
    </w:pPr>
    <w:r w:rsidRPr="00205A10">
      <w:rPr>
        <w:rFonts w:cs="Times New Roman"/>
        <w:i/>
        <w:sz w:val="18"/>
      </w:rPr>
      <w:t>OPC66944 -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5114" w14:textId="77777777" w:rsidR="00DA2EFF" w:rsidRDefault="00DA2EFF" w:rsidP="0048364F">
      <w:pPr>
        <w:spacing w:line="240" w:lineRule="auto"/>
      </w:pPr>
      <w:r>
        <w:separator/>
      </w:r>
    </w:p>
  </w:footnote>
  <w:footnote w:type="continuationSeparator" w:id="0">
    <w:p w14:paraId="08AD8DB3" w14:textId="77777777" w:rsidR="00DA2EFF" w:rsidRDefault="00DA2E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B354" w14:textId="77777777" w:rsidR="008F6B16" w:rsidRPr="005F1388" w:rsidRDefault="008F6B1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E832F" w14:textId="77777777" w:rsidR="008F6B16" w:rsidRPr="005F1388" w:rsidRDefault="008F6B1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AF0C" w14:textId="77777777" w:rsidR="008F6B16" w:rsidRPr="005F1388" w:rsidRDefault="008F6B1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689A" w14:textId="77777777" w:rsidR="008F6B16" w:rsidRPr="00ED79B6" w:rsidRDefault="008F6B1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46E6" w14:textId="77777777" w:rsidR="008F6B16" w:rsidRPr="00ED79B6" w:rsidRDefault="008F6B1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2FE6" w14:textId="77777777" w:rsidR="008F6B16" w:rsidRPr="00ED79B6" w:rsidRDefault="008F6B1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4154" w14:textId="66E7F70F" w:rsidR="008F6B16" w:rsidRPr="00A961C4" w:rsidRDefault="008F6B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28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28E7">
      <w:rPr>
        <w:noProof/>
        <w:sz w:val="20"/>
      </w:rPr>
      <w:t>Amendments</w:t>
    </w:r>
    <w:r>
      <w:rPr>
        <w:sz w:val="20"/>
      </w:rPr>
      <w:fldChar w:fldCharType="end"/>
    </w:r>
  </w:p>
  <w:p w14:paraId="40AA05DD" w14:textId="296DC747" w:rsidR="008F6B16" w:rsidRPr="00A961C4" w:rsidRDefault="008F6B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AFBAA9" w14:textId="77777777" w:rsidR="008F6B16" w:rsidRPr="00A961C4" w:rsidRDefault="008F6B1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4219" w14:textId="0D13F036" w:rsidR="008F6B16" w:rsidRPr="00A961C4" w:rsidRDefault="008F6B1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094B218" w14:textId="0CBBA717" w:rsidR="008F6B16" w:rsidRPr="00A961C4" w:rsidRDefault="008F6B1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38103B0" w14:textId="77777777" w:rsidR="008F6B16" w:rsidRPr="00A961C4" w:rsidRDefault="008F6B1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FBB3" w14:textId="77777777" w:rsidR="008F6B16" w:rsidRPr="00A961C4" w:rsidRDefault="008F6B1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0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62"/>
    <w:rsid w:val="00000263"/>
    <w:rsid w:val="000037D8"/>
    <w:rsid w:val="00003829"/>
    <w:rsid w:val="00007859"/>
    <w:rsid w:val="000113BC"/>
    <w:rsid w:val="000136AF"/>
    <w:rsid w:val="0001699E"/>
    <w:rsid w:val="00017EF3"/>
    <w:rsid w:val="00030164"/>
    <w:rsid w:val="00032492"/>
    <w:rsid w:val="00036E24"/>
    <w:rsid w:val="0004044E"/>
    <w:rsid w:val="000413AC"/>
    <w:rsid w:val="0004317E"/>
    <w:rsid w:val="00044411"/>
    <w:rsid w:val="00046F47"/>
    <w:rsid w:val="0005120E"/>
    <w:rsid w:val="00052F75"/>
    <w:rsid w:val="00054577"/>
    <w:rsid w:val="000614BF"/>
    <w:rsid w:val="00066756"/>
    <w:rsid w:val="0007169C"/>
    <w:rsid w:val="000748D2"/>
    <w:rsid w:val="00077593"/>
    <w:rsid w:val="00083F48"/>
    <w:rsid w:val="00087D2C"/>
    <w:rsid w:val="000A504D"/>
    <w:rsid w:val="000A7DF9"/>
    <w:rsid w:val="000C3D6A"/>
    <w:rsid w:val="000C6A83"/>
    <w:rsid w:val="000D05EF"/>
    <w:rsid w:val="000D5485"/>
    <w:rsid w:val="000E5C2F"/>
    <w:rsid w:val="000E60DA"/>
    <w:rsid w:val="000F0A4C"/>
    <w:rsid w:val="000F21C1"/>
    <w:rsid w:val="000F24F0"/>
    <w:rsid w:val="00105D72"/>
    <w:rsid w:val="0010745C"/>
    <w:rsid w:val="00117277"/>
    <w:rsid w:val="00117352"/>
    <w:rsid w:val="00127BD8"/>
    <w:rsid w:val="00131594"/>
    <w:rsid w:val="00142E31"/>
    <w:rsid w:val="001433DF"/>
    <w:rsid w:val="00155353"/>
    <w:rsid w:val="00155873"/>
    <w:rsid w:val="00160BD7"/>
    <w:rsid w:val="001643C9"/>
    <w:rsid w:val="001654BD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0B47"/>
    <w:rsid w:val="001A3B9F"/>
    <w:rsid w:val="001A4302"/>
    <w:rsid w:val="001A5DDF"/>
    <w:rsid w:val="001A65C0"/>
    <w:rsid w:val="001B6456"/>
    <w:rsid w:val="001B70C6"/>
    <w:rsid w:val="001B7A5D"/>
    <w:rsid w:val="001C1822"/>
    <w:rsid w:val="001C3E27"/>
    <w:rsid w:val="001C69C4"/>
    <w:rsid w:val="001C70D9"/>
    <w:rsid w:val="001D0BED"/>
    <w:rsid w:val="001E0A8D"/>
    <w:rsid w:val="001E3590"/>
    <w:rsid w:val="001E7407"/>
    <w:rsid w:val="001F369B"/>
    <w:rsid w:val="00200C86"/>
    <w:rsid w:val="00201D27"/>
    <w:rsid w:val="0020300C"/>
    <w:rsid w:val="00204322"/>
    <w:rsid w:val="0020532A"/>
    <w:rsid w:val="00205A10"/>
    <w:rsid w:val="00213EFE"/>
    <w:rsid w:val="00214FEE"/>
    <w:rsid w:val="0021635C"/>
    <w:rsid w:val="00220A0C"/>
    <w:rsid w:val="00223E4A"/>
    <w:rsid w:val="00226C90"/>
    <w:rsid w:val="002302EA"/>
    <w:rsid w:val="00240749"/>
    <w:rsid w:val="002468D7"/>
    <w:rsid w:val="00253ECD"/>
    <w:rsid w:val="00263886"/>
    <w:rsid w:val="002651D4"/>
    <w:rsid w:val="00273D7F"/>
    <w:rsid w:val="00274F15"/>
    <w:rsid w:val="00285CDD"/>
    <w:rsid w:val="00290BEA"/>
    <w:rsid w:val="00291167"/>
    <w:rsid w:val="00297ECB"/>
    <w:rsid w:val="002C152A"/>
    <w:rsid w:val="002C1DCC"/>
    <w:rsid w:val="002C4A91"/>
    <w:rsid w:val="002D043A"/>
    <w:rsid w:val="002D452F"/>
    <w:rsid w:val="0030129C"/>
    <w:rsid w:val="0031713F"/>
    <w:rsid w:val="003173B2"/>
    <w:rsid w:val="0032105A"/>
    <w:rsid w:val="00321913"/>
    <w:rsid w:val="00324EE6"/>
    <w:rsid w:val="003316DC"/>
    <w:rsid w:val="003321EE"/>
    <w:rsid w:val="00332E0D"/>
    <w:rsid w:val="003415D3"/>
    <w:rsid w:val="00345EFE"/>
    <w:rsid w:val="00346335"/>
    <w:rsid w:val="00352B0F"/>
    <w:rsid w:val="00354E3F"/>
    <w:rsid w:val="00355060"/>
    <w:rsid w:val="003561B0"/>
    <w:rsid w:val="00367960"/>
    <w:rsid w:val="00371A37"/>
    <w:rsid w:val="0039503E"/>
    <w:rsid w:val="003952F0"/>
    <w:rsid w:val="003A11A9"/>
    <w:rsid w:val="003A15AC"/>
    <w:rsid w:val="003A3A75"/>
    <w:rsid w:val="003A56EB"/>
    <w:rsid w:val="003A5C0D"/>
    <w:rsid w:val="003A6A6C"/>
    <w:rsid w:val="003A6FE9"/>
    <w:rsid w:val="003B0627"/>
    <w:rsid w:val="003B237C"/>
    <w:rsid w:val="003C263E"/>
    <w:rsid w:val="003C2993"/>
    <w:rsid w:val="003C5067"/>
    <w:rsid w:val="003C5F2B"/>
    <w:rsid w:val="003D0BFE"/>
    <w:rsid w:val="003D3AC1"/>
    <w:rsid w:val="003D5700"/>
    <w:rsid w:val="003E37F7"/>
    <w:rsid w:val="003F0F5A"/>
    <w:rsid w:val="0040063A"/>
    <w:rsid w:val="00400A30"/>
    <w:rsid w:val="004022CA"/>
    <w:rsid w:val="00402A53"/>
    <w:rsid w:val="00403360"/>
    <w:rsid w:val="004049B1"/>
    <w:rsid w:val="00410353"/>
    <w:rsid w:val="004116CD"/>
    <w:rsid w:val="00412648"/>
    <w:rsid w:val="00414ADE"/>
    <w:rsid w:val="00424CA9"/>
    <w:rsid w:val="004257BB"/>
    <w:rsid w:val="004261D9"/>
    <w:rsid w:val="004268E1"/>
    <w:rsid w:val="004269E1"/>
    <w:rsid w:val="0042701F"/>
    <w:rsid w:val="0044291A"/>
    <w:rsid w:val="00447A95"/>
    <w:rsid w:val="00453581"/>
    <w:rsid w:val="00460499"/>
    <w:rsid w:val="004656F5"/>
    <w:rsid w:val="00472254"/>
    <w:rsid w:val="00474835"/>
    <w:rsid w:val="004819C7"/>
    <w:rsid w:val="0048364F"/>
    <w:rsid w:val="00487B4C"/>
    <w:rsid w:val="00490F2E"/>
    <w:rsid w:val="004933EC"/>
    <w:rsid w:val="00493AA8"/>
    <w:rsid w:val="00496DB3"/>
    <w:rsid w:val="00496F97"/>
    <w:rsid w:val="004A2292"/>
    <w:rsid w:val="004A3174"/>
    <w:rsid w:val="004A53EA"/>
    <w:rsid w:val="004A6141"/>
    <w:rsid w:val="004B33CA"/>
    <w:rsid w:val="004B46E6"/>
    <w:rsid w:val="004B5063"/>
    <w:rsid w:val="004C6E42"/>
    <w:rsid w:val="004E78D5"/>
    <w:rsid w:val="004F196B"/>
    <w:rsid w:val="004F1FAC"/>
    <w:rsid w:val="004F676E"/>
    <w:rsid w:val="004F7E42"/>
    <w:rsid w:val="00506EDA"/>
    <w:rsid w:val="00510FFD"/>
    <w:rsid w:val="005136B8"/>
    <w:rsid w:val="00515B4C"/>
    <w:rsid w:val="00516B8D"/>
    <w:rsid w:val="00517B92"/>
    <w:rsid w:val="005227F5"/>
    <w:rsid w:val="00523D8D"/>
    <w:rsid w:val="0052686F"/>
    <w:rsid w:val="0052756C"/>
    <w:rsid w:val="00530230"/>
    <w:rsid w:val="00530CC9"/>
    <w:rsid w:val="005364BD"/>
    <w:rsid w:val="00537434"/>
    <w:rsid w:val="00537FBC"/>
    <w:rsid w:val="00541D73"/>
    <w:rsid w:val="00543469"/>
    <w:rsid w:val="005438BE"/>
    <w:rsid w:val="0054506A"/>
    <w:rsid w:val="005452CC"/>
    <w:rsid w:val="00546FA3"/>
    <w:rsid w:val="00554243"/>
    <w:rsid w:val="00557C7A"/>
    <w:rsid w:val="00562668"/>
    <w:rsid w:val="00562A58"/>
    <w:rsid w:val="0056768F"/>
    <w:rsid w:val="00567D2C"/>
    <w:rsid w:val="00575173"/>
    <w:rsid w:val="00581211"/>
    <w:rsid w:val="00584811"/>
    <w:rsid w:val="00586D3D"/>
    <w:rsid w:val="00593AA6"/>
    <w:rsid w:val="00593DBA"/>
    <w:rsid w:val="00594161"/>
    <w:rsid w:val="00594512"/>
    <w:rsid w:val="00594749"/>
    <w:rsid w:val="005A482B"/>
    <w:rsid w:val="005A69E0"/>
    <w:rsid w:val="005A6AE9"/>
    <w:rsid w:val="005B1265"/>
    <w:rsid w:val="005B3C9A"/>
    <w:rsid w:val="005B4067"/>
    <w:rsid w:val="005C36E0"/>
    <w:rsid w:val="005C3F41"/>
    <w:rsid w:val="005D13A0"/>
    <w:rsid w:val="005D168D"/>
    <w:rsid w:val="005D5EA1"/>
    <w:rsid w:val="005E61D3"/>
    <w:rsid w:val="005F4840"/>
    <w:rsid w:val="005F7738"/>
    <w:rsid w:val="00600219"/>
    <w:rsid w:val="00613EAD"/>
    <w:rsid w:val="006158AC"/>
    <w:rsid w:val="00620E04"/>
    <w:rsid w:val="006264C0"/>
    <w:rsid w:val="00634DC2"/>
    <w:rsid w:val="00640402"/>
    <w:rsid w:val="00640F78"/>
    <w:rsid w:val="006427F8"/>
    <w:rsid w:val="00646E7B"/>
    <w:rsid w:val="006530D0"/>
    <w:rsid w:val="00655D6A"/>
    <w:rsid w:val="00656DE9"/>
    <w:rsid w:val="00661835"/>
    <w:rsid w:val="00677CC2"/>
    <w:rsid w:val="00680E87"/>
    <w:rsid w:val="00685F42"/>
    <w:rsid w:val="006866A1"/>
    <w:rsid w:val="00686D18"/>
    <w:rsid w:val="0069207B"/>
    <w:rsid w:val="00696632"/>
    <w:rsid w:val="006A4309"/>
    <w:rsid w:val="006B0E55"/>
    <w:rsid w:val="006B1385"/>
    <w:rsid w:val="006B7006"/>
    <w:rsid w:val="006C0EFF"/>
    <w:rsid w:val="006C5FCD"/>
    <w:rsid w:val="006C7F8C"/>
    <w:rsid w:val="006D66C1"/>
    <w:rsid w:val="006D7AB9"/>
    <w:rsid w:val="006E073F"/>
    <w:rsid w:val="006E15C4"/>
    <w:rsid w:val="006F50A6"/>
    <w:rsid w:val="00700B2C"/>
    <w:rsid w:val="007010A1"/>
    <w:rsid w:val="00706911"/>
    <w:rsid w:val="00713084"/>
    <w:rsid w:val="007147BB"/>
    <w:rsid w:val="00715F1C"/>
    <w:rsid w:val="00720FC2"/>
    <w:rsid w:val="00731E00"/>
    <w:rsid w:val="00732E9D"/>
    <w:rsid w:val="0073491A"/>
    <w:rsid w:val="007376AF"/>
    <w:rsid w:val="00741E10"/>
    <w:rsid w:val="00742331"/>
    <w:rsid w:val="00742DDE"/>
    <w:rsid w:val="007440B7"/>
    <w:rsid w:val="00745FF1"/>
    <w:rsid w:val="007473C5"/>
    <w:rsid w:val="00747993"/>
    <w:rsid w:val="00753D68"/>
    <w:rsid w:val="00754CC3"/>
    <w:rsid w:val="0076044E"/>
    <w:rsid w:val="007634AD"/>
    <w:rsid w:val="007678EF"/>
    <w:rsid w:val="007715C9"/>
    <w:rsid w:val="00774EDD"/>
    <w:rsid w:val="007757EC"/>
    <w:rsid w:val="0078333E"/>
    <w:rsid w:val="00785B27"/>
    <w:rsid w:val="00785E19"/>
    <w:rsid w:val="00796C33"/>
    <w:rsid w:val="007A115D"/>
    <w:rsid w:val="007A1658"/>
    <w:rsid w:val="007A35E6"/>
    <w:rsid w:val="007A6863"/>
    <w:rsid w:val="007B2AA8"/>
    <w:rsid w:val="007B3EA7"/>
    <w:rsid w:val="007B4DC0"/>
    <w:rsid w:val="007D12AB"/>
    <w:rsid w:val="007D45C1"/>
    <w:rsid w:val="007E7D4A"/>
    <w:rsid w:val="007F260B"/>
    <w:rsid w:val="007F48ED"/>
    <w:rsid w:val="007F7947"/>
    <w:rsid w:val="008073F6"/>
    <w:rsid w:val="008077B4"/>
    <w:rsid w:val="00812F45"/>
    <w:rsid w:val="00823B55"/>
    <w:rsid w:val="00824D59"/>
    <w:rsid w:val="008377ED"/>
    <w:rsid w:val="0084172C"/>
    <w:rsid w:val="00844A26"/>
    <w:rsid w:val="00845AC2"/>
    <w:rsid w:val="008540A2"/>
    <w:rsid w:val="0085559E"/>
    <w:rsid w:val="00856A31"/>
    <w:rsid w:val="00864F2A"/>
    <w:rsid w:val="008754D0"/>
    <w:rsid w:val="00877D48"/>
    <w:rsid w:val="008816F0"/>
    <w:rsid w:val="0088345B"/>
    <w:rsid w:val="008A16A5"/>
    <w:rsid w:val="008B234B"/>
    <w:rsid w:val="008B5D42"/>
    <w:rsid w:val="008B5DC3"/>
    <w:rsid w:val="008B7626"/>
    <w:rsid w:val="008C2B5D"/>
    <w:rsid w:val="008C35D5"/>
    <w:rsid w:val="008C3EBF"/>
    <w:rsid w:val="008D0EE0"/>
    <w:rsid w:val="008D23AC"/>
    <w:rsid w:val="008D5B99"/>
    <w:rsid w:val="008D7A27"/>
    <w:rsid w:val="008E261A"/>
    <w:rsid w:val="008E4180"/>
    <w:rsid w:val="008E4702"/>
    <w:rsid w:val="008E69AA"/>
    <w:rsid w:val="008F4F1C"/>
    <w:rsid w:val="008F6B16"/>
    <w:rsid w:val="009028E7"/>
    <w:rsid w:val="00911310"/>
    <w:rsid w:val="009167AF"/>
    <w:rsid w:val="00922764"/>
    <w:rsid w:val="0093002E"/>
    <w:rsid w:val="00932377"/>
    <w:rsid w:val="009378FA"/>
    <w:rsid w:val="009408EA"/>
    <w:rsid w:val="00943102"/>
    <w:rsid w:val="0094523D"/>
    <w:rsid w:val="00945E03"/>
    <w:rsid w:val="00947A81"/>
    <w:rsid w:val="009559E6"/>
    <w:rsid w:val="009577FD"/>
    <w:rsid w:val="00976A63"/>
    <w:rsid w:val="00983419"/>
    <w:rsid w:val="00983A0B"/>
    <w:rsid w:val="00994821"/>
    <w:rsid w:val="00996A0D"/>
    <w:rsid w:val="009A6F77"/>
    <w:rsid w:val="009B75AE"/>
    <w:rsid w:val="009C3431"/>
    <w:rsid w:val="009C4C35"/>
    <w:rsid w:val="009C5989"/>
    <w:rsid w:val="009D08DA"/>
    <w:rsid w:val="009D6217"/>
    <w:rsid w:val="009E440E"/>
    <w:rsid w:val="009E7FED"/>
    <w:rsid w:val="00A00A56"/>
    <w:rsid w:val="00A06860"/>
    <w:rsid w:val="00A136F5"/>
    <w:rsid w:val="00A231E2"/>
    <w:rsid w:val="00A2550D"/>
    <w:rsid w:val="00A278B9"/>
    <w:rsid w:val="00A3008C"/>
    <w:rsid w:val="00A33AEC"/>
    <w:rsid w:val="00A3796A"/>
    <w:rsid w:val="00A4169B"/>
    <w:rsid w:val="00A431D6"/>
    <w:rsid w:val="00A445F2"/>
    <w:rsid w:val="00A50D55"/>
    <w:rsid w:val="00A5165B"/>
    <w:rsid w:val="00A52FDA"/>
    <w:rsid w:val="00A64912"/>
    <w:rsid w:val="00A70A74"/>
    <w:rsid w:val="00A70D56"/>
    <w:rsid w:val="00A72B9A"/>
    <w:rsid w:val="00A7728E"/>
    <w:rsid w:val="00A863FB"/>
    <w:rsid w:val="00A90EA8"/>
    <w:rsid w:val="00A93ABE"/>
    <w:rsid w:val="00A94CDD"/>
    <w:rsid w:val="00AA0343"/>
    <w:rsid w:val="00AA0B70"/>
    <w:rsid w:val="00AA2A5C"/>
    <w:rsid w:val="00AA5C78"/>
    <w:rsid w:val="00AB2640"/>
    <w:rsid w:val="00AB78E9"/>
    <w:rsid w:val="00AC1869"/>
    <w:rsid w:val="00AD3467"/>
    <w:rsid w:val="00AD5641"/>
    <w:rsid w:val="00AD7252"/>
    <w:rsid w:val="00AD75AD"/>
    <w:rsid w:val="00AE0F9B"/>
    <w:rsid w:val="00AF012E"/>
    <w:rsid w:val="00AF55FF"/>
    <w:rsid w:val="00AF5758"/>
    <w:rsid w:val="00B032D8"/>
    <w:rsid w:val="00B0586B"/>
    <w:rsid w:val="00B07012"/>
    <w:rsid w:val="00B076B1"/>
    <w:rsid w:val="00B10546"/>
    <w:rsid w:val="00B21886"/>
    <w:rsid w:val="00B33B3C"/>
    <w:rsid w:val="00B40D74"/>
    <w:rsid w:val="00B42E75"/>
    <w:rsid w:val="00B52663"/>
    <w:rsid w:val="00B54DC2"/>
    <w:rsid w:val="00B559C3"/>
    <w:rsid w:val="00B56DCB"/>
    <w:rsid w:val="00B73C55"/>
    <w:rsid w:val="00B7537F"/>
    <w:rsid w:val="00B7622B"/>
    <w:rsid w:val="00B770D2"/>
    <w:rsid w:val="00B84A0E"/>
    <w:rsid w:val="00B858C9"/>
    <w:rsid w:val="00B878C8"/>
    <w:rsid w:val="00B90F8F"/>
    <w:rsid w:val="00B92607"/>
    <w:rsid w:val="00B94F68"/>
    <w:rsid w:val="00BA2ADA"/>
    <w:rsid w:val="00BA47A3"/>
    <w:rsid w:val="00BA5026"/>
    <w:rsid w:val="00BA6ED0"/>
    <w:rsid w:val="00BB6E79"/>
    <w:rsid w:val="00BE2609"/>
    <w:rsid w:val="00BE3B31"/>
    <w:rsid w:val="00BE719A"/>
    <w:rsid w:val="00BE720A"/>
    <w:rsid w:val="00BF6650"/>
    <w:rsid w:val="00C01240"/>
    <w:rsid w:val="00C067E5"/>
    <w:rsid w:val="00C10D66"/>
    <w:rsid w:val="00C164CA"/>
    <w:rsid w:val="00C27FBA"/>
    <w:rsid w:val="00C356A5"/>
    <w:rsid w:val="00C42BF8"/>
    <w:rsid w:val="00C460AE"/>
    <w:rsid w:val="00C50043"/>
    <w:rsid w:val="00C50A0F"/>
    <w:rsid w:val="00C55C0E"/>
    <w:rsid w:val="00C71F0E"/>
    <w:rsid w:val="00C72116"/>
    <w:rsid w:val="00C7573B"/>
    <w:rsid w:val="00C76CF3"/>
    <w:rsid w:val="00C95D3A"/>
    <w:rsid w:val="00CA49CA"/>
    <w:rsid w:val="00CA7844"/>
    <w:rsid w:val="00CB58EF"/>
    <w:rsid w:val="00CC37F5"/>
    <w:rsid w:val="00CC4689"/>
    <w:rsid w:val="00CE69D2"/>
    <w:rsid w:val="00CE7D64"/>
    <w:rsid w:val="00CF0BB2"/>
    <w:rsid w:val="00CF6996"/>
    <w:rsid w:val="00D10B02"/>
    <w:rsid w:val="00D13441"/>
    <w:rsid w:val="00D20665"/>
    <w:rsid w:val="00D23A03"/>
    <w:rsid w:val="00D243A3"/>
    <w:rsid w:val="00D24752"/>
    <w:rsid w:val="00D24983"/>
    <w:rsid w:val="00D2781A"/>
    <w:rsid w:val="00D3200B"/>
    <w:rsid w:val="00D33440"/>
    <w:rsid w:val="00D37F2F"/>
    <w:rsid w:val="00D41171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17D"/>
    <w:rsid w:val="00D766DF"/>
    <w:rsid w:val="00D95891"/>
    <w:rsid w:val="00DA2EFF"/>
    <w:rsid w:val="00DA5D06"/>
    <w:rsid w:val="00DA65A1"/>
    <w:rsid w:val="00DB5CB4"/>
    <w:rsid w:val="00DC26D9"/>
    <w:rsid w:val="00DC4E8C"/>
    <w:rsid w:val="00DE149E"/>
    <w:rsid w:val="00DF42FB"/>
    <w:rsid w:val="00DF43D9"/>
    <w:rsid w:val="00DF5DA6"/>
    <w:rsid w:val="00E03BFD"/>
    <w:rsid w:val="00E04A5C"/>
    <w:rsid w:val="00E05704"/>
    <w:rsid w:val="00E12F1A"/>
    <w:rsid w:val="00E15561"/>
    <w:rsid w:val="00E21CFB"/>
    <w:rsid w:val="00E22935"/>
    <w:rsid w:val="00E37E85"/>
    <w:rsid w:val="00E5109E"/>
    <w:rsid w:val="00E54292"/>
    <w:rsid w:val="00E60191"/>
    <w:rsid w:val="00E6024B"/>
    <w:rsid w:val="00E604D8"/>
    <w:rsid w:val="00E61262"/>
    <w:rsid w:val="00E624D6"/>
    <w:rsid w:val="00E66CB8"/>
    <w:rsid w:val="00E74DC7"/>
    <w:rsid w:val="00E844F9"/>
    <w:rsid w:val="00E87699"/>
    <w:rsid w:val="00E92E27"/>
    <w:rsid w:val="00E9586B"/>
    <w:rsid w:val="00E97334"/>
    <w:rsid w:val="00EA0D36"/>
    <w:rsid w:val="00EC3734"/>
    <w:rsid w:val="00ED4928"/>
    <w:rsid w:val="00EE3749"/>
    <w:rsid w:val="00EE6190"/>
    <w:rsid w:val="00EE631E"/>
    <w:rsid w:val="00EF0611"/>
    <w:rsid w:val="00EF2E3A"/>
    <w:rsid w:val="00EF6402"/>
    <w:rsid w:val="00F025DF"/>
    <w:rsid w:val="00F047E2"/>
    <w:rsid w:val="00F04D57"/>
    <w:rsid w:val="00F05D0B"/>
    <w:rsid w:val="00F078DC"/>
    <w:rsid w:val="00F105F2"/>
    <w:rsid w:val="00F1334B"/>
    <w:rsid w:val="00F13E86"/>
    <w:rsid w:val="00F32FCB"/>
    <w:rsid w:val="00F33474"/>
    <w:rsid w:val="00F469D3"/>
    <w:rsid w:val="00F52673"/>
    <w:rsid w:val="00F531CF"/>
    <w:rsid w:val="00F6709F"/>
    <w:rsid w:val="00F677A9"/>
    <w:rsid w:val="00F723BD"/>
    <w:rsid w:val="00F732EA"/>
    <w:rsid w:val="00F8348A"/>
    <w:rsid w:val="00F84CF5"/>
    <w:rsid w:val="00F8612E"/>
    <w:rsid w:val="00FA420B"/>
    <w:rsid w:val="00FC4933"/>
    <w:rsid w:val="00FC545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9A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772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28E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28E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28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28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28E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728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728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728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728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728E"/>
  </w:style>
  <w:style w:type="paragraph" w:customStyle="1" w:styleId="OPCParaBase">
    <w:name w:val="OPCParaBase"/>
    <w:qFormat/>
    <w:rsid w:val="00A772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72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72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72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72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72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72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72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72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72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72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728E"/>
  </w:style>
  <w:style w:type="paragraph" w:customStyle="1" w:styleId="Blocks">
    <w:name w:val="Blocks"/>
    <w:aliases w:val="bb"/>
    <w:basedOn w:val="OPCParaBase"/>
    <w:qFormat/>
    <w:rsid w:val="00A772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72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72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728E"/>
    <w:rPr>
      <w:i/>
    </w:rPr>
  </w:style>
  <w:style w:type="paragraph" w:customStyle="1" w:styleId="BoxList">
    <w:name w:val="BoxList"/>
    <w:aliases w:val="bl"/>
    <w:basedOn w:val="BoxText"/>
    <w:qFormat/>
    <w:rsid w:val="00A772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72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72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728E"/>
    <w:pPr>
      <w:ind w:left="1985" w:hanging="851"/>
    </w:pPr>
  </w:style>
  <w:style w:type="character" w:customStyle="1" w:styleId="CharAmPartNo">
    <w:name w:val="CharAmPartNo"/>
    <w:basedOn w:val="OPCCharBase"/>
    <w:qFormat/>
    <w:rsid w:val="00A7728E"/>
  </w:style>
  <w:style w:type="character" w:customStyle="1" w:styleId="CharAmPartText">
    <w:name w:val="CharAmPartText"/>
    <w:basedOn w:val="OPCCharBase"/>
    <w:qFormat/>
    <w:rsid w:val="00A7728E"/>
  </w:style>
  <w:style w:type="character" w:customStyle="1" w:styleId="CharAmSchNo">
    <w:name w:val="CharAmSchNo"/>
    <w:basedOn w:val="OPCCharBase"/>
    <w:qFormat/>
    <w:rsid w:val="00A7728E"/>
  </w:style>
  <w:style w:type="character" w:customStyle="1" w:styleId="CharAmSchText">
    <w:name w:val="CharAmSchText"/>
    <w:basedOn w:val="OPCCharBase"/>
    <w:qFormat/>
    <w:rsid w:val="00A7728E"/>
  </w:style>
  <w:style w:type="character" w:customStyle="1" w:styleId="CharBoldItalic">
    <w:name w:val="CharBoldItalic"/>
    <w:basedOn w:val="OPCCharBase"/>
    <w:uiPriority w:val="1"/>
    <w:qFormat/>
    <w:rsid w:val="00A772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728E"/>
  </w:style>
  <w:style w:type="character" w:customStyle="1" w:styleId="CharChapText">
    <w:name w:val="CharChapText"/>
    <w:basedOn w:val="OPCCharBase"/>
    <w:uiPriority w:val="1"/>
    <w:qFormat/>
    <w:rsid w:val="00A7728E"/>
  </w:style>
  <w:style w:type="character" w:customStyle="1" w:styleId="CharDivNo">
    <w:name w:val="CharDivNo"/>
    <w:basedOn w:val="OPCCharBase"/>
    <w:uiPriority w:val="1"/>
    <w:qFormat/>
    <w:rsid w:val="00A7728E"/>
  </w:style>
  <w:style w:type="character" w:customStyle="1" w:styleId="CharDivText">
    <w:name w:val="CharDivText"/>
    <w:basedOn w:val="OPCCharBase"/>
    <w:uiPriority w:val="1"/>
    <w:qFormat/>
    <w:rsid w:val="00A7728E"/>
  </w:style>
  <w:style w:type="character" w:customStyle="1" w:styleId="CharItalic">
    <w:name w:val="CharItalic"/>
    <w:basedOn w:val="OPCCharBase"/>
    <w:uiPriority w:val="1"/>
    <w:qFormat/>
    <w:rsid w:val="00A7728E"/>
    <w:rPr>
      <w:i/>
    </w:rPr>
  </w:style>
  <w:style w:type="character" w:customStyle="1" w:styleId="CharPartNo">
    <w:name w:val="CharPartNo"/>
    <w:basedOn w:val="OPCCharBase"/>
    <w:uiPriority w:val="1"/>
    <w:qFormat/>
    <w:rsid w:val="00A7728E"/>
  </w:style>
  <w:style w:type="character" w:customStyle="1" w:styleId="CharPartText">
    <w:name w:val="CharPartText"/>
    <w:basedOn w:val="OPCCharBase"/>
    <w:uiPriority w:val="1"/>
    <w:qFormat/>
    <w:rsid w:val="00A7728E"/>
  </w:style>
  <w:style w:type="character" w:customStyle="1" w:styleId="CharSectno">
    <w:name w:val="CharSectno"/>
    <w:basedOn w:val="OPCCharBase"/>
    <w:qFormat/>
    <w:rsid w:val="00A7728E"/>
  </w:style>
  <w:style w:type="character" w:customStyle="1" w:styleId="CharSubdNo">
    <w:name w:val="CharSubdNo"/>
    <w:basedOn w:val="OPCCharBase"/>
    <w:uiPriority w:val="1"/>
    <w:qFormat/>
    <w:rsid w:val="00A7728E"/>
  </w:style>
  <w:style w:type="character" w:customStyle="1" w:styleId="CharSubdText">
    <w:name w:val="CharSubdText"/>
    <w:basedOn w:val="OPCCharBase"/>
    <w:uiPriority w:val="1"/>
    <w:qFormat/>
    <w:rsid w:val="00A7728E"/>
  </w:style>
  <w:style w:type="paragraph" w:customStyle="1" w:styleId="CTA--">
    <w:name w:val="CTA --"/>
    <w:basedOn w:val="OPCParaBase"/>
    <w:next w:val="Normal"/>
    <w:rsid w:val="00A772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72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72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72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72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72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72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72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72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72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72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72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72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72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72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72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72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72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72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72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72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72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72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72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72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772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72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72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72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72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72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72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72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72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72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772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72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72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72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72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72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72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72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72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72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72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72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72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72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72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772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72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728E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72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72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72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72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72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728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72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728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728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728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728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72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72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72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72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72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72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72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72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728E"/>
    <w:rPr>
      <w:sz w:val="16"/>
    </w:rPr>
  </w:style>
  <w:style w:type="table" w:customStyle="1" w:styleId="CFlag">
    <w:name w:val="CFlag"/>
    <w:basedOn w:val="TableNormal"/>
    <w:uiPriority w:val="99"/>
    <w:rsid w:val="00A772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7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7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72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72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72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72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72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728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728E"/>
    <w:pPr>
      <w:spacing w:before="120"/>
    </w:pPr>
  </w:style>
  <w:style w:type="paragraph" w:customStyle="1" w:styleId="CompiledActNo">
    <w:name w:val="CompiledActNo"/>
    <w:basedOn w:val="OPCParaBase"/>
    <w:next w:val="Normal"/>
    <w:rsid w:val="00A772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72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72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72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72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72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72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72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72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72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72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72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72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72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72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72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72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728E"/>
  </w:style>
  <w:style w:type="character" w:customStyle="1" w:styleId="CharSubPartNoCASA">
    <w:name w:val="CharSubPartNo(CASA)"/>
    <w:basedOn w:val="OPCCharBase"/>
    <w:uiPriority w:val="1"/>
    <w:rsid w:val="00A7728E"/>
  </w:style>
  <w:style w:type="paragraph" w:customStyle="1" w:styleId="ENoteTTIndentHeadingSub">
    <w:name w:val="ENoteTTIndentHeadingSub"/>
    <w:aliases w:val="enTTHis"/>
    <w:basedOn w:val="OPCParaBase"/>
    <w:rsid w:val="00A772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72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72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72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72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72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72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728E"/>
    <w:rPr>
      <w:sz w:val="22"/>
    </w:rPr>
  </w:style>
  <w:style w:type="paragraph" w:customStyle="1" w:styleId="SOTextNote">
    <w:name w:val="SO TextNote"/>
    <w:aliases w:val="sont"/>
    <w:basedOn w:val="SOText"/>
    <w:qFormat/>
    <w:rsid w:val="00A772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72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728E"/>
    <w:rPr>
      <w:sz w:val="22"/>
    </w:rPr>
  </w:style>
  <w:style w:type="paragraph" w:customStyle="1" w:styleId="FileName">
    <w:name w:val="FileName"/>
    <w:basedOn w:val="Normal"/>
    <w:rsid w:val="00A7728E"/>
  </w:style>
  <w:style w:type="paragraph" w:customStyle="1" w:styleId="TableHeading">
    <w:name w:val="TableHeading"/>
    <w:aliases w:val="th"/>
    <w:basedOn w:val="OPCParaBase"/>
    <w:next w:val="Tabletext"/>
    <w:rsid w:val="00A772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72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72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72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72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72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72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72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72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72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72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72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72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72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7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2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72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72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72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72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72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72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7728E"/>
  </w:style>
  <w:style w:type="character" w:customStyle="1" w:styleId="charlegsubtitle1">
    <w:name w:val="charlegsubtitle1"/>
    <w:basedOn w:val="DefaultParagraphFont"/>
    <w:rsid w:val="00A7728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728E"/>
    <w:pPr>
      <w:ind w:left="240" w:hanging="240"/>
    </w:pPr>
  </w:style>
  <w:style w:type="paragraph" w:styleId="Index2">
    <w:name w:val="index 2"/>
    <w:basedOn w:val="Normal"/>
    <w:next w:val="Normal"/>
    <w:autoRedefine/>
    <w:rsid w:val="00A7728E"/>
    <w:pPr>
      <w:ind w:left="480" w:hanging="240"/>
    </w:pPr>
  </w:style>
  <w:style w:type="paragraph" w:styleId="Index3">
    <w:name w:val="index 3"/>
    <w:basedOn w:val="Normal"/>
    <w:next w:val="Normal"/>
    <w:autoRedefine/>
    <w:rsid w:val="00A7728E"/>
    <w:pPr>
      <w:ind w:left="720" w:hanging="240"/>
    </w:pPr>
  </w:style>
  <w:style w:type="paragraph" w:styleId="Index4">
    <w:name w:val="index 4"/>
    <w:basedOn w:val="Normal"/>
    <w:next w:val="Normal"/>
    <w:autoRedefine/>
    <w:rsid w:val="00A7728E"/>
    <w:pPr>
      <w:ind w:left="960" w:hanging="240"/>
    </w:pPr>
  </w:style>
  <w:style w:type="paragraph" w:styleId="Index5">
    <w:name w:val="index 5"/>
    <w:basedOn w:val="Normal"/>
    <w:next w:val="Normal"/>
    <w:autoRedefine/>
    <w:rsid w:val="00A7728E"/>
    <w:pPr>
      <w:ind w:left="1200" w:hanging="240"/>
    </w:pPr>
  </w:style>
  <w:style w:type="paragraph" w:styleId="Index6">
    <w:name w:val="index 6"/>
    <w:basedOn w:val="Normal"/>
    <w:next w:val="Normal"/>
    <w:autoRedefine/>
    <w:rsid w:val="00A7728E"/>
    <w:pPr>
      <w:ind w:left="1440" w:hanging="240"/>
    </w:pPr>
  </w:style>
  <w:style w:type="paragraph" w:styleId="Index7">
    <w:name w:val="index 7"/>
    <w:basedOn w:val="Normal"/>
    <w:next w:val="Normal"/>
    <w:autoRedefine/>
    <w:rsid w:val="00A7728E"/>
    <w:pPr>
      <w:ind w:left="1680" w:hanging="240"/>
    </w:pPr>
  </w:style>
  <w:style w:type="paragraph" w:styleId="Index8">
    <w:name w:val="index 8"/>
    <w:basedOn w:val="Normal"/>
    <w:next w:val="Normal"/>
    <w:autoRedefine/>
    <w:rsid w:val="00A7728E"/>
    <w:pPr>
      <w:ind w:left="1920" w:hanging="240"/>
    </w:pPr>
  </w:style>
  <w:style w:type="paragraph" w:styleId="Index9">
    <w:name w:val="index 9"/>
    <w:basedOn w:val="Normal"/>
    <w:next w:val="Normal"/>
    <w:autoRedefine/>
    <w:rsid w:val="00A7728E"/>
    <w:pPr>
      <w:ind w:left="2160" w:hanging="240"/>
    </w:pPr>
  </w:style>
  <w:style w:type="paragraph" w:styleId="NormalIndent">
    <w:name w:val="Normal Indent"/>
    <w:basedOn w:val="Normal"/>
    <w:rsid w:val="00A7728E"/>
    <w:pPr>
      <w:ind w:left="720"/>
    </w:pPr>
  </w:style>
  <w:style w:type="paragraph" w:styleId="FootnoteText">
    <w:name w:val="footnote text"/>
    <w:basedOn w:val="Normal"/>
    <w:link w:val="FootnoteTextChar"/>
    <w:rsid w:val="00A7728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728E"/>
  </w:style>
  <w:style w:type="paragraph" w:styleId="CommentText">
    <w:name w:val="annotation text"/>
    <w:basedOn w:val="Normal"/>
    <w:link w:val="CommentTextChar"/>
    <w:rsid w:val="00A772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728E"/>
  </w:style>
  <w:style w:type="paragraph" w:styleId="IndexHeading">
    <w:name w:val="index heading"/>
    <w:basedOn w:val="Normal"/>
    <w:next w:val="Index1"/>
    <w:rsid w:val="00A7728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728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728E"/>
    <w:pPr>
      <w:ind w:left="480" w:hanging="480"/>
    </w:pPr>
  </w:style>
  <w:style w:type="paragraph" w:styleId="EnvelopeAddress">
    <w:name w:val="envelope address"/>
    <w:basedOn w:val="Normal"/>
    <w:rsid w:val="00A772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728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728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728E"/>
    <w:rPr>
      <w:sz w:val="16"/>
      <w:szCs w:val="16"/>
    </w:rPr>
  </w:style>
  <w:style w:type="character" w:styleId="PageNumber">
    <w:name w:val="page number"/>
    <w:basedOn w:val="DefaultParagraphFont"/>
    <w:rsid w:val="00A7728E"/>
  </w:style>
  <w:style w:type="character" w:styleId="EndnoteReference">
    <w:name w:val="endnote reference"/>
    <w:basedOn w:val="DefaultParagraphFont"/>
    <w:rsid w:val="00A7728E"/>
    <w:rPr>
      <w:vertAlign w:val="superscript"/>
    </w:rPr>
  </w:style>
  <w:style w:type="paragraph" w:styleId="EndnoteText">
    <w:name w:val="endnote text"/>
    <w:basedOn w:val="Normal"/>
    <w:link w:val="EndnoteTextChar"/>
    <w:rsid w:val="00A7728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728E"/>
  </w:style>
  <w:style w:type="paragraph" w:styleId="TableofAuthorities">
    <w:name w:val="table of authorities"/>
    <w:basedOn w:val="Normal"/>
    <w:next w:val="Normal"/>
    <w:rsid w:val="00A7728E"/>
    <w:pPr>
      <w:ind w:left="240" w:hanging="240"/>
    </w:pPr>
  </w:style>
  <w:style w:type="paragraph" w:styleId="MacroText">
    <w:name w:val="macro"/>
    <w:link w:val="MacroTextChar"/>
    <w:rsid w:val="00A772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728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728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728E"/>
    <w:pPr>
      <w:ind w:left="283" w:hanging="283"/>
    </w:pPr>
  </w:style>
  <w:style w:type="paragraph" w:styleId="ListBullet">
    <w:name w:val="List Bullet"/>
    <w:basedOn w:val="Normal"/>
    <w:autoRedefine/>
    <w:rsid w:val="00A7728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728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728E"/>
    <w:pPr>
      <w:ind w:left="566" w:hanging="283"/>
    </w:pPr>
  </w:style>
  <w:style w:type="paragraph" w:styleId="List3">
    <w:name w:val="List 3"/>
    <w:basedOn w:val="Normal"/>
    <w:rsid w:val="00A7728E"/>
    <w:pPr>
      <w:ind w:left="849" w:hanging="283"/>
    </w:pPr>
  </w:style>
  <w:style w:type="paragraph" w:styleId="List4">
    <w:name w:val="List 4"/>
    <w:basedOn w:val="Normal"/>
    <w:rsid w:val="00A7728E"/>
    <w:pPr>
      <w:ind w:left="1132" w:hanging="283"/>
    </w:pPr>
  </w:style>
  <w:style w:type="paragraph" w:styleId="List5">
    <w:name w:val="List 5"/>
    <w:basedOn w:val="Normal"/>
    <w:rsid w:val="00A7728E"/>
    <w:pPr>
      <w:ind w:left="1415" w:hanging="283"/>
    </w:pPr>
  </w:style>
  <w:style w:type="paragraph" w:styleId="ListBullet2">
    <w:name w:val="List Bullet 2"/>
    <w:basedOn w:val="Normal"/>
    <w:autoRedefine/>
    <w:rsid w:val="00A7728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728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728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728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728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728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728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728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728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728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728E"/>
    <w:pPr>
      <w:ind w:left="4252"/>
    </w:pPr>
  </w:style>
  <w:style w:type="character" w:customStyle="1" w:styleId="ClosingChar">
    <w:name w:val="Closing Char"/>
    <w:basedOn w:val="DefaultParagraphFont"/>
    <w:link w:val="Closing"/>
    <w:rsid w:val="00A7728E"/>
    <w:rPr>
      <w:sz w:val="22"/>
    </w:rPr>
  </w:style>
  <w:style w:type="paragraph" w:styleId="Signature">
    <w:name w:val="Signature"/>
    <w:basedOn w:val="Normal"/>
    <w:link w:val="SignatureChar"/>
    <w:rsid w:val="00A772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728E"/>
    <w:rPr>
      <w:sz w:val="22"/>
    </w:rPr>
  </w:style>
  <w:style w:type="paragraph" w:styleId="BodyText">
    <w:name w:val="Body Text"/>
    <w:basedOn w:val="Normal"/>
    <w:link w:val="BodyTextChar"/>
    <w:rsid w:val="00A772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728E"/>
    <w:rPr>
      <w:sz w:val="22"/>
    </w:rPr>
  </w:style>
  <w:style w:type="paragraph" w:styleId="BodyTextIndent">
    <w:name w:val="Body Text Indent"/>
    <w:basedOn w:val="Normal"/>
    <w:link w:val="BodyTextIndentChar"/>
    <w:rsid w:val="00A772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728E"/>
    <w:rPr>
      <w:sz w:val="22"/>
    </w:rPr>
  </w:style>
  <w:style w:type="paragraph" w:styleId="ListContinue">
    <w:name w:val="List Continue"/>
    <w:basedOn w:val="Normal"/>
    <w:rsid w:val="00A7728E"/>
    <w:pPr>
      <w:spacing w:after="120"/>
      <w:ind w:left="283"/>
    </w:pPr>
  </w:style>
  <w:style w:type="paragraph" w:styleId="ListContinue2">
    <w:name w:val="List Continue 2"/>
    <w:basedOn w:val="Normal"/>
    <w:rsid w:val="00A7728E"/>
    <w:pPr>
      <w:spacing w:after="120"/>
      <w:ind w:left="566"/>
    </w:pPr>
  </w:style>
  <w:style w:type="paragraph" w:styleId="ListContinue3">
    <w:name w:val="List Continue 3"/>
    <w:basedOn w:val="Normal"/>
    <w:rsid w:val="00A7728E"/>
    <w:pPr>
      <w:spacing w:after="120"/>
      <w:ind w:left="849"/>
    </w:pPr>
  </w:style>
  <w:style w:type="paragraph" w:styleId="ListContinue4">
    <w:name w:val="List Continue 4"/>
    <w:basedOn w:val="Normal"/>
    <w:rsid w:val="00A7728E"/>
    <w:pPr>
      <w:spacing w:after="120"/>
      <w:ind w:left="1132"/>
    </w:pPr>
  </w:style>
  <w:style w:type="paragraph" w:styleId="ListContinue5">
    <w:name w:val="List Continue 5"/>
    <w:basedOn w:val="Normal"/>
    <w:rsid w:val="00A7728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72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728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72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728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728E"/>
  </w:style>
  <w:style w:type="character" w:customStyle="1" w:styleId="SalutationChar">
    <w:name w:val="Salutation Char"/>
    <w:basedOn w:val="DefaultParagraphFont"/>
    <w:link w:val="Salutation"/>
    <w:rsid w:val="00A7728E"/>
    <w:rPr>
      <w:sz w:val="22"/>
    </w:rPr>
  </w:style>
  <w:style w:type="paragraph" w:styleId="Date">
    <w:name w:val="Date"/>
    <w:basedOn w:val="Normal"/>
    <w:next w:val="Normal"/>
    <w:link w:val="DateChar"/>
    <w:rsid w:val="00A7728E"/>
  </w:style>
  <w:style w:type="character" w:customStyle="1" w:styleId="DateChar">
    <w:name w:val="Date Char"/>
    <w:basedOn w:val="DefaultParagraphFont"/>
    <w:link w:val="Date"/>
    <w:rsid w:val="00A7728E"/>
    <w:rPr>
      <w:sz w:val="22"/>
    </w:rPr>
  </w:style>
  <w:style w:type="paragraph" w:styleId="BodyTextFirstIndent">
    <w:name w:val="Body Text First Indent"/>
    <w:basedOn w:val="BodyText"/>
    <w:link w:val="BodyTextFirstIndentChar"/>
    <w:rsid w:val="00A772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728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72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728E"/>
    <w:rPr>
      <w:sz w:val="22"/>
    </w:rPr>
  </w:style>
  <w:style w:type="paragraph" w:styleId="BodyText2">
    <w:name w:val="Body Text 2"/>
    <w:basedOn w:val="Normal"/>
    <w:link w:val="BodyText2Char"/>
    <w:rsid w:val="00A772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728E"/>
    <w:rPr>
      <w:sz w:val="22"/>
    </w:rPr>
  </w:style>
  <w:style w:type="paragraph" w:styleId="BodyText3">
    <w:name w:val="Body Text 3"/>
    <w:basedOn w:val="Normal"/>
    <w:link w:val="BodyText3Char"/>
    <w:rsid w:val="00A772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728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72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728E"/>
    <w:rPr>
      <w:sz w:val="22"/>
    </w:rPr>
  </w:style>
  <w:style w:type="paragraph" w:styleId="BodyTextIndent3">
    <w:name w:val="Body Text Indent 3"/>
    <w:basedOn w:val="Normal"/>
    <w:link w:val="BodyTextIndent3Char"/>
    <w:rsid w:val="00A772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728E"/>
    <w:rPr>
      <w:sz w:val="16"/>
      <w:szCs w:val="16"/>
    </w:rPr>
  </w:style>
  <w:style w:type="paragraph" w:styleId="BlockText">
    <w:name w:val="Block Text"/>
    <w:basedOn w:val="Normal"/>
    <w:rsid w:val="00A7728E"/>
    <w:pPr>
      <w:spacing w:after="120"/>
      <w:ind w:left="1440" w:right="1440"/>
    </w:pPr>
  </w:style>
  <w:style w:type="character" w:styleId="Hyperlink">
    <w:name w:val="Hyperlink"/>
    <w:basedOn w:val="DefaultParagraphFont"/>
    <w:rsid w:val="00A7728E"/>
    <w:rPr>
      <w:color w:val="0000FF"/>
      <w:u w:val="single"/>
    </w:rPr>
  </w:style>
  <w:style w:type="character" w:styleId="FollowedHyperlink">
    <w:name w:val="FollowedHyperlink"/>
    <w:basedOn w:val="DefaultParagraphFont"/>
    <w:rsid w:val="00A7728E"/>
    <w:rPr>
      <w:color w:val="800080"/>
      <w:u w:val="single"/>
    </w:rPr>
  </w:style>
  <w:style w:type="character" w:styleId="Strong">
    <w:name w:val="Strong"/>
    <w:basedOn w:val="DefaultParagraphFont"/>
    <w:qFormat/>
    <w:rsid w:val="00A7728E"/>
    <w:rPr>
      <w:b/>
      <w:bCs/>
    </w:rPr>
  </w:style>
  <w:style w:type="character" w:styleId="Emphasis">
    <w:name w:val="Emphasis"/>
    <w:basedOn w:val="DefaultParagraphFont"/>
    <w:qFormat/>
    <w:rsid w:val="00A7728E"/>
    <w:rPr>
      <w:i/>
      <w:iCs/>
    </w:rPr>
  </w:style>
  <w:style w:type="paragraph" w:styleId="DocumentMap">
    <w:name w:val="Document Map"/>
    <w:basedOn w:val="Normal"/>
    <w:link w:val="DocumentMapChar"/>
    <w:rsid w:val="00A772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728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728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728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728E"/>
  </w:style>
  <w:style w:type="character" w:customStyle="1" w:styleId="E-mailSignatureChar">
    <w:name w:val="E-mail Signature Char"/>
    <w:basedOn w:val="DefaultParagraphFont"/>
    <w:link w:val="E-mailSignature"/>
    <w:rsid w:val="00A7728E"/>
    <w:rPr>
      <w:sz w:val="22"/>
    </w:rPr>
  </w:style>
  <w:style w:type="paragraph" w:styleId="NormalWeb">
    <w:name w:val="Normal (Web)"/>
    <w:basedOn w:val="Normal"/>
    <w:rsid w:val="00A7728E"/>
  </w:style>
  <w:style w:type="character" w:styleId="HTMLAcronym">
    <w:name w:val="HTML Acronym"/>
    <w:basedOn w:val="DefaultParagraphFont"/>
    <w:rsid w:val="00A7728E"/>
  </w:style>
  <w:style w:type="paragraph" w:styleId="HTMLAddress">
    <w:name w:val="HTML Address"/>
    <w:basedOn w:val="Normal"/>
    <w:link w:val="HTMLAddressChar"/>
    <w:rsid w:val="00A772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728E"/>
    <w:rPr>
      <w:i/>
      <w:iCs/>
      <w:sz w:val="22"/>
    </w:rPr>
  </w:style>
  <w:style w:type="character" w:styleId="HTMLCite">
    <w:name w:val="HTML Cite"/>
    <w:basedOn w:val="DefaultParagraphFont"/>
    <w:rsid w:val="00A7728E"/>
    <w:rPr>
      <w:i/>
      <w:iCs/>
    </w:rPr>
  </w:style>
  <w:style w:type="character" w:styleId="HTMLCode">
    <w:name w:val="HTML Code"/>
    <w:basedOn w:val="DefaultParagraphFont"/>
    <w:rsid w:val="00A772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728E"/>
    <w:rPr>
      <w:i/>
      <w:iCs/>
    </w:rPr>
  </w:style>
  <w:style w:type="character" w:styleId="HTMLKeyboard">
    <w:name w:val="HTML Keyboard"/>
    <w:basedOn w:val="DefaultParagraphFont"/>
    <w:rsid w:val="00A772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728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728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728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72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728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7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728E"/>
    <w:rPr>
      <w:b/>
      <w:bCs/>
    </w:rPr>
  </w:style>
  <w:style w:type="numbering" w:styleId="1ai">
    <w:name w:val="Outline List 1"/>
    <w:basedOn w:val="NoList"/>
    <w:rsid w:val="00A7728E"/>
    <w:pPr>
      <w:numPr>
        <w:numId w:val="2"/>
      </w:numPr>
    </w:pPr>
  </w:style>
  <w:style w:type="numbering" w:styleId="111111">
    <w:name w:val="Outline List 2"/>
    <w:basedOn w:val="NoList"/>
    <w:rsid w:val="00A7728E"/>
    <w:pPr>
      <w:numPr>
        <w:numId w:val="3"/>
      </w:numPr>
    </w:pPr>
  </w:style>
  <w:style w:type="numbering" w:styleId="ArticleSection">
    <w:name w:val="Outline List 3"/>
    <w:basedOn w:val="NoList"/>
    <w:rsid w:val="00A7728E"/>
    <w:pPr>
      <w:numPr>
        <w:numId w:val="4"/>
      </w:numPr>
    </w:pPr>
  </w:style>
  <w:style w:type="table" w:styleId="TableSimple1">
    <w:name w:val="Table Simple 1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728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728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728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728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728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728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728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728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728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728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72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728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728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728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728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728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728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728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72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72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72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728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72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728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728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728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728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728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72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728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728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728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728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728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728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728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728E"/>
  </w:style>
  <w:style w:type="character" w:styleId="BookTitle">
    <w:name w:val="Book Title"/>
    <w:basedOn w:val="DefaultParagraphFont"/>
    <w:uiPriority w:val="33"/>
    <w:qFormat/>
    <w:rsid w:val="00A7728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7728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7728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7728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7728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7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772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7728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7728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7728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728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7728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728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772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7728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7728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7728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7728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7728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7728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7728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7728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2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28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7728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772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772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72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7728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7728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7728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7728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7728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772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772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77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7728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728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772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7728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772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7728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7728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7728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7728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7728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7728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772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7728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7728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7728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7728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7728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7728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772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77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7728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77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772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77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7728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7728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728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728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7728E"/>
    <w:rPr>
      <w:color w:val="808080"/>
    </w:rPr>
  </w:style>
  <w:style w:type="table" w:styleId="PlainTable1">
    <w:name w:val="Plain Table 1"/>
    <w:basedOn w:val="TableNormal"/>
    <w:uiPriority w:val="41"/>
    <w:rsid w:val="00A772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72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72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72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72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772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28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7728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772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7728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772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28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7728E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AA5C78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locked/>
    <w:rsid w:val="00AA5C7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142E3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20</Pages>
  <Words>5960</Words>
  <Characters>30635</Characters>
  <Application>Microsoft Office Word</Application>
  <DocSecurity>0</DocSecurity>
  <PresentationFormat/>
  <Lines>747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2024-05-23T06:45:00Z</dcterms:created>
  <dcterms:modified xsi:type="dcterms:W3CDTF">2024-05-23T06:45:00Z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(2024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