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F091" w14:textId="77777777" w:rsidR="00B22500" w:rsidRPr="00B22500" w:rsidRDefault="00B22500" w:rsidP="00B22500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bCs/>
          <w:szCs w:val="24"/>
          <w:lang w:bidi="en-US"/>
        </w:rPr>
      </w:pPr>
    </w:p>
    <w:p w14:paraId="5A6DA831" w14:textId="77777777" w:rsidR="00B22500" w:rsidRPr="00B22500" w:rsidRDefault="00B22500" w:rsidP="00B22500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bCs/>
          <w:szCs w:val="24"/>
          <w:lang w:bidi="en-US"/>
        </w:rPr>
      </w:pPr>
      <w:r w:rsidRPr="00B22500">
        <w:rPr>
          <w:rFonts w:eastAsia="Times New Roman" w:cs="Times New Roman"/>
          <w:noProof/>
          <w:sz w:val="20"/>
          <w:szCs w:val="24"/>
          <w:lang w:eastAsia="en-GB"/>
        </w:rPr>
        <w:drawing>
          <wp:inline distT="0" distB="0" distL="0" distR="0" wp14:anchorId="7B5BD9AF" wp14:editId="542EAF8A">
            <wp:extent cx="2657475" cy="438150"/>
            <wp:effectExtent l="0" t="0" r="9525" b="0"/>
            <wp:docPr id="3" name="Picture 3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A3E83" w14:textId="77777777" w:rsidR="00B22500" w:rsidRPr="00B22500" w:rsidRDefault="00B22500" w:rsidP="00B22500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bCs/>
          <w:szCs w:val="24"/>
          <w:lang w:bidi="en-US"/>
        </w:rPr>
      </w:pPr>
    </w:p>
    <w:p w14:paraId="3E9CF1D8" w14:textId="77777777" w:rsidR="00B22500" w:rsidRPr="00B22500" w:rsidRDefault="00B22500" w:rsidP="00B22500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bCs/>
          <w:sz w:val="20"/>
          <w:szCs w:val="24"/>
          <w:lang w:bidi="en-US"/>
        </w:rPr>
      </w:pPr>
      <w:r w:rsidRPr="00B22500">
        <w:rPr>
          <w:rFonts w:eastAsia="Times New Roman" w:cs="Times New Roman"/>
          <w:b/>
          <w:bCs/>
          <w:sz w:val="20"/>
          <w:szCs w:val="24"/>
          <w:lang w:bidi="en-US"/>
        </w:rPr>
        <w:t xml:space="preserve">Food Standards (Application A1254 – Rosemary Extract as a Food Additive – extension of use) Variation </w:t>
      </w:r>
    </w:p>
    <w:p w14:paraId="25F6C589" w14:textId="77777777" w:rsidR="00B22500" w:rsidRPr="00B22500" w:rsidRDefault="00B22500" w:rsidP="00B22500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sz w:val="20"/>
          <w:szCs w:val="24"/>
          <w:lang w:bidi="en-US"/>
        </w:rPr>
      </w:pPr>
    </w:p>
    <w:p w14:paraId="0704D8FD" w14:textId="77777777" w:rsidR="00B22500" w:rsidRPr="00B22500" w:rsidRDefault="00B22500" w:rsidP="00B22500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60050892" w14:textId="5F889967" w:rsidR="00B22500" w:rsidRPr="00B22500" w:rsidRDefault="00B22500" w:rsidP="00B22500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B22500">
        <w:rPr>
          <w:rFonts w:eastAsia="Times New Roman" w:cs="Times New Roman"/>
          <w:sz w:val="20"/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B22500">
        <w:rPr>
          <w:rFonts w:eastAsia="Times New Roman" w:cs="Times New Roman"/>
          <w:i/>
          <w:sz w:val="20"/>
          <w:szCs w:val="24"/>
          <w:lang w:bidi="en-US"/>
        </w:rPr>
        <w:t>Food Standards Australia New Zealand Act 1991</w:t>
      </w:r>
      <w:r w:rsidRPr="00B22500">
        <w:rPr>
          <w:rFonts w:eastAsia="Times New Roman" w:cs="Times New Roman"/>
          <w:sz w:val="20"/>
          <w:szCs w:val="24"/>
          <w:lang w:bidi="en-US"/>
        </w:rPr>
        <w:t>.</w:t>
      </w:r>
      <w:r w:rsidR="00DA75AA">
        <w:rPr>
          <w:rFonts w:eastAsia="Times New Roman" w:cs="Times New Roman"/>
          <w:sz w:val="20"/>
          <w:szCs w:val="24"/>
          <w:lang w:bidi="en-US"/>
        </w:rPr>
        <w:t xml:space="preserve"> </w:t>
      </w:r>
      <w:r w:rsidRPr="00B22500">
        <w:rPr>
          <w:rFonts w:eastAsia="Times New Roman" w:cs="Times New Roman"/>
          <w:sz w:val="20"/>
          <w:szCs w:val="24"/>
          <w:lang w:bidi="en-US"/>
        </w:rPr>
        <w:t>The variation commences on the date specified in clause 3 of this variation.</w:t>
      </w:r>
    </w:p>
    <w:p w14:paraId="3C26BEC1" w14:textId="77777777" w:rsidR="00B22500" w:rsidRPr="00B22500" w:rsidRDefault="00B22500" w:rsidP="00B22500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3570B34D" w14:textId="3D4C7FCC" w:rsidR="00B22500" w:rsidRPr="00B22500" w:rsidRDefault="007A62EA" w:rsidP="00B22500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>
        <w:rPr>
          <w:rFonts w:eastAsia="Times New Roman" w:cs="Times New Roman"/>
          <w:sz w:val="20"/>
          <w:szCs w:val="24"/>
          <w:lang w:bidi="en-US"/>
        </w:rPr>
        <w:t>23 May 2024</w:t>
      </w:r>
    </w:p>
    <w:p w14:paraId="3F9B6BDC" w14:textId="77777777" w:rsidR="00B22500" w:rsidRPr="00B22500" w:rsidRDefault="00B22500" w:rsidP="00B22500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4885BD6C" w14:textId="77777777" w:rsidR="00B22500" w:rsidRPr="00B22500" w:rsidRDefault="00B22500" w:rsidP="00B22500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4DC0C4A8" w14:textId="13A26032" w:rsidR="00B22500" w:rsidRPr="00B22500" w:rsidRDefault="007A62EA" w:rsidP="00B22500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>
        <w:rPr>
          <w:rFonts w:eastAsia="Times New Roman" w:cs="Times New Roman"/>
          <w:noProof/>
          <w:sz w:val="20"/>
          <w:szCs w:val="24"/>
          <w:lang w:bidi="en-US"/>
        </w:rPr>
        <w:drawing>
          <wp:inline distT="0" distB="0" distL="0" distR="0" wp14:anchorId="796E6173" wp14:editId="72D85F0A">
            <wp:extent cx="1238250" cy="381000"/>
            <wp:effectExtent l="0" t="0" r="0" b="0"/>
            <wp:docPr id="1" name="Picture 1" descr="Signature of the Delegate of the Board of Food Standards Australia New Zeala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 of the Delegate of the Board of Food Standards Australia New Zealand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453480" w14:textId="77777777" w:rsidR="00B22500" w:rsidRPr="00B22500" w:rsidRDefault="00B22500" w:rsidP="00B22500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41A64055" w14:textId="5D690CA2" w:rsidR="00B22500" w:rsidRPr="007A62EA" w:rsidRDefault="000E7439" w:rsidP="00B22500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7A62EA">
        <w:rPr>
          <w:rFonts w:eastAsia="Times New Roman" w:cs="Times New Roman"/>
          <w:sz w:val="20"/>
          <w:szCs w:val="24"/>
          <w:lang w:bidi="en-US"/>
        </w:rPr>
        <w:t>Matthew O’Mullane, General Manager Risk Management and Intelligence</w:t>
      </w:r>
    </w:p>
    <w:p w14:paraId="21FED898" w14:textId="77777777" w:rsidR="00B22500" w:rsidRPr="007A62EA" w:rsidRDefault="00B22500" w:rsidP="00B22500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7A62EA">
        <w:rPr>
          <w:rFonts w:eastAsia="Times New Roman" w:cs="Times New Roman"/>
          <w:sz w:val="20"/>
          <w:szCs w:val="24"/>
          <w:lang w:bidi="en-US"/>
        </w:rPr>
        <w:t>Delegate of the Board of Food Standards Australia New Zealand</w:t>
      </w:r>
    </w:p>
    <w:p w14:paraId="48C7FF48" w14:textId="77777777" w:rsidR="00B22500" w:rsidRPr="007A62EA" w:rsidRDefault="00B22500" w:rsidP="00B22500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3B99529C" w14:textId="77777777" w:rsidR="00B22500" w:rsidRPr="007A62EA" w:rsidRDefault="00B22500" w:rsidP="00B22500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04030244" w14:textId="77777777" w:rsidR="00B22500" w:rsidRPr="007A62EA" w:rsidRDefault="00B22500" w:rsidP="00B22500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027AAB25" w14:textId="77777777" w:rsidR="00B22500" w:rsidRPr="007A62EA" w:rsidRDefault="00B22500" w:rsidP="00B22500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37046603" w14:textId="77777777" w:rsidR="00B22500" w:rsidRPr="007A62EA" w:rsidRDefault="00B22500" w:rsidP="00B22500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3ECA4414" w14:textId="77777777" w:rsidR="00B22500" w:rsidRPr="007A62EA" w:rsidRDefault="00B22500" w:rsidP="00B225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sz w:val="20"/>
          <w:szCs w:val="24"/>
          <w:lang w:val="en-AU" w:bidi="en-US"/>
        </w:rPr>
      </w:pPr>
      <w:r w:rsidRPr="007A62EA">
        <w:rPr>
          <w:rFonts w:eastAsia="Times New Roman" w:cs="Times New Roman"/>
          <w:b/>
          <w:sz w:val="20"/>
          <w:szCs w:val="24"/>
          <w:lang w:val="en-AU" w:bidi="en-US"/>
        </w:rPr>
        <w:t xml:space="preserve">Note:  </w:t>
      </w:r>
    </w:p>
    <w:p w14:paraId="70A28C94" w14:textId="77777777" w:rsidR="00B22500" w:rsidRPr="007A62EA" w:rsidRDefault="00B22500" w:rsidP="00B225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0"/>
          <w:szCs w:val="24"/>
          <w:lang w:val="en-AU" w:bidi="en-US"/>
        </w:rPr>
      </w:pPr>
    </w:p>
    <w:p w14:paraId="26F7F763" w14:textId="499DE47B" w:rsidR="00B22500" w:rsidRPr="00B22500" w:rsidRDefault="00B22500" w:rsidP="00B225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0"/>
          <w:szCs w:val="24"/>
          <w:lang w:val="en-AU" w:bidi="en-US"/>
        </w:rPr>
      </w:pPr>
      <w:r w:rsidRPr="007A62EA">
        <w:rPr>
          <w:rFonts w:eastAsia="Times New Roman" w:cs="Times New Roman"/>
          <w:sz w:val="20"/>
          <w:szCs w:val="24"/>
          <w:lang w:val="en-AU" w:bidi="en-US"/>
        </w:rPr>
        <w:t xml:space="preserve">This variation will be published in the Commonwealth of Australia Gazette No. FSC </w:t>
      </w:r>
      <w:r w:rsidR="00722734" w:rsidRPr="007A62EA">
        <w:rPr>
          <w:rFonts w:eastAsia="Times New Roman" w:cs="Times New Roman"/>
          <w:sz w:val="20"/>
          <w:szCs w:val="24"/>
          <w:lang w:val="en-AU" w:bidi="en-US"/>
        </w:rPr>
        <w:t>16</w:t>
      </w:r>
      <w:r w:rsidR="00EF739C">
        <w:rPr>
          <w:rFonts w:eastAsia="Times New Roman" w:cs="Times New Roman"/>
          <w:sz w:val="20"/>
          <w:szCs w:val="24"/>
          <w:lang w:val="en-AU" w:bidi="en-US"/>
        </w:rPr>
        <w:t>8</w:t>
      </w:r>
      <w:r w:rsidRPr="007A62EA">
        <w:rPr>
          <w:rFonts w:eastAsia="Times New Roman" w:cs="Times New Roman"/>
          <w:sz w:val="20"/>
          <w:szCs w:val="24"/>
          <w:lang w:val="en-AU" w:bidi="en-US"/>
        </w:rPr>
        <w:t xml:space="preserve"> on </w:t>
      </w:r>
      <w:r w:rsidR="00182A7B" w:rsidRPr="007A62EA">
        <w:rPr>
          <w:rFonts w:eastAsia="Times New Roman" w:cs="Times New Roman"/>
          <w:sz w:val="20"/>
          <w:szCs w:val="24"/>
          <w:lang w:val="en-AU" w:bidi="en-US"/>
        </w:rPr>
        <w:t>31 May</w:t>
      </w:r>
      <w:r w:rsidR="00722734" w:rsidRPr="007A62EA">
        <w:rPr>
          <w:rFonts w:eastAsia="Times New Roman" w:cs="Times New Roman"/>
          <w:sz w:val="20"/>
          <w:szCs w:val="24"/>
          <w:lang w:val="en-AU" w:bidi="en-US"/>
        </w:rPr>
        <w:t xml:space="preserve"> 2024</w:t>
      </w:r>
      <w:r w:rsidRPr="007A62EA">
        <w:rPr>
          <w:rFonts w:eastAsia="Times New Roman" w:cs="Times New Roman"/>
          <w:sz w:val="20"/>
          <w:szCs w:val="24"/>
          <w:lang w:val="en-AU" w:bidi="en-US"/>
        </w:rPr>
        <w:t xml:space="preserve">. </w:t>
      </w:r>
      <w:r w:rsidRPr="00B22500">
        <w:rPr>
          <w:rFonts w:eastAsia="Times New Roman" w:cs="Times New Roman"/>
          <w:sz w:val="20"/>
          <w:szCs w:val="24"/>
          <w:lang w:val="en-AU" w:bidi="en-US"/>
        </w:rPr>
        <w:t xml:space="preserve">This means that this date is the gazettal date for the purposes of clause 3 of the variation. </w:t>
      </w:r>
    </w:p>
    <w:p w14:paraId="11DA60EB" w14:textId="77777777" w:rsidR="00B22500" w:rsidRPr="00B22500" w:rsidRDefault="00B22500" w:rsidP="00B22500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01C4C395" w14:textId="77777777" w:rsidR="00B22500" w:rsidRPr="00B22500" w:rsidRDefault="00B22500" w:rsidP="00B22500">
      <w:pPr>
        <w:rPr>
          <w:rFonts w:eastAsia="Times New Roman" w:cs="Times New Roman"/>
          <w:sz w:val="20"/>
          <w:szCs w:val="24"/>
          <w:lang w:bidi="en-US"/>
        </w:rPr>
      </w:pPr>
      <w:r w:rsidRPr="00B22500">
        <w:rPr>
          <w:rFonts w:eastAsia="Times New Roman" w:cs="Times New Roman"/>
          <w:sz w:val="20"/>
          <w:szCs w:val="24"/>
          <w:lang w:bidi="en-US"/>
        </w:rPr>
        <w:br w:type="page"/>
      </w:r>
    </w:p>
    <w:p w14:paraId="748FE50C" w14:textId="77777777" w:rsidR="00B22500" w:rsidRPr="00B22500" w:rsidRDefault="00B22500" w:rsidP="00B22500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B22500">
        <w:rPr>
          <w:rFonts w:eastAsia="Times New Roman" w:cs="Times New Roman"/>
          <w:b/>
          <w:sz w:val="20"/>
          <w:szCs w:val="20"/>
        </w:rPr>
        <w:lastRenderedPageBreak/>
        <w:t>1</w:t>
      </w:r>
      <w:r w:rsidRPr="00B22500">
        <w:rPr>
          <w:rFonts w:eastAsia="Times New Roman" w:cs="Times New Roman"/>
          <w:b/>
          <w:sz w:val="20"/>
          <w:szCs w:val="20"/>
        </w:rPr>
        <w:tab/>
        <w:t>Name</w:t>
      </w:r>
    </w:p>
    <w:p w14:paraId="4F52E6DC" w14:textId="77777777" w:rsidR="00B22500" w:rsidRPr="00B22500" w:rsidRDefault="00B22500" w:rsidP="00B22500">
      <w:pPr>
        <w:tabs>
          <w:tab w:val="left" w:pos="851"/>
        </w:tabs>
        <w:spacing w:before="120" w:after="120"/>
        <w:rPr>
          <w:rFonts w:eastAsia="Times New Roman" w:cs="Times New Roman"/>
          <w:b/>
          <w:sz w:val="20"/>
          <w:szCs w:val="20"/>
        </w:rPr>
      </w:pPr>
      <w:r w:rsidRPr="00B22500">
        <w:rPr>
          <w:rFonts w:eastAsia="Times New Roman" w:cs="Times New Roman"/>
          <w:sz w:val="20"/>
          <w:szCs w:val="20"/>
        </w:rPr>
        <w:t xml:space="preserve">This instrument is the </w:t>
      </w:r>
      <w:r w:rsidRPr="00B22500">
        <w:rPr>
          <w:rFonts w:eastAsia="Times New Roman" w:cs="Times New Roman"/>
          <w:i/>
          <w:iCs/>
          <w:sz w:val="20"/>
          <w:szCs w:val="20"/>
        </w:rPr>
        <w:t>Food Standards (Application A1254 – Rosemary Extract as a Food Additive – extension of use) Variation</w:t>
      </w:r>
      <w:r w:rsidRPr="00B22500">
        <w:rPr>
          <w:rFonts w:eastAsia="Times New Roman" w:cs="Times New Roman"/>
          <w:sz w:val="20"/>
          <w:szCs w:val="20"/>
        </w:rPr>
        <w:t>.</w:t>
      </w:r>
    </w:p>
    <w:p w14:paraId="3A6F6D40" w14:textId="77777777" w:rsidR="00B22500" w:rsidRPr="00B22500" w:rsidRDefault="00B22500" w:rsidP="00B22500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B22500">
        <w:rPr>
          <w:rFonts w:eastAsia="Times New Roman" w:cs="Times New Roman"/>
          <w:b/>
          <w:sz w:val="20"/>
          <w:szCs w:val="20"/>
        </w:rPr>
        <w:t>2</w:t>
      </w:r>
      <w:r w:rsidRPr="00B22500">
        <w:rPr>
          <w:rFonts w:eastAsia="Times New Roman" w:cs="Times New Roman"/>
          <w:b/>
          <w:sz w:val="20"/>
          <w:szCs w:val="20"/>
        </w:rPr>
        <w:tab/>
        <w:t xml:space="preserve">Variation to a Standard in the </w:t>
      </w:r>
      <w:r w:rsidRPr="00B22500">
        <w:rPr>
          <w:rFonts w:eastAsia="Times New Roman" w:cs="Times New Roman"/>
          <w:b/>
          <w:i/>
          <w:sz w:val="20"/>
          <w:szCs w:val="20"/>
        </w:rPr>
        <w:t>Australia New Zealand Food Standards Code</w:t>
      </w:r>
    </w:p>
    <w:p w14:paraId="5FBEF63B" w14:textId="77777777" w:rsidR="00B22500" w:rsidRPr="00B22500" w:rsidRDefault="00B22500" w:rsidP="00B22500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B22500">
        <w:rPr>
          <w:rFonts w:eastAsia="Times New Roman" w:cs="Times New Roman"/>
          <w:sz w:val="20"/>
          <w:szCs w:val="20"/>
        </w:rPr>
        <w:t xml:space="preserve">The Schedule varies a Standard in the </w:t>
      </w:r>
      <w:r w:rsidRPr="00B22500">
        <w:rPr>
          <w:rFonts w:eastAsia="Times New Roman" w:cs="Times New Roman"/>
          <w:i/>
          <w:sz w:val="20"/>
          <w:szCs w:val="20"/>
        </w:rPr>
        <w:t>Australia New Zealand Food Standards Code</w:t>
      </w:r>
      <w:r w:rsidRPr="00B22500">
        <w:rPr>
          <w:rFonts w:eastAsia="Times New Roman" w:cs="Times New Roman"/>
          <w:sz w:val="20"/>
          <w:szCs w:val="20"/>
        </w:rPr>
        <w:t>.</w:t>
      </w:r>
    </w:p>
    <w:p w14:paraId="3BF9284D" w14:textId="77777777" w:rsidR="00B22500" w:rsidRPr="00B22500" w:rsidRDefault="00B22500" w:rsidP="00B22500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B22500">
        <w:rPr>
          <w:rFonts w:eastAsia="Times New Roman" w:cs="Times New Roman"/>
          <w:b/>
          <w:sz w:val="20"/>
          <w:szCs w:val="20"/>
        </w:rPr>
        <w:t>3</w:t>
      </w:r>
      <w:r w:rsidRPr="00B22500">
        <w:rPr>
          <w:rFonts w:eastAsia="Times New Roman" w:cs="Times New Roman"/>
          <w:b/>
          <w:sz w:val="20"/>
          <w:szCs w:val="20"/>
        </w:rPr>
        <w:tab/>
        <w:t>Commencement</w:t>
      </w:r>
    </w:p>
    <w:p w14:paraId="608BD6E8" w14:textId="77777777" w:rsidR="00B22500" w:rsidRPr="00B22500" w:rsidRDefault="00B22500" w:rsidP="00B22500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B22500">
        <w:rPr>
          <w:rFonts w:eastAsia="Times New Roman" w:cs="Times New Roman"/>
          <w:sz w:val="20"/>
          <w:szCs w:val="20"/>
        </w:rPr>
        <w:t>The variation commences on the date of gazettal.</w:t>
      </w:r>
    </w:p>
    <w:p w14:paraId="6FC06050" w14:textId="77777777" w:rsidR="00B22500" w:rsidRPr="00B22500" w:rsidRDefault="00B22500" w:rsidP="00B22500">
      <w:pPr>
        <w:widowControl w:val="0"/>
        <w:jc w:val="center"/>
        <w:rPr>
          <w:rFonts w:eastAsia="Times New Roman" w:cs="Times New Roman"/>
          <w:szCs w:val="24"/>
          <w:lang w:bidi="en-US"/>
        </w:rPr>
      </w:pPr>
      <w:r w:rsidRPr="00B22500">
        <w:rPr>
          <w:rFonts w:eastAsia="Times New Roman" w:cs="Times New Roman"/>
          <w:b/>
          <w:sz w:val="20"/>
          <w:szCs w:val="24"/>
          <w:lang w:bidi="en-US"/>
        </w:rPr>
        <w:t>Schedule</w:t>
      </w:r>
    </w:p>
    <w:p w14:paraId="423BDBB1" w14:textId="77777777" w:rsidR="00B22500" w:rsidRPr="00B22500" w:rsidRDefault="00B22500" w:rsidP="00B22500">
      <w:pPr>
        <w:widowControl w:val="0"/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</w:rPr>
      </w:pPr>
      <w:r w:rsidRPr="00B22500">
        <w:rPr>
          <w:rFonts w:eastAsia="Times New Roman" w:cs="Times New Roman"/>
          <w:b/>
          <w:color w:val="000000"/>
          <w:sz w:val="20"/>
          <w:szCs w:val="20"/>
        </w:rPr>
        <w:t xml:space="preserve">Schedule 15 </w:t>
      </w:r>
      <w:r w:rsidRPr="00B22500">
        <w:rPr>
          <w:rFonts w:eastAsia="Times New Roman" w:cs="Times New Roman"/>
          <w:b/>
          <w:sz w:val="20"/>
          <w:szCs w:val="20"/>
        </w:rPr>
        <w:t>— Substances that may be used as food additives</w:t>
      </w:r>
      <w:r w:rsidRPr="00B22500">
        <w:rPr>
          <w:rFonts w:eastAsia="Times New Roman" w:cs="Times New Roman"/>
          <w:b/>
          <w:color w:val="000000"/>
          <w:sz w:val="20"/>
          <w:szCs w:val="20"/>
        </w:rPr>
        <w:t xml:space="preserve"> </w:t>
      </w:r>
    </w:p>
    <w:p w14:paraId="0D67EE3E" w14:textId="77777777" w:rsidR="00B22500" w:rsidRPr="00B22500" w:rsidRDefault="00B22500" w:rsidP="00B22500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B22500">
        <w:rPr>
          <w:rFonts w:eastAsia="Times New Roman" w:cs="Times New Roman"/>
          <w:b/>
          <w:sz w:val="20"/>
          <w:szCs w:val="20"/>
        </w:rPr>
        <w:t>[1]</w:t>
      </w:r>
      <w:r w:rsidRPr="00B22500">
        <w:rPr>
          <w:rFonts w:eastAsia="Times New Roman" w:cs="Times New Roman"/>
          <w:b/>
          <w:sz w:val="20"/>
          <w:szCs w:val="20"/>
        </w:rPr>
        <w:tab/>
        <w:t>Subsection S15—5 (table, numbered heading “2</w:t>
      </w:r>
      <w:r w:rsidRPr="00B22500">
        <w:rPr>
          <w:rFonts w:eastAsia="Times New Roman" w:cs="Times New Roman"/>
          <w:b/>
          <w:i/>
          <w:iCs/>
          <w:sz w:val="20"/>
          <w:szCs w:val="20"/>
        </w:rPr>
        <w:t>.1 Edible oils essentially free of water</w:t>
      </w:r>
      <w:r w:rsidRPr="00B22500">
        <w:rPr>
          <w:rFonts w:eastAsia="Times New Roman" w:cs="Times New Roman"/>
          <w:b/>
          <w:sz w:val="20"/>
          <w:szCs w:val="20"/>
        </w:rPr>
        <w:t>”, table item dealing with Rosemary extract)</w:t>
      </w:r>
    </w:p>
    <w:p w14:paraId="672B8B4D" w14:textId="77777777" w:rsidR="00B22500" w:rsidRPr="00B22500" w:rsidRDefault="00B22500" w:rsidP="00B22500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B22500">
        <w:rPr>
          <w:rFonts w:eastAsia="Times New Roman" w:cs="Times New Roman"/>
          <w:sz w:val="20"/>
          <w:szCs w:val="20"/>
        </w:rPr>
        <w:tab/>
        <w:t>Repeal the item, substitute:</w:t>
      </w:r>
    </w:p>
    <w:tbl>
      <w:tblPr>
        <w:tblW w:w="9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B22500" w:rsidRPr="00B22500" w14:paraId="160480C8" w14:textId="77777777" w:rsidTr="002A06C3"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BED74" w14:textId="77777777" w:rsidR="00B22500" w:rsidRPr="00B22500" w:rsidRDefault="00B22500" w:rsidP="00B22500">
            <w:pPr>
              <w:keepLines/>
              <w:spacing w:before="20" w:after="20"/>
              <w:rPr>
                <w:rFonts w:eastAsia="Calibri" w:cs="Arial"/>
                <w:sz w:val="18"/>
              </w:rPr>
            </w:pPr>
            <w:r w:rsidRPr="00B22500">
              <w:rPr>
                <w:rFonts w:eastAsia="Calibri" w:cs="Arial"/>
                <w:sz w:val="18"/>
              </w:rPr>
              <w:t>392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144DE" w14:textId="77777777" w:rsidR="00B22500" w:rsidRPr="00B22500" w:rsidRDefault="00B22500" w:rsidP="00B22500">
            <w:pPr>
              <w:keepLines/>
              <w:spacing w:before="20" w:after="20"/>
              <w:rPr>
                <w:rFonts w:eastAsia="Calibri" w:cs="Arial"/>
                <w:sz w:val="18"/>
              </w:rPr>
            </w:pPr>
            <w:r w:rsidRPr="00B22500">
              <w:rPr>
                <w:rFonts w:eastAsia="Calibri" w:cs="Arial"/>
                <w:sz w:val="18"/>
              </w:rPr>
              <w:t xml:space="preserve">Rosemary extract 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BEEA9" w14:textId="77777777" w:rsidR="00B22500" w:rsidRPr="00B22500" w:rsidRDefault="00B22500" w:rsidP="00B22500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22500">
              <w:rPr>
                <w:rFonts w:eastAsia="Calibri" w:cs="Arial"/>
                <w:sz w:val="18"/>
              </w:rPr>
              <w:t>50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FA687" w14:textId="77777777" w:rsidR="00B22500" w:rsidRPr="00B22500" w:rsidRDefault="00B22500" w:rsidP="00B22500">
            <w:pPr>
              <w:spacing w:before="20" w:after="20"/>
              <w:rPr>
                <w:rFonts w:eastAsia="Times New Roman" w:cs="Arial"/>
                <w:color w:val="000000"/>
                <w:sz w:val="18"/>
                <w:szCs w:val="18"/>
                <w:lang w:val="en-AU" w:eastAsia="en-AU" w:bidi="en-US"/>
              </w:rPr>
            </w:pPr>
          </w:p>
        </w:tc>
      </w:tr>
    </w:tbl>
    <w:p w14:paraId="45CD362C" w14:textId="77777777" w:rsidR="00B22500" w:rsidRPr="00B22500" w:rsidRDefault="00B22500" w:rsidP="00B22500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B22500">
        <w:rPr>
          <w:rFonts w:eastAsia="Times New Roman" w:cs="Times New Roman"/>
          <w:b/>
          <w:sz w:val="20"/>
          <w:szCs w:val="20"/>
        </w:rPr>
        <w:t>[2]</w:t>
      </w:r>
      <w:r w:rsidRPr="00B22500">
        <w:rPr>
          <w:rFonts w:eastAsia="Times New Roman" w:cs="Times New Roman"/>
          <w:b/>
          <w:sz w:val="20"/>
          <w:szCs w:val="20"/>
        </w:rPr>
        <w:tab/>
        <w:t>Subsection S15—5 (table, numbered heading</w:t>
      </w:r>
      <w:r w:rsidRPr="00B22500" w:rsidDel="000E055A">
        <w:rPr>
          <w:rFonts w:eastAsia="Times New Roman" w:cs="Times New Roman"/>
          <w:b/>
          <w:sz w:val="20"/>
          <w:szCs w:val="20"/>
        </w:rPr>
        <w:t xml:space="preserve"> </w:t>
      </w:r>
      <w:r w:rsidRPr="00B22500">
        <w:rPr>
          <w:rFonts w:eastAsia="Times New Roman" w:cs="Times New Roman"/>
          <w:b/>
          <w:sz w:val="20"/>
          <w:szCs w:val="20"/>
        </w:rPr>
        <w:t>“</w:t>
      </w:r>
      <w:r w:rsidRPr="00B22500">
        <w:rPr>
          <w:rFonts w:eastAsia="Times New Roman" w:cs="Times New Roman"/>
          <w:b/>
          <w:i/>
          <w:iCs/>
          <w:sz w:val="20"/>
          <w:szCs w:val="20"/>
        </w:rPr>
        <w:t>6.4 Flour products (including noodles and pasta)</w:t>
      </w:r>
      <w:r w:rsidRPr="00B22500">
        <w:rPr>
          <w:rFonts w:eastAsia="Times New Roman" w:cs="Times New Roman"/>
          <w:b/>
          <w:sz w:val="20"/>
          <w:szCs w:val="20"/>
        </w:rPr>
        <w:t xml:space="preserve">”, table item dealing with Rosemary extract) </w:t>
      </w:r>
    </w:p>
    <w:p w14:paraId="6CA414B1" w14:textId="77777777" w:rsidR="00B22500" w:rsidRPr="00B22500" w:rsidRDefault="00B22500" w:rsidP="00B22500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B22500">
        <w:rPr>
          <w:rFonts w:eastAsia="Times New Roman" w:cs="Times New Roman"/>
          <w:sz w:val="20"/>
          <w:szCs w:val="20"/>
        </w:rPr>
        <w:tab/>
        <w:t>Repeal the item, substitute:</w:t>
      </w:r>
    </w:p>
    <w:tbl>
      <w:tblPr>
        <w:tblW w:w="9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4161"/>
        <w:gridCol w:w="1137"/>
        <w:gridCol w:w="2137"/>
      </w:tblGrid>
      <w:tr w:rsidR="00B22500" w:rsidRPr="00B22500" w14:paraId="14D1465C" w14:textId="77777777" w:rsidTr="002A06C3">
        <w:trPr>
          <w:trHeight w:val="300"/>
        </w:trPr>
        <w:tc>
          <w:tcPr>
            <w:tcW w:w="1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ABAEA" w14:textId="77777777" w:rsidR="00B22500" w:rsidRPr="00B22500" w:rsidRDefault="00B22500" w:rsidP="00B22500">
            <w:pPr>
              <w:keepLines/>
              <w:spacing w:before="20" w:after="20"/>
              <w:rPr>
                <w:rFonts w:eastAsia="Calibri" w:cs="Arial"/>
                <w:sz w:val="18"/>
                <w:lang w:val="en-AU"/>
              </w:rPr>
            </w:pPr>
            <w:r w:rsidRPr="00B22500">
              <w:rPr>
                <w:rFonts w:eastAsia="Calibri" w:cs="Arial"/>
                <w:sz w:val="18"/>
              </w:rPr>
              <w:t>392</w:t>
            </w:r>
          </w:p>
        </w:tc>
        <w:tc>
          <w:tcPr>
            <w:tcW w:w="4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1A383" w14:textId="77777777" w:rsidR="00B22500" w:rsidRPr="00B22500" w:rsidRDefault="00B22500" w:rsidP="00B22500">
            <w:pPr>
              <w:keepLines/>
              <w:spacing w:before="20" w:after="20"/>
              <w:rPr>
                <w:rFonts w:eastAsia="Calibri" w:cs="Arial"/>
                <w:sz w:val="18"/>
                <w:lang w:val="en-AU"/>
              </w:rPr>
            </w:pPr>
            <w:r w:rsidRPr="00B22500">
              <w:rPr>
                <w:rFonts w:eastAsia="Calibri" w:cs="Arial"/>
                <w:sz w:val="18"/>
              </w:rPr>
              <w:t>Rosemary extract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A9FD8" w14:textId="77777777" w:rsidR="00B22500" w:rsidRPr="00B22500" w:rsidRDefault="00B22500" w:rsidP="00B22500">
            <w:pPr>
              <w:keepLines/>
              <w:widowControl w:val="0"/>
              <w:numPr>
                <w:ilvl w:val="0"/>
                <w:numId w:val="14"/>
              </w:numPr>
              <w:spacing w:before="20" w:after="20"/>
              <w:jc w:val="right"/>
              <w:rPr>
                <w:rFonts w:eastAsia="Calibri" w:cs="Arial"/>
                <w:sz w:val="18"/>
                <w:lang w:val="en-AU" w:eastAsia="en-AU" w:bidi="en-US"/>
              </w:rPr>
            </w:pPr>
            <w:r w:rsidRPr="00B22500">
              <w:rPr>
                <w:rFonts w:eastAsia="Calibri" w:cs="Arial"/>
                <w:sz w:val="18"/>
                <w:lang w:eastAsia="en-AU" w:bidi="en-US"/>
              </w:rPr>
              <w:t>10</w:t>
            </w:r>
          </w:p>
        </w:tc>
        <w:tc>
          <w:tcPr>
            <w:tcW w:w="2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317B5" w14:textId="77777777" w:rsidR="00B22500" w:rsidRPr="00B22500" w:rsidRDefault="00B22500" w:rsidP="00B22500">
            <w:pPr>
              <w:keepLines/>
              <w:spacing w:before="20" w:after="20"/>
              <w:rPr>
                <w:rFonts w:eastAsia="Calibri" w:cs="Arial"/>
                <w:sz w:val="18"/>
                <w:lang w:val="en-AU" w:eastAsia="en-AU"/>
              </w:rPr>
            </w:pPr>
            <w:r w:rsidRPr="00B22500">
              <w:rPr>
                <w:rFonts w:eastAsia="Calibri" w:cs="Arial"/>
                <w:sz w:val="18"/>
                <w:lang w:eastAsia="en-AU"/>
              </w:rPr>
              <w:t>Only flour based snacks e.g. pretzels, fritters, and crackers;</w:t>
            </w:r>
            <w:r w:rsidRPr="00B22500">
              <w:rPr>
                <w:rFonts w:eastAsia="Calibri" w:cs="Arial"/>
                <w:sz w:val="18"/>
                <w:lang w:eastAsia="en-AU"/>
              </w:rPr>
              <w:br/>
              <w:t>and cooked or instant noodles and pasta</w:t>
            </w:r>
          </w:p>
        </w:tc>
      </w:tr>
      <w:tr w:rsidR="00B22500" w:rsidRPr="00B22500" w14:paraId="38B6FD3E" w14:textId="77777777" w:rsidTr="002A06C3">
        <w:trPr>
          <w:trHeight w:val="300"/>
        </w:trPr>
        <w:tc>
          <w:tcPr>
            <w:tcW w:w="1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4F577" w14:textId="77777777" w:rsidR="00B22500" w:rsidRPr="00B22500" w:rsidRDefault="00B22500" w:rsidP="00B22500">
            <w:pPr>
              <w:spacing w:before="20" w:after="20"/>
              <w:rPr>
                <w:rFonts w:eastAsia="Times New Roman" w:cs="Arial"/>
                <w:color w:val="000000"/>
                <w:sz w:val="18"/>
                <w:szCs w:val="18"/>
                <w:lang w:eastAsia="en-AU" w:bidi="en-US"/>
              </w:rPr>
            </w:pPr>
          </w:p>
        </w:tc>
        <w:tc>
          <w:tcPr>
            <w:tcW w:w="4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98FD" w14:textId="77777777" w:rsidR="00B22500" w:rsidRPr="00B22500" w:rsidRDefault="00B22500" w:rsidP="00B22500">
            <w:pPr>
              <w:spacing w:before="20" w:after="20"/>
              <w:rPr>
                <w:rFonts w:eastAsia="Times New Roman" w:cs="Arial"/>
                <w:color w:val="000000"/>
                <w:sz w:val="18"/>
                <w:szCs w:val="18"/>
                <w:lang w:eastAsia="en-AU" w:bidi="en-US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1C0B" w14:textId="77777777" w:rsidR="00B22500" w:rsidRPr="00B22500" w:rsidRDefault="00B22500" w:rsidP="00B22500">
            <w:pPr>
              <w:keepLines/>
              <w:widowControl w:val="0"/>
              <w:numPr>
                <w:ilvl w:val="0"/>
                <w:numId w:val="14"/>
              </w:numPr>
              <w:spacing w:before="20" w:after="20"/>
              <w:jc w:val="right"/>
              <w:rPr>
                <w:rFonts w:eastAsia="Calibri" w:cs="Arial"/>
                <w:color w:val="000000"/>
                <w:sz w:val="18"/>
                <w:szCs w:val="18"/>
                <w:lang w:eastAsia="en-AU" w:bidi="en-US"/>
              </w:rPr>
            </w:pPr>
            <w:r w:rsidRPr="00B22500">
              <w:rPr>
                <w:rFonts w:eastAsia="Calibri" w:cs="Arial"/>
                <w:sz w:val="18"/>
                <w:lang w:eastAsia="en-AU" w:bidi="en-US"/>
              </w:rPr>
              <w:t>40</w:t>
            </w:r>
          </w:p>
        </w:tc>
        <w:tc>
          <w:tcPr>
            <w:tcW w:w="2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AED6" w14:textId="77777777" w:rsidR="00B22500" w:rsidRPr="00B22500" w:rsidRDefault="00B22500" w:rsidP="00B22500">
            <w:pPr>
              <w:keepLines/>
              <w:spacing w:before="20" w:after="20"/>
              <w:rPr>
                <w:rFonts w:eastAsia="Calibri" w:cs="Arial"/>
                <w:sz w:val="18"/>
                <w:lang w:eastAsia="en-AU"/>
              </w:rPr>
            </w:pPr>
            <w:r w:rsidRPr="00B22500">
              <w:rPr>
                <w:rFonts w:eastAsia="Calibri" w:cs="Arial"/>
                <w:sz w:val="18"/>
                <w:lang w:eastAsia="en-AU"/>
              </w:rPr>
              <w:t>Only wheat or corn based tortilla</w:t>
            </w:r>
          </w:p>
        </w:tc>
      </w:tr>
    </w:tbl>
    <w:p w14:paraId="5F1E0186" w14:textId="77777777" w:rsidR="00B22500" w:rsidRPr="00B22500" w:rsidRDefault="00B22500" w:rsidP="00B22500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B22500">
        <w:rPr>
          <w:rFonts w:eastAsia="Times New Roman" w:cs="Times New Roman"/>
          <w:b/>
          <w:sz w:val="20"/>
          <w:szCs w:val="20"/>
        </w:rPr>
        <w:t>[3]</w:t>
      </w:r>
      <w:r w:rsidRPr="00B22500">
        <w:rPr>
          <w:rFonts w:eastAsia="Times New Roman" w:cs="Times New Roman"/>
          <w:b/>
          <w:sz w:val="20"/>
          <w:szCs w:val="20"/>
        </w:rPr>
        <w:tab/>
        <w:t xml:space="preserve">Subsection S15—5 (table, numbered heading “7.1.1 Fancy Breads”, after the table item dealing with </w:t>
      </w:r>
      <w:proofErr w:type="spellStart"/>
      <w:r w:rsidRPr="00B22500">
        <w:rPr>
          <w:rFonts w:eastAsia="Times New Roman" w:cs="Times New Roman"/>
          <w:b/>
          <w:sz w:val="20"/>
          <w:szCs w:val="20"/>
        </w:rPr>
        <w:t>Steviol</w:t>
      </w:r>
      <w:proofErr w:type="spellEnd"/>
      <w:r w:rsidRPr="00B22500">
        <w:rPr>
          <w:rFonts w:eastAsia="Times New Roman" w:cs="Times New Roman"/>
          <w:b/>
          <w:sz w:val="20"/>
          <w:szCs w:val="20"/>
        </w:rPr>
        <w:t xml:space="preserve"> glycosides)</w:t>
      </w:r>
    </w:p>
    <w:p w14:paraId="1D2D4EE5" w14:textId="77777777" w:rsidR="00B22500" w:rsidRPr="00B22500" w:rsidRDefault="00B22500" w:rsidP="00B22500">
      <w:pPr>
        <w:tabs>
          <w:tab w:val="left" w:pos="851"/>
        </w:tabs>
        <w:spacing w:before="120" w:after="120"/>
        <w:rPr>
          <w:rFonts w:eastAsia="Times New Roman" w:cs="Times New Roman"/>
          <w:b/>
          <w:sz w:val="20"/>
          <w:szCs w:val="20"/>
        </w:rPr>
      </w:pPr>
      <w:r w:rsidRPr="00B22500">
        <w:rPr>
          <w:rFonts w:eastAsia="Times New Roman" w:cs="Times New Roman"/>
          <w:sz w:val="20"/>
          <w:szCs w:val="20"/>
        </w:rPr>
        <w:tab/>
        <w:t>Insert:</w:t>
      </w:r>
    </w:p>
    <w:tbl>
      <w:tblPr>
        <w:tblW w:w="9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B22500" w:rsidRPr="00B22500" w14:paraId="02C1A662" w14:textId="77777777" w:rsidTr="002A06C3">
        <w:tc>
          <w:tcPr>
            <w:tcW w:w="907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592B" w14:textId="77777777" w:rsidR="00B22500" w:rsidRPr="00B22500" w:rsidRDefault="00B22500" w:rsidP="00B22500">
            <w:pPr>
              <w:keepNext/>
              <w:keepLines/>
              <w:spacing w:before="60" w:after="60"/>
              <w:ind w:left="1701" w:hanging="1701"/>
              <w:rPr>
                <w:rFonts w:eastAsia="Calibri" w:cs="Arial"/>
                <w:b/>
                <w:iCs/>
                <w:sz w:val="18"/>
                <w:lang w:val="en-AU"/>
              </w:rPr>
            </w:pPr>
            <w:r w:rsidRPr="00B22500">
              <w:rPr>
                <w:rFonts w:eastAsia="Calibri" w:cs="Arial"/>
                <w:b/>
                <w:iCs/>
                <w:sz w:val="18"/>
              </w:rPr>
              <w:t>7.1.2</w:t>
            </w:r>
            <w:r w:rsidRPr="00B22500">
              <w:rPr>
                <w:rFonts w:eastAsia="Calibri" w:cs="Arial"/>
                <w:b/>
                <w:iCs/>
                <w:sz w:val="20"/>
              </w:rPr>
              <w:tab/>
            </w:r>
            <w:r w:rsidRPr="00B22500">
              <w:rPr>
                <w:rFonts w:eastAsia="Calibri" w:cs="Arial"/>
                <w:b/>
                <w:iCs/>
                <w:sz w:val="18"/>
              </w:rPr>
              <w:t>Breadcrumbs</w:t>
            </w:r>
          </w:p>
        </w:tc>
      </w:tr>
      <w:tr w:rsidR="00B22500" w:rsidRPr="00B22500" w14:paraId="45E9867E" w14:textId="77777777" w:rsidTr="002A06C3"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8B679" w14:textId="77777777" w:rsidR="00B22500" w:rsidRPr="00B22500" w:rsidRDefault="00B22500" w:rsidP="00B22500">
            <w:pPr>
              <w:keepLines/>
              <w:spacing w:before="20" w:after="20"/>
              <w:rPr>
                <w:rFonts w:eastAsia="Calibri" w:cs="Arial"/>
                <w:sz w:val="18"/>
              </w:rPr>
            </w:pPr>
            <w:r w:rsidRPr="00B22500">
              <w:rPr>
                <w:rFonts w:eastAsia="Calibri" w:cs="Arial"/>
                <w:sz w:val="18"/>
              </w:rPr>
              <w:t>392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14A2" w14:textId="77777777" w:rsidR="00B22500" w:rsidRPr="00B22500" w:rsidRDefault="00B22500" w:rsidP="00B22500">
            <w:pPr>
              <w:keepLines/>
              <w:spacing w:before="20" w:after="20"/>
              <w:rPr>
                <w:rFonts w:eastAsia="Calibri" w:cs="Arial"/>
                <w:sz w:val="18"/>
              </w:rPr>
            </w:pPr>
            <w:r w:rsidRPr="00B22500">
              <w:rPr>
                <w:rFonts w:eastAsia="Calibri" w:cs="Arial"/>
                <w:sz w:val="18"/>
              </w:rPr>
              <w:t>Rosemary extract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38B5" w14:textId="77777777" w:rsidR="00B22500" w:rsidRPr="00B22500" w:rsidRDefault="00B22500" w:rsidP="00B22500">
            <w:pPr>
              <w:keepLines/>
              <w:spacing w:before="20" w:after="20"/>
              <w:jc w:val="right"/>
              <w:rPr>
                <w:rFonts w:eastAsia="Calibri" w:cs="Arial"/>
                <w:sz w:val="18"/>
              </w:rPr>
            </w:pPr>
            <w:r w:rsidRPr="00B22500">
              <w:rPr>
                <w:rFonts w:eastAsia="Calibri" w:cs="Arial"/>
                <w:sz w:val="18"/>
              </w:rPr>
              <w:t>40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557E4" w14:textId="77777777" w:rsidR="00B22500" w:rsidRPr="00B22500" w:rsidRDefault="00B22500" w:rsidP="00B22500">
            <w:pPr>
              <w:spacing w:before="20" w:after="20"/>
              <w:rPr>
                <w:rFonts w:eastAsia="Times New Roman" w:cs="Arial"/>
                <w:color w:val="000000"/>
                <w:sz w:val="18"/>
                <w:szCs w:val="18"/>
                <w:lang w:eastAsia="en-AU" w:bidi="en-US"/>
              </w:rPr>
            </w:pPr>
          </w:p>
        </w:tc>
      </w:tr>
    </w:tbl>
    <w:p w14:paraId="2AD9603F" w14:textId="77777777" w:rsidR="00B22500" w:rsidRPr="00B22500" w:rsidRDefault="00B22500" w:rsidP="00B22500">
      <w:pPr>
        <w:widowControl w:val="0"/>
        <w:spacing w:before="120" w:after="120"/>
        <w:ind w:left="851" w:hanging="851"/>
        <w:rPr>
          <w:rFonts w:eastAsia="Times New Roman" w:cs="Times New Roman"/>
          <w:b/>
          <w:bCs/>
          <w:sz w:val="20"/>
          <w:szCs w:val="20"/>
        </w:rPr>
      </w:pPr>
      <w:r w:rsidRPr="00B22500">
        <w:rPr>
          <w:rFonts w:eastAsia="Times New Roman" w:cs="Times New Roman"/>
          <w:b/>
          <w:sz w:val="20"/>
          <w:szCs w:val="20"/>
        </w:rPr>
        <w:t>[4]</w:t>
      </w:r>
      <w:r w:rsidRPr="00B22500">
        <w:rPr>
          <w:rFonts w:eastAsia="Times New Roman" w:cs="Times New Roman"/>
          <w:b/>
          <w:sz w:val="20"/>
          <w:szCs w:val="20"/>
        </w:rPr>
        <w:tab/>
        <w:t xml:space="preserve">Subsection S15—5 (table, numbered heading “8.3.1 Fermented, uncooked processed </w:t>
      </w:r>
      <w:proofErr w:type="spellStart"/>
      <w:r w:rsidRPr="00B22500">
        <w:rPr>
          <w:rFonts w:eastAsia="Times New Roman" w:cs="Times New Roman"/>
          <w:b/>
          <w:sz w:val="20"/>
          <w:szCs w:val="20"/>
        </w:rPr>
        <w:t>comminuted</w:t>
      </w:r>
      <w:proofErr w:type="spellEnd"/>
      <w:r w:rsidRPr="00B22500">
        <w:rPr>
          <w:rFonts w:eastAsia="Times New Roman" w:cs="Times New Roman"/>
          <w:b/>
          <w:sz w:val="20"/>
          <w:szCs w:val="20"/>
        </w:rPr>
        <w:t xml:space="preserve"> meat products”, after the table item dealing with Nitrates (potassium and sodium salts))</w:t>
      </w:r>
    </w:p>
    <w:p w14:paraId="704E2DDF" w14:textId="77777777" w:rsidR="00B22500" w:rsidRPr="00B22500" w:rsidRDefault="00B22500" w:rsidP="00B22500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B22500">
        <w:rPr>
          <w:rFonts w:eastAsia="Times New Roman" w:cs="Times New Roman"/>
          <w:sz w:val="20"/>
          <w:szCs w:val="20"/>
        </w:rPr>
        <w:tab/>
        <w:t>Insert:</w:t>
      </w:r>
    </w:p>
    <w:tbl>
      <w:tblPr>
        <w:tblW w:w="9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B22500" w:rsidRPr="00B22500" w14:paraId="65BF8D91" w14:textId="77777777" w:rsidTr="002A06C3"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2ADD1" w14:textId="77777777" w:rsidR="00B22500" w:rsidRPr="00B22500" w:rsidRDefault="00B22500" w:rsidP="00B22500">
            <w:pPr>
              <w:keepLines/>
              <w:spacing w:before="20" w:after="20"/>
              <w:rPr>
                <w:rFonts w:eastAsia="Calibri" w:cs="Arial"/>
                <w:sz w:val="18"/>
                <w:lang w:val="en-AU"/>
              </w:rPr>
            </w:pPr>
            <w:r w:rsidRPr="00B22500">
              <w:rPr>
                <w:rFonts w:eastAsia="Calibri" w:cs="Arial"/>
                <w:sz w:val="18"/>
              </w:rPr>
              <w:t>392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2CA52" w14:textId="77777777" w:rsidR="00B22500" w:rsidRPr="00B22500" w:rsidRDefault="00B22500" w:rsidP="00B22500">
            <w:pPr>
              <w:keepLines/>
              <w:spacing w:before="20" w:after="20"/>
              <w:rPr>
                <w:rFonts w:eastAsia="Calibri" w:cs="Arial"/>
                <w:sz w:val="18"/>
                <w:lang w:val="en-AU" w:bidi="en-US"/>
              </w:rPr>
            </w:pPr>
            <w:r w:rsidRPr="00B22500">
              <w:rPr>
                <w:rFonts w:eastAsia="Calibri" w:cs="Arial"/>
                <w:sz w:val="18"/>
                <w:lang w:bidi="en-US"/>
              </w:rPr>
              <w:t>Rosemary extract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889C1" w14:textId="77777777" w:rsidR="00B22500" w:rsidRPr="00B22500" w:rsidRDefault="00B22500" w:rsidP="00B22500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lang w:val="en-AU"/>
              </w:rPr>
            </w:pPr>
            <w:r w:rsidRPr="00B22500">
              <w:rPr>
                <w:rFonts w:eastAsia="Calibri" w:cs="Arial"/>
                <w:sz w:val="18"/>
              </w:rPr>
              <w:t>40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9730C" w14:textId="77777777" w:rsidR="00B22500" w:rsidRPr="00B22500" w:rsidRDefault="00B22500" w:rsidP="00B22500">
            <w:pPr>
              <w:spacing w:before="20" w:after="20"/>
              <w:rPr>
                <w:rFonts w:eastAsia="Times New Roman" w:cs="Arial"/>
                <w:color w:val="000000"/>
                <w:sz w:val="18"/>
                <w:szCs w:val="18"/>
                <w:lang w:val="en-AU" w:eastAsia="en-AU" w:bidi="en-US"/>
              </w:rPr>
            </w:pPr>
            <w:r w:rsidRPr="00B22500">
              <w:rPr>
                <w:rFonts w:eastAsia="Times New Roman" w:cs="Arial"/>
                <w:color w:val="000000"/>
                <w:sz w:val="18"/>
                <w:szCs w:val="18"/>
                <w:lang w:eastAsia="en-AU" w:bidi="en-US"/>
              </w:rPr>
              <w:t> </w:t>
            </w:r>
          </w:p>
        </w:tc>
      </w:tr>
    </w:tbl>
    <w:p w14:paraId="00A6D769" w14:textId="77777777" w:rsidR="00B22500" w:rsidRPr="00B22500" w:rsidRDefault="00B22500" w:rsidP="00B22500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B22500">
        <w:rPr>
          <w:rFonts w:eastAsia="Times New Roman" w:cs="Times New Roman"/>
          <w:b/>
          <w:sz w:val="20"/>
          <w:szCs w:val="20"/>
        </w:rPr>
        <w:t>[5]</w:t>
      </w:r>
      <w:r w:rsidRPr="00B22500">
        <w:rPr>
          <w:rFonts w:eastAsia="Times New Roman" w:cs="Times New Roman"/>
          <w:b/>
          <w:sz w:val="20"/>
          <w:szCs w:val="20"/>
        </w:rPr>
        <w:tab/>
        <w:t>Subsection S15—5 (table, numbered heading “8.3.2 Sausage and sausage meat containing raw, unprocessed meat”, table item dealing with Rosemary extract)</w:t>
      </w:r>
    </w:p>
    <w:p w14:paraId="1BA2818E" w14:textId="77777777" w:rsidR="00B22500" w:rsidRPr="00B22500" w:rsidRDefault="00B22500" w:rsidP="00B22500">
      <w:pPr>
        <w:tabs>
          <w:tab w:val="left" w:pos="851"/>
        </w:tabs>
        <w:spacing w:before="120" w:after="120"/>
        <w:rPr>
          <w:rFonts w:eastAsia="Times New Roman" w:cs="Times New Roman"/>
          <w:bCs/>
          <w:color w:val="000000"/>
          <w:sz w:val="20"/>
          <w:szCs w:val="20"/>
        </w:rPr>
      </w:pPr>
      <w:r w:rsidRPr="00B22500">
        <w:rPr>
          <w:rFonts w:eastAsia="Times New Roman" w:cs="Times New Roman"/>
          <w:b/>
          <w:color w:val="000000"/>
          <w:sz w:val="20"/>
          <w:szCs w:val="20"/>
        </w:rPr>
        <w:tab/>
      </w:r>
      <w:r w:rsidRPr="00B22500">
        <w:rPr>
          <w:rFonts w:eastAsia="Times New Roman" w:cs="Times New Roman"/>
          <w:sz w:val="20"/>
          <w:szCs w:val="20"/>
        </w:rPr>
        <w:t>Repeal</w:t>
      </w:r>
      <w:r w:rsidRPr="00B22500">
        <w:rPr>
          <w:rFonts w:eastAsia="Times New Roman" w:cs="Times New Roman"/>
          <w:bCs/>
          <w:color w:val="000000"/>
          <w:sz w:val="20"/>
          <w:szCs w:val="20"/>
        </w:rPr>
        <w:t xml:space="preserve"> the item, substitute:</w:t>
      </w:r>
    </w:p>
    <w:tbl>
      <w:tblPr>
        <w:tblW w:w="9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4103"/>
        <w:gridCol w:w="1237"/>
        <w:gridCol w:w="2118"/>
      </w:tblGrid>
      <w:tr w:rsidR="00B22500" w:rsidRPr="00B22500" w14:paraId="32841072" w14:textId="77777777" w:rsidTr="002A06C3"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0F715" w14:textId="77777777" w:rsidR="00B22500" w:rsidRPr="00B22500" w:rsidRDefault="00B22500" w:rsidP="00B22500">
            <w:pPr>
              <w:keepLines/>
              <w:spacing w:before="20" w:after="20"/>
              <w:rPr>
                <w:rFonts w:eastAsia="Calibri" w:cs="Arial"/>
                <w:color w:val="000000"/>
                <w:sz w:val="18"/>
                <w:szCs w:val="18"/>
                <w:lang w:val="en-AU"/>
              </w:rPr>
            </w:pPr>
            <w:r w:rsidRPr="00B22500">
              <w:rPr>
                <w:rFonts w:eastAsia="Calibri" w:cs="Arial"/>
                <w:sz w:val="18"/>
              </w:rPr>
              <w:t>392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3C571" w14:textId="77777777" w:rsidR="00B22500" w:rsidRPr="00B22500" w:rsidRDefault="00B22500" w:rsidP="00B22500">
            <w:pPr>
              <w:keepLines/>
              <w:spacing w:before="20" w:after="20"/>
              <w:rPr>
                <w:rFonts w:eastAsia="Calibri" w:cs="Arial"/>
                <w:color w:val="000000"/>
                <w:sz w:val="18"/>
                <w:szCs w:val="18"/>
                <w:lang w:val="en-AU"/>
              </w:rPr>
            </w:pPr>
            <w:r w:rsidRPr="00B22500">
              <w:rPr>
                <w:rFonts w:eastAsia="Calibri" w:cs="Arial"/>
                <w:sz w:val="18"/>
              </w:rPr>
              <w:t>Rosemary</w:t>
            </w:r>
            <w:r w:rsidRPr="00B22500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  <w:r w:rsidRPr="00B22500">
              <w:rPr>
                <w:rFonts w:eastAsia="Calibri" w:cs="Arial"/>
                <w:sz w:val="18"/>
              </w:rPr>
              <w:t>extract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A7C49" w14:textId="77777777" w:rsidR="00B22500" w:rsidRPr="00B22500" w:rsidRDefault="00B22500" w:rsidP="00B22500">
            <w:pPr>
              <w:keepLines/>
              <w:widowControl w:val="0"/>
              <w:numPr>
                <w:ilvl w:val="0"/>
                <w:numId w:val="15"/>
              </w:numPr>
              <w:spacing w:before="20" w:after="20"/>
              <w:jc w:val="right"/>
              <w:rPr>
                <w:rFonts w:eastAsia="Calibri" w:cs="Arial"/>
                <w:sz w:val="18"/>
                <w:lang w:val="en-AU" w:eastAsia="en-AU" w:bidi="en-US"/>
              </w:rPr>
            </w:pPr>
            <w:r w:rsidRPr="00B22500">
              <w:rPr>
                <w:rFonts w:eastAsia="Calibri" w:cs="Arial"/>
                <w:sz w:val="18"/>
                <w:lang w:eastAsia="en-AU" w:bidi="en-US"/>
              </w:rPr>
              <w:t>40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EB64B" w14:textId="77777777" w:rsidR="00B22500" w:rsidRPr="00B22500" w:rsidRDefault="00B22500" w:rsidP="00B22500">
            <w:pPr>
              <w:keepLines/>
              <w:spacing w:before="20" w:after="20"/>
              <w:rPr>
                <w:rFonts w:eastAsia="Calibri" w:cs="Arial"/>
                <w:sz w:val="18"/>
              </w:rPr>
            </w:pPr>
            <w:r w:rsidRPr="00B22500">
              <w:rPr>
                <w:rFonts w:eastAsia="Calibri" w:cs="Arial"/>
                <w:sz w:val="18"/>
              </w:rPr>
              <w:t>Only sausage containing raw, unprocessed meat</w:t>
            </w:r>
          </w:p>
        </w:tc>
      </w:tr>
      <w:tr w:rsidR="00B22500" w:rsidRPr="00B22500" w14:paraId="185E54FF" w14:textId="77777777" w:rsidTr="002A06C3"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BDE8" w14:textId="77777777" w:rsidR="00B22500" w:rsidRPr="00B22500" w:rsidRDefault="00B22500" w:rsidP="00B22500">
            <w:pPr>
              <w:spacing w:before="20" w:after="20"/>
              <w:rPr>
                <w:rFonts w:eastAsia="Times New Roman" w:cs="Arial"/>
                <w:color w:val="000000"/>
                <w:sz w:val="18"/>
                <w:szCs w:val="18"/>
                <w:lang w:eastAsia="en-AU" w:bidi="en-US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D349C" w14:textId="77777777" w:rsidR="00B22500" w:rsidRPr="00B22500" w:rsidRDefault="00B22500" w:rsidP="00B22500">
            <w:pPr>
              <w:spacing w:before="20" w:after="20"/>
              <w:rPr>
                <w:rFonts w:eastAsia="Times New Roman" w:cs="Arial"/>
                <w:color w:val="000000"/>
                <w:sz w:val="18"/>
                <w:szCs w:val="18"/>
                <w:lang w:eastAsia="en-AU" w:bidi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841E1" w14:textId="77777777" w:rsidR="00B22500" w:rsidRPr="00B22500" w:rsidRDefault="00B22500" w:rsidP="00B22500">
            <w:pPr>
              <w:keepLines/>
              <w:widowControl w:val="0"/>
              <w:numPr>
                <w:ilvl w:val="0"/>
                <w:numId w:val="15"/>
              </w:numPr>
              <w:spacing w:before="20" w:after="20"/>
              <w:jc w:val="right"/>
              <w:rPr>
                <w:rFonts w:eastAsia="Calibri" w:cs="Arial"/>
                <w:color w:val="000000"/>
                <w:sz w:val="18"/>
                <w:szCs w:val="18"/>
                <w:lang w:eastAsia="en-AU" w:bidi="en-US"/>
              </w:rPr>
            </w:pPr>
            <w:r w:rsidRPr="00B22500">
              <w:rPr>
                <w:rFonts w:eastAsia="Calibri" w:cs="Arial"/>
                <w:sz w:val="18"/>
                <w:lang w:eastAsia="en-AU" w:bidi="en-US"/>
              </w:rPr>
              <w:t>100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1C4C" w14:textId="77777777" w:rsidR="00B22500" w:rsidRPr="00B22500" w:rsidRDefault="00B22500" w:rsidP="00B22500">
            <w:pPr>
              <w:keepLines/>
              <w:spacing w:before="20" w:after="20"/>
              <w:rPr>
                <w:rFonts w:eastAsia="Calibri" w:cs="Arial"/>
                <w:sz w:val="18"/>
              </w:rPr>
            </w:pPr>
            <w:r w:rsidRPr="00B22500">
              <w:rPr>
                <w:rFonts w:eastAsia="Calibri" w:cs="Arial"/>
                <w:sz w:val="18"/>
              </w:rPr>
              <w:t>Only dried sausages</w:t>
            </w:r>
          </w:p>
        </w:tc>
      </w:tr>
    </w:tbl>
    <w:p w14:paraId="75EF75C1" w14:textId="77777777" w:rsidR="00B22500" w:rsidRPr="00B22500" w:rsidRDefault="00B22500" w:rsidP="00B22500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B22500">
        <w:rPr>
          <w:rFonts w:eastAsia="Times New Roman" w:cs="Times New Roman"/>
          <w:b/>
          <w:sz w:val="20"/>
          <w:szCs w:val="20"/>
        </w:rPr>
        <w:t>[6]</w:t>
      </w:r>
      <w:r w:rsidRPr="00B22500">
        <w:rPr>
          <w:rFonts w:eastAsia="Times New Roman" w:cs="Times New Roman"/>
          <w:b/>
          <w:sz w:val="20"/>
          <w:szCs w:val="20"/>
        </w:rPr>
        <w:tab/>
        <w:t>Subsection S15—5 (table, numbered heading</w:t>
      </w:r>
      <w:r w:rsidRPr="00B22500" w:rsidDel="000F1E18">
        <w:rPr>
          <w:rFonts w:eastAsia="Times New Roman" w:cs="Times New Roman"/>
          <w:b/>
          <w:sz w:val="20"/>
          <w:szCs w:val="20"/>
        </w:rPr>
        <w:t xml:space="preserve"> </w:t>
      </w:r>
      <w:r w:rsidRPr="00B22500">
        <w:rPr>
          <w:rFonts w:eastAsia="Times New Roman" w:cs="Times New Roman"/>
          <w:b/>
          <w:sz w:val="20"/>
          <w:szCs w:val="20"/>
        </w:rPr>
        <w:t>“</w:t>
      </w:r>
      <w:r w:rsidRPr="00B22500">
        <w:rPr>
          <w:rFonts w:eastAsia="Times New Roman" w:cs="Times New Roman"/>
          <w:b/>
          <w:i/>
          <w:iCs/>
          <w:sz w:val="20"/>
          <w:szCs w:val="20"/>
        </w:rPr>
        <w:t>20.2.06</w:t>
      </w:r>
      <w:r w:rsidRPr="00B22500">
        <w:rPr>
          <w:rFonts w:eastAsia="Times New Roman" w:cs="Times New Roman"/>
          <w:b/>
          <w:sz w:val="20"/>
          <w:szCs w:val="20"/>
        </w:rPr>
        <w:t xml:space="preserve"> Starch based snacks (from root and tuber vegetables, legumes and pulses)”)</w:t>
      </w:r>
    </w:p>
    <w:p w14:paraId="7E855303" w14:textId="77777777" w:rsidR="00B22500" w:rsidRPr="00B22500" w:rsidRDefault="00B22500" w:rsidP="00B22500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B22500">
        <w:rPr>
          <w:rFonts w:eastAsia="Times New Roman" w:cs="Times New Roman"/>
          <w:sz w:val="20"/>
          <w:szCs w:val="20"/>
        </w:rPr>
        <w:tab/>
      </w:r>
      <w:r w:rsidRPr="00B22500">
        <w:rPr>
          <w:rFonts w:eastAsia="Times New Roman" w:cs="Times New Roman"/>
          <w:bCs/>
          <w:color w:val="000000"/>
          <w:sz w:val="20"/>
          <w:szCs w:val="20"/>
        </w:rPr>
        <w:t>Repeal</w:t>
      </w:r>
      <w:r w:rsidRPr="00B22500">
        <w:rPr>
          <w:rFonts w:eastAsia="Times New Roman" w:cs="Times New Roman"/>
          <w:sz w:val="20"/>
          <w:szCs w:val="20"/>
        </w:rPr>
        <w:t xml:space="preserve"> the numbered heading, substitute:</w:t>
      </w:r>
    </w:p>
    <w:tbl>
      <w:tblPr>
        <w:tblW w:w="9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B22500" w:rsidRPr="00B22500" w14:paraId="184E391D" w14:textId="77777777" w:rsidTr="002A06C3"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E9B7D" w14:textId="77777777" w:rsidR="00B22500" w:rsidRPr="00B22500" w:rsidRDefault="00B22500" w:rsidP="00B22500">
            <w:pPr>
              <w:keepNext/>
              <w:keepLines/>
              <w:spacing w:before="60" w:after="60"/>
              <w:ind w:left="1701" w:hanging="1701"/>
              <w:rPr>
                <w:rFonts w:eastAsia="Calibri" w:cs="Arial"/>
                <w:b/>
                <w:i/>
                <w:iCs/>
                <w:sz w:val="18"/>
                <w:szCs w:val="20"/>
                <w:lang w:val="en-AU" w:eastAsia="en-AU"/>
              </w:rPr>
            </w:pPr>
            <w:r w:rsidRPr="00B22500">
              <w:rPr>
                <w:rFonts w:eastAsia="Calibri" w:cs="Arial"/>
                <w:b/>
                <w:i/>
                <w:iCs/>
                <w:sz w:val="18"/>
                <w:szCs w:val="20"/>
                <w:lang w:eastAsia="en-AU"/>
              </w:rPr>
              <w:t>20.2.0.6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FFEED" w14:textId="77777777" w:rsidR="00B22500" w:rsidRPr="00B22500" w:rsidRDefault="00B22500" w:rsidP="00B22500">
            <w:pPr>
              <w:keepNext/>
              <w:keepLines/>
              <w:spacing w:before="60" w:after="60"/>
              <w:rPr>
                <w:rFonts w:eastAsia="Calibri" w:cs="Arial"/>
                <w:b/>
                <w:i/>
                <w:iCs/>
                <w:sz w:val="18"/>
                <w:szCs w:val="20"/>
                <w:lang w:val="en-AU" w:eastAsia="en-AU"/>
              </w:rPr>
            </w:pPr>
            <w:r w:rsidRPr="00B22500">
              <w:rPr>
                <w:rFonts w:eastAsia="Calibri" w:cs="Arial"/>
                <w:b/>
                <w:i/>
                <w:iCs/>
                <w:sz w:val="18"/>
                <w:szCs w:val="20"/>
                <w:lang w:eastAsia="en-AU"/>
              </w:rPr>
              <w:t>Starch based snacks (from root and tuber vegetables, legumes and pulses)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38EE1" w14:textId="77777777" w:rsidR="00B22500" w:rsidRPr="00B22500" w:rsidRDefault="00B22500" w:rsidP="00B22500">
            <w:pPr>
              <w:spacing w:before="20" w:after="20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AU" w:eastAsia="en-AU" w:bidi="en-US"/>
              </w:rPr>
            </w:pPr>
            <w:r w:rsidRPr="00B2250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 w:bidi="en-US"/>
              </w:rPr>
              <w:t> 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D4433" w14:textId="77777777" w:rsidR="00B22500" w:rsidRPr="00B22500" w:rsidRDefault="00B22500" w:rsidP="00B22500">
            <w:pPr>
              <w:spacing w:before="20" w:after="20"/>
              <w:rPr>
                <w:rFonts w:eastAsia="Times New Roman" w:cs="Arial"/>
                <w:color w:val="000000"/>
                <w:sz w:val="18"/>
                <w:szCs w:val="18"/>
                <w:lang w:val="en-AU" w:eastAsia="en-AU" w:bidi="en-US"/>
              </w:rPr>
            </w:pPr>
            <w:r w:rsidRPr="00B2250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 w:bidi="en-US"/>
              </w:rPr>
              <w:t> </w:t>
            </w:r>
          </w:p>
        </w:tc>
      </w:tr>
    </w:tbl>
    <w:p w14:paraId="0BF1C62F" w14:textId="77777777" w:rsidR="00B22500" w:rsidRPr="00B22500" w:rsidRDefault="00B22500" w:rsidP="00B22500">
      <w:pPr>
        <w:widowControl w:val="0"/>
        <w:rPr>
          <w:rFonts w:eastAsia="Times New Roman" w:cs="Times New Roman"/>
          <w:szCs w:val="24"/>
        </w:rPr>
      </w:pPr>
    </w:p>
    <w:p w14:paraId="0B3C837C" w14:textId="1C0AFD01" w:rsidR="00D5526B" w:rsidRPr="003A01FB" w:rsidRDefault="00D5526B" w:rsidP="00B22500"/>
    <w:sectPr w:rsidR="00D5526B" w:rsidRPr="003A01FB" w:rsidSect="008E23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83C1" w14:textId="77777777" w:rsidR="00B22500" w:rsidRDefault="00B22500" w:rsidP="00B22500">
      <w:r>
        <w:separator/>
      </w:r>
    </w:p>
  </w:endnote>
  <w:endnote w:type="continuationSeparator" w:id="0">
    <w:p w14:paraId="07AD8BEF" w14:textId="77777777" w:rsidR="00B22500" w:rsidRDefault="00B22500" w:rsidP="00B22500">
      <w:r>
        <w:continuationSeparator/>
      </w:r>
    </w:p>
  </w:endnote>
  <w:endnote w:type="continuationNotice" w:id="1">
    <w:p w14:paraId="7FC42012" w14:textId="77777777" w:rsidR="00CF0CE9" w:rsidRDefault="00CF0C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FCBF" w14:textId="77777777" w:rsidR="00FC50E3" w:rsidRDefault="00FC50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71B1" w14:textId="77777777" w:rsidR="00FC50E3" w:rsidRDefault="00FC50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3384" w14:textId="77777777" w:rsidR="00FC50E3" w:rsidRDefault="00FC5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94CB4" w14:textId="77777777" w:rsidR="00B22500" w:rsidRDefault="00B22500" w:rsidP="00B22500">
      <w:r>
        <w:separator/>
      </w:r>
    </w:p>
  </w:footnote>
  <w:footnote w:type="continuationSeparator" w:id="0">
    <w:p w14:paraId="7218382B" w14:textId="77777777" w:rsidR="00B22500" w:rsidRDefault="00B22500" w:rsidP="00B22500">
      <w:r>
        <w:continuationSeparator/>
      </w:r>
    </w:p>
  </w:footnote>
  <w:footnote w:type="continuationNotice" w:id="1">
    <w:p w14:paraId="58C81D46" w14:textId="77777777" w:rsidR="00CF0CE9" w:rsidRDefault="00CF0C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B77F" w14:textId="77777777" w:rsidR="00FC50E3" w:rsidRDefault="00FC50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C5F9" w14:textId="77777777" w:rsidR="00FC50E3" w:rsidRDefault="00FC50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949B" w14:textId="77777777" w:rsidR="00FC50E3" w:rsidRDefault="00FC50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6A5C"/>
    <w:multiLevelType w:val="hybridMultilevel"/>
    <w:tmpl w:val="A886B476"/>
    <w:lvl w:ilvl="0" w:tplc="E81623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96C49"/>
    <w:multiLevelType w:val="hybridMultilevel"/>
    <w:tmpl w:val="84260442"/>
    <w:lvl w:ilvl="0" w:tplc="E81623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513491037">
    <w:abstractNumId w:val="1"/>
  </w:num>
  <w:num w:numId="2" w16cid:durableId="797726424">
    <w:abstractNumId w:val="1"/>
  </w:num>
  <w:num w:numId="3" w16cid:durableId="2003853228">
    <w:abstractNumId w:val="1"/>
  </w:num>
  <w:num w:numId="4" w16cid:durableId="469254472">
    <w:abstractNumId w:val="1"/>
  </w:num>
  <w:num w:numId="5" w16cid:durableId="1094012247">
    <w:abstractNumId w:val="1"/>
  </w:num>
  <w:num w:numId="6" w16cid:durableId="562839857">
    <w:abstractNumId w:val="1"/>
  </w:num>
  <w:num w:numId="7" w16cid:durableId="1538202049">
    <w:abstractNumId w:val="1"/>
  </w:num>
  <w:num w:numId="8" w16cid:durableId="306594155">
    <w:abstractNumId w:val="5"/>
  </w:num>
  <w:num w:numId="9" w16cid:durableId="1453789389">
    <w:abstractNumId w:val="2"/>
  </w:num>
  <w:num w:numId="10" w16cid:durableId="1575234957">
    <w:abstractNumId w:val="3"/>
  </w:num>
  <w:num w:numId="11" w16cid:durableId="1864439354">
    <w:abstractNumId w:val="5"/>
  </w:num>
  <w:num w:numId="12" w16cid:durableId="694690507">
    <w:abstractNumId w:val="2"/>
  </w:num>
  <w:num w:numId="13" w16cid:durableId="1568295847">
    <w:abstractNumId w:val="3"/>
  </w:num>
  <w:num w:numId="14" w16cid:durableId="1587609619">
    <w:abstractNumId w:val="0"/>
  </w:num>
  <w:num w:numId="15" w16cid:durableId="31423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567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00"/>
    <w:rsid w:val="0000542C"/>
    <w:rsid w:val="00041643"/>
    <w:rsid w:val="000622E7"/>
    <w:rsid w:val="00066854"/>
    <w:rsid w:val="00066D85"/>
    <w:rsid w:val="000A38F8"/>
    <w:rsid w:val="000E7439"/>
    <w:rsid w:val="000F2196"/>
    <w:rsid w:val="001734EA"/>
    <w:rsid w:val="00182A7B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01368"/>
    <w:rsid w:val="006B6900"/>
    <w:rsid w:val="006D473E"/>
    <w:rsid w:val="00713F8D"/>
    <w:rsid w:val="007201F8"/>
    <w:rsid w:val="00722734"/>
    <w:rsid w:val="00793DE6"/>
    <w:rsid w:val="007A62EA"/>
    <w:rsid w:val="007F6456"/>
    <w:rsid w:val="00825F9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B22500"/>
    <w:rsid w:val="00B53154"/>
    <w:rsid w:val="00B72074"/>
    <w:rsid w:val="00BC2133"/>
    <w:rsid w:val="00BE4F3A"/>
    <w:rsid w:val="00C019A6"/>
    <w:rsid w:val="00C572A2"/>
    <w:rsid w:val="00CF0CE9"/>
    <w:rsid w:val="00D5526B"/>
    <w:rsid w:val="00D66962"/>
    <w:rsid w:val="00D87D9C"/>
    <w:rsid w:val="00D92B3B"/>
    <w:rsid w:val="00DA75AA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EF739C"/>
    <w:rsid w:val="00F4105E"/>
    <w:rsid w:val="00F616DA"/>
    <w:rsid w:val="00F76F95"/>
    <w:rsid w:val="00FC50E3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7D2190E"/>
  <w15:chartTrackingRefBased/>
  <w15:docId w15:val="{9EE4D7B9-F59D-408D-A879-71E3A513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ED57D63352AC3D488C1927FA6C496CEC" ma:contentTypeVersion="4" ma:contentTypeDescription="Files created by FSANZ including letters, draft documents and ideas for FSANZ business." ma:contentTypeScope="" ma:versionID="1d26056e38933490155d3e4fb9e9c98e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c4b4c259f7d5c25d814874e6a78ae7d6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56b88bc-8bd5-44c2-9979-78f9ce257f8c}" ma:internalName="TaxCatchAll" ma:showField="CatchAllData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56b88bc-8bd5-44c2-9979-78f9ce257f8c}" ma:internalName="TaxCatchAllLabel" ma:readOnly="true" ma:showField="CatchAllDataLabel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1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bee33-077a-46d4-80d5-abd1b3a3b85b">
      <Value>1</Value>
      <Value>27</Value>
    </TaxCatchAll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pb940a55b18746cdbb1d76ca362c0586>
    <jf6c16bbf41b473ebe1e583d28d77907 xmlns="0e0bee33-077a-46d4-80d5-abd1b3a3b85b">
      <Terms xmlns="http://schemas.microsoft.com/office/infopath/2007/PartnerControls"/>
    </jf6c16bbf41b473ebe1e583d28d77907>
    <Related_x0020_project xmlns="0e0bee33-077a-46d4-80d5-abd1b3a3b85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Props1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55EBD3-4E7F-403E-A1B3-CDA77B810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22D87E-58D8-4895-83E4-CC100DD4477A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customXml/itemProps4.xml><?xml version="1.0" encoding="utf-8"?>
<ds:datastoreItem xmlns:ds="http://schemas.openxmlformats.org/officeDocument/2006/customXml" ds:itemID="{AAF7BCE4-BDB1-409B-8A1C-E24459A290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4DFC79-FFE0-4C65-9058-67DC7CD2D0F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2171</Characters>
  <Application>Microsoft Office Word</Application>
  <DocSecurity>0</DocSecurity>
  <Lines>99</Lines>
  <Paragraphs>51</Paragraphs>
  <ScaleCrop>false</ScaleCrop>
  <Company>Food Standards Australia New Zealand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Ronaldson</dc:creator>
  <cp:keywords/>
  <dc:description/>
  <cp:lastModifiedBy>Sally Ronaldson</cp:lastModifiedBy>
  <cp:revision>12</cp:revision>
  <dcterms:created xsi:type="dcterms:W3CDTF">2024-05-16T04:26:00Z</dcterms:created>
  <dcterms:modified xsi:type="dcterms:W3CDTF">2024-05-23T22:29:00Z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v=2022.1;a=SHA256;h=BCAECBD4B6996993485CCB83E8E0406D7C1A19B1419E3AEF2BA6099C4691D7B9</vt:lpwstr>
  </property>
  <property fmtid="{D5CDD505-2E9C-101B-9397-08002B2CF9AE}" pid="7" name="PM_Qualifier">
    <vt:lpwstr/>
  </property>
  <property fmtid="{D5CDD505-2E9C-101B-9397-08002B2CF9AE}" pid="8" name="PM_SecurityClassification">
    <vt:lpwstr/>
  </property>
  <property fmtid="{D5CDD505-2E9C-101B-9397-08002B2CF9AE}" pid="9" name="PM_ProtectiveMarkingValue_Header">
    <vt:lpwstr/>
  </property>
  <property fmtid="{D5CDD505-2E9C-101B-9397-08002B2CF9AE}" pid="10" name="PM_OriginationTimeStamp">
    <vt:lpwstr>2024-05-23T22:29:07Z</vt:lpwstr>
  </property>
  <property fmtid="{D5CDD505-2E9C-101B-9397-08002B2CF9AE}" pid="11" name="PM_Markers">
    <vt:lpwstr/>
  </property>
  <property fmtid="{D5CDD505-2E9C-101B-9397-08002B2CF9AE}" pid="12" name="PM_InsertionValue">
    <vt:lpwstr/>
  </property>
  <property fmtid="{D5CDD505-2E9C-101B-9397-08002B2CF9AE}" pid="13" name="PM_Originator_Hash_SHA1">
    <vt:lpwstr>302BDBAD982F50293CEAD423BE77B1CA40A20CFD</vt:lpwstr>
  </property>
  <property fmtid="{D5CDD505-2E9C-101B-9397-08002B2CF9AE}" pid="14" name="PM_DisplayValueSecClassificationWithQualifier">
    <vt:lpwstr/>
  </property>
  <property fmtid="{D5CDD505-2E9C-101B-9397-08002B2CF9AE}" pid="15" name="PM_Originating_FileId">
    <vt:lpwstr>895F29BDA998416491F65861C3E7855C</vt:lpwstr>
  </property>
  <property fmtid="{D5CDD505-2E9C-101B-9397-08002B2CF9AE}" pid="16" name="PM_ProtectiveMarkingValue_Footer">
    <vt:lpwstr/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/>
  </property>
  <property fmtid="{D5CDD505-2E9C-101B-9397-08002B2CF9AE}" pid="20" name="PM_OriginatorUserAccountName_SHA256">
    <vt:lpwstr>04BEB04951CF9C0309220DC261A43CF887B145345D33A4BC1A2FC1C39C61A0F4</vt:lpwstr>
  </property>
  <property fmtid="{D5CDD505-2E9C-101B-9397-08002B2CF9AE}" pid="21" name="PM_OriginatorDomainName_SHA256">
    <vt:lpwstr>1728E66681E435764AE865ABE664C38F2A2F6D4B1DC4AC4803028F4FC406745D</vt:lpwstr>
  </property>
  <property fmtid="{D5CDD505-2E9C-101B-9397-08002B2CF9AE}" pid="22" name="PMUuid">
    <vt:lpwstr/>
  </property>
  <property fmtid="{D5CDD505-2E9C-101B-9397-08002B2CF9AE}" pid="23" name="PM_Hash_Version">
    <vt:lpwstr>2022.1</vt:lpwstr>
  </property>
  <property fmtid="{D5CDD505-2E9C-101B-9397-08002B2CF9AE}" pid="24" name="PM_Hash_Salt_Prev">
    <vt:lpwstr>2DADD84355DC1217C8DF5B20EE1231B9</vt:lpwstr>
  </property>
  <property fmtid="{D5CDD505-2E9C-101B-9397-08002B2CF9AE}" pid="25" name="PM_Hash_Salt">
    <vt:lpwstr>B3E367294AA93A6A21438340F95A3097</vt:lpwstr>
  </property>
  <property fmtid="{D5CDD505-2E9C-101B-9397-08002B2CF9AE}" pid="26" name="PM_Hash_SHA1">
    <vt:lpwstr>2AA9A21E1F9AB8CC92027269CEFCE7AF71758446</vt:lpwstr>
  </property>
  <property fmtid="{D5CDD505-2E9C-101B-9397-08002B2CF9AE}" pid="27" name="ContentTypeId">
    <vt:lpwstr>0x010100F5F252698E4843DFA3EBBF7EC57E522A00ED57D63352AC3D488C1927FA6C496CEC</vt:lpwstr>
  </property>
  <property fmtid="{D5CDD505-2E9C-101B-9397-08002B2CF9AE}" pid="28" name="pd3a3559ef84480a8025c4c7bb6e6dee">
    <vt:lpwstr/>
  </property>
  <property fmtid="{D5CDD505-2E9C-101B-9397-08002B2CF9AE}" pid="29" name="h46016694f704d158a57d0b5238c000e">
    <vt:lpwstr/>
  </property>
  <property fmtid="{D5CDD505-2E9C-101B-9397-08002B2CF9AE}" pid="30" name="Data_x0020_Privacy">
    <vt:lpwstr/>
  </property>
  <property fmtid="{D5CDD505-2E9C-101B-9397-08002B2CF9AE}" pid="31" name="Access">
    <vt:lpwstr/>
  </property>
  <property fmtid="{D5CDD505-2E9C-101B-9397-08002B2CF9AE}" pid="32" name="Classification">
    <vt:lpwstr>1;#OFFICIAL|3776503d-ed4e-4d70-8dfd-8e17b238523b</vt:lpwstr>
  </property>
  <property fmtid="{D5CDD505-2E9C-101B-9397-08002B2CF9AE}" pid="33" name="Data_x0020_Category">
    <vt:lpwstr/>
  </property>
  <property fmtid="{D5CDD505-2E9C-101B-9397-08002B2CF9AE}" pid="34" name="Data_x0020_Accessibility">
    <vt:lpwstr/>
  </property>
  <property fmtid="{D5CDD505-2E9C-101B-9397-08002B2CF9AE}" pid="35" name="o2e94e0b7bb742308b3aec7384781dc0">
    <vt:lpwstr/>
  </property>
  <property fmtid="{D5CDD505-2E9C-101B-9397-08002B2CF9AE}" pid="36" name="BCS">
    <vt:lpwstr>27;#Instruments|4a8ff5e5-1f0e-4751-ab44-bc0d33b46a80</vt:lpwstr>
  </property>
  <property fmtid="{D5CDD505-2E9C-101B-9397-08002B2CF9AE}" pid="37" name="Data Privacy">
    <vt:lpwstr/>
  </property>
  <property fmtid="{D5CDD505-2E9C-101B-9397-08002B2CF9AE}" pid="38" name="Data Accessibility">
    <vt:lpwstr/>
  </property>
  <property fmtid="{D5CDD505-2E9C-101B-9397-08002B2CF9AE}" pid="39" name="Data Category">
    <vt:lpwstr/>
  </property>
</Properties>
</file>