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663F" w14:textId="77777777" w:rsidR="007943D6" w:rsidRPr="007943D6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7943D6">
        <w:rPr>
          <w:rFonts w:eastAsia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13F83D8B" wp14:editId="325932FB">
            <wp:extent cx="2657475" cy="438150"/>
            <wp:effectExtent l="0" t="0" r="9525" b="0"/>
            <wp:docPr id="9" name="Picture 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56B4" w14:textId="77777777" w:rsidR="007943D6" w:rsidRPr="007943D6" w:rsidRDefault="007943D6" w:rsidP="007943D6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34B90CBC" w14:textId="77777777" w:rsidR="007943D6" w:rsidRPr="007943D6" w:rsidRDefault="007943D6" w:rsidP="007943D6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7943D6">
        <w:rPr>
          <w:rFonts w:eastAsia="Times New Roman" w:cs="Times New Roman"/>
          <w:b/>
          <w:sz w:val="20"/>
          <w:szCs w:val="20"/>
        </w:rPr>
        <w:t xml:space="preserve">Food Standards (Application A1275 – Transglutaminase from GM </w:t>
      </w:r>
      <w:r w:rsidRPr="007943D6">
        <w:rPr>
          <w:rFonts w:eastAsia="Times New Roman" w:cs="Times New Roman"/>
          <w:b/>
          <w:i/>
          <w:iCs/>
          <w:sz w:val="20"/>
          <w:szCs w:val="20"/>
        </w:rPr>
        <w:t>Bacillus licheniformis</w:t>
      </w:r>
      <w:r w:rsidRPr="007943D6">
        <w:rPr>
          <w:rFonts w:eastAsia="Times New Roman" w:cs="Times New Roman"/>
          <w:b/>
          <w:sz w:val="20"/>
          <w:szCs w:val="20"/>
        </w:rPr>
        <w:t xml:space="preserve"> as a processing aid) Variation</w:t>
      </w:r>
    </w:p>
    <w:p w14:paraId="3A2A5DDE" w14:textId="77777777" w:rsidR="007943D6" w:rsidRPr="007943D6" w:rsidRDefault="007943D6" w:rsidP="007943D6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065FD1C3" w14:textId="77777777" w:rsidR="007943D6" w:rsidRPr="007943D6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4FEDD97" w14:textId="77777777" w:rsidR="007943D6" w:rsidRPr="007943D6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943D6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7943D6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7943D6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6087A2B9" w14:textId="77777777" w:rsidR="007943D6" w:rsidRPr="007943D6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E7A8E3D" w14:textId="66D045BD" w:rsidR="007943D6" w:rsidRPr="007F7CBD" w:rsidRDefault="00090ECD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23 May 2024</w:t>
      </w:r>
    </w:p>
    <w:p w14:paraId="4EAF9DBD" w14:textId="77777777" w:rsidR="007943D6" w:rsidRPr="007F7CB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24344DC" w14:textId="77777777" w:rsidR="007943D6" w:rsidRPr="007F7CB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9B586A9" w14:textId="77A32D0F" w:rsidR="007943D6" w:rsidRPr="007F7CBD" w:rsidRDefault="00090ECD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F7CBD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58B63AD5" wp14:editId="3592F724">
            <wp:extent cx="1238250" cy="381000"/>
            <wp:effectExtent l="0" t="0" r="0" b="0"/>
            <wp:docPr id="1" name="Picture 1" descr="Signature of the Delegate of the Board of Food Standards Australia New Zea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CBCF5" w14:textId="77777777" w:rsidR="004A4F9E" w:rsidRPr="007F7CBD" w:rsidRDefault="004A4F9E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285F2D9" w14:textId="76C40911" w:rsidR="007943D6" w:rsidRPr="00090ECD" w:rsidRDefault="00AC5EF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F7CBD">
        <w:rPr>
          <w:rFonts w:eastAsia="Times New Roman" w:cs="Times New Roman"/>
          <w:sz w:val="20"/>
          <w:szCs w:val="20"/>
        </w:rPr>
        <w:t>Matthew O’Mullane</w:t>
      </w:r>
      <w:r w:rsidRPr="00090ECD">
        <w:rPr>
          <w:rFonts w:eastAsia="Times New Roman" w:cs="Times New Roman"/>
          <w:sz w:val="20"/>
          <w:szCs w:val="20"/>
        </w:rPr>
        <w:t>, General Manager, Risk Management and Intelligence</w:t>
      </w:r>
    </w:p>
    <w:p w14:paraId="67C21053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090ECD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1AF9216A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283A125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EC9E6C6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2A72E11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29F30FE" w14:textId="77777777" w:rsidR="007943D6" w:rsidRPr="00090ECD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02772E9" w14:textId="77777777" w:rsidR="007943D6" w:rsidRPr="00090ECD" w:rsidRDefault="007943D6" w:rsidP="007943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090ECD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6470518C" w14:textId="77777777" w:rsidR="007943D6" w:rsidRPr="00090ECD" w:rsidRDefault="007943D6" w:rsidP="007943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43F56032" w14:textId="6782810E" w:rsidR="007943D6" w:rsidRPr="00090ECD" w:rsidRDefault="007943D6" w:rsidP="007943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090ECD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0F2FC8" w:rsidRPr="00090ECD">
        <w:rPr>
          <w:rFonts w:eastAsia="Times New Roman" w:cs="Times New Roman"/>
          <w:sz w:val="20"/>
          <w:szCs w:val="20"/>
          <w:lang w:val="en-AU"/>
        </w:rPr>
        <w:t>168</w:t>
      </w:r>
      <w:r w:rsidRPr="00090ECD">
        <w:rPr>
          <w:rFonts w:eastAsia="Times New Roman" w:cs="Times New Roman"/>
          <w:sz w:val="20"/>
          <w:szCs w:val="20"/>
          <w:lang w:val="en-AU"/>
        </w:rPr>
        <w:t xml:space="preserve"> on </w:t>
      </w:r>
      <w:r w:rsidR="000F2FC8" w:rsidRPr="00090ECD">
        <w:rPr>
          <w:rFonts w:eastAsia="Times New Roman" w:cs="Times New Roman"/>
          <w:sz w:val="20"/>
          <w:szCs w:val="20"/>
          <w:lang w:val="en-AU"/>
        </w:rPr>
        <w:t>31 May</w:t>
      </w:r>
      <w:r w:rsidRPr="00090ECD">
        <w:rPr>
          <w:rFonts w:eastAsia="Times New Roman" w:cs="Times New Roman"/>
          <w:sz w:val="20"/>
          <w:szCs w:val="20"/>
          <w:lang w:val="en-AU"/>
        </w:rPr>
        <w:t xml:space="preserve"> 20</w:t>
      </w:r>
      <w:r w:rsidR="000F2FC8" w:rsidRPr="00090ECD">
        <w:rPr>
          <w:rFonts w:eastAsia="Times New Roman" w:cs="Times New Roman"/>
          <w:sz w:val="20"/>
          <w:szCs w:val="20"/>
          <w:lang w:val="en-AU"/>
        </w:rPr>
        <w:t>24</w:t>
      </w:r>
      <w:r w:rsidRPr="00090ECD">
        <w:rPr>
          <w:rFonts w:eastAsia="Times New Roman" w:cs="Times New Roman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37782D10" w14:textId="77777777" w:rsidR="007943D6" w:rsidRPr="007943D6" w:rsidRDefault="007943D6" w:rsidP="007943D6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865A2EB" w14:textId="77777777" w:rsidR="007943D6" w:rsidRPr="007943D6" w:rsidRDefault="007943D6" w:rsidP="007943D6">
      <w:pPr>
        <w:widowControl w:val="0"/>
        <w:rPr>
          <w:rFonts w:eastAsia="Times New Roman" w:cs="Times New Roman"/>
          <w:szCs w:val="24"/>
        </w:rPr>
      </w:pPr>
    </w:p>
    <w:p w14:paraId="0E27DEA0" w14:textId="77777777" w:rsidR="007943D6" w:rsidRPr="007943D6" w:rsidRDefault="007943D6" w:rsidP="007943D6">
      <w:pPr>
        <w:widowControl w:val="0"/>
        <w:rPr>
          <w:rFonts w:eastAsia="Times New Roman" w:cs="Times New Roman"/>
          <w:szCs w:val="24"/>
        </w:rPr>
      </w:pPr>
    </w:p>
    <w:p w14:paraId="2A945E04" w14:textId="77777777" w:rsidR="007943D6" w:rsidRPr="007943D6" w:rsidRDefault="007943D6" w:rsidP="007943D6">
      <w:pPr>
        <w:widowControl w:val="0"/>
        <w:spacing w:before="120" w:after="120"/>
        <w:ind w:left="851" w:hanging="851"/>
        <w:rPr>
          <w:rFonts w:eastAsia="Times New Roman" w:cs="Times New Roman"/>
          <w:b/>
          <w:bCs/>
          <w:sz w:val="20"/>
          <w:szCs w:val="20"/>
        </w:rPr>
      </w:pPr>
      <w:r w:rsidRPr="007943D6">
        <w:rPr>
          <w:rFonts w:eastAsia="Times New Roman" w:cs="Times New Roman"/>
          <w:szCs w:val="24"/>
          <w:lang w:bidi="en-US"/>
        </w:rPr>
        <w:br w:type="page"/>
      </w:r>
      <w:r w:rsidRPr="007943D6">
        <w:rPr>
          <w:rFonts w:eastAsia="Times New Roman" w:cs="Times New Roman"/>
          <w:b/>
          <w:bCs/>
          <w:sz w:val="20"/>
          <w:szCs w:val="20"/>
        </w:rPr>
        <w:lastRenderedPageBreak/>
        <w:t>1</w:t>
      </w:r>
      <w:r w:rsidRPr="007943D6">
        <w:rPr>
          <w:rFonts w:eastAsia="Times New Roman" w:cs="Times New Roman"/>
          <w:szCs w:val="24"/>
          <w:lang w:bidi="en-US"/>
        </w:rPr>
        <w:tab/>
      </w:r>
      <w:r w:rsidRPr="007943D6">
        <w:rPr>
          <w:rFonts w:eastAsia="Times New Roman" w:cs="Times New Roman"/>
          <w:b/>
          <w:bCs/>
          <w:sz w:val="20"/>
          <w:szCs w:val="20"/>
        </w:rPr>
        <w:t>Name</w:t>
      </w:r>
    </w:p>
    <w:p w14:paraId="18E79AA5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943D6">
        <w:rPr>
          <w:rFonts w:eastAsia="Times New Roman" w:cs="Times New Roman"/>
          <w:sz w:val="20"/>
          <w:szCs w:val="20"/>
        </w:rPr>
        <w:t xml:space="preserve">This instrument is the </w:t>
      </w:r>
      <w:r w:rsidRPr="007943D6">
        <w:rPr>
          <w:rFonts w:eastAsia="Times New Roman" w:cs="Times New Roman"/>
          <w:i/>
          <w:sz w:val="20"/>
          <w:szCs w:val="20"/>
        </w:rPr>
        <w:t xml:space="preserve">Food Standards (Application A1275 – Transglutaminase from GM </w:t>
      </w:r>
      <w:r w:rsidRPr="007943D6">
        <w:rPr>
          <w:rFonts w:eastAsia="Times New Roman" w:cs="Times New Roman"/>
          <w:iCs/>
          <w:sz w:val="20"/>
          <w:szCs w:val="20"/>
        </w:rPr>
        <w:t xml:space="preserve">Bacillus licheniformis </w:t>
      </w:r>
      <w:r w:rsidRPr="007943D6">
        <w:rPr>
          <w:rFonts w:eastAsia="Times New Roman" w:cs="Times New Roman"/>
          <w:i/>
          <w:sz w:val="20"/>
          <w:szCs w:val="20"/>
        </w:rPr>
        <w:t>as a processing aid) Variation</w:t>
      </w:r>
      <w:r w:rsidRPr="007943D6">
        <w:rPr>
          <w:rFonts w:eastAsia="Times New Roman" w:cs="Times New Roman"/>
          <w:sz w:val="20"/>
          <w:szCs w:val="20"/>
        </w:rPr>
        <w:t>.</w:t>
      </w:r>
    </w:p>
    <w:p w14:paraId="08246198" w14:textId="77777777" w:rsidR="007943D6" w:rsidRPr="007943D6" w:rsidRDefault="007943D6" w:rsidP="007943D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943D6">
        <w:rPr>
          <w:rFonts w:eastAsia="Times New Roman" w:cs="Times New Roman"/>
          <w:b/>
          <w:sz w:val="20"/>
          <w:szCs w:val="20"/>
        </w:rPr>
        <w:t>2</w:t>
      </w:r>
      <w:r w:rsidRPr="007943D6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7943D6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76C0B9CA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943D6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7943D6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7943D6">
        <w:rPr>
          <w:rFonts w:eastAsia="Times New Roman" w:cs="Times New Roman"/>
          <w:sz w:val="20"/>
          <w:szCs w:val="20"/>
        </w:rPr>
        <w:t>.</w:t>
      </w:r>
    </w:p>
    <w:p w14:paraId="5AA475B7" w14:textId="77777777" w:rsidR="007943D6" w:rsidRPr="007943D6" w:rsidRDefault="007943D6" w:rsidP="007943D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943D6">
        <w:rPr>
          <w:rFonts w:eastAsia="Times New Roman" w:cs="Times New Roman"/>
          <w:b/>
          <w:sz w:val="20"/>
          <w:szCs w:val="20"/>
        </w:rPr>
        <w:t>3</w:t>
      </w:r>
      <w:r w:rsidRPr="007943D6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7244C6B8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943D6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5388677F" w14:textId="77777777" w:rsidR="007943D6" w:rsidRPr="007943D6" w:rsidRDefault="007943D6" w:rsidP="007943D6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</w:rPr>
      </w:pPr>
      <w:r w:rsidRPr="007943D6">
        <w:rPr>
          <w:rFonts w:eastAsia="Times New Roman" w:cs="Times New Roman"/>
          <w:b/>
          <w:sz w:val="20"/>
          <w:szCs w:val="20"/>
        </w:rPr>
        <w:t>Schedule</w:t>
      </w:r>
    </w:p>
    <w:p w14:paraId="32F74748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  <w:lang w:bidi="en-US"/>
        </w:rPr>
      </w:pPr>
      <w:r w:rsidRPr="007943D6">
        <w:rPr>
          <w:rFonts w:eastAsia="Times New Roman" w:cs="Times New Roman"/>
          <w:b/>
          <w:sz w:val="20"/>
          <w:szCs w:val="20"/>
          <w:lang w:bidi="en-US"/>
        </w:rPr>
        <w:t>Schedule 18—Processing aids</w:t>
      </w:r>
    </w:p>
    <w:p w14:paraId="53766E52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  <w:lang w:bidi="en-US"/>
        </w:rPr>
      </w:pPr>
      <w:r w:rsidRPr="007943D6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7943D6">
        <w:rPr>
          <w:rFonts w:eastAsia="Times New Roman" w:cs="Times New Roman"/>
          <w:b/>
          <w:sz w:val="20"/>
          <w:szCs w:val="20"/>
          <w:lang w:bidi="en-US"/>
        </w:rPr>
        <w:tab/>
        <w:t>Subsection S18—9(3) (table)</w:t>
      </w:r>
    </w:p>
    <w:p w14:paraId="01731F7A" w14:textId="77777777" w:rsidR="007943D6" w:rsidRPr="007943D6" w:rsidRDefault="007943D6" w:rsidP="007943D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lang w:bidi="en-US"/>
        </w:rPr>
      </w:pPr>
      <w:r w:rsidRPr="007943D6">
        <w:rPr>
          <w:rFonts w:eastAsia="Times New Roman" w:cs="Times New Roman"/>
          <w:b/>
          <w:sz w:val="20"/>
          <w:szCs w:val="20"/>
          <w:lang w:bidi="en-US"/>
        </w:rPr>
        <w:tab/>
      </w:r>
      <w:r w:rsidRPr="007943D6">
        <w:rPr>
          <w:rFonts w:eastAsia="Times New Roman" w:cs="Times New Roman"/>
          <w:sz w:val="20"/>
          <w:szCs w:val="20"/>
          <w:lang w:bidi="en-US"/>
        </w:rPr>
        <w:t>Insert:</w:t>
      </w:r>
    </w:p>
    <w:p w14:paraId="388B3D13" w14:textId="77777777" w:rsidR="007943D6" w:rsidRPr="007943D6" w:rsidRDefault="007943D6" w:rsidP="007943D6">
      <w:pPr>
        <w:widowControl w:val="0"/>
        <w:rPr>
          <w:rFonts w:eastAsia="Times New Roman" w:cs="Times New Roman"/>
          <w:szCs w:val="24"/>
        </w:rPr>
      </w:pP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943D6" w:rsidRPr="007943D6" w14:paraId="31C35A0A" w14:textId="77777777" w:rsidTr="006B7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0B2CCC2" w14:textId="77777777" w:rsidR="007943D6" w:rsidRPr="003C080C" w:rsidRDefault="007943D6" w:rsidP="007943D6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 xml:space="preserve">Transglutaminase (EC 2.3.2.13) sourced from </w:t>
            </w:r>
            <w:r w:rsidRPr="003C080C">
              <w:rPr>
                <w:rFonts w:ascii="Arial" w:hAnsi="Arial" w:cs="Arial"/>
                <w:b w:val="0"/>
                <w:bCs w:val="0"/>
                <w:i/>
                <w:iCs/>
                <w:sz w:val="18"/>
                <w:lang w:val="en-AU"/>
              </w:rPr>
              <w:t>Bacillus licheniformis</w:t>
            </w: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 xml:space="preserve"> containing the transglutaminase gene from </w:t>
            </w:r>
            <w:r w:rsidRPr="003C080C">
              <w:rPr>
                <w:rFonts w:ascii="Arial" w:hAnsi="Arial" w:cs="Arial"/>
                <w:b w:val="0"/>
                <w:bCs w:val="0"/>
                <w:i/>
                <w:iCs/>
                <w:sz w:val="18"/>
                <w:lang w:val="en-AU"/>
              </w:rPr>
              <w:t xml:space="preserve">Streptomyces </w:t>
            </w:r>
            <w:proofErr w:type="spellStart"/>
            <w:r w:rsidRPr="003C080C">
              <w:rPr>
                <w:rFonts w:ascii="Arial" w:hAnsi="Arial" w:cs="Arial"/>
                <w:b w:val="0"/>
                <w:bCs w:val="0"/>
                <w:i/>
                <w:iCs/>
                <w:sz w:val="18"/>
                <w:lang w:val="en-AU"/>
              </w:rPr>
              <w:t>mobaraensis</w:t>
            </w:r>
            <w:proofErr w:type="spellEnd"/>
          </w:p>
        </w:tc>
        <w:tc>
          <w:tcPr>
            <w:tcW w:w="3603" w:type="dxa"/>
          </w:tcPr>
          <w:p w14:paraId="7665FF05" w14:textId="77777777" w:rsidR="007943D6" w:rsidRPr="003C080C" w:rsidRDefault="007943D6" w:rsidP="007943D6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For use in</w:t>
            </w:r>
          </w:p>
          <w:p w14:paraId="41F56D22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4"/>
              </w:numPr>
              <w:spacing w:before="60" w:after="60"/>
              <w:ind w:left="461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brewing; and</w:t>
            </w:r>
          </w:p>
          <w:p w14:paraId="7F68972D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4"/>
              </w:numPr>
              <w:spacing w:before="60" w:after="60"/>
              <w:ind w:left="461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in the manufacture and/or processing of the following types of food:</w:t>
            </w:r>
          </w:p>
          <w:p w14:paraId="6A7C93C7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bakery and other cereal-based products, including pasta and noodles;</w:t>
            </w:r>
          </w:p>
          <w:p w14:paraId="483E3201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cheese;</w:t>
            </w:r>
          </w:p>
          <w:p w14:paraId="15111BBE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meat products;</w:t>
            </w:r>
          </w:p>
          <w:p w14:paraId="4C621786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fish products;</w:t>
            </w:r>
          </w:p>
          <w:p w14:paraId="6A2D3ECD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fermented dairy products;</w:t>
            </w:r>
          </w:p>
          <w:p w14:paraId="64CF377B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egg substitutes;</w:t>
            </w:r>
          </w:p>
          <w:p w14:paraId="7C9050EE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dairy analogues;</w:t>
            </w:r>
          </w:p>
          <w:p w14:paraId="477DC634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meat analogues; and</w:t>
            </w:r>
          </w:p>
          <w:p w14:paraId="3F298997" w14:textId="77777777" w:rsidR="007943D6" w:rsidRPr="003C080C" w:rsidRDefault="007943D6" w:rsidP="007943D6">
            <w:pPr>
              <w:keepLines/>
              <w:widowControl w:val="0"/>
              <w:numPr>
                <w:ilvl w:val="0"/>
                <w:numId w:val="15"/>
              </w:num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3C080C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fish analogues.</w:t>
            </w:r>
          </w:p>
        </w:tc>
        <w:tc>
          <w:tcPr>
            <w:tcW w:w="2349" w:type="dxa"/>
          </w:tcPr>
          <w:p w14:paraId="37903162" w14:textId="77777777" w:rsidR="007943D6" w:rsidRPr="00574A0F" w:rsidRDefault="007943D6" w:rsidP="007943D6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574A0F">
              <w:rPr>
                <w:rFonts w:ascii="Arial" w:hAnsi="Arial" w:cs="Arial"/>
                <w:b w:val="0"/>
                <w:bCs w:val="0"/>
                <w:sz w:val="18"/>
                <w:lang w:val="en-AU"/>
              </w:rPr>
              <w:t>GMP</w:t>
            </w:r>
          </w:p>
        </w:tc>
      </w:tr>
    </w:tbl>
    <w:p w14:paraId="1E2C0EE1" w14:textId="05C327D9" w:rsidR="00D5526B" w:rsidRPr="004E65EA" w:rsidRDefault="00D5526B" w:rsidP="003A01FB">
      <w:pPr>
        <w:rPr>
          <w:rFonts w:eastAsia="Times New Roman" w:cs="Arial"/>
          <w:b/>
          <w:bCs/>
          <w:sz w:val="28"/>
        </w:rPr>
      </w:pPr>
    </w:p>
    <w:sectPr w:rsidR="00D5526B" w:rsidRPr="004E65EA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13B1" w14:textId="77777777" w:rsidR="007943D6" w:rsidRDefault="007943D6" w:rsidP="007943D6">
      <w:r>
        <w:separator/>
      </w:r>
    </w:p>
  </w:endnote>
  <w:endnote w:type="continuationSeparator" w:id="0">
    <w:p w14:paraId="1903CF74" w14:textId="77777777" w:rsidR="007943D6" w:rsidRDefault="007943D6" w:rsidP="0079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C331" w14:textId="77777777" w:rsidR="004E65EA" w:rsidRDefault="004E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C051" w14:textId="77777777" w:rsidR="004E65EA" w:rsidRDefault="004E6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877B" w14:textId="77777777" w:rsidR="004E65EA" w:rsidRDefault="004E6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BCA0" w14:textId="77777777" w:rsidR="007943D6" w:rsidRDefault="007943D6" w:rsidP="007943D6">
      <w:r>
        <w:separator/>
      </w:r>
    </w:p>
  </w:footnote>
  <w:footnote w:type="continuationSeparator" w:id="0">
    <w:p w14:paraId="0BC0B092" w14:textId="77777777" w:rsidR="007943D6" w:rsidRDefault="007943D6" w:rsidP="0079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82D0" w14:textId="77777777" w:rsidR="004E65EA" w:rsidRDefault="004E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410F" w14:textId="77777777" w:rsidR="004E65EA" w:rsidRDefault="004E6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DB15" w14:textId="77777777" w:rsidR="004E65EA" w:rsidRDefault="004E6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C5012F0"/>
    <w:multiLevelType w:val="hybridMultilevel"/>
    <w:tmpl w:val="63CE71EE"/>
    <w:lvl w:ilvl="0" w:tplc="A9326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42C9"/>
    <w:multiLevelType w:val="hybridMultilevel"/>
    <w:tmpl w:val="18AE245E"/>
    <w:lvl w:ilvl="0" w:tplc="D15A184A">
      <w:start w:val="1"/>
      <w:numFmt w:val="lowerRoman"/>
      <w:lvlText w:val="(%1)"/>
      <w:lvlJc w:val="left"/>
      <w:pPr>
        <w:ind w:left="821" w:hanging="360"/>
      </w:pPr>
      <w:rPr>
        <w:rFonts w:ascii="Calibri" w:eastAsia="Times New Roman" w:hAnsi="Calibri" w:cs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006542971">
    <w:abstractNumId w:val="0"/>
  </w:num>
  <w:num w:numId="2" w16cid:durableId="2128965833">
    <w:abstractNumId w:val="0"/>
  </w:num>
  <w:num w:numId="3" w16cid:durableId="940180398">
    <w:abstractNumId w:val="0"/>
  </w:num>
  <w:num w:numId="4" w16cid:durableId="1189947766">
    <w:abstractNumId w:val="0"/>
  </w:num>
  <w:num w:numId="5" w16cid:durableId="552933537">
    <w:abstractNumId w:val="0"/>
  </w:num>
  <w:num w:numId="6" w16cid:durableId="39480753">
    <w:abstractNumId w:val="0"/>
  </w:num>
  <w:num w:numId="7" w16cid:durableId="503009733">
    <w:abstractNumId w:val="0"/>
  </w:num>
  <w:num w:numId="8" w16cid:durableId="1324627786">
    <w:abstractNumId w:val="5"/>
  </w:num>
  <w:num w:numId="9" w16cid:durableId="1448768187">
    <w:abstractNumId w:val="2"/>
  </w:num>
  <w:num w:numId="10" w16cid:durableId="1707293791">
    <w:abstractNumId w:val="3"/>
  </w:num>
  <w:num w:numId="11" w16cid:durableId="1705596188">
    <w:abstractNumId w:val="5"/>
  </w:num>
  <w:num w:numId="12" w16cid:durableId="1199706463">
    <w:abstractNumId w:val="2"/>
  </w:num>
  <w:num w:numId="13" w16cid:durableId="1220441661">
    <w:abstractNumId w:val="3"/>
  </w:num>
  <w:num w:numId="14" w16cid:durableId="1457678157">
    <w:abstractNumId w:val="1"/>
  </w:num>
  <w:num w:numId="15" w16cid:durableId="118105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D6"/>
    <w:rsid w:val="0000542C"/>
    <w:rsid w:val="00041643"/>
    <w:rsid w:val="000622E7"/>
    <w:rsid w:val="00066854"/>
    <w:rsid w:val="00066D85"/>
    <w:rsid w:val="00090ECD"/>
    <w:rsid w:val="000A38F8"/>
    <w:rsid w:val="000F2196"/>
    <w:rsid w:val="000F2FC8"/>
    <w:rsid w:val="001734EA"/>
    <w:rsid w:val="00184403"/>
    <w:rsid w:val="00191770"/>
    <w:rsid w:val="001C5126"/>
    <w:rsid w:val="001E696B"/>
    <w:rsid w:val="002232B1"/>
    <w:rsid w:val="0023253F"/>
    <w:rsid w:val="00234C31"/>
    <w:rsid w:val="0033021F"/>
    <w:rsid w:val="00341D25"/>
    <w:rsid w:val="003A01FB"/>
    <w:rsid w:val="003C080C"/>
    <w:rsid w:val="00404702"/>
    <w:rsid w:val="00441D77"/>
    <w:rsid w:val="00443F05"/>
    <w:rsid w:val="00486619"/>
    <w:rsid w:val="004A4F9E"/>
    <w:rsid w:val="004D3868"/>
    <w:rsid w:val="004E234D"/>
    <w:rsid w:val="004E65EA"/>
    <w:rsid w:val="004E6694"/>
    <w:rsid w:val="0054036E"/>
    <w:rsid w:val="00574A0F"/>
    <w:rsid w:val="005B578D"/>
    <w:rsid w:val="005C1996"/>
    <w:rsid w:val="006B6900"/>
    <w:rsid w:val="006D473E"/>
    <w:rsid w:val="007201F8"/>
    <w:rsid w:val="00793DE6"/>
    <w:rsid w:val="007943D6"/>
    <w:rsid w:val="007F6456"/>
    <w:rsid w:val="007F7CBD"/>
    <w:rsid w:val="00830393"/>
    <w:rsid w:val="00833D5A"/>
    <w:rsid w:val="00860EE7"/>
    <w:rsid w:val="00877A81"/>
    <w:rsid w:val="008931F6"/>
    <w:rsid w:val="008E2339"/>
    <w:rsid w:val="00935023"/>
    <w:rsid w:val="009806A5"/>
    <w:rsid w:val="00993537"/>
    <w:rsid w:val="009E265A"/>
    <w:rsid w:val="00A25B29"/>
    <w:rsid w:val="00A26F82"/>
    <w:rsid w:val="00A53714"/>
    <w:rsid w:val="00A808E9"/>
    <w:rsid w:val="00AC5EF6"/>
    <w:rsid w:val="00B53154"/>
    <w:rsid w:val="00B72074"/>
    <w:rsid w:val="00BA1525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081B62"/>
  <w15:chartTrackingRefBased/>
  <w15:docId w15:val="{FBD2E005-CEBF-47F8-8EDF-2448605C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7943D6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B0939-9E28-4AB4-B4BF-E11CC2DD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ABFAB-A263-43EC-835C-75E218963974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4.xml><?xml version="1.0" encoding="utf-8"?>
<ds:datastoreItem xmlns:ds="http://schemas.openxmlformats.org/officeDocument/2006/customXml" ds:itemID="{C9E7EC6D-D6E5-405F-91E2-593AFB62F7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391917-F306-4B17-9277-CCE95FB2F9E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1387</Characters>
  <Application>Microsoft Office Word</Application>
  <DocSecurity>0</DocSecurity>
  <Lines>64</Lines>
  <Paragraphs>31</Paragraphs>
  <ScaleCrop>false</ScaleCrop>
  <Company>Food Standards Australia New Zealand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15</cp:revision>
  <dcterms:created xsi:type="dcterms:W3CDTF">2024-05-16T04:38:00Z</dcterms:created>
  <dcterms:modified xsi:type="dcterms:W3CDTF">2024-05-23T22:30:00Z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v=2022.1;a=SHA256;h=4C29DE360F14EE325032A28858FE5831417AAAE7EA31B5130EACBBAA5FFE3DEE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2024-05-23T22:29:57Z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E6A46B69F1624539B56FE9FB96093255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EC18258CD9970411F3438434D9425D30</vt:lpwstr>
  </property>
  <property fmtid="{D5CDD505-2E9C-101B-9397-08002B2CF9AE}" pid="25" name="PM_Hash_Salt">
    <vt:lpwstr>07D0B01F86DF62CE65A3BF49A1CCEE64</vt:lpwstr>
  </property>
  <property fmtid="{D5CDD505-2E9C-101B-9397-08002B2CF9AE}" pid="26" name="PM_Hash_SHA1">
    <vt:lpwstr>48BFE38268D414F2C6CB842145EED66D9A006DC4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_x0020_Privacy">
    <vt:lpwstr/>
  </property>
  <property fmtid="{D5CDD505-2E9C-101B-9397-08002B2CF9AE}" pid="31" name="Access">
    <vt:lpwstr/>
  </property>
  <property fmtid="{D5CDD505-2E9C-101B-9397-08002B2CF9AE}" pid="32" name="Classification">
    <vt:lpwstr>1;#OFFICIAL|3776503d-ed4e-4d70-8dfd-8e17b238523b</vt:lpwstr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