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EB3D6" w14:textId="77777777" w:rsidR="00522070" w:rsidRPr="00522070" w:rsidRDefault="00522070" w:rsidP="00522070">
      <w:pPr>
        <w:rPr>
          <w:sz w:val="28"/>
        </w:rPr>
      </w:pPr>
      <w:r w:rsidRPr="00522070">
        <w:rPr>
          <w:noProof/>
          <w:lang w:eastAsia="en-AU"/>
        </w:rPr>
        <w:drawing>
          <wp:inline distT="0" distB="0" distL="0" distR="0" wp14:anchorId="3459EDE6" wp14:editId="790851B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65E8E9" w14:textId="77777777" w:rsidR="00522070" w:rsidRPr="00522070" w:rsidRDefault="00522070" w:rsidP="00522070">
      <w:pPr>
        <w:rPr>
          <w:sz w:val="19"/>
        </w:rPr>
      </w:pPr>
    </w:p>
    <w:p w14:paraId="03A5407D" w14:textId="77777777" w:rsidR="00522070" w:rsidRPr="00522070" w:rsidRDefault="00522070" w:rsidP="00522070">
      <w:pPr>
        <w:pStyle w:val="ShortT"/>
      </w:pPr>
      <w:r w:rsidRPr="00522070">
        <w:t>Online Safety (Basic Online Safety Expectations) Amendment Determination 2024</w:t>
      </w:r>
    </w:p>
    <w:p w14:paraId="75A7A90A" w14:textId="77777777" w:rsidR="00522070" w:rsidRPr="00522070" w:rsidRDefault="00522070" w:rsidP="00522070">
      <w:pPr>
        <w:pStyle w:val="SignCoverPageStart"/>
        <w:spacing w:before="240"/>
        <w:ind w:right="91"/>
        <w:rPr>
          <w:szCs w:val="22"/>
        </w:rPr>
      </w:pPr>
      <w:r w:rsidRPr="00522070">
        <w:rPr>
          <w:szCs w:val="22"/>
        </w:rPr>
        <w:t>I, Michelle Rowland, Minister for Communications, make the following determination.</w:t>
      </w:r>
    </w:p>
    <w:p w14:paraId="3C0CD63A" w14:textId="6A7101A1" w:rsidR="00522070" w:rsidRPr="00522070" w:rsidRDefault="00522070" w:rsidP="00522070">
      <w:pPr>
        <w:keepNext/>
        <w:spacing w:before="300" w:line="240" w:lineRule="atLeast"/>
        <w:ind w:right="397"/>
        <w:jc w:val="both"/>
        <w:rPr>
          <w:szCs w:val="22"/>
        </w:rPr>
      </w:pPr>
      <w:r w:rsidRPr="00522070">
        <w:rPr>
          <w:szCs w:val="22"/>
        </w:rPr>
        <w:t>Dated</w:t>
      </w:r>
      <w:r w:rsidRPr="00522070">
        <w:rPr>
          <w:szCs w:val="22"/>
        </w:rPr>
        <w:tab/>
      </w:r>
      <w:bookmarkStart w:id="0" w:name="_GoBack"/>
      <w:bookmarkEnd w:id="0"/>
    </w:p>
    <w:p w14:paraId="538330A2" w14:textId="77777777" w:rsidR="00522070" w:rsidRPr="00522070" w:rsidRDefault="00522070" w:rsidP="00522070">
      <w:pPr>
        <w:keepNext/>
        <w:tabs>
          <w:tab w:val="left" w:pos="3402"/>
        </w:tabs>
        <w:spacing w:before="1440" w:line="300" w:lineRule="atLeast"/>
        <w:ind w:right="397"/>
        <w:rPr>
          <w:b/>
          <w:szCs w:val="22"/>
        </w:rPr>
      </w:pPr>
      <w:r w:rsidRPr="00522070">
        <w:rPr>
          <w:szCs w:val="22"/>
        </w:rPr>
        <w:t xml:space="preserve">Michelle Rowland </w:t>
      </w:r>
    </w:p>
    <w:p w14:paraId="6AED8E37" w14:textId="77777777" w:rsidR="00522070" w:rsidRPr="00522070" w:rsidRDefault="00522070" w:rsidP="00522070">
      <w:pPr>
        <w:pStyle w:val="SignCoverPageEnd"/>
        <w:ind w:right="91"/>
        <w:rPr>
          <w:sz w:val="22"/>
        </w:rPr>
      </w:pPr>
      <w:r w:rsidRPr="00522070">
        <w:rPr>
          <w:sz w:val="22"/>
        </w:rPr>
        <w:t>Minister for Communications</w:t>
      </w:r>
    </w:p>
    <w:p w14:paraId="3675CC3E" w14:textId="77777777" w:rsidR="00522070" w:rsidRPr="00522070" w:rsidRDefault="00522070" w:rsidP="00522070"/>
    <w:p w14:paraId="60292E87" w14:textId="77777777" w:rsidR="00522070" w:rsidRPr="00522070" w:rsidRDefault="00522070" w:rsidP="00522070">
      <w:pPr>
        <w:sectPr w:rsidR="00522070" w:rsidRPr="00522070" w:rsidSect="00C3489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titlePg/>
          <w:docGrid w:linePitch="360"/>
        </w:sectPr>
      </w:pPr>
    </w:p>
    <w:p w14:paraId="26EAE03D" w14:textId="77777777" w:rsidR="00522070" w:rsidRPr="00522070" w:rsidRDefault="00522070" w:rsidP="00522070">
      <w:pPr>
        <w:outlineLvl w:val="0"/>
        <w:rPr>
          <w:sz w:val="36"/>
        </w:rPr>
      </w:pPr>
      <w:r w:rsidRPr="00522070">
        <w:rPr>
          <w:sz w:val="36"/>
        </w:rPr>
        <w:lastRenderedPageBreak/>
        <w:t>Contents</w:t>
      </w:r>
    </w:p>
    <w:bookmarkStart w:id="1" w:name="BKCheck15B_2"/>
    <w:bookmarkEnd w:id="1"/>
    <w:p w14:paraId="1BA94CEB" w14:textId="77777777" w:rsidR="00522070" w:rsidRDefault="00522070">
      <w:pPr>
        <w:pStyle w:val="TOC5"/>
        <w:rPr>
          <w:rFonts w:asciiTheme="minorHAnsi" w:eastAsiaTheme="minorEastAsia" w:hAnsiTheme="minorHAnsi" w:cstheme="minorBidi"/>
          <w:noProof/>
          <w:kern w:val="0"/>
          <w:sz w:val="22"/>
          <w:szCs w:val="22"/>
        </w:rPr>
      </w:pPr>
      <w:r w:rsidRPr="00522070">
        <w:fldChar w:fldCharType="begin"/>
      </w:r>
      <w:r w:rsidRPr="00522070">
        <w:instrText xml:space="preserve"> TOC \o "1-9" </w:instrText>
      </w:r>
      <w:r w:rsidRPr="00522070">
        <w:fldChar w:fldCharType="separate"/>
      </w:r>
      <w:r>
        <w:rPr>
          <w:noProof/>
        </w:rPr>
        <w:t>1  Name</w:t>
      </w:r>
      <w:r>
        <w:rPr>
          <w:noProof/>
        </w:rPr>
        <w:tab/>
      </w:r>
      <w:r>
        <w:rPr>
          <w:noProof/>
        </w:rPr>
        <w:fldChar w:fldCharType="begin"/>
      </w:r>
      <w:r>
        <w:rPr>
          <w:noProof/>
        </w:rPr>
        <w:instrText xml:space="preserve"> PAGEREF _Toc166138643 \h </w:instrText>
      </w:r>
      <w:r>
        <w:rPr>
          <w:noProof/>
        </w:rPr>
      </w:r>
      <w:r>
        <w:rPr>
          <w:noProof/>
        </w:rPr>
        <w:fldChar w:fldCharType="separate"/>
      </w:r>
      <w:r>
        <w:rPr>
          <w:noProof/>
        </w:rPr>
        <w:t>1</w:t>
      </w:r>
      <w:r>
        <w:rPr>
          <w:noProof/>
        </w:rPr>
        <w:fldChar w:fldCharType="end"/>
      </w:r>
    </w:p>
    <w:p w14:paraId="48F89528" w14:textId="77777777" w:rsidR="00522070" w:rsidRDefault="0052207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_Toc166138644 \h </w:instrText>
      </w:r>
      <w:r>
        <w:rPr>
          <w:noProof/>
        </w:rPr>
      </w:r>
      <w:r>
        <w:rPr>
          <w:noProof/>
        </w:rPr>
        <w:fldChar w:fldCharType="separate"/>
      </w:r>
      <w:r>
        <w:rPr>
          <w:noProof/>
        </w:rPr>
        <w:t>1</w:t>
      </w:r>
      <w:r>
        <w:rPr>
          <w:noProof/>
        </w:rPr>
        <w:fldChar w:fldCharType="end"/>
      </w:r>
    </w:p>
    <w:p w14:paraId="037F0BCF" w14:textId="77777777" w:rsidR="00522070" w:rsidRDefault="0052207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_Toc166138645 \h </w:instrText>
      </w:r>
      <w:r>
        <w:rPr>
          <w:noProof/>
        </w:rPr>
      </w:r>
      <w:r>
        <w:rPr>
          <w:noProof/>
        </w:rPr>
        <w:fldChar w:fldCharType="separate"/>
      </w:r>
      <w:r>
        <w:rPr>
          <w:noProof/>
        </w:rPr>
        <w:t>1</w:t>
      </w:r>
      <w:r>
        <w:rPr>
          <w:noProof/>
        </w:rPr>
        <w:fldChar w:fldCharType="end"/>
      </w:r>
    </w:p>
    <w:p w14:paraId="3BF4A35F" w14:textId="77777777" w:rsidR="00522070" w:rsidRDefault="0052207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_Toc166138646 \h </w:instrText>
      </w:r>
      <w:r>
        <w:rPr>
          <w:noProof/>
        </w:rPr>
      </w:r>
      <w:r>
        <w:rPr>
          <w:noProof/>
        </w:rPr>
        <w:fldChar w:fldCharType="separate"/>
      </w:r>
      <w:r>
        <w:rPr>
          <w:noProof/>
        </w:rPr>
        <w:t>1</w:t>
      </w:r>
      <w:r>
        <w:rPr>
          <w:noProof/>
        </w:rPr>
        <w:fldChar w:fldCharType="end"/>
      </w:r>
    </w:p>
    <w:p w14:paraId="332C3C91" w14:textId="77777777" w:rsidR="00522070" w:rsidRDefault="00522070">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_Toc166138647 \h </w:instrText>
      </w:r>
      <w:r>
        <w:rPr>
          <w:noProof/>
        </w:rPr>
      </w:r>
      <w:r>
        <w:rPr>
          <w:noProof/>
        </w:rPr>
        <w:fldChar w:fldCharType="separate"/>
      </w:r>
      <w:r>
        <w:rPr>
          <w:noProof/>
        </w:rPr>
        <w:t>2</w:t>
      </w:r>
      <w:r>
        <w:rPr>
          <w:noProof/>
        </w:rPr>
        <w:fldChar w:fldCharType="end"/>
      </w:r>
    </w:p>
    <w:p w14:paraId="431C6456" w14:textId="77777777" w:rsidR="00522070" w:rsidRDefault="00522070">
      <w:pPr>
        <w:pStyle w:val="TOC9"/>
        <w:rPr>
          <w:rFonts w:asciiTheme="minorHAnsi" w:eastAsiaTheme="minorEastAsia" w:hAnsiTheme="minorHAnsi" w:cstheme="minorBidi"/>
          <w:i w:val="0"/>
          <w:noProof/>
          <w:kern w:val="0"/>
          <w:sz w:val="22"/>
          <w:szCs w:val="22"/>
        </w:rPr>
      </w:pPr>
      <w:r>
        <w:rPr>
          <w:noProof/>
        </w:rPr>
        <w:t>Online Safety (Basic Online Safety Expectations) Determination 2022</w:t>
      </w:r>
      <w:r>
        <w:rPr>
          <w:noProof/>
        </w:rPr>
        <w:tab/>
      </w:r>
      <w:r>
        <w:rPr>
          <w:noProof/>
        </w:rPr>
        <w:fldChar w:fldCharType="begin"/>
      </w:r>
      <w:r>
        <w:rPr>
          <w:noProof/>
        </w:rPr>
        <w:instrText xml:space="preserve"> PAGEREF _Toc166138648 \h </w:instrText>
      </w:r>
      <w:r>
        <w:rPr>
          <w:noProof/>
        </w:rPr>
      </w:r>
      <w:r>
        <w:rPr>
          <w:noProof/>
        </w:rPr>
        <w:fldChar w:fldCharType="separate"/>
      </w:r>
      <w:r>
        <w:rPr>
          <w:noProof/>
        </w:rPr>
        <w:t>2</w:t>
      </w:r>
      <w:r>
        <w:rPr>
          <w:noProof/>
        </w:rPr>
        <w:fldChar w:fldCharType="end"/>
      </w:r>
    </w:p>
    <w:p w14:paraId="33421308" w14:textId="77777777" w:rsidR="00522070" w:rsidRPr="00522070" w:rsidRDefault="00522070" w:rsidP="00522070">
      <w:pPr>
        <w:pStyle w:val="TOC5"/>
        <w:rPr>
          <w:rFonts w:asciiTheme="minorHAnsi" w:eastAsiaTheme="minorEastAsia" w:hAnsiTheme="minorHAnsi" w:cstheme="minorBidi"/>
          <w:noProof/>
          <w:kern w:val="0"/>
          <w:sz w:val="22"/>
          <w:szCs w:val="22"/>
        </w:rPr>
      </w:pPr>
      <w:r w:rsidRPr="00522070">
        <w:rPr>
          <w:sz w:val="20"/>
        </w:rPr>
        <w:fldChar w:fldCharType="end"/>
      </w:r>
    </w:p>
    <w:p w14:paraId="08E0E0F1" w14:textId="77777777" w:rsidR="00522070" w:rsidRPr="00522070" w:rsidRDefault="00522070" w:rsidP="00522070"/>
    <w:p w14:paraId="36223885" w14:textId="77777777" w:rsidR="00522070" w:rsidRPr="00522070" w:rsidRDefault="00522070" w:rsidP="00522070">
      <w:pPr>
        <w:sectPr w:rsidR="00522070" w:rsidRPr="00522070" w:rsidSect="0087378F">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59DF1E48" w14:textId="77777777" w:rsidR="00522070" w:rsidRPr="00522070" w:rsidRDefault="00522070" w:rsidP="00522070">
      <w:pPr>
        <w:pStyle w:val="ActHead5"/>
      </w:pPr>
      <w:bookmarkStart w:id="2" w:name="_Toc149566753"/>
      <w:bookmarkStart w:id="3" w:name="_Toc166138643"/>
      <w:proofErr w:type="gramStart"/>
      <w:r w:rsidRPr="00522070">
        <w:rPr>
          <w:rStyle w:val="CharSectno"/>
        </w:rPr>
        <w:lastRenderedPageBreak/>
        <w:t>1</w:t>
      </w:r>
      <w:r w:rsidRPr="00522070">
        <w:t xml:space="preserve">  Name</w:t>
      </w:r>
      <w:bookmarkEnd w:id="2"/>
      <w:bookmarkEnd w:id="3"/>
      <w:proofErr w:type="gramEnd"/>
    </w:p>
    <w:p w14:paraId="5F99936F" w14:textId="77777777" w:rsidR="00522070" w:rsidRPr="00522070" w:rsidRDefault="00522070" w:rsidP="00522070">
      <w:pPr>
        <w:pStyle w:val="subsection"/>
      </w:pPr>
      <w:r w:rsidRPr="00522070">
        <w:tab/>
      </w:r>
      <w:r w:rsidRPr="00522070">
        <w:tab/>
        <w:t xml:space="preserve">This instrument is the </w:t>
      </w:r>
      <w:bookmarkStart w:id="4" w:name="BKCheck15B_3"/>
      <w:bookmarkEnd w:id="4"/>
      <w:r w:rsidRPr="00522070">
        <w:rPr>
          <w:i/>
        </w:rPr>
        <w:t>Online Safety (Basic Online Safety Expectations) Amendment Determination 2024</w:t>
      </w:r>
      <w:r w:rsidRPr="00522070">
        <w:t>.</w:t>
      </w:r>
    </w:p>
    <w:p w14:paraId="21B9FD04" w14:textId="77777777" w:rsidR="00522070" w:rsidRPr="00522070" w:rsidRDefault="00522070" w:rsidP="00522070">
      <w:pPr>
        <w:pStyle w:val="ActHead5"/>
      </w:pPr>
      <w:bookmarkStart w:id="5" w:name="_Toc149566754"/>
      <w:bookmarkStart w:id="6" w:name="_Toc166138644"/>
      <w:proofErr w:type="gramStart"/>
      <w:r w:rsidRPr="00522070">
        <w:rPr>
          <w:rStyle w:val="CharSectno"/>
        </w:rPr>
        <w:t>2</w:t>
      </w:r>
      <w:r w:rsidRPr="00522070">
        <w:t xml:space="preserve">  Commencement</w:t>
      </w:r>
      <w:bookmarkEnd w:id="5"/>
      <w:bookmarkEnd w:id="6"/>
      <w:proofErr w:type="gramEnd"/>
    </w:p>
    <w:p w14:paraId="772C474F" w14:textId="77777777" w:rsidR="00522070" w:rsidRPr="00522070" w:rsidRDefault="00522070" w:rsidP="00522070">
      <w:pPr>
        <w:pStyle w:val="subsection"/>
      </w:pPr>
      <w:r w:rsidRPr="00522070">
        <w:tab/>
      </w:r>
      <w:r w:rsidRPr="00522070">
        <w:tab/>
        <w:t>This instrument commences the day after this instrument is registered.</w:t>
      </w:r>
    </w:p>
    <w:p w14:paraId="78B89F20" w14:textId="77777777" w:rsidR="00522070" w:rsidRPr="00522070" w:rsidRDefault="00522070" w:rsidP="00522070">
      <w:pPr>
        <w:pStyle w:val="ActHead5"/>
      </w:pPr>
      <w:bookmarkStart w:id="7" w:name="_Toc149566755"/>
      <w:bookmarkStart w:id="8" w:name="_Toc166138645"/>
      <w:proofErr w:type="gramStart"/>
      <w:r w:rsidRPr="00522070">
        <w:rPr>
          <w:rStyle w:val="CharSectno"/>
        </w:rPr>
        <w:t>3</w:t>
      </w:r>
      <w:r w:rsidRPr="00522070">
        <w:t xml:space="preserve">  Authority</w:t>
      </w:r>
      <w:bookmarkEnd w:id="7"/>
      <w:bookmarkEnd w:id="8"/>
      <w:proofErr w:type="gramEnd"/>
    </w:p>
    <w:p w14:paraId="5DBD9186" w14:textId="77777777" w:rsidR="00522070" w:rsidRPr="00522070" w:rsidRDefault="00522070" w:rsidP="00522070">
      <w:pPr>
        <w:pStyle w:val="subsection"/>
      </w:pPr>
      <w:r w:rsidRPr="00522070">
        <w:tab/>
      </w:r>
      <w:r w:rsidRPr="00522070">
        <w:tab/>
        <w:t xml:space="preserve">This instrument is made under section 45 of the </w:t>
      </w:r>
      <w:r w:rsidRPr="00522070">
        <w:rPr>
          <w:i/>
        </w:rPr>
        <w:t>Online Safety Act 2021</w:t>
      </w:r>
      <w:r w:rsidRPr="00522070">
        <w:t>.</w:t>
      </w:r>
    </w:p>
    <w:p w14:paraId="4C84A81B" w14:textId="77777777" w:rsidR="00522070" w:rsidRPr="00522070" w:rsidRDefault="00522070" w:rsidP="00522070">
      <w:pPr>
        <w:pStyle w:val="ActHead5"/>
      </w:pPr>
      <w:bookmarkStart w:id="9" w:name="_Toc149566756"/>
      <w:bookmarkStart w:id="10" w:name="_Toc166138646"/>
      <w:proofErr w:type="gramStart"/>
      <w:r w:rsidRPr="00522070">
        <w:t>4  Schedules</w:t>
      </w:r>
      <w:bookmarkEnd w:id="9"/>
      <w:bookmarkEnd w:id="10"/>
      <w:proofErr w:type="gramEnd"/>
    </w:p>
    <w:p w14:paraId="1831F944" w14:textId="77777777" w:rsidR="00522070" w:rsidRPr="00522070" w:rsidRDefault="00522070" w:rsidP="00522070">
      <w:pPr>
        <w:pStyle w:val="subsection"/>
      </w:pPr>
      <w:r w:rsidRPr="00522070">
        <w:tab/>
      </w:r>
      <w:r w:rsidRPr="00522070">
        <w:tab/>
        <w:t>Each instrument that is specified in a Schedule to this instrument is amended or repealed as set out in the applicable items in the Schedule concerned, and any other item in a Schedule to this instrument has effect according to its terms.</w:t>
      </w:r>
    </w:p>
    <w:p w14:paraId="503456EE" w14:textId="77777777" w:rsidR="00522070" w:rsidRPr="00522070" w:rsidRDefault="00522070" w:rsidP="00522070">
      <w:pPr>
        <w:pStyle w:val="ActHead6"/>
        <w:pageBreakBefore/>
      </w:pPr>
      <w:bookmarkStart w:id="11" w:name="_Toc149566757"/>
      <w:bookmarkStart w:id="12" w:name="_Toc166138647"/>
      <w:r w:rsidRPr="00522070">
        <w:rPr>
          <w:rStyle w:val="CharAmSchNo"/>
        </w:rPr>
        <w:lastRenderedPageBreak/>
        <w:t>Schedule 1</w:t>
      </w:r>
      <w:r w:rsidRPr="00522070">
        <w:t>—</w:t>
      </w:r>
      <w:r w:rsidRPr="00522070">
        <w:rPr>
          <w:rStyle w:val="CharAmSchText"/>
        </w:rPr>
        <w:t>Amendments</w:t>
      </w:r>
      <w:bookmarkEnd w:id="11"/>
      <w:bookmarkEnd w:id="12"/>
    </w:p>
    <w:p w14:paraId="02F7CF44" w14:textId="77777777" w:rsidR="00522070" w:rsidRPr="00522070" w:rsidRDefault="00522070" w:rsidP="00522070">
      <w:pPr>
        <w:pStyle w:val="ActHead9"/>
      </w:pPr>
      <w:bookmarkStart w:id="13" w:name="_Toc149566758"/>
      <w:bookmarkStart w:id="14" w:name="_Toc166138648"/>
      <w:bookmarkStart w:id="15" w:name="_Hlk148454545"/>
      <w:r w:rsidRPr="00522070">
        <w:t>Online Safety (Basic Online Safety Expectations) Determination 2022</w:t>
      </w:r>
      <w:bookmarkEnd w:id="13"/>
      <w:bookmarkEnd w:id="14"/>
    </w:p>
    <w:bookmarkEnd w:id="15"/>
    <w:p w14:paraId="77D71F45" w14:textId="77777777" w:rsidR="00522070" w:rsidRPr="00522070" w:rsidRDefault="00522070" w:rsidP="00522070">
      <w:pPr>
        <w:pStyle w:val="ItemHead"/>
      </w:pPr>
      <w:proofErr w:type="gramStart"/>
      <w:r w:rsidRPr="00522070">
        <w:t>1  After</w:t>
      </w:r>
      <w:proofErr w:type="gramEnd"/>
      <w:r w:rsidRPr="00522070">
        <w:t xml:space="preserve"> subsection 6(2) </w:t>
      </w:r>
    </w:p>
    <w:p w14:paraId="12D7836C" w14:textId="77777777" w:rsidR="00522070" w:rsidRPr="00522070" w:rsidRDefault="00522070" w:rsidP="00522070">
      <w:pPr>
        <w:pStyle w:val="Item"/>
        <w:ind w:left="720"/>
        <w:rPr>
          <w:szCs w:val="22"/>
        </w:rPr>
      </w:pPr>
      <w:r w:rsidRPr="00522070">
        <w:rPr>
          <w:szCs w:val="22"/>
        </w:rPr>
        <w:t xml:space="preserve">Insert: </w:t>
      </w:r>
    </w:p>
    <w:p w14:paraId="70D97942" w14:textId="77777777" w:rsidR="00522070" w:rsidRPr="00522070" w:rsidRDefault="00522070" w:rsidP="00522070">
      <w:pPr>
        <w:pStyle w:val="SubsectionHead"/>
        <w:ind w:left="0"/>
      </w:pPr>
      <w:r w:rsidRPr="00522070">
        <w:t>Additional expectation</w:t>
      </w:r>
    </w:p>
    <w:p w14:paraId="620DCD90" w14:textId="6B4BBC3B" w:rsidR="00522070" w:rsidRPr="00522070" w:rsidRDefault="00522070" w:rsidP="00522070">
      <w:pPr>
        <w:pStyle w:val="subsection"/>
      </w:pPr>
      <w:r w:rsidRPr="00522070">
        <w:tab/>
        <w:t>(2A)</w:t>
      </w:r>
      <w:r w:rsidRPr="00522070">
        <w:tab/>
        <w:t xml:space="preserve">The provider of the service will take reasonable steps to ensure that the best interests of the child are a primary consideration in the design and operation of any service that is likely to be accessed by children. </w:t>
      </w:r>
    </w:p>
    <w:p w14:paraId="4693FF6E" w14:textId="77777777" w:rsidR="00522070" w:rsidRPr="00522070" w:rsidRDefault="00522070" w:rsidP="00522070">
      <w:pPr>
        <w:pStyle w:val="ItemHead"/>
        <w:ind w:left="0" w:firstLine="0"/>
      </w:pPr>
      <w:proofErr w:type="gramStart"/>
      <w:r w:rsidRPr="00522070">
        <w:t>2  Subsection</w:t>
      </w:r>
      <w:proofErr w:type="gramEnd"/>
      <w:r w:rsidRPr="00522070">
        <w:t xml:space="preserve"> 6(3) </w:t>
      </w:r>
    </w:p>
    <w:p w14:paraId="36BAEAF0" w14:textId="77777777" w:rsidR="00522070" w:rsidRPr="00522070" w:rsidRDefault="00522070" w:rsidP="00522070">
      <w:pPr>
        <w:pStyle w:val="Item"/>
        <w:ind w:left="720"/>
        <w:rPr>
          <w:szCs w:val="22"/>
        </w:rPr>
      </w:pPr>
      <w:r w:rsidRPr="00522070">
        <w:rPr>
          <w:szCs w:val="22"/>
        </w:rPr>
        <w:t xml:space="preserve">Omit “without limiting subsection (1) or (2), reasonable steps for the purposes of this section” and substitute “without limiting subsection (1), (2) or (2A), reasonable steps for the purposes of </w:t>
      </w:r>
      <w:r w:rsidRPr="00522070">
        <w:t>those</w:t>
      </w:r>
      <w:r w:rsidRPr="00522070">
        <w:rPr>
          <w:szCs w:val="22"/>
        </w:rPr>
        <w:t xml:space="preserve"> subsections”. </w:t>
      </w:r>
    </w:p>
    <w:p w14:paraId="3BD3DA12" w14:textId="77777777" w:rsidR="00522070" w:rsidRPr="00522070" w:rsidRDefault="00522070" w:rsidP="00522070">
      <w:pPr>
        <w:pStyle w:val="ItemHead"/>
        <w:ind w:left="0" w:firstLine="0"/>
      </w:pPr>
      <w:proofErr w:type="gramStart"/>
      <w:r w:rsidRPr="00522070">
        <w:t>3  Paragraph</w:t>
      </w:r>
      <w:proofErr w:type="gramEnd"/>
      <w:r w:rsidRPr="00522070">
        <w:t xml:space="preserve"> 6(3)(b)  </w:t>
      </w:r>
    </w:p>
    <w:p w14:paraId="4961B90F" w14:textId="77777777" w:rsidR="00522070" w:rsidRPr="00522070" w:rsidRDefault="00522070" w:rsidP="00522070">
      <w:pPr>
        <w:pStyle w:val="Item"/>
      </w:pPr>
      <w:r w:rsidRPr="00522070">
        <w:t xml:space="preserve">Repeal the paragraph, substitute: </w:t>
      </w:r>
    </w:p>
    <w:p w14:paraId="45054A18" w14:textId="77777777" w:rsidR="00522070" w:rsidRPr="00522070" w:rsidRDefault="00522070" w:rsidP="00522070">
      <w:pPr>
        <w:pStyle w:val="paragraph"/>
      </w:pPr>
      <w:r w:rsidRPr="00522070">
        <w:tab/>
        <w:t>(b)</w:t>
      </w:r>
      <w:r w:rsidRPr="00522070">
        <w:tab/>
        <w:t xml:space="preserve">if a service or a component of a service (such as an online app or game) is likely to be accessed by children (the </w:t>
      </w:r>
      <w:r w:rsidRPr="00522070">
        <w:rPr>
          <w:b/>
          <w:i/>
        </w:rPr>
        <w:t>children’s service</w:t>
      </w:r>
      <w:r w:rsidRPr="00522070">
        <w:t>) – ensuring that the default privacy and safety settings of the children’s service are robust and set to the most restrictive level</w:t>
      </w:r>
      <w:r w:rsidRPr="00522070">
        <w:rPr>
          <w:szCs w:val="22"/>
        </w:rPr>
        <w:t>;</w:t>
      </w:r>
    </w:p>
    <w:p w14:paraId="76F845CB" w14:textId="77777777" w:rsidR="00522070" w:rsidRPr="00522070" w:rsidRDefault="00522070" w:rsidP="00522070">
      <w:pPr>
        <w:pStyle w:val="ItemHead"/>
        <w:ind w:left="0" w:firstLine="0"/>
      </w:pPr>
      <w:proofErr w:type="gramStart"/>
      <w:r w:rsidRPr="00522070">
        <w:t>4  Paragraph</w:t>
      </w:r>
      <w:proofErr w:type="gramEnd"/>
      <w:r w:rsidRPr="00522070">
        <w:t xml:space="preserve"> 6(3)(e)  </w:t>
      </w:r>
    </w:p>
    <w:p w14:paraId="2D9A7D1A" w14:textId="77777777" w:rsidR="00522070" w:rsidRPr="00522070" w:rsidRDefault="00522070" w:rsidP="00522070">
      <w:pPr>
        <w:pStyle w:val="Item"/>
      </w:pPr>
      <w:r w:rsidRPr="00522070">
        <w:t xml:space="preserve">Repeal the paragraph, substitute: </w:t>
      </w:r>
    </w:p>
    <w:p w14:paraId="1ABE07C5" w14:textId="77777777" w:rsidR="00522070" w:rsidRPr="00522070" w:rsidRDefault="00522070" w:rsidP="00522070">
      <w:pPr>
        <w:pStyle w:val="paragraph"/>
      </w:pPr>
      <w:r w:rsidRPr="00522070">
        <w:tab/>
        <w:t>(e)</w:t>
      </w:r>
      <w:r w:rsidRPr="00522070">
        <w:tab/>
        <w:t>ensuring that assessments of safety risks and impacts are undertaken (including child safety risk assessments), identified risks are appropriately mitigated, and safety review processes are implemented, throughout the design, development, deployment and post-deployment stages for the service</w:t>
      </w:r>
      <w:r w:rsidRPr="00522070">
        <w:rPr>
          <w:szCs w:val="22"/>
        </w:rPr>
        <w:t>;</w:t>
      </w:r>
    </w:p>
    <w:p w14:paraId="073CC253" w14:textId="77777777" w:rsidR="00522070" w:rsidRPr="00522070" w:rsidRDefault="00522070" w:rsidP="00522070">
      <w:pPr>
        <w:pStyle w:val="ItemHead"/>
        <w:ind w:left="0" w:firstLine="0"/>
      </w:pPr>
      <w:proofErr w:type="gramStart"/>
      <w:r w:rsidRPr="00522070">
        <w:t>5  After</w:t>
      </w:r>
      <w:proofErr w:type="gramEnd"/>
      <w:r w:rsidRPr="00522070">
        <w:t xml:space="preserve"> paragraph 6(3)(e)</w:t>
      </w:r>
    </w:p>
    <w:p w14:paraId="40F78EA5" w14:textId="77777777" w:rsidR="00522070" w:rsidRPr="00522070" w:rsidRDefault="00522070" w:rsidP="00522070">
      <w:pPr>
        <w:pStyle w:val="Item"/>
      </w:pPr>
      <w:r w:rsidRPr="00522070">
        <w:t xml:space="preserve">Insert: </w:t>
      </w:r>
      <w:r w:rsidRPr="00522070">
        <w:tab/>
      </w:r>
    </w:p>
    <w:p w14:paraId="74281506" w14:textId="77777777" w:rsidR="00522070" w:rsidRPr="00522070" w:rsidRDefault="00522070" w:rsidP="00522070">
      <w:pPr>
        <w:pStyle w:val="paragraph"/>
      </w:pPr>
      <w:r w:rsidRPr="00522070">
        <w:tab/>
        <w:t>(</w:t>
      </w:r>
      <w:r w:rsidRPr="00522070" w:rsidDel="00DE660D">
        <w:t>f</w:t>
      </w:r>
      <w:r w:rsidRPr="00522070">
        <w:t>)</w:t>
      </w:r>
      <w:r w:rsidRPr="00522070">
        <w:tab/>
        <w:t>assessing whether business decisions will have a significant adverse impact on the ability of end-users to use the service in a safe manner and in such circumstances, appropriately mitigating the impact;</w:t>
      </w:r>
    </w:p>
    <w:p w14:paraId="40BB7327" w14:textId="77777777" w:rsidR="00522070" w:rsidRPr="00522070" w:rsidRDefault="00522070" w:rsidP="00522070">
      <w:pPr>
        <w:pStyle w:val="paragraph"/>
      </w:pPr>
      <w:r w:rsidRPr="00522070">
        <w:tab/>
        <w:t>(</w:t>
      </w:r>
      <w:r w:rsidRPr="00522070" w:rsidDel="00DE660D">
        <w:t>g</w:t>
      </w:r>
      <w:r w:rsidRPr="00522070">
        <w:t>)</w:t>
      </w:r>
      <w:r w:rsidRPr="00522070">
        <w:tab/>
        <w:t>having staff, systems, tools and processes to action reports and complaints within a reasonable period of time in accordance with subsection 14(3);</w:t>
      </w:r>
    </w:p>
    <w:p w14:paraId="723D6F43" w14:textId="77777777" w:rsidR="00522070" w:rsidRPr="00522070" w:rsidRDefault="00522070" w:rsidP="00522070">
      <w:pPr>
        <w:pStyle w:val="paragraph"/>
      </w:pPr>
      <w:r w:rsidRPr="00522070">
        <w:tab/>
        <w:t>(</w:t>
      </w:r>
      <w:r w:rsidRPr="00522070" w:rsidDel="00DE660D">
        <w:t>h</w:t>
      </w:r>
      <w:r w:rsidRPr="00522070">
        <w:t>)</w:t>
      </w:r>
      <w:r w:rsidRPr="00522070">
        <w:tab/>
        <w:t>investing in systems, tools and processes to improve the prevention and detection of material or activity on the service that is unlawful or harmful;</w:t>
      </w:r>
    </w:p>
    <w:p w14:paraId="39E26436" w14:textId="77777777" w:rsidR="00522070" w:rsidRPr="00522070" w:rsidRDefault="00522070" w:rsidP="00522070">
      <w:pPr>
        <w:pStyle w:val="paragraph"/>
      </w:pPr>
      <w:r w:rsidRPr="00522070">
        <w:tab/>
        <w:t>(</w:t>
      </w:r>
      <w:proofErr w:type="spellStart"/>
      <w:r w:rsidRPr="00522070" w:rsidDel="00DE660D">
        <w:t>i</w:t>
      </w:r>
      <w:proofErr w:type="spellEnd"/>
      <w:r w:rsidRPr="00522070">
        <w:t>)</w:t>
      </w:r>
      <w:r w:rsidRPr="00522070">
        <w:tab/>
        <w:t>having processes for detecting and addressing hate speech which breaches a service’s terms of use and, where applicable, breaches a service’s policies and procedures and standards of conduct mentioned in section 14;</w:t>
      </w:r>
    </w:p>
    <w:p w14:paraId="3D2B43A9" w14:textId="77777777" w:rsidR="003D6270" w:rsidRDefault="00522070" w:rsidP="003D6270">
      <w:pPr>
        <w:pStyle w:val="paragraph"/>
      </w:pPr>
      <w:r w:rsidRPr="00522070">
        <w:tab/>
        <w:t xml:space="preserve">                        (j)  preparing and publishing regular transparency reports that outline the steps the service is taking to ensure that end-users are able to use the service in a safe manner, </w:t>
      </w:r>
      <w:r w:rsidR="003D6270">
        <w:t>including:</w:t>
      </w:r>
    </w:p>
    <w:p w14:paraId="3FCF6E48" w14:textId="77777777" w:rsidR="003D6270" w:rsidRDefault="003D6270" w:rsidP="003D6270">
      <w:pPr>
        <w:pStyle w:val="paragraph"/>
        <w:numPr>
          <w:ilvl w:val="0"/>
          <w:numId w:val="17"/>
        </w:numPr>
      </w:pPr>
      <w:r w:rsidRPr="00522070">
        <w:t>the use of online safety tools and processes</w:t>
      </w:r>
      <w:r>
        <w:t>;</w:t>
      </w:r>
    </w:p>
    <w:p w14:paraId="13C6895D" w14:textId="77777777" w:rsidR="003D6270" w:rsidRDefault="00522070" w:rsidP="003D6270">
      <w:pPr>
        <w:pStyle w:val="paragraph"/>
        <w:numPr>
          <w:ilvl w:val="0"/>
          <w:numId w:val="17"/>
        </w:numPr>
      </w:pPr>
      <w:r w:rsidRPr="00522070">
        <w:lastRenderedPageBreak/>
        <w:t>providing metrics on the prevalence of material or activity on the service that is harmful</w:t>
      </w:r>
      <w:r w:rsidR="003D6270">
        <w:t xml:space="preserve">; </w:t>
      </w:r>
    </w:p>
    <w:p w14:paraId="42907A05" w14:textId="77777777" w:rsidR="003D6270" w:rsidRDefault="003D6270" w:rsidP="003D6270">
      <w:pPr>
        <w:pStyle w:val="paragraph"/>
        <w:numPr>
          <w:ilvl w:val="0"/>
          <w:numId w:val="17"/>
        </w:numPr>
      </w:pPr>
      <w:r>
        <w:t xml:space="preserve"> </w:t>
      </w:r>
      <w:r w:rsidR="00522070" w:rsidRPr="00522070">
        <w:t>the service’s responsiveness to reports and complaints</w:t>
      </w:r>
      <w:r>
        <w:t xml:space="preserve">; and  </w:t>
      </w:r>
    </w:p>
    <w:p w14:paraId="3BA5E55D" w14:textId="77777777" w:rsidR="00522070" w:rsidRPr="00522070" w:rsidRDefault="003D6270" w:rsidP="003D6270">
      <w:pPr>
        <w:pStyle w:val="paragraph"/>
        <w:numPr>
          <w:ilvl w:val="0"/>
          <w:numId w:val="17"/>
        </w:numPr>
      </w:pPr>
      <w:r>
        <w:t xml:space="preserve"> </w:t>
      </w:r>
      <w:r w:rsidR="00522070" w:rsidRPr="00522070">
        <w:t xml:space="preserve">how the service is enforcing its terms of use, policies and procedures and standards of conduct mentioned in section 14. </w:t>
      </w:r>
    </w:p>
    <w:p w14:paraId="665CE890" w14:textId="77777777" w:rsidR="00522070" w:rsidRPr="00522070" w:rsidRDefault="00522070" w:rsidP="00522070">
      <w:pPr>
        <w:pStyle w:val="SubsectionHead"/>
        <w:rPr>
          <w:szCs w:val="22"/>
        </w:rPr>
      </w:pPr>
      <w:r w:rsidRPr="00522070">
        <w:rPr>
          <w:szCs w:val="22"/>
        </w:rPr>
        <w:t>Additional expectation</w:t>
      </w:r>
    </w:p>
    <w:p w14:paraId="1552DCF8" w14:textId="77777777" w:rsidR="00522070" w:rsidRPr="00522070" w:rsidRDefault="00522070" w:rsidP="00522070">
      <w:pPr>
        <w:pStyle w:val="subsection"/>
        <w:rPr>
          <w:szCs w:val="22"/>
        </w:rPr>
      </w:pPr>
      <w:r w:rsidRPr="00522070">
        <w:rPr>
          <w:szCs w:val="22"/>
        </w:rPr>
        <w:tab/>
        <w:t>(5)</w:t>
      </w:r>
      <w:r w:rsidRPr="00522070">
        <w:rPr>
          <w:szCs w:val="22"/>
        </w:rPr>
        <w:tab/>
        <w:t>The provider of the service will take reasonable steps to make available controls that give end-users the choice and autonomy to support safe online interactions.</w:t>
      </w:r>
    </w:p>
    <w:p w14:paraId="26F3C4DA" w14:textId="77777777" w:rsidR="00522070" w:rsidRPr="00522070" w:rsidRDefault="00522070" w:rsidP="00522070">
      <w:pPr>
        <w:pStyle w:val="SubsectionHead"/>
        <w:rPr>
          <w:szCs w:val="22"/>
        </w:rPr>
      </w:pPr>
      <w:r w:rsidRPr="00522070">
        <w:rPr>
          <w:szCs w:val="22"/>
        </w:rPr>
        <w:t xml:space="preserve">Examples of reasonable steps that could be taken </w:t>
      </w:r>
    </w:p>
    <w:p w14:paraId="70D39FDB" w14:textId="77777777" w:rsidR="00522070" w:rsidRPr="00522070" w:rsidRDefault="00522070" w:rsidP="00522070">
      <w:pPr>
        <w:pStyle w:val="subsection"/>
        <w:rPr>
          <w:szCs w:val="22"/>
        </w:rPr>
      </w:pPr>
      <w:r w:rsidRPr="00522070">
        <w:rPr>
          <w:szCs w:val="22"/>
        </w:rPr>
        <w:tab/>
        <w:t>(6)</w:t>
      </w:r>
      <w:r w:rsidRPr="00522070">
        <w:rPr>
          <w:szCs w:val="22"/>
        </w:rPr>
        <w:tab/>
        <w:t xml:space="preserve">Without limiting subsection (5), reasonable steps for the purposes of that subsection could include the following: </w:t>
      </w:r>
    </w:p>
    <w:p w14:paraId="01A88B66" w14:textId="77777777" w:rsidR="00522070" w:rsidRPr="00522070" w:rsidRDefault="00522070" w:rsidP="00522070">
      <w:pPr>
        <w:pStyle w:val="paragraph"/>
        <w:rPr>
          <w:szCs w:val="22"/>
        </w:rPr>
      </w:pPr>
      <w:r w:rsidRPr="00522070">
        <w:tab/>
        <w:t>(a)</w:t>
      </w:r>
      <w:r w:rsidRPr="00522070">
        <w:tab/>
      </w:r>
      <w:r w:rsidRPr="00522070">
        <w:rPr>
          <w:szCs w:val="22"/>
        </w:rPr>
        <w:t>making available blocking and muting controls for end-users;</w:t>
      </w:r>
    </w:p>
    <w:p w14:paraId="39F87ED4" w14:textId="77777777" w:rsidR="00522070" w:rsidRPr="00522070" w:rsidRDefault="00522070" w:rsidP="00522070">
      <w:pPr>
        <w:pStyle w:val="paragraph"/>
        <w:rPr>
          <w:szCs w:val="22"/>
        </w:rPr>
      </w:pPr>
      <w:r w:rsidRPr="00522070">
        <w:tab/>
        <w:t>(b)</w:t>
      </w:r>
      <w:r w:rsidRPr="00522070">
        <w:tab/>
      </w:r>
      <w:r w:rsidRPr="00522070">
        <w:rPr>
          <w:szCs w:val="22"/>
        </w:rPr>
        <w:t>making available opt-in and opt-out measures regarding the types of content that end-users can receive;</w:t>
      </w:r>
    </w:p>
    <w:p w14:paraId="0D265C64" w14:textId="77777777" w:rsidR="00522070" w:rsidRPr="00522070" w:rsidRDefault="00522070" w:rsidP="00522070">
      <w:pPr>
        <w:pStyle w:val="paragraph"/>
        <w:rPr>
          <w:szCs w:val="22"/>
        </w:rPr>
      </w:pPr>
      <w:r w:rsidRPr="00522070">
        <w:tab/>
        <w:t>(c)</w:t>
      </w:r>
      <w:r w:rsidRPr="00522070">
        <w:tab/>
      </w:r>
      <w:r w:rsidRPr="00522070">
        <w:rPr>
          <w:szCs w:val="22"/>
        </w:rPr>
        <w:t>enabling end-users to make changes to their privacy and safety settings.</w:t>
      </w:r>
    </w:p>
    <w:p w14:paraId="13B33150" w14:textId="77777777" w:rsidR="00522070" w:rsidRPr="00522070" w:rsidRDefault="00522070" w:rsidP="00522070">
      <w:pPr>
        <w:pStyle w:val="ItemHead"/>
        <w:ind w:left="0" w:firstLine="0"/>
      </w:pPr>
      <w:proofErr w:type="gramStart"/>
      <w:r w:rsidRPr="00522070">
        <w:t>6  Paragraph</w:t>
      </w:r>
      <w:proofErr w:type="gramEnd"/>
      <w:r w:rsidRPr="00522070">
        <w:t xml:space="preserve"> 8(2)(a) </w:t>
      </w:r>
    </w:p>
    <w:p w14:paraId="5C777A64" w14:textId="77777777" w:rsidR="00522070" w:rsidRPr="00522070" w:rsidRDefault="00522070" w:rsidP="00522070">
      <w:pPr>
        <w:pStyle w:val="Item"/>
      </w:pPr>
      <w:r w:rsidRPr="00522070">
        <w:t xml:space="preserve">Repeal the paragraph, substitute: </w:t>
      </w:r>
    </w:p>
    <w:p w14:paraId="6E9F2E3C" w14:textId="77777777" w:rsidR="00522070" w:rsidRPr="00522070" w:rsidRDefault="00522070" w:rsidP="00522070">
      <w:pPr>
        <w:pStyle w:val="paragraph"/>
        <w:numPr>
          <w:ilvl w:val="0"/>
          <w:numId w:val="4"/>
        </w:numPr>
        <w:rPr>
          <w:szCs w:val="22"/>
        </w:rPr>
      </w:pPr>
      <w:r w:rsidRPr="00522070">
        <w:tab/>
      </w:r>
      <w:r w:rsidRPr="00522070">
        <w:rPr>
          <w:rFonts w:eastAsiaTheme="minorHAnsi"/>
          <w:szCs w:val="22"/>
        </w:rPr>
        <w:t>implement or build a systemic weakness, or a systemic vulnerability, into a form of encrypted service;</w:t>
      </w:r>
    </w:p>
    <w:p w14:paraId="6BBDA0D1" w14:textId="77777777" w:rsidR="00522070" w:rsidRPr="00522070" w:rsidRDefault="00522070" w:rsidP="00522070">
      <w:pPr>
        <w:pStyle w:val="ItemHead"/>
        <w:rPr>
          <w:rFonts w:cs="Arial"/>
          <w:szCs w:val="24"/>
        </w:rPr>
      </w:pPr>
      <w:proofErr w:type="gramStart"/>
      <w:r w:rsidRPr="00522070">
        <w:rPr>
          <w:rFonts w:cs="Arial"/>
          <w:szCs w:val="24"/>
        </w:rPr>
        <w:t>7  After</w:t>
      </w:r>
      <w:proofErr w:type="gramEnd"/>
      <w:r w:rsidRPr="00522070">
        <w:rPr>
          <w:rFonts w:cs="Arial"/>
          <w:szCs w:val="24"/>
        </w:rPr>
        <w:t xml:space="preserve"> section 8</w:t>
      </w:r>
    </w:p>
    <w:p w14:paraId="64CF56DA" w14:textId="77777777" w:rsidR="00522070" w:rsidRPr="00522070" w:rsidRDefault="00522070" w:rsidP="00522070">
      <w:pPr>
        <w:pStyle w:val="Item"/>
      </w:pPr>
      <w:r w:rsidRPr="00522070">
        <w:t>Insert:</w:t>
      </w:r>
    </w:p>
    <w:p w14:paraId="0143DCD0" w14:textId="77777777" w:rsidR="00522070" w:rsidRPr="00522070" w:rsidRDefault="00522070" w:rsidP="00522070">
      <w:pPr>
        <w:pStyle w:val="NoSpacing"/>
        <w:rPr>
          <w:rFonts w:ascii="Times New Roman" w:hAnsi="Times New Roman" w:cs="Times New Roman"/>
          <w:b/>
          <w:sz w:val="24"/>
          <w:szCs w:val="24"/>
        </w:rPr>
      </w:pPr>
      <w:r w:rsidRPr="00522070">
        <w:rPr>
          <w:rFonts w:ascii="Times New Roman" w:hAnsi="Times New Roman" w:cs="Times New Roman"/>
          <w:b/>
          <w:sz w:val="24"/>
          <w:szCs w:val="24"/>
        </w:rPr>
        <w:t>8</w:t>
      </w:r>
      <w:proofErr w:type="gramStart"/>
      <w:r w:rsidRPr="00522070">
        <w:rPr>
          <w:rFonts w:ascii="Times New Roman" w:hAnsi="Times New Roman" w:cs="Times New Roman"/>
          <w:b/>
          <w:sz w:val="24"/>
          <w:szCs w:val="24"/>
        </w:rPr>
        <w:t>A  Additional</w:t>
      </w:r>
      <w:proofErr w:type="gramEnd"/>
      <w:r w:rsidRPr="00522070">
        <w:rPr>
          <w:rFonts w:ascii="Times New Roman" w:hAnsi="Times New Roman" w:cs="Times New Roman"/>
          <w:b/>
          <w:sz w:val="24"/>
          <w:szCs w:val="24"/>
        </w:rPr>
        <w:t xml:space="preserve"> expectations</w:t>
      </w:r>
      <w:bookmarkStart w:id="16" w:name="_Toc93478784"/>
      <w:r w:rsidRPr="00522070">
        <w:rPr>
          <w:b/>
          <w:bCs/>
          <w:color w:val="000000"/>
          <w:shd w:val="clear" w:color="auto" w:fill="FFFFFF"/>
        </w:rPr>
        <w:t>—</w:t>
      </w:r>
      <w:bookmarkEnd w:id="16"/>
      <w:r w:rsidRPr="00522070">
        <w:rPr>
          <w:rFonts w:ascii="Times New Roman" w:hAnsi="Times New Roman" w:cs="Times New Roman"/>
          <w:b/>
          <w:sz w:val="24"/>
          <w:szCs w:val="24"/>
        </w:rPr>
        <w:t xml:space="preserve">provider will take reasonable steps regarding generative artificial intelligence capabilities  </w:t>
      </w:r>
    </w:p>
    <w:p w14:paraId="237AD575" w14:textId="77777777" w:rsidR="00522070" w:rsidRPr="00522070" w:rsidRDefault="00522070" w:rsidP="00522070">
      <w:pPr>
        <w:pStyle w:val="NoSpacing"/>
        <w:rPr>
          <w:rFonts w:ascii="Times New Roman" w:hAnsi="Times New Roman" w:cs="Times New Roman"/>
          <w:b/>
          <w:sz w:val="24"/>
          <w:szCs w:val="24"/>
        </w:rPr>
      </w:pPr>
    </w:p>
    <w:p w14:paraId="3A5B9E55" w14:textId="77777777" w:rsidR="00522070" w:rsidRPr="00522070" w:rsidRDefault="00522070" w:rsidP="00522070">
      <w:pPr>
        <w:pStyle w:val="NoSpacing"/>
        <w:numPr>
          <w:ilvl w:val="0"/>
          <w:numId w:val="5"/>
        </w:numPr>
        <w:rPr>
          <w:rFonts w:ascii="Times New Roman" w:hAnsi="Times New Roman" w:cs="Times New Roman"/>
        </w:rPr>
      </w:pPr>
      <w:r w:rsidRPr="00522070">
        <w:rPr>
          <w:rFonts w:ascii="Times New Roman" w:hAnsi="Times New Roman" w:cs="Times New Roman"/>
        </w:rPr>
        <w:t xml:space="preserve">If the service uses or enables the use of generative artificial intelligence capabilities, the provider of the service will take reasonable steps to consider </w:t>
      </w:r>
      <w:r w:rsidRPr="00522070">
        <w:rPr>
          <w:rFonts w:ascii="Times New Roman" w:hAnsi="Times New Roman"/>
        </w:rPr>
        <w:t>end-user</w:t>
      </w:r>
      <w:r w:rsidRPr="00522070">
        <w:rPr>
          <w:rFonts w:ascii="Times New Roman" w:hAnsi="Times New Roman" w:cs="Times New Roman"/>
        </w:rPr>
        <w:t xml:space="preserve"> safety and incorporate safety measures in the design, implementation and maintenance of generative artificial intelligence capabilities on the service. </w:t>
      </w:r>
    </w:p>
    <w:p w14:paraId="67D5E407" w14:textId="77777777" w:rsidR="00522070" w:rsidRPr="00522070" w:rsidRDefault="00522070" w:rsidP="00522070">
      <w:pPr>
        <w:pStyle w:val="NoSpacing"/>
        <w:ind w:left="1080"/>
        <w:rPr>
          <w:rFonts w:ascii="Times New Roman" w:hAnsi="Times New Roman" w:cs="Times New Roman"/>
        </w:rPr>
      </w:pPr>
    </w:p>
    <w:p w14:paraId="1399CB18" w14:textId="77777777" w:rsidR="00522070" w:rsidRPr="00522070" w:rsidRDefault="00522070" w:rsidP="00522070">
      <w:pPr>
        <w:pStyle w:val="NoSpacing"/>
        <w:numPr>
          <w:ilvl w:val="0"/>
          <w:numId w:val="5"/>
        </w:numPr>
        <w:rPr>
          <w:rFonts w:ascii="Times New Roman" w:hAnsi="Times New Roman" w:cs="Times New Roman"/>
        </w:rPr>
      </w:pPr>
      <w:r w:rsidRPr="00522070">
        <w:rPr>
          <w:rFonts w:ascii="Times New Roman" w:hAnsi="Times New Roman" w:cs="Times New Roman"/>
        </w:rPr>
        <w:t>If the service uses or enables the use of generative artificial intelligence capabilities, the provider of the service will take reasonable steps to proactively minimise the extent to which generative artificial intelligence capabilities may be used to produce material or facilitate activity that is unlawful or harmful.</w:t>
      </w:r>
    </w:p>
    <w:p w14:paraId="0E111670" w14:textId="77777777" w:rsidR="00522070" w:rsidRPr="00522070" w:rsidRDefault="00522070" w:rsidP="00522070">
      <w:pPr>
        <w:pStyle w:val="SubsectionHead"/>
        <w:ind w:left="1080"/>
      </w:pPr>
      <w:r w:rsidRPr="00522070">
        <w:t xml:space="preserve">Examples of reasonable steps that could be taken </w:t>
      </w:r>
    </w:p>
    <w:p w14:paraId="40967B70" w14:textId="77777777" w:rsidR="00522070" w:rsidRPr="00522070" w:rsidRDefault="00522070" w:rsidP="00522070">
      <w:pPr>
        <w:pStyle w:val="NoSpacing"/>
        <w:numPr>
          <w:ilvl w:val="0"/>
          <w:numId w:val="5"/>
        </w:numPr>
        <w:rPr>
          <w:rFonts w:ascii="Times New Roman" w:hAnsi="Times New Roman" w:cs="Times New Roman"/>
        </w:rPr>
      </w:pPr>
      <w:r w:rsidRPr="00522070">
        <w:rPr>
          <w:rFonts w:ascii="Times New Roman" w:hAnsi="Times New Roman" w:cs="Times New Roman"/>
        </w:rPr>
        <w:t>Without limiting subsection (1) or (2), reasonable steps for the purposes of this section could include the following:</w:t>
      </w:r>
    </w:p>
    <w:p w14:paraId="680A4CBB" w14:textId="77777777" w:rsidR="00522070" w:rsidRPr="00522070" w:rsidRDefault="00522070" w:rsidP="00522070">
      <w:pPr>
        <w:pStyle w:val="NoSpacing"/>
        <w:numPr>
          <w:ilvl w:val="4"/>
          <w:numId w:val="2"/>
        </w:numPr>
        <w:rPr>
          <w:rFonts w:ascii="Times New Roman" w:hAnsi="Times New Roman" w:cs="Times New Roman"/>
        </w:rPr>
      </w:pPr>
      <w:bookmarkStart w:id="17" w:name="_Hlk148993842"/>
      <w:r w:rsidRPr="00522070">
        <w:rPr>
          <w:rFonts w:ascii="Times New Roman" w:hAnsi="Times New Roman" w:cs="Times New Roman"/>
        </w:rPr>
        <w:t>ensuring that assessments of safety risks and impacts are undertaken, identified risks are appropriately mitigated, and safety review processes are implemented throughout the design, development, deployment and post</w:t>
      </w:r>
      <w:r w:rsidRPr="00522070">
        <w:rPr>
          <w:rFonts w:ascii="Times New Roman" w:hAnsi="Times New Roman" w:cs="Times New Roman"/>
        </w:rPr>
        <w:noBreakHyphen/>
        <w:t xml:space="preserve">deployment stages of generative artificial intelligence capabilities; </w:t>
      </w:r>
      <w:bookmarkEnd w:id="17"/>
    </w:p>
    <w:p w14:paraId="6E2E81FD" w14:textId="77777777" w:rsidR="00522070" w:rsidRPr="00522070" w:rsidRDefault="00522070" w:rsidP="00522070">
      <w:pPr>
        <w:pStyle w:val="NoSpacing"/>
        <w:numPr>
          <w:ilvl w:val="4"/>
          <w:numId w:val="2"/>
        </w:numPr>
        <w:rPr>
          <w:rFonts w:ascii="Times New Roman" w:hAnsi="Times New Roman" w:cs="Times New Roman"/>
        </w:rPr>
      </w:pPr>
      <w:r w:rsidRPr="00522070">
        <w:rPr>
          <w:rFonts w:ascii="Times New Roman" w:hAnsi="Times New Roman" w:cs="Times New Roman"/>
        </w:rPr>
        <w:t xml:space="preserve">providing educational or explanatory tools (including when new features are integrated) to end-users that promote understanding of generative </w:t>
      </w:r>
      <w:r w:rsidRPr="00522070">
        <w:rPr>
          <w:rFonts w:ascii="Times New Roman" w:hAnsi="Times New Roman" w:cs="Times New Roman"/>
        </w:rPr>
        <w:lastRenderedPageBreak/>
        <w:t>artificial intelligence capabilities on the service and any risks associated with the capabilities;</w:t>
      </w:r>
    </w:p>
    <w:p w14:paraId="093DC1DF" w14:textId="77777777" w:rsidR="00522070" w:rsidRPr="00522070" w:rsidRDefault="00522070" w:rsidP="00522070">
      <w:pPr>
        <w:pStyle w:val="NoSpacing"/>
        <w:numPr>
          <w:ilvl w:val="4"/>
          <w:numId w:val="2"/>
        </w:numPr>
        <w:rPr>
          <w:rFonts w:ascii="Times New Roman" w:hAnsi="Times New Roman"/>
        </w:rPr>
      </w:pPr>
      <w:r w:rsidRPr="00522070">
        <w:rPr>
          <w:rFonts w:ascii="Times New Roman" w:hAnsi="Times New Roman"/>
        </w:rPr>
        <w:t xml:space="preserve">ensuring, to the extent reasonably practicable, that training material for generative artificial intelligence capabilities and models do not contain unlawful or harmful material; </w:t>
      </w:r>
    </w:p>
    <w:p w14:paraId="21433E56" w14:textId="77777777" w:rsidR="00522070" w:rsidRPr="00522070" w:rsidRDefault="00522070" w:rsidP="00522070">
      <w:pPr>
        <w:pStyle w:val="NoSpacing"/>
        <w:numPr>
          <w:ilvl w:val="4"/>
          <w:numId w:val="2"/>
        </w:numPr>
        <w:rPr>
          <w:rFonts w:ascii="Times New Roman" w:hAnsi="Times New Roman" w:cs="Times New Roman"/>
        </w:rPr>
      </w:pPr>
      <w:r w:rsidRPr="00522070">
        <w:rPr>
          <w:rFonts w:ascii="Times New Roman" w:hAnsi="Times New Roman" w:cs="Times New Roman"/>
        </w:rPr>
        <w:t xml:space="preserve">ensuring, to the extent reasonably practicable, that generative artificial intelligence capabilities can detect and prevent the execution of prompts </w:t>
      </w:r>
      <w:r w:rsidRPr="00522070">
        <w:rPr>
          <w:rFonts w:ascii="Times New Roman" w:hAnsi="Times New Roman"/>
        </w:rPr>
        <w:t>that</w:t>
      </w:r>
      <w:r w:rsidRPr="00522070">
        <w:rPr>
          <w:rFonts w:ascii="Times New Roman" w:hAnsi="Times New Roman" w:cs="Times New Roman"/>
        </w:rPr>
        <w:t xml:space="preserve"> generate unlawful or harmful material. </w:t>
      </w:r>
    </w:p>
    <w:p w14:paraId="2BBB372B" w14:textId="77777777" w:rsidR="00522070" w:rsidRPr="00522070" w:rsidRDefault="00522070" w:rsidP="00522070">
      <w:pPr>
        <w:pStyle w:val="NoSpacing"/>
        <w:ind w:left="1636"/>
        <w:rPr>
          <w:rFonts w:ascii="Times New Roman" w:hAnsi="Times New Roman" w:cs="Times New Roman"/>
        </w:rPr>
      </w:pPr>
    </w:p>
    <w:p w14:paraId="484042DD" w14:textId="77777777" w:rsidR="00522070" w:rsidRPr="00522070" w:rsidRDefault="00522070" w:rsidP="00522070">
      <w:pPr>
        <w:tabs>
          <w:tab w:val="left" w:pos="567"/>
        </w:tabs>
        <w:rPr>
          <w:rFonts w:cs="Times New Roman"/>
          <w:b/>
          <w:sz w:val="24"/>
          <w:szCs w:val="24"/>
        </w:rPr>
      </w:pPr>
      <w:r w:rsidRPr="00522070">
        <w:rPr>
          <w:rFonts w:cs="Times New Roman"/>
          <w:b/>
          <w:sz w:val="24"/>
          <w:szCs w:val="24"/>
        </w:rPr>
        <w:t>8</w:t>
      </w:r>
      <w:proofErr w:type="gramStart"/>
      <w:r w:rsidRPr="00522070">
        <w:rPr>
          <w:rFonts w:cs="Times New Roman"/>
          <w:b/>
          <w:sz w:val="24"/>
          <w:szCs w:val="24"/>
        </w:rPr>
        <w:t>B  Additional</w:t>
      </w:r>
      <w:proofErr w:type="gramEnd"/>
      <w:r w:rsidRPr="00522070">
        <w:rPr>
          <w:rFonts w:cs="Times New Roman"/>
          <w:b/>
          <w:sz w:val="24"/>
          <w:szCs w:val="24"/>
        </w:rPr>
        <w:t xml:space="preserve"> expectations</w:t>
      </w:r>
      <w:r w:rsidRPr="00522070">
        <w:rPr>
          <w:b/>
          <w:bCs/>
          <w:color w:val="000000"/>
          <w:shd w:val="clear" w:color="auto" w:fill="FFFFFF"/>
        </w:rPr>
        <w:t>—</w:t>
      </w:r>
      <w:r w:rsidRPr="00522070">
        <w:rPr>
          <w:rFonts w:cs="Times New Roman"/>
          <w:b/>
          <w:sz w:val="24"/>
          <w:szCs w:val="24"/>
        </w:rPr>
        <w:t>provider will take reasonable steps regarding recommender systems</w:t>
      </w:r>
    </w:p>
    <w:p w14:paraId="6451F4BF" w14:textId="77777777" w:rsidR="00522070" w:rsidRPr="00522070" w:rsidRDefault="00522070" w:rsidP="00522070">
      <w:pPr>
        <w:pStyle w:val="ListParagraph"/>
        <w:numPr>
          <w:ilvl w:val="0"/>
          <w:numId w:val="6"/>
        </w:numPr>
        <w:tabs>
          <w:tab w:val="left" w:pos="567"/>
        </w:tabs>
        <w:rPr>
          <w:rFonts w:ascii="Times New Roman" w:hAnsi="Times New Roman" w:cs="Times New Roman"/>
        </w:rPr>
      </w:pPr>
      <w:r w:rsidRPr="00522070">
        <w:rPr>
          <w:rFonts w:ascii="Times New Roman" w:hAnsi="Times New Roman" w:cs="Times New Roman"/>
        </w:rPr>
        <w:t xml:space="preserve">If the service uses recommender systems, the provider of the service will take reasonable steps to consider </w:t>
      </w:r>
      <w:r w:rsidRPr="00522070">
        <w:rPr>
          <w:rFonts w:ascii="Times New Roman" w:hAnsi="Times New Roman"/>
        </w:rPr>
        <w:t>end-user</w:t>
      </w:r>
      <w:r w:rsidRPr="00522070">
        <w:rPr>
          <w:rFonts w:ascii="Times New Roman" w:hAnsi="Times New Roman" w:cs="Times New Roman"/>
        </w:rPr>
        <w:t xml:space="preserve"> safety and incorporate safety measures in the design, implementation and maintenance of recommender systems on the service. </w:t>
      </w:r>
    </w:p>
    <w:p w14:paraId="372722C5" w14:textId="77777777" w:rsidR="00522070" w:rsidRPr="00522070" w:rsidRDefault="00522070" w:rsidP="00522070">
      <w:pPr>
        <w:pStyle w:val="ListParagraph"/>
        <w:tabs>
          <w:tab w:val="left" w:pos="567"/>
        </w:tabs>
        <w:ind w:left="1080"/>
        <w:rPr>
          <w:rFonts w:ascii="Times New Roman" w:hAnsi="Times New Roman" w:cs="Times New Roman"/>
        </w:rPr>
      </w:pPr>
    </w:p>
    <w:p w14:paraId="736DC22B" w14:textId="77777777" w:rsidR="00522070" w:rsidRPr="00522070" w:rsidRDefault="00522070" w:rsidP="00522070">
      <w:pPr>
        <w:pStyle w:val="ListParagraph"/>
        <w:numPr>
          <w:ilvl w:val="0"/>
          <w:numId w:val="6"/>
        </w:numPr>
        <w:tabs>
          <w:tab w:val="left" w:pos="567"/>
        </w:tabs>
        <w:rPr>
          <w:rFonts w:ascii="Times New Roman" w:hAnsi="Times New Roman" w:cs="Times New Roman"/>
        </w:rPr>
      </w:pPr>
      <w:r w:rsidRPr="00522070">
        <w:rPr>
          <w:rFonts w:ascii="Times New Roman" w:hAnsi="Times New Roman" w:cs="Times New Roman"/>
        </w:rPr>
        <w:t>If the service uses recommender systems, the provider of the service will take reasonable steps to proactively minimise the extent to which recommender systems amplify material or activity on the service that is unlawful or harmful.</w:t>
      </w:r>
    </w:p>
    <w:p w14:paraId="54BEED52" w14:textId="77777777" w:rsidR="00522070" w:rsidRPr="00522070" w:rsidRDefault="00522070" w:rsidP="00522070">
      <w:pPr>
        <w:pStyle w:val="SubsectionHead"/>
        <w:ind w:left="1080"/>
      </w:pPr>
      <w:r w:rsidRPr="00522070">
        <w:t xml:space="preserve">Examples of reasonable steps that could be taken </w:t>
      </w:r>
    </w:p>
    <w:p w14:paraId="3BA34CD0" w14:textId="77777777" w:rsidR="00522070" w:rsidRPr="00522070" w:rsidRDefault="00522070" w:rsidP="00522070">
      <w:pPr>
        <w:pStyle w:val="NoSpacing"/>
        <w:numPr>
          <w:ilvl w:val="0"/>
          <w:numId w:val="6"/>
        </w:numPr>
        <w:rPr>
          <w:rFonts w:ascii="Times New Roman" w:hAnsi="Times New Roman" w:cs="Times New Roman"/>
        </w:rPr>
      </w:pPr>
      <w:r w:rsidRPr="00522070">
        <w:rPr>
          <w:rFonts w:ascii="Times New Roman" w:hAnsi="Times New Roman" w:cs="Times New Roman"/>
        </w:rPr>
        <w:t>Without limiting subsection (1) or (2), reasonable steps for the purposes of this section could include the following:</w:t>
      </w:r>
    </w:p>
    <w:p w14:paraId="02C6A23B" w14:textId="77777777" w:rsidR="00522070" w:rsidRPr="00522070" w:rsidRDefault="00522070" w:rsidP="00522070">
      <w:pPr>
        <w:pStyle w:val="NoSpacing"/>
        <w:numPr>
          <w:ilvl w:val="0"/>
          <w:numId w:val="7"/>
        </w:numPr>
        <w:rPr>
          <w:rFonts w:ascii="Times New Roman" w:hAnsi="Times New Roman" w:cs="Times New Roman"/>
        </w:rPr>
      </w:pPr>
      <w:bookmarkStart w:id="18" w:name="_Hlk146482322"/>
      <w:r w:rsidRPr="00522070">
        <w:rPr>
          <w:rFonts w:ascii="Times New Roman" w:hAnsi="Times New Roman" w:cs="Times New Roman"/>
        </w:rPr>
        <w:t>ensuring that assessments of safety risks and impacts are undertaken, identified risks are appropriately mitigated, and safety review processes are implemented throughout the design, development, deployment and post</w:t>
      </w:r>
      <w:r w:rsidRPr="00522070">
        <w:rPr>
          <w:rFonts w:ascii="Times New Roman" w:hAnsi="Times New Roman" w:cs="Times New Roman"/>
        </w:rPr>
        <w:noBreakHyphen/>
        <w:t xml:space="preserve">deployment stages of recommender systems; </w:t>
      </w:r>
      <w:bookmarkEnd w:id="18"/>
    </w:p>
    <w:p w14:paraId="194A5CAB" w14:textId="77777777" w:rsidR="00522070" w:rsidRPr="00522070" w:rsidRDefault="00522070" w:rsidP="00522070">
      <w:pPr>
        <w:pStyle w:val="NoSpacing"/>
        <w:numPr>
          <w:ilvl w:val="0"/>
          <w:numId w:val="7"/>
        </w:numPr>
        <w:rPr>
          <w:rFonts w:ascii="Times New Roman" w:hAnsi="Times New Roman" w:cs="Times New Roman"/>
        </w:rPr>
      </w:pPr>
      <w:r w:rsidRPr="00522070">
        <w:rPr>
          <w:rFonts w:ascii="Times New Roman" w:hAnsi="Times New Roman" w:cs="Times New Roman"/>
        </w:rPr>
        <w:t xml:space="preserve">providing </w:t>
      </w:r>
      <w:bookmarkStart w:id="19" w:name="_Hlk146482410"/>
      <w:r w:rsidRPr="00522070">
        <w:rPr>
          <w:rFonts w:ascii="Times New Roman" w:hAnsi="Times New Roman" w:cs="Times New Roman"/>
        </w:rPr>
        <w:t xml:space="preserve">educational or explanatory tools (including when new features are integrated) to end-users </w:t>
      </w:r>
      <w:r w:rsidRPr="00522070">
        <w:rPr>
          <w:rFonts w:ascii="Times New Roman" w:hAnsi="Times New Roman"/>
        </w:rPr>
        <w:t>that</w:t>
      </w:r>
      <w:r w:rsidRPr="00522070">
        <w:rPr>
          <w:rFonts w:ascii="Times New Roman" w:hAnsi="Times New Roman" w:cs="Times New Roman"/>
        </w:rPr>
        <w:t xml:space="preserve"> promote understanding of recommender systems on the service, their objectives, and any risks associated with such systems;</w:t>
      </w:r>
      <w:bookmarkEnd w:id="19"/>
    </w:p>
    <w:p w14:paraId="54D1DE8B" w14:textId="77777777" w:rsidR="00522070" w:rsidRPr="00522070" w:rsidRDefault="00522070" w:rsidP="00522070">
      <w:pPr>
        <w:pStyle w:val="NoSpacing"/>
        <w:numPr>
          <w:ilvl w:val="0"/>
          <w:numId w:val="7"/>
        </w:numPr>
        <w:rPr>
          <w:rFonts w:ascii="Times New Roman" w:hAnsi="Times New Roman" w:cs="Times New Roman"/>
        </w:rPr>
      </w:pPr>
      <w:r w:rsidRPr="00522070">
        <w:rPr>
          <w:rFonts w:ascii="Times New Roman" w:hAnsi="Times New Roman" w:cs="Times New Roman"/>
        </w:rPr>
        <w:t xml:space="preserve">enabling end-users to make complaints or enquiries about the role recommender systems may play in presenting material or activity on the service that is unlawful or harmful; </w:t>
      </w:r>
    </w:p>
    <w:p w14:paraId="125363D9" w14:textId="77777777" w:rsidR="00522070" w:rsidRPr="00522070" w:rsidRDefault="00522070" w:rsidP="00522070">
      <w:pPr>
        <w:pStyle w:val="NoSpacing"/>
        <w:numPr>
          <w:ilvl w:val="0"/>
          <w:numId w:val="7"/>
        </w:numPr>
        <w:rPr>
          <w:rFonts w:ascii="Times New Roman" w:hAnsi="Times New Roman" w:cs="Times New Roman"/>
        </w:rPr>
      </w:pPr>
      <w:r w:rsidRPr="00522070">
        <w:rPr>
          <w:rFonts w:ascii="Times New Roman" w:hAnsi="Times New Roman" w:cs="Times New Roman"/>
        </w:rPr>
        <w:t>where technically feasible, enabling end-users to opt-out of receiving recommended content, or providing alternative curation options.</w:t>
      </w:r>
    </w:p>
    <w:p w14:paraId="242A3E25" w14:textId="77777777" w:rsidR="00522070" w:rsidRPr="00522070" w:rsidRDefault="00522070" w:rsidP="00522070">
      <w:pPr>
        <w:pStyle w:val="ItemHead"/>
        <w:ind w:left="0" w:firstLine="0"/>
      </w:pPr>
      <w:proofErr w:type="gramStart"/>
      <w:r w:rsidRPr="00522070">
        <w:t>8  Paragraph</w:t>
      </w:r>
      <w:proofErr w:type="gramEnd"/>
      <w:r w:rsidRPr="00522070">
        <w:t xml:space="preserve"> 9(2)(a) </w:t>
      </w:r>
    </w:p>
    <w:p w14:paraId="039EE1C5" w14:textId="77777777" w:rsidR="00522070" w:rsidRPr="00522070" w:rsidRDefault="00522070" w:rsidP="00522070">
      <w:pPr>
        <w:pStyle w:val="Item"/>
      </w:pPr>
      <w:r w:rsidRPr="00522070">
        <w:t xml:space="preserve">Repeal the paragraph, substitute: </w:t>
      </w:r>
    </w:p>
    <w:p w14:paraId="0147EB42" w14:textId="77777777" w:rsidR="00522070" w:rsidRPr="00522070" w:rsidRDefault="00522070" w:rsidP="00522070">
      <w:pPr>
        <w:pStyle w:val="paragraph"/>
        <w:numPr>
          <w:ilvl w:val="0"/>
          <w:numId w:val="16"/>
        </w:numPr>
        <w:rPr>
          <w:szCs w:val="22"/>
        </w:rPr>
      </w:pPr>
      <w:r w:rsidRPr="00522070">
        <w:tab/>
      </w:r>
      <w:r w:rsidRPr="00522070">
        <w:rPr>
          <w:rFonts w:eastAsiaTheme="minorHAnsi"/>
          <w:szCs w:val="22"/>
        </w:rPr>
        <w:t>having processes, including proactive processes, that prevent the same person from repeatedly using anonymous accounts to post material, or to engage in activity, that is unlawful or harmful</w:t>
      </w:r>
      <w:r w:rsidRPr="00522070">
        <w:rPr>
          <w:szCs w:val="22"/>
        </w:rPr>
        <w:t>;</w:t>
      </w:r>
    </w:p>
    <w:p w14:paraId="3F18E84B" w14:textId="77777777" w:rsidR="00522070" w:rsidRPr="00522070" w:rsidRDefault="00522070" w:rsidP="00522070">
      <w:pPr>
        <w:pStyle w:val="ItemHead"/>
        <w:ind w:left="0" w:firstLine="0"/>
      </w:pPr>
      <w:proofErr w:type="gramStart"/>
      <w:r w:rsidRPr="00522070">
        <w:t>9  Subsection</w:t>
      </w:r>
      <w:proofErr w:type="gramEnd"/>
      <w:r w:rsidRPr="00522070">
        <w:t xml:space="preserve"> 10(1)</w:t>
      </w:r>
    </w:p>
    <w:p w14:paraId="39944A42" w14:textId="77777777" w:rsidR="00522070" w:rsidRPr="00522070" w:rsidRDefault="00522070" w:rsidP="00522070">
      <w:pPr>
        <w:pStyle w:val="Item"/>
      </w:pPr>
      <w:r w:rsidRPr="00522070">
        <w:t xml:space="preserve">Repeal the subsection, substitute: </w:t>
      </w:r>
    </w:p>
    <w:p w14:paraId="08F19016" w14:textId="77777777" w:rsidR="0005464F" w:rsidRDefault="00522070" w:rsidP="00522070">
      <w:pPr>
        <w:pStyle w:val="NoSpacing"/>
        <w:numPr>
          <w:ilvl w:val="0"/>
          <w:numId w:val="8"/>
        </w:numPr>
        <w:rPr>
          <w:rFonts w:ascii="Times New Roman" w:hAnsi="Times New Roman" w:cs="Times New Roman"/>
        </w:rPr>
      </w:pPr>
      <w:r w:rsidRPr="00522070">
        <w:rPr>
          <w:rFonts w:ascii="Times New Roman" w:hAnsi="Times New Roman" w:cs="Times New Roman"/>
        </w:rPr>
        <w:t xml:space="preserve">The provider of </w:t>
      </w:r>
      <w:r w:rsidRPr="00522070">
        <w:rPr>
          <w:rFonts w:ascii="Times New Roman" w:hAnsi="Times New Roman"/>
        </w:rPr>
        <w:t>the</w:t>
      </w:r>
      <w:r w:rsidRPr="00522070">
        <w:rPr>
          <w:rFonts w:ascii="Times New Roman" w:hAnsi="Times New Roman" w:cs="Times New Roman"/>
        </w:rPr>
        <w:t xml:space="preserve"> service will take reasonable steps to</w:t>
      </w:r>
      <w:r w:rsidR="0005464F">
        <w:rPr>
          <w:rFonts w:ascii="Times New Roman" w:hAnsi="Times New Roman" w:cs="Times New Roman"/>
        </w:rPr>
        <w:t xml:space="preserve">: </w:t>
      </w:r>
    </w:p>
    <w:p w14:paraId="363141C2" w14:textId="77777777" w:rsidR="0005464F" w:rsidRDefault="00522070" w:rsidP="00D3546D">
      <w:pPr>
        <w:pStyle w:val="NoSpacing"/>
        <w:numPr>
          <w:ilvl w:val="0"/>
          <w:numId w:val="18"/>
        </w:numPr>
        <w:rPr>
          <w:rFonts w:ascii="Times New Roman" w:hAnsi="Times New Roman" w:cs="Times New Roman"/>
        </w:rPr>
      </w:pPr>
      <w:r w:rsidRPr="00522070">
        <w:rPr>
          <w:rFonts w:ascii="Times New Roman" w:hAnsi="Times New Roman" w:cs="Times New Roman"/>
        </w:rPr>
        <w:t>consult and cooperate with providers of other services</w:t>
      </w:r>
      <w:r w:rsidR="0005464F">
        <w:rPr>
          <w:rFonts w:ascii="Times New Roman" w:hAnsi="Times New Roman" w:cs="Times New Roman"/>
        </w:rPr>
        <w:t xml:space="preserve">; and </w:t>
      </w:r>
    </w:p>
    <w:p w14:paraId="1AB477EF" w14:textId="77777777" w:rsidR="00522070" w:rsidRPr="00522070" w:rsidRDefault="00522070" w:rsidP="00D3546D">
      <w:pPr>
        <w:pStyle w:val="NoSpacing"/>
        <w:numPr>
          <w:ilvl w:val="0"/>
          <w:numId w:val="18"/>
        </w:numPr>
        <w:rPr>
          <w:rFonts w:ascii="Times New Roman" w:hAnsi="Times New Roman" w:cs="Times New Roman"/>
        </w:rPr>
      </w:pPr>
      <w:r w:rsidRPr="00522070">
        <w:rPr>
          <w:rFonts w:ascii="Times New Roman" w:hAnsi="Times New Roman" w:cs="Times New Roman"/>
        </w:rPr>
        <w:t>ensure consultation and cooperation occurs between all relevant services provided by that provider</w:t>
      </w:r>
      <w:r w:rsidR="0005464F">
        <w:rPr>
          <w:rFonts w:ascii="Times New Roman" w:hAnsi="Times New Roman" w:cs="Times New Roman"/>
        </w:rPr>
        <w:t>,</w:t>
      </w:r>
      <w:r w:rsidRPr="00522070">
        <w:rPr>
          <w:rFonts w:ascii="Times New Roman" w:hAnsi="Times New Roman" w:cs="Times New Roman"/>
        </w:rPr>
        <w:t xml:space="preserve"> in order to promote the ability of end-users to use all of those services in a safe manner.</w:t>
      </w:r>
    </w:p>
    <w:p w14:paraId="1869D81B" w14:textId="77777777" w:rsidR="00522070" w:rsidRPr="00522070" w:rsidRDefault="00522070" w:rsidP="00522070">
      <w:pPr>
        <w:pStyle w:val="ItemHead"/>
      </w:pPr>
      <w:proofErr w:type="gramStart"/>
      <w:r w:rsidRPr="00522070">
        <w:lastRenderedPageBreak/>
        <w:t>10  Paragraphs</w:t>
      </w:r>
      <w:proofErr w:type="gramEnd"/>
      <w:r w:rsidRPr="00522070">
        <w:t xml:space="preserve"> 10(2)(a) and (b)  </w:t>
      </w:r>
    </w:p>
    <w:p w14:paraId="2F9433D7" w14:textId="77777777" w:rsidR="00522070" w:rsidRPr="00522070" w:rsidRDefault="00522070" w:rsidP="00522070">
      <w:pPr>
        <w:pStyle w:val="Item"/>
      </w:pPr>
      <w:r w:rsidRPr="00522070">
        <w:t xml:space="preserve">Repeal the paragraphs, substitute:  </w:t>
      </w:r>
    </w:p>
    <w:p w14:paraId="63958323" w14:textId="77777777" w:rsidR="00522070" w:rsidRPr="00522070" w:rsidRDefault="00522070" w:rsidP="00522070">
      <w:pPr>
        <w:pStyle w:val="paragraph"/>
        <w:numPr>
          <w:ilvl w:val="0"/>
          <w:numId w:val="15"/>
        </w:numPr>
        <w:rPr>
          <w:rFonts w:eastAsiaTheme="minorHAnsi"/>
        </w:rPr>
      </w:pPr>
      <w:r w:rsidRPr="00522070">
        <w:tab/>
      </w:r>
      <w:r w:rsidRPr="00522070">
        <w:rPr>
          <w:rFonts w:eastAsiaTheme="minorHAnsi"/>
        </w:rPr>
        <w:t>working with other service providers and between all relevant services provided by a service provider to detect high volume, cross-platform attacks (also known as volumetric or ‘pile-on’ attacks);</w:t>
      </w:r>
    </w:p>
    <w:p w14:paraId="79D4D337" w14:textId="77777777" w:rsidR="00522070" w:rsidRPr="00522070" w:rsidRDefault="00522070" w:rsidP="00522070">
      <w:pPr>
        <w:pStyle w:val="paragraph"/>
        <w:numPr>
          <w:ilvl w:val="0"/>
          <w:numId w:val="15"/>
        </w:numPr>
        <w:rPr>
          <w:rFonts w:eastAsiaTheme="minorHAnsi"/>
        </w:rPr>
      </w:pPr>
      <w:r w:rsidRPr="00522070">
        <w:rPr>
          <w:rFonts w:eastAsiaTheme="minorHAnsi"/>
        </w:rPr>
        <w:tab/>
        <w:t>sharing information with other service providers and between all relevant services provided by a service provider on material or activity on the service that is unlawful or harmful, for the purpose of preventing and dealing with such material or activity.</w:t>
      </w:r>
    </w:p>
    <w:p w14:paraId="74B7EEB2" w14:textId="77777777" w:rsidR="00522070" w:rsidRPr="00522070" w:rsidRDefault="00522070" w:rsidP="00522070">
      <w:pPr>
        <w:pStyle w:val="ItemHead"/>
      </w:pPr>
      <w:proofErr w:type="gramStart"/>
      <w:r w:rsidRPr="00522070">
        <w:t>11  Paragraph</w:t>
      </w:r>
      <w:proofErr w:type="gramEnd"/>
      <w:r w:rsidRPr="00522070">
        <w:t xml:space="preserve"> 12(2)(a) </w:t>
      </w:r>
    </w:p>
    <w:p w14:paraId="4F4D1D79" w14:textId="77777777" w:rsidR="00522070" w:rsidRPr="00522070" w:rsidRDefault="00522070" w:rsidP="00522070">
      <w:pPr>
        <w:pStyle w:val="Item"/>
      </w:pPr>
      <w:r w:rsidRPr="00522070">
        <w:t xml:space="preserve">Repeal the paragraph, substitute: </w:t>
      </w:r>
    </w:p>
    <w:p w14:paraId="5C7079B5" w14:textId="77777777" w:rsidR="00522070" w:rsidRPr="00522070" w:rsidRDefault="00522070" w:rsidP="00522070">
      <w:pPr>
        <w:pStyle w:val="Item"/>
        <w:numPr>
          <w:ilvl w:val="4"/>
          <w:numId w:val="3"/>
        </w:numPr>
      </w:pPr>
      <w:r w:rsidRPr="00522070">
        <w:rPr>
          <w:rFonts w:eastAsiaTheme="minorEastAsia"/>
        </w:rPr>
        <w:t>implementing appropriate age assurance mechanisms;</w:t>
      </w:r>
    </w:p>
    <w:p w14:paraId="61F9EAEB" w14:textId="77777777" w:rsidR="00522070" w:rsidRPr="00522070" w:rsidRDefault="00522070" w:rsidP="00522070">
      <w:pPr>
        <w:pStyle w:val="ItemHead"/>
      </w:pPr>
      <w:proofErr w:type="gramStart"/>
      <w:r w:rsidRPr="00522070">
        <w:t>12  After</w:t>
      </w:r>
      <w:proofErr w:type="gramEnd"/>
      <w:r w:rsidRPr="00522070">
        <w:t xml:space="preserve"> paragraph 12(2)(b)</w:t>
      </w:r>
    </w:p>
    <w:p w14:paraId="4BB6353A" w14:textId="77777777" w:rsidR="00522070" w:rsidRPr="00522070" w:rsidRDefault="00522070" w:rsidP="00522070">
      <w:pPr>
        <w:pStyle w:val="Item"/>
      </w:pPr>
      <w:r w:rsidRPr="00522070">
        <w:t xml:space="preserve">Insert: </w:t>
      </w:r>
    </w:p>
    <w:p w14:paraId="2824D594" w14:textId="77777777" w:rsidR="00522070" w:rsidRPr="00522070" w:rsidRDefault="00522070" w:rsidP="00522070">
      <w:pPr>
        <w:pStyle w:val="Item"/>
        <w:numPr>
          <w:ilvl w:val="0"/>
          <w:numId w:val="9"/>
        </w:numPr>
      </w:pPr>
      <w:r w:rsidRPr="00522070">
        <w:t>continually seeking to develop, support or source, and implement improved technologies and processes for preventing access by children to class 2 material.</w:t>
      </w:r>
    </w:p>
    <w:p w14:paraId="28224AA3" w14:textId="77777777" w:rsidR="00522070" w:rsidRPr="00522070" w:rsidRDefault="00522070" w:rsidP="00522070">
      <w:pPr>
        <w:pStyle w:val="ItemHead"/>
      </w:pPr>
      <w:proofErr w:type="gramStart"/>
      <w:r w:rsidRPr="00522070">
        <w:t>13  After</w:t>
      </w:r>
      <w:proofErr w:type="gramEnd"/>
      <w:r w:rsidRPr="00522070">
        <w:t xml:space="preserve"> subsection 14(1) </w:t>
      </w:r>
    </w:p>
    <w:p w14:paraId="469607B6" w14:textId="77777777" w:rsidR="00522070" w:rsidRPr="00522070" w:rsidRDefault="00522070" w:rsidP="00522070">
      <w:pPr>
        <w:pStyle w:val="Item"/>
      </w:pPr>
      <w:r w:rsidRPr="00522070">
        <w:t xml:space="preserve">Insert: </w:t>
      </w:r>
    </w:p>
    <w:p w14:paraId="04B2A950" w14:textId="77777777" w:rsidR="00522070" w:rsidRPr="00522070" w:rsidRDefault="00522070" w:rsidP="00522070">
      <w:pPr>
        <w:pStyle w:val="subsection"/>
      </w:pPr>
      <w:r w:rsidRPr="00522070">
        <w:tab/>
        <w:t>(1A)</w:t>
      </w:r>
      <w:r w:rsidRPr="00522070">
        <w:tab/>
      </w:r>
      <w:r w:rsidRPr="00522070">
        <w:rPr>
          <w:szCs w:val="22"/>
        </w:rPr>
        <w:t>The provider of the service will take reasonable steps (including proactive steps) to detect breaches of its terms of use and, where applicable, breaches of policies and procedures in relation to the safety of end-users, and standards of conduct for end-users.</w:t>
      </w:r>
      <w:r w:rsidRPr="00522070">
        <w:rPr>
          <w:b/>
          <w:szCs w:val="22"/>
        </w:rPr>
        <w:t xml:space="preserve"> </w:t>
      </w:r>
    </w:p>
    <w:p w14:paraId="55160D85" w14:textId="77777777" w:rsidR="00522070" w:rsidRPr="00522070" w:rsidRDefault="00522070" w:rsidP="00522070">
      <w:pPr>
        <w:pStyle w:val="ItemHead"/>
        <w:ind w:left="0" w:firstLine="0"/>
      </w:pPr>
      <w:proofErr w:type="gramStart"/>
      <w:r w:rsidRPr="00522070">
        <w:t>14  Subsection</w:t>
      </w:r>
      <w:proofErr w:type="gramEnd"/>
      <w:r w:rsidRPr="00522070">
        <w:t xml:space="preserve"> 14(2)</w:t>
      </w:r>
    </w:p>
    <w:p w14:paraId="4A118EA4" w14:textId="77777777" w:rsidR="00522070" w:rsidRPr="00522070" w:rsidRDefault="00522070" w:rsidP="00522070">
      <w:pPr>
        <w:pStyle w:val="Item"/>
      </w:pPr>
      <w:r w:rsidRPr="00522070">
        <w:t xml:space="preserve">Repeal the subsection, substitute: </w:t>
      </w:r>
    </w:p>
    <w:p w14:paraId="1E9A15ED" w14:textId="77777777" w:rsidR="00522070" w:rsidRPr="00522070" w:rsidRDefault="00522070" w:rsidP="00522070">
      <w:pPr>
        <w:pStyle w:val="subsection"/>
      </w:pPr>
      <w:r w:rsidRPr="00522070">
        <w:tab/>
        <w:t>(2)</w:t>
      </w:r>
      <w:r w:rsidRPr="00522070">
        <w:tab/>
        <w:t>The provider of the service will take reasonable steps (including proactive steps) to ensure that any penalties specified for breaches of its terms of use, policies and procedures in relation to the safety of end-users, and standards of conduct for end-users, are enforced against all accounts held or created by the end-user who breached the terms of use and, where applicable, breached the policies and procedures, and standards of conduct, of the service.</w:t>
      </w:r>
    </w:p>
    <w:p w14:paraId="1847F19A" w14:textId="77777777" w:rsidR="00522070" w:rsidRPr="00522070" w:rsidRDefault="00522070" w:rsidP="00522070">
      <w:pPr>
        <w:pStyle w:val="ItemHead"/>
      </w:pPr>
      <w:proofErr w:type="gramStart"/>
      <w:r w:rsidRPr="00522070">
        <w:t>15  After</w:t>
      </w:r>
      <w:proofErr w:type="gramEnd"/>
      <w:r w:rsidRPr="00522070">
        <w:t xml:space="preserve"> subsection 14(2)</w:t>
      </w:r>
    </w:p>
    <w:p w14:paraId="1B0C65E2" w14:textId="77777777" w:rsidR="00522070" w:rsidRPr="00522070" w:rsidRDefault="00522070" w:rsidP="00522070">
      <w:pPr>
        <w:pStyle w:val="Item"/>
      </w:pPr>
      <w:r w:rsidRPr="00522070">
        <w:t xml:space="preserve">Insert: </w:t>
      </w:r>
    </w:p>
    <w:p w14:paraId="45AD46C6" w14:textId="77777777" w:rsidR="00522070" w:rsidRPr="00522070" w:rsidRDefault="00522070" w:rsidP="00522070">
      <w:pPr>
        <w:pStyle w:val="NoSpacing"/>
        <w:numPr>
          <w:ilvl w:val="0"/>
          <w:numId w:val="11"/>
        </w:numPr>
        <w:rPr>
          <w:rFonts w:ascii="Times New Roman" w:hAnsi="Times New Roman" w:cs="Times New Roman"/>
        </w:rPr>
      </w:pPr>
      <w:r w:rsidRPr="00522070">
        <w:rPr>
          <w:rFonts w:ascii="Times New Roman" w:hAnsi="Times New Roman" w:cs="Times New Roman"/>
        </w:rPr>
        <w:t>The provider of the service will, within a reasonable period of time:</w:t>
      </w:r>
    </w:p>
    <w:p w14:paraId="2380F233" w14:textId="77777777" w:rsidR="00522070" w:rsidRPr="00522070" w:rsidRDefault="00522070" w:rsidP="00522070">
      <w:pPr>
        <w:pStyle w:val="NoSpacing"/>
        <w:numPr>
          <w:ilvl w:val="0"/>
          <w:numId w:val="10"/>
        </w:numPr>
        <w:rPr>
          <w:rFonts w:ascii="Times New Roman" w:hAnsi="Times New Roman" w:cs="Times New Roman"/>
        </w:rPr>
      </w:pPr>
      <w:r w:rsidRPr="00522070">
        <w:rPr>
          <w:rFonts w:ascii="Times New Roman" w:hAnsi="Times New Roman" w:cs="Times New Roman"/>
        </w:rPr>
        <w:t xml:space="preserve">review and respond to reports and complaints mentioned in sections 13 and 15; and </w:t>
      </w:r>
    </w:p>
    <w:p w14:paraId="24D840F5" w14:textId="77777777" w:rsidR="00522070" w:rsidRPr="00522070" w:rsidRDefault="00522070" w:rsidP="00522070">
      <w:pPr>
        <w:pStyle w:val="NoSpacing"/>
        <w:numPr>
          <w:ilvl w:val="0"/>
          <w:numId w:val="10"/>
        </w:numPr>
        <w:rPr>
          <w:rFonts w:ascii="Times New Roman" w:hAnsi="Times New Roman" w:cs="Times New Roman"/>
        </w:rPr>
      </w:pPr>
      <w:r w:rsidRPr="00522070">
        <w:rPr>
          <w:rFonts w:ascii="Times New Roman" w:hAnsi="Times New Roman" w:cs="Times New Roman"/>
        </w:rPr>
        <w:t xml:space="preserve">take reasonable steps to provide feedback on the action taken. </w:t>
      </w:r>
    </w:p>
    <w:p w14:paraId="1740B3D9" w14:textId="77777777" w:rsidR="00522070" w:rsidRPr="00522070" w:rsidRDefault="00522070" w:rsidP="00522070">
      <w:pPr>
        <w:pStyle w:val="NoSpacing"/>
        <w:ind w:left="1494"/>
        <w:rPr>
          <w:rFonts w:ascii="Times New Roman" w:hAnsi="Times New Roman" w:cs="Times New Roman"/>
        </w:rPr>
      </w:pPr>
    </w:p>
    <w:p w14:paraId="28405231" w14:textId="77777777" w:rsidR="00522070" w:rsidRPr="00522070" w:rsidRDefault="00522070" w:rsidP="00522070">
      <w:pPr>
        <w:pStyle w:val="NoSpacing"/>
        <w:numPr>
          <w:ilvl w:val="0"/>
          <w:numId w:val="11"/>
        </w:numPr>
        <w:rPr>
          <w:rFonts w:ascii="Times New Roman" w:hAnsi="Times New Roman" w:cs="Times New Roman"/>
        </w:rPr>
      </w:pPr>
      <w:r w:rsidRPr="00522070">
        <w:rPr>
          <w:rFonts w:ascii="Times New Roman" w:hAnsi="Times New Roman" w:cs="Times New Roman"/>
        </w:rPr>
        <w:t xml:space="preserve">For the purposes of subsection (3), in determining ‘a reasonable period of time’, the provider must have regard to: </w:t>
      </w:r>
    </w:p>
    <w:p w14:paraId="469DEAC8" w14:textId="77777777" w:rsidR="00522070" w:rsidRPr="00522070" w:rsidRDefault="00522070" w:rsidP="00522070">
      <w:pPr>
        <w:pStyle w:val="NoSpacing"/>
        <w:numPr>
          <w:ilvl w:val="0"/>
          <w:numId w:val="12"/>
        </w:numPr>
        <w:rPr>
          <w:rFonts w:ascii="Times New Roman" w:hAnsi="Times New Roman" w:cs="Times New Roman"/>
        </w:rPr>
      </w:pPr>
      <w:r w:rsidRPr="00522070">
        <w:rPr>
          <w:rFonts w:ascii="Times New Roman" w:hAnsi="Times New Roman" w:cs="Times New Roman"/>
        </w:rPr>
        <w:t xml:space="preserve">the nature and impact of the harm that is the subject of the report or complaint;  </w:t>
      </w:r>
    </w:p>
    <w:p w14:paraId="3344D159" w14:textId="77777777" w:rsidR="00522070" w:rsidRPr="00522070" w:rsidRDefault="00522070" w:rsidP="00522070">
      <w:pPr>
        <w:pStyle w:val="NoSpacing"/>
        <w:numPr>
          <w:ilvl w:val="0"/>
          <w:numId w:val="12"/>
        </w:numPr>
        <w:rPr>
          <w:rFonts w:ascii="Times New Roman" w:hAnsi="Times New Roman" w:cs="Times New Roman"/>
        </w:rPr>
      </w:pPr>
      <w:r w:rsidRPr="00522070">
        <w:rPr>
          <w:rFonts w:ascii="Times New Roman" w:hAnsi="Times New Roman" w:cs="Times New Roman"/>
        </w:rPr>
        <w:t xml:space="preserve">the complexity of investigating the report or complaint; and </w:t>
      </w:r>
    </w:p>
    <w:p w14:paraId="7220233D" w14:textId="77777777" w:rsidR="00522070" w:rsidRPr="00522070" w:rsidRDefault="00522070" w:rsidP="00522070">
      <w:pPr>
        <w:pStyle w:val="NoSpacing"/>
        <w:numPr>
          <w:ilvl w:val="0"/>
          <w:numId w:val="12"/>
        </w:numPr>
        <w:rPr>
          <w:rFonts w:ascii="Times New Roman" w:hAnsi="Times New Roman" w:cs="Times New Roman"/>
        </w:rPr>
      </w:pPr>
      <w:r w:rsidRPr="00522070">
        <w:rPr>
          <w:rFonts w:ascii="Times New Roman" w:hAnsi="Times New Roman" w:cs="Times New Roman"/>
        </w:rPr>
        <w:lastRenderedPageBreak/>
        <w:t>any other relevant matters.</w:t>
      </w:r>
    </w:p>
    <w:p w14:paraId="55F4C82E" w14:textId="77777777" w:rsidR="00522070" w:rsidRPr="00522070" w:rsidRDefault="00522070" w:rsidP="00522070">
      <w:pPr>
        <w:pStyle w:val="Item"/>
      </w:pPr>
      <w:r w:rsidRPr="00522070">
        <w:t>(5)  For the purposes of paragraph (3)(a):</w:t>
      </w:r>
    </w:p>
    <w:p w14:paraId="2AB071A4" w14:textId="77777777" w:rsidR="00522070" w:rsidRPr="00522070" w:rsidRDefault="00522070" w:rsidP="00522070">
      <w:pPr>
        <w:pStyle w:val="NoSpacing"/>
        <w:numPr>
          <w:ilvl w:val="0"/>
          <w:numId w:val="13"/>
        </w:numPr>
        <w:rPr>
          <w:rFonts w:ascii="Times New Roman" w:hAnsi="Times New Roman" w:cs="Times New Roman"/>
        </w:rPr>
      </w:pPr>
      <w:r w:rsidRPr="00522070">
        <w:rPr>
          <w:rFonts w:ascii="Times New Roman" w:hAnsi="Times New Roman" w:cs="Times New Roman"/>
          <w:i/>
        </w:rPr>
        <w:t>review</w:t>
      </w:r>
      <w:r w:rsidRPr="00522070">
        <w:rPr>
          <w:rFonts w:ascii="Times New Roman" w:hAnsi="Times New Roman" w:cs="Times New Roman"/>
        </w:rPr>
        <w:t xml:space="preserve"> means considering a report or complaint from when it is first made; and </w:t>
      </w:r>
    </w:p>
    <w:p w14:paraId="4E046DC1" w14:textId="77777777" w:rsidR="00522070" w:rsidRPr="00522070" w:rsidRDefault="00522070" w:rsidP="00522070">
      <w:pPr>
        <w:pStyle w:val="NoSpacing"/>
        <w:numPr>
          <w:ilvl w:val="0"/>
          <w:numId w:val="13"/>
        </w:numPr>
        <w:rPr>
          <w:rFonts w:ascii="Times New Roman" w:hAnsi="Times New Roman" w:cs="Times New Roman"/>
        </w:rPr>
      </w:pPr>
      <w:r w:rsidRPr="00522070">
        <w:rPr>
          <w:rFonts w:ascii="Times New Roman" w:hAnsi="Times New Roman" w:cs="Times New Roman"/>
          <w:i/>
        </w:rPr>
        <w:t>respond</w:t>
      </w:r>
      <w:r w:rsidRPr="00522070">
        <w:rPr>
          <w:rFonts w:ascii="Times New Roman" w:hAnsi="Times New Roman" w:cs="Times New Roman"/>
        </w:rPr>
        <w:t xml:space="preserve"> means taking and implementing a decision to have content removed and reported, have an end-user banned, or other content moderation decisions, or a decision to take no action.</w:t>
      </w:r>
    </w:p>
    <w:p w14:paraId="1AF36267" w14:textId="77777777" w:rsidR="00522070" w:rsidRPr="00522070" w:rsidRDefault="00522070" w:rsidP="00522070">
      <w:pPr>
        <w:pStyle w:val="ItemHead"/>
      </w:pPr>
      <w:proofErr w:type="gramStart"/>
      <w:r w:rsidRPr="00522070">
        <w:t>16  Subsection</w:t>
      </w:r>
      <w:proofErr w:type="gramEnd"/>
      <w:r w:rsidRPr="00522070">
        <w:t xml:space="preserve"> 15(2) </w:t>
      </w:r>
    </w:p>
    <w:p w14:paraId="0612C25E" w14:textId="77777777" w:rsidR="00522070" w:rsidRPr="00522070" w:rsidRDefault="00522070" w:rsidP="00522070">
      <w:pPr>
        <w:pStyle w:val="Item"/>
      </w:pPr>
      <w:r w:rsidRPr="00522070">
        <w:t xml:space="preserve">Repeal the subsection, substitute: </w:t>
      </w:r>
    </w:p>
    <w:p w14:paraId="18B7456D" w14:textId="77777777" w:rsidR="00522070" w:rsidRPr="00522070" w:rsidRDefault="00522070" w:rsidP="00522070">
      <w:pPr>
        <w:pStyle w:val="Item"/>
        <w:ind w:left="1440" w:hanging="716"/>
      </w:pPr>
      <w:r w:rsidRPr="00522070">
        <w:rPr>
          <w:szCs w:val="22"/>
        </w:rPr>
        <w:t>(2)</w:t>
      </w:r>
      <w:r w:rsidRPr="00522070">
        <w:rPr>
          <w:szCs w:val="22"/>
        </w:rPr>
        <w:tab/>
        <w:t>The provider of the service will ensure that the service has clear and readily identifiable mechanisms that enable any person ordinarily resident in Australia to report, and make complaints about, breaches of the service’s terms of use and, where applicable, breaches of the service’s policies and procedures and standards of conduct mentioned in section 14.</w:t>
      </w:r>
      <w:r w:rsidRPr="00522070">
        <w:t xml:space="preserve"> </w:t>
      </w:r>
    </w:p>
    <w:p w14:paraId="49EF1FB1" w14:textId="77777777" w:rsidR="00522070" w:rsidRPr="00522070" w:rsidRDefault="00522070" w:rsidP="00522070">
      <w:pPr>
        <w:pStyle w:val="ItemHead"/>
      </w:pPr>
      <w:proofErr w:type="gramStart"/>
      <w:r w:rsidRPr="00522070">
        <w:t>17  After</w:t>
      </w:r>
      <w:proofErr w:type="gramEnd"/>
      <w:r w:rsidRPr="00522070">
        <w:t xml:space="preserve"> subsection 20(4) </w:t>
      </w:r>
    </w:p>
    <w:p w14:paraId="759FB2DF" w14:textId="77777777" w:rsidR="00522070" w:rsidRPr="00522070" w:rsidRDefault="00522070" w:rsidP="00522070">
      <w:pPr>
        <w:pStyle w:val="SubsectionHead"/>
      </w:pPr>
      <w:r w:rsidRPr="00522070">
        <w:t>Additional expectation</w:t>
      </w:r>
    </w:p>
    <w:p w14:paraId="0A9E1298" w14:textId="77777777" w:rsidR="00522070" w:rsidRPr="00522070" w:rsidRDefault="00522070" w:rsidP="00522070">
      <w:pPr>
        <w:pStyle w:val="Item"/>
        <w:numPr>
          <w:ilvl w:val="0"/>
          <w:numId w:val="14"/>
        </w:numPr>
      </w:pPr>
      <w:r w:rsidRPr="00522070">
        <w:t>If the Commissioner, by written notice given to a provider of the service, requests the provider to give the Commissioner a report on the number of active end-users of the service in Australia</w:t>
      </w:r>
      <w:bookmarkStart w:id="20" w:name="_Hlk165462788"/>
      <w:r w:rsidRPr="00522070">
        <w:t xml:space="preserve"> (disaggregated into active end-users who are children and those who are adult end-users</w:t>
      </w:r>
      <w:bookmarkEnd w:id="20"/>
      <w:r w:rsidRPr="00522070">
        <w:t xml:space="preserve">) during a specified period, the provider will comply with the request within 30 days after the notice of request is given. </w:t>
      </w:r>
    </w:p>
    <w:p w14:paraId="6D3C152D" w14:textId="77777777" w:rsidR="00522070" w:rsidRPr="00522070" w:rsidRDefault="00522070" w:rsidP="00522070">
      <w:pPr>
        <w:pStyle w:val="ItemHead"/>
      </w:pPr>
      <w:proofErr w:type="gramStart"/>
      <w:r w:rsidRPr="00522070">
        <w:t>18  After</w:t>
      </w:r>
      <w:proofErr w:type="gramEnd"/>
      <w:r w:rsidRPr="00522070">
        <w:t xml:space="preserve"> subsection 21(1) </w:t>
      </w:r>
    </w:p>
    <w:p w14:paraId="350555E3" w14:textId="77777777" w:rsidR="00522070" w:rsidRPr="00522070" w:rsidRDefault="00522070" w:rsidP="00522070">
      <w:pPr>
        <w:pStyle w:val="ListParagraph"/>
        <w:rPr>
          <w:rFonts w:ascii="Times New Roman" w:hAnsi="Times New Roman" w:cs="Times New Roman"/>
        </w:rPr>
      </w:pPr>
      <w:r w:rsidRPr="00522070">
        <w:rPr>
          <w:rFonts w:ascii="Times New Roman" w:hAnsi="Times New Roman" w:cs="Times New Roman"/>
        </w:rPr>
        <w:t>Insert:</w:t>
      </w:r>
    </w:p>
    <w:p w14:paraId="28BCA6BB" w14:textId="77777777" w:rsidR="00522070" w:rsidRPr="006F5CE5" w:rsidRDefault="00522070" w:rsidP="00522070">
      <w:pPr>
        <w:pStyle w:val="ListParagraph"/>
        <w:tabs>
          <w:tab w:val="left" w:pos="567"/>
        </w:tabs>
        <w:ind w:left="1440"/>
        <w:rPr>
          <w:rFonts w:ascii="Times New Roman" w:hAnsi="Times New Roman" w:cs="Times New Roman"/>
          <w:i/>
          <w:sz w:val="18"/>
          <w:szCs w:val="18"/>
          <w:lang w:val="en-US"/>
        </w:rPr>
      </w:pPr>
      <w:r w:rsidRPr="00522070">
        <w:rPr>
          <w:rFonts w:ascii="Times New Roman" w:hAnsi="Times New Roman" w:cs="Times New Roman"/>
          <w:sz w:val="18"/>
          <w:szCs w:val="18"/>
        </w:rPr>
        <w:t xml:space="preserve">Note: </w:t>
      </w:r>
      <w:r w:rsidRPr="00522070">
        <w:rPr>
          <w:rFonts w:ascii="Times New Roman" w:hAnsi="Times New Roman" w:cs="Times New Roman"/>
          <w:sz w:val="18"/>
          <w:szCs w:val="18"/>
          <w:lang w:val="en-US"/>
        </w:rPr>
        <w:t>The provider of the service is expected to have a designated contact point regardless of whether the service has staff physically located in Australia.</w:t>
      </w:r>
      <w:r w:rsidRPr="006F5CE5">
        <w:rPr>
          <w:rFonts w:ascii="Times New Roman" w:hAnsi="Times New Roman" w:cs="Times New Roman"/>
          <w:i/>
          <w:sz w:val="18"/>
          <w:szCs w:val="18"/>
          <w:lang w:val="en-US"/>
        </w:rPr>
        <w:t xml:space="preserve"> </w:t>
      </w:r>
    </w:p>
    <w:p w14:paraId="68550F6D" w14:textId="77777777" w:rsidR="00522070" w:rsidRDefault="00522070" w:rsidP="00522070">
      <w:pPr>
        <w:pStyle w:val="BodyPara"/>
        <w:numPr>
          <w:ilvl w:val="0"/>
          <w:numId w:val="0"/>
        </w:numPr>
      </w:pPr>
    </w:p>
    <w:p w14:paraId="223DAAFB" w14:textId="77777777" w:rsidR="00522070" w:rsidRPr="00DA182D" w:rsidRDefault="00522070" w:rsidP="00522070">
      <w:pPr>
        <w:pStyle w:val="BodyPara"/>
        <w:numPr>
          <w:ilvl w:val="0"/>
          <w:numId w:val="0"/>
        </w:numPr>
      </w:pPr>
    </w:p>
    <w:p w14:paraId="32D5259E" w14:textId="77777777" w:rsidR="00522070" w:rsidRDefault="00522070" w:rsidP="00522070"/>
    <w:p w14:paraId="3610EE59" w14:textId="77777777" w:rsidR="00522070" w:rsidRDefault="00522070" w:rsidP="00522070"/>
    <w:p w14:paraId="42949EE7" w14:textId="77777777" w:rsidR="00183244" w:rsidRDefault="004D103A"/>
    <w:sectPr w:rsidR="00183244" w:rsidSect="0087378F">
      <w:headerReference w:type="even" r:id="rId22"/>
      <w:headerReference w:type="default" r:id="rId23"/>
      <w:footerReference w:type="even" r:id="rId24"/>
      <w:footerReference w:type="default" r:id="rId25"/>
      <w:headerReference w:type="firs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07361" w14:textId="77777777" w:rsidR="00522070" w:rsidRDefault="00522070" w:rsidP="00522070">
      <w:pPr>
        <w:spacing w:line="240" w:lineRule="auto"/>
      </w:pPr>
      <w:r>
        <w:separator/>
      </w:r>
    </w:p>
  </w:endnote>
  <w:endnote w:type="continuationSeparator" w:id="0">
    <w:p w14:paraId="6FBE46B9" w14:textId="77777777" w:rsidR="00522070" w:rsidRDefault="00522070" w:rsidP="00522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A7B8B" w14:paraId="31FA5876" w14:textId="77777777" w:rsidTr="0087378F">
      <w:tc>
        <w:tcPr>
          <w:tcW w:w="5000" w:type="pct"/>
        </w:tcPr>
        <w:p w14:paraId="4BD1280D" w14:textId="77777777" w:rsidR="008A7B8B" w:rsidRDefault="004D103A" w:rsidP="0087378F">
          <w:pPr>
            <w:rPr>
              <w:sz w:val="18"/>
            </w:rPr>
          </w:pPr>
        </w:p>
      </w:tc>
    </w:tr>
  </w:tbl>
  <w:p w14:paraId="6C2071A5" w14:textId="77777777" w:rsidR="008A7B8B" w:rsidRPr="005F1388" w:rsidRDefault="004D103A" w:rsidP="0087378F">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A7B8B" w14:paraId="51A40E40" w14:textId="77777777" w:rsidTr="0087378F">
      <w:tc>
        <w:tcPr>
          <w:tcW w:w="5000" w:type="pct"/>
        </w:tcPr>
        <w:p w14:paraId="3521180A" w14:textId="77777777" w:rsidR="008A7B8B" w:rsidRDefault="004D103A" w:rsidP="0087378F">
          <w:pPr>
            <w:rPr>
              <w:sz w:val="18"/>
            </w:rPr>
          </w:pPr>
        </w:p>
      </w:tc>
    </w:tr>
  </w:tbl>
  <w:p w14:paraId="1DC38631" w14:textId="77777777" w:rsidR="008A7B8B" w:rsidRPr="006D3667" w:rsidRDefault="004D103A" w:rsidP="00873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A0EB" w14:textId="77777777" w:rsidR="008A7B8B" w:rsidRDefault="004D103A" w:rsidP="0087378F">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A7B8B" w14:paraId="32F437D8" w14:textId="77777777" w:rsidTr="0087378F">
      <w:tc>
        <w:tcPr>
          <w:tcW w:w="5000" w:type="pct"/>
        </w:tcPr>
        <w:p w14:paraId="34B23050" w14:textId="77777777" w:rsidR="008A7B8B" w:rsidRDefault="004D103A" w:rsidP="0087378F">
          <w:pPr>
            <w:rPr>
              <w:sz w:val="18"/>
            </w:rPr>
          </w:pPr>
        </w:p>
      </w:tc>
    </w:tr>
  </w:tbl>
  <w:p w14:paraId="5E0F1795" w14:textId="77777777" w:rsidR="008A7B8B" w:rsidRPr="00486382" w:rsidRDefault="004D103A" w:rsidP="008737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81CF" w14:textId="77777777" w:rsidR="008A7B8B" w:rsidRPr="00E33C1C" w:rsidRDefault="004D103A" w:rsidP="0087378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8A7B8B" w14:paraId="02D182C0" w14:textId="77777777" w:rsidTr="0087378F">
      <w:tc>
        <w:tcPr>
          <w:tcW w:w="365" w:type="pct"/>
          <w:tcBorders>
            <w:top w:val="nil"/>
            <w:left w:val="nil"/>
            <w:bottom w:val="nil"/>
            <w:right w:val="nil"/>
          </w:tcBorders>
        </w:tcPr>
        <w:p w14:paraId="13DCD657" w14:textId="77777777" w:rsidR="008A7B8B" w:rsidRDefault="00D3546D" w:rsidP="008737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A179010" w14:textId="77777777" w:rsidR="008A7B8B" w:rsidRDefault="00D3546D" w:rsidP="0087378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4FE8218" w14:textId="77777777" w:rsidR="008A7B8B" w:rsidRDefault="004D103A" w:rsidP="0087378F">
          <w:pPr>
            <w:spacing w:line="0" w:lineRule="atLeast"/>
            <w:jc w:val="right"/>
            <w:rPr>
              <w:sz w:val="18"/>
            </w:rPr>
          </w:pPr>
        </w:p>
      </w:tc>
    </w:tr>
    <w:tr w:rsidR="008A7B8B" w14:paraId="0510CD2B" w14:textId="77777777" w:rsidTr="00873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A91C3C9" w14:textId="77777777" w:rsidR="008A7B8B" w:rsidRDefault="004D103A" w:rsidP="0087378F">
          <w:pPr>
            <w:jc w:val="right"/>
            <w:rPr>
              <w:sz w:val="18"/>
            </w:rPr>
          </w:pPr>
        </w:p>
      </w:tc>
    </w:tr>
  </w:tbl>
  <w:p w14:paraId="709B9840" w14:textId="77777777" w:rsidR="008A7B8B" w:rsidRPr="00ED79B6" w:rsidRDefault="004D103A" w:rsidP="0087378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EE007" w14:textId="77777777" w:rsidR="008A7B8B" w:rsidRPr="00E33C1C" w:rsidRDefault="004D103A" w:rsidP="0087378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8A7B8B" w14:paraId="06B1106D" w14:textId="77777777" w:rsidTr="0087378F">
      <w:tc>
        <w:tcPr>
          <w:tcW w:w="947" w:type="pct"/>
          <w:tcBorders>
            <w:top w:val="nil"/>
            <w:left w:val="nil"/>
            <w:bottom w:val="nil"/>
            <w:right w:val="nil"/>
          </w:tcBorders>
        </w:tcPr>
        <w:p w14:paraId="16156A47" w14:textId="77777777" w:rsidR="008A7B8B" w:rsidRDefault="004D103A" w:rsidP="0087378F">
          <w:pPr>
            <w:spacing w:line="0" w:lineRule="atLeast"/>
            <w:rPr>
              <w:sz w:val="18"/>
            </w:rPr>
          </w:pPr>
        </w:p>
      </w:tc>
      <w:tc>
        <w:tcPr>
          <w:tcW w:w="3688" w:type="pct"/>
          <w:tcBorders>
            <w:top w:val="nil"/>
            <w:left w:val="nil"/>
            <w:bottom w:val="nil"/>
            <w:right w:val="nil"/>
          </w:tcBorders>
        </w:tcPr>
        <w:p w14:paraId="4E9AD17A" w14:textId="2555D077" w:rsidR="008A7B8B" w:rsidRPr="00B20990" w:rsidRDefault="00D3546D" w:rsidP="0087378F">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D103A">
            <w:rPr>
              <w:i/>
              <w:noProof/>
              <w:sz w:val="18"/>
            </w:rPr>
            <w:t>Online Safety (Basic Online Safety Expectations) Amendment Determination 2024</w:t>
          </w:r>
          <w:r w:rsidRPr="00B20990">
            <w:rPr>
              <w:i/>
              <w:sz w:val="18"/>
            </w:rPr>
            <w:fldChar w:fldCharType="end"/>
          </w:r>
        </w:p>
      </w:tc>
      <w:tc>
        <w:tcPr>
          <w:tcW w:w="365" w:type="pct"/>
          <w:tcBorders>
            <w:top w:val="nil"/>
            <w:left w:val="nil"/>
            <w:bottom w:val="nil"/>
            <w:right w:val="nil"/>
          </w:tcBorders>
        </w:tcPr>
        <w:p w14:paraId="24630B31" w14:textId="77777777" w:rsidR="008A7B8B" w:rsidRDefault="00D3546D" w:rsidP="008737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8A7B8B" w14:paraId="2BF2F4A8" w14:textId="77777777" w:rsidTr="00873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1CFCCDC" w14:textId="77777777" w:rsidR="008A7B8B" w:rsidRDefault="004D103A" w:rsidP="0087378F">
          <w:pPr>
            <w:rPr>
              <w:sz w:val="18"/>
            </w:rPr>
          </w:pPr>
        </w:p>
      </w:tc>
    </w:tr>
  </w:tbl>
  <w:p w14:paraId="22A0979E" w14:textId="77777777" w:rsidR="008A7B8B" w:rsidRPr="00ED79B6" w:rsidRDefault="004D103A" w:rsidP="0087378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A26E" w14:textId="77777777" w:rsidR="008A7B8B" w:rsidRPr="00E33C1C" w:rsidRDefault="004D103A" w:rsidP="0087378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A7B8B" w14:paraId="4C9EA620" w14:textId="77777777" w:rsidTr="0087378F">
      <w:tc>
        <w:tcPr>
          <w:tcW w:w="709" w:type="dxa"/>
          <w:tcBorders>
            <w:top w:val="nil"/>
            <w:left w:val="nil"/>
            <w:bottom w:val="nil"/>
            <w:right w:val="nil"/>
          </w:tcBorders>
        </w:tcPr>
        <w:p w14:paraId="18F948C1" w14:textId="77777777" w:rsidR="008A7B8B" w:rsidRDefault="00D3546D" w:rsidP="008737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2E68D215" w14:textId="77777777" w:rsidR="008A7B8B" w:rsidRDefault="00D3546D" w:rsidP="0087378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Online Safety (Basic Online Safety Expectations) Amendment Determination 2023</w:t>
          </w:r>
          <w:r w:rsidRPr="00B20990">
            <w:rPr>
              <w:i/>
              <w:sz w:val="18"/>
            </w:rPr>
            <w:fldChar w:fldCharType="end"/>
          </w:r>
        </w:p>
      </w:tc>
      <w:tc>
        <w:tcPr>
          <w:tcW w:w="1383" w:type="dxa"/>
          <w:tcBorders>
            <w:top w:val="nil"/>
            <w:left w:val="nil"/>
            <w:bottom w:val="nil"/>
            <w:right w:val="nil"/>
          </w:tcBorders>
        </w:tcPr>
        <w:p w14:paraId="06502B6D" w14:textId="77777777" w:rsidR="008A7B8B" w:rsidRDefault="004D103A" w:rsidP="0087378F">
          <w:pPr>
            <w:spacing w:line="0" w:lineRule="atLeast"/>
            <w:jc w:val="right"/>
            <w:rPr>
              <w:sz w:val="18"/>
            </w:rPr>
          </w:pPr>
        </w:p>
      </w:tc>
    </w:tr>
    <w:tr w:rsidR="008A7B8B" w14:paraId="3282C9A3" w14:textId="77777777" w:rsidTr="00873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57F5EF" w14:textId="77777777" w:rsidR="008A7B8B" w:rsidRDefault="004D103A" w:rsidP="0087378F">
          <w:pPr>
            <w:jc w:val="right"/>
            <w:rPr>
              <w:sz w:val="18"/>
            </w:rPr>
          </w:pPr>
        </w:p>
      </w:tc>
    </w:tr>
  </w:tbl>
  <w:p w14:paraId="5E7E36C6" w14:textId="77777777" w:rsidR="008A7B8B" w:rsidRPr="00ED79B6" w:rsidRDefault="004D103A" w:rsidP="0087378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20EA" w14:textId="77777777" w:rsidR="008A7B8B" w:rsidRPr="00E33C1C" w:rsidRDefault="004D103A" w:rsidP="0087378F">
    <w:pPr>
      <w:pBdr>
        <w:top w:val="single" w:sz="6" w:space="1" w:color="auto"/>
      </w:pBdr>
      <w:spacing w:before="120" w:line="0" w:lineRule="atLeast"/>
      <w:rPr>
        <w:sz w:val="16"/>
        <w:szCs w:val="16"/>
      </w:rPr>
    </w:pPr>
  </w:p>
  <w:tbl>
    <w:tblPr>
      <w:tblStyle w:val="TableGrid"/>
      <w:tblW w:w="0" w:type="auto"/>
      <w:tblInd w:w="-612" w:type="dxa"/>
      <w:tblLayout w:type="fixed"/>
      <w:tblLook w:val="04A0" w:firstRow="1" w:lastRow="0" w:firstColumn="1" w:lastColumn="0" w:noHBand="0" w:noVBand="1"/>
    </w:tblPr>
    <w:tblGrid>
      <w:gridCol w:w="1384"/>
      <w:gridCol w:w="6379"/>
      <w:gridCol w:w="709"/>
    </w:tblGrid>
    <w:tr w:rsidR="008A7B8B" w14:paraId="2434A9C0" w14:textId="77777777" w:rsidTr="00522070">
      <w:tc>
        <w:tcPr>
          <w:tcW w:w="1384" w:type="dxa"/>
          <w:tcBorders>
            <w:top w:val="nil"/>
            <w:left w:val="nil"/>
            <w:bottom w:val="nil"/>
            <w:right w:val="nil"/>
          </w:tcBorders>
        </w:tcPr>
        <w:p w14:paraId="08F0AE4B" w14:textId="77777777" w:rsidR="008A7B8B" w:rsidRDefault="004D103A" w:rsidP="0087378F">
          <w:pPr>
            <w:spacing w:line="0" w:lineRule="atLeast"/>
            <w:rPr>
              <w:sz w:val="18"/>
            </w:rPr>
          </w:pPr>
        </w:p>
      </w:tc>
      <w:tc>
        <w:tcPr>
          <w:tcW w:w="6379" w:type="dxa"/>
          <w:tcBorders>
            <w:top w:val="nil"/>
            <w:left w:val="nil"/>
            <w:bottom w:val="nil"/>
            <w:right w:val="nil"/>
          </w:tcBorders>
        </w:tcPr>
        <w:p w14:paraId="145B1B56" w14:textId="63348C8A" w:rsidR="008A7B8B" w:rsidRDefault="00D3546D" w:rsidP="0087378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D103A">
            <w:rPr>
              <w:i/>
              <w:noProof/>
              <w:sz w:val="18"/>
            </w:rPr>
            <w:t>Online Safety (Basic Online Safety Expectations) Amendment Determination 2024</w:t>
          </w:r>
          <w:r w:rsidRPr="00B20990">
            <w:rPr>
              <w:i/>
              <w:sz w:val="18"/>
            </w:rPr>
            <w:fldChar w:fldCharType="end"/>
          </w:r>
        </w:p>
      </w:tc>
      <w:tc>
        <w:tcPr>
          <w:tcW w:w="709" w:type="dxa"/>
          <w:tcBorders>
            <w:top w:val="nil"/>
            <w:left w:val="nil"/>
            <w:bottom w:val="nil"/>
            <w:right w:val="nil"/>
          </w:tcBorders>
        </w:tcPr>
        <w:p w14:paraId="06346C8A" w14:textId="77777777" w:rsidR="008A7B8B" w:rsidRDefault="00D3546D" w:rsidP="008737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8A7B8B" w14:paraId="07737AA6" w14:textId="77777777" w:rsidTr="00522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60E665" w14:textId="77777777" w:rsidR="008A7B8B" w:rsidRDefault="004D103A" w:rsidP="0087378F">
          <w:pPr>
            <w:rPr>
              <w:sz w:val="18"/>
            </w:rPr>
          </w:pPr>
        </w:p>
      </w:tc>
    </w:tr>
  </w:tbl>
  <w:p w14:paraId="7434F07E" w14:textId="77777777" w:rsidR="008A7B8B" w:rsidRPr="00ED79B6" w:rsidRDefault="004D103A" w:rsidP="0087378F">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16A3" w14:textId="77777777" w:rsidR="008A7B8B" w:rsidRPr="00E33C1C" w:rsidRDefault="004D103A" w:rsidP="0087378F">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A7B8B" w14:paraId="56B12473" w14:textId="77777777" w:rsidTr="0087378F">
      <w:tc>
        <w:tcPr>
          <w:tcW w:w="1384" w:type="dxa"/>
          <w:tcBorders>
            <w:top w:val="nil"/>
            <w:left w:val="nil"/>
            <w:bottom w:val="nil"/>
            <w:right w:val="nil"/>
          </w:tcBorders>
        </w:tcPr>
        <w:p w14:paraId="356F3EFC" w14:textId="77777777" w:rsidR="008A7B8B" w:rsidRDefault="004D103A" w:rsidP="0087378F">
          <w:pPr>
            <w:spacing w:line="0" w:lineRule="atLeast"/>
            <w:rPr>
              <w:sz w:val="18"/>
            </w:rPr>
          </w:pPr>
        </w:p>
      </w:tc>
      <w:tc>
        <w:tcPr>
          <w:tcW w:w="6379" w:type="dxa"/>
          <w:tcBorders>
            <w:top w:val="nil"/>
            <w:left w:val="nil"/>
            <w:bottom w:val="nil"/>
            <w:right w:val="nil"/>
          </w:tcBorders>
        </w:tcPr>
        <w:p w14:paraId="07D0263D" w14:textId="77777777" w:rsidR="008A7B8B" w:rsidRDefault="00D3546D" w:rsidP="008737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75799B9" w14:textId="77777777" w:rsidR="008A7B8B" w:rsidRDefault="00D3546D" w:rsidP="008737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8A7B8B" w14:paraId="213DFF8C" w14:textId="77777777" w:rsidTr="00873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4D02C3D" w14:textId="0DD5167C" w:rsidR="008A7B8B" w:rsidRDefault="00D3546D" w:rsidP="0087378F">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D103A">
            <w:rPr>
              <w:i/>
              <w:noProof/>
              <w:sz w:val="18"/>
            </w:rPr>
            <w:t>29/5/2024 11:18 AM</w:t>
          </w:r>
          <w:r w:rsidRPr="00ED79B6">
            <w:rPr>
              <w:i/>
              <w:sz w:val="18"/>
            </w:rPr>
            <w:fldChar w:fldCharType="end"/>
          </w:r>
        </w:p>
      </w:tc>
    </w:tr>
  </w:tbl>
  <w:p w14:paraId="62815A1A" w14:textId="77777777" w:rsidR="008A7B8B" w:rsidRPr="00ED79B6" w:rsidRDefault="004D103A" w:rsidP="0087378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84860" w14:textId="77777777" w:rsidR="00522070" w:rsidRDefault="00522070" w:rsidP="00522070">
      <w:pPr>
        <w:spacing w:line="240" w:lineRule="auto"/>
      </w:pPr>
      <w:r>
        <w:separator/>
      </w:r>
    </w:p>
  </w:footnote>
  <w:footnote w:type="continuationSeparator" w:id="0">
    <w:p w14:paraId="0A9FF9E6" w14:textId="77777777" w:rsidR="00522070" w:rsidRDefault="00522070" w:rsidP="00522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9EE9" w14:textId="77777777" w:rsidR="008A7B8B" w:rsidRPr="005F1388" w:rsidRDefault="004D103A" w:rsidP="0087378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36E0" w14:textId="77777777" w:rsidR="008A7B8B" w:rsidRPr="005F1388" w:rsidRDefault="004D103A" w:rsidP="0087378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A23F" w14:textId="77777777" w:rsidR="008A7B8B" w:rsidRPr="005F1388" w:rsidRDefault="004D103A" w:rsidP="008737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1D5B" w14:textId="77777777" w:rsidR="008A7B8B" w:rsidRPr="00ED79B6" w:rsidRDefault="004D103A" w:rsidP="0087378F">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B4AA" w14:textId="77777777" w:rsidR="008A7B8B" w:rsidRPr="00ED79B6" w:rsidRDefault="004D103A" w:rsidP="0087378F">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0B10" w14:textId="77777777" w:rsidR="008A7B8B" w:rsidRPr="00ED79B6" w:rsidRDefault="004D103A" w:rsidP="0087378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51ED" w14:textId="77777777" w:rsidR="008A7B8B" w:rsidRPr="00A961C4" w:rsidRDefault="004D103A" w:rsidP="0087378F">
    <w:pPr>
      <w:rPr>
        <w:b/>
        <w:sz w:val="20"/>
      </w:rPr>
    </w:pPr>
  </w:p>
  <w:p w14:paraId="7D7EBE7F" w14:textId="77777777" w:rsidR="008A7B8B" w:rsidRPr="00A961C4" w:rsidRDefault="004D103A" w:rsidP="0087378F">
    <w:pPr>
      <w:rPr>
        <w:b/>
        <w:sz w:val="20"/>
      </w:rPr>
    </w:pPr>
  </w:p>
  <w:p w14:paraId="025F1756" w14:textId="77777777" w:rsidR="008A7B8B" w:rsidRPr="00A961C4" w:rsidRDefault="004D103A" w:rsidP="0087378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8CEF" w14:textId="77777777" w:rsidR="008A7B8B" w:rsidRPr="00A961C4" w:rsidRDefault="004D103A" w:rsidP="0087378F">
    <w:pPr>
      <w:jc w:val="right"/>
      <w:rPr>
        <w:sz w:val="20"/>
      </w:rPr>
    </w:pPr>
  </w:p>
  <w:p w14:paraId="04FD9487" w14:textId="77777777" w:rsidR="008A7B8B" w:rsidRPr="00A961C4" w:rsidRDefault="004D103A" w:rsidP="0087378F">
    <w:pPr>
      <w:jc w:val="right"/>
      <w:rPr>
        <w:b/>
        <w:sz w:val="20"/>
      </w:rPr>
    </w:pPr>
  </w:p>
  <w:p w14:paraId="0F37C182" w14:textId="77777777" w:rsidR="008A7B8B" w:rsidRPr="00A961C4" w:rsidRDefault="004D103A" w:rsidP="0087378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C559" w14:textId="77777777" w:rsidR="008A7B8B" w:rsidRDefault="004D1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20E4"/>
    <w:multiLevelType w:val="multilevel"/>
    <w:tmpl w:val="0DC0D140"/>
    <w:lvl w:ilvl="0">
      <w:start w:val="1"/>
      <w:numFmt w:val="lowerLetter"/>
      <w:lvlText w:val="(%1)"/>
      <w:lvlJc w:val="left"/>
      <w:pPr>
        <w:ind w:left="1417" w:hanging="283"/>
      </w:pPr>
      <w:rPr>
        <w:rFonts w:ascii="Times New Roman" w:eastAsiaTheme="minorHAnsi" w:hAnsi="Times New Roman" w:cs="Times New Roman" w:hint="default"/>
        <w:color w:val="auto"/>
      </w:rPr>
    </w:lvl>
    <w:lvl w:ilvl="1">
      <w:start w:val="1"/>
      <w:numFmt w:val="bullet"/>
      <w:lvlText w:val=""/>
      <w:lvlJc w:val="left"/>
      <w:pPr>
        <w:ind w:left="1723" w:hanging="283"/>
      </w:pPr>
      <w:rPr>
        <w:rFonts w:ascii="Symbol" w:hAnsi="Symbol" w:hint="default"/>
        <w:color w:val="auto"/>
      </w:rPr>
    </w:lvl>
    <w:lvl w:ilvl="2">
      <w:start w:val="1"/>
      <w:numFmt w:val="bullet"/>
      <w:lvlText w:val="□"/>
      <w:lvlJc w:val="left"/>
      <w:pPr>
        <w:ind w:left="1723" w:hanging="283"/>
      </w:pPr>
      <w:rPr>
        <w:rFonts w:ascii="Calibri" w:hAnsi="Calibri" w:cs="Times New Roman" w:hint="default"/>
      </w:rPr>
    </w:lvl>
    <w:lvl w:ilvl="3">
      <w:start w:val="1"/>
      <w:numFmt w:val="decimal"/>
      <w:lvlText w:val="(%4)"/>
      <w:lvlJc w:val="left"/>
      <w:pPr>
        <w:ind w:left="1210" w:hanging="360"/>
      </w:pPr>
    </w:lvl>
    <w:lvl w:ilvl="4">
      <w:start w:val="1"/>
      <w:numFmt w:val="lowerLetter"/>
      <w:lvlText w:val="(%5)"/>
      <w:lvlJc w:val="left"/>
      <w:pPr>
        <w:ind w:left="1494" w:hanging="360"/>
      </w:pPr>
    </w:lvl>
    <w:lvl w:ilvl="5">
      <w:start w:val="1"/>
      <w:numFmt w:val="lowerRoman"/>
      <w:lvlText w:val="(%6)"/>
      <w:lvlJc w:val="left"/>
      <w:pPr>
        <w:ind w:left="1516" w:hanging="360"/>
      </w:pPr>
    </w:lvl>
    <w:lvl w:ilvl="6">
      <w:start w:val="1"/>
      <w:numFmt w:val="decimal"/>
      <w:lvlText w:val="%7."/>
      <w:lvlJc w:val="left"/>
      <w:pPr>
        <w:ind w:left="3676" w:hanging="360"/>
      </w:pPr>
    </w:lvl>
    <w:lvl w:ilvl="7">
      <w:start w:val="1"/>
      <w:numFmt w:val="lowerLetter"/>
      <w:lvlText w:val="%8."/>
      <w:lvlJc w:val="left"/>
      <w:pPr>
        <w:ind w:left="4036" w:hanging="360"/>
      </w:pPr>
    </w:lvl>
    <w:lvl w:ilvl="8">
      <w:start w:val="1"/>
      <w:numFmt w:val="lowerRoman"/>
      <w:lvlText w:val="%9."/>
      <w:lvlJc w:val="left"/>
      <w:pPr>
        <w:ind w:left="4396" w:hanging="360"/>
      </w:pPr>
    </w:lvl>
  </w:abstractNum>
  <w:abstractNum w:abstractNumId="1" w15:restartNumberingAfterBreak="0">
    <w:nsid w:val="081113C1"/>
    <w:multiLevelType w:val="hybridMultilevel"/>
    <w:tmpl w:val="DC10DA4C"/>
    <w:lvl w:ilvl="0" w:tplc="489629C4">
      <w:start w:val="1"/>
      <w:numFmt w:val="lowerLetter"/>
      <w:lvlText w:val="(%1)"/>
      <w:lvlJc w:val="left"/>
      <w:pPr>
        <w:ind w:left="1494" w:hanging="360"/>
      </w:pPr>
      <w:rPr>
        <w:rFonts w:ascii="Times New Roman" w:eastAsia="SimSun"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9C211A8"/>
    <w:multiLevelType w:val="hybridMultilevel"/>
    <w:tmpl w:val="DDDAB136"/>
    <w:lvl w:ilvl="0" w:tplc="9D14A1F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10B76D83"/>
    <w:multiLevelType w:val="hybridMultilevel"/>
    <w:tmpl w:val="BACEF3F0"/>
    <w:lvl w:ilvl="0" w:tplc="BE16F4DC">
      <w:start w:val="1"/>
      <w:numFmt w:val="decimal"/>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7A00384"/>
    <w:multiLevelType w:val="hybridMultilevel"/>
    <w:tmpl w:val="DC10DA4C"/>
    <w:lvl w:ilvl="0" w:tplc="489629C4">
      <w:start w:val="1"/>
      <w:numFmt w:val="lowerLetter"/>
      <w:lvlText w:val="(%1)"/>
      <w:lvlJc w:val="left"/>
      <w:pPr>
        <w:ind w:left="1494" w:hanging="360"/>
      </w:pPr>
      <w:rPr>
        <w:rFonts w:ascii="Times New Roman" w:eastAsia="SimSun"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C26197"/>
    <w:multiLevelType w:val="multilevel"/>
    <w:tmpl w:val="AF4C7F58"/>
    <w:lvl w:ilvl="0">
      <w:start w:val="3"/>
      <w:numFmt w:val="lowerLetter"/>
      <w:lvlText w:val="(%1)"/>
      <w:lvlJc w:val="left"/>
      <w:pPr>
        <w:ind w:left="1417" w:hanging="283"/>
      </w:pPr>
      <w:rPr>
        <w:rFonts w:ascii="Times New Roman" w:eastAsiaTheme="minorHAnsi" w:hAnsi="Times New Roman" w:cs="Times New Roman" w:hint="default"/>
        <w:b w:val="0"/>
        <w:color w:val="auto"/>
        <w:sz w:val="22"/>
        <w:szCs w:val="22"/>
      </w:rPr>
    </w:lvl>
    <w:lvl w:ilvl="1">
      <w:start w:val="1"/>
      <w:numFmt w:val="bullet"/>
      <w:lvlText w:val=""/>
      <w:lvlJc w:val="left"/>
      <w:pPr>
        <w:ind w:left="1723" w:hanging="283"/>
      </w:pPr>
      <w:rPr>
        <w:rFonts w:ascii="Symbol" w:hAnsi="Symbol" w:hint="default"/>
        <w:color w:val="auto"/>
      </w:rPr>
    </w:lvl>
    <w:lvl w:ilvl="2">
      <w:start w:val="1"/>
      <w:numFmt w:val="bullet"/>
      <w:lvlText w:val="□"/>
      <w:lvlJc w:val="left"/>
      <w:pPr>
        <w:ind w:left="1723" w:hanging="283"/>
      </w:pPr>
      <w:rPr>
        <w:rFonts w:ascii="Calibri" w:hAnsi="Calibri" w:cs="Times New Roman" w:hint="default"/>
      </w:rPr>
    </w:lvl>
    <w:lvl w:ilvl="3">
      <w:start w:val="1"/>
      <w:numFmt w:val="decimal"/>
      <w:lvlText w:val="(%4)"/>
      <w:lvlJc w:val="left"/>
      <w:pPr>
        <w:ind w:left="1210" w:hanging="360"/>
      </w:pPr>
      <w:rPr>
        <w:rFonts w:hint="default"/>
      </w:rPr>
    </w:lvl>
    <w:lvl w:ilvl="4">
      <w:start w:val="1"/>
      <w:numFmt w:val="lowerLetter"/>
      <w:lvlText w:val="(%5)"/>
      <w:lvlJc w:val="left"/>
      <w:pPr>
        <w:ind w:left="1494" w:hanging="360"/>
      </w:pPr>
      <w:rPr>
        <w:rFonts w:hint="default"/>
      </w:rPr>
    </w:lvl>
    <w:lvl w:ilvl="5">
      <w:start w:val="1"/>
      <w:numFmt w:val="lowerRoman"/>
      <w:lvlText w:val="(%6)"/>
      <w:lvlJc w:val="left"/>
      <w:pPr>
        <w:ind w:left="1516" w:hanging="360"/>
      </w:pPr>
      <w:rPr>
        <w:rFonts w:hint="default"/>
      </w:rPr>
    </w:lvl>
    <w:lvl w:ilvl="6">
      <w:start w:val="1"/>
      <w:numFmt w:val="decimal"/>
      <w:lvlText w:val="%7."/>
      <w:lvlJc w:val="left"/>
      <w:pPr>
        <w:ind w:left="3676" w:hanging="360"/>
      </w:pPr>
      <w:rPr>
        <w:rFonts w:hint="default"/>
      </w:rPr>
    </w:lvl>
    <w:lvl w:ilvl="7">
      <w:start w:val="1"/>
      <w:numFmt w:val="lowerLetter"/>
      <w:lvlText w:val="%8."/>
      <w:lvlJc w:val="left"/>
      <w:pPr>
        <w:ind w:left="4036" w:hanging="360"/>
      </w:pPr>
      <w:rPr>
        <w:rFonts w:hint="default"/>
      </w:rPr>
    </w:lvl>
    <w:lvl w:ilvl="8">
      <w:start w:val="1"/>
      <w:numFmt w:val="lowerRoman"/>
      <w:lvlText w:val="%9."/>
      <w:lvlJc w:val="left"/>
      <w:pPr>
        <w:ind w:left="4396" w:hanging="360"/>
      </w:pPr>
      <w:rPr>
        <w:rFonts w:hint="default"/>
      </w:rPr>
    </w:lvl>
  </w:abstractNum>
  <w:abstractNum w:abstractNumId="7" w15:restartNumberingAfterBreak="0">
    <w:nsid w:val="2AE67BE5"/>
    <w:multiLevelType w:val="hybridMultilevel"/>
    <w:tmpl w:val="AC12AA34"/>
    <w:lvl w:ilvl="0" w:tplc="1E0C2DA4">
      <w:start w:val="5"/>
      <w:numFmt w:val="decimal"/>
      <w:lvlText w:val="(%1)"/>
      <w:lvlJc w:val="left"/>
      <w:pPr>
        <w:ind w:left="1069" w:hanging="360"/>
      </w:pPr>
      <w:rPr>
        <w:rFonts w:ascii="Times New Roman" w:hAnsi="Times New Roman" w:cs="Times New Roman"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3C2CB7"/>
    <w:multiLevelType w:val="hybridMultilevel"/>
    <w:tmpl w:val="A2AAF2FA"/>
    <w:lvl w:ilvl="0" w:tplc="F79CCBCA">
      <w:start w:val="1"/>
      <w:numFmt w:val="lowerLetter"/>
      <w:lvlText w:val="(%1)"/>
      <w:lvlJc w:val="left"/>
      <w:pPr>
        <w:ind w:left="1494" w:hanging="360"/>
      </w:pPr>
      <w:rPr>
        <w:rFonts w:hint="default"/>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34A71890"/>
    <w:multiLevelType w:val="hybridMultilevel"/>
    <w:tmpl w:val="F956E4B8"/>
    <w:lvl w:ilvl="0" w:tplc="CA76CD6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76A1ACF"/>
    <w:multiLevelType w:val="hybridMultilevel"/>
    <w:tmpl w:val="82A44424"/>
    <w:lvl w:ilvl="0" w:tplc="4418CF0C">
      <w:start w:val="1"/>
      <w:numFmt w:val="lowerLetter"/>
      <w:lvlText w:val="(%1)"/>
      <w:lvlJc w:val="left"/>
      <w:pPr>
        <w:ind w:left="720" w:hanging="360"/>
      </w:pPr>
      <w:rPr>
        <w:rFonts w:asciiTheme="minorHAnsi" w:hAnsiTheme="minorHAnsi" w:cstheme="minorBidi"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875E4A"/>
    <w:multiLevelType w:val="hybridMultilevel"/>
    <w:tmpl w:val="DC10DA4C"/>
    <w:lvl w:ilvl="0" w:tplc="489629C4">
      <w:start w:val="1"/>
      <w:numFmt w:val="lowerLetter"/>
      <w:lvlText w:val="(%1)"/>
      <w:lvlJc w:val="left"/>
      <w:pPr>
        <w:ind w:left="1494" w:hanging="360"/>
      </w:pPr>
      <w:rPr>
        <w:rFonts w:ascii="Times New Roman" w:eastAsia="SimSun"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3B5E3BFC"/>
    <w:multiLevelType w:val="hybridMultilevel"/>
    <w:tmpl w:val="A2AAF2FA"/>
    <w:lvl w:ilvl="0" w:tplc="F79CCBCA">
      <w:start w:val="1"/>
      <w:numFmt w:val="lowerLetter"/>
      <w:lvlText w:val="(%1)"/>
      <w:lvlJc w:val="left"/>
      <w:pPr>
        <w:ind w:left="1494" w:hanging="360"/>
      </w:pPr>
      <w:rPr>
        <w:rFonts w:hint="default"/>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4AAE46B5"/>
    <w:multiLevelType w:val="hybridMultilevel"/>
    <w:tmpl w:val="8F7E6144"/>
    <w:lvl w:ilvl="0" w:tplc="294A4DF8">
      <w:start w:val="1"/>
      <w:numFmt w:val="decimal"/>
      <w:lvlText w:val="(%1)"/>
      <w:lvlJc w:val="left"/>
      <w:pPr>
        <w:ind w:left="720" w:hanging="360"/>
      </w:pPr>
      <w:rPr>
        <w:rFonts w:asciiTheme="minorHAnsi" w:hAnsiTheme="minorHAnsi" w:cstheme="minorBidi"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C76D05"/>
    <w:multiLevelType w:val="hybridMultilevel"/>
    <w:tmpl w:val="603EB788"/>
    <w:lvl w:ilvl="0" w:tplc="DBA2841C">
      <w:start w:val="3"/>
      <w:numFmt w:val="decimal"/>
      <w:lvlText w:val="(%1)"/>
      <w:lvlJc w:val="left"/>
      <w:pPr>
        <w:ind w:left="108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A06DD7"/>
    <w:multiLevelType w:val="hybridMultilevel"/>
    <w:tmpl w:val="DC10DA4C"/>
    <w:lvl w:ilvl="0" w:tplc="489629C4">
      <w:start w:val="1"/>
      <w:numFmt w:val="lowerLetter"/>
      <w:lvlText w:val="(%1)"/>
      <w:lvlJc w:val="left"/>
      <w:pPr>
        <w:ind w:left="1494" w:hanging="360"/>
      </w:pPr>
      <w:rPr>
        <w:rFonts w:ascii="Times New Roman" w:eastAsia="SimSun"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56DB61DB"/>
    <w:multiLevelType w:val="hybridMultilevel"/>
    <w:tmpl w:val="98EAE250"/>
    <w:lvl w:ilvl="0" w:tplc="7D848CC8">
      <w:start w:val="1"/>
      <w:numFmt w:val="lowerRoman"/>
      <w:lvlText w:val="(%1)"/>
      <w:lvlJc w:val="left"/>
      <w:pPr>
        <w:ind w:left="2061" w:hanging="360"/>
      </w:pPr>
      <w:rPr>
        <w:rFonts w:ascii="Times New Roman" w:eastAsia="Times New Roman" w:hAnsi="Times New Roman" w:cs="Times New Roman"/>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578B3684"/>
    <w:multiLevelType w:val="multilevel"/>
    <w:tmpl w:val="5B869B42"/>
    <w:lvl w:ilvl="0">
      <w:start w:val="1"/>
      <w:numFmt w:val="lowerLetter"/>
      <w:lvlText w:val="(%1)"/>
      <w:lvlJc w:val="left"/>
      <w:pPr>
        <w:ind w:left="567" w:hanging="283"/>
      </w:pPr>
      <w:rPr>
        <w:rFonts w:asciiTheme="minorHAnsi" w:eastAsiaTheme="minorHAnsi" w:hAnsiTheme="minorHAnsi" w:cstheme="minorBidi"/>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567" w:hanging="283"/>
      </w:pPr>
      <w:rPr>
        <w:rFonts w:ascii="Calibri" w:hAnsi="Calibri" w:cs="Times New Roman" w:hint="default"/>
      </w:rPr>
    </w:lvl>
    <w:lvl w:ilvl="3">
      <w:start w:val="1"/>
      <w:numFmt w:val="lowerLetter"/>
      <w:lvlText w:val="(%4)"/>
      <w:lvlJc w:val="left"/>
      <w:pPr>
        <w:ind w:left="1068" w:hanging="360"/>
      </w:pPr>
      <w:rPr>
        <w:rFonts w:ascii="Times New Roman" w:eastAsia="SimSun" w:hAnsi="Times New Roman" w:cs="Times New Roman"/>
      </w:rPr>
    </w:lvl>
    <w:lvl w:ilvl="4">
      <w:start w:val="1"/>
      <w:numFmt w:val="lowerLetter"/>
      <w:lvlText w:val="(%5)"/>
      <w:lvlJc w:val="left"/>
      <w:pPr>
        <w:ind w:left="1636" w:hanging="360"/>
      </w:pPr>
    </w:lvl>
    <w:lvl w:ilvl="5">
      <w:start w:val="1"/>
      <w:numFmt w:val="lowerRoman"/>
      <w:lvlText w:val="(%6)"/>
      <w:lvlJc w:val="left"/>
      <w:pPr>
        <w:ind w:left="3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11488B"/>
    <w:multiLevelType w:val="hybridMultilevel"/>
    <w:tmpl w:val="1FEE4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5B909C9"/>
    <w:multiLevelType w:val="hybridMultilevel"/>
    <w:tmpl w:val="DDA49DF6"/>
    <w:lvl w:ilvl="0" w:tplc="5112A32A">
      <w:start w:val="1"/>
      <w:numFmt w:val="decimal"/>
      <w:lvlText w:val="(%1)"/>
      <w:lvlJc w:val="left"/>
      <w:pPr>
        <w:ind w:left="1069" w:hanging="360"/>
      </w:pPr>
      <w:rPr>
        <w:rFonts w:ascii="Times New Roman" w:hAnsi="Times New Roman" w:cs="Times New Roman"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7F553119"/>
    <w:multiLevelType w:val="hybridMultilevel"/>
    <w:tmpl w:val="A2AAF2FA"/>
    <w:lvl w:ilvl="0" w:tplc="F79CCBCA">
      <w:start w:val="1"/>
      <w:numFmt w:val="lowerLetter"/>
      <w:lvlText w:val="(%1)"/>
      <w:lvlJc w:val="left"/>
      <w:pPr>
        <w:ind w:left="1494" w:hanging="360"/>
      </w:pPr>
      <w:rPr>
        <w:rFonts w:hint="default"/>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5"/>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3"/>
  </w:num>
  <w:num w:numId="7">
    <w:abstractNumId w:val="1"/>
  </w:num>
  <w:num w:numId="8">
    <w:abstractNumId w:val="19"/>
  </w:num>
  <w:num w:numId="9">
    <w:abstractNumId w:val="6"/>
  </w:num>
  <w:num w:numId="10">
    <w:abstractNumId w:val="15"/>
  </w:num>
  <w:num w:numId="11">
    <w:abstractNumId w:val="14"/>
  </w:num>
  <w:num w:numId="12">
    <w:abstractNumId w:val="11"/>
  </w:num>
  <w:num w:numId="13">
    <w:abstractNumId w:val="4"/>
  </w:num>
  <w:num w:numId="14">
    <w:abstractNumId w:val="7"/>
  </w:num>
  <w:num w:numId="15">
    <w:abstractNumId w:val="12"/>
  </w:num>
  <w:num w:numId="16">
    <w:abstractNumId w:val="20"/>
  </w:num>
  <w:num w:numId="17">
    <w:abstractNumId w:val="16"/>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70"/>
    <w:rsid w:val="0005464F"/>
    <w:rsid w:val="003D6270"/>
    <w:rsid w:val="003F6C67"/>
    <w:rsid w:val="00452490"/>
    <w:rsid w:val="004D103A"/>
    <w:rsid w:val="00522070"/>
    <w:rsid w:val="00694F1B"/>
    <w:rsid w:val="00831E51"/>
    <w:rsid w:val="00A0502A"/>
    <w:rsid w:val="00B7679C"/>
    <w:rsid w:val="00D00FA3"/>
    <w:rsid w:val="00D3546D"/>
    <w:rsid w:val="00F75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51268"/>
  <w15:chartTrackingRefBased/>
  <w15:docId w15:val="{BD50AF5F-0667-4E90-B215-262A01B5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2070"/>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522070"/>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522070"/>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522070"/>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522070"/>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522070"/>
  </w:style>
  <w:style w:type="character" w:customStyle="1" w:styleId="CharAmSchText">
    <w:name w:val="CharAmSchText"/>
    <w:basedOn w:val="DefaultParagraphFont"/>
    <w:uiPriority w:val="1"/>
    <w:qFormat/>
    <w:rsid w:val="00522070"/>
  </w:style>
  <w:style w:type="character" w:customStyle="1" w:styleId="CharSectno">
    <w:name w:val="CharSectno"/>
    <w:basedOn w:val="DefaultParagraphFont"/>
    <w:qFormat/>
    <w:rsid w:val="00522070"/>
  </w:style>
  <w:style w:type="paragraph" w:customStyle="1" w:styleId="subsection">
    <w:name w:val="subsection"/>
    <w:aliases w:val="ss,Subsection"/>
    <w:basedOn w:val="Normal"/>
    <w:link w:val="subsectionChar"/>
    <w:rsid w:val="00522070"/>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52207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522070"/>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522070"/>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52207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paragraph">
    <w:name w:val="paragraph"/>
    <w:aliases w:val="a"/>
    <w:basedOn w:val="Normal"/>
    <w:rsid w:val="00522070"/>
    <w:pPr>
      <w:tabs>
        <w:tab w:val="right" w:pos="1531"/>
      </w:tabs>
      <w:spacing w:before="40" w:line="240" w:lineRule="auto"/>
      <w:ind w:left="1644" w:hanging="1644"/>
    </w:pPr>
    <w:rPr>
      <w:rFonts w:eastAsia="Times New Roman" w:cs="Times New Roman"/>
      <w:lang w:eastAsia="en-AU"/>
    </w:rPr>
  </w:style>
  <w:style w:type="paragraph" w:customStyle="1" w:styleId="SubsectionHead">
    <w:name w:val="SubsectionHead"/>
    <w:aliases w:val="ssh"/>
    <w:basedOn w:val="Normal"/>
    <w:next w:val="subsection"/>
    <w:rsid w:val="00522070"/>
    <w:pPr>
      <w:keepNext/>
      <w:keepLines/>
      <w:spacing w:before="240" w:line="240" w:lineRule="auto"/>
      <w:ind w:left="1134"/>
    </w:pPr>
    <w:rPr>
      <w:rFonts w:eastAsia="Times New Roman" w:cs="Times New Roman"/>
      <w:i/>
      <w:lang w:eastAsia="en-AU"/>
    </w:rPr>
  </w:style>
  <w:style w:type="paragraph" w:styleId="TOC5">
    <w:name w:val="toc 5"/>
    <w:basedOn w:val="Normal"/>
    <w:next w:val="Normal"/>
    <w:uiPriority w:val="39"/>
    <w:unhideWhenUsed/>
    <w:rsid w:val="00522070"/>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52207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522070"/>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rsid w:val="00522070"/>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522070"/>
    <w:rPr>
      <w:rFonts w:ascii="Times New Roman" w:eastAsia="Times New Roman" w:hAnsi="Times New Roman" w:cs="Times New Roman"/>
      <w:szCs w:val="24"/>
      <w:lang w:eastAsia="en-AU"/>
    </w:rPr>
  </w:style>
  <w:style w:type="table" w:styleId="TableGrid">
    <w:name w:val="Table Grid"/>
    <w:basedOn w:val="TableNormal"/>
    <w:uiPriority w:val="59"/>
    <w:rsid w:val="0052207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522070"/>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522070"/>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522070"/>
    <w:rPr>
      <w:rFonts w:ascii="Times New Roman" w:eastAsia="Times New Roman" w:hAnsi="Times New Roman" w:cs="Times New Roman"/>
      <w:szCs w:val="20"/>
      <w:lang w:eastAsia="en-AU"/>
    </w:rPr>
  </w:style>
  <w:style w:type="paragraph" w:customStyle="1" w:styleId="BodyNum">
    <w:name w:val="BodyNum"/>
    <w:aliases w:val="b1"/>
    <w:basedOn w:val="Normal"/>
    <w:rsid w:val="00522070"/>
    <w:pPr>
      <w:numPr>
        <w:numId w:val="1"/>
      </w:numPr>
      <w:spacing w:before="240" w:line="240" w:lineRule="auto"/>
    </w:pPr>
    <w:rPr>
      <w:rFonts w:eastAsia="Times New Roman" w:cs="Times New Roman"/>
      <w:sz w:val="24"/>
      <w:lang w:eastAsia="en-AU"/>
    </w:rPr>
  </w:style>
  <w:style w:type="paragraph" w:customStyle="1" w:styleId="BodyPara">
    <w:name w:val="BodyPara"/>
    <w:aliases w:val="ba"/>
    <w:basedOn w:val="Normal"/>
    <w:rsid w:val="00522070"/>
    <w:pPr>
      <w:numPr>
        <w:ilvl w:val="1"/>
        <w:numId w:val="1"/>
      </w:numPr>
      <w:spacing w:before="240" w:line="240" w:lineRule="auto"/>
    </w:pPr>
    <w:rPr>
      <w:rFonts w:eastAsia="Times New Roman" w:cs="Times New Roman"/>
      <w:sz w:val="24"/>
      <w:lang w:eastAsia="en-AU"/>
    </w:rPr>
  </w:style>
  <w:style w:type="numbering" w:customStyle="1" w:styleId="OPCBodyList">
    <w:name w:val="OPCBodyList"/>
    <w:uiPriority w:val="99"/>
    <w:rsid w:val="00522070"/>
    <w:pPr>
      <w:numPr>
        <w:numId w:val="1"/>
      </w:numPr>
    </w:p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522070"/>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列出段落"/>
    <w:basedOn w:val="Normal"/>
    <w:link w:val="ListParagraphChar"/>
    <w:uiPriority w:val="34"/>
    <w:qFormat/>
    <w:rsid w:val="00522070"/>
    <w:pPr>
      <w:suppressAutoHyphens/>
      <w:spacing w:before="160" w:after="80" w:line="240" w:lineRule="auto"/>
      <w:ind w:left="720"/>
      <w:contextualSpacing/>
    </w:pPr>
    <w:rPr>
      <w:rFonts w:asciiTheme="minorHAnsi" w:hAnsiTheme="minorHAnsi"/>
      <w:szCs w:val="22"/>
    </w:rPr>
  </w:style>
  <w:style w:type="paragraph" w:styleId="NoSpacing">
    <w:name w:val="No Spacing"/>
    <w:uiPriority w:val="1"/>
    <w:qFormat/>
    <w:rsid w:val="00522070"/>
    <w:pPr>
      <w:suppressAutoHyphens/>
      <w:spacing w:before="160" w:after="80" w:line="240" w:lineRule="auto"/>
      <w:contextualSpacing/>
    </w:pPr>
    <w:rPr>
      <w:rFonts w:eastAsia="SimSun"/>
      <w:color w:val="000000" w:themeColor="text1"/>
      <w:kern w:val="12"/>
    </w:rPr>
  </w:style>
  <w:style w:type="character" w:styleId="CommentReference">
    <w:name w:val="annotation reference"/>
    <w:basedOn w:val="DefaultParagraphFont"/>
    <w:uiPriority w:val="99"/>
    <w:semiHidden/>
    <w:unhideWhenUsed/>
    <w:rsid w:val="00522070"/>
    <w:rPr>
      <w:sz w:val="16"/>
      <w:szCs w:val="16"/>
    </w:rPr>
  </w:style>
  <w:style w:type="paragraph" w:styleId="CommentText">
    <w:name w:val="annotation text"/>
    <w:basedOn w:val="Normal"/>
    <w:link w:val="CommentTextChar"/>
    <w:uiPriority w:val="99"/>
    <w:unhideWhenUsed/>
    <w:rsid w:val="00522070"/>
    <w:pPr>
      <w:spacing w:line="240" w:lineRule="auto"/>
    </w:pPr>
    <w:rPr>
      <w:sz w:val="20"/>
    </w:rPr>
  </w:style>
  <w:style w:type="character" w:customStyle="1" w:styleId="CommentTextChar">
    <w:name w:val="Comment Text Char"/>
    <w:basedOn w:val="DefaultParagraphFont"/>
    <w:link w:val="CommentText"/>
    <w:uiPriority w:val="99"/>
    <w:rsid w:val="00522070"/>
    <w:rPr>
      <w:rFonts w:ascii="Times New Roman" w:hAnsi="Times New Roman"/>
      <w:sz w:val="20"/>
      <w:szCs w:val="20"/>
    </w:rPr>
  </w:style>
  <w:style w:type="character" w:customStyle="1" w:styleId="subsectionchar0">
    <w:name w:val="subsectionchar"/>
    <w:basedOn w:val="DefaultParagraphFont"/>
    <w:rsid w:val="00522070"/>
  </w:style>
  <w:style w:type="paragraph" w:styleId="BalloonText">
    <w:name w:val="Balloon Text"/>
    <w:basedOn w:val="Normal"/>
    <w:link w:val="BalloonTextChar"/>
    <w:uiPriority w:val="99"/>
    <w:semiHidden/>
    <w:unhideWhenUsed/>
    <w:rsid w:val="005220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46D"/>
    <w:rPr>
      <w:b/>
      <w:bCs/>
    </w:rPr>
  </w:style>
  <w:style w:type="character" w:customStyle="1" w:styleId="CommentSubjectChar">
    <w:name w:val="Comment Subject Char"/>
    <w:basedOn w:val="CommentTextChar"/>
    <w:link w:val="CommentSubject"/>
    <w:uiPriority w:val="99"/>
    <w:semiHidden/>
    <w:rsid w:val="00D3546D"/>
    <w:rPr>
      <w:rFonts w:ascii="Times New Roman" w:hAnsi="Times New Roman"/>
      <w:b/>
      <w:bCs/>
      <w:sz w:val="20"/>
      <w:szCs w:val="20"/>
    </w:rPr>
  </w:style>
  <w:style w:type="paragraph" w:styleId="Revision">
    <w:name w:val="Revision"/>
    <w:hidden/>
    <w:uiPriority w:val="99"/>
    <w:semiHidden/>
    <w:rsid w:val="00D3546D"/>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1ABE410-6AF3-42C4-A6A0-B9ECD3AF8A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7D206E7C0A0F4A8F47C2758C62945B" ma:contentTypeVersion="" ma:contentTypeDescription="PDMS Document Site Content Type" ma:contentTypeScope="" ma:versionID="949ad2272cc6a1fa178c52d0a46c48e8">
  <xsd:schema xmlns:xsd="http://www.w3.org/2001/XMLSchema" xmlns:xs="http://www.w3.org/2001/XMLSchema" xmlns:p="http://schemas.microsoft.com/office/2006/metadata/properties" xmlns:ns2="C1ABE410-6AF3-42C4-A6A0-B9ECD3AF8A8C" targetNamespace="http://schemas.microsoft.com/office/2006/metadata/properties" ma:root="true" ma:fieldsID="2082ef0f7b5302e1e7db7987aa47c806" ns2:_="">
    <xsd:import namespace="C1ABE410-6AF3-42C4-A6A0-B9ECD3AF8A8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E410-6AF3-42C4-A6A0-B9ECD3AF8A8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322A3-6E32-45CE-835C-49FCBCFC2C9E}">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1ABE410-6AF3-42C4-A6A0-B9ECD3AF8A8C"/>
    <ds:schemaRef ds:uri="http://purl.org/dc/dcmitype/"/>
  </ds:schemaRefs>
</ds:datastoreItem>
</file>

<file path=customXml/itemProps2.xml><?xml version="1.0" encoding="utf-8"?>
<ds:datastoreItem xmlns:ds="http://schemas.openxmlformats.org/officeDocument/2006/customXml" ds:itemID="{F3206615-E871-495C-BC50-8DBC15D6A282}">
  <ds:schemaRefs>
    <ds:schemaRef ds:uri="http://schemas.microsoft.com/sharepoint/v3/contenttype/forms"/>
  </ds:schemaRefs>
</ds:datastoreItem>
</file>

<file path=customXml/itemProps3.xml><?xml version="1.0" encoding="utf-8"?>
<ds:datastoreItem xmlns:ds="http://schemas.openxmlformats.org/officeDocument/2006/customXml" ds:itemID="{9EB85DD5-BBD9-45BE-B7DE-70EE040A3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DITRCA - Legal Services Division</dc:creator>
  <cp:keywords/>
  <dc:description/>
  <cp:lastModifiedBy>MACKENZIE, Tom</cp:lastModifiedBy>
  <cp:revision>4</cp:revision>
  <dcterms:created xsi:type="dcterms:W3CDTF">2024-05-28T00:00:00Z</dcterms:created>
  <dcterms:modified xsi:type="dcterms:W3CDTF">2024-05-29T01:19:00Z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0x010100266966F133664895A6EE3632470D45F500797D206E7C0A0F4A8F47C2758C62945B</vt:lpwstr>
  </property>
</Properties>
</file>