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F69B" w14:textId="77777777" w:rsidR="00D13D06" w:rsidRPr="00AC107A" w:rsidRDefault="00D13D06" w:rsidP="00D13D06">
      <w:pPr>
        <w:pStyle w:val="Heading4"/>
        <w:jc w:val="center"/>
      </w:pPr>
      <w:r w:rsidRPr="00AC107A">
        <w:t>EXPLANATORY STATEMENT</w:t>
      </w:r>
    </w:p>
    <w:p w14:paraId="2D7D790B" w14:textId="77777777" w:rsidR="00D13D06" w:rsidRPr="00AC107A" w:rsidRDefault="00D13D06" w:rsidP="00D13D06">
      <w:pPr>
        <w:rPr>
          <w:sz w:val="16"/>
          <w:szCs w:val="16"/>
        </w:rPr>
      </w:pPr>
    </w:p>
    <w:p w14:paraId="41996194" w14:textId="77777777" w:rsidR="00D13D06" w:rsidRPr="00AC107A" w:rsidRDefault="00D13D06" w:rsidP="006356C4">
      <w:pPr>
        <w:pStyle w:val="Heading3"/>
        <w:pBdr>
          <w:top w:val="none" w:sz="0" w:space="0" w:color="auto"/>
          <w:left w:val="none" w:sz="0" w:space="0" w:color="auto"/>
          <w:bottom w:val="none" w:sz="0" w:space="0" w:color="auto"/>
          <w:right w:val="none" w:sz="0" w:space="0" w:color="auto"/>
        </w:pBdr>
        <w:spacing w:line="276" w:lineRule="auto"/>
        <w:rPr>
          <w:rFonts w:ascii="Times New Roman" w:hAnsi="Times New Roman"/>
          <w:b w:val="0"/>
          <w:bCs/>
          <w:i/>
          <w:iCs/>
          <w:szCs w:val="24"/>
        </w:rPr>
      </w:pPr>
      <w:r w:rsidRPr="00AC107A">
        <w:rPr>
          <w:rFonts w:ascii="Times New Roman" w:hAnsi="Times New Roman"/>
          <w:b w:val="0"/>
          <w:bCs/>
          <w:i/>
          <w:iCs/>
          <w:szCs w:val="24"/>
        </w:rPr>
        <w:t>Environment Protection and Biodiversity Conservation Act 1999</w:t>
      </w:r>
    </w:p>
    <w:p w14:paraId="344148A7" w14:textId="206944DA" w:rsidR="00D13D06" w:rsidRPr="00AC107A" w:rsidRDefault="00B33FA6" w:rsidP="00D13D06">
      <w:pPr>
        <w:pStyle w:val="Subject"/>
        <w:spacing w:before="120" w:line="240" w:lineRule="auto"/>
        <w:rPr>
          <w:rFonts w:ascii="Times New Roman" w:hAnsi="Times New Roman"/>
          <w:bCs/>
          <w:smallCaps w:val="0"/>
          <w:szCs w:val="24"/>
          <w:lang w:val="en-US"/>
        </w:rPr>
      </w:pPr>
      <w:r w:rsidRPr="00AC107A">
        <w:rPr>
          <w:rFonts w:ascii="Times New Roman" w:hAnsi="Times New Roman"/>
          <w:bCs/>
          <w:smallCaps w:val="0"/>
          <w:szCs w:val="24"/>
          <w:lang w:val="en-US"/>
        </w:rPr>
        <w:t>Environment Protection and Biodiversity Conservation (Recovery Plans) Revocation Instrument 2024</w:t>
      </w:r>
    </w:p>
    <w:p w14:paraId="478CF8FF" w14:textId="490A9E13" w:rsidR="00D13D06" w:rsidRPr="00AC107A" w:rsidRDefault="00D13D06" w:rsidP="00D13D06">
      <w:pPr>
        <w:spacing w:before="120" w:after="120"/>
        <w:jc w:val="center"/>
        <w:rPr>
          <w:b/>
          <w:bCs/>
        </w:rPr>
      </w:pPr>
      <w:r w:rsidRPr="00AC107A">
        <w:rPr>
          <w:b/>
          <w:bCs/>
        </w:rPr>
        <w:t xml:space="preserve">(Issued under the Authority of </w:t>
      </w:r>
      <w:r w:rsidR="007C614A" w:rsidRPr="00AC107A">
        <w:rPr>
          <w:b/>
          <w:bCs/>
        </w:rPr>
        <w:t xml:space="preserve">the Delegate of </w:t>
      </w:r>
      <w:r w:rsidRPr="00AC107A">
        <w:rPr>
          <w:b/>
          <w:bCs/>
        </w:rPr>
        <w:t>the Minister for the Environment a</w:t>
      </w:r>
      <w:r w:rsidR="007F14D6" w:rsidRPr="00AC107A">
        <w:rPr>
          <w:b/>
          <w:bCs/>
        </w:rPr>
        <w:t>nd Water</w:t>
      </w:r>
      <w:r w:rsidRPr="00AC107A">
        <w:rPr>
          <w:b/>
          <w:bCs/>
        </w:rPr>
        <w:t>)</w:t>
      </w:r>
    </w:p>
    <w:p w14:paraId="2AFA254E" w14:textId="77777777" w:rsidR="005C314E" w:rsidRPr="00AC107A" w:rsidRDefault="005C314E" w:rsidP="005C314E">
      <w:pPr>
        <w:spacing w:before="120" w:after="120"/>
        <w:rPr>
          <w:b/>
          <w:bCs/>
        </w:rPr>
      </w:pPr>
    </w:p>
    <w:p w14:paraId="262CD7F0" w14:textId="251C5ED7" w:rsidR="003C335A" w:rsidRPr="00AC107A" w:rsidRDefault="006A15FC">
      <w:r w:rsidRPr="00AC107A">
        <w:t>The</w:t>
      </w:r>
      <w:r w:rsidRPr="00AC107A">
        <w:rPr>
          <w:i/>
          <w:iCs/>
        </w:rPr>
        <w:t xml:space="preserve"> Environment Protection and Biodiversity Conservation Act 1999</w:t>
      </w:r>
      <w:r w:rsidRPr="00AC107A">
        <w:t xml:space="preserve"> (</w:t>
      </w:r>
      <w:r w:rsidR="00F4307F" w:rsidRPr="00AC107A">
        <w:t xml:space="preserve">the </w:t>
      </w:r>
      <w:r w:rsidRPr="00AC107A">
        <w:t>Act) provides for the protection of the environment and conservation of biodiversity, including the protection and conservation of threatened species and ecological communities.</w:t>
      </w:r>
    </w:p>
    <w:p w14:paraId="1BF5B8C2" w14:textId="77777777" w:rsidR="005C314E" w:rsidRPr="00AC107A" w:rsidRDefault="005C314E"/>
    <w:p w14:paraId="6A1E93F4" w14:textId="50BA94B7" w:rsidR="00DE193F" w:rsidRPr="00AC107A" w:rsidRDefault="00DE193F" w:rsidP="007A0C61">
      <w:pPr>
        <w:rPr>
          <w:rFonts w:eastAsia="Calibri"/>
          <w:b/>
          <w:bCs/>
          <w:lang w:eastAsia="en-AU"/>
        </w:rPr>
      </w:pPr>
      <w:r w:rsidRPr="00AC107A">
        <w:rPr>
          <w:rFonts w:eastAsia="Calibri"/>
          <w:b/>
          <w:bCs/>
          <w:lang w:eastAsia="en-AU"/>
        </w:rPr>
        <w:t>Legislative Authority</w:t>
      </w:r>
    </w:p>
    <w:p w14:paraId="5663D31F" w14:textId="77777777" w:rsidR="007A0C61" w:rsidRPr="00AC107A" w:rsidRDefault="007A0C61" w:rsidP="007A0C61">
      <w:pPr>
        <w:rPr>
          <w:rFonts w:eastAsia="Calibri"/>
          <w:lang w:eastAsia="en-AU"/>
        </w:rPr>
      </w:pPr>
    </w:p>
    <w:p w14:paraId="667EE903" w14:textId="70145092" w:rsidR="00DE193F" w:rsidRPr="00AC107A" w:rsidRDefault="00767765" w:rsidP="007A0C61">
      <w:pPr>
        <w:rPr>
          <w:rFonts w:eastAsia="Calibri"/>
          <w:lang w:eastAsia="en-AU"/>
        </w:rPr>
      </w:pPr>
      <w:r w:rsidRPr="00AC107A">
        <w:rPr>
          <w:rFonts w:eastAsia="Calibri"/>
          <w:lang w:eastAsia="en-AU"/>
        </w:rPr>
        <w:t>Part 13, Division 5, Subdivision A of the Act provides for the making, or adoption, of recovery plans for listed threatened species or ecological communities, which bind the Commonwealth and Commonwealth agencies.</w:t>
      </w:r>
    </w:p>
    <w:p w14:paraId="1CDF3ADF" w14:textId="77777777" w:rsidR="00767765" w:rsidRPr="00AC107A" w:rsidRDefault="00767765" w:rsidP="007A0C61">
      <w:pPr>
        <w:rPr>
          <w:rFonts w:eastAsia="Calibri"/>
          <w:lang w:eastAsia="en-AU"/>
        </w:rPr>
      </w:pPr>
    </w:p>
    <w:p w14:paraId="2AA0C45D" w14:textId="445BB43B" w:rsidR="00E23234" w:rsidRPr="00AC107A" w:rsidRDefault="00673D62" w:rsidP="007A0C61">
      <w:pPr>
        <w:rPr>
          <w:rFonts w:eastAsia="Calibri"/>
          <w:lang w:eastAsia="en-AU"/>
        </w:rPr>
      </w:pPr>
      <w:r w:rsidRPr="00AC107A">
        <w:rPr>
          <w:rFonts w:eastAsia="Calibri"/>
          <w:lang w:eastAsia="en-AU"/>
        </w:rPr>
        <w:t>S</w:t>
      </w:r>
      <w:r w:rsidR="00FA7661" w:rsidRPr="00AC107A">
        <w:rPr>
          <w:rFonts w:eastAsia="Calibri"/>
          <w:lang w:eastAsia="en-AU"/>
        </w:rPr>
        <w:t>ubs</w:t>
      </w:r>
      <w:r w:rsidRPr="00AC107A">
        <w:rPr>
          <w:rFonts w:eastAsia="Calibri"/>
          <w:lang w:eastAsia="en-AU"/>
        </w:rPr>
        <w:t>ection 283A</w:t>
      </w:r>
      <w:r w:rsidR="00FA7661" w:rsidRPr="00AC107A">
        <w:rPr>
          <w:rFonts w:eastAsia="Calibri"/>
          <w:lang w:eastAsia="en-AU"/>
        </w:rPr>
        <w:t>(1)</w:t>
      </w:r>
      <w:r w:rsidRPr="00AC107A">
        <w:rPr>
          <w:rFonts w:eastAsia="Calibri"/>
          <w:lang w:eastAsia="en-AU"/>
        </w:rPr>
        <w:t xml:space="preserve"> of the Act </w:t>
      </w:r>
      <w:r w:rsidR="00FA7661" w:rsidRPr="00AC107A">
        <w:rPr>
          <w:rFonts w:eastAsia="Calibri"/>
          <w:lang w:eastAsia="en-AU"/>
        </w:rPr>
        <w:t>provides that the Minister may, by legislative instrument, revoke a recovery plan for a listed threatened species or a listed threatened ecological community if the Minister decides under section 269AA not to have a recovery plan for the species or community</w:t>
      </w:r>
      <w:r w:rsidRPr="00AC107A">
        <w:rPr>
          <w:rFonts w:eastAsia="Calibri"/>
          <w:lang w:eastAsia="en-AU"/>
        </w:rPr>
        <w:t>.</w:t>
      </w:r>
    </w:p>
    <w:p w14:paraId="0E4FB099" w14:textId="77777777" w:rsidR="000502EE" w:rsidRPr="00AC107A" w:rsidRDefault="000502EE" w:rsidP="006356C4">
      <w:pPr>
        <w:rPr>
          <w:b/>
          <w:bCs/>
          <w:lang w:eastAsia="en-AU"/>
        </w:rPr>
      </w:pPr>
    </w:p>
    <w:p w14:paraId="614CEF4B" w14:textId="58461866" w:rsidR="00F73828" w:rsidRPr="00AC107A" w:rsidRDefault="000502EE" w:rsidP="006356C4">
      <w:pPr>
        <w:keepNext/>
        <w:spacing w:after="200" w:line="276" w:lineRule="auto"/>
      </w:pPr>
      <w:r w:rsidRPr="00AC107A">
        <w:rPr>
          <w:rFonts w:eastAsia="Calibri"/>
          <w:b/>
          <w:bCs/>
          <w:lang w:eastAsia="en-AU"/>
        </w:rPr>
        <w:t>Purpose of the Instrument</w:t>
      </w:r>
    </w:p>
    <w:p w14:paraId="2A48362D" w14:textId="4AF02356" w:rsidR="003808DD" w:rsidRPr="00AC107A" w:rsidRDefault="003808DD">
      <w:r w:rsidRPr="00AC107A">
        <w:t>On 28 March 2022, t</w:t>
      </w:r>
      <w:r w:rsidR="00BD4416" w:rsidRPr="00AC107A">
        <w:t>he</w:t>
      </w:r>
      <w:r w:rsidR="6B9394A3" w:rsidRPr="00AC107A">
        <w:t xml:space="preserve"> former</w:t>
      </w:r>
      <w:r w:rsidR="00BD4416" w:rsidRPr="00AC107A">
        <w:t xml:space="preserve"> Minister</w:t>
      </w:r>
      <w:r w:rsidR="06127F53" w:rsidRPr="00AC107A">
        <w:t xml:space="preserve"> for </w:t>
      </w:r>
      <w:r w:rsidR="00EE5630" w:rsidRPr="00AC107A">
        <w:t xml:space="preserve">the </w:t>
      </w:r>
      <w:r w:rsidR="06127F53" w:rsidRPr="00AC107A">
        <w:t>Environment</w:t>
      </w:r>
      <w:r w:rsidR="00BD4416" w:rsidRPr="00AC107A">
        <w:t xml:space="preserve"> </w:t>
      </w:r>
      <w:r w:rsidR="00B20B93" w:rsidRPr="00AC107A">
        <w:t xml:space="preserve">(the former Minister) </w:t>
      </w:r>
      <w:r w:rsidR="00BD4416" w:rsidRPr="00AC107A">
        <w:t xml:space="preserve">made </w:t>
      </w:r>
      <w:r w:rsidR="00BD4416" w:rsidRPr="00AC107A">
        <w:rPr>
          <w:color w:val="000000" w:themeColor="text1"/>
        </w:rPr>
        <w:t>decision</w:t>
      </w:r>
      <w:r w:rsidRPr="00AC107A">
        <w:rPr>
          <w:color w:val="000000" w:themeColor="text1"/>
        </w:rPr>
        <w:t>s</w:t>
      </w:r>
      <w:r w:rsidR="00BD4416" w:rsidRPr="00AC107A">
        <w:rPr>
          <w:color w:val="000000" w:themeColor="text1"/>
        </w:rPr>
        <w:t xml:space="preserve"> under section 269AA of the Act not to have recovery plans</w:t>
      </w:r>
      <w:r w:rsidR="00BD4416" w:rsidRPr="00AC107A">
        <w:t xml:space="preserve"> </w:t>
      </w:r>
      <w:r w:rsidR="00BD4416" w:rsidRPr="00AC107A">
        <w:rPr>
          <w:rFonts w:eastAsia="Calibri"/>
          <w:lang w:eastAsia="en-AU"/>
        </w:rPr>
        <w:t xml:space="preserve">for </w:t>
      </w:r>
      <w:r w:rsidRPr="00AC107A">
        <w:rPr>
          <w:rFonts w:eastAsia="Calibri"/>
          <w:lang w:eastAsia="en-AU"/>
        </w:rPr>
        <w:t>176</w:t>
      </w:r>
      <w:r w:rsidR="00BD4416" w:rsidRPr="00AC107A">
        <w:rPr>
          <w:rFonts w:eastAsia="Calibri"/>
          <w:lang w:eastAsia="en-AU"/>
        </w:rPr>
        <w:t xml:space="preserve"> </w:t>
      </w:r>
      <w:r w:rsidR="00BD4416" w:rsidRPr="00AC107A">
        <w:t>species</w:t>
      </w:r>
      <w:r w:rsidR="00E21713" w:rsidRPr="00AC107A">
        <w:t xml:space="preserve"> and ecological communities</w:t>
      </w:r>
      <w:r w:rsidR="00BD4416" w:rsidRPr="00AC107A">
        <w:t>.</w:t>
      </w:r>
      <w:r w:rsidRPr="00AC107A">
        <w:t xml:space="preserve"> Of the total 176 species</w:t>
      </w:r>
      <w:r w:rsidR="00E21713" w:rsidRPr="00AC107A">
        <w:t xml:space="preserve"> and ecological communities</w:t>
      </w:r>
      <w:r w:rsidRPr="00AC107A">
        <w:t>, 79 did not have a recovery plan</w:t>
      </w:r>
      <w:r w:rsidR="00EE5630" w:rsidRPr="00AC107A">
        <w:t>.</w:t>
      </w:r>
    </w:p>
    <w:p w14:paraId="76D64F29" w14:textId="77777777" w:rsidR="003808DD" w:rsidRPr="00AC107A" w:rsidRDefault="003808DD"/>
    <w:p w14:paraId="18FE76CE" w14:textId="6B9EC2ED" w:rsidR="00537F7D" w:rsidRPr="00AC107A" w:rsidRDefault="00D03AD0">
      <w:r w:rsidRPr="00AC107A">
        <w:t xml:space="preserve">The purpose of this </w:t>
      </w:r>
      <w:r w:rsidR="00753B24" w:rsidRPr="00AC107A">
        <w:t>i</w:t>
      </w:r>
      <w:r w:rsidRPr="00AC107A">
        <w:t>nstrument is to revoke</w:t>
      </w:r>
      <w:r w:rsidR="00753B24" w:rsidRPr="00AC107A">
        <w:t xml:space="preserve"> recovery plans </w:t>
      </w:r>
      <w:r w:rsidR="00EE5630" w:rsidRPr="00AC107A">
        <w:t xml:space="preserve">in place </w:t>
      </w:r>
      <w:r w:rsidR="00753B24" w:rsidRPr="00AC107A">
        <w:t xml:space="preserve">for </w:t>
      </w:r>
      <w:r w:rsidR="00BD4416" w:rsidRPr="00AC107A">
        <w:t>the</w:t>
      </w:r>
      <w:r w:rsidR="003808DD" w:rsidRPr="00AC107A">
        <w:t xml:space="preserve"> remaining</w:t>
      </w:r>
      <w:r w:rsidR="00BD4416" w:rsidRPr="00AC107A">
        <w:t xml:space="preserve"> </w:t>
      </w:r>
      <w:r w:rsidR="00753B24" w:rsidRPr="00AC107A">
        <w:t xml:space="preserve">97 species and ecological communities </w:t>
      </w:r>
      <w:r w:rsidR="00753B24" w:rsidRPr="00AC107A">
        <w:rPr>
          <w:color w:val="000000" w:themeColor="text1"/>
        </w:rPr>
        <w:t xml:space="preserve">under subsection 283A(1) of the Act </w:t>
      </w:r>
      <w:r w:rsidR="00BD4416" w:rsidRPr="00AC107A">
        <w:rPr>
          <w:color w:val="000000" w:themeColor="text1"/>
        </w:rPr>
        <w:t xml:space="preserve">to give effect to the </w:t>
      </w:r>
      <w:r w:rsidR="00174D95" w:rsidRPr="00AC107A">
        <w:rPr>
          <w:color w:val="000000" w:themeColor="text1"/>
        </w:rPr>
        <w:t>former</w:t>
      </w:r>
      <w:r w:rsidR="00B20B93" w:rsidRPr="00AC107A">
        <w:rPr>
          <w:color w:val="000000" w:themeColor="text1"/>
        </w:rPr>
        <w:t xml:space="preserve"> </w:t>
      </w:r>
      <w:r w:rsidR="00BD4416" w:rsidRPr="00AC107A">
        <w:rPr>
          <w:color w:val="000000" w:themeColor="text1"/>
        </w:rPr>
        <w:t>Minister’s decision</w:t>
      </w:r>
      <w:r w:rsidR="00174D95" w:rsidRPr="00AC107A">
        <w:rPr>
          <w:color w:val="000000" w:themeColor="text1"/>
        </w:rPr>
        <w:t>s</w:t>
      </w:r>
      <w:r w:rsidR="00BD4416" w:rsidRPr="00AC107A">
        <w:rPr>
          <w:color w:val="000000" w:themeColor="text1"/>
        </w:rPr>
        <w:t>.</w:t>
      </w:r>
      <w:r w:rsidR="00FE3143" w:rsidRPr="00AC107A">
        <w:rPr>
          <w:color w:val="000000" w:themeColor="text1"/>
        </w:rPr>
        <w:t xml:space="preserve"> The </w:t>
      </w:r>
      <w:r w:rsidR="00EE5630" w:rsidRPr="00AC107A">
        <w:rPr>
          <w:color w:val="000000" w:themeColor="text1"/>
        </w:rPr>
        <w:t xml:space="preserve">affected </w:t>
      </w:r>
      <w:r w:rsidR="00FE3143" w:rsidRPr="00AC107A">
        <w:rPr>
          <w:color w:val="000000" w:themeColor="text1"/>
        </w:rPr>
        <w:t xml:space="preserve">recovery plans </w:t>
      </w:r>
      <w:r w:rsidR="00A17944" w:rsidRPr="00AC107A">
        <w:t xml:space="preserve">were adopted or made under subsection 269A of the </w:t>
      </w:r>
      <w:r w:rsidR="006F505F" w:rsidRPr="00AC107A">
        <w:t>Act and</w:t>
      </w:r>
      <w:r w:rsidR="00A17944" w:rsidRPr="00AC107A">
        <w:rPr>
          <w:color w:val="000000" w:themeColor="text1"/>
        </w:rPr>
        <w:t xml:space="preserve"> </w:t>
      </w:r>
      <w:r w:rsidR="00FE3143" w:rsidRPr="00AC107A">
        <w:rPr>
          <w:color w:val="000000" w:themeColor="text1"/>
        </w:rPr>
        <w:t>are set out in Schedule 1 to this instrument.</w:t>
      </w:r>
    </w:p>
    <w:p w14:paraId="064AE8CD" w14:textId="77777777" w:rsidR="00E23234" w:rsidRPr="00AC107A" w:rsidRDefault="00E23234">
      <w:pPr>
        <w:rPr>
          <w:b/>
          <w:bCs/>
        </w:rPr>
      </w:pPr>
    </w:p>
    <w:p w14:paraId="689F4DA8" w14:textId="1C04CBAE" w:rsidR="001D4803" w:rsidRPr="00AC107A" w:rsidRDefault="52559084" w:rsidP="6BD986DE">
      <w:pPr>
        <w:rPr>
          <w:b/>
          <w:bCs/>
        </w:rPr>
      </w:pPr>
      <w:r w:rsidRPr="00AC107A">
        <w:rPr>
          <w:b/>
          <w:bCs/>
        </w:rPr>
        <w:t>Background</w:t>
      </w:r>
    </w:p>
    <w:p w14:paraId="50BF2D9C" w14:textId="77777777" w:rsidR="001D4803" w:rsidRPr="00AC107A" w:rsidRDefault="001D4803" w:rsidP="6BD986DE">
      <w:pPr>
        <w:rPr>
          <w:b/>
          <w:bCs/>
        </w:rPr>
      </w:pPr>
    </w:p>
    <w:p w14:paraId="5F6F6835" w14:textId="75B00E21" w:rsidR="00A764B2" w:rsidRPr="00AC107A" w:rsidRDefault="00C85974">
      <w:r w:rsidRPr="00AC107A">
        <w:t xml:space="preserve">The </w:t>
      </w:r>
      <w:r w:rsidR="00D4674F" w:rsidRPr="00AC107A">
        <w:t xml:space="preserve">former </w:t>
      </w:r>
      <w:r w:rsidR="00FD4EB0" w:rsidRPr="00AC107A">
        <w:t xml:space="preserve">Minister’s </w:t>
      </w:r>
      <w:r w:rsidRPr="00AC107A">
        <w:t>decision</w:t>
      </w:r>
      <w:r w:rsidR="72FB415F" w:rsidRPr="00AC107A">
        <w:t>s</w:t>
      </w:r>
      <w:r w:rsidRPr="00AC107A">
        <w:t xml:space="preserve"> to not have recovery plan</w:t>
      </w:r>
      <w:r w:rsidR="00FD4EB0" w:rsidRPr="00AC107A">
        <w:t>s</w:t>
      </w:r>
      <w:r w:rsidRPr="00AC107A">
        <w:t xml:space="preserve"> for </w:t>
      </w:r>
      <w:r w:rsidR="00604752" w:rsidRPr="00AC107A">
        <w:t xml:space="preserve">97 species </w:t>
      </w:r>
      <w:r w:rsidR="00E21713" w:rsidRPr="00AC107A">
        <w:t xml:space="preserve">and ecological communities </w:t>
      </w:r>
      <w:r w:rsidR="00EE5630" w:rsidRPr="00AC107A">
        <w:t xml:space="preserve">were made </w:t>
      </w:r>
      <w:r w:rsidR="00FD4EB0" w:rsidRPr="00AC107A">
        <w:t>under</w:t>
      </w:r>
      <w:r w:rsidR="00604752" w:rsidRPr="00AC107A">
        <w:t xml:space="preserve"> section 269AA of the Act, </w:t>
      </w:r>
      <w:r w:rsidR="00EE5630" w:rsidRPr="00AC107A">
        <w:t xml:space="preserve">which </w:t>
      </w:r>
      <w:r w:rsidR="00375646" w:rsidRPr="00AC107A">
        <w:t>required</w:t>
      </w:r>
      <w:r w:rsidR="00EE5630" w:rsidRPr="00AC107A">
        <w:t xml:space="preserve"> </w:t>
      </w:r>
      <w:r w:rsidR="00053B4F" w:rsidRPr="00AC107A">
        <w:t xml:space="preserve">the former Minister </w:t>
      </w:r>
      <w:r w:rsidR="00EE5630" w:rsidRPr="00AC107A">
        <w:t xml:space="preserve">to </w:t>
      </w:r>
      <w:r w:rsidR="00604752" w:rsidRPr="00AC107A">
        <w:t>tak</w:t>
      </w:r>
      <w:r w:rsidR="00EE5630" w:rsidRPr="00AC107A">
        <w:t>e</w:t>
      </w:r>
      <w:r w:rsidR="00604752" w:rsidRPr="00AC107A">
        <w:t xml:space="preserve"> account of comments received in response to a notice inviting comments.</w:t>
      </w:r>
      <w:r w:rsidR="006D240D" w:rsidRPr="00AC107A">
        <w:t xml:space="preserve"> </w:t>
      </w:r>
    </w:p>
    <w:p w14:paraId="382BCB13" w14:textId="77777777" w:rsidR="007B7988" w:rsidRPr="00AC107A" w:rsidRDefault="007B7988" w:rsidP="0040550D">
      <w:pPr>
        <w:pStyle w:val="NormalWeb"/>
        <w:spacing w:before="0" w:beforeAutospacing="0" w:after="0" w:afterAutospacing="0"/>
      </w:pPr>
    </w:p>
    <w:p w14:paraId="6CF3E923" w14:textId="7E8901B1" w:rsidR="0040550D" w:rsidRPr="00AC107A" w:rsidRDefault="0040550D" w:rsidP="0040550D">
      <w:pPr>
        <w:pStyle w:val="NormalWeb"/>
        <w:spacing w:before="0" w:beforeAutospacing="0" w:after="0" w:afterAutospacing="0"/>
        <w:rPr>
          <w:color w:val="000000"/>
        </w:rPr>
      </w:pPr>
      <w:r w:rsidRPr="00AC107A">
        <w:t xml:space="preserve">Regulation </w:t>
      </w:r>
      <w:r w:rsidRPr="00AC107A">
        <w:rPr>
          <w:color w:val="000000"/>
        </w:rPr>
        <w:t xml:space="preserve">7.10A </w:t>
      </w:r>
      <w:r w:rsidR="009A6B5C" w:rsidRPr="00AC107A">
        <w:t xml:space="preserve">of the </w:t>
      </w:r>
      <w:r w:rsidR="009A6B5C" w:rsidRPr="00AC107A">
        <w:rPr>
          <w:i/>
          <w:iCs/>
        </w:rPr>
        <w:t>Environment Protection and Biodiversity Conservation Regulations 2000</w:t>
      </w:r>
      <w:r w:rsidR="009A6B5C" w:rsidRPr="00AC107A">
        <w:t xml:space="preserve"> (the Regulations) </w:t>
      </w:r>
      <w:r w:rsidRPr="00AC107A">
        <w:rPr>
          <w:color w:val="000000"/>
        </w:rPr>
        <w:t xml:space="preserve">outlines the requirements relating to the publication of a notice, that is required to be published under paragraph 269AA(5)(b) of the Act, inviting comments when the Minister intends to make a subsequent recovery plan decision that there should not be a recovery plan for a species or </w:t>
      </w:r>
      <w:r w:rsidR="00E21713" w:rsidRPr="00AC107A">
        <w:rPr>
          <w:color w:val="000000"/>
        </w:rPr>
        <w:t xml:space="preserve">ecological </w:t>
      </w:r>
      <w:r w:rsidRPr="00AC107A">
        <w:rPr>
          <w:color w:val="000000"/>
        </w:rPr>
        <w:t xml:space="preserve">community. The notice, required by paragraph 269AA(5)(b) of the Act, must be published at an appropriate </w:t>
      </w:r>
      <w:r w:rsidR="007B7988" w:rsidRPr="00AC107A">
        <w:rPr>
          <w:color w:val="000000"/>
        </w:rPr>
        <w:t>location</w:t>
      </w:r>
      <w:r w:rsidRPr="00AC107A">
        <w:rPr>
          <w:color w:val="000000"/>
        </w:rPr>
        <w:t xml:space="preserve"> on the </w:t>
      </w:r>
      <w:r w:rsidR="00F32FFB" w:rsidRPr="00AC107A">
        <w:rPr>
          <w:color w:val="000000"/>
        </w:rPr>
        <w:lastRenderedPageBreak/>
        <w:t>i</w:t>
      </w:r>
      <w:r w:rsidRPr="00AC107A">
        <w:rPr>
          <w:color w:val="000000"/>
        </w:rPr>
        <w:t>nternet and in a daily newspaper that circulates in the relevant State or self-governing Territory</w:t>
      </w:r>
      <w:r w:rsidR="007B7988" w:rsidRPr="00AC107A">
        <w:rPr>
          <w:color w:val="000000"/>
        </w:rPr>
        <w:t>.</w:t>
      </w:r>
      <w:r w:rsidRPr="00AC107A">
        <w:rPr>
          <w:color w:val="000000"/>
        </w:rPr>
        <w:t xml:space="preserve"> Regulation 7.10A also provides that comments must be made in writing or electronically.</w:t>
      </w:r>
    </w:p>
    <w:p w14:paraId="6443E69D" w14:textId="77777777" w:rsidR="0040550D" w:rsidRPr="00AC107A" w:rsidRDefault="0040550D" w:rsidP="0040550D">
      <w:pPr>
        <w:pStyle w:val="NormalWeb"/>
        <w:spacing w:before="0" w:beforeAutospacing="0" w:after="0" w:afterAutospacing="0"/>
        <w:rPr>
          <w:color w:val="000000"/>
        </w:rPr>
      </w:pPr>
      <w:r w:rsidRPr="00AC107A">
        <w:rPr>
          <w:color w:val="000000"/>
        </w:rPr>
        <w:t> </w:t>
      </w:r>
    </w:p>
    <w:p w14:paraId="3E3762CB" w14:textId="2CFA54DA" w:rsidR="007B7988" w:rsidRPr="00AC107A" w:rsidRDefault="007B7988">
      <w:pPr>
        <w:rPr>
          <w:color w:val="000000"/>
        </w:rPr>
      </w:pPr>
      <w:r w:rsidRPr="00AC107A">
        <w:rPr>
          <w:color w:val="000000"/>
        </w:rPr>
        <w:t xml:space="preserve">Regulation 7.10B </w:t>
      </w:r>
      <w:r w:rsidR="009A6B5C" w:rsidRPr="00AC107A">
        <w:rPr>
          <w:color w:val="000000"/>
        </w:rPr>
        <w:t xml:space="preserve">of the Regulations </w:t>
      </w:r>
      <w:r w:rsidRPr="00AC107A">
        <w:rPr>
          <w:color w:val="000000"/>
        </w:rPr>
        <w:t xml:space="preserve">specifies that the general publication requirements of publishing the initial and every subsequent recovery plan decision, under subsection 269AA(9) of the Act, are satisfied by publishing the decisions at an appropriate location on the </w:t>
      </w:r>
      <w:r w:rsidR="00F32FFB" w:rsidRPr="00AC107A">
        <w:rPr>
          <w:color w:val="000000"/>
        </w:rPr>
        <w:t>i</w:t>
      </w:r>
      <w:r w:rsidRPr="00AC107A">
        <w:rPr>
          <w:color w:val="000000"/>
        </w:rPr>
        <w:t>nternet.</w:t>
      </w:r>
    </w:p>
    <w:p w14:paraId="5172A9C3" w14:textId="088D1DB1" w:rsidR="008E7E5C" w:rsidRPr="00AC107A" w:rsidRDefault="009055DB" w:rsidP="006356C4">
      <w:pPr>
        <w:pStyle w:val="NormalWeb"/>
      </w:pPr>
      <w:r w:rsidRPr="00AC107A">
        <w:t xml:space="preserve">The publication requirements set out under regulations 7.10A and 7.10B of the Regulations </w:t>
      </w:r>
      <w:r w:rsidR="00EE5630" w:rsidRPr="00AC107A">
        <w:t>were</w:t>
      </w:r>
      <w:r w:rsidRPr="00AC107A">
        <w:t xml:space="preserve"> met.</w:t>
      </w:r>
      <w:r w:rsidR="00F32FFB" w:rsidRPr="00AC107A">
        <w:t xml:space="preserve"> To satisfy the requirements under regulation 7.10A, a notice inviting comment from the public was published in </w:t>
      </w:r>
      <w:r w:rsidR="00A5202B" w:rsidRPr="00AC107A">
        <w:rPr>
          <w:i/>
          <w:iCs/>
        </w:rPr>
        <w:t>T</w:t>
      </w:r>
      <w:r w:rsidR="00F32FFB" w:rsidRPr="00AC107A">
        <w:rPr>
          <w:i/>
          <w:iCs/>
        </w:rPr>
        <w:t>he Australian</w:t>
      </w:r>
      <w:r w:rsidR="00F32FFB" w:rsidRPr="00AC107A">
        <w:t xml:space="preserve"> newspaper and on the former </w:t>
      </w:r>
      <w:r w:rsidR="00A5202B" w:rsidRPr="00AC107A">
        <w:t xml:space="preserve">Department of Agriculture, </w:t>
      </w:r>
      <w:proofErr w:type="gramStart"/>
      <w:r w:rsidR="00A5202B" w:rsidRPr="00AC107A">
        <w:t>Water</w:t>
      </w:r>
      <w:proofErr w:type="gramEnd"/>
      <w:r w:rsidR="00A5202B" w:rsidRPr="00AC107A">
        <w:t xml:space="preserve"> and the Environment</w:t>
      </w:r>
      <w:r w:rsidR="00F32FFB" w:rsidRPr="00AC107A">
        <w:t xml:space="preserve"> website with instructions on how to provide comment. Comments were received both electronically and by written letter. </w:t>
      </w:r>
    </w:p>
    <w:p w14:paraId="652AC3E4" w14:textId="50A55A07" w:rsidR="00375646" w:rsidRPr="00AC107A" w:rsidRDefault="00F32FFB" w:rsidP="006356C4">
      <w:pPr>
        <w:pStyle w:val="NormalWeb"/>
      </w:pPr>
      <w:r w:rsidRPr="00AC107A">
        <w:t xml:space="preserve">To satisfy the requirements under regulation 7.10B, notice of recovery plan decisions was published on the former department’s website at the time of the former Minister’s decision. Notice was also provided on </w:t>
      </w:r>
      <w:r w:rsidR="00A5202B" w:rsidRPr="00AC107A">
        <w:t xml:space="preserve">the profile for each affected </w:t>
      </w:r>
      <w:r w:rsidRPr="00AC107A">
        <w:t>species on the Species Profile and Threats database</w:t>
      </w:r>
      <w:r w:rsidR="00A5202B" w:rsidRPr="00AC107A">
        <w:t xml:space="preserve"> which is publicly available</w:t>
      </w:r>
      <w:r w:rsidRPr="00AC107A">
        <w:t>.</w:t>
      </w:r>
      <w:r w:rsidR="00375646" w:rsidRPr="00AC107A">
        <w:t xml:space="preserve"> </w:t>
      </w:r>
    </w:p>
    <w:p w14:paraId="5FBB4DE9" w14:textId="786BDF02" w:rsidR="009A6B5C" w:rsidRPr="00AC107A" w:rsidRDefault="00D4674F" w:rsidP="006356C4">
      <w:pPr>
        <w:pStyle w:val="NormalWeb"/>
      </w:pPr>
      <w:r w:rsidRPr="00AC107A">
        <w:t xml:space="preserve">In making decisions in relation to the </w:t>
      </w:r>
      <w:r w:rsidR="00375646" w:rsidRPr="00AC107A">
        <w:t xml:space="preserve">affected </w:t>
      </w:r>
      <w:r w:rsidRPr="00AC107A">
        <w:t xml:space="preserve">species, the former Minister considered the advice of the Threatened Species Scientific Committee and comments received during public </w:t>
      </w:r>
      <w:r w:rsidR="006F505F" w:rsidRPr="00AC107A">
        <w:t>consultation and</w:t>
      </w:r>
      <w:r w:rsidR="00F444AD" w:rsidRPr="00AC107A">
        <w:t xml:space="preserve"> </w:t>
      </w:r>
      <w:r w:rsidR="00EE5630" w:rsidRPr="00AC107A">
        <w:t>accepted</w:t>
      </w:r>
      <w:r w:rsidRPr="00AC107A">
        <w:t xml:space="preserve"> the Committee’s advice in all instances. The former Minister then </w:t>
      </w:r>
      <w:r w:rsidR="008E7E5C" w:rsidRPr="00AC107A">
        <w:t>decided not to have a recovery plan for</w:t>
      </w:r>
      <w:r w:rsidRPr="00AC107A">
        <w:t xml:space="preserve"> 176 species</w:t>
      </w:r>
      <w:r w:rsidR="00E21713" w:rsidRPr="00AC107A">
        <w:t xml:space="preserve"> and ecological communities</w:t>
      </w:r>
      <w:r w:rsidR="008E7E5C" w:rsidRPr="00AC107A">
        <w:t xml:space="preserve">, including 97 species </w:t>
      </w:r>
      <w:r w:rsidR="00E21713" w:rsidRPr="00AC107A">
        <w:t xml:space="preserve">and ecological communities </w:t>
      </w:r>
      <w:r w:rsidR="008E7E5C" w:rsidRPr="00AC107A">
        <w:t xml:space="preserve">for which a </w:t>
      </w:r>
      <w:r w:rsidRPr="00AC107A">
        <w:t>recovery plan</w:t>
      </w:r>
      <w:r w:rsidR="008E7E5C" w:rsidRPr="00AC107A">
        <w:t xml:space="preserve"> had previously been made</w:t>
      </w:r>
      <w:r w:rsidRPr="00AC107A">
        <w:t xml:space="preserve">. The former Minister’s reasons were published at the time of </w:t>
      </w:r>
      <w:r w:rsidR="00EE5630" w:rsidRPr="00AC107A">
        <w:t xml:space="preserve">her </w:t>
      </w:r>
      <w:r w:rsidRPr="00AC107A">
        <w:t>decision</w:t>
      </w:r>
      <w:r w:rsidR="00EE5630" w:rsidRPr="00AC107A">
        <w:t>.</w:t>
      </w:r>
    </w:p>
    <w:p w14:paraId="1E894269" w14:textId="0F6BE740" w:rsidR="0086089D" w:rsidRPr="00AC107A" w:rsidRDefault="0086089D" w:rsidP="006356C4">
      <w:pPr>
        <w:pStyle w:val="NormalWeb"/>
      </w:pPr>
      <w:r w:rsidRPr="00AC107A">
        <w:t xml:space="preserve">Recovery plans are exempt from sunsetting in accordance with item 1 of section 11 of the </w:t>
      </w:r>
      <w:r w:rsidRPr="00AC107A">
        <w:rPr>
          <w:i/>
          <w:iCs/>
        </w:rPr>
        <w:t>Legislation (Exemptions and Other Matters) Regulation 2015</w:t>
      </w:r>
      <w:r w:rsidRPr="00AC107A">
        <w:t xml:space="preserve">. This is because recovery plans made under section 269A of the Act have a primary purpose of giving effect to Australia’s obligations under the </w:t>
      </w:r>
      <w:r w:rsidRPr="00AC107A">
        <w:rPr>
          <w:i/>
          <w:iCs/>
        </w:rPr>
        <w:t>Convention on Biological Diversity</w:t>
      </w:r>
      <w:r w:rsidRPr="00AC107A">
        <w:t xml:space="preserve"> [1993] ATS 32. This instrument revokes the relevant recovery plans to ensure that they cease to have effect in accordance with the former Minister’s decisions not to have recovery plans</w:t>
      </w:r>
      <w:r w:rsidR="008E7E5C" w:rsidRPr="00AC107A">
        <w:t xml:space="preserve"> for the relevant species</w:t>
      </w:r>
      <w:r w:rsidRPr="00AC107A">
        <w:t>.</w:t>
      </w:r>
    </w:p>
    <w:p w14:paraId="3D529077" w14:textId="25DBCDDF" w:rsidR="00C65D1D" w:rsidRPr="00AC107A" w:rsidRDefault="00C65D1D" w:rsidP="006356C4">
      <w:pPr>
        <w:rPr>
          <w:rFonts w:eastAsia="Calibri"/>
          <w:b/>
          <w:bCs/>
          <w:lang w:eastAsia="en-AU"/>
        </w:rPr>
      </w:pPr>
      <w:r w:rsidRPr="00AC107A">
        <w:rPr>
          <w:rFonts w:eastAsia="Calibri"/>
          <w:b/>
          <w:bCs/>
          <w:lang w:eastAsia="en-AU"/>
        </w:rPr>
        <w:t>Details</w:t>
      </w:r>
    </w:p>
    <w:p w14:paraId="6C6B0A77" w14:textId="77777777" w:rsidR="00D4674F" w:rsidRPr="00AC107A" w:rsidRDefault="00D4674F" w:rsidP="00C65D1D"/>
    <w:p w14:paraId="3E3F2D9A" w14:textId="10A81EE0" w:rsidR="00E23234" w:rsidRPr="00AC107A" w:rsidRDefault="00C65D1D" w:rsidP="00C65D1D">
      <w:r w:rsidRPr="00AC107A">
        <w:t>Details of th</w:t>
      </w:r>
      <w:r w:rsidR="00FB69AD" w:rsidRPr="00AC107A">
        <w:t>is i</w:t>
      </w:r>
      <w:r w:rsidRPr="00AC107A">
        <w:t>nstrument are set out in Attachment A.</w:t>
      </w:r>
    </w:p>
    <w:p w14:paraId="04710EF4" w14:textId="77777777" w:rsidR="00C65D1D" w:rsidRPr="00AC107A" w:rsidRDefault="00C65D1D" w:rsidP="006356C4">
      <w:pPr>
        <w:rPr>
          <w:rFonts w:eastAsia="Calibri"/>
          <w:b/>
          <w:bCs/>
          <w:lang w:eastAsia="en-AU"/>
        </w:rPr>
      </w:pPr>
    </w:p>
    <w:p w14:paraId="2873EEC3" w14:textId="63E28765" w:rsidR="00E7251A" w:rsidRPr="00AC107A" w:rsidRDefault="005167A5" w:rsidP="006356C4">
      <w:pPr>
        <w:keepNext/>
        <w:spacing w:after="200" w:line="276" w:lineRule="auto"/>
        <w:rPr>
          <w:rFonts w:eastAsia="Calibri"/>
          <w:b/>
          <w:bCs/>
          <w:lang w:eastAsia="en-AU"/>
        </w:rPr>
      </w:pPr>
      <w:r w:rsidRPr="00AC107A">
        <w:rPr>
          <w:rFonts w:eastAsia="Calibri"/>
          <w:b/>
          <w:bCs/>
          <w:lang w:eastAsia="en-AU"/>
        </w:rPr>
        <w:t>Commencement</w:t>
      </w:r>
    </w:p>
    <w:p w14:paraId="5BA696FC" w14:textId="5DDCA87A" w:rsidR="00E7251A" w:rsidRPr="00AC107A" w:rsidRDefault="006C1491" w:rsidP="005167A5">
      <w:pPr>
        <w:spacing w:after="200" w:line="276" w:lineRule="auto"/>
        <w:rPr>
          <w:rFonts w:eastAsia="Calibri"/>
          <w:lang w:eastAsia="en-AU"/>
        </w:rPr>
      </w:pPr>
      <w:r w:rsidRPr="00AC107A">
        <w:rPr>
          <w:rFonts w:eastAsia="Calibri"/>
          <w:lang w:eastAsia="en-AU"/>
        </w:rPr>
        <w:t>Th</w:t>
      </w:r>
      <w:r w:rsidR="00A764B2" w:rsidRPr="00AC107A">
        <w:rPr>
          <w:rFonts w:eastAsia="Calibri"/>
          <w:lang w:eastAsia="en-AU"/>
        </w:rPr>
        <w:t xml:space="preserve">is instrument </w:t>
      </w:r>
      <w:r w:rsidRPr="00AC107A">
        <w:rPr>
          <w:rFonts w:eastAsia="Calibri"/>
          <w:lang w:eastAsia="en-AU"/>
        </w:rPr>
        <w:t xml:space="preserve">is a </w:t>
      </w:r>
      <w:r w:rsidR="00A764B2" w:rsidRPr="00AC107A">
        <w:rPr>
          <w:rFonts w:eastAsia="Calibri"/>
          <w:lang w:eastAsia="en-AU"/>
        </w:rPr>
        <w:t>l</w:t>
      </w:r>
      <w:r w:rsidRPr="00AC107A">
        <w:rPr>
          <w:rFonts w:eastAsia="Calibri"/>
          <w:lang w:eastAsia="en-AU"/>
        </w:rPr>
        <w:t xml:space="preserve">egislative </w:t>
      </w:r>
      <w:r w:rsidR="00A764B2" w:rsidRPr="00AC107A">
        <w:rPr>
          <w:rFonts w:eastAsia="Calibri"/>
          <w:lang w:eastAsia="en-AU"/>
        </w:rPr>
        <w:t>i</w:t>
      </w:r>
      <w:r w:rsidRPr="00AC107A">
        <w:rPr>
          <w:rFonts w:eastAsia="Calibri"/>
          <w:lang w:eastAsia="en-AU"/>
        </w:rPr>
        <w:t xml:space="preserve">nstrument for the purposes of the </w:t>
      </w:r>
      <w:r w:rsidRPr="00AC107A">
        <w:rPr>
          <w:rFonts w:eastAsia="Calibri"/>
          <w:i/>
          <w:iCs/>
          <w:lang w:eastAsia="en-AU"/>
        </w:rPr>
        <w:t>Legislation Act 2003</w:t>
      </w:r>
      <w:r w:rsidRPr="00AC107A">
        <w:rPr>
          <w:rFonts w:eastAsia="Calibri"/>
          <w:lang w:eastAsia="en-AU"/>
        </w:rPr>
        <w:t xml:space="preserve">. </w:t>
      </w:r>
      <w:r w:rsidR="00A764B2" w:rsidRPr="00AC107A">
        <w:rPr>
          <w:rFonts w:eastAsia="Calibri"/>
          <w:lang w:eastAsia="en-AU"/>
        </w:rPr>
        <w:t xml:space="preserve">It commences </w:t>
      </w:r>
      <w:r w:rsidRPr="00AC107A">
        <w:rPr>
          <w:rFonts w:eastAsia="Calibri"/>
          <w:lang w:eastAsia="en-AU"/>
        </w:rPr>
        <w:t>on the day after it is registered on the Federal Register of Legislation.</w:t>
      </w:r>
    </w:p>
    <w:p w14:paraId="2552C6C6" w14:textId="75383612" w:rsidR="00830936" w:rsidRPr="00AC107A" w:rsidRDefault="00877220" w:rsidP="005167A5">
      <w:pPr>
        <w:spacing w:after="200" w:line="276" w:lineRule="auto"/>
        <w:rPr>
          <w:rFonts w:eastAsia="Calibri"/>
          <w:lang w:eastAsia="en-AU"/>
        </w:rPr>
      </w:pPr>
      <w:r w:rsidRPr="00AC107A">
        <w:rPr>
          <w:rFonts w:eastAsia="Calibri"/>
          <w:lang w:eastAsia="en-AU"/>
        </w:rPr>
        <w:t xml:space="preserve">This Instrument is compatible with the human rights and freedoms recognised or declared under section 3 of the </w:t>
      </w:r>
      <w:r w:rsidRPr="00AC107A">
        <w:rPr>
          <w:rFonts w:eastAsia="Calibri"/>
          <w:i/>
          <w:iCs/>
          <w:lang w:eastAsia="en-AU"/>
        </w:rPr>
        <w:t>Human Rights (Parliamentary Scrutiny) Act 2011</w:t>
      </w:r>
      <w:r w:rsidRPr="00AC107A">
        <w:rPr>
          <w:rFonts w:eastAsia="Calibri"/>
          <w:lang w:eastAsia="en-AU"/>
        </w:rPr>
        <w:t xml:space="preserve">. A full statement of compatibility is set out </w:t>
      </w:r>
      <w:r w:rsidR="00A73FC4" w:rsidRPr="00AC107A">
        <w:t>in Attachment B</w:t>
      </w:r>
      <w:r w:rsidRPr="00AC107A">
        <w:rPr>
          <w:rFonts w:eastAsia="Calibri"/>
          <w:lang w:eastAsia="en-AU"/>
        </w:rPr>
        <w:t>.</w:t>
      </w:r>
    </w:p>
    <w:p w14:paraId="67CC5DE9" w14:textId="77777777" w:rsidR="00830936" w:rsidRPr="00AC107A" w:rsidRDefault="00830936">
      <w:pPr>
        <w:spacing w:after="160" w:line="259" w:lineRule="auto"/>
        <w:rPr>
          <w:rFonts w:eastAsia="Calibri"/>
          <w:lang w:eastAsia="en-AU"/>
        </w:rPr>
      </w:pPr>
      <w:r w:rsidRPr="00AC107A">
        <w:rPr>
          <w:rFonts w:eastAsia="Calibri"/>
          <w:lang w:eastAsia="en-AU"/>
        </w:rPr>
        <w:br w:type="page"/>
      </w:r>
    </w:p>
    <w:p w14:paraId="23E6711B" w14:textId="77777777" w:rsidR="00830936" w:rsidRPr="00AC107A" w:rsidRDefault="00830936" w:rsidP="00830936">
      <w:pPr>
        <w:pStyle w:val="paragraph"/>
        <w:spacing w:before="0" w:beforeAutospacing="0" w:after="0" w:afterAutospacing="0"/>
        <w:jc w:val="right"/>
        <w:textAlignment w:val="baseline"/>
        <w:rPr>
          <w:rFonts w:ascii="Segoe UI" w:hAnsi="Segoe UI" w:cs="Segoe UI"/>
          <w:b/>
          <w:bCs/>
          <w:sz w:val="18"/>
          <w:szCs w:val="18"/>
        </w:rPr>
      </w:pPr>
      <w:r w:rsidRPr="00AC107A">
        <w:rPr>
          <w:rStyle w:val="normaltextrun"/>
          <w:b/>
          <w:bCs/>
          <w:u w:val="single"/>
        </w:rPr>
        <w:lastRenderedPageBreak/>
        <w:t>ATTACHMENT A</w:t>
      </w:r>
      <w:r w:rsidRPr="00AC107A">
        <w:rPr>
          <w:rStyle w:val="eop"/>
          <w:b/>
          <w:bCs/>
        </w:rPr>
        <w:t> </w:t>
      </w:r>
    </w:p>
    <w:p w14:paraId="5A8DD92C"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0ED147F3" w14:textId="6E62FF2F" w:rsidR="00830936" w:rsidRPr="00AC107A" w:rsidRDefault="00830936" w:rsidP="00830936">
      <w:pPr>
        <w:pStyle w:val="paragraph"/>
        <w:spacing w:before="0" w:beforeAutospacing="0" w:after="0" w:afterAutospacing="0"/>
        <w:textAlignment w:val="baseline"/>
        <w:rPr>
          <w:rFonts w:ascii="Segoe UI" w:hAnsi="Segoe UI" w:cs="Segoe UI"/>
          <w:b/>
          <w:bCs/>
          <w:sz w:val="18"/>
          <w:szCs w:val="18"/>
        </w:rPr>
      </w:pPr>
      <w:r w:rsidRPr="00AC107A">
        <w:rPr>
          <w:rStyle w:val="normaltextrun"/>
          <w:b/>
          <w:bCs/>
          <w:u w:val="single"/>
        </w:rPr>
        <w:t xml:space="preserve">Details of the </w:t>
      </w:r>
      <w:r w:rsidR="00C04B38" w:rsidRPr="00AC107A">
        <w:rPr>
          <w:rStyle w:val="normaltextrun"/>
          <w:b/>
          <w:bCs/>
          <w:i/>
          <w:iCs/>
          <w:u w:val="single"/>
        </w:rPr>
        <w:t>Environment Protection and Biodiversity Conservation (Recovery Plans) Revocation Instrument 2024</w:t>
      </w:r>
    </w:p>
    <w:p w14:paraId="0DC1FC63"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65FC23E6"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normaltextrun"/>
          <w:u w:val="single"/>
        </w:rPr>
        <w:t>Section 1 – Name </w:t>
      </w:r>
      <w:r w:rsidRPr="00AC107A">
        <w:rPr>
          <w:rStyle w:val="eop"/>
        </w:rPr>
        <w:t> </w:t>
      </w:r>
    </w:p>
    <w:p w14:paraId="14FA28C4"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5BFAA47E" w14:textId="752E22EA"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normaltextrun"/>
        </w:rPr>
        <w:t xml:space="preserve">This section provides that the name of the instrument is the </w:t>
      </w:r>
      <w:r w:rsidR="00C16D8A" w:rsidRPr="00AC107A">
        <w:rPr>
          <w:i/>
          <w:iCs/>
        </w:rPr>
        <w:t>Environment Protection and Biodiversity Conservation (Recovery Plans) Revocation Instrument 2024</w:t>
      </w:r>
      <w:r w:rsidR="00C16D8A" w:rsidRPr="00AC107A">
        <w:t xml:space="preserve"> </w:t>
      </w:r>
      <w:r w:rsidRPr="00AC107A">
        <w:rPr>
          <w:rStyle w:val="normaltextrun"/>
        </w:rPr>
        <w:t>(the</w:t>
      </w:r>
      <w:r w:rsidR="00C16D8A" w:rsidRPr="00AC107A">
        <w:rPr>
          <w:rStyle w:val="normaltextrun"/>
        </w:rPr>
        <w:t xml:space="preserve"> revocation instrument</w:t>
      </w:r>
      <w:r w:rsidRPr="00AC107A">
        <w:rPr>
          <w:rStyle w:val="normaltextrun"/>
        </w:rPr>
        <w:t>).</w:t>
      </w:r>
      <w:r w:rsidRPr="00AC107A">
        <w:rPr>
          <w:rStyle w:val="eop"/>
        </w:rPr>
        <w:t> </w:t>
      </w:r>
    </w:p>
    <w:p w14:paraId="398565F1"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4DA4A52B"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normaltextrun"/>
          <w:u w:val="single"/>
        </w:rPr>
        <w:t>Section 2 – Commencement</w:t>
      </w:r>
      <w:r w:rsidRPr="00AC107A">
        <w:rPr>
          <w:rStyle w:val="eop"/>
        </w:rPr>
        <w:t> </w:t>
      </w:r>
    </w:p>
    <w:p w14:paraId="6A8D2CD5" w14:textId="0CAE659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44FDD78C" w14:textId="7FB734CB"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normaltextrun"/>
        </w:rPr>
        <w:t xml:space="preserve">This section provides that the </w:t>
      </w:r>
      <w:r w:rsidR="00C16D8A" w:rsidRPr="00AC107A">
        <w:rPr>
          <w:rStyle w:val="normaltextrun"/>
        </w:rPr>
        <w:t xml:space="preserve">revocation instrument </w:t>
      </w:r>
      <w:r w:rsidRPr="00AC107A">
        <w:rPr>
          <w:rStyle w:val="normaltextrun"/>
        </w:rPr>
        <w:t xml:space="preserve">commences on the day after </w:t>
      </w:r>
      <w:r w:rsidR="00DA4CC5" w:rsidRPr="00AC107A">
        <w:rPr>
          <w:rStyle w:val="normaltextrun"/>
        </w:rPr>
        <w:t>it</w:t>
      </w:r>
      <w:r w:rsidRPr="00AC107A">
        <w:rPr>
          <w:rStyle w:val="normaltextrun"/>
        </w:rPr>
        <w:t xml:space="preserve"> is registered on the Federal Register of Legislation</w:t>
      </w:r>
      <w:r w:rsidR="00196748" w:rsidRPr="00AC107A">
        <w:rPr>
          <w:rStyle w:val="normaltextrun"/>
        </w:rPr>
        <w:t xml:space="preserve"> (FRL)</w:t>
      </w:r>
      <w:r w:rsidRPr="00AC107A">
        <w:rPr>
          <w:rStyle w:val="normaltextrun"/>
        </w:rPr>
        <w:t>.</w:t>
      </w:r>
      <w:r w:rsidRPr="00AC107A">
        <w:rPr>
          <w:rStyle w:val="eop"/>
        </w:rPr>
        <w:t> </w:t>
      </w:r>
    </w:p>
    <w:p w14:paraId="4A65EAD6" w14:textId="45B0EA36"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42EEF42D"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normaltextrun"/>
          <w:u w:val="single"/>
        </w:rPr>
        <w:t>Section 3 – Authority</w:t>
      </w:r>
      <w:r w:rsidRPr="00AC107A">
        <w:rPr>
          <w:rStyle w:val="eop"/>
        </w:rPr>
        <w:t> </w:t>
      </w:r>
    </w:p>
    <w:p w14:paraId="641A336B" w14:textId="77777777" w:rsidR="00830936" w:rsidRPr="00AC107A" w:rsidRDefault="00830936" w:rsidP="00830936">
      <w:pPr>
        <w:pStyle w:val="paragraph"/>
        <w:spacing w:before="0" w:beforeAutospacing="0" w:after="0" w:afterAutospacing="0"/>
        <w:jc w:val="both"/>
        <w:textAlignment w:val="baseline"/>
        <w:rPr>
          <w:rFonts w:ascii="Segoe UI" w:hAnsi="Segoe UI" w:cs="Segoe UI"/>
          <w:sz w:val="18"/>
          <w:szCs w:val="18"/>
        </w:rPr>
      </w:pPr>
      <w:r w:rsidRPr="00AC107A">
        <w:rPr>
          <w:rStyle w:val="eop"/>
        </w:rPr>
        <w:t> </w:t>
      </w:r>
    </w:p>
    <w:p w14:paraId="5C337E3D" w14:textId="5F797AAE" w:rsidR="00830936" w:rsidRPr="00AC107A" w:rsidRDefault="00830936" w:rsidP="276BAC5F">
      <w:pPr>
        <w:pStyle w:val="paragraph"/>
        <w:spacing w:before="0" w:beforeAutospacing="0" w:after="0" w:afterAutospacing="0"/>
        <w:jc w:val="both"/>
        <w:textAlignment w:val="baseline"/>
        <w:rPr>
          <w:rFonts w:ascii="Segoe UI" w:hAnsi="Segoe UI" w:cs="Segoe UI"/>
          <w:sz w:val="18"/>
          <w:szCs w:val="18"/>
        </w:rPr>
      </w:pPr>
      <w:r w:rsidRPr="00AC107A">
        <w:rPr>
          <w:rStyle w:val="normaltextrun"/>
        </w:rPr>
        <w:t xml:space="preserve">This section provides that the </w:t>
      </w:r>
      <w:r w:rsidR="00DA4CC5" w:rsidRPr="00AC107A">
        <w:rPr>
          <w:rStyle w:val="normaltextrun"/>
        </w:rPr>
        <w:t xml:space="preserve">revocation instrument </w:t>
      </w:r>
      <w:r w:rsidRPr="00AC107A">
        <w:rPr>
          <w:rStyle w:val="normaltextrun"/>
        </w:rPr>
        <w:t xml:space="preserve">is made under </w:t>
      </w:r>
      <w:r w:rsidR="00DA4CC5" w:rsidRPr="00AC107A">
        <w:t>subsection 283A(1) of the</w:t>
      </w:r>
      <w:r w:rsidR="13D3321A" w:rsidRPr="00AC107A">
        <w:t xml:space="preserve"> Act</w:t>
      </w:r>
      <w:r w:rsidR="00DA4CC5" w:rsidRPr="00AC107A">
        <w:t xml:space="preserve"> </w:t>
      </w:r>
      <w:r w:rsidRPr="00AC107A">
        <w:rPr>
          <w:rStyle w:val="normaltextrun"/>
        </w:rPr>
        <w:t>.</w:t>
      </w:r>
      <w:r w:rsidRPr="00AC107A">
        <w:rPr>
          <w:rStyle w:val="eop"/>
        </w:rPr>
        <w:t> </w:t>
      </w:r>
    </w:p>
    <w:p w14:paraId="3E7ED95B" w14:textId="77777777" w:rsidR="00830936" w:rsidRPr="00AC107A" w:rsidRDefault="00830936" w:rsidP="00830936">
      <w:pPr>
        <w:pStyle w:val="paragraph"/>
        <w:spacing w:before="0" w:beforeAutospacing="0" w:after="0" w:afterAutospacing="0"/>
        <w:jc w:val="both"/>
        <w:textAlignment w:val="baseline"/>
        <w:rPr>
          <w:rFonts w:ascii="Segoe UI" w:hAnsi="Segoe UI" w:cs="Segoe UI"/>
          <w:sz w:val="18"/>
          <w:szCs w:val="18"/>
        </w:rPr>
      </w:pPr>
      <w:r w:rsidRPr="00AC107A">
        <w:rPr>
          <w:rStyle w:val="eop"/>
        </w:rPr>
        <w:t> </w:t>
      </w:r>
    </w:p>
    <w:p w14:paraId="236540D1" w14:textId="67A325A6" w:rsidR="00830936" w:rsidRPr="00AC107A" w:rsidRDefault="00830936" w:rsidP="00830936">
      <w:pPr>
        <w:pStyle w:val="paragraph"/>
        <w:spacing w:before="0" w:beforeAutospacing="0" w:after="0" w:afterAutospacing="0"/>
        <w:jc w:val="both"/>
        <w:textAlignment w:val="baseline"/>
        <w:rPr>
          <w:rFonts w:ascii="Segoe UI" w:hAnsi="Segoe UI" w:cs="Segoe UI"/>
          <w:sz w:val="18"/>
          <w:szCs w:val="18"/>
        </w:rPr>
      </w:pPr>
      <w:r w:rsidRPr="00AC107A">
        <w:rPr>
          <w:rStyle w:val="normaltextrun"/>
          <w:u w:val="single"/>
        </w:rPr>
        <w:t xml:space="preserve">Section 4 – </w:t>
      </w:r>
      <w:r w:rsidR="00DA4CC5" w:rsidRPr="00AC107A">
        <w:rPr>
          <w:rStyle w:val="normaltextrun"/>
          <w:u w:val="single"/>
        </w:rPr>
        <w:t>Schedule 2</w:t>
      </w:r>
      <w:r w:rsidRPr="00AC107A">
        <w:rPr>
          <w:rStyle w:val="normaltextrun"/>
        </w:rPr>
        <w:t> </w:t>
      </w:r>
      <w:r w:rsidRPr="00AC107A">
        <w:rPr>
          <w:rStyle w:val="eop"/>
        </w:rPr>
        <w:t> </w:t>
      </w:r>
    </w:p>
    <w:p w14:paraId="07BE16F1" w14:textId="5A445A69" w:rsidR="00830936" w:rsidRPr="00AC107A" w:rsidRDefault="00830936" w:rsidP="006356C4">
      <w:pPr>
        <w:pStyle w:val="paragraph"/>
        <w:spacing w:before="0" w:beforeAutospacing="0" w:after="0" w:afterAutospacing="0"/>
        <w:jc w:val="both"/>
        <w:textAlignment w:val="baseline"/>
        <w:rPr>
          <w:rFonts w:ascii="Segoe UI" w:hAnsi="Segoe UI" w:cs="Segoe UI"/>
          <w:sz w:val="18"/>
          <w:szCs w:val="18"/>
        </w:rPr>
      </w:pPr>
      <w:r w:rsidRPr="00AC107A">
        <w:rPr>
          <w:rStyle w:val="eop"/>
        </w:rPr>
        <w:t>  </w:t>
      </w:r>
    </w:p>
    <w:p w14:paraId="761461A7" w14:textId="77777777" w:rsidR="00581782" w:rsidRPr="00AC107A" w:rsidRDefault="00830936" w:rsidP="00DA4CC5">
      <w:pPr>
        <w:pStyle w:val="paragraph"/>
        <w:spacing w:before="0" w:beforeAutospacing="0" w:after="0" w:afterAutospacing="0"/>
        <w:textAlignment w:val="baseline"/>
        <w:rPr>
          <w:rStyle w:val="normaltextrun"/>
        </w:rPr>
      </w:pPr>
      <w:r w:rsidRPr="00AC107A">
        <w:rPr>
          <w:rStyle w:val="normaltextrun"/>
        </w:rPr>
        <w:t xml:space="preserve">This section provides for the amendment or repeal of instruments as set out in Schedule </w:t>
      </w:r>
      <w:r w:rsidR="00DA4CC5" w:rsidRPr="00AC107A">
        <w:rPr>
          <w:rStyle w:val="normaltextrun"/>
        </w:rPr>
        <w:t xml:space="preserve">2 </w:t>
      </w:r>
      <w:r w:rsidRPr="00AC107A">
        <w:rPr>
          <w:rStyle w:val="normaltextrun"/>
        </w:rPr>
        <w:t xml:space="preserve">to the </w:t>
      </w:r>
      <w:r w:rsidR="00DA4CC5" w:rsidRPr="00AC107A">
        <w:rPr>
          <w:rStyle w:val="normaltextrun"/>
        </w:rPr>
        <w:t>revocation instrument</w:t>
      </w:r>
      <w:r w:rsidRPr="00AC107A">
        <w:rPr>
          <w:rStyle w:val="normaltextrun"/>
        </w:rPr>
        <w:t xml:space="preserve">. </w:t>
      </w:r>
    </w:p>
    <w:p w14:paraId="0DD48229"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4AF68673" w14:textId="5579A42C" w:rsidR="0001302F" w:rsidRPr="00AC107A" w:rsidRDefault="0001302F" w:rsidP="0001302F">
      <w:pPr>
        <w:pStyle w:val="paragraph"/>
        <w:spacing w:before="0" w:beforeAutospacing="0" w:after="0" w:afterAutospacing="0"/>
        <w:textAlignment w:val="baseline"/>
        <w:rPr>
          <w:rFonts w:ascii="Segoe UI" w:hAnsi="Segoe UI" w:cs="Segoe UI"/>
          <w:sz w:val="18"/>
          <w:szCs w:val="18"/>
        </w:rPr>
      </w:pPr>
      <w:r w:rsidRPr="00AC107A">
        <w:rPr>
          <w:rStyle w:val="normaltextrun"/>
          <w:u w:val="single"/>
        </w:rPr>
        <w:t>Section 5 – Definitions</w:t>
      </w:r>
      <w:r w:rsidRPr="00AC107A">
        <w:rPr>
          <w:rStyle w:val="eop"/>
        </w:rPr>
        <w:t> </w:t>
      </w:r>
    </w:p>
    <w:p w14:paraId="6E90D1ED" w14:textId="77777777" w:rsidR="0001302F" w:rsidRPr="00AC107A" w:rsidRDefault="0001302F" w:rsidP="0001302F">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44D25D5E" w14:textId="5729C2F8" w:rsidR="0001302F" w:rsidRPr="00AC107A" w:rsidRDefault="0001302F" w:rsidP="0001302F">
      <w:pPr>
        <w:pStyle w:val="paragraph"/>
        <w:spacing w:before="0" w:beforeAutospacing="0" w:after="0" w:afterAutospacing="0"/>
        <w:textAlignment w:val="baseline"/>
        <w:rPr>
          <w:rFonts w:ascii="Segoe UI" w:hAnsi="Segoe UI" w:cs="Segoe UI"/>
          <w:sz w:val="18"/>
          <w:szCs w:val="18"/>
        </w:rPr>
      </w:pPr>
      <w:r w:rsidRPr="00AC107A">
        <w:rPr>
          <w:rStyle w:val="normaltextrun"/>
        </w:rPr>
        <w:t xml:space="preserve">This section </w:t>
      </w:r>
      <w:r w:rsidRPr="00AC107A">
        <w:rPr>
          <w:color w:val="000000"/>
        </w:rPr>
        <w:t>defines terms frequently referred to throughout, and abbreviations used in, the revocation instrument.</w:t>
      </w:r>
      <w:r w:rsidRPr="00AC107A">
        <w:rPr>
          <w:rStyle w:val="eop"/>
        </w:rPr>
        <w:t> </w:t>
      </w:r>
    </w:p>
    <w:p w14:paraId="5554CB1E" w14:textId="77777777" w:rsidR="0001302F" w:rsidRPr="00AC107A" w:rsidRDefault="0001302F" w:rsidP="0001302F">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31013449" w14:textId="57B821C0" w:rsidR="0001302F" w:rsidRPr="00AC107A" w:rsidRDefault="0001302F" w:rsidP="006356C4">
      <w:pPr>
        <w:pStyle w:val="paragraph"/>
        <w:keepNext/>
        <w:spacing w:before="0" w:beforeAutospacing="0" w:after="0" w:afterAutospacing="0"/>
        <w:textAlignment w:val="baseline"/>
        <w:rPr>
          <w:rFonts w:ascii="Segoe UI" w:hAnsi="Segoe UI" w:cs="Segoe UI"/>
          <w:sz w:val="18"/>
          <w:szCs w:val="18"/>
        </w:rPr>
      </w:pPr>
      <w:r w:rsidRPr="00AC107A">
        <w:rPr>
          <w:rStyle w:val="normaltextrun"/>
          <w:u w:val="single"/>
        </w:rPr>
        <w:t xml:space="preserve">Section </w:t>
      </w:r>
      <w:r w:rsidR="002D1CE5" w:rsidRPr="00AC107A">
        <w:rPr>
          <w:rStyle w:val="normaltextrun"/>
          <w:u w:val="single"/>
        </w:rPr>
        <w:t>6</w:t>
      </w:r>
      <w:r w:rsidRPr="00AC107A">
        <w:rPr>
          <w:rStyle w:val="normaltextrun"/>
          <w:u w:val="single"/>
        </w:rPr>
        <w:t xml:space="preserve"> – </w:t>
      </w:r>
      <w:r w:rsidR="002D1CE5" w:rsidRPr="00AC107A">
        <w:rPr>
          <w:rStyle w:val="normaltextrun"/>
          <w:u w:val="single"/>
        </w:rPr>
        <w:t>Revocation of recovery plans</w:t>
      </w:r>
      <w:r w:rsidRPr="00AC107A">
        <w:rPr>
          <w:rStyle w:val="eop"/>
        </w:rPr>
        <w:t> </w:t>
      </w:r>
    </w:p>
    <w:p w14:paraId="163FAE10" w14:textId="77777777" w:rsidR="0001302F" w:rsidRPr="00AC107A" w:rsidRDefault="0001302F" w:rsidP="006356C4">
      <w:pPr>
        <w:pStyle w:val="paragraph"/>
        <w:keepNext/>
        <w:spacing w:before="0" w:beforeAutospacing="0" w:after="0" w:afterAutospacing="0"/>
        <w:jc w:val="both"/>
        <w:textAlignment w:val="baseline"/>
        <w:rPr>
          <w:rFonts w:ascii="Segoe UI" w:hAnsi="Segoe UI" w:cs="Segoe UI"/>
          <w:sz w:val="18"/>
          <w:szCs w:val="18"/>
        </w:rPr>
      </w:pPr>
      <w:r w:rsidRPr="00AC107A">
        <w:rPr>
          <w:rStyle w:val="eop"/>
        </w:rPr>
        <w:t> </w:t>
      </w:r>
    </w:p>
    <w:p w14:paraId="06BD1F08" w14:textId="5AB54EE3" w:rsidR="006F4FC9" w:rsidRPr="00AC107A" w:rsidRDefault="0001302F" w:rsidP="276BAC5F">
      <w:pPr>
        <w:pStyle w:val="paragraph"/>
        <w:keepNext/>
        <w:spacing w:before="0" w:beforeAutospacing="0" w:after="0" w:afterAutospacing="0"/>
        <w:jc w:val="both"/>
        <w:textAlignment w:val="baseline"/>
        <w:rPr>
          <w:rStyle w:val="normaltextrun"/>
        </w:rPr>
      </w:pPr>
      <w:r w:rsidRPr="00AC107A">
        <w:rPr>
          <w:rStyle w:val="normaltextrun"/>
        </w:rPr>
        <w:t xml:space="preserve">This section provides that </w:t>
      </w:r>
      <w:r w:rsidR="006F4FC9" w:rsidRPr="00AC107A">
        <w:rPr>
          <w:rStyle w:val="normaltextrun"/>
        </w:rPr>
        <w:t xml:space="preserve">the recovery plans for the listed threatened species and threatened ecological communities specified in Schedule 1 to the revocation instrument are </w:t>
      </w:r>
      <w:r w:rsidR="00EE5630" w:rsidRPr="00AC107A">
        <w:rPr>
          <w:rStyle w:val="normaltextrun"/>
        </w:rPr>
        <w:t xml:space="preserve">revoked </w:t>
      </w:r>
      <w:r w:rsidR="006F4FC9" w:rsidRPr="00AC107A">
        <w:rPr>
          <w:rStyle w:val="normaltextrun"/>
        </w:rPr>
        <w:t>under s</w:t>
      </w:r>
      <w:r w:rsidR="00757358" w:rsidRPr="00AC107A">
        <w:rPr>
          <w:rStyle w:val="normaltextrun"/>
        </w:rPr>
        <w:t>ubs</w:t>
      </w:r>
      <w:r w:rsidR="006F4FC9" w:rsidRPr="00AC107A">
        <w:rPr>
          <w:rStyle w:val="normaltextrun"/>
        </w:rPr>
        <w:t>ection 283A</w:t>
      </w:r>
      <w:r w:rsidR="00757358" w:rsidRPr="00AC107A">
        <w:rPr>
          <w:rStyle w:val="normaltextrun"/>
        </w:rPr>
        <w:t>(1)</w:t>
      </w:r>
      <w:r w:rsidR="006F4FC9" w:rsidRPr="00AC107A">
        <w:rPr>
          <w:rStyle w:val="normaltextrun"/>
        </w:rPr>
        <w:t xml:space="preserve"> of the </w:t>
      </w:r>
      <w:r w:rsidR="766BCFF1" w:rsidRPr="00AC107A">
        <w:rPr>
          <w:rStyle w:val="normaltextrun"/>
        </w:rPr>
        <w:t>Act</w:t>
      </w:r>
      <w:r w:rsidR="006F4FC9" w:rsidRPr="00AC107A">
        <w:rPr>
          <w:rStyle w:val="normaltextrun"/>
        </w:rPr>
        <w:t>.</w:t>
      </w:r>
    </w:p>
    <w:p w14:paraId="34DAE5F3" w14:textId="26D04857" w:rsidR="006F4FC9" w:rsidRPr="00AC107A" w:rsidRDefault="0001302F" w:rsidP="006356C4">
      <w:pPr>
        <w:pStyle w:val="paragraph"/>
        <w:spacing w:before="0" w:beforeAutospacing="0" w:after="0" w:afterAutospacing="0"/>
        <w:jc w:val="both"/>
        <w:textAlignment w:val="baseline"/>
      </w:pPr>
      <w:r w:rsidRPr="00AC107A">
        <w:rPr>
          <w:rStyle w:val="normaltextrun"/>
        </w:rPr>
        <w:t> </w:t>
      </w:r>
      <w:r w:rsidR="006F4FC9" w:rsidRPr="00AC107A">
        <w:rPr>
          <w:rStyle w:val="eop"/>
        </w:rPr>
        <w:t>  </w:t>
      </w:r>
    </w:p>
    <w:p w14:paraId="2C9214B2" w14:textId="4AA2B9B0" w:rsidR="00830936" w:rsidRPr="00AC107A" w:rsidRDefault="009A2149" w:rsidP="00830936">
      <w:pPr>
        <w:pStyle w:val="paragraph"/>
        <w:spacing w:before="0" w:beforeAutospacing="0" w:after="0" w:afterAutospacing="0"/>
        <w:textAlignment w:val="baseline"/>
        <w:rPr>
          <w:rFonts w:ascii="Segoe UI" w:hAnsi="Segoe UI" w:cs="Segoe UI"/>
          <w:sz w:val="18"/>
          <w:szCs w:val="18"/>
        </w:rPr>
      </w:pPr>
      <w:r w:rsidRPr="00AC107A">
        <w:rPr>
          <w:rStyle w:val="normaltextrun"/>
          <w:u w:val="single"/>
        </w:rPr>
        <w:t>Schedule 1—Revocation of recovery plans</w:t>
      </w:r>
      <w:r w:rsidR="00830936" w:rsidRPr="00AC107A">
        <w:rPr>
          <w:rStyle w:val="eop"/>
        </w:rPr>
        <w:t> </w:t>
      </w:r>
    </w:p>
    <w:p w14:paraId="7B30B42C" w14:textId="77777777" w:rsidR="00830936" w:rsidRPr="00AC107A" w:rsidRDefault="00830936" w:rsidP="00830936">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6AA8997C" w14:textId="13B43212" w:rsidR="276BAC5F" w:rsidRPr="00AC107A" w:rsidRDefault="000518E8" w:rsidP="00785289">
      <w:pPr>
        <w:pStyle w:val="paragraph"/>
        <w:spacing w:before="0" w:beforeAutospacing="0" w:after="0" w:afterAutospacing="0"/>
        <w:textAlignment w:val="baseline"/>
        <w:rPr>
          <w:rStyle w:val="normaltextrun"/>
          <w:lang w:eastAsia="en-US"/>
        </w:rPr>
      </w:pPr>
      <w:r w:rsidRPr="00AC107A">
        <w:rPr>
          <w:rStyle w:val="normaltextrun"/>
        </w:rPr>
        <w:t xml:space="preserve">Schedule 1 to the revocation instrument </w:t>
      </w:r>
      <w:r w:rsidR="00743722" w:rsidRPr="00AC107A">
        <w:rPr>
          <w:rStyle w:val="normaltextrun"/>
        </w:rPr>
        <w:t xml:space="preserve">lists recovery plans for a total of </w:t>
      </w:r>
      <w:r w:rsidR="009361BF" w:rsidRPr="00AC107A">
        <w:rPr>
          <w:rStyle w:val="normaltextrun"/>
        </w:rPr>
        <w:t>97</w:t>
      </w:r>
      <w:r w:rsidR="00743722" w:rsidRPr="00AC107A">
        <w:rPr>
          <w:rStyle w:val="normaltextrun"/>
        </w:rPr>
        <w:t xml:space="preserve"> </w:t>
      </w:r>
      <w:r w:rsidR="00743722" w:rsidRPr="00AC107A">
        <w:t>species</w:t>
      </w:r>
      <w:r w:rsidR="00E21713" w:rsidRPr="00AC107A">
        <w:t xml:space="preserve"> and ecological communities</w:t>
      </w:r>
      <w:r w:rsidR="00743722" w:rsidRPr="00AC107A">
        <w:rPr>
          <w:rStyle w:val="normaltextrun"/>
        </w:rPr>
        <w:t xml:space="preserve"> that are revoked </w:t>
      </w:r>
      <w:r w:rsidR="00241761" w:rsidRPr="00AC107A">
        <w:rPr>
          <w:rStyle w:val="normaltextrun"/>
        </w:rPr>
        <w:t xml:space="preserve">by section 6 of this instrument </w:t>
      </w:r>
      <w:r w:rsidR="00743722" w:rsidRPr="00AC107A">
        <w:rPr>
          <w:rStyle w:val="normaltextrun"/>
        </w:rPr>
        <w:t>under s</w:t>
      </w:r>
      <w:r w:rsidR="00644A50" w:rsidRPr="00AC107A">
        <w:rPr>
          <w:rStyle w:val="normaltextrun"/>
        </w:rPr>
        <w:t>ubs</w:t>
      </w:r>
      <w:r w:rsidR="00743722" w:rsidRPr="00AC107A">
        <w:rPr>
          <w:rStyle w:val="normaltextrun"/>
        </w:rPr>
        <w:t>ection 283A</w:t>
      </w:r>
      <w:r w:rsidR="00644A50" w:rsidRPr="00AC107A">
        <w:rPr>
          <w:rStyle w:val="normaltextrun"/>
        </w:rPr>
        <w:t>(1)</w:t>
      </w:r>
      <w:r w:rsidR="00743722" w:rsidRPr="00AC107A">
        <w:rPr>
          <w:rStyle w:val="normaltextrun"/>
        </w:rPr>
        <w:t xml:space="preserve"> of the </w:t>
      </w:r>
      <w:r w:rsidR="28CE17B7" w:rsidRPr="00AC107A">
        <w:rPr>
          <w:rStyle w:val="normaltextrun"/>
        </w:rPr>
        <w:t>Act</w:t>
      </w:r>
      <w:r w:rsidR="00743722" w:rsidRPr="00AC107A">
        <w:rPr>
          <w:rStyle w:val="normaltextrun"/>
        </w:rPr>
        <w:t>.</w:t>
      </w:r>
    </w:p>
    <w:p w14:paraId="5B16F2A5" w14:textId="5606E8AE" w:rsidR="276BAC5F" w:rsidRPr="00AC107A" w:rsidRDefault="0086089D" w:rsidP="00785289">
      <w:pPr>
        <w:pStyle w:val="paragraph"/>
        <w:textAlignment w:val="baseline"/>
        <w:rPr>
          <w:rStyle w:val="normaltextrun"/>
          <w:lang w:eastAsia="en-US"/>
        </w:rPr>
      </w:pPr>
      <w:r w:rsidRPr="00AC107A">
        <w:rPr>
          <w:rStyle w:val="normaltextrun"/>
        </w:rPr>
        <w:t xml:space="preserve">Column 1 of the table in Schedule 1 </w:t>
      </w:r>
      <w:r w:rsidR="00375646" w:rsidRPr="00AC107A">
        <w:rPr>
          <w:rStyle w:val="normaltextrun"/>
        </w:rPr>
        <w:t>specifies</w:t>
      </w:r>
      <w:r w:rsidRPr="00AC107A">
        <w:rPr>
          <w:rStyle w:val="normaltextrun"/>
        </w:rPr>
        <w:t xml:space="preserve"> the name of </w:t>
      </w:r>
      <w:r w:rsidR="00375646" w:rsidRPr="00AC107A">
        <w:rPr>
          <w:rStyle w:val="normaltextrun"/>
        </w:rPr>
        <w:t xml:space="preserve">each </w:t>
      </w:r>
      <w:r w:rsidRPr="00AC107A">
        <w:rPr>
          <w:rStyle w:val="normaltextrun"/>
        </w:rPr>
        <w:t xml:space="preserve">listed threatened species </w:t>
      </w:r>
      <w:r w:rsidR="00E21713" w:rsidRPr="00AC107A">
        <w:rPr>
          <w:rStyle w:val="normaltextrun"/>
        </w:rPr>
        <w:t xml:space="preserve">and ecological communities </w:t>
      </w:r>
      <w:r w:rsidR="00375646" w:rsidRPr="00AC107A">
        <w:rPr>
          <w:rStyle w:val="normaltextrun"/>
        </w:rPr>
        <w:t xml:space="preserve">that </w:t>
      </w:r>
      <w:r w:rsidR="00196748" w:rsidRPr="00AC107A">
        <w:rPr>
          <w:rStyle w:val="normaltextrun"/>
        </w:rPr>
        <w:t xml:space="preserve">had a recovery plan in place but </w:t>
      </w:r>
      <w:r w:rsidR="00375646" w:rsidRPr="00AC107A">
        <w:rPr>
          <w:rStyle w:val="normaltextrun"/>
        </w:rPr>
        <w:t>was the subject of a decision by the former Minister not to have a recovery plan</w:t>
      </w:r>
      <w:r w:rsidRPr="00AC107A">
        <w:rPr>
          <w:rStyle w:val="normaltextrun"/>
        </w:rPr>
        <w:t>.</w:t>
      </w:r>
    </w:p>
    <w:p w14:paraId="66E4B423" w14:textId="4D0582AF" w:rsidR="0086089D" w:rsidRPr="00AC107A" w:rsidRDefault="0086089D" w:rsidP="0086089D">
      <w:pPr>
        <w:pStyle w:val="paragraph"/>
        <w:textAlignment w:val="baseline"/>
        <w:rPr>
          <w:rStyle w:val="normaltextrun"/>
        </w:rPr>
      </w:pPr>
      <w:r w:rsidRPr="00AC107A">
        <w:rPr>
          <w:rStyle w:val="normaltextrun"/>
        </w:rPr>
        <w:t xml:space="preserve">Column 2 of the table in Schedule 1 sets out the title of the recovery plan </w:t>
      </w:r>
      <w:r w:rsidR="00375646" w:rsidRPr="00AC107A">
        <w:rPr>
          <w:rStyle w:val="normaltextrun"/>
        </w:rPr>
        <w:t xml:space="preserve">for </w:t>
      </w:r>
      <w:r w:rsidRPr="00AC107A">
        <w:rPr>
          <w:rStyle w:val="normaltextrun"/>
        </w:rPr>
        <w:t xml:space="preserve">the listed threatened species </w:t>
      </w:r>
      <w:r w:rsidR="00E21713" w:rsidRPr="00AC107A">
        <w:rPr>
          <w:rStyle w:val="normaltextrun"/>
        </w:rPr>
        <w:t xml:space="preserve">and ecological community </w:t>
      </w:r>
      <w:r w:rsidRPr="00AC107A">
        <w:rPr>
          <w:rStyle w:val="normaltextrun"/>
        </w:rPr>
        <w:t>mentioned in column 1.</w:t>
      </w:r>
    </w:p>
    <w:p w14:paraId="416FD0F7" w14:textId="421D10AE" w:rsidR="276BAC5F" w:rsidRPr="00AC107A" w:rsidRDefault="0086089D" w:rsidP="00785289">
      <w:pPr>
        <w:pStyle w:val="paragraph"/>
        <w:textAlignment w:val="baseline"/>
        <w:rPr>
          <w:rStyle w:val="normaltextrun"/>
          <w:lang w:eastAsia="en-US"/>
        </w:rPr>
      </w:pPr>
      <w:r w:rsidRPr="00AC107A">
        <w:rPr>
          <w:rStyle w:val="normaltextrun"/>
        </w:rPr>
        <w:lastRenderedPageBreak/>
        <w:t xml:space="preserve">Column 3 of the table in Schedule 1 </w:t>
      </w:r>
      <w:r w:rsidR="00375646" w:rsidRPr="00AC107A">
        <w:rPr>
          <w:rStyle w:val="normaltextrun"/>
        </w:rPr>
        <w:t>specifies</w:t>
      </w:r>
      <w:r w:rsidRPr="00AC107A">
        <w:rPr>
          <w:rStyle w:val="normaltextrun"/>
        </w:rPr>
        <w:t xml:space="preserve"> the title of the legislative instrument in which the recovery plan mentioned in column 2 </w:t>
      </w:r>
      <w:r w:rsidR="00375646" w:rsidRPr="00AC107A">
        <w:rPr>
          <w:rStyle w:val="normaltextrun"/>
        </w:rPr>
        <w:t>was made</w:t>
      </w:r>
      <w:r w:rsidRPr="00AC107A">
        <w:rPr>
          <w:rStyle w:val="normaltextrun"/>
        </w:rPr>
        <w:t>.</w:t>
      </w:r>
    </w:p>
    <w:p w14:paraId="01355BEC" w14:textId="3BBE2C7A" w:rsidR="0086089D" w:rsidRPr="00AC107A" w:rsidRDefault="0086089D" w:rsidP="0086089D">
      <w:pPr>
        <w:pStyle w:val="paragraph"/>
        <w:spacing w:before="0" w:beforeAutospacing="0" w:after="0" w:afterAutospacing="0"/>
        <w:textAlignment w:val="baseline"/>
        <w:rPr>
          <w:rStyle w:val="normaltextrun"/>
        </w:rPr>
      </w:pPr>
      <w:r w:rsidRPr="00AC107A">
        <w:rPr>
          <w:rStyle w:val="normaltextrun"/>
        </w:rPr>
        <w:t xml:space="preserve">Column 4 of the table in Schedule 1 </w:t>
      </w:r>
      <w:r w:rsidR="00196748" w:rsidRPr="00AC107A">
        <w:rPr>
          <w:rStyle w:val="normaltextrun"/>
        </w:rPr>
        <w:t>specifies</w:t>
      </w:r>
      <w:r w:rsidRPr="00AC107A">
        <w:rPr>
          <w:rStyle w:val="normaltextrun"/>
        </w:rPr>
        <w:t xml:space="preserve"> the FRL identifier, which is a unique identification</w:t>
      </w:r>
      <w:r w:rsidR="00196748" w:rsidRPr="00AC107A">
        <w:rPr>
          <w:rStyle w:val="normaltextrun"/>
        </w:rPr>
        <w:t xml:space="preserve"> number</w:t>
      </w:r>
      <w:r w:rsidRPr="00AC107A">
        <w:rPr>
          <w:rStyle w:val="normaltextrun"/>
        </w:rPr>
        <w:t xml:space="preserve"> given to the legislative instrument mentioned in column 3 </w:t>
      </w:r>
      <w:r w:rsidR="00EE5630" w:rsidRPr="00AC107A">
        <w:rPr>
          <w:rStyle w:val="normaltextrun"/>
        </w:rPr>
        <w:t xml:space="preserve">on </w:t>
      </w:r>
      <w:r w:rsidRPr="00AC107A">
        <w:rPr>
          <w:rStyle w:val="normaltextrun"/>
        </w:rPr>
        <w:t>the Federal Register of Legislation.</w:t>
      </w:r>
    </w:p>
    <w:p w14:paraId="679AE5E0" w14:textId="2CC14590" w:rsidR="000518E8" w:rsidRPr="00AC107A" w:rsidRDefault="000518E8" w:rsidP="00830936">
      <w:pPr>
        <w:pStyle w:val="paragraph"/>
        <w:spacing w:before="0" w:beforeAutospacing="0" w:after="0" w:afterAutospacing="0"/>
        <w:textAlignment w:val="baseline"/>
        <w:rPr>
          <w:rStyle w:val="normaltextrun"/>
        </w:rPr>
      </w:pPr>
    </w:p>
    <w:p w14:paraId="2C37B590" w14:textId="22385D96" w:rsidR="00743722" w:rsidRPr="00AC107A" w:rsidRDefault="00743722" w:rsidP="00743722">
      <w:pPr>
        <w:pStyle w:val="paragraph"/>
        <w:spacing w:before="0" w:beforeAutospacing="0" w:after="0" w:afterAutospacing="0"/>
        <w:textAlignment w:val="baseline"/>
        <w:rPr>
          <w:rFonts w:ascii="Segoe UI" w:hAnsi="Segoe UI" w:cs="Segoe UI"/>
          <w:sz w:val="18"/>
          <w:szCs w:val="18"/>
        </w:rPr>
      </w:pPr>
      <w:r w:rsidRPr="00AC107A">
        <w:rPr>
          <w:rStyle w:val="normaltextrun"/>
          <w:u w:val="single"/>
        </w:rPr>
        <w:t>Schedule 2—Repeals</w:t>
      </w:r>
      <w:r w:rsidRPr="00AC107A">
        <w:rPr>
          <w:rStyle w:val="eop"/>
        </w:rPr>
        <w:t> </w:t>
      </w:r>
    </w:p>
    <w:p w14:paraId="703D30A6" w14:textId="77777777" w:rsidR="00743722" w:rsidRPr="00AC107A" w:rsidRDefault="00743722" w:rsidP="00743722">
      <w:pPr>
        <w:pStyle w:val="paragraph"/>
        <w:spacing w:before="0" w:beforeAutospacing="0" w:after="0" w:afterAutospacing="0"/>
        <w:textAlignment w:val="baseline"/>
        <w:rPr>
          <w:rFonts w:ascii="Segoe UI" w:hAnsi="Segoe UI" w:cs="Segoe UI"/>
          <w:sz w:val="18"/>
          <w:szCs w:val="18"/>
        </w:rPr>
      </w:pPr>
      <w:r w:rsidRPr="00AC107A">
        <w:rPr>
          <w:rStyle w:val="eop"/>
        </w:rPr>
        <w:t> </w:t>
      </w:r>
    </w:p>
    <w:p w14:paraId="60DB64E7" w14:textId="1B684388" w:rsidR="009361BF" w:rsidRPr="00AC107A" w:rsidRDefault="00241761" w:rsidP="276BAC5F">
      <w:pPr>
        <w:pStyle w:val="paragraph"/>
        <w:spacing w:before="0" w:beforeAutospacing="0" w:after="0" w:afterAutospacing="0"/>
        <w:textAlignment w:val="baseline"/>
        <w:rPr>
          <w:rStyle w:val="normaltextrun"/>
        </w:rPr>
      </w:pPr>
      <w:r w:rsidRPr="00AC107A">
        <w:rPr>
          <w:rStyle w:val="normaltextrun"/>
        </w:rPr>
        <w:t xml:space="preserve">Schedule 2 to the revocation instrument </w:t>
      </w:r>
      <w:r w:rsidR="00B02CF0" w:rsidRPr="00AC107A">
        <w:rPr>
          <w:rStyle w:val="normaltextrun"/>
        </w:rPr>
        <w:t xml:space="preserve">lists six </w:t>
      </w:r>
      <w:r w:rsidR="009361BF" w:rsidRPr="00AC107A">
        <w:rPr>
          <w:rStyle w:val="normaltextrun"/>
        </w:rPr>
        <w:t>instruments</w:t>
      </w:r>
      <w:r w:rsidR="00B02CF0" w:rsidRPr="00AC107A">
        <w:rPr>
          <w:rStyle w:val="normaltextrun"/>
        </w:rPr>
        <w:t xml:space="preserve"> that are repealed </w:t>
      </w:r>
      <w:r w:rsidR="00AE08D6" w:rsidRPr="00AC107A">
        <w:t xml:space="preserve">under subsection 283A(1) of the </w:t>
      </w:r>
      <w:r w:rsidR="0594F908" w:rsidRPr="00AC107A">
        <w:t xml:space="preserve">Act </w:t>
      </w:r>
      <w:r w:rsidR="00B02CF0" w:rsidRPr="00AC107A">
        <w:rPr>
          <w:rStyle w:val="normaltextrun"/>
        </w:rPr>
        <w:t>by section 4 of the instrument</w:t>
      </w:r>
      <w:r w:rsidR="009361BF" w:rsidRPr="00AC107A">
        <w:rPr>
          <w:rStyle w:val="normaltextrun"/>
        </w:rPr>
        <w:t>:</w:t>
      </w:r>
    </w:p>
    <w:p w14:paraId="5BBAE887" w14:textId="77777777" w:rsidR="009361BF" w:rsidRPr="00AC107A" w:rsidRDefault="009361BF" w:rsidP="00785289">
      <w:pPr>
        <w:pStyle w:val="paragraph"/>
        <w:numPr>
          <w:ilvl w:val="0"/>
          <w:numId w:val="3"/>
        </w:numPr>
        <w:spacing w:before="0" w:beforeAutospacing="0" w:after="0" w:afterAutospacing="0"/>
        <w:textAlignment w:val="baseline"/>
        <w:rPr>
          <w:rStyle w:val="normaltextrun"/>
          <w:i/>
          <w:iCs/>
        </w:rPr>
      </w:pPr>
      <w:r w:rsidRPr="00AC107A">
        <w:rPr>
          <w:rStyle w:val="normaltextrun"/>
          <w:i/>
          <w:iCs/>
        </w:rPr>
        <w:t>Environment Protection and Biodiversity Conservation Act 1999   section 269A   Adoption of a Territory Plan as a Recovery Plan (01/01/2006);</w:t>
      </w:r>
    </w:p>
    <w:p w14:paraId="2C77717D" w14:textId="77777777" w:rsidR="009361BF" w:rsidRPr="00AC107A" w:rsidRDefault="009361BF" w:rsidP="00785289">
      <w:pPr>
        <w:pStyle w:val="paragraph"/>
        <w:numPr>
          <w:ilvl w:val="0"/>
          <w:numId w:val="3"/>
        </w:numPr>
        <w:spacing w:before="0" w:beforeAutospacing="0" w:after="0" w:afterAutospacing="0"/>
        <w:textAlignment w:val="baseline"/>
        <w:rPr>
          <w:i/>
          <w:iCs/>
        </w:rPr>
      </w:pPr>
      <w:bookmarkStart w:id="0" w:name="_Toc161649906"/>
      <w:r w:rsidRPr="00AC107A">
        <w:rPr>
          <w:i/>
          <w:iCs/>
        </w:rPr>
        <w:t xml:space="preserve">Environment Protection and Biodiversity Conservation Act 1999 </w:t>
      </w:r>
      <w:r w:rsidRPr="00AC107A">
        <w:rPr>
          <w:i/>
          <w:iCs/>
        </w:rPr>
        <w:noBreakHyphen/>
        <w:t xml:space="preserve"> section 269A </w:t>
      </w:r>
      <w:r w:rsidRPr="00AC107A">
        <w:rPr>
          <w:i/>
          <w:iCs/>
        </w:rPr>
        <w:noBreakHyphen/>
        <w:t xml:space="preserve"> Instrument Adopting Recovery Plans (NSW, SA, WA) (20/06/2011)</w:t>
      </w:r>
      <w:bookmarkEnd w:id="0"/>
      <w:r w:rsidRPr="00AC107A">
        <w:rPr>
          <w:i/>
          <w:iCs/>
        </w:rPr>
        <w:t>;</w:t>
      </w:r>
    </w:p>
    <w:p w14:paraId="7D499835" w14:textId="77777777" w:rsidR="009361BF" w:rsidRPr="00AC107A" w:rsidRDefault="009361BF" w:rsidP="00785289">
      <w:pPr>
        <w:pStyle w:val="paragraph"/>
        <w:numPr>
          <w:ilvl w:val="0"/>
          <w:numId w:val="3"/>
        </w:numPr>
        <w:spacing w:before="0" w:beforeAutospacing="0" w:after="0" w:afterAutospacing="0"/>
        <w:textAlignment w:val="baseline"/>
        <w:rPr>
          <w:i/>
          <w:iCs/>
        </w:rPr>
      </w:pPr>
      <w:r w:rsidRPr="00AC107A">
        <w:rPr>
          <w:i/>
          <w:iCs/>
        </w:rPr>
        <w:t>National Recovery Plan for Tectaria devexa;</w:t>
      </w:r>
    </w:p>
    <w:p w14:paraId="0B611441" w14:textId="77777777" w:rsidR="009361BF" w:rsidRPr="00AC107A" w:rsidRDefault="009361BF" w:rsidP="00785289">
      <w:pPr>
        <w:pStyle w:val="paragraph"/>
        <w:numPr>
          <w:ilvl w:val="0"/>
          <w:numId w:val="3"/>
        </w:numPr>
        <w:spacing w:before="0" w:beforeAutospacing="0" w:after="0" w:afterAutospacing="0"/>
        <w:textAlignment w:val="baseline"/>
        <w:rPr>
          <w:i/>
          <w:iCs/>
        </w:rPr>
      </w:pPr>
      <w:r w:rsidRPr="00AC107A">
        <w:rPr>
          <w:i/>
          <w:iCs/>
        </w:rPr>
        <w:t>National Recovery Plan for the Abbott’s Booby (Papasula abbotti);</w:t>
      </w:r>
    </w:p>
    <w:p w14:paraId="2652C3C7" w14:textId="77777777" w:rsidR="009361BF" w:rsidRPr="00AC107A" w:rsidRDefault="009361BF" w:rsidP="00785289">
      <w:pPr>
        <w:pStyle w:val="paragraph"/>
        <w:numPr>
          <w:ilvl w:val="0"/>
          <w:numId w:val="3"/>
        </w:numPr>
        <w:spacing w:before="0" w:beforeAutospacing="0" w:after="0" w:afterAutospacing="0"/>
        <w:textAlignment w:val="baseline"/>
        <w:rPr>
          <w:i/>
          <w:iCs/>
        </w:rPr>
      </w:pPr>
      <w:r w:rsidRPr="00AC107A">
        <w:rPr>
          <w:i/>
          <w:iCs/>
        </w:rPr>
        <w:t>Recovery Plan for the following Seabirds: Round Island Petrel – Pterodroma arminjoniana, Herald Petrel – Pterodroma heraldica, Antarctic Tern (New Zealand) – Sterna vittata bethunei, Antarctic Tern (Indian Ocean) – Sterna vittata vittata, Blue Petrel – Halobaena caerulea, Fairy Prion (southern) – Pachyptila tutur subantarctica, Heard Shag – Phalacrocorax nivalis, Macquarie Shag – Phalacrocorax purpurascens, Soft plumaged Petrel – Pterodroma mollis, Australian Lesser Noddy – Anous tenuirostris melanops   2005-2010;</w:t>
      </w:r>
    </w:p>
    <w:p w14:paraId="502D6BAE" w14:textId="77777777" w:rsidR="009361BF" w:rsidRPr="00AC107A" w:rsidRDefault="009361BF" w:rsidP="00785289">
      <w:pPr>
        <w:pStyle w:val="paragraph"/>
        <w:numPr>
          <w:ilvl w:val="0"/>
          <w:numId w:val="3"/>
        </w:numPr>
        <w:spacing w:before="0" w:beforeAutospacing="0" w:after="0" w:afterAutospacing="0"/>
        <w:textAlignment w:val="baseline"/>
        <w:rPr>
          <w:i/>
          <w:iCs/>
        </w:rPr>
      </w:pPr>
      <w:r w:rsidRPr="00AC107A">
        <w:rPr>
          <w:i/>
          <w:iCs/>
        </w:rPr>
        <w:t>Whale Shark (Rhincodon typus) Recovery Plan 2005-2010.</w:t>
      </w:r>
    </w:p>
    <w:p w14:paraId="272209A9" w14:textId="13E2A634" w:rsidR="005670EF" w:rsidRPr="00AC107A" w:rsidRDefault="005670EF" w:rsidP="276BAC5F">
      <w:pPr>
        <w:pStyle w:val="paragraph"/>
        <w:spacing w:before="0" w:beforeAutospacing="0" w:after="0" w:afterAutospacing="0"/>
        <w:textAlignment w:val="baseline"/>
      </w:pPr>
    </w:p>
    <w:p w14:paraId="2BFD6D50" w14:textId="3E444EC9" w:rsidR="00757358" w:rsidRPr="00AC107A" w:rsidRDefault="00785289" w:rsidP="276BAC5F">
      <w:pPr>
        <w:pStyle w:val="paragraph"/>
        <w:spacing w:before="0" w:beforeAutospacing="0" w:after="0" w:afterAutospacing="0"/>
        <w:textAlignment w:val="baseline"/>
        <w:rPr>
          <w:rStyle w:val="normaltextrun"/>
        </w:rPr>
      </w:pPr>
      <w:r w:rsidRPr="00AC107A">
        <w:t>The recovery plans made in the</w:t>
      </w:r>
      <w:r w:rsidR="005670EF" w:rsidRPr="00AC107A">
        <w:t xml:space="preserve"> six </w:t>
      </w:r>
      <w:r w:rsidR="00757358" w:rsidRPr="00AC107A">
        <w:t>instruments</w:t>
      </w:r>
      <w:r w:rsidR="05C2DFB0" w:rsidRPr="00AC107A">
        <w:t xml:space="preserve"> listed</w:t>
      </w:r>
      <w:r w:rsidRPr="00AC107A">
        <w:t xml:space="preserve"> in Schedule 2</w:t>
      </w:r>
      <w:r w:rsidR="05C2DFB0" w:rsidRPr="00AC107A">
        <w:t xml:space="preserve"> </w:t>
      </w:r>
      <w:r w:rsidRPr="00AC107A">
        <w:t xml:space="preserve">are </w:t>
      </w:r>
      <w:r w:rsidR="00757358" w:rsidRPr="00AC107A">
        <w:t>revoked by section 6 of this instrument</w:t>
      </w:r>
      <w:r w:rsidR="62920DF3" w:rsidRPr="00AC107A">
        <w:t>.</w:t>
      </w:r>
      <w:r w:rsidR="392F2F97" w:rsidRPr="00AC107A">
        <w:t xml:space="preserve"> </w:t>
      </w:r>
      <w:r w:rsidRPr="00AC107A">
        <w:t>For this reason, as part of revoking the recovery plans, it is appropriate to r</w:t>
      </w:r>
      <w:r w:rsidR="00F72845" w:rsidRPr="00AC107A">
        <w:t xml:space="preserve">epeal </w:t>
      </w:r>
      <w:r w:rsidR="005670EF" w:rsidRPr="00AC107A">
        <w:t>the</w:t>
      </w:r>
      <w:r w:rsidR="00F72845" w:rsidRPr="00AC107A">
        <w:rPr>
          <w:rStyle w:val="normaltextrun"/>
        </w:rPr>
        <w:t xml:space="preserve"> instruments</w:t>
      </w:r>
      <w:r w:rsidR="4C6D214C" w:rsidRPr="00AC107A">
        <w:rPr>
          <w:rStyle w:val="normaltextrun"/>
        </w:rPr>
        <w:t xml:space="preserve"> </w:t>
      </w:r>
      <w:r w:rsidRPr="00AC107A">
        <w:t xml:space="preserve">to </w:t>
      </w:r>
      <w:r w:rsidR="00F72845" w:rsidRPr="00AC107A">
        <w:t xml:space="preserve">ensure </w:t>
      </w:r>
      <w:r w:rsidR="6B42C437" w:rsidRPr="00AC107A">
        <w:t xml:space="preserve">that </w:t>
      </w:r>
      <w:r w:rsidR="005670EF" w:rsidRPr="00AC107A">
        <w:t xml:space="preserve">both the recovery plans and </w:t>
      </w:r>
      <w:r w:rsidR="00F72845" w:rsidRPr="00AC107A">
        <w:t>the</w:t>
      </w:r>
      <w:r w:rsidRPr="00AC107A">
        <w:t xml:space="preserve"> </w:t>
      </w:r>
      <w:r w:rsidR="005670EF" w:rsidRPr="00AC107A">
        <w:t xml:space="preserve">instruments </w:t>
      </w:r>
      <w:r w:rsidRPr="00AC107A">
        <w:t xml:space="preserve">that made the recovery plans </w:t>
      </w:r>
      <w:r w:rsidR="00F72845" w:rsidRPr="00AC107A">
        <w:t>are no longer in force on the FRL.</w:t>
      </w:r>
    </w:p>
    <w:p w14:paraId="62D9097D" w14:textId="77777777" w:rsidR="00FB52D7" w:rsidRPr="00AC107A" w:rsidRDefault="00FB52D7" w:rsidP="005167A5">
      <w:pPr>
        <w:spacing w:after="200" w:line="276" w:lineRule="auto"/>
        <w:rPr>
          <w:rFonts w:eastAsia="Calibri"/>
          <w:lang w:eastAsia="en-AU"/>
        </w:rPr>
      </w:pPr>
    </w:p>
    <w:p w14:paraId="18C81CC2" w14:textId="77777777" w:rsidR="00FB52D7" w:rsidRPr="00AC107A" w:rsidRDefault="00FB52D7" w:rsidP="005167A5">
      <w:pPr>
        <w:spacing w:after="200" w:line="276" w:lineRule="auto"/>
        <w:rPr>
          <w:rFonts w:eastAsia="Calibri"/>
          <w:lang w:eastAsia="en-AU"/>
        </w:rPr>
      </w:pPr>
    </w:p>
    <w:p w14:paraId="768AA325" w14:textId="0CF7097E" w:rsidR="00FB52D7" w:rsidRPr="00AC107A" w:rsidRDefault="00FB52D7">
      <w:pPr>
        <w:spacing w:after="160" w:line="259" w:lineRule="auto"/>
        <w:rPr>
          <w:rFonts w:eastAsia="Calibri"/>
          <w:lang w:eastAsia="en-AU"/>
        </w:rPr>
      </w:pPr>
      <w:r w:rsidRPr="00AC107A">
        <w:rPr>
          <w:rFonts w:eastAsia="Calibri"/>
          <w:lang w:eastAsia="en-AU"/>
        </w:rPr>
        <w:br w:type="page"/>
      </w:r>
    </w:p>
    <w:p w14:paraId="57E71015" w14:textId="5768558C" w:rsidR="001C38D0" w:rsidRPr="00AC107A" w:rsidRDefault="001C38D0" w:rsidP="006356C4">
      <w:pPr>
        <w:pStyle w:val="paragraph"/>
        <w:spacing w:before="0" w:beforeAutospacing="0" w:after="0" w:afterAutospacing="0"/>
        <w:jc w:val="right"/>
        <w:textAlignment w:val="baseline"/>
        <w:rPr>
          <w:rStyle w:val="normaltextrun"/>
          <w:bCs/>
          <w:u w:val="single"/>
        </w:rPr>
      </w:pPr>
      <w:r w:rsidRPr="00AC107A">
        <w:rPr>
          <w:rStyle w:val="normaltextrun"/>
          <w:bCs/>
          <w:u w:val="single"/>
        </w:rPr>
        <w:lastRenderedPageBreak/>
        <w:t>ATTACHMENT B</w:t>
      </w:r>
    </w:p>
    <w:p w14:paraId="19D647E3" w14:textId="09B4C706" w:rsidR="00FB52D7" w:rsidRPr="00AC107A" w:rsidRDefault="00FB52D7" w:rsidP="006356C4">
      <w:pPr>
        <w:pStyle w:val="Heading2"/>
        <w:keepNext w:val="0"/>
        <w:keepLines w:val="0"/>
        <w:spacing w:before="360" w:after="120"/>
        <w:jc w:val="center"/>
        <w:rPr>
          <w:rFonts w:eastAsiaTheme="minorHAnsi" w:cstheme="minorBidi"/>
          <w:b/>
          <w:sz w:val="28"/>
          <w:szCs w:val="28"/>
        </w:rPr>
      </w:pPr>
      <w:r w:rsidRPr="00AC107A">
        <w:rPr>
          <w:rFonts w:ascii="Times New Roman" w:eastAsiaTheme="minorHAnsi" w:hAnsi="Times New Roman" w:cstheme="minorBidi"/>
          <w:b/>
          <w:color w:val="auto"/>
          <w:sz w:val="28"/>
          <w:szCs w:val="28"/>
        </w:rPr>
        <w:t>Statement of Compatibility with Human Rights</w:t>
      </w:r>
    </w:p>
    <w:p w14:paraId="4C90966C" w14:textId="77777777" w:rsidR="00FB52D7" w:rsidRPr="00AC107A" w:rsidRDefault="00FB52D7" w:rsidP="006356C4">
      <w:pPr>
        <w:spacing w:before="120" w:after="120"/>
        <w:jc w:val="center"/>
        <w:rPr>
          <w:rFonts w:eastAsia="Calibri"/>
          <w:lang w:eastAsia="en-AU"/>
        </w:rPr>
      </w:pPr>
      <w:r w:rsidRPr="00AC107A">
        <w:rPr>
          <w:rFonts w:eastAsia="Calibri"/>
          <w:i/>
          <w:lang w:eastAsia="en-AU"/>
        </w:rPr>
        <w:t xml:space="preserve">Prepared in accordance with Part 3 of the </w:t>
      </w:r>
      <w:r w:rsidRPr="00AC107A">
        <w:rPr>
          <w:rFonts w:eastAsiaTheme="minorHAnsi" w:cstheme="minorBidi"/>
          <w:i/>
        </w:rPr>
        <w:t>Human</w:t>
      </w:r>
      <w:r w:rsidRPr="00AC107A">
        <w:rPr>
          <w:rFonts w:eastAsia="Calibri"/>
          <w:i/>
          <w:lang w:eastAsia="en-AU"/>
        </w:rPr>
        <w:t xml:space="preserve"> Rights (Parliamentary Scrutiny) Act 2011</w:t>
      </w:r>
    </w:p>
    <w:p w14:paraId="61E78799" w14:textId="77777777" w:rsidR="00FB52D7" w:rsidRPr="00AC107A" w:rsidRDefault="00FB52D7" w:rsidP="00FB52D7">
      <w:pPr>
        <w:spacing w:after="200" w:line="276" w:lineRule="auto"/>
        <w:rPr>
          <w:rFonts w:eastAsia="Calibri"/>
          <w:lang w:eastAsia="en-AU"/>
        </w:rPr>
      </w:pPr>
    </w:p>
    <w:p w14:paraId="0A49D4AC" w14:textId="4F97AF44" w:rsidR="00FB52D7" w:rsidRPr="00AC107A" w:rsidRDefault="001C38D0" w:rsidP="006356C4">
      <w:pPr>
        <w:spacing w:before="120" w:after="120"/>
        <w:jc w:val="center"/>
        <w:rPr>
          <w:rFonts w:eastAsia="Calibri"/>
          <w:b/>
          <w:lang w:eastAsia="en-AU"/>
        </w:rPr>
      </w:pPr>
      <w:r w:rsidRPr="00AC107A">
        <w:rPr>
          <w:rFonts w:eastAsia="Calibri"/>
          <w:b/>
          <w:bCs/>
          <w:lang w:eastAsia="en-AU"/>
        </w:rPr>
        <w:t>Environment Protection and Biodiversity Conservation (Recovery Plans) Revocation Instrument 2024</w:t>
      </w:r>
    </w:p>
    <w:p w14:paraId="4D708707" w14:textId="77777777" w:rsidR="00FB52D7" w:rsidRPr="00AC107A" w:rsidRDefault="00FB52D7" w:rsidP="00FB52D7">
      <w:pPr>
        <w:spacing w:after="200" w:line="276" w:lineRule="auto"/>
        <w:rPr>
          <w:rFonts w:eastAsia="Calibri"/>
          <w:lang w:eastAsia="en-AU"/>
        </w:rPr>
      </w:pPr>
    </w:p>
    <w:p w14:paraId="70F8E863" w14:textId="44D507D2" w:rsidR="00FB52D7" w:rsidRPr="00AC107A" w:rsidRDefault="00FB52D7" w:rsidP="006356C4">
      <w:pPr>
        <w:spacing w:before="120" w:after="120"/>
        <w:jc w:val="center"/>
        <w:rPr>
          <w:rFonts w:eastAsia="Calibri"/>
          <w:lang w:eastAsia="en-AU"/>
        </w:rPr>
      </w:pPr>
      <w:r w:rsidRPr="00AC107A">
        <w:rPr>
          <w:rFonts w:eastAsia="Calibri"/>
          <w:lang w:eastAsia="en-AU"/>
        </w:rPr>
        <w:t>This</w:t>
      </w:r>
      <w:r w:rsidR="001C38D0" w:rsidRPr="00AC107A">
        <w:rPr>
          <w:rFonts w:eastAsia="Calibri"/>
          <w:lang w:eastAsia="en-AU"/>
        </w:rPr>
        <w:t xml:space="preserve"> </w:t>
      </w:r>
      <w:r w:rsidRPr="00AC107A">
        <w:rPr>
          <w:rFonts w:eastAsia="Calibri"/>
          <w:lang w:eastAsia="en-AU"/>
        </w:rPr>
        <w:t xml:space="preserve">Disallowable Legislative Instrument is compatible with the human rights and freedoms recognised or declared in the international instruments listed in section 3 of the </w:t>
      </w:r>
      <w:r w:rsidRPr="00AC107A">
        <w:rPr>
          <w:rFonts w:eastAsia="Calibri"/>
          <w:i/>
          <w:lang w:eastAsia="en-AU"/>
        </w:rPr>
        <w:t>Human Rights (Parliamentary Scrutiny) Act 2011</w:t>
      </w:r>
      <w:r w:rsidRPr="00AC107A">
        <w:rPr>
          <w:rFonts w:eastAsia="Calibri"/>
          <w:lang w:eastAsia="en-AU"/>
        </w:rPr>
        <w:t>.</w:t>
      </w:r>
    </w:p>
    <w:p w14:paraId="17F81DCC" w14:textId="77777777" w:rsidR="00FB52D7" w:rsidRPr="00AC107A" w:rsidRDefault="00FB52D7" w:rsidP="00FB52D7">
      <w:pPr>
        <w:spacing w:after="200" w:line="276" w:lineRule="auto"/>
        <w:rPr>
          <w:rFonts w:eastAsia="Calibri"/>
          <w:lang w:eastAsia="en-AU"/>
        </w:rPr>
      </w:pPr>
    </w:p>
    <w:p w14:paraId="249BCA17" w14:textId="7C3EBFD8" w:rsidR="00FB52D7" w:rsidRPr="00AC107A" w:rsidRDefault="00FB52D7" w:rsidP="006356C4">
      <w:pPr>
        <w:pStyle w:val="Heading3"/>
        <w:keepNext w:val="0"/>
        <w:pBdr>
          <w:top w:val="none" w:sz="0" w:space="0" w:color="auto"/>
          <w:left w:val="none" w:sz="0" w:space="0" w:color="auto"/>
          <w:bottom w:val="none" w:sz="0" w:space="0" w:color="auto"/>
          <w:right w:val="none" w:sz="0" w:space="0" w:color="auto"/>
        </w:pBdr>
        <w:spacing w:before="120" w:after="120"/>
        <w:jc w:val="both"/>
        <w:rPr>
          <w:rFonts w:eastAsiaTheme="minorHAnsi" w:cstheme="minorBidi"/>
          <w:b w:val="0"/>
        </w:rPr>
      </w:pPr>
      <w:r w:rsidRPr="00AC107A">
        <w:rPr>
          <w:rFonts w:ascii="Times New Roman" w:eastAsiaTheme="minorHAnsi" w:hAnsi="Times New Roman" w:cstheme="minorBidi"/>
          <w:szCs w:val="24"/>
        </w:rPr>
        <w:t>Overview of the Disallowable Legislative Instrument</w:t>
      </w:r>
    </w:p>
    <w:p w14:paraId="0EBA3957" w14:textId="6F23B26D" w:rsidR="00BF57E0" w:rsidRPr="00AC107A" w:rsidRDefault="00BF57E0" w:rsidP="006356C4">
      <w:pPr>
        <w:spacing w:before="120" w:after="120"/>
        <w:rPr>
          <w:rFonts w:eastAsiaTheme="minorHAnsi" w:cstheme="minorBidi"/>
        </w:rPr>
      </w:pPr>
      <w:r w:rsidRPr="00AC107A">
        <w:rPr>
          <w:rFonts w:eastAsiaTheme="minorHAnsi" w:cstheme="minorBidi"/>
        </w:rPr>
        <w:t xml:space="preserve">The purpose of this Legislative Instrument is to revoke recovery plans that were made or adopted under the </w:t>
      </w:r>
      <w:r w:rsidR="00EE5630" w:rsidRPr="00AC107A">
        <w:rPr>
          <w:rFonts w:eastAsiaTheme="minorHAnsi" w:cstheme="minorBidi"/>
        </w:rPr>
        <w:t>(</w:t>
      </w:r>
      <w:r w:rsidRPr="00AC107A">
        <w:rPr>
          <w:rFonts w:eastAsiaTheme="minorHAnsi" w:cstheme="minorBidi"/>
        </w:rPr>
        <w:t>Environment Protection and Biodiversity Conservation Act 1999</w:t>
      </w:r>
      <w:r w:rsidR="00EE5630" w:rsidRPr="00AC107A">
        <w:rPr>
          <w:rFonts w:eastAsiaTheme="minorHAnsi" w:cstheme="minorBidi"/>
        </w:rPr>
        <w:t>)</w:t>
      </w:r>
      <w:r w:rsidRPr="00AC107A">
        <w:rPr>
          <w:rFonts w:eastAsiaTheme="minorHAnsi" w:cstheme="minorBidi"/>
        </w:rPr>
        <w:t xml:space="preserve"> for 97 species</w:t>
      </w:r>
      <w:r w:rsidR="00E21713" w:rsidRPr="00AC107A">
        <w:rPr>
          <w:rFonts w:eastAsiaTheme="minorHAnsi" w:cstheme="minorBidi"/>
        </w:rPr>
        <w:t xml:space="preserve"> and ecological communities</w:t>
      </w:r>
      <w:r w:rsidRPr="00AC107A">
        <w:rPr>
          <w:rFonts w:eastAsiaTheme="minorHAnsi" w:cstheme="minorBidi"/>
        </w:rPr>
        <w:t>.</w:t>
      </w:r>
    </w:p>
    <w:p w14:paraId="19367229" w14:textId="64CC5FDF" w:rsidR="00BF57E0" w:rsidRPr="00AC107A" w:rsidRDefault="00BF57E0" w:rsidP="006356C4">
      <w:pPr>
        <w:spacing w:before="120" w:after="120"/>
        <w:rPr>
          <w:rFonts w:eastAsiaTheme="minorHAnsi" w:cstheme="minorBidi"/>
        </w:rPr>
      </w:pPr>
      <w:r w:rsidRPr="00AC107A">
        <w:rPr>
          <w:rFonts w:eastAsiaTheme="minorHAnsi" w:cstheme="minorBidi"/>
        </w:rPr>
        <w:t>The reason for revoking these recovery plans is that a decision has been made by the Minister not to have recovery plans for the relevant species</w:t>
      </w:r>
      <w:r w:rsidR="00E21713" w:rsidRPr="00AC107A">
        <w:rPr>
          <w:rFonts w:eastAsiaTheme="minorHAnsi" w:cstheme="minorBidi"/>
        </w:rPr>
        <w:t xml:space="preserve"> and ecological community</w:t>
      </w:r>
      <w:r w:rsidRPr="00AC107A">
        <w:rPr>
          <w:rFonts w:eastAsiaTheme="minorHAnsi" w:cstheme="minorBidi"/>
        </w:rPr>
        <w:t>.</w:t>
      </w:r>
    </w:p>
    <w:p w14:paraId="5317AD35" w14:textId="77777777" w:rsidR="00FB52D7" w:rsidRPr="00AC107A" w:rsidRDefault="00FB52D7" w:rsidP="00FB52D7">
      <w:pPr>
        <w:spacing w:after="200" w:line="276" w:lineRule="auto"/>
        <w:rPr>
          <w:rFonts w:eastAsia="Calibri"/>
          <w:lang w:eastAsia="en-AU"/>
        </w:rPr>
      </w:pPr>
    </w:p>
    <w:p w14:paraId="4E5CA85D" w14:textId="77777777" w:rsidR="00FB52D7" w:rsidRPr="00AC107A" w:rsidRDefault="00FB52D7" w:rsidP="006356C4">
      <w:pPr>
        <w:pStyle w:val="Heading3"/>
        <w:keepNext w:val="0"/>
        <w:pBdr>
          <w:top w:val="none" w:sz="0" w:space="0" w:color="auto"/>
          <w:left w:val="none" w:sz="0" w:space="0" w:color="auto"/>
          <w:bottom w:val="none" w:sz="0" w:space="0" w:color="auto"/>
          <w:right w:val="none" w:sz="0" w:space="0" w:color="auto"/>
        </w:pBdr>
        <w:spacing w:before="120" w:after="120"/>
        <w:jc w:val="both"/>
        <w:rPr>
          <w:rFonts w:eastAsiaTheme="minorHAnsi" w:cstheme="minorBidi"/>
          <w:b w:val="0"/>
        </w:rPr>
      </w:pPr>
      <w:r w:rsidRPr="00AC107A">
        <w:rPr>
          <w:rFonts w:ascii="Times New Roman" w:eastAsiaTheme="minorHAnsi" w:hAnsi="Times New Roman" w:cstheme="minorBidi"/>
          <w:szCs w:val="24"/>
        </w:rPr>
        <w:t>Human rights implications</w:t>
      </w:r>
    </w:p>
    <w:p w14:paraId="53B3D705" w14:textId="1DDD7EC1" w:rsidR="00FB52D7" w:rsidRPr="00AC107A" w:rsidRDefault="00FB52D7" w:rsidP="006356C4">
      <w:pPr>
        <w:spacing w:before="120" w:after="120"/>
        <w:rPr>
          <w:rFonts w:eastAsiaTheme="minorHAnsi" w:cstheme="minorBidi"/>
        </w:rPr>
      </w:pPr>
      <w:r w:rsidRPr="00AC107A">
        <w:rPr>
          <w:rFonts w:eastAsiaTheme="minorHAnsi" w:cstheme="minorBidi"/>
        </w:rPr>
        <w:t>This Disallowable Legislative Instrument does not engage any of the applicable rights or freedoms.</w:t>
      </w:r>
    </w:p>
    <w:p w14:paraId="59F50BA0" w14:textId="77777777" w:rsidR="00FB52D7" w:rsidRPr="00AC107A" w:rsidRDefault="00FB52D7" w:rsidP="00FB52D7">
      <w:pPr>
        <w:spacing w:after="200" w:line="276" w:lineRule="auto"/>
        <w:rPr>
          <w:rFonts w:eastAsia="Calibri"/>
          <w:lang w:eastAsia="en-AU"/>
        </w:rPr>
      </w:pPr>
    </w:p>
    <w:p w14:paraId="28CBE253" w14:textId="77777777" w:rsidR="00FB52D7" w:rsidRPr="00AC107A" w:rsidRDefault="00FB52D7" w:rsidP="006356C4">
      <w:pPr>
        <w:pStyle w:val="Heading3"/>
        <w:keepNext w:val="0"/>
        <w:pBdr>
          <w:top w:val="none" w:sz="0" w:space="0" w:color="auto"/>
          <w:left w:val="none" w:sz="0" w:space="0" w:color="auto"/>
          <w:bottom w:val="none" w:sz="0" w:space="0" w:color="auto"/>
          <w:right w:val="none" w:sz="0" w:space="0" w:color="auto"/>
        </w:pBdr>
        <w:spacing w:before="120" w:after="120"/>
        <w:jc w:val="both"/>
        <w:rPr>
          <w:rFonts w:eastAsia="Calibri"/>
          <w:lang w:eastAsia="en-AU"/>
        </w:rPr>
      </w:pPr>
      <w:r w:rsidRPr="00AC107A">
        <w:rPr>
          <w:rFonts w:ascii="Times New Roman" w:eastAsiaTheme="minorHAnsi" w:hAnsi="Times New Roman" w:cstheme="minorBidi"/>
          <w:szCs w:val="24"/>
        </w:rPr>
        <w:t>Conclusion</w:t>
      </w:r>
    </w:p>
    <w:p w14:paraId="30B664E4" w14:textId="30383E13" w:rsidR="00FB52D7" w:rsidRPr="00AC107A" w:rsidRDefault="00FB52D7" w:rsidP="001C38D0">
      <w:pPr>
        <w:spacing w:before="120" w:after="120"/>
        <w:rPr>
          <w:rFonts w:eastAsiaTheme="minorHAnsi" w:cstheme="minorBidi"/>
        </w:rPr>
      </w:pPr>
      <w:r w:rsidRPr="00AC107A">
        <w:rPr>
          <w:rFonts w:eastAsiaTheme="minorHAnsi" w:cstheme="minorBidi"/>
        </w:rPr>
        <w:t>This Disallowable Legislative Instrument is compatible with human rights as it does not raise any human rights issues.</w:t>
      </w:r>
    </w:p>
    <w:p w14:paraId="499D1EF8" w14:textId="77777777" w:rsidR="004845E3" w:rsidRPr="00AC107A" w:rsidRDefault="004845E3" w:rsidP="006356C4">
      <w:pPr>
        <w:spacing w:before="120" w:after="120"/>
        <w:rPr>
          <w:rFonts w:eastAsiaTheme="minorHAnsi" w:cstheme="minorBidi"/>
        </w:rPr>
      </w:pPr>
    </w:p>
    <w:p w14:paraId="0D1A95F3" w14:textId="77777777" w:rsidR="004845E3" w:rsidRPr="00593D12" w:rsidRDefault="004845E3" w:rsidP="004845E3">
      <w:pPr>
        <w:spacing w:before="120" w:after="120" w:line="276" w:lineRule="auto"/>
        <w:ind w:left="283" w:right="283"/>
        <w:jc w:val="center"/>
      </w:pPr>
      <w:r w:rsidRPr="00AC107A">
        <w:rPr>
          <w:rFonts w:eastAsia="Calibri"/>
          <w:b/>
          <w:bCs/>
          <w:lang w:eastAsia="en-AU"/>
        </w:rPr>
        <w:t xml:space="preserve">Delegate of the </w:t>
      </w:r>
      <w:r w:rsidRPr="00AC107A">
        <w:rPr>
          <w:b/>
        </w:rPr>
        <w:t>Minister for the Environment and Water</w:t>
      </w:r>
    </w:p>
    <w:p w14:paraId="7C33EE54" w14:textId="77777777" w:rsidR="00FB52D7" w:rsidRPr="00AC107A" w:rsidRDefault="00FB52D7" w:rsidP="005167A5">
      <w:pPr>
        <w:spacing w:after="200" w:line="276" w:lineRule="auto"/>
        <w:rPr>
          <w:rFonts w:eastAsia="Calibri"/>
          <w:lang w:eastAsia="en-AU"/>
        </w:rPr>
      </w:pPr>
    </w:p>
    <w:p w14:paraId="1A832A61" w14:textId="4C61A62D" w:rsidR="006C1491" w:rsidRPr="00AC107A" w:rsidRDefault="006C1491" w:rsidP="006356C4">
      <w:pPr>
        <w:spacing w:before="120" w:after="120"/>
        <w:rPr>
          <w:rFonts w:eastAsia="Calibri"/>
          <w:lang w:eastAsia="en-AU"/>
        </w:rPr>
      </w:pPr>
    </w:p>
    <w:p w14:paraId="42542CD5" w14:textId="77777777" w:rsidR="00FB52D7" w:rsidRPr="00AC107A" w:rsidRDefault="00FB52D7" w:rsidP="6BD986DE">
      <w:pPr>
        <w:pStyle w:val="paragraph"/>
        <w:spacing w:before="0" w:beforeAutospacing="0" w:after="0" w:afterAutospacing="0"/>
        <w:jc w:val="right"/>
        <w:rPr>
          <w:rStyle w:val="normaltextrun"/>
          <w:b/>
          <w:bCs/>
        </w:rPr>
      </w:pPr>
    </w:p>
    <w:p w14:paraId="325C2089" w14:textId="77777777" w:rsidR="00FB52D7" w:rsidRPr="00AC107A" w:rsidRDefault="00FB52D7" w:rsidP="6BD986DE">
      <w:pPr>
        <w:pStyle w:val="paragraph"/>
        <w:spacing w:before="0" w:beforeAutospacing="0" w:after="0" w:afterAutospacing="0"/>
        <w:jc w:val="right"/>
        <w:rPr>
          <w:rStyle w:val="normaltextrun"/>
          <w:b/>
          <w:bCs/>
        </w:rPr>
      </w:pPr>
    </w:p>
    <w:p w14:paraId="595F07CD" w14:textId="77777777" w:rsidR="00FB52D7" w:rsidRPr="00AC107A" w:rsidRDefault="00FB52D7" w:rsidP="6BD986DE">
      <w:pPr>
        <w:pStyle w:val="paragraph"/>
        <w:spacing w:before="0" w:beforeAutospacing="0" w:after="0" w:afterAutospacing="0"/>
        <w:jc w:val="right"/>
        <w:rPr>
          <w:rStyle w:val="normaltextrun"/>
          <w:b/>
          <w:bCs/>
        </w:rPr>
      </w:pPr>
    </w:p>
    <w:p w14:paraId="06C6D965" w14:textId="77777777" w:rsidR="00FB52D7" w:rsidRPr="00AC107A" w:rsidRDefault="00FB52D7" w:rsidP="6BD986DE">
      <w:pPr>
        <w:pStyle w:val="paragraph"/>
        <w:spacing w:before="0" w:beforeAutospacing="0" w:after="0" w:afterAutospacing="0"/>
        <w:jc w:val="right"/>
        <w:rPr>
          <w:rStyle w:val="normaltextrun"/>
          <w:b/>
          <w:bCs/>
        </w:rPr>
      </w:pPr>
    </w:p>
    <w:p w14:paraId="0E6F01DF" w14:textId="77777777" w:rsidR="00FB52D7" w:rsidRPr="00AC107A" w:rsidRDefault="00FB52D7" w:rsidP="6BD986DE">
      <w:pPr>
        <w:pStyle w:val="paragraph"/>
        <w:spacing w:before="0" w:beforeAutospacing="0" w:after="0" w:afterAutospacing="0"/>
        <w:jc w:val="right"/>
        <w:rPr>
          <w:rStyle w:val="normaltextrun"/>
          <w:b/>
          <w:bCs/>
        </w:rPr>
      </w:pPr>
    </w:p>
    <w:p w14:paraId="2A8B65A4" w14:textId="59862DC2" w:rsidR="00FB52D7" w:rsidRPr="00AC107A" w:rsidRDefault="00FB52D7">
      <w:pPr>
        <w:spacing w:after="160" w:line="259" w:lineRule="auto"/>
        <w:rPr>
          <w:rStyle w:val="normaltextrun"/>
          <w:b/>
          <w:bCs/>
          <w:lang w:eastAsia="en-AU"/>
        </w:rPr>
      </w:pPr>
    </w:p>
    <w:p w14:paraId="539890FD" w14:textId="77777777" w:rsidR="005167A5" w:rsidRPr="00AC107A" w:rsidRDefault="005167A5" w:rsidP="006356C4">
      <w:pPr>
        <w:spacing w:after="200" w:line="276" w:lineRule="auto"/>
      </w:pPr>
    </w:p>
    <w:sectPr w:rsidR="005167A5" w:rsidRPr="00AC107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443F" w14:textId="77777777" w:rsidR="000420EB" w:rsidRDefault="000420EB" w:rsidP="00D13D06">
      <w:r>
        <w:separator/>
      </w:r>
    </w:p>
  </w:endnote>
  <w:endnote w:type="continuationSeparator" w:id="0">
    <w:p w14:paraId="6A8699E6" w14:textId="77777777" w:rsidR="000420EB" w:rsidRDefault="000420EB" w:rsidP="00D13D06">
      <w:r>
        <w:continuationSeparator/>
      </w:r>
    </w:p>
  </w:endnote>
  <w:endnote w:type="continuationNotice" w:id="1">
    <w:p w14:paraId="2F734EA2" w14:textId="77777777" w:rsidR="000420EB" w:rsidRDefault="00042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56686"/>
      <w:docPartObj>
        <w:docPartGallery w:val="Page Numbers (Bottom of Page)"/>
        <w:docPartUnique/>
      </w:docPartObj>
    </w:sdtPr>
    <w:sdtEndPr>
      <w:rPr>
        <w:noProof/>
      </w:rPr>
    </w:sdtEndPr>
    <w:sdtContent>
      <w:p w14:paraId="3E26C268" w14:textId="532B5AFD" w:rsidR="00DB1D76" w:rsidRDefault="00DB1D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65DE66" w14:textId="77777777" w:rsidR="00DB1D76" w:rsidRDefault="00DB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EA6A" w14:textId="77777777" w:rsidR="000420EB" w:rsidRDefault="000420EB" w:rsidP="00D13D06">
      <w:r>
        <w:separator/>
      </w:r>
    </w:p>
  </w:footnote>
  <w:footnote w:type="continuationSeparator" w:id="0">
    <w:p w14:paraId="6063B4AC" w14:textId="77777777" w:rsidR="000420EB" w:rsidRDefault="000420EB" w:rsidP="00D13D06">
      <w:r>
        <w:continuationSeparator/>
      </w:r>
    </w:p>
  </w:footnote>
  <w:footnote w:type="continuationNotice" w:id="1">
    <w:p w14:paraId="4AABCEB6" w14:textId="77777777" w:rsidR="000420EB" w:rsidRDefault="00042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28A2"/>
    <w:multiLevelType w:val="hybridMultilevel"/>
    <w:tmpl w:val="0434BB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66DA0144"/>
    <w:multiLevelType w:val="hybridMultilevel"/>
    <w:tmpl w:val="5680F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5B38CA"/>
    <w:multiLevelType w:val="hybridMultilevel"/>
    <w:tmpl w:val="1520D15E"/>
    <w:lvl w:ilvl="0" w:tplc="BE7891C0">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1076661">
    <w:abstractNumId w:val="0"/>
  </w:num>
  <w:num w:numId="2" w16cid:durableId="1906790644">
    <w:abstractNumId w:val="1"/>
  </w:num>
  <w:num w:numId="3" w16cid:durableId="142155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A2"/>
    <w:rsid w:val="000113FA"/>
    <w:rsid w:val="0001302F"/>
    <w:rsid w:val="00023D83"/>
    <w:rsid w:val="00040920"/>
    <w:rsid w:val="000420EB"/>
    <w:rsid w:val="00046F6A"/>
    <w:rsid w:val="000502EE"/>
    <w:rsid w:val="000518E8"/>
    <w:rsid w:val="00053B4F"/>
    <w:rsid w:val="00085185"/>
    <w:rsid w:val="00085830"/>
    <w:rsid w:val="00101B7E"/>
    <w:rsid w:val="00104878"/>
    <w:rsid w:val="00110336"/>
    <w:rsid w:val="00174D95"/>
    <w:rsid w:val="00193087"/>
    <w:rsid w:val="00196748"/>
    <w:rsid w:val="001A1540"/>
    <w:rsid w:val="001A3766"/>
    <w:rsid w:val="001C222A"/>
    <w:rsid w:val="001C38D0"/>
    <w:rsid w:val="001D4803"/>
    <w:rsid w:val="001F33A0"/>
    <w:rsid w:val="00202631"/>
    <w:rsid w:val="00235CDC"/>
    <w:rsid w:val="0023673A"/>
    <w:rsid w:val="00241761"/>
    <w:rsid w:val="002551F4"/>
    <w:rsid w:val="0026142D"/>
    <w:rsid w:val="00277B0C"/>
    <w:rsid w:val="002869BB"/>
    <w:rsid w:val="002D1CE5"/>
    <w:rsid w:val="003046BE"/>
    <w:rsid w:val="00313360"/>
    <w:rsid w:val="003329A6"/>
    <w:rsid w:val="00362E10"/>
    <w:rsid w:val="00365D03"/>
    <w:rsid w:val="00375646"/>
    <w:rsid w:val="003808DD"/>
    <w:rsid w:val="003A5B01"/>
    <w:rsid w:val="003A7A07"/>
    <w:rsid w:val="003B0CDF"/>
    <w:rsid w:val="003C335A"/>
    <w:rsid w:val="003D2007"/>
    <w:rsid w:val="003D4AB5"/>
    <w:rsid w:val="003E69B2"/>
    <w:rsid w:val="003F1575"/>
    <w:rsid w:val="0040550D"/>
    <w:rsid w:val="00417241"/>
    <w:rsid w:val="004248E9"/>
    <w:rsid w:val="0044298C"/>
    <w:rsid w:val="00452DB2"/>
    <w:rsid w:val="00463749"/>
    <w:rsid w:val="004845E3"/>
    <w:rsid w:val="0049741E"/>
    <w:rsid w:val="004A4BAE"/>
    <w:rsid w:val="004A4E04"/>
    <w:rsid w:val="004B114B"/>
    <w:rsid w:val="004F52E2"/>
    <w:rsid w:val="004F6A99"/>
    <w:rsid w:val="005167A5"/>
    <w:rsid w:val="00523FA6"/>
    <w:rsid w:val="00537F7D"/>
    <w:rsid w:val="005670EF"/>
    <w:rsid w:val="0057300D"/>
    <w:rsid w:val="0057794B"/>
    <w:rsid w:val="00581782"/>
    <w:rsid w:val="005B0447"/>
    <w:rsid w:val="005B47C0"/>
    <w:rsid w:val="005C2A6F"/>
    <w:rsid w:val="005C314E"/>
    <w:rsid w:val="005D2B87"/>
    <w:rsid w:val="005E38BB"/>
    <w:rsid w:val="00604752"/>
    <w:rsid w:val="006356C4"/>
    <w:rsid w:val="00637804"/>
    <w:rsid w:val="00644A50"/>
    <w:rsid w:val="00673D62"/>
    <w:rsid w:val="006A15FC"/>
    <w:rsid w:val="006C1491"/>
    <w:rsid w:val="006C6A74"/>
    <w:rsid w:val="006D240D"/>
    <w:rsid w:val="006F1064"/>
    <w:rsid w:val="006F4FC9"/>
    <w:rsid w:val="006F505F"/>
    <w:rsid w:val="00700240"/>
    <w:rsid w:val="00732118"/>
    <w:rsid w:val="00740DDE"/>
    <w:rsid w:val="00743722"/>
    <w:rsid w:val="00744AD3"/>
    <w:rsid w:val="00753B24"/>
    <w:rsid w:val="007544A3"/>
    <w:rsid w:val="00757358"/>
    <w:rsid w:val="00767765"/>
    <w:rsid w:val="00785289"/>
    <w:rsid w:val="007A0C61"/>
    <w:rsid w:val="007B299E"/>
    <w:rsid w:val="007B29F9"/>
    <w:rsid w:val="007B7988"/>
    <w:rsid w:val="007C614A"/>
    <w:rsid w:val="007F14D6"/>
    <w:rsid w:val="007F2D02"/>
    <w:rsid w:val="0080573A"/>
    <w:rsid w:val="00813CCB"/>
    <w:rsid w:val="00830936"/>
    <w:rsid w:val="0083334A"/>
    <w:rsid w:val="008402A6"/>
    <w:rsid w:val="0084101C"/>
    <w:rsid w:val="00856D3F"/>
    <w:rsid w:val="0086089D"/>
    <w:rsid w:val="0086136D"/>
    <w:rsid w:val="00864B49"/>
    <w:rsid w:val="00877220"/>
    <w:rsid w:val="008A6F32"/>
    <w:rsid w:val="008E2BCD"/>
    <w:rsid w:val="008E7E5C"/>
    <w:rsid w:val="0090236C"/>
    <w:rsid w:val="009055DB"/>
    <w:rsid w:val="00915720"/>
    <w:rsid w:val="00920CA2"/>
    <w:rsid w:val="009361BF"/>
    <w:rsid w:val="009453B4"/>
    <w:rsid w:val="00961BEC"/>
    <w:rsid w:val="0096501F"/>
    <w:rsid w:val="00971398"/>
    <w:rsid w:val="00972931"/>
    <w:rsid w:val="009A2149"/>
    <w:rsid w:val="009A448F"/>
    <w:rsid w:val="009A6B5C"/>
    <w:rsid w:val="009C6052"/>
    <w:rsid w:val="00A17944"/>
    <w:rsid w:val="00A227DA"/>
    <w:rsid w:val="00A5202B"/>
    <w:rsid w:val="00A52333"/>
    <w:rsid w:val="00A73FC4"/>
    <w:rsid w:val="00A764B2"/>
    <w:rsid w:val="00A85228"/>
    <w:rsid w:val="00AB44A5"/>
    <w:rsid w:val="00AC107A"/>
    <w:rsid w:val="00AD177C"/>
    <w:rsid w:val="00AE08D6"/>
    <w:rsid w:val="00B02CF0"/>
    <w:rsid w:val="00B20B93"/>
    <w:rsid w:val="00B22659"/>
    <w:rsid w:val="00B33FA6"/>
    <w:rsid w:val="00B465C3"/>
    <w:rsid w:val="00B51FBA"/>
    <w:rsid w:val="00B802FE"/>
    <w:rsid w:val="00BA36E8"/>
    <w:rsid w:val="00BD4416"/>
    <w:rsid w:val="00BF57E0"/>
    <w:rsid w:val="00BF6348"/>
    <w:rsid w:val="00C04B38"/>
    <w:rsid w:val="00C16D8A"/>
    <w:rsid w:val="00C3329F"/>
    <w:rsid w:val="00C65D1D"/>
    <w:rsid w:val="00C85974"/>
    <w:rsid w:val="00CA6AF9"/>
    <w:rsid w:val="00CB5B5F"/>
    <w:rsid w:val="00D03AD0"/>
    <w:rsid w:val="00D13D06"/>
    <w:rsid w:val="00D27F51"/>
    <w:rsid w:val="00D4674F"/>
    <w:rsid w:val="00D7264E"/>
    <w:rsid w:val="00D75C5B"/>
    <w:rsid w:val="00D83385"/>
    <w:rsid w:val="00D92BFE"/>
    <w:rsid w:val="00D9569B"/>
    <w:rsid w:val="00DA4CC5"/>
    <w:rsid w:val="00DB197A"/>
    <w:rsid w:val="00DB1D76"/>
    <w:rsid w:val="00DD0CFA"/>
    <w:rsid w:val="00DE193F"/>
    <w:rsid w:val="00DF02B3"/>
    <w:rsid w:val="00E07B8E"/>
    <w:rsid w:val="00E11204"/>
    <w:rsid w:val="00E21713"/>
    <w:rsid w:val="00E23234"/>
    <w:rsid w:val="00E24069"/>
    <w:rsid w:val="00E46D19"/>
    <w:rsid w:val="00E51A6E"/>
    <w:rsid w:val="00E6130E"/>
    <w:rsid w:val="00E653E3"/>
    <w:rsid w:val="00E7251A"/>
    <w:rsid w:val="00E94D64"/>
    <w:rsid w:val="00EA4F68"/>
    <w:rsid w:val="00EC0DB0"/>
    <w:rsid w:val="00EC62DB"/>
    <w:rsid w:val="00EE5630"/>
    <w:rsid w:val="00F32D1E"/>
    <w:rsid w:val="00F32FFB"/>
    <w:rsid w:val="00F4307F"/>
    <w:rsid w:val="00F444AD"/>
    <w:rsid w:val="00F52FA8"/>
    <w:rsid w:val="00F72845"/>
    <w:rsid w:val="00F73828"/>
    <w:rsid w:val="00F8520C"/>
    <w:rsid w:val="00F87EEA"/>
    <w:rsid w:val="00F96412"/>
    <w:rsid w:val="00FA2A30"/>
    <w:rsid w:val="00FA7661"/>
    <w:rsid w:val="00FB0BF4"/>
    <w:rsid w:val="00FB52D7"/>
    <w:rsid w:val="00FB69AD"/>
    <w:rsid w:val="00FD4EB0"/>
    <w:rsid w:val="00FE3143"/>
    <w:rsid w:val="00FE6810"/>
    <w:rsid w:val="00FE7804"/>
    <w:rsid w:val="01C06FC7"/>
    <w:rsid w:val="01DEDDCF"/>
    <w:rsid w:val="026F337C"/>
    <w:rsid w:val="033B831E"/>
    <w:rsid w:val="035C4028"/>
    <w:rsid w:val="0594F908"/>
    <w:rsid w:val="05C2DFB0"/>
    <w:rsid w:val="06127F53"/>
    <w:rsid w:val="07081106"/>
    <w:rsid w:val="07A08B7C"/>
    <w:rsid w:val="0B49867C"/>
    <w:rsid w:val="107E15A2"/>
    <w:rsid w:val="10BD577D"/>
    <w:rsid w:val="1178E0D5"/>
    <w:rsid w:val="12CA5684"/>
    <w:rsid w:val="12D4D4E3"/>
    <w:rsid w:val="13D3321A"/>
    <w:rsid w:val="1630EF24"/>
    <w:rsid w:val="179DC7A7"/>
    <w:rsid w:val="1CE6E593"/>
    <w:rsid w:val="1CFFE11F"/>
    <w:rsid w:val="1D8FB7DD"/>
    <w:rsid w:val="1F904AC5"/>
    <w:rsid w:val="22CF9338"/>
    <w:rsid w:val="23BEA790"/>
    <w:rsid w:val="25AA439E"/>
    <w:rsid w:val="26232EE2"/>
    <w:rsid w:val="276BAC5F"/>
    <w:rsid w:val="28CE17B7"/>
    <w:rsid w:val="2A92F413"/>
    <w:rsid w:val="2F2B4007"/>
    <w:rsid w:val="30ACA3C3"/>
    <w:rsid w:val="316AE4E4"/>
    <w:rsid w:val="32AB1516"/>
    <w:rsid w:val="332CBDEC"/>
    <w:rsid w:val="361D0403"/>
    <w:rsid w:val="36C15254"/>
    <w:rsid w:val="36F0A05A"/>
    <w:rsid w:val="38480C08"/>
    <w:rsid w:val="392F2F97"/>
    <w:rsid w:val="3954A4C5"/>
    <w:rsid w:val="395EEA96"/>
    <w:rsid w:val="3B70DDF1"/>
    <w:rsid w:val="3C380BFF"/>
    <w:rsid w:val="3FAABDEC"/>
    <w:rsid w:val="3FB2FF33"/>
    <w:rsid w:val="42EAB550"/>
    <w:rsid w:val="4537A3D7"/>
    <w:rsid w:val="464570AD"/>
    <w:rsid w:val="46D37438"/>
    <w:rsid w:val="47793E4F"/>
    <w:rsid w:val="486F4499"/>
    <w:rsid w:val="48B0BDA3"/>
    <w:rsid w:val="48D52784"/>
    <w:rsid w:val="49A97D92"/>
    <w:rsid w:val="4C6D214C"/>
    <w:rsid w:val="4D54E011"/>
    <w:rsid w:val="4E9A38F8"/>
    <w:rsid w:val="52559084"/>
    <w:rsid w:val="532FFE59"/>
    <w:rsid w:val="577ED761"/>
    <w:rsid w:val="5870CF95"/>
    <w:rsid w:val="5CC24FC5"/>
    <w:rsid w:val="5F1100E3"/>
    <w:rsid w:val="5F15CFB5"/>
    <w:rsid w:val="6039D943"/>
    <w:rsid w:val="6168E743"/>
    <w:rsid w:val="62920DF3"/>
    <w:rsid w:val="642C934A"/>
    <w:rsid w:val="666A1825"/>
    <w:rsid w:val="69C83310"/>
    <w:rsid w:val="6A2D65D3"/>
    <w:rsid w:val="6AFBB0AD"/>
    <w:rsid w:val="6B42C437"/>
    <w:rsid w:val="6B548696"/>
    <w:rsid w:val="6B9394A3"/>
    <w:rsid w:val="6BD986DE"/>
    <w:rsid w:val="6D88BA9B"/>
    <w:rsid w:val="6EFC27A8"/>
    <w:rsid w:val="70865AD5"/>
    <w:rsid w:val="72FB415F"/>
    <w:rsid w:val="7355ECF9"/>
    <w:rsid w:val="74358476"/>
    <w:rsid w:val="766BCFF1"/>
    <w:rsid w:val="77F867B2"/>
    <w:rsid w:val="79426088"/>
    <w:rsid w:val="79A326D6"/>
    <w:rsid w:val="7A24A406"/>
    <w:rsid w:val="7B300874"/>
    <w:rsid w:val="7B74D4FE"/>
    <w:rsid w:val="7C9F5E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B363"/>
  <w15:chartTrackingRefBased/>
  <w15:docId w15:val="{9ED12BAF-72AD-4441-9723-E016BCD6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D0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725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52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D13D06"/>
    <w:pPr>
      <w:keepNext/>
      <w:pBdr>
        <w:top w:val="single" w:sz="18" w:space="1" w:color="auto"/>
        <w:left w:val="single" w:sz="18" w:space="4" w:color="auto"/>
        <w:bottom w:val="single" w:sz="18" w:space="1" w:color="auto"/>
        <w:right w:val="single" w:sz="18" w:space="4" w:color="auto"/>
      </w:pBdr>
      <w:jc w:val="center"/>
      <w:outlineLvl w:val="2"/>
    </w:pPr>
    <w:rPr>
      <w:rFonts w:ascii="Arial" w:hAnsi="Arial"/>
      <w:b/>
      <w:szCs w:val="20"/>
    </w:rPr>
  </w:style>
  <w:style w:type="paragraph" w:styleId="Heading4">
    <w:name w:val="heading 4"/>
    <w:basedOn w:val="Normal"/>
    <w:next w:val="Normal"/>
    <w:link w:val="Heading4Char"/>
    <w:qFormat/>
    <w:rsid w:val="00D13D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3D06"/>
    <w:rPr>
      <w:rFonts w:ascii="Arial" w:eastAsia="Times New Roman" w:hAnsi="Arial" w:cs="Times New Roman"/>
      <w:b/>
      <w:kern w:val="0"/>
      <w:sz w:val="24"/>
      <w:szCs w:val="20"/>
      <w14:ligatures w14:val="none"/>
    </w:rPr>
  </w:style>
  <w:style w:type="character" w:customStyle="1" w:styleId="Heading4Char">
    <w:name w:val="Heading 4 Char"/>
    <w:basedOn w:val="DefaultParagraphFont"/>
    <w:link w:val="Heading4"/>
    <w:rsid w:val="00D13D06"/>
    <w:rPr>
      <w:rFonts w:ascii="Times New Roman" w:eastAsia="Times New Roman" w:hAnsi="Times New Roman" w:cs="Times New Roman"/>
      <w:b/>
      <w:bCs/>
      <w:kern w:val="0"/>
      <w:sz w:val="28"/>
      <w:szCs w:val="28"/>
      <w14:ligatures w14:val="none"/>
    </w:rPr>
  </w:style>
  <w:style w:type="paragraph" w:customStyle="1" w:styleId="Subject">
    <w:name w:val="Subject"/>
    <w:basedOn w:val="Normal"/>
    <w:rsid w:val="00D13D06"/>
    <w:pPr>
      <w:spacing w:before="600" w:after="120" w:line="280" w:lineRule="atLeast"/>
      <w:jc w:val="center"/>
    </w:pPr>
    <w:rPr>
      <w:rFonts w:ascii="Palatino" w:hAnsi="Palatino"/>
      <w:b/>
      <w:smallCaps/>
      <w:szCs w:val="20"/>
    </w:rPr>
  </w:style>
  <w:style w:type="paragraph" w:styleId="Header">
    <w:name w:val="header"/>
    <w:basedOn w:val="Normal"/>
    <w:link w:val="HeaderChar"/>
    <w:uiPriority w:val="99"/>
    <w:unhideWhenUsed/>
    <w:rsid w:val="00D13D06"/>
    <w:pPr>
      <w:tabs>
        <w:tab w:val="center" w:pos="4513"/>
        <w:tab w:val="right" w:pos="9026"/>
      </w:tabs>
    </w:pPr>
  </w:style>
  <w:style w:type="character" w:customStyle="1" w:styleId="HeaderChar">
    <w:name w:val="Header Char"/>
    <w:basedOn w:val="DefaultParagraphFont"/>
    <w:link w:val="Header"/>
    <w:uiPriority w:val="99"/>
    <w:rsid w:val="00D13D0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13D06"/>
    <w:pPr>
      <w:tabs>
        <w:tab w:val="center" w:pos="4513"/>
        <w:tab w:val="right" w:pos="9026"/>
      </w:tabs>
    </w:pPr>
  </w:style>
  <w:style w:type="character" w:customStyle="1" w:styleId="FooterChar">
    <w:name w:val="Footer Char"/>
    <w:basedOn w:val="DefaultParagraphFont"/>
    <w:link w:val="Footer"/>
    <w:uiPriority w:val="99"/>
    <w:rsid w:val="00D13D06"/>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E7251A"/>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313360"/>
    <w:rPr>
      <w:sz w:val="16"/>
      <w:szCs w:val="16"/>
    </w:rPr>
  </w:style>
  <w:style w:type="paragraph" w:styleId="CommentText">
    <w:name w:val="annotation text"/>
    <w:basedOn w:val="Normal"/>
    <w:link w:val="CommentTextChar"/>
    <w:uiPriority w:val="99"/>
    <w:unhideWhenUsed/>
    <w:rsid w:val="00313360"/>
    <w:rPr>
      <w:sz w:val="20"/>
      <w:szCs w:val="20"/>
    </w:rPr>
  </w:style>
  <w:style w:type="character" w:customStyle="1" w:styleId="CommentTextChar">
    <w:name w:val="Comment Text Char"/>
    <w:basedOn w:val="DefaultParagraphFont"/>
    <w:link w:val="CommentText"/>
    <w:uiPriority w:val="99"/>
    <w:rsid w:val="0031336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3360"/>
    <w:rPr>
      <w:b/>
      <w:bCs/>
    </w:rPr>
  </w:style>
  <w:style w:type="character" w:customStyle="1" w:styleId="CommentSubjectChar">
    <w:name w:val="Comment Subject Char"/>
    <w:basedOn w:val="CommentTextChar"/>
    <w:link w:val="CommentSubject"/>
    <w:uiPriority w:val="99"/>
    <w:semiHidden/>
    <w:rsid w:val="00313360"/>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33FA6"/>
    <w:pPr>
      <w:spacing w:after="0"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830936"/>
    <w:pPr>
      <w:spacing w:before="100" w:beforeAutospacing="1" w:after="100" w:afterAutospacing="1"/>
    </w:pPr>
    <w:rPr>
      <w:lang w:eastAsia="en-AU"/>
    </w:rPr>
  </w:style>
  <w:style w:type="character" w:customStyle="1" w:styleId="normaltextrun">
    <w:name w:val="normaltextrun"/>
    <w:basedOn w:val="DefaultParagraphFont"/>
    <w:rsid w:val="00830936"/>
  </w:style>
  <w:style w:type="character" w:customStyle="1" w:styleId="eop">
    <w:name w:val="eop"/>
    <w:basedOn w:val="DefaultParagraphFont"/>
    <w:rsid w:val="00830936"/>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C614A"/>
    <w:rPr>
      <w:color w:val="605E5C"/>
      <w:shd w:val="clear" w:color="auto" w:fill="E1DFDD"/>
    </w:rPr>
  </w:style>
  <w:style w:type="character" w:customStyle="1" w:styleId="Heading2Char">
    <w:name w:val="Heading 2 Char"/>
    <w:basedOn w:val="DefaultParagraphFont"/>
    <w:link w:val="Heading2"/>
    <w:uiPriority w:val="9"/>
    <w:rsid w:val="00FB52D7"/>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40550D"/>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6888">
      <w:bodyDiv w:val="1"/>
      <w:marLeft w:val="0"/>
      <w:marRight w:val="0"/>
      <w:marTop w:val="0"/>
      <w:marBottom w:val="0"/>
      <w:divBdr>
        <w:top w:val="none" w:sz="0" w:space="0" w:color="auto"/>
        <w:left w:val="none" w:sz="0" w:space="0" w:color="auto"/>
        <w:bottom w:val="none" w:sz="0" w:space="0" w:color="auto"/>
        <w:right w:val="none" w:sz="0" w:space="0" w:color="auto"/>
      </w:divBdr>
    </w:div>
    <w:div w:id="792597934">
      <w:bodyDiv w:val="1"/>
      <w:marLeft w:val="0"/>
      <w:marRight w:val="0"/>
      <w:marTop w:val="0"/>
      <w:marBottom w:val="0"/>
      <w:divBdr>
        <w:top w:val="none" w:sz="0" w:space="0" w:color="auto"/>
        <w:left w:val="none" w:sz="0" w:space="0" w:color="auto"/>
        <w:bottom w:val="none" w:sz="0" w:space="0" w:color="auto"/>
        <w:right w:val="none" w:sz="0" w:space="0" w:color="auto"/>
      </w:divBdr>
    </w:div>
    <w:div w:id="1011642969">
      <w:bodyDiv w:val="1"/>
      <w:marLeft w:val="0"/>
      <w:marRight w:val="0"/>
      <w:marTop w:val="0"/>
      <w:marBottom w:val="0"/>
      <w:divBdr>
        <w:top w:val="none" w:sz="0" w:space="0" w:color="auto"/>
        <w:left w:val="none" w:sz="0" w:space="0" w:color="auto"/>
        <w:bottom w:val="none" w:sz="0" w:space="0" w:color="auto"/>
        <w:right w:val="none" w:sz="0" w:space="0" w:color="auto"/>
      </w:divBdr>
    </w:div>
    <w:div w:id="1671759924">
      <w:bodyDiv w:val="1"/>
      <w:marLeft w:val="0"/>
      <w:marRight w:val="0"/>
      <w:marTop w:val="0"/>
      <w:marBottom w:val="0"/>
      <w:divBdr>
        <w:top w:val="none" w:sz="0" w:space="0" w:color="auto"/>
        <w:left w:val="none" w:sz="0" w:space="0" w:color="auto"/>
        <w:bottom w:val="none" w:sz="0" w:space="0" w:color="auto"/>
        <w:right w:val="none" w:sz="0" w:space="0" w:color="auto"/>
      </w:divBdr>
    </w:div>
    <w:div w:id="21197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EE7ABA1-41F3-48AC-AE4F-1405CAC433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784e680707a1a090109c484a74efa199">
  <xsd:schema xmlns:xsd="http://www.w3.org/2001/XMLSchema" xmlns:xs="http://www.w3.org/2001/XMLSchema" xmlns:p="http://schemas.microsoft.com/office/2006/metadata/properties" xmlns:ns2="6EE7ABA1-41F3-48AC-AE4F-1405CAC43303" targetNamespace="http://schemas.microsoft.com/office/2006/metadata/properties" ma:root="true" ma:fieldsID="7b53c208c69a012eb00f687f57cee2c2"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56E21-F76F-4CFF-9E99-0C50141F650F}">
  <ds:schemaRefs>
    <ds:schemaRef ds:uri="http://schemas.openxmlformats.org/officeDocument/2006/bibliography"/>
  </ds:schemaRefs>
</ds:datastoreItem>
</file>

<file path=customXml/itemProps2.xml><?xml version="1.0" encoding="utf-8"?>
<ds:datastoreItem xmlns:ds="http://schemas.openxmlformats.org/officeDocument/2006/customXml" ds:itemID="{5D6E8764-9FB5-4B8B-841D-3A7D299816BF}">
  <ds:schemaRefs>
    <ds:schemaRef ds:uri="http://schemas.microsoft.com/office/2006/metadata/properties"/>
    <ds:schemaRef ds:uri="http://schemas.microsoft.com/office/infopath/2007/PartnerControls"/>
    <ds:schemaRef ds:uri="6EE7ABA1-41F3-48AC-AE4F-1405CAC43303"/>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02E11C8A-BA56-44D5-8106-0A52E7E4B51F}">
  <ds:schemaRefs>
    <ds:schemaRef ds:uri="http://schemas.microsoft.com/sharepoint/v3/contenttype/forms"/>
  </ds:schemaRefs>
</ds:datastoreItem>
</file>

<file path=customXml/itemProps4.xml><?xml version="1.0" encoding="utf-8"?>
<ds:datastoreItem xmlns:ds="http://schemas.openxmlformats.org/officeDocument/2006/customXml" ds:itemID="{536AE63F-708B-4AAE-93F5-3FADEEC4F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ABA1-41F3-48AC-AE4F-1405CAC43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Harrison</dc:creator>
  <cp:keywords/>
  <dc:description/>
  <cp:lastModifiedBy>Gray, Bec</cp:lastModifiedBy>
  <cp:revision>8</cp:revision>
  <dcterms:created xsi:type="dcterms:W3CDTF">2024-05-02T04:10:00Z</dcterms:created>
  <dcterms:modified xsi:type="dcterms:W3CDTF">2024-05-29T01:06:00Z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0x010100266966F133664895A6EE3632470D45F50066BDAE6D299D9C4FAF76A4AAD8CC7233</vt:lpwstr>
  </property>
</Properties>
</file>