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F69B" w14:textId="261B0EA1" w:rsidR="00D13D06" w:rsidRPr="00AC107A" w:rsidRDefault="003A23CC" w:rsidP="00D13D06">
      <w:pPr>
        <w:pStyle w:val="Heading4"/>
        <w:jc w:val="center"/>
      </w:pPr>
      <w:r>
        <w:t xml:space="preserve">SUPPLEMENTARY </w:t>
      </w:r>
      <w:r w:rsidR="00D13D06" w:rsidRPr="00AC107A">
        <w:t>EXPLANATORY STATEMENT</w:t>
      </w:r>
    </w:p>
    <w:p w14:paraId="2D7D790B" w14:textId="77777777" w:rsidR="00D13D06" w:rsidRPr="00AC107A" w:rsidRDefault="00D13D06" w:rsidP="00D13D06">
      <w:pPr>
        <w:rPr>
          <w:sz w:val="16"/>
          <w:szCs w:val="16"/>
        </w:rPr>
      </w:pPr>
    </w:p>
    <w:p w14:paraId="41996194" w14:textId="77777777" w:rsidR="00D13D06" w:rsidRPr="00AC107A" w:rsidRDefault="00D13D06" w:rsidP="006356C4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="Times New Roman" w:hAnsi="Times New Roman"/>
          <w:b w:val="0"/>
          <w:bCs/>
          <w:i/>
          <w:iCs/>
          <w:szCs w:val="24"/>
        </w:rPr>
      </w:pPr>
      <w:r w:rsidRPr="00AC107A">
        <w:rPr>
          <w:rFonts w:ascii="Times New Roman" w:hAnsi="Times New Roman"/>
          <w:b w:val="0"/>
          <w:bCs/>
          <w:i/>
          <w:iCs/>
          <w:szCs w:val="24"/>
        </w:rPr>
        <w:t>Environment Protection and Biodiversity Conservation Act 1999</w:t>
      </w:r>
    </w:p>
    <w:p w14:paraId="344148A7" w14:textId="206944DA" w:rsidR="00D13D06" w:rsidRPr="00AC107A" w:rsidRDefault="00B33FA6" w:rsidP="00D13D06">
      <w:pPr>
        <w:pStyle w:val="Subject"/>
        <w:spacing w:before="120" w:line="240" w:lineRule="auto"/>
        <w:rPr>
          <w:rFonts w:ascii="Times New Roman" w:hAnsi="Times New Roman"/>
          <w:bCs/>
          <w:smallCaps w:val="0"/>
          <w:szCs w:val="24"/>
          <w:lang w:val="en-US"/>
        </w:rPr>
      </w:pPr>
      <w:r w:rsidRPr="00AC107A">
        <w:rPr>
          <w:rFonts w:ascii="Times New Roman" w:hAnsi="Times New Roman"/>
          <w:bCs/>
          <w:smallCaps w:val="0"/>
          <w:szCs w:val="24"/>
          <w:lang w:val="en-US"/>
        </w:rPr>
        <w:t>Environment Protection and Biodiversity Conservation (Recovery Plans) Revocation Instrument 2024</w:t>
      </w:r>
    </w:p>
    <w:p w14:paraId="478CF8FF" w14:textId="490A9E13" w:rsidR="00D13D06" w:rsidRPr="00AC107A" w:rsidRDefault="00D13D06" w:rsidP="00D13D06">
      <w:pPr>
        <w:spacing w:before="120" w:after="120"/>
        <w:jc w:val="center"/>
        <w:rPr>
          <w:b/>
          <w:bCs/>
        </w:rPr>
      </w:pPr>
      <w:r w:rsidRPr="4BC7AC19">
        <w:rPr>
          <w:b/>
          <w:bCs/>
        </w:rPr>
        <w:t xml:space="preserve">(Issued under the Authority of </w:t>
      </w:r>
      <w:r w:rsidR="007C614A" w:rsidRPr="4BC7AC19">
        <w:rPr>
          <w:b/>
          <w:bCs/>
        </w:rPr>
        <w:t xml:space="preserve">the Delegate of </w:t>
      </w:r>
      <w:r w:rsidRPr="4BC7AC19">
        <w:rPr>
          <w:b/>
          <w:bCs/>
        </w:rPr>
        <w:t>the Minister for the Environment a</w:t>
      </w:r>
      <w:r w:rsidR="007F14D6" w:rsidRPr="4BC7AC19">
        <w:rPr>
          <w:b/>
          <w:bCs/>
        </w:rPr>
        <w:t>nd Water</w:t>
      </w:r>
      <w:r w:rsidRPr="4BC7AC19">
        <w:rPr>
          <w:b/>
          <w:bCs/>
        </w:rPr>
        <w:t>)</w:t>
      </w:r>
    </w:p>
    <w:p w14:paraId="0E4FB099" w14:textId="5DB35C4F" w:rsidR="000502EE" w:rsidRPr="00AC107A" w:rsidRDefault="000502EE" w:rsidP="4BC7AC19">
      <w:pPr>
        <w:spacing w:before="120" w:after="120"/>
        <w:rPr>
          <w:b/>
          <w:bCs/>
          <w:lang w:eastAsia="en-AU"/>
        </w:rPr>
      </w:pPr>
    </w:p>
    <w:p w14:paraId="5339F64A" w14:textId="3FD46B5B" w:rsidR="000502EE" w:rsidRDefault="000502EE" w:rsidP="4BC7AC19">
      <w:pPr>
        <w:keepNext/>
        <w:spacing w:after="200" w:line="276" w:lineRule="auto"/>
        <w:rPr>
          <w:rFonts w:eastAsia="Calibri"/>
          <w:b/>
          <w:bCs/>
          <w:lang w:eastAsia="en-AU"/>
        </w:rPr>
      </w:pPr>
      <w:r w:rsidRPr="4BC7AC19">
        <w:rPr>
          <w:rFonts w:eastAsia="Calibri"/>
          <w:b/>
          <w:bCs/>
          <w:lang w:eastAsia="en-AU"/>
        </w:rPr>
        <w:t xml:space="preserve">Purpose of the </w:t>
      </w:r>
      <w:r w:rsidR="17DD0D8D" w:rsidRPr="4BC7AC19">
        <w:rPr>
          <w:rFonts w:eastAsia="Calibri"/>
          <w:b/>
          <w:bCs/>
          <w:lang w:eastAsia="en-AU"/>
        </w:rPr>
        <w:t>Supplementary Explanatory Statement</w:t>
      </w:r>
    </w:p>
    <w:p w14:paraId="545A6C3E" w14:textId="1A6F9803" w:rsidR="00D03AD0" w:rsidRDefault="00D03AD0" w:rsidP="1BAC62FC">
      <w:pPr>
        <w:rPr>
          <w:lang w:eastAsia="en-AU"/>
        </w:rPr>
      </w:pPr>
      <w:r>
        <w:t>The purpose of th</w:t>
      </w:r>
      <w:r w:rsidR="009B0AB3">
        <w:t>e</w:t>
      </w:r>
      <w:r>
        <w:t xml:space="preserve"> </w:t>
      </w:r>
      <w:r w:rsidR="57AD7BFA">
        <w:t xml:space="preserve">Supplementary Explanatory Statement is to provide </w:t>
      </w:r>
      <w:r w:rsidR="00E92101" w:rsidRPr="1BAC62FC">
        <w:rPr>
          <w:rFonts w:eastAsia="Calibri"/>
          <w:lang w:eastAsia="en-AU"/>
        </w:rPr>
        <w:t xml:space="preserve">additional information </w:t>
      </w:r>
      <w:r w:rsidR="43C00645" w:rsidRPr="1BAC62FC">
        <w:rPr>
          <w:rFonts w:eastAsia="Calibri"/>
          <w:lang w:eastAsia="en-AU"/>
        </w:rPr>
        <w:t>abo</w:t>
      </w:r>
      <w:r w:rsidR="43C00645" w:rsidRPr="1BAC62FC">
        <w:rPr>
          <w:lang w:eastAsia="en-AU"/>
        </w:rPr>
        <w:t>ut the</w:t>
      </w:r>
      <w:r w:rsidR="00E92101" w:rsidRPr="1BAC62FC">
        <w:rPr>
          <w:lang w:eastAsia="en-AU"/>
        </w:rPr>
        <w:t xml:space="preserve"> consultation that was undertaken </w:t>
      </w:r>
      <w:r w:rsidR="00AF447D">
        <w:rPr>
          <w:lang w:eastAsia="en-AU"/>
        </w:rPr>
        <w:t>prior to the making of</w:t>
      </w:r>
      <w:r w:rsidR="00861B23" w:rsidRPr="1BAC62FC">
        <w:rPr>
          <w:lang w:eastAsia="en-AU"/>
        </w:rPr>
        <w:t xml:space="preserve"> the </w:t>
      </w:r>
      <w:r w:rsidR="006E028D" w:rsidRPr="0801B5C8">
        <w:rPr>
          <w:i/>
          <w:lang w:eastAsia="en-AU"/>
        </w:rPr>
        <w:t>Environment Protection and Biodiversity Conservation (Recovery Plans) Revocation Instrument 2024</w:t>
      </w:r>
      <w:r w:rsidR="006E028D">
        <w:rPr>
          <w:lang w:eastAsia="en-AU"/>
        </w:rPr>
        <w:t xml:space="preserve"> (the </w:t>
      </w:r>
      <w:r w:rsidR="00385278">
        <w:rPr>
          <w:lang w:eastAsia="en-AU"/>
        </w:rPr>
        <w:t xml:space="preserve">revocation </w:t>
      </w:r>
      <w:r w:rsidR="00861B23" w:rsidRPr="1BAC62FC">
        <w:rPr>
          <w:lang w:eastAsia="en-AU"/>
        </w:rPr>
        <w:t>instrument</w:t>
      </w:r>
      <w:r w:rsidR="006E028D">
        <w:rPr>
          <w:lang w:eastAsia="en-AU"/>
        </w:rPr>
        <w:t>)</w:t>
      </w:r>
      <w:r w:rsidR="06B2CF37" w:rsidRPr="1BAC62FC">
        <w:rPr>
          <w:lang w:eastAsia="en-AU"/>
        </w:rPr>
        <w:t>.</w:t>
      </w:r>
    </w:p>
    <w:p w14:paraId="639852FC" w14:textId="77777777" w:rsidR="00644663" w:rsidRDefault="00644663" w:rsidP="1BAC62FC">
      <w:pPr>
        <w:rPr>
          <w:lang w:eastAsia="en-AU"/>
        </w:rPr>
      </w:pPr>
    </w:p>
    <w:p w14:paraId="2D04F626" w14:textId="46277AE3" w:rsidR="00644663" w:rsidRDefault="00001D88" w:rsidP="1BAC62FC">
      <w:pPr>
        <w:rPr>
          <w:color w:val="000000" w:themeColor="text1"/>
          <w:sz w:val="22"/>
          <w:szCs w:val="22"/>
        </w:rPr>
      </w:pPr>
      <w:r>
        <w:rPr>
          <w:rFonts w:eastAsia="Calibri"/>
          <w:b/>
          <w:bCs/>
          <w:lang w:eastAsia="en-AU"/>
        </w:rPr>
        <w:t>Requirements under the Act</w:t>
      </w:r>
    </w:p>
    <w:p w14:paraId="1CCC3230" w14:textId="65CF6FAA" w:rsidR="00FB1B0D" w:rsidRDefault="00FB1B0D" w:rsidP="4BC7AC19">
      <w:pPr>
        <w:rPr>
          <w:color w:val="000000" w:themeColor="text1"/>
          <w:sz w:val="22"/>
          <w:szCs w:val="22"/>
        </w:rPr>
      </w:pPr>
    </w:p>
    <w:p w14:paraId="30C9D1F6" w14:textId="556DDF2B" w:rsidR="006B74A1" w:rsidRDefault="0099174B" w:rsidP="00936051">
      <w:pPr>
        <w:rPr>
          <w:color w:val="000000" w:themeColor="text1"/>
        </w:rPr>
      </w:pPr>
      <w:r>
        <w:rPr>
          <w:color w:val="000000" w:themeColor="text1"/>
        </w:rPr>
        <w:t xml:space="preserve">When </w:t>
      </w:r>
      <w:r w:rsidR="7E520F02" w:rsidRPr="0801B5C8">
        <w:rPr>
          <w:color w:val="000000" w:themeColor="text1"/>
        </w:rPr>
        <w:t>proposing</w:t>
      </w:r>
      <w:r w:rsidR="05A8A1AB" w:rsidRPr="0801B5C8">
        <w:rPr>
          <w:color w:val="000000" w:themeColor="text1"/>
        </w:rPr>
        <w:t xml:space="preserve"> a </w:t>
      </w:r>
      <w:r w:rsidR="00E75A73" w:rsidRPr="00E75A73">
        <w:rPr>
          <w:color w:val="000000" w:themeColor="text1"/>
        </w:rPr>
        <w:t>decision not to have a recovery plan</w:t>
      </w:r>
      <w:r w:rsidR="00245975">
        <w:rPr>
          <w:color w:val="000000" w:themeColor="text1"/>
        </w:rPr>
        <w:t>, s</w:t>
      </w:r>
      <w:r w:rsidR="00FB1B0D">
        <w:rPr>
          <w:color w:val="000000" w:themeColor="text1"/>
        </w:rPr>
        <w:t>ubs</w:t>
      </w:r>
      <w:r w:rsidR="00FB1B0D" w:rsidRPr="008E769A">
        <w:rPr>
          <w:color w:val="000000" w:themeColor="text1"/>
        </w:rPr>
        <w:t>ection 269</w:t>
      </w:r>
      <w:proofErr w:type="gramStart"/>
      <w:r w:rsidR="00FB1B0D" w:rsidRPr="008E769A">
        <w:rPr>
          <w:color w:val="000000" w:themeColor="text1"/>
        </w:rPr>
        <w:t>AA</w:t>
      </w:r>
      <w:r w:rsidR="00FB1B0D">
        <w:rPr>
          <w:color w:val="000000" w:themeColor="text1"/>
        </w:rPr>
        <w:t>(</w:t>
      </w:r>
      <w:proofErr w:type="gramEnd"/>
      <w:r w:rsidR="00FB1B0D">
        <w:rPr>
          <w:color w:val="000000" w:themeColor="text1"/>
        </w:rPr>
        <w:t xml:space="preserve">5) </w:t>
      </w:r>
      <w:r w:rsidR="00FB1B0D" w:rsidRPr="008E769A">
        <w:rPr>
          <w:color w:val="000000" w:themeColor="text1"/>
        </w:rPr>
        <w:t>of the</w:t>
      </w:r>
      <w:r w:rsidR="00FB1B0D">
        <w:rPr>
          <w:color w:val="000000" w:themeColor="text1"/>
        </w:rPr>
        <w:t xml:space="preserve"> </w:t>
      </w:r>
      <w:r w:rsidR="00892373" w:rsidRPr="00C81CEA">
        <w:rPr>
          <w:i/>
          <w:iCs/>
          <w:color w:val="000000" w:themeColor="text1"/>
        </w:rPr>
        <w:t>Environment Protection and Biodiversity Conservation Act 1999</w:t>
      </w:r>
      <w:r w:rsidR="00892373" w:rsidRPr="00C81CEA">
        <w:rPr>
          <w:color w:val="000000" w:themeColor="text1"/>
        </w:rPr>
        <w:t xml:space="preserve"> </w:t>
      </w:r>
      <w:r w:rsidR="00892373">
        <w:rPr>
          <w:color w:val="000000" w:themeColor="text1"/>
        </w:rPr>
        <w:t xml:space="preserve">(the </w:t>
      </w:r>
      <w:r w:rsidR="00FB1B0D">
        <w:rPr>
          <w:color w:val="000000" w:themeColor="text1"/>
        </w:rPr>
        <w:t>Act</w:t>
      </w:r>
      <w:r w:rsidR="00892373">
        <w:rPr>
          <w:color w:val="000000" w:themeColor="text1"/>
        </w:rPr>
        <w:t>)</w:t>
      </w:r>
      <w:r w:rsidR="00FB1B0D">
        <w:rPr>
          <w:color w:val="000000" w:themeColor="text1"/>
        </w:rPr>
        <w:t xml:space="preserve"> </w:t>
      </w:r>
      <w:r w:rsidR="006B74A1">
        <w:rPr>
          <w:color w:val="000000" w:themeColor="text1"/>
        </w:rPr>
        <w:t>provides that</w:t>
      </w:r>
      <w:r w:rsidR="00166016" w:rsidRPr="0801B5C8">
        <w:rPr>
          <w:color w:val="000000" w:themeColor="text1"/>
          <w:sz w:val="22"/>
          <w:szCs w:val="22"/>
        </w:rPr>
        <w:t xml:space="preserve"> </w:t>
      </w:r>
      <w:r w:rsidR="00862332" w:rsidRPr="00862332">
        <w:rPr>
          <w:color w:val="000000" w:themeColor="text1"/>
        </w:rPr>
        <w:t>the Minister must</w:t>
      </w:r>
      <w:r w:rsidR="00862332">
        <w:rPr>
          <w:color w:val="000000" w:themeColor="text1"/>
        </w:rPr>
        <w:t>:</w:t>
      </w:r>
    </w:p>
    <w:p w14:paraId="23ECCA39" w14:textId="77777777" w:rsidR="00C35779" w:rsidRDefault="00C35779" w:rsidP="00936051">
      <w:pPr>
        <w:rPr>
          <w:color w:val="000000" w:themeColor="text1"/>
        </w:rPr>
      </w:pPr>
    </w:p>
    <w:p w14:paraId="60863612" w14:textId="2C1D3990" w:rsidR="00862332" w:rsidRDefault="00B879A5" w:rsidP="0074437F">
      <w:pPr>
        <w:numPr>
          <w:ilvl w:val="0"/>
          <w:numId w:val="11"/>
        </w:numPr>
      </w:pPr>
      <w:r w:rsidRPr="00B879A5">
        <w:t xml:space="preserve">ask the </w:t>
      </w:r>
      <w:r w:rsidR="0039075F">
        <w:t xml:space="preserve">Threatened Species </w:t>
      </w:r>
      <w:r w:rsidRPr="00B879A5">
        <w:t xml:space="preserve">Scientific Committee </w:t>
      </w:r>
      <w:r w:rsidR="0039075F">
        <w:t xml:space="preserve">(TSSC) </w:t>
      </w:r>
      <w:r w:rsidRPr="00B879A5">
        <w:t>for advice relating to the proposed decision</w:t>
      </w:r>
      <w:r w:rsidR="0074437F" w:rsidRPr="0801B5C8">
        <w:rPr>
          <w:color w:val="000000" w:themeColor="text1"/>
          <w:sz w:val="22"/>
          <w:szCs w:val="22"/>
          <w:lang w:eastAsia="en-AU"/>
        </w:rPr>
        <w:t xml:space="preserve"> and </w:t>
      </w:r>
      <w:r w:rsidR="0074437F" w:rsidRPr="0074437F">
        <w:t>take account of</w:t>
      </w:r>
      <w:r w:rsidR="0074437F">
        <w:t xml:space="preserve"> </w:t>
      </w:r>
      <w:r w:rsidR="0074437F" w:rsidRPr="0074437F">
        <w:t xml:space="preserve">any advice provided by the </w:t>
      </w:r>
      <w:r w:rsidR="0039075F">
        <w:t xml:space="preserve">TSSC </w:t>
      </w:r>
      <w:r w:rsidR="0074437F" w:rsidRPr="0074437F">
        <w:t>in relation to the proposed decision</w:t>
      </w:r>
      <w:r w:rsidR="00E91956">
        <w:t xml:space="preserve">; and </w:t>
      </w:r>
    </w:p>
    <w:p w14:paraId="356E36D9" w14:textId="78360986" w:rsidR="00003030" w:rsidRPr="00C81CEA" w:rsidRDefault="00FD5D37" w:rsidP="0801B5C8">
      <w:pPr>
        <w:numPr>
          <w:ilvl w:val="0"/>
          <w:numId w:val="11"/>
        </w:numPr>
      </w:pPr>
      <w:r w:rsidRPr="00FD5D37">
        <w:t>publish a notice inviting comments on the proposed decision</w:t>
      </w:r>
      <w:r w:rsidR="008D1C87">
        <w:t xml:space="preserve"> and take account of </w:t>
      </w:r>
      <w:r w:rsidR="00D17BB4">
        <w:t>th</w:t>
      </w:r>
      <w:r w:rsidR="00D17BB4" w:rsidRPr="00D17BB4">
        <w:t xml:space="preserve">e comments </w:t>
      </w:r>
      <w:r w:rsidR="00680F5B">
        <w:t>received</w:t>
      </w:r>
      <w:r w:rsidR="00D17BB4" w:rsidRPr="00D17BB4">
        <w:t xml:space="preserve"> in response to the notice</w:t>
      </w:r>
      <w:r w:rsidR="0074437F">
        <w:t>.</w:t>
      </w:r>
    </w:p>
    <w:p w14:paraId="41268E30" w14:textId="1AD39FF0" w:rsidR="4BC7AC19" w:rsidRDefault="4BC7AC19" w:rsidP="4BC7AC19">
      <w:pPr>
        <w:rPr>
          <w:color w:val="000000" w:themeColor="text1"/>
          <w:sz w:val="22"/>
          <w:szCs w:val="22"/>
          <w:lang w:eastAsia="en-AU"/>
        </w:rPr>
      </w:pPr>
    </w:p>
    <w:p w14:paraId="6C36C793" w14:textId="11818E11" w:rsidR="06B2CF37" w:rsidRDefault="06B2CF37" w:rsidP="4BC7AC19">
      <w:pPr>
        <w:rPr>
          <w:b/>
          <w:bCs/>
          <w:lang w:eastAsia="en-AU"/>
        </w:rPr>
      </w:pPr>
      <w:r w:rsidRPr="4BC7AC19">
        <w:rPr>
          <w:b/>
          <w:bCs/>
          <w:lang w:eastAsia="en-AU"/>
        </w:rPr>
        <w:t>Consultation</w:t>
      </w:r>
    </w:p>
    <w:p w14:paraId="6D1FD22B" w14:textId="53793155" w:rsidR="4BC7AC19" w:rsidRPr="00F573A2" w:rsidRDefault="4BC7AC19" w:rsidP="4BC7AC19">
      <w:pPr>
        <w:rPr>
          <w:rFonts w:eastAsia="Calibri"/>
          <w:u w:val="single"/>
          <w:lang w:eastAsia="en-AU"/>
        </w:rPr>
      </w:pPr>
    </w:p>
    <w:p w14:paraId="3D501448" w14:textId="2DA17EB1" w:rsidR="4BC7AC19" w:rsidRPr="00F573A2" w:rsidRDefault="003E5382" w:rsidP="4BC7AC19">
      <w:r w:rsidRPr="00F573A2">
        <w:t>The public comment process</w:t>
      </w:r>
      <w:r w:rsidR="00892373">
        <w:t xml:space="preserve"> was</w:t>
      </w:r>
      <w:r w:rsidRPr="00F573A2">
        <w:t xml:space="preserve"> open from 17 September 2021 to 2 November 2021</w:t>
      </w:r>
      <w:r w:rsidR="00892373">
        <w:t>.</w:t>
      </w:r>
      <w:r w:rsidRPr="00F573A2">
        <w:t xml:space="preserve"> Comments could be provided by completing the survey on the ‘Have Your Say’ platform or provided by post or email to the Department. </w:t>
      </w:r>
    </w:p>
    <w:p w14:paraId="0EB21D82" w14:textId="695CCAFC" w:rsidR="00F205AE" w:rsidRDefault="00B4445A" w:rsidP="0801B5C8">
      <w:pPr>
        <w:pStyle w:val="NormalWeb"/>
      </w:pPr>
      <w:r>
        <w:t>Themes in the consultation included</w:t>
      </w:r>
      <w:r w:rsidR="00195A81">
        <w:t xml:space="preserve"> the benefits of </w:t>
      </w:r>
      <w:r w:rsidR="00E15BFC">
        <w:t>r</w:t>
      </w:r>
      <w:r w:rsidR="00195A81">
        <w:t xml:space="preserve">ecovery </w:t>
      </w:r>
      <w:r w:rsidR="00E15BFC">
        <w:t>p</w:t>
      </w:r>
      <w:r w:rsidR="00195A81">
        <w:t xml:space="preserve">lans, </w:t>
      </w:r>
      <w:r w:rsidR="008951FA">
        <w:t xml:space="preserve">actions to improve </w:t>
      </w:r>
      <w:r w:rsidR="00E15BFC">
        <w:t>r</w:t>
      </w:r>
      <w:r w:rsidR="008951FA">
        <w:t xml:space="preserve">ecovery </w:t>
      </w:r>
      <w:r w:rsidR="00E15BFC">
        <w:t>p</w:t>
      </w:r>
      <w:r w:rsidR="008951FA">
        <w:t>lans, the approach taken to Conservation Advice and consultation processes</w:t>
      </w:r>
      <w:r w:rsidR="008B128E">
        <w:t xml:space="preserve">, the principles </w:t>
      </w:r>
      <w:r w:rsidR="00160ADA">
        <w:t>to be applied by the TSSC</w:t>
      </w:r>
      <w:r w:rsidR="008951FA">
        <w:t xml:space="preserve"> and </w:t>
      </w:r>
      <w:r w:rsidR="008B128E">
        <w:t xml:space="preserve">funding for recovery actions/programs. </w:t>
      </w:r>
      <w:r>
        <w:t xml:space="preserve"> </w:t>
      </w:r>
    </w:p>
    <w:p w14:paraId="1F8DB07A" w14:textId="3B6735E4" w:rsidR="00780CF6" w:rsidRDefault="00571652" w:rsidP="003E5382">
      <w:proofErr w:type="gramStart"/>
      <w:r w:rsidRPr="00C20F29">
        <w:rPr>
          <w:lang w:val="en-US"/>
        </w:rPr>
        <w:t>Taking into account</w:t>
      </w:r>
      <w:proofErr w:type="gramEnd"/>
      <w:r w:rsidRPr="00C20F29">
        <w:rPr>
          <w:lang w:val="en-US"/>
        </w:rPr>
        <w:t xml:space="preserve"> </w:t>
      </w:r>
      <w:r w:rsidR="00793FC9">
        <w:rPr>
          <w:lang w:val="en-US"/>
        </w:rPr>
        <w:t xml:space="preserve">the </w:t>
      </w:r>
      <w:r w:rsidR="00793FC9" w:rsidRPr="00C20F29">
        <w:rPr>
          <w:lang w:val="en-US"/>
        </w:rPr>
        <w:t>consultation comments</w:t>
      </w:r>
      <w:r w:rsidR="003E5382" w:rsidRPr="00F573A2" w:rsidDel="00390469">
        <w:rPr>
          <w:lang w:val="en-US"/>
        </w:rPr>
        <w:t xml:space="preserve">, the </w:t>
      </w:r>
      <w:r w:rsidR="00F7277A">
        <w:rPr>
          <w:lang w:val="en-US"/>
        </w:rPr>
        <w:t xml:space="preserve">TSSC </w:t>
      </w:r>
      <w:r w:rsidR="00793FC9">
        <w:rPr>
          <w:lang w:val="en-US"/>
        </w:rPr>
        <w:t xml:space="preserve">advised </w:t>
      </w:r>
      <w:r w:rsidR="003E5382" w:rsidRPr="00F573A2" w:rsidDel="00390469">
        <w:rPr>
          <w:lang w:val="en-US"/>
        </w:rPr>
        <w:t xml:space="preserve">the </w:t>
      </w:r>
      <w:r w:rsidR="00C20F29">
        <w:rPr>
          <w:lang w:val="en-US"/>
        </w:rPr>
        <w:t xml:space="preserve">former </w:t>
      </w:r>
      <w:r w:rsidR="003E5382" w:rsidRPr="00F573A2" w:rsidDel="00390469">
        <w:rPr>
          <w:lang w:val="en-US"/>
        </w:rPr>
        <w:t>Minister</w:t>
      </w:r>
      <w:r w:rsidR="00E15BFC">
        <w:rPr>
          <w:lang w:val="en-US"/>
        </w:rPr>
        <w:t xml:space="preserve"> for the Environment (former Minister)</w:t>
      </w:r>
      <w:r w:rsidR="003E5382" w:rsidRPr="00F573A2" w:rsidDel="00390469">
        <w:rPr>
          <w:lang w:val="en-US"/>
        </w:rPr>
        <w:t xml:space="preserve"> that 1</w:t>
      </w:r>
      <w:r w:rsidR="00892373">
        <w:rPr>
          <w:lang w:val="en-US"/>
        </w:rPr>
        <w:t>76</w:t>
      </w:r>
      <w:r w:rsidR="003E5382" w:rsidRPr="00F573A2" w:rsidDel="00390469">
        <w:rPr>
          <w:lang w:val="en-US"/>
        </w:rPr>
        <w:t xml:space="preserve"> species and ecological communities did not require a recovery plan. </w:t>
      </w:r>
      <w:r w:rsidR="00793FC9">
        <w:t xml:space="preserve">In </w:t>
      </w:r>
      <w:r w:rsidR="00180244">
        <w:t>March 2022</w:t>
      </w:r>
      <w:r w:rsidR="003E5382" w:rsidRPr="00F573A2">
        <w:t xml:space="preserve">, the former Minister </w:t>
      </w:r>
      <w:r w:rsidR="00C90288">
        <w:t xml:space="preserve">decided not to have a recovery plan for these 176 species and ecological communities. </w:t>
      </w:r>
    </w:p>
    <w:p w14:paraId="0DE7A78C" w14:textId="77777777" w:rsidR="00780CF6" w:rsidRDefault="00780CF6" w:rsidP="003E5382"/>
    <w:p w14:paraId="0EF263E4" w14:textId="20750F91" w:rsidR="003E5382" w:rsidRPr="00F573A2" w:rsidRDefault="00C90288" w:rsidP="003E5382">
      <w:r>
        <w:t>In mak</w:t>
      </w:r>
      <w:r w:rsidR="00780CF6">
        <w:t>ing</w:t>
      </w:r>
      <w:r>
        <w:t xml:space="preserve"> the decision, the former Minister </w:t>
      </w:r>
      <w:r w:rsidR="003E5382" w:rsidRPr="00F573A2">
        <w:t>was provided with and considered</w:t>
      </w:r>
      <w:r w:rsidR="00007D13">
        <w:t>:</w:t>
      </w:r>
    </w:p>
    <w:p w14:paraId="03EED66F" w14:textId="28380ADF" w:rsidR="003E5382" w:rsidRPr="00F573A2" w:rsidRDefault="005B597B" w:rsidP="0801B5C8">
      <w:pPr>
        <w:pStyle w:val="NormalWeb"/>
        <w:numPr>
          <w:ilvl w:val="0"/>
          <w:numId w:val="14"/>
        </w:numPr>
      </w:pPr>
      <w:r>
        <w:t>a</w:t>
      </w:r>
      <w:r w:rsidRPr="00F573A2">
        <w:t xml:space="preserve">ll </w:t>
      </w:r>
      <w:r w:rsidR="003E5382" w:rsidRPr="00F573A2">
        <w:t>public comments received through the public consultation process (</w:t>
      </w:r>
      <w:r w:rsidR="000024AF">
        <w:t xml:space="preserve">subparagraph </w:t>
      </w:r>
      <w:r w:rsidR="4E91D56F">
        <w:t>269AA</w:t>
      </w:r>
      <w:r w:rsidR="003E5382" w:rsidRPr="00F573A2">
        <w:t>(5)(c)(ii) of the Act);</w:t>
      </w:r>
      <w:r w:rsidR="00A17A9F">
        <w:t xml:space="preserve"> </w:t>
      </w:r>
    </w:p>
    <w:p w14:paraId="7CA50111" w14:textId="27E4145E" w:rsidR="003E5382" w:rsidRPr="00F573A2" w:rsidRDefault="005B597B" w:rsidP="0801B5C8">
      <w:pPr>
        <w:pStyle w:val="NormalWeb"/>
        <w:numPr>
          <w:ilvl w:val="0"/>
          <w:numId w:val="14"/>
        </w:numPr>
      </w:pPr>
      <w:r>
        <w:t>t</w:t>
      </w:r>
      <w:r w:rsidRPr="00F573A2">
        <w:t xml:space="preserve">he </w:t>
      </w:r>
      <w:r w:rsidR="003E5382" w:rsidRPr="00F573A2">
        <w:t xml:space="preserve">advice and recommendations </w:t>
      </w:r>
      <w:r w:rsidR="00E958CE">
        <w:t>of</w:t>
      </w:r>
      <w:r w:rsidR="00E958CE" w:rsidRPr="00F573A2">
        <w:t xml:space="preserve"> </w:t>
      </w:r>
      <w:r w:rsidR="003E5382" w:rsidRPr="00F573A2">
        <w:t xml:space="preserve">the </w:t>
      </w:r>
      <w:r w:rsidR="00E958CE">
        <w:t xml:space="preserve">TSSC </w:t>
      </w:r>
      <w:r w:rsidR="003E5382" w:rsidRPr="00F573A2">
        <w:t>for each of the 176 species and ecological communities (</w:t>
      </w:r>
      <w:r w:rsidR="0058421D">
        <w:t xml:space="preserve">subparagraph </w:t>
      </w:r>
      <w:r w:rsidR="003E5382" w:rsidRPr="00F573A2">
        <w:t>269AA(5)(c)(</w:t>
      </w:r>
      <w:proofErr w:type="spellStart"/>
      <w:r w:rsidR="003E5382" w:rsidRPr="00F573A2">
        <w:t>i</w:t>
      </w:r>
      <w:proofErr w:type="spellEnd"/>
      <w:r w:rsidR="003E5382" w:rsidRPr="00F573A2">
        <w:t xml:space="preserve">) of the </w:t>
      </w:r>
      <w:r w:rsidR="003E5382" w:rsidRPr="00F573A2" w:rsidDel="00421E5C">
        <w:t>Act</w:t>
      </w:r>
      <w:proofErr w:type="gramStart"/>
      <w:r w:rsidR="003E5382" w:rsidRPr="00F573A2">
        <w:t>);</w:t>
      </w:r>
      <w:proofErr w:type="gramEnd"/>
    </w:p>
    <w:p w14:paraId="6126D179" w14:textId="0127DD34" w:rsidR="003E5382" w:rsidRPr="00F573A2" w:rsidRDefault="005B597B" w:rsidP="0801B5C8">
      <w:pPr>
        <w:pStyle w:val="NormalWeb"/>
        <w:numPr>
          <w:ilvl w:val="0"/>
          <w:numId w:val="14"/>
        </w:numPr>
      </w:pPr>
      <w:r>
        <w:lastRenderedPageBreak/>
        <w:t>t</w:t>
      </w:r>
      <w:r w:rsidRPr="00F573A2">
        <w:t xml:space="preserve">he </w:t>
      </w:r>
      <w:r w:rsidR="003E5382" w:rsidRPr="00F573A2">
        <w:t>precautionary principle as required by s</w:t>
      </w:r>
      <w:r w:rsidR="00B01993">
        <w:t xml:space="preserve">ection </w:t>
      </w:r>
      <w:r w:rsidR="003E5382" w:rsidRPr="00F573A2">
        <w:t>391 of the</w:t>
      </w:r>
      <w:r w:rsidR="00421E5C">
        <w:t xml:space="preserve"> </w:t>
      </w:r>
      <w:r w:rsidR="003E5382" w:rsidRPr="00F573A2">
        <w:t>Act;</w:t>
      </w:r>
    </w:p>
    <w:p w14:paraId="293F092B" w14:textId="1244F9FE" w:rsidR="003E5382" w:rsidRPr="00F573A2" w:rsidRDefault="005B597B" w:rsidP="0801B5C8">
      <w:pPr>
        <w:pStyle w:val="NormalWeb"/>
        <w:numPr>
          <w:ilvl w:val="0"/>
          <w:numId w:val="14"/>
        </w:numPr>
      </w:pPr>
      <w:r>
        <w:t>o</w:t>
      </w:r>
      <w:r w:rsidRPr="00F573A2">
        <w:t xml:space="preserve">utcomes </w:t>
      </w:r>
      <w:r w:rsidR="003E5382" w:rsidRPr="00F573A2">
        <w:t xml:space="preserve">of consultation with </w:t>
      </w:r>
      <w:r w:rsidR="00E15BFC">
        <w:t>S</w:t>
      </w:r>
      <w:r w:rsidR="003E5382" w:rsidRPr="00F573A2">
        <w:t xml:space="preserve">tate and </w:t>
      </w:r>
      <w:r w:rsidR="00E15BFC">
        <w:t>T</w:t>
      </w:r>
      <w:r w:rsidR="003E5382" w:rsidRPr="00F573A2">
        <w:t xml:space="preserve">erritory </w:t>
      </w:r>
      <w:proofErr w:type="gramStart"/>
      <w:r w:rsidR="003E5382" w:rsidRPr="00F573A2">
        <w:t>Governments;</w:t>
      </w:r>
      <w:proofErr w:type="gramEnd"/>
      <w:r w:rsidR="003E5382" w:rsidRPr="00F573A2">
        <w:t xml:space="preserve"> </w:t>
      </w:r>
    </w:p>
    <w:p w14:paraId="35C94139" w14:textId="715DC411" w:rsidR="0801B5C8" w:rsidRDefault="005B597B" w:rsidP="00762236">
      <w:pPr>
        <w:pStyle w:val="NormalWeb"/>
        <w:numPr>
          <w:ilvl w:val="0"/>
          <w:numId w:val="14"/>
        </w:numPr>
      </w:pPr>
      <w:r>
        <w:t>o</w:t>
      </w:r>
      <w:r w:rsidRPr="00F573A2">
        <w:t xml:space="preserve">utcomes </w:t>
      </w:r>
      <w:r w:rsidR="003E5382" w:rsidRPr="00F573A2">
        <w:t>of consultation with relevant Australian Government departments.</w:t>
      </w:r>
    </w:p>
    <w:p w14:paraId="168E0E25" w14:textId="3021FE72" w:rsidR="3212A12C" w:rsidRDefault="00180244" w:rsidP="4BC7AC19">
      <w:pPr>
        <w:rPr>
          <w:highlight w:val="yellow"/>
          <w:u w:val="single"/>
        </w:rPr>
      </w:pPr>
      <w:r>
        <w:t>T</w:t>
      </w:r>
      <w:r w:rsidR="00AB0B6D" w:rsidRPr="00AB0B6D">
        <w:t xml:space="preserve">he </w:t>
      </w:r>
      <w:r w:rsidR="25FC2698">
        <w:t>D</w:t>
      </w:r>
      <w:r w:rsidR="7B71207C">
        <w:t>elegate</w:t>
      </w:r>
      <w:r w:rsidR="00AB0B6D" w:rsidRPr="00AB0B6D">
        <w:t xml:space="preserve"> </w:t>
      </w:r>
      <w:r w:rsidR="00466E9D">
        <w:t xml:space="preserve">considered </w:t>
      </w:r>
      <w:r w:rsidR="00C3252A">
        <w:t>the</w:t>
      </w:r>
      <w:r w:rsidR="001C1BDE">
        <w:t xml:space="preserve"> </w:t>
      </w:r>
      <w:r w:rsidR="00133657">
        <w:t>consultation outcome</w:t>
      </w:r>
      <w:r w:rsidR="00A967EF">
        <w:t xml:space="preserve"> and </w:t>
      </w:r>
      <w:r w:rsidR="00466E9D">
        <w:t xml:space="preserve">the </w:t>
      </w:r>
      <w:r w:rsidR="00A967EF">
        <w:t>TSSC’s advice</w:t>
      </w:r>
      <w:r w:rsidR="00133657">
        <w:t xml:space="preserve"> </w:t>
      </w:r>
      <w:r w:rsidR="00A967EF">
        <w:t xml:space="preserve">when </w:t>
      </w:r>
      <w:r w:rsidR="00133657">
        <w:t>giving effect to the former Minister’s decision in the revo</w:t>
      </w:r>
      <w:r w:rsidR="00112D55">
        <w:t>cation instrument</w:t>
      </w:r>
      <w:r w:rsidR="00AB0B6D">
        <w:t>.</w:t>
      </w:r>
    </w:p>
    <w:sectPr w:rsidR="3212A1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C81A1" w14:textId="77777777" w:rsidR="007D112B" w:rsidRDefault="007D112B" w:rsidP="00D13D06">
      <w:r>
        <w:separator/>
      </w:r>
    </w:p>
  </w:endnote>
  <w:endnote w:type="continuationSeparator" w:id="0">
    <w:p w14:paraId="455501A3" w14:textId="77777777" w:rsidR="007D112B" w:rsidRDefault="007D112B" w:rsidP="00D13D06">
      <w:r>
        <w:continuationSeparator/>
      </w:r>
    </w:p>
  </w:endnote>
  <w:endnote w:type="continuationNotice" w:id="1">
    <w:p w14:paraId="6EE3D2AC" w14:textId="77777777" w:rsidR="007D112B" w:rsidRDefault="007D1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6769" w14:textId="77777777" w:rsidR="00C04D93" w:rsidRDefault="00C04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3756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6C268" w14:textId="532B5AFD" w:rsidR="00DB1D76" w:rsidRDefault="00DB1D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5DE66" w14:textId="77777777" w:rsidR="00DB1D76" w:rsidRDefault="00DB1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3BE3" w14:textId="77777777" w:rsidR="00C04D93" w:rsidRDefault="00C04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70DE" w14:textId="77777777" w:rsidR="007D112B" w:rsidRDefault="007D112B" w:rsidP="00D13D06">
      <w:r>
        <w:separator/>
      </w:r>
    </w:p>
  </w:footnote>
  <w:footnote w:type="continuationSeparator" w:id="0">
    <w:p w14:paraId="078BD0FB" w14:textId="77777777" w:rsidR="007D112B" w:rsidRDefault="007D112B" w:rsidP="00D13D06">
      <w:r>
        <w:continuationSeparator/>
      </w:r>
    </w:p>
  </w:footnote>
  <w:footnote w:type="continuationNotice" w:id="1">
    <w:p w14:paraId="4958C86E" w14:textId="77777777" w:rsidR="007D112B" w:rsidRDefault="007D1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3DE9" w14:textId="77777777" w:rsidR="00C04D93" w:rsidRDefault="00C04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AD5A" w14:textId="77777777" w:rsidR="00C04D93" w:rsidRDefault="00C04D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176D" w14:textId="77777777" w:rsidR="00C04D93" w:rsidRDefault="00C04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42C"/>
    <w:multiLevelType w:val="hybridMultilevel"/>
    <w:tmpl w:val="E1785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49E"/>
    <w:multiLevelType w:val="hybridMultilevel"/>
    <w:tmpl w:val="5F2EC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E009"/>
    <w:multiLevelType w:val="hybridMultilevel"/>
    <w:tmpl w:val="020A70A4"/>
    <w:lvl w:ilvl="0" w:tplc="D8BA14A2">
      <w:start w:val="1"/>
      <w:numFmt w:val="decimal"/>
      <w:lvlText w:val="%1."/>
      <w:lvlJc w:val="left"/>
      <w:pPr>
        <w:ind w:left="720" w:hanging="360"/>
      </w:pPr>
    </w:lvl>
    <w:lvl w:ilvl="1" w:tplc="D7021E30">
      <w:start w:val="1"/>
      <w:numFmt w:val="lowerLetter"/>
      <w:lvlText w:val="%2."/>
      <w:lvlJc w:val="left"/>
      <w:pPr>
        <w:ind w:left="1080" w:hanging="360"/>
      </w:pPr>
    </w:lvl>
    <w:lvl w:ilvl="2" w:tplc="5FFE00A2">
      <w:start w:val="1"/>
      <w:numFmt w:val="lowerRoman"/>
      <w:lvlText w:val="%3."/>
      <w:lvlJc w:val="right"/>
      <w:pPr>
        <w:ind w:left="2160" w:hanging="180"/>
      </w:pPr>
    </w:lvl>
    <w:lvl w:ilvl="3" w:tplc="823CA014">
      <w:start w:val="1"/>
      <w:numFmt w:val="decimal"/>
      <w:lvlText w:val="%4."/>
      <w:lvlJc w:val="left"/>
      <w:pPr>
        <w:ind w:left="2880" w:hanging="360"/>
      </w:pPr>
    </w:lvl>
    <w:lvl w:ilvl="4" w:tplc="9F1A1D42">
      <w:start w:val="1"/>
      <w:numFmt w:val="lowerLetter"/>
      <w:lvlText w:val="%5."/>
      <w:lvlJc w:val="left"/>
      <w:pPr>
        <w:ind w:left="3600" w:hanging="360"/>
      </w:pPr>
    </w:lvl>
    <w:lvl w:ilvl="5" w:tplc="B6E4DD1C">
      <w:start w:val="1"/>
      <w:numFmt w:val="lowerRoman"/>
      <w:lvlText w:val="%6."/>
      <w:lvlJc w:val="right"/>
      <w:pPr>
        <w:ind w:left="4320" w:hanging="180"/>
      </w:pPr>
    </w:lvl>
    <w:lvl w:ilvl="6" w:tplc="073499E4">
      <w:start w:val="1"/>
      <w:numFmt w:val="decimal"/>
      <w:lvlText w:val="%7."/>
      <w:lvlJc w:val="left"/>
      <w:pPr>
        <w:ind w:left="5040" w:hanging="360"/>
      </w:pPr>
    </w:lvl>
    <w:lvl w:ilvl="7" w:tplc="6EFA0A0A">
      <w:start w:val="1"/>
      <w:numFmt w:val="lowerLetter"/>
      <w:lvlText w:val="%8."/>
      <w:lvlJc w:val="left"/>
      <w:pPr>
        <w:ind w:left="5760" w:hanging="360"/>
      </w:pPr>
    </w:lvl>
    <w:lvl w:ilvl="8" w:tplc="72549E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3436"/>
    <w:multiLevelType w:val="multilevel"/>
    <w:tmpl w:val="880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8A2"/>
    <w:multiLevelType w:val="hybridMultilevel"/>
    <w:tmpl w:val="0434BB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9E7F28"/>
    <w:multiLevelType w:val="multilevel"/>
    <w:tmpl w:val="C920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491E74"/>
    <w:multiLevelType w:val="hybridMultilevel"/>
    <w:tmpl w:val="20442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18B1"/>
    <w:multiLevelType w:val="hybridMultilevel"/>
    <w:tmpl w:val="2384FD9C"/>
    <w:lvl w:ilvl="0" w:tplc="0C8E1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48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21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B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A8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AD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E6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A9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47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A0144"/>
    <w:multiLevelType w:val="hybridMultilevel"/>
    <w:tmpl w:val="5680F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5753"/>
    <w:multiLevelType w:val="hybridMultilevel"/>
    <w:tmpl w:val="8B3AB8E4"/>
    <w:lvl w:ilvl="0" w:tplc="B4C0D214">
      <w:start w:val="1"/>
      <w:numFmt w:val="decimal"/>
      <w:lvlText w:val="%1."/>
      <w:lvlJc w:val="left"/>
      <w:pPr>
        <w:ind w:left="720" w:hanging="360"/>
      </w:pPr>
    </w:lvl>
    <w:lvl w:ilvl="1" w:tplc="C1FC905E">
      <w:start w:val="2"/>
      <w:numFmt w:val="lowerLetter"/>
      <w:lvlText w:val="%2."/>
      <w:lvlJc w:val="left"/>
      <w:pPr>
        <w:ind w:left="1080" w:hanging="360"/>
      </w:pPr>
    </w:lvl>
    <w:lvl w:ilvl="2" w:tplc="F75AE530">
      <w:start w:val="1"/>
      <w:numFmt w:val="lowerRoman"/>
      <w:lvlText w:val="%3."/>
      <w:lvlJc w:val="right"/>
      <w:pPr>
        <w:ind w:left="2160" w:hanging="180"/>
      </w:pPr>
    </w:lvl>
    <w:lvl w:ilvl="3" w:tplc="1C8A487C">
      <w:start w:val="1"/>
      <w:numFmt w:val="decimal"/>
      <w:lvlText w:val="%4."/>
      <w:lvlJc w:val="left"/>
      <w:pPr>
        <w:ind w:left="2880" w:hanging="360"/>
      </w:pPr>
    </w:lvl>
    <w:lvl w:ilvl="4" w:tplc="4DBCB44A">
      <w:start w:val="1"/>
      <w:numFmt w:val="lowerLetter"/>
      <w:lvlText w:val="%5."/>
      <w:lvlJc w:val="left"/>
      <w:pPr>
        <w:ind w:left="3600" w:hanging="360"/>
      </w:pPr>
    </w:lvl>
    <w:lvl w:ilvl="5" w:tplc="03427526">
      <w:start w:val="1"/>
      <w:numFmt w:val="lowerRoman"/>
      <w:lvlText w:val="%6."/>
      <w:lvlJc w:val="right"/>
      <w:pPr>
        <w:ind w:left="4320" w:hanging="180"/>
      </w:pPr>
    </w:lvl>
    <w:lvl w:ilvl="6" w:tplc="A26ED698">
      <w:start w:val="1"/>
      <w:numFmt w:val="decimal"/>
      <w:lvlText w:val="%7."/>
      <w:lvlJc w:val="left"/>
      <w:pPr>
        <w:ind w:left="5040" w:hanging="360"/>
      </w:pPr>
    </w:lvl>
    <w:lvl w:ilvl="7" w:tplc="2314F884">
      <w:start w:val="1"/>
      <w:numFmt w:val="lowerLetter"/>
      <w:lvlText w:val="%8."/>
      <w:lvlJc w:val="left"/>
      <w:pPr>
        <w:ind w:left="5760" w:hanging="360"/>
      </w:pPr>
    </w:lvl>
    <w:lvl w:ilvl="8" w:tplc="812600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B38CA"/>
    <w:multiLevelType w:val="hybridMultilevel"/>
    <w:tmpl w:val="1520D15E"/>
    <w:lvl w:ilvl="0" w:tplc="BE7891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A5752"/>
    <w:multiLevelType w:val="hybridMultilevel"/>
    <w:tmpl w:val="950C86F2"/>
    <w:lvl w:ilvl="0" w:tplc="64023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BD7BC2"/>
    <w:multiLevelType w:val="multilevel"/>
    <w:tmpl w:val="1A0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E8C20E"/>
    <w:multiLevelType w:val="hybridMultilevel"/>
    <w:tmpl w:val="052A78AC"/>
    <w:lvl w:ilvl="0" w:tplc="CAC6C958">
      <w:start w:val="1"/>
      <w:numFmt w:val="decimal"/>
      <w:lvlText w:val="%1."/>
      <w:lvlJc w:val="left"/>
      <w:pPr>
        <w:ind w:left="720" w:hanging="360"/>
      </w:pPr>
    </w:lvl>
    <w:lvl w:ilvl="1" w:tplc="B3F6945E">
      <w:start w:val="3"/>
      <w:numFmt w:val="lowerLetter"/>
      <w:lvlText w:val="%2."/>
      <w:lvlJc w:val="left"/>
      <w:pPr>
        <w:ind w:left="1080" w:hanging="360"/>
      </w:pPr>
    </w:lvl>
    <w:lvl w:ilvl="2" w:tplc="59D83678">
      <w:start w:val="1"/>
      <w:numFmt w:val="lowerRoman"/>
      <w:lvlText w:val="%3."/>
      <w:lvlJc w:val="right"/>
      <w:pPr>
        <w:ind w:left="2160" w:hanging="180"/>
      </w:pPr>
    </w:lvl>
    <w:lvl w:ilvl="3" w:tplc="ED00C0C4">
      <w:start w:val="1"/>
      <w:numFmt w:val="decimal"/>
      <w:lvlText w:val="%4."/>
      <w:lvlJc w:val="left"/>
      <w:pPr>
        <w:ind w:left="2880" w:hanging="360"/>
      </w:pPr>
    </w:lvl>
    <w:lvl w:ilvl="4" w:tplc="9FE8F178">
      <w:start w:val="1"/>
      <w:numFmt w:val="lowerLetter"/>
      <w:lvlText w:val="%5."/>
      <w:lvlJc w:val="left"/>
      <w:pPr>
        <w:ind w:left="3600" w:hanging="360"/>
      </w:pPr>
    </w:lvl>
    <w:lvl w:ilvl="5" w:tplc="3E2EE68E">
      <w:start w:val="1"/>
      <w:numFmt w:val="lowerRoman"/>
      <w:lvlText w:val="%6."/>
      <w:lvlJc w:val="right"/>
      <w:pPr>
        <w:ind w:left="4320" w:hanging="180"/>
      </w:pPr>
    </w:lvl>
    <w:lvl w:ilvl="6" w:tplc="9224D55A">
      <w:start w:val="1"/>
      <w:numFmt w:val="decimal"/>
      <w:lvlText w:val="%7."/>
      <w:lvlJc w:val="left"/>
      <w:pPr>
        <w:ind w:left="5040" w:hanging="360"/>
      </w:pPr>
    </w:lvl>
    <w:lvl w:ilvl="7" w:tplc="9BFCC07A">
      <w:start w:val="1"/>
      <w:numFmt w:val="lowerLetter"/>
      <w:lvlText w:val="%8."/>
      <w:lvlJc w:val="left"/>
      <w:pPr>
        <w:ind w:left="5760" w:hanging="360"/>
      </w:pPr>
    </w:lvl>
    <w:lvl w:ilvl="8" w:tplc="B0D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64FE8"/>
    <w:multiLevelType w:val="multilevel"/>
    <w:tmpl w:val="79D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9150245">
    <w:abstractNumId w:val="7"/>
  </w:num>
  <w:num w:numId="2" w16cid:durableId="427240268">
    <w:abstractNumId w:val="13"/>
  </w:num>
  <w:num w:numId="3" w16cid:durableId="902789454">
    <w:abstractNumId w:val="9"/>
  </w:num>
  <w:num w:numId="4" w16cid:durableId="1542090376">
    <w:abstractNumId w:val="2"/>
  </w:num>
  <w:num w:numId="5" w16cid:durableId="2001076661">
    <w:abstractNumId w:val="4"/>
  </w:num>
  <w:num w:numId="6" w16cid:durableId="1906790644">
    <w:abstractNumId w:val="8"/>
  </w:num>
  <w:num w:numId="7" w16cid:durableId="1421557517">
    <w:abstractNumId w:val="10"/>
  </w:num>
  <w:num w:numId="8" w16cid:durableId="1927380943">
    <w:abstractNumId w:val="11"/>
  </w:num>
  <w:num w:numId="9" w16cid:durableId="740059339">
    <w:abstractNumId w:val="0"/>
  </w:num>
  <w:num w:numId="10" w16cid:durableId="1178079906">
    <w:abstractNumId w:val="1"/>
  </w:num>
  <w:num w:numId="11" w16cid:durableId="1187792235">
    <w:abstractNumId w:val="12"/>
  </w:num>
  <w:num w:numId="12" w16cid:durableId="977028762">
    <w:abstractNumId w:val="6"/>
  </w:num>
  <w:num w:numId="13" w16cid:durableId="352348302">
    <w:abstractNumId w:val="14"/>
  </w:num>
  <w:num w:numId="14" w16cid:durableId="2005082702">
    <w:abstractNumId w:val="5"/>
  </w:num>
  <w:num w:numId="15" w16cid:durableId="625893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A2"/>
    <w:rsid w:val="00001D88"/>
    <w:rsid w:val="000024AF"/>
    <w:rsid w:val="00003030"/>
    <w:rsid w:val="00007D13"/>
    <w:rsid w:val="0001055C"/>
    <w:rsid w:val="000113FA"/>
    <w:rsid w:val="000125B5"/>
    <w:rsid w:val="0001302F"/>
    <w:rsid w:val="00017CD8"/>
    <w:rsid w:val="00023D83"/>
    <w:rsid w:val="00040920"/>
    <w:rsid w:val="000420EB"/>
    <w:rsid w:val="000426ED"/>
    <w:rsid w:val="00046F6A"/>
    <w:rsid w:val="000502EE"/>
    <w:rsid w:val="000518E8"/>
    <w:rsid w:val="00053B4F"/>
    <w:rsid w:val="00063C79"/>
    <w:rsid w:val="00077DCB"/>
    <w:rsid w:val="00085185"/>
    <w:rsid w:val="00085830"/>
    <w:rsid w:val="000D659B"/>
    <w:rsid w:val="00101B7E"/>
    <w:rsid w:val="00103215"/>
    <w:rsid w:val="00104878"/>
    <w:rsid w:val="00110336"/>
    <w:rsid w:val="00112D55"/>
    <w:rsid w:val="00133657"/>
    <w:rsid w:val="00160ADA"/>
    <w:rsid w:val="00166016"/>
    <w:rsid w:val="00172750"/>
    <w:rsid w:val="00174D95"/>
    <w:rsid w:val="00180244"/>
    <w:rsid w:val="001837AF"/>
    <w:rsid w:val="0019197E"/>
    <w:rsid w:val="00193087"/>
    <w:rsid w:val="00195A81"/>
    <w:rsid w:val="00196748"/>
    <w:rsid w:val="001A1540"/>
    <w:rsid w:val="001A3766"/>
    <w:rsid w:val="001A4907"/>
    <w:rsid w:val="001B1ECF"/>
    <w:rsid w:val="001B415F"/>
    <w:rsid w:val="001C1BDE"/>
    <w:rsid w:val="001C222A"/>
    <w:rsid w:val="001C38D0"/>
    <w:rsid w:val="001C5CED"/>
    <w:rsid w:val="001D4803"/>
    <w:rsid w:val="001F33A0"/>
    <w:rsid w:val="00202631"/>
    <w:rsid w:val="00204BDF"/>
    <w:rsid w:val="002141ED"/>
    <w:rsid w:val="00221F0A"/>
    <w:rsid w:val="00233AC1"/>
    <w:rsid w:val="00235CDC"/>
    <w:rsid w:val="0023673A"/>
    <w:rsid w:val="00241761"/>
    <w:rsid w:val="00245975"/>
    <w:rsid w:val="002551F4"/>
    <w:rsid w:val="0026142D"/>
    <w:rsid w:val="00267D0B"/>
    <w:rsid w:val="00273369"/>
    <w:rsid w:val="002771F1"/>
    <w:rsid w:val="00277B0C"/>
    <w:rsid w:val="002869BB"/>
    <w:rsid w:val="00287CCC"/>
    <w:rsid w:val="002C05B6"/>
    <w:rsid w:val="002D1CE5"/>
    <w:rsid w:val="002D405F"/>
    <w:rsid w:val="002D7B21"/>
    <w:rsid w:val="002E5396"/>
    <w:rsid w:val="003046BE"/>
    <w:rsid w:val="00313360"/>
    <w:rsid w:val="00317D1D"/>
    <w:rsid w:val="0032187B"/>
    <w:rsid w:val="00324679"/>
    <w:rsid w:val="00326E23"/>
    <w:rsid w:val="003329A6"/>
    <w:rsid w:val="00343CFC"/>
    <w:rsid w:val="00362E10"/>
    <w:rsid w:val="00365D03"/>
    <w:rsid w:val="00375646"/>
    <w:rsid w:val="003808DD"/>
    <w:rsid w:val="00385278"/>
    <w:rsid w:val="00390469"/>
    <w:rsid w:val="0039075F"/>
    <w:rsid w:val="00392D6F"/>
    <w:rsid w:val="003A1F19"/>
    <w:rsid w:val="003A23CC"/>
    <w:rsid w:val="003A5B01"/>
    <w:rsid w:val="003A7A07"/>
    <w:rsid w:val="003B0CDF"/>
    <w:rsid w:val="003B5102"/>
    <w:rsid w:val="003C335A"/>
    <w:rsid w:val="003C3719"/>
    <w:rsid w:val="003D041E"/>
    <w:rsid w:val="003D2007"/>
    <w:rsid w:val="003D4AB5"/>
    <w:rsid w:val="003E1A69"/>
    <w:rsid w:val="003E3506"/>
    <w:rsid w:val="003E5382"/>
    <w:rsid w:val="003E69B2"/>
    <w:rsid w:val="003F1575"/>
    <w:rsid w:val="0040550D"/>
    <w:rsid w:val="00416361"/>
    <w:rsid w:val="00417241"/>
    <w:rsid w:val="00421E5C"/>
    <w:rsid w:val="004248E9"/>
    <w:rsid w:val="0044298C"/>
    <w:rsid w:val="00452DB2"/>
    <w:rsid w:val="00463749"/>
    <w:rsid w:val="00466E9D"/>
    <w:rsid w:val="004845E3"/>
    <w:rsid w:val="00487A40"/>
    <w:rsid w:val="0049741E"/>
    <w:rsid w:val="004A39F1"/>
    <w:rsid w:val="004A4BAE"/>
    <w:rsid w:val="004A4C76"/>
    <w:rsid w:val="004A4DC1"/>
    <w:rsid w:val="004A4E04"/>
    <w:rsid w:val="004A64B4"/>
    <w:rsid w:val="004B0578"/>
    <w:rsid w:val="004B114B"/>
    <w:rsid w:val="004B3CC8"/>
    <w:rsid w:val="004B4716"/>
    <w:rsid w:val="004B5CCD"/>
    <w:rsid w:val="004B7ACA"/>
    <w:rsid w:val="004D3351"/>
    <w:rsid w:val="004F52E2"/>
    <w:rsid w:val="004F6A99"/>
    <w:rsid w:val="005167A5"/>
    <w:rsid w:val="00523FA6"/>
    <w:rsid w:val="00537F7D"/>
    <w:rsid w:val="00540B72"/>
    <w:rsid w:val="00546CC8"/>
    <w:rsid w:val="005670EF"/>
    <w:rsid w:val="00571652"/>
    <w:rsid w:val="0057300D"/>
    <w:rsid w:val="0057794B"/>
    <w:rsid w:val="00581782"/>
    <w:rsid w:val="0058255C"/>
    <w:rsid w:val="0058421D"/>
    <w:rsid w:val="005A1FF7"/>
    <w:rsid w:val="005B0447"/>
    <w:rsid w:val="005B47C0"/>
    <w:rsid w:val="005B597B"/>
    <w:rsid w:val="005C2A6F"/>
    <w:rsid w:val="005C314E"/>
    <w:rsid w:val="005D2B87"/>
    <w:rsid w:val="005D5C2F"/>
    <w:rsid w:val="005E0C80"/>
    <w:rsid w:val="005E38BB"/>
    <w:rsid w:val="005F0219"/>
    <w:rsid w:val="005F24CB"/>
    <w:rsid w:val="00604752"/>
    <w:rsid w:val="00606E47"/>
    <w:rsid w:val="0062788C"/>
    <w:rsid w:val="006356C4"/>
    <w:rsid w:val="00637804"/>
    <w:rsid w:val="00644663"/>
    <w:rsid w:val="00644A50"/>
    <w:rsid w:val="00673D62"/>
    <w:rsid w:val="00680F5B"/>
    <w:rsid w:val="006A15FC"/>
    <w:rsid w:val="006B23DE"/>
    <w:rsid w:val="006B74A1"/>
    <w:rsid w:val="006C1491"/>
    <w:rsid w:val="006C6A74"/>
    <w:rsid w:val="006D240D"/>
    <w:rsid w:val="006E028D"/>
    <w:rsid w:val="006F1064"/>
    <w:rsid w:val="006F4FC9"/>
    <w:rsid w:val="006F505F"/>
    <w:rsid w:val="00700240"/>
    <w:rsid w:val="00711152"/>
    <w:rsid w:val="00732118"/>
    <w:rsid w:val="00740DDE"/>
    <w:rsid w:val="00743722"/>
    <w:rsid w:val="0074437F"/>
    <w:rsid w:val="00744AD3"/>
    <w:rsid w:val="00753B24"/>
    <w:rsid w:val="007544A3"/>
    <w:rsid w:val="00757358"/>
    <w:rsid w:val="00762236"/>
    <w:rsid w:val="00766564"/>
    <w:rsid w:val="00767765"/>
    <w:rsid w:val="00770E50"/>
    <w:rsid w:val="00780CF6"/>
    <w:rsid w:val="00785289"/>
    <w:rsid w:val="00793FC9"/>
    <w:rsid w:val="007A0C61"/>
    <w:rsid w:val="007B299E"/>
    <w:rsid w:val="007B29F9"/>
    <w:rsid w:val="007B2CA6"/>
    <w:rsid w:val="007B7988"/>
    <w:rsid w:val="007C41A9"/>
    <w:rsid w:val="007C614A"/>
    <w:rsid w:val="007D112B"/>
    <w:rsid w:val="007F14D6"/>
    <w:rsid w:val="007F2D02"/>
    <w:rsid w:val="0080178C"/>
    <w:rsid w:val="0080573A"/>
    <w:rsid w:val="00813CCB"/>
    <w:rsid w:val="00816A8B"/>
    <w:rsid w:val="00830647"/>
    <w:rsid w:val="00830936"/>
    <w:rsid w:val="0083334A"/>
    <w:rsid w:val="008402A6"/>
    <w:rsid w:val="0084101C"/>
    <w:rsid w:val="008419EC"/>
    <w:rsid w:val="00856D3F"/>
    <w:rsid w:val="0086089D"/>
    <w:rsid w:val="0086136D"/>
    <w:rsid w:val="00861B23"/>
    <w:rsid w:val="00862332"/>
    <w:rsid w:val="00864B49"/>
    <w:rsid w:val="00877220"/>
    <w:rsid w:val="008773DF"/>
    <w:rsid w:val="00892373"/>
    <w:rsid w:val="008951FA"/>
    <w:rsid w:val="008A6F32"/>
    <w:rsid w:val="008B128E"/>
    <w:rsid w:val="008B3EAC"/>
    <w:rsid w:val="008D1317"/>
    <w:rsid w:val="008D1C87"/>
    <w:rsid w:val="008D6291"/>
    <w:rsid w:val="008E2BCD"/>
    <w:rsid w:val="008E56E8"/>
    <w:rsid w:val="008E7E5C"/>
    <w:rsid w:val="0090236C"/>
    <w:rsid w:val="009055DB"/>
    <w:rsid w:val="00912067"/>
    <w:rsid w:val="00915720"/>
    <w:rsid w:val="009171C5"/>
    <w:rsid w:val="00920CA2"/>
    <w:rsid w:val="00936051"/>
    <w:rsid w:val="009361BF"/>
    <w:rsid w:val="00937DF7"/>
    <w:rsid w:val="00941610"/>
    <w:rsid w:val="00941F55"/>
    <w:rsid w:val="009453B4"/>
    <w:rsid w:val="00961BEC"/>
    <w:rsid w:val="0096501F"/>
    <w:rsid w:val="00971398"/>
    <w:rsid w:val="00972931"/>
    <w:rsid w:val="0099174B"/>
    <w:rsid w:val="009A2149"/>
    <w:rsid w:val="009A448F"/>
    <w:rsid w:val="009A6B5C"/>
    <w:rsid w:val="009B0AB3"/>
    <w:rsid w:val="009B36E3"/>
    <w:rsid w:val="009C6052"/>
    <w:rsid w:val="00A07C84"/>
    <w:rsid w:val="00A123DD"/>
    <w:rsid w:val="00A17944"/>
    <w:rsid w:val="00A17A9F"/>
    <w:rsid w:val="00A227DA"/>
    <w:rsid w:val="00A330F6"/>
    <w:rsid w:val="00A35AE5"/>
    <w:rsid w:val="00A36820"/>
    <w:rsid w:val="00A5202B"/>
    <w:rsid w:val="00A52333"/>
    <w:rsid w:val="00A5627D"/>
    <w:rsid w:val="00A73FC4"/>
    <w:rsid w:val="00A764B2"/>
    <w:rsid w:val="00A85228"/>
    <w:rsid w:val="00A967EF"/>
    <w:rsid w:val="00AB0B6D"/>
    <w:rsid w:val="00AB44A5"/>
    <w:rsid w:val="00AC107A"/>
    <w:rsid w:val="00AD177C"/>
    <w:rsid w:val="00AE08D6"/>
    <w:rsid w:val="00AE6A4B"/>
    <w:rsid w:val="00AF447D"/>
    <w:rsid w:val="00AF59D3"/>
    <w:rsid w:val="00B01993"/>
    <w:rsid w:val="00B02CF0"/>
    <w:rsid w:val="00B10929"/>
    <w:rsid w:val="00B20B93"/>
    <w:rsid w:val="00B22659"/>
    <w:rsid w:val="00B262DA"/>
    <w:rsid w:val="00B27551"/>
    <w:rsid w:val="00B33FA6"/>
    <w:rsid w:val="00B4445A"/>
    <w:rsid w:val="00B465C3"/>
    <w:rsid w:val="00B51FBA"/>
    <w:rsid w:val="00B617C3"/>
    <w:rsid w:val="00B802FE"/>
    <w:rsid w:val="00B879A5"/>
    <w:rsid w:val="00BA36E8"/>
    <w:rsid w:val="00BD4416"/>
    <w:rsid w:val="00BE44ED"/>
    <w:rsid w:val="00BF3A23"/>
    <w:rsid w:val="00BF57E0"/>
    <w:rsid w:val="00BF6348"/>
    <w:rsid w:val="00C000D2"/>
    <w:rsid w:val="00C04B38"/>
    <w:rsid w:val="00C04D90"/>
    <w:rsid w:val="00C04D93"/>
    <w:rsid w:val="00C13B20"/>
    <w:rsid w:val="00C16D8A"/>
    <w:rsid w:val="00C20F29"/>
    <w:rsid w:val="00C32379"/>
    <w:rsid w:val="00C3252A"/>
    <w:rsid w:val="00C3329F"/>
    <w:rsid w:val="00C35779"/>
    <w:rsid w:val="00C611F9"/>
    <w:rsid w:val="00C63BEE"/>
    <w:rsid w:val="00C65D1D"/>
    <w:rsid w:val="00C67F90"/>
    <w:rsid w:val="00C81CEA"/>
    <w:rsid w:val="00C85974"/>
    <w:rsid w:val="00C90288"/>
    <w:rsid w:val="00CA6AF9"/>
    <w:rsid w:val="00CB5916"/>
    <w:rsid w:val="00CB5B5F"/>
    <w:rsid w:val="00CC7464"/>
    <w:rsid w:val="00D03AD0"/>
    <w:rsid w:val="00D13D06"/>
    <w:rsid w:val="00D17BB4"/>
    <w:rsid w:val="00D20787"/>
    <w:rsid w:val="00D27F51"/>
    <w:rsid w:val="00D37064"/>
    <w:rsid w:val="00D445BA"/>
    <w:rsid w:val="00D4674F"/>
    <w:rsid w:val="00D4687C"/>
    <w:rsid w:val="00D7064A"/>
    <w:rsid w:val="00D7264E"/>
    <w:rsid w:val="00D75C5B"/>
    <w:rsid w:val="00D813B7"/>
    <w:rsid w:val="00D83385"/>
    <w:rsid w:val="00D92BFE"/>
    <w:rsid w:val="00D934DF"/>
    <w:rsid w:val="00D9569B"/>
    <w:rsid w:val="00DA4CC5"/>
    <w:rsid w:val="00DB011F"/>
    <w:rsid w:val="00DB197A"/>
    <w:rsid w:val="00DB1D76"/>
    <w:rsid w:val="00DD0CFA"/>
    <w:rsid w:val="00DE193F"/>
    <w:rsid w:val="00DF02B3"/>
    <w:rsid w:val="00E04694"/>
    <w:rsid w:val="00E07B8E"/>
    <w:rsid w:val="00E11204"/>
    <w:rsid w:val="00E15BFC"/>
    <w:rsid w:val="00E21713"/>
    <w:rsid w:val="00E23234"/>
    <w:rsid w:val="00E24069"/>
    <w:rsid w:val="00E46D19"/>
    <w:rsid w:val="00E51A6E"/>
    <w:rsid w:val="00E6130E"/>
    <w:rsid w:val="00E63899"/>
    <w:rsid w:val="00E653E3"/>
    <w:rsid w:val="00E7251A"/>
    <w:rsid w:val="00E75A73"/>
    <w:rsid w:val="00E91956"/>
    <w:rsid w:val="00E91FCC"/>
    <w:rsid w:val="00E92101"/>
    <w:rsid w:val="00E94D64"/>
    <w:rsid w:val="00E958CE"/>
    <w:rsid w:val="00EA4F68"/>
    <w:rsid w:val="00EC0DB0"/>
    <w:rsid w:val="00EC62DB"/>
    <w:rsid w:val="00EE5630"/>
    <w:rsid w:val="00F205AE"/>
    <w:rsid w:val="00F32D1E"/>
    <w:rsid w:val="00F32FFB"/>
    <w:rsid w:val="00F35DA7"/>
    <w:rsid w:val="00F4307F"/>
    <w:rsid w:val="00F444AD"/>
    <w:rsid w:val="00F52FA8"/>
    <w:rsid w:val="00F573A2"/>
    <w:rsid w:val="00F66DA3"/>
    <w:rsid w:val="00F7277A"/>
    <w:rsid w:val="00F72845"/>
    <w:rsid w:val="00F73828"/>
    <w:rsid w:val="00F8520C"/>
    <w:rsid w:val="00F87EEA"/>
    <w:rsid w:val="00F96412"/>
    <w:rsid w:val="00FA1373"/>
    <w:rsid w:val="00FA2A30"/>
    <w:rsid w:val="00FA7661"/>
    <w:rsid w:val="00FB0BF4"/>
    <w:rsid w:val="00FB1B0D"/>
    <w:rsid w:val="00FB52D7"/>
    <w:rsid w:val="00FB69AD"/>
    <w:rsid w:val="00FD2562"/>
    <w:rsid w:val="00FD4EB0"/>
    <w:rsid w:val="00FD5D37"/>
    <w:rsid w:val="00FE3143"/>
    <w:rsid w:val="00FE6810"/>
    <w:rsid w:val="00FE7804"/>
    <w:rsid w:val="00FF56FE"/>
    <w:rsid w:val="01272DDF"/>
    <w:rsid w:val="01789236"/>
    <w:rsid w:val="01A9F82D"/>
    <w:rsid w:val="01C06FC7"/>
    <w:rsid w:val="01DEDDCF"/>
    <w:rsid w:val="026F337C"/>
    <w:rsid w:val="033B831E"/>
    <w:rsid w:val="035C4028"/>
    <w:rsid w:val="0594F908"/>
    <w:rsid w:val="05A8A1AB"/>
    <w:rsid w:val="05C2DFB0"/>
    <w:rsid w:val="06127F53"/>
    <w:rsid w:val="06409275"/>
    <w:rsid w:val="06B2CF37"/>
    <w:rsid w:val="06CAE9DB"/>
    <w:rsid w:val="07081106"/>
    <w:rsid w:val="07A08B7C"/>
    <w:rsid w:val="0801B5C8"/>
    <w:rsid w:val="0B49867C"/>
    <w:rsid w:val="0C258312"/>
    <w:rsid w:val="0D3DBCDC"/>
    <w:rsid w:val="0FBDD071"/>
    <w:rsid w:val="107E15A2"/>
    <w:rsid w:val="10BD577D"/>
    <w:rsid w:val="1178E0D5"/>
    <w:rsid w:val="1250E45B"/>
    <w:rsid w:val="12CA5684"/>
    <w:rsid w:val="12D4D4E3"/>
    <w:rsid w:val="130A7B69"/>
    <w:rsid w:val="138F5423"/>
    <w:rsid w:val="13D3321A"/>
    <w:rsid w:val="13D8E3AD"/>
    <w:rsid w:val="14B51A60"/>
    <w:rsid w:val="159AA3B4"/>
    <w:rsid w:val="1630EF24"/>
    <w:rsid w:val="1778CD6A"/>
    <w:rsid w:val="17958B20"/>
    <w:rsid w:val="179DC7A7"/>
    <w:rsid w:val="17DD0D8D"/>
    <w:rsid w:val="18B74710"/>
    <w:rsid w:val="192518F1"/>
    <w:rsid w:val="1B5D1BB9"/>
    <w:rsid w:val="1BAC62FC"/>
    <w:rsid w:val="1CE6E593"/>
    <w:rsid w:val="1CFFE11F"/>
    <w:rsid w:val="1D419BA4"/>
    <w:rsid w:val="1D8FB7DD"/>
    <w:rsid w:val="1EDE836F"/>
    <w:rsid w:val="1F5A0592"/>
    <w:rsid w:val="1F904AC5"/>
    <w:rsid w:val="207B01BB"/>
    <w:rsid w:val="20C406DF"/>
    <w:rsid w:val="21A28CC4"/>
    <w:rsid w:val="22101D35"/>
    <w:rsid w:val="222A27F6"/>
    <w:rsid w:val="2233A88E"/>
    <w:rsid w:val="22CF9338"/>
    <w:rsid w:val="23BEA790"/>
    <w:rsid w:val="23CD6C73"/>
    <w:rsid w:val="23E1D617"/>
    <w:rsid w:val="23F3A434"/>
    <w:rsid w:val="24564D09"/>
    <w:rsid w:val="2457505F"/>
    <w:rsid w:val="25AA439E"/>
    <w:rsid w:val="25FC2698"/>
    <w:rsid w:val="26232EE2"/>
    <w:rsid w:val="26EC5765"/>
    <w:rsid w:val="276BAC5F"/>
    <w:rsid w:val="28CE17B7"/>
    <w:rsid w:val="2A92F413"/>
    <w:rsid w:val="2AAAF129"/>
    <w:rsid w:val="2B7E47EC"/>
    <w:rsid w:val="2C2974EE"/>
    <w:rsid w:val="2C3C8972"/>
    <w:rsid w:val="2E684D25"/>
    <w:rsid w:val="2F2B4007"/>
    <w:rsid w:val="301E80AF"/>
    <w:rsid w:val="30ACA3C3"/>
    <w:rsid w:val="310CBEFF"/>
    <w:rsid w:val="312239F7"/>
    <w:rsid w:val="316AE4E4"/>
    <w:rsid w:val="31A865EB"/>
    <w:rsid w:val="3212A12C"/>
    <w:rsid w:val="327C34F4"/>
    <w:rsid w:val="32AB1516"/>
    <w:rsid w:val="332CBDEC"/>
    <w:rsid w:val="33C12347"/>
    <w:rsid w:val="3427ED5E"/>
    <w:rsid w:val="34F48B13"/>
    <w:rsid w:val="3550483C"/>
    <w:rsid w:val="35CC0C51"/>
    <w:rsid w:val="361D0403"/>
    <w:rsid w:val="3632A9E0"/>
    <w:rsid w:val="36C15254"/>
    <w:rsid w:val="36F0A05A"/>
    <w:rsid w:val="38480C08"/>
    <w:rsid w:val="38F4D9B6"/>
    <w:rsid w:val="392F2F97"/>
    <w:rsid w:val="3954A4C5"/>
    <w:rsid w:val="395EEA96"/>
    <w:rsid w:val="3B70DDF1"/>
    <w:rsid w:val="3BB848C1"/>
    <w:rsid w:val="3BDEB3DA"/>
    <w:rsid w:val="3BE98ACE"/>
    <w:rsid w:val="3C380BFF"/>
    <w:rsid w:val="3D3CAD17"/>
    <w:rsid w:val="3E0A445E"/>
    <w:rsid w:val="3E64443F"/>
    <w:rsid w:val="3F9DE75D"/>
    <w:rsid w:val="3FAABDEC"/>
    <w:rsid w:val="3FB2FF33"/>
    <w:rsid w:val="421BD882"/>
    <w:rsid w:val="42EAB550"/>
    <w:rsid w:val="43C00645"/>
    <w:rsid w:val="4412E1FB"/>
    <w:rsid w:val="4537A3D7"/>
    <w:rsid w:val="464570AD"/>
    <w:rsid w:val="46D37438"/>
    <w:rsid w:val="475CE7C8"/>
    <w:rsid w:val="47793E4F"/>
    <w:rsid w:val="486F4499"/>
    <w:rsid w:val="48B0BDA3"/>
    <w:rsid w:val="48D52784"/>
    <w:rsid w:val="4974E051"/>
    <w:rsid w:val="49A14FD1"/>
    <w:rsid w:val="49A97D92"/>
    <w:rsid w:val="4B2FC5EA"/>
    <w:rsid w:val="4BBBF7AF"/>
    <w:rsid w:val="4BC7AC19"/>
    <w:rsid w:val="4C6D214C"/>
    <w:rsid w:val="4C8C3538"/>
    <w:rsid w:val="4D2D4407"/>
    <w:rsid w:val="4D54E011"/>
    <w:rsid w:val="4E91D56F"/>
    <w:rsid w:val="4E9A38F8"/>
    <w:rsid w:val="4EAED7CD"/>
    <w:rsid w:val="4EF05A56"/>
    <w:rsid w:val="4EFE9E40"/>
    <w:rsid w:val="4F5DF662"/>
    <w:rsid w:val="4FD39673"/>
    <w:rsid w:val="500ED2B4"/>
    <w:rsid w:val="505C3581"/>
    <w:rsid w:val="52559084"/>
    <w:rsid w:val="52770E30"/>
    <w:rsid w:val="532FFE59"/>
    <w:rsid w:val="53C6AF1B"/>
    <w:rsid w:val="554D4450"/>
    <w:rsid w:val="5633A874"/>
    <w:rsid w:val="577ED761"/>
    <w:rsid w:val="57AD7BFA"/>
    <w:rsid w:val="5852C8A5"/>
    <w:rsid w:val="5870CF95"/>
    <w:rsid w:val="59289F27"/>
    <w:rsid w:val="59BC64F4"/>
    <w:rsid w:val="5AA97AD7"/>
    <w:rsid w:val="5B9294B7"/>
    <w:rsid w:val="5C819EA5"/>
    <w:rsid w:val="5CC24FC5"/>
    <w:rsid w:val="5E1B7D48"/>
    <w:rsid w:val="5EF4B61D"/>
    <w:rsid w:val="5F1100E3"/>
    <w:rsid w:val="5F15CFB5"/>
    <w:rsid w:val="5F6A2E3D"/>
    <w:rsid w:val="5F6D0C5C"/>
    <w:rsid w:val="6035732F"/>
    <w:rsid w:val="6039D943"/>
    <w:rsid w:val="60E5F58C"/>
    <w:rsid w:val="6168E743"/>
    <w:rsid w:val="61EBBCA1"/>
    <w:rsid w:val="628585A2"/>
    <w:rsid w:val="62920DF3"/>
    <w:rsid w:val="6326210A"/>
    <w:rsid w:val="634BCA8E"/>
    <w:rsid w:val="642C934A"/>
    <w:rsid w:val="666A1825"/>
    <w:rsid w:val="67105A57"/>
    <w:rsid w:val="68F2F2E4"/>
    <w:rsid w:val="69C83310"/>
    <w:rsid w:val="69D3EDB0"/>
    <w:rsid w:val="69F2E3A4"/>
    <w:rsid w:val="6A2D65D3"/>
    <w:rsid w:val="6AEE7F25"/>
    <w:rsid w:val="6AFBB0AD"/>
    <w:rsid w:val="6B42C437"/>
    <w:rsid w:val="6B548696"/>
    <w:rsid w:val="6B9394A3"/>
    <w:rsid w:val="6BA3B714"/>
    <w:rsid w:val="6BC92774"/>
    <w:rsid w:val="6BD986DE"/>
    <w:rsid w:val="6C9A6263"/>
    <w:rsid w:val="6C9D63F8"/>
    <w:rsid w:val="6D710AF2"/>
    <w:rsid w:val="6D88BA9B"/>
    <w:rsid w:val="6DB8F5C8"/>
    <w:rsid w:val="6E2E32FD"/>
    <w:rsid w:val="6EFC27A8"/>
    <w:rsid w:val="6FF66757"/>
    <w:rsid w:val="70865AD5"/>
    <w:rsid w:val="72FB415F"/>
    <w:rsid w:val="73380B29"/>
    <w:rsid w:val="7355ECF9"/>
    <w:rsid w:val="74358476"/>
    <w:rsid w:val="747D0D0D"/>
    <w:rsid w:val="751CE301"/>
    <w:rsid w:val="766BCFF1"/>
    <w:rsid w:val="77F867B2"/>
    <w:rsid w:val="788C0CAC"/>
    <w:rsid w:val="79426088"/>
    <w:rsid w:val="79506528"/>
    <w:rsid w:val="79A326D6"/>
    <w:rsid w:val="7A24A406"/>
    <w:rsid w:val="7B300874"/>
    <w:rsid w:val="7B71207C"/>
    <w:rsid w:val="7B74D4FE"/>
    <w:rsid w:val="7C9F5EBE"/>
    <w:rsid w:val="7D0067CD"/>
    <w:rsid w:val="7D6462E8"/>
    <w:rsid w:val="7D78DF00"/>
    <w:rsid w:val="7E520F02"/>
    <w:rsid w:val="7EBB8CDD"/>
    <w:rsid w:val="7F7EB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B363"/>
  <w15:chartTrackingRefBased/>
  <w15:docId w15:val="{281E438C-FD55-4A79-BA37-769D1F32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2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3D0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13D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3D06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D13D0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Subject">
    <w:name w:val="Subject"/>
    <w:basedOn w:val="Normal"/>
    <w:rsid w:val="00D13D06"/>
    <w:pPr>
      <w:spacing w:before="600" w:after="120" w:line="280" w:lineRule="atLeast"/>
      <w:jc w:val="center"/>
    </w:pPr>
    <w:rPr>
      <w:rFonts w:ascii="Palatino" w:hAnsi="Palatino"/>
      <w:b/>
      <w:smallCaps/>
      <w:szCs w:val="20"/>
    </w:rPr>
  </w:style>
  <w:style w:type="paragraph" w:styleId="Header">
    <w:name w:val="header"/>
    <w:basedOn w:val="Normal"/>
    <w:link w:val="HeaderChar"/>
    <w:uiPriority w:val="99"/>
    <w:unhideWhenUsed/>
    <w:rsid w:val="00D13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D0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3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D0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725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13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36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3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33F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830936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830936"/>
  </w:style>
  <w:style w:type="character" w:customStyle="1" w:styleId="eop">
    <w:name w:val="eop"/>
    <w:basedOn w:val="DefaultParagraphFont"/>
    <w:rsid w:val="0083093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1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B52D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40550D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3E53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d265eed-1180-4947-919c-c5d3f486ba9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004C22307B4E846D8E07806A5BCF" ma:contentTypeVersion="16" ma:contentTypeDescription="Create a new document." ma:contentTypeScope="" ma:versionID="d084246d44c3b431a7a807b8ef87ccf2">
  <xsd:schema xmlns:xsd="http://www.w3.org/2001/XMLSchema" xmlns:xs="http://www.w3.org/2001/XMLSchema" xmlns:p="http://schemas.microsoft.com/office/2006/metadata/properties" xmlns:ns1="http://schemas.microsoft.com/sharepoint/v3" xmlns:ns3="5d265eed-1180-4947-919c-c5d3f486ba92" xmlns:ns4="b8aa13e5-3aae-4a3b-9e06-f9ac718c7d16" targetNamespace="http://schemas.microsoft.com/office/2006/metadata/properties" ma:root="true" ma:fieldsID="69e781f750fb7b3b0f1e40eb6f9319fa" ns1:_="" ns3:_="" ns4:_="">
    <xsd:import namespace="http://schemas.microsoft.com/sharepoint/v3"/>
    <xsd:import namespace="5d265eed-1180-4947-919c-c5d3f486ba92"/>
    <xsd:import namespace="b8aa13e5-3aae-4a3b-9e06-f9ac718c7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65eed-1180-4947-919c-c5d3f486b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13e5-3aae-4a3b-9e06-f9ac718c7d1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E8764-9FB5-4B8B-841D-3A7D299816B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b8aa13e5-3aae-4a3b-9e06-f9ac718c7d16"/>
    <ds:schemaRef ds:uri="http://purl.org/dc/terms/"/>
    <ds:schemaRef ds:uri="5d265eed-1180-4947-919c-c5d3f486ba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356E21-F76F-4CFF-9E99-0C50141F6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E11C8A-BA56-44D5-8106-0A52E7E4B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C0708-C886-4462-A42A-848735624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265eed-1180-4947-919c-c5d3f486ba92"/>
    <ds:schemaRef ds:uri="b8aa13e5-3aae-4a3b-9e06-f9ac718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Mathias, Harrison</dc:creator>
  <cp:keywords/>
  <dc:description/>
  <cp:lastModifiedBy>Kristy-Lee COKER</cp:lastModifiedBy>
  <cp:revision>3</cp:revision>
  <dcterms:created xsi:type="dcterms:W3CDTF">2024-09-24T06:05:00Z</dcterms:created>
  <dcterms:modified xsi:type="dcterms:W3CDTF">2024-09-24T06:05:00Z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0x0101005D86004C22307B4E846D8E07806A5BCF</vt:lpwstr>
  </property>
</Properties>
</file>