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8BA" w14:textId="1F14E0A2" w:rsidR="00C14C86" w:rsidRDefault="00C14C86" w:rsidP="003B52EB">
      <w:pPr>
        <w:spacing w:after="0"/>
      </w:pPr>
      <w:r w:rsidRPr="00472B24">
        <w:rPr>
          <w:noProof/>
        </w:rPr>
        <w:drawing>
          <wp:inline distT="0" distB="0" distL="0" distR="0" wp14:anchorId="7EFA70A7" wp14:editId="67A71192">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A7BA6F" w14:textId="77777777" w:rsidR="00C14C86" w:rsidRPr="00C6524D" w:rsidRDefault="00C14C86" w:rsidP="00C14C86">
      <w:pPr>
        <w:spacing w:before="480" w:after="120"/>
        <w:rPr>
          <w:rFonts w:asciiTheme="majorHAnsi" w:hAnsiTheme="majorHAnsi" w:cstheme="majorBidi"/>
          <w:b/>
          <w:bCs/>
          <w:sz w:val="40"/>
          <w:szCs w:val="40"/>
        </w:rPr>
      </w:pPr>
      <w:r w:rsidRPr="1A57E75C">
        <w:rPr>
          <w:rFonts w:asciiTheme="majorHAnsi" w:hAnsiTheme="majorHAnsi" w:cstheme="majorBidi"/>
          <w:b/>
          <w:bCs/>
          <w:sz w:val="40"/>
          <w:szCs w:val="40"/>
        </w:rPr>
        <w:t xml:space="preserve">Superannuation (prudential standard) determination No. </w:t>
      </w:r>
      <w:r>
        <w:rPr>
          <w:rFonts w:asciiTheme="majorHAnsi" w:hAnsiTheme="majorHAnsi" w:cstheme="majorBidi"/>
          <w:b/>
          <w:bCs/>
          <w:sz w:val="40"/>
          <w:szCs w:val="40"/>
        </w:rPr>
        <w:t>4</w:t>
      </w:r>
      <w:r w:rsidRPr="1A57E75C">
        <w:rPr>
          <w:rFonts w:asciiTheme="majorHAnsi" w:hAnsiTheme="majorHAnsi" w:cstheme="majorBidi"/>
          <w:b/>
          <w:bCs/>
          <w:sz w:val="40"/>
          <w:szCs w:val="40"/>
        </w:rPr>
        <w:t xml:space="preserve"> of 2024</w:t>
      </w:r>
    </w:p>
    <w:p w14:paraId="2EA7F5BD" w14:textId="77777777" w:rsidR="00C14C86" w:rsidRPr="00C6524D" w:rsidRDefault="00C14C86" w:rsidP="00C14C86">
      <w:pPr>
        <w:pStyle w:val="ActTitle"/>
        <w:spacing w:before="240"/>
        <w:rPr>
          <w:rFonts w:asciiTheme="majorHAnsi" w:hAnsiTheme="majorHAnsi" w:cstheme="majorHAnsi"/>
          <w:b/>
          <w:i w:val="0"/>
        </w:rPr>
      </w:pPr>
      <w:r w:rsidRPr="00C6524D">
        <w:rPr>
          <w:rFonts w:asciiTheme="majorHAnsi" w:hAnsiTheme="majorHAnsi" w:cstheme="majorHAnsi"/>
          <w:b/>
          <w:i w:val="0"/>
        </w:rPr>
        <w:t xml:space="preserve">Prudential Standard SPS </w:t>
      </w:r>
      <w:r>
        <w:rPr>
          <w:rFonts w:asciiTheme="majorHAnsi" w:hAnsiTheme="majorHAnsi" w:cstheme="majorHAnsi"/>
          <w:b/>
          <w:i w:val="0"/>
        </w:rPr>
        <w:t xml:space="preserve">520 Fit and Proper </w:t>
      </w:r>
    </w:p>
    <w:p w14:paraId="7C8B1D16" w14:textId="77777777" w:rsidR="00C14C86" w:rsidRPr="00250834" w:rsidRDefault="00C14C86" w:rsidP="00C14C86">
      <w:pPr>
        <w:pStyle w:val="ActTitle"/>
        <w:spacing w:before="240"/>
        <w:rPr>
          <w:rFonts w:asciiTheme="majorHAnsi" w:hAnsiTheme="majorHAnsi" w:cstheme="majorHAnsi"/>
        </w:rPr>
      </w:pPr>
      <w:r w:rsidRPr="00C6524D">
        <w:rPr>
          <w:rFonts w:asciiTheme="majorHAnsi" w:hAnsiTheme="majorHAnsi" w:cstheme="majorHAnsi"/>
        </w:rPr>
        <w:t>Superannuation Industry (Supervision) Act 1993</w:t>
      </w:r>
    </w:p>
    <w:p w14:paraId="7FE7D57E" w14:textId="77777777" w:rsidR="00C14C86" w:rsidRDefault="00C14C86" w:rsidP="00C14C86">
      <w:pPr>
        <w:rPr>
          <w:kern w:val="32"/>
        </w:rPr>
      </w:pPr>
    </w:p>
    <w:p w14:paraId="7BF63064" w14:textId="77777777" w:rsidR="00C14C86" w:rsidRDefault="00C14C86" w:rsidP="00C14C86">
      <w:pPr>
        <w:rPr>
          <w:kern w:val="32"/>
        </w:rPr>
      </w:pPr>
      <w:r w:rsidRPr="00536D05">
        <w:rPr>
          <w:kern w:val="32"/>
        </w:rPr>
        <w:t xml:space="preserve">I, </w:t>
      </w:r>
      <w:r>
        <w:t>Clare Gibney</w:t>
      </w:r>
      <w:r w:rsidRPr="00536D05">
        <w:rPr>
          <w:kern w:val="32"/>
        </w:rPr>
        <w:t xml:space="preserve">, </w:t>
      </w:r>
      <w:r>
        <w:rPr>
          <w:kern w:val="32"/>
        </w:rPr>
        <w:t xml:space="preserve">a </w:t>
      </w:r>
      <w:r w:rsidRPr="00536D05">
        <w:rPr>
          <w:kern w:val="32"/>
        </w:rPr>
        <w:t>delegate of APRA</w:t>
      </w:r>
      <w:r>
        <w:rPr>
          <w:kern w:val="32"/>
        </w:rPr>
        <w:t>:</w:t>
      </w:r>
    </w:p>
    <w:p w14:paraId="2EAB62A4" w14:textId="77777777" w:rsidR="00C14C86" w:rsidRPr="00442B74" w:rsidRDefault="00C14C86" w:rsidP="00C14C86">
      <w:pPr>
        <w:ind w:left="567" w:hanging="567"/>
        <w:rPr>
          <w:kern w:val="32"/>
        </w:rPr>
      </w:pPr>
      <w:r>
        <w:rPr>
          <w:kern w:val="32"/>
        </w:rPr>
        <w:t>(a)</w:t>
      </w:r>
      <w:r>
        <w:rPr>
          <w:kern w:val="32"/>
        </w:rPr>
        <w:tab/>
      </w:r>
      <w:r w:rsidRPr="00442B74">
        <w:rPr>
          <w:kern w:val="32"/>
        </w:rPr>
        <w:t>u</w:t>
      </w:r>
      <w:r w:rsidRPr="00442B74">
        <w:t>nder subsection 34</w:t>
      </w:r>
      <w:proofErr w:type="gramStart"/>
      <w:r w:rsidRPr="00442B74">
        <w:t>C(</w:t>
      </w:r>
      <w:proofErr w:type="gramEnd"/>
      <w:r w:rsidRPr="00442B74">
        <w:t>6) of the</w:t>
      </w:r>
      <w:r w:rsidRPr="00442B74">
        <w:rPr>
          <w:i/>
          <w:iCs/>
        </w:rPr>
        <w:t> </w:t>
      </w:r>
      <w:r w:rsidRPr="00442B74">
        <w:rPr>
          <w:i/>
          <w:iCs/>
          <w:kern w:val="32"/>
        </w:rPr>
        <w:t xml:space="preserve">Superannuation Industry (Supervision) </w:t>
      </w:r>
      <w:r w:rsidRPr="00442B74">
        <w:rPr>
          <w:kern w:val="32"/>
        </w:rPr>
        <w:t>Act</w:t>
      </w:r>
      <w:r w:rsidRPr="00442B74">
        <w:rPr>
          <w:i/>
          <w:iCs/>
          <w:kern w:val="32"/>
        </w:rPr>
        <w:t xml:space="preserve"> 1993</w:t>
      </w:r>
      <w:r w:rsidRPr="00442B74">
        <w:rPr>
          <w:kern w:val="32"/>
        </w:rPr>
        <w:t xml:space="preserve"> </w:t>
      </w:r>
      <w:r w:rsidRPr="00442B74">
        <w:t xml:space="preserve">REVOKE </w:t>
      </w:r>
      <w:r w:rsidRPr="00442B74">
        <w:rPr>
          <w:shd w:val="clear" w:color="auto" w:fill="FFFFFF"/>
        </w:rPr>
        <w:t xml:space="preserve">Superannuation (prudential standard) determination No. </w:t>
      </w:r>
      <w:r>
        <w:rPr>
          <w:shd w:val="clear" w:color="auto" w:fill="FFFFFF"/>
        </w:rPr>
        <w:t xml:space="preserve">4 </w:t>
      </w:r>
      <w:r w:rsidRPr="00442B74">
        <w:rPr>
          <w:shd w:val="clear" w:color="auto" w:fill="FFFFFF"/>
        </w:rPr>
        <w:t>of 20</w:t>
      </w:r>
      <w:r>
        <w:rPr>
          <w:shd w:val="clear" w:color="auto" w:fill="FFFFFF"/>
        </w:rPr>
        <w:t>13</w:t>
      </w:r>
      <w:r w:rsidRPr="00442B74">
        <w:rPr>
          <w:shd w:val="clear" w:color="auto" w:fill="FFFFFF"/>
        </w:rPr>
        <w:t xml:space="preserve">, including </w:t>
      </w:r>
      <w:r w:rsidRPr="00442B74">
        <w:rPr>
          <w:i/>
          <w:iCs/>
          <w:kern w:val="32"/>
        </w:rPr>
        <w:t>Prudential Standard SPS</w:t>
      </w:r>
      <w:r>
        <w:rPr>
          <w:i/>
          <w:iCs/>
          <w:kern w:val="32"/>
        </w:rPr>
        <w:t xml:space="preserve"> 520 Fit and Proper</w:t>
      </w:r>
      <w:r w:rsidRPr="00442B74">
        <w:rPr>
          <w:kern w:val="32"/>
        </w:rPr>
        <w:t>; and</w:t>
      </w:r>
    </w:p>
    <w:p w14:paraId="7FF40038" w14:textId="77777777" w:rsidR="00C14C86" w:rsidRPr="00442B74" w:rsidRDefault="00C14C86" w:rsidP="00C14C86">
      <w:pPr>
        <w:ind w:left="567" w:hanging="567"/>
        <w:rPr>
          <w:kern w:val="32"/>
        </w:rPr>
      </w:pPr>
      <w:r w:rsidRPr="00442B74">
        <w:rPr>
          <w:kern w:val="32"/>
        </w:rPr>
        <w:t>(b)</w:t>
      </w:r>
      <w:r w:rsidRPr="00442B74">
        <w:rPr>
          <w:kern w:val="32"/>
        </w:rPr>
        <w:tab/>
      </w:r>
      <w:r w:rsidRPr="00442B74">
        <w:t>under subsection 34</w:t>
      </w:r>
      <w:proofErr w:type="gramStart"/>
      <w:r w:rsidRPr="00442B74">
        <w:t>C(</w:t>
      </w:r>
      <w:proofErr w:type="gramEnd"/>
      <w:r w:rsidRPr="00442B74">
        <w:t>1) of the Act, DETERMINE </w:t>
      </w:r>
      <w:r w:rsidRPr="00442B74">
        <w:rPr>
          <w:i/>
          <w:iCs/>
        </w:rPr>
        <w:t xml:space="preserve">Prudential Standard SPS </w:t>
      </w:r>
      <w:r>
        <w:rPr>
          <w:i/>
          <w:iCs/>
        </w:rPr>
        <w:t>520 Fit and Proper</w:t>
      </w:r>
      <w:r w:rsidRPr="00442B74">
        <w:t> in the form set out in the Schedule, which applies to all RSE licensees.</w:t>
      </w:r>
    </w:p>
    <w:p w14:paraId="4EB971F5" w14:textId="77777777" w:rsidR="00C14C86" w:rsidRDefault="00C14C86" w:rsidP="00C14C86">
      <w:pPr>
        <w:pStyle w:val="IntroTo"/>
        <w:ind w:left="0" w:firstLine="0"/>
        <w:jc w:val="both"/>
        <w:rPr>
          <w:szCs w:val="24"/>
        </w:rPr>
      </w:pPr>
      <w:r w:rsidRPr="00442B74">
        <w:rPr>
          <w:szCs w:val="24"/>
        </w:rPr>
        <w:t xml:space="preserve">This instrument commences on </w:t>
      </w:r>
      <w:r>
        <w:rPr>
          <w:szCs w:val="24"/>
        </w:rPr>
        <w:t>30 June 2024.</w:t>
      </w:r>
    </w:p>
    <w:p w14:paraId="3B55A988" w14:textId="77777777" w:rsidR="00C14C86" w:rsidRDefault="00C14C86" w:rsidP="00C14C86">
      <w:pPr>
        <w:pStyle w:val="IntroTo"/>
        <w:tabs>
          <w:tab w:val="left" w:pos="1528"/>
        </w:tabs>
        <w:ind w:left="0" w:firstLine="0"/>
        <w:jc w:val="both"/>
        <w:rPr>
          <w:szCs w:val="24"/>
        </w:rPr>
      </w:pPr>
    </w:p>
    <w:p w14:paraId="6055A4F7" w14:textId="77777777" w:rsidR="00C14C86" w:rsidRDefault="00C14C86" w:rsidP="00C14C86">
      <w:pPr>
        <w:pStyle w:val="IntroTo"/>
        <w:jc w:val="both"/>
        <w:rPr>
          <w:szCs w:val="24"/>
        </w:rPr>
      </w:pPr>
    </w:p>
    <w:p w14:paraId="50A67A69" w14:textId="77777777" w:rsidR="00C14C86" w:rsidRPr="00536D05" w:rsidRDefault="00C14C86" w:rsidP="00C14C86">
      <w:pPr>
        <w:pStyle w:val="IntroTo"/>
        <w:jc w:val="both"/>
        <w:rPr>
          <w:szCs w:val="24"/>
        </w:rPr>
      </w:pPr>
    </w:p>
    <w:p w14:paraId="1DB2F074" w14:textId="4F982A63" w:rsidR="00C14C86" w:rsidRPr="00536D05" w:rsidRDefault="00C14C86" w:rsidP="00C14C86">
      <w:pPr>
        <w:pStyle w:val="IntroTo"/>
        <w:jc w:val="both"/>
        <w:rPr>
          <w:szCs w:val="24"/>
        </w:rPr>
      </w:pPr>
      <w:r w:rsidRPr="00536D05">
        <w:rPr>
          <w:szCs w:val="24"/>
        </w:rPr>
        <w:t xml:space="preserve">Dated: </w:t>
      </w:r>
      <w:r>
        <w:rPr>
          <w:szCs w:val="24"/>
        </w:rPr>
        <w:t xml:space="preserve"> </w:t>
      </w:r>
      <w:r w:rsidR="00B23429">
        <w:rPr>
          <w:szCs w:val="24"/>
        </w:rPr>
        <w:t>3</w:t>
      </w:r>
      <w:r>
        <w:rPr>
          <w:szCs w:val="24"/>
        </w:rPr>
        <w:t xml:space="preserve"> June 2024</w:t>
      </w:r>
    </w:p>
    <w:p w14:paraId="74BF519A" w14:textId="77777777" w:rsidR="00C14C86" w:rsidRPr="00536D05" w:rsidRDefault="00C14C86" w:rsidP="00C14C86">
      <w:pPr>
        <w:pStyle w:val="IntroTo"/>
        <w:jc w:val="both"/>
        <w:rPr>
          <w:b/>
          <w:szCs w:val="24"/>
          <w:highlight w:val="yellow"/>
        </w:rPr>
      </w:pPr>
    </w:p>
    <w:p w14:paraId="6AAA7B60" w14:textId="58C5024D" w:rsidR="00C14C86" w:rsidRPr="00536D05" w:rsidRDefault="00C14C86" w:rsidP="00C14C86">
      <w:pPr>
        <w:pStyle w:val="IntroTo"/>
        <w:rPr>
          <w:szCs w:val="24"/>
        </w:rPr>
      </w:pPr>
    </w:p>
    <w:p w14:paraId="294C0A96" w14:textId="6C93EA4E" w:rsidR="00C14C86" w:rsidRPr="00536D05" w:rsidRDefault="00C14C86" w:rsidP="00C14C86">
      <w:pPr>
        <w:pStyle w:val="IntroTo"/>
        <w:rPr>
          <w:szCs w:val="24"/>
        </w:rPr>
      </w:pPr>
    </w:p>
    <w:p w14:paraId="653EE7DE" w14:textId="77777777" w:rsidR="00C14C86" w:rsidRPr="00536D05" w:rsidRDefault="00C14C86" w:rsidP="00C14C86">
      <w:pPr>
        <w:autoSpaceDE w:val="0"/>
        <w:autoSpaceDN w:val="0"/>
        <w:adjustRightInd w:val="0"/>
        <w:spacing w:after="0"/>
      </w:pPr>
      <w:r>
        <w:t>Clare Gibney</w:t>
      </w:r>
    </w:p>
    <w:p w14:paraId="39522583" w14:textId="77777777" w:rsidR="00C14C86" w:rsidRPr="00536D05" w:rsidRDefault="00C14C86" w:rsidP="00C14C86">
      <w:pPr>
        <w:autoSpaceDE w:val="0"/>
        <w:autoSpaceDN w:val="0"/>
        <w:adjustRightInd w:val="0"/>
        <w:spacing w:after="0"/>
      </w:pPr>
      <w:r w:rsidRPr="00536D05">
        <w:t>Executive Director</w:t>
      </w:r>
    </w:p>
    <w:p w14:paraId="1F75E1B7" w14:textId="77777777" w:rsidR="00C14C86" w:rsidRPr="00536D05" w:rsidRDefault="00C14C86" w:rsidP="00C14C86">
      <w:pPr>
        <w:autoSpaceDE w:val="0"/>
        <w:autoSpaceDN w:val="0"/>
        <w:adjustRightInd w:val="0"/>
        <w:spacing w:after="0"/>
      </w:pPr>
      <w:r w:rsidRPr="00536D05">
        <w:t xml:space="preserve">Policy </w:t>
      </w:r>
      <w:r>
        <w:t>and</w:t>
      </w:r>
      <w:r w:rsidRPr="00536D05">
        <w:t xml:space="preserve"> Advice</w:t>
      </w:r>
      <w:r>
        <w:t xml:space="preserve"> Division</w:t>
      </w:r>
    </w:p>
    <w:p w14:paraId="0860FC21" w14:textId="77777777" w:rsidR="00C14C86" w:rsidRPr="00536D05" w:rsidRDefault="00C14C86" w:rsidP="00C14C86">
      <w:pPr>
        <w:pStyle w:val="IntroTo"/>
        <w:ind w:left="0" w:firstLine="0"/>
        <w:rPr>
          <w:szCs w:val="24"/>
        </w:rPr>
      </w:pPr>
    </w:p>
    <w:p w14:paraId="0BB53EE1" w14:textId="77777777" w:rsidR="00C14C86" w:rsidRPr="00536D05" w:rsidRDefault="00C14C86" w:rsidP="00C14C86">
      <w:pPr>
        <w:spacing w:before="480" w:after="0"/>
        <w:rPr>
          <w:b/>
        </w:rPr>
      </w:pPr>
      <w:r w:rsidRPr="00536D05">
        <w:rPr>
          <w:b/>
        </w:rPr>
        <w:t>Interpretation</w:t>
      </w:r>
    </w:p>
    <w:p w14:paraId="4339FCC1" w14:textId="77777777" w:rsidR="00C14C86" w:rsidRPr="00442B74" w:rsidRDefault="00C14C86" w:rsidP="00C14C86">
      <w:pPr>
        <w:spacing w:before="120" w:after="0"/>
      </w:pPr>
      <w:r w:rsidRPr="00442B74">
        <w:t>In this instrument:</w:t>
      </w:r>
    </w:p>
    <w:p w14:paraId="22A248BD" w14:textId="77777777" w:rsidR="00C14C86" w:rsidRPr="00442B74" w:rsidRDefault="00C14C86" w:rsidP="00C14C86">
      <w:pPr>
        <w:spacing w:before="120" w:after="0"/>
      </w:pPr>
      <w:r w:rsidRPr="00442B74">
        <w:rPr>
          <w:b/>
          <w:i/>
        </w:rPr>
        <w:t>APRA</w:t>
      </w:r>
      <w:r w:rsidRPr="00442B74">
        <w:t xml:space="preserve"> means the Australian Prudential Regulation Authority.</w:t>
      </w:r>
    </w:p>
    <w:p w14:paraId="7B407335" w14:textId="77777777" w:rsidR="00D453D2" w:rsidRDefault="00C14C86" w:rsidP="00C14C86">
      <w:pPr>
        <w:spacing w:before="120" w:after="0"/>
      </w:pPr>
      <w:r w:rsidRPr="00442B74">
        <w:rPr>
          <w:b/>
          <w:bCs/>
          <w:i/>
          <w:iCs/>
        </w:rPr>
        <w:t>RSE licensee</w:t>
      </w:r>
      <w:r w:rsidRPr="00442B74">
        <w:t> has the meaning given in section 10(1) of the Act.</w:t>
      </w:r>
    </w:p>
    <w:p w14:paraId="0A0B1376" w14:textId="77777777" w:rsidR="00E545B3" w:rsidRDefault="00E545B3" w:rsidP="00C14C86">
      <w:pPr>
        <w:spacing w:before="120" w:after="0"/>
      </w:pPr>
    </w:p>
    <w:p w14:paraId="18A17DD2" w14:textId="54E23828" w:rsidR="00E545B3" w:rsidRDefault="00E545B3" w:rsidP="00C14C86">
      <w:pPr>
        <w:spacing w:before="120" w:after="0"/>
        <w:sectPr w:rsidR="00E545B3" w:rsidSect="0063066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797" w:bottom="1440" w:left="1797" w:header="709" w:footer="709" w:gutter="0"/>
          <w:pgNumType w:start="1"/>
          <w:cols w:space="708"/>
          <w:titlePg/>
          <w:docGrid w:linePitch="360"/>
        </w:sectPr>
      </w:pPr>
    </w:p>
    <w:p w14:paraId="4AFF28E6" w14:textId="77777777" w:rsidR="00C14C86" w:rsidRPr="00442B74" w:rsidRDefault="00C14C86" w:rsidP="00C14C86">
      <w:pPr>
        <w:spacing w:before="120" w:after="0"/>
      </w:pPr>
      <w:r w:rsidRPr="00442B74">
        <w:rPr>
          <w:b/>
          <w:i/>
        </w:rPr>
        <w:t xml:space="preserve"> </w:t>
      </w:r>
    </w:p>
    <w:p w14:paraId="39D0EC6D" w14:textId="77777777" w:rsidR="00C14C86" w:rsidRPr="00A34ADD" w:rsidRDefault="00C14C86" w:rsidP="00C14C86"/>
    <w:p w14:paraId="0D256CBF" w14:textId="77777777" w:rsidR="00CE40C1" w:rsidRDefault="00CE40C1" w:rsidP="00CE40C1">
      <w:pPr>
        <w:spacing w:after="0"/>
        <w:jc w:val="both"/>
      </w:pPr>
      <w:bookmarkStart w:id="0" w:name="_Toc326676936"/>
      <w:bookmarkStart w:id="1" w:name="_Toc326756341"/>
      <w:bookmarkStart w:id="2" w:name="_Toc256519850"/>
      <w:r>
        <w:rPr>
          <w:noProof/>
        </w:rPr>
        <w:drawing>
          <wp:inline distT="0" distB="0" distL="0" distR="0" wp14:anchorId="3824C671" wp14:editId="15F63F87">
            <wp:extent cx="1424305" cy="1104900"/>
            <wp:effectExtent l="0" t="0" r="0" b="0"/>
            <wp:docPr id="126975912" name="Picture 1269759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5912" name="Picture 12697591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FC995D4" w14:textId="77777777" w:rsidR="00CE40C1" w:rsidRDefault="00CE40C1" w:rsidP="00CE40C1">
      <w:pPr>
        <w:spacing w:after="0"/>
        <w:jc w:val="both"/>
      </w:pPr>
    </w:p>
    <w:p w14:paraId="6106594C" w14:textId="68757A4E" w:rsidR="00CE40C1" w:rsidRDefault="00CE40C1" w:rsidP="00DC4B0E">
      <w:pPr>
        <w:pStyle w:val="Heading1"/>
      </w:pPr>
      <w:r>
        <w:t>Prudential Standard S</w:t>
      </w:r>
      <w:r w:rsidRPr="003A69F3">
        <w:t xml:space="preserve">PS </w:t>
      </w:r>
      <w:r>
        <w:t>520</w:t>
      </w:r>
      <w:r w:rsidR="00DC4B0E">
        <w:t xml:space="preserve"> </w:t>
      </w:r>
      <w:r>
        <w:t xml:space="preserve">Fit </w:t>
      </w:r>
      <w:r w:rsidRPr="004F14FE">
        <w:t>and</w:t>
      </w:r>
      <w:r>
        <w:t xml:space="preserve"> Proper</w:t>
      </w:r>
    </w:p>
    <w:p w14:paraId="4B9CB0A5" w14:textId="77777777" w:rsidR="00CE40C1" w:rsidRDefault="00CE40C1" w:rsidP="00863BB4">
      <w:pPr>
        <w:pStyle w:val="BoxHeading"/>
      </w:pPr>
      <w:r>
        <w:t>Objectives</w:t>
      </w:r>
      <w:r w:rsidRPr="003A69F3">
        <w:t xml:space="preserve"> </w:t>
      </w:r>
      <w:r>
        <w:t xml:space="preserve">and key </w:t>
      </w:r>
      <w:r w:rsidRPr="00863BB4">
        <w:t>requirements</w:t>
      </w:r>
      <w:r>
        <w:t xml:space="preserve"> </w:t>
      </w:r>
      <w:r w:rsidRPr="003A69F3">
        <w:t xml:space="preserve">of this </w:t>
      </w:r>
      <w:r>
        <w:t>P</w:t>
      </w:r>
      <w:r w:rsidRPr="003A69F3">
        <w:t xml:space="preserve">rudential </w:t>
      </w:r>
      <w:r>
        <w:t>S</w:t>
      </w:r>
      <w:r w:rsidRPr="003A69F3">
        <w:t>tandard</w:t>
      </w:r>
    </w:p>
    <w:p w14:paraId="55318354" w14:textId="77777777" w:rsidR="00CE40C1" w:rsidRDefault="00CE40C1" w:rsidP="00863BB4">
      <w:pPr>
        <w:pStyle w:val="Boxtext"/>
      </w:pPr>
      <w:r w:rsidRPr="002A0C9E">
        <w:t xml:space="preserve">This Prudential Standard sets out minimum requirements </w:t>
      </w:r>
      <w:r>
        <w:t>for RSE</w:t>
      </w:r>
      <w:r w:rsidRPr="002A0C9E">
        <w:t xml:space="preserve"> </w:t>
      </w:r>
      <w:r>
        <w:t xml:space="preserve">licensees </w:t>
      </w:r>
      <w:r w:rsidRPr="002A0C9E">
        <w:t xml:space="preserve">in determining the fitness and propriety of individuals to hold positions of responsibility. Its objective is to ensure that </w:t>
      </w:r>
      <w:r>
        <w:t>an RSE licensee</w:t>
      </w:r>
      <w:r w:rsidRPr="002A0C9E">
        <w:t xml:space="preserve"> prudently manages the risks posed to its business operations by having persons acting in responsible positions who are not fit and proper.</w:t>
      </w:r>
    </w:p>
    <w:p w14:paraId="6788221A" w14:textId="77777777" w:rsidR="00CE40C1" w:rsidRDefault="00CE40C1" w:rsidP="00863BB4">
      <w:pPr>
        <w:pStyle w:val="Boxtext"/>
      </w:pPr>
      <w:r w:rsidRPr="009E1216">
        <w:t xml:space="preserve">The ultimate responsibility for ensuring the fitness and propriety of the responsible persons of </w:t>
      </w:r>
      <w:r w:rsidRPr="001A4706">
        <w:t>an RSE licensee</w:t>
      </w:r>
      <w:r w:rsidRPr="009E1216">
        <w:t xml:space="preserve"> rests with </w:t>
      </w:r>
      <w:r>
        <w:t xml:space="preserve">its </w:t>
      </w:r>
      <w:r w:rsidRPr="009E1216">
        <w:t>Board</w:t>
      </w:r>
      <w:r>
        <w:t xml:space="preserve"> of directors. </w:t>
      </w:r>
    </w:p>
    <w:p w14:paraId="6C91318F" w14:textId="77777777" w:rsidR="00CE40C1" w:rsidRDefault="00CE40C1" w:rsidP="00863BB4">
      <w:pPr>
        <w:pStyle w:val="Boxtext"/>
      </w:pPr>
      <w:r w:rsidRPr="000B5E9F">
        <w:t xml:space="preserve">Persons who are responsible for the management and oversight of </w:t>
      </w:r>
      <w:r w:rsidRPr="00346E5B">
        <w:t>an RSE licensee’s business operations</w:t>
      </w:r>
      <w:r w:rsidRPr="000B5E9F">
        <w:t xml:space="preserve"> need to have appropriate skills, experience and knowledge</w:t>
      </w:r>
      <w:r>
        <w:t>,</w:t>
      </w:r>
      <w:r w:rsidRPr="000B5E9F">
        <w:t xml:space="preserve"> and act with honesty and integrity. </w:t>
      </w:r>
      <w:r w:rsidRPr="009E1216">
        <w:t xml:space="preserve">These skills and qualities </w:t>
      </w:r>
      <w:r>
        <w:t>strengthen</w:t>
      </w:r>
      <w:r w:rsidRPr="000B5E9F">
        <w:t xml:space="preserve"> the protection afforded to </w:t>
      </w:r>
      <w:r>
        <w:t>beneficiaries</w:t>
      </w:r>
      <w:r w:rsidRPr="000B5E9F">
        <w:t xml:space="preserve"> and other stakeholders. To this end, </w:t>
      </w:r>
      <w:r>
        <w:t>RSE licensees</w:t>
      </w:r>
      <w:r w:rsidRPr="000B5E9F">
        <w:t xml:space="preserve"> need to prudently manage the risk that persons in positions of responsibility </w:t>
      </w:r>
      <w:r>
        <w:t>might</w:t>
      </w:r>
      <w:r w:rsidRPr="000B5E9F">
        <w:t xml:space="preserve"> not be fit and proper</w:t>
      </w:r>
      <w:r>
        <w:t xml:space="preserve">.  </w:t>
      </w:r>
    </w:p>
    <w:p w14:paraId="19272D4B" w14:textId="408AD6D6" w:rsidR="00CE40C1" w:rsidRPr="009E1216" w:rsidRDefault="00CE40C1" w:rsidP="00863BB4">
      <w:pPr>
        <w:pStyle w:val="Boxtext"/>
      </w:pPr>
      <w:r w:rsidRPr="009E1216">
        <w:t xml:space="preserve">The key requirements of this Prudential Standard </w:t>
      </w:r>
      <w:r>
        <w:t>are</w:t>
      </w:r>
      <w:r w:rsidRPr="009E1216">
        <w:t>:</w:t>
      </w:r>
    </w:p>
    <w:p w14:paraId="0F0150EB" w14:textId="77777777" w:rsidR="00CE40C1" w:rsidRPr="009E1216" w:rsidRDefault="00CE40C1" w:rsidP="00863BB4">
      <w:pPr>
        <w:pStyle w:val="BoxBullet"/>
      </w:pPr>
      <w:r>
        <w:t>an RSE licensee</w:t>
      </w:r>
      <w:r w:rsidRPr="009E1216">
        <w:t xml:space="preserve"> must have and implement a Fit and Proper Policy that meets the requirements of this Prudential </w:t>
      </w:r>
      <w:proofErr w:type="gramStart"/>
      <w:r w:rsidRPr="009E1216">
        <w:t>Standard;</w:t>
      </w:r>
      <w:proofErr w:type="gramEnd"/>
    </w:p>
    <w:p w14:paraId="408A0377" w14:textId="77777777" w:rsidR="00CE40C1" w:rsidRPr="009E1216" w:rsidRDefault="00CE40C1" w:rsidP="00863BB4">
      <w:pPr>
        <w:pStyle w:val="BoxBullet"/>
      </w:pPr>
      <w:r w:rsidRPr="009E1216">
        <w:t xml:space="preserve">the fitness and propriety of a responsible person must generally be assessed prior to initial appointment and then re-assessed </w:t>
      </w:r>
      <w:proofErr w:type="gramStart"/>
      <w:r w:rsidRPr="009E1216">
        <w:t>annually;</w:t>
      </w:r>
      <w:proofErr w:type="gramEnd"/>
    </w:p>
    <w:p w14:paraId="09B3B9A3" w14:textId="77777777" w:rsidR="00CE40C1" w:rsidRPr="009E1216" w:rsidRDefault="00CE40C1" w:rsidP="00863BB4">
      <w:pPr>
        <w:pStyle w:val="BoxBullet"/>
      </w:pPr>
      <w:r>
        <w:t>an RSE licensee</w:t>
      </w:r>
      <w:r w:rsidRPr="009E1216">
        <w:t xml:space="preserve"> must take all prudent steps to ensure that a person is not appointed to, or does not continue to hold, a responsible person position for which they are not fit and </w:t>
      </w:r>
      <w:proofErr w:type="gramStart"/>
      <w:r w:rsidRPr="009E1216">
        <w:t>proper;</w:t>
      </w:r>
      <w:proofErr w:type="gramEnd"/>
    </w:p>
    <w:p w14:paraId="4EE547AE" w14:textId="77777777" w:rsidR="00CE40C1" w:rsidRPr="009E1216" w:rsidRDefault="00CE40C1" w:rsidP="00863BB4">
      <w:pPr>
        <w:pStyle w:val="BoxBullet"/>
      </w:pPr>
      <w:r w:rsidRPr="009E1216">
        <w:t xml:space="preserve">additional requirements must be met for </w:t>
      </w:r>
      <w:r>
        <w:t>RSE</w:t>
      </w:r>
      <w:r w:rsidRPr="009E1216">
        <w:t xml:space="preserve"> auditors and </w:t>
      </w:r>
      <w:r>
        <w:t>RSE</w:t>
      </w:r>
      <w:r w:rsidRPr="009E1216">
        <w:t xml:space="preserve"> </w:t>
      </w:r>
      <w:r>
        <w:t>a</w:t>
      </w:r>
      <w:r w:rsidRPr="009E1216">
        <w:t>ctuaries; and</w:t>
      </w:r>
    </w:p>
    <w:p w14:paraId="4CFBB128" w14:textId="77777777" w:rsidR="00CE40C1" w:rsidRDefault="00CE40C1" w:rsidP="00863BB4">
      <w:pPr>
        <w:pStyle w:val="BoxBullet"/>
      </w:pPr>
      <w:r w:rsidRPr="009E1216">
        <w:t xml:space="preserve">certain information must be provided to APRA regarding responsible persons and the </w:t>
      </w:r>
      <w:r>
        <w:t>RSE licensee</w:t>
      </w:r>
      <w:r w:rsidRPr="009E1216">
        <w:t>’s assessment of their fitness and propriety.</w:t>
      </w:r>
    </w:p>
    <w:p w14:paraId="6EC8284A" w14:textId="77777777" w:rsidR="00CE40C1" w:rsidRDefault="00CE40C1" w:rsidP="00CE40C1">
      <w:pPr>
        <w:pBdr>
          <w:top w:val="single" w:sz="4" w:space="1" w:color="auto"/>
          <w:left w:val="single" w:sz="4" w:space="4" w:color="auto"/>
          <w:bottom w:val="single" w:sz="4" w:space="1" w:color="auto"/>
          <w:right w:val="single" w:sz="4" w:space="4" w:color="auto"/>
        </w:pBdr>
        <w:shd w:val="clear" w:color="auto" w:fill="D9D9D9"/>
        <w:ind w:left="709" w:hanging="709"/>
        <w:jc w:val="both"/>
      </w:pPr>
    </w:p>
    <w:p w14:paraId="0FBE9A25" w14:textId="77777777" w:rsidR="00CE40C1" w:rsidRPr="00CB6366" w:rsidRDefault="00CE40C1" w:rsidP="00E1623C">
      <w:pPr>
        <w:pStyle w:val="Heading3"/>
      </w:pPr>
      <w:r>
        <w:br w:type="page"/>
      </w:r>
      <w:r w:rsidRPr="00CB6366">
        <w:lastRenderedPageBreak/>
        <w:t>Authority</w:t>
      </w:r>
    </w:p>
    <w:p w14:paraId="1E2C2947" w14:textId="77777777" w:rsidR="00CE40C1" w:rsidRPr="00CB6366" w:rsidRDefault="00CE40C1" w:rsidP="004915D0">
      <w:pPr>
        <w:pStyle w:val="BodyText1"/>
      </w:pPr>
      <w:bookmarkStart w:id="3" w:name="_Ref42506849"/>
      <w:r w:rsidRPr="00CB6366">
        <w:t xml:space="preserve">This Prudential Standard is made under section </w:t>
      </w:r>
      <w:r>
        <w:t>34C</w:t>
      </w:r>
      <w:r w:rsidRPr="00CB6366">
        <w:t xml:space="preserve"> of the </w:t>
      </w:r>
      <w:r w:rsidRPr="00CB6366">
        <w:rPr>
          <w:i/>
        </w:rPr>
        <w:t>Superannuation Industry (Supervision) Act 1993</w:t>
      </w:r>
      <w:r w:rsidRPr="00CB6366">
        <w:t xml:space="preserve"> (</w:t>
      </w:r>
      <w:r w:rsidRPr="00DA56F9">
        <w:t>SIS Act</w:t>
      </w:r>
      <w:r w:rsidRPr="00CB6366">
        <w:t>)</w:t>
      </w:r>
      <w:bookmarkEnd w:id="3"/>
      <w:r w:rsidRPr="00CB6366">
        <w:t>.</w:t>
      </w:r>
    </w:p>
    <w:p w14:paraId="1F38463D" w14:textId="77777777" w:rsidR="00CE40C1" w:rsidRPr="00733E54" w:rsidRDefault="00CE40C1" w:rsidP="00CE40C1">
      <w:pPr>
        <w:pStyle w:val="Heading3"/>
      </w:pPr>
      <w:bookmarkStart w:id="4" w:name="_Toc256519851"/>
      <w:r w:rsidRPr="00CB6366">
        <w:t>Applicatio</w:t>
      </w:r>
      <w:bookmarkEnd w:id="4"/>
      <w:r w:rsidRPr="00CB6366">
        <w:t>n</w:t>
      </w:r>
      <w:r>
        <w:t xml:space="preserve"> and commencement</w:t>
      </w:r>
    </w:p>
    <w:p w14:paraId="4CEB438A" w14:textId="77777777" w:rsidR="00CE40C1" w:rsidRDefault="00CE40C1" w:rsidP="004915D0">
      <w:pPr>
        <w:pStyle w:val="BodyText1"/>
      </w:pPr>
      <w:r w:rsidRPr="0029309F">
        <w:t xml:space="preserve">This Prudential Standard applies to all </w:t>
      </w:r>
      <w:r w:rsidRPr="00346E5B">
        <w:t>registrable superannuation entity (</w:t>
      </w:r>
      <w:r w:rsidRPr="00DA56F9">
        <w:t>RSE</w:t>
      </w:r>
      <w:r w:rsidRPr="00346E5B">
        <w:t>)</w:t>
      </w:r>
      <w:r w:rsidRPr="0029309F">
        <w:t xml:space="preserve"> licensees </w:t>
      </w:r>
      <w:r w:rsidRPr="00346E5B">
        <w:t>(</w:t>
      </w:r>
      <w:r w:rsidRPr="00DA56F9">
        <w:t>RSE licensees</w:t>
      </w:r>
      <w:r w:rsidRPr="00346E5B">
        <w:t xml:space="preserve">) </w:t>
      </w:r>
      <w:r w:rsidRPr="0029309F">
        <w:t>under the SIS Act.</w:t>
      </w:r>
      <w:r w:rsidRPr="00346E5B">
        <w:rPr>
          <w:rStyle w:val="FootnoteReference"/>
        </w:rPr>
        <w:footnoteReference w:id="2"/>
      </w:r>
    </w:p>
    <w:p w14:paraId="788AD381" w14:textId="77777777" w:rsidR="00CE40C1" w:rsidRPr="00F47F1B" w:rsidRDefault="00CE40C1" w:rsidP="004915D0">
      <w:pPr>
        <w:pStyle w:val="BodyText1"/>
      </w:pPr>
      <w:r w:rsidRPr="00FE006E">
        <w:t xml:space="preserve">All RSE licensees </w:t>
      </w:r>
      <w:r>
        <w:t xml:space="preserve">must </w:t>
      </w:r>
      <w:r w:rsidRPr="00FE006E">
        <w:t>comply with this Prudential Standard in its entirety, unless otherwise expressly indicated.</w:t>
      </w:r>
    </w:p>
    <w:p w14:paraId="00E0FBEB" w14:textId="77777777" w:rsidR="00CE40C1" w:rsidRPr="001A4706" w:rsidRDefault="00CE40C1" w:rsidP="004915D0">
      <w:pPr>
        <w:pStyle w:val="BodyText1"/>
      </w:pPr>
      <w:r w:rsidRPr="001A4706">
        <w:t>This Prudential Standard specifies:</w:t>
      </w:r>
    </w:p>
    <w:p w14:paraId="522D2A2E" w14:textId="77777777" w:rsidR="00CE40C1" w:rsidRPr="001A4706" w:rsidRDefault="00CE40C1" w:rsidP="00CE40C1">
      <w:pPr>
        <w:pStyle w:val="BodyText2"/>
      </w:pPr>
      <w:r w:rsidRPr="001A4706">
        <w:t xml:space="preserve">the fitness and propriety criteria for the purposes of </w:t>
      </w:r>
      <w:r>
        <w:t xml:space="preserve">certain provisions of </w:t>
      </w:r>
      <w:r w:rsidRPr="001A4706">
        <w:t>the SIS A</w:t>
      </w:r>
      <w:r>
        <w:t>ct</w:t>
      </w:r>
      <w:r>
        <w:rPr>
          <w:rStyle w:val="FootnoteReference"/>
        </w:rPr>
        <w:footnoteReference w:id="3"/>
      </w:r>
      <w:r>
        <w:t>; and</w:t>
      </w:r>
    </w:p>
    <w:p w14:paraId="29B80F50" w14:textId="2960B845" w:rsidR="00CE40C1" w:rsidRPr="001A4706" w:rsidRDefault="00CE40C1" w:rsidP="004915D0">
      <w:pPr>
        <w:pStyle w:val="BodyText2"/>
      </w:pPr>
      <w:r w:rsidRPr="001A4706">
        <w:t xml:space="preserve">the </w:t>
      </w:r>
      <w:r>
        <w:t>eligibility</w:t>
      </w:r>
      <w:r w:rsidRPr="001A4706">
        <w:t xml:space="preserve"> criteria for </w:t>
      </w:r>
      <w:r>
        <w:t xml:space="preserve">RSE </w:t>
      </w:r>
      <w:r w:rsidRPr="001A4706">
        <w:t xml:space="preserve">auditors and </w:t>
      </w:r>
      <w:r>
        <w:t xml:space="preserve">RSE </w:t>
      </w:r>
      <w:r w:rsidRPr="001A4706">
        <w:t>actuaries for the purposes of the SIS Act</w:t>
      </w:r>
      <w:r>
        <w:t>.</w:t>
      </w:r>
      <w:r>
        <w:rPr>
          <w:rStyle w:val="FootnoteReference"/>
        </w:rPr>
        <w:footnoteReference w:id="4"/>
      </w:r>
    </w:p>
    <w:p w14:paraId="153044E2" w14:textId="59263455" w:rsidR="00CE40C1" w:rsidRPr="001A4706" w:rsidRDefault="00CE40C1" w:rsidP="004915D0">
      <w:pPr>
        <w:pStyle w:val="BodyText1"/>
      </w:pPr>
      <w:r w:rsidRPr="00A62D60">
        <w:t xml:space="preserve">This Prudential Standard commences on </w:t>
      </w:r>
      <w:r>
        <w:t>30 June 2024.</w:t>
      </w:r>
    </w:p>
    <w:p w14:paraId="77CF5D40" w14:textId="77777777" w:rsidR="00CE40C1" w:rsidRDefault="00CE40C1" w:rsidP="00CE40C1">
      <w:pPr>
        <w:pStyle w:val="Heading3"/>
      </w:pPr>
      <w:r>
        <w:t>Interpretation</w:t>
      </w:r>
    </w:p>
    <w:p w14:paraId="69396791" w14:textId="77777777" w:rsidR="00CE40C1" w:rsidRPr="00F3380F" w:rsidRDefault="00CE40C1" w:rsidP="00F32E01">
      <w:pPr>
        <w:pStyle w:val="BodyText1"/>
      </w:pPr>
      <w:r w:rsidRPr="00733E54">
        <w:t>Where this Prudential Standard provides for APRA to exercise a power or discretion, the power or discretion is to be exercised in writing.</w:t>
      </w:r>
    </w:p>
    <w:p w14:paraId="5A4727AD" w14:textId="77777777" w:rsidR="00CE40C1" w:rsidRPr="004F14FE" w:rsidRDefault="00CE40C1" w:rsidP="004915D0">
      <w:pPr>
        <w:pStyle w:val="Heading3"/>
      </w:pPr>
      <w:r w:rsidRPr="00341C72">
        <w:t>Fit and Proper Policy</w:t>
      </w:r>
    </w:p>
    <w:p w14:paraId="76C9F74E" w14:textId="77777777" w:rsidR="00CE40C1" w:rsidRPr="00341C72" w:rsidRDefault="00CE40C1" w:rsidP="004915D0">
      <w:pPr>
        <w:pStyle w:val="BodyText1"/>
      </w:pPr>
      <w:r w:rsidRPr="00BB3876">
        <w:t xml:space="preserve">An RSE licensee must </w:t>
      </w:r>
      <w:r w:rsidRPr="00346E5B">
        <w:t>prudently manage the risks</w:t>
      </w:r>
      <w:r w:rsidRPr="00BB3876">
        <w:t xml:space="preserve"> that persons acting in </w:t>
      </w:r>
      <w:r w:rsidRPr="001A20F8">
        <w:t>responsible person positions</w:t>
      </w:r>
      <w:r w:rsidRPr="001A20F8">
        <w:rPr>
          <w:rStyle w:val="FootnoteReference"/>
        </w:rPr>
        <w:footnoteReference w:id="5"/>
      </w:r>
      <w:r w:rsidRPr="00BB3876">
        <w:t xml:space="preserve"> </w:t>
      </w:r>
      <w:r w:rsidRPr="00346E5B">
        <w:t xml:space="preserve">who </w:t>
      </w:r>
      <w:r w:rsidRPr="00BB3876">
        <w:t xml:space="preserve">are </w:t>
      </w:r>
      <w:r w:rsidRPr="00346E5B">
        <w:t xml:space="preserve">not </w:t>
      </w:r>
      <w:r w:rsidRPr="00BB3876">
        <w:t>fit and proper</w:t>
      </w:r>
      <w:r w:rsidRPr="00346E5B">
        <w:t xml:space="preserve"> pose</w:t>
      </w:r>
      <w:r>
        <w:t xml:space="preserve"> to</w:t>
      </w:r>
      <w:r w:rsidRPr="00BB3876">
        <w:t xml:space="preserve"> the </w:t>
      </w:r>
      <w:r>
        <w:t>interests</w:t>
      </w:r>
      <w:r w:rsidRPr="001A20F8">
        <w:t>,</w:t>
      </w:r>
      <w:r>
        <w:t xml:space="preserve"> or </w:t>
      </w:r>
      <w:r w:rsidRPr="00BB3876">
        <w:t>reasonable expectations</w:t>
      </w:r>
      <w:r w:rsidRPr="001A20F8">
        <w:t>,</w:t>
      </w:r>
      <w:r w:rsidRPr="00BB3876">
        <w:t xml:space="preserve"> of beneficiaries, </w:t>
      </w:r>
      <w:r>
        <w:t>the financial position of the RSE licensee, any of its RSEs or connected entities</w:t>
      </w:r>
      <w:r w:rsidRPr="001A20F8">
        <w:t>, or</w:t>
      </w:r>
      <w:r>
        <w:t xml:space="preserve"> in relation to any other relevant prudential matter.</w:t>
      </w:r>
      <w:r>
        <w:rPr>
          <w:rStyle w:val="FootnoteReference"/>
        </w:rPr>
        <w:footnoteReference w:id="6"/>
      </w:r>
      <w:r w:rsidRPr="00346E5B">
        <w:t xml:space="preserve"> To this end, an</w:t>
      </w:r>
      <w:r>
        <w:t xml:space="preserve"> RSE licensee</w:t>
      </w:r>
      <w:r w:rsidRPr="00341C72">
        <w:t xml:space="preserve"> must have a </w:t>
      </w:r>
      <w:r>
        <w:t>documented</w:t>
      </w:r>
      <w:r w:rsidRPr="00341C72">
        <w:t xml:space="preserve"> policy </w:t>
      </w:r>
      <w:r w:rsidRPr="00341C72">
        <w:lastRenderedPageBreak/>
        <w:t>relating to the fitness and propriety of its responsible persons that meets the requirements of this Prudential Standard (</w:t>
      </w:r>
      <w:r w:rsidRPr="00DA56F9">
        <w:t>Fit and Proper Policy</w:t>
      </w:r>
      <w:r w:rsidRPr="00341C72">
        <w:t>).</w:t>
      </w:r>
    </w:p>
    <w:p w14:paraId="3D2154E9" w14:textId="77777777" w:rsidR="00CE40C1" w:rsidRDefault="00CE40C1" w:rsidP="004915D0">
      <w:pPr>
        <w:pStyle w:val="BodyText1"/>
      </w:pPr>
      <w:bookmarkStart w:id="5" w:name="_Ref315422661"/>
      <w:bookmarkStart w:id="6" w:name="_Ref359403149"/>
      <w:r w:rsidRPr="00346E5B">
        <w:t>The</w:t>
      </w:r>
      <w:r>
        <w:t xml:space="preserve"> </w:t>
      </w:r>
      <w:r w:rsidRPr="00341C72">
        <w:t xml:space="preserve">Fit and Proper Policy must </w:t>
      </w:r>
      <w:r>
        <w:t>be</w:t>
      </w:r>
      <w:r w:rsidRPr="00341C72">
        <w:t xml:space="preserve"> approved by the Board</w:t>
      </w:r>
      <w:r>
        <w:t xml:space="preserve"> of </w:t>
      </w:r>
      <w:r w:rsidRPr="00346E5B">
        <w:t>an</w:t>
      </w:r>
      <w:r>
        <w:t xml:space="preserve"> RSE licensee (</w:t>
      </w:r>
      <w:r w:rsidRPr="00DA56F9">
        <w:t>the Board</w:t>
      </w:r>
      <w:r>
        <w:t>).</w:t>
      </w:r>
      <w:bookmarkEnd w:id="5"/>
      <w:r w:rsidRPr="004F14FE">
        <w:rPr>
          <w:rStyle w:val="FootnoteReference"/>
          <w:sz w:val="20"/>
          <w:szCs w:val="20"/>
        </w:rPr>
        <w:footnoteReference w:id="7"/>
      </w:r>
      <w:bookmarkEnd w:id="6"/>
    </w:p>
    <w:p w14:paraId="42C345F0" w14:textId="77777777" w:rsidR="00CE40C1" w:rsidRPr="00341C72" w:rsidRDefault="00CE40C1" w:rsidP="004915D0">
      <w:pPr>
        <w:pStyle w:val="BodyText1"/>
      </w:pPr>
      <w:r>
        <w:t>An RSE licensee</w:t>
      </w:r>
      <w:r w:rsidRPr="00341C72">
        <w:t xml:space="preserve"> must take all reasonable steps to ensure that each responsible person is aware of, and understands, the provisions of its Fit and Proper Policy.</w:t>
      </w:r>
    </w:p>
    <w:p w14:paraId="585ED31D" w14:textId="77777777" w:rsidR="00CE40C1" w:rsidRPr="00341C72" w:rsidRDefault="00CE40C1" w:rsidP="004915D0">
      <w:pPr>
        <w:pStyle w:val="BodyText1"/>
      </w:pPr>
      <w:r w:rsidRPr="00341C72">
        <w:t xml:space="preserve">The Fit and Proper Policy must form part of an </w:t>
      </w:r>
      <w:r>
        <w:t>RSE licensee’s</w:t>
      </w:r>
      <w:r w:rsidRPr="00341C72">
        <w:t xml:space="preserve"> </w:t>
      </w:r>
      <w:r>
        <w:t>r</w:t>
      </w:r>
      <w:r w:rsidRPr="00341C72">
        <w:t xml:space="preserve">isk </w:t>
      </w:r>
      <w:r>
        <w:t>m</w:t>
      </w:r>
      <w:r w:rsidRPr="00341C72">
        <w:t xml:space="preserve">anagement </w:t>
      </w:r>
      <w:r>
        <w:t>framework.</w:t>
      </w:r>
      <w:r w:rsidRPr="004F14FE">
        <w:rPr>
          <w:rStyle w:val="FootnoteReference"/>
          <w:sz w:val="20"/>
          <w:szCs w:val="20"/>
        </w:rPr>
        <w:footnoteReference w:id="8"/>
      </w:r>
    </w:p>
    <w:p w14:paraId="48D5F1F3" w14:textId="0A0354DC" w:rsidR="00CE40C1" w:rsidRDefault="00CE40C1" w:rsidP="004915D0">
      <w:pPr>
        <w:pStyle w:val="BodyText1"/>
      </w:pPr>
      <w:r w:rsidRPr="00341C72">
        <w:t xml:space="preserve">Nothing in this Prudential Standard prevents </w:t>
      </w:r>
      <w:r>
        <w:t>an RSE licensee</w:t>
      </w:r>
      <w:r w:rsidRPr="00341C72">
        <w:t xml:space="preserve"> from </w:t>
      </w:r>
      <w:r>
        <w:t xml:space="preserve">adopting and </w:t>
      </w:r>
      <w:r w:rsidRPr="00341C72">
        <w:t xml:space="preserve">applying a </w:t>
      </w:r>
      <w:r>
        <w:t xml:space="preserve">group </w:t>
      </w:r>
      <w:r w:rsidRPr="00341C72">
        <w:t xml:space="preserve">Fit and Proper Policy used </w:t>
      </w:r>
      <w:r>
        <w:t xml:space="preserve">by </w:t>
      </w:r>
      <w:r w:rsidRPr="00346E5B">
        <w:t>a connected entity</w:t>
      </w:r>
      <w:r w:rsidRPr="00341C72">
        <w:t xml:space="preserve">, provided that the policy has been approved by the </w:t>
      </w:r>
      <w:r>
        <w:t>Board</w:t>
      </w:r>
      <w:r w:rsidRPr="00341C72">
        <w:t xml:space="preserve"> in accordance with paragraph </w:t>
      </w:r>
      <w:r>
        <w:t>8</w:t>
      </w:r>
      <w:r w:rsidRPr="00341C72">
        <w:t xml:space="preserve"> and meets the requirements of this Prudential Standard.</w:t>
      </w:r>
    </w:p>
    <w:p w14:paraId="52AFDF21" w14:textId="77777777" w:rsidR="00CE40C1" w:rsidRPr="00341C72" w:rsidRDefault="00CE40C1" w:rsidP="004915D0">
      <w:pPr>
        <w:pStyle w:val="Heading3"/>
      </w:pPr>
      <w:r w:rsidRPr="00341C72">
        <w:t>Responsible persons</w:t>
      </w:r>
    </w:p>
    <w:p w14:paraId="400FC563" w14:textId="77777777" w:rsidR="00CE40C1" w:rsidRPr="00341C72" w:rsidRDefault="00CE40C1" w:rsidP="004915D0">
      <w:pPr>
        <w:pStyle w:val="BodyText1"/>
      </w:pPr>
      <w:bookmarkStart w:id="7" w:name="_Ref313626230"/>
      <w:r w:rsidRPr="00341C72">
        <w:t xml:space="preserve">A responsible person of </w:t>
      </w:r>
      <w:r>
        <w:t>an RSE licensee</w:t>
      </w:r>
      <w:r w:rsidRPr="00341C72">
        <w:t xml:space="preserve"> is:</w:t>
      </w:r>
      <w:bookmarkEnd w:id="7"/>
    </w:p>
    <w:p w14:paraId="38143CFC" w14:textId="77777777" w:rsidR="00CE40C1" w:rsidRPr="00341C72" w:rsidRDefault="00CE40C1" w:rsidP="004915D0">
      <w:pPr>
        <w:pStyle w:val="BodyText2"/>
        <w:numPr>
          <w:ilvl w:val="1"/>
          <w:numId w:val="6"/>
        </w:numPr>
      </w:pPr>
      <w:r w:rsidRPr="00341C72">
        <w:t xml:space="preserve">a director of the </w:t>
      </w:r>
      <w:r>
        <w:t>RSE licensee</w:t>
      </w:r>
      <w:r w:rsidRPr="00346E5B">
        <w:rPr>
          <w:rStyle w:val="FootnoteReference"/>
        </w:rPr>
        <w:footnoteReference w:id="9"/>
      </w:r>
      <w:r w:rsidRPr="00346E5B">
        <w:t>;</w:t>
      </w:r>
      <w:r w:rsidRPr="00341C72">
        <w:t xml:space="preserve"> </w:t>
      </w:r>
    </w:p>
    <w:p w14:paraId="7B74571A" w14:textId="77777777" w:rsidR="00CE40C1" w:rsidRDefault="00CE40C1" w:rsidP="004915D0">
      <w:pPr>
        <w:pStyle w:val="BodyText2"/>
      </w:pPr>
      <w:r>
        <w:t xml:space="preserve">a secretary of the RSE </w:t>
      </w:r>
      <w:proofErr w:type="gramStart"/>
      <w:r>
        <w:t>licensee;</w:t>
      </w:r>
      <w:proofErr w:type="gramEnd"/>
      <w:r>
        <w:t xml:space="preserve"> </w:t>
      </w:r>
    </w:p>
    <w:p w14:paraId="393E6C31" w14:textId="77777777" w:rsidR="00CE40C1" w:rsidRPr="00341C72" w:rsidRDefault="00CE40C1" w:rsidP="004915D0">
      <w:pPr>
        <w:pStyle w:val="BodyText2"/>
      </w:pPr>
      <w:r w:rsidRPr="00341C72">
        <w:t xml:space="preserve">a senior manager of the </w:t>
      </w:r>
      <w:r>
        <w:t xml:space="preserve">RSE </w:t>
      </w:r>
      <w:proofErr w:type="gramStart"/>
      <w:r>
        <w:t>licensee</w:t>
      </w:r>
      <w:r w:rsidRPr="00341C72">
        <w:t>;</w:t>
      </w:r>
      <w:proofErr w:type="gramEnd"/>
      <w:r w:rsidRPr="00341C72">
        <w:t xml:space="preserve"> </w:t>
      </w:r>
    </w:p>
    <w:p w14:paraId="2AC9756F" w14:textId="6E92CF09" w:rsidR="00CE40C1" w:rsidRPr="006F6A19" w:rsidRDefault="00CE40C1" w:rsidP="004915D0">
      <w:pPr>
        <w:pStyle w:val="BodyText2"/>
      </w:pPr>
      <w:r w:rsidRPr="006F6A19">
        <w:t xml:space="preserve">an </w:t>
      </w:r>
      <w:r>
        <w:t>individual RSE</w:t>
      </w:r>
      <w:r w:rsidRPr="006F6A19">
        <w:t xml:space="preserve"> auditor</w:t>
      </w:r>
      <w:r>
        <w:t xml:space="preserve"> or a lead auditor,</w:t>
      </w:r>
      <w:r w:rsidRPr="006F6A19">
        <w:t xml:space="preserve"> appointed to conduct an audit of an RSE for which the RSE licensee is trustee</w:t>
      </w:r>
      <w:r w:rsidRPr="00346E5B">
        <w:t>,</w:t>
      </w:r>
      <w:r>
        <w:t xml:space="preserve"> or </w:t>
      </w:r>
      <w:r w:rsidRPr="00346E5B">
        <w:t>of any connected entity</w:t>
      </w:r>
      <w:r>
        <w:t xml:space="preserve"> of the RSE licensee</w:t>
      </w:r>
      <w:r w:rsidRPr="004F14FE">
        <w:rPr>
          <w:rStyle w:val="FootnoteReference"/>
          <w:sz w:val="20"/>
          <w:szCs w:val="20"/>
        </w:rPr>
        <w:footnoteReference w:id="10"/>
      </w:r>
      <w:r w:rsidRPr="004F14FE">
        <w:rPr>
          <w:sz w:val="20"/>
          <w:szCs w:val="20"/>
        </w:rPr>
        <w:t>;</w:t>
      </w:r>
      <w:r w:rsidRPr="006F6A19">
        <w:t xml:space="preserve"> </w:t>
      </w:r>
    </w:p>
    <w:p w14:paraId="0DAAF0CE" w14:textId="77777777" w:rsidR="00CE40C1" w:rsidRDefault="00CE40C1" w:rsidP="004915D0">
      <w:pPr>
        <w:pStyle w:val="BodyText2"/>
      </w:pPr>
      <w:r w:rsidRPr="006F6A19">
        <w:t xml:space="preserve">an </w:t>
      </w:r>
      <w:r>
        <w:t xml:space="preserve">RSE </w:t>
      </w:r>
      <w:r w:rsidRPr="006F6A19">
        <w:t xml:space="preserve">actuary </w:t>
      </w:r>
      <w:r>
        <w:t>who is appointed to perform an actuarial function under</w:t>
      </w:r>
      <w:r w:rsidRPr="006F6A19">
        <w:t xml:space="preserve"> </w:t>
      </w:r>
      <w:r>
        <w:t>RSE licensee law</w:t>
      </w:r>
      <w:r>
        <w:rPr>
          <w:rStyle w:val="FootnoteReference"/>
        </w:rPr>
        <w:footnoteReference w:id="11"/>
      </w:r>
      <w:r>
        <w:t>; and</w:t>
      </w:r>
      <w:r w:rsidRPr="006F6A19">
        <w:t xml:space="preserve"> </w:t>
      </w:r>
    </w:p>
    <w:p w14:paraId="71E4BB44" w14:textId="77777777" w:rsidR="00CE40C1" w:rsidRPr="00346E5B" w:rsidRDefault="00CE40C1" w:rsidP="004915D0">
      <w:pPr>
        <w:pStyle w:val="BodyText2"/>
      </w:pPr>
      <w:r w:rsidRPr="00346E5B">
        <w:t>a</w:t>
      </w:r>
      <w:r>
        <w:t xml:space="preserve"> person who </w:t>
      </w:r>
      <w:r w:rsidRPr="00346E5B">
        <w:t>performs</w:t>
      </w:r>
      <w:r w:rsidRPr="00AA2942">
        <w:t xml:space="preserve"> activities </w:t>
      </w:r>
      <w:r w:rsidRPr="00346E5B">
        <w:t xml:space="preserve">for a connected entity of the RSE licensee where those activities could </w:t>
      </w:r>
      <w:r w:rsidRPr="00AA2942">
        <w:t>material</w:t>
      </w:r>
      <w:r>
        <w:t xml:space="preserve">ly </w:t>
      </w:r>
      <w:r w:rsidRPr="00346E5B">
        <w:t xml:space="preserve">affect the whole, or a </w:t>
      </w:r>
      <w:r w:rsidRPr="00346E5B">
        <w:lastRenderedPageBreak/>
        <w:t xml:space="preserve">substantial part, of </w:t>
      </w:r>
      <w:r w:rsidRPr="00BB3876">
        <w:t xml:space="preserve">the </w:t>
      </w:r>
      <w:r>
        <w:t>RSE licensee’s business operations</w:t>
      </w:r>
      <w:r w:rsidRPr="00346E5B">
        <w:t>,</w:t>
      </w:r>
      <w:r>
        <w:t xml:space="preserve"> or</w:t>
      </w:r>
      <w:r w:rsidRPr="00346E5B">
        <w:t xml:space="preserve"> its</w:t>
      </w:r>
      <w:r>
        <w:t xml:space="preserve"> financial </w:t>
      </w:r>
      <w:r w:rsidRPr="00346E5B">
        <w:t xml:space="preserve">standing, either directly or indirectly. </w:t>
      </w:r>
    </w:p>
    <w:p w14:paraId="6EF114E3" w14:textId="111D837C" w:rsidR="00CE40C1" w:rsidRPr="00AA2942" w:rsidRDefault="00CE40C1" w:rsidP="004915D0">
      <w:pPr>
        <w:pStyle w:val="BodyText1"/>
      </w:pPr>
      <w:r w:rsidRPr="00346E5B">
        <w:t>A person need not be an employee of an</w:t>
      </w:r>
      <w:r>
        <w:t xml:space="preserve"> RSE licensee</w:t>
      </w:r>
      <w:r w:rsidRPr="00346E5B">
        <w:t xml:space="preserve"> to be a </w:t>
      </w:r>
      <w:r w:rsidRPr="00477042">
        <w:t xml:space="preserve">responsible person </w:t>
      </w:r>
      <w:r w:rsidRPr="00346E5B">
        <w:t xml:space="preserve">if they are within </w:t>
      </w:r>
      <w:r>
        <w:t xml:space="preserve">one of </w:t>
      </w:r>
      <w:r w:rsidRPr="00346E5B">
        <w:t xml:space="preserve">the definitions in paragraph </w:t>
      </w:r>
      <w:r>
        <w:t>12</w:t>
      </w:r>
      <w:r w:rsidRPr="00346E5B">
        <w:t xml:space="preserve">. In some circumstances a </w:t>
      </w:r>
      <w:r w:rsidRPr="00477042">
        <w:t xml:space="preserve">consultant, contractor or employee of </w:t>
      </w:r>
      <w:r w:rsidRPr="00346E5B">
        <w:t>a</w:t>
      </w:r>
      <w:r>
        <w:t>nother</w:t>
      </w:r>
      <w:r w:rsidRPr="00477042">
        <w:t xml:space="preserve"> entity </w:t>
      </w:r>
      <w:r w:rsidRPr="00346E5B">
        <w:t>may be a responsible person.</w:t>
      </w:r>
      <w:r w:rsidRPr="00AA2942">
        <w:t xml:space="preserve"> </w:t>
      </w:r>
    </w:p>
    <w:p w14:paraId="31BB4BF7" w14:textId="110569DF" w:rsidR="00CE40C1" w:rsidRPr="00142EF8" w:rsidRDefault="00CE40C1" w:rsidP="004915D0">
      <w:pPr>
        <w:pStyle w:val="BodyText1"/>
      </w:pPr>
      <w:bookmarkStart w:id="8" w:name="_Ref313626253"/>
      <w:r w:rsidRPr="00B2125C">
        <w:t>In addition to persons who meet the definition of a responsible person</w:t>
      </w:r>
      <w:r w:rsidRPr="00346E5B">
        <w:t xml:space="preserve">, </w:t>
      </w:r>
      <w:r w:rsidRPr="00420B8A">
        <w:t xml:space="preserve">APRA may determine that a person is a responsible person if APRA is satisfied that the person plays a significant role in the management or control of the RSE licensee, or that the person’s activities may materially impact on </w:t>
      </w:r>
      <w:r w:rsidRPr="00142EF8">
        <w:t xml:space="preserve">the </w:t>
      </w:r>
      <w:r w:rsidRPr="001665FC">
        <w:t>interests</w:t>
      </w:r>
      <w:r w:rsidRPr="001A20F8">
        <w:t>,</w:t>
      </w:r>
      <w:r w:rsidRPr="001665FC">
        <w:t xml:space="preserve"> or reasonable expectations</w:t>
      </w:r>
      <w:r w:rsidRPr="001A20F8">
        <w:t>,</w:t>
      </w:r>
      <w:r w:rsidRPr="001665FC">
        <w:t xml:space="preserve"> of beneficiaries</w:t>
      </w:r>
      <w:r w:rsidRPr="00346E5B">
        <w:t>, or</w:t>
      </w:r>
      <w:r w:rsidRPr="00142EF8">
        <w:t xml:space="preserve"> the financial position of the RSE licensee, any of its RSEs or connected entities, or any other relevant prudential matter.</w:t>
      </w:r>
      <w:bookmarkEnd w:id="8"/>
    </w:p>
    <w:p w14:paraId="795E142D" w14:textId="62C6B671" w:rsidR="00CE40C1" w:rsidRPr="00142EF8" w:rsidRDefault="00CE40C1" w:rsidP="004915D0">
      <w:pPr>
        <w:pStyle w:val="BodyText1"/>
      </w:pPr>
      <w:r w:rsidRPr="00420B8A">
        <w:t>APRA may determine that a person is not a responsible person in relation to a particular position, responsibility or activity if APRA is satisfied that the person does not play a significant role in the management or control of the RSE licensee or that the person’s activ</w:t>
      </w:r>
      <w:r w:rsidRPr="00AA2942">
        <w:t>ities may not materially impact on</w:t>
      </w:r>
      <w:r>
        <w:t xml:space="preserve"> </w:t>
      </w:r>
      <w:r w:rsidRPr="00142EF8">
        <w:t xml:space="preserve">the </w:t>
      </w:r>
      <w:r w:rsidRPr="001665FC">
        <w:t>interests</w:t>
      </w:r>
      <w:r w:rsidRPr="001A20F8">
        <w:t>,</w:t>
      </w:r>
      <w:r w:rsidRPr="001665FC">
        <w:t xml:space="preserve"> or reasonable expectations</w:t>
      </w:r>
      <w:r w:rsidRPr="001A20F8">
        <w:t>,</w:t>
      </w:r>
      <w:r w:rsidRPr="001665FC">
        <w:t xml:space="preserve"> of beneficiaries</w:t>
      </w:r>
      <w:r w:rsidRPr="00346E5B">
        <w:t>, or</w:t>
      </w:r>
      <w:r w:rsidRPr="00025DEB">
        <w:t xml:space="preserve"> </w:t>
      </w:r>
      <w:r w:rsidRPr="00142EF8">
        <w:t xml:space="preserve">the financial position of the RSE licensee, any of its RSEs or connected entities, or any other relevant prudential matter. </w:t>
      </w:r>
    </w:p>
    <w:p w14:paraId="2938ED32" w14:textId="7C51E610" w:rsidR="00CE40C1" w:rsidRPr="00341C72" w:rsidRDefault="00CE40C1" w:rsidP="004915D0">
      <w:pPr>
        <w:pStyle w:val="BodyText1"/>
      </w:pPr>
      <w:bookmarkStart w:id="9" w:name="_Ref306709867"/>
      <w:r w:rsidRPr="001A20F8">
        <w:t>‘Responsible person position’</w:t>
      </w:r>
      <w:r w:rsidRPr="00341C72">
        <w:t xml:space="preserve"> means the responsibilities or activities of a responsible person that would lead to the person being a responsible person </w:t>
      </w:r>
      <w:r w:rsidRPr="001A20F8">
        <w:t>within one of</w:t>
      </w:r>
      <w:r>
        <w:t xml:space="preserve"> the definitions in</w:t>
      </w:r>
      <w:r w:rsidRPr="00341C72">
        <w:t xml:space="preserve"> </w:t>
      </w:r>
      <w:r>
        <w:t>paragraph</w:t>
      </w:r>
      <w:r w:rsidRPr="00341C72">
        <w:t xml:space="preserve"> </w:t>
      </w:r>
      <w:r>
        <w:t>12</w:t>
      </w:r>
      <w:bookmarkEnd w:id="9"/>
      <w:r w:rsidRPr="00341C72">
        <w:t xml:space="preserve">. </w:t>
      </w:r>
    </w:p>
    <w:p w14:paraId="07F071E8" w14:textId="77777777" w:rsidR="00CE40C1" w:rsidRPr="00341C72" w:rsidRDefault="00CE40C1" w:rsidP="004915D0">
      <w:pPr>
        <w:pStyle w:val="Heading3"/>
      </w:pPr>
      <w:r w:rsidRPr="00341C72">
        <w:t>Senior managers</w:t>
      </w:r>
    </w:p>
    <w:p w14:paraId="2E4E837C" w14:textId="77777777" w:rsidR="00CE40C1" w:rsidRPr="00341C72" w:rsidRDefault="00CE40C1" w:rsidP="004915D0">
      <w:pPr>
        <w:pStyle w:val="BodyText1"/>
      </w:pPr>
      <w:bookmarkStart w:id="10" w:name="_Ref306712800"/>
      <w:r w:rsidRPr="001A20F8">
        <w:t>‘</w:t>
      </w:r>
      <w:r w:rsidRPr="00341C72">
        <w:t xml:space="preserve">Senior </w:t>
      </w:r>
      <w:r w:rsidRPr="001A20F8">
        <w:t>manager’,</w:t>
      </w:r>
      <w:r w:rsidRPr="00341C72">
        <w:t xml:space="preserve"> in relation to </w:t>
      </w:r>
      <w:r>
        <w:t>an RSE licensee</w:t>
      </w:r>
      <w:r w:rsidRPr="001A20F8">
        <w:t>,</w:t>
      </w:r>
      <w:r w:rsidRPr="00341C72">
        <w:t xml:space="preserve"> means a person (other than a director </w:t>
      </w:r>
      <w:r w:rsidRPr="00522C79">
        <w:t>of the RSE licensee</w:t>
      </w:r>
      <w:r w:rsidRPr="00341C72">
        <w:t>) who:</w:t>
      </w:r>
      <w:bookmarkEnd w:id="10"/>
      <w:r>
        <w:t xml:space="preserve"> </w:t>
      </w:r>
    </w:p>
    <w:p w14:paraId="1516FA5A" w14:textId="77777777" w:rsidR="00CE40C1" w:rsidRPr="00341C72" w:rsidRDefault="00CE40C1" w:rsidP="004915D0">
      <w:pPr>
        <w:pStyle w:val="BodyText2"/>
        <w:numPr>
          <w:ilvl w:val="1"/>
          <w:numId w:val="7"/>
        </w:numPr>
      </w:pPr>
      <w:r w:rsidRPr="00341C72">
        <w:t xml:space="preserve">makes, or participates in making, decisions that affect the whole, or a substantial part, of the </w:t>
      </w:r>
      <w:r>
        <w:t xml:space="preserve">RSE licensee’s business </w:t>
      </w:r>
      <w:proofErr w:type="gramStart"/>
      <w:r>
        <w:t>operations</w:t>
      </w:r>
      <w:r w:rsidRPr="00341C72">
        <w:t>;</w:t>
      </w:r>
      <w:proofErr w:type="gramEnd"/>
    </w:p>
    <w:p w14:paraId="2D8EFB0E" w14:textId="77777777" w:rsidR="00CE40C1" w:rsidRPr="0066677C" w:rsidRDefault="00CE40C1" w:rsidP="004915D0">
      <w:pPr>
        <w:pStyle w:val="BodyText2"/>
      </w:pPr>
      <w:r w:rsidRPr="0066677C">
        <w:t xml:space="preserve">has the capacity to affect significantly the </w:t>
      </w:r>
      <w:r>
        <w:t xml:space="preserve">RSE licensee’s </w:t>
      </w:r>
      <w:r w:rsidRPr="00025DEB">
        <w:t xml:space="preserve">business </w:t>
      </w:r>
      <w:r w:rsidRPr="00346E5B">
        <w:t>operations</w:t>
      </w:r>
      <w:r>
        <w:t xml:space="preserve"> or its financial </w:t>
      </w:r>
      <w:r w:rsidRPr="00346E5B">
        <w:t>standing</w:t>
      </w:r>
      <w:r w:rsidRPr="00346E5B">
        <w:rPr>
          <w:rStyle w:val="FootnoteReference"/>
        </w:rPr>
        <w:footnoteReference w:id="12"/>
      </w:r>
      <w:r w:rsidRPr="00346E5B">
        <w:t>;</w:t>
      </w:r>
      <w:r w:rsidRPr="00BB3876">
        <w:t xml:space="preserve"> </w:t>
      </w:r>
    </w:p>
    <w:p w14:paraId="61420FF1" w14:textId="77777777" w:rsidR="00CE40C1" w:rsidRPr="00341C72" w:rsidRDefault="00CE40C1" w:rsidP="004915D0">
      <w:pPr>
        <w:pStyle w:val="BodyText2"/>
      </w:pPr>
      <w:r w:rsidRPr="00341C72">
        <w:t xml:space="preserve">may materially affect the whole, or a substantial part, of the </w:t>
      </w:r>
      <w:r w:rsidRPr="00346E5B">
        <w:t xml:space="preserve">RSE licensee’s </w:t>
      </w:r>
      <w:r w:rsidRPr="00341C72">
        <w:t xml:space="preserve">business </w:t>
      </w:r>
      <w:r>
        <w:t>operations</w:t>
      </w:r>
      <w:r w:rsidRPr="00341C72">
        <w:t xml:space="preserve"> or its financial standing through their responsibility for:</w:t>
      </w:r>
    </w:p>
    <w:p w14:paraId="3E6A71CF" w14:textId="77777777" w:rsidR="00CE40C1" w:rsidRPr="00341C72" w:rsidRDefault="00CE40C1" w:rsidP="004915D0">
      <w:pPr>
        <w:pStyle w:val="BodyText3"/>
      </w:pPr>
      <w:r w:rsidRPr="00341C72">
        <w:t xml:space="preserve">enforcing policies and implementing strategies approved by the </w:t>
      </w:r>
      <w:proofErr w:type="gramStart"/>
      <w:r w:rsidRPr="00341C72">
        <w:t>Board</w:t>
      </w:r>
      <w:r w:rsidRPr="00346E5B">
        <w:t>;</w:t>
      </w:r>
      <w:proofErr w:type="gramEnd"/>
      <w:r w:rsidRPr="00346E5B">
        <w:t xml:space="preserve"> </w:t>
      </w:r>
    </w:p>
    <w:p w14:paraId="149CE333" w14:textId="77777777" w:rsidR="00CE40C1" w:rsidRPr="00341C72" w:rsidRDefault="00CE40C1" w:rsidP="004915D0">
      <w:pPr>
        <w:pStyle w:val="BodyText3"/>
      </w:pPr>
      <w:r w:rsidRPr="00341C72">
        <w:lastRenderedPageBreak/>
        <w:t xml:space="preserve">the development and implementation of systems </w:t>
      </w:r>
      <w:r>
        <w:t>used to</w:t>
      </w:r>
      <w:r w:rsidRPr="00341C72">
        <w:t xml:space="preserve"> identify, assess, </w:t>
      </w:r>
      <w:proofErr w:type="gramStart"/>
      <w:r w:rsidRPr="00341C72">
        <w:t>manage</w:t>
      </w:r>
      <w:proofErr w:type="gramEnd"/>
      <w:r w:rsidRPr="00341C72">
        <w:t xml:space="preserve"> or monitor risks in relation to the </w:t>
      </w:r>
      <w:r w:rsidRPr="00346E5B">
        <w:t xml:space="preserve">RSE licensee’s </w:t>
      </w:r>
      <w:r w:rsidRPr="00341C72">
        <w:t xml:space="preserve">business </w:t>
      </w:r>
      <w:r w:rsidRPr="00346E5B">
        <w:t>operations</w:t>
      </w:r>
      <w:r w:rsidRPr="00341C72">
        <w:t>; or</w:t>
      </w:r>
    </w:p>
    <w:p w14:paraId="61C4DC90" w14:textId="77777777" w:rsidR="00CE40C1" w:rsidRDefault="00CE40C1" w:rsidP="004915D0">
      <w:pPr>
        <w:pStyle w:val="BodyText3"/>
      </w:pPr>
      <w:r w:rsidRPr="00341C72">
        <w:t xml:space="preserve">monitoring the appropriateness, </w:t>
      </w:r>
      <w:proofErr w:type="gramStart"/>
      <w:r w:rsidRPr="00341C72">
        <w:t>adequacy</w:t>
      </w:r>
      <w:proofErr w:type="gramEnd"/>
      <w:r w:rsidRPr="00341C72">
        <w:t xml:space="preserve"> and effective</w:t>
      </w:r>
      <w:r>
        <w:t>ness of risk management frameworks; or</w:t>
      </w:r>
    </w:p>
    <w:p w14:paraId="584E73A0" w14:textId="77777777" w:rsidR="00CE40C1" w:rsidRPr="00B2372F" w:rsidRDefault="00CE40C1" w:rsidP="004915D0">
      <w:pPr>
        <w:pStyle w:val="BodyText2"/>
      </w:pPr>
      <w:r>
        <w:t>is otherwise an executive officer of the RSE licensee.</w:t>
      </w:r>
      <w:r>
        <w:rPr>
          <w:rStyle w:val="FootnoteReference"/>
        </w:rPr>
        <w:footnoteReference w:id="13"/>
      </w:r>
    </w:p>
    <w:p w14:paraId="54B6AFDE" w14:textId="77777777" w:rsidR="00CE40C1" w:rsidRPr="00341C72" w:rsidRDefault="00CE40C1" w:rsidP="004915D0">
      <w:pPr>
        <w:pStyle w:val="Heading3"/>
      </w:pPr>
      <w:r w:rsidRPr="00341C72">
        <w:t xml:space="preserve">Criteria to determine if a responsible person is fit and </w:t>
      </w:r>
      <w:proofErr w:type="gramStart"/>
      <w:r w:rsidRPr="00341C72">
        <w:t>proper</w:t>
      </w:r>
      <w:proofErr w:type="gramEnd"/>
    </w:p>
    <w:p w14:paraId="7F85C351" w14:textId="77777777" w:rsidR="00CE40C1" w:rsidRPr="00341C72" w:rsidRDefault="00CE40C1" w:rsidP="004915D0">
      <w:pPr>
        <w:pStyle w:val="BodyText1"/>
      </w:pPr>
      <w:r>
        <w:t>An</w:t>
      </w:r>
      <w:r w:rsidRPr="00341C72">
        <w:t xml:space="preserve"> </w:t>
      </w:r>
      <w:r>
        <w:t>RSE licensee</w:t>
      </w:r>
      <w:r w:rsidRPr="00341C72">
        <w:t xml:space="preserve"> must </w:t>
      </w:r>
      <w:r>
        <w:t>clearly define and</w:t>
      </w:r>
      <w:r w:rsidRPr="00341C72">
        <w:t xml:space="preserve"> document the competencies required for each responsible person position.</w:t>
      </w:r>
    </w:p>
    <w:p w14:paraId="49A2FB4D" w14:textId="77777777" w:rsidR="00CE40C1" w:rsidRPr="0066677C" w:rsidRDefault="00CE40C1" w:rsidP="004915D0">
      <w:pPr>
        <w:pStyle w:val="BodyText1"/>
      </w:pPr>
      <w:bookmarkStart w:id="11" w:name="_Ref313615944"/>
      <w:r w:rsidRPr="0066677C">
        <w:t>For the purposes of the SIS Act and for the purposes of determining whether a person is fit and proper to hold a responsible person position, the criteria are whether</w:t>
      </w:r>
      <w:r>
        <w:rPr>
          <w:rStyle w:val="FootnoteReference"/>
        </w:rPr>
        <w:footnoteReference w:id="14"/>
      </w:r>
      <w:r w:rsidRPr="0066677C">
        <w:t>:</w:t>
      </w:r>
      <w:bookmarkEnd w:id="11"/>
    </w:p>
    <w:p w14:paraId="0C8FA300" w14:textId="77777777" w:rsidR="00CE40C1" w:rsidRDefault="00CE40C1" w:rsidP="004915D0">
      <w:pPr>
        <w:pStyle w:val="BodyText2"/>
      </w:pPr>
      <w:r w:rsidRPr="00341C72">
        <w:t xml:space="preserve">it would be prudent for </w:t>
      </w:r>
      <w:r>
        <w:t>an RSE licensee</w:t>
      </w:r>
      <w:r w:rsidRPr="00341C72">
        <w:t xml:space="preserve"> to conclude that the person possesses the competence, character, diligence, </w:t>
      </w:r>
      <w:r>
        <w:t xml:space="preserve">experience, </w:t>
      </w:r>
      <w:r w:rsidRPr="00341C72">
        <w:t xml:space="preserve">honesty, integrity and judgement to perform properly the duties of the responsible person </w:t>
      </w:r>
      <w:proofErr w:type="gramStart"/>
      <w:r w:rsidRPr="00341C72">
        <w:t>position;</w:t>
      </w:r>
      <w:proofErr w:type="gramEnd"/>
      <w:r>
        <w:t xml:space="preserve"> </w:t>
      </w:r>
    </w:p>
    <w:p w14:paraId="7D6CEB4C" w14:textId="77777777" w:rsidR="00CE40C1" w:rsidRPr="00341C72" w:rsidRDefault="00CE40C1" w:rsidP="004915D0">
      <w:pPr>
        <w:pStyle w:val="BodyText2"/>
      </w:pPr>
      <w:r w:rsidRPr="00341C72">
        <w:t xml:space="preserve">it would be prudent for </w:t>
      </w:r>
      <w:r>
        <w:t>an RSE licensee</w:t>
      </w:r>
      <w:r w:rsidRPr="00341C72">
        <w:t xml:space="preserve"> to conclude that the person possesses the</w:t>
      </w:r>
      <w:r>
        <w:t xml:space="preserve"> education or technical qualifications, knowledge and skills relevant to the duties and responsibilities of an RSE </w:t>
      </w:r>
      <w:proofErr w:type="gramStart"/>
      <w:r>
        <w:t>licensee;</w:t>
      </w:r>
      <w:proofErr w:type="gramEnd"/>
      <w:r>
        <w:t xml:space="preserve"> </w:t>
      </w:r>
    </w:p>
    <w:p w14:paraId="568BBA92" w14:textId="3B0046B6" w:rsidR="00CE40C1" w:rsidRPr="00341C72" w:rsidRDefault="00CE40C1" w:rsidP="004915D0">
      <w:pPr>
        <w:pStyle w:val="BodyText2"/>
      </w:pPr>
      <w:r>
        <w:rPr>
          <w:noProof/>
        </w:rPr>
        <mc:AlternateContent>
          <mc:Choice Requires="wpi">
            <w:drawing>
              <wp:anchor distT="0" distB="0" distL="114300" distR="114300" simplePos="0" relativeHeight="251658240" behindDoc="0" locked="0" layoutInCell="1" allowOverlap="1" wp14:anchorId="557BFD79" wp14:editId="10B7F67B">
                <wp:simplePos x="0" y="0"/>
                <wp:positionH relativeFrom="column">
                  <wp:posOffset>8235958</wp:posOffset>
                </wp:positionH>
                <wp:positionV relativeFrom="paragraph">
                  <wp:posOffset>427113</wp:posOffset>
                </wp:positionV>
                <wp:extent cx="3240" cy="3240"/>
                <wp:effectExtent l="57150" t="38100" r="53975" b="53975"/>
                <wp:wrapNone/>
                <wp:docPr id="49751792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240"/>
                      </w14:xfrm>
                    </w14:contentPart>
                  </a:graphicData>
                </a:graphic>
              </wp:anchor>
            </w:drawing>
          </mc:Choice>
          <mc:Fallback>
            <w:pict>
              <v:shape w14:anchorId="28C0F5C5" id="Ink 1" o:spid="_x0000_s1026" type="#_x0000_t75" style="position:absolute;margin-left:647.8pt;margin-top:32.95pt;width:1.65pt;height:1.6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">
                <v:imagedata r:id="rId21" o:title=""/>
              </v:shape>
            </w:pict>
          </mc:Fallback>
        </mc:AlternateContent>
      </w:r>
      <w:r w:rsidRPr="00341C72">
        <w:t xml:space="preserve">the person is not disqualified under the </w:t>
      </w:r>
      <w:r>
        <w:t xml:space="preserve">SIS </w:t>
      </w:r>
      <w:r w:rsidRPr="00341C72">
        <w:t>Act</w:t>
      </w:r>
      <w:r w:rsidRPr="00341C72" w:rsidDel="00DF72A2">
        <w:t xml:space="preserve"> </w:t>
      </w:r>
      <w:r w:rsidRPr="00341C72">
        <w:t>from holding the position</w:t>
      </w:r>
      <w:r w:rsidRPr="00341C72" w:rsidDel="002251BB">
        <w:t>;</w:t>
      </w:r>
      <w:r w:rsidRPr="00341C72">
        <w:t xml:space="preserve"> and</w:t>
      </w:r>
    </w:p>
    <w:p w14:paraId="49814589" w14:textId="77777777" w:rsidR="00CE40C1" w:rsidRPr="00341C72" w:rsidRDefault="00CE40C1" w:rsidP="004915D0">
      <w:pPr>
        <w:pStyle w:val="BodyText2"/>
      </w:pPr>
      <w:r w:rsidRPr="00341C72">
        <w:t>the person either:</w:t>
      </w:r>
    </w:p>
    <w:p w14:paraId="7F557215" w14:textId="77777777" w:rsidR="00CE40C1" w:rsidRPr="00341C72" w:rsidRDefault="00CE40C1" w:rsidP="004915D0">
      <w:pPr>
        <w:pStyle w:val="BodyText3"/>
      </w:pPr>
      <w:r w:rsidRPr="00341C72">
        <w:t>has no conflict in performing the duties of the responsible person position; or</w:t>
      </w:r>
    </w:p>
    <w:p w14:paraId="0C067D41" w14:textId="77777777" w:rsidR="00CE40C1" w:rsidRDefault="00CE40C1" w:rsidP="004915D0">
      <w:pPr>
        <w:pStyle w:val="BodyText3"/>
      </w:pPr>
      <w:r w:rsidRPr="00341C72">
        <w:t xml:space="preserve">if the person has a conflict, it would be prudent for </w:t>
      </w:r>
      <w:r>
        <w:t>an RSE licensee</w:t>
      </w:r>
      <w:r w:rsidRPr="00341C72">
        <w:t xml:space="preserve"> to conclude that the conflict will not create a material risk that the person will fail to perform properly the duties of the position.</w:t>
      </w:r>
      <w:r w:rsidRPr="001A20F8">
        <w:rPr>
          <w:rStyle w:val="FootnoteReference"/>
          <w:szCs w:val="24"/>
        </w:rPr>
        <w:footnoteReference w:id="15"/>
      </w:r>
    </w:p>
    <w:p w14:paraId="6FFFD032" w14:textId="77777777" w:rsidR="00CE40C1" w:rsidRDefault="00CE40C1" w:rsidP="004915D0">
      <w:pPr>
        <w:pStyle w:val="Heading3"/>
      </w:pPr>
      <w:r w:rsidRPr="0056504C">
        <w:lastRenderedPageBreak/>
        <w:t xml:space="preserve">Additional criteria applying to </w:t>
      </w:r>
      <w:r>
        <w:t>RSE</w:t>
      </w:r>
      <w:r w:rsidRPr="0056504C">
        <w:t xml:space="preserve"> </w:t>
      </w:r>
      <w:r>
        <w:t>a</w:t>
      </w:r>
      <w:r w:rsidRPr="0056504C">
        <w:t>uditors</w:t>
      </w:r>
      <w:r>
        <w:rPr>
          <w:rStyle w:val="FootnoteReference"/>
          <w:rFonts w:ascii="Arial" w:hAnsi="Arial"/>
          <w:sz w:val="24"/>
        </w:rPr>
        <w:footnoteReference w:id="16"/>
      </w:r>
      <w:r w:rsidRPr="0056504C">
        <w:t xml:space="preserve"> </w:t>
      </w:r>
    </w:p>
    <w:p w14:paraId="43E30719" w14:textId="7AAB6499" w:rsidR="00CE40C1" w:rsidRPr="006F6A19" w:rsidRDefault="00CE40C1" w:rsidP="004915D0">
      <w:pPr>
        <w:pStyle w:val="BodyText1"/>
      </w:pPr>
      <w:bookmarkStart w:id="12" w:name="_Ref274899702"/>
      <w:bookmarkStart w:id="13" w:name="_Ref318825820"/>
      <w:bookmarkStart w:id="14" w:name="_Ref264468777"/>
      <w:r w:rsidRPr="006F6A19">
        <w:t xml:space="preserve">The criteria for fitness and propriety of an </w:t>
      </w:r>
      <w:r>
        <w:t xml:space="preserve">individual RSE </w:t>
      </w:r>
      <w:r w:rsidRPr="006F6A19">
        <w:t>auditor</w:t>
      </w:r>
      <w:r>
        <w:t xml:space="preserve"> and a lead auditor, </w:t>
      </w:r>
      <w:r w:rsidRPr="006F6A19">
        <w:t xml:space="preserve">for the purposes of the SIS Act </w:t>
      </w:r>
      <w:bookmarkEnd w:id="12"/>
      <w:r w:rsidRPr="006F6A19">
        <w:t xml:space="preserve">are those contained in paragraphs </w:t>
      </w:r>
      <w:r>
        <w:t>19</w:t>
      </w:r>
      <w:r w:rsidRPr="0010666A">
        <w:t xml:space="preserve"> and</w:t>
      </w:r>
      <w:r w:rsidRPr="006F6A19">
        <w:t xml:space="preserve"> </w:t>
      </w:r>
      <w:r>
        <w:t>21</w:t>
      </w:r>
      <w:bookmarkEnd w:id="13"/>
      <w:r w:rsidRPr="001A20F8">
        <w:t>.</w:t>
      </w:r>
      <w:r>
        <w:rPr>
          <w:rStyle w:val="FootnoteReference"/>
        </w:rPr>
        <w:footnoteReference w:id="17"/>
      </w:r>
      <w:r w:rsidRPr="006F6A19">
        <w:t xml:space="preserve"> </w:t>
      </w:r>
    </w:p>
    <w:p w14:paraId="77942A83" w14:textId="315365CA" w:rsidR="00CE40C1" w:rsidRPr="006F6A19" w:rsidRDefault="00CE40C1" w:rsidP="004915D0">
      <w:pPr>
        <w:pStyle w:val="BodyText1"/>
      </w:pPr>
      <w:bookmarkStart w:id="15" w:name="_Ref313615952"/>
      <w:bookmarkEnd w:id="14"/>
      <w:r w:rsidRPr="006F6A19">
        <w:t xml:space="preserve">The additional criteria which must be met for an </w:t>
      </w:r>
      <w:r>
        <w:t>individual RSE</w:t>
      </w:r>
      <w:r w:rsidRPr="006F6A19">
        <w:t xml:space="preserve"> auditor</w:t>
      </w:r>
      <w:r>
        <w:t xml:space="preserve"> and a lead auditor</w:t>
      </w:r>
      <w:r w:rsidDel="00F71FCE">
        <w:t xml:space="preserve"> </w:t>
      </w:r>
      <w:r w:rsidRPr="006F6A19">
        <w:t xml:space="preserve">to be fit and </w:t>
      </w:r>
      <w:r>
        <w:t xml:space="preserve">proper </w:t>
      </w:r>
      <w:r w:rsidRPr="006F6A19">
        <w:t>are that the person:</w:t>
      </w:r>
      <w:bookmarkEnd w:id="15"/>
    </w:p>
    <w:p w14:paraId="0A2FDB07" w14:textId="54514C7E" w:rsidR="00CE40C1" w:rsidRPr="006F6A19" w:rsidRDefault="00CE40C1" w:rsidP="004915D0">
      <w:pPr>
        <w:pStyle w:val="BodyText2"/>
        <w:numPr>
          <w:ilvl w:val="1"/>
          <w:numId w:val="8"/>
        </w:numPr>
      </w:pPr>
      <w:r w:rsidRPr="006F6A19">
        <w:t xml:space="preserve">is registered as an auditor under the </w:t>
      </w:r>
      <w:r w:rsidRPr="004915D0">
        <w:rPr>
          <w:i/>
        </w:rPr>
        <w:t>Corporations Act 2001</w:t>
      </w:r>
      <w:r>
        <w:t xml:space="preserve"> (</w:t>
      </w:r>
      <w:r w:rsidRPr="00362516">
        <w:t>Corporations Act</w:t>
      </w:r>
      <w:r>
        <w:t>)</w:t>
      </w:r>
      <w:r w:rsidRPr="00362516">
        <w:t xml:space="preserve"> or</w:t>
      </w:r>
      <w:r w:rsidRPr="004F6EF5">
        <w:t xml:space="preserve"> is the Auditor-General </w:t>
      </w:r>
      <w:r>
        <w:t xml:space="preserve">(or a </w:t>
      </w:r>
      <w:r w:rsidRPr="004F6EF5">
        <w:t>delegate of the Auditor-General</w:t>
      </w:r>
      <w:r>
        <w:t>)</w:t>
      </w:r>
      <w:r w:rsidRPr="004F6EF5">
        <w:t xml:space="preserve"> of the Commonwealth, a State or </w:t>
      </w:r>
      <w:proofErr w:type="gramStart"/>
      <w:r w:rsidRPr="004F6EF5">
        <w:t>Territory</w:t>
      </w:r>
      <w:r w:rsidRPr="006F6A19">
        <w:t>;</w:t>
      </w:r>
      <w:proofErr w:type="gramEnd"/>
    </w:p>
    <w:p w14:paraId="68F263B2" w14:textId="63A04115" w:rsidR="00CE40C1" w:rsidRPr="00522C79" w:rsidRDefault="00CE40C1" w:rsidP="004915D0">
      <w:pPr>
        <w:pStyle w:val="BodyText2"/>
      </w:pPr>
      <w:r w:rsidRPr="00522C79">
        <w:t xml:space="preserve">is not the Chief Executive </w:t>
      </w:r>
      <w:r>
        <w:t xml:space="preserve">Officer </w:t>
      </w:r>
      <w:r w:rsidRPr="00346E5B">
        <w:t>(</w:t>
      </w:r>
      <w:r w:rsidRPr="00DA56F9">
        <w:t>CEO</w:t>
      </w:r>
      <w:r w:rsidRPr="00346E5B">
        <w:t xml:space="preserve">) </w:t>
      </w:r>
      <w:r w:rsidRPr="00522C79">
        <w:t>or a director</w:t>
      </w:r>
      <w:r w:rsidRPr="001A20F8">
        <w:t xml:space="preserve"> </w:t>
      </w:r>
      <w:r>
        <w:t xml:space="preserve">or employee </w:t>
      </w:r>
      <w:r w:rsidRPr="001A20F8">
        <w:t xml:space="preserve">of </w:t>
      </w:r>
      <w:r>
        <w:t>(</w:t>
      </w:r>
      <w:proofErr w:type="spellStart"/>
      <w:r>
        <w:t>i</w:t>
      </w:r>
      <w:proofErr w:type="spellEnd"/>
      <w:r>
        <w:t xml:space="preserve">) </w:t>
      </w:r>
      <w:r w:rsidRPr="001A20F8">
        <w:t>the RSE licensee</w:t>
      </w:r>
      <w:r w:rsidRPr="00522C79">
        <w:t xml:space="preserve"> or </w:t>
      </w:r>
      <w:r>
        <w:t>(ii)</w:t>
      </w:r>
      <w:r w:rsidRPr="00346E5B" w:rsidDel="00F71FCE">
        <w:t xml:space="preserve"> </w:t>
      </w:r>
      <w:r w:rsidRPr="00346E5B">
        <w:t xml:space="preserve">a connected </w:t>
      </w:r>
      <w:proofErr w:type="gramStart"/>
      <w:r w:rsidRPr="00346E5B">
        <w:t>entity</w:t>
      </w:r>
      <w:r w:rsidRPr="00522C79">
        <w:t>;</w:t>
      </w:r>
      <w:proofErr w:type="gramEnd"/>
    </w:p>
    <w:p w14:paraId="35E7A0CC" w14:textId="77777777" w:rsidR="00CE40C1" w:rsidRPr="00F0160A" w:rsidRDefault="00CE40C1" w:rsidP="004915D0">
      <w:pPr>
        <w:pStyle w:val="BodyText2"/>
      </w:pPr>
      <w:r w:rsidRPr="00F0160A">
        <w:t xml:space="preserve">has a minimum of five years’ relevant experience in the audit of </w:t>
      </w:r>
      <w:r w:rsidRPr="001A20F8">
        <w:t>the</w:t>
      </w:r>
      <w:r w:rsidRPr="00346E5B">
        <w:t xml:space="preserve"> business operations</w:t>
      </w:r>
      <w:r w:rsidRPr="001A20F8">
        <w:t xml:space="preserve"> of RSE </w:t>
      </w:r>
      <w:proofErr w:type="gramStart"/>
      <w:r w:rsidRPr="001A20F8">
        <w:t>licensees</w:t>
      </w:r>
      <w:r w:rsidRPr="00F0160A">
        <w:t>;</w:t>
      </w:r>
      <w:proofErr w:type="gramEnd"/>
    </w:p>
    <w:p w14:paraId="121072A0" w14:textId="77777777" w:rsidR="00CE40C1" w:rsidRPr="006F6A19" w:rsidRDefault="00CE40C1" w:rsidP="004915D0">
      <w:pPr>
        <w:pStyle w:val="BodyText2"/>
      </w:pPr>
      <w:r w:rsidRPr="006F6A19">
        <w:t xml:space="preserve">has experience relating to </w:t>
      </w:r>
      <w:r w:rsidRPr="001A20F8">
        <w:t>the</w:t>
      </w:r>
      <w:r w:rsidRPr="00346E5B">
        <w:t xml:space="preserve"> business operations</w:t>
      </w:r>
      <w:r w:rsidRPr="001A20F8">
        <w:t xml:space="preserve"> of RSE licensees</w:t>
      </w:r>
      <w:r w:rsidRPr="006F6A19">
        <w:t xml:space="preserve"> that is sufficiently relevant and recent to provide reasonable assurance that the person is familiar with current issues in the audit of </w:t>
      </w:r>
      <w:r w:rsidRPr="001A20F8">
        <w:t>the</w:t>
      </w:r>
      <w:r w:rsidRPr="00346E5B">
        <w:t xml:space="preserve"> business operations</w:t>
      </w:r>
      <w:r w:rsidRPr="001A20F8">
        <w:t xml:space="preserve"> of RSE </w:t>
      </w:r>
      <w:proofErr w:type="gramStart"/>
      <w:r w:rsidRPr="001A20F8">
        <w:t>licensees</w:t>
      </w:r>
      <w:r w:rsidRPr="006F6A19">
        <w:t>;</w:t>
      </w:r>
      <w:proofErr w:type="gramEnd"/>
    </w:p>
    <w:p w14:paraId="1C0A26AA" w14:textId="77777777" w:rsidR="00CE40C1" w:rsidRDefault="00CE40C1" w:rsidP="004915D0">
      <w:pPr>
        <w:pStyle w:val="BodyText2"/>
      </w:pPr>
      <w:r w:rsidRPr="006F6A19">
        <w:t xml:space="preserve">is not: </w:t>
      </w:r>
    </w:p>
    <w:p w14:paraId="4C7A069F" w14:textId="59841A27" w:rsidR="00CE40C1" w:rsidRPr="0066677C" w:rsidRDefault="00CE40C1" w:rsidP="004915D0">
      <w:pPr>
        <w:pStyle w:val="BodyText3"/>
      </w:pPr>
      <w:r>
        <w:t>the RSE actuary</w:t>
      </w:r>
      <w:r w:rsidRPr="0066677C">
        <w:t xml:space="preserve"> of </w:t>
      </w:r>
      <w:r>
        <w:t xml:space="preserve">an RSE within </w:t>
      </w:r>
      <w:r w:rsidRPr="0066677C">
        <w:t>the RSE licensee</w:t>
      </w:r>
      <w:r>
        <w:t xml:space="preserve">’s business </w:t>
      </w:r>
      <w:proofErr w:type="gramStart"/>
      <w:r>
        <w:t>operations</w:t>
      </w:r>
      <w:r w:rsidRPr="0066677C">
        <w:t>;</w:t>
      </w:r>
      <w:proofErr w:type="gramEnd"/>
    </w:p>
    <w:p w14:paraId="005CEAD1" w14:textId="77777777" w:rsidR="00CE40C1" w:rsidRPr="006F6A19" w:rsidRDefault="00CE40C1" w:rsidP="004915D0">
      <w:pPr>
        <w:pStyle w:val="BodyText3"/>
      </w:pPr>
      <w:r w:rsidRPr="006F6A19">
        <w:t xml:space="preserve">an employee or director of </w:t>
      </w:r>
      <w:r w:rsidRPr="00346E5B">
        <w:t>a body corporate, statutory body, partnership, trust, or commercial or professional enterprise of any kind</w:t>
      </w:r>
      <w:r w:rsidRPr="006F6A19">
        <w:t xml:space="preserve"> of which the </w:t>
      </w:r>
      <w:r>
        <w:t xml:space="preserve">RSE </w:t>
      </w:r>
      <w:r w:rsidRPr="006F6A19">
        <w:t>actuary is an employee or director</w:t>
      </w:r>
      <w:r>
        <w:rPr>
          <w:rStyle w:val="FootnoteReference"/>
          <w:szCs w:val="24"/>
        </w:rPr>
        <w:footnoteReference w:id="18"/>
      </w:r>
      <w:r w:rsidRPr="006F6A19">
        <w:t xml:space="preserve">; or </w:t>
      </w:r>
    </w:p>
    <w:p w14:paraId="07A8FA5E" w14:textId="77777777" w:rsidR="00CE40C1" w:rsidRPr="006F6A19" w:rsidRDefault="00CE40C1" w:rsidP="004915D0">
      <w:pPr>
        <w:pStyle w:val="BodyText3"/>
      </w:pPr>
      <w:r w:rsidRPr="006F6A19">
        <w:t xml:space="preserve">a partner of the </w:t>
      </w:r>
      <w:r>
        <w:t xml:space="preserve">RSE </w:t>
      </w:r>
      <w:proofErr w:type="gramStart"/>
      <w:r>
        <w:t>actuary</w:t>
      </w:r>
      <w:r w:rsidRPr="006F6A19">
        <w:t>;</w:t>
      </w:r>
      <w:proofErr w:type="gramEnd"/>
    </w:p>
    <w:p w14:paraId="7899A297" w14:textId="77777777" w:rsidR="00CE40C1" w:rsidRPr="006F6A19" w:rsidRDefault="00CE40C1" w:rsidP="004915D0">
      <w:pPr>
        <w:pStyle w:val="BodyText2"/>
      </w:pPr>
      <w:r w:rsidRPr="006F6A19">
        <w:t>is a member of a recognised professional body; and</w:t>
      </w:r>
    </w:p>
    <w:p w14:paraId="38FF7D26" w14:textId="77777777" w:rsidR="00CE40C1" w:rsidRPr="006F6A19" w:rsidRDefault="00CE40C1" w:rsidP="004915D0">
      <w:pPr>
        <w:pStyle w:val="BodyText2"/>
      </w:pPr>
      <w:r w:rsidRPr="006F6A19">
        <w:t>is ordinarily resident in Australia.</w:t>
      </w:r>
    </w:p>
    <w:p w14:paraId="5163D246" w14:textId="2285118C" w:rsidR="00CE40C1" w:rsidRPr="00264BA2" w:rsidRDefault="00CE40C1" w:rsidP="004915D0">
      <w:pPr>
        <w:pStyle w:val="BodyText1"/>
      </w:pPr>
      <w:bookmarkStart w:id="16" w:name="_Ref264470118"/>
      <w:bookmarkStart w:id="17" w:name="_Ref318107819"/>
      <w:r w:rsidRPr="00264BA2">
        <w:t xml:space="preserve">A criterion in paragraph </w:t>
      </w:r>
      <w:r>
        <w:t>21</w:t>
      </w:r>
      <w:r w:rsidRPr="00264BA2">
        <w:t xml:space="preserve"> does not apply if the following conditions are met:</w:t>
      </w:r>
      <w:bookmarkEnd w:id="16"/>
      <w:bookmarkEnd w:id="17"/>
    </w:p>
    <w:p w14:paraId="7D8698B9" w14:textId="77777777" w:rsidR="00CE40C1" w:rsidRPr="00264BA2" w:rsidRDefault="00CE40C1" w:rsidP="004915D0">
      <w:pPr>
        <w:pStyle w:val="BodyText2"/>
        <w:numPr>
          <w:ilvl w:val="1"/>
          <w:numId w:val="9"/>
        </w:numPr>
      </w:pPr>
      <w:r w:rsidRPr="2A0BBFF0">
        <w:t xml:space="preserve">the RSE licensee reasonably considers that there are exceptional </w:t>
      </w:r>
      <w:proofErr w:type="gramStart"/>
      <w:r w:rsidRPr="2A0BBFF0">
        <w:t>circumstances;</w:t>
      </w:r>
      <w:proofErr w:type="gramEnd"/>
      <w:r w:rsidRPr="2A0BBFF0">
        <w:t xml:space="preserve"> </w:t>
      </w:r>
    </w:p>
    <w:p w14:paraId="2F9DF47C" w14:textId="77777777" w:rsidR="00CE40C1" w:rsidRPr="00264BA2" w:rsidRDefault="00CE40C1" w:rsidP="004915D0">
      <w:pPr>
        <w:pStyle w:val="BodyText2"/>
      </w:pPr>
      <w:r w:rsidRPr="2A0BBFF0">
        <w:lastRenderedPageBreak/>
        <w:t xml:space="preserve">the RSE licensee has promptly notified APRA that the criterion is not satisfied and of the exceptional circumstances as to why it should not apply; </w:t>
      </w:r>
      <w:r w:rsidRPr="2A0BBFF0" w:rsidDel="009D1897">
        <w:t>and</w:t>
      </w:r>
    </w:p>
    <w:p w14:paraId="27AF92D6" w14:textId="054234E7" w:rsidR="00CE40C1" w:rsidRPr="006F6A19" w:rsidRDefault="00CE40C1" w:rsidP="004915D0">
      <w:pPr>
        <w:pStyle w:val="BodyText2"/>
      </w:pPr>
      <w:bookmarkStart w:id="18" w:name="_Ref264471140"/>
      <w:r w:rsidRPr="006F6A19">
        <w:t>APRA has notified the RSE licensee that APRA has no objections to the person holding the position in question</w:t>
      </w:r>
      <w:bookmarkEnd w:id="18"/>
      <w:r>
        <w:t>.</w:t>
      </w:r>
    </w:p>
    <w:p w14:paraId="15A0D2F8" w14:textId="77777777" w:rsidR="00CE40C1" w:rsidRDefault="00CE40C1" w:rsidP="004915D0">
      <w:pPr>
        <w:pStyle w:val="Heading3"/>
      </w:pPr>
      <w:r w:rsidRPr="009B30F9">
        <w:t xml:space="preserve">Additional criteria applying to </w:t>
      </w:r>
      <w:r>
        <w:t xml:space="preserve">RSE </w:t>
      </w:r>
      <w:proofErr w:type="gramStart"/>
      <w:r w:rsidRPr="009B30F9">
        <w:t>actuaries</w:t>
      </w:r>
      <w:proofErr w:type="gramEnd"/>
      <w:r w:rsidRPr="009B30F9">
        <w:t xml:space="preserve"> </w:t>
      </w:r>
    </w:p>
    <w:p w14:paraId="55CA228C" w14:textId="4DFEC597" w:rsidR="00CE40C1" w:rsidRPr="00F81C5A" w:rsidRDefault="00CE40C1" w:rsidP="004915D0">
      <w:pPr>
        <w:pStyle w:val="BodyText1"/>
      </w:pPr>
      <w:bookmarkStart w:id="19" w:name="_Ref302644267"/>
      <w:r w:rsidRPr="00F81C5A">
        <w:t xml:space="preserve">The criteria for fitness and propriety of an RSE actuary for the purposes of the SIS Act are those contained in paragraphs </w:t>
      </w:r>
      <w:r>
        <w:t>19</w:t>
      </w:r>
      <w:r w:rsidRPr="00F81C5A">
        <w:t xml:space="preserve"> and </w:t>
      </w:r>
      <w:r>
        <w:t>24</w:t>
      </w:r>
      <w:bookmarkEnd w:id="19"/>
      <w:r w:rsidRPr="00F81C5A">
        <w:t>.</w:t>
      </w:r>
      <w:r>
        <w:rPr>
          <w:rStyle w:val="FootnoteReference"/>
        </w:rPr>
        <w:footnoteReference w:id="19"/>
      </w:r>
      <w:r w:rsidRPr="00F81C5A">
        <w:t xml:space="preserve"> </w:t>
      </w:r>
    </w:p>
    <w:p w14:paraId="469C4660" w14:textId="77777777" w:rsidR="00CE40C1" w:rsidRPr="00A8795A" w:rsidRDefault="00CE40C1" w:rsidP="004915D0">
      <w:pPr>
        <w:pStyle w:val="BodyText1"/>
      </w:pPr>
      <w:bookmarkStart w:id="20" w:name="_Ref313616036"/>
      <w:r w:rsidRPr="00A8795A">
        <w:t>The a</w:t>
      </w:r>
      <w:bookmarkStart w:id="21" w:name="_Ref358812575"/>
      <w:r w:rsidRPr="00A8795A">
        <w:t>dditional criteria that must be met for a person to be fit and proper to act as an RSE actuary are that the person:</w:t>
      </w:r>
      <w:bookmarkEnd w:id="20"/>
      <w:bookmarkEnd w:id="21"/>
    </w:p>
    <w:p w14:paraId="7444B1D4" w14:textId="77777777" w:rsidR="00CE40C1" w:rsidRPr="00522C79" w:rsidRDefault="00CE40C1" w:rsidP="004915D0">
      <w:pPr>
        <w:pStyle w:val="BodyText2"/>
        <w:numPr>
          <w:ilvl w:val="1"/>
          <w:numId w:val="10"/>
        </w:numPr>
      </w:pPr>
      <w:r w:rsidRPr="00522C79">
        <w:t xml:space="preserve">has appropriate formal </w:t>
      </w:r>
      <w:proofErr w:type="gramStart"/>
      <w:r w:rsidRPr="00522C79">
        <w:t>qualifications;</w:t>
      </w:r>
      <w:proofErr w:type="gramEnd"/>
    </w:p>
    <w:p w14:paraId="0A6713DF" w14:textId="5B0E627A" w:rsidR="00CE40C1" w:rsidRPr="00522C79" w:rsidRDefault="00CE40C1" w:rsidP="004915D0">
      <w:pPr>
        <w:pStyle w:val="BodyText2"/>
      </w:pPr>
      <w:r w:rsidRPr="00522C79">
        <w:t xml:space="preserve">is not the </w:t>
      </w:r>
      <w:r w:rsidRPr="00346E5B">
        <w:t>CEO</w:t>
      </w:r>
      <w:r>
        <w:t xml:space="preserve"> </w:t>
      </w:r>
      <w:r w:rsidRPr="00522C79">
        <w:t xml:space="preserve">or a director </w:t>
      </w:r>
      <w:r>
        <w:t xml:space="preserve">or employee </w:t>
      </w:r>
      <w:r w:rsidRPr="00522C79">
        <w:t xml:space="preserve">of </w:t>
      </w:r>
      <w:r>
        <w:t>(</w:t>
      </w:r>
      <w:proofErr w:type="spellStart"/>
      <w:r>
        <w:t>i</w:t>
      </w:r>
      <w:proofErr w:type="spellEnd"/>
      <w:r>
        <w:t xml:space="preserve">) </w:t>
      </w:r>
      <w:r w:rsidRPr="00522C79">
        <w:t xml:space="preserve">the RSE licensee or </w:t>
      </w:r>
      <w:r>
        <w:t>(ii)</w:t>
      </w:r>
      <w:r w:rsidRPr="00522C79" w:rsidDel="00F45D51">
        <w:t xml:space="preserve"> </w:t>
      </w:r>
      <w:r w:rsidRPr="00522C79">
        <w:t xml:space="preserve">a </w:t>
      </w:r>
      <w:r w:rsidRPr="00346E5B">
        <w:t xml:space="preserve">connected </w:t>
      </w:r>
      <w:proofErr w:type="gramStart"/>
      <w:r w:rsidRPr="00346E5B">
        <w:t>entity</w:t>
      </w:r>
      <w:r w:rsidRPr="00522C79">
        <w:t>;</w:t>
      </w:r>
      <w:proofErr w:type="gramEnd"/>
    </w:p>
    <w:p w14:paraId="2F71FD3F" w14:textId="77777777" w:rsidR="00CE40C1" w:rsidRPr="00522C79" w:rsidRDefault="00CE40C1" w:rsidP="004915D0">
      <w:pPr>
        <w:pStyle w:val="BodyText2"/>
      </w:pPr>
      <w:r w:rsidRPr="00522C79">
        <w:t xml:space="preserve">is not: </w:t>
      </w:r>
    </w:p>
    <w:p w14:paraId="430D2C4F" w14:textId="4FA2FC19" w:rsidR="00CE40C1" w:rsidRDefault="00CE40C1" w:rsidP="004915D0">
      <w:pPr>
        <w:pStyle w:val="BodyText3"/>
      </w:pPr>
      <w:r w:rsidRPr="00522C79">
        <w:t>the auditor</w:t>
      </w:r>
      <w:r>
        <w:t xml:space="preserve"> </w:t>
      </w:r>
      <w:r w:rsidRPr="0066677C">
        <w:t xml:space="preserve">of the RSE </w:t>
      </w:r>
      <w:proofErr w:type="gramStart"/>
      <w:r w:rsidRPr="0066677C">
        <w:t>licensee</w:t>
      </w:r>
      <w:r>
        <w:t>;</w:t>
      </w:r>
      <w:proofErr w:type="gramEnd"/>
    </w:p>
    <w:p w14:paraId="6B69A50B" w14:textId="19235449" w:rsidR="00CE40C1" w:rsidRPr="00522C79" w:rsidRDefault="00CE40C1" w:rsidP="004915D0">
      <w:pPr>
        <w:pStyle w:val="BodyText3"/>
      </w:pPr>
      <w:r>
        <w:t xml:space="preserve">the RSE auditor of an RSE </w:t>
      </w:r>
      <w:r w:rsidRPr="00346E5B">
        <w:t>within</w:t>
      </w:r>
      <w:r>
        <w:t xml:space="preserve"> the RSE licensee’s business </w:t>
      </w:r>
      <w:proofErr w:type="gramStart"/>
      <w:r>
        <w:t>operations</w:t>
      </w:r>
      <w:r w:rsidRPr="00522C79">
        <w:t>;</w:t>
      </w:r>
      <w:proofErr w:type="gramEnd"/>
    </w:p>
    <w:p w14:paraId="4EED88BD" w14:textId="77777777" w:rsidR="00CE40C1" w:rsidRPr="00522C79" w:rsidRDefault="00CE40C1" w:rsidP="004915D0">
      <w:pPr>
        <w:pStyle w:val="BodyText3"/>
      </w:pPr>
      <w:r w:rsidRPr="00522C79">
        <w:t xml:space="preserve">an employee or director of an entity of which the </w:t>
      </w:r>
      <w:r>
        <w:t>RSE</w:t>
      </w:r>
      <w:r w:rsidRPr="00522C79">
        <w:t xml:space="preserve"> auditor is an employee or director; or </w:t>
      </w:r>
    </w:p>
    <w:p w14:paraId="09A38A50" w14:textId="48384501" w:rsidR="00CE40C1" w:rsidRPr="00522C79" w:rsidRDefault="00CE40C1" w:rsidP="004915D0">
      <w:pPr>
        <w:pStyle w:val="BodyText3"/>
      </w:pPr>
      <w:r w:rsidRPr="00522C79">
        <w:t xml:space="preserve">a partner of the </w:t>
      </w:r>
      <w:r>
        <w:t>RSE</w:t>
      </w:r>
      <w:r w:rsidRPr="00522C79">
        <w:t xml:space="preserve"> </w:t>
      </w:r>
      <w:proofErr w:type="gramStart"/>
      <w:r w:rsidRPr="00522C79">
        <w:t>auditor;</w:t>
      </w:r>
      <w:proofErr w:type="gramEnd"/>
    </w:p>
    <w:p w14:paraId="61FDD5C2" w14:textId="77777777" w:rsidR="00CE40C1" w:rsidRPr="00312E77" w:rsidRDefault="00CE40C1" w:rsidP="004915D0">
      <w:pPr>
        <w:pStyle w:val="BodyText2"/>
      </w:pPr>
      <w:r w:rsidRPr="00312E77">
        <w:t>has a minimum of five years’ relevant experience in the provision of actuarial services to RSE licensees and RSEs</w:t>
      </w:r>
      <w:r>
        <w:t xml:space="preserve"> or </w:t>
      </w:r>
      <w:r w:rsidRPr="00346E5B">
        <w:t xml:space="preserve">in </w:t>
      </w:r>
      <w:r>
        <w:t>superannuation more generally</w:t>
      </w:r>
      <w:r w:rsidRPr="00312E77">
        <w:t xml:space="preserve">, that is sufficiently relevant and recent to provide reasonable assurance that the person is familiar with current issues in the provision of actuarial services to </w:t>
      </w:r>
      <w:r w:rsidRPr="001A20F8">
        <w:t>the</w:t>
      </w:r>
      <w:r w:rsidRPr="00346E5B">
        <w:t xml:space="preserve"> business operations</w:t>
      </w:r>
      <w:r w:rsidRPr="001A20F8">
        <w:t xml:space="preserve"> of RSE </w:t>
      </w:r>
      <w:proofErr w:type="gramStart"/>
      <w:r w:rsidRPr="001A20F8">
        <w:t>licensees</w:t>
      </w:r>
      <w:r w:rsidRPr="00312E77">
        <w:t>;</w:t>
      </w:r>
      <w:proofErr w:type="gramEnd"/>
      <w:r w:rsidRPr="00312E77">
        <w:t xml:space="preserve"> </w:t>
      </w:r>
    </w:p>
    <w:p w14:paraId="61FE643E" w14:textId="77777777" w:rsidR="00CE40C1" w:rsidRPr="00D67E16" w:rsidRDefault="00CE40C1" w:rsidP="004915D0">
      <w:pPr>
        <w:pStyle w:val="BodyText2"/>
      </w:pPr>
      <w:r w:rsidRPr="00D67E16">
        <w:t>is a Fellow or Accredited Member (however described) of the Institute of Actuaries of Australia</w:t>
      </w:r>
      <w:r w:rsidRPr="001A20F8">
        <w:rPr>
          <w:rStyle w:val="FootnoteReference"/>
        </w:rPr>
        <w:footnoteReference w:id="20"/>
      </w:r>
      <w:r w:rsidRPr="00D67E16">
        <w:t>; and</w:t>
      </w:r>
    </w:p>
    <w:p w14:paraId="77588685" w14:textId="77777777" w:rsidR="00CE40C1" w:rsidRPr="00522C79" w:rsidRDefault="00CE40C1" w:rsidP="004915D0">
      <w:pPr>
        <w:pStyle w:val="BodyText2"/>
      </w:pPr>
      <w:r w:rsidRPr="00522C79">
        <w:t>is ordinarily resident in Australia.</w:t>
      </w:r>
    </w:p>
    <w:p w14:paraId="1A2DA104" w14:textId="7B653FF8" w:rsidR="00CE40C1" w:rsidRPr="00264BA2" w:rsidRDefault="00CE40C1" w:rsidP="004915D0">
      <w:pPr>
        <w:pStyle w:val="BodyText1"/>
      </w:pPr>
      <w:bookmarkStart w:id="22" w:name="_Ref264470121"/>
      <w:r w:rsidRPr="00264BA2">
        <w:t xml:space="preserve">A criterion in paragraph </w:t>
      </w:r>
      <w:r>
        <w:t>24</w:t>
      </w:r>
      <w:r w:rsidRPr="00264BA2">
        <w:t xml:space="preserve"> does not apply </w:t>
      </w:r>
      <w:r>
        <w:t>if the following conditions are met</w:t>
      </w:r>
      <w:r w:rsidRPr="00264BA2">
        <w:t>:</w:t>
      </w:r>
      <w:bookmarkEnd w:id="22"/>
    </w:p>
    <w:p w14:paraId="6386E44D" w14:textId="77777777" w:rsidR="00CE40C1" w:rsidRPr="004915D0" w:rsidRDefault="00CE40C1" w:rsidP="004915D0">
      <w:pPr>
        <w:pStyle w:val="BodyText2"/>
        <w:numPr>
          <w:ilvl w:val="1"/>
          <w:numId w:val="11"/>
        </w:numPr>
      </w:pPr>
      <w:r w:rsidRPr="2A0BBFF0">
        <w:lastRenderedPageBreak/>
        <w:t xml:space="preserve">the RSE licensee reasonably </w:t>
      </w:r>
      <w:r w:rsidRPr="004915D0">
        <w:t xml:space="preserve">considers that there are exceptional </w:t>
      </w:r>
      <w:proofErr w:type="gramStart"/>
      <w:r w:rsidRPr="004915D0">
        <w:t>circumstances;</w:t>
      </w:r>
      <w:proofErr w:type="gramEnd"/>
    </w:p>
    <w:p w14:paraId="48F1539C" w14:textId="78721175" w:rsidR="00CE40C1" w:rsidRPr="004915D0" w:rsidRDefault="00CE40C1" w:rsidP="004915D0">
      <w:pPr>
        <w:pStyle w:val="BodyText2"/>
      </w:pPr>
      <w:r w:rsidRPr="004915D0">
        <w:t>the RSE licensee has promptly notified APRA that the criterion is not satisfied and of the exceptional circumstances as to why it should not apply; and</w:t>
      </w:r>
    </w:p>
    <w:p w14:paraId="6D216841" w14:textId="55E53709" w:rsidR="00CE40C1" w:rsidRPr="00522C79" w:rsidRDefault="00CE40C1" w:rsidP="004915D0">
      <w:pPr>
        <w:pStyle w:val="BodyText2"/>
      </w:pPr>
      <w:bookmarkStart w:id="23" w:name="_Ref264471171"/>
      <w:r w:rsidRPr="004915D0">
        <w:t>APRA has notified the RSE licensee</w:t>
      </w:r>
      <w:r w:rsidRPr="00522C79">
        <w:t xml:space="preserve"> that APRA has no objections to the person holding the position.</w:t>
      </w:r>
      <w:bookmarkEnd w:id="23"/>
    </w:p>
    <w:p w14:paraId="35A964A0" w14:textId="77777777" w:rsidR="00CE40C1" w:rsidRPr="006F3202" w:rsidRDefault="00CE40C1" w:rsidP="004915D0">
      <w:pPr>
        <w:pStyle w:val="Heading3"/>
      </w:pPr>
      <w:r w:rsidRPr="006F3202">
        <w:t xml:space="preserve">Process for assessment of fitness and </w:t>
      </w:r>
      <w:proofErr w:type="gramStart"/>
      <w:r w:rsidRPr="006F3202">
        <w:t>propriety</w:t>
      </w:r>
      <w:proofErr w:type="gramEnd"/>
    </w:p>
    <w:p w14:paraId="3E860DE4" w14:textId="77777777" w:rsidR="00CE40C1" w:rsidRPr="00341C72" w:rsidRDefault="00CE40C1" w:rsidP="004915D0">
      <w:pPr>
        <w:pStyle w:val="BodyText1"/>
      </w:pPr>
      <w:bookmarkStart w:id="24" w:name="_Ref313626299"/>
      <w:r w:rsidRPr="00346E5B">
        <w:t>The</w:t>
      </w:r>
      <w:r>
        <w:t xml:space="preserve"> </w:t>
      </w:r>
      <w:r w:rsidRPr="00341C72">
        <w:t>Fit and Proper Policy must include the processes to be undertaken in assessing whether a person is fit and proper for a responsible person position (</w:t>
      </w:r>
      <w:r w:rsidRPr="00DA56F9">
        <w:t>fit and proper assessment</w:t>
      </w:r>
      <w:r w:rsidRPr="00341C72">
        <w:t>).</w:t>
      </w:r>
      <w:r w:rsidRPr="00346E5B">
        <w:t xml:space="preserve"> The</w:t>
      </w:r>
      <w:r w:rsidRPr="00341C72">
        <w:t xml:space="preserve"> processes must include</w:t>
      </w:r>
      <w:r>
        <w:t xml:space="preserve"> details of</w:t>
      </w:r>
      <w:r w:rsidRPr="00341C72">
        <w:t>:</w:t>
      </w:r>
      <w:bookmarkEnd w:id="24"/>
    </w:p>
    <w:p w14:paraId="37CFAD69" w14:textId="77777777" w:rsidR="00CE40C1" w:rsidRPr="00341C72" w:rsidRDefault="00CE40C1" w:rsidP="004915D0">
      <w:pPr>
        <w:pStyle w:val="BodyText2"/>
        <w:numPr>
          <w:ilvl w:val="1"/>
          <w:numId w:val="12"/>
        </w:numPr>
      </w:pPr>
      <w:r>
        <w:t xml:space="preserve">a statement of </w:t>
      </w:r>
      <w:r w:rsidRPr="00341C72">
        <w:t xml:space="preserve">who will conduct fit and proper assessments on behalf of the </w:t>
      </w:r>
      <w:r>
        <w:t xml:space="preserve">RSE </w:t>
      </w:r>
      <w:proofErr w:type="gramStart"/>
      <w:r>
        <w:t>licensee</w:t>
      </w:r>
      <w:r w:rsidRPr="00341C72">
        <w:t>;</w:t>
      </w:r>
      <w:proofErr w:type="gramEnd"/>
    </w:p>
    <w:p w14:paraId="353C56DC" w14:textId="77777777" w:rsidR="00CE40C1" w:rsidRPr="00341C72" w:rsidRDefault="00CE40C1" w:rsidP="004915D0">
      <w:pPr>
        <w:pStyle w:val="BodyText2"/>
      </w:pPr>
      <w:r>
        <w:t>what</w:t>
      </w:r>
      <w:r w:rsidRPr="00341C72">
        <w:t xml:space="preserve"> information will be obtained and how </w:t>
      </w:r>
      <w:r>
        <w:t>it</w:t>
      </w:r>
      <w:r w:rsidRPr="00341C72">
        <w:t xml:space="preserve"> will be </w:t>
      </w:r>
      <w:proofErr w:type="gramStart"/>
      <w:r w:rsidRPr="00341C72">
        <w:t>obtained;</w:t>
      </w:r>
      <w:proofErr w:type="gramEnd"/>
    </w:p>
    <w:p w14:paraId="66DCF4DC" w14:textId="77777777" w:rsidR="00CE40C1" w:rsidRPr="00341C72" w:rsidRDefault="00CE40C1" w:rsidP="004915D0">
      <w:pPr>
        <w:pStyle w:val="BodyText2"/>
      </w:pPr>
      <w:r w:rsidRPr="00341C72">
        <w:t>the matters that will be considered before determining if a person is fit and proper for a responsible person position; and</w:t>
      </w:r>
    </w:p>
    <w:p w14:paraId="45AA8BF1" w14:textId="77777777" w:rsidR="00CE40C1" w:rsidRDefault="00CE40C1" w:rsidP="004915D0">
      <w:pPr>
        <w:pStyle w:val="BodyText2"/>
      </w:pPr>
      <w:r w:rsidRPr="00341C72">
        <w:t>the decision-making processes that will be followed.</w:t>
      </w:r>
    </w:p>
    <w:p w14:paraId="3AC7653B" w14:textId="77777777" w:rsidR="00CE40C1" w:rsidRPr="00A325C1" w:rsidRDefault="00CE40C1" w:rsidP="004915D0">
      <w:pPr>
        <w:pStyle w:val="BodyText1"/>
      </w:pPr>
      <w:r w:rsidRPr="00346E5B">
        <w:t>The</w:t>
      </w:r>
      <w:r>
        <w:t xml:space="preserve"> </w:t>
      </w:r>
      <w:r w:rsidRPr="00341C72">
        <w:t xml:space="preserve">Fit and Proper Policy must specify the actions to be taken where a person is </w:t>
      </w:r>
      <w:r w:rsidRPr="00A325C1">
        <w:t>assessed as being not fit and proper.</w:t>
      </w:r>
    </w:p>
    <w:p w14:paraId="0E83699E" w14:textId="77777777" w:rsidR="00CE40C1" w:rsidRPr="00A325C1" w:rsidRDefault="00CE40C1" w:rsidP="004915D0">
      <w:pPr>
        <w:pStyle w:val="BodyText1"/>
      </w:pPr>
      <w:r w:rsidRPr="00A325C1">
        <w:t>The Fit and Proper Policy must provide that a copy of the Policy is to be given to:</w:t>
      </w:r>
    </w:p>
    <w:p w14:paraId="62779C6D" w14:textId="77777777" w:rsidR="00CE40C1" w:rsidRPr="00A325C1" w:rsidRDefault="00CE40C1" w:rsidP="004915D0">
      <w:pPr>
        <w:pStyle w:val="BodyText2"/>
        <w:numPr>
          <w:ilvl w:val="1"/>
          <w:numId w:val="13"/>
        </w:numPr>
      </w:pPr>
      <w:r w:rsidRPr="00A325C1">
        <w:t>any candidate for election or appointment as a director of the RSE licensee as soon as possible after the candidate is nominated; and</w:t>
      </w:r>
    </w:p>
    <w:p w14:paraId="21B8ED1F" w14:textId="77777777" w:rsidR="00CE40C1" w:rsidRPr="00A325C1" w:rsidRDefault="00CE40C1" w:rsidP="004915D0">
      <w:pPr>
        <w:pStyle w:val="BodyText2"/>
      </w:pPr>
      <w:r w:rsidRPr="00A325C1">
        <w:t xml:space="preserve">any other person before an assessment of their fitness and propriety is conducted. </w:t>
      </w:r>
    </w:p>
    <w:p w14:paraId="4E6D8AD6" w14:textId="3B42FBF8" w:rsidR="00CE40C1" w:rsidRPr="00312E77" w:rsidRDefault="00CE40C1" w:rsidP="004915D0">
      <w:pPr>
        <w:pStyle w:val="BodyText1"/>
      </w:pPr>
      <w:r w:rsidRPr="00346E5B">
        <w:t>The Fit and Proper Policy</w:t>
      </w:r>
      <w:r w:rsidRPr="00312E77">
        <w:t xml:space="preserve"> must </w:t>
      </w:r>
      <w:r w:rsidRPr="00346E5B">
        <w:t>require</w:t>
      </w:r>
      <w:r w:rsidRPr="00312E77">
        <w:t xml:space="preserve"> a fit and proper assessment </w:t>
      </w:r>
      <w:r w:rsidRPr="00346E5B">
        <w:t>to be</w:t>
      </w:r>
      <w:r w:rsidRPr="00312E77">
        <w:t xml:space="preserve"> completed before a person becomes the holder of a responsible person position unless they hold the position because APRA has determined that the person is a responsible person under paragraph </w:t>
      </w:r>
      <w:r>
        <w:t>14</w:t>
      </w:r>
      <w:r w:rsidRPr="00312E77">
        <w:t xml:space="preserve">. In such cases, </w:t>
      </w:r>
      <w:r w:rsidRPr="00346E5B">
        <w:t>the Fit and Proper Policy</w:t>
      </w:r>
      <w:r w:rsidRPr="00312E77">
        <w:t xml:space="preserve"> must </w:t>
      </w:r>
      <w:r w:rsidRPr="00346E5B">
        <w:t>require</w:t>
      </w:r>
      <w:r w:rsidRPr="00312E77">
        <w:t xml:space="preserve"> an assessment </w:t>
      </w:r>
      <w:r w:rsidRPr="00346E5B">
        <w:t>to be</w:t>
      </w:r>
      <w:r w:rsidRPr="00312E77">
        <w:t xml:space="preserve"> completed within </w:t>
      </w:r>
      <w:r>
        <w:t>28 days</w:t>
      </w:r>
      <w:r w:rsidRPr="00312E77">
        <w:t xml:space="preserve"> of the person becoming the holder of the responsible person position</w:t>
      </w:r>
      <w:r>
        <w:t xml:space="preserve"> or 28 days after APRA makes the determination under paragraph 14</w:t>
      </w:r>
      <w:r w:rsidRPr="00312E77">
        <w:t>.</w:t>
      </w:r>
    </w:p>
    <w:p w14:paraId="11E2F4A5" w14:textId="3A8347CF" w:rsidR="00CE40C1" w:rsidRPr="00341C72" w:rsidRDefault="00CE40C1" w:rsidP="004915D0">
      <w:pPr>
        <w:pStyle w:val="BodyText1"/>
      </w:pPr>
      <w:r>
        <w:t>I</w:t>
      </w:r>
      <w:r w:rsidRPr="00341C72">
        <w:t xml:space="preserve">nterim appointment to a responsible person position </w:t>
      </w:r>
      <w:r w:rsidRPr="00346E5B">
        <w:t xml:space="preserve">may be made </w:t>
      </w:r>
      <w:r w:rsidRPr="00341C72">
        <w:t xml:space="preserve">without a full fit and proper assessment for a period of up to </w:t>
      </w:r>
      <w:r>
        <w:t>90 days</w:t>
      </w:r>
      <w:r w:rsidRPr="00341C72">
        <w:t xml:space="preserve"> (or longer with APRA’s </w:t>
      </w:r>
      <w:r w:rsidRPr="00346E5B">
        <w:t xml:space="preserve">written </w:t>
      </w:r>
      <w:r w:rsidRPr="00341C72">
        <w:t xml:space="preserve">agreement) including any prior period of interim appointment. Prior to making </w:t>
      </w:r>
      <w:r>
        <w:t>such an</w:t>
      </w:r>
      <w:r w:rsidRPr="00341C72">
        <w:t xml:space="preserve"> appointment,</w:t>
      </w:r>
      <w:r>
        <w:t xml:space="preserve"> </w:t>
      </w:r>
      <w:r w:rsidRPr="00341C72">
        <w:t>reasonable steps</w:t>
      </w:r>
      <w:r w:rsidRPr="00346E5B">
        <w:t xml:space="preserve"> must be taken</w:t>
      </w:r>
      <w:r w:rsidRPr="00341C72">
        <w:t xml:space="preserve">, as specified in the Fit and Proper Policy, to assess the fitness and propriety of the person. The </w:t>
      </w:r>
      <w:r>
        <w:t xml:space="preserve">RSE </w:t>
      </w:r>
      <w:r>
        <w:lastRenderedPageBreak/>
        <w:t>licensee</w:t>
      </w:r>
      <w:r w:rsidRPr="00341C72">
        <w:t xml:space="preserve"> must complete a full fit and proper assessment prior to appointing the person to the responsible person position on a permanent basis. </w:t>
      </w:r>
    </w:p>
    <w:p w14:paraId="4AD01038" w14:textId="77777777" w:rsidR="00CE40C1" w:rsidRPr="00341C72" w:rsidRDefault="00CE40C1" w:rsidP="004915D0">
      <w:pPr>
        <w:pStyle w:val="BodyText1"/>
      </w:pPr>
      <w:r w:rsidRPr="00346E5B">
        <w:t>The Fit and Proper Policy</w:t>
      </w:r>
      <w:r>
        <w:t xml:space="preserve"> must </w:t>
      </w:r>
      <w:r w:rsidRPr="00346E5B">
        <w:t>require</w:t>
      </w:r>
      <w:r>
        <w:t xml:space="preserve"> </w:t>
      </w:r>
      <w:r w:rsidRPr="00341C72">
        <w:t xml:space="preserve">annual fit and proper assessments (or </w:t>
      </w:r>
      <w:r w:rsidRPr="003D1E45">
        <w:t>as close to annual as is practicable</w:t>
      </w:r>
      <w:r w:rsidRPr="00341C72">
        <w:t>) for each responsible person position</w:t>
      </w:r>
      <w:r>
        <w:t>.</w:t>
      </w:r>
      <w:r w:rsidRPr="00346E5B">
        <w:t xml:space="preserve"> </w:t>
      </w:r>
    </w:p>
    <w:p w14:paraId="2B0B099D" w14:textId="77777777" w:rsidR="00CE40C1" w:rsidRPr="00341C72" w:rsidRDefault="00CE40C1" w:rsidP="004915D0">
      <w:pPr>
        <w:pStyle w:val="BodyText1"/>
      </w:pPr>
      <w:r w:rsidRPr="00341C72">
        <w:t xml:space="preserve">When </w:t>
      </w:r>
      <w:r w:rsidRPr="00346E5B">
        <w:t>a</w:t>
      </w:r>
      <w:r>
        <w:t xml:space="preserve"> fit and proper </w:t>
      </w:r>
      <w:r w:rsidRPr="00341C72">
        <w:t xml:space="preserve">assessment is conducted, </w:t>
      </w:r>
      <w:r>
        <w:t>an RSE licensee</w:t>
      </w:r>
      <w:r w:rsidRPr="00341C72">
        <w:t xml:space="preserve"> must</w:t>
      </w:r>
      <w:r>
        <w:t xml:space="preserve"> make all reasonable enquiries</w:t>
      </w:r>
      <w:r w:rsidRPr="00346E5B">
        <w:rPr>
          <w:rStyle w:val="FootnoteReference"/>
        </w:rPr>
        <w:footnoteReference w:id="21"/>
      </w:r>
      <w:r>
        <w:t xml:space="preserve"> </w:t>
      </w:r>
      <w:r w:rsidRPr="00341C72">
        <w:t xml:space="preserve">to obtain information, including collecting sensitive information as defined in the </w:t>
      </w:r>
      <w:r w:rsidRPr="008B5185">
        <w:rPr>
          <w:i/>
        </w:rPr>
        <w:t>Privacy Act 1988</w:t>
      </w:r>
      <w:r w:rsidRPr="00346E5B">
        <w:rPr>
          <w:i/>
        </w:rPr>
        <w:t>,</w:t>
      </w:r>
      <w:r>
        <w:t xml:space="preserve"> </w:t>
      </w:r>
      <w:r w:rsidRPr="00341C72">
        <w:t>that it believes may be relevant to an assessment of whether the person is fit and proper to hold a responsible person position.</w:t>
      </w:r>
    </w:p>
    <w:p w14:paraId="617C9AA2" w14:textId="77777777" w:rsidR="00CE40C1" w:rsidRPr="00341C72" w:rsidRDefault="00CE40C1" w:rsidP="004915D0">
      <w:pPr>
        <w:pStyle w:val="BodyText1"/>
      </w:pPr>
      <w:r w:rsidRPr="00341C72">
        <w:t xml:space="preserve">Where a responsible person has been assessed as fit and proper, but </w:t>
      </w:r>
      <w:r>
        <w:t>an</w:t>
      </w:r>
      <w:r w:rsidRPr="00341C72">
        <w:t xml:space="preserve"> </w:t>
      </w:r>
      <w:r>
        <w:t>RSE licensee</w:t>
      </w:r>
      <w:r w:rsidRPr="00341C72">
        <w:t xml:space="preserve"> subsequently becomes aware of information that may result in the person being assessed as not fit and proper, the </w:t>
      </w:r>
      <w:r>
        <w:t>RSE licensee</w:t>
      </w:r>
      <w:r w:rsidRPr="00341C72">
        <w:t xml:space="preserve"> must take all reasonable steps, including collecting sensitive information as defined in the </w:t>
      </w:r>
      <w:r w:rsidRPr="003D1E45">
        <w:rPr>
          <w:i/>
        </w:rPr>
        <w:t>Privacy Act 1988</w:t>
      </w:r>
      <w:r>
        <w:t xml:space="preserve"> </w:t>
      </w:r>
      <w:r w:rsidRPr="00341C72">
        <w:t>if relevant, to ensure that it can prudently conclude that no material fitness and propriety concern exists. Where a concern exists, a full fit and proper assessment must be conducted.</w:t>
      </w:r>
    </w:p>
    <w:p w14:paraId="04452773" w14:textId="77777777" w:rsidR="00CE40C1" w:rsidRPr="00341C72" w:rsidRDefault="00CE40C1" w:rsidP="004915D0">
      <w:pPr>
        <w:pStyle w:val="BodyText1"/>
      </w:pPr>
      <w:bookmarkStart w:id="25" w:name="_Ref315341282"/>
      <w:r w:rsidRPr="00346E5B">
        <w:t>The</w:t>
      </w:r>
      <w:r>
        <w:t xml:space="preserve"> </w:t>
      </w:r>
      <w:r w:rsidRPr="00341C72">
        <w:t>Fit and Proper Policy must contain adequate provisions:</w:t>
      </w:r>
      <w:bookmarkEnd w:id="25"/>
    </w:p>
    <w:p w14:paraId="6C071E26" w14:textId="77777777" w:rsidR="00CE40C1" w:rsidRPr="00341C72" w:rsidRDefault="00CE40C1" w:rsidP="004915D0">
      <w:pPr>
        <w:pStyle w:val="BodyText2"/>
        <w:numPr>
          <w:ilvl w:val="1"/>
          <w:numId w:val="14"/>
        </w:numPr>
      </w:pPr>
      <w:r w:rsidRPr="00341C72">
        <w:t xml:space="preserve">to encourage any person to disclose information that may be relevant to a fit and proper assessment to the </w:t>
      </w:r>
      <w:r>
        <w:t>RSE licensee</w:t>
      </w:r>
      <w:r w:rsidRPr="00341C72">
        <w:t xml:space="preserve"> or </w:t>
      </w:r>
      <w:r w:rsidRPr="00346E5B">
        <w:t xml:space="preserve">to </w:t>
      </w:r>
      <w:proofErr w:type="gramStart"/>
      <w:r w:rsidRPr="00341C72">
        <w:t>APRA;</w:t>
      </w:r>
      <w:proofErr w:type="gramEnd"/>
    </w:p>
    <w:p w14:paraId="681C7A8F" w14:textId="77777777" w:rsidR="00CE40C1" w:rsidRPr="00341C72" w:rsidRDefault="00CE40C1" w:rsidP="004915D0">
      <w:pPr>
        <w:pStyle w:val="BodyText2"/>
      </w:pPr>
      <w:r w:rsidRPr="00341C72">
        <w:t xml:space="preserve">to enable the disclosure to APRA of any information the </w:t>
      </w:r>
      <w:r>
        <w:t>RSE licensee</w:t>
      </w:r>
      <w:r w:rsidRPr="00341C72">
        <w:t xml:space="preserve"> is required to provide under this Prudential Standard; and</w:t>
      </w:r>
    </w:p>
    <w:p w14:paraId="2796A960" w14:textId="77777777" w:rsidR="00CE40C1" w:rsidRPr="00341C72" w:rsidRDefault="00CE40C1" w:rsidP="004915D0">
      <w:pPr>
        <w:pStyle w:val="BodyText2"/>
      </w:pPr>
      <w:r w:rsidRPr="00341C72">
        <w:t>for giving or obtaining any consents required for the collection and use of any information:</w:t>
      </w:r>
    </w:p>
    <w:p w14:paraId="59EC9127" w14:textId="77777777" w:rsidR="00CE40C1" w:rsidRPr="00341C72" w:rsidRDefault="00CE40C1" w:rsidP="004915D0">
      <w:pPr>
        <w:pStyle w:val="BodyText3"/>
      </w:pPr>
      <w:r w:rsidRPr="00341C72">
        <w:t xml:space="preserve">by the </w:t>
      </w:r>
      <w:r>
        <w:t>RSE licensee</w:t>
      </w:r>
      <w:r w:rsidRPr="00341C72">
        <w:t xml:space="preserve"> to comply with the Fit and Proper Policy or this Prudential Standard; and </w:t>
      </w:r>
    </w:p>
    <w:p w14:paraId="638977BB" w14:textId="77777777" w:rsidR="00CE40C1" w:rsidRPr="00341C72" w:rsidRDefault="00CE40C1" w:rsidP="004915D0">
      <w:pPr>
        <w:pStyle w:val="BodyText3"/>
      </w:pPr>
      <w:r w:rsidRPr="00341C72">
        <w:t xml:space="preserve">by APRA for its powers and functions under the </w:t>
      </w:r>
      <w:r>
        <w:t xml:space="preserve">SIS </w:t>
      </w:r>
      <w:r w:rsidRPr="00341C72">
        <w:t>Act.</w:t>
      </w:r>
    </w:p>
    <w:p w14:paraId="2BC336B9" w14:textId="77777777" w:rsidR="00CE40C1" w:rsidRDefault="00CE40C1" w:rsidP="004915D0">
      <w:pPr>
        <w:pStyle w:val="BodyText1"/>
      </w:pPr>
      <w:r w:rsidRPr="00346E5B">
        <w:t>The</w:t>
      </w:r>
      <w:r>
        <w:t xml:space="preserve"> </w:t>
      </w:r>
      <w:r w:rsidRPr="00341C72">
        <w:t xml:space="preserve">Fit and Proper Policy must require that sufficient documentation for each fit and proper assessment is retained to demonstrate the fitness and propriety of the </w:t>
      </w:r>
      <w:r>
        <w:t>RSE licensee</w:t>
      </w:r>
      <w:r w:rsidRPr="00341C72">
        <w:t xml:space="preserve">’s current, and recently past, responsible persons. </w:t>
      </w:r>
    </w:p>
    <w:p w14:paraId="7B171F5C" w14:textId="77777777" w:rsidR="00CE40C1" w:rsidRPr="003463C7" w:rsidRDefault="00CE40C1" w:rsidP="004915D0">
      <w:pPr>
        <w:pStyle w:val="Heading3"/>
      </w:pPr>
      <w:r w:rsidRPr="003463C7">
        <w:t>Whistleblowing</w:t>
      </w:r>
      <w:r w:rsidRPr="003463C7">
        <w:rPr>
          <w:rStyle w:val="FootnoteReference"/>
          <w:rFonts w:ascii="Arial" w:hAnsi="Arial"/>
          <w:sz w:val="24"/>
        </w:rPr>
        <w:footnoteReference w:id="22"/>
      </w:r>
    </w:p>
    <w:p w14:paraId="411B098D" w14:textId="77777777" w:rsidR="00CE40C1" w:rsidRDefault="00CE40C1" w:rsidP="004915D0">
      <w:pPr>
        <w:pStyle w:val="BodyText1"/>
      </w:pPr>
      <w:bookmarkStart w:id="26" w:name="_Ref313626334"/>
      <w:r w:rsidRPr="00346E5B">
        <w:t>The</w:t>
      </w:r>
      <w:r>
        <w:t xml:space="preserve"> </w:t>
      </w:r>
      <w:r w:rsidRPr="00341C72">
        <w:t xml:space="preserve">Fit and Proper Policy must include adequate provisions to allow whistleblowing </w:t>
      </w:r>
      <w:r w:rsidRPr="00346E5B">
        <w:t>if</w:t>
      </w:r>
      <w:r w:rsidRPr="00341C72">
        <w:t xml:space="preserve"> a person</w:t>
      </w:r>
      <w:r>
        <w:t xml:space="preserve"> has information</w:t>
      </w:r>
      <w:r w:rsidRPr="00341C72">
        <w:t xml:space="preserve"> that a responsible person does not meet the </w:t>
      </w:r>
      <w:r>
        <w:t>RSE licensee</w:t>
      </w:r>
      <w:r w:rsidRPr="00341C72">
        <w:t xml:space="preserve">’s fit and proper criteria. The Fit and Proper Policy must ensure that the </w:t>
      </w:r>
      <w:r>
        <w:t>RSE licensee</w:t>
      </w:r>
      <w:r w:rsidRPr="00341C72">
        <w:t xml:space="preserve"> and its </w:t>
      </w:r>
      <w:r w:rsidRPr="00346E5B">
        <w:t>connected entities</w:t>
      </w:r>
      <w:r w:rsidRPr="00341C72">
        <w:t xml:space="preserve"> consent to the person </w:t>
      </w:r>
      <w:r>
        <w:lastRenderedPageBreak/>
        <w:t>providing that information to</w:t>
      </w:r>
      <w:r w:rsidRPr="00341C72">
        <w:t xml:space="preserve"> either the person responsible for conducting fit and proper assessments or APRA.</w:t>
      </w:r>
      <w:bookmarkEnd w:id="26"/>
    </w:p>
    <w:p w14:paraId="454A4D40" w14:textId="77777777" w:rsidR="00CE40C1" w:rsidRPr="00341C72" w:rsidRDefault="00CE40C1" w:rsidP="004915D0">
      <w:pPr>
        <w:pStyle w:val="BodyText1"/>
      </w:pPr>
      <w:r w:rsidRPr="00346E5B">
        <w:t>The</w:t>
      </w:r>
      <w:r>
        <w:t xml:space="preserve"> </w:t>
      </w:r>
      <w:r w:rsidRPr="00341C72">
        <w:t xml:space="preserve">Fit and Proper Policy must include adequate provisions to allow </w:t>
      </w:r>
      <w:r>
        <w:t xml:space="preserve">any </w:t>
      </w:r>
      <w:r w:rsidRPr="00341C72">
        <w:t xml:space="preserve">person who </w:t>
      </w:r>
      <w:r>
        <w:t>has information</w:t>
      </w:r>
      <w:r w:rsidRPr="00341C72">
        <w:t xml:space="preserve"> that the </w:t>
      </w:r>
      <w:r>
        <w:t>RSE licensee</w:t>
      </w:r>
      <w:r w:rsidRPr="00341C72">
        <w:t xml:space="preserve"> has not complied with this Prudential Standard to </w:t>
      </w:r>
      <w:r>
        <w:t>provide that information to</w:t>
      </w:r>
      <w:r w:rsidRPr="00341C72">
        <w:t xml:space="preserve"> APRA.</w:t>
      </w:r>
      <w:r>
        <w:t xml:space="preserve"> </w:t>
      </w:r>
    </w:p>
    <w:p w14:paraId="4E8260B9" w14:textId="77777777" w:rsidR="00CE40C1" w:rsidRPr="00522C79" w:rsidRDefault="00CE40C1" w:rsidP="004915D0">
      <w:pPr>
        <w:pStyle w:val="BodyText1"/>
      </w:pPr>
      <w:bookmarkStart w:id="27" w:name="_Ref313626349"/>
      <w:r w:rsidRPr="00346E5B">
        <w:t>The</w:t>
      </w:r>
      <w:r>
        <w:t xml:space="preserve"> </w:t>
      </w:r>
      <w:r w:rsidRPr="00522C79">
        <w:t xml:space="preserve">Fit and Proper Policy must provide that the RSE licensee and its </w:t>
      </w:r>
      <w:r w:rsidRPr="00346E5B">
        <w:t>connected entities</w:t>
      </w:r>
      <w:r w:rsidRPr="00522C79">
        <w:t xml:space="preserve"> consent to any person who held a responsible person position disclosing information or providing documents to APRA relating to their reasons for resignation, </w:t>
      </w:r>
      <w:proofErr w:type="gramStart"/>
      <w:r w:rsidRPr="00522C79">
        <w:t>retirement</w:t>
      </w:r>
      <w:proofErr w:type="gramEnd"/>
      <w:r w:rsidRPr="00522C79">
        <w:t xml:space="preserve"> or removal.</w:t>
      </w:r>
      <w:bookmarkEnd w:id="27"/>
    </w:p>
    <w:p w14:paraId="7AC57631" w14:textId="1469832F" w:rsidR="00CE40C1" w:rsidRPr="00341C72" w:rsidRDefault="00CE40C1" w:rsidP="004915D0">
      <w:pPr>
        <w:pStyle w:val="BodyText1"/>
      </w:pPr>
      <w:r>
        <w:t>An RSE licensee</w:t>
      </w:r>
      <w:r w:rsidRPr="00341C72">
        <w:t xml:space="preserve"> must not, and must ensure that its </w:t>
      </w:r>
      <w:r w:rsidRPr="00346E5B">
        <w:t>connected entities</w:t>
      </w:r>
      <w:r w:rsidRPr="00341C72">
        <w:t xml:space="preserve"> do not, constrain, impede, </w:t>
      </w:r>
      <w:proofErr w:type="gramStart"/>
      <w:r w:rsidRPr="00341C72">
        <w:t>restrict</w:t>
      </w:r>
      <w:proofErr w:type="gramEnd"/>
      <w:r w:rsidRPr="00341C72">
        <w:t xml:space="preserve"> or discourage, whether by confidentiality clauses, policies or other means, any person from disclosing information or providing documents to APRA about matt</w:t>
      </w:r>
      <w:r>
        <w:t>ers referred to in paragraphs 36 to 38 inclusive</w:t>
      </w:r>
      <w:r w:rsidRPr="00341C72">
        <w:t>.</w:t>
      </w:r>
    </w:p>
    <w:p w14:paraId="04541F9A" w14:textId="2EDA503B" w:rsidR="00CE40C1" w:rsidRPr="00341C72" w:rsidRDefault="00CE40C1" w:rsidP="004915D0">
      <w:pPr>
        <w:pStyle w:val="BodyText1"/>
      </w:pPr>
      <w:r w:rsidRPr="00346E5B">
        <w:t>The</w:t>
      </w:r>
      <w:r w:rsidRPr="00341C72">
        <w:t xml:space="preserve"> Fit and Proper Policy must require that </w:t>
      </w:r>
      <w:r>
        <w:t>all</w:t>
      </w:r>
      <w:r w:rsidRPr="00341C72">
        <w:t xml:space="preserve"> provisions of the </w:t>
      </w:r>
      <w:r>
        <w:t>P</w:t>
      </w:r>
      <w:r w:rsidRPr="00341C72">
        <w:t>olicy</w:t>
      </w:r>
      <w:r>
        <w:t xml:space="preserve"> </w:t>
      </w:r>
      <w:r w:rsidRPr="00341C72">
        <w:t>encouraging whistleblowing</w:t>
      </w:r>
      <w:r>
        <w:t>, and the procedures relating to whistleblowing,</w:t>
      </w:r>
      <w:r w:rsidRPr="00341C72">
        <w:t xml:space="preserve"> are adequately </w:t>
      </w:r>
      <w:r>
        <w:t>explained</w:t>
      </w:r>
      <w:r w:rsidRPr="00341C72">
        <w:t xml:space="preserve"> to directors</w:t>
      </w:r>
      <w:r w:rsidRPr="00046E85">
        <w:t xml:space="preserve"> </w:t>
      </w:r>
      <w:r w:rsidRPr="00346E5B">
        <w:t>and</w:t>
      </w:r>
      <w:r>
        <w:t xml:space="preserve"> </w:t>
      </w:r>
      <w:r w:rsidRPr="00341C72">
        <w:t xml:space="preserve">employees of the </w:t>
      </w:r>
      <w:r>
        <w:t>RSE licensee</w:t>
      </w:r>
      <w:r w:rsidRPr="00341C72">
        <w:t xml:space="preserve"> and its </w:t>
      </w:r>
      <w:r w:rsidRPr="00346E5B">
        <w:t>connected entities</w:t>
      </w:r>
      <w:r w:rsidRPr="00341C72">
        <w:t xml:space="preserve"> who are likely to have information relevant to fit and proper assessments. </w:t>
      </w:r>
    </w:p>
    <w:p w14:paraId="2A4D1CB5" w14:textId="50167358" w:rsidR="00CE40C1" w:rsidRPr="00341C72" w:rsidRDefault="00CE40C1" w:rsidP="004915D0">
      <w:pPr>
        <w:pStyle w:val="BodyText1"/>
      </w:pPr>
      <w:r w:rsidRPr="00341C72">
        <w:t xml:space="preserve">APRA does not require that </w:t>
      </w:r>
      <w:r>
        <w:t>an RSE licensee</w:t>
      </w:r>
      <w:r w:rsidRPr="00341C72">
        <w:t xml:space="preserve"> impose an obligation on any person to make th</w:t>
      </w:r>
      <w:r>
        <w:t>e disclosures under paragraphs 36 to 38 inclusive</w:t>
      </w:r>
      <w:r w:rsidRPr="00341C72">
        <w:t>.</w:t>
      </w:r>
      <w:r>
        <w:t xml:space="preserve"> </w:t>
      </w:r>
      <w:r w:rsidRPr="00341C72">
        <w:t xml:space="preserve">However, </w:t>
      </w:r>
      <w:r w:rsidRPr="00346E5B">
        <w:t>the</w:t>
      </w:r>
      <w:r>
        <w:t xml:space="preserve"> </w:t>
      </w:r>
      <w:r w:rsidRPr="00341C72">
        <w:t>Fit and Proper Policy must require that all reasonable steps be taken to ensure that no person making such disclosures in good faith is subject to, or threatened with, a detriment because of any notification in purported compliance with the requirements of the Fit and Proper Policy.</w:t>
      </w:r>
    </w:p>
    <w:p w14:paraId="6B530359" w14:textId="77777777" w:rsidR="00CE40C1" w:rsidRPr="006F3202" w:rsidRDefault="00CE40C1" w:rsidP="004915D0">
      <w:pPr>
        <w:pStyle w:val="Heading3"/>
      </w:pPr>
      <w:r w:rsidRPr="006F3202">
        <w:t xml:space="preserve">When a responsible person is not fit </w:t>
      </w:r>
      <w:r w:rsidRPr="00346E5B">
        <w:t>and</w:t>
      </w:r>
      <w:r w:rsidRPr="006F3202">
        <w:t xml:space="preserve"> proper</w:t>
      </w:r>
    </w:p>
    <w:p w14:paraId="6AB464FE" w14:textId="77777777" w:rsidR="00CE40C1" w:rsidRPr="00312E77" w:rsidRDefault="00CE40C1" w:rsidP="004915D0">
      <w:pPr>
        <w:pStyle w:val="BodyText1"/>
      </w:pPr>
      <w:r w:rsidRPr="00341C72">
        <w:t xml:space="preserve">Where </w:t>
      </w:r>
      <w:r>
        <w:t>an RSE licensee</w:t>
      </w:r>
      <w:r w:rsidRPr="00341C72">
        <w:t xml:space="preserve"> has assessed that a person is not fit </w:t>
      </w:r>
      <w:r w:rsidRPr="00346E5B">
        <w:t>and</w:t>
      </w:r>
      <w:r w:rsidRPr="00341C72">
        <w:t xml:space="preserve"> proper, or a reasonable person in the </w:t>
      </w:r>
      <w:r>
        <w:t>RSE licensee’s</w:t>
      </w:r>
      <w:r w:rsidRPr="00341C72">
        <w:t xml:space="preserve"> position would make that assessment, the </w:t>
      </w:r>
      <w:r>
        <w:t>RSE licensee</w:t>
      </w:r>
      <w:r w:rsidRPr="00341C72">
        <w:t xml:space="preserve"> must take all steps it </w:t>
      </w:r>
      <w:r>
        <w:t>reasonably</w:t>
      </w:r>
      <w:r w:rsidRPr="00341C72">
        <w:t xml:space="preserve"> can to ensure that the </w:t>
      </w:r>
      <w:r w:rsidRPr="00312E77">
        <w:t>person</w:t>
      </w:r>
      <w:r w:rsidRPr="001A20F8">
        <w:rPr>
          <w:vertAlign w:val="superscript"/>
        </w:rPr>
        <w:footnoteReference w:id="23"/>
      </w:r>
      <w:r w:rsidRPr="001A20F8">
        <w:t>:</w:t>
      </w:r>
      <w:r w:rsidRPr="00312E77">
        <w:t xml:space="preserve"> </w:t>
      </w:r>
    </w:p>
    <w:p w14:paraId="25934143" w14:textId="77777777" w:rsidR="00CE40C1" w:rsidRPr="00312E77" w:rsidRDefault="00CE40C1" w:rsidP="004915D0">
      <w:pPr>
        <w:pStyle w:val="BodyText2"/>
        <w:numPr>
          <w:ilvl w:val="1"/>
          <w:numId w:val="15"/>
        </w:numPr>
      </w:pPr>
      <w:r w:rsidRPr="00312E77">
        <w:t>is not appointed to; or</w:t>
      </w:r>
    </w:p>
    <w:p w14:paraId="1D3B6AC7" w14:textId="77777777" w:rsidR="00CE40C1" w:rsidRPr="00312E77" w:rsidRDefault="00CE40C1" w:rsidP="00F2293B">
      <w:pPr>
        <w:pStyle w:val="BodyText2"/>
      </w:pPr>
      <w:r w:rsidRPr="00312E77">
        <w:t>for an existing responsible person, does not continue to hold</w:t>
      </w:r>
      <w:r>
        <w:t>,</w:t>
      </w:r>
    </w:p>
    <w:p w14:paraId="0B7C1A0E" w14:textId="03117C82" w:rsidR="00CE40C1" w:rsidRDefault="00CE40C1" w:rsidP="00F2293B">
      <w:pPr>
        <w:ind w:left="567"/>
        <w:jc w:val="both"/>
      </w:pPr>
      <w:r w:rsidRPr="00312E77">
        <w:t>the responsible person position.</w:t>
      </w:r>
    </w:p>
    <w:p w14:paraId="330042AF" w14:textId="77777777" w:rsidR="00CE40C1" w:rsidRPr="006F3202" w:rsidRDefault="00CE40C1" w:rsidP="004915D0">
      <w:pPr>
        <w:pStyle w:val="Heading3"/>
      </w:pPr>
      <w:r w:rsidRPr="006F3202">
        <w:t>Informing APRA</w:t>
      </w:r>
    </w:p>
    <w:p w14:paraId="2C0B04DF" w14:textId="72CA262E" w:rsidR="00CE40C1" w:rsidRPr="00341C72" w:rsidRDefault="00CE40C1" w:rsidP="004915D0">
      <w:pPr>
        <w:pStyle w:val="BodyText1"/>
      </w:pPr>
      <w:bookmarkStart w:id="28" w:name="_Ref313626400"/>
      <w:r>
        <w:t>An RSE licensee</w:t>
      </w:r>
      <w:r w:rsidRPr="00341C72">
        <w:t xml:space="preserve"> must </w:t>
      </w:r>
      <w:r>
        <w:t>notify APRA</w:t>
      </w:r>
      <w:r w:rsidRPr="00341C72" w:rsidDel="0069656B">
        <w:t xml:space="preserve"> </w:t>
      </w:r>
      <w:r>
        <w:t xml:space="preserve">of </w:t>
      </w:r>
      <w:r w:rsidRPr="00341C72">
        <w:t>the following information for each responsible person:</w:t>
      </w:r>
      <w:bookmarkEnd w:id="28"/>
    </w:p>
    <w:p w14:paraId="3DC6BBEC" w14:textId="77777777" w:rsidR="00CE40C1" w:rsidRDefault="00CE40C1" w:rsidP="004915D0">
      <w:pPr>
        <w:pStyle w:val="BodyText2"/>
        <w:numPr>
          <w:ilvl w:val="1"/>
          <w:numId w:val="16"/>
        </w:numPr>
      </w:pPr>
      <w:r w:rsidRPr="00341C72">
        <w:lastRenderedPageBreak/>
        <w:t xml:space="preserve">the </w:t>
      </w:r>
      <w:r>
        <w:t xml:space="preserve">title of the responsible person </w:t>
      </w:r>
      <w:proofErr w:type="gramStart"/>
      <w:r>
        <w:t>position;</w:t>
      </w:r>
      <w:proofErr w:type="gramEnd"/>
    </w:p>
    <w:p w14:paraId="0C242F91" w14:textId="77777777" w:rsidR="00CE40C1" w:rsidRPr="00341C72" w:rsidRDefault="00CE40C1" w:rsidP="004915D0">
      <w:pPr>
        <w:pStyle w:val="BodyText2"/>
      </w:pPr>
      <w:r>
        <w:t xml:space="preserve">the </w:t>
      </w:r>
      <w:r w:rsidRPr="00341C72">
        <w:t xml:space="preserve">person’s full </w:t>
      </w:r>
      <w:proofErr w:type="gramStart"/>
      <w:r w:rsidRPr="00341C72">
        <w:t>name;</w:t>
      </w:r>
      <w:proofErr w:type="gramEnd"/>
    </w:p>
    <w:p w14:paraId="6341978E" w14:textId="77777777" w:rsidR="00CE40C1" w:rsidRPr="00341C72" w:rsidRDefault="00CE40C1" w:rsidP="004915D0">
      <w:pPr>
        <w:pStyle w:val="BodyText2"/>
      </w:pPr>
      <w:r w:rsidRPr="00341C72">
        <w:t>the person’s date of birth (for identification purposes only</w:t>
      </w:r>
      <w:proofErr w:type="gramStart"/>
      <w:r w:rsidRPr="00341C72">
        <w:t>);</w:t>
      </w:r>
      <w:proofErr w:type="gramEnd"/>
      <w:r w:rsidRPr="00341C72">
        <w:t xml:space="preserve"> </w:t>
      </w:r>
    </w:p>
    <w:p w14:paraId="6660002B" w14:textId="77777777" w:rsidR="00CE40C1" w:rsidRPr="00341C72" w:rsidRDefault="00CE40C1" w:rsidP="004915D0">
      <w:pPr>
        <w:pStyle w:val="BodyText2"/>
      </w:pPr>
      <w:r w:rsidRPr="00341C72">
        <w:t>the person’s posi</w:t>
      </w:r>
      <w:r>
        <w:t xml:space="preserve">tion and main responsibilities; </w:t>
      </w:r>
      <w:r w:rsidRPr="00341C72">
        <w:t>and</w:t>
      </w:r>
    </w:p>
    <w:p w14:paraId="0BF36CCF" w14:textId="77777777" w:rsidR="00CE40C1" w:rsidRPr="00341C72" w:rsidRDefault="00CE40C1" w:rsidP="004915D0">
      <w:pPr>
        <w:pStyle w:val="BodyText2"/>
      </w:pPr>
      <w:r w:rsidRPr="00341C72">
        <w:t>a statement of whether the person has been assessed under the Fit and Proper Policy.</w:t>
      </w:r>
    </w:p>
    <w:p w14:paraId="14A1E5FE" w14:textId="06AF5084" w:rsidR="00CE40C1" w:rsidRPr="00E9476B" w:rsidRDefault="00CE40C1" w:rsidP="004915D0">
      <w:pPr>
        <w:pStyle w:val="BodyText1"/>
      </w:pPr>
      <w:r>
        <w:t>An RSE licensee</w:t>
      </w:r>
      <w:r w:rsidRPr="00341C72">
        <w:t xml:space="preserve"> must ensure that the information provided under paragraph </w:t>
      </w:r>
      <w:r>
        <w:t>43</w:t>
      </w:r>
      <w:r w:rsidRPr="00341C72">
        <w:t xml:space="preserve"> remains </w:t>
      </w:r>
      <w:r>
        <w:t>correct</w:t>
      </w:r>
      <w:r w:rsidRPr="00341C72">
        <w:t xml:space="preserve"> for </w:t>
      </w:r>
      <w:proofErr w:type="gramStart"/>
      <w:r w:rsidRPr="00341C72">
        <w:t>all of</w:t>
      </w:r>
      <w:proofErr w:type="gramEnd"/>
      <w:r w:rsidRPr="00341C72">
        <w:t xml:space="preserve"> its responsible person</w:t>
      </w:r>
      <w:r>
        <w:t>s.</w:t>
      </w:r>
      <w:r>
        <w:rPr>
          <w:rStyle w:val="FootnoteReference"/>
        </w:rPr>
        <w:footnoteReference w:id="24"/>
      </w:r>
    </w:p>
    <w:p w14:paraId="2200FBDF" w14:textId="1BBCBCD8" w:rsidR="00CE40C1" w:rsidRPr="00341C72" w:rsidRDefault="00CE40C1" w:rsidP="004915D0">
      <w:pPr>
        <w:pStyle w:val="BodyText1"/>
      </w:pPr>
      <w:r w:rsidRPr="00341C72">
        <w:t xml:space="preserve">If </w:t>
      </w:r>
      <w:r>
        <w:t>a</w:t>
      </w:r>
      <w:r w:rsidRPr="00341C72">
        <w:t xml:space="preserve"> person remains in </w:t>
      </w:r>
      <w:r>
        <w:t>a</w:t>
      </w:r>
      <w:r w:rsidRPr="00341C72">
        <w:t xml:space="preserve"> responsible person position, </w:t>
      </w:r>
      <w:r>
        <w:t xml:space="preserve">despite the RSE licensee’s assessment that the person is not fit and proper, </w:t>
      </w:r>
      <w:r w:rsidRPr="00341C72">
        <w:t xml:space="preserve">the </w:t>
      </w:r>
      <w:r>
        <w:t>RSE licensee must promptly notify APRA in writing of</w:t>
      </w:r>
      <w:r w:rsidRPr="00341C72">
        <w:t xml:space="preserve"> the reason for this and the action that is being taken.</w:t>
      </w:r>
      <w:r>
        <w:rPr>
          <w:rStyle w:val="FootnoteReference"/>
        </w:rPr>
        <w:footnoteReference w:id="25"/>
      </w:r>
      <w:r>
        <w:t xml:space="preserve"> </w:t>
      </w:r>
    </w:p>
    <w:p w14:paraId="1ACB4F23" w14:textId="77777777" w:rsidR="00CE40C1" w:rsidRPr="00341C72" w:rsidRDefault="00CE40C1" w:rsidP="004915D0">
      <w:pPr>
        <w:pStyle w:val="BodyText1"/>
      </w:pPr>
      <w:r w:rsidRPr="00341C72">
        <w:t>The information or notifications required by this Prudential Standard must be given in such form, if any, and by such procedures, if any, as APRA publishes on its website from time to time.</w:t>
      </w:r>
    </w:p>
    <w:p w14:paraId="04A7C33E" w14:textId="77777777" w:rsidR="00CE40C1" w:rsidRPr="00341C72" w:rsidRDefault="00CE40C1" w:rsidP="004915D0">
      <w:pPr>
        <w:pStyle w:val="BodyText1"/>
      </w:pPr>
      <w:r>
        <w:t>An RSE licensee</w:t>
      </w:r>
      <w:r w:rsidRPr="00341C72">
        <w:t xml:space="preserve"> must take reasonable steps to:</w:t>
      </w:r>
    </w:p>
    <w:p w14:paraId="32F9C69D" w14:textId="77777777" w:rsidR="00CE40C1" w:rsidRPr="00341C72" w:rsidRDefault="00CE40C1" w:rsidP="00EF36AE">
      <w:pPr>
        <w:pStyle w:val="BodyText2"/>
      </w:pPr>
      <w:r w:rsidRPr="00341C72">
        <w:t>obtain any information and documentation that APRA asks of it; and</w:t>
      </w:r>
    </w:p>
    <w:p w14:paraId="33454B81" w14:textId="2BA6A65E" w:rsidR="00CE40C1" w:rsidRPr="00341C72" w:rsidRDefault="00CE40C1" w:rsidP="00EF36AE">
      <w:pPr>
        <w:pStyle w:val="BodyText2"/>
      </w:pPr>
      <w:r w:rsidRPr="00341C72">
        <w:t>provide that information to APRA</w:t>
      </w:r>
      <w:r w:rsidR="001A5265">
        <w:t>,</w:t>
      </w:r>
      <w:r w:rsidRPr="00341C72">
        <w:t xml:space="preserve"> </w:t>
      </w:r>
    </w:p>
    <w:p w14:paraId="046E5EDF" w14:textId="77777777" w:rsidR="00CE40C1" w:rsidRPr="00341C72" w:rsidRDefault="00CE40C1" w:rsidP="00EF36AE">
      <w:pPr>
        <w:pStyle w:val="BodyText1"/>
        <w:numPr>
          <w:ilvl w:val="0"/>
          <w:numId w:val="0"/>
        </w:numPr>
        <w:ind w:left="567"/>
      </w:pPr>
      <w:r w:rsidRPr="00341C72">
        <w:t xml:space="preserve">to assist APRA in assessing the fitness and propriety of a person. This </w:t>
      </w:r>
      <w:r>
        <w:t>could</w:t>
      </w:r>
      <w:r w:rsidRPr="00341C72">
        <w:t xml:space="preserve"> include providing the Fit and Proper Policy to APRA on request.</w:t>
      </w:r>
    </w:p>
    <w:p w14:paraId="193A3DAC" w14:textId="678524E0" w:rsidR="00CE40C1" w:rsidRPr="00FE5E32" w:rsidRDefault="00CE40C1" w:rsidP="004915D0">
      <w:pPr>
        <w:pStyle w:val="BodyText1"/>
      </w:pPr>
      <w:r w:rsidRPr="00312E77">
        <w:t xml:space="preserve">An RSE licensee must take reasonable steps to satisfy itself that a person holding, or proposed to hold, a responsible person position is not a disqualified person </w:t>
      </w:r>
      <w:r w:rsidRPr="00346E5B">
        <w:t>within the meaning</w:t>
      </w:r>
      <w:r w:rsidRPr="00312E77">
        <w:t xml:space="preserve"> of section 120 of the SIS Act. To this end,</w:t>
      </w:r>
      <w:r w:rsidRPr="00312E77" w:rsidDel="0009268D">
        <w:t xml:space="preserve"> </w:t>
      </w:r>
      <w:r>
        <w:t>the RSE licensee</w:t>
      </w:r>
      <w:r w:rsidRPr="00312E77">
        <w:t xml:space="preserve"> must satisfy itself that the person has </w:t>
      </w:r>
      <w:r>
        <w:t>never</w:t>
      </w:r>
      <w:r w:rsidRPr="00312E77">
        <w:t xml:space="preserve"> been convicted of any offence of dishonesty in any jurisdiction, whether in Australia of overseas. Other than for this purpose, APRA does not and will not require disclosure of spent convictions </w:t>
      </w:r>
      <w:proofErr w:type="gramStart"/>
      <w:r w:rsidRPr="00312E77">
        <w:t>where</w:t>
      </w:r>
      <w:proofErr w:type="gramEnd"/>
      <w:r w:rsidRPr="00312E77">
        <w:t xml:space="preserve"> precluded under Part VIIC of the </w:t>
      </w:r>
      <w:r w:rsidRPr="00312E77">
        <w:rPr>
          <w:i/>
        </w:rPr>
        <w:t>Crimes Act 1914</w:t>
      </w:r>
      <w:r w:rsidRPr="00312E77">
        <w:t>.</w:t>
      </w:r>
    </w:p>
    <w:p w14:paraId="6A5CACD9" w14:textId="77777777" w:rsidR="00CE40C1" w:rsidRPr="00387863" w:rsidRDefault="00CE40C1" w:rsidP="00CE40C1">
      <w:pPr>
        <w:pStyle w:val="Heading3"/>
      </w:pPr>
      <w:r w:rsidRPr="00387863">
        <w:lastRenderedPageBreak/>
        <w:t>Adjustments and exclusions</w:t>
      </w:r>
    </w:p>
    <w:p w14:paraId="005FF7F9" w14:textId="58983415" w:rsidR="00CE40C1" w:rsidRPr="00310B1A" w:rsidRDefault="00CE40C1" w:rsidP="004915D0">
      <w:pPr>
        <w:pStyle w:val="BodyText1"/>
      </w:pPr>
      <w:r w:rsidRPr="00310B1A">
        <w:t>APRA may adjust or exclude a specific prudential requirement in this Prudential Standard in relation to:</w:t>
      </w:r>
    </w:p>
    <w:p w14:paraId="7CB8B796" w14:textId="77777777" w:rsidR="00CE40C1" w:rsidRPr="00310B1A" w:rsidRDefault="00CE40C1" w:rsidP="004915D0">
      <w:pPr>
        <w:pStyle w:val="BodyText2"/>
        <w:numPr>
          <w:ilvl w:val="1"/>
          <w:numId w:val="17"/>
        </w:numPr>
      </w:pPr>
      <w:r w:rsidRPr="00310B1A">
        <w:t>a particular RSE licensee of an RSE; or</w:t>
      </w:r>
    </w:p>
    <w:p w14:paraId="5567F52C" w14:textId="77777777" w:rsidR="00CE40C1" w:rsidRPr="00D922CC" w:rsidRDefault="00CE40C1" w:rsidP="004915D0">
      <w:pPr>
        <w:pStyle w:val="BodyText2"/>
      </w:pPr>
      <w:r w:rsidRPr="00310B1A">
        <w:t>specified RSE licensees of RSEs</w:t>
      </w:r>
      <w:r w:rsidRPr="00D922CC">
        <w:t>.</w:t>
      </w:r>
      <w:r>
        <w:rPr>
          <w:rStyle w:val="FootnoteReference"/>
        </w:rPr>
        <w:footnoteReference w:id="26"/>
      </w:r>
    </w:p>
    <w:p w14:paraId="10356EA1" w14:textId="77777777" w:rsidR="00CE40C1" w:rsidRPr="00341C72" w:rsidRDefault="00CE40C1" w:rsidP="004915D0">
      <w:pPr>
        <w:pStyle w:val="Heading3"/>
      </w:pPr>
      <w:r w:rsidRPr="00623DEE">
        <w:t>Previous exercise of discretion</w:t>
      </w:r>
    </w:p>
    <w:p w14:paraId="6CE1E190" w14:textId="6212FAC5" w:rsidR="00CE40C1" w:rsidRPr="00FE5E32" w:rsidRDefault="00CE40C1" w:rsidP="004915D0">
      <w:pPr>
        <w:pStyle w:val="BodyText1"/>
      </w:pPr>
      <w:r w:rsidRPr="00FE5E32">
        <w:t>An RSE licensee must contact APRA if it seeks to place reliance, for the purposes of complying with this Prudential Standard, on a</w:t>
      </w:r>
      <w:r>
        <w:t>n</w:t>
      </w:r>
      <w:r w:rsidRPr="00FE5E32" w:rsidDel="007530F2">
        <w:t xml:space="preserve"> </w:t>
      </w:r>
      <w:r w:rsidRPr="00FE5E32">
        <w:t>exercise of discretion</w:t>
      </w:r>
      <w:r>
        <w:t xml:space="preserve"> made</w:t>
      </w:r>
      <w:r w:rsidRPr="00FE5E32">
        <w:t xml:space="preserve"> by APRA under a previous version of this Prudential Standard.</w:t>
      </w:r>
    </w:p>
    <w:bookmarkEnd w:id="0"/>
    <w:bookmarkEnd w:id="1"/>
    <w:bookmarkEnd w:id="2"/>
    <w:p w14:paraId="274F2B9D" w14:textId="77777777" w:rsidR="001F6B8D" w:rsidRDefault="001F6B8D" w:rsidP="004915D0"/>
    <w:p w14:paraId="4796DC64" w14:textId="77777777" w:rsidR="00A422FE" w:rsidRPr="00A422FE" w:rsidRDefault="00A422FE" w:rsidP="00A422FE"/>
    <w:p w14:paraId="4FDB5CE8" w14:textId="77777777" w:rsidR="00A422FE" w:rsidRPr="00A422FE" w:rsidRDefault="00A422FE" w:rsidP="00A422FE"/>
    <w:p w14:paraId="550D9A83" w14:textId="77777777" w:rsidR="00A422FE" w:rsidRPr="00A422FE" w:rsidRDefault="00A422FE" w:rsidP="00A422FE"/>
    <w:p w14:paraId="01665CCF" w14:textId="77777777" w:rsidR="00A422FE" w:rsidRPr="00A422FE" w:rsidRDefault="00A422FE" w:rsidP="00A422FE"/>
    <w:p w14:paraId="45A01E29" w14:textId="77777777" w:rsidR="00A422FE" w:rsidRPr="00A422FE" w:rsidRDefault="00A422FE" w:rsidP="00A422FE"/>
    <w:p w14:paraId="055EB4F2" w14:textId="77777777" w:rsidR="00A422FE" w:rsidRPr="00A422FE" w:rsidRDefault="00A422FE" w:rsidP="00A422FE"/>
    <w:p w14:paraId="31725E9C" w14:textId="77777777" w:rsidR="00A422FE" w:rsidRPr="00A422FE" w:rsidRDefault="00A422FE" w:rsidP="00A422FE"/>
    <w:p w14:paraId="3A9EC434" w14:textId="77777777" w:rsidR="00A422FE" w:rsidRPr="00A422FE" w:rsidRDefault="00A422FE" w:rsidP="00A422FE"/>
    <w:p w14:paraId="7BB56B98" w14:textId="77777777" w:rsidR="00A422FE" w:rsidRPr="00A422FE" w:rsidRDefault="00A422FE" w:rsidP="00A422FE"/>
    <w:p w14:paraId="2B22257C" w14:textId="77777777" w:rsidR="00A422FE" w:rsidRDefault="00A422FE" w:rsidP="00A422FE"/>
    <w:p w14:paraId="4D44A230" w14:textId="77777777" w:rsidR="00A422FE" w:rsidRDefault="00A422FE" w:rsidP="00A422FE"/>
    <w:p w14:paraId="226A04D8" w14:textId="37F99881" w:rsidR="001F6B8D" w:rsidRPr="007D2D7F" w:rsidRDefault="001F6B8D" w:rsidP="004915D0"/>
    <w:sectPr w:rsidR="001F6B8D" w:rsidRPr="007D2D7F" w:rsidSect="00A422FE">
      <w:type w:val="continuous"/>
      <w:pgSz w:w="11906" w:h="16838" w:code="9"/>
      <w:pgMar w:top="1440" w:right="1797" w:bottom="1440" w:left="179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0AE0" w14:textId="77777777" w:rsidR="00682AC4" w:rsidRDefault="00682AC4" w:rsidP="006A6A52">
      <w:pPr>
        <w:spacing w:after="0"/>
      </w:pPr>
      <w:r>
        <w:separator/>
      </w:r>
    </w:p>
    <w:p w14:paraId="3D8A1934" w14:textId="77777777" w:rsidR="00682AC4" w:rsidRDefault="00682AC4"/>
  </w:endnote>
  <w:endnote w:type="continuationSeparator" w:id="0">
    <w:p w14:paraId="6E05B690" w14:textId="77777777" w:rsidR="00682AC4" w:rsidRDefault="00682AC4" w:rsidP="006A6A52">
      <w:pPr>
        <w:spacing w:after="0"/>
      </w:pPr>
      <w:r>
        <w:continuationSeparator/>
      </w:r>
    </w:p>
    <w:p w14:paraId="6C399631" w14:textId="77777777" w:rsidR="00682AC4" w:rsidRDefault="00682AC4"/>
  </w:endnote>
  <w:endnote w:type="continuationNotice" w:id="1">
    <w:p w14:paraId="5873AFCA" w14:textId="77777777" w:rsidR="00682AC4" w:rsidRDefault="00682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38A7" w14:textId="77777777" w:rsidR="00121B39" w:rsidRDefault="00121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A67" w14:textId="3D774B59" w:rsidR="00842D98" w:rsidRPr="0000033B" w:rsidRDefault="00842D98" w:rsidP="00842FBD">
    <w:pPr>
      <w:pStyle w:val="Footer"/>
    </w:pPr>
    <w:r w:rsidRPr="0000033B">
      <w:t xml:space="preserve">SPS 520 –- </w:t>
    </w:r>
    <w:r w:rsidRPr="0000033B">
      <w:fldChar w:fldCharType="begin"/>
    </w:r>
    <w:r w:rsidRPr="0000033B">
      <w:instrText xml:space="preserve"> PAGE </w:instrText>
    </w:r>
    <w:r w:rsidRPr="0000033B">
      <w:fldChar w:fldCharType="separate"/>
    </w:r>
    <w:r w:rsidRPr="0000033B">
      <w:rPr>
        <w:noProof/>
      </w:rPr>
      <w:t>5</w:t>
    </w:r>
    <w:r w:rsidRPr="000003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289D" w14:textId="77777777" w:rsidR="00121B39" w:rsidRDefault="0012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8C53" w14:textId="77777777" w:rsidR="00682AC4" w:rsidRDefault="00682AC4" w:rsidP="006A6A52">
      <w:pPr>
        <w:spacing w:after="0"/>
      </w:pPr>
      <w:r>
        <w:separator/>
      </w:r>
    </w:p>
    <w:p w14:paraId="474A2791" w14:textId="77777777" w:rsidR="00682AC4" w:rsidRDefault="00682AC4"/>
  </w:footnote>
  <w:footnote w:type="continuationSeparator" w:id="0">
    <w:p w14:paraId="67619701" w14:textId="77777777" w:rsidR="00682AC4" w:rsidRDefault="00682AC4" w:rsidP="006A6A52">
      <w:pPr>
        <w:spacing w:after="0"/>
      </w:pPr>
      <w:r>
        <w:continuationSeparator/>
      </w:r>
    </w:p>
    <w:p w14:paraId="25EAFDD3" w14:textId="77777777" w:rsidR="00682AC4" w:rsidRDefault="00682AC4"/>
  </w:footnote>
  <w:footnote w:type="continuationNotice" w:id="1">
    <w:p w14:paraId="15619E7D" w14:textId="77777777" w:rsidR="00682AC4" w:rsidRDefault="00682AC4">
      <w:pPr>
        <w:spacing w:after="0"/>
      </w:pPr>
    </w:p>
  </w:footnote>
  <w:footnote w:id="2">
    <w:p w14:paraId="05B8384A" w14:textId="2018E5C8" w:rsidR="00CE40C1" w:rsidRPr="00C274E3" w:rsidRDefault="00CE40C1" w:rsidP="00CE40C1">
      <w:pPr>
        <w:pStyle w:val="FootnoteText"/>
        <w:rPr>
          <w:color w:val="000000"/>
        </w:rPr>
      </w:pPr>
      <w:r w:rsidRPr="00863BB4">
        <w:rPr>
          <w:rStyle w:val="FootnoteReference"/>
          <w:szCs w:val="20"/>
        </w:rPr>
        <w:footnoteRef/>
      </w:r>
      <w:r w:rsidRPr="00863BB4">
        <w:rPr>
          <w:szCs w:val="20"/>
        </w:rPr>
        <w:t xml:space="preserve"> </w:t>
      </w:r>
      <w:r w:rsidRPr="00346E5B">
        <w:tab/>
      </w:r>
      <w:r w:rsidRPr="00347159">
        <w:rPr>
          <w:rStyle w:val="FootnoteText1"/>
        </w:rPr>
        <w:t>‘RSE licensee’ has the meaning given in section 10(1) of the SIS Act.</w:t>
      </w:r>
      <w:r w:rsidRPr="00C274E3">
        <w:rPr>
          <w:color w:val="000000"/>
        </w:rPr>
        <w:t xml:space="preserve"> </w:t>
      </w:r>
    </w:p>
  </w:footnote>
  <w:footnote w:id="3">
    <w:p w14:paraId="07542369" w14:textId="233B1F70" w:rsidR="00CE40C1" w:rsidRPr="00C274E3" w:rsidRDefault="00CE40C1" w:rsidP="00CE40C1">
      <w:pPr>
        <w:spacing w:after="0"/>
        <w:ind w:left="567" w:hanging="567"/>
        <w:jc w:val="both"/>
        <w:rPr>
          <w:color w:val="000000"/>
          <w:sz w:val="20"/>
        </w:rPr>
      </w:pPr>
      <w:r w:rsidRPr="00C274E3">
        <w:rPr>
          <w:rStyle w:val="FootnoteReference"/>
          <w:color w:val="000000"/>
          <w:sz w:val="20"/>
        </w:rPr>
        <w:footnoteRef/>
      </w:r>
      <w:r w:rsidRPr="00C274E3">
        <w:rPr>
          <w:color w:val="000000"/>
          <w:sz w:val="20"/>
        </w:rPr>
        <w:t xml:space="preserve"> </w:t>
      </w:r>
      <w:r w:rsidRPr="00C274E3">
        <w:rPr>
          <w:color w:val="000000"/>
          <w:sz w:val="20"/>
        </w:rPr>
        <w:tab/>
      </w:r>
      <w:r w:rsidRPr="00347159">
        <w:rPr>
          <w:rStyle w:val="FootnoteText1"/>
        </w:rPr>
        <w:t>Paragraph 19 sets out criteria for fitness and propriety for the purposes of sections 107(2)(a)(ii)(DA), 108(2)(a)(iia), 126H(6A), 130D(5A), 131AA(2A), 131A(1A) and 134(5) of the SIS Act. Paragraph 21 sets out additional criteria for fitness and propriety for RSE auditors for the purposes of sections 130D(5A), 130EA(2)(c), 131AA(2A) and 131A(1A) of the SIS Act. Paragraph 24 sets out additional criteria for fitness and propriety for RSE actuaries for the purposes of sections 130D(5A), 131AA(2A) and 131A(1A) of the SIS Act.</w:t>
      </w:r>
    </w:p>
  </w:footnote>
  <w:footnote w:id="4">
    <w:p w14:paraId="41DF3349" w14:textId="30A4008D" w:rsidR="00CE40C1" w:rsidRPr="00C274E3" w:rsidRDefault="00CE40C1" w:rsidP="00CE40C1">
      <w:pPr>
        <w:spacing w:after="0"/>
        <w:ind w:left="567" w:hanging="567"/>
        <w:jc w:val="both"/>
        <w:rPr>
          <w:color w:val="000000"/>
          <w:sz w:val="20"/>
        </w:rPr>
      </w:pPr>
      <w:r w:rsidRPr="00C274E3">
        <w:rPr>
          <w:rStyle w:val="FootnoteReference"/>
          <w:color w:val="000000"/>
          <w:sz w:val="20"/>
        </w:rPr>
        <w:footnoteRef/>
      </w:r>
      <w:r w:rsidRPr="00C274E3">
        <w:rPr>
          <w:color w:val="000000"/>
          <w:sz w:val="20"/>
        </w:rPr>
        <w:t xml:space="preserve"> </w:t>
      </w:r>
      <w:r w:rsidRPr="00C274E3">
        <w:rPr>
          <w:color w:val="000000"/>
          <w:sz w:val="20"/>
        </w:rPr>
        <w:tab/>
      </w:r>
      <w:r w:rsidRPr="00347159">
        <w:rPr>
          <w:rStyle w:val="FootnoteText1"/>
        </w:rPr>
        <w:t>Paragraphs 19 and 21 set out the eligibility criteria for auditors for the purposes of sections 35AC(2)(a), 35AC(2A)(a)(i), 35AC(6)(a), 35AC(7)(a)(i), 130D(4)(aa), 130D(4)(ab), 130EA(2)(b), 131AA(2)(ba) and 131A(1)(aa) of the SIS Act. Paragraphs 19 and 24 set out the eligibility criteria for actuaries for the purposes of paragraphs 35AD(2)(a), 35AD(6)(a), 130D(4)(aa), 131AA(2)(ba) and 131A(1)(aa) of the SIS Act.</w:t>
      </w:r>
    </w:p>
  </w:footnote>
  <w:footnote w:id="5">
    <w:p w14:paraId="2ABF3D94" w14:textId="1EB5F1A0" w:rsidR="00CE40C1" w:rsidRPr="00C274E3" w:rsidRDefault="00CE40C1" w:rsidP="00CE40C1">
      <w:pPr>
        <w:pStyle w:val="FootnoteText"/>
        <w:rPr>
          <w:color w:val="000000"/>
        </w:rPr>
      </w:pPr>
      <w:r w:rsidRPr="00C274E3">
        <w:rPr>
          <w:rStyle w:val="FootnoteReference"/>
          <w:color w:val="000000"/>
        </w:rPr>
        <w:footnoteRef/>
      </w:r>
      <w:r w:rsidRPr="00C274E3">
        <w:rPr>
          <w:color w:val="000000"/>
        </w:rPr>
        <w:t xml:space="preserve"> </w:t>
      </w:r>
      <w:r w:rsidRPr="00C274E3">
        <w:rPr>
          <w:color w:val="000000"/>
        </w:rPr>
        <w:tab/>
      </w:r>
      <w:r w:rsidRPr="00347159">
        <w:rPr>
          <w:rStyle w:val="FootnoteText1"/>
        </w:rPr>
        <w:t>Refer to paragraph 16 for the definition of responsible person position</w:t>
      </w:r>
      <w:r w:rsidRPr="00C274E3">
        <w:rPr>
          <w:color w:val="000000"/>
        </w:rPr>
        <w:t>.</w:t>
      </w:r>
    </w:p>
  </w:footnote>
  <w:footnote w:id="6">
    <w:p w14:paraId="05AA2A3D" w14:textId="77777777" w:rsidR="00CE40C1" w:rsidRPr="004F14FE" w:rsidRDefault="00CE40C1" w:rsidP="00CE40C1">
      <w:pPr>
        <w:pStyle w:val="FootnoteText"/>
        <w:rPr>
          <w:rStyle w:val="FootnoteText1"/>
        </w:rPr>
      </w:pPr>
      <w:r w:rsidRPr="00C274E3">
        <w:rPr>
          <w:rStyle w:val="FootnoteReference"/>
          <w:color w:val="000000"/>
        </w:rPr>
        <w:footnoteRef/>
      </w:r>
      <w:r w:rsidRPr="00C274E3">
        <w:rPr>
          <w:color w:val="000000"/>
        </w:rPr>
        <w:t xml:space="preserve"> </w:t>
      </w:r>
      <w:r w:rsidRPr="00C274E3">
        <w:rPr>
          <w:color w:val="000000"/>
        </w:rPr>
        <w:tab/>
        <w:t xml:space="preserve">For the purposes of this Prudential Standard, a reference to ‘beneficiaries’ is a reference to ‘beneficiaries of an RSE within the RSE licensee’s </w:t>
      </w:r>
      <w:r w:rsidRPr="004F14FE">
        <w:rPr>
          <w:rStyle w:val="FootnoteText1"/>
        </w:rPr>
        <w:t>business</w:t>
      </w:r>
      <w:r w:rsidRPr="00C274E3">
        <w:rPr>
          <w:color w:val="000000"/>
        </w:rPr>
        <w:t xml:space="preserve"> operations’</w:t>
      </w:r>
      <w:r>
        <w:rPr>
          <w:color w:val="000000"/>
        </w:rPr>
        <w:t>,</w:t>
      </w:r>
      <w:r w:rsidRPr="00C274E3">
        <w:rPr>
          <w:color w:val="000000"/>
        </w:rPr>
        <w:t xml:space="preserve"> an ‘RSE licensee’s business operations’ includes all activities as an </w:t>
      </w:r>
      <w:r w:rsidRPr="004F14FE">
        <w:rPr>
          <w:rStyle w:val="FootnoteText1"/>
        </w:rPr>
        <w:t xml:space="preserve">RSE licensee (including the activities of each RSE of which it is the licensee), and all other activities of the RSE licensee to the extent that they are relevant to, or may impact on, its activities as an RSE licensee and ‘connected entity’ has the meaning given in section 10(1) of the SIS Act. Refer also to Part 3A of the SIS Act. </w:t>
      </w:r>
    </w:p>
  </w:footnote>
  <w:footnote w:id="7">
    <w:p w14:paraId="6C2326F9" w14:textId="77777777" w:rsidR="00CE40C1" w:rsidRPr="004F14FE" w:rsidRDefault="00CE40C1" w:rsidP="00CE40C1">
      <w:pPr>
        <w:pStyle w:val="FootnoteText"/>
        <w:rPr>
          <w:rStyle w:val="FootnoteText1"/>
        </w:rPr>
      </w:pPr>
      <w:r w:rsidRPr="000D545E">
        <w:rPr>
          <w:rStyle w:val="FootnoteText1"/>
          <w:vertAlign w:val="superscript"/>
        </w:rPr>
        <w:footnoteRef/>
      </w:r>
      <w:r w:rsidRPr="004F14FE">
        <w:rPr>
          <w:rStyle w:val="FootnoteText1"/>
        </w:rPr>
        <w:t xml:space="preserve"> </w:t>
      </w:r>
      <w:r w:rsidRPr="004F14FE">
        <w:rPr>
          <w:rStyle w:val="FootnoteText1"/>
        </w:rPr>
        <w:tab/>
        <w:t>For the purposes of this Prudential Standard, a reference to ‘the Board’ is a reference to the Board of directors or group of individual trustees of an RSE licensee and ‘group of individual trustees’ has the meaning given in section 10(1) of the SIS Act.</w:t>
      </w:r>
    </w:p>
  </w:footnote>
  <w:footnote w:id="8">
    <w:p w14:paraId="1B9AFCDF" w14:textId="77777777" w:rsidR="00CE40C1" w:rsidRPr="004F14FE" w:rsidRDefault="00CE40C1" w:rsidP="00CE40C1">
      <w:pPr>
        <w:pStyle w:val="FootnoteText"/>
        <w:rPr>
          <w:rStyle w:val="FootnoteText1"/>
        </w:rPr>
      </w:pPr>
      <w:r w:rsidRPr="000D545E">
        <w:rPr>
          <w:rStyle w:val="FootnoteText1"/>
          <w:vertAlign w:val="superscript"/>
        </w:rPr>
        <w:footnoteRef/>
      </w:r>
      <w:r w:rsidRPr="000D545E">
        <w:rPr>
          <w:rStyle w:val="FootnoteText1"/>
          <w:vertAlign w:val="superscript"/>
        </w:rPr>
        <w:t xml:space="preserve"> </w:t>
      </w:r>
      <w:r w:rsidRPr="004F14FE">
        <w:rPr>
          <w:rStyle w:val="FootnoteText1"/>
        </w:rPr>
        <w:tab/>
        <w:t xml:space="preserve">As required by Prudential Standard SPS 220 Risk Management. </w:t>
      </w:r>
    </w:p>
  </w:footnote>
  <w:footnote w:id="9">
    <w:p w14:paraId="6F4CD7E0" w14:textId="77777777" w:rsidR="00CE40C1" w:rsidRPr="004F14FE" w:rsidRDefault="00CE40C1" w:rsidP="00CE40C1">
      <w:pPr>
        <w:pStyle w:val="FootnoteText"/>
        <w:rPr>
          <w:rStyle w:val="FootnoteText1"/>
        </w:rPr>
      </w:pPr>
      <w:r w:rsidRPr="000D545E">
        <w:rPr>
          <w:rStyle w:val="FootnoteText1"/>
          <w:vertAlign w:val="superscript"/>
        </w:rPr>
        <w:footnoteRef/>
      </w:r>
      <w:r w:rsidRPr="000D545E">
        <w:rPr>
          <w:rStyle w:val="FootnoteText1"/>
          <w:vertAlign w:val="superscript"/>
        </w:rPr>
        <w:t xml:space="preserve"> </w:t>
      </w:r>
      <w:r w:rsidRPr="004F14FE">
        <w:rPr>
          <w:rStyle w:val="FootnoteText1"/>
        </w:rPr>
        <w:tab/>
        <w:t>For the purposes of this Prudential Standard, a reference to ‘a director’ is a reference to a director of an RSE licensee which has a Board of directors or, in the case of a group of individual trustees, an individual trustee.</w:t>
      </w:r>
    </w:p>
  </w:footnote>
  <w:footnote w:id="10">
    <w:p w14:paraId="72029173" w14:textId="77777777" w:rsidR="00CE40C1" w:rsidRPr="004F14FE" w:rsidRDefault="00CE40C1" w:rsidP="00CE40C1">
      <w:pPr>
        <w:pStyle w:val="FootnoteText"/>
        <w:rPr>
          <w:rStyle w:val="FootnoteText1"/>
        </w:rPr>
      </w:pPr>
      <w:r w:rsidRPr="000D545E">
        <w:rPr>
          <w:rStyle w:val="FootnoteText1"/>
          <w:vertAlign w:val="superscript"/>
        </w:rPr>
        <w:footnoteRef/>
      </w:r>
      <w:r w:rsidRPr="000D545E">
        <w:rPr>
          <w:rStyle w:val="FootnoteText1"/>
          <w:vertAlign w:val="superscript"/>
        </w:rPr>
        <w:t xml:space="preserve"> </w:t>
      </w:r>
      <w:r w:rsidRPr="004F14FE">
        <w:rPr>
          <w:rStyle w:val="FootnoteText1"/>
        </w:rPr>
        <w:tab/>
        <w:t>‘RSE auditor’ has the meaning given in section 10(1) of the SIS Act. ‘Lead auditor’ has the meaning given in section 11F of the SIS Act.</w:t>
      </w:r>
    </w:p>
  </w:footnote>
  <w:footnote w:id="11">
    <w:p w14:paraId="6792EA54" w14:textId="77777777" w:rsidR="00CE40C1" w:rsidRPr="004F14FE" w:rsidRDefault="00CE40C1" w:rsidP="00CE40C1">
      <w:pPr>
        <w:pStyle w:val="FootnoteText"/>
        <w:rPr>
          <w:rStyle w:val="FootnoteText1"/>
        </w:rPr>
      </w:pPr>
      <w:r w:rsidRPr="000D545E">
        <w:rPr>
          <w:rStyle w:val="FootnoteText1"/>
          <w:vertAlign w:val="superscript"/>
        </w:rPr>
        <w:footnoteRef/>
      </w:r>
      <w:r w:rsidRPr="000D545E">
        <w:rPr>
          <w:rStyle w:val="FootnoteText1"/>
          <w:vertAlign w:val="superscript"/>
        </w:rPr>
        <w:t xml:space="preserve"> </w:t>
      </w:r>
      <w:r w:rsidRPr="004F14FE">
        <w:rPr>
          <w:rStyle w:val="FootnoteText1"/>
        </w:rPr>
        <w:tab/>
        <w:t xml:space="preserve">‘RSE actuary’ and ‘RSE licensee law’ have the meaning given in section 10(1) of the SIS Act. </w:t>
      </w:r>
    </w:p>
  </w:footnote>
  <w:footnote w:id="12">
    <w:p w14:paraId="0A34749B" w14:textId="450336C8" w:rsidR="00CE40C1" w:rsidRPr="00C274E3" w:rsidRDefault="00CE40C1" w:rsidP="00CE40C1">
      <w:pPr>
        <w:pStyle w:val="FootnoteText"/>
        <w:rPr>
          <w:color w:val="000000"/>
        </w:rPr>
      </w:pPr>
      <w:r w:rsidRPr="00C274E3">
        <w:rPr>
          <w:rStyle w:val="FootnoteReference"/>
          <w:color w:val="000000"/>
        </w:rPr>
        <w:footnoteRef/>
      </w:r>
      <w:r w:rsidRPr="00C274E3">
        <w:rPr>
          <w:color w:val="000000"/>
        </w:rPr>
        <w:t xml:space="preserve"> </w:t>
      </w:r>
      <w:r w:rsidRPr="00C274E3">
        <w:rPr>
          <w:color w:val="000000"/>
        </w:rPr>
        <w:tab/>
      </w:r>
      <w:r w:rsidRPr="00347159">
        <w:rPr>
          <w:rStyle w:val="FootnoteText1"/>
        </w:rPr>
        <w:t xml:space="preserve">Paragraphs 17(a) and (b) are intended to be interpreted consistently with the definition of ‘senior manager’ (in relation to a corporation) in section 9 of the </w:t>
      </w:r>
      <w:r w:rsidRPr="00347159">
        <w:rPr>
          <w:rStyle w:val="FootnoteText1"/>
          <w:i/>
        </w:rPr>
        <w:t>Corporations Act 2001</w:t>
      </w:r>
      <w:r w:rsidRPr="00347159">
        <w:rPr>
          <w:rStyle w:val="FootnoteText1"/>
        </w:rPr>
        <w:t xml:space="preserve"> (Corporations Act).</w:t>
      </w:r>
      <w:r w:rsidRPr="00C274E3">
        <w:rPr>
          <w:color w:val="000000"/>
        </w:rPr>
        <w:t xml:space="preserve"> </w:t>
      </w:r>
    </w:p>
  </w:footnote>
  <w:footnote w:id="13">
    <w:p w14:paraId="196A1ADA" w14:textId="77777777" w:rsidR="00CE40C1" w:rsidRPr="00352E65" w:rsidRDefault="00CE40C1" w:rsidP="00CE40C1">
      <w:pPr>
        <w:pStyle w:val="FootnoteText"/>
      </w:pPr>
      <w:r w:rsidRPr="00352E65">
        <w:rPr>
          <w:rStyle w:val="FootnoteReference"/>
        </w:rPr>
        <w:footnoteRef/>
      </w:r>
      <w:r w:rsidRPr="00352E65">
        <w:t xml:space="preserve"> </w:t>
      </w:r>
      <w:r w:rsidRPr="00352E65">
        <w:tab/>
      </w:r>
      <w:r w:rsidRPr="00347159">
        <w:rPr>
          <w:rStyle w:val="FootnoteText1"/>
        </w:rPr>
        <w:t>‘Executive officer’ has the meaning given in section 10(1) of the SIS Act. Where the RSE licensee is a group of individual trustees, an executive officer is a person, by whatever name called, who is concerned or takes part in the management of the body.</w:t>
      </w:r>
    </w:p>
  </w:footnote>
  <w:footnote w:id="14">
    <w:p w14:paraId="1694EE0C" w14:textId="79462088" w:rsidR="00CE40C1" w:rsidRPr="005F72FA" w:rsidRDefault="00CE40C1" w:rsidP="00CE40C1">
      <w:pPr>
        <w:pStyle w:val="FootnoteText"/>
      </w:pPr>
      <w:r w:rsidRPr="005F72FA">
        <w:rPr>
          <w:rStyle w:val="FootnoteReference"/>
        </w:rPr>
        <w:footnoteRef/>
      </w:r>
      <w:r w:rsidR="00347159">
        <w:t xml:space="preserve"> </w:t>
      </w:r>
      <w:r w:rsidR="00347159">
        <w:tab/>
      </w:r>
      <w:r w:rsidRPr="00347159">
        <w:rPr>
          <w:rStyle w:val="FootnoteText1"/>
        </w:rPr>
        <w:t>Refer to section 126H(6A) of the SIS Act.</w:t>
      </w:r>
    </w:p>
  </w:footnote>
  <w:footnote w:id="15">
    <w:p w14:paraId="6A7CF575" w14:textId="77777777" w:rsidR="00CE40C1" w:rsidRPr="00352E65" w:rsidRDefault="00CE40C1" w:rsidP="00CE40C1">
      <w:pPr>
        <w:pStyle w:val="FootnoteText"/>
        <w:rPr>
          <w:color w:val="000000"/>
        </w:rPr>
      </w:pPr>
      <w:r w:rsidRPr="00352E65">
        <w:rPr>
          <w:rStyle w:val="FootnoteReference"/>
          <w:color w:val="000000"/>
        </w:rPr>
        <w:footnoteRef/>
      </w:r>
      <w:r w:rsidRPr="00352E65">
        <w:rPr>
          <w:color w:val="000000"/>
        </w:rPr>
        <w:t xml:space="preserve"> </w:t>
      </w:r>
      <w:r w:rsidRPr="00352E65">
        <w:rPr>
          <w:color w:val="000000"/>
        </w:rPr>
        <w:tab/>
      </w:r>
      <w:r w:rsidRPr="00347159">
        <w:rPr>
          <w:rStyle w:val="FootnoteText1"/>
        </w:rPr>
        <w:t xml:space="preserve">Refer to </w:t>
      </w:r>
      <w:r w:rsidRPr="00347159">
        <w:rPr>
          <w:rStyle w:val="FootnoteText1"/>
          <w:i/>
        </w:rPr>
        <w:t>Prudential Standard SPS 521 Conflicts of Interest</w:t>
      </w:r>
      <w:r w:rsidRPr="00347159">
        <w:rPr>
          <w:rStyle w:val="FootnoteText1"/>
        </w:rPr>
        <w:t>.</w:t>
      </w:r>
    </w:p>
  </w:footnote>
  <w:footnote w:id="16">
    <w:p w14:paraId="56E1850F" w14:textId="77777777" w:rsidR="00CE40C1" w:rsidRPr="00352E65" w:rsidRDefault="00CE40C1" w:rsidP="00CE40C1">
      <w:pPr>
        <w:pStyle w:val="FootnoteText"/>
        <w:rPr>
          <w:color w:val="000000"/>
        </w:rPr>
      </w:pPr>
      <w:r w:rsidRPr="00352E65">
        <w:rPr>
          <w:rStyle w:val="FootnoteReference"/>
          <w:color w:val="000000"/>
        </w:rPr>
        <w:footnoteRef/>
      </w:r>
      <w:r w:rsidRPr="00352E65">
        <w:rPr>
          <w:color w:val="000000"/>
        </w:rPr>
        <w:t xml:space="preserve"> </w:t>
      </w:r>
      <w:r w:rsidRPr="00352E65">
        <w:rPr>
          <w:color w:val="000000"/>
        </w:rPr>
        <w:tab/>
      </w:r>
      <w:r w:rsidRPr="00347159">
        <w:rPr>
          <w:rStyle w:val="FootnoteText1"/>
        </w:rPr>
        <w:t>Refer to SPS 510 for the requirement for auditors to be independent.</w:t>
      </w:r>
      <w:r w:rsidRPr="00352E65">
        <w:rPr>
          <w:color w:val="000000"/>
        </w:rPr>
        <w:t xml:space="preserve"> </w:t>
      </w:r>
    </w:p>
  </w:footnote>
  <w:footnote w:id="17">
    <w:p w14:paraId="24BA7E72" w14:textId="5D1240DA" w:rsidR="00CE40C1" w:rsidRPr="00F71FCE" w:rsidRDefault="00CE40C1" w:rsidP="00CE40C1">
      <w:pPr>
        <w:pStyle w:val="FootnoteText"/>
      </w:pPr>
      <w:r w:rsidRPr="00731538">
        <w:rPr>
          <w:rStyle w:val="FootnoteReference"/>
        </w:rPr>
        <w:footnoteRef/>
      </w:r>
      <w:r w:rsidR="00347159">
        <w:t xml:space="preserve"> </w:t>
      </w:r>
      <w:r w:rsidR="00347159">
        <w:tab/>
      </w:r>
      <w:r w:rsidRPr="00347159">
        <w:rPr>
          <w:rStyle w:val="FootnoteText1"/>
        </w:rPr>
        <w:t>Refer to section 35AC(2)(a) of the SIS Act</w:t>
      </w:r>
      <w:r w:rsidRPr="00352E65">
        <w:t>.</w:t>
      </w:r>
    </w:p>
  </w:footnote>
  <w:footnote w:id="18">
    <w:p w14:paraId="2191A7C5" w14:textId="77777777" w:rsidR="00CE40C1" w:rsidRPr="00C274E3" w:rsidRDefault="00CE40C1" w:rsidP="00CE40C1">
      <w:pPr>
        <w:pStyle w:val="FootnoteText"/>
        <w:rPr>
          <w:color w:val="000000"/>
        </w:rPr>
      </w:pPr>
      <w:r w:rsidRPr="00C274E3">
        <w:rPr>
          <w:rStyle w:val="FootnoteReference"/>
          <w:color w:val="000000"/>
        </w:rPr>
        <w:footnoteRef/>
      </w:r>
      <w:r w:rsidRPr="00C274E3">
        <w:rPr>
          <w:color w:val="000000"/>
        </w:rPr>
        <w:t xml:space="preserve"> </w:t>
      </w:r>
      <w:r w:rsidRPr="00C274E3">
        <w:rPr>
          <w:color w:val="000000"/>
        </w:rPr>
        <w:tab/>
      </w:r>
      <w:r w:rsidRPr="00347159">
        <w:rPr>
          <w:rStyle w:val="FootnoteText1"/>
        </w:rPr>
        <w:t>Refer to SPS 510 for a similar restriction on the RSE auditor and RSE actuary being from the same entity</w:t>
      </w:r>
      <w:r w:rsidRPr="00C274E3">
        <w:rPr>
          <w:color w:val="000000"/>
        </w:rPr>
        <w:t>.</w:t>
      </w:r>
    </w:p>
  </w:footnote>
  <w:footnote w:id="19">
    <w:p w14:paraId="6BDDE790" w14:textId="6650F908" w:rsidR="00CE40C1" w:rsidRPr="00660C39" w:rsidRDefault="00CE40C1" w:rsidP="00CE40C1">
      <w:pPr>
        <w:pStyle w:val="FootnoteText"/>
        <w:rPr>
          <w:color w:val="000000"/>
        </w:rPr>
      </w:pPr>
      <w:r w:rsidRPr="00C03928">
        <w:rPr>
          <w:rStyle w:val="FootnoteReference"/>
        </w:rPr>
        <w:footnoteRef/>
      </w:r>
      <w:r w:rsidRPr="00660C39">
        <w:rPr>
          <w:rStyle w:val="FootnoteReference"/>
        </w:rPr>
        <w:t xml:space="preserve"> </w:t>
      </w:r>
      <w:r w:rsidR="00347159">
        <w:tab/>
      </w:r>
      <w:r w:rsidRPr="00347159">
        <w:rPr>
          <w:rStyle w:val="FootnoteText1"/>
        </w:rPr>
        <w:t>Refer to section 35AD(2)(a) of the SIS Act.</w:t>
      </w:r>
    </w:p>
  </w:footnote>
  <w:footnote w:id="20">
    <w:p w14:paraId="3B096597" w14:textId="77777777" w:rsidR="00CE40C1" w:rsidRPr="00C274E3" w:rsidRDefault="00CE40C1" w:rsidP="00CE40C1">
      <w:pPr>
        <w:pStyle w:val="FootnoteText"/>
        <w:rPr>
          <w:color w:val="000000"/>
        </w:rPr>
      </w:pPr>
      <w:r w:rsidRPr="00C274E3">
        <w:rPr>
          <w:rStyle w:val="FootnoteReference"/>
          <w:color w:val="000000"/>
        </w:rPr>
        <w:footnoteRef/>
      </w:r>
      <w:r w:rsidRPr="00C274E3">
        <w:rPr>
          <w:color w:val="000000"/>
        </w:rPr>
        <w:t xml:space="preserve"> </w:t>
      </w:r>
      <w:r w:rsidRPr="00C274E3">
        <w:rPr>
          <w:color w:val="000000"/>
        </w:rPr>
        <w:tab/>
      </w:r>
      <w:r w:rsidRPr="00347159">
        <w:rPr>
          <w:rStyle w:val="FootnoteText1"/>
        </w:rPr>
        <w:t>A reference to ‘Fellow’ and ‘Accredited Member’ is to be read as defined by the Institute of Actuaries of Australia</w:t>
      </w:r>
      <w:r w:rsidRPr="00C274E3">
        <w:rPr>
          <w:color w:val="000000"/>
        </w:rPr>
        <w:t>.</w:t>
      </w:r>
    </w:p>
  </w:footnote>
  <w:footnote w:id="21">
    <w:p w14:paraId="728B2972" w14:textId="27595E37" w:rsidR="00CE40C1" w:rsidRPr="00C274E3" w:rsidRDefault="00CE40C1" w:rsidP="00CE40C1">
      <w:pPr>
        <w:spacing w:after="0"/>
        <w:ind w:left="567" w:hanging="567"/>
        <w:jc w:val="both"/>
        <w:rPr>
          <w:rStyle w:val="FootnoteReference"/>
          <w:color w:val="000000"/>
          <w:sz w:val="20"/>
        </w:rPr>
      </w:pPr>
      <w:r w:rsidRPr="00C274E3">
        <w:rPr>
          <w:rStyle w:val="FootnoteReference"/>
          <w:color w:val="000000"/>
          <w:sz w:val="20"/>
        </w:rPr>
        <w:footnoteRef/>
      </w:r>
      <w:r w:rsidRPr="00C274E3">
        <w:rPr>
          <w:rStyle w:val="FootnoteReference"/>
          <w:color w:val="000000"/>
          <w:sz w:val="20"/>
        </w:rPr>
        <w:t xml:space="preserve"> </w:t>
      </w:r>
      <w:r w:rsidRPr="00C274E3">
        <w:rPr>
          <w:rStyle w:val="FootnoteReference"/>
          <w:color w:val="000000"/>
          <w:sz w:val="20"/>
        </w:rPr>
        <w:tab/>
      </w:r>
      <w:r w:rsidRPr="00347159">
        <w:rPr>
          <w:rStyle w:val="FootnoteText1"/>
        </w:rPr>
        <w:t>Including following the processes described in the Fit and Proper Policy under paragraph 26(b)</w:t>
      </w:r>
      <w:r w:rsidRPr="00C274E3">
        <w:rPr>
          <w:color w:val="000000"/>
          <w:sz w:val="20"/>
        </w:rPr>
        <w:t>.</w:t>
      </w:r>
    </w:p>
  </w:footnote>
  <w:footnote w:id="22">
    <w:p w14:paraId="5FC1E137" w14:textId="2A80295E" w:rsidR="00CE40C1" w:rsidRPr="00347159" w:rsidRDefault="00CE40C1" w:rsidP="00CE40C1">
      <w:pPr>
        <w:spacing w:after="0"/>
        <w:ind w:left="567" w:hanging="567"/>
        <w:jc w:val="both"/>
        <w:rPr>
          <w:color w:val="000000"/>
          <w:sz w:val="20"/>
          <w:szCs w:val="20"/>
        </w:rPr>
      </w:pPr>
      <w:r w:rsidRPr="00C274E3">
        <w:rPr>
          <w:rStyle w:val="FootnoteReference"/>
          <w:color w:val="000000"/>
          <w:sz w:val="20"/>
        </w:rPr>
        <w:footnoteRef/>
      </w:r>
      <w:r w:rsidRPr="00C274E3">
        <w:rPr>
          <w:rStyle w:val="FootnoteReference"/>
          <w:color w:val="000000"/>
          <w:sz w:val="20"/>
        </w:rPr>
        <w:t xml:space="preserve"> </w:t>
      </w:r>
      <w:r w:rsidRPr="00C274E3">
        <w:rPr>
          <w:rStyle w:val="FootnoteReference"/>
          <w:color w:val="000000"/>
          <w:sz w:val="20"/>
        </w:rPr>
        <w:tab/>
      </w:r>
      <w:r w:rsidRPr="00347159">
        <w:rPr>
          <w:rStyle w:val="FootnoteText1"/>
        </w:rPr>
        <w:t>Also refer to the provisions in SPS 510 for not constraining persons from providing information</w:t>
      </w:r>
      <w:r w:rsidR="00817A76">
        <w:rPr>
          <w:color w:val="000000"/>
          <w:sz w:val="20"/>
          <w:szCs w:val="20"/>
        </w:rPr>
        <w:t>.</w:t>
      </w:r>
    </w:p>
  </w:footnote>
  <w:footnote w:id="23">
    <w:p w14:paraId="45CCBFFE" w14:textId="04063F21" w:rsidR="00CE40C1" w:rsidRPr="00C274E3" w:rsidRDefault="00CE40C1" w:rsidP="00CE40C1">
      <w:pPr>
        <w:spacing w:after="0"/>
        <w:ind w:left="567" w:hanging="567"/>
        <w:jc w:val="both"/>
        <w:rPr>
          <w:rStyle w:val="FootnoteReference"/>
          <w:color w:val="000000"/>
          <w:sz w:val="20"/>
        </w:rPr>
      </w:pPr>
      <w:r w:rsidRPr="00C274E3">
        <w:rPr>
          <w:rStyle w:val="FootnoteReference"/>
          <w:color w:val="000000"/>
          <w:sz w:val="20"/>
        </w:rPr>
        <w:footnoteRef/>
      </w:r>
      <w:r w:rsidRPr="00C274E3">
        <w:rPr>
          <w:rStyle w:val="FootnoteReference"/>
          <w:color w:val="000000"/>
          <w:sz w:val="20"/>
        </w:rPr>
        <w:t xml:space="preserve"> </w:t>
      </w:r>
      <w:r w:rsidRPr="00C274E3">
        <w:rPr>
          <w:color w:val="000000"/>
          <w:sz w:val="20"/>
        </w:rPr>
        <w:tab/>
      </w:r>
      <w:r w:rsidRPr="000D545E">
        <w:rPr>
          <w:rStyle w:val="FootnoteText1"/>
        </w:rPr>
        <w:t>Including the actions outlined in the Fit and Proper Policy in accordance with paragraph 3</w:t>
      </w:r>
      <w:r w:rsidR="00B63BB4">
        <w:rPr>
          <w:rStyle w:val="FootnoteText1"/>
        </w:rPr>
        <w:t>4.</w:t>
      </w:r>
    </w:p>
  </w:footnote>
  <w:footnote w:id="24">
    <w:p w14:paraId="5AEE5BF2" w14:textId="77777777" w:rsidR="00CE40C1" w:rsidRPr="000D545E" w:rsidRDefault="00CE40C1" w:rsidP="00CE40C1">
      <w:pPr>
        <w:spacing w:after="0"/>
        <w:ind w:left="567" w:hanging="567"/>
        <w:jc w:val="both"/>
        <w:rPr>
          <w:rStyle w:val="FootnoteText1"/>
        </w:rPr>
      </w:pPr>
      <w:r w:rsidRPr="00C03928">
        <w:rPr>
          <w:rStyle w:val="FootnoteReference"/>
          <w:sz w:val="20"/>
        </w:rPr>
        <w:footnoteRef/>
      </w:r>
      <w:r>
        <w:t xml:space="preserve"> </w:t>
      </w:r>
      <w:r>
        <w:tab/>
      </w:r>
      <w:r w:rsidRPr="000D545E">
        <w:rPr>
          <w:rStyle w:val="FootnoteText1"/>
        </w:rPr>
        <w:t xml:space="preserve">Under </w:t>
      </w:r>
      <w:r w:rsidRPr="000D545E">
        <w:rPr>
          <w:rStyle w:val="FootnoteText1"/>
          <w:i/>
        </w:rPr>
        <w:t>Reporting Standard SRS 520.0 Responsible Persons Information</w:t>
      </w:r>
      <w:r w:rsidRPr="000D545E">
        <w:rPr>
          <w:rStyle w:val="FootnoteText1"/>
        </w:rPr>
        <w:t xml:space="preserve"> (SRS 520.0), an RSE licensee </w:t>
      </w:r>
      <w:r w:rsidRPr="00347159">
        <w:rPr>
          <w:rStyle w:val="FootnoteText1"/>
        </w:rPr>
        <w:t>must</w:t>
      </w:r>
      <w:r w:rsidRPr="000D545E">
        <w:rPr>
          <w:rStyle w:val="FootnoteText1"/>
        </w:rPr>
        <w:t xml:space="preserve"> provide revised information to APRA within 14 days of any change or new appointment.</w:t>
      </w:r>
    </w:p>
  </w:footnote>
  <w:footnote w:id="25">
    <w:p w14:paraId="0DF667FF" w14:textId="4BDCBB51" w:rsidR="00CE40C1" w:rsidRPr="00347159" w:rsidRDefault="00CE40C1" w:rsidP="00347159">
      <w:pPr>
        <w:spacing w:after="0"/>
        <w:ind w:left="567" w:hanging="567"/>
        <w:jc w:val="both"/>
        <w:rPr>
          <w:rStyle w:val="FootnoteText1"/>
        </w:rPr>
      </w:pPr>
      <w:r w:rsidRPr="00C03928">
        <w:rPr>
          <w:rStyle w:val="FootnoteReference"/>
          <w:sz w:val="20"/>
        </w:rPr>
        <w:footnoteRef/>
      </w:r>
      <w:r>
        <w:t xml:space="preserve"> </w:t>
      </w:r>
      <w:r>
        <w:tab/>
      </w:r>
      <w:r w:rsidRPr="00347159">
        <w:rPr>
          <w:rStyle w:val="FootnoteText1"/>
        </w:rPr>
        <w:t>Under SRS 520.0, an RSE licensee must notify APRA within 14 days if it assesses that a responsible person is not fit and proper. If the responsible person is an auditor, refer to section 331AK of the Corporations Act for requirements relating to the removal and resignation of RSE auditors.</w:t>
      </w:r>
    </w:p>
  </w:footnote>
  <w:footnote w:id="26">
    <w:p w14:paraId="41006D51" w14:textId="2DA7CD15" w:rsidR="00CE40C1" w:rsidRPr="0056007A" w:rsidRDefault="00CE40C1" w:rsidP="00CE40C1">
      <w:pPr>
        <w:pStyle w:val="FootnoteText"/>
      </w:pPr>
      <w:r w:rsidRPr="005C5D12">
        <w:rPr>
          <w:rStyle w:val="FootnoteReference"/>
        </w:rPr>
        <w:footnoteRef/>
      </w:r>
      <w:r>
        <w:t xml:space="preserve"> </w:t>
      </w:r>
      <w:r w:rsidR="00347159">
        <w:tab/>
      </w:r>
      <w:r w:rsidRPr="00347159">
        <w:rPr>
          <w:rStyle w:val="FootnoteText1"/>
        </w:rPr>
        <w:t>Refer to section 34C(5) of the SIS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9E38" w14:textId="45B84D5D" w:rsidR="00121B39" w:rsidRDefault="00121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560B" w14:textId="4675F3FF" w:rsidR="00632D40" w:rsidRPr="00A63124" w:rsidRDefault="00632D40" w:rsidP="00632D40">
    <w:pPr>
      <w:pStyle w:val="Header"/>
      <w:tabs>
        <w:tab w:val="clear" w:pos="9026"/>
        <w:tab w:val="right" w:pos="8364"/>
      </w:tabs>
      <w:rPr>
        <w:b w:val="0"/>
      </w:rPr>
    </w:pPr>
    <w:r>
      <w:rPr>
        <w:sz w:val="28"/>
        <w:szCs w:val="28"/>
      </w:rPr>
      <w:tab/>
    </w:r>
    <w:r>
      <w:rPr>
        <w:sz w:val="28"/>
        <w:szCs w:val="28"/>
      </w:rPr>
      <w:tab/>
    </w:r>
    <w:r w:rsidRPr="00A63124">
      <w:t>June 2024</w:t>
    </w:r>
  </w:p>
  <w:p w14:paraId="7BC0AA7A" w14:textId="77777777" w:rsidR="00A422FE" w:rsidRDefault="00A42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F7C7" w14:textId="361E5BE6" w:rsidR="00121B39" w:rsidRDefault="0012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BE6DA4"/>
    <w:multiLevelType w:val="multilevel"/>
    <w:tmpl w:val="FAF04EA0"/>
    <w:lvl w:ilvl="0">
      <w:start w:val="1"/>
      <w:numFmt w:val="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58DF1986"/>
    <w:multiLevelType w:val="hybridMultilevel"/>
    <w:tmpl w:val="6B622D64"/>
    <w:lvl w:ilvl="0" w:tplc="DBDC2D82">
      <w:start w:val="1"/>
      <w:numFmt w:val="bullet"/>
      <w:pStyle w:val="Box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6430379">
    <w:abstractNumId w:val="1"/>
  </w:num>
  <w:num w:numId="2" w16cid:durableId="262541733">
    <w:abstractNumId w:val="0"/>
  </w:num>
  <w:num w:numId="3" w16cid:durableId="1288244148">
    <w:abstractNumId w:val="3"/>
  </w:num>
  <w:num w:numId="4" w16cid:durableId="86123561">
    <w:abstractNumId w:val="2"/>
  </w:num>
  <w:num w:numId="5" w16cid:durableId="686054486">
    <w:abstractNumId w:val="4"/>
  </w:num>
  <w:num w:numId="6" w16cid:durableId="1852988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2585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303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954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712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684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4122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216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5789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9542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3172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4650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5C"/>
    <w:rsid w:val="0000033B"/>
    <w:rsid w:val="0000183A"/>
    <w:rsid w:val="00001D43"/>
    <w:rsid w:val="00011699"/>
    <w:rsid w:val="0002769C"/>
    <w:rsid w:val="0003271F"/>
    <w:rsid w:val="000518B9"/>
    <w:rsid w:val="0006337F"/>
    <w:rsid w:val="00065AC0"/>
    <w:rsid w:val="0006714E"/>
    <w:rsid w:val="00081A14"/>
    <w:rsid w:val="00087D3E"/>
    <w:rsid w:val="000A6012"/>
    <w:rsid w:val="000D545E"/>
    <w:rsid w:val="000D63A8"/>
    <w:rsid w:val="000D7A9C"/>
    <w:rsid w:val="000E16C3"/>
    <w:rsid w:val="000E544C"/>
    <w:rsid w:val="00110917"/>
    <w:rsid w:val="00110A0F"/>
    <w:rsid w:val="00121B39"/>
    <w:rsid w:val="0013237B"/>
    <w:rsid w:val="00141CA6"/>
    <w:rsid w:val="00156648"/>
    <w:rsid w:val="00173A04"/>
    <w:rsid w:val="00182FA1"/>
    <w:rsid w:val="00183CF3"/>
    <w:rsid w:val="001A5265"/>
    <w:rsid w:val="001C0A84"/>
    <w:rsid w:val="001C297B"/>
    <w:rsid w:val="001C755C"/>
    <w:rsid w:val="001C7D81"/>
    <w:rsid w:val="001E66CE"/>
    <w:rsid w:val="001E7EA9"/>
    <w:rsid w:val="001F6B8D"/>
    <w:rsid w:val="00214347"/>
    <w:rsid w:val="00215BA9"/>
    <w:rsid w:val="002500F9"/>
    <w:rsid w:val="00251504"/>
    <w:rsid w:val="00252F2E"/>
    <w:rsid w:val="002672BE"/>
    <w:rsid w:val="00290B76"/>
    <w:rsid w:val="0029455F"/>
    <w:rsid w:val="002A07F8"/>
    <w:rsid w:val="002B4A35"/>
    <w:rsid w:val="002D6318"/>
    <w:rsid w:val="00301344"/>
    <w:rsid w:val="00347159"/>
    <w:rsid w:val="0037343B"/>
    <w:rsid w:val="0038413F"/>
    <w:rsid w:val="00391505"/>
    <w:rsid w:val="00391AD7"/>
    <w:rsid w:val="003936EA"/>
    <w:rsid w:val="003B52EB"/>
    <w:rsid w:val="003C46D7"/>
    <w:rsid w:val="003C5C47"/>
    <w:rsid w:val="003D5032"/>
    <w:rsid w:val="003E542E"/>
    <w:rsid w:val="003E628E"/>
    <w:rsid w:val="003F5107"/>
    <w:rsid w:val="003F6220"/>
    <w:rsid w:val="00403876"/>
    <w:rsid w:val="00404583"/>
    <w:rsid w:val="00404FA2"/>
    <w:rsid w:val="004130DA"/>
    <w:rsid w:val="004323FD"/>
    <w:rsid w:val="00453E3A"/>
    <w:rsid w:val="004560E3"/>
    <w:rsid w:val="00476543"/>
    <w:rsid w:val="004769DA"/>
    <w:rsid w:val="004776D4"/>
    <w:rsid w:val="0048511B"/>
    <w:rsid w:val="00485C46"/>
    <w:rsid w:val="004915D0"/>
    <w:rsid w:val="004A593E"/>
    <w:rsid w:val="004A7870"/>
    <w:rsid w:val="004C04B0"/>
    <w:rsid w:val="004C3D07"/>
    <w:rsid w:val="004F14FE"/>
    <w:rsid w:val="004F2AC1"/>
    <w:rsid w:val="004F7FC6"/>
    <w:rsid w:val="005050E8"/>
    <w:rsid w:val="00506079"/>
    <w:rsid w:val="005105F7"/>
    <w:rsid w:val="00513A05"/>
    <w:rsid w:val="00513DDF"/>
    <w:rsid w:val="00521673"/>
    <w:rsid w:val="00534FFE"/>
    <w:rsid w:val="00542FA4"/>
    <w:rsid w:val="00544072"/>
    <w:rsid w:val="00547F22"/>
    <w:rsid w:val="00551C22"/>
    <w:rsid w:val="00563318"/>
    <w:rsid w:val="00576882"/>
    <w:rsid w:val="00592CE1"/>
    <w:rsid w:val="005A75C6"/>
    <w:rsid w:val="005B6DC2"/>
    <w:rsid w:val="005E1E75"/>
    <w:rsid w:val="005E5663"/>
    <w:rsid w:val="005E5910"/>
    <w:rsid w:val="005F6F74"/>
    <w:rsid w:val="00622480"/>
    <w:rsid w:val="006268D5"/>
    <w:rsid w:val="00630666"/>
    <w:rsid w:val="00632D40"/>
    <w:rsid w:val="00644E97"/>
    <w:rsid w:val="00647D58"/>
    <w:rsid w:val="00653EF8"/>
    <w:rsid w:val="00656D42"/>
    <w:rsid w:val="00682AC4"/>
    <w:rsid w:val="006837BC"/>
    <w:rsid w:val="00684F73"/>
    <w:rsid w:val="00696E43"/>
    <w:rsid w:val="006A6A52"/>
    <w:rsid w:val="006B4C94"/>
    <w:rsid w:val="006C06E6"/>
    <w:rsid w:val="006C337E"/>
    <w:rsid w:val="006D2AB6"/>
    <w:rsid w:val="006E5DD8"/>
    <w:rsid w:val="007031F4"/>
    <w:rsid w:val="00712BB2"/>
    <w:rsid w:val="00725AA6"/>
    <w:rsid w:val="00742A12"/>
    <w:rsid w:val="00745B81"/>
    <w:rsid w:val="00755A63"/>
    <w:rsid w:val="00762A3B"/>
    <w:rsid w:val="00776D66"/>
    <w:rsid w:val="00777ACD"/>
    <w:rsid w:val="00787FA9"/>
    <w:rsid w:val="007A0D73"/>
    <w:rsid w:val="007A2B5C"/>
    <w:rsid w:val="007A33E6"/>
    <w:rsid w:val="007A53AC"/>
    <w:rsid w:val="007B4089"/>
    <w:rsid w:val="007D2D7F"/>
    <w:rsid w:val="00817A76"/>
    <w:rsid w:val="00842D98"/>
    <w:rsid w:val="00842FBD"/>
    <w:rsid w:val="00845587"/>
    <w:rsid w:val="00846FD2"/>
    <w:rsid w:val="0086194F"/>
    <w:rsid w:val="00863BB4"/>
    <w:rsid w:val="00867092"/>
    <w:rsid w:val="0088039A"/>
    <w:rsid w:val="00887222"/>
    <w:rsid w:val="008903EE"/>
    <w:rsid w:val="00891C61"/>
    <w:rsid w:val="008A21C7"/>
    <w:rsid w:val="008B0AFF"/>
    <w:rsid w:val="008C3D9F"/>
    <w:rsid w:val="008D76C5"/>
    <w:rsid w:val="008E0340"/>
    <w:rsid w:val="008E0752"/>
    <w:rsid w:val="008F62E1"/>
    <w:rsid w:val="009101E1"/>
    <w:rsid w:val="00916FB4"/>
    <w:rsid w:val="00921412"/>
    <w:rsid w:val="009421CD"/>
    <w:rsid w:val="00954BFC"/>
    <w:rsid w:val="009605E7"/>
    <w:rsid w:val="00971180"/>
    <w:rsid w:val="009727F9"/>
    <w:rsid w:val="00980BEB"/>
    <w:rsid w:val="009871FB"/>
    <w:rsid w:val="009903F9"/>
    <w:rsid w:val="009A01F4"/>
    <w:rsid w:val="009A660E"/>
    <w:rsid w:val="009B0A33"/>
    <w:rsid w:val="009B28A5"/>
    <w:rsid w:val="009B557B"/>
    <w:rsid w:val="009B6212"/>
    <w:rsid w:val="009C5368"/>
    <w:rsid w:val="009C62A9"/>
    <w:rsid w:val="009C77A0"/>
    <w:rsid w:val="009D3A23"/>
    <w:rsid w:val="009D467A"/>
    <w:rsid w:val="009D4D23"/>
    <w:rsid w:val="009D534B"/>
    <w:rsid w:val="009E76B1"/>
    <w:rsid w:val="009F7699"/>
    <w:rsid w:val="00A07C6B"/>
    <w:rsid w:val="00A16D6A"/>
    <w:rsid w:val="00A26240"/>
    <w:rsid w:val="00A422FE"/>
    <w:rsid w:val="00A42F08"/>
    <w:rsid w:val="00A50372"/>
    <w:rsid w:val="00A5159D"/>
    <w:rsid w:val="00A62D1C"/>
    <w:rsid w:val="00A63A2B"/>
    <w:rsid w:val="00A91A3F"/>
    <w:rsid w:val="00A97802"/>
    <w:rsid w:val="00AB5AD5"/>
    <w:rsid w:val="00AC2517"/>
    <w:rsid w:val="00AC3B8E"/>
    <w:rsid w:val="00AE1650"/>
    <w:rsid w:val="00AF4BFA"/>
    <w:rsid w:val="00B04B20"/>
    <w:rsid w:val="00B04B33"/>
    <w:rsid w:val="00B14773"/>
    <w:rsid w:val="00B23429"/>
    <w:rsid w:val="00B42DA8"/>
    <w:rsid w:val="00B47BD7"/>
    <w:rsid w:val="00B6068B"/>
    <w:rsid w:val="00B63BB4"/>
    <w:rsid w:val="00B766FA"/>
    <w:rsid w:val="00B81291"/>
    <w:rsid w:val="00B872F5"/>
    <w:rsid w:val="00B92CB8"/>
    <w:rsid w:val="00BA2B7C"/>
    <w:rsid w:val="00BA4C45"/>
    <w:rsid w:val="00BA6D10"/>
    <w:rsid w:val="00BC2D08"/>
    <w:rsid w:val="00BE249D"/>
    <w:rsid w:val="00BE59F9"/>
    <w:rsid w:val="00BF6CDF"/>
    <w:rsid w:val="00C0120F"/>
    <w:rsid w:val="00C14367"/>
    <w:rsid w:val="00C14C86"/>
    <w:rsid w:val="00C21A2A"/>
    <w:rsid w:val="00C302FA"/>
    <w:rsid w:val="00C323F8"/>
    <w:rsid w:val="00C45384"/>
    <w:rsid w:val="00C5686C"/>
    <w:rsid w:val="00C574AD"/>
    <w:rsid w:val="00C661FE"/>
    <w:rsid w:val="00C6788C"/>
    <w:rsid w:val="00C67A76"/>
    <w:rsid w:val="00C74819"/>
    <w:rsid w:val="00C778C3"/>
    <w:rsid w:val="00C86748"/>
    <w:rsid w:val="00CA6032"/>
    <w:rsid w:val="00CA6CB3"/>
    <w:rsid w:val="00CB7762"/>
    <w:rsid w:val="00CC4F1F"/>
    <w:rsid w:val="00CE40C1"/>
    <w:rsid w:val="00CE5EC0"/>
    <w:rsid w:val="00D01427"/>
    <w:rsid w:val="00D124EA"/>
    <w:rsid w:val="00D22147"/>
    <w:rsid w:val="00D3278A"/>
    <w:rsid w:val="00D4401A"/>
    <w:rsid w:val="00D44059"/>
    <w:rsid w:val="00D453D2"/>
    <w:rsid w:val="00D46AF7"/>
    <w:rsid w:val="00D47051"/>
    <w:rsid w:val="00D543B9"/>
    <w:rsid w:val="00D62EFA"/>
    <w:rsid w:val="00D64906"/>
    <w:rsid w:val="00D8221B"/>
    <w:rsid w:val="00D857C7"/>
    <w:rsid w:val="00DA3651"/>
    <w:rsid w:val="00DB1A68"/>
    <w:rsid w:val="00DB2959"/>
    <w:rsid w:val="00DC1E09"/>
    <w:rsid w:val="00DC4B0E"/>
    <w:rsid w:val="00DC52E3"/>
    <w:rsid w:val="00DD1BB1"/>
    <w:rsid w:val="00DE3174"/>
    <w:rsid w:val="00DF539C"/>
    <w:rsid w:val="00DF6BBB"/>
    <w:rsid w:val="00E05BC3"/>
    <w:rsid w:val="00E07F40"/>
    <w:rsid w:val="00E10B8C"/>
    <w:rsid w:val="00E15497"/>
    <w:rsid w:val="00E1623C"/>
    <w:rsid w:val="00E16DD9"/>
    <w:rsid w:val="00E17039"/>
    <w:rsid w:val="00E201A8"/>
    <w:rsid w:val="00E40281"/>
    <w:rsid w:val="00E545B3"/>
    <w:rsid w:val="00E8044E"/>
    <w:rsid w:val="00E811EC"/>
    <w:rsid w:val="00E83A76"/>
    <w:rsid w:val="00E90C89"/>
    <w:rsid w:val="00E96B6D"/>
    <w:rsid w:val="00EC5653"/>
    <w:rsid w:val="00EC6B50"/>
    <w:rsid w:val="00EE5A09"/>
    <w:rsid w:val="00EF36AE"/>
    <w:rsid w:val="00F16D46"/>
    <w:rsid w:val="00F2293B"/>
    <w:rsid w:val="00F32E01"/>
    <w:rsid w:val="00F63BEA"/>
    <w:rsid w:val="00F6431E"/>
    <w:rsid w:val="00F7446D"/>
    <w:rsid w:val="00F7706D"/>
    <w:rsid w:val="00F81DDA"/>
    <w:rsid w:val="00F86006"/>
    <w:rsid w:val="00F86281"/>
    <w:rsid w:val="00FA5345"/>
    <w:rsid w:val="00FB3240"/>
    <w:rsid w:val="00FD6EB3"/>
    <w:rsid w:val="00FE2684"/>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FFEA"/>
  <w15:docId w15:val="{7F392320-76F7-48D2-BC61-D4C1887D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B4"/>
  </w:style>
  <w:style w:type="paragraph" w:styleId="Heading1">
    <w:name w:val="heading 1"/>
    <w:basedOn w:val="Normal"/>
    <w:next w:val="BodyText1"/>
    <w:link w:val="Heading1Char"/>
    <w:qFormat/>
    <w:rsid w:val="004F14FE"/>
    <w:pPr>
      <w:spacing w:before="120" w:after="360"/>
      <w:jc w:val="both"/>
      <w:outlineLvl w:val="0"/>
    </w:pPr>
    <w:rPr>
      <w:rFonts w:ascii="Arial" w:eastAsia="Times New Roman" w:hAnsi="Arial" w:cs="Arial"/>
      <w:b/>
      <w:sz w:val="40"/>
      <w:szCs w:val="40"/>
    </w:rPr>
  </w:style>
  <w:style w:type="paragraph" w:styleId="Heading2">
    <w:name w:val="heading 2"/>
    <w:basedOn w:val="Normal"/>
    <w:next w:val="BodyText1"/>
    <w:link w:val="Heading2Char"/>
    <w:uiPriority w:val="6"/>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CE40C1"/>
    <w:pPr>
      <w:keepNext/>
      <w:outlineLvl w:val="2"/>
    </w:pPr>
    <w:rPr>
      <w:rFonts w:eastAsia="Times New Roman" w:cs="Arial"/>
      <w:b/>
      <w:bCs/>
      <w:sz w:val="26"/>
    </w:rPr>
  </w:style>
  <w:style w:type="paragraph" w:styleId="Heading4">
    <w:name w:val="heading 4"/>
    <w:aliases w:val="General Heading"/>
    <w:basedOn w:val="Normal"/>
    <w:next w:val="BodyText1"/>
    <w:link w:val="Heading4Char"/>
    <w:uiPriority w:val="3"/>
    <w:qFormat/>
    <w:rsid w:val="00E83A76"/>
    <w:pPr>
      <w:keepNext/>
      <w:outlineLvl w:val="3"/>
    </w:pPr>
    <w:rPr>
      <w:rFonts w:ascii="Arial" w:hAnsi="Arial"/>
      <w:b/>
      <w:sz w:val="22"/>
    </w:rPr>
  </w:style>
  <w:style w:type="paragraph" w:styleId="Heading5">
    <w:name w:val="heading 5"/>
    <w:aliases w:val="Chapter Heading"/>
    <w:basedOn w:val="Normal"/>
    <w:next w:val="Normal"/>
    <w:link w:val="Heading5Char"/>
    <w:uiPriority w:val="4"/>
    <w:qFormat/>
    <w:rsid w:val="00DC52E3"/>
    <w:pPr>
      <w:outlineLvl w:val="4"/>
    </w:pPr>
    <w:rPr>
      <w:rFonts w:ascii="Trebuchet MS" w:hAnsi="Trebuchet MS"/>
      <w:b/>
      <w:sz w:val="32"/>
    </w:rPr>
  </w:style>
  <w:style w:type="paragraph" w:styleId="Heading6">
    <w:name w:val="heading 6"/>
    <w:aliases w:val="Cover Page Heading"/>
    <w:basedOn w:val="Normal"/>
    <w:next w:val="Normal"/>
    <w:link w:val="Heading6Char"/>
    <w:uiPriority w:val="8"/>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4FE"/>
    <w:rPr>
      <w:rFonts w:ascii="Arial" w:eastAsia="Times New Roman" w:hAnsi="Arial" w:cs="Arial"/>
      <w:b/>
      <w:sz w:val="40"/>
      <w:szCs w:val="40"/>
    </w:rPr>
  </w:style>
  <w:style w:type="character" w:customStyle="1" w:styleId="Heading2Char">
    <w:name w:val="Heading 2 Char"/>
    <w:basedOn w:val="DefaultParagraphFont"/>
    <w:link w:val="Heading2"/>
    <w:uiPriority w:val="6"/>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1F6B8D"/>
    <w:rPr>
      <w:rFonts w:ascii="Tahoma" w:hAnsi="Tahoma" w:cs="Tahoma"/>
      <w:sz w:val="16"/>
      <w:szCs w:val="16"/>
    </w:rPr>
  </w:style>
  <w:style w:type="character" w:customStyle="1" w:styleId="Heading3Char">
    <w:name w:val="Heading 3 Char"/>
    <w:basedOn w:val="DefaultParagraphFont"/>
    <w:link w:val="Heading3"/>
    <w:rsid w:val="00CE40C1"/>
    <w:rPr>
      <w:rFonts w:eastAsia="Times New Roman" w:cs="Arial"/>
      <w:b/>
      <w:bCs/>
      <w:sz w:val="26"/>
    </w:rPr>
  </w:style>
  <w:style w:type="character" w:customStyle="1" w:styleId="Heading4Char">
    <w:name w:val="Heading 4 Char"/>
    <w:aliases w:val="General Heading Char"/>
    <w:basedOn w:val="DefaultParagraphFont"/>
    <w:link w:val="Heading4"/>
    <w:uiPriority w:val="3"/>
    <w:rsid w:val="00E83A76"/>
    <w:rPr>
      <w:rFonts w:ascii="Arial" w:hAnsi="Arial"/>
      <w:b/>
      <w:sz w:val="22"/>
    </w:rPr>
  </w:style>
  <w:style w:type="character" w:customStyle="1" w:styleId="Heading5Char">
    <w:name w:val="Heading 5 Char"/>
    <w:aliases w:val="Chapter Heading Char"/>
    <w:basedOn w:val="DefaultParagraphFont"/>
    <w:link w:val="Heading5"/>
    <w:uiPriority w:val="4"/>
    <w:rsid w:val="00842FB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787FA9"/>
    <w:rPr>
      <w:rFonts w:ascii="Trebuchet MS" w:eastAsia="Times New Roman" w:hAnsi="Trebuchet MS"/>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4"/>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2"/>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basedOn w:val="Normal"/>
    <w:next w:val="Normal"/>
    <w:uiPriority w:val="1"/>
    <w:qFormat/>
    <w:rsid w:val="00863BB4"/>
    <w:pPr>
      <w:pBdr>
        <w:top w:val="single" w:sz="4" w:space="1" w:color="auto"/>
        <w:left w:val="single" w:sz="4" w:space="4" w:color="auto"/>
        <w:bottom w:val="single" w:sz="4" w:space="1" w:color="auto"/>
        <w:right w:val="single" w:sz="4" w:space="4" w:color="auto"/>
      </w:pBdr>
      <w:shd w:val="clear" w:color="auto" w:fill="D9D9D9"/>
      <w:spacing w:before="120" w:after="360"/>
      <w:jc w:val="both"/>
    </w:pPr>
    <w:rPr>
      <w:rFonts w:ascii="Arial" w:hAnsi="Arial" w:cs="Arial"/>
      <w:b/>
      <w:sz w:val="32"/>
      <w:szCs w:val="32"/>
    </w:rPr>
  </w:style>
  <w:style w:type="paragraph" w:customStyle="1" w:styleId="BoxBullet">
    <w:name w:val="Box Bullet"/>
    <w:basedOn w:val="Normal"/>
    <w:uiPriority w:val="1"/>
    <w:qFormat/>
    <w:rsid w:val="00863BB4"/>
    <w:pPr>
      <w:numPr>
        <w:numId w:val="5"/>
      </w:numPr>
      <w:pBdr>
        <w:top w:val="single" w:sz="4" w:space="1" w:color="auto"/>
        <w:left w:val="single" w:sz="4" w:space="4" w:color="auto"/>
        <w:bottom w:val="single" w:sz="4" w:space="1" w:color="auto"/>
        <w:right w:val="single" w:sz="4" w:space="4" w:color="auto"/>
      </w:pBdr>
      <w:shd w:val="clear" w:color="auto" w:fill="D9D9D9"/>
      <w:spacing w:after="120"/>
      <w:jc w:val="both"/>
    </w:p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semiHidden/>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customStyle="1" w:styleId="Style2">
    <w:name w:val="Style2"/>
    <w:basedOn w:val="Normal"/>
    <w:link w:val="Style2Char"/>
    <w:rsid w:val="00CE40C1"/>
    <w:pPr>
      <w:spacing w:before="120"/>
    </w:pPr>
    <w:rPr>
      <w:rFonts w:ascii="Trebuchet MS" w:eastAsia="Times" w:hAnsi="Trebuchet MS"/>
      <w:b/>
      <w:color w:val="000080"/>
      <w:sz w:val="32"/>
      <w:szCs w:val="32"/>
      <w:lang w:val="x-none" w:eastAsia="en-US"/>
    </w:rPr>
  </w:style>
  <w:style w:type="character" w:customStyle="1" w:styleId="Style2Char">
    <w:name w:val="Style2 Char"/>
    <w:link w:val="Style2"/>
    <w:rsid w:val="00CE40C1"/>
    <w:rPr>
      <w:rFonts w:ascii="Trebuchet MS" w:eastAsia="Times" w:hAnsi="Trebuchet MS"/>
      <w:b/>
      <w:color w:val="000080"/>
      <w:sz w:val="32"/>
      <w:szCs w:val="32"/>
      <w:lang w:val="x-none" w:eastAsia="en-US"/>
    </w:rPr>
  </w:style>
  <w:style w:type="paragraph" w:customStyle="1" w:styleId="HeadingC">
    <w:name w:val="Heading C"/>
    <w:basedOn w:val="Normal"/>
    <w:rsid w:val="00CE40C1"/>
    <w:pPr>
      <w:spacing w:before="120" w:after="120"/>
    </w:pPr>
    <w:rPr>
      <w:rFonts w:ascii="Arial" w:eastAsia="Times New Roman" w:hAnsi="Arial" w:cs="Arial"/>
      <w:b/>
      <w:bCs/>
      <w:sz w:val="32"/>
    </w:rPr>
  </w:style>
  <w:style w:type="character" w:styleId="CommentReference">
    <w:name w:val="annotation reference"/>
    <w:uiPriority w:val="99"/>
    <w:semiHidden/>
    <w:unhideWhenUsed/>
    <w:rsid w:val="00CE40C1"/>
    <w:rPr>
      <w:sz w:val="16"/>
      <w:szCs w:val="16"/>
    </w:rPr>
  </w:style>
  <w:style w:type="paragraph" w:styleId="CommentText">
    <w:name w:val="annotation text"/>
    <w:basedOn w:val="Normal"/>
    <w:link w:val="CommentTextChar"/>
    <w:uiPriority w:val="99"/>
    <w:unhideWhenUsed/>
    <w:rsid w:val="00CE40C1"/>
    <w:pPr>
      <w:spacing w:before="240" w:after="60"/>
    </w:pPr>
    <w:rPr>
      <w:rFonts w:ascii="Trebuchet MS" w:eastAsia="Times" w:hAnsi="Trebuchet MS"/>
      <w:sz w:val="20"/>
      <w:szCs w:val="20"/>
      <w:lang w:val="x-none" w:eastAsia="en-US"/>
    </w:rPr>
  </w:style>
  <w:style w:type="character" w:customStyle="1" w:styleId="CommentTextChar">
    <w:name w:val="Comment Text Char"/>
    <w:basedOn w:val="DefaultParagraphFont"/>
    <w:link w:val="CommentText"/>
    <w:uiPriority w:val="99"/>
    <w:rsid w:val="00CE40C1"/>
    <w:rPr>
      <w:rFonts w:ascii="Trebuchet MS" w:eastAsia="Times" w:hAnsi="Trebuchet MS"/>
      <w:sz w:val="20"/>
      <w:szCs w:val="20"/>
      <w:lang w:val="x-none" w:eastAsia="en-US"/>
    </w:rPr>
  </w:style>
  <w:style w:type="paragraph" w:styleId="CommentSubject">
    <w:name w:val="annotation subject"/>
    <w:basedOn w:val="CommentText"/>
    <w:next w:val="CommentText"/>
    <w:link w:val="CommentSubjectChar"/>
    <w:uiPriority w:val="99"/>
    <w:semiHidden/>
    <w:unhideWhenUsed/>
    <w:rsid w:val="00CE40C1"/>
    <w:rPr>
      <w:b/>
      <w:bCs/>
    </w:rPr>
  </w:style>
  <w:style w:type="character" w:customStyle="1" w:styleId="CommentSubjectChar">
    <w:name w:val="Comment Subject Char"/>
    <w:basedOn w:val="CommentTextChar"/>
    <w:link w:val="CommentSubject"/>
    <w:uiPriority w:val="99"/>
    <w:semiHidden/>
    <w:rsid w:val="00CE40C1"/>
    <w:rPr>
      <w:rFonts w:ascii="Trebuchet MS" w:eastAsia="Times" w:hAnsi="Trebuchet MS"/>
      <w:b/>
      <w:bCs/>
      <w:sz w:val="20"/>
      <w:szCs w:val="20"/>
      <w:lang w:val="x-none" w:eastAsia="en-US"/>
    </w:rPr>
  </w:style>
  <w:style w:type="paragraph" w:styleId="Revision">
    <w:name w:val="Revision"/>
    <w:hidden/>
    <w:uiPriority w:val="99"/>
    <w:semiHidden/>
    <w:rsid w:val="00CE40C1"/>
    <w:pPr>
      <w:spacing w:after="0"/>
    </w:pPr>
    <w:rPr>
      <w:rFonts w:ascii="Trebuchet MS" w:eastAsia="Times" w:hAnsi="Trebuchet MS"/>
      <w:sz w:val="22"/>
      <w:szCs w:val="20"/>
      <w:lang w:eastAsia="en-US"/>
    </w:rPr>
  </w:style>
  <w:style w:type="character" w:customStyle="1" w:styleId="FootnoteText1">
    <w:name w:val="Footnote Text1"/>
    <w:rsid w:val="00347159"/>
    <w:rPr>
      <w:color w:val="000000"/>
      <w:sz w:val="20"/>
      <w:szCs w:val="20"/>
    </w:rPr>
  </w:style>
  <w:style w:type="paragraph" w:styleId="ListParagraph">
    <w:name w:val="List Paragraph"/>
    <w:basedOn w:val="Normal"/>
    <w:uiPriority w:val="34"/>
    <w:qFormat/>
    <w:rsid w:val="00CE40C1"/>
    <w:pPr>
      <w:spacing w:before="240" w:after="60"/>
      <w:ind w:left="720"/>
    </w:pPr>
    <w:rPr>
      <w:rFonts w:ascii="Trebuchet MS" w:eastAsia="Times" w:hAnsi="Trebuchet MS"/>
      <w:sz w:val="22"/>
      <w:szCs w:val="20"/>
      <w:lang w:eastAsia="en-US"/>
    </w:rPr>
  </w:style>
  <w:style w:type="paragraph" w:customStyle="1" w:styleId="apra-rtestyle-listedhyperlinks">
    <w:name w:val="apra-rtestyle-listedhyperlinks"/>
    <w:basedOn w:val="Normal"/>
    <w:rsid w:val="00CE40C1"/>
    <w:pPr>
      <w:spacing w:after="0"/>
      <w:ind w:left="270"/>
    </w:pPr>
    <w:rPr>
      <w:rFonts w:eastAsia="Times New Roman"/>
      <w:color w:val="333333"/>
    </w:rPr>
  </w:style>
  <w:style w:type="character" w:customStyle="1" w:styleId="apra-rtestyle-paragraphs1">
    <w:name w:val="apra-rtestyle-paragraphs1"/>
    <w:rsid w:val="00CE40C1"/>
    <w:rPr>
      <w:rFonts w:ascii="Verdana" w:hAnsi="Verdana" w:hint="default"/>
      <w:b w:val="0"/>
      <w:bCs w:val="0"/>
      <w:color w:val="333333"/>
      <w:sz w:val="24"/>
      <w:szCs w:val="24"/>
    </w:rPr>
  </w:style>
  <w:style w:type="character" w:styleId="FollowedHyperlink">
    <w:name w:val="FollowedHyperlink"/>
    <w:uiPriority w:val="99"/>
    <w:semiHidden/>
    <w:unhideWhenUsed/>
    <w:rsid w:val="00CE40C1"/>
    <w:rPr>
      <w:color w:val="800080"/>
      <w:u w:val="single"/>
    </w:rPr>
  </w:style>
  <w:style w:type="paragraph" w:customStyle="1" w:styleId="ActTitle">
    <w:name w:val="Act Title"/>
    <w:basedOn w:val="Normal"/>
    <w:next w:val="IntroTo"/>
    <w:rsid w:val="00CE40C1"/>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CE40C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CE40C1"/>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CE40C1"/>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CE40C1"/>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CE40C1"/>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rsid w:val="00CE40C1"/>
  </w:style>
  <w:style w:type="character" w:customStyle="1" w:styleId="CharSchText">
    <w:name w:val="CharSchText"/>
    <w:rsid w:val="00CE40C1"/>
  </w:style>
  <w:style w:type="character" w:styleId="Mention">
    <w:name w:val="Mention"/>
    <w:basedOn w:val="DefaultParagraphFont"/>
    <w:uiPriority w:val="99"/>
    <w:unhideWhenUsed/>
    <w:rsid w:val="00CE40C1"/>
    <w:rPr>
      <w:color w:val="2B579A"/>
      <w:shd w:val="clear" w:color="auto" w:fill="E1DFDD"/>
    </w:rPr>
  </w:style>
  <w:style w:type="paragraph" w:customStyle="1" w:styleId="Boxtext">
    <w:name w:val="Box text"/>
    <w:basedOn w:val="Normal"/>
    <w:qFormat/>
    <w:rsid w:val="00863BB4"/>
    <w:pPr>
      <w:pBdr>
        <w:top w:val="single" w:sz="4" w:space="1" w:color="auto"/>
        <w:left w:val="single" w:sz="4" w:space="4" w:color="auto"/>
        <w:bottom w:val="single" w:sz="4" w:space="1" w:color="auto"/>
        <w:right w:val="single" w:sz="4" w:space="4" w:color="auto"/>
      </w:pBdr>
      <w:shd w:val="clear" w:color="auto" w:fill="D9D9D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02T01:29:41.985"/>
    </inkml:context>
    <inkml:brush xml:id="br0">
      <inkml:brushProperty name="width" value="0.05" units="cm"/>
      <inkml:brushProperty name="height" value="0.05" units="cm"/>
    </inkml:brush>
  </inkml:definitions>
  <inkml:trace contextRef="#ctx0" brushRef="#br0">0 0 10879 0 0,'4'4'968'0'0,"0"0"-776"0"0</inkml:trace>
</inkml:ink>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132</Value>
      <Value>52</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2.xml><?xml version="1.0" encoding="utf-8"?>
<ds:datastoreItem xmlns:ds="http://schemas.openxmlformats.org/officeDocument/2006/customXml" ds:itemID="{A36FED49-0322-47F2-B6E3-F28EC337E94B}">
  <ds:schemaRefs>
    <ds:schemaRef ds:uri="http://schemas.openxmlformats.org/officeDocument/2006/bibliography"/>
  </ds:schemaRefs>
</ds:datastoreItem>
</file>

<file path=customXml/itemProps3.xml><?xml version="1.0" encoding="utf-8"?>
<ds:datastoreItem xmlns:ds="http://schemas.openxmlformats.org/officeDocument/2006/customXml" ds:itemID="{63BF781B-17D6-4D1E-9B02-6BEF624A3BAB}"/>
</file>

<file path=customXml/itemProps4.xml><?xml version="1.0" encoding="utf-8"?>
<ds:datastoreItem xmlns:ds="http://schemas.openxmlformats.org/officeDocument/2006/customXml" ds:itemID="{834FACA5-FF25-44EB-9F22-13BC540CEFF1}">
  <ds:schemaRefs>
    <ds:schemaRef ds:uri="http://schemas.microsoft.com/office/2006/metadata/properties"/>
    <ds:schemaRef ds:uri="http://purl.org/dc/terms/"/>
    <ds:schemaRef ds:uri="79530295-9eea-494d-b82a-9ff74409eafc"/>
    <ds:schemaRef ds:uri="http://purl.org/dc/dcmitype/"/>
    <ds:schemaRef ds:uri="http://www.w3.org/XML/1998/namespace"/>
    <ds:schemaRef ds:uri="http://schemas.microsoft.com/office/2006/documentManagement/types"/>
    <ds:schemaRef ds:uri="5664482d-1961-4d38-bfc2-b109b3418834"/>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3472</Words>
  <Characters>17683</Characters>
  <Application>Microsoft Office Word</Application>
  <DocSecurity>4</DocSecurity>
  <Lines>380</Lines>
  <Paragraphs>162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Sharkey</dc:creator>
  <cp:keywords>[SEC=OFFICIAL]</cp:keywords>
  <cp:lastModifiedBy>Toni Michalis</cp:lastModifiedBy>
  <cp:revision>2</cp:revision>
  <dcterms:created xsi:type="dcterms:W3CDTF">2024-06-04T03:47:00Z</dcterms:created>
  <dcterms:modified xsi:type="dcterms:W3CDTF">2024-06-04T03:47:00Z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2022.1</vt:lpwstr>
  </property>
  <property fmtid="{D5CDD505-2E9C-101B-9397-08002B2CF9AE}" pid="8" name="PM_SecurityClassification_Prev">
    <vt:lpwstr>OFFICIAL:Sensitive</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9CDD4A8A38FF4D3681F9F9DB8CFE362E</vt:lpwstr>
  </property>
  <property fmtid="{D5CDD505-2E9C-101B-9397-08002B2CF9AE}" pid="18" name="PM_OriginationTimeStamp">
    <vt:lpwstr>2024-06-04T03:46:04Z</vt:lpwstr>
  </property>
  <property fmtid="{D5CDD505-2E9C-101B-9397-08002B2CF9AE}" pid="19" name="ContentTypeId">
    <vt:lpwstr>0x01010080D163DB4DEE504FAB457909715FEC45</vt:lpwstr>
  </property>
  <property fmtid="{D5CDD505-2E9C-101B-9397-08002B2CF9AE}" pid="20" name="APRACostCentre">
    <vt:lpwstr/>
  </property>
  <property fmtid="{D5CDD505-2E9C-101B-9397-08002B2CF9AE}" pid="21" name="IT system type">
    <vt:lpwstr/>
  </property>
  <property fmtid="{D5CDD505-2E9C-101B-9397-08002B2CF9AE}" pid="22" name="APRACategory">
    <vt:lpwstr/>
  </property>
  <property fmtid="{D5CDD505-2E9C-101B-9397-08002B2CF9AE}" pid="23" name="APRAPeerGroup">
    <vt:lpwstr/>
  </property>
  <property fmtid="{D5CDD505-2E9C-101B-9397-08002B2CF9AE}" pid="24" name="APRADocumentType">
    <vt:lpwstr>52;#Prudential standard|6ce5a155-9ab2-41e3-9b2a-5baab4b7f1d1</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ReportingGroup">
    <vt:lpwstr/>
  </property>
  <property fmtid="{D5CDD505-2E9C-101B-9397-08002B2CF9AE}" pid="28" name="APRAActivity">
    <vt:lpwstr>132;#Prudential standard development|fbeb3364-1425-47e2-8200-3b7f3a245dfe</vt:lpwstr>
  </property>
  <property fmtid="{D5CDD505-2E9C-101B-9397-08002B2CF9AE}" pid="29" name="APRAEntityAdviceSupport">
    <vt:lpwstr/>
  </property>
  <property fmtid="{D5CDD505-2E9C-101B-9397-08002B2CF9AE}" pid="30" name="APRATemplateType">
    <vt:lpwstr>23;#Policy|f1d41970-be64-43ea-8d6f-300cb1384ee7</vt:lpwstr>
  </property>
  <property fmtid="{D5CDD505-2E9C-101B-9397-08002B2CF9AE}" pid="31" name="APRAYear">
    <vt:lpwstr/>
  </property>
  <property fmtid="{D5CDD505-2E9C-101B-9397-08002B2CF9AE}" pid="32" name="APRAIndustry">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8404bb50-8a4a-4386-826d-3f5183ca492e</vt:lpwstr>
  </property>
  <property fmtid="{D5CDD505-2E9C-101B-9397-08002B2CF9AE}" pid="38" name="PM_Note">
    <vt:lpwstr/>
  </property>
  <property fmtid="{D5CDD505-2E9C-101B-9397-08002B2CF9AE}" pid="39" name="PM_Markers">
    <vt:lpwstr/>
  </property>
  <property fmtid="{D5CDD505-2E9C-101B-9397-08002B2CF9AE}" pid="40" name="PM_Display">
    <vt:lpwstr>OFFICIAL</vt:lpwstr>
  </property>
  <property fmtid="{D5CDD505-2E9C-101B-9397-08002B2CF9AE}" pid="41" name="PM_OriginatorDomainName_SHA256">
    <vt:lpwstr>ECBDE2B44A971754412B3FB70606937A119CC0D4B6C1B658A40FBD41C30BE3EC</vt:lpwstr>
  </property>
  <property fmtid="{D5CDD505-2E9C-101B-9397-08002B2CF9AE}" pid="42" name="PMUuid">
    <vt:lpwstr>v=2022.2;d=gov.au;g=46DD6D7C-8107-577B-BC6E-F348953B2E44</vt:lpwstr>
  </property>
  <property fmtid="{D5CDD505-2E9C-101B-9397-08002B2CF9AE}" pid="43" name="MediaServiceImageTags">
    <vt:lpwstr/>
  </property>
  <property fmtid="{D5CDD505-2E9C-101B-9397-08002B2CF9AE}" pid="44" name="PM_Originator_Hash_SHA1">
    <vt:lpwstr>C3AD57350F36D8E1BD75F8F67CB06D435C9C43CA</vt:lpwstr>
  </property>
  <property fmtid="{D5CDD505-2E9C-101B-9397-08002B2CF9AE}" pid="45" name="PM_OriginatorUserAccountName_SHA256">
    <vt:lpwstr>6E3018F28A186D2E5FF5207C041E7A82E907C3008E071057026A53705873B72E</vt:lpwstr>
  </property>
  <property fmtid="{D5CDD505-2E9C-101B-9397-08002B2CF9AE}" pid="46" name="PM_Hash_Salt">
    <vt:lpwstr>CA21C3862267404C7396501AB203F74E</vt:lpwstr>
  </property>
  <property fmtid="{D5CDD505-2E9C-101B-9397-08002B2CF9AE}" pid="47" name="PM_Hash_SHA1">
    <vt:lpwstr>2B6BBC96FBA93DF4AEE74154D739FC02951019D8</vt:lpwstr>
  </property>
  <property fmtid="{D5CDD505-2E9C-101B-9397-08002B2CF9AE}" pid="48" name="PM_Hash_Salt_Prev">
    <vt:lpwstr>7BCE863E9BF7AF05FFF7F8174DB9BE98</vt:lpwstr>
  </property>
  <property fmtid="{D5CDD505-2E9C-101B-9397-08002B2CF9AE}" pid="49" name="PMHMAC">
    <vt:lpwstr>v=2022.1;a=SHA256;h=9D6D7D20EF4E5E43786D9202CBAD785AD9ADE48D1B1F1DD97C2AA597F783702C</vt:lpwstr>
  </property>
  <property fmtid="{D5CDD505-2E9C-101B-9397-08002B2CF9AE}" pid="50" name="MSIP_Label_c0129afb-6481-4f92-bc9f-5a4a6346364d_Method">
    <vt:lpwstr>Privileged</vt:lpwstr>
  </property>
  <property fmtid="{D5CDD505-2E9C-101B-9397-08002B2CF9AE}" pid="51" name="MSIP_Label_c0129afb-6481-4f92-bc9f-5a4a6346364d_SetDate">
    <vt:lpwstr>2024-06-04T03:46:04Z</vt:lpwstr>
  </property>
  <property fmtid="{D5CDD505-2E9C-101B-9397-08002B2CF9AE}" pid="52" name="MSIP_Label_c0129afb-6481-4f92-bc9f-5a4a6346364d_ContentBits">
    <vt:lpwstr>0</vt:lpwstr>
  </property>
  <property fmtid="{D5CDD505-2E9C-101B-9397-08002B2CF9AE}" pid="53" name="MSIP_Label_c0129afb-6481-4f92-bc9f-5a4a6346364d_Enabled">
    <vt:lpwstr>true</vt:lpwstr>
  </property>
  <property fmtid="{D5CDD505-2E9C-101B-9397-08002B2CF9AE}" pid="54" name="MSIP_Label_c0129afb-6481-4f92-bc9f-5a4a6346364d_Name">
    <vt:lpwstr>OFFICIAL</vt:lpwstr>
  </property>
  <property fmtid="{D5CDD505-2E9C-101B-9397-08002B2CF9AE}" pid="55" name="MSIP_Label_c0129afb-6481-4f92-bc9f-5a4a6346364d_SiteId">
    <vt:lpwstr>c05e3ffd-b491-4431-9809-e61d4dc78816</vt:lpwstr>
  </property>
  <property fmtid="{D5CDD505-2E9C-101B-9397-08002B2CF9AE}" pid="56" name="MSIP_Label_c0129afb-6481-4f92-bc9f-5a4a6346364d_ActionId">
    <vt:lpwstr>68b844ce7ac34f9e9a335447e84db80a</vt:lpwstr>
  </property>
</Properties>
</file>