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9291" w14:textId="77777777" w:rsidR="007864D3" w:rsidRPr="00696B97" w:rsidRDefault="00696B97" w:rsidP="00696B97">
      <w:pPr>
        <w:jc w:val="center"/>
        <w:rPr>
          <w:rFonts w:ascii="Times New Roman" w:hAnsi="Times New Roman" w:cs="Times New Roman"/>
          <w:sz w:val="24"/>
          <w:u w:val="single"/>
        </w:rPr>
      </w:pPr>
      <w:r w:rsidRPr="00696B97">
        <w:rPr>
          <w:rFonts w:ascii="Times New Roman" w:hAnsi="Times New Roman" w:cs="Times New Roman"/>
          <w:sz w:val="24"/>
          <w:u w:val="single"/>
        </w:rPr>
        <w:t>Explanatory Statement</w:t>
      </w:r>
    </w:p>
    <w:p w14:paraId="7B097DD8" w14:textId="34F4330B" w:rsidR="00702F99" w:rsidRPr="006D0C2F" w:rsidRDefault="00702F99" w:rsidP="00702F99">
      <w:pPr>
        <w:jc w:val="center"/>
        <w:rPr>
          <w:rFonts w:ascii="Times New Roman" w:hAnsi="Times New Roman" w:cs="Times New Roman"/>
        </w:rPr>
      </w:pPr>
      <w:r w:rsidRPr="006D0C2F">
        <w:rPr>
          <w:rFonts w:ascii="Times New Roman" w:hAnsi="Times New Roman" w:cs="Times New Roman"/>
        </w:rPr>
        <w:t>Issued by</w:t>
      </w:r>
      <w:r w:rsidR="008F01EE">
        <w:rPr>
          <w:rFonts w:ascii="Times New Roman" w:hAnsi="Times New Roman" w:cs="Times New Roman"/>
        </w:rPr>
        <w:t xml:space="preserve"> authority of</w:t>
      </w:r>
      <w:r w:rsidRPr="006D0C2F">
        <w:rPr>
          <w:rFonts w:ascii="Times New Roman" w:hAnsi="Times New Roman" w:cs="Times New Roman"/>
        </w:rPr>
        <w:t xml:space="preserve"> the </w:t>
      </w:r>
      <w:r w:rsidR="00BC5106">
        <w:rPr>
          <w:rFonts w:ascii="Times New Roman" w:hAnsi="Times New Roman" w:cs="Times New Roman"/>
        </w:rPr>
        <w:t>Attorney-General</w:t>
      </w:r>
    </w:p>
    <w:p w14:paraId="362DB803" w14:textId="77777777" w:rsidR="00702F99" w:rsidRPr="006D0C2F" w:rsidRDefault="00702F99" w:rsidP="00702F99">
      <w:pPr>
        <w:jc w:val="center"/>
        <w:rPr>
          <w:rFonts w:ascii="Times New Roman" w:hAnsi="Times New Roman" w:cs="Times New Roman"/>
          <w:i/>
        </w:rPr>
      </w:pPr>
      <w:r w:rsidRPr="006D0C2F">
        <w:rPr>
          <w:rFonts w:ascii="Times New Roman" w:hAnsi="Times New Roman" w:cs="Times New Roman"/>
          <w:i/>
        </w:rPr>
        <w:t>Telecommunications (Interception and Access) Act 1979</w:t>
      </w:r>
    </w:p>
    <w:p w14:paraId="12F91E57" w14:textId="02DEFDE8" w:rsidR="00702F99" w:rsidRDefault="00702F99" w:rsidP="00702F99">
      <w:pPr>
        <w:jc w:val="center"/>
        <w:rPr>
          <w:rFonts w:ascii="Times New Roman" w:hAnsi="Times New Roman" w:cs="Times New Roman"/>
          <w:i/>
        </w:rPr>
      </w:pPr>
      <w:r w:rsidRPr="006D0C2F">
        <w:rPr>
          <w:rFonts w:ascii="Times New Roman" w:hAnsi="Times New Roman" w:cs="Times New Roman"/>
          <w:i/>
        </w:rPr>
        <w:t>Telecommunications (Interception and Access) (</w:t>
      </w:r>
      <w:r w:rsidR="00600E21">
        <w:rPr>
          <w:rFonts w:ascii="Times New Roman" w:hAnsi="Times New Roman" w:cs="Times New Roman"/>
          <w:i/>
        </w:rPr>
        <w:t>Criminal Law-</w:t>
      </w:r>
      <w:r w:rsidR="00FC6B3C" w:rsidRPr="00FC6B3C">
        <w:rPr>
          <w:rFonts w:ascii="Times New Roman" w:hAnsi="Times New Roman" w:cs="Times New Roman"/>
          <w:i/>
        </w:rPr>
        <w:t xml:space="preserve">Enforcement Agency – </w:t>
      </w:r>
      <w:r w:rsidR="00407660">
        <w:rPr>
          <w:rFonts w:ascii="Times New Roman" w:hAnsi="Times New Roman" w:cs="Times New Roman"/>
          <w:i/>
        </w:rPr>
        <w:t>ACT Integrity Commission</w:t>
      </w:r>
      <w:r w:rsidR="00EE6490">
        <w:rPr>
          <w:rFonts w:ascii="Times New Roman" w:hAnsi="Times New Roman" w:cs="Times New Roman"/>
          <w:i/>
        </w:rPr>
        <w:t>) Declaration 202</w:t>
      </w:r>
      <w:r w:rsidR="00B404EB">
        <w:rPr>
          <w:rFonts w:ascii="Times New Roman" w:hAnsi="Times New Roman" w:cs="Times New Roman"/>
          <w:i/>
        </w:rPr>
        <w:t>4</w:t>
      </w:r>
    </w:p>
    <w:p w14:paraId="7A0D9B83" w14:textId="77777777" w:rsidR="00702F99" w:rsidRPr="006D0C2F" w:rsidRDefault="00702F99" w:rsidP="00702F99">
      <w:pPr>
        <w:jc w:val="center"/>
        <w:rPr>
          <w:rFonts w:ascii="Times New Roman" w:hAnsi="Times New Roman" w:cs="Times New Roman"/>
          <w:i/>
        </w:rPr>
      </w:pPr>
    </w:p>
    <w:p w14:paraId="4FD3527B" w14:textId="5A271CE4" w:rsidR="00501D5F" w:rsidRDefault="00702F99" w:rsidP="008F01EE">
      <w:pPr>
        <w:pStyle w:val="ESPara"/>
        <w:numPr>
          <w:ilvl w:val="0"/>
          <w:numId w:val="1"/>
        </w:numPr>
        <w:ind w:left="567" w:hanging="567"/>
      </w:pPr>
      <w:r w:rsidRPr="00FC6B3C">
        <w:t xml:space="preserve">The </w:t>
      </w:r>
      <w:r w:rsidR="00FC6B3C" w:rsidRPr="008F01EE">
        <w:t>Telecommunications (Interception and Access) (</w:t>
      </w:r>
      <w:r w:rsidR="00600E21">
        <w:t>Criminal Law-</w:t>
      </w:r>
      <w:r w:rsidR="00FC6B3C" w:rsidRPr="008F01EE">
        <w:t xml:space="preserve">Enforcement Agency – </w:t>
      </w:r>
      <w:r w:rsidR="00407660">
        <w:t>ACT Integrity Commission</w:t>
      </w:r>
      <w:r w:rsidR="00FC6B3C" w:rsidRPr="008F01EE">
        <w:t>) Declaration 202</w:t>
      </w:r>
      <w:r w:rsidR="00B404EB">
        <w:t>4</w:t>
      </w:r>
      <w:r w:rsidR="00C018E9" w:rsidRPr="00FC6B3C">
        <w:t xml:space="preserve"> (the Declaration)</w:t>
      </w:r>
      <w:r w:rsidR="00AC68D3" w:rsidRPr="00FC6B3C">
        <w:t xml:space="preserve"> </w:t>
      </w:r>
      <w:r w:rsidRPr="00FC6B3C">
        <w:t xml:space="preserve">is made under </w:t>
      </w:r>
      <w:r w:rsidR="00DC3181">
        <w:t>paragraphs </w:t>
      </w:r>
      <w:r w:rsidR="003A748A" w:rsidRPr="00FC6B3C">
        <w:t>1</w:t>
      </w:r>
      <w:r w:rsidR="00600E21">
        <w:t>10</w:t>
      </w:r>
      <w:r w:rsidR="003A748A" w:rsidRPr="00FC6B3C">
        <w:t>A(3)(a) and (b)</w:t>
      </w:r>
      <w:r w:rsidRPr="00FC6B3C">
        <w:t xml:space="preserve"> of the </w:t>
      </w:r>
      <w:r w:rsidR="003A748A" w:rsidRPr="0029568A">
        <w:rPr>
          <w:i/>
        </w:rPr>
        <w:t>Telecommunications (Interception and Access) Act 1979</w:t>
      </w:r>
      <w:r w:rsidR="003A748A" w:rsidRPr="00FC6B3C">
        <w:t xml:space="preserve"> (the </w:t>
      </w:r>
      <w:r w:rsidR="0091158B" w:rsidRPr="00FC6B3C">
        <w:t xml:space="preserve">TIA </w:t>
      </w:r>
      <w:r w:rsidR="003A748A" w:rsidRPr="00FC6B3C">
        <w:t>Act).</w:t>
      </w:r>
    </w:p>
    <w:p w14:paraId="79100E79" w14:textId="7DE5231E" w:rsidR="00501D5F" w:rsidRDefault="00501D5F" w:rsidP="008F01EE">
      <w:pPr>
        <w:pStyle w:val="ESPara"/>
        <w:numPr>
          <w:ilvl w:val="0"/>
          <w:numId w:val="1"/>
        </w:numPr>
        <w:ind w:left="567" w:hanging="567"/>
      </w:pPr>
      <w:r w:rsidRPr="00501D5F">
        <w:t xml:space="preserve">The </w:t>
      </w:r>
      <w:r w:rsidR="0091158B">
        <w:t xml:space="preserve">TIA </w:t>
      </w:r>
      <w:r>
        <w:t>Act</w:t>
      </w:r>
      <w:r w:rsidRPr="00501D5F">
        <w:t xml:space="preserve"> protects the content of telecommunicatio</w:t>
      </w:r>
      <w:r w:rsidR="00924BBA">
        <w:t xml:space="preserve">ns and telecommunications data and </w:t>
      </w:r>
      <w:r w:rsidRPr="00501D5F">
        <w:t xml:space="preserve">creates a legal framework for intelligence and law </w:t>
      </w:r>
      <w:r w:rsidRPr="00193BFB">
        <w:t>enforcement agencies</w:t>
      </w:r>
      <w:r w:rsidRPr="00501D5F">
        <w:t xml:space="preserve"> to access information held by </w:t>
      </w:r>
      <w:r w:rsidR="00924BBA">
        <w:t>tele</w:t>
      </w:r>
      <w:r w:rsidRPr="00501D5F">
        <w:t>communications pr</w:t>
      </w:r>
      <w:r w:rsidR="00924BBA">
        <w:t>oviders for law enforcement and national security purposes</w:t>
      </w:r>
      <w:r w:rsidRPr="00501D5F">
        <w:t xml:space="preserve">. </w:t>
      </w:r>
    </w:p>
    <w:p w14:paraId="5A81271D" w14:textId="0998F405" w:rsidR="00EE6490" w:rsidRPr="00375290" w:rsidRDefault="00EE6490" w:rsidP="00375290">
      <w:pPr>
        <w:pStyle w:val="ESHeading"/>
      </w:pPr>
      <w:r>
        <w:t>Enforcement agencies</w:t>
      </w:r>
    </w:p>
    <w:p w14:paraId="4A7BB725" w14:textId="7E17A594" w:rsidR="008D32F5" w:rsidRDefault="008D32F5" w:rsidP="00375290">
      <w:pPr>
        <w:pStyle w:val="ESPara"/>
        <w:numPr>
          <w:ilvl w:val="0"/>
          <w:numId w:val="1"/>
        </w:numPr>
        <w:ind w:left="567" w:hanging="567"/>
      </w:pPr>
      <w:r>
        <w:t>Section 1</w:t>
      </w:r>
      <w:r w:rsidR="00600E21">
        <w:t>10</w:t>
      </w:r>
      <w:r>
        <w:t xml:space="preserve">A of the </w:t>
      </w:r>
      <w:r w:rsidR="0091158B">
        <w:t xml:space="preserve">TIA </w:t>
      </w:r>
      <w:r>
        <w:t xml:space="preserve">Act </w:t>
      </w:r>
      <w:r w:rsidR="00924BBA">
        <w:t>defines</w:t>
      </w:r>
      <w:r>
        <w:t xml:space="preserve"> a</w:t>
      </w:r>
      <w:r w:rsidR="00673504">
        <w:t xml:space="preserve"> criminal law-</w:t>
      </w:r>
      <w:r>
        <w:t>enforcement agency</w:t>
      </w:r>
      <w:r w:rsidR="00D83A9F">
        <w:t xml:space="preserve">, which is able </w:t>
      </w:r>
      <w:r w:rsidR="00924BBA">
        <w:t xml:space="preserve">to </w:t>
      </w:r>
      <w:r>
        <w:t>access</w:t>
      </w:r>
      <w:r w:rsidR="00673504">
        <w:t xml:space="preserve"> stored communications and</w:t>
      </w:r>
      <w:r w:rsidR="00D87002">
        <w:t xml:space="preserve"> </w:t>
      </w:r>
      <w:r>
        <w:t>te</w:t>
      </w:r>
      <w:r w:rsidR="005B123D">
        <w:t>lecommunications</w:t>
      </w:r>
      <w:r>
        <w:t xml:space="preserve"> data</w:t>
      </w:r>
      <w:r w:rsidR="00D83A9F">
        <w:t>,</w:t>
      </w:r>
      <w:r w:rsidR="00C50A75">
        <w:t xml:space="preserve"> as follows:</w:t>
      </w:r>
    </w:p>
    <w:p w14:paraId="1EDC267C" w14:textId="53D261ED" w:rsidR="00924BBA" w:rsidRDefault="00673504" w:rsidP="00375290">
      <w:pPr>
        <w:pStyle w:val="ESPara"/>
        <w:numPr>
          <w:ilvl w:val="1"/>
          <w:numId w:val="1"/>
        </w:numPr>
      </w:pPr>
      <w:r>
        <w:t xml:space="preserve">The Australian Federal Police, </w:t>
      </w:r>
      <w:r w:rsidR="00924BBA">
        <w:t>all state and territory police agencies, the Department of Home Affairs (for limited purposes), the Australian Competition and Consumer Commission</w:t>
      </w:r>
      <w:r w:rsidR="00836CC1">
        <w:t>,</w:t>
      </w:r>
      <w:r w:rsidR="00924BBA">
        <w:t xml:space="preserve"> the Australian Securi</w:t>
      </w:r>
      <w:r w:rsidR="00EE6490">
        <w:t>ties and Investments Commission,</w:t>
      </w:r>
      <w:r w:rsidR="00836CC1">
        <w:t xml:space="preserve"> the Australian Criminal Intelligence Commission, and various integrity and corruption Commissions,</w:t>
      </w:r>
      <w:r w:rsidR="00EE6490">
        <w:t xml:space="preserve"> and</w:t>
      </w:r>
    </w:p>
    <w:p w14:paraId="43154ACD" w14:textId="4903AB32" w:rsidR="0091158B" w:rsidRPr="003265E6" w:rsidRDefault="00DC3181" w:rsidP="00150C03">
      <w:pPr>
        <w:pStyle w:val="ESPara"/>
        <w:numPr>
          <w:ilvl w:val="1"/>
          <w:numId w:val="1"/>
        </w:numPr>
      </w:pPr>
      <w:r w:rsidRPr="003265E6">
        <w:t>a</w:t>
      </w:r>
      <w:r w:rsidR="00EE6490" w:rsidRPr="003265E6">
        <w:t>n authority or body for which a declaration under subsection 1</w:t>
      </w:r>
      <w:r w:rsidR="00673504">
        <w:t>10</w:t>
      </w:r>
      <w:r w:rsidR="00EE6490" w:rsidRPr="003265E6">
        <w:t>A(3) is in force.</w:t>
      </w:r>
    </w:p>
    <w:p w14:paraId="1AB602CE" w14:textId="53964A36" w:rsidR="00673504" w:rsidRDefault="00673504" w:rsidP="003265E6">
      <w:pPr>
        <w:pStyle w:val="ESHeading"/>
      </w:pPr>
      <w:r>
        <w:t>Stored communications</w:t>
      </w:r>
    </w:p>
    <w:p w14:paraId="47A9EE5B" w14:textId="15CC2597" w:rsidR="00673504" w:rsidRDefault="00647127" w:rsidP="00673504">
      <w:pPr>
        <w:pStyle w:val="ESPara"/>
        <w:numPr>
          <w:ilvl w:val="0"/>
          <w:numId w:val="1"/>
        </w:numPr>
        <w:ind w:left="567" w:hanging="567"/>
      </w:pPr>
      <w:r>
        <w:t>‘</w:t>
      </w:r>
      <w:r w:rsidR="00DF657D">
        <w:t>S</w:t>
      </w:r>
      <w:r w:rsidR="00673504">
        <w:t>tored communication</w:t>
      </w:r>
      <w:r>
        <w:t>s’</w:t>
      </w:r>
      <w:r w:rsidR="00673504">
        <w:t xml:space="preserve"> refers to </w:t>
      </w:r>
      <w:r w:rsidR="00DF657D">
        <w:t xml:space="preserve">the content of messages and emails sent via telecommunications systems which </w:t>
      </w:r>
      <w:r>
        <w:t>are</w:t>
      </w:r>
      <w:r w:rsidR="00DF657D">
        <w:t xml:space="preserve"> stored by a telecommunications provider, for example, on a server or hard drive. </w:t>
      </w:r>
      <w:r>
        <w:t>They are</w:t>
      </w:r>
      <w:r w:rsidR="00DF657D">
        <w:t xml:space="preserve"> not accessible by anyone except a party to the communication without the assistance of the telecommunications provider.  </w:t>
      </w:r>
    </w:p>
    <w:p w14:paraId="6D569110" w14:textId="3B2DACAA" w:rsidR="00253E3C" w:rsidRPr="00451B05" w:rsidRDefault="00253E3C" w:rsidP="00451B05">
      <w:pPr>
        <w:pStyle w:val="ESPara"/>
        <w:numPr>
          <w:ilvl w:val="0"/>
          <w:numId w:val="1"/>
        </w:numPr>
        <w:ind w:left="567" w:hanging="567"/>
      </w:pPr>
      <w:r>
        <w:t xml:space="preserve">Division 2 </w:t>
      </w:r>
      <w:r w:rsidR="00451B05">
        <w:t>of Part 3-3 of</w:t>
      </w:r>
      <w:r w:rsidR="004A7537">
        <w:t xml:space="preserve"> Chapter 3 of the TIA Act </w:t>
      </w:r>
      <w:r w:rsidR="00110024">
        <w:t>provides that a</w:t>
      </w:r>
      <w:r w:rsidR="004A7537">
        <w:t xml:space="preserve"> criminal law-enforcement agenc</w:t>
      </w:r>
      <w:r w:rsidR="00110024">
        <w:t>y</w:t>
      </w:r>
      <w:r w:rsidR="004A7537">
        <w:t xml:space="preserve"> </w:t>
      </w:r>
      <w:r w:rsidR="00110024">
        <w:t>may apply for</w:t>
      </w:r>
      <w:r w:rsidR="004A7537">
        <w:t xml:space="preserve"> a stored communications warrant in order to access material</w:t>
      </w:r>
      <w:r w:rsidR="00110024">
        <w:t xml:space="preserve"> held by a carrier</w:t>
      </w:r>
      <w:r w:rsidR="004A7537">
        <w:t>.</w:t>
      </w:r>
      <w:r w:rsidR="00110024">
        <w:t xml:space="preserve"> Division 2 of Part 3-1A of Chapter 3 provides for an issuing agency (which includes a criminal law-enforcement agency) to issue a domestic preservation notice, which requires the telecommunications provider to preserve all stored communications relevant to the notice for a </w:t>
      </w:r>
      <w:r w:rsidR="00281321">
        <w:t xml:space="preserve">specified </w:t>
      </w:r>
      <w:r w:rsidR="00110024">
        <w:t>period of time.</w:t>
      </w:r>
    </w:p>
    <w:p w14:paraId="2BB399B8" w14:textId="7491DC1C" w:rsidR="00401F2F" w:rsidRPr="00401F2F" w:rsidRDefault="00401F2F" w:rsidP="003265E6">
      <w:pPr>
        <w:pStyle w:val="ESHeading"/>
        <w:rPr>
          <w:i w:val="0"/>
        </w:rPr>
      </w:pPr>
      <w:r>
        <w:t>Telecommunications data</w:t>
      </w:r>
    </w:p>
    <w:p w14:paraId="10BE4F63" w14:textId="6245D97C" w:rsidR="00C50A75" w:rsidRDefault="005B123D" w:rsidP="00375290">
      <w:pPr>
        <w:pStyle w:val="ESPara"/>
        <w:numPr>
          <w:ilvl w:val="0"/>
          <w:numId w:val="1"/>
        </w:numPr>
        <w:ind w:left="567" w:hanging="567"/>
      </w:pPr>
      <w:r w:rsidRPr="003B33B2">
        <w:t xml:space="preserve">Telecommunications data is information </w:t>
      </w:r>
      <w:r w:rsidRPr="00375290">
        <w:t>about</w:t>
      </w:r>
      <w:r w:rsidRPr="003B33B2">
        <w:t xml:space="preserve"> a communication – such as the phone numbers of the people that called each other, how long they talked to each</w:t>
      </w:r>
      <w:r w:rsidR="0017446F" w:rsidRPr="003B33B2">
        <w:t xml:space="preserve"> other</w:t>
      </w:r>
      <w:r w:rsidRPr="003B33B2">
        <w:t xml:space="preserve">, the email address from which a message was sent and the time the message was sent. </w:t>
      </w:r>
      <w:r w:rsidR="00D97203">
        <w:t>T</w:t>
      </w:r>
      <w:r w:rsidRPr="003B33B2">
        <w:t xml:space="preserve">elecommunications data does </w:t>
      </w:r>
      <w:r w:rsidRPr="003B33B2">
        <w:lastRenderedPageBreak/>
        <w:t xml:space="preserve">not include the </w:t>
      </w:r>
      <w:r w:rsidRPr="00375290">
        <w:t>content</w:t>
      </w:r>
      <w:r w:rsidRPr="003B33B2">
        <w:t xml:space="preserve"> of a communication, such as the subject line of an email or the contents of an SMS.</w:t>
      </w:r>
      <w:r w:rsidR="00091453">
        <w:t xml:space="preserve"> </w:t>
      </w:r>
    </w:p>
    <w:p w14:paraId="1066C495" w14:textId="2434982A" w:rsidR="0017446F" w:rsidRDefault="00987CD0" w:rsidP="00375290">
      <w:pPr>
        <w:pStyle w:val="ESPara"/>
        <w:numPr>
          <w:ilvl w:val="0"/>
          <w:numId w:val="1"/>
        </w:numPr>
        <w:ind w:left="567" w:hanging="567"/>
      </w:pPr>
      <w:r>
        <w:t>Sections 187A and 187AA of the TIA Act require providers to retain the following telecommunications data for a period of two years</w:t>
      </w:r>
      <w:r w:rsidR="00091453">
        <w:t>:</w:t>
      </w:r>
    </w:p>
    <w:p w14:paraId="1AB6FC1F" w14:textId="77777777" w:rsidR="00091453" w:rsidRPr="00091453" w:rsidRDefault="00091453" w:rsidP="00375290">
      <w:pPr>
        <w:pStyle w:val="ESPara"/>
        <w:numPr>
          <w:ilvl w:val="1"/>
          <w:numId w:val="1"/>
        </w:numPr>
      </w:pPr>
      <w:r w:rsidRPr="00091453">
        <w:t xml:space="preserve">the subscriber of, and accounts, services, telecommunications devices and other relevant services relating to, the relevant service </w:t>
      </w:r>
    </w:p>
    <w:p w14:paraId="78F2F512" w14:textId="77777777" w:rsidR="00091453" w:rsidRPr="00091453" w:rsidRDefault="00091453" w:rsidP="00375290">
      <w:pPr>
        <w:pStyle w:val="ESPara"/>
        <w:numPr>
          <w:ilvl w:val="1"/>
          <w:numId w:val="1"/>
        </w:numPr>
      </w:pPr>
      <w:r w:rsidRPr="00091453">
        <w:t xml:space="preserve">the source of a communication </w:t>
      </w:r>
    </w:p>
    <w:p w14:paraId="1BB09C24" w14:textId="77777777" w:rsidR="00091453" w:rsidRPr="00091453" w:rsidRDefault="00091453" w:rsidP="00375290">
      <w:pPr>
        <w:pStyle w:val="ESPara"/>
        <w:numPr>
          <w:ilvl w:val="1"/>
          <w:numId w:val="1"/>
        </w:numPr>
      </w:pPr>
      <w:r w:rsidRPr="00091453">
        <w:t xml:space="preserve">the destination of a communication </w:t>
      </w:r>
    </w:p>
    <w:p w14:paraId="6162DA6E" w14:textId="77777777" w:rsidR="00091453" w:rsidRPr="00091453" w:rsidRDefault="00091453" w:rsidP="00375290">
      <w:pPr>
        <w:pStyle w:val="ESPara"/>
        <w:numPr>
          <w:ilvl w:val="1"/>
          <w:numId w:val="1"/>
        </w:numPr>
      </w:pPr>
      <w:r w:rsidRPr="00091453">
        <w:t xml:space="preserve">the date, time and duration of a communication, or of its connection to a relevant service </w:t>
      </w:r>
    </w:p>
    <w:p w14:paraId="2862A77F" w14:textId="77777777" w:rsidR="00091453" w:rsidRPr="00091453" w:rsidRDefault="00091453" w:rsidP="00375290">
      <w:pPr>
        <w:pStyle w:val="ESPara"/>
        <w:numPr>
          <w:ilvl w:val="1"/>
          <w:numId w:val="1"/>
        </w:numPr>
      </w:pPr>
      <w:r w:rsidRPr="00091453">
        <w:t xml:space="preserve">the type of a communication or of a relevant service used in connection with a communication, and </w:t>
      </w:r>
    </w:p>
    <w:p w14:paraId="19F27E98" w14:textId="64AF65B7" w:rsidR="003B33B2" w:rsidRPr="00375290" w:rsidRDefault="00091453" w:rsidP="00375290">
      <w:pPr>
        <w:pStyle w:val="ESPara"/>
        <w:numPr>
          <w:ilvl w:val="1"/>
          <w:numId w:val="1"/>
        </w:numPr>
      </w:pPr>
      <w:r w:rsidRPr="00091453">
        <w:t>the location of equipment, or a line, used in connection with a communication.</w:t>
      </w:r>
    </w:p>
    <w:p w14:paraId="3DFB488C" w14:textId="455E1A92" w:rsidR="0017446F" w:rsidRPr="00F67BD5" w:rsidRDefault="0017446F" w:rsidP="00375290">
      <w:pPr>
        <w:pStyle w:val="ESHeading"/>
      </w:pPr>
      <w:r w:rsidRPr="00F67BD5">
        <w:t>Purpose</w:t>
      </w:r>
      <w:r w:rsidR="00401F2F" w:rsidRPr="00F67BD5">
        <w:t xml:space="preserve"> of the </w:t>
      </w:r>
      <w:r w:rsidR="00D97203">
        <w:t>D</w:t>
      </w:r>
      <w:r w:rsidR="00D97203" w:rsidRPr="00F67BD5">
        <w:t>eclaration</w:t>
      </w:r>
    </w:p>
    <w:p w14:paraId="610CDFD4" w14:textId="74686650" w:rsidR="0017446F" w:rsidRPr="00375290" w:rsidRDefault="0017446F" w:rsidP="0017446F">
      <w:pPr>
        <w:pStyle w:val="ESPara"/>
        <w:numPr>
          <w:ilvl w:val="0"/>
          <w:numId w:val="1"/>
        </w:numPr>
        <w:ind w:left="567" w:hanging="567"/>
      </w:pPr>
      <w:r w:rsidRPr="002F6F49">
        <w:t>The purpose of the Declaration i</w:t>
      </w:r>
      <w:r w:rsidR="009527BA">
        <w:t xml:space="preserve">s to declare the </w:t>
      </w:r>
      <w:r w:rsidR="00407660">
        <w:t>ACT Integrity Commission</w:t>
      </w:r>
      <w:r w:rsidR="00987CD0">
        <w:t xml:space="preserve"> </w:t>
      </w:r>
      <w:r w:rsidR="00401F2F">
        <w:t xml:space="preserve">to be </w:t>
      </w:r>
      <w:r w:rsidRPr="002F6F49">
        <w:t xml:space="preserve">an </w:t>
      </w:r>
      <w:r w:rsidR="004A7537">
        <w:t>criminal law-</w:t>
      </w:r>
      <w:r w:rsidRPr="002F6F49">
        <w:t xml:space="preserve">enforcement agency </w:t>
      </w:r>
      <w:r>
        <w:t xml:space="preserve">under </w:t>
      </w:r>
      <w:r w:rsidRPr="002F6F49">
        <w:t>s</w:t>
      </w:r>
      <w:r>
        <w:t>ubs</w:t>
      </w:r>
      <w:r w:rsidR="00B75355">
        <w:t>ection </w:t>
      </w:r>
      <w:r w:rsidRPr="002F6F49">
        <w:t>1</w:t>
      </w:r>
      <w:r w:rsidR="004A7537">
        <w:t>10</w:t>
      </w:r>
      <w:r w:rsidRPr="002F6F49">
        <w:t>A(3)</w:t>
      </w:r>
      <w:r>
        <w:t xml:space="preserve"> </w:t>
      </w:r>
      <w:r w:rsidRPr="002F6F49">
        <w:t>of the</w:t>
      </w:r>
      <w:r w:rsidR="00401F2F">
        <w:t xml:space="preserve"> TIA</w:t>
      </w:r>
      <w:r w:rsidRPr="002F6F49">
        <w:t xml:space="preserve"> Act</w:t>
      </w:r>
      <w:r>
        <w:t xml:space="preserve"> to </w:t>
      </w:r>
      <w:r w:rsidR="00D97203">
        <w:t xml:space="preserve">enable </w:t>
      </w:r>
      <w:r w:rsidR="00407660">
        <w:t>it</w:t>
      </w:r>
      <w:r w:rsidR="00B404EB">
        <w:t xml:space="preserve"> to </w:t>
      </w:r>
      <w:r>
        <w:t xml:space="preserve">access </w:t>
      </w:r>
      <w:r w:rsidR="004A7537">
        <w:t xml:space="preserve">stored communications and </w:t>
      </w:r>
      <w:r>
        <w:t>telecommunications data.</w:t>
      </w:r>
    </w:p>
    <w:p w14:paraId="31CB3B3F" w14:textId="73797B76" w:rsidR="0017446F" w:rsidRPr="00F67BD5" w:rsidRDefault="0017446F" w:rsidP="00375290">
      <w:pPr>
        <w:pStyle w:val="ESHeading"/>
      </w:pPr>
      <w:r w:rsidRPr="00F67BD5">
        <w:t xml:space="preserve">Legislative </w:t>
      </w:r>
      <w:r w:rsidR="00B404EB" w:rsidRPr="00F67BD5">
        <w:t>s</w:t>
      </w:r>
      <w:r w:rsidRPr="00F67BD5">
        <w:t>cheme</w:t>
      </w:r>
    </w:p>
    <w:p w14:paraId="1C5E35D4" w14:textId="6E443C54" w:rsidR="00966C2E" w:rsidRDefault="00753EAB" w:rsidP="005773C2">
      <w:pPr>
        <w:pStyle w:val="ESPara"/>
        <w:numPr>
          <w:ilvl w:val="0"/>
          <w:numId w:val="1"/>
        </w:numPr>
        <w:ind w:left="567" w:hanging="567"/>
      </w:pPr>
      <w:r>
        <w:t>Paragraphs</w:t>
      </w:r>
      <w:r w:rsidR="007E0EA6" w:rsidRPr="003D5CAD">
        <w:t xml:space="preserve"> 1</w:t>
      </w:r>
      <w:r w:rsidR="00077995">
        <w:t>10</w:t>
      </w:r>
      <w:r w:rsidR="007E0EA6" w:rsidRPr="003D5CAD">
        <w:t>A(3)(a) and (b)</w:t>
      </w:r>
      <w:r w:rsidR="007E0EA6">
        <w:t xml:space="preserve"> of the</w:t>
      </w:r>
      <w:r w:rsidR="00401F2F">
        <w:t xml:space="preserve"> TIA</w:t>
      </w:r>
      <w:r w:rsidR="007E0EA6">
        <w:t xml:space="preserve"> Act provide</w:t>
      </w:r>
      <w:r w:rsidR="007E0EA6" w:rsidRPr="003D5CAD">
        <w:t xml:space="preserve"> that the </w:t>
      </w:r>
      <w:r w:rsidR="00217D39" w:rsidRPr="00217D39">
        <w:t>Attorney-General</w:t>
      </w:r>
      <w:r w:rsidR="007E0EA6" w:rsidRPr="003D5CAD">
        <w:t xml:space="preserve"> may, by legislative instrument, declare that an authority or body is a</w:t>
      </w:r>
      <w:r w:rsidR="0063024E">
        <w:t xml:space="preserve"> criminal law-</w:t>
      </w:r>
      <w:r w:rsidR="007E0EA6" w:rsidRPr="003D5CAD">
        <w:t xml:space="preserve">enforcement agency, and that persons or kinds of persons specified in a declaration are officers of the </w:t>
      </w:r>
      <w:r w:rsidR="0063024E">
        <w:t>criminal law-</w:t>
      </w:r>
      <w:r w:rsidR="007E0EA6" w:rsidRPr="003D5CAD">
        <w:t>enforcement agency for the purposes of the Act.</w:t>
      </w:r>
    </w:p>
    <w:p w14:paraId="6EDC95D9" w14:textId="4ACB583A" w:rsidR="007E0EA6" w:rsidRPr="00375290" w:rsidRDefault="00966C2E" w:rsidP="003010CF">
      <w:pPr>
        <w:pStyle w:val="ESPara"/>
        <w:numPr>
          <w:ilvl w:val="0"/>
          <w:numId w:val="1"/>
        </w:numPr>
        <w:ind w:left="567" w:hanging="567"/>
      </w:pPr>
      <w:r w:rsidRPr="00375290">
        <w:t>Subsection 1</w:t>
      </w:r>
      <w:r w:rsidR="0063024E">
        <w:t>10</w:t>
      </w:r>
      <w:r w:rsidRPr="00375290">
        <w:t>A(6) of the TIA Act provides that the declaration may be subject to conditions.</w:t>
      </w:r>
    </w:p>
    <w:p w14:paraId="11381A25" w14:textId="760490B1" w:rsidR="00401F2F" w:rsidRPr="00F67BD5" w:rsidRDefault="00D97203" w:rsidP="00375290">
      <w:pPr>
        <w:pStyle w:val="ESHeading"/>
      </w:pPr>
      <w:r>
        <w:t>Considerations</w:t>
      </w:r>
    </w:p>
    <w:p w14:paraId="40A0216C" w14:textId="4F7876D9" w:rsidR="00753EAB" w:rsidRPr="00375290" w:rsidRDefault="00753EAB" w:rsidP="00375290">
      <w:pPr>
        <w:pStyle w:val="ESPara"/>
        <w:numPr>
          <w:ilvl w:val="0"/>
          <w:numId w:val="1"/>
        </w:numPr>
        <w:ind w:left="567" w:hanging="567"/>
      </w:pPr>
      <w:r w:rsidRPr="00375290">
        <w:t>Section 1</w:t>
      </w:r>
      <w:r w:rsidR="0063024E">
        <w:t>10</w:t>
      </w:r>
      <w:r w:rsidRPr="00375290">
        <w:t>A</w:t>
      </w:r>
      <w:r w:rsidR="00987CD0" w:rsidRPr="00375290">
        <w:t xml:space="preserve"> of the TIA Act</w:t>
      </w:r>
      <w:r w:rsidRPr="00375290">
        <w:t xml:space="preserve"> sets out the considerations for the </w:t>
      </w:r>
      <w:r w:rsidR="00217D39" w:rsidRPr="00217D39">
        <w:t>Attorney</w:t>
      </w:r>
      <w:r w:rsidR="00217D39">
        <w:noBreakHyphen/>
      </w:r>
      <w:r w:rsidR="00217D39" w:rsidRPr="00217D39">
        <w:t>General</w:t>
      </w:r>
      <w:r w:rsidRPr="00375290">
        <w:t xml:space="preserve"> to make a declaration.</w:t>
      </w:r>
    </w:p>
    <w:p w14:paraId="69970D11" w14:textId="7224E47A" w:rsidR="00387087" w:rsidRPr="00F67BD5" w:rsidRDefault="00753EAB" w:rsidP="00375290">
      <w:pPr>
        <w:pStyle w:val="ESHeading"/>
        <w:rPr>
          <w:b w:val="0"/>
          <w:i w:val="0"/>
        </w:rPr>
      </w:pPr>
      <w:r w:rsidRPr="00F67BD5">
        <w:rPr>
          <w:b w:val="0"/>
        </w:rPr>
        <w:t xml:space="preserve">Functions of </w:t>
      </w:r>
      <w:r w:rsidR="00387087" w:rsidRPr="00F67BD5">
        <w:rPr>
          <w:b w:val="0"/>
        </w:rPr>
        <w:t>the agency</w:t>
      </w:r>
    </w:p>
    <w:p w14:paraId="00D86D72" w14:textId="52CF8F5B" w:rsidR="005B0A7B" w:rsidRPr="00375290" w:rsidRDefault="00924BBA" w:rsidP="00F67BD5">
      <w:pPr>
        <w:pStyle w:val="ESPara"/>
        <w:numPr>
          <w:ilvl w:val="0"/>
          <w:numId w:val="1"/>
        </w:numPr>
        <w:ind w:left="567" w:hanging="567"/>
      </w:pPr>
      <w:r w:rsidRPr="00DC3181">
        <w:t>U</w:t>
      </w:r>
      <w:r w:rsidR="004E7182" w:rsidRPr="00DC3181">
        <w:t>nder subsection 1</w:t>
      </w:r>
      <w:r w:rsidR="00621B52">
        <w:t>10</w:t>
      </w:r>
      <w:r w:rsidR="004E7182" w:rsidRPr="00DC3181">
        <w:t xml:space="preserve">A(3B) of the </w:t>
      </w:r>
      <w:r w:rsidR="0091158B" w:rsidRPr="00DC3181">
        <w:t xml:space="preserve">TIA </w:t>
      </w:r>
      <w:r w:rsidR="004E7182" w:rsidRPr="00DC3181">
        <w:t xml:space="preserve">Act, the </w:t>
      </w:r>
      <w:r w:rsidR="00217D39" w:rsidRPr="00217D39">
        <w:t>Attorney-General</w:t>
      </w:r>
      <w:r w:rsidR="004E7182" w:rsidRPr="00DC3181">
        <w:t xml:space="preserve"> must not make a declaration under subsection 1</w:t>
      </w:r>
      <w:r w:rsidR="00621B52">
        <w:t>10</w:t>
      </w:r>
      <w:r w:rsidR="004E7182" w:rsidRPr="00DC3181">
        <w:t>A(3), unless satisfied on reasonable grounds that the functions of the authority or body include</w:t>
      </w:r>
      <w:r w:rsidR="00621B52">
        <w:t xml:space="preserve"> the investigation of a ‘serious contravention’</w:t>
      </w:r>
      <w:r w:rsidR="004E7182" w:rsidRPr="00375290">
        <w:t>.</w:t>
      </w:r>
    </w:p>
    <w:p w14:paraId="2965D494" w14:textId="1D26ED28" w:rsidR="0017446F" w:rsidRDefault="00C50A75" w:rsidP="00F8255E">
      <w:pPr>
        <w:pStyle w:val="ESPara"/>
        <w:numPr>
          <w:ilvl w:val="0"/>
          <w:numId w:val="1"/>
        </w:numPr>
        <w:ind w:left="567" w:hanging="567"/>
      </w:pPr>
      <w:r>
        <w:t xml:space="preserve">The </w:t>
      </w:r>
      <w:r w:rsidR="00217D39" w:rsidRPr="00217D39">
        <w:t>Attorney-General</w:t>
      </w:r>
      <w:r>
        <w:t xml:space="preserve"> is satisfied the </w:t>
      </w:r>
      <w:r w:rsidR="0017446F">
        <w:t xml:space="preserve">functions of </w:t>
      </w:r>
      <w:r w:rsidR="00407660">
        <w:t>the ACT Integrity Commission</w:t>
      </w:r>
      <w:r w:rsidR="0091158B">
        <w:t xml:space="preserve"> </w:t>
      </w:r>
      <w:r w:rsidR="0017446F">
        <w:t xml:space="preserve">include the </w:t>
      </w:r>
      <w:r w:rsidR="00621B52">
        <w:t xml:space="preserve">investigation of serious contraventions as defined </w:t>
      </w:r>
      <w:r w:rsidR="00D97203">
        <w:t xml:space="preserve">in </w:t>
      </w:r>
      <w:r w:rsidR="00621B52">
        <w:t xml:space="preserve">section 5E of the TIA Act. </w:t>
      </w:r>
      <w:r w:rsidR="00407660">
        <w:t xml:space="preserve">The ACT Integrity Commission is responsible for investigating alleged and actual serious and systemic corrupt conduct within the ACT public sector. This conduct includes conduct which is criminal </w:t>
      </w:r>
      <w:r w:rsidR="00407660">
        <w:lastRenderedPageBreak/>
        <w:t>in nature and which carries</w:t>
      </w:r>
      <w:r w:rsidR="00621B52">
        <w:t xml:space="preserve"> significant</w:t>
      </w:r>
      <w:r w:rsidR="00407660">
        <w:t xml:space="preserve"> criminal penalties under Territory and Commonwealth law, such as theft, fraud and bribery relating to an ACT public official.</w:t>
      </w:r>
      <w:r w:rsidR="0017446F">
        <w:t xml:space="preserve"> </w:t>
      </w:r>
      <w:r w:rsidR="00407660">
        <w:t xml:space="preserve">The ACT Integrity Commission also plays a role in providing support for the prosecution of these crimes by Territory and Commonwealth prosecution authorities by referring matters throughout the investigation process. </w:t>
      </w:r>
    </w:p>
    <w:p w14:paraId="7632D3B4" w14:textId="5217DF00" w:rsidR="007E0EA6" w:rsidRDefault="00401F2F" w:rsidP="005C7F1A">
      <w:pPr>
        <w:pStyle w:val="ESPara"/>
        <w:numPr>
          <w:ilvl w:val="0"/>
          <w:numId w:val="1"/>
        </w:numPr>
        <w:ind w:left="567" w:hanging="567"/>
      </w:pPr>
      <w:r>
        <w:t>Paragraph</w:t>
      </w:r>
      <w:r w:rsidR="007E0EA6">
        <w:t xml:space="preserve"> 1</w:t>
      </w:r>
      <w:r w:rsidR="00621B52">
        <w:t>10</w:t>
      </w:r>
      <w:r w:rsidR="007E0EA6">
        <w:t>A(4)</w:t>
      </w:r>
      <w:r>
        <w:t>(b)</w:t>
      </w:r>
      <w:r w:rsidR="00987CD0">
        <w:t xml:space="preserve"> of the TIA Act</w:t>
      </w:r>
      <w:r w:rsidR="007E0EA6">
        <w:t xml:space="preserve"> requires the </w:t>
      </w:r>
      <w:r w:rsidR="00217D39" w:rsidRPr="00217D39">
        <w:t>Attorney-General</w:t>
      </w:r>
      <w:r w:rsidR="007E0EA6">
        <w:t xml:space="preserve"> to </w:t>
      </w:r>
      <w:r w:rsidR="002115D7">
        <w:t xml:space="preserve">have regard to </w:t>
      </w:r>
      <w:r w:rsidR="007E0EA6">
        <w:t>whether h</w:t>
      </w:r>
      <w:r w:rsidR="007E0EA6" w:rsidRPr="00836BF9">
        <w:t xml:space="preserve">aving access to </w:t>
      </w:r>
      <w:r w:rsidR="00621B52">
        <w:t>stored communications</w:t>
      </w:r>
      <w:r w:rsidR="007E0EA6">
        <w:t xml:space="preserve"> </w:t>
      </w:r>
      <w:r w:rsidR="007E0EA6" w:rsidRPr="00836BF9">
        <w:t xml:space="preserve">would be reasonably likely to assist </w:t>
      </w:r>
      <w:r w:rsidR="00407660">
        <w:t>the ACT Integrity Commission to</w:t>
      </w:r>
      <w:r w:rsidR="0091158B" w:rsidRPr="00836BF9">
        <w:t xml:space="preserve"> </w:t>
      </w:r>
      <w:r w:rsidR="007E0EA6" w:rsidRPr="00836BF9">
        <w:t xml:space="preserve">perform its function of </w:t>
      </w:r>
      <w:r w:rsidR="00621B52">
        <w:t>investigating serious contraventions</w:t>
      </w:r>
      <w:r w:rsidR="007E0EA6">
        <w:t>.</w:t>
      </w:r>
    </w:p>
    <w:p w14:paraId="1ED1C847" w14:textId="4D9148B7" w:rsidR="00407660" w:rsidRPr="00407660" w:rsidRDefault="00407660" w:rsidP="00407660">
      <w:pPr>
        <w:pStyle w:val="ESPara"/>
        <w:numPr>
          <w:ilvl w:val="0"/>
          <w:numId w:val="1"/>
        </w:numPr>
        <w:ind w:left="567" w:hanging="567"/>
      </w:pPr>
      <w:r w:rsidRPr="00407660">
        <w:t xml:space="preserve">The </w:t>
      </w:r>
      <w:r>
        <w:t>ability to access</w:t>
      </w:r>
      <w:r w:rsidR="00621B52">
        <w:t xml:space="preserve"> stored communications and</w:t>
      </w:r>
      <w:r>
        <w:t xml:space="preserve"> telecommunications data </w:t>
      </w:r>
      <w:r w:rsidRPr="00407660">
        <w:t xml:space="preserve">will assist </w:t>
      </w:r>
      <w:r w:rsidR="007E59A6">
        <w:t>the ACT Integrity Commission</w:t>
      </w:r>
      <w:r w:rsidRPr="00407660">
        <w:t xml:space="preserve"> in </w:t>
      </w:r>
      <w:r w:rsidR="007E59A6">
        <w:t xml:space="preserve">its </w:t>
      </w:r>
      <w:r w:rsidRPr="00407660">
        <w:t xml:space="preserve">role of investigating allegations of serious and systemic corrupt conduct through increased capacity to gather and analyse relevant information, and pursue search warrants and surveillance device warrants. </w:t>
      </w:r>
      <w:r w:rsidR="00621B52">
        <w:t>Stored communications and t</w:t>
      </w:r>
      <w:r w:rsidRPr="00407660">
        <w:t xml:space="preserve">elecommunications data is </w:t>
      </w:r>
      <w:r w:rsidR="001022B8">
        <w:t>an important</w:t>
      </w:r>
      <w:r w:rsidRPr="00407660">
        <w:t xml:space="preserve"> tool in seeking to identify, investigate and disrupt potentially corrupt behaviour within the ACT public sector.  </w:t>
      </w:r>
    </w:p>
    <w:p w14:paraId="3010321A" w14:textId="6CD76886" w:rsidR="007C16A1" w:rsidRPr="00F67BD5" w:rsidRDefault="007E0EA6" w:rsidP="00375290">
      <w:pPr>
        <w:pStyle w:val="ESHeading"/>
        <w:rPr>
          <w:b w:val="0"/>
        </w:rPr>
      </w:pPr>
      <w:r w:rsidRPr="00F67BD5">
        <w:rPr>
          <w:b w:val="0"/>
        </w:rPr>
        <w:t>Privacy considerations</w:t>
      </w:r>
    </w:p>
    <w:p w14:paraId="07E73622" w14:textId="599F73B7" w:rsidR="00140BF2" w:rsidRDefault="007E0EA6" w:rsidP="001D1F69">
      <w:pPr>
        <w:pStyle w:val="ESPara"/>
        <w:numPr>
          <w:ilvl w:val="0"/>
          <w:numId w:val="1"/>
        </w:numPr>
        <w:ind w:left="567" w:hanging="567"/>
      </w:pPr>
      <w:r>
        <w:t>Paragraph 1</w:t>
      </w:r>
      <w:r w:rsidR="005232E9">
        <w:t>10</w:t>
      </w:r>
      <w:r>
        <w:t xml:space="preserve">A(4)(c) </w:t>
      </w:r>
      <w:r w:rsidR="00D06D41">
        <w:t xml:space="preserve">of the </w:t>
      </w:r>
      <w:r w:rsidR="007F5B08">
        <w:t xml:space="preserve">TIA </w:t>
      </w:r>
      <w:r w:rsidR="00D06D41">
        <w:t xml:space="preserve">Act </w:t>
      </w:r>
      <w:r>
        <w:t>require</w:t>
      </w:r>
      <w:r w:rsidR="00140BF2">
        <w:t>s</w:t>
      </w:r>
      <w:r>
        <w:t xml:space="preserve"> </w:t>
      </w:r>
      <w:r w:rsidR="002115D7">
        <w:t xml:space="preserve">the </w:t>
      </w:r>
      <w:r w:rsidR="00217D39" w:rsidRPr="00217D39">
        <w:t>Attorney-General</w:t>
      </w:r>
      <w:r w:rsidR="002115D7">
        <w:t xml:space="preserve"> to have regard to </w:t>
      </w:r>
      <w:r w:rsidR="00CB2E3A">
        <w:t>protection of personal information</w:t>
      </w:r>
      <w:r w:rsidR="002115D7">
        <w:t xml:space="preserve"> by the authority or body</w:t>
      </w:r>
      <w:r>
        <w:t>.</w:t>
      </w:r>
    </w:p>
    <w:p w14:paraId="4361811D" w14:textId="3C777986" w:rsidR="001022B8" w:rsidRDefault="001022B8" w:rsidP="008109D1">
      <w:pPr>
        <w:pStyle w:val="ESPara"/>
        <w:numPr>
          <w:ilvl w:val="0"/>
          <w:numId w:val="1"/>
        </w:numPr>
        <w:ind w:left="567" w:hanging="567"/>
      </w:pPr>
      <w:r>
        <w:t>This includes</w:t>
      </w:r>
      <w:r w:rsidR="00401F2F">
        <w:t xml:space="preserve"> consideration of whether the agency is required to comply with the Australian Privacy Principles</w:t>
      </w:r>
      <w:r>
        <w:t xml:space="preserve"> (APPs) or a binding scheme that provides protection of personal information, comparable to the APPs</w:t>
      </w:r>
      <w:r w:rsidR="00401F2F">
        <w:t xml:space="preserve">. </w:t>
      </w:r>
      <w:bookmarkStart w:id="0" w:name="_Hlk160623711"/>
    </w:p>
    <w:p w14:paraId="3FA6F6A9" w14:textId="20BFEB7E" w:rsidR="009666F0" w:rsidRDefault="00140BF2" w:rsidP="00F67BD5">
      <w:pPr>
        <w:pStyle w:val="ESPara"/>
        <w:numPr>
          <w:ilvl w:val="0"/>
          <w:numId w:val="1"/>
        </w:numPr>
        <w:ind w:left="567" w:hanging="567"/>
      </w:pPr>
      <w:r>
        <w:t>As a</w:t>
      </w:r>
      <w:r w:rsidR="007E59A6">
        <w:t>n ACT Government entity, the ACT Integrity Commission</w:t>
      </w:r>
      <w:r>
        <w:t xml:space="preserve"> is not required to comply with the A</w:t>
      </w:r>
      <w:r w:rsidR="001022B8">
        <w:t>PPs</w:t>
      </w:r>
      <w:r>
        <w:t>.</w:t>
      </w:r>
      <w:r w:rsidR="001022B8">
        <w:t xml:space="preserve"> </w:t>
      </w:r>
      <w:r>
        <w:t xml:space="preserve">However, </w:t>
      </w:r>
      <w:r w:rsidR="001022B8">
        <w:t>it</w:t>
      </w:r>
      <w:r>
        <w:t xml:space="preserve"> is required to comply with a binding scheme that provides</w:t>
      </w:r>
      <w:r w:rsidR="00A02B55">
        <w:t xml:space="preserve"> for the</w:t>
      </w:r>
      <w:r>
        <w:t xml:space="preserve"> protection of personal information</w:t>
      </w:r>
      <w:r w:rsidR="00A02B55">
        <w:t xml:space="preserve"> through the </w:t>
      </w:r>
      <w:r w:rsidR="00C60F7F" w:rsidRPr="00F67BD5">
        <w:rPr>
          <w:i/>
        </w:rPr>
        <w:t xml:space="preserve">Information </w:t>
      </w:r>
      <w:r w:rsidR="007E59A6" w:rsidRPr="00F67BD5">
        <w:rPr>
          <w:i/>
        </w:rPr>
        <w:t>Privacy</w:t>
      </w:r>
      <w:r w:rsidR="00C60F7F" w:rsidRPr="00F67BD5">
        <w:rPr>
          <w:i/>
        </w:rPr>
        <w:t xml:space="preserve"> Act </w:t>
      </w:r>
      <w:r w:rsidR="007E59A6" w:rsidRPr="00F67BD5">
        <w:rPr>
          <w:i/>
        </w:rPr>
        <w:t>2014</w:t>
      </w:r>
      <w:r w:rsidR="00C60F7F" w:rsidRPr="00375290">
        <w:t xml:space="preserve"> (</w:t>
      </w:r>
      <w:r w:rsidR="007E59A6">
        <w:t>ACT</w:t>
      </w:r>
      <w:r w:rsidR="00C60F7F" w:rsidRPr="00375290">
        <w:t>) (</w:t>
      </w:r>
      <w:r w:rsidR="007E59A6">
        <w:t>ACT</w:t>
      </w:r>
      <w:r w:rsidR="009666F0" w:rsidRPr="00375290">
        <w:t xml:space="preserve"> Privacy</w:t>
      </w:r>
      <w:r w:rsidR="00C60F7F" w:rsidRPr="00375290">
        <w:t xml:space="preserve"> Act)</w:t>
      </w:r>
      <w:r w:rsidR="007E59A6">
        <w:t>.</w:t>
      </w:r>
    </w:p>
    <w:p w14:paraId="61247F15" w14:textId="721E9497" w:rsidR="009666F0" w:rsidRDefault="009666F0" w:rsidP="00375290">
      <w:pPr>
        <w:pStyle w:val="ESPara"/>
        <w:numPr>
          <w:ilvl w:val="0"/>
          <w:numId w:val="1"/>
        </w:numPr>
        <w:ind w:left="567" w:hanging="567"/>
      </w:pPr>
      <w:r w:rsidRPr="00D6314B">
        <w:t xml:space="preserve">The </w:t>
      </w:r>
      <w:r w:rsidR="007E59A6">
        <w:t>ACT Territory Privacy</w:t>
      </w:r>
      <w:r w:rsidRPr="00D6314B">
        <w:t xml:space="preserve"> Principles</w:t>
      </w:r>
      <w:r w:rsidR="007E59A6">
        <w:t xml:space="preserve"> (TPPs)</w:t>
      </w:r>
      <w:r w:rsidRPr="00D6314B">
        <w:t xml:space="preserve">, under the </w:t>
      </w:r>
      <w:r w:rsidR="007E59A6">
        <w:t>ACT</w:t>
      </w:r>
      <w:r w:rsidRPr="00D6314B">
        <w:t xml:space="preserve"> Privacy Act, are comparable to the </w:t>
      </w:r>
      <w:r w:rsidR="001022B8">
        <w:t>APPs</w:t>
      </w:r>
      <w:r w:rsidRPr="00D6314B">
        <w:t xml:space="preserve"> in providing safeguards for the collection, use, disclosure and security of personal inform</w:t>
      </w:r>
      <w:bookmarkEnd w:id="0"/>
      <w:r w:rsidRPr="00D6314B">
        <w:t>ation.</w:t>
      </w:r>
      <w:r w:rsidR="006E66EA">
        <w:t xml:space="preserve"> </w:t>
      </w:r>
    </w:p>
    <w:p w14:paraId="170F516B" w14:textId="4FCD5AD8" w:rsidR="00140BF2" w:rsidRPr="00F67BD5" w:rsidRDefault="00140BF2" w:rsidP="00375290">
      <w:pPr>
        <w:pStyle w:val="ESHeading"/>
        <w:rPr>
          <w:b w:val="0"/>
          <w:i w:val="0"/>
        </w:rPr>
      </w:pPr>
      <w:r w:rsidRPr="00F67BD5">
        <w:rPr>
          <w:b w:val="0"/>
        </w:rPr>
        <w:t>Compliance with TIA Act obligations</w:t>
      </w:r>
    </w:p>
    <w:p w14:paraId="3EE2A42A" w14:textId="55F3F2D2" w:rsidR="0041586B" w:rsidRDefault="0041586B" w:rsidP="002A4D2C">
      <w:pPr>
        <w:pStyle w:val="ESPara"/>
        <w:numPr>
          <w:ilvl w:val="0"/>
          <w:numId w:val="1"/>
        </w:numPr>
        <w:ind w:left="567" w:hanging="567"/>
      </w:pPr>
      <w:r>
        <w:t>Paragraph 1</w:t>
      </w:r>
      <w:r w:rsidR="002A1EA2">
        <w:t>10</w:t>
      </w:r>
      <w:r>
        <w:t xml:space="preserve">A(4)(d) </w:t>
      </w:r>
      <w:r w:rsidR="00D06D41">
        <w:t>of the</w:t>
      </w:r>
      <w:r w:rsidR="007F5B08">
        <w:t xml:space="preserve"> TIA</w:t>
      </w:r>
      <w:r w:rsidR="00D06D41">
        <w:t xml:space="preserve"> Act </w:t>
      </w:r>
      <w:r>
        <w:t xml:space="preserve">requires </w:t>
      </w:r>
      <w:r w:rsidR="002115D7">
        <w:t xml:space="preserve">the </w:t>
      </w:r>
      <w:r w:rsidR="00217D39" w:rsidRPr="00217D39">
        <w:t>Attorney-General</w:t>
      </w:r>
      <w:r w:rsidR="002115D7">
        <w:t xml:space="preserve"> to have regard to</w:t>
      </w:r>
      <w:r w:rsidR="002115D7" w:rsidDel="002115D7">
        <w:t xml:space="preserve"> </w:t>
      </w:r>
      <w:r>
        <w:t xml:space="preserve">whether </w:t>
      </w:r>
      <w:r w:rsidR="00C938E9">
        <w:t>the ACT Integrity Commission</w:t>
      </w:r>
      <w:r w:rsidR="009527BA">
        <w:t xml:space="preserve"> </w:t>
      </w:r>
      <w:r>
        <w:t>proposes to</w:t>
      </w:r>
      <w:r w:rsidR="007E0EA6">
        <w:t xml:space="preserve"> adopt processes and </w:t>
      </w:r>
      <w:r>
        <w:t xml:space="preserve">practices to ensure </w:t>
      </w:r>
      <w:r w:rsidR="007E0EA6">
        <w:t xml:space="preserve">it </w:t>
      </w:r>
      <w:r>
        <w:t>complies with</w:t>
      </w:r>
      <w:r w:rsidR="007F5B08">
        <w:t xml:space="preserve"> its obligations under Chapter </w:t>
      </w:r>
      <w:r w:rsidR="002A1EA2">
        <w:t>3</w:t>
      </w:r>
      <w:r w:rsidR="007E0EA6">
        <w:t xml:space="preserve"> of the </w:t>
      </w:r>
      <w:r w:rsidR="007F5B08">
        <w:t xml:space="preserve">TIA </w:t>
      </w:r>
      <w:r w:rsidR="007E0EA6">
        <w:t>Act.</w:t>
      </w:r>
    </w:p>
    <w:p w14:paraId="0246DA95" w14:textId="185B5228" w:rsidR="00D40551" w:rsidRDefault="00B03584" w:rsidP="00533B2A">
      <w:pPr>
        <w:pStyle w:val="ESPara"/>
        <w:keepNext/>
        <w:keepLines/>
        <w:numPr>
          <w:ilvl w:val="0"/>
          <w:numId w:val="1"/>
        </w:numPr>
        <w:ind w:left="567" w:hanging="567"/>
      </w:pPr>
      <w:r>
        <w:t>To meet its obligations</w:t>
      </w:r>
      <w:r w:rsidR="00B16D8D">
        <w:t xml:space="preserve">, </w:t>
      </w:r>
      <w:r w:rsidR="004E7D11">
        <w:t>the ACT Integrity Commission</w:t>
      </w:r>
      <w:r w:rsidR="006F0187">
        <w:t xml:space="preserve"> has</w:t>
      </w:r>
      <w:r w:rsidR="00D40551">
        <w:t>:</w:t>
      </w:r>
    </w:p>
    <w:p w14:paraId="58863B38" w14:textId="0AB751A3" w:rsidR="00B16D8D" w:rsidRPr="00B16D8D" w:rsidRDefault="00B16D8D" w:rsidP="00533B2A">
      <w:pPr>
        <w:pStyle w:val="ESPara"/>
        <w:keepNext/>
        <w:keepLines/>
        <w:numPr>
          <w:ilvl w:val="0"/>
          <w:numId w:val="13"/>
        </w:numPr>
        <w:ind w:left="1276" w:hanging="425"/>
      </w:pPr>
      <w:r w:rsidRPr="00B16D8D">
        <w:t>a purpose</w:t>
      </w:r>
      <w:r w:rsidRPr="00B16D8D">
        <w:noBreakHyphen/>
      </w:r>
      <w:r w:rsidR="00D40551">
        <w:t>built</w:t>
      </w:r>
      <w:r w:rsidRPr="00B16D8D">
        <w:t xml:space="preserve"> electronic data storage system</w:t>
      </w:r>
      <w:r w:rsidR="004E7D11">
        <w:t xml:space="preserve"> known as ‘Condor’</w:t>
      </w:r>
      <w:r w:rsidRPr="00B16D8D">
        <w:t xml:space="preserve"> for protected and sensitive information, accessible only by authorised staff</w:t>
      </w:r>
      <w:r w:rsidR="00A32CA3">
        <w:t>,</w:t>
      </w:r>
      <w:r w:rsidRPr="00B16D8D">
        <w:t xml:space="preserve"> which keeps </w:t>
      </w:r>
      <w:r w:rsidR="00D06D41" w:rsidRPr="00B16D8D">
        <w:t>sufficient</w:t>
      </w:r>
      <w:r w:rsidR="001D345B" w:rsidRPr="00B16D8D">
        <w:t xml:space="preserve"> records </w:t>
      </w:r>
      <w:r w:rsidRPr="00B16D8D">
        <w:t>for oversight purposes</w:t>
      </w:r>
    </w:p>
    <w:p w14:paraId="5A590541" w14:textId="5BC18A13" w:rsidR="00B16D8D" w:rsidRDefault="00B16D8D" w:rsidP="00375290">
      <w:pPr>
        <w:pStyle w:val="ESSubparaList"/>
        <w:numPr>
          <w:ilvl w:val="0"/>
          <w:numId w:val="13"/>
        </w:numPr>
        <w:ind w:left="1276" w:hanging="425"/>
      </w:pPr>
      <w:r w:rsidRPr="00B16D8D">
        <w:t>a cl</w:t>
      </w:r>
      <w:r>
        <w:t>e</w:t>
      </w:r>
      <w:r w:rsidRPr="00B16D8D">
        <w:t>ar hierarchy of approval before consent is given to make</w:t>
      </w:r>
      <w:r w:rsidR="006F0187">
        <w:t xml:space="preserve"> an authorisation under the TIA </w:t>
      </w:r>
      <w:r w:rsidRPr="00B16D8D">
        <w:t>Act</w:t>
      </w:r>
    </w:p>
    <w:p w14:paraId="224C08E7" w14:textId="787A8A16" w:rsidR="00B16D8D" w:rsidRPr="00B16D8D" w:rsidRDefault="00B16D8D" w:rsidP="00375290">
      <w:pPr>
        <w:pStyle w:val="ESSubparaList"/>
        <w:numPr>
          <w:ilvl w:val="0"/>
          <w:numId w:val="13"/>
        </w:numPr>
        <w:ind w:left="1276" w:hanging="425"/>
      </w:pPr>
      <w:r w:rsidRPr="00B16D8D">
        <w:lastRenderedPageBreak/>
        <w:t>clearly defined processes to record authorisation requests, outcomes, a</w:t>
      </w:r>
      <w:r>
        <w:t>nd use of information obtained, and</w:t>
      </w:r>
    </w:p>
    <w:p w14:paraId="1E07A622" w14:textId="2438F300" w:rsidR="00140BF2" w:rsidRPr="00375290" w:rsidRDefault="00B16D8D" w:rsidP="004E7279">
      <w:pPr>
        <w:pStyle w:val="ESSubparaList"/>
        <w:numPr>
          <w:ilvl w:val="0"/>
          <w:numId w:val="13"/>
        </w:numPr>
        <w:ind w:left="1276" w:hanging="425"/>
      </w:pPr>
      <w:r w:rsidRPr="00375290">
        <w:t>training on data retention laws, including authorised officer considerations.</w:t>
      </w:r>
    </w:p>
    <w:p w14:paraId="666925EB" w14:textId="7AD267FA" w:rsidR="00140BF2" w:rsidRDefault="00C938E9" w:rsidP="00375290">
      <w:pPr>
        <w:pStyle w:val="ESPara"/>
        <w:numPr>
          <w:ilvl w:val="0"/>
          <w:numId w:val="1"/>
        </w:numPr>
        <w:ind w:left="567" w:hanging="567"/>
      </w:pPr>
      <w:r>
        <w:t>The ACT Integrity Commission will</w:t>
      </w:r>
      <w:r w:rsidR="00D06D41" w:rsidRPr="00375290">
        <w:t xml:space="preserve"> report</w:t>
      </w:r>
      <w:r w:rsidR="00AB15C8" w:rsidRPr="00375290">
        <w:t xml:space="preserve"> </w:t>
      </w:r>
      <w:r w:rsidR="00D06D41" w:rsidRPr="00375290">
        <w:t xml:space="preserve">on its use of telecommunications data to </w:t>
      </w:r>
      <w:r w:rsidR="00B03584" w:rsidRPr="00375290">
        <w:t xml:space="preserve">the Commonwealth </w:t>
      </w:r>
      <w:r w:rsidR="00D40551">
        <w:t>Attorney-General</w:t>
      </w:r>
      <w:r w:rsidR="004E7D11">
        <w:t xml:space="preserve"> and </w:t>
      </w:r>
      <w:r w:rsidR="00132E9B" w:rsidRPr="00375290">
        <w:t>the Office of the Commonwealth Ombudsman</w:t>
      </w:r>
      <w:r w:rsidR="00E32D89">
        <w:t xml:space="preserve"> (OCO)</w:t>
      </w:r>
      <w:r w:rsidR="0041586B" w:rsidRPr="00375290">
        <w:t xml:space="preserve"> </w:t>
      </w:r>
      <w:r w:rsidR="004E7D11">
        <w:t xml:space="preserve">as </w:t>
      </w:r>
      <w:r w:rsidR="00D06D41" w:rsidRPr="00375290">
        <w:t>required by the TIA Act</w:t>
      </w:r>
      <w:r w:rsidR="004E7D11">
        <w:t>.</w:t>
      </w:r>
    </w:p>
    <w:p w14:paraId="2028678B" w14:textId="29A6D668" w:rsidR="00E32D89" w:rsidRDefault="00A32CA3" w:rsidP="00E32D89">
      <w:pPr>
        <w:pStyle w:val="ESPara"/>
        <w:numPr>
          <w:ilvl w:val="0"/>
          <w:numId w:val="1"/>
        </w:numPr>
        <w:ind w:left="567" w:hanging="567"/>
      </w:pPr>
      <w:r>
        <w:t>I</w:t>
      </w:r>
      <w:r w:rsidR="00C938E9">
        <w:t>n March 2024</w:t>
      </w:r>
      <w:r w:rsidR="00E32D89" w:rsidRPr="00B8572C">
        <w:t xml:space="preserve"> </w:t>
      </w:r>
      <w:r>
        <w:t xml:space="preserve">the OCO </w:t>
      </w:r>
      <w:r w:rsidR="00E32D89" w:rsidRPr="00B8572C">
        <w:t>assess</w:t>
      </w:r>
      <w:r w:rsidR="00E32D89">
        <w:t xml:space="preserve">ed </w:t>
      </w:r>
      <w:r w:rsidR="00C938E9">
        <w:t>the ACT Integrity Commission’s</w:t>
      </w:r>
      <w:r w:rsidR="00E32D89">
        <w:t xml:space="preserve"> systems, policies and processes to ensure </w:t>
      </w:r>
      <w:r w:rsidR="00C938E9">
        <w:t>it</w:t>
      </w:r>
      <w:r w:rsidR="00E32D89">
        <w:t xml:space="preserve"> can appropriately deal with and protect telecommunications data as required by the TIA Act.</w:t>
      </w:r>
    </w:p>
    <w:p w14:paraId="05174BF9" w14:textId="007C1A71" w:rsidR="00E32D89" w:rsidRPr="00375290" w:rsidRDefault="00C938E9" w:rsidP="00E32D89">
      <w:pPr>
        <w:pStyle w:val="ESPara"/>
        <w:numPr>
          <w:ilvl w:val="0"/>
          <w:numId w:val="1"/>
        </w:numPr>
        <w:ind w:left="567" w:hanging="567"/>
      </w:pPr>
      <w:r>
        <w:t xml:space="preserve">In its report, the OCO assessed the ACT Integrity Commission </w:t>
      </w:r>
      <w:r w:rsidR="00A32CA3">
        <w:t>was well-placed to exercise the powers under Chapter 3 and 4 of the TIA Act</w:t>
      </w:r>
      <w:r>
        <w:t xml:space="preserve">. </w:t>
      </w:r>
    </w:p>
    <w:p w14:paraId="71858F5F" w14:textId="5D1C4EE3" w:rsidR="006F0187" w:rsidRPr="00F67BD5" w:rsidRDefault="00140BF2" w:rsidP="00375290">
      <w:pPr>
        <w:pStyle w:val="ESHeading"/>
        <w:rPr>
          <w:b w:val="0"/>
          <w:i w:val="0"/>
        </w:rPr>
      </w:pPr>
      <w:r w:rsidRPr="00F67BD5">
        <w:rPr>
          <w:b w:val="0"/>
        </w:rPr>
        <w:t>Public interest</w:t>
      </w:r>
    </w:p>
    <w:p w14:paraId="4AD2D439" w14:textId="14B04295" w:rsidR="00B16D8D" w:rsidRPr="00375290" w:rsidRDefault="00121532" w:rsidP="00375290">
      <w:pPr>
        <w:pStyle w:val="ESPara"/>
        <w:numPr>
          <w:ilvl w:val="0"/>
          <w:numId w:val="1"/>
        </w:numPr>
        <w:ind w:left="567" w:hanging="567"/>
      </w:pPr>
      <w:r>
        <w:t>Paragraph 1</w:t>
      </w:r>
      <w:r w:rsidR="005869F2">
        <w:t>10</w:t>
      </w:r>
      <w:r>
        <w:t xml:space="preserve">A(4)(e) of the TIA Act requires </w:t>
      </w:r>
      <w:r w:rsidR="002115D7">
        <w:t xml:space="preserve">the </w:t>
      </w:r>
      <w:r w:rsidR="00217D39" w:rsidRPr="00217D39">
        <w:t>Attorney-General</w:t>
      </w:r>
      <w:r w:rsidR="002115D7">
        <w:t xml:space="preserve"> to have regard to</w:t>
      </w:r>
      <w:r w:rsidR="009C28DF">
        <w:t xml:space="preserve"> whether the declaration would be in the public interest. </w:t>
      </w:r>
      <w:r w:rsidR="00F70AA9">
        <w:t xml:space="preserve">Providing the ACT Integrity Commission with access to </w:t>
      </w:r>
      <w:r w:rsidR="005869F2">
        <w:t>stored communications and</w:t>
      </w:r>
      <w:r w:rsidR="00B16D8D">
        <w:t xml:space="preserve"> telecommunications data </w:t>
      </w:r>
      <w:r w:rsidR="00F70AA9">
        <w:t xml:space="preserve">will enhance its ability to </w:t>
      </w:r>
      <w:r w:rsidR="004E7D11">
        <w:t>investigat</w:t>
      </w:r>
      <w:r w:rsidR="00F70AA9">
        <w:t>e,</w:t>
      </w:r>
      <w:r w:rsidR="004E7D11">
        <w:t xml:space="preserve"> expos</w:t>
      </w:r>
      <w:r w:rsidR="00F70AA9">
        <w:t>e and prevent</w:t>
      </w:r>
      <w:r w:rsidR="004E7D11">
        <w:t xml:space="preserve"> corrupt conduct in the ACT public sector</w:t>
      </w:r>
      <w:r w:rsidR="00F70AA9">
        <w:t>. This will enhance community safety and increase trust and integrity in the ACT public sector</w:t>
      </w:r>
      <w:r w:rsidR="00B16D8D">
        <w:t>.</w:t>
      </w:r>
    </w:p>
    <w:p w14:paraId="376D6E7C" w14:textId="77777777" w:rsidR="003872DC" w:rsidRPr="00211271" w:rsidRDefault="003872DC" w:rsidP="00375290">
      <w:pPr>
        <w:pStyle w:val="ESHeading"/>
      </w:pPr>
      <w:r w:rsidRPr="00211271">
        <w:t>Consultation</w:t>
      </w:r>
    </w:p>
    <w:p w14:paraId="7C346E8C" w14:textId="70C0C111" w:rsidR="003872DC" w:rsidRPr="00211271" w:rsidRDefault="003872DC" w:rsidP="00375290">
      <w:pPr>
        <w:pStyle w:val="ESPara"/>
        <w:numPr>
          <w:ilvl w:val="0"/>
          <w:numId w:val="1"/>
        </w:numPr>
        <w:ind w:left="567" w:hanging="567"/>
      </w:pPr>
      <w:r w:rsidRPr="00211271">
        <w:t xml:space="preserve">The Office of </w:t>
      </w:r>
      <w:r w:rsidR="00297D3A" w:rsidRPr="00211271">
        <w:t>Impact Analysis</w:t>
      </w:r>
      <w:r w:rsidRPr="00211271">
        <w:t xml:space="preserve"> (the </w:t>
      </w:r>
      <w:r w:rsidR="00297D3A" w:rsidRPr="00211271">
        <w:t>OIA</w:t>
      </w:r>
      <w:r w:rsidRPr="00211271">
        <w:t xml:space="preserve">) has advised that a Regulation Impact Statement </w:t>
      </w:r>
      <w:r w:rsidR="00067D86" w:rsidRPr="00211271">
        <w:t>is not required</w:t>
      </w:r>
      <w:r w:rsidRPr="00211271">
        <w:t>. The O</w:t>
      </w:r>
      <w:r w:rsidR="00FD6DEA" w:rsidRPr="00211271">
        <w:t>IA</w:t>
      </w:r>
      <w:r w:rsidRPr="00211271">
        <w:t xml:space="preserve"> consultation reference number is </w:t>
      </w:r>
      <w:r w:rsidR="00211271" w:rsidRPr="00211271">
        <w:t>OIA24-07482</w:t>
      </w:r>
      <w:r w:rsidR="00791F9A" w:rsidRPr="00211271">
        <w:t>.</w:t>
      </w:r>
    </w:p>
    <w:p w14:paraId="0281F975" w14:textId="06BEA48C" w:rsidR="003872DC" w:rsidRPr="00375290" w:rsidRDefault="00C92759" w:rsidP="00375290">
      <w:pPr>
        <w:pStyle w:val="ESPara"/>
        <w:numPr>
          <w:ilvl w:val="0"/>
          <w:numId w:val="1"/>
        </w:numPr>
        <w:ind w:left="567" w:hanging="567"/>
      </w:pPr>
      <w:r w:rsidRPr="00375290">
        <w:t>T</w:t>
      </w:r>
      <w:r w:rsidR="003872DC" w:rsidRPr="00375290">
        <w:t xml:space="preserve">he Declaration is an instrument subject to disallowance </w:t>
      </w:r>
      <w:r w:rsidRPr="00375290">
        <w:t xml:space="preserve">under section 42 of the </w:t>
      </w:r>
      <w:r w:rsidRPr="00125472">
        <w:rPr>
          <w:i/>
        </w:rPr>
        <w:t>Legislation</w:t>
      </w:r>
      <w:r w:rsidR="00125472" w:rsidRPr="00125472">
        <w:rPr>
          <w:i/>
        </w:rPr>
        <w:t> </w:t>
      </w:r>
      <w:r w:rsidRPr="00125472">
        <w:rPr>
          <w:i/>
        </w:rPr>
        <w:t>Act 2003</w:t>
      </w:r>
      <w:r w:rsidRPr="00375290">
        <w:t xml:space="preserve"> </w:t>
      </w:r>
      <w:r w:rsidR="003872DC" w:rsidRPr="00375290">
        <w:t xml:space="preserve">and therefore a Statement of Compatibility with Human Rights has been provided at </w:t>
      </w:r>
      <w:r w:rsidR="003872DC" w:rsidRPr="00375290">
        <w:rPr>
          <w:b/>
          <w:u w:val="single"/>
        </w:rPr>
        <w:t xml:space="preserve">Attachment </w:t>
      </w:r>
      <w:r w:rsidR="003F3B01" w:rsidRPr="00375290">
        <w:rPr>
          <w:b/>
          <w:u w:val="single"/>
        </w:rPr>
        <w:t>A</w:t>
      </w:r>
      <w:r w:rsidR="003872DC" w:rsidRPr="00375290">
        <w:t>.</w:t>
      </w:r>
    </w:p>
    <w:p w14:paraId="30B2F24A" w14:textId="4A74C218" w:rsidR="001713C8" w:rsidRPr="00375290" w:rsidRDefault="00B16D8D" w:rsidP="00375290">
      <w:pPr>
        <w:pStyle w:val="ESPara"/>
        <w:numPr>
          <w:ilvl w:val="0"/>
          <w:numId w:val="1"/>
        </w:numPr>
        <w:ind w:left="567" w:hanging="567"/>
      </w:pPr>
      <w:r w:rsidRPr="00375290">
        <w:t xml:space="preserve">The </w:t>
      </w:r>
      <w:r w:rsidR="00297D3A">
        <w:t>Attorney-General’s Department</w:t>
      </w:r>
      <w:r w:rsidRPr="00375290">
        <w:t xml:space="preserve"> consulted </w:t>
      </w:r>
      <w:r w:rsidR="005438C3">
        <w:t>the ACT Integrity Commission,</w:t>
      </w:r>
      <w:r w:rsidRPr="00375290">
        <w:t xml:space="preserve"> the Office of the Australian Information Commissioner and the Office of the Commonwealth Ombudsman </w:t>
      </w:r>
      <w:r w:rsidR="00877C4B">
        <w:t>in the making of</w:t>
      </w:r>
      <w:r w:rsidRPr="00375290">
        <w:t xml:space="preserve"> this Declaration.</w:t>
      </w:r>
    </w:p>
    <w:p w14:paraId="04F9066E" w14:textId="2A185BDA" w:rsidR="002F6F49" w:rsidRPr="00F67BD5" w:rsidRDefault="00582A29" w:rsidP="00375290">
      <w:pPr>
        <w:pStyle w:val="ESHeading"/>
      </w:pPr>
      <w:r w:rsidRPr="00F67BD5">
        <w:t>D</w:t>
      </w:r>
      <w:r w:rsidR="00FE3FCB" w:rsidRPr="00F67BD5">
        <w:t>etails of the Telecommunications (Interception and Access) (</w:t>
      </w:r>
      <w:r w:rsidR="005869F2" w:rsidRPr="00F67BD5">
        <w:t>Criminal Law-</w:t>
      </w:r>
      <w:r w:rsidR="00FE3FCB" w:rsidRPr="00F67BD5">
        <w:t>Enforcement Agency</w:t>
      </w:r>
      <w:r w:rsidR="00877C4B">
        <w:t>—</w:t>
      </w:r>
      <w:r w:rsidR="005438C3" w:rsidRPr="00F67BD5">
        <w:t>ACT Integrity Commission</w:t>
      </w:r>
      <w:r w:rsidR="00FE3FCB" w:rsidRPr="00F67BD5">
        <w:t>) Declaration 202</w:t>
      </w:r>
      <w:r w:rsidR="009D63DA" w:rsidRPr="00F67BD5">
        <w:t>4</w:t>
      </w:r>
    </w:p>
    <w:p w14:paraId="5AF850C9" w14:textId="7C470103" w:rsidR="00A12704" w:rsidRDefault="00664984" w:rsidP="00497C22">
      <w:pPr>
        <w:pStyle w:val="ESPara"/>
        <w:numPr>
          <w:ilvl w:val="0"/>
          <w:numId w:val="1"/>
        </w:numPr>
        <w:ind w:left="567" w:hanging="567"/>
      </w:pPr>
      <w:r>
        <w:t>The Declaration</w:t>
      </w:r>
      <w:r w:rsidR="00E63364">
        <w:t xml:space="preserve"> is made</w:t>
      </w:r>
      <w:r>
        <w:t xml:space="preserve"> u</w:t>
      </w:r>
      <w:r w:rsidR="00201160">
        <w:t xml:space="preserve">nder the authority of </w:t>
      </w:r>
      <w:r w:rsidR="00433AD0">
        <w:t>paragraphs</w:t>
      </w:r>
      <w:r w:rsidR="00E63364">
        <w:t xml:space="preserve"> 1</w:t>
      </w:r>
      <w:r w:rsidR="005869F2">
        <w:t>10</w:t>
      </w:r>
      <w:r w:rsidR="00E63364">
        <w:t>A(3)</w:t>
      </w:r>
      <w:r w:rsidR="00957083">
        <w:t xml:space="preserve">(a) and (b) </w:t>
      </w:r>
      <w:r w:rsidR="00E63364">
        <w:t xml:space="preserve">of the </w:t>
      </w:r>
      <w:r w:rsidR="0091158B">
        <w:t xml:space="preserve">TIA </w:t>
      </w:r>
      <w:r w:rsidR="00E63364">
        <w:t xml:space="preserve">Act. </w:t>
      </w:r>
    </w:p>
    <w:p w14:paraId="76A6DC9C" w14:textId="748F5198" w:rsidR="00CD7F92" w:rsidRDefault="00CD7F92" w:rsidP="00375290">
      <w:pPr>
        <w:pStyle w:val="ESPara"/>
        <w:numPr>
          <w:ilvl w:val="0"/>
          <w:numId w:val="1"/>
        </w:numPr>
        <w:ind w:left="567" w:hanging="567"/>
      </w:pPr>
      <w:r>
        <w:t xml:space="preserve">Section 1 </w:t>
      </w:r>
      <w:r w:rsidR="00624CBF">
        <w:t>sets out the name of the Declaration</w:t>
      </w:r>
      <w:r w:rsidR="00A12704">
        <w:t xml:space="preserve">. </w:t>
      </w:r>
      <w:r>
        <w:t xml:space="preserve">   </w:t>
      </w:r>
    </w:p>
    <w:p w14:paraId="761266DF" w14:textId="55F608B7" w:rsidR="00A12704" w:rsidRPr="00375290" w:rsidRDefault="00CD7F92" w:rsidP="00375290">
      <w:pPr>
        <w:pStyle w:val="ESPara"/>
        <w:numPr>
          <w:ilvl w:val="0"/>
          <w:numId w:val="1"/>
        </w:numPr>
        <w:ind w:left="567" w:hanging="567"/>
      </w:pPr>
      <w:r>
        <w:t>Section 2 provides</w:t>
      </w:r>
      <w:r w:rsidR="00A12704">
        <w:t xml:space="preserve"> for the commencement of the </w:t>
      </w:r>
      <w:r w:rsidR="00624CBF">
        <w:t>Declaration</w:t>
      </w:r>
      <w:r w:rsidR="009D63DA">
        <w:t>, being</w:t>
      </w:r>
      <w:r w:rsidR="00A12704">
        <w:t xml:space="preserve"> </w:t>
      </w:r>
      <w:r w:rsidRPr="00AF1611">
        <w:t xml:space="preserve">the day after </w:t>
      </w:r>
      <w:r>
        <w:t>registration</w:t>
      </w:r>
      <w:r w:rsidR="009D63DA">
        <w:t xml:space="preserve"> on the Federal Register of Legislation</w:t>
      </w:r>
      <w:r w:rsidRPr="00AF1611">
        <w:t>.</w:t>
      </w:r>
      <w:r w:rsidR="00A12704">
        <w:t xml:space="preserve">  </w:t>
      </w:r>
    </w:p>
    <w:p w14:paraId="13F778F0" w14:textId="28F1C861" w:rsidR="00A12704" w:rsidRDefault="00A12704" w:rsidP="00102A64">
      <w:pPr>
        <w:pStyle w:val="ESPara"/>
        <w:numPr>
          <w:ilvl w:val="0"/>
          <w:numId w:val="1"/>
        </w:numPr>
        <w:ind w:left="567" w:hanging="567"/>
      </w:pPr>
      <w:r w:rsidRPr="00375290">
        <w:t>The note following section 2 refers to paragraph 1</w:t>
      </w:r>
      <w:r w:rsidR="005869F2">
        <w:t>10</w:t>
      </w:r>
      <w:r w:rsidRPr="00375290">
        <w:t>A(10)(b) of the TIA Act</w:t>
      </w:r>
      <w:r w:rsidR="00877C4B">
        <w:t>,</w:t>
      </w:r>
      <w:r w:rsidRPr="00375290">
        <w:t xml:space="preserve"> which provides that the declaration will cease to be in force at the end of the period of 40 sitting days of a </w:t>
      </w:r>
      <w:r w:rsidRPr="00375290">
        <w:lastRenderedPageBreak/>
        <w:t>House of the Parliament after the Declaration comes into force.</w:t>
      </w:r>
      <w:r w:rsidR="009623E0" w:rsidRPr="00375290">
        <w:t xml:space="preserve"> This reflects the temporary nature of the declaration.</w:t>
      </w:r>
    </w:p>
    <w:p w14:paraId="75933CB4" w14:textId="11744584" w:rsidR="00A12704" w:rsidRDefault="00A12704" w:rsidP="00FC1441">
      <w:pPr>
        <w:pStyle w:val="ESPara"/>
        <w:numPr>
          <w:ilvl w:val="0"/>
          <w:numId w:val="1"/>
        </w:numPr>
        <w:ind w:left="567" w:hanging="567"/>
      </w:pPr>
      <w:r>
        <w:t>In s</w:t>
      </w:r>
      <w:r w:rsidR="002615E3">
        <w:t>ubsection 3</w:t>
      </w:r>
      <w:r>
        <w:t xml:space="preserve">(1) of the </w:t>
      </w:r>
      <w:r w:rsidR="00624CBF">
        <w:t>Declaration</w:t>
      </w:r>
      <w:r w:rsidR="009623E0">
        <w:t>,</w:t>
      </w:r>
      <w:r>
        <w:t xml:space="preserve"> the </w:t>
      </w:r>
      <w:r w:rsidR="00217D39" w:rsidRPr="00217D39">
        <w:t>Attorney-General</w:t>
      </w:r>
      <w:r>
        <w:t xml:space="preserve"> declares </w:t>
      </w:r>
      <w:r w:rsidR="004E7D11">
        <w:t>the ACT Integrity Commission</w:t>
      </w:r>
      <w:r>
        <w:t xml:space="preserve"> to be a</w:t>
      </w:r>
      <w:r w:rsidR="005869F2">
        <w:t xml:space="preserve"> criminal law-</w:t>
      </w:r>
      <w:r>
        <w:t xml:space="preserve">enforcement agency </w:t>
      </w:r>
      <w:r w:rsidR="003D31CF">
        <w:t>under</w:t>
      </w:r>
      <w:r>
        <w:t xml:space="preserve"> paragraph </w:t>
      </w:r>
      <w:r w:rsidR="002615E3">
        <w:t>1</w:t>
      </w:r>
      <w:r w:rsidR="005869F2">
        <w:t>10</w:t>
      </w:r>
      <w:r w:rsidR="002615E3">
        <w:t>A(3)(a) of the TIA Act.</w:t>
      </w:r>
      <w:r>
        <w:t xml:space="preserve"> </w:t>
      </w:r>
      <w:bookmarkStart w:id="1" w:name="_GoBack"/>
      <w:bookmarkEnd w:id="1"/>
    </w:p>
    <w:p w14:paraId="2C04F213" w14:textId="38659D72" w:rsidR="009623E0" w:rsidRDefault="002615E3" w:rsidP="00741005">
      <w:pPr>
        <w:pStyle w:val="ESPara"/>
        <w:numPr>
          <w:ilvl w:val="0"/>
          <w:numId w:val="1"/>
        </w:numPr>
        <w:ind w:left="567" w:hanging="567"/>
      </w:pPr>
      <w:r>
        <w:t>In subsection 3</w:t>
      </w:r>
      <w:r w:rsidR="00A12704">
        <w:t xml:space="preserve">(2) of the </w:t>
      </w:r>
      <w:r w:rsidR="00624CBF">
        <w:t>Declaration</w:t>
      </w:r>
      <w:r w:rsidR="00433AD0">
        <w:t>,</w:t>
      </w:r>
      <w:r w:rsidR="00A12704">
        <w:t xml:space="preserve"> the </w:t>
      </w:r>
      <w:r w:rsidR="00217D39" w:rsidRPr="00217D39">
        <w:t>Attorney-General</w:t>
      </w:r>
      <w:r w:rsidR="00A12704">
        <w:t xml:space="preserve"> declares each staff member </w:t>
      </w:r>
      <w:r w:rsidR="00803132" w:rsidRPr="00803132">
        <w:t xml:space="preserve">of </w:t>
      </w:r>
      <w:r w:rsidR="00613813">
        <w:t>the ACT Integrity Commission</w:t>
      </w:r>
      <w:r w:rsidR="00803132" w:rsidRPr="00803132">
        <w:t xml:space="preserve"> to be officers of </w:t>
      </w:r>
      <w:r w:rsidR="00613813">
        <w:t>the ACT Integrity Commission</w:t>
      </w:r>
      <w:r w:rsidR="00803132" w:rsidRPr="00803132">
        <w:t xml:space="preserve"> for the purposes of the </w:t>
      </w:r>
      <w:r w:rsidR="00803132">
        <w:t xml:space="preserve">TIA </w:t>
      </w:r>
      <w:r w:rsidR="00803132" w:rsidRPr="00803132">
        <w:t>Act</w:t>
      </w:r>
      <w:r>
        <w:t>.</w:t>
      </w:r>
    </w:p>
    <w:p w14:paraId="6206E327" w14:textId="7B82EF2E" w:rsidR="002615E3" w:rsidRDefault="00877C4B" w:rsidP="00F6376A">
      <w:pPr>
        <w:pStyle w:val="ESPara"/>
        <w:numPr>
          <w:ilvl w:val="0"/>
          <w:numId w:val="1"/>
        </w:numPr>
        <w:ind w:left="567" w:hanging="567"/>
      </w:pPr>
      <w:r>
        <w:t xml:space="preserve">Subsection 110A(6) of the TIA Act provides that the declaration of a criminal law-enforcement agency may be subject to conditions. </w:t>
      </w:r>
      <w:r w:rsidR="002615E3">
        <w:t>The declaration</w:t>
      </w:r>
      <w:r w:rsidR="00217C07">
        <w:t xml:space="preserve"> in section 3</w:t>
      </w:r>
      <w:r w:rsidR="002615E3">
        <w:t xml:space="preserve"> is subject to </w:t>
      </w:r>
      <w:r w:rsidR="00613813">
        <w:t>one</w:t>
      </w:r>
      <w:r w:rsidR="00143CB8">
        <w:t xml:space="preserve"> </w:t>
      </w:r>
      <w:r w:rsidR="002615E3">
        <w:t>condition</w:t>
      </w:r>
      <w:r w:rsidR="00613813">
        <w:t xml:space="preserve"> </w:t>
      </w:r>
      <w:r w:rsidR="002615E3">
        <w:t xml:space="preserve">which </w:t>
      </w:r>
      <w:r w:rsidR="00613813">
        <w:t>is</w:t>
      </w:r>
      <w:r w:rsidR="002615E3">
        <w:t xml:space="preserve"> set out in section 4 of the instrument.</w:t>
      </w:r>
    </w:p>
    <w:p w14:paraId="295A0DAE" w14:textId="496929FE" w:rsidR="002D3A3A" w:rsidRDefault="002615E3" w:rsidP="0095784D">
      <w:pPr>
        <w:pStyle w:val="ESPara"/>
        <w:numPr>
          <w:ilvl w:val="0"/>
          <w:numId w:val="1"/>
        </w:numPr>
        <w:ind w:left="567" w:hanging="567"/>
      </w:pPr>
      <w:r>
        <w:t>P</w:t>
      </w:r>
      <w:r w:rsidR="008A5C05">
        <w:t>aragraph 4(1)(a</w:t>
      </w:r>
      <w:r>
        <w:t xml:space="preserve">) of the </w:t>
      </w:r>
      <w:r w:rsidR="00624CBF">
        <w:t>Declaration</w:t>
      </w:r>
      <w:r>
        <w:t xml:space="preserve"> provides that </w:t>
      </w:r>
      <w:r w:rsidR="00613813" w:rsidRPr="00613813">
        <w:t>ACT Integrity Commission officers are not to exercise powers under the Act with respect to any preliminary inquiries conducted by the ACT Integrity Commission</w:t>
      </w:r>
      <w:r w:rsidR="00430312" w:rsidRPr="00430312">
        <w:t xml:space="preserve"> under the authority of section 86 of the </w:t>
      </w:r>
      <w:r w:rsidR="00430312" w:rsidRPr="00430312">
        <w:rPr>
          <w:i/>
        </w:rPr>
        <w:t>Integrity Commission Act 2018</w:t>
      </w:r>
      <w:r w:rsidR="00430312" w:rsidRPr="00430312">
        <w:t xml:space="preserve"> (ACT).</w:t>
      </w:r>
    </w:p>
    <w:p w14:paraId="6D5AF7B2" w14:textId="3141F698" w:rsidR="001D345B" w:rsidRPr="00B85170" w:rsidRDefault="00613813" w:rsidP="00375290">
      <w:pPr>
        <w:pStyle w:val="ESPara"/>
        <w:numPr>
          <w:ilvl w:val="0"/>
          <w:numId w:val="1"/>
        </w:numPr>
        <w:ind w:left="567" w:hanging="567"/>
      </w:pPr>
      <w:r>
        <w:t xml:space="preserve">The ACT Integrity Commission has not been </w:t>
      </w:r>
      <w:r w:rsidR="00877C4B">
        <w:t>declared</w:t>
      </w:r>
      <w:r>
        <w:t xml:space="preserve"> to exercise </w:t>
      </w:r>
      <w:r w:rsidR="00877C4B">
        <w:t xml:space="preserve">TIA Act </w:t>
      </w:r>
      <w:r>
        <w:t>powers with respect to preliminary investigations at the request of the ACT</w:t>
      </w:r>
      <w:r w:rsidR="00877C4B">
        <w:t xml:space="preserve"> Government</w:t>
      </w:r>
      <w:r>
        <w:t xml:space="preserve">. </w:t>
      </w:r>
      <w:r w:rsidR="00877C4B">
        <w:t>The</w:t>
      </w:r>
      <w:r>
        <w:t xml:space="preserve"> restric</w:t>
      </w:r>
      <w:r w:rsidR="00877C4B">
        <w:t>tion on</w:t>
      </w:r>
      <w:r>
        <w:t xml:space="preserve"> the use of coercive and covert powers during preliminary inquiries </w:t>
      </w:r>
      <w:r w:rsidR="00877C4B">
        <w:t>is due</w:t>
      </w:r>
      <w:r>
        <w:t xml:space="preserve"> to their impact on human rights and potential engagement with the </w:t>
      </w:r>
      <w:r>
        <w:rPr>
          <w:i/>
        </w:rPr>
        <w:t xml:space="preserve">Human Rights Act 2004 </w:t>
      </w:r>
      <w:r>
        <w:t xml:space="preserve">(ACT). </w:t>
      </w:r>
    </w:p>
    <w:p w14:paraId="54BB9576" w14:textId="75533EB4" w:rsidR="00043279" w:rsidRDefault="00375290" w:rsidP="009623E0">
      <w:pPr>
        <w:pageBreakBefore/>
        <w:jc w:val="right"/>
        <w:rPr>
          <w:rFonts w:ascii="Times New Roman" w:hAnsi="Times New Roman" w:cs="Times New Roman"/>
          <w:b/>
          <w:szCs w:val="24"/>
          <w:u w:val="single"/>
        </w:rPr>
      </w:pPr>
      <w:r>
        <w:rPr>
          <w:rFonts w:ascii="Times New Roman" w:hAnsi="Times New Roman" w:cs="Times New Roman"/>
          <w:b/>
          <w:szCs w:val="24"/>
          <w:u w:val="single"/>
        </w:rPr>
        <w:lastRenderedPageBreak/>
        <w:t>Attachment</w:t>
      </w:r>
      <w:r w:rsidR="00043279">
        <w:rPr>
          <w:rFonts w:ascii="Times New Roman" w:hAnsi="Times New Roman" w:cs="Times New Roman"/>
          <w:b/>
          <w:szCs w:val="24"/>
          <w:u w:val="single"/>
        </w:rPr>
        <w:t xml:space="preserve"> A</w:t>
      </w:r>
    </w:p>
    <w:p w14:paraId="038EB6D5" w14:textId="177A3CE5" w:rsidR="00040C35" w:rsidRDefault="00040C35" w:rsidP="00E97624">
      <w:pPr>
        <w:spacing w:after="0" w:line="360" w:lineRule="auto"/>
        <w:jc w:val="both"/>
        <w:rPr>
          <w:rFonts w:ascii="Times New Roman" w:hAnsi="Times New Roman" w:cs="Times New Roman"/>
        </w:rPr>
      </w:pPr>
    </w:p>
    <w:p w14:paraId="687FB7A4" w14:textId="478AEAF7" w:rsidR="00D76FB8" w:rsidRDefault="00D76FB8" w:rsidP="00E97624">
      <w:pPr>
        <w:spacing w:after="0" w:line="360" w:lineRule="auto"/>
        <w:jc w:val="center"/>
        <w:rPr>
          <w:rFonts w:ascii="Times New Roman" w:hAnsi="Times New Roman" w:cs="Times New Roman"/>
          <w:b/>
        </w:rPr>
      </w:pPr>
      <w:r>
        <w:rPr>
          <w:rFonts w:ascii="Times New Roman" w:hAnsi="Times New Roman" w:cs="Times New Roman"/>
          <w:b/>
        </w:rPr>
        <w:t>Statement of Compatibility with Human Rights</w:t>
      </w:r>
    </w:p>
    <w:p w14:paraId="53D5EFAC" w14:textId="1E06B6B1" w:rsidR="00D76FB8" w:rsidRPr="00E97624" w:rsidRDefault="00D76FB8" w:rsidP="00E97624">
      <w:pPr>
        <w:spacing w:after="0" w:line="360" w:lineRule="auto"/>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14:paraId="75489776" w14:textId="66508C3B" w:rsidR="00FE3FCB" w:rsidRPr="00FE3FCB" w:rsidRDefault="00FE3FCB" w:rsidP="00FE3FCB">
      <w:pPr>
        <w:tabs>
          <w:tab w:val="left" w:pos="567"/>
        </w:tabs>
        <w:spacing w:before="360" w:after="0" w:line="360" w:lineRule="auto"/>
        <w:jc w:val="center"/>
        <w:rPr>
          <w:rFonts w:ascii="Times New Roman" w:hAnsi="Times New Roman" w:cs="Times New Roman"/>
          <w:b/>
          <w:i/>
        </w:rPr>
      </w:pPr>
      <w:r w:rsidRPr="00FE3FCB">
        <w:rPr>
          <w:rFonts w:ascii="Times New Roman" w:hAnsi="Times New Roman" w:cs="Times New Roman"/>
          <w:b/>
          <w:i/>
        </w:rPr>
        <w:t>Telecommunications (Interception and Access) (</w:t>
      </w:r>
      <w:r w:rsidR="005869F2">
        <w:rPr>
          <w:rFonts w:ascii="Times New Roman" w:hAnsi="Times New Roman" w:cs="Times New Roman"/>
          <w:b/>
          <w:i/>
        </w:rPr>
        <w:t>Criminal Law-</w:t>
      </w:r>
      <w:r w:rsidRPr="00FE3FCB">
        <w:rPr>
          <w:rFonts w:ascii="Times New Roman" w:hAnsi="Times New Roman" w:cs="Times New Roman"/>
          <w:b/>
          <w:i/>
        </w:rPr>
        <w:t>Enforcement Agency</w:t>
      </w:r>
      <w:r w:rsidR="003B5706">
        <w:rPr>
          <w:rFonts w:ascii="Times New Roman" w:hAnsi="Times New Roman" w:cs="Times New Roman"/>
          <w:b/>
          <w:i/>
        </w:rPr>
        <w:t>—</w:t>
      </w:r>
      <w:r w:rsidR="001C73A8">
        <w:rPr>
          <w:rFonts w:ascii="Times New Roman" w:hAnsi="Times New Roman" w:cs="Times New Roman"/>
          <w:b/>
          <w:i/>
        </w:rPr>
        <w:t>ACT Integrity Commission</w:t>
      </w:r>
      <w:r w:rsidRPr="00FE3FCB">
        <w:rPr>
          <w:rFonts w:ascii="Times New Roman" w:hAnsi="Times New Roman" w:cs="Times New Roman"/>
          <w:b/>
          <w:i/>
        </w:rPr>
        <w:t>) Declaration 202</w:t>
      </w:r>
      <w:r w:rsidR="004378E5">
        <w:rPr>
          <w:rFonts w:ascii="Times New Roman" w:hAnsi="Times New Roman" w:cs="Times New Roman"/>
          <w:b/>
          <w:i/>
        </w:rPr>
        <w:t>4</w:t>
      </w:r>
    </w:p>
    <w:p w14:paraId="75A42E0C" w14:textId="6F987165" w:rsidR="005D3BBA" w:rsidRDefault="003A2331" w:rsidP="00AA6E22">
      <w:pPr>
        <w:tabs>
          <w:tab w:val="left" w:pos="567"/>
        </w:tabs>
        <w:spacing w:before="360" w:after="0" w:line="276" w:lineRule="auto"/>
        <w:rPr>
          <w:rFonts w:ascii="Times New Roman" w:hAnsi="Times New Roman" w:cs="Times New Roman"/>
          <w:i/>
          <w:szCs w:val="24"/>
        </w:rPr>
      </w:pPr>
      <w:r>
        <w:rPr>
          <w:rFonts w:ascii="Times New Roman" w:hAnsi="Times New Roman" w:cs="Times New Roman"/>
        </w:rPr>
        <w:t xml:space="preserve">The </w:t>
      </w:r>
      <w:r w:rsidR="00FE3FCB" w:rsidRPr="006D0C2F">
        <w:rPr>
          <w:rFonts w:ascii="Times New Roman" w:hAnsi="Times New Roman" w:cs="Times New Roman"/>
          <w:i/>
        </w:rPr>
        <w:t>Telecommunications (Interception and Access) (</w:t>
      </w:r>
      <w:r w:rsidR="005869F2">
        <w:rPr>
          <w:rFonts w:ascii="Times New Roman" w:hAnsi="Times New Roman" w:cs="Times New Roman"/>
          <w:i/>
        </w:rPr>
        <w:t>Criminal Law-</w:t>
      </w:r>
      <w:r w:rsidR="00FE3FCB" w:rsidRPr="00FC6B3C">
        <w:rPr>
          <w:rFonts w:ascii="Times New Roman" w:hAnsi="Times New Roman" w:cs="Times New Roman"/>
          <w:i/>
        </w:rPr>
        <w:t>Enforcement Agency</w:t>
      </w:r>
      <w:r w:rsidR="003B5706">
        <w:rPr>
          <w:rFonts w:ascii="Times New Roman" w:hAnsi="Times New Roman" w:cs="Times New Roman"/>
          <w:i/>
        </w:rPr>
        <w:t>—</w:t>
      </w:r>
      <w:r w:rsidR="00F91FD4">
        <w:rPr>
          <w:rFonts w:ascii="Times New Roman" w:hAnsi="Times New Roman" w:cs="Times New Roman"/>
          <w:i/>
        </w:rPr>
        <w:t>ACT Integrity Commission</w:t>
      </w:r>
      <w:r w:rsidR="00FE3FCB">
        <w:rPr>
          <w:rFonts w:ascii="Times New Roman" w:hAnsi="Times New Roman" w:cs="Times New Roman"/>
          <w:i/>
        </w:rPr>
        <w:t>) Declaration 202</w:t>
      </w:r>
      <w:r w:rsidR="004378E5">
        <w:rPr>
          <w:rFonts w:ascii="Times New Roman" w:hAnsi="Times New Roman" w:cs="Times New Roman"/>
          <w:i/>
        </w:rPr>
        <w:t>4</w:t>
      </w:r>
      <w:r>
        <w:rPr>
          <w:rFonts w:ascii="Times New Roman" w:hAnsi="Times New Roman" w:cs="Times New Roman"/>
        </w:rPr>
        <w:t xml:space="preserve"> (the Declaration) </w:t>
      </w:r>
      <w:r w:rsidR="002F6C34">
        <w:rPr>
          <w:rFonts w:ascii="Times New Roman" w:hAnsi="Times New Roman" w:cs="Times New Roman"/>
          <w:szCs w:val="24"/>
        </w:rPr>
        <w:t xml:space="preserve">is compatible with the human rights and freedoms recognised or declared in the international instruments listed in section 3 of the </w:t>
      </w:r>
      <w:r w:rsidR="002F6C34">
        <w:rPr>
          <w:rFonts w:ascii="Times New Roman" w:hAnsi="Times New Roman" w:cs="Times New Roman"/>
          <w:i/>
          <w:szCs w:val="24"/>
        </w:rPr>
        <w:t>Human</w:t>
      </w:r>
      <w:r w:rsidR="005D540E">
        <w:rPr>
          <w:rFonts w:ascii="Times New Roman" w:hAnsi="Times New Roman" w:cs="Times New Roman"/>
          <w:i/>
          <w:szCs w:val="24"/>
        </w:rPr>
        <w:t> </w:t>
      </w:r>
      <w:r w:rsidR="002F6C34">
        <w:rPr>
          <w:rFonts w:ascii="Times New Roman" w:hAnsi="Times New Roman" w:cs="Times New Roman"/>
          <w:i/>
          <w:szCs w:val="24"/>
        </w:rPr>
        <w:t>Rights (Parliamentary Scrutiny) Act 2011.</w:t>
      </w:r>
    </w:p>
    <w:p w14:paraId="771598C3" w14:textId="6D8ED84A" w:rsidR="00696B97" w:rsidRPr="005D3BBA" w:rsidRDefault="005D3BBA" w:rsidP="00AA6E22">
      <w:pPr>
        <w:tabs>
          <w:tab w:val="left" w:pos="567"/>
        </w:tabs>
        <w:spacing w:before="360" w:after="0" w:line="276" w:lineRule="auto"/>
        <w:rPr>
          <w:rFonts w:ascii="Times New Roman" w:hAnsi="Times New Roman" w:cs="Times New Roman"/>
          <w:b/>
          <w:i/>
          <w:szCs w:val="24"/>
        </w:rPr>
      </w:pPr>
      <w:r w:rsidRPr="005D3BBA">
        <w:rPr>
          <w:rFonts w:ascii="Times New Roman" w:hAnsi="Times New Roman" w:cs="Times New Roman"/>
          <w:b/>
          <w:i/>
          <w:szCs w:val="24"/>
        </w:rPr>
        <w:t xml:space="preserve">Overview of the </w:t>
      </w:r>
      <w:r w:rsidR="004378E5" w:rsidRPr="005D3BBA">
        <w:rPr>
          <w:rFonts w:ascii="Times New Roman" w:hAnsi="Times New Roman" w:cs="Times New Roman"/>
          <w:b/>
          <w:i/>
          <w:szCs w:val="24"/>
        </w:rPr>
        <w:t>legislative instrument</w:t>
      </w:r>
    </w:p>
    <w:p w14:paraId="6C2DE56E" w14:textId="77777777" w:rsidR="00F33F39" w:rsidRDefault="00F33F39" w:rsidP="00AA6E22">
      <w:pPr>
        <w:spacing w:after="0" w:line="276" w:lineRule="auto"/>
        <w:jc w:val="both"/>
        <w:rPr>
          <w:rFonts w:ascii="Times New Roman" w:hAnsi="Times New Roman" w:cs="Times New Roman"/>
        </w:rPr>
      </w:pPr>
    </w:p>
    <w:p w14:paraId="06E5C151" w14:textId="1B453655" w:rsidR="00D87002" w:rsidRDefault="00D87002" w:rsidP="00AA6E22">
      <w:pPr>
        <w:spacing w:after="0" w:line="276" w:lineRule="auto"/>
        <w:jc w:val="both"/>
        <w:rPr>
          <w:rFonts w:ascii="Times New Roman" w:hAnsi="Times New Roman" w:cs="Times New Roman"/>
        </w:rPr>
      </w:pPr>
      <w:r>
        <w:rPr>
          <w:rFonts w:ascii="Times New Roman" w:hAnsi="Times New Roman" w:cs="Times New Roman"/>
        </w:rPr>
        <w:t>Section 1</w:t>
      </w:r>
      <w:r w:rsidR="005869F2">
        <w:rPr>
          <w:rFonts w:ascii="Times New Roman" w:hAnsi="Times New Roman" w:cs="Times New Roman"/>
        </w:rPr>
        <w:t>10</w:t>
      </w:r>
      <w:r>
        <w:rPr>
          <w:rFonts w:ascii="Times New Roman" w:hAnsi="Times New Roman" w:cs="Times New Roman"/>
        </w:rPr>
        <w:t>A of the</w:t>
      </w:r>
      <w:r w:rsidR="0060669E">
        <w:rPr>
          <w:rFonts w:ascii="Times New Roman" w:hAnsi="Times New Roman" w:cs="Times New Roman"/>
        </w:rPr>
        <w:t xml:space="preserve"> </w:t>
      </w:r>
      <w:r w:rsidR="0060669E">
        <w:rPr>
          <w:rFonts w:ascii="Times New Roman" w:hAnsi="Times New Roman" w:cs="Times New Roman"/>
          <w:i/>
        </w:rPr>
        <w:t xml:space="preserve">Telecommunications (Interception and Access) Act 1979 </w:t>
      </w:r>
      <w:r w:rsidR="0060669E">
        <w:rPr>
          <w:rFonts w:ascii="Times New Roman" w:hAnsi="Times New Roman" w:cs="Times New Roman"/>
        </w:rPr>
        <w:t>(</w:t>
      </w:r>
      <w:r>
        <w:rPr>
          <w:rFonts w:ascii="Times New Roman" w:hAnsi="Times New Roman" w:cs="Times New Roman"/>
        </w:rPr>
        <w:t>TIA Act</w:t>
      </w:r>
      <w:r w:rsidR="0060669E">
        <w:rPr>
          <w:rFonts w:ascii="Times New Roman" w:hAnsi="Times New Roman" w:cs="Times New Roman"/>
        </w:rPr>
        <w:t>)</w:t>
      </w:r>
      <w:r>
        <w:rPr>
          <w:rFonts w:ascii="Times New Roman" w:hAnsi="Times New Roman" w:cs="Times New Roman"/>
        </w:rPr>
        <w:t xml:space="preserve"> defines a</w:t>
      </w:r>
      <w:r w:rsidR="005869F2">
        <w:rPr>
          <w:rFonts w:ascii="Times New Roman" w:hAnsi="Times New Roman" w:cs="Times New Roman"/>
        </w:rPr>
        <w:t xml:space="preserve"> criminal law-</w:t>
      </w:r>
      <w:r>
        <w:rPr>
          <w:rFonts w:ascii="Times New Roman" w:hAnsi="Times New Roman" w:cs="Times New Roman"/>
        </w:rPr>
        <w:t xml:space="preserve">enforcement agency for the purposes of being able to access </w:t>
      </w:r>
      <w:r w:rsidR="005869F2">
        <w:rPr>
          <w:rFonts w:ascii="Times New Roman" w:hAnsi="Times New Roman" w:cs="Times New Roman"/>
        </w:rPr>
        <w:t>stored communications</w:t>
      </w:r>
      <w:r w:rsidR="00976F2A">
        <w:rPr>
          <w:rFonts w:ascii="Times New Roman" w:hAnsi="Times New Roman" w:cs="Times New Roman"/>
        </w:rPr>
        <w:t xml:space="preserve"> and telecommunications data as follows:</w:t>
      </w:r>
    </w:p>
    <w:p w14:paraId="6301AC3B" w14:textId="3DB54A82" w:rsidR="00430312" w:rsidRDefault="00976F2A" w:rsidP="00430312">
      <w:pPr>
        <w:pStyle w:val="ListParagraph0"/>
        <w:numPr>
          <w:ilvl w:val="0"/>
          <w:numId w:val="13"/>
        </w:numPr>
        <w:spacing w:before="240" w:after="0" w:line="276" w:lineRule="auto"/>
        <w:jc w:val="both"/>
        <w:rPr>
          <w:rFonts w:ascii="Times New Roman" w:hAnsi="Times New Roman" w:cs="Times New Roman"/>
        </w:rPr>
      </w:pPr>
      <w:r>
        <w:rPr>
          <w:rFonts w:ascii="Times New Roman" w:hAnsi="Times New Roman" w:cs="Times New Roman"/>
        </w:rPr>
        <w:t xml:space="preserve">a list of agencies, </w:t>
      </w:r>
      <w:r w:rsidR="00643B3F">
        <w:rPr>
          <w:rFonts w:ascii="Times New Roman" w:hAnsi="Times New Roman" w:cs="Times New Roman"/>
        </w:rPr>
        <w:t>includ</w:t>
      </w:r>
      <w:r>
        <w:rPr>
          <w:rFonts w:ascii="Times New Roman" w:hAnsi="Times New Roman" w:cs="Times New Roman"/>
        </w:rPr>
        <w:t>ing the Australian Federal Police,</w:t>
      </w:r>
      <w:r w:rsidR="00643B3F">
        <w:rPr>
          <w:rFonts w:ascii="Times New Roman" w:hAnsi="Times New Roman" w:cs="Times New Roman"/>
        </w:rPr>
        <w:t xml:space="preserve"> all state and territory police agencies, the Department of Home Affairs (for limited purposes), the Australian Competition and Consumer Commission, the Australian Securities and Investments Commission, the Australian Criminal Intelligence Commission, and various integrity and </w:t>
      </w:r>
      <w:r w:rsidR="004378E5">
        <w:rPr>
          <w:rFonts w:ascii="Times New Roman" w:hAnsi="Times New Roman" w:cs="Times New Roman"/>
        </w:rPr>
        <w:t>anti-</w:t>
      </w:r>
      <w:r w:rsidR="00643B3F">
        <w:rPr>
          <w:rFonts w:ascii="Times New Roman" w:hAnsi="Times New Roman" w:cs="Times New Roman"/>
        </w:rPr>
        <w:t>corruption Commissions, and</w:t>
      </w:r>
    </w:p>
    <w:p w14:paraId="3557C9F8" w14:textId="77777777" w:rsidR="00430312" w:rsidRPr="00430312" w:rsidRDefault="00430312" w:rsidP="00430312">
      <w:pPr>
        <w:pStyle w:val="ListParagraph0"/>
        <w:spacing w:before="240" w:after="0" w:line="276" w:lineRule="auto"/>
        <w:ind w:left="796"/>
        <w:jc w:val="both"/>
        <w:rPr>
          <w:rFonts w:ascii="Times New Roman" w:hAnsi="Times New Roman" w:cs="Times New Roman"/>
        </w:rPr>
      </w:pPr>
    </w:p>
    <w:p w14:paraId="3E586413" w14:textId="1A290C1B" w:rsidR="00643B3F" w:rsidRDefault="00643B3F" w:rsidP="00430312">
      <w:pPr>
        <w:pStyle w:val="ListParagraph0"/>
        <w:numPr>
          <w:ilvl w:val="0"/>
          <w:numId w:val="13"/>
        </w:numPr>
        <w:spacing w:before="240" w:after="0" w:line="276" w:lineRule="auto"/>
        <w:jc w:val="both"/>
        <w:rPr>
          <w:rFonts w:ascii="Times New Roman" w:hAnsi="Times New Roman" w:cs="Times New Roman"/>
        </w:rPr>
      </w:pPr>
      <w:r>
        <w:rPr>
          <w:rFonts w:ascii="Times New Roman" w:hAnsi="Times New Roman" w:cs="Times New Roman"/>
        </w:rPr>
        <w:t>an authority or body for which a declaration under subsection 1</w:t>
      </w:r>
      <w:r w:rsidR="00976F2A">
        <w:rPr>
          <w:rFonts w:ascii="Times New Roman" w:hAnsi="Times New Roman" w:cs="Times New Roman"/>
        </w:rPr>
        <w:t>10</w:t>
      </w:r>
      <w:r>
        <w:rPr>
          <w:rFonts w:ascii="Times New Roman" w:hAnsi="Times New Roman" w:cs="Times New Roman"/>
        </w:rPr>
        <w:t>A(3) is in force.</w:t>
      </w:r>
    </w:p>
    <w:p w14:paraId="5332CD00" w14:textId="77777777" w:rsidR="00643B3F" w:rsidRDefault="00643B3F" w:rsidP="00AA6E22">
      <w:pPr>
        <w:spacing w:after="0" w:line="276" w:lineRule="auto"/>
        <w:jc w:val="both"/>
        <w:rPr>
          <w:rFonts w:ascii="Times New Roman" w:hAnsi="Times New Roman" w:cs="Times New Roman"/>
        </w:rPr>
      </w:pPr>
    </w:p>
    <w:p w14:paraId="2E0AD118" w14:textId="0AD6EFDD" w:rsidR="002F6C34" w:rsidRDefault="000E1A40" w:rsidP="00AA6E22">
      <w:pPr>
        <w:spacing w:after="0" w:line="276" w:lineRule="auto"/>
        <w:jc w:val="both"/>
        <w:rPr>
          <w:rFonts w:ascii="Times New Roman" w:hAnsi="Times New Roman" w:cs="Times New Roman"/>
        </w:rPr>
      </w:pPr>
      <w:r>
        <w:rPr>
          <w:rFonts w:ascii="Times New Roman" w:hAnsi="Times New Roman" w:cs="Times New Roman"/>
        </w:rPr>
        <w:t xml:space="preserve">The </w:t>
      </w:r>
      <w:r w:rsidRPr="00074D13">
        <w:rPr>
          <w:rFonts w:ascii="Times New Roman" w:hAnsi="Times New Roman" w:cs="Times New Roman"/>
        </w:rPr>
        <w:t>Declaration</w:t>
      </w:r>
      <w:r>
        <w:rPr>
          <w:rFonts w:ascii="Times New Roman" w:hAnsi="Times New Roman" w:cs="Times New Roman"/>
        </w:rPr>
        <w:t xml:space="preserve"> is a legislative instrument made by the </w:t>
      </w:r>
      <w:r w:rsidR="00217D39" w:rsidRPr="00217D39">
        <w:rPr>
          <w:rFonts w:ascii="Times New Roman" w:hAnsi="Times New Roman" w:cs="Times New Roman"/>
        </w:rPr>
        <w:t>Attorney-General</w:t>
      </w:r>
      <w:r>
        <w:rPr>
          <w:rFonts w:ascii="Times New Roman" w:hAnsi="Times New Roman" w:cs="Times New Roman"/>
        </w:rPr>
        <w:t xml:space="preserve"> </w:t>
      </w:r>
      <w:r w:rsidR="00D87002">
        <w:rPr>
          <w:rFonts w:ascii="Times New Roman" w:hAnsi="Times New Roman" w:cs="Times New Roman"/>
        </w:rPr>
        <w:t>under subsection </w:t>
      </w:r>
      <w:r>
        <w:rPr>
          <w:rFonts w:ascii="Times New Roman" w:hAnsi="Times New Roman" w:cs="Times New Roman"/>
        </w:rPr>
        <w:t>1</w:t>
      </w:r>
      <w:r w:rsidR="00976F2A">
        <w:rPr>
          <w:rFonts w:ascii="Times New Roman" w:hAnsi="Times New Roman" w:cs="Times New Roman"/>
        </w:rPr>
        <w:t>10</w:t>
      </w:r>
      <w:r>
        <w:rPr>
          <w:rFonts w:ascii="Times New Roman" w:hAnsi="Times New Roman" w:cs="Times New Roman"/>
        </w:rPr>
        <w:t>A(3) of the</w:t>
      </w:r>
      <w:r w:rsidR="00DC37C4">
        <w:rPr>
          <w:rFonts w:ascii="Times New Roman" w:hAnsi="Times New Roman" w:cs="Times New Roman"/>
        </w:rPr>
        <w:t xml:space="preserve"> </w:t>
      </w:r>
      <w:r w:rsidR="007F5B08">
        <w:rPr>
          <w:rFonts w:ascii="Times New Roman" w:hAnsi="Times New Roman" w:cs="Times New Roman"/>
        </w:rPr>
        <w:t xml:space="preserve">TIA </w:t>
      </w:r>
      <w:r w:rsidR="00DC37C4">
        <w:rPr>
          <w:rFonts w:ascii="Times New Roman" w:hAnsi="Times New Roman" w:cs="Times New Roman"/>
        </w:rPr>
        <w:t xml:space="preserve">Act, and </w:t>
      </w:r>
      <w:r>
        <w:rPr>
          <w:rFonts w:ascii="Times New Roman" w:hAnsi="Times New Roman" w:cs="Times New Roman"/>
        </w:rPr>
        <w:t xml:space="preserve">declares </w:t>
      </w:r>
      <w:r w:rsidR="00430312">
        <w:rPr>
          <w:rFonts w:ascii="Times New Roman" w:hAnsi="Times New Roman" w:cs="Times New Roman"/>
        </w:rPr>
        <w:t>the ACT Integrity Commission</w:t>
      </w:r>
      <w:r w:rsidR="00F50DA4" w:rsidRPr="00F50DA4">
        <w:rPr>
          <w:rFonts w:ascii="Times New Roman" w:hAnsi="Times New Roman" w:cs="Times New Roman"/>
        </w:rPr>
        <w:t xml:space="preserve"> to be a</w:t>
      </w:r>
      <w:r w:rsidR="00976F2A">
        <w:rPr>
          <w:rFonts w:ascii="Times New Roman" w:hAnsi="Times New Roman" w:cs="Times New Roman"/>
        </w:rPr>
        <w:t xml:space="preserve"> criminal law-</w:t>
      </w:r>
      <w:r w:rsidR="00F50DA4" w:rsidRPr="00F50DA4">
        <w:rPr>
          <w:rFonts w:ascii="Times New Roman" w:hAnsi="Times New Roman" w:cs="Times New Roman"/>
        </w:rPr>
        <w:t>enforcement agency under subsection 1</w:t>
      </w:r>
      <w:r w:rsidR="00976F2A">
        <w:rPr>
          <w:rFonts w:ascii="Times New Roman" w:hAnsi="Times New Roman" w:cs="Times New Roman"/>
        </w:rPr>
        <w:t>10</w:t>
      </w:r>
      <w:r w:rsidR="00F50DA4" w:rsidRPr="00F50DA4">
        <w:rPr>
          <w:rFonts w:ascii="Times New Roman" w:hAnsi="Times New Roman" w:cs="Times New Roman"/>
        </w:rPr>
        <w:t>A(3) of the TIA</w:t>
      </w:r>
      <w:r w:rsidR="005D540E">
        <w:rPr>
          <w:rFonts w:ascii="Times New Roman" w:hAnsi="Times New Roman" w:cs="Times New Roman"/>
        </w:rPr>
        <w:t> </w:t>
      </w:r>
      <w:r w:rsidR="00F50DA4" w:rsidRPr="00F50DA4">
        <w:rPr>
          <w:rFonts w:ascii="Times New Roman" w:hAnsi="Times New Roman" w:cs="Times New Roman"/>
        </w:rPr>
        <w:t xml:space="preserve">Act to allow access to </w:t>
      </w:r>
      <w:r w:rsidR="00976F2A">
        <w:rPr>
          <w:rFonts w:ascii="Times New Roman" w:hAnsi="Times New Roman" w:cs="Times New Roman"/>
        </w:rPr>
        <w:t>stored</w:t>
      </w:r>
      <w:r w:rsidR="001345F8">
        <w:rPr>
          <w:rFonts w:ascii="Times New Roman" w:hAnsi="Times New Roman" w:cs="Times New Roman"/>
        </w:rPr>
        <w:t xml:space="preserve"> </w:t>
      </w:r>
      <w:r w:rsidR="00976F2A">
        <w:rPr>
          <w:rFonts w:ascii="Times New Roman" w:hAnsi="Times New Roman" w:cs="Times New Roman"/>
        </w:rPr>
        <w:t xml:space="preserve">communications and </w:t>
      </w:r>
      <w:r w:rsidR="00F50DA4" w:rsidRPr="00F50DA4">
        <w:rPr>
          <w:rFonts w:ascii="Times New Roman" w:hAnsi="Times New Roman" w:cs="Times New Roman"/>
        </w:rPr>
        <w:t>telecommunications data.</w:t>
      </w:r>
      <w:r w:rsidR="005F220E">
        <w:rPr>
          <w:rFonts w:ascii="Times New Roman" w:hAnsi="Times New Roman" w:cs="Times New Roman"/>
        </w:rPr>
        <w:t xml:space="preserve"> </w:t>
      </w:r>
      <w:r w:rsidR="00DC37C4">
        <w:rPr>
          <w:rFonts w:ascii="Times New Roman" w:hAnsi="Times New Roman" w:cs="Times New Roman"/>
        </w:rPr>
        <w:t xml:space="preserve">Additionally, the Declaration </w:t>
      </w:r>
      <w:r>
        <w:rPr>
          <w:rFonts w:ascii="Times New Roman" w:hAnsi="Times New Roman" w:cs="Times New Roman"/>
        </w:rPr>
        <w:t xml:space="preserve">specifies </w:t>
      </w:r>
      <w:r w:rsidR="00CF01A7">
        <w:rPr>
          <w:rFonts w:ascii="Times New Roman" w:hAnsi="Times New Roman" w:cs="Times New Roman"/>
        </w:rPr>
        <w:t xml:space="preserve">each staff member of </w:t>
      </w:r>
      <w:r w:rsidR="00430312">
        <w:rPr>
          <w:rFonts w:ascii="Times New Roman" w:hAnsi="Times New Roman" w:cs="Times New Roman"/>
        </w:rPr>
        <w:t>the ACT Integrity Commission</w:t>
      </w:r>
      <w:r>
        <w:rPr>
          <w:rFonts w:ascii="Times New Roman" w:hAnsi="Times New Roman" w:cs="Times New Roman"/>
        </w:rPr>
        <w:t xml:space="preserve"> to be officers</w:t>
      </w:r>
      <w:r w:rsidR="00672822">
        <w:rPr>
          <w:rFonts w:ascii="Times New Roman" w:hAnsi="Times New Roman" w:cs="Times New Roman"/>
        </w:rPr>
        <w:t xml:space="preserve"> under the </w:t>
      </w:r>
      <w:r w:rsidR="007F5B08">
        <w:rPr>
          <w:rFonts w:ascii="Times New Roman" w:hAnsi="Times New Roman" w:cs="Times New Roman"/>
        </w:rPr>
        <w:t xml:space="preserve">TIA </w:t>
      </w:r>
      <w:r w:rsidR="00672822">
        <w:rPr>
          <w:rFonts w:ascii="Times New Roman" w:hAnsi="Times New Roman" w:cs="Times New Roman"/>
        </w:rPr>
        <w:t>Act</w:t>
      </w:r>
      <w:r w:rsidR="00A926A5">
        <w:rPr>
          <w:rFonts w:ascii="Times New Roman" w:hAnsi="Times New Roman" w:cs="Times New Roman"/>
        </w:rPr>
        <w:t>.</w:t>
      </w:r>
    </w:p>
    <w:p w14:paraId="0E0D6805" w14:textId="335C3201" w:rsidR="00F62E9A" w:rsidRDefault="00F62E9A" w:rsidP="00AA6E22">
      <w:pPr>
        <w:spacing w:after="0" w:line="276" w:lineRule="auto"/>
        <w:jc w:val="both"/>
        <w:rPr>
          <w:rFonts w:ascii="Times New Roman" w:hAnsi="Times New Roman" w:cs="Times New Roman"/>
        </w:rPr>
      </w:pPr>
    </w:p>
    <w:p w14:paraId="21E3D2E3" w14:textId="15FF8B70" w:rsidR="0020516F" w:rsidRDefault="00F62E9A" w:rsidP="00AA6E22">
      <w:pPr>
        <w:keepNext/>
        <w:keepLines/>
        <w:spacing w:after="0" w:line="276" w:lineRule="auto"/>
        <w:jc w:val="both"/>
        <w:rPr>
          <w:rFonts w:ascii="Times New Roman" w:hAnsi="Times New Roman" w:cs="Times New Roman"/>
        </w:rPr>
      </w:pPr>
      <w:r w:rsidRPr="0020516F">
        <w:rPr>
          <w:rFonts w:ascii="Times New Roman" w:hAnsi="Times New Roman" w:cs="Times New Roman"/>
        </w:rPr>
        <w:t>The Declaration is sub</w:t>
      </w:r>
      <w:r w:rsidR="0020516F">
        <w:rPr>
          <w:rFonts w:ascii="Times New Roman" w:hAnsi="Times New Roman" w:cs="Times New Roman"/>
        </w:rPr>
        <w:t xml:space="preserve">ject to </w:t>
      </w:r>
      <w:r w:rsidR="00430312">
        <w:rPr>
          <w:rFonts w:ascii="Times New Roman" w:hAnsi="Times New Roman" w:cs="Times New Roman"/>
        </w:rPr>
        <w:t>one</w:t>
      </w:r>
      <w:r w:rsidR="0020516F">
        <w:rPr>
          <w:rFonts w:ascii="Times New Roman" w:hAnsi="Times New Roman" w:cs="Times New Roman"/>
        </w:rPr>
        <w:t xml:space="preserve"> condition:</w:t>
      </w:r>
    </w:p>
    <w:p w14:paraId="285681D7" w14:textId="5D78A41E" w:rsidR="00430312" w:rsidRDefault="00430312" w:rsidP="00430312">
      <w:pPr>
        <w:pStyle w:val="ListParagraph0"/>
        <w:keepNext/>
        <w:keepLines/>
        <w:numPr>
          <w:ilvl w:val="0"/>
          <w:numId w:val="20"/>
        </w:numPr>
        <w:spacing w:before="240" w:after="0" w:line="276" w:lineRule="auto"/>
        <w:jc w:val="both"/>
        <w:rPr>
          <w:rFonts w:ascii="Times New Roman" w:hAnsi="Times New Roman" w:cs="Times New Roman"/>
        </w:rPr>
      </w:pPr>
      <w:r w:rsidRPr="00430312">
        <w:rPr>
          <w:rFonts w:ascii="Times New Roman" w:hAnsi="Times New Roman" w:cs="Times New Roman"/>
        </w:rPr>
        <w:t>ACT Integrity Commission officers are not to exercise powers under the Act with respect to any preliminary inquiries conducted by the ACT Integrity Commission</w:t>
      </w:r>
      <w:r w:rsidRPr="00430312">
        <w:t xml:space="preserve"> </w:t>
      </w:r>
      <w:bookmarkStart w:id="2" w:name="_Hlk164857661"/>
      <w:r w:rsidRPr="00430312">
        <w:rPr>
          <w:rFonts w:ascii="Times New Roman" w:hAnsi="Times New Roman" w:cs="Times New Roman"/>
        </w:rPr>
        <w:t xml:space="preserve">under the authority of section 86 of the </w:t>
      </w:r>
      <w:r w:rsidRPr="00430312">
        <w:rPr>
          <w:rFonts w:ascii="Times New Roman" w:hAnsi="Times New Roman" w:cs="Times New Roman"/>
          <w:i/>
        </w:rPr>
        <w:t>Integrity Commission Act 2018</w:t>
      </w:r>
      <w:r w:rsidRPr="00430312">
        <w:rPr>
          <w:rFonts w:ascii="Times New Roman" w:hAnsi="Times New Roman" w:cs="Times New Roman"/>
        </w:rPr>
        <w:t xml:space="preserve"> (ACT).</w:t>
      </w:r>
      <w:bookmarkEnd w:id="2"/>
    </w:p>
    <w:p w14:paraId="06EFF21D" w14:textId="79C57CED" w:rsidR="0020516F" w:rsidRPr="00430312" w:rsidRDefault="00430312" w:rsidP="00430312">
      <w:pPr>
        <w:keepNext/>
        <w:keepLines/>
        <w:spacing w:after="0" w:line="276" w:lineRule="auto"/>
        <w:ind w:left="540"/>
        <w:jc w:val="both"/>
        <w:rPr>
          <w:rFonts w:ascii="Times New Roman" w:hAnsi="Times New Roman" w:cs="Times New Roman"/>
        </w:rPr>
      </w:pPr>
      <w:r w:rsidRPr="00430312">
        <w:rPr>
          <w:rFonts w:ascii="Times New Roman" w:hAnsi="Times New Roman" w:cs="Times New Roman"/>
        </w:rPr>
        <w:t xml:space="preserve"> </w:t>
      </w:r>
    </w:p>
    <w:p w14:paraId="738C52E2" w14:textId="354845B0" w:rsidR="00D87002" w:rsidRDefault="00B47CDC" w:rsidP="00AA6E22">
      <w:pPr>
        <w:spacing w:after="0" w:line="276" w:lineRule="auto"/>
        <w:jc w:val="both"/>
        <w:rPr>
          <w:rFonts w:ascii="Times New Roman" w:hAnsi="Times New Roman" w:cs="Times New Roman"/>
        </w:rPr>
      </w:pPr>
      <w:r>
        <w:rPr>
          <w:rFonts w:ascii="Times New Roman" w:hAnsi="Times New Roman" w:cs="Times New Roman"/>
        </w:rPr>
        <w:t>The</w:t>
      </w:r>
      <w:r w:rsidR="00D87002">
        <w:rPr>
          <w:rFonts w:ascii="Times New Roman" w:hAnsi="Times New Roman" w:cs="Times New Roman"/>
        </w:rPr>
        <w:t xml:space="preserve"> Declaration</w:t>
      </w:r>
      <w:r w:rsidR="00FC4419">
        <w:rPr>
          <w:rFonts w:ascii="Times New Roman" w:hAnsi="Times New Roman" w:cs="Times New Roman"/>
        </w:rPr>
        <w:t xml:space="preserve"> </w:t>
      </w:r>
      <w:r w:rsidR="00D87002">
        <w:rPr>
          <w:rFonts w:ascii="Times New Roman" w:hAnsi="Times New Roman" w:cs="Times New Roman"/>
        </w:rPr>
        <w:t>allows</w:t>
      </w:r>
      <w:r w:rsidR="00FC4419">
        <w:rPr>
          <w:rFonts w:ascii="Times New Roman" w:hAnsi="Times New Roman" w:cs="Times New Roman"/>
        </w:rPr>
        <w:t xml:space="preserve"> the ACT Integrity Commission to exercise powers under Chapters 3 and 4 of the TIA Act with respect to investigations conducted under Part 3.4 of the </w:t>
      </w:r>
      <w:r w:rsidR="00FC4419">
        <w:rPr>
          <w:rFonts w:ascii="Times New Roman" w:hAnsi="Times New Roman" w:cs="Times New Roman"/>
          <w:i/>
        </w:rPr>
        <w:t xml:space="preserve">Integrity Commission Act 2018 </w:t>
      </w:r>
      <w:r w:rsidR="00FC4419">
        <w:rPr>
          <w:rFonts w:ascii="Times New Roman" w:hAnsi="Times New Roman" w:cs="Times New Roman"/>
        </w:rPr>
        <w:t xml:space="preserve">(ACT). </w:t>
      </w:r>
      <w:r w:rsidR="00D87002">
        <w:rPr>
          <w:rFonts w:ascii="Times New Roman" w:hAnsi="Times New Roman" w:cs="Times New Roman"/>
        </w:rPr>
        <w:t xml:space="preserve"> </w:t>
      </w:r>
    </w:p>
    <w:p w14:paraId="0396FAF5" w14:textId="52264B77" w:rsidR="004A2048" w:rsidRDefault="004A2048" w:rsidP="00AA6E22">
      <w:pPr>
        <w:spacing w:after="0" w:line="276" w:lineRule="auto"/>
        <w:jc w:val="both"/>
        <w:rPr>
          <w:rFonts w:ascii="Times New Roman" w:hAnsi="Times New Roman" w:cs="Times New Roman"/>
        </w:rPr>
      </w:pPr>
    </w:p>
    <w:p w14:paraId="3E489295" w14:textId="40245641" w:rsidR="004A2048" w:rsidRDefault="004A2048" w:rsidP="00AA6E22">
      <w:pPr>
        <w:spacing w:after="0" w:line="276" w:lineRule="auto"/>
        <w:jc w:val="both"/>
        <w:rPr>
          <w:rFonts w:ascii="Times New Roman" w:hAnsi="Times New Roman" w:cs="Times New Roman"/>
        </w:rPr>
      </w:pPr>
      <w:r w:rsidRPr="00463B2A">
        <w:rPr>
          <w:rFonts w:ascii="Times New Roman" w:hAnsi="Times New Roman" w:cs="Times New Roman"/>
        </w:rPr>
        <w:lastRenderedPageBreak/>
        <w:t xml:space="preserve">The </w:t>
      </w:r>
      <w:r>
        <w:rPr>
          <w:rFonts w:ascii="Times New Roman" w:hAnsi="Times New Roman" w:cs="Times New Roman"/>
        </w:rPr>
        <w:t>Declaration</w:t>
      </w:r>
      <w:r w:rsidRPr="00463B2A">
        <w:rPr>
          <w:rFonts w:ascii="Times New Roman" w:hAnsi="Times New Roman" w:cs="Times New Roman"/>
        </w:rPr>
        <w:t xml:space="preserve"> does not change the statutory </w:t>
      </w:r>
      <w:r w:rsidR="00044031">
        <w:rPr>
          <w:rFonts w:ascii="Times New Roman" w:hAnsi="Times New Roman" w:cs="Times New Roman"/>
        </w:rPr>
        <w:t xml:space="preserve">basis on </w:t>
      </w:r>
      <w:r w:rsidRPr="00463B2A">
        <w:rPr>
          <w:rFonts w:ascii="Times New Roman" w:hAnsi="Times New Roman" w:cs="Times New Roman"/>
        </w:rPr>
        <w:t>which</w:t>
      </w:r>
      <w:r w:rsidR="00976F2A">
        <w:rPr>
          <w:rFonts w:ascii="Times New Roman" w:hAnsi="Times New Roman" w:cs="Times New Roman"/>
        </w:rPr>
        <w:t xml:space="preserve"> criminal law-</w:t>
      </w:r>
      <w:r w:rsidRPr="00463B2A">
        <w:rPr>
          <w:rFonts w:ascii="Times New Roman" w:hAnsi="Times New Roman" w:cs="Times New Roman"/>
        </w:rPr>
        <w:t>enforcement agencies are able to access</w:t>
      </w:r>
      <w:r w:rsidR="00976F2A">
        <w:rPr>
          <w:rFonts w:ascii="Times New Roman" w:hAnsi="Times New Roman" w:cs="Times New Roman"/>
        </w:rPr>
        <w:t xml:space="preserve"> stored communications or</w:t>
      </w:r>
      <w:r w:rsidRPr="00463B2A">
        <w:rPr>
          <w:rFonts w:ascii="Times New Roman" w:hAnsi="Times New Roman" w:cs="Times New Roman"/>
        </w:rPr>
        <w:t xml:space="preserve"> telecommunications data</w:t>
      </w:r>
      <w:r w:rsidR="00976F2A">
        <w:rPr>
          <w:rFonts w:ascii="Times New Roman" w:hAnsi="Times New Roman" w:cs="Times New Roman"/>
        </w:rPr>
        <w:t>,</w:t>
      </w:r>
      <w:r w:rsidRPr="00463B2A">
        <w:rPr>
          <w:rFonts w:ascii="Times New Roman" w:hAnsi="Times New Roman" w:cs="Times New Roman"/>
        </w:rPr>
        <w:t xml:space="preserve"> and does not amend the existing processes for lawfully accessing</w:t>
      </w:r>
      <w:r w:rsidR="00976F2A">
        <w:rPr>
          <w:rFonts w:ascii="Times New Roman" w:hAnsi="Times New Roman" w:cs="Times New Roman"/>
        </w:rPr>
        <w:t xml:space="preserve"> that material</w:t>
      </w:r>
      <w:r w:rsidRPr="00463B2A">
        <w:rPr>
          <w:rFonts w:ascii="Times New Roman" w:hAnsi="Times New Roman" w:cs="Times New Roman"/>
        </w:rPr>
        <w:t>.</w:t>
      </w:r>
    </w:p>
    <w:p w14:paraId="00D82041" w14:textId="77777777" w:rsidR="001C7313" w:rsidRDefault="001C7313" w:rsidP="00AA6E22">
      <w:pPr>
        <w:spacing w:after="0" w:line="276" w:lineRule="auto"/>
        <w:jc w:val="both"/>
        <w:rPr>
          <w:rFonts w:ascii="Times New Roman" w:hAnsi="Times New Roman" w:cs="Times New Roman"/>
        </w:rPr>
      </w:pPr>
    </w:p>
    <w:p w14:paraId="5F48479E" w14:textId="03785377" w:rsidR="00C761CC" w:rsidRDefault="00C761CC" w:rsidP="00AA6E22">
      <w:pPr>
        <w:keepNext/>
        <w:keepLines/>
        <w:spacing w:after="0" w:line="276" w:lineRule="auto"/>
        <w:jc w:val="both"/>
        <w:rPr>
          <w:rFonts w:ascii="Times New Roman" w:hAnsi="Times New Roman" w:cs="Times New Roman"/>
        </w:rPr>
      </w:pPr>
      <w:r>
        <w:rPr>
          <w:rFonts w:ascii="Times New Roman" w:hAnsi="Times New Roman" w:cs="Times New Roman"/>
          <w:b/>
          <w:i/>
        </w:rPr>
        <w:t>Human rights implications</w:t>
      </w:r>
    </w:p>
    <w:p w14:paraId="31948BA8" w14:textId="77777777" w:rsidR="00D87002" w:rsidRDefault="00D87002" w:rsidP="00AA6E22">
      <w:pPr>
        <w:keepNext/>
        <w:keepLines/>
        <w:spacing w:after="0" w:line="276" w:lineRule="auto"/>
        <w:jc w:val="both"/>
        <w:rPr>
          <w:rFonts w:ascii="Times New Roman" w:hAnsi="Times New Roman" w:cs="Times New Roman"/>
        </w:rPr>
      </w:pPr>
    </w:p>
    <w:p w14:paraId="02ADD05D" w14:textId="25CC28E5" w:rsidR="00463B2A" w:rsidRDefault="00463B2A" w:rsidP="00AA6E22">
      <w:pPr>
        <w:keepNext/>
        <w:keepLines/>
        <w:spacing w:after="0" w:line="276" w:lineRule="auto"/>
        <w:jc w:val="both"/>
        <w:rPr>
          <w:rFonts w:ascii="Times New Roman" w:hAnsi="Times New Roman" w:cs="Times New Roman"/>
        </w:rPr>
      </w:pPr>
      <w:r>
        <w:rPr>
          <w:rFonts w:ascii="Times New Roman" w:hAnsi="Times New Roman" w:cs="Times New Roman"/>
        </w:rPr>
        <w:t>The Declaration</w:t>
      </w:r>
      <w:r w:rsidRPr="00463B2A">
        <w:rPr>
          <w:rFonts w:ascii="Times New Roman" w:hAnsi="Times New Roman" w:cs="Times New Roman"/>
        </w:rPr>
        <w:t xml:space="preserve"> engages the right to privacy under Article 17 of the</w:t>
      </w:r>
      <w:r w:rsidR="00F97353">
        <w:rPr>
          <w:rFonts w:ascii="Times New Roman" w:hAnsi="Times New Roman" w:cs="Times New Roman"/>
        </w:rPr>
        <w:t xml:space="preserve"> </w:t>
      </w:r>
      <w:r w:rsidR="00F97353" w:rsidRPr="00877FA4">
        <w:rPr>
          <w:rFonts w:ascii="Times New Roman" w:hAnsi="Times New Roman" w:cs="Times New Roman"/>
          <w:i/>
        </w:rPr>
        <w:t>International Covenant on Civil and Political Rights</w:t>
      </w:r>
      <w:r w:rsidR="00F97353">
        <w:rPr>
          <w:rFonts w:ascii="Times New Roman" w:hAnsi="Times New Roman" w:cs="Times New Roman"/>
          <w:i/>
        </w:rPr>
        <w:t xml:space="preserve"> </w:t>
      </w:r>
      <w:r w:rsidR="00F97353">
        <w:rPr>
          <w:rFonts w:ascii="Times New Roman" w:hAnsi="Times New Roman" w:cs="Times New Roman"/>
        </w:rPr>
        <w:t>(</w:t>
      </w:r>
      <w:r w:rsidRPr="00463B2A">
        <w:rPr>
          <w:rFonts w:ascii="Times New Roman" w:hAnsi="Times New Roman" w:cs="Times New Roman"/>
        </w:rPr>
        <w:t>ICCPR</w:t>
      </w:r>
      <w:r w:rsidR="00F97353">
        <w:rPr>
          <w:rFonts w:ascii="Times New Roman" w:hAnsi="Times New Roman" w:cs="Times New Roman"/>
        </w:rPr>
        <w:t>)</w:t>
      </w:r>
      <w:r w:rsidRPr="00463B2A">
        <w:rPr>
          <w:rFonts w:ascii="Times New Roman" w:hAnsi="Times New Roman" w:cs="Times New Roman"/>
        </w:rPr>
        <w:t xml:space="preserve"> on the basis that </w:t>
      </w:r>
      <w:r w:rsidR="002024FE">
        <w:rPr>
          <w:rFonts w:ascii="Times New Roman" w:hAnsi="Times New Roman" w:cs="Times New Roman"/>
        </w:rPr>
        <w:t>stored communications and</w:t>
      </w:r>
      <w:r w:rsidR="002024FE" w:rsidRPr="00463B2A">
        <w:rPr>
          <w:rFonts w:ascii="Times New Roman" w:hAnsi="Times New Roman" w:cs="Times New Roman"/>
        </w:rPr>
        <w:t xml:space="preserve"> </w:t>
      </w:r>
      <w:r w:rsidRPr="00463B2A">
        <w:rPr>
          <w:rFonts w:ascii="Times New Roman" w:hAnsi="Times New Roman" w:cs="Times New Roman"/>
        </w:rPr>
        <w:t xml:space="preserve">telecommunications data </w:t>
      </w:r>
      <w:r w:rsidR="003656A0">
        <w:rPr>
          <w:rFonts w:ascii="Times New Roman" w:hAnsi="Times New Roman" w:cs="Times New Roman"/>
        </w:rPr>
        <w:t>preserved</w:t>
      </w:r>
      <w:r w:rsidR="003656A0" w:rsidRPr="00463B2A">
        <w:rPr>
          <w:rFonts w:ascii="Times New Roman" w:hAnsi="Times New Roman" w:cs="Times New Roman"/>
        </w:rPr>
        <w:t xml:space="preserve"> </w:t>
      </w:r>
      <w:r w:rsidRPr="00463B2A">
        <w:rPr>
          <w:rFonts w:ascii="Times New Roman" w:hAnsi="Times New Roman" w:cs="Times New Roman"/>
        </w:rPr>
        <w:t xml:space="preserve">pursuant </w:t>
      </w:r>
      <w:r w:rsidR="003656A0">
        <w:rPr>
          <w:rFonts w:ascii="Times New Roman" w:hAnsi="Times New Roman" w:cs="Times New Roman"/>
        </w:rPr>
        <w:t>to</w:t>
      </w:r>
      <w:r w:rsidR="00A66329">
        <w:rPr>
          <w:rFonts w:ascii="Times New Roman" w:hAnsi="Times New Roman" w:cs="Times New Roman"/>
        </w:rPr>
        <w:t xml:space="preserve"> the TIA Act </w:t>
      </w:r>
      <w:r w:rsidRPr="00463B2A">
        <w:rPr>
          <w:rFonts w:ascii="Times New Roman" w:hAnsi="Times New Roman" w:cs="Times New Roman"/>
        </w:rPr>
        <w:t xml:space="preserve">will be accessible by </w:t>
      </w:r>
      <w:r w:rsidR="00FC4419">
        <w:rPr>
          <w:rFonts w:ascii="Times New Roman" w:hAnsi="Times New Roman" w:cs="Times New Roman"/>
        </w:rPr>
        <w:t>the ACT Integrity Commission</w:t>
      </w:r>
      <w:r w:rsidRPr="00463B2A">
        <w:rPr>
          <w:rFonts w:ascii="Times New Roman" w:hAnsi="Times New Roman" w:cs="Times New Roman"/>
        </w:rPr>
        <w:t xml:space="preserve"> in accordance with the existing lawful access provisions </w:t>
      </w:r>
      <w:r w:rsidR="00A66329">
        <w:rPr>
          <w:rFonts w:ascii="Times New Roman" w:hAnsi="Times New Roman" w:cs="Times New Roman"/>
        </w:rPr>
        <w:t>in the Act</w:t>
      </w:r>
      <w:r w:rsidRPr="00463B2A">
        <w:rPr>
          <w:rFonts w:ascii="Times New Roman" w:hAnsi="Times New Roman" w:cs="Times New Roman"/>
        </w:rPr>
        <w:t xml:space="preserve">. </w:t>
      </w:r>
    </w:p>
    <w:p w14:paraId="3EBBE76A" w14:textId="49A99B35" w:rsidR="004A2048" w:rsidRDefault="004A2048" w:rsidP="00AA6E22">
      <w:pPr>
        <w:spacing w:after="0" w:line="276" w:lineRule="auto"/>
        <w:jc w:val="both"/>
        <w:rPr>
          <w:rFonts w:ascii="Times New Roman" w:hAnsi="Times New Roman" w:cs="Times New Roman"/>
        </w:rPr>
      </w:pPr>
    </w:p>
    <w:p w14:paraId="47276626" w14:textId="77777777" w:rsidR="004A2048" w:rsidRPr="004A2048" w:rsidRDefault="004A2048" w:rsidP="00AA6E22">
      <w:pPr>
        <w:spacing w:after="0" w:line="276" w:lineRule="auto"/>
        <w:jc w:val="both"/>
        <w:rPr>
          <w:rFonts w:ascii="Times New Roman" w:hAnsi="Times New Roman" w:cs="Times New Roman"/>
        </w:rPr>
      </w:pPr>
      <w:r w:rsidRPr="004A2048">
        <w:rPr>
          <w:rFonts w:ascii="Times New Roman" w:hAnsi="Times New Roman" w:cs="Times New Roman"/>
        </w:rPr>
        <w:t xml:space="preserve">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14:paraId="0AB427F5" w14:textId="4D86A568" w:rsidR="004A2048" w:rsidRDefault="004A2048" w:rsidP="00AA6E22">
      <w:pPr>
        <w:spacing w:after="0" w:line="276" w:lineRule="auto"/>
        <w:jc w:val="both"/>
        <w:rPr>
          <w:rFonts w:ascii="Times New Roman" w:hAnsi="Times New Roman" w:cs="Times New Roman"/>
        </w:rPr>
      </w:pPr>
    </w:p>
    <w:p w14:paraId="621F3FB1" w14:textId="77777777" w:rsidR="004A2048" w:rsidRPr="004A2048" w:rsidRDefault="004A2048" w:rsidP="00AA6E22">
      <w:pPr>
        <w:spacing w:after="0" w:line="276" w:lineRule="auto"/>
        <w:jc w:val="both"/>
        <w:rPr>
          <w:rFonts w:ascii="Times New Roman" w:hAnsi="Times New Roman" w:cs="Times New Roman"/>
        </w:rPr>
      </w:pPr>
      <w:r w:rsidRPr="004A2048">
        <w:rPr>
          <w:rFonts w:ascii="Times New Roman" w:hAnsi="Times New Roman" w:cs="Times New Roman"/>
        </w:rPr>
        <w:t xml:space="preserve">The protection against arbitrary or unlawful interference with privacy under Article 17 can be permissibly limited in order to achieve a legitimate objective and where the limitations are lawful and not arbitrary. The term </w:t>
      </w:r>
      <w:r w:rsidRPr="004A2048">
        <w:rPr>
          <w:rFonts w:ascii="Times New Roman" w:hAnsi="Times New Roman" w:cs="Times New Roman"/>
          <w:i/>
        </w:rPr>
        <w:t>unlawful</w:t>
      </w:r>
      <w:r w:rsidRPr="004A2048">
        <w:rPr>
          <w:rFonts w:ascii="Times New Roman" w:hAnsi="Times New Roman" w:cs="Times New Roman"/>
        </w:rPr>
        <w:t xml:space="preserve">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particular circumstances.</w:t>
      </w:r>
      <w:r w:rsidRPr="00A66329">
        <w:rPr>
          <w:rFonts w:ascii="Times New Roman" w:hAnsi="Times New Roman" w:cs="Times New Roman"/>
          <w:vertAlign w:val="superscript"/>
        </w:rPr>
        <w:footnoteReference w:id="1"/>
      </w:r>
      <w:r w:rsidRPr="004A2048">
        <w:rPr>
          <w:rFonts w:ascii="Times New Roman" w:hAnsi="Times New Roman" w:cs="Times New Roman"/>
        </w:rPr>
        <w:t xml:space="preserve"> The United Nations Human Rights Committee has interpreted </w:t>
      </w:r>
      <w:r w:rsidRPr="004A2048">
        <w:rPr>
          <w:rFonts w:ascii="Times New Roman" w:hAnsi="Times New Roman" w:cs="Times New Roman"/>
          <w:i/>
        </w:rPr>
        <w:t>reasonableness</w:t>
      </w:r>
      <w:r w:rsidRPr="004A2048">
        <w:rPr>
          <w:rFonts w:ascii="Times New Roman" w:hAnsi="Times New Roman" w:cs="Times New Roman"/>
        </w:rPr>
        <w:t xml:space="preserve"> to mean that any limitation must be proportionate and necessary in the circumstances. </w:t>
      </w:r>
    </w:p>
    <w:p w14:paraId="41846C4F" w14:textId="77777777" w:rsidR="004A2048" w:rsidRDefault="004A2048" w:rsidP="00AA6E22">
      <w:pPr>
        <w:spacing w:after="0" w:line="276" w:lineRule="auto"/>
        <w:jc w:val="both"/>
        <w:rPr>
          <w:rFonts w:ascii="Times New Roman" w:hAnsi="Times New Roman" w:cs="Times New Roman"/>
        </w:rPr>
      </w:pPr>
    </w:p>
    <w:p w14:paraId="4856FE27" w14:textId="1D4EC095" w:rsidR="007B3AB2" w:rsidRDefault="007B3AB2" w:rsidP="00AA6E22">
      <w:pPr>
        <w:spacing w:after="0" w:line="276" w:lineRule="auto"/>
        <w:jc w:val="both"/>
        <w:rPr>
          <w:rFonts w:ascii="Times New Roman" w:hAnsi="Times New Roman" w:cs="Times New Roman"/>
        </w:rPr>
      </w:pPr>
      <w:r>
        <w:rPr>
          <w:rFonts w:ascii="Times New Roman" w:hAnsi="Times New Roman" w:cs="Times New Roman"/>
        </w:rPr>
        <w:t>The Declaration limits the right to privacy as it allows access to</w:t>
      </w:r>
      <w:r w:rsidR="003656A0">
        <w:rPr>
          <w:rFonts w:ascii="Times New Roman" w:hAnsi="Times New Roman" w:cs="Times New Roman"/>
        </w:rPr>
        <w:t xml:space="preserve"> stored communications and </w:t>
      </w:r>
      <w:r>
        <w:rPr>
          <w:rFonts w:ascii="Times New Roman" w:hAnsi="Times New Roman" w:cs="Times New Roman"/>
        </w:rPr>
        <w:t>telecommunications data as authorised under domestic law – namely the existing provisions in the TIA Act. However, it is reasonable in the particular circumstances as it is proportionate and necessary.</w:t>
      </w:r>
    </w:p>
    <w:p w14:paraId="4C60F622" w14:textId="77777777" w:rsidR="007B3AB2" w:rsidRDefault="007B3AB2" w:rsidP="00AA6E22">
      <w:pPr>
        <w:spacing w:after="0" w:line="276" w:lineRule="auto"/>
        <w:jc w:val="both"/>
        <w:rPr>
          <w:rFonts w:ascii="Times New Roman" w:hAnsi="Times New Roman" w:cs="Times New Roman"/>
        </w:rPr>
      </w:pPr>
    </w:p>
    <w:p w14:paraId="3ECF59A2" w14:textId="67A13172" w:rsidR="007B3AB2" w:rsidRPr="00463B2A" w:rsidRDefault="007B3AB2" w:rsidP="00AA6E22">
      <w:pPr>
        <w:keepNext/>
        <w:keepLines/>
        <w:spacing w:after="0" w:line="276" w:lineRule="auto"/>
        <w:jc w:val="both"/>
        <w:rPr>
          <w:rFonts w:ascii="Times New Roman" w:hAnsi="Times New Roman" w:cs="Times New Roman"/>
        </w:rPr>
      </w:pPr>
      <w:r>
        <w:rPr>
          <w:rFonts w:ascii="Times New Roman" w:hAnsi="Times New Roman" w:cs="Times New Roman"/>
        </w:rPr>
        <w:t>In considering the second component (that is, reasonableness)</w:t>
      </w:r>
      <w:r w:rsidR="003656A0">
        <w:rPr>
          <w:rFonts w:ascii="Times New Roman" w:hAnsi="Times New Roman" w:cs="Times New Roman"/>
        </w:rPr>
        <w:t>,</w:t>
      </w:r>
      <w:r>
        <w:rPr>
          <w:rFonts w:ascii="Times New Roman" w:hAnsi="Times New Roman" w:cs="Times New Roman"/>
        </w:rPr>
        <w:t xml:space="preserve"> </w:t>
      </w:r>
      <w:r w:rsidRPr="00463B2A">
        <w:rPr>
          <w:rFonts w:ascii="Times New Roman" w:hAnsi="Times New Roman" w:cs="Times New Roman"/>
        </w:rPr>
        <w:t xml:space="preserve">consideration has been given to </w:t>
      </w:r>
      <w:r>
        <w:rPr>
          <w:rFonts w:ascii="Times New Roman" w:hAnsi="Times New Roman" w:cs="Times New Roman"/>
        </w:rPr>
        <w:t>the</w:t>
      </w:r>
      <w:r w:rsidR="001A1F5A">
        <w:rPr>
          <w:rFonts w:ascii="Times New Roman" w:hAnsi="Times New Roman" w:cs="Times New Roman"/>
        </w:rPr>
        <w:t>:</w:t>
      </w:r>
      <w:r>
        <w:rPr>
          <w:rFonts w:ascii="Times New Roman" w:hAnsi="Times New Roman" w:cs="Times New Roman"/>
        </w:rPr>
        <w:t xml:space="preserve"> </w:t>
      </w:r>
    </w:p>
    <w:p w14:paraId="33AE692E" w14:textId="08964ADE" w:rsidR="007B3AB2" w:rsidRPr="00463B2A" w:rsidRDefault="007B3AB2" w:rsidP="00AA6E22">
      <w:pPr>
        <w:pStyle w:val="ListParagraph0"/>
        <w:keepNext/>
        <w:keepLines/>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functions of </w:t>
      </w:r>
      <w:r w:rsidR="00FC4419">
        <w:rPr>
          <w:rFonts w:ascii="Times New Roman" w:hAnsi="Times New Roman" w:cs="Times New Roman"/>
        </w:rPr>
        <w:t xml:space="preserve">the ACT Integrity Commission </w:t>
      </w:r>
      <w:r>
        <w:rPr>
          <w:rFonts w:ascii="Times New Roman" w:hAnsi="Times New Roman" w:cs="Times New Roman"/>
        </w:rPr>
        <w:t xml:space="preserve">and whether they necessitate </w:t>
      </w:r>
      <w:r w:rsidRPr="00463B2A">
        <w:rPr>
          <w:rFonts w:ascii="Times New Roman" w:hAnsi="Times New Roman" w:cs="Times New Roman"/>
        </w:rPr>
        <w:t xml:space="preserve">access to </w:t>
      </w:r>
      <w:r w:rsidR="003656A0">
        <w:rPr>
          <w:rFonts w:ascii="Times New Roman" w:hAnsi="Times New Roman" w:cs="Times New Roman"/>
        </w:rPr>
        <w:t xml:space="preserve">stored communications and </w:t>
      </w:r>
      <w:r w:rsidRPr="00463B2A">
        <w:rPr>
          <w:rFonts w:ascii="Times New Roman" w:hAnsi="Times New Roman" w:cs="Times New Roman"/>
        </w:rPr>
        <w:t>telecommunications data, and</w:t>
      </w:r>
    </w:p>
    <w:p w14:paraId="77EC01C7" w14:textId="53A5A43A" w:rsidR="00753EAB" w:rsidRDefault="007B3AB2" w:rsidP="00AA6E22">
      <w:pPr>
        <w:pStyle w:val="ListParagraph0"/>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privacy and other safeguards in place to minimise the </w:t>
      </w:r>
      <w:r w:rsidRPr="00463B2A">
        <w:rPr>
          <w:rFonts w:ascii="Times New Roman" w:hAnsi="Times New Roman" w:cs="Times New Roman"/>
        </w:rPr>
        <w:t xml:space="preserve">privacy impacts on any person to whom the </w:t>
      </w:r>
      <w:r w:rsidR="003656A0">
        <w:rPr>
          <w:rFonts w:ascii="Times New Roman" w:hAnsi="Times New Roman" w:cs="Times New Roman"/>
        </w:rPr>
        <w:t>material</w:t>
      </w:r>
      <w:r w:rsidR="003656A0" w:rsidRPr="00463B2A">
        <w:rPr>
          <w:rFonts w:ascii="Times New Roman" w:hAnsi="Times New Roman" w:cs="Times New Roman"/>
        </w:rPr>
        <w:t xml:space="preserve"> </w:t>
      </w:r>
      <w:r w:rsidRPr="00463B2A">
        <w:rPr>
          <w:rFonts w:ascii="Times New Roman" w:hAnsi="Times New Roman" w:cs="Times New Roman"/>
        </w:rPr>
        <w:t>relates or is appreciably linked to.</w:t>
      </w:r>
    </w:p>
    <w:p w14:paraId="08E5407F" w14:textId="77777777" w:rsidR="007B3AB2" w:rsidRDefault="007B3AB2" w:rsidP="00AA6E22">
      <w:pPr>
        <w:spacing w:after="0" w:line="276" w:lineRule="auto"/>
        <w:jc w:val="both"/>
        <w:rPr>
          <w:rFonts w:ascii="Times New Roman" w:hAnsi="Times New Roman" w:cs="Times New Roman"/>
          <w:i/>
        </w:rPr>
      </w:pPr>
    </w:p>
    <w:p w14:paraId="7B9EB950" w14:textId="484B071A" w:rsidR="00D87002" w:rsidRPr="00D87002" w:rsidRDefault="00D87002" w:rsidP="00AA6E22">
      <w:pPr>
        <w:spacing w:after="0" w:line="276" w:lineRule="auto"/>
        <w:jc w:val="both"/>
        <w:rPr>
          <w:rFonts w:ascii="Times New Roman" w:hAnsi="Times New Roman" w:cs="Times New Roman"/>
          <w:i/>
        </w:rPr>
      </w:pPr>
      <w:r>
        <w:rPr>
          <w:rFonts w:ascii="Times New Roman" w:hAnsi="Times New Roman" w:cs="Times New Roman"/>
          <w:i/>
        </w:rPr>
        <w:t xml:space="preserve">Functions of </w:t>
      </w:r>
      <w:r w:rsidR="00FC4419">
        <w:rPr>
          <w:rFonts w:ascii="Times New Roman" w:hAnsi="Times New Roman" w:cs="Times New Roman"/>
          <w:i/>
        </w:rPr>
        <w:t xml:space="preserve">the ACT Integrity Commission </w:t>
      </w:r>
    </w:p>
    <w:p w14:paraId="50C499F2" w14:textId="77777777" w:rsidR="00D87002" w:rsidRDefault="00D87002" w:rsidP="00AA6E22">
      <w:pPr>
        <w:spacing w:after="0" w:line="276" w:lineRule="auto"/>
        <w:jc w:val="both"/>
        <w:rPr>
          <w:rFonts w:ascii="Times New Roman" w:hAnsi="Times New Roman" w:cs="Times New Roman"/>
        </w:rPr>
      </w:pPr>
    </w:p>
    <w:p w14:paraId="5428CEFB" w14:textId="39182B2C" w:rsidR="009F4950" w:rsidRDefault="00885CD2" w:rsidP="00AA6E22">
      <w:pPr>
        <w:spacing w:after="0" w:line="276" w:lineRule="auto"/>
        <w:jc w:val="both"/>
        <w:rPr>
          <w:rFonts w:ascii="Times New Roman" w:hAnsi="Times New Roman" w:cs="Times New Roman"/>
        </w:rPr>
      </w:pPr>
      <w:r>
        <w:rPr>
          <w:rFonts w:ascii="Times New Roman" w:hAnsi="Times New Roman" w:cs="Times New Roman"/>
        </w:rPr>
        <w:t xml:space="preserve">The ACT Integrity Commission performs the functions of an anti-corruption authority </w:t>
      </w:r>
      <w:r w:rsidR="00FF5826">
        <w:rPr>
          <w:rFonts w:ascii="Times New Roman" w:hAnsi="Times New Roman" w:cs="Times New Roman"/>
        </w:rPr>
        <w:t xml:space="preserve">and </w:t>
      </w:r>
      <w:r>
        <w:rPr>
          <w:rFonts w:ascii="Times New Roman" w:hAnsi="Times New Roman" w:cs="Times New Roman"/>
        </w:rPr>
        <w:t xml:space="preserve">contributes to the enforcement of </w:t>
      </w:r>
      <w:r w:rsidR="00FF5826">
        <w:rPr>
          <w:rFonts w:ascii="Times New Roman" w:hAnsi="Times New Roman" w:cs="Times New Roman"/>
        </w:rPr>
        <w:t xml:space="preserve">the criminal law. </w:t>
      </w:r>
    </w:p>
    <w:p w14:paraId="5F8E97F6" w14:textId="77777777" w:rsidR="009F4950" w:rsidRDefault="009F4950" w:rsidP="00AA6E22">
      <w:pPr>
        <w:spacing w:after="0" w:line="276" w:lineRule="auto"/>
        <w:jc w:val="both"/>
        <w:rPr>
          <w:rFonts w:ascii="Times New Roman" w:hAnsi="Times New Roman" w:cs="Times New Roman"/>
        </w:rPr>
      </w:pPr>
    </w:p>
    <w:p w14:paraId="24379DBE" w14:textId="4BE26B97" w:rsidR="00D87002" w:rsidRPr="00D87002" w:rsidRDefault="009F4950" w:rsidP="00885CD2">
      <w:pPr>
        <w:spacing w:after="0" w:line="276" w:lineRule="auto"/>
        <w:jc w:val="both"/>
        <w:rPr>
          <w:rFonts w:ascii="Times New Roman" w:hAnsi="Times New Roman" w:cs="Times New Roman"/>
        </w:rPr>
      </w:pPr>
      <w:r>
        <w:rPr>
          <w:rFonts w:ascii="Times New Roman" w:hAnsi="Times New Roman" w:cs="Times New Roman"/>
        </w:rPr>
        <w:t xml:space="preserve">Specifically, </w:t>
      </w:r>
      <w:r w:rsidR="00885CD2">
        <w:rPr>
          <w:rFonts w:ascii="Times New Roman" w:hAnsi="Times New Roman" w:cs="Times New Roman"/>
        </w:rPr>
        <w:t>th</w:t>
      </w:r>
      <w:r w:rsidR="00885CD2" w:rsidRPr="00885CD2">
        <w:rPr>
          <w:rFonts w:ascii="Times New Roman" w:hAnsi="Times New Roman" w:cs="Times New Roman"/>
        </w:rPr>
        <w:t>e ACT Integrity Commission is responsible for investigating alleged and actual serious and systemic corrupt conduct within the ACT public sector. This conduct includes conduct which is criminal in nature and which carries criminal penalties under Territory and Commonwealth law, such as theft, fraud and bribery relating to an ACT public official. The ACT Integrity Commission also plays a role in providing support for the prosecution of these crimes by Territory and Commonwealth prosecution authorities by referring matters throughout the investigation process.</w:t>
      </w:r>
    </w:p>
    <w:p w14:paraId="35C638E0" w14:textId="05A8149E" w:rsidR="005308B7" w:rsidRDefault="00972570" w:rsidP="00AA6E22">
      <w:pPr>
        <w:spacing w:after="0" w:line="276" w:lineRule="auto"/>
        <w:jc w:val="both"/>
        <w:rPr>
          <w:rFonts w:ascii="Times New Roman" w:hAnsi="Times New Roman" w:cs="Times New Roman"/>
        </w:rPr>
      </w:pPr>
      <w:r>
        <w:rPr>
          <w:rFonts w:ascii="Times New Roman" w:hAnsi="Times New Roman" w:cs="Times New Roman"/>
        </w:rPr>
        <w:lastRenderedPageBreak/>
        <w:t>In furthering the ACT Integrity Commission’s ability to combat corruption, t</w:t>
      </w:r>
      <w:r w:rsidR="00292016">
        <w:rPr>
          <w:rFonts w:ascii="Times New Roman" w:hAnsi="Times New Roman" w:cs="Times New Roman"/>
        </w:rPr>
        <w:t>he Declaration addresses the legitimate objectives of national security</w:t>
      </w:r>
      <w:r>
        <w:rPr>
          <w:rFonts w:ascii="Times New Roman" w:hAnsi="Times New Roman" w:cs="Times New Roman"/>
        </w:rPr>
        <w:t xml:space="preserve"> and</w:t>
      </w:r>
      <w:r w:rsidR="00292016">
        <w:rPr>
          <w:rFonts w:ascii="Times New Roman" w:hAnsi="Times New Roman" w:cs="Times New Roman"/>
        </w:rPr>
        <w:t xml:space="preserve"> public order.</w:t>
      </w:r>
      <w:r>
        <w:rPr>
          <w:rFonts w:ascii="Times New Roman" w:hAnsi="Times New Roman" w:cs="Times New Roman"/>
        </w:rPr>
        <w:t xml:space="preserve"> </w:t>
      </w:r>
      <w:r w:rsidR="00D87002">
        <w:rPr>
          <w:rFonts w:ascii="Times New Roman" w:hAnsi="Times New Roman" w:cs="Times New Roman"/>
        </w:rPr>
        <w:t>T</w:t>
      </w:r>
      <w:r w:rsidR="00D87002" w:rsidRPr="00836BF9">
        <w:rPr>
          <w:rFonts w:ascii="Times New Roman" w:hAnsi="Times New Roman" w:cs="Times New Roman"/>
        </w:rPr>
        <w:t xml:space="preserve">elecommunications data </w:t>
      </w:r>
      <w:r w:rsidR="00D87002">
        <w:rPr>
          <w:rFonts w:ascii="Times New Roman" w:hAnsi="Times New Roman" w:cs="Times New Roman"/>
        </w:rPr>
        <w:t>is</w:t>
      </w:r>
      <w:r w:rsidR="00D87002" w:rsidRPr="00836BF9">
        <w:rPr>
          <w:rFonts w:ascii="Times New Roman" w:hAnsi="Times New Roman" w:cs="Times New Roman"/>
        </w:rPr>
        <w:t xml:space="preserve"> particularly vital in establishing the ownership or location of mobile phones used to commit</w:t>
      </w:r>
      <w:r>
        <w:rPr>
          <w:rFonts w:ascii="Times New Roman" w:hAnsi="Times New Roman" w:cs="Times New Roman"/>
        </w:rPr>
        <w:t xml:space="preserve"> criminal</w:t>
      </w:r>
      <w:r w:rsidR="00D87002" w:rsidRPr="00836BF9">
        <w:rPr>
          <w:rFonts w:ascii="Times New Roman" w:hAnsi="Times New Roman" w:cs="Times New Roman"/>
        </w:rPr>
        <w:t xml:space="preserve"> offence</w:t>
      </w:r>
      <w:r>
        <w:rPr>
          <w:rFonts w:ascii="Times New Roman" w:hAnsi="Times New Roman" w:cs="Times New Roman"/>
        </w:rPr>
        <w:t>s</w:t>
      </w:r>
      <w:r w:rsidR="00821EFF">
        <w:rPr>
          <w:rFonts w:ascii="Times New Roman" w:hAnsi="Times New Roman" w:cs="Times New Roman"/>
        </w:rPr>
        <w:t>. Stored communications include the content of messages that may disclose criminal or corrupt conduct</w:t>
      </w:r>
      <w:r w:rsidR="00292016">
        <w:rPr>
          <w:rFonts w:ascii="Times New Roman" w:hAnsi="Times New Roman" w:cs="Times New Roman"/>
        </w:rPr>
        <w:t xml:space="preserve">. </w:t>
      </w:r>
      <w:r w:rsidR="005308B7">
        <w:rPr>
          <w:rFonts w:ascii="Times New Roman" w:hAnsi="Times New Roman" w:cs="Times New Roman"/>
        </w:rPr>
        <w:t xml:space="preserve">Access to this data would assist </w:t>
      </w:r>
      <w:r>
        <w:rPr>
          <w:rFonts w:ascii="Times New Roman" w:hAnsi="Times New Roman" w:cs="Times New Roman"/>
        </w:rPr>
        <w:t>the ACT Integrity Commission</w:t>
      </w:r>
      <w:r w:rsidR="005308B7">
        <w:rPr>
          <w:rFonts w:ascii="Times New Roman" w:hAnsi="Times New Roman" w:cs="Times New Roman"/>
        </w:rPr>
        <w:t xml:space="preserve"> </w:t>
      </w:r>
      <w:r w:rsidR="005308B7" w:rsidRPr="005308B7">
        <w:rPr>
          <w:rFonts w:ascii="Times New Roman" w:hAnsi="Times New Roman" w:cs="Times New Roman"/>
        </w:rPr>
        <w:t xml:space="preserve">to </w:t>
      </w:r>
      <w:r w:rsidR="005308B7">
        <w:rPr>
          <w:rFonts w:ascii="Times New Roman" w:hAnsi="Times New Roman" w:cs="Times New Roman"/>
        </w:rPr>
        <w:t xml:space="preserve">better </w:t>
      </w:r>
      <w:r w:rsidR="005308B7" w:rsidRPr="005308B7">
        <w:rPr>
          <w:rFonts w:ascii="Times New Roman" w:hAnsi="Times New Roman" w:cs="Times New Roman"/>
        </w:rPr>
        <w:t xml:space="preserve">identify, </w:t>
      </w:r>
      <w:r w:rsidR="005308B7">
        <w:rPr>
          <w:rFonts w:ascii="Times New Roman" w:hAnsi="Times New Roman" w:cs="Times New Roman"/>
        </w:rPr>
        <w:t xml:space="preserve">investigate and prevent </w:t>
      </w:r>
      <w:r>
        <w:rPr>
          <w:rFonts w:ascii="Times New Roman" w:hAnsi="Times New Roman" w:cs="Times New Roman"/>
        </w:rPr>
        <w:t>serious and systemic corrupt conduct within the ACT public sector</w:t>
      </w:r>
      <w:r w:rsidR="005308B7" w:rsidRPr="005308B7">
        <w:rPr>
          <w:rFonts w:ascii="Times New Roman" w:hAnsi="Times New Roman" w:cs="Times New Roman"/>
        </w:rPr>
        <w:t>, ensuring any criminal offences are appropriately detected and prosecuted, mitigating the risk posed to national security and public order</w:t>
      </w:r>
      <w:r w:rsidR="005308B7">
        <w:rPr>
          <w:rFonts w:ascii="Times New Roman" w:hAnsi="Times New Roman" w:cs="Times New Roman"/>
        </w:rPr>
        <w:t>.</w:t>
      </w:r>
    </w:p>
    <w:p w14:paraId="153C9966" w14:textId="77777777" w:rsidR="00862E91" w:rsidRDefault="00862E91" w:rsidP="00AA6E22">
      <w:pPr>
        <w:spacing w:after="0" w:line="276" w:lineRule="auto"/>
        <w:jc w:val="both"/>
        <w:rPr>
          <w:rFonts w:ascii="Times New Roman" w:hAnsi="Times New Roman" w:cs="Times New Roman"/>
        </w:rPr>
      </w:pPr>
    </w:p>
    <w:p w14:paraId="75EA75E3" w14:textId="56DC073E" w:rsidR="00D87002" w:rsidRDefault="00F54C28" w:rsidP="001A6C53">
      <w:pPr>
        <w:spacing w:after="0" w:line="276" w:lineRule="auto"/>
        <w:jc w:val="both"/>
        <w:rPr>
          <w:rFonts w:ascii="Times New Roman" w:hAnsi="Times New Roman" w:cs="Times New Roman"/>
          <w:i/>
        </w:rPr>
      </w:pPr>
      <w:r>
        <w:rPr>
          <w:rFonts w:ascii="Times New Roman" w:hAnsi="Times New Roman" w:cs="Times New Roman"/>
          <w:i/>
        </w:rPr>
        <w:t>Other p</w:t>
      </w:r>
      <w:r w:rsidR="00D87002" w:rsidRPr="00D87002">
        <w:rPr>
          <w:rFonts w:ascii="Times New Roman" w:hAnsi="Times New Roman" w:cs="Times New Roman"/>
          <w:i/>
        </w:rPr>
        <w:t xml:space="preserve">rivacy </w:t>
      </w:r>
      <w:r w:rsidR="00292016">
        <w:rPr>
          <w:rFonts w:ascii="Times New Roman" w:hAnsi="Times New Roman" w:cs="Times New Roman"/>
          <w:i/>
        </w:rPr>
        <w:t>safeguards</w:t>
      </w:r>
    </w:p>
    <w:p w14:paraId="64614BD2" w14:textId="256075F0" w:rsidR="00044031" w:rsidRPr="00463B2A" w:rsidRDefault="00D12074" w:rsidP="00D12074">
      <w:pPr>
        <w:pStyle w:val="ESPara"/>
      </w:pPr>
      <w:r w:rsidRPr="00D6314B">
        <w:t xml:space="preserve">The </w:t>
      </w:r>
      <w:r>
        <w:t>ACT Territory Privacy</w:t>
      </w:r>
      <w:r w:rsidRPr="00D6314B">
        <w:t xml:space="preserve"> Principles under the </w:t>
      </w:r>
      <w:r w:rsidRPr="00D12074">
        <w:rPr>
          <w:i/>
        </w:rPr>
        <w:t>Information Privacy Act 2004</w:t>
      </w:r>
      <w:r>
        <w:rPr>
          <w:i/>
        </w:rPr>
        <w:t xml:space="preserve"> </w:t>
      </w:r>
      <w:r>
        <w:t xml:space="preserve">(ACT) </w:t>
      </w:r>
      <w:r w:rsidRPr="00D6314B">
        <w:t xml:space="preserve">are </w:t>
      </w:r>
      <w:r w:rsidR="00F50A12">
        <w:t xml:space="preserve">broadly </w:t>
      </w:r>
      <w:r w:rsidRPr="00D6314B">
        <w:t>comparable to the Australian Privacy Principles</w:t>
      </w:r>
      <w:r>
        <w:t xml:space="preserve"> (APPs)</w:t>
      </w:r>
      <w:r w:rsidRPr="00D6314B">
        <w:t xml:space="preserve"> in</w:t>
      </w:r>
      <w:r>
        <w:t xml:space="preserve"> that they provide</w:t>
      </w:r>
      <w:r w:rsidRPr="00D6314B">
        <w:t xml:space="preserve"> safeguards for the collection, use, disclosure and security of personal information.</w:t>
      </w:r>
      <w:r>
        <w:t xml:space="preserve">  </w:t>
      </w:r>
    </w:p>
    <w:p w14:paraId="418E34AB" w14:textId="46ADB82E" w:rsidR="00463B2A" w:rsidRPr="00463B2A" w:rsidRDefault="00D87002" w:rsidP="00AA6E22">
      <w:pPr>
        <w:spacing w:after="0" w:line="276" w:lineRule="auto"/>
        <w:jc w:val="both"/>
        <w:rPr>
          <w:rFonts w:ascii="Times New Roman" w:hAnsi="Times New Roman" w:cs="Times New Roman"/>
        </w:rPr>
      </w:pPr>
      <w:r>
        <w:rPr>
          <w:rFonts w:ascii="Times New Roman" w:hAnsi="Times New Roman" w:cs="Times New Roman"/>
        </w:rPr>
        <w:t xml:space="preserve">Oversight and reporting requirements under the TIA Act </w:t>
      </w:r>
      <w:r w:rsidR="00DC4BC3">
        <w:rPr>
          <w:rFonts w:ascii="Times New Roman" w:hAnsi="Times New Roman" w:cs="Times New Roman"/>
        </w:rPr>
        <w:t>will</w:t>
      </w:r>
      <w:r>
        <w:rPr>
          <w:rFonts w:ascii="Times New Roman" w:hAnsi="Times New Roman" w:cs="Times New Roman"/>
        </w:rPr>
        <w:t xml:space="preserve"> provide </w:t>
      </w:r>
      <w:r w:rsidR="004A2048">
        <w:rPr>
          <w:rFonts w:ascii="Times New Roman" w:hAnsi="Times New Roman" w:cs="Times New Roman"/>
        </w:rPr>
        <w:t>accountability on</w:t>
      </w:r>
      <w:r>
        <w:rPr>
          <w:rFonts w:ascii="Times New Roman" w:hAnsi="Times New Roman" w:cs="Times New Roman"/>
        </w:rPr>
        <w:t xml:space="preserve"> the use of </w:t>
      </w:r>
      <w:r w:rsidR="00A464DD">
        <w:rPr>
          <w:rFonts w:ascii="Times New Roman" w:hAnsi="Times New Roman" w:cs="Times New Roman"/>
        </w:rPr>
        <w:t xml:space="preserve">stored communications and </w:t>
      </w:r>
      <w:r>
        <w:rPr>
          <w:rFonts w:ascii="Times New Roman" w:hAnsi="Times New Roman" w:cs="Times New Roman"/>
        </w:rPr>
        <w:t xml:space="preserve">telecommunications data by </w:t>
      </w:r>
      <w:r w:rsidR="00D12074">
        <w:rPr>
          <w:rFonts w:ascii="Times New Roman" w:hAnsi="Times New Roman" w:cs="Times New Roman"/>
        </w:rPr>
        <w:t>the ACT Integrity Commission</w:t>
      </w:r>
      <w:r>
        <w:rPr>
          <w:rFonts w:ascii="Times New Roman" w:hAnsi="Times New Roman" w:cs="Times New Roman"/>
        </w:rPr>
        <w:t>.</w:t>
      </w:r>
      <w:r w:rsidR="00DD341F">
        <w:rPr>
          <w:rFonts w:ascii="Times New Roman" w:hAnsi="Times New Roman" w:cs="Times New Roman"/>
        </w:rPr>
        <w:t xml:space="preserve"> </w:t>
      </w:r>
      <w:r w:rsidR="00D12074">
        <w:rPr>
          <w:rFonts w:ascii="Times New Roman" w:hAnsi="Times New Roman" w:cs="Times New Roman"/>
        </w:rPr>
        <w:t>The Commission</w:t>
      </w:r>
      <w:r w:rsidR="004A2048">
        <w:rPr>
          <w:rFonts w:ascii="Times New Roman" w:hAnsi="Times New Roman" w:cs="Times New Roman"/>
        </w:rPr>
        <w:t xml:space="preserve"> will</w:t>
      </w:r>
      <w:r w:rsidR="00463B2A" w:rsidRPr="00463B2A">
        <w:rPr>
          <w:rFonts w:ascii="Times New Roman" w:hAnsi="Times New Roman" w:cs="Times New Roman"/>
        </w:rPr>
        <w:t xml:space="preserve"> be subject to independent oversight by the Commonwealth Ombudsman, who </w:t>
      </w:r>
      <w:r w:rsidR="00DD341F">
        <w:rPr>
          <w:rFonts w:ascii="Times New Roman" w:hAnsi="Times New Roman" w:cs="Times New Roman"/>
        </w:rPr>
        <w:t>will</w:t>
      </w:r>
      <w:r w:rsidR="00463B2A" w:rsidRPr="00463B2A">
        <w:rPr>
          <w:rFonts w:ascii="Times New Roman" w:hAnsi="Times New Roman" w:cs="Times New Roman"/>
        </w:rPr>
        <w:t xml:space="preserve"> inspect the records of </w:t>
      </w:r>
      <w:r w:rsidR="00D12074">
        <w:rPr>
          <w:rFonts w:ascii="Times New Roman" w:hAnsi="Times New Roman" w:cs="Times New Roman"/>
        </w:rPr>
        <w:t>the ACT Integrity Commission</w:t>
      </w:r>
      <w:r w:rsidR="00463B2A" w:rsidRPr="00463B2A">
        <w:rPr>
          <w:rFonts w:ascii="Times New Roman" w:hAnsi="Times New Roman" w:cs="Times New Roman"/>
        </w:rPr>
        <w:t xml:space="preserve"> to determine the extent of</w:t>
      </w:r>
      <w:r w:rsidR="00DD341F">
        <w:rPr>
          <w:rFonts w:ascii="Times New Roman" w:hAnsi="Times New Roman" w:cs="Times New Roman"/>
        </w:rPr>
        <w:t xml:space="preserve"> its (and its officers</w:t>
      </w:r>
      <w:r w:rsidR="00DC4BC3">
        <w:rPr>
          <w:rFonts w:ascii="Times New Roman" w:hAnsi="Times New Roman" w:cs="Times New Roman"/>
        </w:rPr>
        <w:t>’</w:t>
      </w:r>
      <w:r w:rsidR="00DD341F">
        <w:rPr>
          <w:rFonts w:ascii="Times New Roman" w:hAnsi="Times New Roman" w:cs="Times New Roman"/>
        </w:rPr>
        <w:t>) compliance with Chapter</w:t>
      </w:r>
      <w:r w:rsidR="00A464DD">
        <w:rPr>
          <w:rFonts w:ascii="Times New Roman" w:hAnsi="Times New Roman" w:cs="Times New Roman"/>
        </w:rPr>
        <w:t>s 3 and</w:t>
      </w:r>
      <w:r w:rsidR="00DD341F">
        <w:rPr>
          <w:rFonts w:ascii="Times New Roman" w:hAnsi="Times New Roman" w:cs="Times New Roman"/>
        </w:rPr>
        <w:t> </w:t>
      </w:r>
      <w:r w:rsidR="00463B2A" w:rsidRPr="00463B2A">
        <w:rPr>
          <w:rFonts w:ascii="Times New Roman" w:hAnsi="Times New Roman" w:cs="Times New Roman"/>
        </w:rPr>
        <w:t>4 of the TIA Act</w:t>
      </w:r>
      <w:r w:rsidR="00A464DD">
        <w:rPr>
          <w:rFonts w:ascii="Times New Roman" w:hAnsi="Times New Roman" w:cs="Times New Roman"/>
        </w:rPr>
        <w:t>,</w:t>
      </w:r>
      <w:r w:rsidR="00463B2A" w:rsidRPr="00463B2A">
        <w:rPr>
          <w:rFonts w:ascii="Times New Roman" w:hAnsi="Times New Roman" w:cs="Times New Roman"/>
        </w:rPr>
        <w:t xml:space="preserve"> and </w:t>
      </w:r>
      <w:r w:rsidR="00DD341F">
        <w:rPr>
          <w:rFonts w:ascii="Times New Roman" w:hAnsi="Times New Roman" w:cs="Times New Roman"/>
        </w:rPr>
        <w:t xml:space="preserve">the Ombudsman will also </w:t>
      </w:r>
      <w:r w:rsidR="00463B2A" w:rsidRPr="00463B2A">
        <w:rPr>
          <w:rFonts w:ascii="Times New Roman" w:hAnsi="Times New Roman" w:cs="Times New Roman"/>
        </w:rPr>
        <w:t xml:space="preserve">report annually to the </w:t>
      </w:r>
      <w:r w:rsidR="00217D39" w:rsidRPr="00217D39">
        <w:rPr>
          <w:rFonts w:ascii="Times New Roman" w:hAnsi="Times New Roman" w:cs="Times New Roman"/>
        </w:rPr>
        <w:t>Attorney-General</w:t>
      </w:r>
      <w:r w:rsidR="00463B2A" w:rsidRPr="00463B2A">
        <w:rPr>
          <w:rFonts w:ascii="Times New Roman" w:hAnsi="Times New Roman" w:cs="Times New Roman"/>
        </w:rPr>
        <w:t xml:space="preserve"> about the resu</w:t>
      </w:r>
      <w:r w:rsidR="00DD341F">
        <w:rPr>
          <w:rFonts w:ascii="Times New Roman" w:hAnsi="Times New Roman" w:cs="Times New Roman"/>
        </w:rPr>
        <w:t>lts of those inspections. T</w:t>
      </w:r>
      <w:r w:rsidR="00463B2A" w:rsidRPr="00463B2A">
        <w:rPr>
          <w:rFonts w:ascii="Times New Roman" w:hAnsi="Times New Roman" w:cs="Times New Roman"/>
        </w:rPr>
        <w:t xml:space="preserve">he </w:t>
      </w:r>
      <w:r w:rsidR="00217D39" w:rsidRPr="00217D39">
        <w:rPr>
          <w:rFonts w:ascii="Times New Roman" w:hAnsi="Times New Roman" w:cs="Times New Roman"/>
        </w:rPr>
        <w:t>Attorney-General</w:t>
      </w:r>
      <w:r w:rsidR="00463B2A" w:rsidRPr="00463B2A">
        <w:rPr>
          <w:rFonts w:ascii="Times New Roman" w:hAnsi="Times New Roman" w:cs="Times New Roman"/>
        </w:rPr>
        <w:t xml:space="preserve"> </w:t>
      </w:r>
      <w:r w:rsidR="00DD341F">
        <w:rPr>
          <w:rFonts w:ascii="Times New Roman" w:hAnsi="Times New Roman" w:cs="Times New Roman"/>
        </w:rPr>
        <w:t>also</w:t>
      </w:r>
      <w:r w:rsidR="00463B2A" w:rsidRPr="00463B2A">
        <w:rPr>
          <w:rFonts w:ascii="Times New Roman" w:hAnsi="Times New Roman" w:cs="Times New Roman"/>
        </w:rPr>
        <w:t xml:space="preserve"> reports to Parl</w:t>
      </w:r>
      <w:r w:rsidR="00DD341F">
        <w:rPr>
          <w:rFonts w:ascii="Times New Roman" w:hAnsi="Times New Roman" w:cs="Times New Roman"/>
        </w:rPr>
        <w:t>iament on the operation of the data r</w:t>
      </w:r>
      <w:r w:rsidR="00463B2A" w:rsidRPr="00463B2A">
        <w:rPr>
          <w:rFonts w:ascii="Times New Roman" w:hAnsi="Times New Roman" w:cs="Times New Roman"/>
        </w:rPr>
        <w:t>e</w:t>
      </w:r>
      <w:r w:rsidR="00DD341F">
        <w:rPr>
          <w:rFonts w:ascii="Times New Roman" w:hAnsi="Times New Roman" w:cs="Times New Roman"/>
        </w:rPr>
        <w:t xml:space="preserve">tention scheme each year as required by section </w:t>
      </w:r>
      <w:r w:rsidR="00463B2A" w:rsidRPr="00463B2A">
        <w:rPr>
          <w:rFonts w:ascii="Times New Roman" w:hAnsi="Times New Roman" w:cs="Times New Roman"/>
        </w:rPr>
        <w:t>187P</w:t>
      </w:r>
      <w:r w:rsidR="00DD341F">
        <w:rPr>
          <w:rFonts w:ascii="Times New Roman" w:hAnsi="Times New Roman" w:cs="Times New Roman"/>
        </w:rPr>
        <w:t xml:space="preserve"> of the TIA Act</w:t>
      </w:r>
      <w:r w:rsidR="00463B2A" w:rsidRPr="00463B2A">
        <w:rPr>
          <w:rFonts w:ascii="Times New Roman" w:hAnsi="Times New Roman" w:cs="Times New Roman"/>
        </w:rPr>
        <w:t>.</w:t>
      </w:r>
    </w:p>
    <w:p w14:paraId="36AE67B7" w14:textId="77777777" w:rsidR="00D87002" w:rsidRDefault="00D87002" w:rsidP="00AA6E22">
      <w:pPr>
        <w:spacing w:after="0" w:line="276" w:lineRule="auto"/>
        <w:jc w:val="both"/>
        <w:rPr>
          <w:rFonts w:ascii="Times New Roman" w:hAnsi="Times New Roman" w:cs="Times New Roman"/>
          <w:highlight w:val="yellow"/>
        </w:rPr>
      </w:pPr>
    </w:p>
    <w:p w14:paraId="3D4736B3" w14:textId="0739AEE9" w:rsidR="00A66329" w:rsidRDefault="00D12074" w:rsidP="00AA6E22">
      <w:pPr>
        <w:spacing w:after="0" w:line="276" w:lineRule="auto"/>
        <w:jc w:val="both"/>
        <w:rPr>
          <w:rFonts w:ascii="Times New Roman" w:hAnsi="Times New Roman" w:cs="Times New Roman"/>
        </w:rPr>
      </w:pPr>
      <w:r>
        <w:rPr>
          <w:rFonts w:ascii="Times New Roman" w:hAnsi="Times New Roman" w:cs="Times New Roman"/>
        </w:rPr>
        <w:t xml:space="preserve">The </w:t>
      </w:r>
      <w:r w:rsidR="00AA42B6">
        <w:rPr>
          <w:rFonts w:ascii="Times New Roman" w:hAnsi="Times New Roman" w:cs="Times New Roman"/>
        </w:rPr>
        <w:t>ACT</w:t>
      </w:r>
      <w:r>
        <w:rPr>
          <w:rFonts w:ascii="Times New Roman" w:hAnsi="Times New Roman" w:cs="Times New Roman"/>
        </w:rPr>
        <w:t xml:space="preserve"> Integrity Commission will be excluded from accessing </w:t>
      </w:r>
      <w:r w:rsidR="00A464DD">
        <w:rPr>
          <w:rFonts w:ascii="Times New Roman" w:hAnsi="Times New Roman" w:cs="Times New Roman"/>
        </w:rPr>
        <w:t xml:space="preserve">stored communications and </w:t>
      </w:r>
      <w:r>
        <w:rPr>
          <w:rFonts w:ascii="Times New Roman" w:hAnsi="Times New Roman" w:cs="Times New Roman"/>
        </w:rPr>
        <w:t xml:space="preserve">telecommunications </w:t>
      </w:r>
      <w:r w:rsidR="00A464DD">
        <w:rPr>
          <w:rFonts w:ascii="Times New Roman" w:hAnsi="Times New Roman" w:cs="Times New Roman"/>
        </w:rPr>
        <w:t xml:space="preserve">data </w:t>
      </w:r>
      <w:r>
        <w:rPr>
          <w:rFonts w:ascii="Times New Roman" w:hAnsi="Times New Roman" w:cs="Times New Roman"/>
        </w:rPr>
        <w:t xml:space="preserve">for the purposes of preliminary inquiries under section 86 of the </w:t>
      </w:r>
      <w:r>
        <w:rPr>
          <w:rFonts w:ascii="Times New Roman" w:hAnsi="Times New Roman" w:cs="Times New Roman"/>
          <w:i/>
        </w:rPr>
        <w:t xml:space="preserve">Integrity Commission Act 2018 </w:t>
      </w:r>
      <w:r>
        <w:rPr>
          <w:rFonts w:ascii="Times New Roman" w:hAnsi="Times New Roman" w:cs="Times New Roman"/>
        </w:rPr>
        <w:t xml:space="preserve">(ACT). </w:t>
      </w:r>
      <w:r w:rsidR="00DC4BC3">
        <w:rPr>
          <w:rFonts w:ascii="Times New Roman" w:hAnsi="Times New Roman" w:cs="Times New Roman"/>
        </w:rPr>
        <w:t>T</w:t>
      </w:r>
      <w:r w:rsidRPr="00D12074">
        <w:rPr>
          <w:rFonts w:ascii="Times New Roman" w:hAnsi="Times New Roman" w:cs="Times New Roman"/>
        </w:rPr>
        <w:t xml:space="preserve">he ACT Government </w:t>
      </w:r>
      <w:r w:rsidR="00DC4BC3">
        <w:rPr>
          <w:rFonts w:ascii="Times New Roman" w:hAnsi="Times New Roman" w:cs="Times New Roman"/>
        </w:rPr>
        <w:t xml:space="preserve">wishes </w:t>
      </w:r>
      <w:r w:rsidRPr="00D12074">
        <w:rPr>
          <w:rFonts w:ascii="Times New Roman" w:hAnsi="Times New Roman" w:cs="Times New Roman"/>
        </w:rPr>
        <w:t xml:space="preserve">to restrict the use of coercive and covert powers during preliminary inquiries due to their impact on human rights and potential engagement with the </w:t>
      </w:r>
      <w:r w:rsidRPr="002434B4">
        <w:rPr>
          <w:rFonts w:ascii="Times New Roman" w:hAnsi="Times New Roman" w:cs="Times New Roman"/>
          <w:i/>
        </w:rPr>
        <w:t xml:space="preserve">Human Rights Act 2004 </w:t>
      </w:r>
      <w:r w:rsidRPr="00D12074">
        <w:rPr>
          <w:rFonts w:ascii="Times New Roman" w:hAnsi="Times New Roman" w:cs="Times New Roman"/>
        </w:rPr>
        <w:t xml:space="preserve">(ACT). The declaration instrument has been drafted in such a way as to give effect to this condition. By </w:t>
      </w:r>
      <w:r w:rsidR="005A5E62">
        <w:rPr>
          <w:rFonts w:ascii="Times New Roman" w:hAnsi="Times New Roman" w:cs="Times New Roman"/>
        </w:rPr>
        <w:t>requesting restricted</w:t>
      </w:r>
      <w:r w:rsidRPr="00D12074">
        <w:rPr>
          <w:rFonts w:ascii="Times New Roman" w:hAnsi="Times New Roman" w:cs="Times New Roman"/>
        </w:rPr>
        <w:t xml:space="preserve"> access to </w:t>
      </w:r>
      <w:r w:rsidR="00A464DD">
        <w:rPr>
          <w:rFonts w:ascii="Times New Roman" w:hAnsi="Times New Roman" w:cs="Times New Roman"/>
        </w:rPr>
        <w:t xml:space="preserve">stored communications and </w:t>
      </w:r>
      <w:r w:rsidRPr="00D12074">
        <w:rPr>
          <w:rFonts w:ascii="Times New Roman" w:hAnsi="Times New Roman" w:cs="Times New Roman"/>
        </w:rPr>
        <w:t xml:space="preserve">telecommunications data in this way, the ACT </w:t>
      </w:r>
      <w:r w:rsidR="005A5E62">
        <w:rPr>
          <w:rFonts w:ascii="Times New Roman" w:hAnsi="Times New Roman" w:cs="Times New Roman"/>
        </w:rPr>
        <w:t>Government</w:t>
      </w:r>
      <w:r w:rsidRPr="00D12074">
        <w:rPr>
          <w:rFonts w:ascii="Times New Roman" w:hAnsi="Times New Roman" w:cs="Times New Roman"/>
        </w:rPr>
        <w:t xml:space="preserve"> has demonstrated </w:t>
      </w:r>
      <w:r w:rsidR="00F50A12">
        <w:rPr>
          <w:rFonts w:ascii="Times New Roman" w:hAnsi="Times New Roman" w:cs="Times New Roman"/>
        </w:rPr>
        <w:t>a commitment</w:t>
      </w:r>
      <w:r w:rsidRPr="00D12074">
        <w:rPr>
          <w:rFonts w:ascii="Times New Roman" w:hAnsi="Times New Roman" w:cs="Times New Roman"/>
        </w:rPr>
        <w:t xml:space="preserve"> to protect</w:t>
      </w:r>
      <w:r w:rsidR="00F50A12">
        <w:rPr>
          <w:rFonts w:ascii="Times New Roman" w:hAnsi="Times New Roman" w:cs="Times New Roman"/>
        </w:rPr>
        <w:t>ing</w:t>
      </w:r>
      <w:r w:rsidRPr="00D12074">
        <w:rPr>
          <w:rFonts w:ascii="Times New Roman" w:hAnsi="Times New Roman" w:cs="Times New Roman"/>
        </w:rPr>
        <w:t xml:space="preserve"> human rights with respect to powers conferred under the TIA Act.</w:t>
      </w:r>
      <w:r>
        <w:t xml:space="preserve"> </w:t>
      </w:r>
    </w:p>
    <w:p w14:paraId="4C14D308" w14:textId="77777777" w:rsidR="00D12074" w:rsidRPr="00D12074" w:rsidRDefault="00D12074" w:rsidP="00AA6E22">
      <w:pPr>
        <w:spacing w:after="0" w:line="276" w:lineRule="auto"/>
        <w:jc w:val="both"/>
        <w:rPr>
          <w:rFonts w:ascii="Times New Roman" w:hAnsi="Times New Roman" w:cs="Times New Roman"/>
        </w:rPr>
      </w:pPr>
    </w:p>
    <w:p w14:paraId="0E33C32A" w14:textId="727A98C6" w:rsidR="00A66329" w:rsidRDefault="00A66329" w:rsidP="00AA6E22">
      <w:pPr>
        <w:spacing w:after="0" w:line="276" w:lineRule="auto"/>
        <w:jc w:val="both"/>
        <w:rPr>
          <w:rFonts w:ascii="Times New Roman" w:hAnsi="Times New Roman" w:cs="Times New Roman"/>
        </w:rPr>
      </w:pPr>
      <w:r>
        <w:rPr>
          <w:rFonts w:ascii="Times New Roman" w:hAnsi="Times New Roman" w:cs="Times New Roman"/>
        </w:rPr>
        <w:t xml:space="preserve">In </w:t>
      </w:r>
      <w:r w:rsidR="005A5E62">
        <w:rPr>
          <w:rFonts w:ascii="Times New Roman" w:hAnsi="Times New Roman" w:cs="Times New Roman"/>
        </w:rPr>
        <w:t xml:space="preserve">regards to being proportionate and as </w:t>
      </w:r>
      <w:r w:rsidR="001A6BBE">
        <w:rPr>
          <w:rFonts w:ascii="Times New Roman" w:hAnsi="Times New Roman" w:cs="Times New Roman"/>
        </w:rPr>
        <w:t>least rights</w:t>
      </w:r>
      <w:r w:rsidR="00676584">
        <w:rPr>
          <w:rFonts w:ascii="Times New Roman" w:hAnsi="Times New Roman" w:cs="Times New Roman"/>
        </w:rPr>
        <w:t>-</w:t>
      </w:r>
      <w:r w:rsidR="001A6BBE">
        <w:rPr>
          <w:rFonts w:ascii="Times New Roman" w:hAnsi="Times New Roman" w:cs="Times New Roman"/>
        </w:rPr>
        <w:t xml:space="preserve">restrictive </w:t>
      </w:r>
      <w:r w:rsidR="005A5E62">
        <w:rPr>
          <w:rFonts w:ascii="Times New Roman" w:hAnsi="Times New Roman" w:cs="Times New Roman"/>
        </w:rPr>
        <w:t>as possible, t</w:t>
      </w:r>
      <w:r w:rsidR="00D12074">
        <w:rPr>
          <w:rFonts w:ascii="Times New Roman" w:hAnsi="Times New Roman" w:cs="Times New Roman"/>
        </w:rPr>
        <w:t xml:space="preserve">he </w:t>
      </w:r>
      <w:r w:rsidR="005A5E62">
        <w:rPr>
          <w:rFonts w:ascii="Times New Roman" w:hAnsi="Times New Roman" w:cs="Times New Roman"/>
        </w:rPr>
        <w:t xml:space="preserve">TIA Act requires, and the </w:t>
      </w:r>
      <w:r w:rsidR="00D12074">
        <w:rPr>
          <w:rFonts w:ascii="Times New Roman" w:hAnsi="Times New Roman" w:cs="Times New Roman"/>
        </w:rPr>
        <w:t>ACT Integrity Commission</w:t>
      </w:r>
      <w:r>
        <w:rPr>
          <w:rFonts w:ascii="Times New Roman" w:hAnsi="Times New Roman" w:cs="Times New Roman"/>
        </w:rPr>
        <w:t xml:space="preserve"> has </w:t>
      </w:r>
      <w:r w:rsidR="005A5E62">
        <w:rPr>
          <w:rFonts w:ascii="Times New Roman" w:hAnsi="Times New Roman" w:cs="Times New Roman"/>
        </w:rPr>
        <w:t>demonstrated, that it has</w:t>
      </w:r>
      <w:r>
        <w:rPr>
          <w:rFonts w:ascii="Times New Roman" w:hAnsi="Times New Roman" w:cs="Times New Roman"/>
        </w:rPr>
        <w:t xml:space="preserve"> processes and systems </w:t>
      </w:r>
      <w:r w:rsidR="005A5E62">
        <w:rPr>
          <w:rFonts w:ascii="Times New Roman" w:hAnsi="Times New Roman" w:cs="Times New Roman"/>
        </w:rPr>
        <w:t xml:space="preserve">in place </w:t>
      </w:r>
      <w:r>
        <w:rPr>
          <w:rFonts w:ascii="Times New Roman" w:hAnsi="Times New Roman" w:cs="Times New Roman"/>
        </w:rPr>
        <w:t xml:space="preserve">that ensure </w:t>
      </w:r>
      <w:r w:rsidR="0007217E">
        <w:rPr>
          <w:rFonts w:ascii="Times New Roman" w:hAnsi="Times New Roman" w:cs="Times New Roman"/>
        </w:rPr>
        <w:t xml:space="preserve">stored communications and </w:t>
      </w:r>
      <w:r>
        <w:rPr>
          <w:rFonts w:ascii="Times New Roman" w:hAnsi="Times New Roman" w:cs="Times New Roman"/>
        </w:rPr>
        <w:t>telecommunications data will only be accessed whe</w:t>
      </w:r>
      <w:r w:rsidR="004B1C60">
        <w:rPr>
          <w:rFonts w:ascii="Times New Roman" w:hAnsi="Times New Roman" w:cs="Times New Roman"/>
        </w:rPr>
        <w:t xml:space="preserve">n required and will be appropriately protected. </w:t>
      </w:r>
      <w:r w:rsidR="009E4E0B">
        <w:rPr>
          <w:rFonts w:ascii="Times New Roman" w:hAnsi="Times New Roman" w:cs="Times New Roman"/>
        </w:rPr>
        <w:t xml:space="preserve">The </w:t>
      </w:r>
      <w:r w:rsidR="00885CD2">
        <w:rPr>
          <w:rFonts w:ascii="Times New Roman" w:hAnsi="Times New Roman" w:cs="Times New Roman"/>
        </w:rPr>
        <w:t>ACT Integrity Commission</w:t>
      </w:r>
      <w:r>
        <w:rPr>
          <w:rFonts w:ascii="Times New Roman" w:hAnsi="Times New Roman" w:cs="Times New Roman"/>
        </w:rPr>
        <w:t xml:space="preserve"> systems also allow </w:t>
      </w:r>
      <w:r w:rsidR="009E4E0B">
        <w:rPr>
          <w:rFonts w:ascii="Times New Roman" w:hAnsi="Times New Roman" w:cs="Times New Roman"/>
        </w:rPr>
        <w:t>the agency</w:t>
      </w:r>
      <w:r>
        <w:rPr>
          <w:rFonts w:ascii="Times New Roman" w:hAnsi="Times New Roman" w:cs="Times New Roman"/>
        </w:rPr>
        <w:t xml:space="preserve"> to report</w:t>
      </w:r>
      <w:r w:rsidRPr="00AB15C8">
        <w:rPr>
          <w:rFonts w:ascii="Times New Roman" w:hAnsi="Times New Roman" w:cs="Times New Roman"/>
        </w:rPr>
        <w:t xml:space="preserve"> </w:t>
      </w:r>
      <w:r>
        <w:rPr>
          <w:rFonts w:ascii="Times New Roman" w:hAnsi="Times New Roman" w:cs="Times New Roman"/>
        </w:rPr>
        <w:t xml:space="preserve">on its use of </w:t>
      </w:r>
      <w:r w:rsidR="0007217E">
        <w:rPr>
          <w:rFonts w:ascii="Times New Roman" w:hAnsi="Times New Roman" w:cs="Times New Roman"/>
        </w:rPr>
        <w:t xml:space="preserve">stored communications and </w:t>
      </w:r>
      <w:r>
        <w:rPr>
          <w:rFonts w:ascii="Times New Roman" w:hAnsi="Times New Roman" w:cs="Times New Roman"/>
        </w:rPr>
        <w:t xml:space="preserve">telecommunications data to </w:t>
      </w:r>
      <w:r w:rsidRPr="00AB15C8">
        <w:rPr>
          <w:rFonts w:ascii="Times New Roman" w:hAnsi="Times New Roman" w:cs="Times New Roman"/>
        </w:rPr>
        <w:t xml:space="preserve">the </w:t>
      </w:r>
      <w:r w:rsidR="006B1049">
        <w:rPr>
          <w:rFonts w:ascii="Times New Roman" w:hAnsi="Times New Roman" w:cs="Times New Roman"/>
        </w:rPr>
        <w:t xml:space="preserve">Commonwealth </w:t>
      </w:r>
      <w:r w:rsidR="00217D39" w:rsidRPr="00217D39">
        <w:rPr>
          <w:rFonts w:ascii="Times New Roman" w:hAnsi="Times New Roman" w:cs="Times New Roman"/>
        </w:rPr>
        <w:t>Attorney-General</w:t>
      </w:r>
      <w:r w:rsidR="00885CD2">
        <w:rPr>
          <w:rFonts w:ascii="Times New Roman" w:hAnsi="Times New Roman" w:cs="Times New Roman"/>
        </w:rPr>
        <w:t xml:space="preserve"> and the Commonwealth Ombudsman </w:t>
      </w:r>
      <w:r>
        <w:rPr>
          <w:rFonts w:ascii="Times New Roman" w:hAnsi="Times New Roman" w:cs="Times New Roman"/>
        </w:rPr>
        <w:t>as required by the TIA Act</w:t>
      </w:r>
      <w:r w:rsidR="00885CD2">
        <w:rPr>
          <w:rFonts w:ascii="Times New Roman" w:hAnsi="Times New Roman" w:cs="Times New Roman"/>
        </w:rPr>
        <w:t>.</w:t>
      </w:r>
    </w:p>
    <w:p w14:paraId="12257E3E" w14:textId="09CA1F3D" w:rsidR="001A1F5A" w:rsidRDefault="00EC5DF1" w:rsidP="00A754B6">
      <w:pPr>
        <w:keepNext/>
        <w:keepLines/>
        <w:tabs>
          <w:tab w:val="left" w:pos="567"/>
        </w:tabs>
        <w:spacing w:before="360" w:after="0" w:line="276" w:lineRule="auto"/>
        <w:rPr>
          <w:rFonts w:ascii="Times New Roman" w:hAnsi="Times New Roman" w:cs="Times New Roman"/>
          <w:b/>
          <w:i/>
          <w:szCs w:val="24"/>
        </w:rPr>
      </w:pPr>
      <w:r>
        <w:rPr>
          <w:rFonts w:ascii="Times New Roman" w:hAnsi="Times New Roman" w:cs="Times New Roman"/>
          <w:b/>
          <w:i/>
          <w:szCs w:val="24"/>
        </w:rPr>
        <w:t>Conclusion</w:t>
      </w:r>
    </w:p>
    <w:p w14:paraId="34CDD714" w14:textId="77777777" w:rsidR="005A5E62" w:rsidRDefault="005A5E62" w:rsidP="00AA6E22">
      <w:pPr>
        <w:spacing w:after="0" w:line="276" w:lineRule="auto"/>
        <w:jc w:val="both"/>
        <w:rPr>
          <w:rFonts w:ascii="Times New Roman" w:hAnsi="Times New Roman" w:cs="Times New Roman"/>
        </w:rPr>
      </w:pPr>
    </w:p>
    <w:p w14:paraId="7A356D4D" w14:textId="2551238E" w:rsidR="004A2048" w:rsidRPr="00D87002" w:rsidRDefault="00EC5DF1" w:rsidP="00AA6E22">
      <w:pPr>
        <w:spacing w:after="0" w:line="276" w:lineRule="auto"/>
        <w:jc w:val="both"/>
        <w:rPr>
          <w:rFonts w:ascii="Times New Roman" w:hAnsi="Times New Roman" w:cs="Times New Roman"/>
        </w:rPr>
      </w:pPr>
      <w:r w:rsidRPr="004A2048">
        <w:rPr>
          <w:rFonts w:ascii="Times New Roman" w:hAnsi="Times New Roman" w:cs="Times New Roman"/>
        </w:rPr>
        <w:t>This Declaration is</w:t>
      </w:r>
      <w:r>
        <w:rPr>
          <w:rFonts w:ascii="Times New Roman" w:hAnsi="Times New Roman" w:cs="Times New Roman"/>
        </w:rPr>
        <w:t xml:space="preserve"> made for the legitimate purpose of protecting national security, public order and the rights of others. The Declaration is </w:t>
      </w:r>
      <w:r w:rsidRPr="004A2048">
        <w:rPr>
          <w:rFonts w:ascii="Times New Roman" w:hAnsi="Times New Roman" w:cs="Times New Roman"/>
        </w:rPr>
        <w:t>compatible with human rights as set out a</w:t>
      </w:r>
      <w:r>
        <w:rPr>
          <w:rFonts w:ascii="Times New Roman" w:hAnsi="Times New Roman" w:cs="Times New Roman"/>
        </w:rPr>
        <w:t xml:space="preserve">bove, and to the extent that it may </w:t>
      </w:r>
      <w:r w:rsidRPr="004A2048">
        <w:rPr>
          <w:rFonts w:ascii="Times New Roman" w:hAnsi="Times New Roman" w:cs="Times New Roman"/>
        </w:rPr>
        <w:t>limit human right</w:t>
      </w:r>
      <w:r>
        <w:rPr>
          <w:rFonts w:ascii="Times New Roman" w:hAnsi="Times New Roman" w:cs="Times New Roman"/>
        </w:rPr>
        <w:t>s</w:t>
      </w:r>
      <w:r w:rsidRPr="004A2048">
        <w:rPr>
          <w:rFonts w:ascii="Times New Roman" w:hAnsi="Times New Roman" w:cs="Times New Roman"/>
        </w:rPr>
        <w:t xml:space="preserve">, those limitations are reasonable, necessary and proportionate. </w:t>
      </w:r>
    </w:p>
    <w:sectPr w:rsidR="004A2048" w:rsidRPr="00D87002" w:rsidSect="009E12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6B60B" w14:textId="77777777" w:rsidR="00C420C6" w:rsidRDefault="00C420C6" w:rsidP="004A2048">
      <w:pPr>
        <w:spacing w:after="0" w:line="240" w:lineRule="auto"/>
      </w:pPr>
      <w:r>
        <w:separator/>
      </w:r>
    </w:p>
  </w:endnote>
  <w:endnote w:type="continuationSeparator" w:id="0">
    <w:p w14:paraId="06560FA7" w14:textId="77777777" w:rsidR="00C420C6" w:rsidRDefault="00C420C6" w:rsidP="004A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672470"/>
      <w:docPartObj>
        <w:docPartGallery w:val="Page Numbers (Bottom of Page)"/>
        <w:docPartUnique/>
      </w:docPartObj>
    </w:sdtPr>
    <w:sdtEndPr>
      <w:rPr>
        <w:rFonts w:ascii="Times New Roman" w:hAnsi="Times New Roman" w:cs="Times New Roman"/>
        <w:noProof/>
      </w:rPr>
    </w:sdtEndPr>
    <w:sdtContent>
      <w:p w14:paraId="06CAEEEA" w14:textId="7602BE0C" w:rsidR="00643B3F" w:rsidRPr="008E1976" w:rsidRDefault="00643B3F">
        <w:pPr>
          <w:pStyle w:val="Footer"/>
          <w:jc w:val="right"/>
          <w:rPr>
            <w:rFonts w:ascii="Times New Roman" w:hAnsi="Times New Roman" w:cs="Times New Roman"/>
          </w:rPr>
        </w:pPr>
        <w:r w:rsidRPr="008E1976">
          <w:rPr>
            <w:rFonts w:ascii="Times New Roman" w:hAnsi="Times New Roman" w:cs="Times New Roman"/>
          </w:rPr>
          <w:fldChar w:fldCharType="begin"/>
        </w:r>
        <w:r w:rsidRPr="008E1976">
          <w:rPr>
            <w:rFonts w:ascii="Times New Roman" w:hAnsi="Times New Roman" w:cs="Times New Roman"/>
          </w:rPr>
          <w:instrText xml:space="preserve"> PAGE   \* MERGEFORMAT </w:instrText>
        </w:r>
        <w:r w:rsidRPr="008E1976">
          <w:rPr>
            <w:rFonts w:ascii="Times New Roman" w:hAnsi="Times New Roman" w:cs="Times New Roman"/>
          </w:rPr>
          <w:fldChar w:fldCharType="separate"/>
        </w:r>
        <w:r w:rsidR="00012699">
          <w:rPr>
            <w:rFonts w:ascii="Times New Roman" w:hAnsi="Times New Roman" w:cs="Times New Roman"/>
            <w:noProof/>
          </w:rPr>
          <w:t>1</w:t>
        </w:r>
        <w:r w:rsidRPr="008E1976">
          <w:rPr>
            <w:rFonts w:ascii="Times New Roman" w:hAnsi="Times New Roman" w:cs="Times New Roman"/>
            <w:noProof/>
          </w:rPr>
          <w:fldChar w:fldCharType="end"/>
        </w:r>
      </w:p>
    </w:sdtContent>
  </w:sdt>
  <w:p w14:paraId="4953A287" w14:textId="77777777" w:rsidR="00643B3F" w:rsidRDefault="0064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A938" w14:textId="77777777" w:rsidR="00C420C6" w:rsidRDefault="00C420C6" w:rsidP="004A2048">
      <w:pPr>
        <w:spacing w:after="0" w:line="240" w:lineRule="auto"/>
      </w:pPr>
      <w:r>
        <w:separator/>
      </w:r>
    </w:p>
  </w:footnote>
  <w:footnote w:type="continuationSeparator" w:id="0">
    <w:p w14:paraId="6B44EF5D" w14:textId="77777777" w:rsidR="00C420C6" w:rsidRDefault="00C420C6" w:rsidP="004A2048">
      <w:pPr>
        <w:spacing w:after="0" w:line="240" w:lineRule="auto"/>
      </w:pPr>
      <w:r>
        <w:continuationSeparator/>
      </w:r>
    </w:p>
  </w:footnote>
  <w:footnote w:id="1">
    <w:p w14:paraId="63DB46F6" w14:textId="77777777" w:rsidR="004A2048" w:rsidRDefault="004A2048" w:rsidP="004A204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
          <w:iCs/>
        </w:rPr>
        <w:t>Toonen v Australia</w:t>
      </w:r>
      <w:r>
        <w:rPr>
          <w:rFonts w:ascii="Times New Roman" w:hAnsi="Times New Roman" w:cs="Times New Roman"/>
        </w:rPr>
        <w:t>, Communication No. 488/1992, U.N. Doc CCPR/C/50/D/488/1992 (1994) at 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B1629"/>
    <w:multiLevelType w:val="hybridMultilevel"/>
    <w:tmpl w:val="C6ECE696"/>
    <w:lvl w:ilvl="0" w:tplc="EEB68044">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7877031"/>
    <w:multiLevelType w:val="hybridMultilevel"/>
    <w:tmpl w:val="9618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973E0"/>
    <w:multiLevelType w:val="hybridMultilevel"/>
    <w:tmpl w:val="741E23F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0E935D6A"/>
    <w:multiLevelType w:val="hybridMultilevel"/>
    <w:tmpl w:val="DDACA322"/>
    <w:lvl w:ilvl="0" w:tplc="9F621326">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9B0B58"/>
    <w:multiLevelType w:val="hybridMultilevel"/>
    <w:tmpl w:val="9E34C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A36253"/>
    <w:multiLevelType w:val="hybridMultilevel"/>
    <w:tmpl w:val="8CD0A14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8" w15:restartNumberingAfterBreak="0">
    <w:nsid w:val="1745760B"/>
    <w:multiLevelType w:val="multilevel"/>
    <w:tmpl w:val="B1F0C74C"/>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B3044"/>
    <w:multiLevelType w:val="hybridMultilevel"/>
    <w:tmpl w:val="0B343CF8"/>
    <w:lvl w:ilvl="0" w:tplc="71228526">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862DE"/>
    <w:multiLevelType w:val="hybridMultilevel"/>
    <w:tmpl w:val="5060C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A67F1"/>
    <w:multiLevelType w:val="hybridMultilevel"/>
    <w:tmpl w:val="FC166594"/>
    <w:lvl w:ilvl="0" w:tplc="D05AC1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A4697"/>
    <w:multiLevelType w:val="hybridMultilevel"/>
    <w:tmpl w:val="AB463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E248B5"/>
    <w:multiLevelType w:val="hybridMultilevel"/>
    <w:tmpl w:val="039E05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E6E0F90"/>
    <w:multiLevelType w:val="hybridMultilevel"/>
    <w:tmpl w:val="0F4C42F2"/>
    <w:lvl w:ilvl="0" w:tplc="63342A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F971C0"/>
    <w:multiLevelType w:val="hybridMultilevel"/>
    <w:tmpl w:val="5606A454"/>
    <w:lvl w:ilvl="0" w:tplc="D7ECF3F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DCE7FF3"/>
    <w:multiLevelType w:val="hybridMultilevel"/>
    <w:tmpl w:val="E1B8ECCC"/>
    <w:lvl w:ilvl="0" w:tplc="EEB6804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DF6DD0"/>
    <w:multiLevelType w:val="hybridMultilevel"/>
    <w:tmpl w:val="4D261520"/>
    <w:lvl w:ilvl="0" w:tplc="F4866924">
      <w:start w:val="1"/>
      <w:numFmt w:val="lowerLetter"/>
      <w:lvlText w:val="(%1)"/>
      <w:lvlJc w:val="left"/>
      <w:pPr>
        <w:ind w:left="927" w:hanging="360"/>
      </w:pPr>
      <w:rPr>
        <w:rFonts w:ascii="Times New Roman" w:eastAsiaTheme="minorHAnsi"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1345028"/>
    <w:multiLevelType w:val="hybridMultilevel"/>
    <w:tmpl w:val="53A8D2A4"/>
    <w:lvl w:ilvl="0" w:tplc="4B30FA5C">
      <w:start w:val="1"/>
      <w:numFmt w:val="decimal"/>
      <w:lvlText w:val="%1."/>
      <w:lvlJc w:val="left"/>
      <w:pPr>
        <w:ind w:left="1998" w:hanging="360"/>
      </w:pPr>
      <w:rPr>
        <w:rFonts w:asciiTheme="minorHAnsi" w:hAnsiTheme="minorHAnsi" w:cstheme="minorHAnsi" w:hint="default"/>
        <w:i w:val="0"/>
      </w:rPr>
    </w:lvl>
    <w:lvl w:ilvl="1" w:tplc="0C090003">
      <w:start w:val="1"/>
      <w:numFmt w:val="bullet"/>
      <w:lvlText w:val="o"/>
      <w:lvlJc w:val="left"/>
      <w:pPr>
        <w:ind w:left="1211" w:hanging="360"/>
      </w:pPr>
      <w:rPr>
        <w:rFonts w:ascii="Courier New" w:hAnsi="Courier New" w:cs="Courier New" w:hint="default"/>
      </w:rPr>
    </w:lvl>
    <w:lvl w:ilvl="2" w:tplc="9B1ABBEC" w:tentative="1">
      <w:start w:val="1"/>
      <w:numFmt w:val="lowerRoman"/>
      <w:lvlText w:val="%3."/>
      <w:lvlJc w:val="right"/>
      <w:pPr>
        <w:ind w:left="3438" w:hanging="180"/>
      </w:pPr>
    </w:lvl>
    <w:lvl w:ilvl="3" w:tplc="DD964E4C" w:tentative="1">
      <w:start w:val="1"/>
      <w:numFmt w:val="decimal"/>
      <w:lvlText w:val="%4."/>
      <w:lvlJc w:val="left"/>
      <w:pPr>
        <w:ind w:left="4158" w:hanging="360"/>
      </w:pPr>
    </w:lvl>
    <w:lvl w:ilvl="4" w:tplc="232CA8B2" w:tentative="1">
      <w:start w:val="1"/>
      <w:numFmt w:val="lowerLetter"/>
      <w:lvlText w:val="%5."/>
      <w:lvlJc w:val="left"/>
      <w:pPr>
        <w:ind w:left="4878" w:hanging="360"/>
      </w:pPr>
    </w:lvl>
    <w:lvl w:ilvl="5" w:tplc="58841738" w:tentative="1">
      <w:start w:val="1"/>
      <w:numFmt w:val="lowerRoman"/>
      <w:lvlText w:val="%6."/>
      <w:lvlJc w:val="right"/>
      <w:pPr>
        <w:ind w:left="5598" w:hanging="180"/>
      </w:pPr>
    </w:lvl>
    <w:lvl w:ilvl="6" w:tplc="224AEA68" w:tentative="1">
      <w:start w:val="1"/>
      <w:numFmt w:val="decimal"/>
      <w:lvlText w:val="%7."/>
      <w:lvlJc w:val="left"/>
      <w:pPr>
        <w:ind w:left="6318" w:hanging="360"/>
      </w:pPr>
    </w:lvl>
    <w:lvl w:ilvl="7" w:tplc="24CE37BC" w:tentative="1">
      <w:start w:val="1"/>
      <w:numFmt w:val="lowerLetter"/>
      <w:lvlText w:val="%8."/>
      <w:lvlJc w:val="left"/>
      <w:pPr>
        <w:ind w:left="7038" w:hanging="360"/>
      </w:pPr>
    </w:lvl>
    <w:lvl w:ilvl="8" w:tplc="9F16BFD6" w:tentative="1">
      <w:start w:val="1"/>
      <w:numFmt w:val="lowerRoman"/>
      <w:lvlText w:val="%9."/>
      <w:lvlJc w:val="right"/>
      <w:pPr>
        <w:ind w:left="7758" w:hanging="180"/>
      </w:pPr>
    </w:lvl>
  </w:abstractNum>
  <w:abstractNum w:abstractNumId="19" w15:restartNumberingAfterBreak="0">
    <w:nsid w:val="63A15FB9"/>
    <w:multiLevelType w:val="hybridMultilevel"/>
    <w:tmpl w:val="BB4E5510"/>
    <w:lvl w:ilvl="0" w:tplc="3484F224">
      <w:start w:val="1"/>
      <w:numFmt w:val="bullet"/>
      <w:lvlText w:val=""/>
      <w:lvlJc w:val="left"/>
      <w:pPr>
        <w:ind w:left="720" w:hanging="360"/>
      </w:pPr>
      <w:rPr>
        <w:rFonts w:ascii="Symbol" w:hAnsi="Symbol" w:hint="default"/>
        <w:color w:val="5C5C5C"/>
      </w:rPr>
    </w:lvl>
    <w:lvl w:ilvl="1" w:tplc="A2C25808">
      <w:start w:val="1"/>
      <w:numFmt w:val="bullet"/>
      <w:pStyle w:val="ListBullet"/>
      <w:lvlText w:val=""/>
      <w:lvlJc w:val="left"/>
      <w:pPr>
        <w:ind w:left="928"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E73EC5"/>
    <w:multiLevelType w:val="hybridMultilevel"/>
    <w:tmpl w:val="4D261520"/>
    <w:lvl w:ilvl="0" w:tplc="F4866924">
      <w:start w:val="1"/>
      <w:numFmt w:val="lowerLetter"/>
      <w:lvlText w:val="(%1)"/>
      <w:lvlJc w:val="left"/>
      <w:pPr>
        <w:ind w:left="927" w:hanging="360"/>
      </w:pPr>
      <w:rPr>
        <w:rFonts w:ascii="Times New Roman" w:eastAsiaTheme="minorHAnsi"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C4E457C"/>
    <w:multiLevelType w:val="hybridMultilevel"/>
    <w:tmpl w:val="B1F4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0172A0"/>
    <w:multiLevelType w:val="hybridMultilevel"/>
    <w:tmpl w:val="542A2A98"/>
    <w:lvl w:ilvl="0" w:tplc="BD74AA8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9706E"/>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4" w15:restartNumberingAfterBreak="0">
    <w:nsid w:val="79EF2368"/>
    <w:multiLevelType w:val="hybridMultilevel"/>
    <w:tmpl w:val="2206CBEC"/>
    <w:lvl w:ilvl="0" w:tplc="0710537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5"/>
  </w:num>
  <w:num w:numId="3">
    <w:abstractNumId w:val="16"/>
  </w:num>
  <w:num w:numId="4">
    <w:abstractNumId w:val="1"/>
  </w:num>
  <w:num w:numId="5">
    <w:abstractNumId w:val="14"/>
  </w:num>
  <w:num w:numId="6">
    <w:abstractNumId w:val="17"/>
  </w:num>
  <w:num w:numId="7">
    <w:abstractNumId w:val="18"/>
  </w:num>
  <w:num w:numId="8">
    <w:abstractNumId w:val="0"/>
  </w:num>
  <w:num w:numId="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0"/>
  </w:num>
  <w:num w:numId="11">
    <w:abstractNumId w:val="6"/>
  </w:num>
  <w:num w:numId="12">
    <w:abstractNumId w:val="3"/>
  </w:num>
  <w:num w:numId="13">
    <w:abstractNumId w:val="7"/>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11"/>
  </w:num>
  <w:num w:numId="19">
    <w:abstractNumId w:val="5"/>
  </w:num>
  <w:num w:numId="20">
    <w:abstractNumId w:val="4"/>
  </w:num>
  <w:num w:numId="21">
    <w:abstractNumId w:val="19"/>
  </w:num>
  <w:num w:numId="22">
    <w:abstractNumId w:val="2"/>
  </w:num>
  <w:num w:numId="23">
    <w:abstractNumId w:val="23"/>
  </w:num>
  <w:num w:numId="24">
    <w:abstractNumId w:val="12"/>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7B"/>
    <w:rsid w:val="00007DFC"/>
    <w:rsid w:val="00012699"/>
    <w:rsid w:val="00021C25"/>
    <w:rsid w:val="00023F9F"/>
    <w:rsid w:val="0003171C"/>
    <w:rsid w:val="00035C29"/>
    <w:rsid w:val="00040C35"/>
    <w:rsid w:val="00043279"/>
    <w:rsid w:val="00044031"/>
    <w:rsid w:val="00054AA2"/>
    <w:rsid w:val="00064955"/>
    <w:rsid w:val="00067D86"/>
    <w:rsid w:val="0007217E"/>
    <w:rsid w:val="00074D13"/>
    <w:rsid w:val="00077995"/>
    <w:rsid w:val="00083ACB"/>
    <w:rsid w:val="00091453"/>
    <w:rsid w:val="000B16F1"/>
    <w:rsid w:val="000C098C"/>
    <w:rsid w:val="000C0EE4"/>
    <w:rsid w:val="000C35EB"/>
    <w:rsid w:val="000C7270"/>
    <w:rsid w:val="000D3BA0"/>
    <w:rsid w:val="000D4757"/>
    <w:rsid w:val="000E1A40"/>
    <w:rsid w:val="001022B8"/>
    <w:rsid w:val="00106759"/>
    <w:rsid w:val="00110024"/>
    <w:rsid w:val="00121532"/>
    <w:rsid w:val="00121CEA"/>
    <w:rsid w:val="00123B57"/>
    <w:rsid w:val="00125472"/>
    <w:rsid w:val="0013132A"/>
    <w:rsid w:val="00132E9B"/>
    <w:rsid w:val="001345F8"/>
    <w:rsid w:val="00140BF2"/>
    <w:rsid w:val="00143CB8"/>
    <w:rsid w:val="001440DF"/>
    <w:rsid w:val="00155CEB"/>
    <w:rsid w:val="00163403"/>
    <w:rsid w:val="00164DF3"/>
    <w:rsid w:val="0016694F"/>
    <w:rsid w:val="0017092F"/>
    <w:rsid w:val="001713C8"/>
    <w:rsid w:val="0017446F"/>
    <w:rsid w:val="00181177"/>
    <w:rsid w:val="00182D24"/>
    <w:rsid w:val="00183D33"/>
    <w:rsid w:val="0018722E"/>
    <w:rsid w:val="001927BA"/>
    <w:rsid w:val="00193BFB"/>
    <w:rsid w:val="001946BA"/>
    <w:rsid w:val="001A1AF7"/>
    <w:rsid w:val="001A1F5A"/>
    <w:rsid w:val="001A6BBE"/>
    <w:rsid w:val="001A6C53"/>
    <w:rsid w:val="001B752D"/>
    <w:rsid w:val="001C7313"/>
    <w:rsid w:val="001C73A8"/>
    <w:rsid w:val="001D345B"/>
    <w:rsid w:val="001E1E6A"/>
    <w:rsid w:val="001E44CF"/>
    <w:rsid w:val="001F3683"/>
    <w:rsid w:val="001F75FF"/>
    <w:rsid w:val="00201160"/>
    <w:rsid w:val="002024FE"/>
    <w:rsid w:val="0020516F"/>
    <w:rsid w:val="00211271"/>
    <w:rsid w:val="0021127E"/>
    <w:rsid w:val="002115D7"/>
    <w:rsid w:val="00217C07"/>
    <w:rsid w:val="00217D39"/>
    <w:rsid w:val="00237233"/>
    <w:rsid w:val="00237D77"/>
    <w:rsid w:val="002423CE"/>
    <w:rsid w:val="002434B4"/>
    <w:rsid w:val="00253E3C"/>
    <w:rsid w:val="002577FE"/>
    <w:rsid w:val="002615E3"/>
    <w:rsid w:val="00261D99"/>
    <w:rsid w:val="00272B8E"/>
    <w:rsid w:val="00281321"/>
    <w:rsid w:val="00292016"/>
    <w:rsid w:val="00295355"/>
    <w:rsid w:val="0029568A"/>
    <w:rsid w:val="00297D3A"/>
    <w:rsid w:val="002A1EA2"/>
    <w:rsid w:val="002C448B"/>
    <w:rsid w:val="002D3A3A"/>
    <w:rsid w:val="002D5206"/>
    <w:rsid w:val="002E2EC4"/>
    <w:rsid w:val="002E5ED6"/>
    <w:rsid w:val="002E5F41"/>
    <w:rsid w:val="002E7A78"/>
    <w:rsid w:val="002F07A9"/>
    <w:rsid w:val="002F3E36"/>
    <w:rsid w:val="002F6C34"/>
    <w:rsid w:val="002F6F49"/>
    <w:rsid w:val="0030276F"/>
    <w:rsid w:val="00305C8E"/>
    <w:rsid w:val="00315875"/>
    <w:rsid w:val="003265E6"/>
    <w:rsid w:val="0033073A"/>
    <w:rsid w:val="00340453"/>
    <w:rsid w:val="0034291C"/>
    <w:rsid w:val="003558D2"/>
    <w:rsid w:val="003656A0"/>
    <w:rsid w:val="0037043C"/>
    <w:rsid w:val="00375290"/>
    <w:rsid w:val="00387087"/>
    <w:rsid w:val="003872DC"/>
    <w:rsid w:val="00390BA5"/>
    <w:rsid w:val="003A0E04"/>
    <w:rsid w:val="003A2331"/>
    <w:rsid w:val="003A748A"/>
    <w:rsid w:val="003B1B45"/>
    <w:rsid w:val="003B33B2"/>
    <w:rsid w:val="003B5706"/>
    <w:rsid w:val="003D17D6"/>
    <w:rsid w:val="003D31CF"/>
    <w:rsid w:val="003D347C"/>
    <w:rsid w:val="003D5CAD"/>
    <w:rsid w:val="003F1B69"/>
    <w:rsid w:val="003F3B01"/>
    <w:rsid w:val="003F5666"/>
    <w:rsid w:val="00401F2F"/>
    <w:rsid w:val="00403BA6"/>
    <w:rsid w:val="00407660"/>
    <w:rsid w:val="0041586B"/>
    <w:rsid w:val="00423407"/>
    <w:rsid w:val="00430312"/>
    <w:rsid w:val="00431068"/>
    <w:rsid w:val="00432AD0"/>
    <w:rsid w:val="00433AD0"/>
    <w:rsid w:val="004378E5"/>
    <w:rsid w:val="004440AB"/>
    <w:rsid w:val="0045121A"/>
    <w:rsid w:val="00451B05"/>
    <w:rsid w:val="00460B3F"/>
    <w:rsid w:val="00463B2A"/>
    <w:rsid w:val="00470148"/>
    <w:rsid w:val="00477020"/>
    <w:rsid w:val="00496C96"/>
    <w:rsid w:val="004A2048"/>
    <w:rsid w:val="004A7537"/>
    <w:rsid w:val="004B1C60"/>
    <w:rsid w:val="004B5104"/>
    <w:rsid w:val="004C41B7"/>
    <w:rsid w:val="004E7182"/>
    <w:rsid w:val="004E7D11"/>
    <w:rsid w:val="004F1CBB"/>
    <w:rsid w:val="004F325F"/>
    <w:rsid w:val="004F3416"/>
    <w:rsid w:val="005015BB"/>
    <w:rsid w:val="00501D5F"/>
    <w:rsid w:val="005134AF"/>
    <w:rsid w:val="005232E9"/>
    <w:rsid w:val="005235FD"/>
    <w:rsid w:val="005308B7"/>
    <w:rsid w:val="00530966"/>
    <w:rsid w:val="00531699"/>
    <w:rsid w:val="00532C93"/>
    <w:rsid w:val="00533B2A"/>
    <w:rsid w:val="00533F40"/>
    <w:rsid w:val="005423F4"/>
    <w:rsid w:val="005436E2"/>
    <w:rsid w:val="005438C3"/>
    <w:rsid w:val="00582A29"/>
    <w:rsid w:val="0058666A"/>
    <w:rsid w:val="005869F2"/>
    <w:rsid w:val="00587F6E"/>
    <w:rsid w:val="0059767C"/>
    <w:rsid w:val="005A3450"/>
    <w:rsid w:val="005A5E62"/>
    <w:rsid w:val="005A62CC"/>
    <w:rsid w:val="005B001B"/>
    <w:rsid w:val="005B0A7B"/>
    <w:rsid w:val="005B123D"/>
    <w:rsid w:val="005B7DE8"/>
    <w:rsid w:val="005D05C0"/>
    <w:rsid w:val="005D223D"/>
    <w:rsid w:val="005D3BBA"/>
    <w:rsid w:val="005D4400"/>
    <w:rsid w:val="005D540E"/>
    <w:rsid w:val="005E077C"/>
    <w:rsid w:val="005E4E4F"/>
    <w:rsid w:val="005F220E"/>
    <w:rsid w:val="005F420A"/>
    <w:rsid w:val="00600E21"/>
    <w:rsid w:val="0060115F"/>
    <w:rsid w:val="00605018"/>
    <w:rsid w:val="0060669E"/>
    <w:rsid w:val="00610BE9"/>
    <w:rsid w:val="00613813"/>
    <w:rsid w:val="006175F7"/>
    <w:rsid w:val="0062064F"/>
    <w:rsid w:val="00621B52"/>
    <w:rsid w:val="00624CBF"/>
    <w:rsid w:val="0063024E"/>
    <w:rsid w:val="00635800"/>
    <w:rsid w:val="00637614"/>
    <w:rsid w:val="00643B3F"/>
    <w:rsid w:val="00647127"/>
    <w:rsid w:val="00657E0D"/>
    <w:rsid w:val="00662A13"/>
    <w:rsid w:val="00664984"/>
    <w:rsid w:val="006654A5"/>
    <w:rsid w:val="00666C36"/>
    <w:rsid w:val="00667362"/>
    <w:rsid w:val="00672822"/>
    <w:rsid w:val="00673504"/>
    <w:rsid w:val="00676584"/>
    <w:rsid w:val="00681022"/>
    <w:rsid w:val="00691ACD"/>
    <w:rsid w:val="006938E2"/>
    <w:rsid w:val="00696610"/>
    <w:rsid w:val="00696B97"/>
    <w:rsid w:val="006A64E5"/>
    <w:rsid w:val="006A66F3"/>
    <w:rsid w:val="006A7902"/>
    <w:rsid w:val="006B1049"/>
    <w:rsid w:val="006B486B"/>
    <w:rsid w:val="006B5E24"/>
    <w:rsid w:val="006C6040"/>
    <w:rsid w:val="006D4124"/>
    <w:rsid w:val="006D565C"/>
    <w:rsid w:val="006E3450"/>
    <w:rsid w:val="006E66EA"/>
    <w:rsid w:val="006F0187"/>
    <w:rsid w:val="00702F99"/>
    <w:rsid w:val="00722432"/>
    <w:rsid w:val="00725DE2"/>
    <w:rsid w:val="007309FA"/>
    <w:rsid w:val="00753EAB"/>
    <w:rsid w:val="00766501"/>
    <w:rsid w:val="00776821"/>
    <w:rsid w:val="00777FFA"/>
    <w:rsid w:val="007864D3"/>
    <w:rsid w:val="007869AE"/>
    <w:rsid w:val="007873A9"/>
    <w:rsid w:val="00791F9A"/>
    <w:rsid w:val="007A638C"/>
    <w:rsid w:val="007B04C9"/>
    <w:rsid w:val="007B1672"/>
    <w:rsid w:val="007B3AB2"/>
    <w:rsid w:val="007C148A"/>
    <w:rsid w:val="007C16A1"/>
    <w:rsid w:val="007D3C72"/>
    <w:rsid w:val="007E0EA6"/>
    <w:rsid w:val="007E57F9"/>
    <w:rsid w:val="007E59A6"/>
    <w:rsid w:val="007E681F"/>
    <w:rsid w:val="007F164D"/>
    <w:rsid w:val="007F4E31"/>
    <w:rsid w:val="007F4F48"/>
    <w:rsid w:val="007F5B08"/>
    <w:rsid w:val="00803132"/>
    <w:rsid w:val="008035C0"/>
    <w:rsid w:val="00821EFF"/>
    <w:rsid w:val="008271F8"/>
    <w:rsid w:val="00830E1E"/>
    <w:rsid w:val="00834813"/>
    <w:rsid w:val="00834869"/>
    <w:rsid w:val="00836BF9"/>
    <w:rsid w:val="00836CC1"/>
    <w:rsid w:val="00837BB2"/>
    <w:rsid w:val="008403F2"/>
    <w:rsid w:val="00846B43"/>
    <w:rsid w:val="00856D8E"/>
    <w:rsid w:val="00862914"/>
    <w:rsid w:val="00862E91"/>
    <w:rsid w:val="00866418"/>
    <w:rsid w:val="00877C4B"/>
    <w:rsid w:val="00885CD2"/>
    <w:rsid w:val="00890AFA"/>
    <w:rsid w:val="00896C03"/>
    <w:rsid w:val="00897E34"/>
    <w:rsid w:val="008A5C05"/>
    <w:rsid w:val="008A75AA"/>
    <w:rsid w:val="008B744C"/>
    <w:rsid w:val="008C05F0"/>
    <w:rsid w:val="008C4E51"/>
    <w:rsid w:val="008D32F5"/>
    <w:rsid w:val="008E1976"/>
    <w:rsid w:val="008F01EE"/>
    <w:rsid w:val="009075E2"/>
    <w:rsid w:val="0091158B"/>
    <w:rsid w:val="00920A3E"/>
    <w:rsid w:val="00922900"/>
    <w:rsid w:val="00924BBA"/>
    <w:rsid w:val="00925D2C"/>
    <w:rsid w:val="009307A1"/>
    <w:rsid w:val="0093327C"/>
    <w:rsid w:val="00942EAB"/>
    <w:rsid w:val="009467F6"/>
    <w:rsid w:val="009527BA"/>
    <w:rsid w:val="00957083"/>
    <w:rsid w:val="009623E0"/>
    <w:rsid w:val="009666F0"/>
    <w:rsid w:val="00966C2E"/>
    <w:rsid w:val="009675F7"/>
    <w:rsid w:val="00972570"/>
    <w:rsid w:val="00974014"/>
    <w:rsid w:val="009761C6"/>
    <w:rsid w:val="00976F2A"/>
    <w:rsid w:val="00981A8D"/>
    <w:rsid w:val="00987CD0"/>
    <w:rsid w:val="00992860"/>
    <w:rsid w:val="00993DAE"/>
    <w:rsid w:val="00993EB9"/>
    <w:rsid w:val="00996FD8"/>
    <w:rsid w:val="0099767E"/>
    <w:rsid w:val="009A0E08"/>
    <w:rsid w:val="009C0E2C"/>
    <w:rsid w:val="009C28DF"/>
    <w:rsid w:val="009C535F"/>
    <w:rsid w:val="009D1BC6"/>
    <w:rsid w:val="009D311E"/>
    <w:rsid w:val="009D4431"/>
    <w:rsid w:val="009D51EF"/>
    <w:rsid w:val="009D63DA"/>
    <w:rsid w:val="009E123A"/>
    <w:rsid w:val="009E160C"/>
    <w:rsid w:val="009E4E0B"/>
    <w:rsid w:val="009F04DB"/>
    <w:rsid w:val="009F0FBC"/>
    <w:rsid w:val="009F4950"/>
    <w:rsid w:val="009F56E1"/>
    <w:rsid w:val="00A01541"/>
    <w:rsid w:val="00A02B55"/>
    <w:rsid w:val="00A12704"/>
    <w:rsid w:val="00A159AD"/>
    <w:rsid w:val="00A32CA3"/>
    <w:rsid w:val="00A34BE3"/>
    <w:rsid w:val="00A464DD"/>
    <w:rsid w:val="00A50544"/>
    <w:rsid w:val="00A52B7B"/>
    <w:rsid w:val="00A53B37"/>
    <w:rsid w:val="00A5429E"/>
    <w:rsid w:val="00A555ED"/>
    <w:rsid w:val="00A66329"/>
    <w:rsid w:val="00A67BD0"/>
    <w:rsid w:val="00A754B6"/>
    <w:rsid w:val="00A80234"/>
    <w:rsid w:val="00A926A5"/>
    <w:rsid w:val="00A92D00"/>
    <w:rsid w:val="00A976DB"/>
    <w:rsid w:val="00AA42B6"/>
    <w:rsid w:val="00AA629B"/>
    <w:rsid w:val="00AA6E22"/>
    <w:rsid w:val="00AB15C8"/>
    <w:rsid w:val="00AC3307"/>
    <w:rsid w:val="00AC68D3"/>
    <w:rsid w:val="00AD19A0"/>
    <w:rsid w:val="00AF1611"/>
    <w:rsid w:val="00AF6068"/>
    <w:rsid w:val="00B03584"/>
    <w:rsid w:val="00B07AD6"/>
    <w:rsid w:val="00B1313A"/>
    <w:rsid w:val="00B1502F"/>
    <w:rsid w:val="00B16564"/>
    <w:rsid w:val="00B16D8D"/>
    <w:rsid w:val="00B241FD"/>
    <w:rsid w:val="00B25D3C"/>
    <w:rsid w:val="00B404EB"/>
    <w:rsid w:val="00B40FA8"/>
    <w:rsid w:val="00B41DEC"/>
    <w:rsid w:val="00B47CDC"/>
    <w:rsid w:val="00B554F7"/>
    <w:rsid w:val="00B652F0"/>
    <w:rsid w:val="00B66DD4"/>
    <w:rsid w:val="00B75355"/>
    <w:rsid w:val="00B85170"/>
    <w:rsid w:val="00B854C2"/>
    <w:rsid w:val="00BA58A4"/>
    <w:rsid w:val="00BB2073"/>
    <w:rsid w:val="00BB53C0"/>
    <w:rsid w:val="00BB759E"/>
    <w:rsid w:val="00BC5106"/>
    <w:rsid w:val="00BC73F5"/>
    <w:rsid w:val="00BD0530"/>
    <w:rsid w:val="00BD2B47"/>
    <w:rsid w:val="00BD44F8"/>
    <w:rsid w:val="00BD7594"/>
    <w:rsid w:val="00BE519D"/>
    <w:rsid w:val="00BF00B4"/>
    <w:rsid w:val="00BF3720"/>
    <w:rsid w:val="00BF3EF3"/>
    <w:rsid w:val="00BF4B6B"/>
    <w:rsid w:val="00C018E9"/>
    <w:rsid w:val="00C05E8E"/>
    <w:rsid w:val="00C06C67"/>
    <w:rsid w:val="00C1163C"/>
    <w:rsid w:val="00C15346"/>
    <w:rsid w:val="00C22F69"/>
    <w:rsid w:val="00C23E1E"/>
    <w:rsid w:val="00C26379"/>
    <w:rsid w:val="00C27A72"/>
    <w:rsid w:val="00C364CD"/>
    <w:rsid w:val="00C420C6"/>
    <w:rsid w:val="00C47216"/>
    <w:rsid w:val="00C50A75"/>
    <w:rsid w:val="00C53AA3"/>
    <w:rsid w:val="00C60F7F"/>
    <w:rsid w:val="00C6660B"/>
    <w:rsid w:val="00C71DBD"/>
    <w:rsid w:val="00C73C1F"/>
    <w:rsid w:val="00C761CC"/>
    <w:rsid w:val="00C813B1"/>
    <w:rsid w:val="00C82C76"/>
    <w:rsid w:val="00C9274C"/>
    <w:rsid w:val="00C92759"/>
    <w:rsid w:val="00C9308F"/>
    <w:rsid w:val="00C932A4"/>
    <w:rsid w:val="00C938E9"/>
    <w:rsid w:val="00C94399"/>
    <w:rsid w:val="00C94DBC"/>
    <w:rsid w:val="00CA409B"/>
    <w:rsid w:val="00CB0937"/>
    <w:rsid w:val="00CB2E3A"/>
    <w:rsid w:val="00CC7ABA"/>
    <w:rsid w:val="00CD3D61"/>
    <w:rsid w:val="00CD7F92"/>
    <w:rsid w:val="00CE5941"/>
    <w:rsid w:val="00CE6CD4"/>
    <w:rsid w:val="00CF01A7"/>
    <w:rsid w:val="00CF140E"/>
    <w:rsid w:val="00D06D41"/>
    <w:rsid w:val="00D10577"/>
    <w:rsid w:val="00D12074"/>
    <w:rsid w:val="00D22ADE"/>
    <w:rsid w:val="00D257E4"/>
    <w:rsid w:val="00D26BB0"/>
    <w:rsid w:val="00D40551"/>
    <w:rsid w:val="00D479B7"/>
    <w:rsid w:val="00D613C6"/>
    <w:rsid w:val="00D6314B"/>
    <w:rsid w:val="00D70C4E"/>
    <w:rsid w:val="00D720F3"/>
    <w:rsid w:val="00D76FB8"/>
    <w:rsid w:val="00D83A9F"/>
    <w:rsid w:val="00D87002"/>
    <w:rsid w:val="00D92F51"/>
    <w:rsid w:val="00D97203"/>
    <w:rsid w:val="00DA4257"/>
    <w:rsid w:val="00DB2933"/>
    <w:rsid w:val="00DC11EE"/>
    <w:rsid w:val="00DC3181"/>
    <w:rsid w:val="00DC37C4"/>
    <w:rsid w:val="00DC4BC3"/>
    <w:rsid w:val="00DC6114"/>
    <w:rsid w:val="00DD341F"/>
    <w:rsid w:val="00DD43EE"/>
    <w:rsid w:val="00DE0F93"/>
    <w:rsid w:val="00DE1E1A"/>
    <w:rsid w:val="00DF657D"/>
    <w:rsid w:val="00DF7238"/>
    <w:rsid w:val="00E06FDE"/>
    <w:rsid w:val="00E12F15"/>
    <w:rsid w:val="00E146DA"/>
    <w:rsid w:val="00E16B9E"/>
    <w:rsid w:val="00E243F9"/>
    <w:rsid w:val="00E32D89"/>
    <w:rsid w:val="00E332DE"/>
    <w:rsid w:val="00E42764"/>
    <w:rsid w:val="00E46A1D"/>
    <w:rsid w:val="00E5559C"/>
    <w:rsid w:val="00E63364"/>
    <w:rsid w:val="00E7396D"/>
    <w:rsid w:val="00E74D04"/>
    <w:rsid w:val="00E80371"/>
    <w:rsid w:val="00E86AC8"/>
    <w:rsid w:val="00E93027"/>
    <w:rsid w:val="00E96EC1"/>
    <w:rsid w:val="00E97624"/>
    <w:rsid w:val="00EB3A34"/>
    <w:rsid w:val="00EC046E"/>
    <w:rsid w:val="00EC52B0"/>
    <w:rsid w:val="00EC5DF1"/>
    <w:rsid w:val="00ED0390"/>
    <w:rsid w:val="00ED063A"/>
    <w:rsid w:val="00ED1199"/>
    <w:rsid w:val="00EE2589"/>
    <w:rsid w:val="00EE6490"/>
    <w:rsid w:val="00EF0F7B"/>
    <w:rsid w:val="00EF413E"/>
    <w:rsid w:val="00EF6CF6"/>
    <w:rsid w:val="00F011A1"/>
    <w:rsid w:val="00F20C7A"/>
    <w:rsid w:val="00F23447"/>
    <w:rsid w:val="00F27845"/>
    <w:rsid w:val="00F33F39"/>
    <w:rsid w:val="00F42DC4"/>
    <w:rsid w:val="00F50A12"/>
    <w:rsid w:val="00F50DA4"/>
    <w:rsid w:val="00F54A4F"/>
    <w:rsid w:val="00F54C28"/>
    <w:rsid w:val="00F62E9A"/>
    <w:rsid w:val="00F67629"/>
    <w:rsid w:val="00F67BD5"/>
    <w:rsid w:val="00F70AA9"/>
    <w:rsid w:val="00F70E88"/>
    <w:rsid w:val="00F82C41"/>
    <w:rsid w:val="00F85A78"/>
    <w:rsid w:val="00F8670F"/>
    <w:rsid w:val="00F91FD4"/>
    <w:rsid w:val="00F92CFB"/>
    <w:rsid w:val="00F936F7"/>
    <w:rsid w:val="00F963BA"/>
    <w:rsid w:val="00F964D3"/>
    <w:rsid w:val="00F97353"/>
    <w:rsid w:val="00FC4419"/>
    <w:rsid w:val="00FC4DDA"/>
    <w:rsid w:val="00FC6B3C"/>
    <w:rsid w:val="00FC78B9"/>
    <w:rsid w:val="00FD2F7B"/>
    <w:rsid w:val="00FD6DEA"/>
    <w:rsid w:val="00FE2934"/>
    <w:rsid w:val="00FE3FCB"/>
    <w:rsid w:val="00FE469E"/>
    <w:rsid w:val="00FE4C87"/>
    <w:rsid w:val="00FF1779"/>
    <w:rsid w:val="00FF2567"/>
    <w:rsid w:val="00FF42A1"/>
    <w:rsid w:val="00FF5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367C"/>
  <w15:chartTrackingRefBased/>
  <w15:docId w15:val="{789049E9-0BC7-40F7-8143-C547C7F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702F99"/>
    <w:pPr>
      <w:spacing w:before="120" w:after="120" w:line="240" w:lineRule="auto"/>
    </w:pPr>
    <w:rPr>
      <w:rFonts w:ascii="Arial" w:eastAsia="Times New Roman" w:hAnsi="Arial" w:cs="Times New Roman"/>
      <w:szCs w:val="20"/>
    </w:rPr>
  </w:style>
  <w:style w:type="paragraph" w:styleId="ListParagraph0">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501D5F"/>
    <w:pPr>
      <w:ind w:left="720"/>
      <w:contextualSpacing/>
    </w:pPr>
  </w:style>
  <w:style w:type="paragraph" w:customStyle="1" w:styleId="CharChar0">
    <w:name w:val="Char Char"/>
    <w:basedOn w:val="Normal"/>
    <w:rsid w:val="0016694F"/>
    <w:pPr>
      <w:spacing w:before="120" w:after="120" w:line="240" w:lineRule="auto"/>
    </w:pPr>
    <w:rPr>
      <w:rFonts w:ascii="Arial" w:eastAsia="Times New Roman" w:hAnsi="Arial" w:cs="Times New Roman"/>
      <w:szCs w:val="20"/>
    </w:rPr>
  </w:style>
  <w:style w:type="paragraph" w:customStyle="1" w:styleId="OPCParaBase">
    <w:name w:val="OPCParaBase"/>
    <w:qFormat/>
    <w:rsid w:val="00830E1E"/>
    <w:pPr>
      <w:spacing w:after="0" w:line="260" w:lineRule="atLeast"/>
    </w:pPr>
    <w:rPr>
      <w:rFonts w:ascii="Times New Roman" w:eastAsia="Times New Roman" w:hAnsi="Times New Roman" w:cs="Times New Roman"/>
      <w:szCs w:val="20"/>
      <w:lang w:eastAsia="en-AU"/>
    </w:rPr>
  </w:style>
  <w:style w:type="paragraph" w:customStyle="1" w:styleId="subsection">
    <w:name w:val="subsection"/>
    <w:aliases w:val="ss,Subsection"/>
    <w:basedOn w:val="OPCParaBase"/>
    <w:link w:val="subsectionChar"/>
    <w:rsid w:val="00830E1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830E1E"/>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083ACB"/>
    <w:rPr>
      <w:color w:val="0563C1" w:themeColor="hyperlink"/>
      <w:u w:val="single"/>
    </w:rPr>
  </w:style>
  <w:style w:type="character" w:styleId="CommentReference">
    <w:name w:val="annotation reference"/>
    <w:basedOn w:val="DefaultParagraphFont"/>
    <w:uiPriority w:val="99"/>
    <w:semiHidden/>
    <w:unhideWhenUsed/>
    <w:rsid w:val="00193BFB"/>
    <w:rPr>
      <w:sz w:val="16"/>
      <w:szCs w:val="16"/>
    </w:rPr>
  </w:style>
  <w:style w:type="paragraph" w:styleId="CommentText">
    <w:name w:val="annotation text"/>
    <w:basedOn w:val="Normal"/>
    <w:link w:val="CommentTextChar"/>
    <w:uiPriority w:val="99"/>
    <w:unhideWhenUsed/>
    <w:rsid w:val="00193BFB"/>
    <w:pPr>
      <w:spacing w:line="240" w:lineRule="auto"/>
    </w:pPr>
    <w:rPr>
      <w:sz w:val="20"/>
      <w:szCs w:val="20"/>
    </w:rPr>
  </w:style>
  <w:style w:type="character" w:customStyle="1" w:styleId="CommentTextChar">
    <w:name w:val="Comment Text Char"/>
    <w:basedOn w:val="DefaultParagraphFont"/>
    <w:link w:val="CommentText"/>
    <w:uiPriority w:val="99"/>
    <w:rsid w:val="00193BFB"/>
    <w:rPr>
      <w:sz w:val="20"/>
      <w:szCs w:val="20"/>
    </w:rPr>
  </w:style>
  <w:style w:type="paragraph" w:styleId="CommentSubject">
    <w:name w:val="annotation subject"/>
    <w:basedOn w:val="CommentText"/>
    <w:next w:val="CommentText"/>
    <w:link w:val="CommentSubjectChar"/>
    <w:uiPriority w:val="99"/>
    <w:semiHidden/>
    <w:unhideWhenUsed/>
    <w:rsid w:val="00193BFB"/>
    <w:rPr>
      <w:b/>
      <w:bCs/>
    </w:rPr>
  </w:style>
  <w:style w:type="character" w:customStyle="1" w:styleId="CommentSubjectChar">
    <w:name w:val="Comment Subject Char"/>
    <w:basedOn w:val="CommentTextChar"/>
    <w:link w:val="CommentSubject"/>
    <w:uiPriority w:val="99"/>
    <w:semiHidden/>
    <w:rsid w:val="00193BFB"/>
    <w:rPr>
      <w:b/>
      <w:bCs/>
      <w:sz w:val="20"/>
      <w:szCs w:val="20"/>
    </w:rPr>
  </w:style>
  <w:style w:type="paragraph" w:styleId="BalloonText">
    <w:name w:val="Balloon Text"/>
    <w:basedOn w:val="Normal"/>
    <w:link w:val="BalloonTextChar"/>
    <w:uiPriority w:val="99"/>
    <w:semiHidden/>
    <w:unhideWhenUsed/>
    <w:rsid w:val="00193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FB"/>
    <w:rPr>
      <w:rFonts w:ascii="Segoe UI" w:hAnsi="Segoe UI" w:cs="Segoe UI"/>
      <w:sz w:val="18"/>
      <w:szCs w:val="18"/>
    </w:rPr>
  </w:style>
  <w:style w:type="paragraph" w:customStyle="1" w:styleId="BodyText1">
    <w:name w:val="Body Text1"/>
    <w:basedOn w:val="Normal"/>
    <w:link w:val="BodytextChar"/>
    <w:rsid w:val="001713C8"/>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1713C8"/>
    <w:rPr>
      <w:rFonts w:ascii="Arial" w:eastAsia="Times New Roman" w:hAnsi="Arial" w:cs="Arial"/>
      <w:sz w:val="24"/>
      <w:szCs w:val="24"/>
      <w:lang w:eastAsia="en-AU"/>
    </w:rPr>
  </w:style>
  <w:style w:type="paragraph" w:customStyle="1" w:styleId="Default">
    <w:name w:val="Default"/>
    <w:uiPriority w:val="99"/>
    <w:rsid w:val="00532C93"/>
    <w:pPr>
      <w:autoSpaceDE w:val="0"/>
      <w:autoSpaceDN w:val="0"/>
      <w:adjustRightInd w:val="0"/>
      <w:spacing w:after="0" w:line="240" w:lineRule="auto"/>
    </w:pPr>
    <w:rPr>
      <w:rFonts w:ascii="Arial" w:hAnsi="Arial" w:cs="Arial"/>
      <w:color w:val="000000"/>
      <w:sz w:val="24"/>
      <w:szCs w:val="24"/>
    </w:rPr>
  </w:style>
  <w:style w:type="paragraph" w:customStyle="1" w:styleId="xtabletext">
    <w:name w:val="x_tabletext"/>
    <w:basedOn w:val="Normal"/>
    <w:rsid w:val="00A159AD"/>
    <w:pPr>
      <w:spacing w:before="100" w:beforeAutospacing="1" w:after="100" w:afterAutospacing="1" w:line="240" w:lineRule="auto"/>
    </w:pPr>
    <w:rPr>
      <w:rFonts w:ascii="Calibri" w:hAnsi="Calibri" w:cs="Calibri"/>
      <w:lang w:eastAsia="en-AU"/>
    </w:rPr>
  </w:style>
  <w:style w:type="paragraph" w:customStyle="1" w:styleId="xsubsection">
    <w:name w:val="x_subsection"/>
    <w:basedOn w:val="Normal"/>
    <w:rsid w:val="00A159AD"/>
    <w:pPr>
      <w:spacing w:before="100" w:beforeAutospacing="1" w:after="100" w:afterAutospacing="1" w:line="240" w:lineRule="auto"/>
    </w:pPr>
    <w:rPr>
      <w:rFonts w:ascii="Calibri" w:hAnsi="Calibri" w:cs="Calibri"/>
      <w:lang w:eastAsia="en-AU"/>
    </w:rPr>
  </w:style>
  <w:style w:type="paragraph" w:styleId="BodyText">
    <w:name w:val="Body Text"/>
    <w:basedOn w:val="Normal"/>
    <w:link w:val="BodyTextChar0"/>
    <w:uiPriority w:val="1"/>
    <w:semiHidden/>
    <w:unhideWhenUsed/>
    <w:qFormat/>
    <w:rsid w:val="00091453"/>
    <w:pPr>
      <w:spacing w:before="120" w:after="120" w:line="264" w:lineRule="auto"/>
      <w:jc w:val="both"/>
    </w:pPr>
    <w:rPr>
      <w:rFonts w:eastAsia="Times New Roman" w:cs="Times New Roman"/>
      <w:sz w:val="20"/>
      <w:szCs w:val="24"/>
      <w:lang w:eastAsia="en-AU"/>
    </w:rPr>
  </w:style>
  <w:style w:type="character" w:customStyle="1" w:styleId="BodyTextChar0">
    <w:name w:val="Body Text Char"/>
    <w:basedOn w:val="DefaultParagraphFont"/>
    <w:link w:val="BodyText"/>
    <w:uiPriority w:val="1"/>
    <w:semiHidden/>
    <w:rsid w:val="00091453"/>
    <w:rPr>
      <w:rFonts w:eastAsia="Times New Roman" w:cs="Times New Roman"/>
      <w:sz w:val="20"/>
      <w:szCs w:val="24"/>
      <w:lang w:eastAsia="en-AU"/>
    </w:rPr>
  </w:style>
  <w:style w:type="character" w:styleId="Emphasis">
    <w:name w:val="Emphasis"/>
    <w:basedOn w:val="DefaultParagraphFont"/>
    <w:uiPriority w:val="20"/>
    <w:qFormat/>
    <w:rsid w:val="00B75355"/>
    <w:rPr>
      <w:i/>
      <w:iCs/>
    </w:rPr>
  </w:style>
  <w:style w:type="table" w:styleId="TableGrid">
    <w:name w:val="Table Grid"/>
    <w:basedOn w:val="TableNormal"/>
    <w:uiPriority w:val="39"/>
    <w:rsid w:val="0054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0"/>
    <w:uiPriority w:val="34"/>
    <w:qFormat/>
    <w:locked/>
    <w:rsid w:val="004A2048"/>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semiHidden/>
    <w:locked/>
    <w:rsid w:val="004A2048"/>
    <w:rPr>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Table/Chart Ref"/>
    <w:basedOn w:val="Normal"/>
    <w:link w:val="FootnoteTextChar"/>
    <w:semiHidden/>
    <w:unhideWhenUsed/>
    <w:rsid w:val="004A2048"/>
    <w:pPr>
      <w:spacing w:after="0" w:line="240" w:lineRule="auto"/>
    </w:pPr>
    <w:rPr>
      <w:sz w:val="20"/>
      <w:szCs w:val="20"/>
    </w:rPr>
  </w:style>
  <w:style w:type="character" w:customStyle="1" w:styleId="FootnoteTextChar1">
    <w:name w:val="Footnote Text Char1"/>
    <w:basedOn w:val="DefaultParagraphFont"/>
    <w:uiPriority w:val="99"/>
    <w:semiHidden/>
    <w:rsid w:val="004A2048"/>
    <w:rPr>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
    <w:basedOn w:val="DefaultParagraphFont"/>
    <w:link w:val="4GCharCharCharChar"/>
    <w:unhideWhenUsed/>
    <w:rsid w:val="004A2048"/>
    <w:rPr>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rsid w:val="004A2048"/>
    <w:pPr>
      <w:spacing w:line="240" w:lineRule="exact"/>
      <w:jc w:val="both"/>
    </w:pPr>
    <w:rPr>
      <w:vertAlign w:val="superscript"/>
    </w:rPr>
  </w:style>
  <w:style w:type="paragraph" w:customStyle="1" w:styleId="xmsonormal">
    <w:name w:val="x_msonormal"/>
    <w:basedOn w:val="Normal"/>
    <w:rsid w:val="008C4E51"/>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643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B3F"/>
  </w:style>
  <w:style w:type="paragraph" w:styleId="Footer">
    <w:name w:val="footer"/>
    <w:basedOn w:val="Normal"/>
    <w:link w:val="FooterChar"/>
    <w:uiPriority w:val="99"/>
    <w:unhideWhenUsed/>
    <w:rsid w:val="00643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B3F"/>
  </w:style>
  <w:style w:type="paragraph" w:customStyle="1" w:styleId="ESPara">
    <w:name w:val="ES_Para"/>
    <w:basedOn w:val="Normal"/>
    <w:link w:val="ESParaChar"/>
    <w:qFormat/>
    <w:rsid w:val="008F01EE"/>
    <w:pPr>
      <w:spacing w:before="240" w:after="240" w:line="276" w:lineRule="auto"/>
    </w:pPr>
    <w:rPr>
      <w:rFonts w:ascii="Times New Roman" w:hAnsi="Times New Roman" w:cs="Times New Roman"/>
    </w:rPr>
  </w:style>
  <w:style w:type="character" w:customStyle="1" w:styleId="ESParaChar">
    <w:name w:val="ES_Para Char"/>
    <w:basedOn w:val="DefaultParagraphFont"/>
    <w:link w:val="ESPara"/>
    <w:rsid w:val="008F01EE"/>
    <w:rPr>
      <w:rFonts w:ascii="Times New Roman" w:hAnsi="Times New Roman" w:cs="Times New Roman"/>
    </w:rPr>
  </w:style>
  <w:style w:type="paragraph" w:customStyle="1" w:styleId="ESHeading">
    <w:name w:val="ES_Heading"/>
    <w:basedOn w:val="ListParagraph0"/>
    <w:link w:val="ESHeadingChar"/>
    <w:qFormat/>
    <w:rsid w:val="00375290"/>
    <w:pPr>
      <w:keepNext/>
      <w:spacing w:before="240" w:after="240" w:line="276" w:lineRule="auto"/>
      <w:ind w:left="0"/>
      <w:contextualSpacing w:val="0"/>
    </w:pPr>
    <w:rPr>
      <w:rFonts w:ascii="Times New Roman" w:hAnsi="Times New Roman" w:cs="Times New Roman"/>
      <w:b/>
      <w:i/>
    </w:rPr>
  </w:style>
  <w:style w:type="character" w:customStyle="1" w:styleId="ESHeadingChar">
    <w:name w:val="ES_Heading Char"/>
    <w:basedOn w:val="ListParagraphChar"/>
    <w:link w:val="ESHeading"/>
    <w:rsid w:val="00375290"/>
    <w:rPr>
      <w:rFonts w:ascii="Times New Roman" w:hAnsi="Times New Roman" w:cs="Times New Roman"/>
      <w:b/>
      <w:i/>
    </w:rPr>
  </w:style>
  <w:style w:type="paragraph" w:customStyle="1" w:styleId="ESSubparaList">
    <w:name w:val="ES_SubparaList"/>
    <w:basedOn w:val="ListParagraph0"/>
    <w:link w:val="ESSubparaListChar"/>
    <w:qFormat/>
    <w:rsid w:val="00375290"/>
    <w:pPr>
      <w:spacing w:before="240" w:after="240" w:line="276" w:lineRule="auto"/>
      <w:ind w:left="1276" w:hanging="425"/>
      <w:contextualSpacing w:val="0"/>
    </w:pPr>
    <w:rPr>
      <w:rFonts w:ascii="Times New Roman" w:hAnsi="Times New Roman" w:cs="Times New Roman"/>
    </w:rPr>
  </w:style>
  <w:style w:type="character" w:customStyle="1" w:styleId="ESSubparaListChar">
    <w:name w:val="ES_SubparaList Char"/>
    <w:basedOn w:val="ListParagraphChar"/>
    <w:link w:val="ESSubparaList"/>
    <w:rsid w:val="00375290"/>
    <w:rPr>
      <w:rFonts w:ascii="Times New Roman" w:hAnsi="Times New Roman" w:cs="Times New Roman"/>
    </w:rPr>
  </w:style>
  <w:style w:type="paragraph" w:customStyle="1" w:styleId="Bullet1">
    <w:name w:val="Bullet 1"/>
    <w:basedOn w:val="ListBullet2"/>
    <w:qFormat/>
    <w:rsid w:val="00E32D89"/>
    <w:pPr>
      <w:spacing w:after="200" w:line="276" w:lineRule="auto"/>
      <w:ind w:left="567" w:hanging="567"/>
    </w:pPr>
    <w:rPr>
      <w:rFonts w:ascii="Calibri" w:eastAsia="Calibri" w:hAnsi="Calibri" w:cs="Calibri"/>
      <w:w w:val="105"/>
      <w:kern w:val="40"/>
    </w:rPr>
  </w:style>
  <w:style w:type="paragraph" w:styleId="ListBullet">
    <w:name w:val="List Bullet"/>
    <w:aliases w:val="List Bullet 1"/>
    <w:basedOn w:val="Normal"/>
    <w:uiPriority w:val="99"/>
    <w:unhideWhenUsed/>
    <w:rsid w:val="00E32D89"/>
    <w:pPr>
      <w:numPr>
        <w:ilvl w:val="1"/>
        <w:numId w:val="21"/>
      </w:numPr>
      <w:spacing w:after="200" w:line="276" w:lineRule="auto"/>
      <w:ind w:left="1440"/>
      <w:contextualSpacing/>
    </w:pPr>
    <w:rPr>
      <w:rFonts w:ascii="Calibri" w:eastAsia="Calibri" w:hAnsi="Calibri" w:cs="Calibri"/>
      <w:w w:val="105"/>
      <w:kern w:val="40"/>
    </w:rPr>
  </w:style>
  <w:style w:type="numbering" w:customStyle="1" w:styleId="ListParagraph">
    <w:name w:val="List_Paragraph"/>
    <w:uiPriority w:val="99"/>
    <w:rsid w:val="00E32D89"/>
    <w:pPr>
      <w:numPr>
        <w:numId w:val="22"/>
      </w:numPr>
    </w:pPr>
  </w:style>
  <w:style w:type="paragraph" w:customStyle="1" w:styleId="ListParagraph2">
    <w:name w:val="List Paragraph 2"/>
    <w:basedOn w:val="ListParagraph0"/>
    <w:uiPriority w:val="19"/>
    <w:semiHidden/>
    <w:rsid w:val="00E32D89"/>
    <w:pPr>
      <w:tabs>
        <w:tab w:val="num" w:pos="360"/>
      </w:tabs>
      <w:spacing w:after="120" w:line="264" w:lineRule="auto"/>
      <w:ind w:left="567"/>
      <w:contextualSpacing w:val="0"/>
    </w:pPr>
    <w:rPr>
      <w:rFonts w:eastAsia="Times New Roman" w:cs="Times New Roman"/>
      <w:sz w:val="20"/>
      <w:szCs w:val="24"/>
      <w:lang w:eastAsia="en-AU"/>
    </w:rPr>
  </w:style>
  <w:style w:type="paragraph" w:customStyle="1" w:styleId="ListParagraph3">
    <w:name w:val="List Paragraph 3"/>
    <w:basedOn w:val="ListParagraph0"/>
    <w:uiPriority w:val="19"/>
    <w:semiHidden/>
    <w:rsid w:val="00E32D89"/>
    <w:pPr>
      <w:tabs>
        <w:tab w:val="num" w:pos="360"/>
      </w:tabs>
      <w:spacing w:after="120" w:line="264" w:lineRule="auto"/>
      <w:ind w:left="851"/>
      <w:contextualSpacing w:val="0"/>
    </w:pPr>
    <w:rPr>
      <w:rFonts w:eastAsia="Times New Roman" w:cs="Times New Roman"/>
      <w:sz w:val="20"/>
      <w:szCs w:val="24"/>
      <w:lang w:eastAsia="en-AU"/>
    </w:rPr>
  </w:style>
  <w:style w:type="paragraph" w:customStyle="1" w:styleId="ListParagraph4">
    <w:name w:val="List Paragraph 4"/>
    <w:basedOn w:val="ListParagraph0"/>
    <w:uiPriority w:val="19"/>
    <w:semiHidden/>
    <w:rsid w:val="00E32D89"/>
    <w:pPr>
      <w:tabs>
        <w:tab w:val="num" w:pos="360"/>
      </w:tabs>
      <w:spacing w:after="120" w:line="264" w:lineRule="auto"/>
      <w:ind w:left="1134"/>
      <w:contextualSpacing w:val="0"/>
    </w:pPr>
    <w:rPr>
      <w:rFonts w:eastAsia="Times New Roman" w:cs="Times New Roman"/>
      <w:sz w:val="20"/>
      <w:szCs w:val="24"/>
      <w:lang w:eastAsia="en-AU"/>
    </w:rPr>
  </w:style>
  <w:style w:type="paragraph" w:customStyle="1" w:styleId="ListParagraph5">
    <w:name w:val="List Paragraph 5"/>
    <w:basedOn w:val="ListParagraph0"/>
    <w:uiPriority w:val="19"/>
    <w:semiHidden/>
    <w:rsid w:val="00E32D89"/>
    <w:pPr>
      <w:tabs>
        <w:tab w:val="num" w:pos="360"/>
      </w:tabs>
      <w:spacing w:after="120" w:line="264" w:lineRule="auto"/>
      <w:ind w:left="1418"/>
      <w:contextualSpacing w:val="0"/>
    </w:pPr>
    <w:rPr>
      <w:rFonts w:eastAsia="Times New Roman" w:cs="Times New Roman"/>
      <w:sz w:val="20"/>
      <w:szCs w:val="24"/>
      <w:lang w:eastAsia="en-AU"/>
    </w:rPr>
  </w:style>
  <w:style w:type="paragraph" w:customStyle="1" w:styleId="ListParagraph6">
    <w:name w:val="List Paragraph 6"/>
    <w:basedOn w:val="ListParagraph0"/>
    <w:uiPriority w:val="19"/>
    <w:semiHidden/>
    <w:rsid w:val="00E32D89"/>
    <w:pPr>
      <w:tabs>
        <w:tab w:val="num" w:pos="360"/>
      </w:tabs>
      <w:spacing w:after="120" w:line="264" w:lineRule="auto"/>
      <w:ind w:left="1701"/>
      <w:contextualSpacing w:val="0"/>
    </w:pPr>
    <w:rPr>
      <w:rFonts w:eastAsia="Times New Roman" w:cs="Times New Roman"/>
      <w:sz w:val="20"/>
      <w:szCs w:val="24"/>
      <w:lang w:eastAsia="en-AU"/>
    </w:rPr>
  </w:style>
  <w:style w:type="paragraph" w:styleId="ListBullet2">
    <w:name w:val="List Bullet 2"/>
    <w:basedOn w:val="Normal"/>
    <w:uiPriority w:val="99"/>
    <w:semiHidden/>
    <w:unhideWhenUsed/>
    <w:rsid w:val="00E32D89"/>
    <w:pPr>
      <w:ind w:left="720" w:hanging="360"/>
      <w:contextualSpacing/>
    </w:pPr>
  </w:style>
  <w:style w:type="paragraph" w:customStyle="1" w:styleId="Celltext">
    <w:name w:val="Cell text"/>
    <w:basedOn w:val="Normal"/>
    <w:rsid w:val="00862E91"/>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F67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2506">
      <w:bodyDiv w:val="1"/>
      <w:marLeft w:val="0"/>
      <w:marRight w:val="0"/>
      <w:marTop w:val="0"/>
      <w:marBottom w:val="0"/>
      <w:divBdr>
        <w:top w:val="none" w:sz="0" w:space="0" w:color="auto"/>
        <w:left w:val="none" w:sz="0" w:space="0" w:color="auto"/>
        <w:bottom w:val="none" w:sz="0" w:space="0" w:color="auto"/>
        <w:right w:val="none" w:sz="0" w:space="0" w:color="auto"/>
      </w:divBdr>
    </w:div>
    <w:div w:id="184174913">
      <w:bodyDiv w:val="1"/>
      <w:marLeft w:val="0"/>
      <w:marRight w:val="0"/>
      <w:marTop w:val="0"/>
      <w:marBottom w:val="0"/>
      <w:divBdr>
        <w:top w:val="none" w:sz="0" w:space="0" w:color="auto"/>
        <w:left w:val="none" w:sz="0" w:space="0" w:color="auto"/>
        <w:bottom w:val="none" w:sz="0" w:space="0" w:color="auto"/>
        <w:right w:val="none" w:sz="0" w:space="0" w:color="auto"/>
      </w:divBdr>
    </w:div>
    <w:div w:id="194538296">
      <w:bodyDiv w:val="1"/>
      <w:marLeft w:val="0"/>
      <w:marRight w:val="0"/>
      <w:marTop w:val="0"/>
      <w:marBottom w:val="0"/>
      <w:divBdr>
        <w:top w:val="none" w:sz="0" w:space="0" w:color="auto"/>
        <w:left w:val="none" w:sz="0" w:space="0" w:color="auto"/>
        <w:bottom w:val="none" w:sz="0" w:space="0" w:color="auto"/>
        <w:right w:val="none" w:sz="0" w:space="0" w:color="auto"/>
      </w:divBdr>
    </w:div>
    <w:div w:id="387267693">
      <w:bodyDiv w:val="1"/>
      <w:marLeft w:val="0"/>
      <w:marRight w:val="0"/>
      <w:marTop w:val="0"/>
      <w:marBottom w:val="0"/>
      <w:divBdr>
        <w:top w:val="none" w:sz="0" w:space="0" w:color="auto"/>
        <w:left w:val="none" w:sz="0" w:space="0" w:color="auto"/>
        <w:bottom w:val="none" w:sz="0" w:space="0" w:color="auto"/>
        <w:right w:val="none" w:sz="0" w:space="0" w:color="auto"/>
      </w:divBdr>
    </w:div>
    <w:div w:id="758253921">
      <w:bodyDiv w:val="1"/>
      <w:marLeft w:val="0"/>
      <w:marRight w:val="0"/>
      <w:marTop w:val="0"/>
      <w:marBottom w:val="0"/>
      <w:divBdr>
        <w:top w:val="none" w:sz="0" w:space="0" w:color="auto"/>
        <w:left w:val="none" w:sz="0" w:space="0" w:color="auto"/>
        <w:bottom w:val="none" w:sz="0" w:space="0" w:color="auto"/>
        <w:right w:val="none" w:sz="0" w:space="0" w:color="auto"/>
      </w:divBdr>
    </w:div>
    <w:div w:id="791480293">
      <w:bodyDiv w:val="1"/>
      <w:marLeft w:val="0"/>
      <w:marRight w:val="0"/>
      <w:marTop w:val="0"/>
      <w:marBottom w:val="0"/>
      <w:divBdr>
        <w:top w:val="none" w:sz="0" w:space="0" w:color="auto"/>
        <w:left w:val="none" w:sz="0" w:space="0" w:color="auto"/>
        <w:bottom w:val="none" w:sz="0" w:space="0" w:color="auto"/>
        <w:right w:val="none" w:sz="0" w:space="0" w:color="auto"/>
      </w:divBdr>
    </w:div>
    <w:div w:id="1032657741">
      <w:bodyDiv w:val="1"/>
      <w:marLeft w:val="0"/>
      <w:marRight w:val="0"/>
      <w:marTop w:val="0"/>
      <w:marBottom w:val="0"/>
      <w:divBdr>
        <w:top w:val="none" w:sz="0" w:space="0" w:color="auto"/>
        <w:left w:val="none" w:sz="0" w:space="0" w:color="auto"/>
        <w:bottom w:val="none" w:sz="0" w:space="0" w:color="auto"/>
        <w:right w:val="none" w:sz="0" w:space="0" w:color="auto"/>
      </w:divBdr>
    </w:div>
    <w:div w:id="1124544884">
      <w:bodyDiv w:val="1"/>
      <w:marLeft w:val="0"/>
      <w:marRight w:val="0"/>
      <w:marTop w:val="0"/>
      <w:marBottom w:val="0"/>
      <w:divBdr>
        <w:top w:val="none" w:sz="0" w:space="0" w:color="auto"/>
        <w:left w:val="none" w:sz="0" w:space="0" w:color="auto"/>
        <w:bottom w:val="none" w:sz="0" w:space="0" w:color="auto"/>
        <w:right w:val="none" w:sz="0" w:space="0" w:color="auto"/>
      </w:divBdr>
    </w:div>
    <w:div w:id="1415324902">
      <w:bodyDiv w:val="1"/>
      <w:marLeft w:val="0"/>
      <w:marRight w:val="0"/>
      <w:marTop w:val="0"/>
      <w:marBottom w:val="0"/>
      <w:divBdr>
        <w:top w:val="none" w:sz="0" w:space="0" w:color="auto"/>
        <w:left w:val="none" w:sz="0" w:space="0" w:color="auto"/>
        <w:bottom w:val="none" w:sz="0" w:space="0" w:color="auto"/>
        <w:right w:val="none" w:sz="0" w:space="0" w:color="auto"/>
      </w:divBdr>
    </w:div>
    <w:div w:id="1454788248">
      <w:bodyDiv w:val="1"/>
      <w:marLeft w:val="0"/>
      <w:marRight w:val="0"/>
      <w:marTop w:val="0"/>
      <w:marBottom w:val="0"/>
      <w:divBdr>
        <w:top w:val="none" w:sz="0" w:space="0" w:color="auto"/>
        <w:left w:val="none" w:sz="0" w:space="0" w:color="auto"/>
        <w:bottom w:val="none" w:sz="0" w:space="0" w:color="auto"/>
        <w:right w:val="none" w:sz="0" w:space="0" w:color="auto"/>
      </w:divBdr>
    </w:div>
    <w:div w:id="1555778900">
      <w:bodyDiv w:val="1"/>
      <w:marLeft w:val="0"/>
      <w:marRight w:val="0"/>
      <w:marTop w:val="0"/>
      <w:marBottom w:val="0"/>
      <w:divBdr>
        <w:top w:val="none" w:sz="0" w:space="0" w:color="auto"/>
        <w:left w:val="none" w:sz="0" w:space="0" w:color="auto"/>
        <w:bottom w:val="none" w:sz="0" w:space="0" w:color="auto"/>
        <w:right w:val="none" w:sz="0" w:space="0" w:color="auto"/>
      </w:divBdr>
    </w:div>
    <w:div w:id="1639190142">
      <w:bodyDiv w:val="1"/>
      <w:marLeft w:val="0"/>
      <w:marRight w:val="0"/>
      <w:marTop w:val="0"/>
      <w:marBottom w:val="0"/>
      <w:divBdr>
        <w:top w:val="none" w:sz="0" w:space="0" w:color="auto"/>
        <w:left w:val="none" w:sz="0" w:space="0" w:color="auto"/>
        <w:bottom w:val="none" w:sz="0" w:space="0" w:color="auto"/>
        <w:right w:val="none" w:sz="0" w:space="0" w:color="auto"/>
      </w:divBdr>
    </w:div>
    <w:div w:id="1660765031">
      <w:bodyDiv w:val="1"/>
      <w:marLeft w:val="0"/>
      <w:marRight w:val="0"/>
      <w:marTop w:val="0"/>
      <w:marBottom w:val="0"/>
      <w:divBdr>
        <w:top w:val="none" w:sz="0" w:space="0" w:color="auto"/>
        <w:left w:val="none" w:sz="0" w:space="0" w:color="auto"/>
        <w:bottom w:val="none" w:sz="0" w:space="0" w:color="auto"/>
        <w:right w:val="none" w:sz="0" w:space="0" w:color="auto"/>
      </w:divBdr>
    </w:div>
    <w:div w:id="1782916503">
      <w:bodyDiv w:val="1"/>
      <w:marLeft w:val="0"/>
      <w:marRight w:val="0"/>
      <w:marTop w:val="0"/>
      <w:marBottom w:val="0"/>
      <w:divBdr>
        <w:top w:val="none" w:sz="0" w:space="0" w:color="auto"/>
        <w:left w:val="none" w:sz="0" w:space="0" w:color="auto"/>
        <w:bottom w:val="none" w:sz="0" w:space="0" w:color="auto"/>
        <w:right w:val="none" w:sz="0" w:space="0" w:color="auto"/>
      </w:divBdr>
    </w:div>
    <w:div w:id="20989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435E30EB178474E8A1CED0301A1FA79" ma:contentTypeVersion="" ma:contentTypeDescription="PDMS Document Site Content Type" ma:contentTypeScope="" ma:versionID="7f48fa07b5c0717c12cf8b55e7a2b92a">
  <xsd:schema xmlns:xsd="http://www.w3.org/2001/XMLSchema" xmlns:xs="http://www.w3.org/2001/XMLSchema" xmlns:p="http://schemas.microsoft.com/office/2006/metadata/properties" xmlns:ns2="C034BC52-2E03-4360-B201-4ABAE64E9E6E" targetNamespace="http://schemas.microsoft.com/office/2006/metadata/properties" ma:root="true" ma:fieldsID="1e1a2bbb351a28343067afbc8235c848" ns2:_="">
    <xsd:import namespace="C034BC52-2E03-4360-B201-4ABAE64E9E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4BC52-2E03-4360-B201-4ABAE64E9E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034BC52-2E03-4360-B201-4ABAE64E9E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A988-E063-40C3-A567-076440AA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4BC52-2E03-4360-B201-4ABAE64E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0F624-F984-4E6B-95BE-705C64FA8D22}">
  <ds:schemaRefs>
    <ds:schemaRef ds:uri="http://schemas.microsoft.com/sharepoint/v3/contenttype/forms"/>
  </ds:schemaRefs>
</ds:datastoreItem>
</file>

<file path=customXml/itemProps3.xml><?xml version="1.0" encoding="utf-8"?>
<ds:datastoreItem xmlns:ds="http://schemas.openxmlformats.org/officeDocument/2006/customXml" ds:itemID="{1146F8F7-B884-4D19-8452-841FA01C2F56}">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034BC52-2E03-4360-B201-4ABAE64E9E6E"/>
  </ds:schemaRefs>
</ds:datastoreItem>
</file>

<file path=customXml/itemProps4.xml><?xml version="1.0" encoding="utf-8"?>
<ds:datastoreItem xmlns:ds="http://schemas.openxmlformats.org/officeDocument/2006/customXml" ds:itemID="{39064733-81F0-4D9A-A3AE-0E11774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TAYLOR</dc:creator>
  <cp:keywords/>
  <dc:description/>
  <cp:lastModifiedBy>Wigney, Sonja</cp:lastModifiedBy>
  <cp:revision>2</cp:revision>
  <cp:lastPrinted>2021-11-29T22:43:00Z</cp:lastPrinted>
  <dcterms:created xsi:type="dcterms:W3CDTF">2024-06-05T02:37:00Z</dcterms:created>
  <dcterms:modified xsi:type="dcterms:W3CDTF">2024-06-05T02:37:00Z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0x010100266966F133664895A6EE3632470D45F5009435E30EB178474E8A1CED0301A1FA79</vt:lpwstr>
  </property>
</Properties>
</file>