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5424" w14:textId="045AFB97" w:rsidR="008A2696" w:rsidRPr="006B37E9" w:rsidRDefault="008A2696" w:rsidP="006B37E9">
      <w:pPr>
        <w:pStyle w:val="Heading1"/>
        <w:jc w:val="center"/>
        <w:rPr>
          <w:caps w:val="0"/>
        </w:rPr>
      </w:pPr>
      <w:r w:rsidRPr="00EC7089">
        <w:rPr>
          <w:caps w:val="0"/>
        </w:rPr>
        <w:t xml:space="preserve">Agricultural and Veterinary Chemicals Code </w:t>
      </w:r>
      <w:r w:rsidR="0045502F" w:rsidRPr="00EC7089">
        <w:rPr>
          <w:caps w:val="0"/>
        </w:rPr>
        <w:t>(</w:t>
      </w:r>
      <w:r w:rsidR="007D2A04">
        <w:rPr>
          <w:caps w:val="0"/>
        </w:rPr>
        <w:t>Interchangeable Constituent</w:t>
      </w:r>
      <w:r w:rsidR="0045502F" w:rsidRPr="00EC7089">
        <w:rPr>
          <w:caps w:val="0"/>
        </w:rPr>
        <w:t>)</w:t>
      </w:r>
      <w:r w:rsidRPr="00EC7089">
        <w:rPr>
          <w:caps w:val="0"/>
        </w:rPr>
        <w:t xml:space="preserve"> </w:t>
      </w:r>
      <w:r w:rsidR="007D2A04">
        <w:rPr>
          <w:caps w:val="0"/>
        </w:rPr>
        <w:t>Determination 2024</w:t>
      </w:r>
    </w:p>
    <w:p w14:paraId="7FF3CB15" w14:textId="77777777" w:rsidR="008A2696" w:rsidRPr="00784B4A" w:rsidRDefault="008A2696" w:rsidP="00784B4A">
      <w:pPr>
        <w:pStyle w:val="Title"/>
      </w:pPr>
      <w:r w:rsidRPr="00784B4A">
        <w:t>Explanatory Statement</w:t>
      </w:r>
    </w:p>
    <w:p w14:paraId="46C2D4F2" w14:textId="77777777" w:rsidR="008A2696" w:rsidRDefault="008A2696" w:rsidP="008A2696">
      <w:pPr>
        <w:jc w:val="center"/>
      </w:pPr>
      <w:r>
        <w:t>Issued by</w:t>
      </w:r>
      <w:r w:rsidR="00B94F5A">
        <w:t xml:space="preserve"> the Australian Pesticides and Veterinary Medicines Authority</w:t>
      </w:r>
    </w:p>
    <w:p w14:paraId="3B702C8B" w14:textId="77777777" w:rsidR="008A2696" w:rsidRDefault="008A2696" w:rsidP="008A2696">
      <w:pPr>
        <w:pBdr>
          <w:bottom w:val="single" w:sz="4" w:space="1" w:color="auto"/>
        </w:pBdr>
      </w:pPr>
    </w:p>
    <w:p w14:paraId="5969A829" w14:textId="77777777" w:rsidR="008A2696" w:rsidRDefault="008A2696" w:rsidP="008A2696">
      <w:pPr>
        <w:pStyle w:val="Heading1"/>
      </w:pPr>
      <w:r>
        <w:t>Introduction</w:t>
      </w:r>
    </w:p>
    <w:p w14:paraId="2D845DF1" w14:textId="77777777" w:rsidR="007D2A04" w:rsidRDefault="007D2A04" w:rsidP="004468E6">
      <w:pPr>
        <w:rPr>
          <w:color w:val="000000"/>
        </w:rPr>
      </w:pPr>
      <w:r>
        <w:rPr>
          <w:color w:val="000000"/>
        </w:rPr>
        <w:t>The Australian Pesticides and Veterinary Medicines Authority (</w:t>
      </w:r>
      <w:r>
        <w:rPr>
          <w:b/>
          <w:bCs/>
          <w:color w:val="000000"/>
        </w:rPr>
        <w:t>APVMA</w:t>
      </w:r>
      <w:r>
        <w:rPr>
          <w:color w:val="000000"/>
        </w:rPr>
        <w:t>) is a statutory authority continued in existence under section 6 of the </w:t>
      </w:r>
      <w:r>
        <w:rPr>
          <w:i/>
          <w:iCs/>
          <w:color w:val="000000"/>
        </w:rPr>
        <w:t>Agricultural and Veterinary Chemicals (Administration) Act 1992</w:t>
      </w:r>
      <w:r>
        <w:rPr>
          <w:color w:val="000000"/>
        </w:rPr>
        <w:t>.  Its functions and powers include administering the national system for regulation of agricultural and veterinary chemicals, and exercising the powers and functions conferred on it by the Agricultural and Veterinary Chemicals Code, as scheduled to the </w:t>
      </w:r>
      <w:r>
        <w:rPr>
          <w:i/>
          <w:iCs/>
          <w:color w:val="000000"/>
        </w:rPr>
        <w:t>Agricultural and Veterinary Chemicals Code Act 1994 </w:t>
      </w:r>
      <w:r>
        <w:rPr>
          <w:color w:val="000000"/>
        </w:rPr>
        <w:t>(</w:t>
      </w:r>
      <w:r>
        <w:rPr>
          <w:b/>
          <w:bCs/>
          <w:color w:val="000000"/>
        </w:rPr>
        <w:t>Code</w:t>
      </w:r>
      <w:r>
        <w:rPr>
          <w:color w:val="000000"/>
        </w:rPr>
        <w:t>).</w:t>
      </w:r>
    </w:p>
    <w:p w14:paraId="4366393B" w14:textId="0EBF501A" w:rsidR="00142409" w:rsidRDefault="006A3F16" w:rsidP="004468E6">
      <w:pPr>
        <w:rPr>
          <w:color w:val="000000"/>
        </w:rPr>
      </w:pPr>
      <w:r>
        <w:rPr>
          <w:color w:val="000000"/>
        </w:rPr>
        <w:t>For an</w:t>
      </w:r>
      <w:r w:rsidRPr="006A3F16">
        <w:rPr>
          <w:color w:val="000000"/>
        </w:rPr>
        <w:t xml:space="preserve"> </w:t>
      </w:r>
      <w:r>
        <w:rPr>
          <w:color w:val="000000"/>
        </w:rPr>
        <w:t>agricultural and veterinary (</w:t>
      </w:r>
      <w:r w:rsidRPr="006A3F16">
        <w:rPr>
          <w:color w:val="000000"/>
        </w:rPr>
        <w:t>agvet</w:t>
      </w:r>
      <w:r>
        <w:rPr>
          <w:color w:val="000000"/>
        </w:rPr>
        <w:t>)</w:t>
      </w:r>
      <w:r w:rsidR="00E26A48">
        <w:rPr>
          <w:color w:val="000000"/>
        </w:rPr>
        <w:t xml:space="preserve"> </w:t>
      </w:r>
      <w:r w:rsidRPr="006A3F16">
        <w:rPr>
          <w:color w:val="000000"/>
        </w:rPr>
        <w:t xml:space="preserve">chemical product to legally be manufactured, imported, supplied, sold, or used in Australia, it must be registered by the APVMA </w:t>
      </w:r>
      <w:r>
        <w:rPr>
          <w:color w:val="000000"/>
        </w:rPr>
        <w:t>(</w:t>
      </w:r>
      <w:r w:rsidRPr="006A3F16">
        <w:rPr>
          <w:color w:val="000000"/>
        </w:rPr>
        <w:t xml:space="preserve">unless </w:t>
      </w:r>
      <w:r w:rsidR="00200578">
        <w:rPr>
          <w:color w:val="000000"/>
        </w:rPr>
        <w:t xml:space="preserve">otherwise authorised or </w:t>
      </w:r>
      <w:r w:rsidRPr="006A3F16">
        <w:rPr>
          <w:color w:val="000000"/>
        </w:rPr>
        <w:t>exempt</w:t>
      </w:r>
      <w:r w:rsidR="00941006">
        <w:rPr>
          <w:color w:val="000000"/>
        </w:rPr>
        <w:t xml:space="preserve">ed </w:t>
      </w:r>
      <w:r w:rsidRPr="006A3F16">
        <w:rPr>
          <w:color w:val="000000"/>
        </w:rPr>
        <w:t>by the Code</w:t>
      </w:r>
      <w:r>
        <w:rPr>
          <w:color w:val="000000"/>
        </w:rPr>
        <w:t>)</w:t>
      </w:r>
      <w:r w:rsidRPr="006A3F16">
        <w:rPr>
          <w:color w:val="000000"/>
        </w:rPr>
        <w:t>. Applications are made to the APVMA to approve, register or vary active constituents, products, or labels. </w:t>
      </w:r>
      <w:r>
        <w:rPr>
          <w:color w:val="000000"/>
        </w:rPr>
        <w:t>The</w:t>
      </w:r>
      <w:r w:rsidRPr="006A3F16">
        <w:rPr>
          <w:color w:val="000000"/>
        </w:rPr>
        <w:t xml:space="preserve"> registration process involves scientifically evaluating the </w:t>
      </w:r>
      <w:r w:rsidR="00142409">
        <w:rPr>
          <w:color w:val="000000"/>
        </w:rPr>
        <w:t>product to determine whether the APVMA is satisfied that the product meets the applicable statutory criteria (safety, efficacy, trade and labelling criteria).</w:t>
      </w:r>
    </w:p>
    <w:p w14:paraId="548D2CE2" w14:textId="4CF661AC" w:rsidR="007A6922" w:rsidRDefault="00142409" w:rsidP="004468E6">
      <w:pPr>
        <w:rPr>
          <w:color w:val="000000"/>
        </w:rPr>
      </w:pPr>
      <w:r w:rsidRPr="00142409">
        <w:rPr>
          <w:color w:val="000000"/>
        </w:rPr>
        <w:t xml:space="preserve">Once an agvet chemical product is </w:t>
      </w:r>
      <w:r w:rsidR="00941006">
        <w:rPr>
          <w:color w:val="000000"/>
        </w:rPr>
        <w:t>registered</w:t>
      </w:r>
      <w:r w:rsidRPr="00142409">
        <w:rPr>
          <w:color w:val="000000"/>
        </w:rPr>
        <w:t xml:space="preserve">, the </w:t>
      </w:r>
      <w:r w:rsidR="00DC0F75">
        <w:rPr>
          <w:color w:val="000000"/>
        </w:rPr>
        <w:t xml:space="preserve">holder may apply for </w:t>
      </w:r>
      <w:r w:rsidRPr="00142409">
        <w:rPr>
          <w:color w:val="000000"/>
        </w:rPr>
        <w:t xml:space="preserve">relevant particulars or conditions </w:t>
      </w:r>
      <w:r w:rsidR="00DC0F75">
        <w:rPr>
          <w:color w:val="000000"/>
        </w:rPr>
        <w:t>to be varied</w:t>
      </w:r>
      <w:r w:rsidRPr="00142409">
        <w:rPr>
          <w:color w:val="000000"/>
        </w:rPr>
        <w:t>. </w:t>
      </w:r>
      <w:r>
        <w:rPr>
          <w:color w:val="000000"/>
        </w:rPr>
        <w:t>Variations may include changes to the product formulation.</w:t>
      </w:r>
      <w:r w:rsidR="00455032">
        <w:rPr>
          <w:color w:val="000000"/>
        </w:rPr>
        <w:t xml:space="preserve"> </w:t>
      </w:r>
      <w:r>
        <w:rPr>
          <w:color w:val="000000"/>
        </w:rPr>
        <w:t xml:space="preserve">The APVMA will assess </w:t>
      </w:r>
      <w:r w:rsidRPr="00142409">
        <w:rPr>
          <w:color w:val="000000"/>
        </w:rPr>
        <w:t>whether the product</w:t>
      </w:r>
      <w:r>
        <w:rPr>
          <w:color w:val="000000"/>
        </w:rPr>
        <w:t xml:space="preserve"> </w:t>
      </w:r>
      <w:r w:rsidRPr="00142409">
        <w:rPr>
          <w:color w:val="000000"/>
        </w:rPr>
        <w:t xml:space="preserve">continues to meet </w:t>
      </w:r>
      <w:r w:rsidR="00DC0F75" w:rsidRPr="00142409">
        <w:rPr>
          <w:color w:val="000000"/>
        </w:rPr>
        <w:t>all</w:t>
      </w:r>
      <w:r w:rsidRPr="00142409">
        <w:rPr>
          <w:color w:val="000000"/>
        </w:rPr>
        <w:t xml:space="preserve"> the statutory criteria</w:t>
      </w:r>
      <w:r>
        <w:rPr>
          <w:color w:val="000000"/>
        </w:rPr>
        <w:t xml:space="preserve"> once varied. </w:t>
      </w:r>
      <w:r w:rsidR="006A3F16">
        <w:rPr>
          <w:color w:val="000000"/>
        </w:rPr>
        <w:t xml:space="preserve"> </w:t>
      </w:r>
    </w:p>
    <w:p w14:paraId="52BCC991" w14:textId="28249FBC" w:rsidR="004468E6" w:rsidRPr="003C5D83" w:rsidRDefault="007D2A04" w:rsidP="004468E6">
      <w:pPr>
        <w:rPr>
          <w:rFonts w:eastAsia="Times New Roman" w:cs="Times New Roman"/>
        </w:rPr>
      </w:pPr>
      <w:r>
        <w:rPr>
          <w:rFonts w:eastAsia="Times New Roman" w:cs="Times New Roman"/>
        </w:rPr>
        <w:t xml:space="preserve">Under Regulation 19AEA of the </w:t>
      </w:r>
      <w:r>
        <w:rPr>
          <w:i/>
          <w:iCs/>
          <w:color w:val="000000"/>
        </w:rPr>
        <w:t>Agricultural and Veterinary Chemicals Code Regulations 1995 </w:t>
      </w:r>
      <w:r>
        <w:rPr>
          <w:color w:val="000000"/>
        </w:rPr>
        <w:t>(</w:t>
      </w:r>
      <w:r>
        <w:rPr>
          <w:b/>
          <w:bCs/>
          <w:color w:val="000000"/>
        </w:rPr>
        <w:t>Regulations</w:t>
      </w:r>
      <w:r>
        <w:rPr>
          <w:color w:val="000000"/>
        </w:rPr>
        <w:t>),</w:t>
      </w:r>
      <w:r>
        <w:rPr>
          <w:rFonts w:eastAsia="Times New Roman" w:cs="Times New Roman"/>
        </w:rPr>
        <w:t xml:space="preserve"> the APVMA may, by legislative instrument, determine that one or more constituents of a chemical product or a class of chemical products may be interchanged with another constituent</w:t>
      </w:r>
      <w:r w:rsidR="00CC7219">
        <w:rPr>
          <w:rFonts w:eastAsia="Times New Roman" w:cs="Times New Roman"/>
        </w:rPr>
        <w:t xml:space="preserve"> if the requirements specified in the determination are met</w:t>
      </w:r>
      <w:r>
        <w:rPr>
          <w:rFonts w:eastAsia="Times New Roman" w:cs="Times New Roman"/>
        </w:rPr>
        <w:t xml:space="preserve">. </w:t>
      </w:r>
      <w:r w:rsidR="00455032">
        <w:rPr>
          <w:rFonts w:eastAsia="Times New Roman" w:cs="Times New Roman"/>
        </w:rPr>
        <w:t xml:space="preserve">This means </w:t>
      </w:r>
      <w:r w:rsidR="00455032" w:rsidRPr="00455032">
        <w:rPr>
          <w:rFonts w:eastAsia="Times New Roman" w:cs="Times New Roman"/>
        </w:rPr>
        <w:t>that specific non-active constituents (excipients) may be substituted for one another without assessment.</w:t>
      </w:r>
    </w:p>
    <w:p w14:paraId="5A55F051" w14:textId="7B318261" w:rsidR="00EB0970" w:rsidRDefault="004468E6" w:rsidP="004468E6">
      <w:pPr>
        <w:rPr>
          <w:rFonts w:eastAsia="Times New Roman" w:cs="Times New Roman"/>
        </w:rPr>
      </w:pPr>
      <w:r>
        <w:rPr>
          <w:rFonts w:eastAsia="Times New Roman" w:cs="Times New Roman"/>
        </w:rPr>
        <w:t xml:space="preserve">This </w:t>
      </w:r>
      <w:r w:rsidR="00EB0970">
        <w:rPr>
          <w:rFonts w:eastAsia="Times New Roman" w:cs="Times New Roman"/>
        </w:rPr>
        <w:t>Determination</w:t>
      </w:r>
      <w:r>
        <w:rPr>
          <w:rFonts w:eastAsia="Times New Roman" w:cs="Times New Roman"/>
        </w:rPr>
        <w:t xml:space="preserve"> </w:t>
      </w:r>
      <w:r w:rsidR="006B37E9">
        <w:rPr>
          <w:rFonts w:eastAsia="Times New Roman" w:cs="Times New Roman"/>
        </w:rPr>
        <w:t>is</w:t>
      </w:r>
      <w:r w:rsidR="007D2A04">
        <w:rPr>
          <w:rFonts w:eastAsia="Times New Roman" w:cs="Times New Roman"/>
        </w:rPr>
        <w:t xml:space="preserve"> an Interchangeable Constituent Determination </w:t>
      </w:r>
      <w:r w:rsidR="00446593">
        <w:rPr>
          <w:rFonts w:eastAsia="Times New Roman" w:cs="Times New Roman"/>
        </w:rPr>
        <w:t xml:space="preserve">made under Regulation 19AEA </w:t>
      </w:r>
      <w:r w:rsidR="00EB0970">
        <w:rPr>
          <w:rFonts w:eastAsia="Times New Roman" w:cs="Times New Roman"/>
        </w:rPr>
        <w:t>that</w:t>
      </w:r>
      <w:r w:rsidR="00EB0970" w:rsidRPr="00EB0970">
        <w:rPr>
          <w:rFonts w:eastAsia="Times New Roman" w:cs="Times New Roman"/>
        </w:rPr>
        <w:t xml:space="preserve"> allow</w:t>
      </w:r>
      <w:r w:rsidR="006B37E9">
        <w:rPr>
          <w:rFonts w:eastAsia="Times New Roman" w:cs="Times New Roman"/>
        </w:rPr>
        <w:t>s</w:t>
      </w:r>
      <w:r w:rsidR="00EB0970" w:rsidRPr="00EB0970">
        <w:rPr>
          <w:rFonts w:eastAsia="Times New Roman" w:cs="Times New Roman"/>
        </w:rPr>
        <w:t xml:space="preserve"> Tersperse 4896 to be </w:t>
      </w:r>
      <w:r w:rsidR="00064589">
        <w:rPr>
          <w:rFonts w:eastAsia="Times New Roman" w:cs="Times New Roman"/>
        </w:rPr>
        <w:t>interchanged</w:t>
      </w:r>
      <w:r w:rsidR="00EB0970" w:rsidRPr="00EB0970">
        <w:rPr>
          <w:rFonts w:eastAsia="Times New Roman" w:cs="Times New Roman"/>
        </w:rPr>
        <w:t xml:space="preserve"> with Tersperse 4894</w:t>
      </w:r>
      <w:r w:rsidR="00EB0970">
        <w:rPr>
          <w:rFonts w:eastAsia="Times New Roman" w:cs="Times New Roman"/>
        </w:rPr>
        <w:t xml:space="preserve"> if the requirements specified in Column 3 of the Table at Item 5 are met.</w:t>
      </w:r>
    </w:p>
    <w:p w14:paraId="79F875ED" w14:textId="14B83817" w:rsidR="001A20A8" w:rsidRDefault="001A20A8" w:rsidP="004468E6">
      <w:pPr>
        <w:rPr>
          <w:rFonts w:eastAsia="Times New Roman" w:cs="Times New Roman"/>
        </w:rPr>
      </w:pPr>
      <w:r>
        <w:rPr>
          <w:rFonts w:eastAsia="Times New Roman" w:cs="Times New Roman"/>
        </w:rPr>
        <w:t xml:space="preserve">The APVMA is satisfied that all </w:t>
      </w:r>
      <w:r w:rsidRPr="00E73075">
        <w:rPr>
          <w:rFonts w:eastAsia="Times New Roman" w:cs="Times New Roman"/>
        </w:rPr>
        <w:t xml:space="preserve">requirements specified in </w:t>
      </w:r>
      <w:r>
        <w:rPr>
          <w:rFonts w:eastAsia="Times New Roman" w:cs="Times New Roman"/>
        </w:rPr>
        <w:t>Regulation</w:t>
      </w:r>
      <w:r w:rsidRPr="00E73075">
        <w:rPr>
          <w:rFonts w:eastAsia="Times New Roman" w:cs="Times New Roman"/>
        </w:rPr>
        <w:t xml:space="preserve"> 19AEA </w:t>
      </w:r>
      <w:r>
        <w:rPr>
          <w:rFonts w:eastAsia="Times New Roman" w:cs="Times New Roman"/>
        </w:rPr>
        <w:t xml:space="preserve">for this Determination </w:t>
      </w:r>
      <w:r w:rsidRPr="00E73075">
        <w:rPr>
          <w:rFonts w:eastAsia="Times New Roman" w:cs="Times New Roman"/>
        </w:rPr>
        <w:t>have been met</w:t>
      </w:r>
      <w:r>
        <w:rPr>
          <w:rFonts w:eastAsia="Times New Roman" w:cs="Times New Roman"/>
        </w:rPr>
        <w:t>,</w:t>
      </w:r>
      <w:r w:rsidRPr="00E73075">
        <w:rPr>
          <w:rFonts w:eastAsia="Times New Roman" w:cs="Times New Roman"/>
        </w:rPr>
        <w:t xml:space="preserve"> including that after the constituents are interchanged the chemical product would continue to meet the safety</w:t>
      </w:r>
      <w:r>
        <w:rPr>
          <w:rFonts w:eastAsia="Times New Roman" w:cs="Times New Roman"/>
        </w:rPr>
        <w:t xml:space="preserve">, efficacy and trade </w:t>
      </w:r>
      <w:r w:rsidRPr="00E73075">
        <w:rPr>
          <w:rFonts w:eastAsia="Times New Roman" w:cs="Times New Roman"/>
        </w:rPr>
        <w:t>criteria. </w:t>
      </w:r>
    </w:p>
    <w:p w14:paraId="68A89335" w14:textId="20E49D33" w:rsidR="004468E6" w:rsidRDefault="00EB0970" w:rsidP="004468E6">
      <w:pPr>
        <w:rPr>
          <w:rFonts w:eastAsia="Times New Roman" w:cs="Times New Roman"/>
        </w:rPr>
      </w:pPr>
      <w:r>
        <w:rPr>
          <w:rFonts w:eastAsia="Times New Roman" w:cs="Times New Roman"/>
        </w:rPr>
        <w:t>Once made, holders may lodge</w:t>
      </w:r>
      <w:r w:rsidR="0062731D">
        <w:rPr>
          <w:rFonts w:eastAsia="Times New Roman" w:cs="Times New Roman"/>
        </w:rPr>
        <w:t xml:space="preserve"> a</w:t>
      </w:r>
      <w:r>
        <w:rPr>
          <w:rFonts w:eastAsia="Times New Roman" w:cs="Times New Roman"/>
        </w:rPr>
        <w:t xml:space="preserve"> notice with the APVMA under section 26AB of the Code to vary the relevant particulars of </w:t>
      </w:r>
      <w:r w:rsidR="001A20A8">
        <w:rPr>
          <w:rFonts w:eastAsia="Times New Roman" w:cs="Times New Roman"/>
        </w:rPr>
        <w:t>a</w:t>
      </w:r>
      <w:r>
        <w:rPr>
          <w:rFonts w:eastAsia="Times New Roman" w:cs="Times New Roman"/>
        </w:rPr>
        <w:t xml:space="preserve"> registration </w:t>
      </w:r>
      <w:r w:rsidR="0062731D">
        <w:rPr>
          <w:rFonts w:eastAsia="Times New Roman" w:cs="Times New Roman"/>
        </w:rPr>
        <w:t>if the criteria in</w:t>
      </w:r>
      <w:r>
        <w:rPr>
          <w:rFonts w:eastAsia="Times New Roman" w:cs="Times New Roman"/>
        </w:rPr>
        <w:t xml:space="preserve"> the </w:t>
      </w:r>
      <w:r w:rsidRPr="00EB0970">
        <w:rPr>
          <w:rFonts w:eastAsia="Times New Roman" w:cs="Times New Roman"/>
          <w:i/>
          <w:iCs/>
        </w:rPr>
        <w:t>Agricultural and Veterinary Chemicals Code (Notifiable Variations) Instrument 2019</w:t>
      </w:r>
      <w:r w:rsidRPr="00EB0970">
        <w:rPr>
          <w:rFonts w:eastAsia="Times New Roman" w:cs="Times New Roman"/>
        </w:rPr>
        <w:t xml:space="preserve"> and th</w:t>
      </w:r>
      <w:r>
        <w:rPr>
          <w:rFonts w:eastAsia="Times New Roman" w:cs="Times New Roman"/>
        </w:rPr>
        <w:t>is</w:t>
      </w:r>
      <w:r w:rsidRPr="00EB0970">
        <w:rPr>
          <w:rFonts w:eastAsia="Times New Roman" w:cs="Times New Roman"/>
        </w:rPr>
        <w:t xml:space="preserve"> Interchangeable Constituent Determination</w:t>
      </w:r>
      <w:r w:rsidR="0062731D">
        <w:rPr>
          <w:rFonts w:eastAsia="Times New Roman" w:cs="Times New Roman"/>
        </w:rPr>
        <w:t xml:space="preserve"> are met</w:t>
      </w:r>
      <w:r>
        <w:rPr>
          <w:rFonts w:eastAsia="Times New Roman" w:cs="Times New Roman"/>
        </w:rPr>
        <w:t xml:space="preserve">. </w:t>
      </w:r>
    </w:p>
    <w:p w14:paraId="56DEC62A" w14:textId="77777777" w:rsidR="00153D4C" w:rsidRDefault="00153D4C" w:rsidP="00153D4C">
      <w:pPr>
        <w:pStyle w:val="Heading1"/>
      </w:pPr>
      <w:r>
        <w:t>Process before instrument was made</w:t>
      </w:r>
    </w:p>
    <w:p w14:paraId="3B6519B1" w14:textId="77777777" w:rsidR="00153D4C" w:rsidRDefault="00153D4C" w:rsidP="00153D4C">
      <w:pPr>
        <w:pStyle w:val="Heading2"/>
      </w:pPr>
      <w:r>
        <w:t>Regulatory impact analysis</w:t>
      </w:r>
    </w:p>
    <w:p w14:paraId="30976C60" w14:textId="020F222E" w:rsidR="00CB21E5" w:rsidRDefault="008A1366" w:rsidP="00CB21E5">
      <w:r>
        <w:t>T</w:t>
      </w:r>
      <w:r w:rsidR="00CB21E5">
        <w:t xml:space="preserve">he Office of </w:t>
      </w:r>
      <w:r>
        <w:t>Impact Analysis</w:t>
      </w:r>
      <w:r w:rsidR="00CB21E5">
        <w:t xml:space="preserve"> (</w:t>
      </w:r>
      <w:r w:rsidR="00CB21E5">
        <w:rPr>
          <w:b/>
        </w:rPr>
        <w:t>O</w:t>
      </w:r>
      <w:r>
        <w:rPr>
          <w:b/>
        </w:rPr>
        <w:t>IA</w:t>
      </w:r>
      <w:r w:rsidR="00CB21E5">
        <w:t>) was consulted</w:t>
      </w:r>
      <w:r w:rsidR="00934A0D">
        <w:t xml:space="preserve"> on 9 April 2024</w:t>
      </w:r>
      <w:r w:rsidR="00CB21E5">
        <w:t xml:space="preserve"> about this </w:t>
      </w:r>
      <w:r w:rsidR="00EB0970">
        <w:t>Determination</w:t>
      </w:r>
      <w:r w:rsidR="00CB21E5">
        <w:t xml:space="preserve"> (O</w:t>
      </w:r>
      <w:r>
        <w:t>IA</w:t>
      </w:r>
      <w:r w:rsidR="00CB21E5">
        <w:t xml:space="preserve"> reference </w:t>
      </w:r>
      <w:r w:rsidR="00265579" w:rsidRPr="00265579">
        <w:t>OIA24-07378</w:t>
      </w:r>
      <w:r w:rsidR="00CB21E5">
        <w:t>).</w:t>
      </w:r>
    </w:p>
    <w:p w14:paraId="3C2566E2" w14:textId="54D72230" w:rsidR="00153D4C" w:rsidRDefault="00CB21E5" w:rsidP="00CB21E5">
      <w:r>
        <w:t xml:space="preserve">On the basis of the information </w:t>
      </w:r>
      <w:r w:rsidR="00660211">
        <w:t xml:space="preserve">provided, </w:t>
      </w:r>
      <w:r w:rsidR="00265579" w:rsidRPr="00265579">
        <w:t xml:space="preserve">the OIA determined that detailed analysis is not required under the Australian Government's Policy Impact Analysis Framework. This assessment </w:t>
      </w:r>
      <w:r w:rsidR="005F0AD2">
        <w:t>wa</w:t>
      </w:r>
      <w:r w:rsidR="00265579" w:rsidRPr="00265579">
        <w:t xml:space="preserve">s </w:t>
      </w:r>
      <w:r w:rsidR="00265579" w:rsidRPr="00265579">
        <w:lastRenderedPageBreak/>
        <w:t xml:space="preserve">informed by </w:t>
      </w:r>
      <w:r w:rsidR="00265579">
        <w:t xml:space="preserve">the </w:t>
      </w:r>
      <w:r w:rsidR="00265579" w:rsidRPr="00265579">
        <w:t>understanding that the Determination will (only) allow Tersperse 4896 to be interchanged with Tersperse 4894 if the requirements specified in the Determination are met.</w:t>
      </w:r>
    </w:p>
    <w:p w14:paraId="01E8B4F0" w14:textId="77777777" w:rsidR="00153D4C" w:rsidRDefault="00153D4C" w:rsidP="00153D4C">
      <w:pPr>
        <w:pStyle w:val="Heading2"/>
      </w:pPr>
      <w:r>
        <w:t>Consultation before making</w:t>
      </w:r>
    </w:p>
    <w:p w14:paraId="4B19FEEB" w14:textId="434698F9" w:rsidR="005E77BD" w:rsidRDefault="007D2A04" w:rsidP="00153D4C">
      <w:r>
        <w:t xml:space="preserve">Prior to making the </w:t>
      </w:r>
      <w:r w:rsidR="006B37E9">
        <w:t xml:space="preserve">Interchangeable Constituent Determination </w:t>
      </w:r>
      <w:r>
        <w:t>under Regulation 19AEA of the Regulations</w:t>
      </w:r>
      <w:r w:rsidR="006B37E9">
        <w:t xml:space="preserve">, </w:t>
      </w:r>
      <w:r>
        <w:t xml:space="preserve">the proposed Determination was consulted on </w:t>
      </w:r>
      <w:r w:rsidR="006B37E9">
        <w:t>under</w:t>
      </w:r>
      <w:r>
        <w:t xml:space="preserve"> a formal process via the APVMA website.</w:t>
      </w:r>
      <w:r w:rsidR="00265579">
        <w:t xml:space="preserve"> </w:t>
      </w:r>
      <w:r w:rsidR="00265579" w:rsidRPr="00265579">
        <w:t xml:space="preserve">The </w:t>
      </w:r>
      <w:r w:rsidR="00265579">
        <w:t xml:space="preserve">consultation was open from 10 April 2024 to </w:t>
      </w:r>
      <w:r w:rsidR="00265579" w:rsidRPr="00265579">
        <w:t>8 May 2024.</w:t>
      </w:r>
      <w:r w:rsidR="00265579">
        <w:t xml:space="preserve"> </w:t>
      </w:r>
      <w:r w:rsidR="00265579" w:rsidRPr="00265579">
        <w:t xml:space="preserve">A total of one submission was received. </w:t>
      </w:r>
      <w:r w:rsidR="00934A0D">
        <w:t xml:space="preserve">The submission was supportive of the proposed Determination. </w:t>
      </w:r>
      <w:r w:rsidR="00265579" w:rsidRPr="00265579">
        <w:t>The respondent asked for this submission to remain confidential</w:t>
      </w:r>
      <w:r w:rsidR="00046B62">
        <w:t xml:space="preserve"> and</w:t>
      </w:r>
      <w:r w:rsidR="00265579">
        <w:t xml:space="preserve"> </w:t>
      </w:r>
      <w:r w:rsidR="00046B62">
        <w:t>t</w:t>
      </w:r>
      <w:r w:rsidR="00265579">
        <w:t>he APVMA responded directly to this submission. No changes were made to the proposed Determination as a result of the consultation.</w:t>
      </w:r>
    </w:p>
    <w:p w14:paraId="3F555A48" w14:textId="77777777" w:rsidR="00153D4C" w:rsidRDefault="00153D4C" w:rsidP="00153D4C">
      <w:pPr>
        <w:pStyle w:val="Heading2"/>
      </w:pPr>
      <w:r>
        <w:t>Statement of compatibility with human rights obligations</w:t>
      </w:r>
    </w:p>
    <w:p w14:paraId="48755EFD" w14:textId="77777777" w:rsidR="00B83585" w:rsidRDefault="00196DBA" w:rsidP="009A7448">
      <w:r>
        <w:t xml:space="preserve">A statement of compatibility has been prepared and is at </w:t>
      </w:r>
      <w:r>
        <w:rPr>
          <w:u w:val="single"/>
        </w:rPr>
        <w:t>Attachment A</w:t>
      </w:r>
      <w:r>
        <w:t>.</w:t>
      </w:r>
    </w:p>
    <w:p w14:paraId="15CCB1EC" w14:textId="77777777" w:rsidR="00EB0970" w:rsidRDefault="00EB0970" w:rsidP="00EB0970">
      <w:pPr>
        <w:pStyle w:val="Heading2"/>
        <w:rPr>
          <w:color w:val="000000"/>
          <w:szCs w:val="24"/>
        </w:rPr>
      </w:pPr>
      <w:r>
        <w:rPr>
          <w:color w:val="000000"/>
          <w:szCs w:val="24"/>
        </w:rPr>
        <w:t>Disallowance and Sunsetting</w:t>
      </w:r>
    </w:p>
    <w:p w14:paraId="44D9D42F" w14:textId="77777777" w:rsidR="007131B8" w:rsidRDefault="00EB0970" w:rsidP="00EB0970">
      <w:pPr>
        <w:pStyle w:val="NormalWeb"/>
        <w:spacing w:before="180" w:beforeAutospacing="0" w:after="0" w:afterAutospacing="0"/>
        <w:rPr>
          <w:color w:val="000000"/>
          <w:sz w:val="22"/>
          <w:szCs w:val="22"/>
        </w:rPr>
      </w:pPr>
      <w:r>
        <w:rPr>
          <w:color w:val="000000"/>
          <w:sz w:val="22"/>
          <w:szCs w:val="22"/>
        </w:rPr>
        <w:t>Although the </w:t>
      </w:r>
      <w:r w:rsidRPr="00EB0970">
        <w:rPr>
          <w:i/>
          <w:iCs/>
          <w:color w:val="000000"/>
          <w:sz w:val="22"/>
          <w:szCs w:val="22"/>
        </w:rPr>
        <w:t>Agricultural and Veterinary Chemicals Code (Interchangeable Constituent) Determination 2024</w:t>
      </w:r>
      <w:r>
        <w:rPr>
          <w:i/>
          <w:iCs/>
          <w:color w:val="000000"/>
          <w:sz w:val="22"/>
          <w:szCs w:val="22"/>
        </w:rPr>
        <w:t xml:space="preserve"> </w:t>
      </w:r>
      <w:r>
        <w:rPr>
          <w:color w:val="000000"/>
          <w:sz w:val="22"/>
          <w:szCs w:val="22"/>
        </w:rPr>
        <w:t>is a legislative instrument for the purposes of the </w:t>
      </w:r>
      <w:r>
        <w:rPr>
          <w:i/>
          <w:iCs/>
          <w:color w:val="000000"/>
          <w:sz w:val="22"/>
          <w:szCs w:val="22"/>
        </w:rPr>
        <w:t>Legislation Act 2003</w:t>
      </w:r>
      <w:r>
        <w:rPr>
          <w:color w:val="000000"/>
          <w:sz w:val="22"/>
          <w:szCs w:val="22"/>
        </w:rPr>
        <w:t xml:space="preserve">, pursuant to subsection 54(1) </w:t>
      </w:r>
      <w:r w:rsidR="00446593">
        <w:rPr>
          <w:color w:val="000000"/>
          <w:sz w:val="22"/>
          <w:szCs w:val="22"/>
        </w:rPr>
        <w:t xml:space="preserve">of that Act </w:t>
      </w:r>
      <w:r>
        <w:rPr>
          <w:color w:val="000000"/>
          <w:sz w:val="22"/>
          <w:szCs w:val="22"/>
        </w:rPr>
        <w:t xml:space="preserve">it is not subject to sunsetting. </w:t>
      </w:r>
    </w:p>
    <w:p w14:paraId="40432C13" w14:textId="77777777" w:rsidR="00CD27C8" w:rsidRDefault="00EB0970" w:rsidP="00EB0970">
      <w:pPr>
        <w:pStyle w:val="NormalWeb"/>
        <w:spacing w:before="180" w:beforeAutospacing="0" w:after="0" w:afterAutospacing="0"/>
        <w:rPr>
          <w:color w:val="000000"/>
          <w:sz w:val="22"/>
          <w:szCs w:val="22"/>
        </w:rPr>
      </w:pPr>
      <w:r>
        <w:rPr>
          <w:color w:val="000000"/>
          <w:sz w:val="22"/>
          <w:szCs w:val="22"/>
        </w:rPr>
        <w:t>Th</w:t>
      </w:r>
      <w:r w:rsidR="007131B8">
        <w:rPr>
          <w:color w:val="000000"/>
          <w:sz w:val="22"/>
          <w:szCs w:val="22"/>
        </w:rPr>
        <w:t>is is because th</w:t>
      </w:r>
      <w:r>
        <w:rPr>
          <w:color w:val="000000"/>
          <w:sz w:val="22"/>
          <w:szCs w:val="22"/>
        </w:rPr>
        <w:t>e Code is</w:t>
      </w:r>
      <w:r w:rsidR="00CD27C8">
        <w:rPr>
          <w:color w:val="000000"/>
          <w:sz w:val="22"/>
          <w:szCs w:val="22"/>
        </w:rPr>
        <w:t>:</w:t>
      </w:r>
    </w:p>
    <w:p w14:paraId="6D456992" w14:textId="2F177C1B" w:rsidR="00CD27C8" w:rsidRDefault="00EB0970" w:rsidP="00CD27C8">
      <w:pPr>
        <w:pStyle w:val="NormalWeb"/>
        <w:numPr>
          <w:ilvl w:val="0"/>
          <w:numId w:val="3"/>
        </w:numPr>
        <w:spacing w:before="180" w:beforeAutospacing="0" w:after="0" w:afterAutospacing="0"/>
        <w:rPr>
          <w:color w:val="000000"/>
          <w:sz w:val="22"/>
          <w:szCs w:val="22"/>
        </w:rPr>
      </w:pPr>
      <w:r>
        <w:rPr>
          <w:color w:val="000000"/>
          <w:sz w:val="22"/>
          <w:szCs w:val="22"/>
        </w:rPr>
        <w:t xml:space="preserve"> </w:t>
      </w:r>
      <w:r w:rsidR="001A61F2">
        <w:rPr>
          <w:color w:val="000000"/>
          <w:sz w:val="22"/>
          <w:szCs w:val="22"/>
        </w:rPr>
        <w:t>f</w:t>
      </w:r>
      <w:r w:rsidR="00CD27C8">
        <w:rPr>
          <w:color w:val="000000"/>
          <w:sz w:val="22"/>
          <w:szCs w:val="22"/>
        </w:rPr>
        <w:t>acilitates the establishment and operation</w:t>
      </w:r>
      <w:r>
        <w:rPr>
          <w:color w:val="000000"/>
          <w:sz w:val="22"/>
          <w:szCs w:val="22"/>
        </w:rPr>
        <w:t xml:space="preserve"> of a co-operative scheme involving the Commonwealth and all States and Territories</w:t>
      </w:r>
      <w:r w:rsidR="00CD27C8">
        <w:rPr>
          <w:color w:val="000000"/>
          <w:sz w:val="22"/>
          <w:szCs w:val="22"/>
        </w:rPr>
        <w:t>;</w:t>
      </w:r>
      <w:r>
        <w:rPr>
          <w:color w:val="000000"/>
          <w:sz w:val="22"/>
          <w:szCs w:val="22"/>
        </w:rPr>
        <w:t xml:space="preserve"> and </w:t>
      </w:r>
    </w:p>
    <w:p w14:paraId="68D26121" w14:textId="0368F9D7" w:rsidR="00EB0970" w:rsidRDefault="00EB0970" w:rsidP="00CD27C8">
      <w:pPr>
        <w:pStyle w:val="NormalWeb"/>
        <w:numPr>
          <w:ilvl w:val="0"/>
          <w:numId w:val="3"/>
        </w:numPr>
        <w:spacing w:before="180" w:beforeAutospacing="0" w:after="0" w:afterAutospacing="0"/>
        <w:rPr>
          <w:color w:val="000000"/>
          <w:sz w:val="22"/>
          <w:szCs w:val="22"/>
        </w:rPr>
      </w:pPr>
      <w:r>
        <w:rPr>
          <w:color w:val="000000"/>
          <w:sz w:val="22"/>
          <w:szCs w:val="22"/>
        </w:rPr>
        <w:t>the </w:t>
      </w:r>
      <w:r w:rsidR="007131B8">
        <w:rPr>
          <w:color w:val="000000"/>
          <w:sz w:val="22"/>
          <w:szCs w:val="22"/>
        </w:rPr>
        <w:t xml:space="preserve">Code authorises the </w:t>
      </w:r>
      <w:r w:rsidRPr="00EB0970">
        <w:rPr>
          <w:i/>
          <w:iCs/>
          <w:color w:val="000000"/>
          <w:sz w:val="22"/>
          <w:szCs w:val="22"/>
        </w:rPr>
        <w:t xml:space="preserve">Agricultural and Veterinary Chemicals Code (Interchangeable Constituent) Determination </w:t>
      </w:r>
      <w:r w:rsidRPr="007131B8">
        <w:rPr>
          <w:color w:val="000000"/>
          <w:sz w:val="22"/>
          <w:szCs w:val="22"/>
        </w:rPr>
        <w:t>2024</w:t>
      </w:r>
      <w:r w:rsidR="007131B8" w:rsidRPr="007131B8">
        <w:rPr>
          <w:color w:val="000000"/>
          <w:sz w:val="22"/>
          <w:szCs w:val="22"/>
        </w:rPr>
        <w:t xml:space="preserve"> to be made for the purposes of the scheme</w:t>
      </w:r>
      <w:r w:rsidR="007131B8">
        <w:rPr>
          <w:i/>
          <w:iCs/>
          <w:color w:val="000000"/>
          <w:sz w:val="22"/>
          <w:szCs w:val="22"/>
        </w:rPr>
        <w:t xml:space="preserve">. </w:t>
      </w:r>
    </w:p>
    <w:p w14:paraId="69E52A3E" w14:textId="17EBD643" w:rsidR="00EB0970" w:rsidRDefault="00EB0970" w:rsidP="00EB0970">
      <w:pPr>
        <w:pStyle w:val="NormalWeb"/>
        <w:spacing w:before="180" w:beforeAutospacing="0" w:after="0" w:afterAutospacing="0"/>
        <w:rPr>
          <w:color w:val="000000"/>
          <w:sz w:val="22"/>
          <w:szCs w:val="22"/>
        </w:rPr>
      </w:pPr>
      <w:r>
        <w:rPr>
          <w:color w:val="000000"/>
          <w:sz w:val="22"/>
          <w:szCs w:val="22"/>
        </w:rPr>
        <w:t>This Determination is subject to disallowance pursuant to section 42 of the </w:t>
      </w:r>
      <w:r>
        <w:rPr>
          <w:i/>
          <w:iCs/>
          <w:color w:val="000000"/>
          <w:sz w:val="22"/>
          <w:szCs w:val="22"/>
        </w:rPr>
        <w:t>Legislation Act 2003</w:t>
      </w:r>
      <w:r>
        <w:rPr>
          <w:color w:val="000000"/>
          <w:sz w:val="22"/>
          <w:szCs w:val="22"/>
        </w:rPr>
        <w:t>, because of the operation of section 163A of the Code.</w:t>
      </w:r>
    </w:p>
    <w:p w14:paraId="479A2990" w14:textId="77777777" w:rsidR="00EB0970" w:rsidRPr="00AF5BD5" w:rsidRDefault="00EB0970" w:rsidP="009A7448"/>
    <w:p w14:paraId="59C9D9CA" w14:textId="77777777" w:rsidR="00F13057" w:rsidRDefault="00F13057" w:rsidP="00F13057">
      <w:pPr>
        <w:pStyle w:val="Heading1"/>
      </w:pPr>
      <w:r>
        <w:t>Other issues</w:t>
      </w:r>
    </w:p>
    <w:p w14:paraId="2FB4F7F8" w14:textId="77777777" w:rsidR="00F13057" w:rsidRDefault="00F13057" w:rsidP="00F13057">
      <w:pPr>
        <w:pStyle w:val="Heading2"/>
      </w:pPr>
      <w:r>
        <w:t>Matter incorporated by reference</w:t>
      </w:r>
    </w:p>
    <w:p w14:paraId="4C99B9EA" w14:textId="5C0C2105" w:rsidR="004468E6" w:rsidRPr="004468E6" w:rsidRDefault="004468E6" w:rsidP="004468E6">
      <w:r>
        <w:t xml:space="preserve">This </w:t>
      </w:r>
      <w:r w:rsidR="00EB0970">
        <w:t>Determination</w:t>
      </w:r>
      <w:r>
        <w:t xml:space="preserve"> does not incorporate any matter by reference.</w:t>
      </w:r>
    </w:p>
    <w:p w14:paraId="407E1129" w14:textId="77777777" w:rsidR="00F13057" w:rsidRDefault="00F13057" w:rsidP="00F13057">
      <w:pPr>
        <w:pStyle w:val="Heading2"/>
      </w:pPr>
      <w:r>
        <w:t>More information</w:t>
      </w:r>
    </w:p>
    <w:p w14:paraId="3F6532DA" w14:textId="789C6540" w:rsidR="00196DBA" w:rsidRDefault="007D1129" w:rsidP="007D1129">
      <w:pPr>
        <w:rPr>
          <w:rFonts w:eastAsia="Calibri" w:cs="Times New Roman"/>
          <w:szCs w:val="20"/>
        </w:rPr>
        <w:sectPr w:rsidR="00196DBA" w:rsidSect="00BB46D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EB0970">
        <w:rPr>
          <w:rFonts w:eastAsia="Calibri" w:cs="Times New Roman"/>
          <w:szCs w:val="20"/>
        </w:rPr>
        <w:t>Determination</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14:paraId="285CB0AF" w14:textId="77777777"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14:paraId="06F2FB1A" w14:textId="77777777" w:rsidR="00196DBA" w:rsidRPr="00196DBA" w:rsidRDefault="00196DBA" w:rsidP="00196DBA">
      <w:r w:rsidRPr="00196DBA">
        <w:rPr>
          <w:i/>
        </w:rPr>
        <w:t>Prepared in accordance with Part 3 of the Human Rights (Parliamentary Scrutiny) Act 2011</w:t>
      </w:r>
    </w:p>
    <w:p w14:paraId="3297B989" w14:textId="1765843A" w:rsidR="00E378CD" w:rsidRPr="00EB0970" w:rsidRDefault="00E378CD" w:rsidP="00213212">
      <w:pPr>
        <w:jc w:val="center"/>
        <w:rPr>
          <w:rFonts w:eastAsiaTheme="majorEastAsia" w:cstheme="majorBidi"/>
          <w:b/>
          <w:i/>
          <w:iCs/>
          <w:sz w:val="24"/>
          <w:szCs w:val="26"/>
          <w:lang w:val="en-US"/>
        </w:rPr>
      </w:pPr>
      <w:r w:rsidRPr="00EB0970">
        <w:rPr>
          <w:rFonts w:eastAsiaTheme="majorEastAsia" w:cstheme="majorBidi"/>
          <w:b/>
          <w:i/>
          <w:iCs/>
          <w:sz w:val="24"/>
          <w:szCs w:val="26"/>
          <w:lang w:val="en-US"/>
        </w:rPr>
        <w:t>Agricultural and Veterinary Chemicals Code (</w:t>
      </w:r>
      <w:r w:rsidR="007D2A04" w:rsidRPr="00EB0970">
        <w:rPr>
          <w:rFonts w:eastAsiaTheme="majorEastAsia" w:cstheme="majorBidi"/>
          <w:b/>
          <w:i/>
          <w:iCs/>
          <w:sz w:val="24"/>
          <w:szCs w:val="26"/>
          <w:lang w:val="en-US"/>
        </w:rPr>
        <w:t xml:space="preserve">Interchangeable Constituent) </w:t>
      </w:r>
      <w:r w:rsidR="00213212">
        <w:rPr>
          <w:rFonts w:eastAsiaTheme="majorEastAsia" w:cstheme="majorBidi"/>
          <w:b/>
          <w:i/>
          <w:iCs/>
          <w:sz w:val="24"/>
          <w:szCs w:val="26"/>
          <w:lang w:val="en-US"/>
        </w:rPr>
        <w:br/>
      </w:r>
      <w:r w:rsidR="007D2A04" w:rsidRPr="00EB0970">
        <w:rPr>
          <w:rFonts w:eastAsiaTheme="majorEastAsia" w:cstheme="majorBidi"/>
          <w:b/>
          <w:i/>
          <w:iCs/>
          <w:sz w:val="24"/>
          <w:szCs w:val="26"/>
          <w:lang w:val="en-US"/>
        </w:rPr>
        <w:t>Determination 2024</w:t>
      </w:r>
    </w:p>
    <w:p w14:paraId="01B5933E" w14:textId="3FE221D9" w:rsidR="00196DBA" w:rsidRPr="00196DBA" w:rsidRDefault="00196DBA" w:rsidP="00196DBA">
      <w:r w:rsidRPr="00196DBA">
        <w:t xml:space="preserve">This </w:t>
      </w:r>
      <w:r w:rsidR="00EB0970">
        <w:t>Determination</w:t>
      </w:r>
      <w:r w:rsidRPr="00196DBA">
        <w:t xml:space="preserve">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14:paraId="2DDE562A" w14:textId="77777777" w:rsidR="00764B6B" w:rsidRPr="00196DBA" w:rsidRDefault="00764B6B" w:rsidP="00764B6B">
      <w:pPr>
        <w:pStyle w:val="Heading2"/>
      </w:pPr>
      <w:r w:rsidRPr="00196DBA">
        <w:t>Overview of the Legislative Instrument</w:t>
      </w:r>
    </w:p>
    <w:p w14:paraId="6EA804D8" w14:textId="77777777" w:rsidR="00213212" w:rsidRDefault="004468E6" w:rsidP="004468E6">
      <w:pPr>
        <w:rPr>
          <w:rFonts w:eastAsia="Times New Roman" w:cs="Times New Roman"/>
        </w:rPr>
      </w:pPr>
      <w:r w:rsidRPr="00C21872">
        <w:t xml:space="preserve">The purpose of this </w:t>
      </w:r>
      <w:r w:rsidR="00EB0970">
        <w:t>Determination</w:t>
      </w:r>
      <w:r w:rsidRPr="00C21872">
        <w:t xml:space="preserve"> is </w:t>
      </w:r>
      <w:r w:rsidR="007D2A04">
        <w:t xml:space="preserve">to establish </w:t>
      </w:r>
      <w:r w:rsidR="007D2A04">
        <w:rPr>
          <w:rFonts w:eastAsia="Times New Roman" w:cs="Times New Roman"/>
        </w:rPr>
        <w:t xml:space="preserve">an Interchangeable Constituent Determination that authorises a constituent being substituted with another constituent in certain circumstances. </w:t>
      </w:r>
    </w:p>
    <w:p w14:paraId="37AE13B4" w14:textId="782F144E" w:rsidR="009A3901" w:rsidRDefault="009A3901" w:rsidP="009A3901">
      <w:pPr>
        <w:rPr>
          <w:rFonts w:eastAsia="Times New Roman" w:cs="Times New Roman"/>
        </w:rPr>
      </w:pPr>
      <w:r>
        <w:rPr>
          <w:rFonts w:eastAsia="Times New Roman" w:cs="Times New Roman"/>
        </w:rPr>
        <w:t xml:space="preserve">The APVMA is satisfied that all </w:t>
      </w:r>
      <w:r w:rsidRPr="00E73075">
        <w:rPr>
          <w:rFonts w:eastAsia="Times New Roman" w:cs="Times New Roman"/>
        </w:rPr>
        <w:t xml:space="preserve">requirements specified in </w:t>
      </w:r>
      <w:r>
        <w:rPr>
          <w:rFonts w:eastAsia="Times New Roman" w:cs="Times New Roman"/>
        </w:rPr>
        <w:t>Regulation</w:t>
      </w:r>
      <w:r w:rsidRPr="00E73075">
        <w:rPr>
          <w:rFonts w:eastAsia="Times New Roman" w:cs="Times New Roman"/>
        </w:rPr>
        <w:t xml:space="preserve"> 19AEA</w:t>
      </w:r>
      <w:r w:rsidR="00A05CD5">
        <w:rPr>
          <w:rFonts w:eastAsia="Times New Roman" w:cs="Times New Roman"/>
        </w:rPr>
        <w:t xml:space="preserve"> </w:t>
      </w:r>
      <w:r w:rsidR="00A05CD5" w:rsidRPr="00A05CD5">
        <w:rPr>
          <w:rFonts w:eastAsia="Times New Roman" w:cs="Times New Roman"/>
        </w:rPr>
        <w:t xml:space="preserve">of the </w:t>
      </w:r>
      <w:r w:rsidR="00A05CD5" w:rsidRPr="00A05CD5">
        <w:rPr>
          <w:rFonts w:eastAsia="Times New Roman" w:cs="Times New Roman"/>
          <w:i/>
          <w:iCs/>
        </w:rPr>
        <w:t>Agricultural and Veterinary Chemicals Code Regulations 1995 </w:t>
      </w:r>
      <w:r w:rsidR="00A05CD5" w:rsidRPr="00A05CD5">
        <w:rPr>
          <w:rFonts w:eastAsia="Times New Roman" w:cs="Times New Roman"/>
        </w:rPr>
        <w:t>(</w:t>
      </w:r>
      <w:r w:rsidR="00A05CD5" w:rsidRPr="00A05CD5">
        <w:rPr>
          <w:rFonts w:eastAsia="Times New Roman" w:cs="Times New Roman"/>
          <w:b/>
          <w:bCs/>
        </w:rPr>
        <w:t>Regulations</w:t>
      </w:r>
      <w:r w:rsidR="00A05CD5" w:rsidRPr="00A05CD5">
        <w:rPr>
          <w:rFonts w:eastAsia="Times New Roman" w:cs="Times New Roman"/>
        </w:rPr>
        <w:t>)</w:t>
      </w:r>
      <w:r w:rsidRPr="00E73075">
        <w:rPr>
          <w:rFonts w:eastAsia="Times New Roman" w:cs="Times New Roman"/>
        </w:rPr>
        <w:t xml:space="preserve"> </w:t>
      </w:r>
      <w:r>
        <w:rPr>
          <w:rFonts w:eastAsia="Times New Roman" w:cs="Times New Roman"/>
        </w:rPr>
        <w:t xml:space="preserve">for this Determination </w:t>
      </w:r>
      <w:r w:rsidRPr="00E73075">
        <w:rPr>
          <w:rFonts w:eastAsia="Times New Roman" w:cs="Times New Roman"/>
        </w:rPr>
        <w:t>have been met</w:t>
      </w:r>
      <w:r>
        <w:rPr>
          <w:rFonts w:eastAsia="Times New Roman" w:cs="Times New Roman"/>
        </w:rPr>
        <w:t>,</w:t>
      </w:r>
      <w:r w:rsidRPr="00E73075">
        <w:rPr>
          <w:rFonts w:eastAsia="Times New Roman" w:cs="Times New Roman"/>
        </w:rPr>
        <w:t xml:space="preserve"> including that after the constituents are interchanged the chemical product would continue to meet the safety</w:t>
      </w:r>
      <w:r>
        <w:rPr>
          <w:rFonts w:eastAsia="Times New Roman" w:cs="Times New Roman"/>
        </w:rPr>
        <w:t xml:space="preserve">, efficacy and trade </w:t>
      </w:r>
      <w:r w:rsidRPr="00E73075">
        <w:rPr>
          <w:rFonts w:eastAsia="Times New Roman" w:cs="Times New Roman"/>
        </w:rPr>
        <w:t>criteria. </w:t>
      </w:r>
    </w:p>
    <w:p w14:paraId="2A45095D" w14:textId="652BAA6D" w:rsidR="00ED0284" w:rsidRDefault="00EB0970" w:rsidP="004468E6">
      <w:pPr>
        <w:rPr>
          <w:rFonts w:eastAsia="Times New Roman" w:cs="Times New Roman"/>
        </w:rPr>
      </w:pPr>
      <w:r>
        <w:rPr>
          <w:rFonts w:eastAsia="Times New Roman" w:cs="Times New Roman"/>
        </w:rPr>
        <w:t xml:space="preserve">Following commencement, holders may lodge </w:t>
      </w:r>
      <w:r w:rsidR="00DB6271">
        <w:rPr>
          <w:rFonts w:eastAsia="Times New Roman" w:cs="Times New Roman"/>
        </w:rPr>
        <w:t xml:space="preserve">a </w:t>
      </w:r>
      <w:r>
        <w:rPr>
          <w:rFonts w:eastAsia="Times New Roman" w:cs="Times New Roman"/>
        </w:rPr>
        <w:t>notice with the A</w:t>
      </w:r>
      <w:r w:rsidR="00213212">
        <w:rPr>
          <w:rFonts w:eastAsia="Times New Roman" w:cs="Times New Roman"/>
        </w:rPr>
        <w:t xml:space="preserve">ustralian </w:t>
      </w:r>
      <w:r>
        <w:rPr>
          <w:rFonts w:eastAsia="Times New Roman" w:cs="Times New Roman"/>
        </w:rPr>
        <w:t>P</w:t>
      </w:r>
      <w:r w:rsidR="00213212">
        <w:rPr>
          <w:rFonts w:eastAsia="Times New Roman" w:cs="Times New Roman"/>
        </w:rPr>
        <w:t xml:space="preserve">esticides and </w:t>
      </w:r>
      <w:r>
        <w:rPr>
          <w:rFonts w:eastAsia="Times New Roman" w:cs="Times New Roman"/>
        </w:rPr>
        <w:t>V</w:t>
      </w:r>
      <w:r w:rsidR="00213212">
        <w:rPr>
          <w:rFonts w:eastAsia="Times New Roman" w:cs="Times New Roman"/>
        </w:rPr>
        <w:t xml:space="preserve">eterinary </w:t>
      </w:r>
      <w:r>
        <w:rPr>
          <w:rFonts w:eastAsia="Times New Roman" w:cs="Times New Roman"/>
        </w:rPr>
        <w:t>M</w:t>
      </w:r>
      <w:r w:rsidR="00213212">
        <w:rPr>
          <w:rFonts w:eastAsia="Times New Roman" w:cs="Times New Roman"/>
        </w:rPr>
        <w:t xml:space="preserve">edicines </w:t>
      </w:r>
      <w:r>
        <w:rPr>
          <w:rFonts w:eastAsia="Times New Roman" w:cs="Times New Roman"/>
        </w:rPr>
        <w:t>A</w:t>
      </w:r>
      <w:r w:rsidR="00213212">
        <w:rPr>
          <w:rFonts w:eastAsia="Times New Roman" w:cs="Times New Roman"/>
        </w:rPr>
        <w:t>uthority</w:t>
      </w:r>
      <w:r>
        <w:rPr>
          <w:rFonts w:eastAsia="Times New Roman" w:cs="Times New Roman"/>
        </w:rPr>
        <w:t xml:space="preserve"> under section 26AB of the </w:t>
      </w:r>
      <w:r w:rsidR="00A05CD5" w:rsidRPr="00A05CD5">
        <w:rPr>
          <w:rFonts w:eastAsia="Times New Roman" w:cs="Times New Roman"/>
          <w:i/>
          <w:iCs/>
        </w:rPr>
        <w:t xml:space="preserve">Agricultural and Veterinary Chemicals Code Act 1994 </w:t>
      </w:r>
      <w:r w:rsidR="00A05CD5" w:rsidRPr="00A05CD5">
        <w:rPr>
          <w:rFonts w:eastAsia="Times New Roman" w:cs="Times New Roman"/>
        </w:rPr>
        <w:t>(</w:t>
      </w:r>
      <w:r w:rsidR="00A05CD5" w:rsidRPr="00A05CD5">
        <w:rPr>
          <w:rFonts w:eastAsia="Times New Roman" w:cs="Times New Roman"/>
          <w:b/>
          <w:bCs/>
        </w:rPr>
        <w:t>Code</w:t>
      </w:r>
      <w:r w:rsidR="00A05CD5" w:rsidRPr="00A05CD5">
        <w:rPr>
          <w:rFonts w:eastAsia="Times New Roman" w:cs="Times New Roman"/>
        </w:rPr>
        <w:t xml:space="preserve">) </w:t>
      </w:r>
      <w:r>
        <w:rPr>
          <w:rFonts w:eastAsia="Times New Roman" w:cs="Times New Roman"/>
        </w:rPr>
        <w:t>to vary the relevant particulars of a</w:t>
      </w:r>
      <w:r w:rsidR="00DB6271">
        <w:rPr>
          <w:rFonts w:eastAsia="Times New Roman" w:cs="Times New Roman"/>
        </w:rPr>
        <w:t xml:space="preserve"> </w:t>
      </w:r>
      <w:r>
        <w:rPr>
          <w:rFonts w:eastAsia="Times New Roman" w:cs="Times New Roman"/>
        </w:rPr>
        <w:t xml:space="preserve">registration </w:t>
      </w:r>
      <w:r w:rsidR="00DB6271">
        <w:rPr>
          <w:rFonts w:eastAsia="Times New Roman" w:cs="Times New Roman"/>
        </w:rPr>
        <w:t>if the criteria in</w:t>
      </w:r>
      <w:r>
        <w:rPr>
          <w:rFonts w:eastAsia="Times New Roman" w:cs="Times New Roman"/>
        </w:rPr>
        <w:t xml:space="preserve"> the </w:t>
      </w:r>
      <w:r w:rsidRPr="00EB0970">
        <w:rPr>
          <w:rFonts w:eastAsia="Times New Roman" w:cs="Times New Roman"/>
          <w:i/>
          <w:iCs/>
        </w:rPr>
        <w:t>Agricultural and Veterinary Chemicals Code (Notifiable Variations) Instrument 2019</w:t>
      </w:r>
      <w:r w:rsidRPr="00EB0970">
        <w:rPr>
          <w:rFonts w:eastAsia="Times New Roman" w:cs="Times New Roman"/>
        </w:rPr>
        <w:t xml:space="preserve"> and th</w:t>
      </w:r>
      <w:r>
        <w:rPr>
          <w:rFonts w:eastAsia="Times New Roman" w:cs="Times New Roman"/>
        </w:rPr>
        <w:t>is</w:t>
      </w:r>
      <w:r w:rsidRPr="00EB0970">
        <w:rPr>
          <w:rFonts w:eastAsia="Times New Roman" w:cs="Times New Roman"/>
        </w:rPr>
        <w:t xml:space="preserve"> Interchangeable Constituent Determination</w:t>
      </w:r>
      <w:r w:rsidR="00DB6271">
        <w:rPr>
          <w:rFonts w:eastAsia="Times New Roman" w:cs="Times New Roman"/>
        </w:rPr>
        <w:t xml:space="preserve"> are met</w:t>
      </w:r>
      <w:r>
        <w:rPr>
          <w:rFonts w:eastAsia="Times New Roman" w:cs="Times New Roman"/>
        </w:rPr>
        <w:t xml:space="preserve">. </w:t>
      </w:r>
    </w:p>
    <w:p w14:paraId="459C5C48" w14:textId="243BEECE" w:rsidR="004468E6" w:rsidRPr="007D2A04" w:rsidRDefault="00EB0970" w:rsidP="004468E6">
      <w:pPr>
        <w:rPr>
          <w:rFonts w:eastAsia="Times New Roman" w:cs="Times New Roman"/>
        </w:rPr>
      </w:pPr>
      <w:r>
        <w:rPr>
          <w:rFonts w:eastAsia="Times New Roman" w:cs="Times New Roman"/>
        </w:rPr>
        <w:t xml:space="preserve">Notifiable variations are minor variations of relevant particulars, which are made through a simplified application process rather than the technical assessment process under Division 3 of Part 2 of the Code. </w:t>
      </w:r>
    </w:p>
    <w:p w14:paraId="1A8D0A87" w14:textId="77777777" w:rsidR="00764B6B" w:rsidRPr="00196DBA" w:rsidRDefault="00764B6B" w:rsidP="00764B6B">
      <w:pPr>
        <w:pStyle w:val="Heading2"/>
      </w:pPr>
      <w:r w:rsidRPr="00196DBA">
        <w:t>Human rights implications.</w:t>
      </w:r>
    </w:p>
    <w:p w14:paraId="2FD9A4C0" w14:textId="764A6609" w:rsidR="00764B6B" w:rsidRPr="00196DBA" w:rsidRDefault="00764B6B" w:rsidP="00764B6B">
      <w:r w:rsidRPr="00196DBA">
        <w:t xml:space="preserve">The </w:t>
      </w:r>
      <w:r w:rsidR="00EB0970">
        <w:t>Determination</w:t>
      </w:r>
      <w:r w:rsidRPr="00196DBA">
        <w:t xml:space="preserve"> does not engage any of the applicable rights or freedoms.</w:t>
      </w:r>
    </w:p>
    <w:p w14:paraId="4B922D12" w14:textId="77777777" w:rsidR="00764B6B" w:rsidRPr="00196DBA" w:rsidRDefault="00764B6B" w:rsidP="00764B6B">
      <w:pPr>
        <w:pStyle w:val="Heading2"/>
      </w:pPr>
      <w:r w:rsidRPr="00196DBA">
        <w:t>Conclusion</w:t>
      </w:r>
    </w:p>
    <w:p w14:paraId="41D7E4C7" w14:textId="5CE2664D" w:rsidR="00764B6B" w:rsidRDefault="00764B6B" w:rsidP="00764B6B">
      <w:pPr>
        <w:sectPr w:rsidR="00764B6B" w:rsidSect="00BB46DA">
          <w:pgSz w:w="11906" w:h="16838"/>
          <w:pgMar w:top="1440" w:right="1440" w:bottom="1440" w:left="1440" w:header="708" w:footer="708" w:gutter="0"/>
          <w:cols w:space="708"/>
          <w:docGrid w:linePitch="360"/>
        </w:sectPr>
      </w:pPr>
      <w:r w:rsidRPr="00196DBA">
        <w:t xml:space="preserve">The </w:t>
      </w:r>
      <w:r w:rsidR="00EB0970">
        <w:t>Determination</w:t>
      </w:r>
      <w:r w:rsidRPr="00196DBA">
        <w:t xml:space="preserve"> is compatible with human rights as it does not raise any human rights issues.</w:t>
      </w:r>
    </w:p>
    <w:p w14:paraId="12708CF3" w14:textId="77777777" w:rsidR="00F13057" w:rsidRDefault="00F13057" w:rsidP="00F13057">
      <w:pPr>
        <w:pStyle w:val="Heading1"/>
        <w:tabs>
          <w:tab w:val="left" w:pos="6946"/>
        </w:tabs>
      </w:pPr>
      <w:r>
        <w:lastRenderedPageBreak/>
        <w:t>Notes on Items</w:t>
      </w:r>
      <w:r>
        <w:tab/>
      </w:r>
      <w:r w:rsidR="00196DBA">
        <w:rPr>
          <w:u w:val="single"/>
        </w:rPr>
        <w:t>Attachment B</w:t>
      </w:r>
    </w:p>
    <w:p w14:paraId="02DBF3EA" w14:textId="77777777" w:rsidR="00F13057" w:rsidRPr="009C4E52" w:rsidRDefault="00F613DC" w:rsidP="00F613DC">
      <w:pPr>
        <w:pStyle w:val="Heading2"/>
      </w:pPr>
      <w:r w:rsidRPr="009C4E52">
        <w:t>Item 1 – Name of instrument</w:t>
      </w:r>
    </w:p>
    <w:p w14:paraId="4B28FCDF" w14:textId="7D2ADA1D" w:rsidR="00F613DC" w:rsidRPr="009C4E52" w:rsidRDefault="00F613DC" w:rsidP="00F613DC">
      <w:r w:rsidRPr="009C4E52">
        <w:t xml:space="preserve">This item provides for </w:t>
      </w:r>
      <w:r w:rsidR="00064589">
        <w:t>the Determination</w:t>
      </w:r>
      <w:r w:rsidRPr="009C4E52">
        <w:t xml:space="preserve"> to be named as the </w:t>
      </w:r>
      <w:r w:rsidR="00764B6B" w:rsidRPr="009C4E52">
        <w:rPr>
          <w:i/>
        </w:rPr>
        <w:t>Agricultural and Veter</w:t>
      </w:r>
      <w:r w:rsidR="004468E6">
        <w:rPr>
          <w:i/>
        </w:rPr>
        <w:t>inary Chemicals Code (</w:t>
      </w:r>
      <w:r w:rsidR="007D2A04">
        <w:rPr>
          <w:i/>
        </w:rPr>
        <w:t>Interchangeable Constituent) Determination 2024</w:t>
      </w:r>
      <w:r w:rsidR="00764B6B">
        <w:rPr>
          <w:i/>
        </w:rPr>
        <w:t>.</w:t>
      </w:r>
    </w:p>
    <w:p w14:paraId="7E79DEF0" w14:textId="77777777" w:rsidR="00F613DC" w:rsidRPr="009C4E52" w:rsidRDefault="00F613DC" w:rsidP="00F613DC">
      <w:pPr>
        <w:pStyle w:val="Heading2"/>
      </w:pPr>
      <w:r w:rsidRPr="009C4E52">
        <w:t>Item 2 – Commencement</w:t>
      </w:r>
    </w:p>
    <w:p w14:paraId="246A8B8F" w14:textId="2EAFF562" w:rsidR="00F613DC" w:rsidRPr="009C4E52" w:rsidRDefault="00F613DC" w:rsidP="00F613DC">
      <w:r w:rsidRPr="009C4E52">
        <w:t xml:space="preserve">This item provides for the </w:t>
      </w:r>
      <w:r w:rsidR="00EB0970">
        <w:t xml:space="preserve">Determination </w:t>
      </w:r>
      <w:r w:rsidRPr="009C4E52">
        <w:t>to commence on the day after the day it is registered.</w:t>
      </w:r>
    </w:p>
    <w:p w14:paraId="2678B5DB" w14:textId="77777777" w:rsidR="00F613DC" w:rsidRPr="009C4E52" w:rsidRDefault="00F613DC" w:rsidP="00F613DC">
      <w:pPr>
        <w:pStyle w:val="Heading2"/>
      </w:pPr>
      <w:r w:rsidRPr="009C4E52">
        <w:t>Item 3 – Authority</w:t>
      </w:r>
    </w:p>
    <w:p w14:paraId="7FE56247" w14:textId="3B97F2AC" w:rsidR="00764B6B" w:rsidRPr="009C4E52" w:rsidRDefault="00764B6B" w:rsidP="00764B6B">
      <w:r w:rsidRPr="009C4E52">
        <w:t xml:space="preserve">This item provides that the </w:t>
      </w:r>
      <w:r w:rsidR="00EB0970">
        <w:t>Determination</w:t>
      </w:r>
      <w:r w:rsidR="004468E6">
        <w:t xml:space="preserve"> is made under </w:t>
      </w:r>
      <w:r w:rsidR="007D2A04">
        <w:t>Regulation 19AEA</w:t>
      </w:r>
      <w:r w:rsidRPr="009C4E52">
        <w:t xml:space="preserve"> of the </w:t>
      </w:r>
      <w:r w:rsidRPr="007D2A04">
        <w:rPr>
          <w:i/>
          <w:iCs/>
        </w:rPr>
        <w:t>Agricultural and Veterinary Chemicals Code</w:t>
      </w:r>
      <w:r w:rsidR="007D2A04" w:rsidRPr="007D2A04">
        <w:rPr>
          <w:i/>
          <w:iCs/>
        </w:rPr>
        <w:t xml:space="preserve"> Re</w:t>
      </w:r>
      <w:r w:rsidR="007D2A04" w:rsidRPr="00064589">
        <w:rPr>
          <w:i/>
          <w:iCs/>
        </w:rPr>
        <w:t>gulations 1995.</w:t>
      </w:r>
      <w:r w:rsidR="00064589" w:rsidRPr="00064589">
        <w:t xml:space="preserve"> </w:t>
      </w:r>
      <w:r w:rsidR="00446593">
        <w:br/>
      </w:r>
      <w:r w:rsidR="00446593">
        <w:br/>
        <w:t xml:space="preserve">The power to make a legislative instrument under Regulation 19AEA is given to the APVMA, however, section 32 of the </w:t>
      </w:r>
      <w:r w:rsidR="00446593" w:rsidRPr="00064589">
        <w:rPr>
          <w:i/>
          <w:iCs/>
        </w:rPr>
        <w:t>Agricultural and Veterinary Chemicals (Administration) Act 1992</w:t>
      </w:r>
      <w:r w:rsidR="00446593">
        <w:rPr>
          <w:i/>
          <w:iCs/>
        </w:rPr>
        <w:t xml:space="preserve"> </w:t>
      </w:r>
      <w:r w:rsidR="00446593">
        <w:t xml:space="preserve">provides, inter alia, that the Chief Executive Officer may exercise any of the powers and perform any of the functions of the APVMA. </w:t>
      </w:r>
    </w:p>
    <w:p w14:paraId="1DF84830" w14:textId="15FAB9A1" w:rsidR="00191A94" w:rsidRDefault="00B63620" w:rsidP="00191A94">
      <w:pPr>
        <w:pStyle w:val="Heading2"/>
      </w:pPr>
      <w:r>
        <w:t xml:space="preserve">Item 4 – </w:t>
      </w:r>
      <w:r w:rsidR="007D2A04">
        <w:t>Definitions</w:t>
      </w:r>
    </w:p>
    <w:p w14:paraId="58F61FCB" w14:textId="622781DF" w:rsidR="00B63620" w:rsidRDefault="00B63620" w:rsidP="00B63620">
      <w:r>
        <w:t xml:space="preserve">This item </w:t>
      </w:r>
      <w:r w:rsidR="0003019E">
        <w:t xml:space="preserve">defines the term ‘non-active constituent’ for the purposes of the Determination. It also includes a note to the effect that words and expressions used in the Determination have the same meaning as in the Code and the Regulations. </w:t>
      </w:r>
    </w:p>
    <w:p w14:paraId="48FDE098" w14:textId="75780CD0" w:rsidR="004468E6" w:rsidRDefault="007D2A04" w:rsidP="007D2A04">
      <w:pPr>
        <w:pStyle w:val="Heading2"/>
      </w:pPr>
      <w:r>
        <w:t>Item 5 –</w:t>
      </w:r>
      <w:r w:rsidR="006B37E9">
        <w:t xml:space="preserve"> </w:t>
      </w:r>
      <w:r>
        <w:t>Interchangeable constituent determination</w:t>
      </w:r>
    </w:p>
    <w:p w14:paraId="1ED8D7DB" w14:textId="77777777" w:rsidR="00AA2BFB" w:rsidRDefault="007D2A04" w:rsidP="00AA2BFB">
      <w:r>
        <w:t xml:space="preserve">This item </w:t>
      </w:r>
      <w:r w:rsidR="008A1366">
        <w:t xml:space="preserve">determines that </w:t>
      </w:r>
      <w:r w:rsidR="0003019E">
        <w:t>the</w:t>
      </w:r>
      <w:r w:rsidR="008A1366">
        <w:t xml:space="preserve"> </w:t>
      </w:r>
      <w:r w:rsidR="008A1366" w:rsidRPr="000D3ADC">
        <w:t>constituent</w:t>
      </w:r>
      <w:r w:rsidR="0003019E">
        <w:t xml:space="preserve"> Tersperse 4896 in</w:t>
      </w:r>
      <w:r w:rsidR="008A1366" w:rsidRPr="000D3ADC">
        <w:t xml:space="preserve"> a chemical product </w:t>
      </w:r>
      <w:r w:rsidR="00EB0970">
        <w:t xml:space="preserve">may be interchanged with the constituent </w:t>
      </w:r>
      <w:r w:rsidR="0003019E">
        <w:t>Tersperse 4894</w:t>
      </w:r>
      <w:r w:rsidR="00EB0970">
        <w:t xml:space="preserve"> if the </w:t>
      </w:r>
      <w:r w:rsidR="0003019E">
        <w:t xml:space="preserve">following </w:t>
      </w:r>
      <w:r w:rsidR="00EB0970">
        <w:t xml:space="preserve">requirements are met. </w:t>
      </w:r>
    </w:p>
    <w:p w14:paraId="7AD81414" w14:textId="77777777" w:rsidR="00AA2BFB" w:rsidRDefault="00AA2BFB" w:rsidP="00AA2BFB">
      <w:pPr>
        <w:pStyle w:val="ListParagraph"/>
        <w:numPr>
          <w:ilvl w:val="0"/>
          <w:numId w:val="2"/>
        </w:numPr>
      </w:pPr>
      <w:r>
        <w:t xml:space="preserve">The chemical product must be a registered chemical product, and </w:t>
      </w:r>
    </w:p>
    <w:p w14:paraId="0769F46B" w14:textId="7FDDBC81" w:rsidR="00EB0970" w:rsidRDefault="00EB0970" w:rsidP="00EB0970">
      <w:pPr>
        <w:pStyle w:val="ListParagraph"/>
        <w:numPr>
          <w:ilvl w:val="0"/>
          <w:numId w:val="2"/>
        </w:numPr>
      </w:pPr>
      <w:r>
        <w:t xml:space="preserve">Tersperse 4896 must be a non-active constituent of the chemical product, and </w:t>
      </w:r>
    </w:p>
    <w:p w14:paraId="5059A168" w14:textId="77777777" w:rsidR="00EB0970" w:rsidRDefault="00EB0970" w:rsidP="00EB0970">
      <w:pPr>
        <w:pStyle w:val="ListParagraph"/>
        <w:numPr>
          <w:ilvl w:val="0"/>
          <w:numId w:val="2"/>
        </w:numPr>
      </w:pPr>
      <w:r>
        <w:t xml:space="preserve">Tersperse 4896 must be used as a surfactant, and </w:t>
      </w:r>
    </w:p>
    <w:p w14:paraId="4B45FB30" w14:textId="3D3A9CF1" w:rsidR="007D2A04" w:rsidRDefault="00EB0970" w:rsidP="00EB0970">
      <w:pPr>
        <w:pStyle w:val="ListParagraph"/>
        <w:numPr>
          <w:ilvl w:val="0"/>
          <w:numId w:val="2"/>
        </w:numPr>
      </w:pPr>
      <w:r>
        <w:t>The registered chemical product must be a suspension concentrate or flowable concentrate formulation type, and</w:t>
      </w:r>
    </w:p>
    <w:p w14:paraId="37B7DAF4" w14:textId="5A5B850C" w:rsidR="00EB0970" w:rsidRPr="007D2A04" w:rsidRDefault="00EB0970" w:rsidP="00EB0970">
      <w:pPr>
        <w:pStyle w:val="ListParagraph"/>
        <w:numPr>
          <w:ilvl w:val="0"/>
          <w:numId w:val="2"/>
        </w:numPr>
      </w:pPr>
      <w:r>
        <w:t>The concentration of Tersperse 4894 to be interchanged must be the same as the concentration of Terpserse 4896 in the registered chemical product.</w:t>
      </w:r>
    </w:p>
    <w:p w14:paraId="4E9E07F3" w14:textId="77777777" w:rsidR="00B63620" w:rsidRDefault="00B63620" w:rsidP="004468E6"/>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5196"/>
    <w:multiLevelType w:val="hybridMultilevel"/>
    <w:tmpl w:val="AC70BB0C"/>
    <w:lvl w:ilvl="0" w:tplc="8CCCD5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 w15:restartNumberingAfterBreak="0">
    <w:nsid w:val="7FDC7D19"/>
    <w:multiLevelType w:val="hybridMultilevel"/>
    <w:tmpl w:val="BD7817FC"/>
    <w:lvl w:ilvl="0" w:tplc="6DF8361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5986865">
    <w:abstractNumId w:val="1"/>
  </w:num>
  <w:num w:numId="2" w16cid:durableId="1079332947">
    <w:abstractNumId w:val="2"/>
  </w:num>
  <w:num w:numId="3" w16cid:durableId="72753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96"/>
    <w:rsid w:val="00003295"/>
    <w:rsid w:val="0003019E"/>
    <w:rsid w:val="00046274"/>
    <w:rsid w:val="00046460"/>
    <w:rsid w:val="00046B62"/>
    <w:rsid w:val="000609E6"/>
    <w:rsid w:val="00064589"/>
    <w:rsid w:val="00067138"/>
    <w:rsid w:val="000A761D"/>
    <w:rsid w:val="000B47DE"/>
    <w:rsid w:val="000C7E69"/>
    <w:rsid w:val="000D745E"/>
    <w:rsid w:val="000E01BC"/>
    <w:rsid w:val="00142409"/>
    <w:rsid w:val="00153D4C"/>
    <w:rsid w:val="00191A94"/>
    <w:rsid w:val="00196DBA"/>
    <w:rsid w:val="001A20A8"/>
    <w:rsid w:val="001A61F2"/>
    <w:rsid w:val="001B29DE"/>
    <w:rsid w:val="001E7FA1"/>
    <w:rsid w:val="00200578"/>
    <w:rsid w:val="002119E3"/>
    <w:rsid w:val="00213212"/>
    <w:rsid w:val="00226CFC"/>
    <w:rsid w:val="00227314"/>
    <w:rsid w:val="002371A7"/>
    <w:rsid w:val="00265579"/>
    <w:rsid w:val="002F5971"/>
    <w:rsid w:val="003037D2"/>
    <w:rsid w:val="003113FE"/>
    <w:rsid w:val="00323306"/>
    <w:rsid w:val="003458A1"/>
    <w:rsid w:val="00360D47"/>
    <w:rsid w:val="003654D8"/>
    <w:rsid w:val="00380BDA"/>
    <w:rsid w:val="00390AD8"/>
    <w:rsid w:val="003939FD"/>
    <w:rsid w:val="003C5D83"/>
    <w:rsid w:val="003C7605"/>
    <w:rsid w:val="003D6705"/>
    <w:rsid w:val="003F25AD"/>
    <w:rsid w:val="00415EB1"/>
    <w:rsid w:val="00426115"/>
    <w:rsid w:val="00446593"/>
    <w:rsid w:val="004468E6"/>
    <w:rsid w:val="0045502F"/>
    <w:rsid w:val="00455032"/>
    <w:rsid w:val="00475160"/>
    <w:rsid w:val="004930B4"/>
    <w:rsid w:val="004A0571"/>
    <w:rsid w:val="004A56B6"/>
    <w:rsid w:val="004D2C06"/>
    <w:rsid w:val="005049D5"/>
    <w:rsid w:val="005574DA"/>
    <w:rsid w:val="0057190F"/>
    <w:rsid w:val="005A6D1D"/>
    <w:rsid w:val="005B05D9"/>
    <w:rsid w:val="005B40AF"/>
    <w:rsid w:val="005D29E0"/>
    <w:rsid w:val="005D34C5"/>
    <w:rsid w:val="005E77BD"/>
    <w:rsid w:val="005F0AD2"/>
    <w:rsid w:val="005F6DC1"/>
    <w:rsid w:val="0062731D"/>
    <w:rsid w:val="00642C5C"/>
    <w:rsid w:val="006450AD"/>
    <w:rsid w:val="00660211"/>
    <w:rsid w:val="00665F19"/>
    <w:rsid w:val="00670559"/>
    <w:rsid w:val="006743F4"/>
    <w:rsid w:val="00675212"/>
    <w:rsid w:val="00681B98"/>
    <w:rsid w:val="006952C7"/>
    <w:rsid w:val="006A3F16"/>
    <w:rsid w:val="006B37E9"/>
    <w:rsid w:val="006B3C30"/>
    <w:rsid w:val="006B5551"/>
    <w:rsid w:val="006B6F75"/>
    <w:rsid w:val="0070498C"/>
    <w:rsid w:val="00707D83"/>
    <w:rsid w:val="007131B8"/>
    <w:rsid w:val="007229B5"/>
    <w:rsid w:val="00757AFD"/>
    <w:rsid w:val="0076315E"/>
    <w:rsid w:val="00764B6B"/>
    <w:rsid w:val="0077128E"/>
    <w:rsid w:val="00784B4A"/>
    <w:rsid w:val="007856CF"/>
    <w:rsid w:val="007A6922"/>
    <w:rsid w:val="007D1129"/>
    <w:rsid w:val="007D2A04"/>
    <w:rsid w:val="007E6956"/>
    <w:rsid w:val="0081622C"/>
    <w:rsid w:val="0082103C"/>
    <w:rsid w:val="0085258A"/>
    <w:rsid w:val="00856BB8"/>
    <w:rsid w:val="008601E0"/>
    <w:rsid w:val="00865D32"/>
    <w:rsid w:val="00885A98"/>
    <w:rsid w:val="008A1366"/>
    <w:rsid w:val="008A2696"/>
    <w:rsid w:val="008B00CD"/>
    <w:rsid w:val="008B291C"/>
    <w:rsid w:val="008F3124"/>
    <w:rsid w:val="00926FE8"/>
    <w:rsid w:val="00927976"/>
    <w:rsid w:val="00933104"/>
    <w:rsid w:val="00934A0D"/>
    <w:rsid w:val="00941006"/>
    <w:rsid w:val="009722ED"/>
    <w:rsid w:val="009A3901"/>
    <w:rsid w:val="009A7448"/>
    <w:rsid w:val="009B7A3D"/>
    <w:rsid w:val="009C4E52"/>
    <w:rsid w:val="009C75FE"/>
    <w:rsid w:val="009F4838"/>
    <w:rsid w:val="00A05CD5"/>
    <w:rsid w:val="00A4658F"/>
    <w:rsid w:val="00A51F27"/>
    <w:rsid w:val="00A5713C"/>
    <w:rsid w:val="00A9676D"/>
    <w:rsid w:val="00AA2BFB"/>
    <w:rsid w:val="00AB7E6C"/>
    <w:rsid w:val="00AE78F3"/>
    <w:rsid w:val="00AF5BD5"/>
    <w:rsid w:val="00B12ED3"/>
    <w:rsid w:val="00B63620"/>
    <w:rsid w:val="00B83585"/>
    <w:rsid w:val="00B94F5A"/>
    <w:rsid w:val="00B95D02"/>
    <w:rsid w:val="00BB46DA"/>
    <w:rsid w:val="00BF3029"/>
    <w:rsid w:val="00BF3DAA"/>
    <w:rsid w:val="00C031A1"/>
    <w:rsid w:val="00C050FA"/>
    <w:rsid w:val="00C21872"/>
    <w:rsid w:val="00C36430"/>
    <w:rsid w:val="00C4770A"/>
    <w:rsid w:val="00C57043"/>
    <w:rsid w:val="00C83146"/>
    <w:rsid w:val="00CA438F"/>
    <w:rsid w:val="00CB21E5"/>
    <w:rsid w:val="00CC1CE8"/>
    <w:rsid w:val="00CC61A3"/>
    <w:rsid w:val="00CC7219"/>
    <w:rsid w:val="00CD05D3"/>
    <w:rsid w:val="00CD27C8"/>
    <w:rsid w:val="00CE4381"/>
    <w:rsid w:val="00CF7784"/>
    <w:rsid w:val="00D06C15"/>
    <w:rsid w:val="00D1528F"/>
    <w:rsid w:val="00D225D2"/>
    <w:rsid w:val="00D24723"/>
    <w:rsid w:val="00D357E4"/>
    <w:rsid w:val="00D37656"/>
    <w:rsid w:val="00D42BC8"/>
    <w:rsid w:val="00D45790"/>
    <w:rsid w:val="00D745EC"/>
    <w:rsid w:val="00DB6271"/>
    <w:rsid w:val="00DC0F75"/>
    <w:rsid w:val="00DF7660"/>
    <w:rsid w:val="00E1090E"/>
    <w:rsid w:val="00E1724E"/>
    <w:rsid w:val="00E26A48"/>
    <w:rsid w:val="00E378CD"/>
    <w:rsid w:val="00E61D1D"/>
    <w:rsid w:val="00E62C91"/>
    <w:rsid w:val="00E73075"/>
    <w:rsid w:val="00E8447E"/>
    <w:rsid w:val="00E957C2"/>
    <w:rsid w:val="00E96EA1"/>
    <w:rsid w:val="00EB0970"/>
    <w:rsid w:val="00EC3ECA"/>
    <w:rsid w:val="00EC7089"/>
    <w:rsid w:val="00ED0284"/>
    <w:rsid w:val="00ED511D"/>
    <w:rsid w:val="00EE7A73"/>
    <w:rsid w:val="00F023C3"/>
    <w:rsid w:val="00F037CC"/>
    <w:rsid w:val="00F115AD"/>
    <w:rsid w:val="00F13057"/>
    <w:rsid w:val="00F175B0"/>
    <w:rsid w:val="00F243FE"/>
    <w:rsid w:val="00F46406"/>
    <w:rsid w:val="00F60F3F"/>
    <w:rsid w:val="00F613DC"/>
    <w:rsid w:val="00F91A86"/>
    <w:rsid w:val="00FA741E"/>
    <w:rsid w:val="00FB0CB9"/>
    <w:rsid w:val="00FE1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CB8D"/>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BalloonText">
    <w:name w:val="Balloon Text"/>
    <w:basedOn w:val="Normal"/>
    <w:link w:val="BalloonTextChar"/>
    <w:uiPriority w:val="99"/>
    <w:semiHidden/>
    <w:unhideWhenUsed/>
    <w:rsid w:val="00B8358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85"/>
    <w:rPr>
      <w:rFonts w:ascii="Segoe UI" w:hAnsi="Segoe UI" w:cs="Segoe UI"/>
      <w:sz w:val="18"/>
      <w:szCs w:val="18"/>
    </w:rPr>
  </w:style>
  <w:style w:type="character" w:styleId="CommentReference">
    <w:name w:val="annotation reference"/>
    <w:basedOn w:val="DefaultParagraphFont"/>
    <w:uiPriority w:val="99"/>
    <w:semiHidden/>
    <w:unhideWhenUsed/>
    <w:rsid w:val="008A1366"/>
    <w:rPr>
      <w:sz w:val="16"/>
      <w:szCs w:val="16"/>
    </w:rPr>
  </w:style>
  <w:style w:type="paragraph" w:styleId="CommentText">
    <w:name w:val="annotation text"/>
    <w:basedOn w:val="Normal"/>
    <w:link w:val="CommentTextChar"/>
    <w:uiPriority w:val="99"/>
    <w:unhideWhenUsed/>
    <w:rsid w:val="008A1366"/>
    <w:rPr>
      <w:sz w:val="20"/>
      <w:szCs w:val="20"/>
    </w:rPr>
  </w:style>
  <w:style w:type="character" w:customStyle="1" w:styleId="CommentTextChar">
    <w:name w:val="Comment Text Char"/>
    <w:basedOn w:val="DefaultParagraphFont"/>
    <w:link w:val="CommentText"/>
    <w:uiPriority w:val="99"/>
    <w:rsid w:val="008A13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1366"/>
    <w:rPr>
      <w:b/>
      <w:bCs/>
    </w:rPr>
  </w:style>
  <w:style w:type="character" w:customStyle="1" w:styleId="CommentSubjectChar">
    <w:name w:val="Comment Subject Char"/>
    <w:basedOn w:val="CommentTextChar"/>
    <w:link w:val="CommentSubject"/>
    <w:uiPriority w:val="99"/>
    <w:semiHidden/>
    <w:rsid w:val="008A1366"/>
    <w:rPr>
      <w:rFonts w:ascii="Times New Roman" w:hAnsi="Times New Roman"/>
      <w:b/>
      <w:bCs/>
      <w:sz w:val="20"/>
      <w:szCs w:val="20"/>
    </w:rPr>
  </w:style>
  <w:style w:type="character" w:styleId="Hyperlink">
    <w:name w:val="Hyperlink"/>
    <w:basedOn w:val="DefaultParagraphFont"/>
    <w:uiPriority w:val="99"/>
    <w:unhideWhenUsed/>
    <w:rsid w:val="008A1366"/>
    <w:rPr>
      <w:color w:val="0563C1" w:themeColor="hyperlink"/>
      <w:u w:val="single"/>
    </w:rPr>
  </w:style>
  <w:style w:type="character" w:styleId="UnresolvedMention">
    <w:name w:val="Unresolved Mention"/>
    <w:basedOn w:val="DefaultParagraphFont"/>
    <w:uiPriority w:val="99"/>
    <w:semiHidden/>
    <w:unhideWhenUsed/>
    <w:rsid w:val="008A1366"/>
    <w:rPr>
      <w:color w:val="605E5C"/>
      <w:shd w:val="clear" w:color="auto" w:fill="E1DFDD"/>
    </w:rPr>
  </w:style>
  <w:style w:type="paragraph" w:styleId="NormalWeb">
    <w:name w:val="Normal (Web)"/>
    <w:basedOn w:val="Normal"/>
    <w:uiPriority w:val="99"/>
    <w:semiHidden/>
    <w:unhideWhenUsed/>
    <w:rsid w:val="00EB0970"/>
    <w:pPr>
      <w:spacing w:before="100" w:beforeAutospacing="1" w:after="100" w:afterAutospacing="1"/>
    </w:pPr>
    <w:rPr>
      <w:rFonts w:eastAsia="Times New Roman" w:cs="Times New Roman"/>
      <w:sz w:val="24"/>
      <w:szCs w:val="24"/>
      <w:lang w:eastAsia="en-AU"/>
    </w:rPr>
  </w:style>
  <w:style w:type="paragraph" w:styleId="Revision">
    <w:name w:val="Revision"/>
    <w:hidden/>
    <w:uiPriority w:val="99"/>
    <w:semiHidden/>
    <w:rsid w:val="00446593"/>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 w:id="436172704">
      <w:bodyDiv w:val="1"/>
      <w:marLeft w:val="0"/>
      <w:marRight w:val="0"/>
      <w:marTop w:val="0"/>
      <w:marBottom w:val="0"/>
      <w:divBdr>
        <w:top w:val="none" w:sz="0" w:space="0" w:color="auto"/>
        <w:left w:val="none" w:sz="0" w:space="0" w:color="auto"/>
        <w:bottom w:val="none" w:sz="0" w:space="0" w:color="auto"/>
        <w:right w:val="none" w:sz="0" w:space="0" w:color="auto"/>
      </w:divBdr>
    </w:div>
    <w:div w:id="1270427200">
      <w:bodyDiv w:val="1"/>
      <w:marLeft w:val="0"/>
      <w:marRight w:val="0"/>
      <w:marTop w:val="0"/>
      <w:marBottom w:val="0"/>
      <w:divBdr>
        <w:top w:val="none" w:sz="0" w:space="0" w:color="auto"/>
        <w:left w:val="none" w:sz="0" w:space="0" w:color="auto"/>
        <w:bottom w:val="none" w:sz="0" w:space="0" w:color="auto"/>
        <w:right w:val="none" w:sz="0" w:space="0" w:color="auto"/>
      </w:divBdr>
    </w:div>
    <w:div w:id="19897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A3253709</value>
    </field>
    <field name="Objective-Title">
      <value order="0">Explanatory Statement - Agricultural and Veterinary Chemicals Code (Interchangeable Constituent) Determination 2024</value>
    </field>
    <field name="Objective-Description">
      <value order="0"/>
    </field>
    <field name="Objective-CreationStamp">
      <value order="0">2024-04-08T00:06:29Z</value>
    </field>
    <field name="Objective-IsApproved">
      <value order="0">false</value>
    </field>
    <field name="Objective-IsPublished">
      <value order="0">false</value>
    </field>
    <field name="Objective-DatePublished">
      <value order="0"/>
    </field>
    <field name="Objective-ModificationStamp">
      <value order="0">2024-05-31T04:03:25Z</value>
    </field>
    <field name="Objective-Owner">
      <value order="0">Emi Schutz</value>
    </field>
    <field name="Objective-Path">
      <value order="0">APVMA:REGISTRATION:Registration - Product, Permit and Active Files:Product, Permit and Active Files 92500 - 94999:93017 - Tersperse 4896 and Tersperse 4894:93017 - 137628 - Tersperse 4896 and Tersperse 4894:06-Evaluation and Determination:Evaluation and Determination - Record</value>
    </field>
    <field name="Objective-Parent">
      <value order="0">Evaluation and Determination - Record</value>
    </field>
    <field name="Objective-State">
      <value order="0">Being Drafted</value>
    </field>
    <field name="Objective-VersionId">
      <value order="0">vA4898618</value>
    </field>
    <field name="Objective-Version">
      <value order="0">2.3</value>
    </field>
    <field name="Objective-VersionNumber">
      <value order="0">12</value>
    </field>
    <field name="Objective-VersionComment">
      <value order="0"/>
    </field>
    <field name="Objective-FileNumber">
      <value order="0">qA483514</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23478110-D52E-4E8E-9775-F95F46171D7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JOSEPH, Hugh</cp:lastModifiedBy>
  <cp:revision>2</cp:revision>
  <dcterms:created xsi:type="dcterms:W3CDTF">2024-06-05T03:04:00Z</dcterms:created>
  <dcterms:modified xsi:type="dcterms:W3CDTF">2024-06-05T03:04:00Z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A3253709</vt:lpwstr>
  </property>
  <property fmtid="{D5CDD505-2E9C-101B-9397-08002B2CF9AE}" pid="4" name="Objective-Title">
    <vt:lpwstr>Explanatory Statement - Agricultural and Veterinary Chemicals Code (Interchangeable Constituent) Determination 2024</vt:lpwstr>
  </property>
  <property fmtid="{D5CDD505-2E9C-101B-9397-08002B2CF9AE}" pid="5" name="Objective-Description">
    <vt:lpwstr/>
  </property>
  <property fmtid="{D5CDD505-2E9C-101B-9397-08002B2CF9AE}" pid="6" name="Objective-CreationStamp">
    <vt:filetime>2024-04-08T00:06:29Z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2024-05-31T04:03:25Z</vt:filetime>
  </property>
  <property fmtid="{D5CDD505-2E9C-101B-9397-08002B2CF9AE}" pid="11" name="Objective-Owner">
    <vt:lpwstr>Emi Schutz</vt:lpwstr>
  </property>
  <property fmtid="{D5CDD505-2E9C-101B-9397-08002B2CF9AE}" pid="12" name="Objective-Path">
    <vt:lpwstr>APVMA:REGISTRATION:Registration - Product, Permit and Active Files:Product, Permit and Active Files 92500 - 94999:93017 - Tersperse 4896 and Tersperse 4894:93017 - 137628 - Tersperse 4896 and Tersperse 4894:06-Evaluation and Determination:Evaluation and Determination - Record:</vt:lpwstr>
  </property>
  <property fmtid="{D5CDD505-2E9C-101B-9397-08002B2CF9AE}" pid="13" name="Objective-Parent">
    <vt:lpwstr>Evaluation and Determination - Record</vt:lpwstr>
  </property>
  <property fmtid="{D5CDD505-2E9C-101B-9397-08002B2CF9AE}" pid="14" name="Objective-State">
    <vt:lpwstr>Being Drafted</vt:lpwstr>
  </property>
  <property fmtid="{D5CDD505-2E9C-101B-9397-08002B2CF9AE}" pid="15" name="Objective-VersionId">
    <vt:lpwstr>vA4898618</vt:lpwstr>
  </property>
  <property fmtid="{D5CDD505-2E9C-101B-9397-08002B2CF9AE}" pid="16" name="Objective-Version">
    <vt:lpwstr>2.3</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