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B23" w:rsidRPr="003D421F" w:rsidRDefault="00765B23" w:rsidP="004533E3">
      <w:pPr>
        <w:contextualSpacing/>
        <w:jc w:val="center"/>
        <w:rPr>
          <w:b/>
          <w:u w:val="single"/>
        </w:rPr>
      </w:pPr>
      <w:r w:rsidRPr="003D421F">
        <w:rPr>
          <w:b/>
          <w:u w:val="single"/>
        </w:rPr>
        <w:t xml:space="preserve">EXPLANATORY </w:t>
      </w:r>
      <w:r w:rsidR="00FE371F" w:rsidRPr="003D421F">
        <w:rPr>
          <w:b/>
          <w:u w:val="single"/>
        </w:rPr>
        <w:t>STATEMENT</w:t>
      </w:r>
    </w:p>
    <w:p w:rsidR="00765B23" w:rsidRPr="003D421F" w:rsidRDefault="00765B23" w:rsidP="00113263">
      <w:pPr>
        <w:contextualSpacing/>
        <w:jc w:val="center"/>
      </w:pPr>
    </w:p>
    <w:p w:rsidR="00765B23" w:rsidRPr="003D421F" w:rsidRDefault="00FE371F" w:rsidP="004533E3">
      <w:pPr>
        <w:keepNext/>
        <w:keepLines/>
        <w:spacing w:after="0"/>
        <w:contextualSpacing/>
        <w:jc w:val="center"/>
      </w:pPr>
      <w:r w:rsidRPr="003D421F">
        <w:t>Issued by</w:t>
      </w:r>
      <w:r w:rsidR="00765B23" w:rsidRPr="003D421F">
        <w:t xml:space="preserve"> </w:t>
      </w:r>
      <w:r w:rsidR="00EA4562" w:rsidRPr="003D421F">
        <w:t xml:space="preserve">the Delegate of </w:t>
      </w:r>
      <w:r w:rsidR="00872D90" w:rsidRPr="003D421F">
        <w:t>the Minister for Home Affairs</w:t>
      </w:r>
    </w:p>
    <w:p w:rsidR="00FE371F" w:rsidRPr="003D421F" w:rsidRDefault="00FE371F" w:rsidP="00113263">
      <w:pPr>
        <w:keepNext/>
        <w:keepLines/>
        <w:spacing w:after="0"/>
        <w:contextualSpacing/>
        <w:jc w:val="center"/>
      </w:pPr>
    </w:p>
    <w:p w:rsidR="00765B23" w:rsidRPr="003D421F" w:rsidRDefault="00106C35" w:rsidP="004533E3">
      <w:pPr>
        <w:spacing w:after="0"/>
        <w:contextualSpacing/>
        <w:jc w:val="center"/>
        <w:rPr>
          <w:i/>
          <w:lang w:eastAsia="en-AU"/>
        </w:rPr>
      </w:pPr>
      <w:r w:rsidRPr="003D421F">
        <w:rPr>
          <w:i/>
          <w:lang w:eastAsia="en-AU"/>
        </w:rPr>
        <w:t>Customs Act 1901</w:t>
      </w:r>
    </w:p>
    <w:p w:rsidR="007F7FEB" w:rsidRPr="003D421F" w:rsidRDefault="007F7FEB" w:rsidP="004533E3">
      <w:pPr>
        <w:spacing w:after="0"/>
        <w:contextualSpacing/>
        <w:jc w:val="center"/>
        <w:rPr>
          <w:i/>
          <w:lang w:eastAsia="en-AU"/>
        </w:rPr>
      </w:pPr>
    </w:p>
    <w:p w:rsidR="007F7FEB" w:rsidRPr="003D421F" w:rsidRDefault="000444F7" w:rsidP="004533E3">
      <w:pPr>
        <w:spacing w:after="0"/>
        <w:contextualSpacing/>
        <w:jc w:val="center"/>
      </w:pPr>
      <w:r>
        <w:rPr>
          <w:i/>
        </w:rPr>
        <w:t xml:space="preserve">Notice of </w:t>
      </w:r>
      <w:r w:rsidR="007F7FEB" w:rsidRPr="003D421F">
        <w:rPr>
          <w:i/>
        </w:rPr>
        <w:t>Intention to Propose Customs Tariff Alteration</w:t>
      </w:r>
      <w:r>
        <w:rPr>
          <w:i/>
        </w:rPr>
        <w:t xml:space="preserve"> 2024</w:t>
      </w:r>
    </w:p>
    <w:p w:rsidR="00765B23" w:rsidRPr="003D421F" w:rsidRDefault="00765B23" w:rsidP="004533E3">
      <w:pPr>
        <w:spacing w:after="0"/>
        <w:contextualSpacing/>
      </w:pPr>
    </w:p>
    <w:p w:rsidR="00870F22" w:rsidRPr="003D421F" w:rsidRDefault="00870F22" w:rsidP="00870F22">
      <w:pPr>
        <w:spacing w:after="0"/>
        <w:contextualSpacing/>
        <w:rPr>
          <w:b/>
        </w:rPr>
      </w:pPr>
      <w:r w:rsidRPr="003D421F">
        <w:rPr>
          <w:b/>
        </w:rPr>
        <w:t>Legislative Authority</w:t>
      </w:r>
    </w:p>
    <w:p w:rsidR="00870F22" w:rsidRPr="003D421F" w:rsidRDefault="00870F22" w:rsidP="004533E3">
      <w:pPr>
        <w:spacing w:after="0"/>
        <w:contextualSpacing/>
      </w:pPr>
    </w:p>
    <w:p w:rsidR="00765B23" w:rsidRPr="003D421F" w:rsidRDefault="00765B23" w:rsidP="004533E3">
      <w:pPr>
        <w:spacing w:after="0"/>
        <w:contextualSpacing/>
        <w:rPr>
          <w:lang w:eastAsia="en-AU"/>
        </w:rPr>
      </w:pPr>
      <w:r w:rsidRPr="003D421F">
        <w:rPr>
          <w:lang w:eastAsia="en-AU"/>
        </w:rPr>
        <w:t xml:space="preserve">The </w:t>
      </w:r>
      <w:r w:rsidRPr="003D421F">
        <w:rPr>
          <w:i/>
          <w:lang w:eastAsia="en-AU"/>
        </w:rPr>
        <w:t>Customs Act 1901</w:t>
      </w:r>
      <w:r w:rsidRPr="003D421F">
        <w:rPr>
          <w:lang w:eastAsia="en-AU"/>
        </w:rPr>
        <w:t xml:space="preserve"> (Customs Act) concerns customs</w:t>
      </w:r>
      <w:r w:rsidR="005F433B" w:rsidRPr="003D421F">
        <w:rPr>
          <w:lang w:eastAsia="en-AU"/>
        </w:rPr>
        <w:t>-</w:t>
      </w:r>
      <w:r w:rsidRPr="003D421F">
        <w:rPr>
          <w:lang w:eastAsia="en-AU"/>
        </w:rPr>
        <w:t>related functions and is the legislative authority that sets out the customs requirements for the importation and exportation of goods to and from Australia.</w:t>
      </w:r>
    </w:p>
    <w:p w:rsidR="00E4450D" w:rsidRPr="003D421F" w:rsidRDefault="00E4450D" w:rsidP="004533E3">
      <w:pPr>
        <w:spacing w:after="0"/>
        <w:contextualSpacing/>
        <w:rPr>
          <w:lang w:eastAsia="en-AU"/>
        </w:rPr>
      </w:pPr>
    </w:p>
    <w:p w:rsidR="009802FD" w:rsidRPr="003D421F" w:rsidRDefault="009802FD" w:rsidP="009802FD">
      <w:pPr>
        <w:spacing w:after="0"/>
        <w:contextualSpacing/>
        <w:rPr>
          <w:color w:val="000000"/>
          <w:shd w:val="clear" w:color="auto" w:fill="FFFFFF"/>
        </w:rPr>
      </w:pPr>
      <w:r w:rsidRPr="003D421F">
        <w:rPr>
          <w:color w:val="000000"/>
          <w:shd w:val="clear" w:color="auto" w:fill="FFFFFF"/>
        </w:rPr>
        <w:t>The </w:t>
      </w:r>
      <w:r w:rsidRPr="003D421F">
        <w:rPr>
          <w:i/>
          <w:iCs/>
          <w:color w:val="000000"/>
          <w:shd w:val="clear" w:color="auto" w:fill="FFFFFF"/>
        </w:rPr>
        <w:t>Customs Tariff Act 1995</w:t>
      </w:r>
      <w:r w:rsidRPr="003D421F">
        <w:rPr>
          <w:color w:val="000000"/>
          <w:shd w:val="clear" w:color="auto" w:fill="FFFFFF"/>
        </w:rPr>
        <w:t> (Customs Tariff Act) gives effect to Australia’s import trade classification system. It is used to assign rates of customs duty, both general and preferential, to imported goods and enables the collection of these duties.</w:t>
      </w:r>
      <w:bookmarkStart w:id="0" w:name="_GoBack"/>
      <w:bookmarkEnd w:id="0"/>
    </w:p>
    <w:p w:rsidR="00870F22" w:rsidRPr="003D421F" w:rsidRDefault="00870F22" w:rsidP="009802FD">
      <w:pPr>
        <w:spacing w:after="0"/>
        <w:contextualSpacing/>
        <w:rPr>
          <w:rFonts w:eastAsia="Times New Roman"/>
          <w:color w:val="000000"/>
          <w:lang w:eastAsia="en-AU"/>
        </w:rPr>
      </w:pPr>
    </w:p>
    <w:p w:rsidR="00870F22" w:rsidRPr="003D421F" w:rsidRDefault="00870F22" w:rsidP="00870F22">
      <w:pPr>
        <w:spacing w:after="0"/>
        <w:contextualSpacing/>
        <w:rPr>
          <w:rFonts w:eastAsia="Times New Roman"/>
          <w:b/>
          <w:color w:val="000000"/>
          <w:lang w:eastAsia="en-AU"/>
        </w:rPr>
      </w:pPr>
      <w:r w:rsidRPr="003D421F">
        <w:rPr>
          <w:rFonts w:eastAsia="Times New Roman"/>
          <w:b/>
          <w:color w:val="000000"/>
          <w:lang w:eastAsia="en-AU"/>
        </w:rPr>
        <w:t>Background</w:t>
      </w:r>
    </w:p>
    <w:p w:rsidR="00870F22" w:rsidRPr="003D421F" w:rsidRDefault="00870F22" w:rsidP="009802FD">
      <w:pPr>
        <w:spacing w:after="0"/>
        <w:contextualSpacing/>
        <w:rPr>
          <w:rFonts w:eastAsia="Times New Roman"/>
          <w:color w:val="000000"/>
          <w:lang w:eastAsia="en-AU"/>
        </w:rPr>
      </w:pPr>
    </w:p>
    <w:p w:rsidR="009802FD" w:rsidRPr="003D421F" w:rsidRDefault="009802FD" w:rsidP="009802FD">
      <w:pPr>
        <w:spacing w:after="0"/>
        <w:rPr>
          <w:lang w:eastAsia="en-AU"/>
        </w:rPr>
      </w:pPr>
      <w:r w:rsidRPr="003D421F">
        <w:rPr>
          <w:lang w:eastAsia="en-AU"/>
        </w:rPr>
        <w:t>Subsection 273EA</w:t>
      </w:r>
      <w:r w:rsidR="00ED2196" w:rsidRPr="003D421F">
        <w:rPr>
          <w:lang w:eastAsia="en-AU"/>
        </w:rPr>
        <w:t>(1)</w:t>
      </w:r>
      <w:r w:rsidRPr="003D421F">
        <w:rPr>
          <w:lang w:eastAsia="en-AU"/>
        </w:rPr>
        <w:t xml:space="preserve"> of the Customs Act </w:t>
      </w:r>
      <w:r w:rsidR="003C594E" w:rsidRPr="003D421F">
        <w:rPr>
          <w:lang w:eastAsia="en-AU"/>
        </w:rPr>
        <w:t>has effect</w:t>
      </w:r>
      <w:r w:rsidRPr="003D421F">
        <w:rPr>
          <w:lang w:eastAsia="en-AU"/>
        </w:rPr>
        <w:t xml:space="preserve"> that</w:t>
      </w:r>
      <w:r w:rsidR="003C594E" w:rsidRPr="003D421F">
        <w:rPr>
          <w:lang w:eastAsia="en-AU"/>
        </w:rPr>
        <w:t>,</w:t>
      </w:r>
      <w:r w:rsidRPr="003D421F">
        <w:rPr>
          <w:lang w:eastAsia="en-AU"/>
        </w:rPr>
        <w:t xml:space="preserve"> w</w:t>
      </w:r>
      <w:r w:rsidRPr="003D421F">
        <w:rPr>
          <w:rFonts w:eastAsia="Times New Roman"/>
          <w:color w:val="000000"/>
          <w:lang w:eastAsia="en-AU"/>
        </w:rPr>
        <w:t>he</w:t>
      </w:r>
      <w:r w:rsidR="003C594E" w:rsidRPr="003D421F">
        <w:rPr>
          <w:rFonts w:eastAsia="Times New Roman"/>
          <w:color w:val="000000"/>
          <w:lang w:eastAsia="en-AU"/>
        </w:rPr>
        <w:t>n</w:t>
      </w:r>
      <w:r w:rsidRPr="003D421F">
        <w:rPr>
          <w:rFonts w:eastAsia="Times New Roman"/>
          <w:color w:val="000000"/>
          <w:lang w:eastAsia="en-AU"/>
        </w:rPr>
        <w:t xml:space="preserve"> Parliament is not sitting for a period </w:t>
      </w:r>
      <w:r w:rsidR="00C52D5C" w:rsidRPr="003D421F">
        <w:rPr>
          <w:rFonts w:eastAsia="Times New Roman"/>
          <w:color w:val="000000"/>
          <w:lang w:eastAsia="en-AU"/>
        </w:rPr>
        <w:t>of at least seven </w:t>
      </w:r>
      <w:r w:rsidRPr="003D421F">
        <w:rPr>
          <w:rFonts w:eastAsia="Times New Roman"/>
          <w:color w:val="000000"/>
          <w:lang w:eastAsia="en-AU"/>
        </w:rPr>
        <w:t xml:space="preserve">days, the Minister may under section 273EA of the Customs Act </w:t>
      </w:r>
      <w:r w:rsidR="00FA0035" w:rsidRPr="003D421F">
        <w:rPr>
          <w:rFonts w:eastAsia="Times New Roman"/>
          <w:color w:val="000000"/>
          <w:lang w:eastAsia="en-AU"/>
        </w:rPr>
        <w:t>make a legislative instrument giving</w:t>
      </w:r>
      <w:r w:rsidRPr="003D421F">
        <w:rPr>
          <w:rFonts w:eastAsia="Times New Roman"/>
          <w:color w:val="000000"/>
          <w:lang w:eastAsia="en-AU"/>
        </w:rPr>
        <w:t xml:space="preserve"> notice that within </w:t>
      </w:r>
      <w:r w:rsidR="00C52D5C" w:rsidRPr="003D421F">
        <w:rPr>
          <w:rFonts w:eastAsia="Times New Roman"/>
          <w:color w:val="000000"/>
          <w:lang w:eastAsia="en-AU"/>
        </w:rPr>
        <w:t>seven </w:t>
      </w:r>
      <w:r w:rsidRPr="003D421F">
        <w:rPr>
          <w:rFonts w:eastAsia="Times New Roman"/>
          <w:color w:val="000000"/>
          <w:lang w:eastAsia="en-AU"/>
        </w:rPr>
        <w:t xml:space="preserve">sitting days of the House of Representatives after the date of </w:t>
      </w:r>
      <w:r w:rsidR="00FA0035" w:rsidRPr="003D421F">
        <w:rPr>
          <w:rFonts w:eastAsia="Times New Roman"/>
          <w:color w:val="000000"/>
          <w:lang w:eastAsia="en-AU"/>
        </w:rPr>
        <w:t>registration</w:t>
      </w:r>
      <w:r w:rsidRPr="003D421F">
        <w:rPr>
          <w:rFonts w:eastAsia="Times New Roman"/>
          <w:color w:val="000000"/>
          <w:lang w:eastAsia="en-AU"/>
        </w:rPr>
        <w:t xml:space="preserve"> of the notice, the Minister will propose in Parliament a </w:t>
      </w:r>
      <w:r w:rsidR="00C33380" w:rsidRPr="003D421F">
        <w:rPr>
          <w:rFonts w:eastAsia="Times New Roman"/>
          <w:color w:val="000000"/>
          <w:lang w:eastAsia="en-AU"/>
        </w:rPr>
        <w:t xml:space="preserve">Customs Tariff or </w:t>
      </w:r>
      <w:r w:rsidRPr="003D421F">
        <w:rPr>
          <w:rFonts w:eastAsia="Times New Roman"/>
          <w:color w:val="000000"/>
          <w:lang w:eastAsia="en-AU"/>
        </w:rPr>
        <w:t xml:space="preserve">Customs Tariff alteration in accordance with particulars </w:t>
      </w:r>
      <w:r w:rsidR="00FA0035" w:rsidRPr="003D421F">
        <w:rPr>
          <w:rFonts w:eastAsia="Times New Roman"/>
          <w:color w:val="000000"/>
          <w:lang w:eastAsia="en-AU"/>
        </w:rPr>
        <w:t>specified in the instrument</w:t>
      </w:r>
      <w:r w:rsidRPr="003D421F">
        <w:rPr>
          <w:rFonts w:eastAsia="Times New Roman"/>
          <w:color w:val="000000"/>
          <w:lang w:eastAsia="en-AU"/>
        </w:rPr>
        <w:t xml:space="preserve"> and operating </w:t>
      </w:r>
      <w:r w:rsidR="00C33380" w:rsidRPr="003D421F">
        <w:rPr>
          <w:rFonts w:eastAsia="Times New Roman"/>
          <w:color w:val="000000"/>
          <w:lang w:eastAsia="en-AU"/>
        </w:rPr>
        <w:t xml:space="preserve">as </w:t>
      </w:r>
      <w:r w:rsidRPr="003D421F">
        <w:rPr>
          <w:rFonts w:eastAsia="Times New Roman"/>
          <w:color w:val="000000"/>
          <w:lang w:eastAsia="en-AU"/>
        </w:rPr>
        <w:t>from s</w:t>
      </w:r>
      <w:r w:rsidR="00693420" w:rsidRPr="003D421F">
        <w:rPr>
          <w:rFonts w:eastAsia="Times New Roman"/>
          <w:color w:val="000000"/>
          <w:lang w:eastAsia="en-AU"/>
        </w:rPr>
        <w:t xml:space="preserve">uch time </w:t>
      </w:r>
      <w:r w:rsidR="00947BA5" w:rsidRPr="003D421F">
        <w:rPr>
          <w:rFonts w:eastAsia="Times New Roman"/>
          <w:color w:val="000000"/>
          <w:lang w:eastAsia="en-AU"/>
        </w:rPr>
        <w:t>as</w:t>
      </w:r>
      <w:r w:rsidR="00467F44" w:rsidRPr="003D421F">
        <w:rPr>
          <w:rFonts w:eastAsia="Times New Roman"/>
          <w:color w:val="000000"/>
          <w:lang w:eastAsia="en-AU"/>
        </w:rPr>
        <w:t xml:space="preserve"> specified</w:t>
      </w:r>
      <w:r w:rsidR="00947BA5" w:rsidRPr="003D421F">
        <w:rPr>
          <w:rFonts w:eastAsia="Times New Roman"/>
          <w:color w:val="000000"/>
          <w:lang w:eastAsia="en-AU"/>
        </w:rPr>
        <w:t xml:space="preserve"> </w:t>
      </w:r>
      <w:r w:rsidR="00693420" w:rsidRPr="003D421F">
        <w:rPr>
          <w:rFonts w:eastAsia="Times New Roman"/>
          <w:color w:val="000000"/>
          <w:lang w:eastAsia="en-AU"/>
        </w:rPr>
        <w:t xml:space="preserve">in the </w:t>
      </w:r>
      <w:r w:rsidR="00FA0035" w:rsidRPr="003D421F">
        <w:rPr>
          <w:rFonts w:eastAsia="Times New Roman"/>
          <w:color w:val="000000"/>
          <w:lang w:eastAsia="en-AU"/>
        </w:rPr>
        <w:t>instrument</w:t>
      </w:r>
      <w:r w:rsidR="006D5AE8" w:rsidRPr="003D421F">
        <w:rPr>
          <w:rFonts w:eastAsia="Times New Roman"/>
          <w:color w:val="000000"/>
          <w:lang w:eastAsia="en-AU"/>
        </w:rPr>
        <w:t xml:space="preserve">. </w:t>
      </w:r>
      <w:r w:rsidR="00C33380" w:rsidRPr="003D421F">
        <w:rPr>
          <w:rFonts w:eastAsia="Times New Roman"/>
          <w:color w:val="000000"/>
          <w:lang w:eastAsia="en-AU"/>
        </w:rPr>
        <w:t>Subsection 273EA(1) further provides that a legislative instrument that does not raise duty may apply retrospectively up to six months before the time of registration of the instrument.</w:t>
      </w:r>
    </w:p>
    <w:p w:rsidR="00E4450D" w:rsidRPr="003D421F" w:rsidRDefault="00E4450D" w:rsidP="009802FD">
      <w:pPr>
        <w:spacing w:after="0"/>
        <w:contextualSpacing/>
        <w:rPr>
          <w:rFonts w:eastAsia="Times New Roman"/>
          <w:color w:val="000000"/>
          <w:lang w:eastAsia="en-AU"/>
        </w:rPr>
      </w:pPr>
    </w:p>
    <w:p w:rsidR="009802FD" w:rsidRDefault="009802FD" w:rsidP="004533E3">
      <w:pPr>
        <w:spacing w:after="0"/>
        <w:contextualSpacing/>
        <w:rPr>
          <w:color w:val="000000"/>
          <w:shd w:val="clear" w:color="auto" w:fill="FFFFFF"/>
        </w:rPr>
      </w:pPr>
      <w:r w:rsidRPr="003D421F">
        <w:rPr>
          <w:rFonts w:eastAsia="Times New Roman"/>
          <w:color w:val="000000"/>
          <w:lang w:eastAsia="en-AU"/>
        </w:rPr>
        <w:t>Th</w:t>
      </w:r>
      <w:r w:rsidR="006D5AE8" w:rsidRPr="003D421F">
        <w:rPr>
          <w:rFonts w:eastAsia="Times New Roman"/>
          <w:color w:val="000000"/>
          <w:lang w:eastAsia="en-AU"/>
        </w:rPr>
        <w:t xml:space="preserve">is </w:t>
      </w:r>
      <w:r w:rsidRPr="003D421F">
        <w:rPr>
          <w:rFonts w:eastAsia="Times New Roman"/>
          <w:color w:val="000000"/>
          <w:lang w:eastAsia="en-AU"/>
        </w:rPr>
        <w:t xml:space="preserve">mechanism is used for </w:t>
      </w:r>
      <w:r w:rsidR="00C52D5C" w:rsidRPr="003D421F">
        <w:rPr>
          <w:rFonts w:eastAsia="Times New Roman"/>
          <w:color w:val="000000"/>
          <w:lang w:eastAsia="en-AU"/>
        </w:rPr>
        <w:t xml:space="preserve">initially </w:t>
      </w:r>
      <w:r w:rsidRPr="003D421F">
        <w:rPr>
          <w:rFonts w:eastAsia="Times New Roman"/>
          <w:color w:val="000000"/>
          <w:lang w:eastAsia="en-AU"/>
        </w:rPr>
        <w:t xml:space="preserve">effecting alterations to the Customs Tariff Act, particularly when such </w:t>
      </w:r>
      <w:r w:rsidR="00E53739">
        <w:rPr>
          <w:rFonts w:eastAsia="Times New Roman"/>
          <w:color w:val="000000"/>
          <w:lang w:eastAsia="en-AU"/>
        </w:rPr>
        <w:t>alterations are required to take</w:t>
      </w:r>
      <w:r w:rsidRPr="003D421F">
        <w:rPr>
          <w:rFonts w:eastAsia="Times New Roman"/>
          <w:color w:val="000000"/>
          <w:lang w:eastAsia="en-AU"/>
        </w:rPr>
        <w:t xml:space="preserve"> effect </w:t>
      </w:r>
      <w:r w:rsidR="00E53739">
        <w:rPr>
          <w:rFonts w:eastAsia="Times New Roman"/>
          <w:color w:val="000000"/>
          <w:lang w:eastAsia="en-AU"/>
        </w:rPr>
        <w:t>within a short timeframe which</w:t>
      </w:r>
      <w:r w:rsidR="00E4450D" w:rsidRPr="003D421F">
        <w:rPr>
          <w:rFonts w:eastAsia="Times New Roman"/>
          <w:color w:val="000000"/>
          <w:lang w:eastAsia="en-AU"/>
        </w:rPr>
        <w:t xml:space="preserve"> cannot be achieved through</w:t>
      </w:r>
      <w:r w:rsidRPr="003D421F">
        <w:rPr>
          <w:rFonts w:eastAsia="Times New Roman"/>
          <w:color w:val="000000"/>
          <w:lang w:eastAsia="en-AU"/>
        </w:rPr>
        <w:t xml:space="preserve"> </w:t>
      </w:r>
      <w:r w:rsidR="00E53739">
        <w:rPr>
          <w:rFonts w:eastAsia="Times New Roman"/>
          <w:color w:val="000000"/>
          <w:lang w:eastAsia="en-AU"/>
        </w:rPr>
        <w:t xml:space="preserve">passage of </w:t>
      </w:r>
      <w:r w:rsidRPr="003D421F">
        <w:rPr>
          <w:rFonts w:eastAsia="Times New Roman"/>
          <w:color w:val="000000"/>
          <w:lang w:eastAsia="en-AU"/>
        </w:rPr>
        <w:t xml:space="preserve">a Customs Tariff Amendment Bill. </w:t>
      </w:r>
      <w:r w:rsidRPr="003D421F">
        <w:rPr>
          <w:color w:val="000000"/>
          <w:shd w:val="clear" w:color="auto" w:fill="FFFFFF"/>
        </w:rPr>
        <w:t xml:space="preserve">Following the introduction of a Customs Tariff Proposal in the House of Representatives, the alterations contained in the Proposal </w:t>
      </w:r>
      <w:r w:rsidR="00C52D5C" w:rsidRPr="003D421F">
        <w:rPr>
          <w:color w:val="000000"/>
          <w:shd w:val="clear" w:color="auto" w:fill="FFFFFF"/>
        </w:rPr>
        <w:t xml:space="preserve">would be </w:t>
      </w:r>
      <w:r w:rsidRPr="003D421F">
        <w:rPr>
          <w:color w:val="000000"/>
          <w:shd w:val="clear" w:color="auto" w:fill="FFFFFF"/>
        </w:rPr>
        <w:t>incorporated into the Customs Tariff Act by a Customs Tariff Amendment Bill.</w:t>
      </w:r>
    </w:p>
    <w:p w:rsidR="003D421F" w:rsidRPr="003D421F" w:rsidRDefault="003D421F" w:rsidP="00B00A1E">
      <w:pPr>
        <w:spacing w:after="0"/>
      </w:pPr>
    </w:p>
    <w:p w:rsidR="00870F22" w:rsidRPr="003D421F" w:rsidRDefault="00870F22" w:rsidP="00870F22">
      <w:pPr>
        <w:spacing w:after="0"/>
        <w:contextualSpacing/>
        <w:rPr>
          <w:b/>
        </w:rPr>
      </w:pPr>
      <w:r w:rsidRPr="003D421F">
        <w:rPr>
          <w:b/>
        </w:rPr>
        <w:t>Purpose and effect</w:t>
      </w:r>
    </w:p>
    <w:p w:rsidR="00870F22" w:rsidRPr="003D421F" w:rsidRDefault="00870F22" w:rsidP="00B00A1E">
      <w:pPr>
        <w:spacing w:after="0"/>
      </w:pPr>
    </w:p>
    <w:p w:rsidR="00E53739" w:rsidRDefault="00E53739" w:rsidP="00B00ABE">
      <w:pPr>
        <w:spacing w:after="0"/>
      </w:pPr>
      <w:r w:rsidRPr="00E53739">
        <w:t xml:space="preserve">The Australian Government will abolish 457 </w:t>
      </w:r>
      <w:r w:rsidR="00D91433">
        <w:t>‘</w:t>
      </w:r>
      <w:r w:rsidRPr="00E53739">
        <w:t>nuisance</w:t>
      </w:r>
      <w:r w:rsidR="00853570">
        <w:t>’</w:t>
      </w:r>
      <w:r w:rsidRPr="00E53739">
        <w:t xml:space="preserve"> tariffs</w:t>
      </w:r>
      <w:r w:rsidR="00D91433">
        <w:t xml:space="preserve">, which are tariffs that have been identified as raising little revenue, having negligible benefits for </w:t>
      </w:r>
      <w:r w:rsidR="0051775C">
        <w:t xml:space="preserve">domestic </w:t>
      </w:r>
      <w:r w:rsidR="00D91433">
        <w:t xml:space="preserve">producers and imposing a compliance burden on </w:t>
      </w:r>
      <w:r w:rsidR="0051775C">
        <w:t xml:space="preserve">Australian </w:t>
      </w:r>
      <w:r w:rsidR="00D91433">
        <w:t>businesses,</w:t>
      </w:r>
      <w:r w:rsidR="00D91433" w:rsidRPr="00D91433">
        <w:t xml:space="preserve"> </w:t>
      </w:r>
      <w:r w:rsidR="00D91433" w:rsidRPr="00E53739">
        <w:t>in the biggest unilateral tariff reform in two decades</w:t>
      </w:r>
      <w:r w:rsidRPr="00E53739">
        <w:t>. From 1 July 2024, tariffs will be abolished on a range of imported goods including household necessities such as toothbrushes, tools, fridges, dishwashers and clothing. This is an important step in simplifying Australia’s trade system and removing compliance burdens for Australian firms. These tariffs do nothing to protect Australian businesses as they apply to goods that predominately arrive under a concessional rate.</w:t>
      </w:r>
    </w:p>
    <w:p w:rsidR="00E53739" w:rsidRDefault="00E53739" w:rsidP="00B00ABE">
      <w:pPr>
        <w:spacing w:after="0"/>
      </w:pPr>
    </w:p>
    <w:p w:rsidR="00336232" w:rsidRPr="003D421F" w:rsidRDefault="00B00ABE" w:rsidP="00B00ABE">
      <w:pPr>
        <w:spacing w:after="0"/>
      </w:pPr>
      <w:r w:rsidRPr="003D421F">
        <w:t xml:space="preserve">The </w:t>
      </w:r>
      <w:r w:rsidRPr="003D421F">
        <w:rPr>
          <w:i/>
        </w:rPr>
        <w:t>Notice of Intention to Propose C</w:t>
      </w:r>
      <w:r w:rsidR="006926AC" w:rsidRPr="003D421F">
        <w:rPr>
          <w:i/>
        </w:rPr>
        <w:t>u</w:t>
      </w:r>
      <w:r w:rsidR="002B6B3C">
        <w:rPr>
          <w:i/>
        </w:rPr>
        <w:t>stoms Tariff Alteration</w:t>
      </w:r>
      <w:r w:rsidR="006926AC" w:rsidRPr="003D421F">
        <w:rPr>
          <w:i/>
        </w:rPr>
        <w:t xml:space="preserve"> 2024</w:t>
      </w:r>
      <w:r w:rsidRPr="003D421F">
        <w:rPr>
          <w:i/>
        </w:rPr>
        <w:t xml:space="preserve"> </w:t>
      </w:r>
      <w:r w:rsidRPr="003D421F">
        <w:t>(</w:t>
      </w:r>
      <w:r w:rsidRPr="00541AEC">
        <w:rPr>
          <w:b/>
          <w:i/>
        </w:rPr>
        <w:t>Notice</w:t>
      </w:r>
      <w:r w:rsidRPr="003D421F">
        <w:t xml:space="preserve">) </w:t>
      </w:r>
      <w:r w:rsidR="00EB6181">
        <w:t xml:space="preserve">therefore </w:t>
      </w:r>
      <w:r w:rsidRPr="003D421F">
        <w:t xml:space="preserve">advises of the intention to </w:t>
      </w:r>
      <w:r w:rsidR="00E45CE3">
        <w:t>propo</w:t>
      </w:r>
      <w:r w:rsidR="00E53739">
        <w:t>se Customs Tariff alterations which will</w:t>
      </w:r>
      <w:r w:rsidR="00E45CE3">
        <w:t xml:space="preserve"> </w:t>
      </w:r>
      <w:r w:rsidR="00336232" w:rsidRPr="003D421F">
        <w:t>reduce to ‘Fre</w:t>
      </w:r>
      <w:r w:rsidR="00EB6181">
        <w:t>e’ the customs duty rate applicable</w:t>
      </w:r>
      <w:r w:rsidR="00336232" w:rsidRPr="003D421F">
        <w:t xml:space="preserve"> to </w:t>
      </w:r>
      <w:r w:rsidR="00A370B4">
        <w:t xml:space="preserve">goods </w:t>
      </w:r>
      <w:r w:rsidR="00590D87">
        <w:t>classified</w:t>
      </w:r>
      <w:r w:rsidR="00E53739">
        <w:t xml:space="preserve"> to</w:t>
      </w:r>
      <w:r w:rsidR="00A370B4">
        <w:t xml:space="preserve"> </w:t>
      </w:r>
      <w:r w:rsidR="007541E5" w:rsidRPr="003D421F">
        <w:t>45</w:t>
      </w:r>
      <w:r w:rsidR="00590D87">
        <w:t>7</w:t>
      </w:r>
      <w:r w:rsidR="00336232" w:rsidRPr="003D421F">
        <w:t xml:space="preserve"> tariff </w:t>
      </w:r>
      <w:r w:rsidR="0009558B" w:rsidRPr="003D421F">
        <w:t>headings and subheadings</w:t>
      </w:r>
      <w:r w:rsidR="0025016B" w:rsidRPr="003D421F">
        <w:t xml:space="preserve"> </w:t>
      </w:r>
      <w:r w:rsidR="00741D4C" w:rsidRPr="003D421F">
        <w:t>under the Customs Tariff Act</w:t>
      </w:r>
      <w:r w:rsidR="00336232" w:rsidRPr="003D421F">
        <w:t>.</w:t>
      </w:r>
    </w:p>
    <w:p w:rsidR="00336232" w:rsidRPr="003D421F" w:rsidRDefault="00336232" w:rsidP="00B00ABE">
      <w:pPr>
        <w:spacing w:after="0"/>
      </w:pPr>
    </w:p>
    <w:p w:rsidR="003E725B" w:rsidRPr="003D421F" w:rsidRDefault="00DE23BC" w:rsidP="00B00ABE">
      <w:pPr>
        <w:spacing w:after="0"/>
      </w:pPr>
      <w:r w:rsidRPr="003D421F">
        <w:t>Where</w:t>
      </w:r>
      <w:r w:rsidR="00F50B87" w:rsidRPr="003D421F">
        <w:t xml:space="preserve"> </w:t>
      </w:r>
      <w:r w:rsidRPr="003D421F">
        <w:t>goods are not the produce or manufacture of a Preference Country and are not originating goods within the meaning of Part VIII of the Customs A</w:t>
      </w:r>
      <w:r w:rsidR="00F50B87" w:rsidRPr="003D421F">
        <w:t>ct</w:t>
      </w:r>
      <w:r w:rsidRPr="003D421F">
        <w:t xml:space="preserve">, </w:t>
      </w:r>
      <w:r w:rsidR="00E27C60" w:rsidRPr="003D421F">
        <w:t xml:space="preserve">section 16 of the Customs Tariff Act provides that </w:t>
      </w:r>
      <w:r w:rsidRPr="003D421F">
        <w:t xml:space="preserve">the applicable </w:t>
      </w:r>
      <w:r w:rsidR="009E4020" w:rsidRPr="003D421F">
        <w:t xml:space="preserve">customs duty </w:t>
      </w:r>
      <w:r w:rsidRPr="003D421F">
        <w:t xml:space="preserve">is </w:t>
      </w:r>
      <w:r w:rsidR="00E27C60" w:rsidRPr="003D421F">
        <w:t>calculated</w:t>
      </w:r>
      <w:r w:rsidR="009E4020" w:rsidRPr="003D421F">
        <w:t xml:space="preserve"> by reference to the general rate of customs duty</w:t>
      </w:r>
      <w:r w:rsidR="00183C63" w:rsidRPr="003D421F">
        <w:t>,</w:t>
      </w:r>
      <w:r w:rsidR="009E4020" w:rsidRPr="003D421F">
        <w:t xml:space="preserve"> </w:t>
      </w:r>
      <w:r w:rsidR="00686984" w:rsidRPr="003D421F">
        <w:t xml:space="preserve">which is specified </w:t>
      </w:r>
      <w:r w:rsidR="009E4020" w:rsidRPr="003D421F">
        <w:t xml:space="preserve">in the third column of the </w:t>
      </w:r>
      <w:r w:rsidRPr="003D421F">
        <w:t>tariff subheading</w:t>
      </w:r>
      <w:r w:rsidR="009E4020" w:rsidRPr="003D421F">
        <w:t xml:space="preserve"> </w:t>
      </w:r>
      <w:r w:rsidRPr="003D421F">
        <w:t xml:space="preserve">to which the goods are classified in Schedule 3 </w:t>
      </w:r>
      <w:r w:rsidR="00721BF3" w:rsidRPr="003D421F">
        <w:t xml:space="preserve">to </w:t>
      </w:r>
      <w:r w:rsidRPr="003D421F">
        <w:t>the Customs Tariff Act.</w:t>
      </w:r>
    </w:p>
    <w:p w:rsidR="003E725B" w:rsidRPr="003D421F" w:rsidRDefault="003E725B" w:rsidP="00B00ABE">
      <w:pPr>
        <w:spacing w:after="0"/>
      </w:pPr>
    </w:p>
    <w:p w:rsidR="006926AC" w:rsidRPr="003D421F" w:rsidRDefault="00336232" w:rsidP="00B00ABE">
      <w:pPr>
        <w:spacing w:after="0"/>
      </w:pPr>
      <w:r w:rsidRPr="003D421F">
        <w:t xml:space="preserve">The general rate is </w:t>
      </w:r>
      <w:r w:rsidR="00183C63" w:rsidRPr="003D421F">
        <w:t xml:space="preserve">defined in the Customs Tariff Act as </w:t>
      </w:r>
      <w:r w:rsidRPr="003D421F">
        <w:t xml:space="preserve">the </w:t>
      </w:r>
      <w:r w:rsidR="00716553" w:rsidRPr="003D421F">
        <w:t xml:space="preserve">rate of </w:t>
      </w:r>
      <w:r w:rsidRPr="003D421F">
        <w:t>duty</w:t>
      </w:r>
      <w:r w:rsidR="00716553" w:rsidRPr="003D421F">
        <w:t xml:space="preserve">, other than </w:t>
      </w:r>
      <w:r w:rsidR="00183C63" w:rsidRPr="003D421F">
        <w:t>a</w:t>
      </w:r>
      <w:r w:rsidRPr="003D421F">
        <w:t xml:space="preserve"> rate that applies </w:t>
      </w:r>
      <w:r w:rsidR="00716553" w:rsidRPr="003D421F">
        <w:t>in relation to a Preference Country</w:t>
      </w:r>
      <w:r w:rsidR="00183C63" w:rsidRPr="003D421F">
        <w:t>. Preference country is defined</w:t>
      </w:r>
      <w:r w:rsidR="005E716B" w:rsidRPr="003D421F">
        <w:t xml:space="preserve"> in the Customs Tariff Act</w:t>
      </w:r>
      <w:r w:rsidR="00183C63" w:rsidRPr="003D421F">
        <w:t xml:space="preserve"> as</w:t>
      </w:r>
      <w:r w:rsidR="00716553" w:rsidRPr="003D421F">
        <w:t xml:space="preserve"> being Papua New Guinea, a Forum Island Country, </w:t>
      </w:r>
      <w:r w:rsidR="00322110">
        <w:t xml:space="preserve">a </w:t>
      </w:r>
      <w:r w:rsidR="00716553" w:rsidRPr="003D421F">
        <w:t xml:space="preserve">Least Developed Country, </w:t>
      </w:r>
      <w:r w:rsidR="00322110">
        <w:t xml:space="preserve">a </w:t>
      </w:r>
      <w:r w:rsidR="00DF0B58" w:rsidRPr="003D421F">
        <w:t xml:space="preserve">Developing Country, </w:t>
      </w:r>
      <w:r w:rsidR="00716553" w:rsidRPr="003D421F">
        <w:t xml:space="preserve">Canada or Singapore. </w:t>
      </w:r>
      <w:r w:rsidR="00F50B87" w:rsidRPr="003D421F">
        <w:t xml:space="preserve">Certain goods classified in Schedule 3 </w:t>
      </w:r>
      <w:r w:rsidR="00467F44" w:rsidRPr="003D421F">
        <w:t>to</w:t>
      </w:r>
      <w:r w:rsidR="00F50B87" w:rsidRPr="003D421F">
        <w:t xml:space="preserve"> the Customs Tariff Act may be subject to a general </w:t>
      </w:r>
      <w:r w:rsidR="007E6A43">
        <w:t xml:space="preserve">customs </w:t>
      </w:r>
      <w:r w:rsidR="00F50B87" w:rsidRPr="003D421F">
        <w:t xml:space="preserve">rate of </w:t>
      </w:r>
      <w:r w:rsidR="007E6A43">
        <w:t xml:space="preserve">duty </w:t>
      </w:r>
      <w:r w:rsidR="00F50B87" w:rsidRPr="003D421F">
        <w:t>up to 5 per cent</w:t>
      </w:r>
      <w:r w:rsidR="003836D3">
        <w:t xml:space="preserve"> of the value of the goods being imported</w:t>
      </w:r>
      <w:r w:rsidR="00F50B87" w:rsidRPr="003D421F">
        <w:t xml:space="preserve">. </w:t>
      </w:r>
      <w:r w:rsidR="00442688" w:rsidRPr="003D421F">
        <w:t xml:space="preserve">Where goods are the produce or manufacture of a Preference Country, the goods may be subject to a </w:t>
      </w:r>
      <w:r w:rsidR="005C2CC9" w:rsidRPr="003D421F">
        <w:t xml:space="preserve">preferential </w:t>
      </w:r>
      <w:r w:rsidR="00442688" w:rsidRPr="003D421F">
        <w:t>rate of customs duty</w:t>
      </w:r>
      <w:r w:rsidR="00DF0B58" w:rsidRPr="003D421F">
        <w:t xml:space="preserve"> in Schedule 3 </w:t>
      </w:r>
      <w:r w:rsidR="00611DB3" w:rsidRPr="003D421F">
        <w:t xml:space="preserve">to </w:t>
      </w:r>
      <w:r w:rsidR="00DF0B58" w:rsidRPr="003D421F">
        <w:t>the Customs Tariff Act that is</w:t>
      </w:r>
      <w:r w:rsidR="00442688" w:rsidRPr="003D421F">
        <w:t xml:space="preserve"> </w:t>
      </w:r>
      <w:r w:rsidR="00DF0B58" w:rsidRPr="003D421F">
        <w:t xml:space="preserve">less than or </w:t>
      </w:r>
      <w:r w:rsidR="00442688" w:rsidRPr="003D421F">
        <w:t>equal to the general rate</w:t>
      </w:r>
      <w:r w:rsidR="00DF0B58" w:rsidRPr="003D421F">
        <w:t>.</w:t>
      </w:r>
    </w:p>
    <w:p w:rsidR="0009558B" w:rsidRPr="003D421F" w:rsidRDefault="0009558B" w:rsidP="00B00ABE">
      <w:pPr>
        <w:spacing w:after="0"/>
      </w:pPr>
    </w:p>
    <w:p w:rsidR="009147CA" w:rsidRPr="003D421F" w:rsidRDefault="0009558B" w:rsidP="00B00ABE">
      <w:pPr>
        <w:spacing w:after="0"/>
      </w:pPr>
      <w:r w:rsidRPr="003D421F">
        <w:t>For example, frozen yams</w:t>
      </w:r>
      <w:r w:rsidR="00340D6F">
        <w:t>, which are</w:t>
      </w:r>
      <w:r w:rsidRPr="003D421F">
        <w:t xml:space="preserve"> classified to tariff subheading 0714.30.10</w:t>
      </w:r>
      <w:r w:rsidR="00340D6F">
        <w:t>,</w:t>
      </w:r>
      <w:r w:rsidRPr="003D421F">
        <w:t xml:space="preserve"> </w:t>
      </w:r>
      <w:r w:rsidR="00324C0C" w:rsidRPr="003D421F">
        <w:t>have</w:t>
      </w:r>
      <w:r w:rsidRPr="003D421F">
        <w:t xml:space="preserve"> three different ra</w:t>
      </w:r>
      <w:r w:rsidR="003D421F" w:rsidRPr="003D421F">
        <w:t xml:space="preserve">tes applied through </w:t>
      </w:r>
      <w:r w:rsidR="00340D6F">
        <w:t>Schedule 3 as shown below:</w:t>
      </w:r>
    </w:p>
    <w:tbl>
      <w:tblPr>
        <w:tblW w:w="7145" w:type="dxa"/>
        <w:tblInd w:w="34" w:type="dxa"/>
        <w:tblCellMar>
          <w:left w:w="0" w:type="dxa"/>
          <w:right w:w="0" w:type="dxa"/>
        </w:tblCellMar>
        <w:tblLook w:val="04A0" w:firstRow="1" w:lastRow="0" w:firstColumn="1" w:lastColumn="0" w:noHBand="0" w:noVBand="1"/>
      </w:tblPr>
      <w:tblGrid>
        <w:gridCol w:w="1154"/>
        <w:gridCol w:w="4838"/>
        <w:gridCol w:w="1153"/>
      </w:tblGrid>
      <w:tr w:rsidR="009147CA" w:rsidRPr="003D421F" w:rsidTr="009147CA">
        <w:tc>
          <w:tcPr>
            <w:tcW w:w="1078" w:type="dxa"/>
            <w:tcMar>
              <w:top w:w="0" w:type="dxa"/>
              <w:left w:w="28" w:type="dxa"/>
              <w:bottom w:w="0" w:type="dxa"/>
              <w:right w:w="28" w:type="dxa"/>
            </w:tcMar>
            <w:hideMark/>
          </w:tcPr>
          <w:p w:rsidR="009147CA" w:rsidRPr="003D421F" w:rsidRDefault="009147CA" w:rsidP="009147CA">
            <w:pPr>
              <w:spacing w:before="60" w:after="0" w:line="240" w:lineRule="atLeast"/>
              <w:rPr>
                <w:rFonts w:eastAsia="Times New Roman"/>
                <w:color w:val="000000"/>
                <w:lang w:eastAsia="en-AU"/>
              </w:rPr>
            </w:pPr>
          </w:p>
          <w:p w:rsidR="009147CA" w:rsidRPr="003D421F" w:rsidRDefault="009147CA" w:rsidP="009147CA">
            <w:pPr>
              <w:spacing w:before="60" w:after="0" w:line="240" w:lineRule="atLeast"/>
              <w:rPr>
                <w:rFonts w:eastAsia="Times New Roman"/>
                <w:color w:val="000000"/>
                <w:lang w:eastAsia="en-AU"/>
              </w:rPr>
            </w:pPr>
            <w:r w:rsidRPr="003D421F">
              <w:rPr>
                <w:rFonts w:eastAsia="Times New Roman"/>
                <w:color w:val="000000"/>
                <w:lang w:eastAsia="en-AU"/>
              </w:rPr>
              <w:t>0714.30</w:t>
            </w:r>
          </w:p>
        </w:tc>
        <w:tc>
          <w:tcPr>
            <w:tcW w:w="4764" w:type="dxa"/>
            <w:tcMar>
              <w:top w:w="0" w:type="dxa"/>
              <w:left w:w="28" w:type="dxa"/>
              <w:bottom w:w="0" w:type="dxa"/>
              <w:right w:w="28" w:type="dxa"/>
            </w:tcMar>
            <w:hideMark/>
          </w:tcPr>
          <w:p w:rsidR="009147CA" w:rsidRPr="003D421F" w:rsidRDefault="009147CA" w:rsidP="009147CA">
            <w:pPr>
              <w:spacing w:before="60" w:after="0" w:line="240" w:lineRule="atLeast"/>
              <w:ind w:left="85" w:hanging="85"/>
              <w:rPr>
                <w:rFonts w:eastAsia="Times New Roman"/>
                <w:color w:val="000000"/>
                <w:lang w:eastAsia="en-AU"/>
              </w:rPr>
            </w:pPr>
          </w:p>
          <w:p w:rsidR="009147CA" w:rsidRPr="003D421F" w:rsidRDefault="009147CA" w:rsidP="009147CA">
            <w:pPr>
              <w:spacing w:before="60" w:after="0" w:line="240" w:lineRule="atLeast"/>
              <w:ind w:left="85" w:hanging="85"/>
              <w:rPr>
                <w:rFonts w:eastAsia="Times New Roman"/>
                <w:color w:val="000000"/>
                <w:lang w:eastAsia="en-AU"/>
              </w:rPr>
            </w:pPr>
            <w:r w:rsidRPr="003D421F">
              <w:rPr>
                <w:rFonts w:eastAsia="Times New Roman"/>
                <w:color w:val="000000"/>
                <w:lang w:eastAsia="en-AU"/>
              </w:rPr>
              <w:noBreakHyphen/>
              <w:t>Yams (</w:t>
            </w:r>
            <w:proofErr w:type="spellStart"/>
            <w:r w:rsidRPr="003D421F">
              <w:rPr>
                <w:rFonts w:eastAsia="Times New Roman"/>
                <w:i/>
                <w:iCs/>
                <w:color w:val="000000"/>
                <w:lang w:eastAsia="en-AU"/>
              </w:rPr>
              <w:t>Dioscorea</w:t>
            </w:r>
            <w:proofErr w:type="spellEnd"/>
            <w:r w:rsidRPr="003D421F">
              <w:rPr>
                <w:rFonts w:eastAsia="Times New Roman"/>
                <w:i/>
                <w:iCs/>
                <w:color w:val="000000"/>
                <w:lang w:eastAsia="en-AU"/>
              </w:rPr>
              <w:t xml:space="preserve"> spp.</w:t>
            </w:r>
            <w:r w:rsidRPr="003D421F">
              <w:rPr>
                <w:rFonts w:eastAsia="Times New Roman"/>
                <w:color w:val="000000"/>
                <w:lang w:eastAsia="en-AU"/>
              </w:rPr>
              <w:t>):</w:t>
            </w:r>
          </w:p>
        </w:tc>
        <w:tc>
          <w:tcPr>
            <w:tcW w:w="1135" w:type="dxa"/>
            <w:tcMar>
              <w:top w:w="0" w:type="dxa"/>
              <w:left w:w="28" w:type="dxa"/>
              <w:bottom w:w="0" w:type="dxa"/>
              <w:right w:w="28" w:type="dxa"/>
            </w:tcMar>
            <w:hideMark/>
          </w:tcPr>
          <w:p w:rsidR="009147CA" w:rsidRPr="003D421F" w:rsidRDefault="009147CA" w:rsidP="009147CA">
            <w:pPr>
              <w:spacing w:before="60" w:after="0" w:line="240" w:lineRule="atLeast"/>
              <w:rPr>
                <w:rFonts w:eastAsia="Times New Roman"/>
                <w:color w:val="000000"/>
                <w:lang w:eastAsia="en-AU"/>
              </w:rPr>
            </w:pPr>
            <w:r w:rsidRPr="003D421F">
              <w:rPr>
                <w:rFonts w:eastAsia="Times New Roman"/>
                <w:color w:val="000000"/>
                <w:lang w:eastAsia="en-AU"/>
              </w:rPr>
              <w:t> </w:t>
            </w:r>
          </w:p>
        </w:tc>
      </w:tr>
      <w:tr w:rsidR="009147CA" w:rsidRPr="003D421F" w:rsidTr="009147CA">
        <w:tc>
          <w:tcPr>
            <w:tcW w:w="1078" w:type="dxa"/>
            <w:tcMar>
              <w:top w:w="0" w:type="dxa"/>
              <w:left w:w="28" w:type="dxa"/>
              <w:bottom w:w="0" w:type="dxa"/>
              <w:right w:w="28" w:type="dxa"/>
            </w:tcMar>
            <w:hideMark/>
          </w:tcPr>
          <w:p w:rsidR="009147CA" w:rsidRPr="003D421F" w:rsidRDefault="009147CA" w:rsidP="009147CA">
            <w:pPr>
              <w:spacing w:before="60" w:after="0" w:line="240" w:lineRule="atLeast"/>
              <w:rPr>
                <w:rFonts w:eastAsia="Times New Roman"/>
                <w:color w:val="000000"/>
                <w:lang w:eastAsia="en-AU"/>
              </w:rPr>
            </w:pPr>
            <w:r w:rsidRPr="003D421F">
              <w:rPr>
                <w:rFonts w:eastAsia="Times New Roman"/>
                <w:color w:val="000000"/>
                <w:lang w:eastAsia="en-AU"/>
              </w:rPr>
              <w:t>0714.30.10</w:t>
            </w:r>
          </w:p>
        </w:tc>
        <w:tc>
          <w:tcPr>
            <w:tcW w:w="4764" w:type="dxa"/>
            <w:tcMar>
              <w:top w:w="0" w:type="dxa"/>
              <w:left w:w="28" w:type="dxa"/>
              <w:bottom w:w="0" w:type="dxa"/>
              <w:right w:w="28" w:type="dxa"/>
            </w:tcMar>
            <w:hideMark/>
          </w:tcPr>
          <w:p w:rsidR="009147CA" w:rsidRPr="003D421F" w:rsidRDefault="009147CA" w:rsidP="009147CA">
            <w:pPr>
              <w:spacing w:before="60" w:after="0" w:line="240" w:lineRule="atLeast"/>
              <w:ind w:left="198" w:hanging="198"/>
              <w:rPr>
                <w:rFonts w:eastAsia="Times New Roman"/>
                <w:color w:val="000000"/>
                <w:lang w:eastAsia="en-AU"/>
              </w:rPr>
            </w:pPr>
            <w:r w:rsidRPr="003D421F">
              <w:rPr>
                <w:rFonts w:eastAsia="Times New Roman"/>
                <w:color w:val="000000"/>
                <w:lang w:eastAsia="en-AU"/>
              </w:rPr>
              <w:noBreakHyphen/>
            </w:r>
            <w:r w:rsidRPr="003D421F">
              <w:rPr>
                <w:rFonts w:eastAsia="Times New Roman"/>
                <w:color w:val="000000"/>
                <w:lang w:eastAsia="en-AU"/>
              </w:rPr>
              <w:noBreakHyphen/>
            </w:r>
            <w:r w:rsidRPr="003D421F">
              <w:rPr>
                <w:rFonts w:eastAsia="Times New Roman"/>
                <w:color w:val="000000"/>
                <w:lang w:eastAsia="en-AU"/>
              </w:rPr>
              <w:noBreakHyphen/>
              <w:t>Frozen</w:t>
            </w:r>
          </w:p>
        </w:tc>
        <w:tc>
          <w:tcPr>
            <w:tcW w:w="1135" w:type="dxa"/>
            <w:tcMar>
              <w:top w:w="0" w:type="dxa"/>
              <w:left w:w="28" w:type="dxa"/>
              <w:bottom w:w="0" w:type="dxa"/>
              <w:right w:w="28" w:type="dxa"/>
            </w:tcMar>
            <w:hideMark/>
          </w:tcPr>
          <w:p w:rsidR="009147CA" w:rsidRPr="003D421F" w:rsidRDefault="009147CA" w:rsidP="009147CA">
            <w:pPr>
              <w:spacing w:before="60" w:after="0" w:line="240" w:lineRule="atLeast"/>
              <w:rPr>
                <w:rFonts w:eastAsia="Times New Roman"/>
                <w:color w:val="000000"/>
                <w:lang w:eastAsia="en-AU"/>
              </w:rPr>
            </w:pPr>
            <w:r w:rsidRPr="003D421F">
              <w:rPr>
                <w:rFonts w:eastAsia="Times New Roman"/>
                <w:color w:val="000000"/>
                <w:lang w:eastAsia="en-AU"/>
              </w:rPr>
              <w:t>5%</w:t>
            </w:r>
            <w:r w:rsidRPr="003D421F">
              <w:rPr>
                <w:rFonts w:eastAsia="Times New Roman"/>
                <w:color w:val="000000"/>
                <w:lang w:eastAsia="en-AU"/>
              </w:rPr>
              <w:br/>
              <w:t>DCS:</w:t>
            </w:r>
            <w:r w:rsidR="003836D3">
              <w:rPr>
                <w:rFonts w:eastAsia="Times New Roman"/>
                <w:color w:val="000000"/>
                <w:lang w:eastAsia="en-AU"/>
              </w:rPr>
              <w:t xml:space="preserve"> </w:t>
            </w:r>
            <w:r w:rsidRPr="003D421F">
              <w:rPr>
                <w:rFonts w:eastAsia="Times New Roman"/>
                <w:color w:val="000000"/>
                <w:lang w:eastAsia="en-AU"/>
              </w:rPr>
              <w:t>Free</w:t>
            </w:r>
            <w:r w:rsidRPr="003D421F">
              <w:rPr>
                <w:rFonts w:eastAsia="Times New Roman"/>
                <w:color w:val="000000"/>
                <w:lang w:eastAsia="en-AU"/>
              </w:rPr>
              <w:br/>
              <w:t>CA:</w:t>
            </w:r>
            <w:r w:rsidR="003836D3">
              <w:rPr>
                <w:rFonts w:eastAsia="Times New Roman"/>
                <w:color w:val="000000"/>
                <w:lang w:eastAsia="en-AU"/>
              </w:rPr>
              <w:t xml:space="preserve"> </w:t>
            </w:r>
            <w:r w:rsidRPr="003D421F">
              <w:rPr>
                <w:rFonts w:eastAsia="Times New Roman"/>
                <w:color w:val="000000"/>
                <w:lang w:eastAsia="en-AU"/>
              </w:rPr>
              <w:t>Free</w:t>
            </w:r>
          </w:p>
        </w:tc>
      </w:tr>
    </w:tbl>
    <w:p w:rsidR="009147CA" w:rsidRPr="003D421F" w:rsidRDefault="009147CA" w:rsidP="00B00ABE">
      <w:pPr>
        <w:spacing w:after="0"/>
      </w:pPr>
    </w:p>
    <w:p w:rsidR="006926AC" w:rsidRPr="003D421F" w:rsidRDefault="003F0391" w:rsidP="00B00ABE">
      <w:pPr>
        <w:spacing w:after="0"/>
      </w:pPr>
      <w:r w:rsidRPr="003D421F">
        <w:t>T</w:t>
      </w:r>
      <w:r w:rsidR="00BA5E16" w:rsidRPr="003D421F">
        <w:t xml:space="preserve">he general rate of </w:t>
      </w:r>
      <w:r w:rsidR="007E6A43">
        <w:t xml:space="preserve">customs </w:t>
      </w:r>
      <w:r w:rsidR="00BA5E16" w:rsidRPr="003D421F">
        <w:t xml:space="preserve">duty </w:t>
      </w:r>
      <w:r w:rsidRPr="003D421F">
        <w:t xml:space="preserve">for frozen yams is </w:t>
      </w:r>
      <w:r w:rsidR="00BA5E16" w:rsidRPr="003D421F">
        <w:t>5 p</w:t>
      </w:r>
      <w:r w:rsidR="000146BB" w:rsidRPr="003D421F">
        <w:t>er cent</w:t>
      </w:r>
      <w:r w:rsidRPr="003D421F">
        <w:t>.</w:t>
      </w:r>
      <w:r w:rsidR="000146BB" w:rsidRPr="003D421F">
        <w:t xml:space="preserve"> </w:t>
      </w:r>
      <w:r w:rsidRPr="003D421F">
        <w:t>A</w:t>
      </w:r>
      <w:r w:rsidR="000146BB" w:rsidRPr="003D421F">
        <w:t xml:space="preserve"> ‘Free’ rate of </w:t>
      </w:r>
      <w:r w:rsidR="007E6A43">
        <w:t xml:space="preserve">customs </w:t>
      </w:r>
      <w:r w:rsidR="000146BB" w:rsidRPr="003D421F">
        <w:t xml:space="preserve">duty </w:t>
      </w:r>
      <w:r w:rsidRPr="003D421F">
        <w:t>applies</w:t>
      </w:r>
      <w:r w:rsidR="000146BB" w:rsidRPr="003D421F">
        <w:t xml:space="preserve"> </w:t>
      </w:r>
      <w:r w:rsidRPr="003D421F">
        <w:t xml:space="preserve">where the goods are </w:t>
      </w:r>
      <w:r w:rsidR="000146BB" w:rsidRPr="003D421F">
        <w:t xml:space="preserve">eligible for </w:t>
      </w:r>
      <w:r w:rsidR="00DF0B58" w:rsidRPr="003D421F">
        <w:t>the D</w:t>
      </w:r>
      <w:r w:rsidR="000146BB" w:rsidRPr="003D421F">
        <w:t xml:space="preserve">eveloping </w:t>
      </w:r>
      <w:r w:rsidR="00DF0B58" w:rsidRPr="003D421F">
        <w:t>C</w:t>
      </w:r>
      <w:r w:rsidR="000146BB" w:rsidRPr="003D421F">
        <w:t xml:space="preserve">ountry </w:t>
      </w:r>
      <w:r w:rsidR="00340D6F">
        <w:t>(</w:t>
      </w:r>
      <w:r w:rsidR="000146BB" w:rsidRPr="003D421F">
        <w:t>DCS</w:t>
      </w:r>
      <w:r w:rsidR="00340D6F">
        <w:t>)</w:t>
      </w:r>
      <w:r w:rsidR="000146BB" w:rsidRPr="003D421F">
        <w:t xml:space="preserve"> </w:t>
      </w:r>
      <w:r w:rsidR="00DF0B58" w:rsidRPr="003D421F">
        <w:t xml:space="preserve">rate </w:t>
      </w:r>
      <w:r w:rsidRPr="003D421F">
        <w:t xml:space="preserve">or where the goods </w:t>
      </w:r>
      <w:r w:rsidR="00DF0B58" w:rsidRPr="003D421F">
        <w:t xml:space="preserve">are the produce or manufacture of </w:t>
      </w:r>
      <w:r w:rsidR="000146BB" w:rsidRPr="003D421F">
        <w:t>Canada</w:t>
      </w:r>
      <w:r w:rsidR="00340D6F">
        <w:t xml:space="preserve"> (CA)</w:t>
      </w:r>
      <w:r w:rsidR="000146BB" w:rsidRPr="003D421F">
        <w:t>.</w:t>
      </w:r>
    </w:p>
    <w:p w:rsidR="00557028" w:rsidRPr="003D421F" w:rsidRDefault="00557028" w:rsidP="00B00ABE">
      <w:pPr>
        <w:spacing w:after="0"/>
      </w:pPr>
    </w:p>
    <w:p w:rsidR="003F0391" w:rsidRPr="003D421F" w:rsidRDefault="003F0391" w:rsidP="00B00ABE">
      <w:pPr>
        <w:spacing w:after="0"/>
      </w:pPr>
      <w:r w:rsidRPr="003D421F">
        <w:t xml:space="preserve">The Notice </w:t>
      </w:r>
      <w:r w:rsidR="00686984" w:rsidRPr="003D421F">
        <w:t xml:space="preserve">proposes </w:t>
      </w:r>
      <w:r w:rsidRPr="003D421F">
        <w:t>alter</w:t>
      </w:r>
      <w:r w:rsidR="00686984" w:rsidRPr="003D421F">
        <w:t>ations</w:t>
      </w:r>
      <w:r w:rsidRPr="003D421F">
        <w:t xml:space="preserve"> </w:t>
      </w:r>
      <w:r w:rsidR="00686984" w:rsidRPr="003D421F">
        <w:t xml:space="preserve">to </w:t>
      </w:r>
      <w:r w:rsidRPr="003D421F">
        <w:t xml:space="preserve">certain tariff headings and subheadings </w:t>
      </w:r>
      <w:r w:rsidR="007D7438" w:rsidRPr="003D421F">
        <w:t xml:space="preserve">in Schedule 3 </w:t>
      </w:r>
      <w:r w:rsidR="00590D87">
        <w:t>to</w:t>
      </w:r>
      <w:r w:rsidR="007D7438" w:rsidRPr="003D421F">
        <w:t xml:space="preserve"> the Customs Tariff Act </w:t>
      </w:r>
      <w:r w:rsidRPr="003D421F">
        <w:t xml:space="preserve">to repeal the </w:t>
      </w:r>
      <w:r w:rsidR="00AE2D8A" w:rsidRPr="003D421F">
        <w:t xml:space="preserve">applicable </w:t>
      </w:r>
      <w:r w:rsidRPr="003D421F">
        <w:t xml:space="preserve">general </w:t>
      </w:r>
      <w:r w:rsidR="00AE2D8A" w:rsidRPr="003D421F">
        <w:t xml:space="preserve">and preferential </w:t>
      </w:r>
      <w:r w:rsidRPr="003D421F">
        <w:t>rate</w:t>
      </w:r>
      <w:r w:rsidR="00AE2D8A" w:rsidRPr="003D421F">
        <w:t>s</w:t>
      </w:r>
      <w:r w:rsidRPr="003D421F">
        <w:t xml:space="preserve"> of customs duty</w:t>
      </w:r>
      <w:r w:rsidR="00A06A12" w:rsidRPr="003D421F">
        <w:t>,</w:t>
      </w:r>
      <w:r w:rsidR="007D7438" w:rsidRPr="003D421F">
        <w:t xml:space="preserve"> and substitute these rates</w:t>
      </w:r>
      <w:r w:rsidR="00F22160" w:rsidRPr="003D421F">
        <w:t>, where necessary,</w:t>
      </w:r>
      <w:r w:rsidR="007D7438" w:rsidRPr="003D421F">
        <w:t xml:space="preserve"> with </w:t>
      </w:r>
      <w:r w:rsidR="00AE2D8A" w:rsidRPr="003D421F">
        <w:t xml:space="preserve">a general </w:t>
      </w:r>
      <w:r w:rsidR="007D7438" w:rsidRPr="003D421F">
        <w:t xml:space="preserve">rate of ‘Free’. This will have the effect of reducing the duty rate </w:t>
      </w:r>
      <w:r w:rsidR="005C2CC9" w:rsidRPr="003D421F">
        <w:t>applicable to all</w:t>
      </w:r>
      <w:r w:rsidR="007D7438" w:rsidRPr="003D421F">
        <w:t xml:space="preserve"> goods classified to the </w:t>
      </w:r>
      <w:r w:rsidR="005C2CC9" w:rsidRPr="003D421F">
        <w:t xml:space="preserve">specified </w:t>
      </w:r>
      <w:r w:rsidR="007D7438" w:rsidRPr="003D421F">
        <w:t xml:space="preserve">tariff heading </w:t>
      </w:r>
      <w:r w:rsidR="005C2CC9" w:rsidRPr="003D421F">
        <w:t>or</w:t>
      </w:r>
      <w:r w:rsidR="007D7438" w:rsidRPr="003D421F">
        <w:t xml:space="preserve"> subheading to ‘Free’, resulting in no customs duty </w:t>
      </w:r>
      <w:r w:rsidR="00686984" w:rsidRPr="003D421F">
        <w:t xml:space="preserve">being </w:t>
      </w:r>
      <w:r w:rsidR="007D7438" w:rsidRPr="003D421F">
        <w:t>payable at the time of the</w:t>
      </w:r>
      <w:r w:rsidR="005C2CC9" w:rsidRPr="003D421F">
        <w:t xml:space="preserve"> goods’</w:t>
      </w:r>
      <w:r w:rsidR="007D7438" w:rsidRPr="003D421F">
        <w:t xml:space="preserve"> entry into home consumption.</w:t>
      </w:r>
    </w:p>
    <w:p w:rsidR="00E74E39" w:rsidRPr="003D421F" w:rsidRDefault="00E74E39" w:rsidP="00B00ABE">
      <w:pPr>
        <w:spacing w:after="0"/>
      </w:pPr>
    </w:p>
    <w:p w:rsidR="00331759" w:rsidRPr="003D421F" w:rsidRDefault="00E74E39" w:rsidP="00B00ABE">
      <w:pPr>
        <w:spacing w:after="0"/>
      </w:pPr>
      <w:r w:rsidRPr="003D421F">
        <w:t xml:space="preserve">A </w:t>
      </w:r>
      <w:r w:rsidR="00BA4D23" w:rsidRPr="003D421F">
        <w:t>broad range</w:t>
      </w:r>
      <w:r w:rsidRPr="003D421F">
        <w:t xml:space="preserve"> of consumer goods </w:t>
      </w:r>
      <w:r w:rsidR="00331759" w:rsidRPr="003D421F">
        <w:t xml:space="preserve">will be </w:t>
      </w:r>
      <w:r w:rsidR="00A06A12" w:rsidRPr="003D421F">
        <w:t xml:space="preserve">made </w:t>
      </w:r>
      <w:r w:rsidRPr="003D421F">
        <w:t xml:space="preserve">subject to a </w:t>
      </w:r>
      <w:r w:rsidR="007E6A43">
        <w:t xml:space="preserve">customs </w:t>
      </w:r>
      <w:r w:rsidRPr="003D421F">
        <w:t>duty rate of ‘Free’</w:t>
      </w:r>
      <w:r w:rsidR="00A06A12" w:rsidRPr="003D421F">
        <w:t xml:space="preserve"> under this</w:t>
      </w:r>
      <w:r w:rsidRPr="003D421F">
        <w:t xml:space="preserve"> Notice. These include </w:t>
      </w:r>
      <w:r w:rsidR="00331759" w:rsidRPr="003D421F">
        <w:t>kitchen knives, puzzles, toothbrushes</w:t>
      </w:r>
      <w:r w:rsidR="00340D6F">
        <w:t>,</w:t>
      </w:r>
      <w:r w:rsidR="00331759" w:rsidRPr="003D421F">
        <w:t xml:space="preserve"> weighing scales, </w:t>
      </w:r>
      <w:r w:rsidRPr="003D421F">
        <w:t>certain types of vegetables</w:t>
      </w:r>
      <w:r w:rsidR="00331759" w:rsidRPr="003D421F">
        <w:t xml:space="preserve">, </w:t>
      </w:r>
      <w:r w:rsidR="00C7664B" w:rsidRPr="003D421F">
        <w:t xml:space="preserve">electrical </w:t>
      </w:r>
      <w:r w:rsidR="00331759" w:rsidRPr="003D421F">
        <w:t>appliances</w:t>
      </w:r>
      <w:r w:rsidR="00C7664B" w:rsidRPr="003D421F">
        <w:t xml:space="preserve"> such as </w:t>
      </w:r>
      <w:r w:rsidRPr="003D421F">
        <w:t xml:space="preserve">electric blankets, </w:t>
      </w:r>
      <w:r w:rsidR="00C7664B" w:rsidRPr="003D421F">
        <w:t xml:space="preserve">combined refrigerator- freezers and washing machines, </w:t>
      </w:r>
      <w:r w:rsidRPr="003D421F">
        <w:t>certain clothing and footwear products,</w:t>
      </w:r>
      <w:r w:rsidR="00C7664B" w:rsidRPr="003D421F">
        <w:t xml:space="preserve"> hand</w:t>
      </w:r>
      <w:r w:rsidR="00331759" w:rsidRPr="003D421F">
        <w:t xml:space="preserve"> powered</w:t>
      </w:r>
      <w:r w:rsidR="00C7664B" w:rsidRPr="003D421F">
        <w:t xml:space="preserve"> and electric </w:t>
      </w:r>
      <w:r w:rsidRPr="003D421F">
        <w:t xml:space="preserve">tools such as </w:t>
      </w:r>
      <w:r w:rsidR="00C7664B" w:rsidRPr="003D421F">
        <w:t xml:space="preserve">hammers and drills, </w:t>
      </w:r>
      <w:r w:rsidR="00331759" w:rsidRPr="003D421F">
        <w:t>certain types of paper and writing utensils such as ball point pens</w:t>
      </w:r>
      <w:r w:rsidR="00BA4D23" w:rsidRPr="003D421F">
        <w:t xml:space="preserve"> </w:t>
      </w:r>
      <w:r w:rsidR="00331759" w:rsidRPr="003D421F">
        <w:t>and pencils, and sanitary articles such as pads of paper and plast</w:t>
      </w:r>
      <w:r w:rsidR="003D421F" w:rsidRPr="003D421F">
        <w:t>ics and sanitary underwear.</w:t>
      </w:r>
    </w:p>
    <w:p w:rsidR="006926AC" w:rsidRPr="003D421F" w:rsidRDefault="006926AC" w:rsidP="00B00ABE">
      <w:pPr>
        <w:spacing w:after="0"/>
      </w:pPr>
    </w:p>
    <w:p w:rsidR="0061053A" w:rsidRPr="003D421F" w:rsidRDefault="00291F25" w:rsidP="00B00A1E">
      <w:pPr>
        <w:spacing w:after="0"/>
      </w:pPr>
      <w:r w:rsidRPr="003D421F">
        <w:t>T</w:t>
      </w:r>
      <w:r w:rsidR="009170F7" w:rsidRPr="003D421F">
        <w:t xml:space="preserve">o ensure that Australia is meeting its commitments to </w:t>
      </w:r>
      <w:r w:rsidR="00BC22CB" w:rsidRPr="003D421F">
        <w:t xml:space="preserve">its </w:t>
      </w:r>
      <w:r w:rsidR="009170F7" w:rsidRPr="003D421F">
        <w:t>free trade agreement partners</w:t>
      </w:r>
      <w:r w:rsidR="00BC22CB" w:rsidRPr="003D421F">
        <w:t>,</w:t>
      </w:r>
      <w:r w:rsidR="009170F7" w:rsidRPr="003D421F">
        <w:t xml:space="preserve"> alterations will also be made to</w:t>
      </w:r>
      <w:r w:rsidR="005722AF" w:rsidRPr="003D421F">
        <w:t xml:space="preserve"> </w:t>
      </w:r>
      <w:r w:rsidR="00A370B4">
        <w:t xml:space="preserve">customs duty </w:t>
      </w:r>
      <w:r w:rsidR="005D4221" w:rsidRPr="003D421F">
        <w:t>rates</w:t>
      </w:r>
      <w:r w:rsidR="005722AF" w:rsidRPr="003D421F">
        <w:t xml:space="preserve"> in</w:t>
      </w:r>
      <w:r w:rsidR="009170F7" w:rsidRPr="003D421F">
        <w:t xml:space="preserve"> Schedule 14 </w:t>
      </w:r>
      <w:r w:rsidR="0099451B" w:rsidRPr="003D421F">
        <w:t xml:space="preserve">to </w:t>
      </w:r>
      <w:r w:rsidR="009170F7" w:rsidRPr="003D421F">
        <w:t>the Customs Tariff Act. Schedule 14 provides</w:t>
      </w:r>
      <w:r w:rsidRPr="003D421F">
        <w:t xml:space="preserve"> </w:t>
      </w:r>
      <w:r w:rsidR="005C2CC9" w:rsidRPr="003D421F">
        <w:t xml:space="preserve">the </w:t>
      </w:r>
      <w:r w:rsidR="009170F7" w:rsidRPr="003D421F">
        <w:t xml:space="preserve">preferential rates of </w:t>
      </w:r>
      <w:r w:rsidR="005C2CC9" w:rsidRPr="003D421F">
        <w:t xml:space="preserve">customs </w:t>
      </w:r>
      <w:r w:rsidR="009170F7" w:rsidRPr="003D421F">
        <w:t xml:space="preserve">duty </w:t>
      </w:r>
      <w:r w:rsidR="005C2CC9" w:rsidRPr="003D421F">
        <w:t xml:space="preserve">applicable to </w:t>
      </w:r>
      <w:r w:rsidR="009170F7" w:rsidRPr="003D421F">
        <w:t xml:space="preserve">goods </w:t>
      </w:r>
      <w:r w:rsidR="005C2CC9" w:rsidRPr="003D421F">
        <w:t xml:space="preserve">that are </w:t>
      </w:r>
      <w:r w:rsidR="00BC22CB" w:rsidRPr="003D421F">
        <w:t xml:space="preserve">RCEP </w:t>
      </w:r>
      <w:r w:rsidR="005C2CC9" w:rsidRPr="003D421F">
        <w:t xml:space="preserve">originating under the Regional Comprehensive Economic Partnership </w:t>
      </w:r>
      <w:r w:rsidR="007D2F8F" w:rsidRPr="003D421F">
        <w:t xml:space="preserve">(RCEP) </w:t>
      </w:r>
      <w:r w:rsidR="005C2CC9" w:rsidRPr="003D421F">
        <w:t>Agreement</w:t>
      </w:r>
      <w:r w:rsidR="00932F50" w:rsidRPr="003D421F">
        <w:t xml:space="preserve"> </w:t>
      </w:r>
      <w:r w:rsidR="00BC22CB" w:rsidRPr="003D421F">
        <w:t xml:space="preserve">and </w:t>
      </w:r>
      <w:r w:rsidR="005C2CC9" w:rsidRPr="003D421F">
        <w:t>within the meaning of Division 1N of Part VIII of the Customs Act.</w:t>
      </w:r>
      <w:r w:rsidR="00590D87">
        <w:t xml:space="preserve"> </w:t>
      </w:r>
      <w:r w:rsidR="003D19F1">
        <w:t xml:space="preserve">Aside from Schedule 3, </w:t>
      </w:r>
      <w:r w:rsidR="00590D87">
        <w:t xml:space="preserve">Schedule 14 is the only schedule </w:t>
      </w:r>
      <w:r w:rsidR="008B35E3">
        <w:t xml:space="preserve">to the Customs Tariff Act </w:t>
      </w:r>
      <w:r w:rsidR="000D6AD4">
        <w:t>in which</w:t>
      </w:r>
      <w:r w:rsidR="00590D87">
        <w:t xml:space="preserve"> the preferential customs duty rates have not </w:t>
      </w:r>
      <w:r w:rsidR="00340D6F">
        <w:t xml:space="preserve">already </w:t>
      </w:r>
      <w:r w:rsidR="00590D87">
        <w:t>been incrementally reduced to ‘Free’</w:t>
      </w:r>
      <w:r w:rsidR="00340D6F">
        <w:t xml:space="preserve"> in respect of</w:t>
      </w:r>
      <w:r w:rsidR="00590D87">
        <w:t xml:space="preserve"> some of the 457 tariff headings and subheadings </w:t>
      </w:r>
      <w:r w:rsidR="000D6AD4">
        <w:t>affected by</w:t>
      </w:r>
      <w:r w:rsidR="00590D87">
        <w:t xml:space="preserve"> this measure.</w:t>
      </w:r>
    </w:p>
    <w:p w:rsidR="0061053A" w:rsidRPr="003D421F" w:rsidRDefault="0061053A" w:rsidP="00B00A1E">
      <w:pPr>
        <w:spacing w:after="0"/>
      </w:pPr>
    </w:p>
    <w:p w:rsidR="00A7453B" w:rsidRPr="003D421F" w:rsidRDefault="00291F25" w:rsidP="00B00A1E">
      <w:pPr>
        <w:spacing w:after="0"/>
      </w:pPr>
      <w:r w:rsidRPr="003D421F">
        <w:t xml:space="preserve">The preferential </w:t>
      </w:r>
      <w:r w:rsidR="007E6A43">
        <w:t xml:space="preserve">customs </w:t>
      </w:r>
      <w:r w:rsidRPr="003D421F">
        <w:t xml:space="preserve">duty rates in column 3 of the </w:t>
      </w:r>
      <w:r w:rsidR="0061053A" w:rsidRPr="003D421F">
        <w:t xml:space="preserve">table </w:t>
      </w:r>
      <w:r w:rsidR="00093BA7" w:rsidRPr="003D421F">
        <w:t xml:space="preserve">in Schedule 14 </w:t>
      </w:r>
      <w:r w:rsidR="004C249E" w:rsidRPr="003D421F">
        <w:t xml:space="preserve">to </w:t>
      </w:r>
      <w:r w:rsidR="00093BA7" w:rsidRPr="003D421F">
        <w:t xml:space="preserve">the Customs Tariff Act </w:t>
      </w:r>
      <w:r w:rsidRPr="003D421F">
        <w:t xml:space="preserve">apply to </w:t>
      </w:r>
      <w:r w:rsidR="0061053A" w:rsidRPr="003D421F">
        <w:t>the tariff headings and subheadings</w:t>
      </w:r>
      <w:r w:rsidR="003D19F1">
        <w:t xml:space="preserve"> in column 2 of</w:t>
      </w:r>
      <w:r w:rsidRPr="003D421F">
        <w:t xml:space="preserve"> the table</w:t>
      </w:r>
      <w:r w:rsidR="00A7453B" w:rsidRPr="003D421F">
        <w:t xml:space="preserve">. A ‘Free’ rate of </w:t>
      </w:r>
      <w:r w:rsidR="00DE4FA0">
        <w:t xml:space="preserve">customs </w:t>
      </w:r>
      <w:r w:rsidR="00A7453B" w:rsidRPr="003D421F">
        <w:t>duty applies to</w:t>
      </w:r>
      <w:r w:rsidR="00C61EB8">
        <w:t xml:space="preserve"> RCEP originating</w:t>
      </w:r>
      <w:r w:rsidR="00A7453B" w:rsidRPr="003D421F">
        <w:t xml:space="preserve"> goods classified to the tariff headings and subheadings not listed in </w:t>
      </w:r>
      <w:r w:rsidRPr="003D421F">
        <w:t xml:space="preserve">the table in </w:t>
      </w:r>
      <w:r w:rsidR="00A7453B" w:rsidRPr="003D421F">
        <w:t>Schedule 14.</w:t>
      </w:r>
    </w:p>
    <w:p w:rsidR="00A7453B" w:rsidRPr="003D421F" w:rsidRDefault="00A7453B" w:rsidP="00B00A1E">
      <w:pPr>
        <w:spacing w:after="0"/>
      </w:pPr>
    </w:p>
    <w:p w:rsidR="00FD0D1F" w:rsidRPr="003D421F" w:rsidRDefault="00E50CE8" w:rsidP="00B00A1E">
      <w:pPr>
        <w:spacing w:after="0"/>
      </w:pPr>
      <w:r w:rsidRPr="003D421F">
        <w:t xml:space="preserve">Where the Notice reduces to ‘Free’ the </w:t>
      </w:r>
      <w:r w:rsidR="00DE4FA0">
        <w:t xml:space="preserve">customs </w:t>
      </w:r>
      <w:r w:rsidRPr="003D421F">
        <w:t>duty rate for tariff headings and subheadings listed in Schedule 3 and these tariff headings or subheadings are listed in Schedule 14, t</w:t>
      </w:r>
      <w:r w:rsidR="00A7453B" w:rsidRPr="003D421F">
        <w:t xml:space="preserve">he Notice </w:t>
      </w:r>
      <w:r w:rsidR="00423E9E" w:rsidRPr="003D421F">
        <w:t xml:space="preserve">preserves the phasing down of </w:t>
      </w:r>
      <w:r w:rsidR="00DE4FA0">
        <w:t xml:space="preserve">customs </w:t>
      </w:r>
      <w:r w:rsidR="00423E9E" w:rsidRPr="003D421F">
        <w:t>duty rates that ha</w:t>
      </w:r>
      <w:r w:rsidR="00322110">
        <w:t>ve</w:t>
      </w:r>
      <w:r w:rsidR="00423E9E" w:rsidRPr="003D421F">
        <w:t xml:space="preserve"> occurred prior to 1 July 2024 and applies a duty rate of ‘Free’ to the respective table item in Schedule 14 from 1 July 2024</w:t>
      </w:r>
      <w:r w:rsidRPr="003D421F">
        <w:t>.</w:t>
      </w:r>
      <w:r w:rsidR="00572100" w:rsidRPr="003D421F">
        <w:t xml:space="preserve"> The alterations ensure that the preferential customs duty rate applied to RCEP originating goods is not higher than the </w:t>
      </w:r>
      <w:r w:rsidRPr="003D421F">
        <w:t xml:space="preserve">applicable </w:t>
      </w:r>
      <w:r w:rsidR="00572100" w:rsidRPr="003D421F">
        <w:t xml:space="preserve">general rate </w:t>
      </w:r>
      <w:r w:rsidRPr="003D421F">
        <w:t>in</w:t>
      </w:r>
      <w:r w:rsidR="00572100" w:rsidRPr="003D421F">
        <w:t xml:space="preserve"> Schedule 3.</w:t>
      </w:r>
    </w:p>
    <w:p w:rsidR="009170F7" w:rsidRPr="003D421F" w:rsidRDefault="009170F7" w:rsidP="00B00A1E">
      <w:pPr>
        <w:spacing w:after="0"/>
      </w:pPr>
    </w:p>
    <w:p w:rsidR="001430AD" w:rsidRPr="003D421F" w:rsidRDefault="001430AD" w:rsidP="001430AD">
      <w:pPr>
        <w:contextualSpacing/>
      </w:pPr>
      <w:r w:rsidRPr="003D421F">
        <w:t>The alteration</w:t>
      </w:r>
      <w:r w:rsidR="00572100" w:rsidRPr="003D421F">
        <w:t>s</w:t>
      </w:r>
      <w:r w:rsidRPr="003D421F">
        <w:t xml:space="preserve"> outlined in the Notice </w:t>
      </w:r>
      <w:r w:rsidR="00572100" w:rsidRPr="003D421F">
        <w:t xml:space="preserve">will commence on 1 July 2024 and will apply to goods imported </w:t>
      </w:r>
      <w:r w:rsidR="00DE4FA0">
        <w:t xml:space="preserve">into Australia </w:t>
      </w:r>
      <w:r w:rsidR="00572100" w:rsidRPr="003D421F">
        <w:t>on or after this date.</w:t>
      </w:r>
    </w:p>
    <w:p w:rsidR="00A06A12" w:rsidRPr="003D421F" w:rsidRDefault="00A06A12" w:rsidP="001430AD">
      <w:pPr>
        <w:contextualSpacing/>
      </w:pPr>
    </w:p>
    <w:p w:rsidR="00870F22" w:rsidRPr="003D421F" w:rsidRDefault="00870F22" w:rsidP="00870F22">
      <w:pPr>
        <w:spacing w:after="0"/>
        <w:rPr>
          <w:b/>
        </w:rPr>
      </w:pPr>
      <w:r w:rsidRPr="003D421F">
        <w:rPr>
          <w:b/>
        </w:rPr>
        <w:t>Consultation</w:t>
      </w:r>
    </w:p>
    <w:p w:rsidR="00870F22" w:rsidRPr="003D421F" w:rsidRDefault="00870F22" w:rsidP="001430AD">
      <w:pPr>
        <w:contextualSpacing/>
      </w:pPr>
    </w:p>
    <w:p w:rsidR="001430AD" w:rsidRPr="003D421F" w:rsidRDefault="001430AD" w:rsidP="001430AD">
      <w:pPr>
        <w:contextualSpacing/>
      </w:pPr>
      <w:r w:rsidRPr="003D421F">
        <w:t xml:space="preserve">The Department of the Treasury </w:t>
      </w:r>
      <w:r w:rsidR="00572100" w:rsidRPr="003D421F">
        <w:t xml:space="preserve">undertook public consultation on the list of tariff headings and subheadings included in the list. </w:t>
      </w:r>
      <w:r w:rsidR="008013F9" w:rsidRPr="003D421F">
        <w:t>Submissions were received from individuals, businesses and peak industry bodies, who overall supported the alterations.</w:t>
      </w:r>
    </w:p>
    <w:p w:rsidR="008013F9" w:rsidRPr="003D421F" w:rsidRDefault="008013F9" w:rsidP="001430AD">
      <w:pPr>
        <w:contextualSpacing/>
      </w:pPr>
    </w:p>
    <w:p w:rsidR="008013F9" w:rsidRPr="003D421F" w:rsidRDefault="008013F9" w:rsidP="001430AD">
      <w:pPr>
        <w:contextualSpacing/>
        <w:rPr>
          <w:color w:val="000000" w:themeColor="text1"/>
        </w:rPr>
      </w:pPr>
      <w:r w:rsidRPr="003D421F">
        <w:t>The Department of the Prime Minister and Cabinet, the Department of Foreign Affairs and Trade, the Department of Industry, Science and Resources and the Department of Agriculture, Fisheries and Forestry were involved in the development of the list.</w:t>
      </w:r>
    </w:p>
    <w:p w:rsidR="001430AD" w:rsidRPr="003D421F" w:rsidRDefault="001430AD" w:rsidP="00E17332">
      <w:pPr>
        <w:spacing w:after="0"/>
      </w:pPr>
    </w:p>
    <w:p w:rsidR="001430AD" w:rsidRPr="003D421F" w:rsidRDefault="001430AD" w:rsidP="00E17332">
      <w:pPr>
        <w:spacing w:after="0"/>
      </w:pPr>
      <w:r w:rsidRPr="003D421F">
        <w:t xml:space="preserve">The Office of Impact Analysis has advised that the </w:t>
      </w:r>
      <w:r w:rsidR="00926931" w:rsidRPr="003D421F">
        <w:t xml:space="preserve">proposed </w:t>
      </w:r>
      <w:r w:rsidRPr="003D421F">
        <w:t>amendments are unlikely to have a more than minor impact. The OIA reference number is OIA23-05095.</w:t>
      </w:r>
    </w:p>
    <w:p w:rsidR="00E17332" w:rsidRPr="003D421F" w:rsidRDefault="00E17332" w:rsidP="005012E0">
      <w:pPr>
        <w:pStyle w:val="Default"/>
        <w:contextualSpacing/>
      </w:pPr>
    </w:p>
    <w:p w:rsidR="00870F22" w:rsidRPr="003D421F" w:rsidRDefault="00870F22" w:rsidP="00870F22">
      <w:pPr>
        <w:pStyle w:val="Default"/>
        <w:rPr>
          <w:b/>
        </w:rPr>
      </w:pPr>
      <w:r w:rsidRPr="003D421F">
        <w:rPr>
          <w:b/>
        </w:rPr>
        <w:t>Details</w:t>
      </w:r>
    </w:p>
    <w:p w:rsidR="00870F22" w:rsidRPr="003D421F" w:rsidRDefault="00870F22" w:rsidP="005012E0">
      <w:pPr>
        <w:pStyle w:val="Default"/>
        <w:contextualSpacing/>
      </w:pPr>
    </w:p>
    <w:p w:rsidR="008F027F" w:rsidRPr="003D421F" w:rsidRDefault="008F027F" w:rsidP="005012E0">
      <w:pPr>
        <w:pStyle w:val="Default"/>
      </w:pPr>
      <w:r w:rsidRPr="003D421F">
        <w:t>Details of the Notice</w:t>
      </w:r>
      <w:r w:rsidRPr="003D421F" w:rsidDel="008E549F">
        <w:t xml:space="preserve"> </w:t>
      </w:r>
      <w:r w:rsidRPr="003D421F">
        <w:t xml:space="preserve">are set out in </w:t>
      </w:r>
      <w:r w:rsidRPr="003D421F">
        <w:rPr>
          <w:u w:val="single"/>
        </w:rPr>
        <w:t>Attachment A</w:t>
      </w:r>
      <w:r w:rsidRPr="003D421F">
        <w:t>.</w:t>
      </w:r>
    </w:p>
    <w:p w:rsidR="005012E0" w:rsidRPr="003D421F" w:rsidRDefault="005012E0" w:rsidP="004533E3">
      <w:pPr>
        <w:contextualSpacing/>
        <w:rPr>
          <w:color w:val="000000" w:themeColor="text1"/>
        </w:rPr>
      </w:pPr>
    </w:p>
    <w:p w:rsidR="00870F22" w:rsidRPr="003D421F" w:rsidRDefault="00870F22" w:rsidP="00870F22">
      <w:pPr>
        <w:keepNext/>
        <w:keepLines/>
        <w:spacing w:after="0"/>
        <w:rPr>
          <w:b/>
          <w:color w:val="000000" w:themeColor="text1"/>
        </w:rPr>
      </w:pPr>
      <w:r w:rsidRPr="003D421F">
        <w:rPr>
          <w:b/>
          <w:color w:val="000000" w:themeColor="text1"/>
        </w:rPr>
        <w:t>Other</w:t>
      </w:r>
    </w:p>
    <w:p w:rsidR="00870F22" w:rsidRPr="003D421F" w:rsidRDefault="00870F22" w:rsidP="00870F22">
      <w:pPr>
        <w:spacing w:after="0"/>
        <w:rPr>
          <w:color w:val="000000" w:themeColor="text1"/>
        </w:rPr>
      </w:pPr>
    </w:p>
    <w:p w:rsidR="00B305DC" w:rsidRPr="003D421F" w:rsidRDefault="00B305DC" w:rsidP="00B305DC">
      <w:pPr>
        <w:pStyle w:val="NormalWeb"/>
        <w:spacing w:before="0" w:beforeAutospacing="0" w:after="0" w:afterAutospacing="0"/>
        <w:rPr>
          <w:color w:val="000000"/>
        </w:rPr>
      </w:pPr>
      <w:r w:rsidRPr="003D421F">
        <w:rPr>
          <w:color w:val="000000"/>
        </w:rPr>
        <w:t xml:space="preserve">Subsection </w:t>
      </w:r>
      <w:proofErr w:type="gramStart"/>
      <w:r w:rsidRPr="003D421F">
        <w:rPr>
          <w:color w:val="000000"/>
        </w:rPr>
        <w:t>273EA(</w:t>
      </w:r>
      <w:proofErr w:type="gramEnd"/>
      <w:r w:rsidRPr="003D421F">
        <w:rPr>
          <w:color w:val="000000"/>
        </w:rPr>
        <w:t xml:space="preserve">3) of the Customs Act has effect that section 42 (disallowance) of the </w:t>
      </w:r>
      <w:r w:rsidRPr="003D421F">
        <w:rPr>
          <w:i/>
          <w:color w:val="000000"/>
        </w:rPr>
        <w:t>Legislation Act 2003</w:t>
      </w:r>
      <w:r w:rsidRPr="003D421F">
        <w:rPr>
          <w:color w:val="000000"/>
        </w:rPr>
        <w:t xml:space="preserve"> </w:t>
      </w:r>
      <w:r w:rsidR="00A778FA" w:rsidRPr="003D421F">
        <w:rPr>
          <w:color w:val="000000"/>
        </w:rPr>
        <w:t>(</w:t>
      </w:r>
      <w:r w:rsidR="00A778FA" w:rsidRPr="003D421F">
        <w:rPr>
          <w:b/>
          <w:i/>
          <w:color w:val="000000"/>
        </w:rPr>
        <w:t>Legislation Act</w:t>
      </w:r>
      <w:r w:rsidR="00A778FA" w:rsidRPr="003D421F">
        <w:rPr>
          <w:color w:val="000000"/>
        </w:rPr>
        <w:t xml:space="preserve">) </w:t>
      </w:r>
      <w:r w:rsidRPr="003D421F">
        <w:rPr>
          <w:color w:val="000000"/>
        </w:rPr>
        <w:t xml:space="preserve">does not apply to </w:t>
      </w:r>
      <w:r w:rsidR="003D421F" w:rsidRPr="003D421F">
        <w:rPr>
          <w:color w:val="000000"/>
        </w:rPr>
        <w:t xml:space="preserve">notices in the form of </w:t>
      </w:r>
      <w:r w:rsidR="00EB38AC">
        <w:rPr>
          <w:color w:val="000000"/>
        </w:rPr>
        <w:t xml:space="preserve">a </w:t>
      </w:r>
      <w:r w:rsidRPr="003D421F">
        <w:rPr>
          <w:color w:val="000000"/>
        </w:rPr>
        <w:t>legislative instrument made under subsection (1) of that section.</w:t>
      </w:r>
    </w:p>
    <w:p w:rsidR="00B305DC" w:rsidRPr="003D421F" w:rsidRDefault="00B305DC" w:rsidP="00B305DC">
      <w:pPr>
        <w:pStyle w:val="NormalWeb"/>
        <w:spacing w:before="0" w:beforeAutospacing="0" w:after="0" w:afterAutospacing="0"/>
        <w:rPr>
          <w:color w:val="000000"/>
        </w:rPr>
      </w:pPr>
    </w:p>
    <w:p w:rsidR="00A778FA" w:rsidRPr="003D421F" w:rsidRDefault="00CC5B40" w:rsidP="00A778FA">
      <w:pPr>
        <w:pStyle w:val="NormalWeb"/>
        <w:spacing w:before="0" w:beforeAutospacing="0" w:after="0" w:afterAutospacing="0"/>
        <w:rPr>
          <w:color w:val="000000"/>
        </w:rPr>
      </w:pPr>
      <w:r w:rsidRPr="003D421F">
        <w:rPr>
          <w:color w:val="000000"/>
        </w:rPr>
        <w:t xml:space="preserve">Notices made under subsection 273EA(1) of the Customs Act are </w:t>
      </w:r>
      <w:r w:rsidR="00A778FA" w:rsidRPr="003D421F">
        <w:rPr>
          <w:color w:val="000000"/>
        </w:rPr>
        <w:t>in accordance with that provision followed by a Customs Tariff or Customs Tariff alteration proposed in the House of Representatives. Customs Tariffs and Customs Tariff alterations proposed in this manner are not legislative instruments, but are motions moved in the House of Representatives. As such, none of the provisions of the Legislation Act relating to instruments (including any of those related to disallowance) apply to the proposal of a Customs Tariff or Customs Tariff alteration. Customs Tariffs and Customs Tariff alterations are instead subject to the orders, procedures and oversight of the House of Representatives.</w:t>
      </w:r>
    </w:p>
    <w:p w:rsidR="00A778FA" w:rsidRPr="003D421F" w:rsidRDefault="00A778FA" w:rsidP="00A778FA">
      <w:pPr>
        <w:pStyle w:val="NormalWeb"/>
        <w:spacing w:before="0" w:beforeAutospacing="0" w:after="0" w:afterAutospacing="0"/>
        <w:rPr>
          <w:color w:val="000000"/>
        </w:rPr>
      </w:pPr>
    </w:p>
    <w:p w:rsidR="00A778FA" w:rsidRPr="003D421F" w:rsidRDefault="00A778FA" w:rsidP="00A778FA">
      <w:pPr>
        <w:pStyle w:val="NormalWeb"/>
        <w:spacing w:before="0" w:beforeAutospacing="0" w:after="0" w:afterAutospacing="0"/>
        <w:rPr>
          <w:color w:val="000000"/>
        </w:rPr>
      </w:pPr>
      <w:r w:rsidRPr="003D421F">
        <w:rPr>
          <w:color w:val="000000"/>
        </w:rPr>
        <w:t xml:space="preserve">Following the proposal of a Customs Tariff or Customs Tariff alteration in the House of </w:t>
      </w:r>
    </w:p>
    <w:p w:rsidR="00A778FA" w:rsidRPr="003D421F" w:rsidRDefault="00A778FA" w:rsidP="00A778FA">
      <w:pPr>
        <w:pStyle w:val="NormalWeb"/>
        <w:spacing w:before="0" w:beforeAutospacing="0" w:after="0" w:afterAutospacing="0"/>
        <w:rPr>
          <w:color w:val="000000"/>
        </w:rPr>
      </w:pPr>
      <w:r w:rsidRPr="003D421F">
        <w:rPr>
          <w:color w:val="000000"/>
        </w:rPr>
        <w:t xml:space="preserve">Representatives, legislation must then be enacted by the Parliament to incorporate the proposed tariff changes into law and enable concessional treatment or the collection of </w:t>
      </w:r>
      <w:r w:rsidRPr="003D421F">
        <w:rPr>
          <w:color w:val="000000"/>
        </w:rPr>
        <w:lastRenderedPageBreak/>
        <w:t>customs duties on an ongoing basis. Further oversight of the proposal therefore takes place by both Houses of the Parliament when a Bill to make these proposed amendments is introduced into the Parliament.</w:t>
      </w:r>
    </w:p>
    <w:p w:rsidR="00A778FA" w:rsidRPr="003D421F" w:rsidRDefault="00A778FA" w:rsidP="00A778FA">
      <w:pPr>
        <w:pStyle w:val="NormalWeb"/>
        <w:spacing w:before="0" w:beforeAutospacing="0" w:after="0" w:afterAutospacing="0"/>
        <w:rPr>
          <w:color w:val="000000"/>
        </w:rPr>
      </w:pPr>
    </w:p>
    <w:p w:rsidR="00CC5B40" w:rsidRPr="003D421F" w:rsidRDefault="00A778FA" w:rsidP="00A778FA">
      <w:pPr>
        <w:pStyle w:val="NormalWeb"/>
        <w:spacing w:before="0" w:beforeAutospacing="0" w:after="0" w:afterAutospacing="0"/>
        <w:rPr>
          <w:color w:val="000000"/>
        </w:rPr>
      </w:pPr>
      <w:r w:rsidRPr="003D421F">
        <w:rPr>
          <w:color w:val="000000"/>
        </w:rPr>
        <w:t xml:space="preserve">The potential for successful disallowance of customs tariff changes implemented though notice given under subsection </w:t>
      </w:r>
      <w:proofErr w:type="gramStart"/>
      <w:r w:rsidRPr="003D421F">
        <w:rPr>
          <w:color w:val="000000"/>
        </w:rPr>
        <w:t>273EA(</w:t>
      </w:r>
      <w:proofErr w:type="gramEnd"/>
      <w:r w:rsidRPr="003D421F">
        <w:rPr>
          <w:color w:val="000000"/>
        </w:rPr>
        <w:t>1) would affect business’ certainty in relation to the cost of importing goods. For example, an importer who relies on a tariff concession implemented through a tariff proposal notice and, accordingly, pays a reduced amount of customs duty could potentially face the prospect of being required to pay the relevant additional amount of duty if the notice were to be disallowed. They may have sold the goods at a lower price and would no longer have the opportunity to recoup the cost of the additional duty from the customer. Thus disallowance would place the direct burden of the additional duty on the importing business.</w:t>
      </w:r>
    </w:p>
    <w:p w:rsidR="00CC5B40" w:rsidRPr="003D421F" w:rsidRDefault="00CC5B40" w:rsidP="00B305DC">
      <w:pPr>
        <w:pStyle w:val="NormalWeb"/>
        <w:spacing w:before="0" w:beforeAutospacing="0" w:after="0" w:afterAutospacing="0"/>
        <w:rPr>
          <w:color w:val="000000"/>
        </w:rPr>
      </w:pPr>
    </w:p>
    <w:p w:rsidR="00B305DC" w:rsidRPr="003D421F" w:rsidRDefault="00970EB3" w:rsidP="00CC5B40">
      <w:pPr>
        <w:pStyle w:val="NormalWeb"/>
        <w:spacing w:before="0" w:beforeAutospacing="0" w:after="0" w:afterAutospacing="0"/>
        <w:rPr>
          <w:color w:val="000000"/>
        </w:rPr>
      </w:pPr>
      <w:r>
        <w:rPr>
          <w:rStyle w:val="ui-provider"/>
        </w:rPr>
        <w:t xml:space="preserve">The Notice is made under subsection </w:t>
      </w:r>
      <w:proofErr w:type="gramStart"/>
      <w:r>
        <w:rPr>
          <w:rStyle w:val="ui-provider"/>
        </w:rPr>
        <w:t>273EA(</w:t>
      </w:r>
      <w:proofErr w:type="gramEnd"/>
      <w:r>
        <w:rPr>
          <w:rStyle w:val="ui-provider"/>
        </w:rPr>
        <w:t xml:space="preserve">1) of the Customs Act and as such is not an instrument to which disallowance applies. </w:t>
      </w:r>
      <w:r w:rsidR="00A778FA" w:rsidRPr="003D421F">
        <w:rPr>
          <w:color w:val="000000"/>
        </w:rPr>
        <w:t>Because of this,</w:t>
      </w:r>
      <w:r w:rsidR="00B305DC" w:rsidRPr="003D421F">
        <w:rPr>
          <w:color w:val="000000"/>
        </w:rPr>
        <w:t xml:space="preserve"> a Statement of Compatibility with Human Rights is not required in accordance with paragraph </w:t>
      </w:r>
      <w:proofErr w:type="gramStart"/>
      <w:r w:rsidR="00B305DC" w:rsidRPr="003D421F">
        <w:rPr>
          <w:color w:val="000000"/>
        </w:rPr>
        <w:t>15J(</w:t>
      </w:r>
      <w:proofErr w:type="gramEnd"/>
      <w:r w:rsidR="00B305DC" w:rsidRPr="003D421F">
        <w:rPr>
          <w:color w:val="000000"/>
        </w:rPr>
        <w:t>2)(f) of the Legislation Act and subsection 9(1) of the </w:t>
      </w:r>
      <w:r w:rsidR="00B305DC" w:rsidRPr="003D421F">
        <w:rPr>
          <w:i/>
          <w:iCs/>
          <w:color w:val="000000"/>
        </w:rPr>
        <w:t>Human Rights (Parliamentary Scrutiny) Act 2011</w:t>
      </w:r>
      <w:r w:rsidR="00B305DC" w:rsidRPr="003D421F">
        <w:rPr>
          <w:color w:val="000000"/>
        </w:rPr>
        <w:t>.</w:t>
      </w:r>
    </w:p>
    <w:p w:rsidR="00886AFB" w:rsidRPr="003D421F" w:rsidRDefault="003A1F73" w:rsidP="000444F7">
      <w:pPr>
        <w:spacing w:after="160" w:line="259" w:lineRule="auto"/>
        <w:rPr>
          <w:b/>
          <w:u w:val="single"/>
        </w:rPr>
      </w:pPr>
      <w:r w:rsidRPr="003D421F">
        <w:rPr>
          <w:b/>
          <w:u w:val="single"/>
        </w:rPr>
        <w:br w:type="page"/>
      </w:r>
      <w:r w:rsidR="00886AFB" w:rsidRPr="003D421F">
        <w:rPr>
          <w:b/>
          <w:u w:val="single"/>
        </w:rPr>
        <w:lastRenderedPageBreak/>
        <w:t>ATTACHMENT</w:t>
      </w:r>
      <w:r w:rsidR="008E549F" w:rsidRPr="003D421F">
        <w:rPr>
          <w:b/>
          <w:u w:val="single"/>
        </w:rPr>
        <w:t xml:space="preserve"> A</w:t>
      </w:r>
    </w:p>
    <w:p w:rsidR="00886AFB" w:rsidRPr="003D421F" w:rsidRDefault="00886AFB" w:rsidP="004533E3">
      <w:pPr>
        <w:spacing w:after="0"/>
      </w:pPr>
    </w:p>
    <w:p w:rsidR="00886AFB" w:rsidRPr="003D421F" w:rsidRDefault="00886AFB" w:rsidP="004533E3">
      <w:pPr>
        <w:spacing w:after="0"/>
        <w:rPr>
          <w:b/>
          <w:i/>
          <w:u w:val="single"/>
        </w:rPr>
      </w:pPr>
      <w:r w:rsidRPr="003D421F">
        <w:rPr>
          <w:b/>
          <w:u w:val="single"/>
        </w:rPr>
        <w:t xml:space="preserve">Details of the </w:t>
      </w:r>
      <w:r w:rsidR="00EB19E7" w:rsidRPr="003D421F">
        <w:rPr>
          <w:b/>
          <w:i/>
          <w:u w:val="single"/>
        </w:rPr>
        <w:t>Notice of Intention to Propose Customs Tariff Alteration</w:t>
      </w:r>
      <w:r w:rsidR="00C53FAD">
        <w:rPr>
          <w:b/>
          <w:i/>
          <w:u w:val="single"/>
        </w:rPr>
        <w:t xml:space="preserve"> </w:t>
      </w:r>
      <w:r w:rsidR="008013F9" w:rsidRPr="003D421F">
        <w:rPr>
          <w:b/>
          <w:i/>
          <w:u w:val="single"/>
        </w:rPr>
        <w:t>2024</w:t>
      </w:r>
    </w:p>
    <w:p w:rsidR="00886AFB" w:rsidRPr="003D421F" w:rsidRDefault="00886AFB" w:rsidP="004533E3">
      <w:pPr>
        <w:spacing w:after="0"/>
      </w:pPr>
    </w:p>
    <w:p w:rsidR="005012E0" w:rsidRPr="003D421F" w:rsidRDefault="00166B5C" w:rsidP="005012E0">
      <w:pPr>
        <w:spacing w:after="0"/>
        <w:rPr>
          <w:u w:val="single"/>
        </w:rPr>
      </w:pPr>
      <w:r w:rsidRPr="003D421F">
        <w:rPr>
          <w:u w:val="single"/>
        </w:rPr>
        <w:t>Schedule 1–</w:t>
      </w:r>
      <w:r w:rsidR="005012E0" w:rsidRPr="003D421F">
        <w:rPr>
          <w:i/>
          <w:u w:val="single"/>
        </w:rPr>
        <w:t>Alteration to the Customs Tariff Act 1995</w:t>
      </w:r>
    </w:p>
    <w:p w:rsidR="005012E0" w:rsidRPr="003D421F" w:rsidRDefault="005012E0" w:rsidP="004533E3">
      <w:pPr>
        <w:spacing w:after="0"/>
      </w:pPr>
    </w:p>
    <w:p w:rsidR="00EB19E7" w:rsidRPr="003D421F" w:rsidRDefault="00EB19E7" w:rsidP="004533E3">
      <w:pPr>
        <w:spacing w:after="0"/>
      </w:pPr>
      <w:r w:rsidRPr="003D421F">
        <w:t xml:space="preserve">Schedule </w:t>
      </w:r>
      <w:r w:rsidR="005012E0" w:rsidRPr="003D421F">
        <w:t xml:space="preserve">1 </w:t>
      </w:r>
      <w:r w:rsidRPr="003D421F">
        <w:t xml:space="preserve">to the </w:t>
      </w:r>
      <w:r w:rsidRPr="003D421F">
        <w:rPr>
          <w:i/>
        </w:rPr>
        <w:t>Notice of Intention to Propose Customs Tariff Alteration</w:t>
      </w:r>
      <w:r w:rsidR="00C53FAD">
        <w:rPr>
          <w:i/>
        </w:rPr>
        <w:t xml:space="preserve"> </w:t>
      </w:r>
      <w:r w:rsidR="008013F9" w:rsidRPr="003D421F">
        <w:rPr>
          <w:i/>
        </w:rPr>
        <w:t>2024</w:t>
      </w:r>
      <w:r w:rsidRPr="003D421F">
        <w:t xml:space="preserve"> (</w:t>
      </w:r>
      <w:r w:rsidRPr="009A7F7E">
        <w:rPr>
          <w:b/>
          <w:i/>
        </w:rPr>
        <w:t>Notice</w:t>
      </w:r>
      <w:r w:rsidRPr="003D421F">
        <w:t>) outlines the</w:t>
      </w:r>
      <w:r w:rsidRPr="003D421F">
        <w:rPr>
          <w:i/>
        </w:rPr>
        <w:t xml:space="preserve"> </w:t>
      </w:r>
      <w:r w:rsidRPr="003D421F">
        <w:t>propo</w:t>
      </w:r>
      <w:r w:rsidR="00695585" w:rsidRPr="003D421F">
        <w:t xml:space="preserve">sed alterations to the </w:t>
      </w:r>
      <w:r w:rsidR="00695585" w:rsidRPr="003D421F">
        <w:rPr>
          <w:i/>
        </w:rPr>
        <w:t>Customs T</w:t>
      </w:r>
      <w:r w:rsidRPr="003D421F">
        <w:rPr>
          <w:i/>
        </w:rPr>
        <w:t>ariff Act 1995</w:t>
      </w:r>
      <w:r w:rsidRPr="003D421F">
        <w:t xml:space="preserve"> (Customs Tariff Act)</w:t>
      </w:r>
      <w:r w:rsidR="0033456B" w:rsidRPr="003D421F">
        <w:t xml:space="preserve"> to </w:t>
      </w:r>
      <w:r w:rsidR="008013F9" w:rsidRPr="003D421F">
        <w:t xml:space="preserve">reduce to ‘Free’ </w:t>
      </w:r>
      <w:r w:rsidR="00E405C3" w:rsidRPr="003D421F">
        <w:t xml:space="preserve">the general rate of </w:t>
      </w:r>
      <w:r w:rsidR="00DE4FA0">
        <w:t xml:space="preserve">customs </w:t>
      </w:r>
      <w:r w:rsidR="00E405C3" w:rsidRPr="003D421F">
        <w:t xml:space="preserve">duty and certain preferential rates of </w:t>
      </w:r>
      <w:r w:rsidR="00DE4FA0">
        <w:t xml:space="preserve">customs </w:t>
      </w:r>
      <w:r w:rsidR="00E405C3" w:rsidRPr="003D421F">
        <w:t>duty that apply to goods classified to certain tariff headings and subheadings.</w:t>
      </w:r>
      <w:r w:rsidRPr="003D421F">
        <w:t xml:space="preserve"> The proposed alterations operate </w:t>
      </w:r>
      <w:r w:rsidR="003604B0" w:rsidRPr="003D421F">
        <w:t>starting on</w:t>
      </w:r>
      <w:r w:rsidR="00026B25" w:rsidRPr="003D421F">
        <w:t xml:space="preserve"> 1</w:t>
      </w:r>
      <w:r w:rsidR="007227B3" w:rsidRPr="003D421F">
        <w:t xml:space="preserve"> </w:t>
      </w:r>
      <w:r w:rsidR="00E405C3" w:rsidRPr="003D421F">
        <w:t>July 2024.</w:t>
      </w:r>
    </w:p>
    <w:p w:rsidR="00886AFB" w:rsidRPr="003D421F" w:rsidRDefault="00886AFB" w:rsidP="004533E3">
      <w:pPr>
        <w:spacing w:after="0"/>
      </w:pPr>
    </w:p>
    <w:p w:rsidR="00886AFB" w:rsidRPr="003D421F" w:rsidRDefault="00886AFB" w:rsidP="004533E3">
      <w:pPr>
        <w:spacing w:after="0"/>
        <w:rPr>
          <w:b/>
          <w:i/>
        </w:rPr>
      </w:pPr>
      <w:r w:rsidRPr="003D421F">
        <w:rPr>
          <w:b/>
          <w:i/>
        </w:rPr>
        <w:t xml:space="preserve">Customs </w:t>
      </w:r>
      <w:r w:rsidR="00EB19E7" w:rsidRPr="003D421F">
        <w:rPr>
          <w:b/>
          <w:i/>
        </w:rPr>
        <w:t>Tariff Act 1995</w:t>
      </w:r>
    </w:p>
    <w:p w:rsidR="00902DDE" w:rsidRPr="003D421F" w:rsidRDefault="00902DDE" w:rsidP="004533E3">
      <w:pPr>
        <w:spacing w:after="0"/>
      </w:pPr>
    </w:p>
    <w:p w:rsidR="00902DDE" w:rsidRPr="003D421F" w:rsidRDefault="00902DDE" w:rsidP="00902DDE">
      <w:pPr>
        <w:spacing w:after="0"/>
        <w:rPr>
          <w:b/>
        </w:rPr>
      </w:pPr>
      <w:r w:rsidRPr="003D421F">
        <w:rPr>
          <w:b/>
        </w:rPr>
        <w:t xml:space="preserve">Item 1 </w:t>
      </w:r>
      <w:r w:rsidR="00E405C3" w:rsidRPr="003D421F">
        <w:rPr>
          <w:b/>
        </w:rPr>
        <w:t>Bulk amendment</w:t>
      </w:r>
    </w:p>
    <w:p w:rsidR="004A1397" w:rsidRPr="003D421F" w:rsidRDefault="004A1397" w:rsidP="00902DDE">
      <w:pPr>
        <w:spacing w:after="0"/>
      </w:pPr>
    </w:p>
    <w:p w:rsidR="00E405C3" w:rsidRPr="003D421F" w:rsidRDefault="00F969B6" w:rsidP="00902DDE">
      <w:pPr>
        <w:spacing w:after="0"/>
      </w:pPr>
      <w:r w:rsidRPr="003D421F">
        <w:t>Schedule 3</w:t>
      </w:r>
      <w:r w:rsidR="009856E6" w:rsidRPr="003D421F">
        <w:t xml:space="preserve"> </w:t>
      </w:r>
      <w:r w:rsidR="00E27C60" w:rsidRPr="003D421F">
        <w:t>to</w:t>
      </w:r>
      <w:r w:rsidR="009856E6" w:rsidRPr="003D421F">
        <w:t xml:space="preserve"> th</w:t>
      </w:r>
      <w:r w:rsidRPr="003D421F">
        <w:t xml:space="preserve">e Customs Tariff Act </w:t>
      </w:r>
      <w:r w:rsidR="005B65D3">
        <w:t>sets out in table</w:t>
      </w:r>
      <w:r w:rsidR="009A7F7E">
        <w:t>s</w:t>
      </w:r>
      <w:r w:rsidR="005B65D3">
        <w:t xml:space="preserve"> </w:t>
      </w:r>
      <w:r w:rsidR="009A7F7E">
        <w:t xml:space="preserve">the tariff headings and subheadings and </w:t>
      </w:r>
      <w:r w:rsidR="005B65D3">
        <w:t xml:space="preserve">the general rate of customs duty that applies to all imported goods </w:t>
      </w:r>
      <w:r w:rsidR="009A7F7E">
        <w:t>classified to that</w:t>
      </w:r>
      <w:r w:rsidR="005B65D3">
        <w:t xml:space="preserve"> tariff heading </w:t>
      </w:r>
      <w:r w:rsidR="009A7F7E">
        <w:t>or</w:t>
      </w:r>
      <w:r w:rsidR="005B65D3">
        <w:t xml:space="preserve"> subheading</w:t>
      </w:r>
      <w:r w:rsidRPr="003D421F">
        <w:t xml:space="preserve">. For the most part the general rate of duty is either 5 per cent or ‘Free’, depending on the tariff </w:t>
      </w:r>
      <w:r w:rsidR="00444468">
        <w:t>heading or subheading of the goods</w:t>
      </w:r>
      <w:r w:rsidRPr="003D421F">
        <w:t xml:space="preserve">. </w:t>
      </w:r>
      <w:r w:rsidR="008C0E5D" w:rsidRPr="003D421F">
        <w:t xml:space="preserve">The general rate is the rate of customs duty in </w:t>
      </w:r>
      <w:r w:rsidR="00444468">
        <w:t xml:space="preserve">column 3 of the table in </w:t>
      </w:r>
      <w:r w:rsidR="008C0E5D" w:rsidRPr="003D421F">
        <w:t xml:space="preserve">Schedule 3, other than the rate that applies in relation to a Preference Country, being Papua New Guinea, a Forum Island Country, </w:t>
      </w:r>
      <w:r w:rsidR="00C53FAD">
        <w:t xml:space="preserve">a </w:t>
      </w:r>
      <w:r w:rsidR="008C0E5D" w:rsidRPr="003D421F">
        <w:t xml:space="preserve">Least </w:t>
      </w:r>
      <w:r w:rsidR="00C53FAD">
        <w:t xml:space="preserve">a </w:t>
      </w:r>
      <w:r w:rsidR="008C0E5D" w:rsidRPr="003D421F">
        <w:t xml:space="preserve">Developed Country, </w:t>
      </w:r>
      <w:r w:rsidR="00C53FAD">
        <w:t xml:space="preserve">a </w:t>
      </w:r>
      <w:r w:rsidR="008C0E5D" w:rsidRPr="003D421F">
        <w:t>Developing Country, Canada or Singapore. Preferential rates that apply to goods where they are the produce or manufacture of a Preference Country are</w:t>
      </w:r>
      <w:r w:rsidR="00970EB3">
        <w:t>, where applicable,</w:t>
      </w:r>
      <w:r w:rsidR="008C0E5D" w:rsidRPr="003D421F">
        <w:t xml:space="preserve"> also listed in Schedule 3. </w:t>
      </w:r>
      <w:r w:rsidR="00970EB3">
        <w:t>T</w:t>
      </w:r>
      <w:r w:rsidR="008C0E5D" w:rsidRPr="003D421F">
        <w:t>hese</w:t>
      </w:r>
      <w:r w:rsidR="00970EB3">
        <w:t xml:space="preserve"> preferential</w:t>
      </w:r>
      <w:r w:rsidR="008C0E5D" w:rsidRPr="003D421F">
        <w:t xml:space="preserve"> </w:t>
      </w:r>
      <w:r w:rsidR="00970EB3">
        <w:t xml:space="preserve">customs duty </w:t>
      </w:r>
      <w:r w:rsidR="008C0E5D" w:rsidRPr="003D421F">
        <w:t>rates may be equal to or less than the applicable general r</w:t>
      </w:r>
      <w:r w:rsidR="00444468">
        <w:t xml:space="preserve">ate that applies to the </w:t>
      </w:r>
      <w:r w:rsidR="00970EB3">
        <w:t>tariff heading or subheading</w:t>
      </w:r>
      <w:r w:rsidR="00444468">
        <w:t>.</w:t>
      </w:r>
    </w:p>
    <w:p w:rsidR="00C54905" w:rsidRPr="003D421F" w:rsidRDefault="00C54905" w:rsidP="00902DDE">
      <w:pPr>
        <w:spacing w:after="0"/>
      </w:pPr>
    </w:p>
    <w:p w:rsidR="00A6124B" w:rsidRDefault="00C54905" w:rsidP="00902DDE">
      <w:pPr>
        <w:spacing w:after="0"/>
      </w:pPr>
      <w:r w:rsidRPr="003D421F">
        <w:t xml:space="preserve">Item 1 provides that each rate of </w:t>
      </w:r>
      <w:r w:rsidR="00444468">
        <w:t xml:space="preserve">customs </w:t>
      </w:r>
      <w:r w:rsidRPr="003D421F">
        <w:t xml:space="preserve">duty listed in column 3 of the tariff headings and subheadings listed in the table </w:t>
      </w:r>
      <w:r w:rsidR="00444468">
        <w:t xml:space="preserve">under that item of the </w:t>
      </w:r>
      <w:r w:rsidR="00C53FAD">
        <w:t xml:space="preserve">Notice </w:t>
      </w:r>
      <w:r w:rsidRPr="003D421F">
        <w:t xml:space="preserve">will be repealed and </w:t>
      </w:r>
      <w:r w:rsidR="00444468">
        <w:t>substituted</w:t>
      </w:r>
      <w:r w:rsidRPr="003D421F">
        <w:t xml:space="preserve"> with </w:t>
      </w:r>
      <w:r w:rsidR="00444468">
        <w:t xml:space="preserve">a rate of customs duty of </w:t>
      </w:r>
      <w:r w:rsidRPr="003D421F">
        <w:t>‘Free’.</w:t>
      </w:r>
    </w:p>
    <w:p w:rsidR="00A6124B" w:rsidRDefault="00A6124B" w:rsidP="00902DDE">
      <w:pPr>
        <w:spacing w:after="0"/>
      </w:pPr>
    </w:p>
    <w:p w:rsidR="00C54905" w:rsidRPr="003D421F" w:rsidRDefault="00444468" w:rsidP="00902DDE">
      <w:pPr>
        <w:spacing w:after="0"/>
      </w:pPr>
      <w:r>
        <w:t xml:space="preserve">The effect of the alterations made by this item is </w:t>
      </w:r>
      <w:r w:rsidR="00A6124B">
        <w:t xml:space="preserve">that the general rate of customs duty </w:t>
      </w:r>
      <w:r w:rsidR="00F922AE">
        <w:t>for goods, classified to tariff headings and subheadings listed in the table, are reduced to the rate of customs duty of ‘</w:t>
      </w:r>
      <w:r w:rsidR="00970EB3">
        <w:t>F</w:t>
      </w:r>
      <w:r w:rsidR="00F922AE">
        <w:t xml:space="preserve">ree’. </w:t>
      </w:r>
    </w:p>
    <w:p w:rsidR="00E405C3" w:rsidRPr="003D421F" w:rsidRDefault="00E405C3" w:rsidP="00902DDE">
      <w:pPr>
        <w:spacing w:after="0"/>
      </w:pPr>
    </w:p>
    <w:p w:rsidR="00C54905" w:rsidRPr="003D421F" w:rsidRDefault="00C54905" w:rsidP="00C54905">
      <w:pPr>
        <w:spacing w:after="0"/>
        <w:rPr>
          <w:b/>
        </w:rPr>
      </w:pPr>
      <w:r w:rsidRPr="003D421F">
        <w:rPr>
          <w:b/>
        </w:rPr>
        <w:t xml:space="preserve">Items 2 to </w:t>
      </w:r>
      <w:r w:rsidR="007541E5" w:rsidRPr="003D421F">
        <w:rPr>
          <w:b/>
        </w:rPr>
        <w:t>1</w:t>
      </w:r>
      <w:r w:rsidR="00DB3E18">
        <w:rPr>
          <w:b/>
        </w:rPr>
        <w:t>80</w:t>
      </w:r>
    </w:p>
    <w:p w:rsidR="00C54905" w:rsidRPr="003D421F" w:rsidRDefault="00C54905" w:rsidP="00C54905">
      <w:pPr>
        <w:spacing w:after="0"/>
        <w:rPr>
          <w:b/>
        </w:rPr>
      </w:pPr>
    </w:p>
    <w:p w:rsidR="00B92358" w:rsidRPr="003D421F" w:rsidRDefault="00C54905" w:rsidP="00902DDE">
      <w:pPr>
        <w:spacing w:after="0"/>
      </w:pPr>
      <w:r w:rsidRPr="003D421F">
        <w:t xml:space="preserve">Schedule 14 of the Customs Tariff Act provides preferential rates of </w:t>
      </w:r>
      <w:r w:rsidR="007B6945">
        <w:t xml:space="preserve">customs </w:t>
      </w:r>
      <w:r w:rsidRPr="003D421F">
        <w:t>duty for goods that</w:t>
      </w:r>
      <w:r w:rsidR="006E2241" w:rsidRPr="003D421F">
        <w:t xml:space="preserve"> </w:t>
      </w:r>
      <w:r w:rsidR="007D2F8F" w:rsidRPr="003D421F">
        <w:t>are RCEP originating</w:t>
      </w:r>
      <w:r w:rsidR="006D1E0B">
        <w:t xml:space="preserve"> goods</w:t>
      </w:r>
      <w:r w:rsidR="007D2F8F" w:rsidRPr="003D421F">
        <w:t xml:space="preserve"> under the </w:t>
      </w:r>
      <w:r w:rsidRPr="003D421F">
        <w:t>Regional Comprehensive Economic Partnership (RCEP) Agreement</w:t>
      </w:r>
      <w:r w:rsidR="006D1E0B">
        <w:t>,</w:t>
      </w:r>
      <w:r w:rsidR="007D2F8F" w:rsidRPr="003D421F">
        <w:t xml:space="preserve"> and within the meaning of Division 1N of Part VIII of the Customs Act</w:t>
      </w:r>
      <w:r w:rsidR="006E2241" w:rsidRPr="003D421F">
        <w:t xml:space="preserve">. The </w:t>
      </w:r>
      <w:r w:rsidR="007D2F8F" w:rsidRPr="003D421F">
        <w:t xml:space="preserve">third column of the </w:t>
      </w:r>
      <w:r w:rsidR="006E2241" w:rsidRPr="003D421F">
        <w:t>table in Schedule 14 provide</w:t>
      </w:r>
      <w:r w:rsidR="007D2F8F" w:rsidRPr="003D421F">
        <w:t>s</w:t>
      </w:r>
      <w:r w:rsidR="006E2241" w:rsidRPr="003D421F">
        <w:t xml:space="preserve"> the preferential rates of </w:t>
      </w:r>
      <w:r w:rsidR="007B6945">
        <w:t xml:space="preserve">customs </w:t>
      </w:r>
      <w:r w:rsidR="006E2241" w:rsidRPr="003D421F">
        <w:t>duty, and incremental reductions where applicable</w:t>
      </w:r>
      <w:r w:rsidR="007D2F8F" w:rsidRPr="003D421F">
        <w:t>,</w:t>
      </w:r>
      <w:r w:rsidR="006E2241" w:rsidRPr="003D421F">
        <w:t xml:space="preserve"> for the </w:t>
      </w:r>
      <w:r w:rsidRPr="003D421F">
        <w:t>tariff headings and subheading</w:t>
      </w:r>
      <w:r w:rsidR="007D2F8F" w:rsidRPr="003D421F">
        <w:t xml:space="preserve"> listed in column two of that table</w:t>
      </w:r>
      <w:r w:rsidR="006E2241" w:rsidRPr="003D421F">
        <w:t xml:space="preserve">. A ‘Free’ rate of </w:t>
      </w:r>
      <w:r w:rsidR="007B6945">
        <w:t xml:space="preserve">customs </w:t>
      </w:r>
      <w:r w:rsidR="006E2241" w:rsidRPr="003D421F">
        <w:t xml:space="preserve">duty applies to goods classified to tariff headings and subheadings not listed in </w:t>
      </w:r>
      <w:r w:rsidR="007D2F8F" w:rsidRPr="003D421F">
        <w:t xml:space="preserve">the table in </w:t>
      </w:r>
      <w:r w:rsidR="006E2241" w:rsidRPr="003D421F">
        <w:t>Schedule 14.</w:t>
      </w:r>
    </w:p>
    <w:p w:rsidR="00B92358" w:rsidRPr="003D421F" w:rsidRDefault="00B92358" w:rsidP="00902DDE">
      <w:pPr>
        <w:spacing w:after="0"/>
      </w:pPr>
    </w:p>
    <w:p w:rsidR="00B92358" w:rsidRPr="003D421F" w:rsidRDefault="00B92358" w:rsidP="00902DDE">
      <w:pPr>
        <w:spacing w:after="0"/>
      </w:pPr>
      <w:r w:rsidRPr="003D421F">
        <w:t xml:space="preserve">Items 2 to </w:t>
      </w:r>
      <w:r w:rsidR="007B6945">
        <w:t>1</w:t>
      </w:r>
      <w:r w:rsidR="00563791">
        <w:t>80</w:t>
      </w:r>
      <w:r w:rsidRPr="003D421F">
        <w:t xml:space="preserve"> repeal </w:t>
      </w:r>
      <w:r w:rsidR="007B6945">
        <w:t xml:space="preserve">cells of </w:t>
      </w:r>
      <w:r w:rsidR="00E011BA">
        <w:t xml:space="preserve">specified </w:t>
      </w:r>
      <w:r w:rsidR="007B6945">
        <w:t xml:space="preserve">table items under </w:t>
      </w:r>
      <w:r w:rsidRPr="003D421F">
        <w:t xml:space="preserve">column 3 and substitute </w:t>
      </w:r>
      <w:r w:rsidR="00E011BA">
        <w:t xml:space="preserve">with </w:t>
      </w:r>
      <w:r w:rsidRPr="003D421F">
        <w:t>revised incremental reductions</w:t>
      </w:r>
      <w:r w:rsidR="009975C8" w:rsidRPr="003D421F">
        <w:t xml:space="preserve"> that apply to the </w:t>
      </w:r>
      <w:r w:rsidR="007D2F8F" w:rsidRPr="003D421F">
        <w:t xml:space="preserve">RCEP originating </w:t>
      </w:r>
      <w:r w:rsidR="009975C8" w:rsidRPr="003D421F">
        <w:t xml:space="preserve">goods classified to the </w:t>
      </w:r>
      <w:r w:rsidR="007D2F8F" w:rsidRPr="003D421F">
        <w:t>tariff heading or subheading in column 2 of that table item</w:t>
      </w:r>
      <w:r w:rsidRPr="003D421F">
        <w:t>. The revised reductions retain th</w:t>
      </w:r>
      <w:r w:rsidR="005C22B0" w:rsidRPr="003D421F">
        <w:t xml:space="preserve">e phasing rates that have commenced </w:t>
      </w:r>
      <w:r w:rsidRPr="003D421F">
        <w:t xml:space="preserve">between 1 January 2022, the date that the RCEP Agreement entered into force, and </w:t>
      </w:r>
      <w:r w:rsidR="009975C8" w:rsidRPr="003D421F">
        <w:t xml:space="preserve">1 January 2024 and </w:t>
      </w:r>
      <w:r w:rsidR="005C22B0" w:rsidRPr="003D421F">
        <w:t>inserts the</w:t>
      </w:r>
      <w:r w:rsidR="009975C8" w:rsidRPr="003D421F">
        <w:t xml:space="preserve"> reduction to </w:t>
      </w:r>
      <w:r w:rsidR="005C22B0" w:rsidRPr="003D421F">
        <w:t xml:space="preserve">the </w:t>
      </w:r>
      <w:r w:rsidR="00E011BA">
        <w:t xml:space="preserve">customs </w:t>
      </w:r>
      <w:r w:rsidR="005C22B0" w:rsidRPr="003D421F">
        <w:t xml:space="preserve">duty rate of </w:t>
      </w:r>
      <w:r w:rsidR="009975C8" w:rsidRPr="003D421F">
        <w:t>‘Free’ which occurs on 1 July 2024.</w:t>
      </w:r>
    </w:p>
    <w:p w:rsidR="009975C8" w:rsidRPr="003D421F" w:rsidRDefault="009975C8" w:rsidP="00902DDE">
      <w:pPr>
        <w:spacing w:after="0"/>
      </w:pPr>
    </w:p>
    <w:p w:rsidR="006D1E0B" w:rsidRDefault="009975C8" w:rsidP="002A0C7D">
      <w:pPr>
        <w:spacing w:after="0"/>
      </w:pPr>
      <w:r w:rsidRPr="003D421F">
        <w:t xml:space="preserve">This formulation ensures that incremental reductions that have already taken place are retained, while ensuring that the preferential rate of customs duty applied to RCEP originating goods is not higher than the general rate of </w:t>
      </w:r>
      <w:r w:rsidR="00E011BA">
        <w:t xml:space="preserve">customs </w:t>
      </w:r>
      <w:r w:rsidRPr="003D421F">
        <w:t>duty.</w:t>
      </w:r>
    </w:p>
    <w:p w:rsidR="006D1E0B" w:rsidRDefault="006D1E0B" w:rsidP="002A0C7D">
      <w:pPr>
        <w:spacing w:after="0"/>
      </w:pPr>
    </w:p>
    <w:p w:rsidR="002A0C7D" w:rsidRPr="003D421F" w:rsidRDefault="002A0C7D" w:rsidP="002A0C7D">
      <w:pPr>
        <w:spacing w:after="0"/>
        <w:rPr>
          <w:b/>
        </w:rPr>
      </w:pPr>
      <w:r>
        <w:t xml:space="preserve">The effect of the alterations made by these items is to maintain the staged customs duty </w:t>
      </w:r>
      <w:r w:rsidR="006D1E0B">
        <w:t xml:space="preserve">rate </w:t>
      </w:r>
      <w:r>
        <w:t xml:space="preserve">reductions </w:t>
      </w:r>
      <w:r w:rsidR="00996114" w:rsidRPr="00996114">
        <w:t>in place as at 1 January 2024</w:t>
      </w:r>
      <w:r w:rsidR="00996114">
        <w:t xml:space="preserve"> </w:t>
      </w:r>
      <w:r>
        <w:t>applic</w:t>
      </w:r>
      <w:r w:rsidR="006D1E0B">
        <w:t>able to goods classified to the</w:t>
      </w:r>
      <w:r w:rsidR="00A3077D">
        <w:t xml:space="preserve"> </w:t>
      </w:r>
      <w:r>
        <w:t xml:space="preserve">headings and subheadings </w:t>
      </w:r>
      <w:r w:rsidR="006D1E0B">
        <w:t xml:space="preserve">affected by the proposal which are also </w:t>
      </w:r>
      <w:r>
        <w:t>provided for under the RCEP Agreement, then to reduce the customs duty on those goods to the rate of “Free” from 1 July 2024.</w:t>
      </w:r>
    </w:p>
    <w:p w:rsidR="002A0C7D" w:rsidRPr="003D421F" w:rsidRDefault="002A0C7D" w:rsidP="000444F7">
      <w:pPr>
        <w:tabs>
          <w:tab w:val="left" w:pos="2140"/>
        </w:tabs>
        <w:spacing w:after="0"/>
        <w:rPr>
          <w:b/>
        </w:rPr>
      </w:pPr>
    </w:p>
    <w:p w:rsidR="005B6859" w:rsidRPr="003D421F" w:rsidRDefault="005B6859" w:rsidP="00E4450D">
      <w:pPr>
        <w:pStyle w:val="NoSpacing"/>
        <w:jc w:val="center"/>
        <w:rPr>
          <w:rFonts w:ascii="Times New Roman" w:hAnsi="Times New Roman" w:cs="Times New Roman"/>
          <w:b/>
          <w:sz w:val="24"/>
          <w:szCs w:val="24"/>
        </w:rPr>
      </w:pPr>
    </w:p>
    <w:sectPr w:rsidR="005B6859" w:rsidRPr="003D421F" w:rsidSect="005A4893">
      <w:footerReference w:type="default" r:id="rId11"/>
      <w:pgSz w:w="11906" w:h="16838"/>
      <w:pgMar w:top="1134"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72961C" w16cex:dateUtc="2022-07-08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E5D27" w16cid:durableId="267294B3"/>
  <w16cid:commentId w16cid:paraId="20F65E5A" w16cid:durableId="2672961C"/>
  <w16cid:commentId w16cid:paraId="3E985C10" w16cid:durableId="267294B4"/>
  <w16cid:commentId w16cid:paraId="1AFA32A8" w16cid:durableId="267294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17E" w:rsidRDefault="00EB617E" w:rsidP="00765B23">
      <w:pPr>
        <w:spacing w:after="0"/>
      </w:pPr>
      <w:r>
        <w:separator/>
      </w:r>
    </w:p>
  </w:endnote>
  <w:endnote w:type="continuationSeparator" w:id="0">
    <w:p w:rsidR="00EB617E" w:rsidRDefault="00EB617E" w:rsidP="00765B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100399"/>
      <w:docPartObj>
        <w:docPartGallery w:val="Page Numbers (Bottom of Page)"/>
        <w:docPartUnique/>
      </w:docPartObj>
    </w:sdtPr>
    <w:sdtEndPr>
      <w:rPr>
        <w:noProof/>
      </w:rPr>
    </w:sdtEndPr>
    <w:sdtContent>
      <w:p w:rsidR="00765B23" w:rsidRDefault="00765B23">
        <w:pPr>
          <w:pStyle w:val="Footer"/>
          <w:jc w:val="center"/>
        </w:pPr>
        <w:r>
          <w:fldChar w:fldCharType="begin"/>
        </w:r>
        <w:r>
          <w:instrText xml:space="preserve"> PAGE   \* MERGEFORMAT </w:instrText>
        </w:r>
        <w:r>
          <w:fldChar w:fldCharType="separate"/>
        </w:r>
        <w:r w:rsidR="003D0C8D">
          <w:rPr>
            <w:noProof/>
          </w:rPr>
          <w:t>1</w:t>
        </w:r>
        <w:r>
          <w:rPr>
            <w:noProof/>
          </w:rPr>
          <w:fldChar w:fldCharType="end"/>
        </w:r>
      </w:p>
    </w:sdtContent>
  </w:sdt>
  <w:p w:rsidR="00765B23" w:rsidRDefault="00765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17E" w:rsidRDefault="00EB617E" w:rsidP="00765B23">
      <w:pPr>
        <w:spacing w:after="0"/>
      </w:pPr>
      <w:r>
        <w:separator/>
      </w:r>
    </w:p>
  </w:footnote>
  <w:footnote w:type="continuationSeparator" w:id="0">
    <w:p w:rsidR="00EB617E" w:rsidRDefault="00EB617E" w:rsidP="00765B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32D"/>
    <w:multiLevelType w:val="hybridMultilevel"/>
    <w:tmpl w:val="12A82A94"/>
    <w:lvl w:ilvl="0" w:tplc="091260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2" w15:restartNumberingAfterBreak="0">
    <w:nsid w:val="23F240E8"/>
    <w:multiLevelType w:val="hybridMultilevel"/>
    <w:tmpl w:val="288A8F0A"/>
    <w:lvl w:ilvl="0" w:tplc="CEA633D0">
      <w:start w:val="1"/>
      <w:numFmt w:val="lowerLetter"/>
      <w:lvlText w:val="(%1)"/>
      <w:lvlJc w:val="left"/>
      <w:pPr>
        <w:ind w:left="360"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 w15:restartNumberingAfterBreak="0">
    <w:nsid w:val="25A736C2"/>
    <w:multiLevelType w:val="hybridMultilevel"/>
    <w:tmpl w:val="E4A067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1C1E92"/>
    <w:multiLevelType w:val="hybridMultilevel"/>
    <w:tmpl w:val="288A8F0A"/>
    <w:lvl w:ilvl="0" w:tplc="CEA633D0">
      <w:start w:val="1"/>
      <w:numFmt w:val="lowerLetter"/>
      <w:lvlText w:val="(%1)"/>
      <w:lvlJc w:val="left"/>
      <w:pPr>
        <w:ind w:left="360"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5" w15:restartNumberingAfterBreak="0">
    <w:nsid w:val="2B59218C"/>
    <w:multiLevelType w:val="hybridMultilevel"/>
    <w:tmpl w:val="5EA08AE4"/>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3D977D84"/>
    <w:multiLevelType w:val="hybridMultilevel"/>
    <w:tmpl w:val="60FE77E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6976CB"/>
    <w:multiLevelType w:val="hybridMultilevel"/>
    <w:tmpl w:val="87069B3A"/>
    <w:lvl w:ilvl="0" w:tplc="97FE6B0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B55707"/>
    <w:multiLevelType w:val="hybridMultilevel"/>
    <w:tmpl w:val="4E0EEA76"/>
    <w:lvl w:ilvl="0" w:tplc="7DACA7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71504"/>
    <w:multiLevelType w:val="hybridMultilevel"/>
    <w:tmpl w:val="E66ECB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FB70BF"/>
    <w:multiLevelType w:val="hybridMultilevel"/>
    <w:tmpl w:val="23DE7B02"/>
    <w:lvl w:ilvl="0" w:tplc="D4C66CDE">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6B296B"/>
    <w:multiLevelType w:val="hybridMultilevel"/>
    <w:tmpl w:val="5A66903C"/>
    <w:lvl w:ilvl="0" w:tplc="D7E05F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214D1E"/>
    <w:multiLevelType w:val="hybridMultilevel"/>
    <w:tmpl w:val="6AAA9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B62C00"/>
    <w:multiLevelType w:val="hybridMultilevel"/>
    <w:tmpl w:val="288A8F0A"/>
    <w:lvl w:ilvl="0" w:tplc="CEA633D0">
      <w:start w:val="1"/>
      <w:numFmt w:val="lowerLetter"/>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DC518DA"/>
    <w:multiLevelType w:val="hybridMultilevel"/>
    <w:tmpl w:val="CD5278F2"/>
    <w:lvl w:ilvl="0" w:tplc="4D1EE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633A5"/>
    <w:multiLevelType w:val="hybridMultilevel"/>
    <w:tmpl w:val="109C8716"/>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6" w15:restartNumberingAfterBreak="0">
    <w:nsid w:val="6F3521E3"/>
    <w:multiLevelType w:val="hybridMultilevel"/>
    <w:tmpl w:val="6218963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647BB8"/>
    <w:multiLevelType w:val="hybridMultilevel"/>
    <w:tmpl w:val="288A8F0A"/>
    <w:lvl w:ilvl="0" w:tplc="CEA633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5A4A76"/>
    <w:multiLevelType w:val="hybridMultilevel"/>
    <w:tmpl w:val="7B56040C"/>
    <w:lvl w:ilvl="0" w:tplc="F3E653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35E40"/>
    <w:multiLevelType w:val="hybridMultilevel"/>
    <w:tmpl w:val="4238ABEA"/>
    <w:lvl w:ilvl="0" w:tplc="D28CF09A">
      <w:start w:val="1"/>
      <w:numFmt w:val="decimal"/>
      <w:lvlText w:val="%1."/>
      <w:lvlJc w:val="left"/>
      <w:pPr>
        <w:ind w:left="720" w:hanging="360"/>
      </w:pPr>
      <w:rPr>
        <w:b w:val="0"/>
        <w:i w:val="0"/>
      </w:rPr>
    </w:lvl>
    <w:lvl w:ilvl="1" w:tplc="FD40226A">
      <w:start w:val="1"/>
      <w:numFmt w:val="lowerLetter"/>
      <w:lvlText w:val="(%2)"/>
      <w:lvlJc w:val="left"/>
      <w:pPr>
        <w:ind w:left="1440" w:hanging="360"/>
      </w:pPr>
      <w:rPr>
        <w:rFonts w:ascii="Times New Roman" w:eastAsiaTheme="minorHAnsi" w:hAnsi="Times New Roman" w:cs="Times New Roman"/>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0"/>
  </w:num>
  <w:num w:numId="5">
    <w:abstractNumId w:val="7"/>
  </w:num>
  <w:num w:numId="6">
    <w:abstractNumId w:val="10"/>
  </w:num>
  <w:num w:numId="7">
    <w:abstractNumId w:val="16"/>
  </w:num>
  <w:num w:numId="8">
    <w:abstractNumId w:val="11"/>
  </w:num>
  <w:num w:numId="9">
    <w:abstractNumId w:val="14"/>
  </w:num>
  <w:num w:numId="10">
    <w:abstractNumId w:val="18"/>
  </w:num>
  <w:num w:numId="11">
    <w:abstractNumId w:val="8"/>
  </w:num>
  <w:num w:numId="12">
    <w:abstractNumId w:val="1"/>
    <w:lvlOverride w:ilvl="0">
      <w:startOverride w:val="1"/>
    </w:lvlOverride>
  </w:num>
  <w:num w:numId="13">
    <w:abstractNumId w:val="5"/>
  </w:num>
  <w:num w:numId="14">
    <w:abstractNumId w:val="19"/>
  </w:num>
  <w:num w:numId="15">
    <w:abstractNumId w:val="12"/>
  </w:num>
  <w:num w:numId="16">
    <w:abstractNumId w:val="13"/>
  </w:num>
  <w:num w:numId="17">
    <w:abstractNumId w:val="17"/>
  </w:num>
  <w:num w:numId="18">
    <w:abstractNumId w:val="4"/>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E6"/>
    <w:rsid w:val="000007BF"/>
    <w:rsid w:val="00011F9F"/>
    <w:rsid w:val="000146BB"/>
    <w:rsid w:val="000163E2"/>
    <w:rsid w:val="00017A3C"/>
    <w:rsid w:val="00020DE6"/>
    <w:rsid w:val="00024EDE"/>
    <w:rsid w:val="000267B7"/>
    <w:rsid w:val="00026B25"/>
    <w:rsid w:val="000270AA"/>
    <w:rsid w:val="00037A3B"/>
    <w:rsid w:val="000444F7"/>
    <w:rsid w:val="00045AED"/>
    <w:rsid w:val="000469B6"/>
    <w:rsid w:val="00047D65"/>
    <w:rsid w:val="0005336B"/>
    <w:rsid w:val="00056562"/>
    <w:rsid w:val="00060FE3"/>
    <w:rsid w:val="00061C2E"/>
    <w:rsid w:val="00082D5E"/>
    <w:rsid w:val="0008486A"/>
    <w:rsid w:val="00093BA7"/>
    <w:rsid w:val="0009508A"/>
    <w:rsid w:val="0009558B"/>
    <w:rsid w:val="000966A7"/>
    <w:rsid w:val="000972A0"/>
    <w:rsid w:val="000A140C"/>
    <w:rsid w:val="000A1949"/>
    <w:rsid w:val="000A226E"/>
    <w:rsid w:val="000A5D35"/>
    <w:rsid w:val="000B6C1C"/>
    <w:rsid w:val="000C0B7E"/>
    <w:rsid w:val="000C2F7A"/>
    <w:rsid w:val="000C4DA3"/>
    <w:rsid w:val="000C5AEF"/>
    <w:rsid w:val="000D2864"/>
    <w:rsid w:val="000D56AA"/>
    <w:rsid w:val="000D6AD4"/>
    <w:rsid w:val="000E3FE0"/>
    <w:rsid w:val="000E54DB"/>
    <w:rsid w:val="000F01EB"/>
    <w:rsid w:val="00100802"/>
    <w:rsid w:val="0010195F"/>
    <w:rsid w:val="00101CBB"/>
    <w:rsid w:val="0010579C"/>
    <w:rsid w:val="001068B5"/>
    <w:rsid w:val="00106C35"/>
    <w:rsid w:val="00113263"/>
    <w:rsid w:val="00123325"/>
    <w:rsid w:val="00127EFC"/>
    <w:rsid w:val="00127F9F"/>
    <w:rsid w:val="001304EB"/>
    <w:rsid w:val="00134DEF"/>
    <w:rsid w:val="001352EE"/>
    <w:rsid w:val="001430AD"/>
    <w:rsid w:val="00153305"/>
    <w:rsid w:val="00156E21"/>
    <w:rsid w:val="001631E2"/>
    <w:rsid w:val="00166B5C"/>
    <w:rsid w:val="00173842"/>
    <w:rsid w:val="00183C63"/>
    <w:rsid w:val="001870CA"/>
    <w:rsid w:val="001941C1"/>
    <w:rsid w:val="0019631C"/>
    <w:rsid w:val="001A1235"/>
    <w:rsid w:val="001A1539"/>
    <w:rsid w:val="001A25D7"/>
    <w:rsid w:val="001A3662"/>
    <w:rsid w:val="001D6B83"/>
    <w:rsid w:val="001E125D"/>
    <w:rsid w:val="001E5A71"/>
    <w:rsid w:val="00200589"/>
    <w:rsid w:val="0020662B"/>
    <w:rsid w:val="0020717F"/>
    <w:rsid w:val="00207CE4"/>
    <w:rsid w:val="002105AE"/>
    <w:rsid w:val="00222593"/>
    <w:rsid w:val="00225A52"/>
    <w:rsid w:val="00225DFB"/>
    <w:rsid w:val="002268EE"/>
    <w:rsid w:val="00227A37"/>
    <w:rsid w:val="0023175C"/>
    <w:rsid w:val="00232D8E"/>
    <w:rsid w:val="0023566D"/>
    <w:rsid w:val="00241A2D"/>
    <w:rsid w:val="00241E8E"/>
    <w:rsid w:val="00246377"/>
    <w:rsid w:val="00247B20"/>
    <w:rsid w:val="002500BA"/>
    <w:rsid w:val="0025016B"/>
    <w:rsid w:val="00252D0A"/>
    <w:rsid w:val="00265FC1"/>
    <w:rsid w:val="002669CF"/>
    <w:rsid w:val="00270F75"/>
    <w:rsid w:val="00273370"/>
    <w:rsid w:val="00280801"/>
    <w:rsid w:val="00281D96"/>
    <w:rsid w:val="002822F6"/>
    <w:rsid w:val="00285315"/>
    <w:rsid w:val="002854DB"/>
    <w:rsid w:val="00291F25"/>
    <w:rsid w:val="00293D6F"/>
    <w:rsid w:val="002A0C7D"/>
    <w:rsid w:val="002B5995"/>
    <w:rsid w:val="002B6B3C"/>
    <w:rsid w:val="002C1E11"/>
    <w:rsid w:val="002D2EC3"/>
    <w:rsid w:val="002D34A2"/>
    <w:rsid w:val="002D73CB"/>
    <w:rsid w:val="002D76E8"/>
    <w:rsid w:val="002E394F"/>
    <w:rsid w:val="002E613B"/>
    <w:rsid w:val="002E6B23"/>
    <w:rsid w:val="002F0629"/>
    <w:rsid w:val="002F07FF"/>
    <w:rsid w:val="002F6685"/>
    <w:rsid w:val="0030196E"/>
    <w:rsid w:val="003024BB"/>
    <w:rsid w:val="0030692E"/>
    <w:rsid w:val="003209C5"/>
    <w:rsid w:val="00320F03"/>
    <w:rsid w:val="00322110"/>
    <w:rsid w:val="00323809"/>
    <w:rsid w:val="003248A6"/>
    <w:rsid w:val="00324C0C"/>
    <w:rsid w:val="00326755"/>
    <w:rsid w:val="0032726E"/>
    <w:rsid w:val="003309D1"/>
    <w:rsid w:val="00331759"/>
    <w:rsid w:val="0033456B"/>
    <w:rsid w:val="00336232"/>
    <w:rsid w:val="00336B7A"/>
    <w:rsid w:val="00340D6F"/>
    <w:rsid w:val="0034256E"/>
    <w:rsid w:val="00351276"/>
    <w:rsid w:val="003539FD"/>
    <w:rsid w:val="00360024"/>
    <w:rsid w:val="0036006F"/>
    <w:rsid w:val="003604B0"/>
    <w:rsid w:val="00361024"/>
    <w:rsid w:val="00362F21"/>
    <w:rsid w:val="00363315"/>
    <w:rsid w:val="00380717"/>
    <w:rsid w:val="003831C0"/>
    <w:rsid w:val="003836D3"/>
    <w:rsid w:val="003842D0"/>
    <w:rsid w:val="00390AEC"/>
    <w:rsid w:val="003A1F73"/>
    <w:rsid w:val="003A3AC2"/>
    <w:rsid w:val="003B0BF1"/>
    <w:rsid w:val="003B19C2"/>
    <w:rsid w:val="003B1EC4"/>
    <w:rsid w:val="003B3C8E"/>
    <w:rsid w:val="003C1B32"/>
    <w:rsid w:val="003C4AFF"/>
    <w:rsid w:val="003C594E"/>
    <w:rsid w:val="003D0C8D"/>
    <w:rsid w:val="003D19F1"/>
    <w:rsid w:val="003D421F"/>
    <w:rsid w:val="003D4C7B"/>
    <w:rsid w:val="003D5FA0"/>
    <w:rsid w:val="003E0C78"/>
    <w:rsid w:val="003E4D5B"/>
    <w:rsid w:val="003E725B"/>
    <w:rsid w:val="003F0391"/>
    <w:rsid w:val="003F108B"/>
    <w:rsid w:val="003F3DA9"/>
    <w:rsid w:val="00406FF0"/>
    <w:rsid w:val="00407199"/>
    <w:rsid w:val="004074D3"/>
    <w:rsid w:val="00412056"/>
    <w:rsid w:val="0041396F"/>
    <w:rsid w:val="00414F54"/>
    <w:rsid w:val="00423137"/>
    <w:rsid w:val="00423E9E"/>
    <w:rsid w:val="00427A85"/>
    <w:rsid w:val="00433C1E"/>
    <w:rsid w:val="0044151A"/>
    <w:rsid w:val="00442688"/>
    <w:rsid w:val="00444468"/>
    <w:rsid w:val="004533E3"/>
    <w:rsid w:val="004573DF"/>
    <w:rsid w:val="0046343A"/>
    <w:rsid w:val="00467F44"/>
    <w:rsid w:val="00471474"/>
    <w:rsid w:val="00487D64"/>
    <w:rsid w:val="00490869"/>
    <w:rsid w:val="0049280C"/>
    <w:rsid w:val="00496441"/>
    <w:rsid w:val="00496EA3"/>
    <w:rsid w:val="0049779B"/>
    <w:rsid w:val="004A02D8"/>
    <w:rsid w:val="004A1397"/>
    <w:rsid w:val="004A38D7"/>
    <w:rsid w:val="004B0594"/>
    <w:rsid w:val="004B0A9C"/>
    <w:rsid w:val="004B4A0C"/>
    <w:rsid w:val="004B59A4"/>
    <w:rsid w:val="004C06F7"/>
    <w:rsid w:val="004C249E"/>
    <w:rsid w:val="004C529A"/>
    <w:rsid w:val="004D5C84"/>
    <w:rsid w:val="004D6714"/>
    <w:rsid w:val="004E114C"/>
    <w:rsid w:val="004E633E"/>
    <w:rsid w:val="004F6373"/>
    <w:rsid w:val="0050001A"/>
    <w:rsid w:val="005012E0"/>
    <w:rsid w:val="005017D3"/>
    <w:rsid w:val="00503C52"/>
    <w:rsid w:val="00506348"/>
    <w:rsid w:val="00514755"/>
    <w:rsid w:val="0051775C"/>
    <w:rsid w:val="00520326"/>
    <w:rsid w:val="00522094"/>
    <w:rsid w:val="00522110"/>
    <w:rsid w:val="00522CDA"/>
    <w:rsid w:val="00531BE1"/>
    <w:rsid w:val="00541AEC"/>
    <w:rsid w:val="00543FDA"/>
    <w:rsid w:val="005446A5"/>
    <w:rsid w:val="005560AB"/>
    <w:rsid w:val="00557028"/>
    <w:rsid w:val="00563791"/>
    <w:rsid w:val="00565AA9"/>
    <w:rsid w:val="00572100"/>
    <w:rsid w:val="005722AF"/>
    <w:rsid w:val="005821C1"/>
    <w:rsid w:val="005840DD"/>
    <w:rsid w:val="00590A7E"/>
    <w:rsid w:val="00590ABC"/>
    <w:rsid w:val="00590D87"/>
    <w:rsid w:val="0059619E"/>
    <w:rsid w:val="005A2042"/>
    <w:rsid w:val="005A4893"/>
    <w:rsid w:val="005B65D3"/>
    <w:rsid w:val="005B6859"/>
    <w:rsid w:val="005C22B0"/>
    <w:rsid w:val="005C2CC9"/>
    <w:rsid w:val="005D3B82"/>
    <w:rsid w:val="005D4221"/>
    <w:rsid w:val="005E1E65"/>
    <w:rsid w:val="005E716B"/>
    <w:rsid w:val="005F15DC"/>
    <w:rsid w:val="005F433B"/>
    <w:rsid w:val="00606421"/>
    <w:rsid w:val="0061053A"/>
    <w:rsid w:val="00611DB3"/>
    <w:rsid w:val="00615655"/>
    <w:rsid w:val="00616D6D"/>
    <w:rsid w:val="00622833"/>
    <w:rsid w:val="00622C3F"/>
    <w:rsid w:val="00625AAC"/>
    <w:rsid w:val="006303EA"/>
    <w:rsid w:val="0063100C"/>
    <w:rsid w:val="006345A4"/>
    <w:rsid w:val="00634B4E"/>
    <w:rsid w:val="00644009"/>
    <w:rsid w:val="006501BB"/>
    <w:rsid w:val="006507D5"/>
    <w:rsid w:val="00651C51"/>
    <w:rsid w:val="00652D1C"/>
    <w:rsid w:val="00654328"/>
    <w:rsid w:val="00663919"/>
    <w:rsid w:val="00663ADE"/>
    <w:rsid w:val="00675780"/>
    <w:rsid w:val="00675F63"/>
    <w:rsid w:val="00677969"/>
    <w:rsid w:val="00680427"/>
    <w:rsid w:val="00683ED4"/>
    <w:rsid w:val="00686984"/>
    <w:rsid w:val="0069045A"/>
    <w:rsid w:val="006926AC"/>
    <w:rsid w:val="00693420"/>
    <w:rsid w:val="00695585"/>
    <w:rsid w:val="00696EED"/>
    <w:rsid w:val="00697A1B"/>
    <w:rsid w:val="006A096C"/>
    <w:rsid w:val="006A0F4D"/>
    <w:rsid w:val="006B201E"/>
    <w:rsid w:val="006C2F59"/>
    <w:rsid w:val="006C3DE9"/>
    <w:rsid w:val="006D0BF1"/>
    <w:rsid w:val="006D1E0B"/>
    <w:rsid w:val="006D4179"/>
    <w:rsid w:val="006D5AE8"/>
    <w:rsid w:val="006E1851"/>
    <w:rsid w:val="006E2241"/>
    <w:rsid w:val="006E597E"/>
    <w:rsid w:val="006E6C43"/>
    <w:rsid w:val="006E7A1F"/>
    <w:rsid w:val="006F3187"/>
    <w:rsid w:val="007028DC"/>
    <w:rsid w:val="007049DA"/>
    <w:rsid w:val="00716553"/>
    <w:rsid w:val="00721BF3"/>
    <w:rsid w:val="007227B3"/>
    <w:rsid w:val="007273AE"/>
    <w:rsid w:val="00730617"/>
    <w:rsid w:val="0074014B"/>
    <w:rsid w:val="00741D4C"/>
    <w:rsid w:val="0074401D"/>
    <w:rsid w:val="00746F73"/>
    <w:rsid w:val="007541E5"/>
    <w:rsid w:val="00756E60"/>
    <w:rsid w:val="00757098"/>
    <w:rsid w:val="00765B23"/>
    <w:rsid w:val="00765ED9"/>
    <w:rsid w:val="00771D16"/>
    <w:rsid w:val="00773C69"/>
    <w:rsid w:val="00774B40"/>
    <w:rsid w:val="00781A3A"/>
    <w:rsid w:val="00790795"/>
    <w:rsid w:val="007A042B"/>
    <w:rsid w:val="007B6945"/>
    <w:rsid w:val="007C0187"/>
    <w:rsid w:val="007C7C41"/>
    <w:rsid w:val="007D2F8F"/>
    <w:rsid w:val="007D7438"/>
    <w:rsid w:val="007E064B"/>
    <w:rsid w:val="007E0A8F"/>
    <w:rsid w:val="007E2AD1"/>
    <w:rsid w:val="007E54A5"/>
    <w:rsid w:val="007E6A43"/>
    <w:rsid w:val="007F29D1"/>
    <w:rsid w:val="007F3518"/>
    <w:rsid w:val="007F5DBA"/>
    <w:rsid w:val="007F7FEB"/>
    <w:rsid w:val="008013F9"/>
    <w:rsid w:val="00803873"/>
    <w:rsid w:val="008109BC"/>
    <w:rsid w:val="008134E7"/>
    <w:rsid w:val="00821439"/>
    <w:rsid w:val="00825F75"/>
    <w:rsid w:val="00840713"/>
    <w:rsid w:val="00843204"/>
    <w:rsid w:val="00844611"/>
    <w:rsid w:val="00853570"/>
    <w:rsid w:val="00853885"/>
    <w:rsid w:val="0086146E"/>
    <w:rsid w:val="00870F22"/>
    <w:rsid w:val="00872D90"/>
    <w:rsid w:val="00881D2C"/>
    <w:rsid w:val="00882304"/>
    <w:rsid w:val="00882593"/>
    <w:rsid w:val="00886AFB"/>
    <w:rsid w:val="00887C7C"/>
    <w:rsid w:val="00893763"/>
    <w:rsid w:val="0089631B"/>
    <w:rsid w:val="008A0BF5"/>
    <w:rsid w:val="008A2690"/>
    <w:rsid w:val="008B0B48"/>
    <w:rsid w:val="008B35E3"/>
    <w:rsid w:val="008B4A3E"/>
    <w:rsid w:val="008C0E5D"/>
    <w:rsid w:val="008D1A6E"/>
    <w:rsid w:val="008E549F"/>
    <w:rsid w:val="008E648A"/>
    <w:rsid w:val="008F027F"/>
    <w:rsid w:val="008F0D4D"/>
    <w:rsid w:val="008F5C8B"/>
    <w:rsid w:val="008F62F5"/>
    <w:rsid w:val="00902DDE"/>
    <w:rsid w:val="00902EF4"/>
    <w:rsid w:val="0090739E"/>
    <w:rsid w:val="009147CA"/>
    <w:rsid w:val="009170F7"/>
    <w:rsid w:val="00926931"/>
    <w:rsid w:val="00930D81"/>
    <w:rsid w:val="00932F50"/>
    <w:rsid w:val="009333A7"/>
    <w:rsid w:val="00934A91"/>
    <w:rsid w:val="009368EB"/>
    <w:rsid w:val="00944CD3"/>
    <w:rsid w:val="00947BA5"/>
    <w:rsid w:val="00951F75"/>
    <w:rsid w:val="00963C8A"/>
    <w:rsid w:val="00970EB3"/>
    <w:rsid w:val="0097544A"/>
    <w:rsid w:val="009778A1"/>
    <w:rsid w:val="009802FD"/>
    <w:rsid w:val="00980650"/>
    <w:rsid w:val="009856E6"/>
    <w:rsid w:val="009914A8"/>
    <w:rsid w:val="0099451B"/>
    <w:rsid w:val="00996114"/>
    <w:rsid w:val="009975C8"/>
    <w:rsid w:val="009A5536"/>
    <w:rsid w:val="009A7F7E"/>
    <w:rsid w:val="009B271D"/>
    <w:rsid w:val="009B31DC"/>
    <w:rsid w:val="009C1CE8"/>
    <w:rsid w:val="009C2A82"/>
    <w:rsid w:val="009D0D4E"/>
    <w:rsid w:val="009D2C05"/>
    <w:rsid w:val="009D41A3"/>
    <w:rsid w:val="009D5C1B"/>
    <w:rsid w:val="009D730D"/>
    <w:rsid w:val="009E22FF"/>
    <w:rsid w:val="009E4020"/>
    <w:rsid w:val="00A06A12"/>
    <w:rsid w:val="00A1172B"/>
    <w:rsid w:val="00A131F3"/>
    <w:rsid w:val="00A23336"/>
    <w:rsid w:val="00A24819"/>
    <w:rsid w:val="00A3077D"/>
    <w:rsid w:val="00A370B4"/>
    <w:rsid w:val="00A4088B"/>
    <w:rsid w:val="00A479B0"/>
    <w:rsid w:val="00A541AA"/>
    <w:rsid w:val="00A6124B"/>
    <w:rsid w:val="00A6455F"/>
    <w:rsid w:val="00A70A80"/>
    <w:rsid w:val="00A71F24"/>
    <w:rsid w:val="00A73DF7"/>
    <w:rsid w:val="00A7453B"/>
    <w:rsid w:val="00A778FA"/>
    <w:rsid w:val="00A90FD2"/>
    <w:rsid w:val="00A9766F"/>
    <w:rsid w:val="00AA0A48"/>
    <w:rsid w:val="00AA6D33"/>
    <w:rsid w:val="00AB15E4"/>
    <w:rsid w:val="00AB5F04"/>
    <w:rsid w:val="00AD195E"/>
    <w:rsid w:val="00AD2D23"/>
    <w:rsid w:val="00AE2D8A"/>
    <w:rsid w:val="00AE4DB0"/>
    <w:rsid w:val="00AF35F9"/>
    <w:rsid w:val="00AF463B"/>
    <w:rsid w:val="00AF5284"/>
    <w:rsid w:val="00AF558B"/>
    <w:rsid w:val="00AF63CF"/>
    <w:rsid w:val="00B00A1E"/>
    <w:rsid w:val="00B00ABE"/>
    <w:rsid w:val="00B06C2D"/>
    <w:rsid w:val="00B14965"/>
    <w:rsid w:val="00B178A6"/>
    <w:rsid w:val="00B20530"/>
    <w:rsid w:val="00B25CE8"/>
    <w:rsid w:val="00B25D0C"/>
    <w:rsid w:val="00B305DC"/>
    <w:rsid w:val="00B35D92"/>
    <w:rsid w:val="00B521E6"/>
    <w:rsid w:val="00B61139"/>
    <w:rsid w:val="00B63829"/>
    <w:rsid w:val="00B65271"/>
    <w:rsid w:val="00B70944"/>
    <w:rsid w:val="00B802C4"/>
    <w:rsid w:val="00B92358"/>
    <w:rsid w:val="00B93BF5"/>
    <w:rsid w:val="00BA4D23"/>
    <w:rsid w:val="00BA5E16"/>
    <w:rsid w:val="00BA704D"/>
    <w:rsid w:val="00BB42FB"/>
    <w:rsid w:val="00BB74C2"/>
    <w:rsid w:val="00BC10F3"/>
    <w:rsid w:val="00BC22CB"/>
    <w:rsid w:val="00BE0AAB"/>
    <w:rsid w:val="00BE208D"/>
    <w:rsid w:val="00BE4247"/>
    <w:rsid w:val="00BF188E"/>
    <w:rsid w:val="00BF64EF"/>
    <w:rsid w:val="00C026D3"/>
    <w:rsid w:val="00C04D90"/>
    <w:rsid w:val="00C1041C"/>
    <w:rsid w:val="00C133A9"/>
    <w:rsid w:val="00C15D97"/>
    <w:rsid w:val="00C30C74"/>
    <w:rsid w:val="00C33380"/>
    <w:rsid w:val="00C34977"/>
    <w:rsid w:val="00C375F7"/>
    <w:rsid w:val="00C40BFD"/>
    <w:rsid w:val="00C410D1"/>
    <w:rsid w:val="00C43B38"/>
    <w:rsid w:val="00C4649E"/>
    <w:rsid w:val="00C52D5C"/>
    <w:rsid w:val="00C53FAD"/>
    <w:rsid w:val="00C54905"/>
    <w:rsid w:val="00C55A6C"/>
    <w:rsid w:val="00C60374"/>
    <w:rsid w:val="00C61C5C"/>
    <w:rsid w:val="00C61EB8"/>
    <w:rsid w:val="00C65639"/>
    <w:rsid w:val="00C70862"/>
    <w:rsid w:val="00C70D99"/>
    <w:rsid w:val="00C72B70"/>
    <w:rsid w:val="00C765FD"/>
    <w:rsid w:val="00C7664B"/>
    <w:rsid w:val="00C83522"/>
    <w:rsid w:val="00C83CB4"/>
    <w:rsid w:val="00C84A00"/>
    <w:rsid w:val="00C8797F"/>
    <w:rsid w:val="00C879D9"/>
    <w:rsid w:val="00C9454D"/>
    <w:rsid w:val="00CA2BD1"/>
    <w:rsid w:val="00CA673D"/>
    <w:rsid w:val="00CA7E5B"/>
    <w:rsid w:val="00CB0681"/>
    <w:rsid w:val="00CB2C09"/>
    <w:rsid w:val="00CC5A68"/>
    <w:rsid w:val="00CC5B40"/>
    <w:rsid w:val="00CD044C"/>
    <w:rsid w:val="00CD473A"/>
    <w:rsid w:val="00CD5133"/>
    <w:rsid w:val="00CE497E"/>
    <w:rsid w:val="00CE4D82"/>
    <w:rsid w:val="00CE5A0B"/>
    <w:rsid w:val="00CF0213"/>
    <w:rsid w:val="00CF1D52"/>
    <w:rsid w:val="00CF3405"/>
    <w:rsid w:val="00CF565C"/>
    <w:rsid w:val="00D1377E"/>
    <w:rsid w:val="00D353C1"/>
    <w:rsid w:val="00D36BD2"/>
    <w:rsid w:val="00D402C5"/>
    <w:rsid w:val="00D40F8A"/>
    <w:rsid w:val="00D41DAC"/>
    <w:rsid w:val="00D422C0"/>
    <w:rsid w:val="00D442E6"/>
    <w:rsid w:val="00D44961"/>
    <w:rsid w:val="00D50E9E"/>
    <w:rsid w:val="00D50FB2"/>
    <w:rsid w:val="00D63F75"/>
    <w:rsid w:val="00D64B55"/>
    <w:rsid w:val="00D66715"/>
    <w:rsid w:val="00D725BE"/>
    <w:rsid w:val="00D8525B"/>
    <w:rsid w:val="00D86A31"/>
    <w:rsid w:val="00D91124"/>
    <w:rsid w:val="00D91433"/>
    <w:rsid w:val="00D95D77"/>
    <w:rsid w:val="00DA0431"/>
    <w:rsid w:val="00DA0AA1"/>
    <w:rsid w:val="00DA68E6"/>
    <w:rsid w:val="00DB3E18"/>
    <w:rsid w:val="00DC43A1"/>
    <w:rsid w:val="00DD7551"/>
    <w:rsid w:val="00DE0928"/>
    <w:rsid w:val="00DE23BC"/>
    <w:rsid w:val="00DE4FA0"/>
    <w:rsid w:val="00DE61E4"/>
    <w:rsid w:val="00DE776E"/>
    <w:rsid w:val="00DF0B58"/>
    <w:rsid w:val="00DF3B71"/>
    <w:rsid w:val="00DF7363"/>
    <w:rsid w:val="00E011BA"/>
    <w:rsid w:val="00E023C1"/>
    <w:rsid w:val="00E058D2"/>
    <w:rsid w:val="00E17332"/>
    <w:rsid w:val="00E23682"/>
    <w:rsid w:val="00E24BF9"/>
    <w:rsid w:val="00E25129"/>
    <w:rsid w:val="00E26AED"/>
    <w:rsid w:val="00E27C60"/>
    <w:rsid w:val="00E3005E"/>
    <w:rsid w:val="00E35D96"/>
    <w:rsid w:val="00E405C3"/>
    <w:rsid w:val="00E4450D"/>
    <w:rsid w:val="00E45CE3"/>
    <w:rsid w:val="00E46D84"/>
    <w:rsid w:val="00E46E8E"/>
    <w:rsid w:val="00E50CE8"/>
    <w:rsid w:val="00E51AD6"/>
    <w:rsid w:val="00E531C2"/>
    <w:rsid w:val="00E53739"/>
    <w:rsid w:val="00E57E42"/>
    <w:rsid w:val="00E65A3A"/>
    <w:rsid w:val="00E74E39"/>
    <w:rsid w:val="00E8370A"/>
    <w:rsid w:val="00E86C32"/>
    <w:rsid w:val="00E8760F"/>
    <w:rsid w:val="00E915C8"/>
    <w:rsid w:val="00E97368"/>
    <w:rsid w:val="00EA4562"/>
    <w:rsid w:val="00EA4890"/>
    <w:rsid w:val="00EB19E7"/>
    <w:rsid w:val="00EB38AC"/>
    <w:rsid w:val="00EB617E"/>
    <w:rsid w:val="00EB6181"/>
    <w:rsid w:val="00EB63D4"/>
    <w:rsid w:val="00EC514D"/>
    <w:rsid w:val="00ED2196"/>
    <w:rsid w:val="00ED43A7"/>
    <w:rsid w:val="00ED4AC6"/>
    <w:rsid w:val="00EE4744"/>
    <w:rsid w:val="00EF158F"/>
    <w:rsid w:val="00EF1D4F"/>
    <w:rsid w:val="00F0186B"/>
    <w:rsid w:val="00F039B8"/>
    <w:rsid w:val="00F067E7"/>
    <w:rsid w:val="00F068B5"/>
    <w:rsid w:val="00F126B6"/>
    <w:rsid w:val="00F12741"/>
    <w:rsid w:val="00F22160"/>
    <w:rsid w:val="00F249D0"/>
    <w:rsid w:val="00F327C0"/>
    <w:rsid w:val="00F37F3C"/>
    <w:rsid w:val="00F43E75"/>
    <w:rsid w:val="00F50B87"/>
    <w:rsid w:val="00F5276E"/>
    <w:rsid w:val="00F563E2"/>
    <w:rsid w:val="00F61F52"/>
    <w:rsid w:val="00F922AE"/>
    <w:rsid w:val="00F969B6"/>
    <w:rsid w:val="00F96BA9"/>
    <w:rsid w:val="00FA0035"/>
    <w:rsid w:val="00FB69DA"/>
    <w:rsid w:val="00FD0D1F"/>
    <w:rsid w:val="00FD104A"/>
    <w:rsid w:val="00FD6B8E"/>
    <w:rsid w:val="00FE371F"/>
    <w:rsid w:val="00FF2E99"/>
    <w:rsid w:val="00FF71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108D5E6-40B2-400F-800F-16DD1DF9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B23"/>
    <w:pPr>
      <w:spacing w:after="20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5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5B2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65B23"/>
    <w:pPr>
      <w:tabs>
        <w:tab w:val="center" w:pos="4513"/>
        <w:tab w:val="right" w:pos="9026"/>
      </w:tabs>
      <w:spacing w:after="0"/>
    </w:pPr>
  </w:style>
  <w:style w:type="character" w:customStyle="1" w:styleId="HeaderChar">
    <w:name w:val="Header Char"/>
    <w:basedOn w:val="DefaultParagraphFont"/>
    <w:link w:val="Header"/>
    <w:uiPriority w:val="99"/>
    <w:rsid w:val="00765B23"/>
    <w:rPr>
      <w:rFonts w:ascii="Times New Roman" w:hAnsi="Times New Roman" w:cs="Times New Roman"/>
      <w:sz w:val="24"/>
      <w:szCs w:val="24"/>
    </w:rPr>
  </w:style>
  <w:style w:type="paragraph" w:styleId="Footer">
    <w:name w:val="footer"/>
    <w:basedOn w:val="Normal"/>
    <w:link w:val="FooterChar"/>
    <w:uiPriority w:val="99"/>
    <w:unhideWhenUsed/>
    <w:rsid w:val="00765B23"/>
    <w:pPr>
      <w:tabs>
        <w:tab w:val="center" w:pos="4513"/>
        <w:tab w:val="right" w:pos="9026"/>
      </w:tabs>
      <w:spacing w:after="0"/>
    </w:pPr>
  </w:style>
  <w:style w:type="character" w:customStyle="1" w:styleId="FooterChar">
    <w:name w:val="Footer Char"/>
    <w:basedOn w:val="DefaultParagraphFont"/>
    <w:link w:val="Footer"/>
    <w:uiPriority w:val="99"/>
    <w:rsid w:val="00765B2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E613B"/>
    <w:rPr>
      <w:sz w:val="16"/>
      <w:szCs w:val="16"/>
    </w:rPr>
  </w:style>
  <w:style w:type="paragraph" w:styleId="CommentText">
    <w:name w:val="annotation text"/>
    <w:basedOn w:val="Normal"/>
    <w:link w:val="CommentTextChar"/>
    <w:uiPriority w:val="99"/>
    <w:semiHidden/>
    <w:unhideWhenUsed/>
    <w:rsid w:val="002E613B"/>
    <w:rPr>
      <w:sz w:val="20"/>
      <w:szCs w:val="20"/>
    </w:rPr>
  </w:style>
  <w:style w:type="character" w:customStyle="1" w:styleId="CommentTextChar">
    <w:name w:val="Comment Text Char"/>
    <w:basedOn w:val="DefaultParagraphFont"/>
    <w:link w:val="CommentText"/>
    <w:uiPriority w:val="99"/>
    <w:semiHidden/>
    <w:rsid w:val="002E613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613B"/>
    <w:rPr>
      <w:b/>
      <w:bCs/>
    </w:rPr>
  </w:style>
  <w:style w:type="character" w:customStyle="1" w:styleId="CommentSubjectChar">
    <w:name w:val="Comment Subject Char"/>
    <w:basedOn w:val="CommentTextChar"/>
    <w:link w:val="CommentSubject"/>
    <w:uiPriority w:val="99"/>
    <w:semiHidden/>
    <w:rsid w:val="002E613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E61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13B"/>
    <w:rPr>
      <w:rFonts w:ascii="Segoe UI" w:hAnsi="Segoe UI" w:cs="Segoe UI"/>
      <w:sz w:val="18"/>
      <w:szCs w:val="18"/>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886AFB"/>
    <w:pPr>
      <w:spacing w:before="240" w:after="0"/>
      <w:ind w:left="720"/>
      <w:contextualSpacing/>
    </w:pPr>
    <w:rPr>
      <w:rFonts w:eastAsia="Times New Roman"/>
      <w:szCs w:val="20"/>
      <w:lang w:eastAsia="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4"/>
    <w:qFormat/>
    <w:locked/>
    <w:rsid w:val="00886AFB"/>
    <w:rPr>
      <w:rFonts w:ascii="Times New Roman" w:eastAsia="Times New Roman" w:hAnsi="Times New Roman" w:cs="Times New Roman"/>
      <w:sz w:val="24"/>
      <w:szCs w:val="20"/>
      <w:lang w:eastAsia="en-AU"/>
    </w:rPr>
  </w:style>
  <w:style w:type="character" w:customStyle="1" w:styleId="NoSpacingChar">
    <w:name w:val="No Spacing Char"/>
    <w:aliases w:val="ALL CAPS Char"/>
    <w:basedOn w:val="DefaultParagraphFont"/>
    <w:link w:val="NoSpacing"/>
    <w:uiPriority w:val="1"/>
    <w:locked/>
    <w:rsid w:val="00A541AA"/>
  </w:style>
  <w:style w:type="paragraph" w:styleId="NoSpacing">
    <w:name w:val="No Spacing"/>
    <w:aliases w:val="ALL CAPS"/>
    <w:link w:val="NoSpacingChar"/>
    <w:uiPriority w:val="1"/>
    <w:qFormat/>
    <w:rsid w:val="00A541AA"/>
    <w:pPr>
      <w:spacing w:after="0" w:line="240" w:lineRule="auto"/>
    </w:pPr>
  </w:style>
  <w:style w:type="paragraph" w:customStyle="1" w:styleId="DINumberedParagraph">
    <w:name w:val="DI Numbered Paragraph"/>
    <w:basedOn w:val="Normal"/>
    <w:rsid w:val="00A541AA"/>
    <w:pPr>
      <w:numPr>
        <w:numId w:val="12"/>
      </w:numPr>
      <w:tabs>
        <w:tab w:val="left" w:pos="567"/>
      </w:tabs>
      <w:spacing w:after="240"/>
    </w:pPr>
    <w:rPr>
      <w:rFonts w:eastAsia="Times New Roman"/>
      <w:szCs w:val="20"/>
      <w:lang w:eastAsia="en-AU"/>
    </w:rPr>
  </w:style>
  <w:style w:type="character" w:styleId="Hyperlink">
    <w:name w:val="Hyperlink"/>
    <w:basedOn w:val="DefaultParagraphFont"/>
    <w:uiPriority w:val="99"/>
    <w:unhideWhenUsed/>
    <w:rsid w:val="00F068B5"/>
    <w:rPr>
      <w:color w:val="0563C1" w:themeColor="hyperlink"/>
      <w:u w:val="single"/>
    </w:rPr>
  </w:style>
  <w:style w:type="paragraph" w:styleId="Revision">
    <w:name w:val="Revision"/>
    <w:hidden/>
    <w:uiPriority w:val="99"/>
    <w:semiHidden/>
    <w:rsid w:val="0005336B"/>
    <w:pPr>
      <w:spacing w:after="0" w:line="240" w:lineRule="auto"/>
    </w:pPr>
    <w:rPr>
      <w:rFonts w:ascii="Times New Roman" w:hAnsi="Times New Roman" w:cs="Times New Roman"/>
      <w:sz w:val="24"/>
      <w:szCs w:val="24"/>
    </w:rPr>
  </w:style>
  <w:style w:type="paragraph" w:customStyle="1" w:styleId="tabletext">
    <w:name w:val="tabletext"/>
    <w:basedOn w:val="Normal"/>
    <w:rsid w:val="009147CA"/>
    <w:pPr>
      <w:spacing w:before="100" w:beforeAutospacing="1" w:after="100" w:afterAutospacing="1"/>
    </w:pPr>
    <w:rPr>
      <w:rFonts w:eastAsia="Times New Roman"/>
      <w:lang w:eastAsia="en-AU"/>
    </w:rPr>
  </w:style>
  <w:style w:type="paragraph" w:customStyle="1" w:styleId="cta-">
    <w:name w:val="cta-"/>
    <w:basedOn w:val="Normal"/>
    <w:rsid w:val="009147CA"/>
    <w:pPr>
      <w:spacing w:before="100" w:beforeAutospacing="1" w:after="100" w:afterAutospacing="1"/>
    </w:pPr>
    <w:rPr>
      <w:rFonts w:eastAsia="Times New Roman"/>
      <w:lang w:eastAsia="en-AU"/>
    </w:rPr>
  </w:style>
  <w:style w:type="paragraph" w:customStyle="1" w:styleId="cta---">
    <w:name w:val="cta---"/>
    <w:basedOn w:val="Normal"/>
    <w:rsid w:val="009147CA"/>
    <w:pPr>
      <w:spacing w:before="100" w:beforeAutospacing="1" w:after="100" w:afterAutospacing="1"/>
    </w:pPr>
    <w:rPr>
      <w:rFonts w:eastAsia="Times New Roman"/>
      <w:lang w:eastAsia="en-AU"/>
    </w:rPr>
  </w:style>
  <w:style w:type="paragraph" w:styleId="NormalWeb">
    <w:name w:val="Normal (Web)"/>
    <w:basedOn w:val="Normal"/>
    <w:uiPriority w:val="99"/>
    <w:unhideWhenUsed/>
    <w:rsid w:val="00B305DC"/>
    <w:pPr>
      <w:spacing w:before="100" w:beforeAutospacing="1" w:after="100" w:afterAutospacing="1"/>
    </w:pPr>
    <w:rPr>
      <w:rFonts w:eastAsia="Times New Roman"/>
      <w:lang w:eastAsia="en-AU"/>
    </w:rPr>
  </w:style>
  <w:style w:type="character" w:styleId="FollowedHyperlink">
    <w:name w:val="FollowedHyperlink"/>
    <w:basedOn w:val="DefaultParagraphFont"/>
    <w:uiPriority w:val="99"/>
    <w:semiHidden/>
    <w:unhideWhenUsed/>
    <w:rsid w:val="00606421"/>
    <w:rPr>
      <w:color w:val="954F72" w:themeColor="followedHyperlink"/>
      <w:u w:val="single"/>
    </w:rPr>
  </w:style>
  <w:style w:type="paragraph" w:customStyle="1" w:styleId="paragraph">
    <w:name w:val="paragraph"/>
    <w:basedOn w:val="Normal"/>
    <w:rsid w:val="00F327C0"/>
    <w:pPr>
      <w:spacing w:before="100" w:beforeAutospacing="1" w:after="100" w:afterAutospacing="1"/>
    </w:pPr>
    <w:rPr>
      <w:rFonts w:eastAsia="Times New Roman"/>
      <w:lang w:eastAsia="en-AU"/>
    </w:rPr>
  </w:style>
  <w:style w:type="paragraph" w:customStyle="1" w:styleId="paragraphsub">
    <w:name w:val="paragraphsub"/>
    <w:basedOn w:val="Normal"/>
    <w:rsid w:val="00F327C0"/>
    <w:pPr>
      <w:spacing w:before="100" w:beforeAutospacing="1" w:after="100" w:afterAutospacing="1"/>
    </w:pPr>
    <w:rPr>
      <w:rFonts w:eastAsia="Times New Roman"/>
      <w:lang w:eastAsia="en-AU"/>
    </w:rPr>
  </w:style>
  <w:style w:type="character" w:customStyle="1" w:styleId="ui-provider">
    <w:name w:val="ui-provider"/>
    <w:basedOn w:val="DefaultParagraphFont"/>
    <w:rsid w:val="00970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3770">
      <w:bodyDiv w:val="1"/>
      <w:marLeft w:val="0"/>
      <w:marRight w:val="0"/>
      <w:marTop w:val="0"/>
      <w:marBottom w:val="0"/>
      <w:divBdr>
        <w:top w:val="none" w:sz="0" w:space="0" w:color="auto"/>
        <w:left w:val="none" w:sz="0" w:space="0" w:color="auto"/>
        <w:bottom w:val="none" w:sz="0" w:space="0" w:color="auto"/>
        <w:right w:val="none" w:sz="0" w:space="0" w:color="auto"/>
      </w:divBdr>
    </w:div>
    <w:div w:id="128713255">
      <w:bodyDiv w:val="1"/>
      <w:marLeft w:val="0"/>
      <w:marRight w:val="0"/>
      <w:marTop w:val="0"/>
      <w:marBottom w:val="0"/>
      <w:divBdr>
        <w:top w:val="none" w:sz="0" w:space="0" w:color="auto"/>
        <w:left w:val="none" w:sz="0" w:space="0" w:color="auto"/>
        <w:bottom w:val="none" w:sz="0" w:space="0" w:color="auto"/>
        <w:right w:val="none" w:sz="0" w:space="0" w:color="auto"/>
      </w:divBdr>
    </w:div>
    <w:div w:id="257981702">
      <w:bodyDiv w:val="1"/>
      <w:marLeft w:val="0"/>
      <w:marRight w:val="0"/>
      <w:marTop w:val="0"/>
      <w:marBottom w:val="0"/>
      <w:divBdr>
        <w:top w:val="none" w:sz="0" w:space="0" w:color="auto"/>
        <w:left w:val="none" w:sz="0" w:space="0" w:color="auto"/>
        <w:bottom w:val="none" w:sz="0" w:space="0" w:color="auto"/>
        <w:right w:val="none" w:sz="0" w:space="0" w:color="auto"/>
      </w:divBdr>
    </w:div>
    <w:div w:id="291446010">
      <w:bodyDiv w:val="1"/>
      <w:marLeft w:val="0"/>
      <w:marRight w:val="0"/>
      <w:marTop w:val="0"/>
      <w:marBottom w:val="0"/>
      <w:divBdr>
        <w:top w:val="none" w:sz="0" w:space="0" w:color="auto"/>
        <w:left w:val="none" w:sz="0" w:space="0" w:color="auto"/>
        <w:bottom w:val="none" w:sz="0" w:space="0" w:color="auto"/>
        <w:right w:val="none" w:sz="0" w:space="0" w:color="auto"/>
      </w:divBdr>
    </w:div>
    <w:div w:id="343868122">
      <w:bodyDiv w:val="1"/>
      <w:marLeft w:val="0"/>
      <w:marRight w:val="0"/>
      <w:marTop w:val="0"/>
      <w:marBottom w:val="0"/>
      <w:divBdr>
        <w:top w:val="none" w:sz="0" w:space="0" w:color="auto"/>
        <w:left w:val="none" w:sz="0" w:space="0" w:color="auto"/>
        <w:bottom w:val="none" w:sz="0" w:space="0" w:color="auto"/>
        <w:right w:val="none" w:sz="0" w:space="0" w:color="auto"/>
      </w:divBdr>
    </w:div>
    <w:div w:id="422847328">
      <w:bodyDiv w:val="1"/>
      <w:marLeft w:val="0"/>
      <w:marRight w:val="0"/>
      <w:marTop w:val="0"/>
      <w:marBottom w:val="0"/>
      <w:divBdr>
        <w:top w:val="none" w:sz="0" w:space="0" w:color="auto"/>
        <w:left w:val="none" w:sz="0" w:space="0" w:color="auto"/>
        <w:bottom w:val="none" w:sz="0" w:space="0" w:color="auto"/>
        <w:right w:val="none" w:sz="0" w:space="0" w:color="auto"/>
      </w:divBdr>
    </w:div>
    <w:div w:id="499807346">
      <w:bodyDiv w:val="1"/>
      <w:marLeft w:val="0"/>
      <w:marRight w:val="0"/>
      <w:marTop w:val="0"/>
      <w:marBottom w:val="0"/>
      <w:divBdr>
        <w:top w:val="none" w:sz="0" w:space="0" w:color="auto"/>
        <w:left w:val="none" w:sz="0" w:space="0" w:color="auto"/>
        <w:bottom w:val="none" w:sz="0" w:space="0" w:color="auto"/>
        <w:right w:val="none" w:sz="0" w:space="0" w:color="auto"/>
      </w:divBdr>
    </w:div>
    <w:div w:id="615137385">
      <w:bodyDiv w:val="1"/>
      <w:marLeft w:val="0"/>
      <w:marRight w:val="0"/>
      <w:marTop w:val="0"/>
      <w:marBottom w:val="0"/>
      <w:divBdr>
        <w:top w:val="none" w:sz="0" w:space="0" w:color="auto"/>
        <w:left w:val="none" w:sz="0" w:space="0" w:color="auto"/>
        <w:bottom w:val="none" w:sz="0" w:space="0" w:color="auto"/>
        <w:right w:val="none" w:sz="0" w:space="0" w:color="auto"/>
      </w:divBdr>
    </w:div>
    <w:div w:id="620186749">
      <w:bodyDiv w:val="1"/>
      <w:marLeft w:val="0"/>
      <w:marRight w:val="0"/>
      <w:marTop w:val="0"/>
      <w:marBottom w:val="0"/>
      <w:divBdr>
        <w:top w:val="none" w:sz="0" w:space="0" w:color="auto"/>
        <w:left w:val="none" w:sz="0" w:space="0" w:color="auto"/>
        <w:bottom w:val="none" w:sz="0" w:space="0" w:color="auto"/>
        <w:right w:val="none" w:sz="0" w:space="0" w:color="auto"/>
      </w:divBdr>
    </w:div>
    <w:div w:id="635063221">
      <w:bodyDiv w:val="1"/>
      <w:marLeft w:val="0"/>
      <w:marRight w:val="0"/>
      <w:marTop w:val="0"/>
      <w:marBottom w:val="0"/>
      <w:divBdr>
        <w:top w:val="none" w:sz="0" w:space="0" w:color="auto"/>
        <w:left w:val="none" w:sz="0" w:space="0" w:color="auto"/>
        <w:bottom w:val="none" w:sz="0" w:space="0" w:color="auto"/>
        <w:right w:val="none" w:sz="0" w:space="0" w:color="auto"/>
      </w:divBdr>
    </w:div>
    <w:div w:id="651448196">
      <w:bodyDiv w:val="1"/>
      <w:marLeft w:val="0"/>
      <w:marRight w:val="0"/>
      <w:marTop w:val="0"/>
      <w:marBottom w:val="0"/>
      <w:divBdr>
        <w:top w:val="none" w:sz="0" w:space="0" w:color="auto"/>
        <w:left w:val="none" w:sz="0" w:space="0" w:color="auto"/>
        <w:bottom w:val="none" w:sz="0" w:space="0" w:color="auto"/>
        <w:right w:val="none" w:sz="0" w:space="0" w:color="auto"/>
      </w:divBdr>
    </w:div>
    <w:div w:id="876431270">
      <w:bodyDiv w:val="1"/>
      <w:marLeft w:val="0"/>
      <w:marRight w:val="0"/>
      <w:marTop w:val="0"/>
      <w:marBottom w:val="0"/>
      <w:divBdr>
        <w:top w:val="none" w:sz="0" w:space="0" w:color="auto"/>
        <w:left w:val="none" w:sz="0" w:space="0" w:color="auto"/>
        <w:bottom w:val="none" w:sz="0" w:space="0" w:color="auto"/>
        <w:right w:val="none" w:sz="0" w:space="0" w:color="auto"/>
      </w:divBdr>
    </w:div>
    <w:div w:id="902373151">
      <w:bodyDiv w:val="1"/>
      <w:marLeft w:val="0"/>
      <w:marRight w:val="0"/>
      <w:marTop w:val="0"/>
      <w:marBottom w:val="0"/>
      <w:divBdr>
        <w:top w:val="none" w:sz="0" w:space="0" w:color="auto"/>
        <w:left w:val="none" w:sz="0" w:space="0" w:color="auto"/>
        <w:bottom w:val="none" w:sz="0" w:space="0" w:color="auto"/>
        <w:right w:val="none" w:sz="0" w:space="0" w:color="auto"/>
      </w:divBdr>
    </w:div>
    <w:div w:id="1048643866">
      <w:bodyDiv w:val="1"/>
      <w:marLeft w:val="0"/>
      <w:marRight w:val="0"/>
      <w:marTop w:val="0"/>
      <w:marBottom w:val="0"/>
      <w:divBdr>
        <w:top w:val="none" w:sz="0" w:space="0" w:color="auto"/>
        <w:left w:val="none" w:sz="0" w:space="0" w:color="auto"/>
        <w:bottom w:val="none" w:sz="0" w:space="0" w:color="auto"/>
        <w:right w:val="none" w:sz="0" w:space="0" w:color="auto"/>
      </w:divBdr>
    </w:div>
    <w:div w:id="1206218834">
      <w:bodyDiv w:val="1"/>
      <w:marLeft w:val="0"/>
      <w:marRight w:val="0"/>
      <w:marTop w:val="0"/>
      <w:marBottom w:val="0"/>
      <w:divBdr>
        <w:top w:val="none" w:sz="0" w:space="0" w:color="auto"/>
        <w:left w:val="none" w:sz="0" w:space="0" w:color="auto"/>
        <w:bottom w:val="none" w:sz="0" w:space="0" w:color="auto"/>
        <w:right w:val="none" w:sz="0" w:space="0" w:color="auto"/>
      </w:divBdr>
    </w:div>
    <w:div w:id="1386446075">
      <w:bodyDiv w:val="1"/>
      <w:marLeft w:val="0"/>
      <w:marRight w:val="0"/>
      <w:marTop w:val="0"/>
      <w:marBottom w:val="0"/>
      <w:divBdr>
        <w:top w:val="none" w:sz="0" w:space="0" w:color="auto"/>
        <w:left w:val="none" w:sz="0" w:space="0" w:color="auto"/>
        <w:bottom w:val="none" w:sz="0" w:space="0" w:color="auto"/>
        <w:right w:val="none" w:sz="0" w:space="0" w:color="auto"/>
      </w:divBdr>
    </w:div>
    <w:div w:id="1548108759">
      <w:bodyDiv w:val="1"/>
      <w:marLeft w:val="0"/>
      <w:marRight w:val="0"/>
      <w:marTop w:val="0"/>
      <w:marBottom w:val="0"/>
      <w:divBdr>
        <w:top w:val="none" w:sz="0" w:space="0" w:color="auto"/>
        <w:left w:val="none" w:sz="0" w:space="0" w:color="auto"/>
        <w:bottom w:val="none" w:sz="0" w:space="0" w:color="auto"/>
        <w:right w:val="none" w:sz="0" w:space="0" w:color="auto"/>
      </w:divBdr>
    </w:div>
    <w:div w:id="1752071791">
      <w:bodyDiv w:val="1"/>
      <w:marLeft w:val="0"/>
      <w:marRight w:val="0"/>
      <w:marTop w:val="0"/>
      <w:marBottom w:val="0"/>
      <w:divBdr>
        <w:top w:val="none" w:sz="0" w:space="0" w:color="auto"/>
        <w:left w:val="none" w:sz="0" w:space="0" w:color="auto"/>
        <w:bottom w:val="none" w:sz="0" w:space="0" w:color="auto"/>
        <w:right w:val="none" w:sz="0" w:space="0" w:color="auto"/>
      </w:divBdr>
    </w:div>
    <w:div w:id="1864201085">
      <w:bodyDiv w:val="1"/>
      <w:marLeft w:val="0"/>
      <w:marRight w:val="0"/>
      <w:marTop w:val="0"/>
      <w:marBottom w:val="0"/>
      <w:divBdr>
        <w:top w:val="none" w:sz="0" w:space="0" w:color="auto"/>
        <w:left w:val="none" w:sz="0" w:space="0" w:color="auto"/>
        <w:bottom w:val="none" w:sz="0" w:space="0" w:color="auto"/>
        <w:right w:val="none" w:sz="0" w:space="0" w:color="auto"/>
      </w:divBdr>
    </w:div>
    <w:div w:id="1876499707">
      <w:bodyDiv w:val="1"/>
      <w:marLeft w:val="0"/>
      <w:marRight w:val="0"/>
      <w:marTop w:val="0"/>
      <w:marBottom w:val="0"/>
      <w:divBdr>
        <w:top w:val="none" w:sz="0" w:space="0" w:color="auto"/>
        <w:left w:val="none" w:sz="0" w:space="0" w:color="auto"/>
        <w:bottom w:val="none" w:sz="0" w:space="0" w:color="auto"/>
        <w:right w:val="none" w:sz="0" w:space="0" w:color="auto"/>
      </w:divBdr>
    </w:div>
    <w:div w:id="1904482164">
      <w:bodyDiv w:val="1"/>
      <w:marLeft w:val="0"/>
      <w:marRight w:val="0"/>
      <w:marTop w:val="0"/>
      <w:marBottom w:val="0"/>
      <w:divBdr>
        <w:top w:val="none" w:sz="0" w:space="0" w:color="auto"/>
        <w:left w:val="none" w:sz="0" w:space="0" w:color="auto"/>
        <w:bottom w:val="none" w:sz="0" w:space="0" w:color="auto"/>
        <w:right w:val="none" w:sz="0" w:space="0" w:color="auto"/>
      </w:divBdr>
    </w:div>
    <w:div w:id="1972057257">
      <w:bodyDiv w:val="1"/>
      <w:marLeft w:val="0"/>
      <w:marRight w:val="0"/>
      <w:marTop w:val="0"/>
      <w:marBottom w:val="0"/>
      <w:divBdr>
        <w:top w:val="none" w:sz="0" w:space="0" w:color="auto"/>
        <w:left w:val="none" w:sz="0" w:space="0" w:color="auto"/>
        <w:bottom w:val="none" w:sz="0" w:space="0" w:color="auto"/>
        <w:right w:val="none" w:sz="0" w:space="0" w:color="auto"/>
      </w:divBdr>
    </w:div>
    <w:div w:id="1996647172">
      <w:bodyDiv w:val="1"/>
      <w:marLeft w:val="0"/>
      <w:marRight w:val="0"/>
      <w:marTop w:val="0"/>
      <w:marBottom w:val="0"/>
      <w:divBdr>
        <w:top w:val="none" w:sz="0" w:space="0" w:color="auto"/>
        <w:left w:val="none" w:sz="0" w:space="0" w:color="auto"/>
        <w:bottom w:val="none" w:sz="0" w:space="0" w:color="auto"/>
        <w:right w:val="none" w:sz="0" w:space="0" w:color="auto"/>
      </w:divBdr>
    </w:div>
    <w:div w:id="213077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FED1058-7386-48F7-9AE6-89D3EF5178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F5D1D10DE4EE444959B4AD5F164D9C7" ma:contentTypeVersion="" ma:contentTypeDescription="PDMS Document Site Content Type" ma:contentTypeScope="" ma:versionID="afadd5e975f35014aa6ae12b061accfc">
  <xsd:schema xmlns:xsd="http://www.w3.org/2001/XMLSchema" xmlns:xs="http://www.w3.org/2001/XMLSchema" xmlns:p="http://schemas.microsoft.com/office/2006/metadata/properties" xmlns:ns2="AFED1058-7386-48F7-9AE6-89D3EF517843" targetNamespace="http://schemas.microsoft.com/office/2006/metadata/properties" ma:root="true" ma:fieldsID="4070ffb526a163e5c2780d240adac732" ns2:_="">
    <xsd:import namespace="AFED1058-7386-48F7-9AE6-89D3EF5178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D1058-7386-48F7-9AE6-89D3EF5178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6531D-0A65-485C-BD0A-22FF782BA122}">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www.w3.org/XML/1998/namespace"/>
    <ds:schemaRef ds:uri="AFED1058-7386-48F7-9AE6-89D3EF517843"/>
  </ds:schemaRefs>
</ds:datastoreItem>
</file>

<file path=customXml/itemProps2.xml><?xml version="1.0" encoding="utf-8"?>
<ds:datastoreItem xmlns:ds="http://schemas.openxmlformats.org/officeDocument/2006/customXml" ds:itemID="{95EEDB56-B9EF-4991-96D1-64D45E19C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D1058-7386-48F7-9AE6-89D3EF517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89870-9311-4462-BDFD-E22DAC096C9B}">
  <ds:schemaRefs>
    <ds:schemaRef ds:uri="http://schemas.microsoft.com/sharepoint/v3/contenttype/forms"/>
  </ds:schemaRefs>
</ds:datastoreItem>
</file>

<file path=customXml/itemProps4.xml><?xml version="1.0" encoding="utf-8"?>
<ds:datastoreItem xmlns:ds="http://schemas.openxmlformats.org/officeDocument/2006/customXml" ds:itemID="{A477E57E-9ACE-4799-AE7A-6853FB02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[SEC=OFFICIAL]</cp:keywords>
  <dc:description/>
  <cp:lastModifiedBy>Home Affairs</cp:lastModifiedBy>
  <cp:revision>3</cp:revision>
  <cp:lastPrinted>2024-05-22T02:00:00Z</cp:lastPrinted>
  <dcterms:created xsi:type="dcterms:W3CDTF">2024-05-22T02:56:00Z</dcterms:created>
  <dcterms:modified xsi:type="dcterms:W3CDTF">2024-06-05T02:28:00Z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0x010100266966F133664895A6EE3632470D45F5008F5D1D10DE4EE444959B4AD5F164D9C7</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88FD5BF01F494D3BAFB6E80A75952A98</vt:lpwstr>
  </property>
  <property fmtid="{D5CDD505-2E9C-101B-9397-08002B2CF9AE}" pid="10" name="PM_ProtectiveMarkingValue_Footer">
    <vt:lpwstr>OFFICIAL</vt:lpwstr>
  </property>
  <property fmtid="{D5CDD505-2E9C-101B-9397-08002B2CF9AE}" pid="11" name="PM_Originator_Hash_SHA1">
    <vt:lpwstr>CEDEBE2EFD71F64F773918A0C9F6944D4D4A3A5D</vt:lpwstr>
  </property>
  <property fmtid="{D5CDD505-2E9C-101B-9397-08002B2CF9AE}" pid="12" name="PM_OriginationTimeStamp">
    <vt:lpwstr>2022-07-08T01:35:13Z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FEA8E02EE01D13F59A644735AAD42803</vt:lpwstr>
  </property>
  <property fmtid="{D5CDD505-2E9C-101B-9397-08002B2CF9AE}" pid="21" name="PM_Hash_Salt">
    <vt:lpwstr>2AE7FC882578F6A0DC22F3E5C6111F49</vt:lpwstr>
  </property>
  <property fmtid="{D5CDD505-2E9C-101B-9397-08002B2CF9AE}" pid="22" name="PM_Hash_SHA1">
    <vt:lpwstr>A1BABB895FEA2DB0D9E91FBDAA26399935793603</vt:lpwstr>
  </property>
  <property fmtid="{D5CDD505-2E9C-101B-9397-08002B2CF9AE}" pid="23" name="PM_SecurityClassification_Prev">
    <vt:lpwstr>OFFICIAL</vt:lpwstr>
  </property>
  <property fmtid="{D5CDD505-2E9C-101B-9397-08002B2CF9AE}" pid="24" name="PM_Qualifier_Prev">
    <vt:lpwstr/>
  </property>
</Properties>
</file>