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F2D7" w14:textId="69C6535C" w:rsidR="00904137" w:rsidRPr="00904137" w:rsidRDefault="00904137" w:rsidP="00861C2D">
      <w:pPr>
        <w:pStyle w:val="LDTitle"/>
        <w:tabs>
          <w:tab w:val="left" w:pos="1418"/>
        </w:tabs>
        <w:spacing w:before="240"/>
        <w:rPr>
          <w:color w:val="000000"/>
        </w:rPr>
      </w:pPr>
      <w:r w:rsidRPr="00904137">
        <w:rPr>
          <w:color w:val="000000"/>
        </w:rPr>
        <w:t>Instrument number CASA EX</w:t>
      </w:r>
      <w:r w:rsidR="00FA0263">
        <w:rPr>
          <w:color w:val="000000"/>
        </w:rPr>
        <w:t>29</w:t>
      </w:r>
      <w:r w:rsidRPr="00904137">
        <w:rPr>
          <w:color w:val="000000"/>
        </w:rPr>
        <w:t>/2</w:t>
      </w:r>
      <w:r w:rsidR="00D6383B">
        <w:rPr>
          <w:color w:val="000000"/>
        </w:rPr>
        <w:t>4</w:t>
      </w:r>
    </w:p>
    <w:p w14:paraId="2642E518" w14:textId="611C636C" w:rsidR="00904137" w:rsidRPr="00904137" w:rsidRDefault="00904137" w:rsidP="005448C8">
      <w:pPr>
        <w:pStyle w:val="LDBodytext"/>
        <w:rPr>
          <w:iCs/>
        </w:rPr>
      </w:pPr>
      <w:bookmarkStart w:id="0" w:name="OLE_LINK1"/>
      <w:bookmarkStart w:id="1" w:name="OLE_LINK4"/>
      <w:r w:rsidRPr="00904137">
        <w:t xml:space="preserve">I, </w:t>
      </w:r>
      <w:bookmarkStart w:id="2" w:name="OLE_LINK2"/>
      <w:bookmarkStart w:id="3" w:name="OLE_LINK3"/>
      <w:r w:rsidR="00EE4FCB">
        <w:t xml:space="preserve">MATTHEW IAN BOUTTELL, </w:t>
      </w:r>
      <w:bookmarkEnd w:id="2"/>
      <w:bookmarkEnd w:id="3"/>
      <w:r w:rsidR="00EE4FCB">
        <w:rPr>
          <w:szCs w:val="26"/>
        </w:rPr>
        <w:t xml:space="preserve">Executive Manager, Regulatory Oversight, a delegate of CASA, </w:t>
      </w:r>
      <w:r w:rsidRPr="00904137">
        <w:t>make this instrument under regulations 11.160</w:t>
      </w:r>
      <w:r w:rsidR="001C229E">
        <w:t xml:space="preserve">, 11.205 and 11.245 </w:t>
      </w:r>
      <w:r w:rsidRPr="00904137">
        <w:t xml:space="preserve">of the </w:t>
      </w:r>
      <w:r w:rsidRPr="00904137">
        <w:rPr>
          <w:i/>
          <w:iCs/>
        </w:rPr>
        <w:t>Civil Aviation Safety Regulations 1998</w:t>
      </w:r>
      <w:r w:rsidRPr="009A1461">
        <w:t>.</w:t>
      </w:r>
    </w:p>
    <w:p w14:paraId="7036F4BF" w14:textId="6189B800" w:rsidR="009C42F7" w:rsidRPr="00005FA9" w:rsidRDefault="00BE273E" w:rsidP="00A47D4D">
      <w:pPr>
        <w:pStyle w:val="LDSignatory"/>
        <w:spacing w:before="1080"/>
        <w:rPr>
          <w:rFonts w:ascii="Arial" w:hAnsi="Arial" w:cs="Arial"/>
          <w:b/>
          <w:color w:val="000000"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Matt Bouttell</w:t>
      </w:r>
      <w:r w:rsidRPr="00065444">
        <w:rPr>
          <w:rFonts w:ascii="Arial" w:hAnsi="Arial" w:cs="Arial"/>
          <w:b/>
        </w:rPr>
        <w:t>]</w:t>
      </w:r>
    </w:p>
    <w:p w14:paraId="2617DF3B" w14:textId="69F70A45" w:rsidR="00904137" w:rsidRPr="005448C8" w:rsidRDefault="00EE4FCB" w:rsidP="00EE4FCB">
      <w:pPr>
        <w:pStyle w:val="LDBodytext"/>
        <w:rPr>
          <w:color w:val="000000"/>
        </w:rPr>
      </w:pPr>
      <w:r>
        <w:rPr>
          <w:szCs w:val="26"/>
        </w:rPr>
        <w:t>Matt Bouttell</w:t>
      </w:r>
      <w:r w:rsidR="00904137" w:rsidRPr="00904137">
        <w:br/>
      </w:r>
      <w:r>
        <w:rPr>
          <w:color w:val="000000"/>
          <w:szCs w:val="26"/>
        </w:rPr>
        <w:t>Executive Manager, Regulatory Oversight</w:t>
      </w:r>
    </w:p>
    <w:p w14:paraId="7CDBA97B" w14:textId="487E4D98" w:rsidR="00904137" w:rsidRPr="00904137" w:rsidRDefault="00BE273E" w:rsidP="005448C8">
      <w:pPr>
        <w:pStyle w:val="LDDate"/>
      </w:pPr>
      <w:bookmarkStart w:id="4" w:name="MakerPosition2"/>
      <w:bookmarkEnd w:id="4"/>
      <w:r>
        <w:t xml:space="preserve">14 </w:t>
      </w:r>
      <w:r w:rsidR="00615B24">
        <w:t xml:space="preserve">June </w:t>
      </w:r>
      <w:r w:rsidR="00904137" w:rsidRPr="00904137">
        <w:t>202</w:t>
      </w:r>
      <w:r w:rsidR="00EE4FCB">
        <w:t>4</w:t>
      </w:r>
    </w:p>
    <w:p w14:paraId="1201C5BA" w14:textId="53B54AA6" w:rsidR="00904137" w:rsidRPr="005448C8" w:rsidRDefault="00904137" w:rsidP="005448C8">
      <w:pPr>
        <w:pStyle w:val="LDDescription"/>
        <w:rPr>
          <w:color w:val="000000"/>
        </w:rPr>
      </w:pPr>
      <w:bookmarkStart w:id="5" w:name="Clause1Heading"/>
      <w:bookmarkStart w:id="6" w:name="_Hlk48125549"/>
      <w:bookmarkEnd w:id="5"/>
      <w:r w:rsidRPr="00904137">
        <w:t>CASA EX</w:t>
      </w:r>
      <w:r w:rsidR="00FA0263">
        <w:t>29</w:t>
      </w:r>
      <w:r w:rsidR="00FE65B4">
        <w:t>/2</w:t>
      </w:r>
      <w:r w:rsidR="00EE4FCB">
        <w:t>4</w:t>
      </w:r>
      <w:r w:rsidRPr="00904137">
        <w:t> —</w:t>
      </w:r>
      <w:bookmarkEnd w:id="6"/>
      <w:r w:rsidR="00FE65B4">
        <w:t xml:space="preserve"> Dangerous Goods </w:t>
      </w:r>
      <w:r w:rsidR="00126364">
        <w:t>(</w:t>
      </w:r>
      <w:r w:rsidR="00FE65B4">
        <w:t>2-</w:t>
      </w:r>
      <w:r w:rsidR="00B576BC">
        <w:t>y</w:t>
      </w:r>
      <w:r w:rsidR="00FE65B4">
        <w:t>early Training Requiremen</w:t>
      </w:r>
      <w:r w:rsidR="00126364">
        <w:t xml:space="preserve">t) </w:t>
      </w:r>
      <w:r w:rsidR="004C485B">
        <w:t xml:space="preserve">Instrument </w:t>
      </w:r>
      <w:r w:rsidRPr="00904137">
        <w:t>202</w:t>
      </w:r>
      <w:r w:rsidR="00EE4FCB">
        <w:t>4</w:t>
      </w:r>
    </w:p>
    <w:bookmarkEnd w:id="0"/>
    <w:p w14:paraId="690B35BA" w14:textId="77777777" w:rsidR="00904137" w:rsidRPr="00904137" w:rsidRDefault="00904137" w:rsidP="00A47D4D">
      <w:pPr>
        <w:pStyle w:val="LDClauseHeading"/>
        <w:rPr>
          <w:b w:val="0"/>
        </w:rPr>
      </w:pPr>
      <w:r w:rsidRPr="00904137">
        <w:t>1</w:t>
      </w:r>
      <w:r w:rsidRPr="00904137">
        <w:tab/>
        <w:t>Name</w:t>
      </w:r>
    </w:p>
    <w:p w14:paraId="6E191382" w14:textId="08877468" w:rsidR="00904137" w:rsidRPr="00A47D4D" w:rsidRDefault="00904137" w:rsidP="00A47D4D">
      <w:pPr>
        <w:pStyle w:val="LDClause"/>
        <w:rPr>
          <w:color w:val="000000"/>
        </w:rPr>
      </w:pPr>
      <w:r w:rsidRPr="00904137">
        <w:tab/>
      </w:r>
      <w:r w:rsidRPr="00904137">
        <w:tab/>
        <w:t xml:space="preserve">This instrument is </w:t>
      </w:r>
      <w:r w:rsidRPr="00904137">
        <w:rPr>
          <w:i/>
          <w:iCs/>
        </w:rPr>
        <w:t>CASA EX</w:t>
      </w:r>
      <w:r w:rsidR="00FA0263">
        <w:rPr>
          <w:i/>
          <w:iCs/>
        </w:rPr>
        <w:t>29</w:t>
      </w:r>
      <w:r w:rsidRPr="00904137">
        <w:rPr>
          <w:i/>
          <w:iCs/>
        </w:rPr>
        <w:t>/2</w:t>
      </w:r>
      <w:r w:rsidR="00121B5A">
        <w:rPr>
          <w:i/>
          <w:iCs/>
        </w:rPr>
        <w:t>4</w:t>
      </w:r>
      <w:r w:rsidRPr="00904137">
        <w:rPr>
          <w:i/>
          <w:iCs/>
        </w:rPr>
        <w:t> —</w:t>
      </w:r>
      <w:r w:rsidR="00126364">
        <w:rPr>
          <w:i/>
          <w:iCs/>
        </w:rPr>
        <w:t xml:space="preserve"> Dangerous Goods (2-</w:t>
      </w:r>
      <w:r w:rsidR="00B576BC">
        <w:rPr>
          <w:i/>
          <w:iCs/>
        </w:rPr>
        <w:t>y</w:t>
      </w:r>
      <w:r w:rsidR="00126364">
        <w:rPr>
          <w:i/>
          <w:iCs/>
        </w:rPr>
        <w:t xml:space="preserve">early Training Requirement) </w:t>
      </w:r>
      <w:r w:rsidR="004C485B">
        <w:rPr>
          <w:i/>
          <w:iCs/>
        </w:rPr>
        <w:t xml:space="preserve">Instrument </w:t>
      </w:r>
      <w:r w:rsidRPr="00904137">
        <w:rPr>
          <w:i/>
          <w:iCs/>
        </w:rPr>
        <w:t>202</w:t>
      </w:r>
      <w:r w:rsidR="00121B5A">
        <w:rPr>
          <w:i/>
          <w:iCs/>
        </w:rPr>
        <w:t>4</w:t>
      </w:r>
      <w:r w:rsidRPr="00904137">
        <w:t>.</w:t>
      </w:r>
    </w:p>
    <w:p w14:paraId="530E547E" w14:textId="77777777" w:rsidR="00904137" w:rsidRPr="00904137" w:rsidRDefault="00904137" w:rsidP="00A47D4D">
      <w:pPr>
        <w:pStyle w:val="LDClauseHeading"/>
        <w:rPr>
          <w:b w:val="0"/>
          <w:color w:val="000000"/>
        </w:rPr>
      </w:pPr>
      <w:r w:rsidRPr="00904137">
        <w:rPr>
          <w:color w:val="000000"/>
        </w:rPr>
        <w:t>2</w:t>
      </w:r>
      <w:r w:rsidRPr="00904137">
        <w:rPr>
          <w:color w:val="000000"/>
        </w:rPr>
        <w:tab/>
        <w:t>Duration</w:t>
      </w:r>
    </w:p>
    <w:p w14:paraId="67CC3FC3" w14:textId="3870727D" w:rsidR="00904137" w:rsidRPr="00904137" w:rsidRDefault="00904137" w:rsidP="00A47D4D">
      <w:pPr>
        <w:pStyle w:val="LDClause"/>
      </w:pPr>
      <w:r w:rsidRPr="00904137">
        <w:tab/>
      </w:r>
      <w:r w:rsidRPr="00904137">
        <w:tab/>
        <w:t>This instrument:</w:t>
      </w:r>
    </w:p>
    <w:p w14:paraId="21B6FB73" w14:textId="77777777" w:rsidR="00904137" w:rsidRPr="00904137" w:rsidRDefault="00904137" w:rsidP="00D93A15">
      <w:pPr>
        <w:pStyle w:val="LDP1a"/>
        <w:rPr>
          <w:color w:val="000000"/>
        </w:rPr>
      </w:pPr>
      <w:r w:rsidRPr="00904137">
        <w:rPr>
          <w:color w:val="000000"/>
        </w:rPr>
        <w:t>(a)</w:t>
      </w:r>
      <w:r w:rsidRPr="00904137">
        <w:rPr>
          <w:color w:val="000000"/>
        </w:rPr>
        <w:tab/>
        <w:t>commences on the day after it is registered; and</w:t>
      </w:r>
    </w:p>
    <w:p w14:paraId="03D93BEE" w14:textId="43A68060" w:rsidR="00904137" w:rsidRPr="00904137" w:rsidRDefault="00904137" w:rsidP="00D93A15">
      <w:pPr>
        <w:pStyle w:val="LDP1a"/>
        <w:rPr>
          <w:color w:val="000000"/>
        </w:rPr>
      </w:pPr>
      <w:r w:rsidRPr="00904137">
        <w:rPr>
          <w:color w:val="000000"/>
        </w:rPr>
        <w:t>(b)</w:t>
      </w:r>
      <w:r w:rsidRPr="00904137">
        <w:rPr>
          <w:color w:val="000000"/>
        </w:rPr>
        <w:tab/>
        <w:t xml:space="preserve">is repealed at the end of </w:t>
      </w:r>
      <w:r w:rsidR="009A1461">
        <w:rPr>
          <w:color w:val="000000"/>
        </w:rPr>
        <w:t>3</w:t>
      </w:r>
      <w:r w:rsidR="00615B24">
        <w:rPr>
          <w:color w:val="000000"/>
        </w:rPr>
        <w:t>1</w:t>
      </w:r>
      <w:r w:rsidR="009A1461">
        <w:rPr>
          <w:color w:val="000000"/>
        </w:rPr>
        <w:t xml:space="preserve"> </w:t>
      </w:r>
      <w:r w:rsidR="00615B24">
        <w:rPr>
          <w:color w:val="000000"/>
        </w:rPr>
        <w:t xml:space="preserve">May </w:t>
      </w:r>
      <w:r w:rsidRPr="00904137">
        <w:rPr>
          <w:color w:val="000000"/>
        </w:rPr>
        <w:t>202</w:t>
      </w:r>
      <w:r w:rsidR="00452064">
        <w:rPr>
          <w:color w:val="000000"/>
        </w:rPr>
        <w:t>7</w:t>
      </w:r>
      <w:r w:rsidRPr="00904137">
        <w:rPr>
          <w:color w:val="000000"/>
        </w:rPr>
        <w:t>.</w:t>
      </w:r>
    </w:p>
    <w:p w14:paraId="6EF23221" w14:textId="1779E039" w:rsidR="00904137" w:rsidRPr="00904137" w:rsidRDefault="00126364" w:rsidP="00A47D4D">
      <w:pPr>
        <w:pStyle w:val="LDClauseHeading"/>
        <w:rPr>
          <w:b w:val="0"/>
          <w:color w:val="000000"/>
        </w:rPr>
      </w:pPr>
      <w:r w:rsidRPr="00955EF1">
        <w:rPr>
          <w:color w:val="000000"/>
        </w:rPr>
        <w:t>3</w:t>
      </w:r>
      <w:r w:rsidR="00904137" w:rsidRPr="00904137">
        <w:rPr>
          <w:color w:val="000000"/>
        </w:rPr>
        <w:tab/>
        <w:t>Definitions</w:t>
      </w:r>
    </w:p>
    <w:p w14:paraId="615B348A" w14:textId="7D4CA452" w:rsidR="007B2E1A" w:rsidRPr="007B2E1A" w:rsidRDefault="00437B1D" w:rsidP="00D93A15">
      <w:pPr>
        <w:pStyle w:val="LDClause"/>
        <w:ind w:left="-284" w:firstLine="0"/>
      </w:pPr>
      <w:r>
        <w:tab/>
        <w:t>(1)</w:t>
      </w:r>
      <w:r>
        <w:tab/>
      </w:r>
      <w:r w:rsidR="00C02B94">
        <w:t>I</w:t>
      </w:r>
      <w:r w:rsidR="007B2E1A" w:rsidRPr="007B2E1A">
        <w:t>n this instrument:</w:t>
      </w:r>
    </w:p>
    <w:p w14:paraId="120ECEB7" w14:textId="1E868847" w:rsidR="00D2082E" w:rsidRDefault="002250EE" w:rsidP="00A47D4D">
      <w:pPr>
        <w:pStyle w:val="LDdefinition"/>
      </w:pPr>
      <w:r>
        <w:rPr>
          <w:b/>
          <w:bCs/>
          <w:i/>
          <w:iCs/>
        </w:rPr>
        <w:t>Australian freight forwarder</w:t>
      </w:r>
      <w:r w:rsidRPr="00BD3086">
        <w:t xml:space="preserve"> </w:t>
      </w:r>
      <w:bookmarkStart w:id="7" w:name="_Hlk63236049"/>
      <w:r w:rsidR="00D2082E">
        <w:t>m</w:t>
      </w:r>
      <w:r w:rsidR="00887FFE">
        <w:t xml:space="preserve">eans </w:t>
      </w:r>
      <w:r w:rsidR="00B02638">
        <w:t xml:space="preserve">a freight forwarder carrying on business in Australia on behalf of an Australian aircraft </w:t>
      </w:r>
      <w:r w:rsidR="00415E49">
        <w:t>o</w:t>
      </w:r>
      <w:r w:rsidR="00B02638">
        <w:t>perator.</w:t>
      </w:r>
      <w:bookmarkEnd w:id="7"/>
    </w:p>
    <w:p w14:paraId="28D28CEE" w14:textId="1DDF50D5" w:rsidR="00105CFA" w:rsidRDefault="00415E49" w:rsidP="00A47D4D">
      <w:pPr>
        <w:pStyle w:val="LDdefinition"/>
      </w:pPr>
      <w:r>
        <w:rPr>
          <w:b/>
          <w:bCs/>
          <w:i/>
          <w:iCs/>
        </w:rPr>
        <w:t xml:space="preserve">Australian </w:t>
      </w:r>
      <w:r w:rsidR="00FE149C" w:rsidRPr="00F2283C">
        <w:rPr>
          <w:b/>
          <w:bCs/>
          <w:i/>
          <w:iCs/>
        </w:rPr>
        <w:t xml:space="preserve">ground handling </w:t>
      </w:r>
      <w:r w:rsidR="00FE149C" w:rsidRPr="00937330">
        <w:rPr>
          <w:b/>
          <w:bCs/>
          <w:i/>
          <w:iCs/>
        </w:rPr>
        <w:t>agent</w:t>
      </w:r>
      <w:r w:rsidR="00FE149C" w:rsidRPr="00BD3086">
        <w:t xml:space="preserve"> </w:t>
      </w:r>
      <w:r w:rsidR="00B201F3">
        <w:t xml:space="preserve">means a </w:t>
      </w:r>
      <w:r w:rsidR="008444D7">
        <w:t xml:space="preserve">ground handling agent </w:t>
      </w:r>
      <w:r w:rsidR="00B201F3">
        <w:t>carrying on business in Australia on behalf of an Australian aircraft operator</w:t>
      </w:r>
      <w:r w:rsidR="001E5A86">
        <w:t>.</w:t>
      </w:r>
    </w:p>
    <w:p w14:paraId="1E2807BF" w14:textId="1B2CC4E3" w:rsidR="00105CFA" w:rsidRPr="00105CFA" w:rsidRDefault="00105CFA" w:rsidP="00A47D4D">
      <w:pPr>
        <w:pStyle w:val="LDdefinition"/>
      </w:pPr>
      <w:r w:rsidRPr="00593F04">
        <w:rPr>
          <w:b/>
          <w:bCs/>
          <w:i/>
          <w:iCs/>
        </w:rPr>
        <w:t>exempted person</w:t>
      </w:r>
      <w:r>
        <w:rPr>
          <w:i/>
          <w:iCs/>
        </w:rPr>
        <w:t xml:space="preserve"> </w:t>
      </w:r>
      <w:r>
        <w:t xml:space="preserve">means </w:t>
      </w:r>
      <w:r w:rsidR="00AF4A71">
        <w:t xml:space="preserve">a </w:t>
      </w:r>
      <w:r w:rsidR="00593F04">
        <w:t>person exempted under</w:t>
      </w:r>
      <w:r w:rsidR="001A3F73">
        <w:t xml:space="preserve"> </w:t>
      </w:r>
      <w:r w:rsidR="00593F04">
        <w:t>section 4.</w:t>
      </w:r>
    </w:p>
    <w:p w14:paraId="3E5BAF45" w14:textId="5803E770" w:rsidR="0016436B" w:rsidRDefault="0016436B" w:rsidP="00A47D4D">
      <w:pPr>
        <w:pStyle w:val="LDdefinition"/>
      </w:pPr>
      <w:r>
        <w:rPr>
          <w:b/>
          <w:bCs/>
          <w:i/>
          <w:iCs/>
        </w:rPr>
        <w:t>screening authority</w:t>
      </w:r>
      <w:r w:rsidRPr="00BD3086">
        <w:t xml:space="preserve"> </w:t>
      </w:r>
      <w:r w:rsidRPr="00212FD9">
        <w:t xml:space="preserve">has the meaning given </w:t>
      </w:r>
      <w:r w:rsidR="00C62EF4">
        <w:t>by</w:t>
      </w:r>
      <w:r>
        <w:t xml:space="preserve"> </w:t>
      </w:r>
      <w:r w:rsidRPr="00212FD9">
        <w:t>regulation</w:t>
      </w:r>
      <w:r w:rsidR="00895879">
        <w:t xml:space="preserve"> 1.03 of the </w:t>
      </w:r>
      <w:r w:rsidR="00895879" w:rsidRPr="00895879">
        <w:rPr>
          <w:i/>
          <w:iCs/>
        </w:rPr>
        <w:t>Aviation Transport Security Regulations 2005</w:t>
      </w:r>
      <w:r>
        <w:t>.</w:t>
      </w:r>
    </w:p>
    <w:p w14:paraId="6F260D40" w14:textId="60C19081" w:rsidR="00C86A31" w:rsidRPr="00C86A31" w:rsidRDefault="00437B1D" w:rsidP="00683319">
      <w:pPr>
        <w:pStyle w:val="LDClause"/>
        <w:ind w:hanging="737"/>
      </w:pPr>
      <w:r>
        <w:tab/>
        <w:t>(2)</w:t>
      </w:r>
      <w:r>
        <w:tab/>
      </w:r>
      <w:r w:rsidR="008F0F3D">
        <w:t>An expression used in this instrument that is defined in subregulation 92.010(1) of</w:t>
      </w:r>
      <w:r w:rsidR="002B567E">
        <w:t xml:space="preserve"> </w:t>
      </w:r>
      <w:r w:rsidR="008F0F3D">
        <w:t xml:space="preserve">CASR </w:t>
      </w:r>
      <w:r w:rsidR="00997F51">
        <w:t>has the meaning given by the subregulation</w:t>
      </w:r>
      <w:r w:rsidR="00670B06">
        <w:t>,</w:t>
      </w:r>
      <w:r w:rsidR="00997F51">
        <w:t xml:space="preserve"> including: </w:t>
      </w:r>
      <w:r w:rsidR="007F1109" w:rsidRPr="00C02B94">
        <w:rPr>
          <w:b/>
          <w:bCs/>
          <w:i/>
          <w:iCs/>
        </w:rPr>
        <w:t>Australian aircraft</w:t>
      </w:r>
      <w:r w:rsidR="007F1109">
        <w:rPr>
          <w:i/>
          <w:iCs/>
        </w:rPr>
        <w:t xml:space="preserve"> </w:t>
      </w:r>
      <w:r w:rsidR="007F1109" w:rsidRPr="00C02B94">
        <w:rPr>
          <w:b/>
          <w:bCs/>
          <w:i/>
          <w:iCs/>
        </w:rPr>
        <w:t>operator</w:t>
      </w:r>
      <w:r w:rsidR="007F1109">
        <w:t xml:space="preserve">, </w:t>
      </w:r>
      <w:r w:rsidR="00997F51" w:rsidRPr="00C02B94">
        <w:rPr>
          <w:b/>
          <w:bCs/>
          <w:i/>
          <w:iCs/>
        </w:rPr>
        <w:t>freight forwarder</w:t>
      </w:r>
      <w:r w:rsidR="00997F51" w:rsidRPr="00521DD0">
        <w:t>,</w:t>
      </w:r>
      <w:r w:rsidR="00997F51">
        <w:t xml:space="preserve"> </w:t>
      </w:r>
      <w:r w:rsidR="00997F51" w:rsidRPr="00C02B94">
        <w:rPr>
          <w:b/>
          <w:bCs/>
          <w:i/>
          <w:iCs/>
        </w:rPr>
        <w:t>ground handling agent</w:t>
      </w:r>
      <w:r w:rsidR="001E081F" w:rsidRPr="00521DD0">
        <w:t>,</w:t>
      </w:r>
      <w:r w:rsidR="001E081F">
        <w:t xml:space="preserve"> </w:t>
      </w:r>
      <w:r w:rsidR="001E081F" w:rsidRPr="00C02B94">
        <w:rPr>
          <w:b/>
          <w:bCs/>
          <w:i/>
          <w:iCs/>
        </w:rPr>
        <w:t>shipper of dangerous goods</w:t>
      </w:r>
      <w:r w:rsidR="001E081F" w:rsidRPr="00C02B94">
        <w:t>,</w:t>
      </w:r>
      <w:r w:rsidR="001E081F">
        <w:rPr>
          <w:i/>
          <w:iCs/>
        </w:rPr>
        <w:t xml:space="preserve"> </w:t>
      </w:r>
      <w:r w:rsidR="001E081F" w:rsidRPr="00C02B94">
        <w:rPr>
          <w:b/>
          <w:bCs/>
          <w:i/>
          <w:iCs/>
        </w:rPr>
        <w:t>Technical Instructions</w:t>
      </w:r>
      <w:r w:rsidR="001E081F">
        <w:rPr>
          <w:i/>
          <w:iCs/>
        </w:rPr>
        <w:t>.</w:t>
      </w:r>
    </w:p>
    <w:p w14:paraId="3C73B1E6" w14:textId="2F371919" w:rsidR="00904137" w:rsidRPr="00F37C71" w:rsidRDefault="00670E7F" w:rsidP="00A47D4D">
      <w:pPr>
        <w:pStyle w:val="LDClauseHeading"/>
        <w:rPr>
          <w:b w:val="0"/>
          <w:i/>
          <w:iCs/>
          <w:color w:val="000000"/>
        </w:rPr>
      </w:pPr>
      <w:r>
        <w:rPr>
          <w:color w:val="000000"/>
        </w:rPr>
        <w:t>4</w:t>
      </w:r>
      <w:r w:rsidR="00904137" w:rsidRPr="00904137">
        <w:rPr>
          <w:color w:val="000000"/>
        </w:rPr>
        <w:tab/>
        <w:t>Exemption</w:t>
      </w:r>
      <w:r w:rsidR="0079052E">
        <w:rPr>
          <w:color w:val="000000"/>
        </w:rPr>
        <w:t>s</w:t>
      </w:r>
    </w:p>
    <w:p w14:paraId="48393D0D" w14:textId="0DEABA90" w:rsidR="00A90C68" w:rsidRDefault="00904137" w:rsidP="0027071D">
      <w:pPr>
        <w:pStyle w:val="LDClause"/>
        <w:ind w:left="720" w:right="-188" w:hanging="720"/>
      </w:pPr>
      <w:r w:rsidRPr="00904137">
        <w:tab/>
      </w:r>
      <w:r w:rsidR="00AB0E80">
        <w:t>(1)</w:t>
      </w:r>
      <w:r w:rsidR="00AB0E80">
        <w:tab/>
        <w:t xml:space="preserve">An Australian aircraft operator is exempt from compliance with </w:t>
      </w:r>
      <w:r w:rsidR="00A90C68">
        <w:t>paragraph 92.095(2)(b) of CASR.</w:t>
      </w:r>
    </w:p>
    <w:p w14:paraId="3B85D3E3" w14:textId="0D7BD867" w:rsidR="00937330" w:rsidRDefault="00A90C68" w:rsidP="00D93A15">
      <w:pPr>
        <w:pStyle w:val="LDClause"/>
        <w:rPr>
          <w:color w:val="000000"/>
        </w:rPr>
      </w:pPr>
      <w:r>
        <w:lastRenderedPageBreak/>
        <w:tab/>
        <w:t>(2)</w:t>
      </w:r>
      <w:r>
        <w:tab/>
      </w:r>
      <w:r w:rsidR="005A1288">
        <w:t>An Australian</w:t>
      </w:r>
      <w:r w:rsidR="00A20AB2">
        <w:t xml:space="preserve"> </w:t>
      </w:r>
      <w:r w:rsidR="005A1288">
        <w:t xml:space="preserve">ground handling agent is exempt from </w:t>
      </w:r>
      <w:r w:rsidR="005A1288" w:rsidRPr="00D93A15">
        <w:rPr>
          <w:color w:val="000000"/>
        </w:rPr>
        <w:t>compliance</w:t>
      </w:r>
      <w:r w:rsidR="005A1288">
        <w:t xml:space="preserve"> with paragraph</w:t>
      </w:r>
      <w:r w:rsidR="00AF3688">
        <w:t> </w:t>
      </w:r>
      <w:r w:rsidR="00937330" w:rsidRPr="000B39D0">
        <w:rPr>
          <w:color w:val="000000"/>
        </w:rPr>
        <w:t>92.100(1)(b)</w:t>
      </w:r>
      <w:r w:rsidR="00A20AB2">
        <w:rPr>
          <w:color w:val="000000"/>
        </w:rPr>
        <w:t xml:space="preserve"> of CASR.</w:t>
      </w:r>
    </w:p>
    <w:p w14:paraId="029BE5F9" w14:textId="4C49D73B" w:rsidR="001665CB" w:rsidRPr="000B39D0" w:rsidRDefault="002D07D1" w:rsidP="00D93A15">
      <w:pPr>
        <w:pStyle w:val="LDClause"/>
        <w:ind w:right="-330"/>
        <w:rPr>
          <w:color w:val="000000"/>
        </w:rPr>
      </w:pPr>
      <w:r>
        <w:rPr>
          <w:color w:val="000000"/>
        </w:rPr>
        <w:tab/>
        <w:t>(3)</w:t>
      </w:r>
      <w:r>
        <w:rPr>
          <w:color w:val="000000"/>
        </w:rPr>
        <w:tab/>
        <w:t xml:space="preserve">An Australian </w:t>
      </w:r>
      <w:r w:rsidR="001665CB">
        <w:rPr>
          <w:color w:val="000000"/>
        </w:rPr>
        <w:t>f</w:t>
      </w:r>
      <w:r>
        <w:rPr>
          <w:color w:val="000000"/>
        </w:rPr>
        <w:t xml:space="preserve">reight forwarder is exempt from compliance with paragraph </w:t>
      </w:r>
      <w:r w:rsidR="001665CB">
        <w:rPr>
          <w:color w:val="000000"/>
        </w:rPr>
        <w:t>92.105</w:t>
      </w:r>
      <w:r w:rsidR="003D7B8B">
        <w:rPr>
          <w:color w:val="000000"/>
        </w:rPr>
        <w:t>(1)</w:t>
      </w:r>
      <w:r w:rsidR="001665CB">
        <w:rPr>
          <w:color w:val="000000"/>
        </w:rPr>
        <w:t>(b) of CASR.</w:t>
      </w:r>
    </w:p>
    <w:p w14:paraId="0199D61B" w14:textId="1B8A66A2" w:rsidR="00F61189" w:rsidRPr="000B39D0" w:rsidRDefault="001665CB" w:rsidP="00C02B94">
      <w:pPr>
        <w:pStyle w:val="LDClause"/>
        <w:rPr>
          <w:color w:val="000000"/>
        </w:rPr>
      </w:pPr>
      <w:r>
        <w:rPr>
          <w:color w:val="000000"/>
        </w:rPr>
        <w:tab/>
        <w:t>(4)</w:t>
      </w:r>
      <w:r>
        <w:rPr>
          <w:color w:val="000000"/>
        </w:rPr>
        <w:tab/>
        <w:t>A</w:t>
      </w:r>
      <w:r w:rsidR="008F01C3">
        <w:rPr>
          <w:color w:val="000000"/>
        </w:rPr>
        <w:t xml:space="preserve"> screening authority is exempt from compliance with p</w:t>
      </w:r>
      <w:r w:rsidR="00F61189">
        <w:rPr>
          <w:color w:val="000000"/>
        </w:rPr>
        <w:t>aragraph 92.115(2)(b) of CASR.</w:t>
      </w:r>
    </w:p>
    <w:p w14:paraId="53BFFDE6" w14:textId="5D558C56" w:rsidR="00687845" w:rsidRPr="000B39D0" w:rsidRDefault="00F61189" w:rsidP="001B7757">
      <w:pPr>
        <w:pStyle w:val="LDClause"/>
        <w:ind w:right="-188"/>
        <w:rPr>
          <w:color w:val="000000"/>
        </w:rPr>
      </w:pPr>
      <w:r>
        <w:rPr>
          <w:color w:val="000000"/>
        </w:rPr>
        <w:tab/>
        <w:t>(5)</w:t>
      </w:r>
      <w:r>
        <w:rPr>
          <w:color w:val="000000"/>
        </w:rPr>
        <w:tab/>
        <w:t xml:space="preserve">A shipper of dangerous goods is exempt from compliance with paragraph </w:t>
      </w:r>
      <w:r w:rsidR="00AF3688">
        <w:rPr>
          <w:color w:val="000000"/>
        </w:rPr>
        <w:t>92.120(1)(b) of CASR.</w:t>
      </w:r>
    </w:p>
    <w:p w14:paraId="41FF10E4" w14:textId="09439269" w:rsidR="00937330" w:rsidRPr="000B39D0" w:rsidRDefault="00687845" w:rsidP="00C02B94">
      <w:pPr>
        <w:pStyle w:val="LDClause"/>
        <w:rPr>
          <w:color w:val="000000"/>
        </w:rPr>
      </w:pPr>
      <w:r>
        <w:rPr>
          <w:color w:val="000000"/>
        </w:rPr>
        <w:tab/>
        <w:t>(6)</w:t>
      </w:r>
      <w:r>
        <w:rPr>
          <w:color w:val="000000"/>
        </w:rPr>
        <w:tab/>
      </w:r>
      <w:r w:rsidR="002D2E55">
        <w:rPr>
          <w:color w:val="000000"/>
        </w:rPr>
        <w:t xml:space="preserve">Each </w:t>
      </w:r>
      <w:r>
        <w:rPr>
          <w:color w:val="000000"/>
        </w:rPr>
        <w:t>exemption mentioned in this section is subject to the conditions in section</w:t>
      </w:r>
      <w:r w:rsidR="006B5757">
        <w:rPr>
          <w:color w:val="000000"/>
        </w:rPr>
        <w:t xml:space="preserve"> 5</w:t>
      </w:r>
      <w:r w:rsidR="005E6225">
        <w:rPr>
          <w:color w:val="000000"/>
        </w:rPr>
        <w:t>.</w:t>
      </w:r>
    </w:p>
    <w:p w14:paraId="7C55B163" w14:textId="7BFAFCA4" w:rsidR="00955EF1" w:rsidRDefault="00670E7F" w:rsidP="00A47D4D">
      <w:pPr>
        <w:pStyle w:val="LDClauseHeading"/>
        <w:rPr>
          <w:b w:val="0"/>
          <w:color w:val="000000"/>
        </w:rPr>
      </w:pPr>
      <w:r>
        <w:rPr>
          <w:color w:val="000000"/>
        </w:rPr>
        <w:t>5</w:t>
      </w:r>
      <w:r w:rsidR="00955EF1" w:rsidRPr="00955EF1">
        <w:rPr>
          <w:color w:val="000000"/>
        </w:rPr>
        <w:tab/>
        <w:t>Condition</w:t>
      </w:r>
      <w:r w:rsidR="008750D8">
        <w:rPr>
          <w:color w:val="000000"/>
        </w:rPr>
        <w:t>s</w:t>
      </w:r>
    </w:p>
    <w:p w14:paraId="7D150D9A" w14:textId="5B1CC849" w:rsidR="00CC01A3" w:rsidRPr="00CC01A3" w:rsidRDefault="00BB5B37" w:rsidP="00A47D4D">
      <w:pPr>
        <w:pStyle w:val="LDClause"/>
      </w:pPr>
      <w:r>
        <w:tab/>
        <w:t>(1)</w:t>
      </w:r>
      <w:r>
        <w:tab/>
      </w:r>
      <w:r w:rsidR="006B5757">
        <w:t>Subject to s</w:t>
      </w:r>
      <w:r w:rsidR="0086569F">
        <w:t>ub</w:t>
      </w:r>
      <w:r w:rsidR="00A046EC">
        <w:t>s</w:t>
      </w:r>
      <w:r w:rsidR="006B5757">
        <w:t xml:space="preserve">ection (2), </w:t>
      </w:r>
      <w:r w:rsidR="00896099">
        <w:t xml:space="preserve">the exempted person </w:t>
      </w:r>
      <w:r w:rsidR="00CC01A3" w:rsidRPr="00CC01A3">
        <w:t xml:space="preserve">must ensure that </w:t>
      </w:r>
      <w:r w:rsidR="00354709">
        <w:t xml:space="preserve">each of </w:t>
      </w:r>
      <w:r w:rsidR="00CC01A3" w:rsidRPr="00CC01A3">
        <w:t xml:space="preserve">the </w:t>
      </w:r>
      <w:r w:rsidR="009F5801">
        <w:t xml:space="preserve">person’s </w:t>
      </w:r>
      <w:r w:rsidR="00CC01A3" w:rsidRPr="00CC01A3">
        <w:t>employee</w:t>
      </w:r>
      <w:r w:rsidR="00354709">
        <w:t>s</w:t>
      </w:r>
      <w:r w:rsidR="00CC01A3" w:rsidRPr="00CC01A3">
        <w:t xml:space="preserve"> undertakes the recurrent training within the period commencing at the end of the month in which the</w:t>
      </w:r>
      <w:r w:rsidR="000863FB">
        <w:t xml:space="preserve"> employee</w:t>
      </w:r>
      <w:r w:rsidR="00CC01A3" w:rsidRPr="00CC01A3">
        <w:t xml:space="preserve"> last undertook the training, whether initial or recurrent, and ending after 24 months (</w:t>
      </w:r>
      <w:bookmarkStart w:id="8" w:name="_Hlk55898918"/>
      <w:r w:rsidR="00CC01A3" w:rsidRPr="00CC01A3">
        <w:t xml:space="preserve">the </w:t>
      </w:r>
      <w:r w:rsidR="00CC01A3" w:rsidRPr="00CC01A3">
        <w:rPr>
          <w:b/>
          <w:bCs/>
          <w:i/>
          <w:iCs/>
        </w:rPr>
        <w:t>extended</w:t>
      </w:r>
      <w:r w:rsidR="00CC01A3" w:rsidRPr="00CC01A3">
        <w:t xml:space="preserve"> </w:t>
      </w:r>
      <w:r w:rsidR="00CC01A3" w:rsidRPr="00CC01A3">
        <w:rPr>
          <w:b/>
          <w:bCs/>
          <w:i/>
          <w:iCs/>
        </w:rPr>
        <w:t>validity period</w:t>
      </w:r>
      <w:bookmarkEnd w:id="8"/>
      <w:r w:rsidR="00CC01A3" w:rsidRPr="00CC01A3">
        <w:t>).</w:t>
      </w:r>
    </w:p>
    <w:p w14:paraId="43773173" w14:textId="2533CEE6" w:rsidR="00CC01A3" w:rsidRPr="00CC01A3" w:rsidRDefault="008D74EC" w:rsidP="00A47D4D">
      <w:pPr>
        <w:pStyle w:val="LDClause"/>
      </w:pPr>
      <w:r>
        <w:tab/>
        <w:t>(</w:t>
      </w:r>
      <w:r w:rsidR="006B5757">
        <w:t>2</w:t>
      </w:r>
      <w:r>
        <w:t>)</w:t>
      </w:r>
      <w:r>
        <w:tab/>
      </w:r>
      <w:r w:rsidR="00CC01A3" w:rsidRPr="00CC01A3">
        <w:t xml:space="preserve">If </w:t>
      </w:r>
      <w:r w:rsidR="00CA062C">
        <w:t>an</w:t>
      </w:r>
      <w:r w:rsidR="00CC01A3" w:rsidRPr="00CC01A3">
        <w:t xml:space="preserve"> </w:t>
      </w:r>
      <w:r w:rsidR="00E83DC8" w:rsidRPr="00CC01A3">
        <w:t xml:space="preserve">employee </w:t>
      </w:r>
      <w:r w:rsidR="00CC01A3" w:rsidRPr="00CC01A3">
        <w:t xml:space="preserve">undertakes a course of recurrent training within the final 3 months of </w:t>
      </w:r>
      <w:r w:rsidR="00426238">
        <w:t>the</w:t>
      </w:r>
      <w:r w:rsidR="00CC01A3" w:rsidRPr="00CC01A3">
        <w:t xml:space="preserve"> extended validity period (the </w:t>
      </w:r>
      <w:r w:rsidR="00CC01A3" w:rsidRPr="00CC01A3">
        <w:rPr>
          <w:b/>
          <w:bCs/>
          <w:i/>
          <w:iCs/>
        </w:rPr>
        <w:t>final quarter</w:t>
      </w:r>
      <w:r w:rsidR="00CC01A3" w:rsidRPr="00CC01A3">
        <w:t xml:space="preserve">), then the subsequent </w:t>
      </w:r>
      <w:r w:rsidR="00CC01A3" w:rsidRPr="00854000">
        <w:t>extended validity period</w:t>
      </w:r>
      <w:r w:rsidR="00CC01A3" w:rsidRPr="00CC01A3">
        <w:t xml:space="preserve"> does not commence until </w:t>
      </w:r>
      <w:r w:rsidR="00ED1787">
        <w:t xml:space="preserve">24 months after </w:t>
      </w:r>
      <w:r w:rsidR="00CC01A3" w:rsidRPr="00CC01A3">
        <w:t>the end of the previous extended validity period.</w:t>
      </w:r>
    </w:p>
    <w:p w14:paraId="75940970" w14:textId="4B29769D" w:rsidR="0072752E" w:rsidRDefault="0072752E" w:rsidP="00D93A15">
      <w:pPr>
        <w:pStyle w:val="LDNote"/>
        <w:tabs>
          <w:tab w:val="clear" w:pos="454"/>
        </w:tabs>
        <w:rPr>
          <w:szCs w:val="20"/>
        </w:rPr>
      </w:pPr>
      <w:r w:rsidRPr="00D00646">
        <w:rPr>
          <w:i/>
          <w:iCs/>
          <w:szCs w:val="20"/>
        </w:rPr>
        <w:t>Note</w:t>
      </w:r>
      <w:r w:rsidR="00CB428E">
        <w:rPr>
          <w:i/>
          <w:iCs/>
          <w:szCs w:val="20"/>
        </w:rPr>
        <w:t xml:space="preserve"> 1</w:t>
      </w:r>
      <w:r w:rsidR="00EE7EB8" w:rsidRPr="00D00646">
        <w:rPr>
          <w:i/>
          <w:iCs/>
          <w:szCs w:val="20"/>
        </w:rPr>
        <w:t>   </w:t>
      </w:r>
      <w:r w:rsidR="001A17A6">
        <w:rPr>
          <w:szCs w:val="20"/>
        </w:rPr>
        <w:t xml:space="preserve">This section </w:t>
      </w:r>
      <w:r w:rsidRPr="00311A6D">
        <w:rPr>
          <w:szCs w:val="20"/>
        </w:rPr>
        <w:t>give</w:t>
      </w:r>
      <w:r w:rsidR="001A17A6">
        <w:rPr>
          <w:szCs w:val="20"/>
        </w:rPr>
        <w:t>s</w:t>
      </w:r>
      <w:r w:rsidRPr="00311A6D">
        <w:rPr>
          <w:szCs w:val="20"/>
        </w:rPr>
        <w:t xml:space="preserve"> effect to ICAO provision Part 1;</w:t>
      </w:r>
      <w:r w:rsidR="000042CF">
        <w:rPr>
          <w:szCs w:val="20"/>
        </w:rPr>
        <w:t xml:space="preserve"> </w:t>
      </w:r>
      <w:r w:rsidRPr="00311A6D">
        <w:rPr>
          <w:szCs w:val="20"/>
        </w:rPr>
        <w:t xml:space="preserve">4.3, in the </w:t>
      </w:r>
      <w:r w:rsidRPr="00470627">
        <w:rPr>
          <w:szCs w:val="20"/>
        </w:rPr>
        <w:t>Technical Instructions</w:t>
      </w:r>
      <w:r w:rsidR="00991932">
        <w:rPr>
          <w:szCs w:val="20"/>
        </w:rPr>
        <w:t xml:space="preserve"> (2023</w:t>
      </w:r>
      <w:r w:rsidR="00F4007E">
        <w:rPr>
          <w:szCs w:val="20"/>
        </w:rPr>
        <w:noBreakHyphen/>
      </w:r>
      <w:r w:rsidR="00991932">
        <w:rPr>
          <w:szCs w:val="20"/>
        </w:rPr>
        <w:t>2024 edition)</w:t>
      </w:r>
      <w:r w:rsidRPr="00311A6D">
        <w:rPr>
          <w:szCs w:val="20"/>
        </w:rPr>
        <w:t xml:space="preserve"> </w:t>
      </w:r>
      <w:r w:rsidR="00693602">
        <w:rPr>
          <w:szCs w:val="20"/>
        </w:rPr>
        <w:t xml:space="preserve">and </w:t>
      </w:r>
      <w:r w:rsidRPr="00311A6D">
        <w:rPr>
          <w:szCs w:val="20"/>
        </w:rPr>
        <w:t>section 1.5.</w:t>
      </w:r>
      <w:r w:rsidR="00C54C26">
        <w:rPr>
          <w:szCs w:val="20"/>
        </w:rPr>
        <w:t>1</w:t>
      </w:r>
      <w:r w:rsidRPr="00311A6D">
        <w:rPr>
          <w:szCs w:val="20"/>
        </w:rPr>
        <w:t>.3 of the IATA Dangerous Goods Regulations</w:t>
      </w:r>
      <w:r w:rsidR="0030610E">
        <w:rPr>
          <w:szCs w:val="20"/>
        </w:rPr>
        <w:t xml:space="preserve"> (</w:t>
      </w:r>
      <w:r w:rsidR="00557E85">
        <w:rPr>
          <w:szCs w:val="20"/>
        </w:rPr>
        <w:t>65</w:t>
      </w:r>
      <w:r w:rsidR="006D4094" w:rsidRPr="006D4094">
        <w:rPr>
          <w:szCs w:val="20"/>
          <w:vertAlign w:val="superscript"/>
        </w:rPr>
        <w:t>th</w:t>
      </w:r>
      <w:r w:rsidR="006D4094">
        <w:rPr>
          <w:szCs w:val="20"/>
        </w:rPr>
        <w:t xml:space="preserve"> </w:t>
      </w:r>
      <w:r w:rsidR="00557E85">
        <w:rPr>
          <w:szCs w:val="20"/>
        </w:rPr>
        <w:t>Edition 2024)</w:t>
      </w:r>
      <w:r w:rsidRPr="00311A6D">
        <w:rPr>
          <w:szCs w:val="20"/>
        </w:rPr>
        <w:t>.</w:t>
      </w:r>
    </w:p>
    <w:p w14:paraId="4CF29DE7" w14:textId="523569DD" w:rsidR="00CC01A3" w:rsidRPr="00D00646" w:rsidRDefault="00CC01A3" w:rsidP="00D93A15">
      <w:pPr>
        <w:pStyle w:val="LDNote"/>
        <w:tabs>
          <w:tab w:val="clear" w:pos="454"/>
        </w:tabs>
        <w:rPr>
          <w:szCs w:val="20"/>
        </w:rPr>
      </w:pPr>
      <w:r w:rsidRPr="00D00646">
        <w:rPr>
          <w:i/>
          <w:iCs/>
          <w:szCs w:val="20"/>
        </w:rPr>
        <w:t>Note</w:t>
      </w:r>
      <w:r w:rsidR="00CB428E">
        <w:rPr>
          <w:i/>
          <w:iCs/>
          <w:szCs w:val="20"/>
        </w:rPr>
        <w:t xml:space="preserve"> 2</w:t>
      </w:r>
      <w:r w:rsidR="00D00646" w:rsidRPr="00D00646">
        <w:rPr>
          <w:szCs w:val="20"/>
        </w:rPr>
        <w:t>   </w:t>
      </w:r>
      <w:r w:rsidRPr="00D00646">
        <w:rPr>
          <w:szCs w:val="20"/>
        </w:rPr>
        <w:t xml:space="preserve">Examples of use of, or failure to use, </w:t>
      </w:r>
      <w:r w:rsidR="00212DB2" w:rsidRPr="00D00646">
        <w:rPr>
          <w:szCs w:val="20"/>
        </w:rPr>
        <w:t xml:space="preserve">an </w:t>
      </w:r>
      <w:r w:rsidRPr="00D00646">
        <w:rPr>
          <w:szCs w:val="20"/>
        </w:rPr>
        <w:t>extended validity period</w:t>
      </w:r>
      <w:r w:rsidR="00FC115D">
        <w:rPr>
          <w:szCs w:val="20"/>
        </w:rPr>
        <w:t>:</w:t>
      </w:r>
    </w:p>
    <w:p w14:paraId="12A07B5E" w14:textId="41B944EA" w:rsidR="00CC01A3" w:rsidRDefault="00CC01A3" w:rsidP="00D93A15">
      <w:pPr>
        <w:numPr>
          <w:ilvl w:val="0"/>
          <w:numId w:val="8"/>
        </w:numPr>
        <w:ind w:leftChars="337" w:left="1037" w:hanging="296"/>
        <w:contextualSpacing/>
        <w:rPr>
          <w:rFonts w:ascii="Times New Roman" w:hAnsi="Times New Roman" w:cs="Times New Roman"/>
          <w:sz w:val="20"/>
          <w:szCs w:val="20"/>
        </w:rPr>
      </w:pPr>
      <w:r w:rsidRPr="006B57A4">
        <w:rPr>
          <w:rFonts w:ascii="Times New Roman" w:hAnsi="Times New Roman" w:cs="Times New Roman"/>
          <w:sz w:val="20"/>
          <w:szCs w:val="20"/>
        </w:rPr>
        <w:t>If a</w:t>
      </w:r>
      <w:r w:rsidR="00E83DC8">
        <w:rPr>
          <w:rFonts w:ascii="Times New Roman" w:hAnsi="Times New Roman" w:cs="Times New Roman"/>
          <w:sz w:val="20"/>
          <w:szCs w:val="20"/>
        </w:rPr>
        <w:t xml:space="preserve">n </w:t>
      </w:r>
      <w:r w:rsidR="00E83DC8" w:rsidRPr="00E83DC8">
        <w:rPr>
          <w:rFonts w:ascii="Times New Roman" w:hAnsi="Times New Roman" w:cs="Times New Roman"/>
          <w:sz w:val="20"/>
          <w:szCs w:val="20"/>
        </w:rPr>
        <w:t>employee</w:t>
      </w:r>
      <w:r w:rsidRPr="006B57A4">
        <w:rPr>
          <w:rFonts w:ascii="Times New Roman" w:hAnsi="Times New Roman" w:cs="Times New Roman"/>
          <w:sz w:val="20"/>
          <w:szCs w:val="20"/>
        </w:rPr>
        <w:t xml:space="preserve"> successfully completes their initial training course on 14 </w:t>
      </w:r>
      <w:r w:rsidR="001F425B">
        <w:rPr>
          <w:rFonts w:ascii="Times New Roman" w:hAnsi="Times New Roman" w:cs="Times New Roman"/>
          <w:sz w:val="20"/>
          <w:szCs w:val="20"/>
        </w:rPr>
        <w:t>May 2024</w:t>
      </w:r>
      <w:r w:rsidRPr="006B57A4">
        <w:rPr>
          <w:rFonts w:ascii="Times New Roman" w:hAnsi="Times New Roman" w:cs="Times New Roman"/>
          <w:sz w:val="20"/>
          <w:szCs w:val="20"/>
        </w:rPr>
        <w:t xml:space="preserve">, their training validity would normally expire on 14 </w:t>
      </w:r>
      <w:r w:rsidR="001F425B">
        <w:rPr>
          <w:rFonts w:ascii="Times New Roman" w:hAnsi="Times New Roman" w:cs="Times New Roman"/>
          <w:sz w:val="20"/>
          <w:szCs w:val="20"/>
        </w:rPr>
        <w:t>May 2026</w:t>
      </w:r>
      <w:r w:rsidR="00A74134">
        <w:rPr>
          <w:rFonts w:ascii="Times New Roman" w:hAnsi="Times New Roman" w:cs="Times New Roman"/>
          <w:sz w:val="20"/>
          <w:szCs w:val="20"/>
        </w:rPr>
        <w:t>. U</w:t>
      </w:r>
      <w:r w:rsidRPr="006B57A4">
        <w:rPr>
          <w:rFonts w:ascii="Times New Roman" w:hAnsi="Times New Roman" w:cs="Times New Roman"/>
          <w:sz w:val="20"/>
          <w:szCs w:val="20"/>
        </w:rPr>
        <w:t>nder th</w:t>
      </w:r>
      <w:r w:rsidR="00263919">
        <w:rPr>
          <w:rFonts w:ascii="Times New Roman" w:hAnsi="Times New Roman" w:cs="Times New Roman"/>
          <w:sz w:val="20"/>
          <w:szCs w:val="20"/>
        </w:rPr>
        <w:t>e</w:t>
      </w:r>
      <w:r w:rsidRPr="006B57A4">
        <w:rPr>
          <w:rFonts w:ascii="Times New Roman" w:hAnsi="Times New Roman" w:cs="Times New Roman"/>
          <w:sz w:val="20"/>
          <w:szCs w:val="20"/>
        </w:rPr>
        <w:t xml:space="preserve"> exemption</w:t>
      </w:r>
      <w:r w:rsidR="000E27FB">
        <w:rPr>
          <w:rFonts w:ascii="Times New Roman" w:hAnsi="Times New Roman" w:cs="Times New Roman"/>
          <w:sz w:val="20"/>
          <w:szCs w:val="20"/>
        </w:rPr>
        <w:t xml:space="preserve"> </w:t>
      </w:r>
      <w:r w:rsidR="007B5541">
        <w:rPr>
          <w:rFonts w:ascii="Times New Roman" w:hAnsi="Times New Roman" w:cs="Times New Roman"/>
          <w:sz w:val="20"/>
          <w:szCs w:val="20"/>
        </w:rPr>
        <w:t>and the condition in subsection 5(1),</w:t>
      </w:r>
      <w:r w:rsidR="00EE6784">
        <w:rPr>
          <w:rFonts w:ascii="Times New Roman" w:hAnsi="Times New Roman" w:cs="Times New Roman"/>
          <w:sz w:val="20"/>
          <w:szCs w:val="20"/>
        </w:rPr>
        <w:t xml:space="preserve"> </w:t>
      </w:r>
      <w:r w:rsidR="00506640">
        <w:rPr>
          <w:rFonts w:ascii="Times New Roman" w:hAnsi="Times New Roman" w:cs="Times New Roman"/>
          <w:sz w:val="20"/>
          <w:szCs w:val="20"/>
        </w:rPr>
        <w:t xml:space="preserve">it would expire at </w:t>
      </w:r>
      <w:r w:rsidRPr="006B57A4">
        <w:rPr>
          <w:rFonts w:ascii="Times New Roman" w:hAnsi="Times New Roman" w:cs="Times New Roman"/>
          <w:sz w:val="20"/>
          <w:szCs w:val="20"/>
        </w:rPr>
        <w:t xml:space="preserve">the end of </w:t>
      </w:r>
      <w:r w:rsidR="001F425B">
        <w:rPr>
          <w:rFonts w:ascii="Times New Roman" w:hAnsi="Times New Roman" w:cs="Times New Roman"/>
          <w:sz w:val="20"/>
          <w:szCs w:val="20"/>
        </w:rPr>
        <w:t xml:space="preserve">May </w:t>
      </w:r>
      <w:r w:rsidR="00F23A6E">
        <w:rPr>
          <w:rFonts w:ascii="Times New Roman" w:hAnsi="Times New Roman" w:cs="Times New Roman"/>
          <w:sz w:val="20"/>
          <w:szCs w:val="20"/>
        </w:rPr>
        <w:t>2026</w:t>
      </w:r>
      <w:r w:rsidRPr="006B57A4">
        <w:rPr>
          <w:rFonts w:ascii="Times New Roman" w:hAnsi="Times New Roman" w:cs="Times New Roman"/>
          <w:sz w:val="20"/>
          <w:szCs w:val="20"/>
        </w:rPr>
        <w:t>.</w:t>
      </w:r>
    </w:p>
    <w:p w14:paraId="7C46F274" w14:textId="23C49FB5" w:rsidR="004B015C" w:rsidRPr="004B015C" w:rsidRDefault="004B015C" w:rsidP="004B015C">
      <w:pPr>
        <w:numPr>
          <w:ilvl w:val="0"/>
          <w:numId w:val="8"/>
        </w:numPr>
        <w:ind w:leftChars="337" w:left="1037" w:hanging="296"/>
        <w:contextualSpacing/>
        <w:rPr>
          <w:rFonts w:ascii="Times New Roman" w:hAnsi="Times New Roman" w:cs="Times New Roman"/>
          <w:sz w:val="20"/>
          <w:szCs w:val="20"/>
        </w:rPr>
      </w:pPr>
      <w:r w:rsidRPr="006B57A4">
        <w:rPr>
          <w:rFonts w:ascii="Times New Roman" w:hAnsi="Times New Roman" w:cs="Times New Roman"/>
          <w:sz w:val="20"/>
          <w:szCs w:val="20"/>
        </w:rPr>
        <w:t xml:space="preserve">If recurrent training of an employee </w:t>
      </w:r>
      <w:r w:rsidR="009C6714">
        <w:rPr>
          <w:rFonts w:ascii="Times New Roman" w:hAnsi="Times New Roman" w:cs="Times New Roman"/>
          <w:sz w:val="20"/>
          <w:szCs w:val="20"/>
        </w:rPr>
        <w:t>was</w:t>
      </w:r>
      <w:r w:rsidRPr="006B57A4">
        <w:rPr>
          <w:rFonts w:ascii="Times New Roman" w:hAnsi="Times New Roman" w:cs="Times New Roman"/>
          <w:sz w:val="20"/>
          <w:szCs w:val="20"/>
        </w:rPr>
        <w:t xml:space="preserve"> required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0F38">
        <w:rPr>
          <w:rFonts w:ascii="Times New Roman" w:hAnsi="Times New Roman" w:cs="Times New Roman"/>
          <w:sz w:val="20"/>
          <w:szCs w:val="20"/>
        </w:rPr>
        <w:t xml:space="preserve">by 14 May </w:t>
      </w:r>
      <w:r>
        <w:rPr>
          <w:rFonts w:ascii="Times New Roman" w:hAnsi="Times New Roman" w:cs="Times New Roman"/>
          <w:sz w:val="20"/>
          <w:szCs w:val="20"/>
        </w:rPr>
        <w:t xml:space="preserve">under the normal </w:t>
      </w:r>
      <w:r w:rsidR="002B7534">
        <w:rPr>
          <w:rFonts w:ascii="Times New Roman" w:hAnsi="Times New Roman" w:cs="Times New Roman"/>
          <w:sz w:val="20"/>
          <w:szCs w:val="20"/>
        </w:rPr>
        <w:t>“</w:t>
      </w:r>
      <w:r w:rsidR="00E05B0E">
        <w:rPr>
          <w:rFonts w:ascii="Times New Roman" w:hAnsi="Times New Roman" w:cs="Times New Roman"/>
          <w:sz w:val="20"/>
          <w:szCs w:val="20"/>
        </w:rPr>
        <w:t xml:space="preserve">every </w:t>
      </w:r>
      <w:r w:rsidR="00104571">
        <w:rPr>
          <w:rFonts w:ascii="Times New Roman" w:hAnsi="Times New Roman" w:cs="Times New Roman"/>
          <w:sz w:val="20"/>
          <w:szCs w:val="20"/>
        </w:rPr>
        <w:t>2</w:t>
      </w:r>
      <w:r w:rsidR="00E05B0E">
        <w:rPr>
          <w:rFonts w:ascii="Times New Roman" w:hAnsi="Times New Roman" w:cs="Times New Roman"/>
          <w:sz w:val="20"/>
          <w:szCs w:val="20"/>
        </w:rPr>
        <w:t xml:space="preserve"> years</w:t>
      </w:r>
      <w:r w:rsidR="002B7534">
        <w:rPr>
          <w:rFonts w:ascii="Times New Roman" w:hAnsi="Times New Roman" w:cs="Times New Roman"/>
          <w:sz w:val="20"/>
          <w:szCs w:val="20"/>
        </w:rPr>
        <w:t>”</w:t>
      </w:r>
      <w:r w:rsidR="00E05B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validity period</w:t>
      </w:r>
      <w:r w:rsidR="009E0F38">
        <w:rPr>
          <w:rFonts w:ascii="Times New Roman" w:hAnsi="Times New Roman" w:cs="Times New Roman"/>
          <w:sz w:val="20"/>
          <w:szCs w:val="20"/>
        </w:rPr>
        <w:t xml:space="preserve">, </w:t>
      </w:r>
      <w:r w:rsidRPr="006B57A4">
        <w:rPr>
          <w:rFonts w:ascii="Times New Roman" w:hAnsi="Times New Roman" w:cs="Times New Roman"/>
          <w:sz w:val="20"/>
          <w:szCs w:val="20"/>
        </w:rPr>
        <w:t xml:space="preserve">and the training </w:t>
      </w:r>
      <w:r w:rsidR="00615B24">
        <w:rPr>
          <w:rFonts w:ascii="Times New Roman" w:hAnsi="Times New Roman" w:cs="Times New Roman"/>
          <w:sz w:val="20"/>
          <w:szCs w:val="20"/>
        </w:rPr>
        <w:t xml:space="preserve">is </w:t>
      </w:r>
      <w:r w:rsidRPr="006B57A4">
        <w:rPr>
          <w:rFonts w:ascii="Times New Roman" w:hAnsi="Times New Roman" w:cs="Times New Roman"/>
          <w:sz w:val="20"/>
          <w:szCs w:val="20"/>
        </w:rPr>
        <w:t xml:space="preserve">completed between 1 </w:t>
      </w:r>
      <w:r>
        <w:rPr>
          <w:rFonts w:ascii="Times New Roman" w:hAnsi="Times New Roman" w:cs="Times New Roman"/>
          <w:sz w:val="20"/>
          <w:szCs w:val="20"/>
        </w:rPr>
        <w:t xml:space="preserve">March 2026 </w:t>
      </w:r>
      <w:r w:rsidRPr="006B57A4">
        <w:rPr>
          <w:rFonts w:ascii="Times New Roman" w:hAnsi="Times New Roman" w:cs="Times New Roman"/>
          <w:sz w:val="20"/>
          <w:szCs w:val="20"/>
        </w:rPr>
        <w:t xml:space="preserve">and the end of </w:t>
      </w:r>
      <w:r>
        <w:rPr>
          <w:rFonts w:ascii="Times New Roman" w:hAnsi="Times New Roman" w:cs="Times New Roman"/>
          <w:sz w:val="20"/>
          <w:szCs w:val="20"/>
        </w:rPr>
        <w:t>May 2026</w:t>
      </w:r>
      <w:r w:rsidRPr="006B57A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5743D3">
        <w:rPr>
          <w:rFonts w:ascii="Times New Roman" w:hAnsi="Times New Roman" w:cs="Times New Roman"/>
          <w:sz w:val="20"/>
          <w:szCs w:val="20"/>
        </w:rPr>
        <w:t xml:space="preserve">where </w:t>
      </w:r>
      <w:r w:rsidRPr="006B57A4">
        <w:rPr>
          <w:rFonts w:ascii="Times New Roman" w:hAnsi="Times New Roman" w:cs="Times New Roman"/>
          <w:sz w:val="20"/>
          <w:szCs w:val="20"/>
        </w:rPr>
        <w:t xml:space="preserve">the end of the next </w:t>
      </w:r>
      <w:r w:rsidR="00E3382A">
        <w:rPr>
          <w:rFonts w:ascii="Times New Roman" w:hAnsi="Times New Roman" w:cs="Times New Roman"/>
          <w:sz w:val="20"/>
          <w:szCs w:val="20"/>
        </w:rPr>
        <w:t xml:space="preserve">training </w:t>
      </w:r>
      <w:r w:rsidR="00821511">
        <w:rPr>
          <w:rFonts w:ascii="Times New Roman" w:hAnsi="Times New Roman" w:cs="Times New Roman"/>
          <w:sz w:val="20"/>
          <w:szCs w:val="20"/>
        </w:rPr>
        <w:t xml:space="preserve">validity period </w:t>
      </w:r>
      <w:r>
        <w:rPr>
          <w:rFonts w:ascii="Times New Roman" w:hAnsi="Times New Roman" w:cs="Times New Roman"/>
          <w:sz w:val="20"/>
          <w:szCs w:val="20"/>
        </w:rPr>
        <w:t>would normally expire 24 months from the date that the recurrent training occurred, under th</w:t>
      </w:r>
      <w:r w:rsidR="00263919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exemption </w:t>
      </w:r>
      <w:r w:rsidR="00C018B7">
        <w:rPr>
          <w:rFonts w:ascii="Times New Roman" w:hAnsi="Times New Roman" w:cs="Times New Roman"/>
          <w:sz w:val="20"/>
          <w:szCs w:val="20"/>
        </w:rPr>
        <w:t xml:space="preserve">and </w:t>
      </w:r>
      <w:r w:rsidR="00263919">
        <w:rPr>
          <w:rFonts w:ascii="Times New Roman" w:hAnsi="Times New Roman" w:cs="Times New Roman"/>
          <w:sz w:val="20"/>
          <w:szCs w:val="20"/>
        </w:rPr>
        <w:t xml:space="preserve">condition in </w:t>
      </w:r>
      <w:r w:rsidR="00C018B7">
        <w:rPr>
          <w:rFonts w:ascii="Times New Roman" w:hAnsi="Times New Roman" w:cs="Times New Roman"/>
          <w:sz w:val="20"/>
          <w:szCs w:val="20"/>
        </w:rPr>
        <w:t xml:space="preserve">subsection 5(2) </w:t>
      </w:r>
      <w:r>
        <w:rPr>
          <w:rFonts w:ascii="Times New Roman" w:hAnsi="Times New Roman" w:cs="Times New Roman"/>
          <w:sz w:val="20"/>
          <w:szCs w:val="20"/>
        </w:rPr>
        <w:t xml:space="preserve">it would expire </w:t>
      </w:r>
      <w:r w:rsidRPr="006B57A4">
        <w:rPr>
          <w:rFonts w:ascii="Times New Roman" w:hAnsi="Times New Roman" w:cs="Times New Roman"/>
          <w:sz w:val="20"/>
          <w:szCs w:val="20"/>
        </w:rPr>
        <w:t xml:space="preserve">at the end of </w:t>
      </w:r>
      <w:r>
        <w:rPr>
          <w:rFonts w:ascii="Times New Roman" w:hAnsi="Times New Roman" w:cs="Times New Roman"/>
          <w:sz w:val="20"/>
          <w:szCs w:val="20"/>
        </w:rPr>
        <w:t>May 2028</w:t>
      </w:r>
      <w:r w:rsidRPr="006B57A4">
        <w:rPr>
          <w:rFonts w:ascii="Times New Roman" w:hAnsi="Times New Roman" w:cs="Times New Roman"/>
          <w:sz w:val="20"/>
          <w:szCs w:val="20"/>
        </w:rPr>
        <w:t>.</w:t>
      </w:r>
    </w:p>
    <w:p w14:paraId="31A96D76" w14:textId="5BD76F40" w:rsidR="00CC01A3" w:rsidRPr="006B57A4" w:rsidRDefault="00CC01A3" w:rsidP="00D93A15">
      <w:pPr>
        <w:numPr>
          <w:ilvl w:val="0"/>
          <w:numId w:val="8"/>
        </w:numPr>
        <w:ind w:leftChars="337" w:left="1037" w:hanging="296"/>
        <w:contextualSpacing/>
        <w:rPr>
          <w:rFonts w:ascii="Times New Roman" w:hAnsi="Times New Roman" w:cs="Times New Roman"/>
          <w:sz w:val="20"/>
          <w:szCs w:val="20"/>
        </w:rPr>
      </w:pPr>
      <w:r w:rsidRPr="006B57A4">
        <w:rPr>
          <w:rFonts w:ascii="Times New Roman" w:hAnsi="Times New Roman" w:cs="Times New Roman"/>
          <w:sz w:val="20"/>
          <w:szCs w:val="20"/>
        </w:rPr>
        <w:t xml:space="preserve">If recurrent training of an employee </w:t>
      </w:r>
      <w:r w:rsidR="00F26A50">
        <w:rPr>
          <w:rFonts w:ascii="Times New Roman" w:hAnsi="Times New Roman" w:cs="Times New Roman"/>
          <w:sz w:val="20"/>
          <w:szCs w:val="20"/>
        </w:rPr>
        <w:t xml:space="preserve">who has </w:t>
      </w:r>
      <w:r w:rsidR="00FA4BC6">
        <w:rPr>
          <w:rFonts w:ascii="Times New Roman" w:hAnsi="Times New Roman" w:cs="Times New Roman"/>
          <w:sz w:val="20"/>
          <w:szCs w:val="20"/>
        </w:rPr>
        <w:t xml:space="preserve">previously </w:t>
      </w:r>
      <w:r w:rsidR="002573C6">
        <w:rPr>
          <w:rFonts w:ascii="Times New Roman" w:hAnsi="Times New Roman" w:cs="Times New Roman"/>
          <w:sz w:val="20"/>
          <w:szCs w:val="20"/>
        </w:rPr>
        <w:t>u</w:t>
      </w:r>
      <w:r w:rsidR="00434BD5">
        <w:rPr>
          <w:rFonts w:ascii="Times New Roman" w:hAnsi="Times New Roman" w:cs="Times New Roman"/>
          <w:sz w:val="20"/>
          <w:szCs w:val="20"/>
        </w:rPr>
        <w:t xml:space="preserve">sed </w:t>
      </w:r>
      <w:r w:rsidR="006618F2">
        <w:rPr>
          <w:rFonts w:ascii="Times New Roman" w:hAnsi="Times New Roman" w:cs="Times New Roman"/>
          <w:sz w:val="20"/>
          <w:szCs w:val="20"/>
        </w:rPr>
        <w:t xml:space="preserve">an </w:t>
      </w:r>
      <w:r w:rsidR="00F26A50">
        <w:rPr>
          <w:rFonts w:ascii="Times New Roman" w:hAnsi="Times New Roman" w:cs="Times New Roman"/>
          <w:sz w:val="20"/>
          <w:szCs w:val="20"/>
        </w:rPr>
        <w:t xml:space="preserve">extended validity period </w:t>
      </w:r>
      <w:r w:rsidRPr="006B57A4">
        <w:rPr>
          <w:rFonts w:ascii="Times New Roman" w:hAnsi="Times New Roman" w:cs="Times New Roman"/>
          <w:sz w:val="20"/>
          <w:szCs w:val="20"/>
        </w:rPr>
        <w:t xml:space="preserve">is required before the end of </w:t>
      </w:r>
      <w:r w:rsidR="00F23A6E">
        <w:rPr>
          <w:rFonts w:ascii="Times New Roman" w:hAnsi="Times New Roman" w:cs="Times New Roman"/>
          <w:sz w:val="20"/>
          <w:szCs w:val="20"/>
        </w:rPr>
        <w:t xml:space="preserve">May </w:t>
      </w:r>
      <w:r w:rsidR="003D1D58">
        <w:rPr>
          <w:rFonts w:ascii="Times New Roman" w:hAnsi="Times New Roman" w:cs="Times New Roman"/>
          <w:sz w:val="20"/>
          <w:szCs w:val="20"/>
        </w:rPr>
        <w:t>2026</w:t>
      </w:r>
      <w:r w:rsidR="0060063A">
        <w:rPr>
          <w:rFonts w:ascii="Times New Roman" w:hAnsi="Times New Roman" w:cs="Times New Roman"/>
          <w:sz w:val="20"/>
          <w:szCs w:val="20"/>
        </w:rPr>
        <w:t>,</w:t>
      </w:r>
      <w:r w:rsidR="003D1D58">
        <w:rPr>
          <w:rFonts w:ascii="Times New Roman" w:hAnsi="Times New Roman" w:cs="Times New Roman"/>
          <w:sz w:val="20"/>
          <w:szCs w:val="20"/>
        </w:rPr>
        <w:t xml:space="preserve"> </w:t>
      </w:r>
      <w:r w:rsidRPr="006B57A4">
        <w:rPr>
          <w:rFonts w:ascii="Times New Roman" w:hAnsi="Times New Roman" w:cs="Times New Roman"/>
          <w:sz w:val="20"/>
          <w:szCs w:val="20"/>
        </w:rPr>
        <w:t xml:space="preserve">and the training is completed between 1 </w:t>
      </w:r>
      <w:r w:rsidR="003D1D58">
        <w:rPr>
          <w:rFonts w:ascii="Times New Roman" w:hAnsi="Times New Roman" w:cs="Times New Roman"/>
          <w:sz w:val="20"/>
          <w:szCs w:val="20"/>
        </w:rPr>
        <w:t xml:space="preserve">March </w:t>
      </w:r>
      <w:r w:rsidR="004F586A">
        <w:rPr>
          <w:rFonts w:ascii="Times New Roman" w:hAnsi="Times New Roman" w:cs="Times New Roman"/>
          <w:sz w:val="20"/>
          <w:szCs w:val="20"/>
        </w:rPr>
        <w:t xml:space="preserve">2026 </w:t>
      </w:r>
      <w:r w:rsidRPr="006B57A4">
        <w:rPr>
          <w:rFonts w:ascii="Times New Roman" w:hAnsi="Times New Roman" w:cs="Times New Roman"/>
          <w:sz w:val="20"/>
          <w:szCs w:val="20"/>
        </w:rPr>
        <w:t xml:space="preserve">and the end of </w:t>
      </w:r>
      <w:r w:rsidR="004F586A">
        <w:rPr>
          <w:rFonts w:ascii="Times New Roman" w:hAnsi="Times New Roman" w:cs="Times New Roman"/>
          <w:sz w:val="20"/>
          <w:szCs w:val="20"/>
        </w:rPr>
        <w:t xml:space="preserve">May 2026 </w:t>
      </w:r>
      <w:r w:rsidRPr="006B57A4">
        <w:rPr>
          <w:rFonts w:ascii="Times New Roman" w:hAnsi="Times New Roman" w:cs="Times New Roman"/>
          <w:sz w:val="20"/>
          <w:szCs w:val="20"/>
        </w:rPr>
        <w:t xml:space="preserve">(within the final quarter), the end of the next </w:t>
      </w:r>
      <w:r w:rsidR="00DD2364">
        <w:rPr>
          <w:rFonts w:ascii="Times New Roman" w:hAnsi="Times New Roman" w:cs="Times New Roman"/>
          <w:sz w:val="20"/>
          <w:szCs w:val="20"/>
        </w:rPr>
        <w:t xml:space="preserve">extended </w:t>
      </w:r>
      <w:r w:rsidR="00750C09">
        <w:rPr>
          <w:rFonts w:ascii="Times New Roman" w:hAnsi="Times New Roman" w:cs="Times New Roman"/>
          <w:sz w:val="20"/>
          <w:szCs w:val="20"/>
        </w:rPr>
        <w:t xml:space="preserve">validity period </w:t>
      </w:r>
      <w:r w:rsidRPr="006B57A4">
        <w:rPr>
          <w:rFonts w:ascii="Times New Roman" w:hAnsi="Times New Roman" w:cs="Times New Roman"/>
          <w:sz w:val="20"/>
          <w:szCs w:val="20"/>
        </w:rPr>
        <w:t xml:space="preserve">occurs </w:t>
      </w:r>
      <w:r w:rsidR="000E27FB">
        <w:rPr>
          <w:rFonts w:ascii="Times New Roman" w:hAnsi="Times New Roman" w:cs="Times New Roman"/>
          <w:sz w:val="20"/>
          <w:szCs w:val="20"/>
        </w:rPr>
        <w:t>24</w:t>
      </w:r>
      <w:r w:rsidR="00950578">
        <w:rPr>
          <w:rFonts w:ascii="Times New Roman" w:hAnsi="Times New Roman" w:cs="Times New Roman"/>
          <w:sz w:val="20"/>
          <w:szCs w:val="20"/>
        </w:rPr>
        <w:t> </w:t>
      </w:r>
      <w:r w:rsidR="000E27FB">
        <w:rPr>
          <w:rFonts w:ascii="Times New Roman" w:hAnsi="Times New Roman" w:cs="Times New Roman"/>
          <w:sz w:val="20"/>
          <w:szCs w:val="20"/>
        </w:rPr>
        <w:t xml:space="preserve">months after </w:t>
      </w:r>
      <w:r w:rsidRPr="006B57A4">
        <w:rPr>
          <w:rFonts w:ascii="Times New Roman" w:hAnsi="Times New Roman" w:cs="Times New Roman"/>
          <w:sz w:val="20"/>
          <w:szCs w:val="20"/>
        </w:rPr>
        <w:t xml:space="preserve">the end of </w:t>
      </w:r>
      <w:r w:rsidR="00D7570F">
        <w:rPr>
          <w:rFonts w:ascii="Times New Roman" w:hAnsi="Times New Roman" w:cs="Times New Roman"/>
          <w:sz w:val="20"/>
          <w:szCs w:val="20"/>
        </w:rPr>
        <w:t>May 2</w:t>
      </w:r>
      <w:r w:rsidR="009C16DD">
        <w:rPr>
          <w:rFonts w:ascii="Times New Roman" w:hAnsi="Times New Roman" w:cs="Times New Roman"/>
          <w:sz w:val="20"/>
          <w:szCs w:val="20"/>
        </w:rPr>
        <w:t>0</w:t>
      </w:r>
      <w:r w:rsidR="00D7570F">
        <w:rPr>
          <w:rFonts w:ascii="Times New Roman" w:hAnsi="Times New Roman" w:cs="Times New Roman"/>
          <w:sz w:val="20"/>
          <w:szCs w:val="20"/>
        </w:rPr>
        <w:t>28</w:t>
      </w:r>
      <w:r w:rsidRPr="006B57A4">
        <w:rPr>
          <w:rFonts w:ascii="Times New Roman" w:hAnsi="Times New Roman" w:cs="Times New Roman"/>
          <w:sz w:val="20"/>
          <w:szCs w:val="20"/>
        </w:rPr>
        <w:t>.</w:t>
      </w:r>
    </w:p>
    <w:p w14:paraId="4BD91711" w14:textId="0C486F20" w:rsidR="00CC01A3" w:rsidRDefault="00CC01A3" w:rsidP="00D93A15">
      <w:pPr>
        <w:numPr>
          <w:ilvl w:val="0"/>
          <w:numId w:val="8"/>
        </w:numPr>
        <w:ind w:leftChars="337" w:left="1037" w:hanging="296"/>
        <w:contextualSpacing/>
        <w:rPr>
          <w:rFonts w:ascii="Times New Roman" w:hAnsi="Times New Roman" w:cs="Times New Roman"/>
          <w:sz w:val="20"/>
          <w:szCs w:val="20"/>
        </w:rPr>
      </w:pPr>
      <w:r w:rsidRPr="006B57A4">
        <w:rPr>
          <w:rFonts w:ascii="Times New Roman" w:hAnsi="Times New Roman" w:cs="Times New Roman"/>
          <w:sz w:val="20"/>
          <w:szCs w:val="20"/>
        </w:rPr>
        <w:t xml:space="preserve">If recurrent training of an employee is required before the end of </w:t>
      </w:r>
      <w:r w:rsidR="00D534CC">
        <w:rPr>
          <w:rFonts w:ascii="Times New Roman" w:hAnsi="Times New Roman" w:cs="Times New Roman"/>
          <w:sz w:val="20"/>
          <w:szCs w:val="20"/>
        </w:rPr>
        <w:t xml:space="preserve">May </w:t>
      </w:r>
      <w:r w:rsidR="00846153">
        <w:rPr>
          <w:rFonts w:ascii="Times New Roman" w:hAnsi="Times New Roman" w:cs="Times New Roman"/>
          <w:sz w:val="20"/>
          <w:szCs w:val="20"/>
        </w:rPr>
        <w:t xml:space="preserve">2026 </w:t>
      </w:r>
      <w:r w:rsidRPr="006B57A4">
        <w:rPr>
          <w:rFonts w:ascii="Times New Roman" w:hAnsi="Times New Roman" w:cs="Times New Roman"/>
          <w:sz w:val="20"/>
          <w:szCs w:val="20"/>
        </w:rPr>
        <w:t xml:space="preserve">but that training is completed more than 3 months before the end of </w:t>
      </w:r>
      <w:r w:rsidR="00846153">
        <w:rPr>
          <w:rFonts w:ascii="Times New Roman" w:hAnsi="Times New Roman" w:cs="Times New Roman"/>
          <w:sz w:val="20"/>
          <w:szCs w:val="20"/>
        </w:rPr>
        <w:t xml:space="preserve">May 2026 </w:t>
      </w:r>
      <w:r w:rsidRPr="006B57A4">
        <w:rPr>
          <w:rFonts w:ascii="Times New Roman" w:hAnsi="Times New Roman" w:cs="Times New Roman"/>
          <w:sz w:val="20"/>
          <w:szCs w:val="20"/>
        </w:rPr>
        <w:t>(before the final quarter), the new expiry date is the end of the month</w:t>
      </w:r>
      <w:r w:rsidR="00D77B98">
        <w:rPr>
          <w:rFonts w:ascii="Times New Roman" w:hAnsi="Times New Roman" w:cs="Times New Roman"/>
          <w:sz w:val="20"/>
          <w:szCs w:val="20"/>
        </w:rPr>
        <w:t>,</w:t>
      </w:r>
      <w:r w:rsidRPr="006B57A4">
        <w:rPr>
          <w:rFonts w:ascii="Times New Roman" w:hAnsi="Times New Roman" w:cs="Times New Roman"/>
          <w:sz w:val="20"/>
          <w:szCs w:val="20"/>
        </w:rPr>
        <w:t xml:space="preserve"> including the second anniversary of the day they completed that training. For instance, if the extended validity period is due to expire at the end of </w:t>
      </w:r>
      <w:r w:rsidR="00846153">
        <w:rPr>
          <w:rFonts w:ascii="Times New Roman" w:hAnsi="Times New Roman" w:cs="Times New Roman"/>
          <w:sz w:val="20"/>
          <w:szCs w:val="20"/>
        </w:rPr>
        <w:t xml:space="preserve">May 2026 </w:t>
      </w:r>
      <w:r w:rsidRPr="006B57A4">
        <w:rPr>
          <w:rFonts w:ascii="Times New Roman" w:hAnsi="Times New Roman" w:cs="Times New Roman"/>
          <w:sz w:val="20"/>
          <w:szCs w:val="20"/>
        </w:rPr>
        <w:t xml:space="preserve">but they complete recurrent training on </w:t>
      </w:r>
      <w:r w:rsidR="00FB177B">
        <w:rPr>
          <w:rFonts w:ascii="Times New Roman" w:hAnsi="Times New Roman" w:cs="Times New Roman"/>
          <w:sz w:val="20"/>
          <w:szCs w:val="20"/>
        </w:rPr>
        <w:t>28 February 2026</w:t>
      </w:r>
      <w:r w:rsidRPr="006B57A4">
        <w:rPr>
          <w:rFonts w:ascii="Times New Roman" w:hAnsi="Times New Roman" w:cs="Times New Roman"/>
          <w:sz w:val="20"/>
          <w:szCs w:val="20"/>
        </w:rPr>
        <w:t xml:space="preserve">, </w:t>
      </w:r>
      <w:r w:rsidR="000E27FB">
        <w:rPr>
          <w:rFonts w:ascii="Times New Roman" w:hAnsi="Times New Roman" w:cs="Times New Roman"/>
          <w:sz w:val="20"/>
          <w:szCs w:val="20"/>
        </w:rPr>
        <w:t>under th</w:t>
      </w:r>
      <w:r w:rsidR="0070744A">
        <w:rPr>
          <w:rFonts w:ascii="Times New Roman" w:hAnsi="Times New Roman" w:cs="Times New Roman"/>
          <w:sz w:val="20"/>
          <w:szCs w:val="20"/>
        </w:rPr>
        <w:t>e</w:t>
      </w:r>
      <w:r w:rsidR="000E27FB">
        <w:rPr>
          <w:rFonts w:ascii="Times New Roman" w:hAnsi="Times New Roman" w:cs="Times New Roman"/>
          <w:sz w:val="20"/>
          <w:szCs w:val="20"/>
        </w:rPr>
        <w:t xml:space="preserve"> exemption it would</w:t>
      </w:r>
      <w:r w:rsidRPr="006B57A4">
        <w:rPr>
          <w:rFonts w:ascii="Times New Roman" w:hAnsi="Times New Roman" w:cs="Times New Roman"/>
          <w:sz w:val="20"/>
          <w:szCs w:val="20"/>
        </w:rPr>
        <w:t xml:space="preserve"> expir</w:t>
      </w:r>
      <w:r w:rsidR="00750C09">
        <w:rPr>
          <w:rFonts w:ascii="Times New Roman" w:hAnsi="Times New Roman" w:cs="Times New Roman"/>
          <w:sz w:val="20"/>
          <w:szCs w:val="20"/>
        </w:rPr>
        <w:t>e</w:t>
      </w:r>
      <w:r w:rsidRPr="006B57A4">
        <w:rPr>
          <w:rFonts w:ascii="Times New Roman" w:hAnsi="Times New Roman" w:cs="Times New Roman"/>
          <w:sz w:val="20"/>
          <w:szCs w:val="20"/>
        </w:rPr>
        <w:t xml:space="preserve"> </w:t>
      </w:r>
      <w:r w:rsidR="000E27FB">
        <w:rPr>
          <w:rFonts w:ascii="Times New Roman" w:hAnsi="Times New Roman" w:cs="Times New Roman"/>
          <w:sz w:val="20"/>
          <w:szCs w:val="20"/>
        </w:rPr>
        <w:t>at</w:t>
      </w:r>
      <w:r w:rsidRPr="006B57A4">
        <w:rPr>
          <w:rFonts w:ascii="Times New Roman" w:hAnsi="Times New Roman" w:cs="Times New Roman"/>
          <w:sz w:val="20"/>
          <w:szCs w:val="20"/>
        </w:rPr>
        <w:t xml:space="preserve"> the end of </w:t>
      </w:r>
      <w:r w:rsidR="007979CC">
        <w:rPr>
          <w:rFonts w:ascii="Times New Roman" w:hAnsi="Times New Roman" w:cs="Times New Roman"/>
          <w:sz w:val="20"/>
          <w:szCs w:val="20"/>
        </w:rPr>
        <w:t>February 2028</w:t>
      </w:r>
      <w:r w:rsidRPr="006B57A4">
        <w:rPr>
          <w:rFonts w:ascii="Times New Roman" w:hAnsi="Times New Roman" w:cs="Times New Roman"/>
          <w:sz w:val="20"/>
          <w:szCs w:val="20"/>
        </w:rPr>
        <w:t>.</w:t>
      </w:r>
    </w:p>
    <w:p w14:paraId="2C6A0B54" w14:textId="5E7B9C19" w:rsidR="001B66F4" w:rsidRDefault="001B66F4" w:rsidP="001B66F4">
      <w:pPr>
        <w:pStyle w:val="LDClauseHeading"/>
        <w:rPr>
          <w:b w:val="0"/>
          <w:color w:val="000000"/>
        </w:rPr>
      </w:pPr>
      <w:r>
        <w:rPr>
          <w:color w:val="000000"/>
        </w:rPr>
        <w:t>6</w:t>
      </w:r>
      <w:r w:rsidRPr="00955EF1">
        <w:rPr>
          <w:color w:val="000000"/>
        </w:rPr>
        <w:tab/>
      </w:r>
      <w:r>
        <w:rPr>
          <w:color w:val="000000"/>
        </w:rPr>
        <w:t>Direction</w:t>
      </w:r>
    </w:p>
    <w:bookmarkEnd w:id="1"/>
    <w:p w14:paraId="60D62131" w14:textId="0A0A6081" w:rsidR="00642CF9" w:rsidRDefault="001B66F4" w:rsidP="004C485B">
      <w:pPr>
        <w:pStyle w:val="LDClause"/>
      </w:pPr>
      <w:r>
        <w:tab/>
      </w:r>
      <w:r w:rsidR="002F231D">
        <w:t>(1)</w:t>
      </w:r>
      <w:r w:rsidR="002F231D">
        <w:tab/>
      </w:r>
      <w:r w:rsidR="002844C5">
        <w:t xml:space="preserve">If </w:t>
      </w:r>
      <w:r w:rsidR="001B03A8">
        <w:t xml:space="preserve">an </w:t>
      </w:r>
      <w:r w:rsidR="00F36EE0">
        <w:t xml:space="preserve">exempted person </w:t>
      </w:r>
      <w:r w:rsidR="00EF0522" w:rsidRPr="004648AD">
        <w:t xml:space="preserve">chooses </w:t>
      </w:r>
      <w:r w:rsidR="00BF7841" w:rsidRPr="004648AD">
        <w:t xml:space="preserve">to </w:t>
      </w:r>
      <w:r w:rsidR="004C2BB1">
        <w:t xml:space="preserve">make use </w:t>
      </w:r>
      <w:r w:rsidR="00EF0522" w:rsidRPr="004648AD">
        <w:t xml:space="preserve">of </w:t>
      </w:r>
      <w:r w:rsidR="00FB5CDF">
        <w:t>the</w:t>
      </w:r>
      <w:r w:rsidR="00EF0522" w:rsidRPr="004648AD">
        <w:t xml:space="preserve"> extended validity period </w:t>
      </w:r>
      <w:r w:rsidR="00D86227">
        <w:t xml:space="preserve">mentioned </w:t>
      </w:r>
      <w:r w:rsidR="00D86227" w:rsidRPr="00615B24">
        <w:t>in subsection 5(1), the exempted</w:t>
      </w:r>
      <w:r w:rsidR="00D86227">
        <w:t xml:space="preserve"> person </w:t>
      </w:r>
      <w:r w:rsidR="005A19BE">
        <w:t>must</w:t>
      </w:r>
      <w:r w:rsidR="00A80C9F">
        <w:t xml:space="preserve">, in writing, </w:t>
      </w:r>
      <w:r w:rsidR="00B52DE3">
        <w:t xml:space="preserve">provide CASA </w:t>
      </w:r>
      <w:r w:rsidR="00472959">
        <w:t xml:space="preserve">with </w:t>
      </w:r>
      <w:r w:rsidR="00E77C5B" w:rsidRPr="004648AD">
        <w:t xml:space="preserve">details </w:t>
      </w:r>
      <w:r w:rsidR="005D02A1" w:rsidRPr="004648AD">
        <w:t xml:space="preserve">of the training given to </w:t>
      </w:r>
      <w:r w:rsidR="004C485B">
        <w:t xml:space="preserve">the </w:t>
      </w:r>
      <w:r w:rsidR="00D86227">
        <w:t xml:space="preserve">exempted </w:t>
      </w:r>
      <w:r w:rsidR="004C485B">
        <w:t xml:space="preserve">person’s employees, </w:t>
      </w:r>
      <w:r w:rsidR="00A839E1" w:rsidRPr="004648AD">
        <w:t xml:space="preserve">including dates of commencement and </w:t>
      </w:r>
      <w:r w:rsidR="00BF7841" w:rsidRPr="004648AD">
        <w:t>compl</w:t>
      </w:r>
      <w:r w:rsidR="000A6F37" w:rsidRPr="004648AD">
        <w:t xml:space="preserve">etion, </w:t>
      </w:r>
      <w:r w:rsidR="004C2BB1">
        <w:t xml:space="preserve">on request </w:t>
      </w:r>
      <w:r w:rsidR="000A6F37" w:rsidRPr="004648AD">
        <w:t>by a CASA officer.</w:t>
      </w:r>
    </w:p>
    <w:p w14:paraId="65BF2740" w14:textId="035662CA" w:rsidR="00B03BFF" w:rsidRPr="00B03BFF" w:rsidRDefault="002F231D" w:rsidP="002F231D">
      <w:pPr>
        <w:pStyle w:val="LDClause"/>
        <w:rPr>
          <w:sz w:val="22"/>
          <w:szCs w:val="22"/>
        </w:rPr>
      </w:pPr>
      <w:r>
        <w:tab/>
        <w:t>(2)</w:t>
      </w:r>
      <w:r>
        <w:tab/>
      </w:r>
      <w:r w:rsidR="00A35CD2">
        <w:t>T</w:t>
      </w:r>
      <w:r>
        <w:t xml:space="preserve">his direction </w:t>
      </w:r>
      <w:r w:rsidR="001175BE">
        <w:t xml:space="preserve">ceases to be in force </w:t>
      </w:r>
      <w:r w:rsidR="00E1630A">
        <w:t>at the end of 3</w:t>
      </w:r>
      <w:r w:rsidR="00615B24">
        <w:t xml:space="preserve">1 May </w:t>
      </w:r>
      <w:r w:rsidR="00E1630A">
        <w:t>2027.</w:t>
      </w:r>
    </w:p>
    <w:p w14:paraId="2F4D4F42" w14:textId="77777777" w:rsidR="00CC7F73" w:rsidRDefault="00CC7F73" w:rsidP="00A47D4D">
      <w:pPr>
        <w:pStyle w:val="LDEndLine"/>
      </w:pPr>
    </w:p>
    <w:sectPr w:rsidR="00CC7F73" w:rsidSect="00A124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DA44" w14:textId="77777777" w:rsidR="00C82CE5" w:rsidRDefault="00C82CE5" w:rsidP="005448C8">
      <w:pPr>
        <w:spacing w:after="0" w:line="240" w:lineRule="auto"/>
      </w:pPr>
      <w:r>
        <w:separator/>
      </w:r>
    </w:p>
  </w:endnote>
  <w:endnote w:type="continuationSeparator" w:id="0">
    <w:p w14:paraId="7A47829B" w14:textId="77777777" w:rsidR="00C82CE5" w:rsidRDefault="00C82CE5" w:rsidP="0054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BB3F7" w14:textId="29FD1C68" w:rsidR="005448C8" w:rsidRPr="00D93A15" w:rsidRDefault="002D57E5" w:rsidP="005448C8">
    <w:pPr>
      <w:pStyle w:val="LDFooter"/>
      <w:tabs>
        <w:tab w:val="clear" w:pos="8505"/>
        <w:tab w:val="right" w:pos="9026"/>
      </w:tabs>
      <w:rPr>
        <w:lang w:val="fr-FR"/>
      </w:rPr>
    </w:pPr>
    <w:r w:rsidRPr="00FF6517">
      <w:rPr>
        <w:lang w:val="fr-FR"/>
      </w:rPr>
      <w:t>Instrument number CASA EX</w:t>
    </w:r>
    <w:r>
      <w:rPr>
        <w:lang w:val="fr-FR"/>
      </w:rPr>
      <w:t>29/24</w:t>
    </w:r>
    <w:r w:rsidR="005448C8" w:rsidRPr="00D93A15">
      <w:rPr>
        <w:lang w:val="fr-FR"/>
      </w:rPr>
      <w:tab/>
      <w:t xml:space="preserve">Page </w:t>
    </w:r>
    <w:r w:rsidR="005448C8">
      <w:rPr>
        <w:rStyle w:val="PageNumber"/>
      </w:rPr>
      <w:fldChar w:fldCharType="begin"/>
    </w:r>
    <w:r w:rsidR="005448C8" w:rsidRPr="00D93A15">
      <w:rPr>
        <w:rStyle w:val="PageNumber"/>
        <w:lang w:val="fr-FR"/>
      </w:rPr>
      <w:instrText xml:space="preserve"> PAGE </w:instrText>
    </w:r>
    <w:r w:rsidR="005448C8">
      <w:rPr>
        <w:rStyle w:val="PageNumber"/>
      </w:rPr>
      <w:fldChar w:fldCharType="separate"/>
    </w:r>
    <w:r w:rsidR="005448C8" w:rsidRPr="00D93A15">
      <w:rPr>
        <w:rStyle w:val="PageNumber"/>
        <w:lang w:val="fr-FR"/>
      </w:rPr>
      <w:t>2</w:t>
    </w:r>
    <w:r w:rsidR="005448C8">
      <w:rPr>
        <w:rStyle w:val="PageNumber"/>
      </w:rPr>
      <w:fldChar w:fldCharType="end"/>
    </w:r>
    <w:r w:rsidR="005448C8" w:rsidRPr="00D93A15">
      <w:rPr>
        <w:rStyle w:val="PageNumber"/>
        <w:lang w:val="fr-FR"/>
      </w:rPr>
      <w:t xml:space="preserve"> of </w:t>
    </w:r>
    <w:r w:rsidR="004E6719">
      <w:rPr>
        <w:rStyle w:val="PageNumber"/>
      </w:rPr>
      <w:fldChar w:fldCharType="begin"/>
    </w:r>
    <w:r w:rsidR="004E6719" w:rsidRPr="00D93A15">
      <w:rPr>
        <w:rStyle w:val="PageNumber"/>
        <w:lang w:val="fr-FR"/>
      </w:rPr>
      <w:instrText xml:space="preserve"> NUMPAGES   \* MERGEFORMAT </w:instrText>
    </w:r>
    <w:r w:rsidR="004E6719">
      <w:rPr>
        <w:rStyle w:val="PageNumber"/>
      </w:rPr>
      <w:fldChar w:fldCharType="separate"/>
    </w:r>
    <w:r w:rsidR="004E6719" w:rsidRPr="00D93A15">
      <w:rPr>
        <w:rStyle w:val="PageNumber"/>
        <w:noProof/>
        <w:lang w:val="fr-FR"/>
      </w:rPr>
      <w:t>3</w:t>
    </w:r>
    <w:r w:rsidR="004E6719">
      <w:rPr>
        <w:rStyle w:val="PageNumber"/>
      </w:rPr>
      <w:fldChar w:fldCharType="end"/>
    </w:r>
    <w:r w:rsidR="005448C8" w:rsidRPr="00D93A15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7F99" w14:textId="6E377A5A" w:rsidR="005448C8" w:rsidRPr="00D93A15" w:rsidRDefault="002D57E5" w:rsidP="004E6719">
    <w:pPr>
      <w:pStyle w:val="LDFooter"/>
      <w:tabs>
        <w:tab w:val="clear" w:pos="8505"/>
        <w:tab w:val="right" w:pos="9026"/>
      </w:tabs>
      <w:rPr>
        <w:lang w:val="fr-FR"/>
      </w:rPr>
    </w:pPr>
    <w:r w:rsidRPr="00FF6517">
      <w:rPr>
        <w:lang w:val="fr-FR"/>
      </w:rPr>
      <w:t>Instrument number CASA EX</w:t>
    </w:r>
    <w:r>
      <w:rPr>
        <w:lang w:val="fr-FR"/>
      </w:rPr>
      <w:t>29/24</w:t>
    </w:r>
    <w:r w:rsidR="005448C8" w:rsidRPr="00D93A15">
      <w:rPr>
        <w:lang w:val="fr-FR"/>
      </w:rPr>
      <w:tab/>
      <w:t xml:space="preserve">Page </w:t>
    </w:r>
    <w:r w:rsidR="005448C8">
      <w:rPr>
        <w:rStyle w:val="PageNumber"/>
      </w:rPr>
      <w:fldChar w:fldCharType="begin"/>
    </w:r>
    <w:r w:rsidR="005448C8" w:rsidRPr="00D93A15">
      <w:rPr>
        <w:rStyle w:val="PageNumber"/>
        <w:lang w:val="fr-FR"/>
      </w:rPr>
      <w:instrText xml:space="preserve"> PAGE </w:instrText>
    </w:r>
    <w:r w:rsidR="005448C8">
      <w:rPr>
        <w:rStyle w:val="PageNumber"/>
      </w:rPr>
      <w:fldChar w:fldCharType="separate"/>
    </w:r>
    <w:r w:rsidR="005448C8" w:rsidRPr="00D93A15">
      <w:rPr>
        <w:rStyle w:val="PageNumber"/>
        <w:lang w:val="fr-FR"/>
      </w:rPr>
      <w:t>2</w:t>
    </w:r>
    <w:r w:rsidR="005448C8">
      <w:rPr>
        <w:rStyle w:val="PageNumber"/>
      </w:rPr>
      <w:fldChar w:fldCharType="end"/>
    </w:r>
    <w:r w:rsidR="005448C8" w:rsidRPr="00D93A15">
      <w:rPr>
        <w:rStyle w:val="PageNumber"/>
        <w:lang w:val="fr-FR"/>
      </w:rPr>
      <w:t xml:space="preserve"> of </w:t>
    </w:r>
    <w:r w:rsidR="004E6719">
      <w:rPr>
        <w:rStyle w:val="PageNumber"/>
      </w:rPr>
      <w:fldChar w:fldCharType="begin"/>
    </w:r>
    <w:r w:rsidR="004E6719" w:rsidRPr="00D93A15">
      <w:rPr>
        <w:rStyle w:val="PageNumber"/>
        <w:lang w:val="fr-FR"/>
      </w:rPr>
      <w:instrText xml:space="preserve"> NUMPAGES  \* Arabic  \* MERGEFORMAT </w:instrText>
    </w:r>
    <w:r w:rsidR="004E6719">
      <w:rPr>
        <w:rStyle w:val="PageNumber"/>
      </w:rPr>
      <w:fldChar w:fldCharType="separate"/>
    </w:r>
    <w:r w:rsidR="004E6719" w:rsidRPr="00D93A15">
      <w:rPr>
        <w:rStyle w:val="PageNumber"/>
        <w:noProof/>
        <w:lang w:val="fr-FR"/>
      </w:rPr>
      <w:t>3</w:t>
    </w:r>
    <w:r w:rsidR="004E6719">
      <w:rPr>
        <w:rStyle w:val="PageNumber"/>
      </w:rPr>
      <w:fldChar w:fldCharType="end"/>
    </w:r>
    <w:r w:rsidR="005448C8" w:rsidRPr="00D93A15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D05C" w14:textId="77777777" w:rsidR="00C82CE5" w:rsidRDefault="00C82CE5" w:rsidP="005448C8">
      <w:pPr>
        <w:spacing w:after="0" w:line="240" w:lineRule="auto"/>
      </w:pPr>
      <w:r>
        <w:separator/>
      </w:r>
    </w:p>
  </w:footnote>
  <w:footnote w:type="continuationSeparator" w:id="0">
    <w:p w14:paraId="1DFC281E" w14:textId="77777777" w:rsidR="00C82CE5" w:rsidRDefault="00C82CE5" w:rsidP="0054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D462" w14:textId="7695DE98" w:rsidR="005448C8" w:rsidRDefault="005448C8" w:rsidP="005448C8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D137" w14:textId="3874DAAF" w:rsidR="005448C8" w:rsidRDefault="005448C8" w:rsidP="005448C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5F63A9F" wp14:editId="41DFF5C0">
          <wp:extent cx="4019550" cy="1064895"/>
          <wp:effectExtent l="0" t="0" r="0" b="1905"/>
          <wp:docPr id="3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61DD"/>
    <w:multiLevelType w:val="hybridMultilevel"/>
    <w:tmpl w:val="C0503400"/>
    <w:lvl w:ilvl="0" w:tplc="7BBEB1D4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6" w:hanging="360"/>
      </w:pPr>
    </w:lvl>
    <w:lvl w:ilvl="2" w:tplc="0C09001B" w:tentative="1">
      <w:start w:val="1"/>
      <w:numFmt w:val="lowerRoman"/>
      <w:lvlText w:val="%3."/>
      <w:lvlJc w:val="right"/>
      <w:pPr>
        <w:ind w:left="2506" w:hanging="180"/>
      </w:pPr>
    </w:lvl>
    <w:lvl w:ilvl="3" w:tplc="0C09000F" w:tentative="1">
      <w:start w:val="1"/>
      <w:numFmt w:val="decimal"/>
      <w:lvlText w:val="%4."/>
      <w:lvlJc w:val="left"/>
      <w:pPr>
        <w:ind w:left="3226" w:hanging="360"/>
      </w:pPr>
    </w:lvl>
    <w:lvl w:ilvl="4" w:tplc="0C090019" w:tentative="1">
      <w:start w:val="1"/>
      <w:numFmt w:val="lowerLetter"/>
      <w:lvlText w:val="%5."/>
      <w:lvlJc w:val="left"/>
      <w:pPr>
        <w:ind w:left="3946" w:hanging="360"/>
      </w:pPr>
    </w:lvl>
    <w:lvl w:ilvl="5" w:tplc="0C09001B" w:tentative="1">
      <w:start w:val="1"/>
      <w:numFmt w:val="lowerRoman"/>
      <w:lvlText w:val="%6."/>
      <w:lvlJc w:val="right"/>
      <w:pPr>
        <w:ind w:left="4666" w:hanging="180"/>
      </w:pPr>
    </w:lvl>
    <w:lvl w:ilvl="6" w:tplc="0C09000F" w:tentative="1">
      <w:start w:val="1"/>
      <w:numFmt w:val="decimal"/>
      <w:lvlText w:val="%7."/>
      <w:lvlJc w:val="left"/>
      <w:pPr>
        <w:ind w:left="5386" w:hanging="360"/>
      </w:pPr>
    </w:lvl>
    <w:lvl w:ilvl="7" w:tplc="0C090019" w:tentative="1">
      <w:start w:val="1"/>
      <w:numFmt w:val="lowerLetter"/>
      <w:lvlText w:val="%8."/>
      <w:lvlJc w:val="left"/>
      <w:pPr>
        <w:ind w:left="6106" w:hanging="360"/>
      </w:pPr>
    </w:lvl>
    <w:lvl w:ilvl="8" w:tplc="0C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96061A3"/>
    <w:multiLevelType w:val="hybridMultilevel"/>
    <w:tmpl w:val="029A0E26"/>
    <w:lvl w:ilvl="0" w:tplc="2D2403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F05AB"/>
    <w:multiLevelType w:val="hybridMultilevel"/>
    <w:tmpl w:val="87FAECE2"/>
    <w:lvl w:ilvl="0" w:tplc="01707532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734028"/>
    <w:multiLevelType w:val="hybridMultilevel"/>
    <w:tmpl w:val="DE6C6CE2"/>
    <w:lvl w:ilvl="0" w:tplc="E58CB7B2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37DE766B"/>
    <w:multiLevelType w:val="hybridMultilevel"/>
    <w:tmpl w:val="9B383990"/>
    <w:lvl w:ilvl="0" w:tplc="5F2C94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2B7ADF"/>
    <w:multiLevelType w:val="hybridMultilevel"/>
    <w:tmpl w:val="3EDE1E64"/>
    <w:lvl w:ilvl="0" w:tplc="4B22BC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5533450C"/>
    <w:multiLevelType w:val="hybridMultilevel"/>
    <w:tmpl w:val="35FED12E"/>
    <w:lvl w:ilvl="0" w:tplc="8DC42650">
      <w:start w:val="1"/>
      <w:numFmt w:val="lowerLetter"/>
      <w:lvlText w:val="(%1)"/>
      <w:lvlJc w:val="left"/>
      <w:pPr>
        <w:ind w:left="109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57B740F2"/>
    <w:multiLevelType w:val="hybridMultilevel"/>
    <w:tmpl w:val="9A0EB57C"/>
    <w:lvl w:ilvl="0" w:tplc="E6FA89CE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6B55E2"/>
    <w:multiLevelType w:val="hybridMultilevel"/>
    <w:tmpl w:val="44586A4A"/>
    <w:lvl w:ilvl="0" w:tplc="BBB6E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3B8C"/>
    <w:multiLevelType w:val="hybridMultilevel"/>
    <w:tmpl w:val="9C12DD3E"/>
    <w:lvl w:ilvl="0" w:tplc="5E069514">
      <w:start w:val="1"/>
      <w:numFmt w:val="decimal"/>
      <w:lvlText w:val="(%1)"/>
      <w:lvlJc w:val="left"/>
      <w:pPr>
        <w:ind w:left="1097" w:hanging="737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30539"/>
    <w:multiLevelType w:val="hybridMultilevel"/>
    <w:tmpl w:val="A45E472C"/>
    <w:lvl w:ilvl="0" w:tplc="598E3362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77607A7C"/>
    <w:multiLevelType w:val="hybridMultilevel"/>
    <w:tmpl w:val="88D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B308A"/>
    <w:multiLevelType w:val="hybridMultilevel"/>
    <w:tmpl w:val="DEEECD5C"/>
    <w:lvl w:ilvl="0" w:tplc="4D4A6B0A">
      <w:start w:val="4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94430633">
    <w:abstractNumId w:val="3"/>
  </w:num>
  <w:num w:numId="2" w16cid:durableId="946473192">
    <w:abstractNumId w:val="10"/>
  </w:num>
  <w:num w:numId="3" w16cid:durableId="110323637">
    <w:abstractNumId w:val="0"/>
  </w:num>
  <w:num w:numId="4" w16cid:durableId="1655835390">
    <w:abstractNumId w:val="7"/>
  </w:num>
  <w:num w:numId="5" w16cid:durableId="229734488">
    <w:abstractNumId w:val="2"/>
  </w:num>
  <w:num w:numId="6" w16cid:durableId="332487258">
    <w:abstractNumId w:val="4"/>
  </w:num>
  <w:num w:numId="7" w16cid:durableId="506284181">
    <w:abstractNumId w:val="8"/>
  </w:num>
  <w:num w:numId="8" w16cid:durableId="1343047297">
    <w:abstractNumId w:val="11"/>
  </w:num>
  <w:num w:numId="9" w16cid:durableId="140196716">
    <w:abstractNumId w:val="1"/>
  </w:num>
  <w:num w:numId="10" w16cid:durableId="1471051407">
    <w:abstractNumId w:val="12"/>
  </w:num>
  <w:num w:numId="11" w16cid:durableId="1646739571">
    <w:abstractNumId w:val="6"/>
  </w:num>
  <w:num w:numId="12" w16cid:durableId="1701973390">
    <w:abstractNumId w:val="5"/>
  </w:num>
  <w:num w:numId="13" w16cid:durableId="406657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37"/>
    <w:rsid w:val="0000072F"/>
    <w:rsid w:val="000042CF"/>
    <w:rsid w:val="00005FA9"/>
    <w:rsid w:val="0000762B"/>
    <w:rsid w:val="00013AEC"/>
    <w:rsid w:val="00014459"/>
    <w:rsid w:val="0001502E"/>
    <w:rsid w:val="0002339D"/>
    <w:rsid w:val="0002754F"/>
    <w:rsid w:val="00030FD6"/>
    <w:rsid w:val="00033688"/>
    <w:rsid w:val="000364D2"/>
    <w:rsid w:val="00045503"/>
    <w:rsid w:val="0005608D"/>
    <w:rsid w:val="00060AE7"/>
    <w:rsid w:val="0006422F"/>
    <w:rsid w:val="00064FE3"/>
    <w:rsid w:val="0006731F"/>
    <w:rsid w:val="00081AB8"/>
    <w:rsid w:val="000863FB"/>
    <w:rsid w:val="0009199A"/>
    <w:rsid w:val="00096F20"/>
    <w:rsid w:val="000A0D07"/>
    <w:rsid w:val="000A33C1"/>
    <w:rsid w:val="000A4F4F"/>
    <w:rsid w:val="000A5032"/>
    <w:rsid w:val="000A6F37"/>
    <w:rsid w:val="000B39D0"/>
    <w:rsid w:val="000B75CE"/>
    <w:rsid w:val="000C0113"/>
    <w:rsid w:val="000D2F4D"/>
    <w:rsid w:val="000D419E"/>
    <w:rsid w:val="000E27FB"/>
    <w:rsid w:val="000E4A71"/>
    <w:rsid w:val="000E50C9"/>
    <w:rsid w:val="000E65C3"/>
    <w:rsid w:val="000F3088"/>
    <w:rsid w:val="000F6C55"/>
    <w:rsid w:val="00102338"/>
    <w:rsid w:val="00104571"/>
    <w:rsid w:val="001045D2"/>
    <w:rsid w:val="00105CFA"/>
    <w:rsid w:val="0011283D"/>
    <w:rsid w:val="00113C85"/>
    <w:rsid w:val="001175BE"/>
    <w:rsid w:val="00117DD8"/>
    <w:rsid w:val="00121B5A"/>
    <w:rsid w:val="00126364"/>
    <w:rsid w:val="00133971"/>
    <w:rsid w:val="001346DF"/>
    <w:rsid w:val="001349DD"/>
    <w:rsid w:val="001370A7"/>
    <w:rsid w:val="00141C24"/>
    <w:rsid w:val="00150F23"/>
    <w:rsid w:val="00152274"/>
    <w:rsid w:val="00156FE8"/>
    <w:rsid w:val="0016436B"/>
    <w:rsid w:val="001665CB"/>
    <w:rsid w:val="001666D8"/>
    <w:rsid w:val="001761BE"/>
    <w:rsid w:val="00177CAB"/>
    <w:rsid w:val="00187BAA"/>
    <w:rsid w:val="00196D09"/>
    <w:rsid w:val="001A17A6"/>
    <w:rsid w:val="001A3F73"/>
    <w:rsid w:val="001B03A8"/>
    <w:rsid w:val="001B2CC4"/>
    <w:rsid w:val="001B66F4"/>
    <w:rsid w:val="001B7757"/>
    <w:rsid w:val="001C229E"/>
    <w:rsid w:val="001D6044"/>
    <w:rsid w:val="001E081F"/>
    <w:rsid w:val="001E3FB1"/>
    <w:rsid w:val="001E55C6"/>
    <w:rsid w:val="001E5A86"/>
    <w:rsid w:val="001F3C9B"/>
    <w:rsid w:val="001F425B"/>
    <w:rsid w:val="001F4C28"/>
    <w:rsid w:val="001F7981"/>
    <w:rsid w:val="002005F6"/>
    <w:rsid w:val="00212DB2"/>
    <w:rsid w:val="00212FD9"/>
    <w:rsid w:val="002250EE"/>
    <w:rsid w:val="002332CD"/>
    <w:rsid w:val="00233E4E"/>
    <w:rsid w:val="002346FA"/>
    <w:rsid w:val="00241FE7"/>
    <w:rsid w:val="0024209D"/>
    <w:rsid w:val="00244F80"/>
    <w:rsid w:val="0025354A"/>
    <w:rsid w:val="002567B4"/>
    <w:rsid w:val="002573C6"/>
    <w:rsid w:val="00257D97"/>
    <w:rsid w:val="00263919"/>
    <w:rsid w:val="002648AB"/>
    <w:rsid w:val="0027071D"/>
    <w:rsid w:val="00275EA4"/>
    <w:rsid w:val="002844C5"/>
    <w:rsid w:val="00293E46"/>
    <w:rsid w:val="00296D73"/>
    <w:rsid w:val="002B567E"/>
    <w:rsid w:val="002B7534"/>
    <w:rsid w:val="002B7FA7"/>
    <w:rsid w:val="002C3B2C"/>
    <w:rsid w:val="002C5339"/>
    <w:rsid w:val="002C7724"/>
    <w:rsid w:val="002D07D1"/>
    <w:rsid w:val="002D2E55"/>
    <w:rsid w:val="002D43ED"/>
    <w:rsid w:val="002D57E5"/>
    <w:rsid w:val="002F1EB2"/>
    <w:rsid w:val="002F231D"/>
    <w:rsid w:val="0030610E"/>
    <w:rsid w:val="003076A1"/>
    <w:rsid w:val="00311A6D"/>
    <w:rsid w:val="00315E0F"/>
    <w:rsid w:val="00317F6F"/>
    <w:rsid w:val="0033565F"/>
    <w:rsid w:val="00344C02"/>
    <w:rsid w:val="003459E1"/>
    <w:rsid w:val="00346F17"/>
    <w:rsid w:val="00354709"/>
    <w:rsid w:val="00356D9D"/>
    <w:rsid w:val="00363536"/>
    <w:rsid w:val="00367533"/>
    <w:rsid w:val="00385647"/>
    <w:rsid w:val="003A1C2C"/>
    <w:rsid w:val="003A6791"/>
    <w:rsid w:val="003B65C0"/>
    <w:rsid w:val="003C1876"/>
    <w:rsid w:val="003D1D58"/>
    <w:rsid w:val="003D32DD"/>
    <w:rsid w:val="003D7B8B"/>
    <w:rsid w:val="003E2CDC"/>
    <w:rsid w:val="003E7CA8"/>
    <w:rsid w:val="0041094C"/>
    <w:rsid w:val="004122DC"/>
    <w:rsid w:val="00415E49"/>
    <w:rsid w:val="004216DF"/>
    <w:rsid w:val="00425015"/>
    <w:rsid w:val="00426238"/>
    <w:rsid w:val="00427192"/>
    <w:rsid w:val="00427B92"/>
    <w:rsid w:val="00430842"/>
    <w:rsid w:val="00432FA7"/>
    <w:rsid w:val="004340C0"/>
    <w:rsid w:val="00434BD5"/>
    <w:rsid w:val="00437B1D"/>
    <w:rsid w:val="00452064"/>
    <w:rsid w:val="004552E1"/>
    <w:rsid w:val="00455ACA"/>
    <w:rsid w:val="0046081B"/>
    <w:rsid w:val="004648AD"/>
    <w:rsid w:val="00470627"/>
    <w:rsid w:val="00472959"/>
    <w:rsid w:val="00497EDF"/>
    <w:rsid w:val="004A0370"/>
    <w:rsid w:val="004A72B4"/>
    <w:rsid w:val="004B015C"/>
    <w:rsid w:val="004B2323"/>
    <w:rsid w:val="004C2BB1"/>
    <w:rsid w:val="004C40D1"/>
    <w:rsid w:val="004C485B"/>
    <w:rsid w:val="004C7CB0"/>
    <w:rsid w:val="004D0A7E"/>
    <w:rsid w:val="004D1211"/>
    <w:rsid w:val="004D236B"/>
    <w:rsid w:val="004D2547"/>
    <w:rsid w:val="004D6576"/>
    <w:rsid w:val="004E0CCA"/>
    <w:rsid w:val="004E5FE1"/>
    <w:rsid w:val="004E6719"/>
    <w:rsid w:val="004F01BF"/>
    <w:rsid w:val="004F57F8"/>
    <w:rsid w:val="004F586A"/>
    <w:rsid w:val="00500863"/>
    <w:rsid w:val="00506640"/>
    <w:rsid w:val="00510602"/>
    <w:rsid w:val="005132A3"/>
    <w:rsid w:val="00514413"/>
    <w:rsid w:val="0051799C"/>
    <w:rsid w:val="00520180"/>
    <w:rsid w:val="00521DD0"/>
    <w:rsid w:val="005246EA"/>
    <w:rsid w:val="0052773C"/>
    <w:rsid w:val="00527C28"/>
    <w:rsid w:val="0054194E"/>
    <w:rsid w:val="00541B41"/>
    <w:rsid w:val="005448C8"/>
    <w:rsid w:val="00556A95"/>
    <w:rsid w:val="00557E85"/>
    <w:rsid w:val="00562E01"/>
    <w:rsid w:val="005743D3"/>
    <w:rsid w:val="00591C52"/>
    <w:rsid w:val="00592B6E"/>
    <w:rsid w:val="00593F04"/>
    <w:rsid w:val="005A1288"/>
    <w:rsid w:val="005A19BE"/>
    <w:rsid w:val="005A258C"/>
    <w:rsid w:val="005A4DE5"/>
    <w:rsid w:val="005B69F3"/>
    <w:rsid w:val="005C1B36"/>
    <w:rsid w:val="005D02A1"/>
    <w:rsid w:val="005E330F"/>
    <w:rsid w:val="005E6225"/>
    <w:rsid w:val="005F6690"/>
    <w:rsid w:val="0060063A"/>
    <w:rsid w:val="00603AA6"/>
    <w:rsid w:val="00613EB3"/>
    <w:rsid w:val="00615B24"/>
    <w:rsid w:val="00625A0D"/>
    <w:rsid w:val="00627871"/>
    <w:rsid w:val="006344D1"/>
    <w:rsid w:val="00640465"/>
    <w:rsid w:val="00642CF9"/>
    <w:rsid w:val="00647A11"/>
    <w:rsid w:val="006618F2"/>
    <w:rsid w:val="006675E9"/>
    <w:rsid w:val="00670B06"/>
    <w:rsid w:val="00670E7F"/>
    <w:rsid w:val="00671B93"/>
    <w:rsid w:val="00682093"/>
    <w:rsid w:val="00683319"/>
    <w:rsid w:val="006847B7"/>
    <w:rsid w:val="006873E9"/>
    <w:rsid w:val="00687845"/>
    <w:rsid w:val="00693602"/>
    <w:rsid w:val="00694125"/>
    <w:rsid w:val="006953DA"/>
    <w:rsid w:val="006A2167"/>
    <w:rsid w:val="006A4831"/>
    <w:rsid w:val="006A50F5"/>
    <w:rsid w:val="006B4C90"/>
    <w:rsid w:val="006B52B7"/>
    <w:rsid w:val="006B5757"/>
    <w:rsid w:val="006B57A4"/>
    <w:rsid w:val="006B6CC5"/>
    <w:rsid w:val="006C1C82"/>
    <w:rsid w:val="006C66EE"/>
    <w:rsid w:val="006D1762"/>
    <w:rsid w:val="006D4094"/>
    <w:rsid w:val="006D44CB"/>
    <w:rsid w:val="006E0AAF"/>
    <w:rsid w:val="006E3777"/>
    <w:rsid w:val="006F0D01"/>
    <w:rsid w:val="0070070C"/>
    <w:rsid w:val="00701324"/>
    <w:rsid w:val="0070744A"/>
    <w:rsid w:val="00714ECC"/>
    <w:rsid w:val="007216F2"/>
    <w:rsid w:val="0072752E"/>
    <w:rsid w:val="007324A7"/>
    <w:rsid w:val="00736615"/>
    <w:rsid w:val="00746D2C"/>
    <w:rsid w:val="00750640"/>
    <w:rsid w:val="00750C09"/>
    <w:rsid w:val="00755008"/>
    <w:rsid w:val="0076412E"/>
    <w:rsid w:val="007742A3"/>
    <w:rsid w:val="0077610B"/>
    <w:rsid w:val="0079052E"/>
    <w:rsid w:val="00793A28"/>
    <w:rsid w:val="00796207"/>
    <w:rsid w:val="007979CC"/>
    <w:rsid w:val="007A679F"/>
    <w:rsid w:val="007B2E1A"/>
    <w:rsid w:val="007B5541"/>
    <w:rsid w:val="007B6E4B"/>
    <w:rsid w:val="007C2684"/>
    <w:rsid w:val="007C298C"/>
    <w:rsid w:val="007C3233"/>
    <w:rsid w:val="007E01A1"/>
    <w:rsid w:val="007E23F1"/>
    <w:rsid w:val="007E7FF9"/>
    <w:rsid w:val="007F1109"/>
    <w:rsid w:val="0080349D"/>
    <w:rsid w:val="00817F94"/>
    <w:rsid w:val="00820F05"/>
    <w:rsid w:val="00821511"/>
    <w:rsid w:val="008259D9"/>
    <w:rsid w:val="00831EFF"/>
    <w:rsid w:val="008444D7"/>
    <w:rsid w:val="00846153"/>
    <w:rsid w:val="00853846"/>
    <w:rsid w:val="00853C5D"/>
    <w:rsid w:val="00854000"/>
    <w:rsid w:val="00861C2D"/>
    <w:rsid w:val="00862A2E"/>
    <w:rsid w:val="0086569F"/>
    <w:rsid w:val="008750D8"/>
    <w:rsid w:val="00876709"/>
    <w:rsid w:val="00876DCA"/>
    <w:rsid w:val="00877BED"/>
    <w:rsid w:val="00887FFE"/>
    <w:rsid w:val="008923BF"/>
    <w:rsid w:val="00895671"/>
    <w:rsid w:val="00895879"/>
    <w:rsid w:val="00896099"/>
    <w:rsid w:val="008A3760"/>
    <w:rsid w:val="008B0682"/>
    <w:rsid w:val="008C22BF"/>
    <w:rsid w:val="008C2976"/>
    <w:rsid w:val="008C78A6"/>
    <w:rsid w:val="008D58F3"/>
    <w:rsid w:val="008D74EC"/>
    <w:rsid w:val="008E65CA"/>
    <w:rsid w:val="008E77BB"/>
    <w:rsid w:val="008F01C3"/>
    <w:rsid w:val="008F0EDB"/>
    <w:rsid w:val="008F0F3D"/>
    <w:rsid w:val="00904137"/>
    <w:rsid w:val="00915FC2"/>
    <w:rsid w:val="00922B30"/>
    <w:rsid w:val="00935037"/>
    <w:rsid w:val="00937330"/>
    <w:rsid w:val="0094028C"/>
    <w:rsid w:val="00943EDE"/>
    <w:rsid w:val="00950578"/>
    <w:rsid w:val="00951453"/>
    <w:rsid w:val="00955EF1"/>
    <w:rsid w:val="009606E1"/>
    <w:rsid w:val="00961330"/>
    <w:rsid w:val="009637C8"/>
    <w:rsid w:val="00966214"/>
    <w:rsid w:val="00972E12"/>
    <w:rsid w:val="00974229"/>
    <w:rsid w:val="00991932"/>
    <w:rsid w:val="00991F3D"/>
    <w:rsid w:val="00997F51"/>
    <w:rsid w:val="009A0326"/>
    <w:rsid w:val="009A0EE8"/>
    <w:rsid w:val="009A1461"/>
    <w:rsid w:val="009B3059"/>
    <w:rsid w:val="009C16DD"/>
    <w:rsid w:val="009C42F7"/>
    <w:rsid w:val="009C6714"/>
    <w:rsid w:val="009D0D81"/>
    <w:rsid w:val="009D7D83"/>
    <w:rsid w:val="009E0F38"/>
    <w:rsid w:val="009E25E3"/>
    <w:rsid w:val="009E3757"/>
    <w:rsid w:val="009E398A"/>
    <w:rsid w:val="009F15D4"/>
    <w:rsid w:val="009F5801"/>
    <w:rsid w:val="009F6A1A"/>
    <w:rsid w:val="00A046EC"/>
    <w:rsid w:val="00A04AB4"/>
    <w:rsid w:val="00A04FB5"/>
    <w:rsid w:val="00A1245B"/>
    <w:rsid w:val="00A13953"/>
    <w:rsid w:val="00A143EE"/>
    <w:rsid w:val="00A17935"/>
    <w:rsid w:val="00A20AB2"/>
    <w:rsid w:val="00A2438A"/>
    <w:rsid w:val="00A31108"/>
    <w:rsid w:val="00A328F9"/>
    <w:rsid w:val="00A35CD2"/>
    <w:rsid w:val="00A47D4D"/>
    <w:rsid w:val="00A517A9"/>
    <w:rsid w:val="00A55EB9"/>
    <w:rsid w:val="00A650CB"/>
    <w:rsid w:val="00A74134"/>
    <w:rsid w:val="00A76E15"/>
    <w:rsid w:val="00A80C9F"/>
    <w:rsid w:val="00A839E1"/>
    <w:rsid w:val="00A86705"/>
    <w:rsid w:val="00A87397"/>
    <w:rsid w:val="00A90C68"/>
    <w:rsid w:val="00A91411"/>
    <w:rsid w:val="00A9665A"/>
    <w:rsid w:val="00A97DFA"/>
    <w:rsid w:val="00AA4161"/>
    <w:rsid w:val="00AA621A"/>
    <w:rsid w:val="00AB0E80"/>
    <w:rsid w:val="00AB73BA"/>
    <w:rsid w:val="00AC2B97"/>
    <w:rsid w:val="00AC475D"/>
    <w:rsid w:val="00AD36BD"/>
    <w:rsid w:val="00AD489B"/>
    <w:rsid w:val="00AE4546"/>
    <w:rsid w:val="00AE7094"/>
    <w:rsid w:val="00AF1783"/>
    <w:rsid w:val="00AF3688"/>
    <w:rsid w:val="00AF4A71"/>
    <w:rsid w:val="00AF6459"/>
    <w:rsid w:val="00B0239A"/>
    <w:rsid w:val="00B02638"/>
    <w:rsid w:val="00B03BFF"/>
    <w:rsid w:val="00B201F3"/>
    <w:rsid w:val="00B36441"/>
    <w:rsid w:val="00B52DE3"/>
    <w:rsid w:val="00B542B9"/>
    <w:rsid w:val="00B54A85"/>
    <w:rsid w:val="00B5554E"/>
    <w:rsid w:val="00B576BC"/>
    <w:rsid w:val="00B60C5F"/>
    <w:rsid w:val="00B65DE2"/>
    <w:rsid w:val="00B6781E"/>
    <w:rsid w:val="00B70285"/>
    <w:rsid w:val="00B73702"/>
    <w:rsid w:val="00B777F1"/>
    <w:rsid w:val="00B8113E"/>
    <w:rsid w:val="00B83214"/>
    <w:rsid w:val="00BA657D"/>
    <w:rsid w:val="00BB356E"/>
    <w:rsid w:val="00BB5B37"/>
    <w:rsid w:val="00BB6E54"/>
    <w:rsid w:val="00BC1685"/>
    <w:rsid w:val="00BD13F2"/>
    <w:rsid w:val="00BD16D5"/>
    <w:rsid w:val="00BD3086"/>
    <w:rsid w:val="00BE273E"/>
    <w:rsid w:val="00BF507C"/>
    <w:rsid w:val="00BF7841"/>
    <w:rsid w:val="00C018B7"/>
    <w:rsid w:val="00C02B94"/>
    <w:rsid w:val="00C12087"/>
    <w:rsid w:val="00C15988"/>
    <w:rsid w:val="00C17621"/>
    <w:rsid w:val="00C20512"/>
    <w:rsid w:val="00C32758"/>
    <w:rsid w:val="00C402F5"/>
    <w:rsid w:val="00C42843"/>
    <w:rsid w:val="00C46411"/>
    <w:rsid w:val="00C47D7D"/>
    <w:rsid w:val="00C54C26"/>
    <w:rsid w:val="00C62EF4"/>
    <w:rsid w:val="00C66627"/>
    <w:rsid w:val="00C67955"/>
    <w:rsid w:val="00C74E3F"/>
    <w:rsid w:val="00C827BD"/>
    <w:rsid w:val="00C82CE5"/>
    <w:rsid w:val="00C86A31"/>
    <w:rsid w:val="00C87E73"/>
    <w:rsid w:val="00C87F7C"/>
    <w:rsid w:val="00CA062C"/>
    <w:rsid w:val="00CA22AB"/>
    <w:rsid w:val="00CB428E"/>
    <w:rsid w:val="00CC01A3"/>
    <w:rsid w:val="00CC246C"/>
    <w:rsid w:val="00CC5EE3"/>
    <w:rsid w:val="00CC7F73"/>
    <w:rsid w:val="00CD217D"/>
    <w:rsid w:val="00CD5DD7"/>
    <w:rsid w:val="00CD7BDD"/>
    <w:rsid w:val="00D00646"/>
    <w:rsid w:val="00D01C6F"/>
    <w:rsid w:val="00D14671"/>
    <w:rsid w:val="00D15892"/>
    <w:rsid w:val="00D159AD"/>
    <w:rsid w:val="00D2082E"/>
    <w:rsid w:val="00D27B9A"/>
    <w:rsid w:val="00D37724"/>
    <w:rsid w:val="00D5208A"/>
    <w:rsid w:val="00D52215"/>
    <w:rsid w:val="00D534CC"/>
    <w:rsid w:val="00D54D30"/>
    <w:rsid w:val="00D55775"/>
    <w:rsid w:val="00D5708B"/>
    <w:rsid w:val="00D63114"/>
    <w:rsid w:val="00D6383B"/>
    <w:rsid w:val="00D665EB"/>
    <w:rsid w:val="00D7570F"/>
    <w:rsid w:val="00D77B98"/>
    <w:rsid w:val="00D86227"/>
    <w:rsid w:val="00D93A15"/>
    <w:rsid w:val="00D9437E"/>
    <w:rsid w:val="00DA1455"/>
    <w:rsid w:val="00DA5F1D"/>
    <w:rsid w:val="00DB3E47"/>
    <w:rsid w:val="00DB64C9"/>
    <w:rsid w:val="00DC0B50"/>
    <w:rsid w:val="00DD2364"/>
    <w:rsid w:val="00DE11B5"/>
    <w:rsid w:val="00DE2A1D"/>
    <w:rsid w:val="00DE4325"/>
    <w:rsid w:val="00DF2E84"/>
    <w:rsid w:val="00E05B0E"/>
    <w:rsid w:val="00E10D2F"/>
    <w:rsid w:val="00E12335"/>
    <w:rsid w:val="00E1630A"/>
    <w:rsid w:val="00E169DF"/>
    <w:rsid w:val="00E27C29"/>
    <w:rsid w:val="00E3382A"/>
    <w:rsid w:val="00E67B32"/>
    <w:rsid w:val="00E77C5B"/>
    <w:rsid w:val="00E83DC8"/>
    <w:rsid w:val="00E85FA9"/>
    <w:rsid w:val="00E92548"/>
    <w:rsid w:val="00EA0004"/>
    <w:rsid w:val="00EA69B0"/>
    <w:rsid w:val="00EA7BC7"/>
    <w:rsid w:val="00EB3EA5"/>
    <w:rsid w:val="00EB50A3"/>
    <w:rsid w:val="00EB78E9"/>
    <w:rsid w:val="00EB7932"/>
    <w:rsid w:val="00EC319E"/>
    <w:rsid w:val="00EC7413"/>
    <w:rsid w:val="00EC77EB"/>
    <w:rsid w:val="00ED0CD7"/>
    <w:rsid w:val="00ED119A"/>
    <w:rsid w:val="00ED1787"/>
    <w:rsid w:val="00ED476F"/>
    <w:rsid w:val="00EE4FCB"/>
    <w:rsid w:val="00EE57D4"/>
    <w:rsid w:val="00EE6784"/>
    <w:rsid w:val="00EE7EB8"/>
    <w:rsid w:val="00EF0522"/>
    <w:rsid w:val="00F024C9"/>
    <w:rsid w:val="00F10665"/>
    <w:rsid w:val="00F20DB5"/>
    <w:rsid w:val="00F2283C"/>
    <w:rsid w:val="00F23A6E"/>
    <w:rsid w:val="00F26A50"/>
    <w:rsid w:val="00F351E4"/>
    <w:rsid w:val="00F366D4"/>
    <w:rsid w:val="00F36EE0"/>
    <w:rsid w:val="00F37C71"/>
    <w:rsid w:val="00F4007E"/>
    <w:rsid w:val="00F429FF"/>
    <w:rsid w:val="00F44FC5"/>
    <w:rsid w:val="00F56526"/>
    <w:rsid w:val="00F61189"/>
    <w:rsid w:val="00F714F1"/>
    <w:rsid w:val="00F7174F"/>
    <w:rsid w:val="00FA0263"/>
    <w:rsid w:val="00FA1948"/>
    <w:rsid w:val="00FA4271"/>
    <w:rsid w:val="00FA4BC6"/>
    <w:rsid w:val="00FA55A8"/>
    <w:rsid w:val="00FB177B"/>
    <w:rsid w:val="00FB2F0F"/>
    <w:rsid w:val="00FB5CDF"/>
    <w:rsid w:val="00FB7101"/>
    <w:rsid w:val="00FC115D"/>
    <w:rsid w:val="00FD2139"/>
    <w:rsid w:val="00FD29AC"/>
    <w:rsid w:val="00FD445F"/>
    <w:rsid w:val="00FE149C"/>
    <w:rsid w:val="00FE65B4"/>
    <w:rsid w:val="00FF23DE"/>
    <w:rsid w:val="00FF43E3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A48B"/>
  <w15:chartTrackingRefBased/>
  <w15:docId w15:val="{264F0220-7C9F-4AF9-9B40-481E4BCB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ClauseHeading">
    <w:name w:val="LDClauseHeading"/>
    <w:basedOn w:val="Normal"/>
    <w:next w:val="Normal"/>
    <w:link w:val="LDClauseHeadingChar"/>
    <w:rsid w:val="00904137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904137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904137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link w:val="LDClause"/>
    <w:locked/>
    <w:rsid w:val="00904137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904137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904137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6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5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283C"/>
    <w:pPr>
      <w:ind w:left="720"/>
      <w:contextualSpacing/>
    </w:pPr>
  </w:style>
  <w:style w:type="paragraph" w:customStyle="1" w:styleId="LDTitle">
    <w:name w:val="LDTitle"/>
    <w:rsid w:val="00861C2D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Signatory">
    <w:name w:val="LDSignatory"/>
    <w:basedOn w:val="Normal"/>
    <w:next w:val="Normal"/>
    <w:rsid w:val="00005FA9"/>
    <w:pPr>
      <w:keepNext/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425015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425015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CC7F73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F73"/>
  </w:style>
  <w:style w:type="paragraph" w:styleId="Header">
    <w:name w:val="header"/>
    <w:basedOn w:val="Normal"/>
    <w:link w:val="HeaderChar"/>
    <w:uiPriority w:val="99"/>
    <w:unhideWhenUsed/>
    <w:rsid w:val="00544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C8"/>
  </w:style>
  <w:style w:type="paragraph" w:styleId="Footer">
    <w:name w:val="footer"/>
    <w:basedOn w:val="Normal"/>
    <w:link w:val="FooterChar"/>
    <w:uiPriority w:val="99"/>
    <w:unhideWhenUsed/>
    <w:rsid w:val="00544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C8"/>
  </w:style>
  <w:style w:type="paragraph" w:customStyle="1" w:styleId="LDBodytext">
    <w:name w:val="LDBody text"/>
    <w:link w:val="LDBodytextChar"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5448C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5448C8"/>
  </w:style>
  <w:style w:type="paragraph" w:customStyle="1" w:styleId="LDFooter">
    <w:name w:val="LDFooter"/>
    <w:basedOn w:val="Normal"/>
    <w:rsid w:val="005448C8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Date">
    <w:name w:val="LDDate"/>
    <w:basedOn w:val="LDBodytext"/>
    <w:link w:val="LDDateChar"/>
    <w:rsid w:val="005448C8"/>
    <w:pPr>
      <w:spacing w:before="240"/>
    </w:pPr>
  </w:style>
  <w:style w:type="character" w:customStyle="1" w:styleId="LDDateChar">
    <w:name w:val="LDDate Char"/>
    <w:basedOn w:val="LDBodytextChar"/>
    <w:link w:val="LDDate"/>
    <w:rsid w:val="005448C8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5448C8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definition">
    <w:name w:val="LDdefinition"/>
    <w:basedOn w:val="LDClause"/>
    <w:link w:val="LDdefinitionChar"/>
    <w:rsid w:val="00A47D4D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A47D4D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C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F3F78-CB2A-4C7F-99C5-77CF50DEF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38FD6-566B-48E7-906C-887CF01DE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24536-11D2-4F6A-8E24-E2C9DDF5E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F2122-D201-4977-87C8-D36BF767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EX29/24</vt:lpstr>
    </vt:vector>
  </TitlesOfParts>
  <Company>Civil Aviation Safety Authority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EX29/24</dc:title>
  <dc:subject>Dangerous Goods (2-yearly Training Requirement) Exemption 2024</dc:subject>
  <dc:creator>Civil Aviation Safety Authority</dc:creator>
  <cp:keywords/>
  <dc:description/>
  <cp:lastModifiedBy>Spesyvy, Nadia</cp:lastModifiedBy>
  <cp:revision>3</cp:revision>
  <cp:lastPrinted>2021-03-30T01:32:00Z</cp:lastPrinted>
  <dcterms:created xsi:type="dcterms:W3CDTF">2024-06-13T02:27:00Z</dcterms:created>
  <dcterms:modified xsi:type="dcterms:W3CDTF">2024-06-13T22:58:00Z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