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4B81" w14:textId="77777777" w:rsidR="00694193" w:rsidRDefault="00694193" w:rsidP="00694193">
      <w:pPr>
        <w:jc w:val="center"/>
      </w:pPr>
      <w:r>
        <w:rPr>
          <w:noProof/>
        </w:rPr>
        <w:drawing>
          <wp:inline distT="0" distB="0" distL="0" distR="0" wp14:anchorId="381069E4" wp14:editId="3512A6DD">
            <wp:extent cx="3913200" cy="961200"/>
            <wp:effectExtent l="0" t="0" r="0" b="0"/>
            <wp:docPr id="1" name="Picture 1" descr="Reserve Bank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serve Bank of Austral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3200" cy="961200"/>
                    </a:xfrm>
                    <a:prstGeom prst="rect">
                      <a:avLst/>
                    </a:prstGeom>
                  </pic:spPr>
                </pic:pic>
              </a:graphicData>
            </a:graphic>
          </wp:inline>
        </w:drawing>
      </w:r>
    </w:p>
    <w:p w14:paraId="1A0B8130" w14:textId="77777777" w:rsidR="00694193" w:rsidRDefault="00694193" w:rsidP="00694193">
      <w:pPr>
        <w:pStyle w:val="Title"/>
        <w:spacing w:after="200"/>
        <w:contextualSpacing w:val="0"/>
      </w:pPr>
      <w:r w:rsidRPr="00A85902">
        <w:t>Explanatory Statement</w:t>
      </w:r>
    </w:p>
    <w:p w14:paraId="4667C283" w14:textId="45D934E3" w:rsidR="00694193" w:rsidRDefault="00694193" w:rsidP="00694193">
      <w:pPr>
        <w:pStyle w:val="Title"/>
        <w:spacing w:after="200"/>
        <w:contextualSpacing w:val="0"/>
        <w:rPr>
          <w:i/>
          <w:caps w:val="0"/>
        </w:rPr>
      </w:pPr>
      <w:r w:rsidRPr="00694193">
        <w:rPr>
          <w:i/>
          <w:caps w:val="0"/>
        </w:rPr>
        <w:t>Financial Stability Standards for Securities Settlement Facilities</w:t>
      </w:r>
      <w:r>
        <w:rPr>
          <w:i/>
          <w:caps w:val="0"/>
        </w:rPr>
        <w:br/>
      </w:r>
      <w:r w:rsidRPr="00694193">
        <w:rPr>
          <w:i/>
          <w:caps w:val="0"/>
        </w:rPr>
        <w:t>Revocation 2024</w:t>
      </w:r>
    </w:p>
    <w:p w14:paraId="159DFEA6" w14:textId="4677D897" w:rsidR="00694193" w:rsidRDefault="00694193" w:rsidP="00694193">
      <w:pPr>
        <w:pStyle w:val="Title"/>
        <w:spacing w:after="200"/>
        <w:contextualSpacing w:val="0"/>
        <w:rPr>
          <w:i/>
          <w:caps w:val="0"/>
        </w:rPr>
      </w:pPr>
      <w:r w:rsidRPr="00694193">
        <w:rPr>
          <w:i/>
          <w:caps w:val="0"/>
        </w:rPr>
        <w:t>Financial Stability Standards for Securities Settlement Facilities Determination 2024</w:t>
      </w:r>
    </w:p>
    <w:p w14:paraId="2BF356CB" w14:textId="386108F5" w:rsidR="00694193" w:rsidRPr="004C37F1" w:rsidRDefault="00694193" w:rsidP="00694193">
      <w:pPr>
        <w:pStyle w:val="Title"/>
        <w:spacing w:after="200"/>
        <w:contextualSpacing w:val="0"/>
        <w:rPr>
          <w:i/>
          <w:caps w:val="0"/>
        </w:rPr>
      </w:pPr>
      <w:r>
        <w:rPr>
          <w:i/>
          <w:caps w:val="0"/>
        </w:rPr>
        <w:t>Corporations Act 2001</w:t>
      </w:r>
    </w:p>
    <w:p w14:paraId="31557FB1" w14:textId="7F634267" w:rsidR="00694193" w:rsidRDefault="00694193" w:rsidP="00694193">
      <w:pPr>
        <w:pStyle w:val="BodyText"/>
        <w:spacing w:before="360"/>
      </w:pPr>
      <w:r w:rsidRPr="00FD691A">
        <w:t xml:space="preserve">This Explanatory Statement </w:t>
      </w:r>
      <w:r>
        <w:t>relates to the following instruments:</w:t>
      </w:r>
    </w:p>
    <w:p w14:paraId="12ACD4E9" w14:textId="3BCBEAEC" w:rsidR="00594584" w:rsidRPr="00694193" w:rsidRDefault="00594584" w:rsidP="00864499">
      <w:pPr>
        <w:pStyle w:val="ListBullet"/>
        <w:numPr>
          <w:ilvl w:val="0"/>
          <w:numId w:val="2"/>
        </w:numPr>
        <w:ind w:left="782" w:hanging="425"/>
      </w:pPr>
      <w:r w:rsidRPr="00694193">
        <w:rPr>
          <w:i/>
          <w:iCs/>
        </w:rPr>
        <w:t xml:space="preserve">Financial </w:t>
      </w:r>
      <w:r w:rsidRPr="00864499">
        <w:rPr>
          <w:i/>
          <w:iCs/>
        </w:rPr>
        <w:t>Stability Standards for Securities Settlement Facilities Revocation 2024</w:t>
      </w:r>
      <w:r w:rsidR="00C131D4" w:rsidRPr="00694193">
        <w:t xml:space="preserve"> (the Revocation)</w:t>
      </w:r>
      <w:r w:rsidRPr="00694193">
        <w:t>; and</w:t>
      </w:r>
    </w:p>
    <w:p w14:paraId="391609B1" w14:textId="63B98632" w:rsidR="00133014" w:rsidRPr="00694193" w:rsidRDefault="00594584" w:rsidP="00864499">
      <w:pPr>
        <w:pStyle w:val="ListBullet"/>
        <w:numPr>
          <w:ilvl w:val="0"/>
          <w:numId w:val="2"/>
        </w:numPr>
        <w:ind w:left="782" w:hanging="425"/>
      </w:pPr>
      <w:r w:rsidRPr="00694193">
        <w:rPr>
          <w:i/>
          <w:iCs/>
        </w:rPr>
        <w:t xml:space="preserve">Financial </w:t>
      </w:r>
      <w:r w:rsidRPr="00864499">
        <w:rPr>
          <w:i/>
          <w:iCs/>
        </w:rPr>
        <w:t xml:space="preserve">Stability Standards for Securities Settlement Facilities </w:t>
      </w:r>
      <w:r w:rsidRPr="00694193">
        <w:rPr>
          <w:i/>
          <w:iCs/>
        </w:rPr>
        <w:t>Determination</w:t>
      </w:r>
      <w:r w:rsidRPr="00864499">
        <w:rPr>
          <w:i/>
          <w:iCs/>
        </w:rPr>
        <w:t xml:space="preserve"> 2024</w:t>
      </w:r>
      <w:r w:rsidR="00C131D4" w:rsidRPr="00694193">
        <w:t xml:space="preserve"> (the Determination)</w:t>
      </w:r>
      <w:r w:rsidR="00133014" w:rsidRPr="00694193">
        <w:t>,</w:t>
      </w:r>
    </w:p>
    <w:p w14:paraId="1D037707" w14:textId="1934D3EF" w:rsidR="00594584" w:rsidRDefault="00133014" w:rsidP="00864499">
      <w:pPr>
        <w:pStyle w:val="BodyText"/>
        <w:ind w:left="357"/>
      </w:pPr>
      <w:r w:rsidRPr="00694193">
        <w:t>(</w:t>
      </w:r>
      <w:proofErr w:type="gramStart"/>
      <w:r w:rsidRPr="00694193">
        <w:t>together</w:t>
      </w:r>
      <w:proofErr w:type="gramEnd"/>
      <w:r w:rsidRPr="00694193">
        <w:t>, the Instruments)</w:t>
      </w:r>
      <w:r w:rsidR="00594584">
        <w:t>.</w:t>
      </w:r>
    </w:p>
    <w:p w14:paraId="645CBF06" w14:textId="685DA4E4" w:rsidR="00D25F07" w:rsidRPr="00694193" w:rsidRDefault="00D25F07" w:rsidP="00694193">
      <w:pPr>
        <w:pStyle w:val="BodyText"/>
        <w:spacing w:before="240"/>
        <w:rPr>
          <w:rFonts w:eastAsiaTheme="majorEastAsia"/>
          <w:b/>
          <w:bCs/>
          <w:sz w:val="24"/>
          <w:szCs w:val="24"/>
        </w:rPr>
      </w:pPr>
      <w:r w:rsidRPr="00694193">
        <w:rPr>
          <w:rFonts w:eastAsiaTheme="majorEastAsia"/>
          <w:b/>
          <w:bCs/>
          <w:sz w:val="24"/>
          <w:szCs w:val="24"/>
        </w:rPr>
        <w:t>Background</w:t>
      </w:r>
    </w:p>
    <w:p w14:paraId="655589A4" w14:textId="735C351A" w:rsidR="00191296" w:rsidRDefault="00555A5D" w:rsidP="00864499">
      <w:pPr>
        <w:pStyle w:val="BodyText"/>
      </w:pPr>
      <w:r w:rsidRPr="00D25F07">
        <w:t xml:space="preserve">The </w:t>
      </w:r>
      <w:r w:rsidR="00D757F1">
        <w:t xml:space="preserve">Reserve </w:t>
      </w:r>
      <w:r w:rsidRPr="00D25F07">
        <w:t xml:space="preserve">Bank </w:t>
      </w:r>
      <w:r w:rsidR="003810E4">
        <w:t xml:space="preserve">of Australia (Reserve Bank) </w:t>
      </w:r>
      <w:r w:rsidRPr="00D25F07">
        <w:t xml:space="preserve">has the power, under </w:t>
      </w:r>
      <w:r w:rsidR="00EA61EA">
        <w:t>sub</w:t>
      </w:r>
      <w:r w:rsidRPr="00D25F07">
        <w:t>section 827</w:t>
      </w:r>
      <w:proofErr w:type="gramStart"/>
      <w:r w:rsidRPr="00D25F07">
        <w:t>D(</w:t>
      </w:r>
      <w:proofErr w:type="gramEnd"/>
      <w:r w:rsidRPr="00D25F07">
        <w:t xml:space="preserve">1) of the </w:t>
      </w:r>
      <w:r w:rsidR="000D1C9B">
        <w:rPr>
          <w:i/>
        </w:rPr>
        <w:t xml:space="preserve">Corporations </w:t>
      </w:r>
      <w:r w:rsidRPr="000D1C9B">
        <w:rPr>
          <w:i/>
        </w:rPr>
        <w:t>Act</w:t>
      </w:r>
      <w:r w:rsidR="000D1C9B">
        <w:rPr>
          <w:i/>
        </w:rPr>
        <w:t xml:space="preserve"> </w:t>
      </w:r>
      <w:r w:rsidR="000D1C9B" w:rsidRPr="000D1C9B">
        <w:rPr>
          <w:i/>
        </w:rPr>
        <w:t>2001</w:t>
      </w:r>
      <w:r w:rsidR="000D1C9B">
        <w:rPr>
          <w:i/>
        </w:rPr>
        <w:t xml:space="preserve"> </w:t>
      </w:r>
      <w:r w:rsidR="000D1C9B">
        <w:t>(the Act)</w:t>
      </w:r>
      <w:r w:rsidRPr="00D25F07">
        <w:t xml:space="preserve">, to determine </w:t>
      </w:r>
      <w:r w:rsidR="00D757F1">
        <w:t>financial stability standards (</w:t>
      </w:r>
      <w:r w:rsidRPr="00D25F07">
        <w:t>FSSs</w:t>
      </w:r>
      <w:r w:rsidR="00D757F1">
        <w:t>)</w:t>
      </w:r>
      <w:r w:rsidRPr="00D25F07">
        <w:t xml:space="preserve"> for the purpose of ensuring that </w:t>
      </w:r>
      <w:r w:rsidR="00B60DA7">
        <w:t>clearing and settlement (</w:t>
      </w:r>
      <w:r w:rsidRPr="00D25F07">
        <w:t>CS</w:t>
      </w:r>
      <w:r w:rsidR="00B60DA7">
        <w:t>)</w:t>
      </w:r>
      <w:r w:rsidRPr="00D25F07">
        <w:t xml:space="preserve"> </w:t>
      </w:r>
      <w:r w:rsidR="0033774A" w:rsidRPr="00D25F07">
        <w:t>facilit</w:t>
      </w:r>
      <w:r w:rsidR="0033774A">
        <w:t>y</w:t>
      </w:r>
      <w:r w:rsidR="0033774A" w:rsidRPr="00D25F07">
        <w:t xml:space="preserve"> </w:t>
      </w:r>
      <w:r w:rsidR="0033774A">
        <w:t xml:space="preserve">licensees </w:t>
      </w:r>
      <w:r w:rsidRPr="00D25F07">
        <w:t>conduct their affairs in a way that causes or promotes overall stability in the Australian financial system.</w:t>
      </w:r>
      <w:r>
        <w:t xml:space="preserve"> </w:t>
      </w:r>
      <w:r w:rsidRPr="00D25F07">
        <w:t>In accordance with this power, the</w:t>
      </w:r>
      <w:r w:rsidR="00B60DA7">
        <w:t xml:space="preserve"> Reserve</w:t>
      </w:r>
      <w:r w:rsidRPr="00D25F07">
        <w:t xml:space="preserve"> Bank </w:t>
      </w:r>
      <w:r w:rsidR="0033774A">
        <w:t xml:space="preserve">has </w:t>
      </w:r>
      <w:r w:rsidRPr="00D25F07">
        <w:t>determined</w:t>
      </w:r>
      <w:r w:rsidR="00191296">
        <w:t xml:space="preserve"> two sets of</w:t>
      </w:r>
      <w:r w:rsidR="0033774A">
        <w:t xml:space="preserve"> FSSs</w:t>
      </w:r>
      <w:r w:rsidR="00191296">
        <w:t>:</w:t>
      </w:r>
    </w:p>
    <w:p w14:paraId="106B4040" w14:textId="77777777" w:rsidR="00191296" w:rsidRDefault="00191296" w:rsidP="00864499">
      <w:pPr>
        <w:pStyle w:val="ListBullet"/>
        <w:numPr>
          <w:ilvl w:val="0"/>
          <w:numId w:val="3"/>
        </w:numPr>
        <w:spacing w:before="0"/>
        <w:ind w:left="782" w:hanging="425"/>
      </w:pPr>
      <w:r>
        <w:t>the Financial Stability Standards for Central Counterparties (CCP Standards); and</w:t>
      </w:r>
    </w:p>
    <w:p w14:paraId="551932FA" w14:textId="3B4E8DC2" w:rsidR="00555A5D" w:rsidRDefault="00191296" w:rsidP="00864499">
      <w:pPr>
        <w:pStyle w:val="ListBullet"/>
        <w:numPr>
          <w:ilvl w:val="0"/>
          <w:numId w:val="3"/>
        </w:numPr>
        <w:spacing w:before="0"/>
        <w:ind w:left="782" w:hanging="425"/>
      </w:pPr>
      <w:r>
        <w:t>the Financial Stability Standards for Securities Settlement Facilities (SSF Standards)</w:t>
      </w:r>
      <w:r w:rsidR="00924EC5" w:rsidRPr="00864499">
        <w:rPr>
          <w:vertAlign w:val="superscript"/>
        </w:rPr>
        <w:footnoteReference w:id="1"/>
      </w:r>
      <w:r w:rsidR="00D757F1">
        <w:t>.</w:t>
      </w:r>
    </w:p>
    <w:p w14:paraId="42C58CF1" w14:textId="4392E897" w:rsidR="00D25F07" w:rsidRDefault="00191296" w:rsidP="00864499">
      <w:pPr>
        <w:pStyle w:val="BodyText"/>
      </w:pPr>
      <w:r>
        <w:t xml:space="preserve">Each of the CCP Standards and SSF Standards are </w:t>
      </w:r>
      <w:r w:rsidR="007E5F88">
        <w:t>broadly aligned with</w:t>
      </w:r>
      <w:r>
        <w:t xml:space="preserve"> the </w:t>
      </w:r>
      <w:r>
        <w:rPr>
          <w:i/>
        </w:rPr>
        <w:t xml:space="preserve">Principles for Financial Market Infrastructures </w:t>
      </w:r>
      <w:r>
        <w:t xml:space="preserve">(the </w:t>
      </w:r>
      <w:proofErr w:type="gramStart"/>
      <w:r>
        <w:t>Principles</w:t>
      </w:r>
      <w:proofErr w:type="gramEnd"/>
      <w:r>
        <w:t xml:space="preserve">) developed by </w:t>
      </w:r>
      <w:r w:rsidR="00D757F1">
        <w:t>the Committee on Payment and Settlement Systems of the Bank for International Settlements (</w:t>
      </w:r>
      <w:r w:rsidR="00D25F07">
        <w:t>CPSS</w:t>
      </w:r>
      <w:r w:rsidR="00D757F1">
        <w:t>)</w:t>
      </w:r>
      <w:r w:rsidR="00D25F07">
        <w:t xml:space="preserve"> and</w:t>
      </w:r>
      <w:r w:rsidR="00D757F1">
        <w:t xml:space="preserve"> the Technical Committee of the International Organization of Securities Commissions</w:t>
      </w:r>
      <w:r w:rsidR="00D25F07">
        <w:t xml:space="preserve"> </w:t>
      </w:r>
      <w:r w:rsidR="00D757F1">
        <w:t>(</w:t>
      </w:r>
      <w:r w:rsidR="00D25F07">
        <w:t>IOSCO</w:t>
      </w:r>
      <w:r w:rsidR="00D757F1">
        <w:t>)</w:t>
      </w:r>
      <w:r>
        <w:t xml:space="preserve">. The </w:t>
      </w:r>
      <w:proofErr w:type="gramStart"/>
      <w:r>
        <w:t>Principles</w:t>
      </w:r>
      <w:proofErr w:type="gramEnd"/>
      <w:r>
        <w:t xml:space="preserve"> </w:t>
      </w:r>
      <w:r w:rsidR="007E5F88">
        <w:t xml:space="preserve">were released in 2012 and </w:t>
      </w:r>
      <w:r>
        <w:t>are</w:t>
      </w:r>
      <w:r w:rsidR="00D25F07">
        <w:t xml:space="preserve"> a unified and strengthened set of international standards for payment systems, </w:t>
      </w:r>
      <w:r>
        <w:t>central counterparties (</w:t>
      </w:r>
      <w:r w:rsidR="00D25F07">
        <w:t>CCPs</w:t>
      </w:r>
      <w:r>
        <w:t>)</w:t>
      </w:r>
      <w:r w:rsidR="00D25F07">
        <w:t>, securities settlement systems (SSFs), central securities depositories, and trade repositories.</w:t>
      </w:r>
    </w:p>
    <w:p w14:paraId="22B8E27C" w14:textId="654C3F04" w:rsidR="007E5F88" w:rsidRDefault="007E5F88" w:rsidP="00C455C7">
      <w:pPr>
        <w:pStyle w:val="BodyText"/>
      </w:pPr>
      <w:r>
        <w:t>The SSF Standards</w:t>
      </w:r>
      <w:r w:rsidRPr="00D25F07">
        <w:t xml:space="preserve"> </w:t>
      </w:r>
      <w:r>
        <w:t xml:space="preserve">aim </w:t>
      </w:r>
      <w:r w:rsidRPr="00933682">
        <w:t>to ensure that CS facility licensees</w:t>
      </w:r>
      <w:r w:rsidR="00B87BEF">
        <w:t xml:space="preserve"> that operate a SSF</w:t>
      </w:r>
      <w:r w:rsidRPr="00933682">
        <w:t xml:space="preserve"> identify and properly control risks associated with the operation of the </w:t>
      </w:r>
      <w:r>
        <w:t>SSF</w:t>
      </w:r>
      <w:r w:rsidRPr="00933682">
        <w:t xml:space="preserve"> </w:t>
      </w:r>
      <w:proofErr w:type="gramStart"/>
      <w:r w:rsidRPr="00933682">
        <w:t>in order to</w:t>
      </w:r>
      <w:proofErr w:type="gramEnd"/>
      <w:r w:rsidRPr="00933682">
        <w:t xml:space="preserve"> promote overall stability of the Australian financial system</w:t>
      </w:r>
      <w:r>
        <w:t>.</w:t>
      </w:r>
    </w:p>
    <w:p w14:paraId="6F595F29" w14:textId="11ED5870" w:rsidR="008F3AB9" w:rsidRDefault="008F3AB9" w:rsidP="00C455C7">
      <w:pPr>
        <w:pStyle w:val="BodyText"/>
      </w:pPr>
      <w:r w:rsidRPr="008F3AB9">
        <w:lastRenderedPageBreak/>
        <w:t xml:space="preserve">Since 2012, </w:t>
      </w:r>
      <w:r w:rsidR="007E5F88">
        <w:t xml:space="preserve">the </w:t>
      </w:r>
      <w:r w:rsidR="00401EBC">
        <w:t xml:space="preserve">SSF Standards have not applied to </w:t>
      </w:r>
      <w:r w:rsidRPr="008F3AB9">
        <w:t>a CS</w:t>
      </w:r>
      <w:r>
        <w:t xml:space="preserve"> facility licensee</w:t>
      </w:r>
      <w:r w:rsidRPr="008F3AB9">
        <w:t xml:space="preserve"> that operates a</w:t>
      </w:r>
      <w:r>
        <w:t>n</w:t>
      </w:r>
      <w:r w:rsidRPr="008F3AB9">
        <w:t xml:space="preserve"> SSF if the value of financial obligations settled through the SSF in a financial year does not exceed </w:t>
      </w:r>
      <w:r w:rsidR="00185D08">
        <w:t>a</w:t>
      </w:r>
      <w:r>
        <w:t xml:space="preserve"> settlement activity threshold</w:t>
      </w:r>
      <w:r w:rsidR="00185D08">
        <w:t xml:space="preserve"> of $200 million</w:t>
      </w:r>
      <w:r w:rsidRPr="008F3AB9">
        <w:t xml:space="preserve">. </w:t>
      </w:r>
      <w:r w:rsidR="00185D08">
        <w:t>A</w:t>
      </w:r>
      <w:r w:rsidRPr="008F3AB9">
        <w:t xml:space="preserve"> threshold was first introduced in 2005, in recognition of the fact that the activities of small SSFs are unlikely to affect the overall stability of the Australian financial system.</w:t>
      </w:r>
    </w:p>
    <w:p w14:paraId="0862CBEF" w14:textId="3C5655E6" w:rsidR="003F470F" w:rsidRDefault="003F470F" w:rsidP="00C455C7">
      <w:pPr>
        <w:pStyle w:val="BodyText"/>
      </w:pPr>
      <w:r>
        <w:t>In November 2023, the Reserve Bank’s Payment System</w:t>
      </w:r>
      <w:r w:rsidR="007E5F88">
        <w:t xml:space="preserve"> </w:t>
      </w:r>
      <w:r>
        <w:t>Board decided that the settlement activity threshold under the SSF Standards should be reviewed</w:t>
      </w:r>
      <w:r w:rsidR="003D3E7B">
        <w:t>. The Reserve Bank subsequently consulted on a proposal to increase the</w:t>
      </w:r>
      <w:r w:rsidR="00C33B7B">
        <w:t xml:space="preserve"> </w:t>
      </w:r>
      <w:r w:rsidR="00C01C1F">
        <w:t>annual</w:t>
      </w:r>
      <w:r w:rsidR="00C33B7B">
        <w:t xml:space="preserve"> </w:t>
      </w:r>
      <w:r w:rsidR="003D3E7B">
        <w:t>settlement activity threshold</w:t>
      </w:r>
      <w:r w:rsidR="00C01C1F">
        <w:t xml:space="preserve"> value (calculated on a gross basis)</w:t>
      </w:r>
      <w:r w:rsidR="003D3E7B">
        <w:t xml:space="preserve"> from $200 million to $40 billion</w:t>
      </w:r>
      <w:r>
        <w:t>.</w:t>
      </w:r>
    </w:p>
    <w:p w14:paraId="69AAD192" w14:textId="03FDE22D" w:rsidR="001C40F4" w:rsidRDefault="007A2C0C" w:rsidP="00C455C7">
      <w:pPr>
        <w:pStyle w:val="BodyText"/>
      </w:pPr>
      <w:r>
        <w:t>Following consultation</w:t>
      </w:r>
      <w:r w:rsidR="001E7826">
        <w:t>, the</w:t>
      </w:r>
      <w:r>
        <w:t xml:space="preserve"> Reserve Bank has</w:t>
      </w:r>
      <w:r w:rsidR="001E7826">
        <w:t xml:space="preserve"> decided to increase the settlement activity threshold </w:t>
      </w:r>
      <w:r w:rsidR="00C33B7B">
        <w:t xml:space="preserve">value </w:t>
      </w:r>
      <w:r>
        <w:t xml:space="preserve">under </w:t>
      </w:r>
      <w:r w:rsidR="001E7826">
        <w:t xml:space="preserve">the SSF Standards from $200 million to $40 billion. </w:t>
      </w:r>
      <w:r w:rsidR="00185D08">
        <w:t xml:space="preserve">The new threshold is equivalent to around 1 per cent of total annual settlement activity for Australian equity securities and less than 1 per cent of total annual settlement activity for Australian debt securities. </w:t>
      </w:r>
      <w:r w:rsidR="001C40F4">
        <w:t xml:space="preserve">This change was </w:t>
      </w:r>
      <w:r w:rsidR="0073698C">
        <w:t xml:space="preserve">considered </w:t>
      </w:r>
      <w:r w:rsidR="001C40F4">
        <w:t xml:space="preserve">to </w:t>
      </w:r>
      <w:r w:rsidR="001C40F4" w:rsidRPr="001C40F4">
        <w:t>strike a more appropriate balance between the public interest in the management of risks to financial stability and the public interest in avoiding excessive regulatory burden, particularly on small enterprises</w:t>
      </w:r>
      <w:r w:rsidR="0073698C">
        <w:t xml:space="preserve">. </w:t>
      </w:r>
      <w:r>
        <w:t>The Instruments implement the</w:t>
      </w:r>
      <w:r w:rsidR="00C131D4">
        <w:t xml:space="preserve"> Reserve Bank’s decision to increase the</w:t>
      </w:r>
      <w:r w:rsidR="00C33B7B">
        <w:t xml:space="preserve"> value of</w:t>
      </w:r>
      <w:r w:rsidR="00C131D4">
        <w:t xml:space="preserve"> settlement activity threshold under the SSF Standards.</w:t>
      </w:r>
    </w:p>
    <w:p w14:paraId="75AA0488" w14:textId="43953B99" w:rsidR="00C131D4" w:rsidRPr="00C455C7" w:rsidRDefault="00C131D4" w:rsidP="00C455C7">
      <w:pPr>
        <w:pStyle w:val="BodyText"/>
        <w:spacing w:before="240"/>
        <w:rPr>
          <w:rFonts w:eastAsiaTheme="majorEastAsia"/>
          <w:b/>
          <w:bCs/>
          <w:sz w:val="24"/>
          <w:szCs w:val="24"/>
        </w:rPr>
      </w:pPr>
      <w:r w:rsidRPr="00C455C7">
        <w:rPr>
          <w:rFonts w:eastAsiaTheme="majorEastAsia"/>
          <w:b/>
          <w:bCs/>
          <w:sz w:val="24"/>
          <w:szCs w:val="24"/>
        </w:rPr>
        <w:t>Authority</w:t>
      </w:r>
    </w:p>
    <w:p w14:paraId="4A30939A" w14:textId="7A0823E9" w:rsidR="00C131D4" w:rsidRDefault="00133014" w:rsidP="00C455C7">
      <w:pPr>
        <w:pStyle w:val="BodyText"/>
      </w:pPr>
      <w:r>
        <w:t xml:space="preserve">The Revocation </w:t>
      </w:r>
      <w:r w:rsidR="00C6578D">
        <w:t xml:space="preserve">is </w:t>
      </w:r>
      <w:r>
        <w:t>made pursuant to the Reserve Bank’s power under subsection 827</w:t>
      </w:r>
      <w:proofErr w:type="gramStart"/>
      <w:r>
        <w:t>D(</w:t>
      </w:r>
      <w:proofErr w:type="gramEnd"/>
      <w:r>
        <w:t xml:space="preserve">8) of the Act to revoke </w:t>
      </w:r>
      <w:r w:rsidR="00C33B7B">
        <w:t xml:space="preserve">FSSs determined by it under subsection 827D(1) of the Act (including </w:t>
      </w:r>
      <w:r w:rsidR="00041570">
        <w:t>the SSF Standards</w:t>
      </w:r>
      <w:r w:rsidR="00C33B7B">
        <w:t>)</w:t>
      </w:r>
      <w:r>
        <w:t>.</w:t>
      </w:r>
    </w:p>
    <w:p w14:paraId="0A3DE014" w14:textId="25568F31" w:rsidR="00041570" w:rsidRPr="00C455C7" w:rsidRDefault="00041570" w:rsidP="00C455C7">
      <w:pPr>
        <w:pStyle w:val="BodyText"/>
      </w:pPr>
      <w:r>
        <w:t xml:space="preserve">The Determination </w:t>
      </w:r>
      <w:r w:rsidR="00C6578D">
        <w:t xml:space="preserve">is </w:t>
      </w:r>
      <w:r>
        <w:t>made pursuant to the Reserve Bank’s power under subsection 827</w:t>
      </w:r>
      <w:proofErr w:type="gramStart"/>
      <w:r>
        <w:t>D(</w:t>
      </w:r>
      <w:proofErr w:type="gramEnd"/>
      <w:r>
        <w:t>1) of the Act to determine FSS. In accordance with subsection 827D(2)(b) of the Act, FSS</w:t>
      </w:r>
      <w:r w:rsidR="000356FD">
        <w:t>s</w:t>
      </w:r>
      <w:r>
        <w:t xml:space="preserve"> determined by the Reserve Bank may apply to a specified class of CS facility licensees.</w:t>
      </w:r>
    </w:p>
    <w:p w14:paraId="15E41A61" w14:textId="6A37B1B9" w:rsidR="00D25F07" w:rsidRPr="00C455C7" w:rsidRDefault="00D25F07" w:rsidP="00C455C7">
      <w:pPr>
        <w:pStyle w:val="BodyText"/>
        <w:spacing w:before="240"/>
        <w:rPr>
          <w:rFonts w:eastAsiaTheme="majorEastAsia"/>
          <w:b/>
          <w:bCs/>
          <w:sz w:val="24"/>
          <w:szCs w:val="24"/>
        </w:rPr>
      </w:pPr>
      <w:r w:rsidRPr="00C455C7">
        <w:rPr>
          <w:rFonts w:eastAsiaTheme="majorEastAsia"/>
          <w:b/>
          <w:bCs/>
          <w:sz w:val="24"/>
          <w:szCs w:val="24"/>
        </w:rPr>
        <w:t>Purpose and Operation</w:t>
      </w:r>
    </w:p>
    <w:p w14:paraId="35070C8B" w14:textId="2160A42B" w:rsidR="00521DEE" w:rsidRPr="007A5B1E" w:rsidRDefault="00041570" w:rsidP="00C455C7">
      <w:pPr>
        <w:pStyle w:val="BodyText"/>
      </w:pPr>
      <w:r>
        <w:t xml:space="preserve">The </w:t>
      </w:r>
      <w:r w:rsidR="00521DEE">
        <w:t xml:space="preserve">purpose of the Instruments is to implement the Reserve Bank’s decision to increase the </w:t>
      </w:r>
      <w:r w:rsidR="00C01C1F">
        <w:t xml:space="preserve">annual </w:t>
      </w:r>
      <w:r w:rsidR="00C33B7B">
        <w:t xml:space="preserve">settlement </w:t>
      </w:r>
      <w:r w:rsidR="00521DEE">
        <w:t xml:space="preserve">activity threshold under the SSF Standards </w:t>
      </w:r>
      <w:r w:rsidR="006B6F31">
        <w:t>to a value of $40 billion</w:t>
      </w:r>
      <w:r w:rsidR="00C01C1F">
        <w:t xml:space="preserve">, </w:t>
      </w:r>
      <w:r w:rsidR="002813E8">
        <w:t xml:space="preserve">in a manner that is consistent with the technical </w:t>
      </w:r>
      <w:r w:rsidR="002813E8" w:rsidRPr="007A5B1E">
        <w:t>requirements of section 827D of the Act</w:t>
      </w:r>
      <w:r w:rsidR="005A154F" w:rsidRPr="007A5B1E">
        <w:t>.</w:t>
      </w:r>
      <w:r w:rsidR="005A154F" w:rsidRPr="007A5B1E">
        <w:rPr>
          <w:rStyle w:val="FootnoteReference"/>
          <w:bCs/>
        </w:rPr>
        <w:footnoteReference w:id="2"/>
      </w:r>
      <w:r w:rsidR="00521DEE" w:rsidRPr="007A5B1E">
        <w:t xml:space="preserve"> </w:t>
      </w:r>
    </w:p>
    <w:p w14:paraId="0979BA36" w14:textId="17C94E22" w:rsidR="00B87BEF" w:rsidRPr="007A5B1E" w:rsidRDefault="002813E8" w:rsidP="00C455C7">
      <w:pPr>
        <w:pStyle w:val="BodyText"/>
      </w:pPr>
      <w:r w:rsidRPr="007A5B1E">
        <w:t>Under t</w:t>
      </w:r>
      <w:r w:rsidR="00521DEE" w:rsidRPr="007A5B1E">
        <w:t xml:space="preserve">he </w:t>
      </w:r>
      <w:r w:rsidRPr="007A5B1E">
        <w:t xml:space="preserve">Revocation, the Reserve Bank revokes the SSF Standards with effect on </w:t>
      </w:r>
      <w:r w:rsidR="00AE0680" w:rsidRPr="007A5B1E">
        <w:t>24</w:t>
      </w:r>
      <w:r w:rsidR="00B3664D" w:rsidRPr="007A5B1E">
        <w:t xml:space="preserve"> </w:t>
      </w:r>
      <w:r w:rsidRPr="007A5B1E">
        <w:t>June 2024.</w:t>
      </w:r>
    </w:p>
    <w:p w14:paraId="5EA85262" w14:textId="73EF0F55" w:rsidR="00041570" w:rsidRPr="009623C6" w:rsidRDefault="002813E8" w:rsidP="00C455C7">
      <w:pPr>
        <w:pStyle w:val="BodyText"/>
      </w:pPr>
      <w:r w:rsidRPr="007A5B1E">
        <w:t xml:space="preserve">Under the Determination, the Reserve Bank </w:t>
      </w:r>
      <w:r w:rsidR="006B6F31" w:rsidRPr="007A5B1E">
        <w:t xml:space="preserve">determines new FSS that are in the same terms as the SSF Standards, other than the necessary changes to the </w:t>
      </w:r>
      <w:r w:rsidR="00D65E55" w:rsidRPr="007A5B1E">
        <w:t xml:space="preserve">settlement </w:t>
      </w:r>
      <w:r w:rsidR="006B6F31" w:rsidRPr="007A5B1E">
        <w:t xml:space="preserve">activity threshold contained in paragraph (a) of the ‘Introduction’ section </w:t>
      </w:r>
      <w:r w:rsidR="008810C3" w:rsidRPr="007A5B1E">
        <w:t>(New SSF Standards)</w:t>
      </w:r>
      <w:r w:rsidR="006B6F31" w:rsidRPr="007A5B1E">
        <w:t>.</w:t>
      </w:r>
      <w:r w:rsidR="005A154F" w:rsidRPr="007A5B1E">
        <w:rPr>
          <w:rStyle w:val="FootnoteReference"/>
          <w:bCs/>
        </w:rPr>
        <w:footnoteReference w:id="3"/>
      </w:r>
      <w:r w:rsidR="006B6F31" w:rsidRPr="007A5B1E">
        <w:t xml:space="preserve"> </w:t>
      </w:r>
      <w:r w:rsidR="008810C3" w:rsidRPr="007A5B1E">
        <w:t xml:space="preserve">The New SSF Standards come into force on </w:t>
      </w:r>
      <w:r w:rsidR="00AE0680" w:rsidRPr="007A5B1E">
        <w:t>24</w:t>
      </w:r>
      <w:r w:rsidR="00B3664D" w:rsidRPr="007A5B1E">
        <w:t xml:space="preserve"> </w:t>
      </w:r>
      <w:r w:rsidR="008810C3" w:rsidRPr="007A5B1E">
        <w:t>June 2024.</w:t>
      </w:r>
    </w:p>
    <w:p w14:paraId="3573F553" w14:textId="25CE15E0" w:rsidR="00D25F07" w:rsidRPr="00C455C7" w:rsidRDefault="00D25F07" w:rsidP="00C455C7">
      <w:pPr>
        <w:pStyle w:val="BodyText"/>
        <w:spacing w:before="240"/>
        <w:rPr>
          <w:rFonts w:eastAsiaTheme="majorEastAsia"/>
          <w:b/>
          <w:bCs/>
          <w:sz w:val="24"/>
          <w:szCs w:val="24"/>
        </w:rPr>
      </w:pPr>
      <w:r w:rsidRPr="00C455C7">
        <w:rPr>
          <w:rFonts w:eastAsiaTheme="majorEastAsia"/>
          <w:b/>
          <w:bCs/>
          <w:sz w:val="24"/>
          <w:szCs w:val="24"/>
        </w:rPr>
        <w:t>Consultation</w:t>
      </w:r>
    </w:p>
    <w:p w14:paraId="5B43E269" w14:textId="1168449B" w:rsidR="005D223C" w:rsidRDefault="00D25F07" w:rsidP="00C455C7">
      <w:pPr>
        <w:pStyle w:val="BodyText"/>
      </w:pPr>
      <w:r w:rsidRPr="00D25F07">
        <w:t>Under section 827D of the Act</w:t>
      </w:r>
      <w:r w:rsidR="000D1C9B">
        <w:t>,</w:t>
      </w:r>
      <w:r w:rsidRPr="00D25F07">
        <w:t xml:space="preserve"> the </w:t>
      </w:r>
      <w:r w:rsidR="0047280E">
        <w:t xml:space="preserve">Reserve </w:t>
      </w:r>
      <w:r w:rsidRPr="00D25F07">
        <w:t xml:space="preserve">Bank must consult with </w:t>
      </w:r>
      <w:r w:rsidR="0070184B">
        <w:t>the Australian Securities and Investment Commission (</w:t>
      </w:r>
      <w:r w:rsidRPr="00D25F07">
        <w:t>ASIC</w:t>
      </w:r>
      <w:r w:rsidR="0070184B">
        <w:t>)</w:t>
      </w:r>
      <w:r w:rsidRPr="00D25F07">
        <w:t xml:space="preserve"> prior to revoking a</w:t>
      </w:r>
      <w:r w:rsidR="00AC7E4B">
        <w:t>n</w:t>
      </w:r>
      <w:r w:rsidRPr="00D25F07">
        <w:t xml:space="preserve"> FSS, and prior to determining or varying a</w:t>
      </w:r>
      <w:r w:rsidR="00AC7E4B">
        <w:t>n</w:t>
      </w:r>
      <w:r w:rsidRPr="00D25F07">
        <w:t xml:space="preserve"> FSS must consult with ASIC and any CS facility licensees that will be required to comply with the FSS.</w:t>
      </w:r>
      <w:r>
        <w:t xml:space="preserve"> </w:t>
      </w:r>
      <w:r w:rsidR="0070184B">
        <w:t>T</w:t>
      </w:r>
      <w:r w:rsidRPr="00D25F07">
        <w:t xml:space="preserve">he </w:t>
      </w:r>
      <w:r w:rsidR="00CE0062">
        <w:t xml:space="preserve">Reserve </w:t>
      </w:r>
      <w:r w:rsidRPr="00D25F07">
        <w:t xml:space="preserve">Bank </w:t>
      </w:r>
      <w:r w:rsidR="000D44FD">
        <w:t>consulted with</w:t>
      </w:r>
      <w:r w:rsidR="0070184B">
        <w:t xml:space="preserve"> ASIC and</w:t>
      </w:r>
      <w:r w:rsidR="000D44FD">
        <w:t xml:space="preserve"> existing CS facility licensees</w:t>
      </w:r>
      <w:r w:rsidR="0070184B">
        <w:t xml:space="preserve"> in accordance with </w:t>
      </w:r>
      <w:r w:rsidR="009A25CC">
        <w:t xml:space="preserve">these </w:t>
      </w:r>
      <w:r w:rsidR="0070184B">
        <w:t>requirement</w:t>
      </w:r>
      <w:r w:rsidR="009A25CC">
        <w:t>s</w:t>
      </w:r>
      <w:r w:rsidR="000D44FD">
        <w:t>,</w:t>
      </w:r>
      <w:r w:rsidR="0070184B">
        <w:t xml:space="preserve"> </w:t>
      </w:r>
      <w:proofErr w:type="gramStart"/>
      <w:r w:rsidR="0070184B">
        <w:t>and also</w:t>
      </w:r>
      <w:proofErr w:type="gramEnd"/>
      <w:r w:rsidR="0070184B">
        <w:t xml:space="preserve"> with</w:t>
      </w:r>
      <w:r w:rsidR="000D44FD">
        <w:t xml:space="preserve"> potential </w:t>
      </w:r>
      <w:r w:rsidR="0070184B">
        <w:t xml:space="preserve">CS facility licence applicants </w:t>
      </w:r>
      <w:r w:rsidR="000D44FD">
        <w:t>and other stakeholders</w:t>
      </w:r>
      <w:r w:rsidR="009A25CC">
        <w:t xml:space="preserve"> as part of a public consultation process</w:t>
      </w:r>
      <w:r w:rsidR="000D44FD">
        <w:t>.</w:t>
      </w:r>
      <w:r w:rsidR="005D223C" w:rsidRPr="005D223C">
        <w:t xml:space="preserve"> </w:t>
      </w:r>
      <w:r w:rsidR="005D223C">
        <w:t xml:space="preserve">The Reserve Bank’s </w:t>
      </w:r>
      <w:r w:rsidR="009A25CC">
        <w:t xml:space="preserve">consultation paper and </w:t>
      </w:r>
      <w:r w:rsidR="005D223C">
        <w:t>response to consultation is available on the Reserve Bank’s website.</w:t>
      </w:r>
    </w:p>
    <w:p w14:paraId="387D60D7" w14:textId="2AAAC96D" w:rsidR="0057051A" w:rsidRDefault="00B3664D" w:rsidP="00107124">
      <w:pPr>
        <w:pStyle w:val="BodyText"/>
      </w:pPr>
      <w:r>
        <w:t>The Office of Impact Analysis (OIA) was also consulted and advised that an Impact Analysis is not required (</w:t>
      </w:r>
      <w:r w:rsidRPr="00B3664D">
        <w:t>OIA24-06341</w:t>
      </w:r>
      <w:r>
        <w:t>). T</w:t>
      </w:r>
      <w:r w:rsidRPr="00730C09">
        <w:t xml:space="preserve">he </w:t>
      </w:r>
      <w:r w:rsidR="00107124">
        <w:t xml:space="preserve">change in settlement activity threshold value under the SSF Standards </w:t>
      </w:r>
      <w:r w:rsidRPr="00730C09">
        <w:t xml:space="preserve">is </w:t>
      </w:r>
      <w:r w:rsidRPr="00730C09">
        <w:lastRenderedPageBreak/>
        <w:t xml:space="preserve">unlikely to have a more than </w:t>
      </w:r>
      <w:r>
        <w:t xml:space="preserve">a </w:t>
      </w:r>
      <w:r w:rsidRPr="00730C09">
        <w:t xml:space="preserve">minor impact, as </w:t>
      </w:r>
      <w:r>
        <w:t>it</w:t>
      </w:r>
      <w:r w:rsidRPr="00730C09">
        <w:t xml:space="preserve"> </w:t>
      </w:r>
      <w:r>
        <w:t>would</w:t>
      </w:r>
      <w:r w:rsidRPr="00730C09">
        <w:t xml:space="preserve"> remove unnecessary regulatory burden from </w:t>
      </w:r>
      <w:r>
        <w:t xml:space="preserve">operators of </w:t>
      </w:r>
      <w:r w:rsidRPr="00730C09">
        <w:t>small SSFs</w:t>
      </w:r>
      <w:r w:rsidR="00107124">
        <w:t xml:space="preserve">. </w:t>
      </w:r>
    </w:p>
    <w:p w14:paraId="5041C5B5" w14:textId="0C27AD65" w:rsidR="006E2BB6" w:rsidRPr="00D90BED" w:rsidRDefault="006E2BB6" w:rsidP="00D90BED">
      <w:pPr>
        <w:pStyle w:val="BodyText"/>
        <w:spacing w:before="240"/>
        <w:rPr>
          <w:rFonts w:eastAsiaTheme="majorEastAsia"/>
          <w:b/>
          <w:bCs/>
          <w:sz w:val="24"/>
          <w:szCs w:val="24"/>
        </w:rPr>
      </w:pPr>
      <w:r w:rsidRPr="00D90BED">
        <w:rPr>
          <w:rFonts w:eastAsiaTheme="majorEastAsia"/>
          <w:b/>
          <w:bCs/>
          <w:sz w:val="24"/>
          <w:szCs w:val="24"/>
        </w:rPr>
        <w:t>Documents incorporated by reference</w:t>
      </w:r>
      <w:r w:rsidR="003B2590" w:rsidRPr="00D90BED">
        <w:rPr>
          <w:rFonts w:eastAsiaTheme="majorEastAsia"/>
          <w:b/>
          <w:bCs/>
          <w:sz w:val="24"/>
          <w:szCs w:val="24"/>
        </w:rPr>
        <w:t xml:space="preserve"> into the </w:t>
      </w:r>
      <w:proofErr w:type="gramStart"/>
      <w:r w:rsidR="003B2590" w:rsidRPr="00D90BED">
        <w:rPr>
          <w:rFonts w:eastAsiaTheme="majorEastAsia"/>
          <w:b/>
          <w:bCs/>
          <w:sz w:val="24"/>
          <w:szCs w:val="24"/>
        </w:rPr>
        <w:t>Determination</w:t>
      </w:r>
      <w:proofErr w:type="gramEnd"/>
    </w:p>
    <w:p w14:paraId="318964A5" w14:textId="4FBDA4F1" w:rsidR="006E2BB6" w:rsidRDefault="003B2590" w:rsidP="00D90BED">
      <w:pPr>
        <w:pStyle w:val="BodyText"/>
      </w:pPr>
      <w:r>
        <w:t>As is the case under the SSF Standards, sub-standard 18.4 of the New SSF Standards includes the following:</w:t>
      </w:r>
    </w:p>
    <w:p w14:paraId="688DB829" w14:textId="63AF4BA1" w:rsidR="003B2590" w:rsidRDefault="003B2590" w:rsidP="00D90BED">
      <w:pPr>
        <w:pStyle w:val="BodyText"/>
        <w:ind w:left="720"/>
      </w:pPr>
      <w:r>
        <w:t xml:space="preserve">‘A securities settlement facility should complete regularly and disclose publicly responses to the CPSS-IOSCO </w:t>
      </w:r>
      <w:r>
        <w:rPr>
          <w:i/>
          <w:iCs/>
        </w:rPr>
        <w:t>Disclosure Framework for Financial Market Infrastructures</w:t>
      </w:r>
      <w:r>
        <w:t>.</w:t>
      </w:r>
    </w:p>
    <w:p w14:paraId="20E58C89" w14:textId="546AF89F" w:rsidR="003B2590" w:rsidRDefault="00214B14" w:rsidP="00D90BED">
      <w:pPr>
        <w:pStyle w:val="BodyText"/>
      </w:pPr>
      <w:r>
        <w:t>T</w:t>
      </w:r>
      <w:r w:rsidR="00962821">
        <w:t xml:space="preserve">he reference in sub-standard 18.4 to the CPSS-IOSCO </w:t>
      </w:r>
      <w:r w:rsidR="00962821">
        <w:rPr>
          <w:i/>
          <w:iCs/>
        </w:rPr>
        <w:t xml:space="preserve">Disclosure Framework for Financial Market Infrastructures </w:t>
      </w:r>
      <w:r w:rsidR="00962821">
        <w:t xml:space="preserve">is to that document as </w:t>
      </w:r>
      <w:proofErr w:type="gramStart"/>
      <w:r w:rsidR="00962821">
        <w:t>at</w:t>
      </w:r>
      <w:proofErr w:type="gramEnd"/>
      <w:r w:rsidR="00962821">
        <w:t xml:space="preserve"> </w:t>
      </w:r>
      <w:r w:rsidR="00922CEB">
        <w:t>16 April</w:t>
      </w:r>
      <w:r w:rsidR="00C34AE6">
        <w:t xml:space="preserve"> 2012</w:t>
      </w:r>
      <w:r w:rsidR="00962821">
        <w:t xml:space="preserve">. </w:t>
      </w:r>
    </w:p>
    <w:p w14:paraId="0CCBF1B5" w14:textId="334A8A55" w:rsidR="00962821" w:rsidRPr="003342A1" w:rsidRDefault="00962821" w:rsidP="00D90BED">
      <w:pPr>
        <w:pStyle w:val="BodyText"/>
      </w:pPr>
      <w:r>
        <w:t xml:space="preserve">A copy of the CPSS-IOSCO </w:t>
      </w:r>
      <w:r>
        <w:rPr>
          <w:i/>
          <w:iCs/>
        </w:rPr>
        <w:t xml:space="preserve">Disclosure Framework for Financial Market Infrastructures </w:t>
      </w:r>
      <w:r>
        <w:t xml:space="preserve">as </w:t>
      </w:r>
      <w:proofErr w:type="gramStart"/>
      <w:r>
        <w:t>at</w:t>
      </w:r>
      <w:proofErr w:type="gramEnd"/>
      <w:r>
        <w:t xml:space="preserve"> </w:t>
      </w:r>
      <w:r w:rsidR="00C34AE6">
        <w:t>1</w:t>
      </w:r>
      <w:r w:rsidR="00922CEB">
        <w:t>6</w:t>
      </w:r>
      <w:r w:rsidR="00C34AE6">
        <w:t xml:space="preserve"> </w:t>
      </w:r>
      <w:r w:rsidR="00922CEB">
        <w:t>April</w:t>
      </w:r>
      <w:r w:rsidR="00C34AE6">
        <w:t xml:space="preserve"> 2012</w:t>
      </w:r>
      <w:r>
        <w:t xml:space="preserve"> is available at: </w:t>
      </w:r>
      <w:r w:rsidR="006431C4" w:rsidRPr="006431C4">
        <w:t>https://www.bis.org/cpmi/publ/d101c.pdf</w:t>
      </w:r>
      <w:r>
        <w:t xml:space="preserve">. </w:t>
      </w:r>
    </w:p>
    <w:p w14:paraId="267D2749" w14:textId="3DC5E55E" w:rsidR="00C6578D" w:rsidRDefault="00C6578D" w:rsidP="00D90BED">
      <w:pPr>
        <w:pStyle w:val="BodyText"/>
        <w:spacing w:before="240"/>
        <w:rPr>
          <w:rFonts w:eastAsiaTheme="majorEastAsia"/>
          <w:b/>
          <w:bCs/>
          <w:sz w:val="24"/>
          <w:szCs w:val="24"/>
        </w:rPr>
      </w:pPr>
      <w:r>
        <w:rPr>
          <w:rFonts w:eastAsiaTheme="majorEastAsia"/>
          <w:b/>
          <w:bCs/>
          <w:sz w:val="24"/>
          <w:szCs w:val="24"/>
        </w:rPr>
        <w:t xml:space="preserve">Statement of Compatibility with Human Rights </w:t>
      </w:r>
    </w:p>
    <w:p w14:paraId="405DCF74" w14:textId="4DA77E9E" w:rsidR="00C6578D" w:rsidRPr="007A5B1E" w:rsidRDefault="00C6578D" w:rsidP="007A5B1E">
      <w:pPr>
        <w:pStyle w:val="BodyText"/>
      </w:pPr>
      <w:r w:rsidRPr="007A5B1E">
        <w:t xml:space="preserve">A Statement of Compatibility with Human Rights for </w:t>
      </w:r>
      <w:r w:rsidR="00E86F13">
        <w:t xml:space="preserve">each of </w:t>
      </w:r>
      <w:r w:rsidRPr="007A5B1E">
        <w:t>the Instruments is set out in Attachment</w:t>
      </w:r>
      <w:r w:rsidR="00CF30AF">
        <w:t> </w:t>
      </w:r>
      <w:r w:rsidRPr="007A5B1E">
        <w:t>A.</w:t>
      </w:r>
    </w:p>
    <w:p w14:paraId="21F18879" w14:textId="7420B999" w:rsidR="00D25F07" w:rsidRPr="00D90BED" w:rsidRDefault="006E2BB6" w:rsidP="00D90BED">
      <w:pPr>
        <w:pStyle w:val="BodyText"/>
        <w:spacing w:before="240"/>
        <w:rPr>
          <w:rFonts w:eastAsiaTheme="majorEastAsia"/>
          <w:b/>
          <w:bCs/>
          <w:sz w:val="24"/>
          <w:szCs w:val="24"/>
        </w:rPr>
      </w:pPr>
      <w:r w:rsidRPr="00D90BED">
        <w:rPr>
          <w:rFonts w:eastAsiaTheme="majorEastAsia"/>
          <w:b/>
          <w:bCs/>
          <w:sz w:val="24"/>
          <w:szCs w:val="24"/>
        </w:rPr>
        <w:t xml:space="preserve">Consultation and Background </w:t>
      </w:r>
      <w:r w:rsidR="00D25F07" w:rsidRPr="00D90BED">
        <w:rPr>
          <w:rFonts w:eastAsiaTheme="majorEastAsia"/>
          <w:b/>
          <w:bCs/>
          <w:sz w:val="24"/>
          <w:szCs w:val="24"/>
        </w:rPr>
        <w:t xml:space="preserve">Documents </w:t>
      </w:r>
    </w:p>
    <w:p w14:paraId="11935360" w14:textId="659C2E25" w:rsidR="00D90BED" w:rsidRDefault="00D90BED" w:rsidP="00D90BED">
      <w:pPr>
        <w:pStyle w:val="ListBullet"/>
        <w:numPr>
          <w:ilvl w:val="0"/>
          <w:numId w:val="3"/>
        </w:numPr>
        <w:spacing w:before="0"/>
        <w:ind w:left="782" w:hanging="425"/>
      </w:pPr>
      <w:r w:rsidRPr="00D90BED">
        <w:t>Increasing the Threshold for the Application of the Financial Stability</w:t>
      </w:r>
      <w:r w:rsidRPr="005D223C">
        <w:t xml:space="preserve"> Standards for Securities Settlement Facilities: </w:t>
      </w:r>
      <w:r w:rsidR="001B0BF3">
        <w:t>Consultation</w:t>
      </w:r>
      <w:r w:rsidRPr="005D223C">
        <w:t xml:space="preserve"> Paper</w:t>
      </w:r>
      <w:r>
        <w:t xml:space="preserve">, is available on the Reserve Bank’s website at </w:t>
      </w:r>
      <w:hyperlink r:id="rId13" w:history="1">
        <w:r w:rsidR="001B0BF3" w:rsidRPr="001B0BF3">
          <w:rPr>
            <w:rStyle w:val="Hyperlink"/>
          </w:rPr>
          <w:t>https://www.rba.gov.au/publications/consultations/2023-11-increasing-the-fss-threshold-for-sffs/pdf/2023-11-increasing-the-fss-threshold-for-sffs.pdf</w:t>
        </w:r>
      </w:hyperlink>
    </w:p>
    <w:p w14:paraId="1C264883" w14:textId="14A21C17" w:rsidR="005D223C" w:rsidRDefault="005D223C" w:rsidP="00D90BED">
      <w:pPr>
        <w:pStyle w:val="ListBullet"/>
        <w:numPr>
          <w:ilvl w:val="0"/>
          <w:numId w:val="3"/>
        </w:numPr>
        <w:spacing w:before="0"/>
        <w:ind w:left="782" w:hanging="425"/>
      </w:pPr>
      <w:r w:rsidRPr="005D223C">
        <w:t>Increasing the Threshold for the Application of the Financial Stability Standards for Securities Settlement Facilities: Conclusions Paper</w:t>
      </w:r>
      <w:r>
        <w:t xml:space="preserve">, is available on the Reserve Bank’s website at </w:t>
      </w:r>
      <w:hyperlink r:id="rId14" w:history="1">
        <w:r w:rsidR="001B0BF3" w:rsidRPr="001B0BF3">
          <w:rPr>
            <w:rStyle w:val="Hyperlink"/>
          </w:rPr>
          <w:t>https://www.rba.gov.au/publications/consultations/2023-11-increasing-the-fss-threshold-for-sffs/pdf/2023-11-increasing-the-fss-threshold-for-sffs-conclusions-paper.pdf</w:t>
        </w:r>
      </w:hyperlink>
    </w:p>
    <w:p w14:paraId="024F436D" w14:textId="1A00BB20" w:rsidR="00234E3A" w:rsidRPr="00311ED7" w:rsidRDefault="007241C0" w:rsidP="00311ED7">
      <w:pPr>
        <w:pStyle w:val="ListBullet"/>
        <w:numPr>
          <w:ilvl w:val="0"/>
          <w:numId w:val="3"/>
        </w:numPr>
        <w:spacing w:before="0"/>
        <w:ind w:left="782" w:hanging="425"/>
        <w:rPr>
          <w:rStyle w:val="Hyperlink"/>
          <w:color w:val="auto"/>
          <w:u w:val="none"/>
        </w:rPr>
      </w:pPr>
      <w:r>
        <w:t>Regulation Impact Statement from the 201</w:t>
      </w:r>
      <w:r w:rsidR="00794EDF">
        <w:t>2</w:t>
      </w:r>
      <w:r>
        <w:t xml:space="preserve"> changes to the SSF Standards, is available on the Reserve Bank’s website at </w:t>
      </w:r>
      <w:hyperlink r:id="rId15" w:history="1">
        <w:r w:rsidRPr="001B0BF3">
          <w:rPr>
            <w:rStyle w:val="Hyperlink"/>
          </w:rPr>
          <w:t>https://www.rba.gov.au/payments-and-infrastructure/financial-market-infrastructure/clearing-and-settlement-facilities/standards/201212-new-fss-ris/attachment-1.html</w:t>
        </w:r>
      </w:hyperlink>
    </w:p>
    <w:p w14:paraId="154284D9" w14:textId="77777777" w:rsidR="00311ED7" w:rsidRDefault="00311ED7" w:rsidP="00311ED7">
      <w:pPr>
        <w:pStyle w:val="BodyText"/>
      </w:pPr>
    </w:p>
    <w:p w14:paraId="4FE10AC1" w14:textId="77777777" w:rsidR="00311ED7" w:rsidRDefault="00311ED7" w:rsidP="00311ED7">
      <w:pPr>
        <w:pStyle w:val="BodyText"/>
      </w:pPr>
    </w:p>
    <w:p w14:paraId="451DA587" w14:textId="77777777" w:rsidR="00311ED7" w:rsidRDefault="00311ED7" w:rsidP="00311ED7">
      <w:pPr>
        <w:pStyle w:val="BodyText"/>
      </w:pPr>
    </w:p>
    <w:p w14:paraId="25F33008" w14:textId="77777777" w:rsidR="004358C8" w:rsidRDefault="004358C8" w:rsidP="00682EAE">
      <w:pPr>
        <w:pStyle w:val="BodyText"/>
        <w:spacing w:after="240"/>
      </w:pPr>
    </w:p>
    <w:p w14:paraId="29555C99" w14:textId="42CD4E24" w:rsidR="004D29F1" w:rsidRDefault="002B30CB" w:rsidP="002B30CB">
      <w:pPr>
        <w:pStyle w:val="BodyText"/>
        <w:jc w:val="left"/>
      </w:pPr>
      <w:r>
        <w:t>Michele Bullock</w:t>
      </w:r>
      <w:r>
        <w:br/>
        <w:t>Governor</w:t>
      </w:r>
    </w:p>
    <w:p w14:paraId="1678A40A" w14:textId="0E608EDD" w:rsidR="00234E3A" w:rsidRDefault="00234E3A" w:rsidP="00311ED7">
      <w:pPr>
        <w:pStyle w:val="BodyText"/>
      </w:pPr>
      <w:r>
        <w:t>Approved by the Reserve Bank of Australia</w:t>
      </w:r>
    </w:p>
    <w:p w14:paraId="64E53B0A" w14:textId="6054E7F5" w:rsidR="00234E3A" w:rsidRDefault="004D29F1" w:rsidP="00311ED7">
      <w:pPr>
        <w:pStyle w:val="BodyText"/>
      </w:pPr>
      <w:r w:rsidRPr="004D29F1">
        <w:t>13 June 2024</w:t>
      </w:r>
    </w:p>
    <w:p w14:paraId="3D2F67FE" w14:textId="5EDC31E2" w:rsidR="00107124" w:rsidRDefault="00107124" w:rsidP="00311ED7">
      <w:pPr>
        <w:pStyle w:val="BodyText"/>
        <w:rPr>
          <w:highlight w:val="yellow"/>
        </w:rPr>
      </w:pPr>
      <w:r>
        <w:rPr>
          <w:highlight w:val="yellow"/>
        </w:rPr>
        <w:br w:type="page"/>
      </w:r>
    </w:p>
    <w:p w14:paraId="407289D0" w14:textId="7260EC24" w:rsidR="00107124" w:rsidRDefault="00107124" w:rsidP="00107124">
      <w:pPr>
        <w:pStyle w:val="BodyText"/>
        <w:spacing w:before="240"/>
        <w:rPr>
          <w:rFonts w:eastAsiaTheme="majorEastAsia"/>
          <w:b/>
          <w:bCs/>
          <w:sz w:val="24"/>
          <w:szCs w:val="24"/>
        </w:rPr>
      </w:pPr>
      <w:r w:rsidRPr="00107124">
        <w:rPr>
          <w:rFonts w:eastAsiaTheme="majorEastAsia"/>
          <w:b/>
          <w:bCs/>
          <w:sz w:val="24"/>
          <w:szCs w:val="24"/>
        </w:rPr>
        <w:lastRenderedPageBreak/>
        <w:t>ATTACHMENT A</w:t>
      </w:r>
    </w:p>
    <w:p w14:paraId="0D79D11C" w14:textId="77777777" w:rsidR="00107124" w:rsidRPr="00C9327B" w:rsidRDefault="00107124" w:rsidP="00107124">
      <w:pPr>
        <w:pStyle w:val="BodyText"/>
        <w:spacing w:before="240"/>
        <w:jc w:val="center"/>
        <w:rPr>
          <w:rFonts w:eastAsiaTheme="majorEastAsia" w:cstheme="minorHAnsi"/>
          <w:b/>
          <w:bCs/>
          <w:sz w:val="24"/>
          <w:szCs w:val="24"/>
        </w:rPr>
      </w:pPr>
      <w:r w:rsidRPr="00C9327B">
        <w:rPr>
          <w:rFonts w:eastAsiaTheme="majorEastAsia" w:cstheme="minorHAnsi"/>
          <w:b/>
          <w:bCs/>
          <w:sz w:val="24"/>
          <w:szCs w:val="24"/>
        </w:rPr>
        <w:t>Statement of Compatibility with Human Rights</w:t>
      </w:r>
    </w:p>
    <w:p w14:paraId="1557CC95" w14:textId="77777777" w:rsidR="00107124" w:rsidRPr="00C9327B" w:rsidRDefault="00107124" w:rsidP="00165A9E">
      <w:pPr>
        <w:spacing w:before="120" w:after="120"/>
        <w:jc w:val="center"/>
        <w:rPr>
          <w:rFonts w:asciiTheme="minorHAnsi" w:hAnsiTheme="minorHAnsi" w:cstheme="minorHAnsi"/>
          <w:sz w:val="22"/>
          <w:szCs w:val="22"/>
        </w:rPr>
      </w:pPr>
      <w:r w:rsidRPr="00C9327B">
        <w:rPr>
          <w:rFonts w:asciiTheme="minorHAnsi" w:hAnsiTheme="minorHAnsi" w:cstheme="minorHAnsi"/>
          <w:i/>
          <w:sz w:val="22"/>
          <w:szCs w:val="22"/>
        </w:rPr>
        <w:t>Prepared in accordance with Part 3 of the Human Rights (Parliamentary Scrutiny) Act 2011</w:t>
      </w:r>
    </w:p>
    <w:p w14:paraId="64502673" w14:textId="77777777" w:rsidR="00107124" w:rsidRPr="00C9327B" w:rsidRDefault="00107124" w:rsidP="00165A9E">
      <w:pPr>
        <w:spacing w:before="120" w:after="120"/>
        <w:jc w:val="center"/>
        <w:rPr>
          <w:rFonts w:asciiTheme="minorHAnsi" w:hAnsiTheme="minorHAnsi" w:cstheme="minorHAnsi"/>
          <w:sz w:val="24"/>
          <w:szCs w:val="24"/>
        </w:rPr>
      </w:pPr>
    </w:p>
    <w:p w14:paraId="317622A5" w14:textId="27784C44" w:rsidR="00C9327B" w:rsidRPr="00CF30AF" w:rsidRDefault="00C9327B" w:rsidP="00C9327B">
      <w:pPr>
        <w:spacing w:before="120" w:after="120"/>
        <w:jc w:val="center"/>
        <w:rPr>
          <w:rFonts w:asciiTheme="minorHAnsi" w:hAnsiTheme="minorHAnsi" w:cstheme="minorHAnsi"/>
          <w:b/>
          <w:sz w:val="24"/>
          <w:szCs w:val="24"/>
        </w:rPr>
      </w:pPr>
      <w:r w:rsidRPr="00C9327B">
        <w:rPr>
          <w:rFonts w:asciiTheme="minorHAnsi" w:hAnsiTheme="minorHAnsi" w:cstheme="minorHAnsi"/>
          <w:b/>
          <w:sz w:val="24"/>
          <w:szCs w:val="24"/>
        </w:rPr>
        <w:t>Financial Stability Standards for Securities Settlement Facilities</w:t>
      </w:r>
      <w:r>
        <w:rPr>
          <w:rFonts w:asciiTheme="minorHAnsi" w:hAnsiTheme="minorHAnsi" w:cstheme="minorHAnsi"/>
          <w:b/>
          <w:sz w:val="24"/>
          <w:szCs w:val="24"/>
        </w:rPr>
        <w:t xml:space="preserve"> </w:t>
      </w:r>
      <w:r w:rsidRPr="00C9327B">
        <w:rPr>
          <w:rFonts w:asciiTheme="minorHAnsi" w:hAnsiTheme="minorHAnsi" w:cstheme="minorHAnsi"/>
          <w:b/>
          <w:sz w:val="24"/>
          <w:szCs w:val="24"/>
        </w:rPr>
        <w:t>Revocation 2024</w:t>
      </w:r>
      <w:r w:rsidR="00CF30AF">
        <w:rPr>
          <w:rFonts w:asciiTheme="minorHAnsi" w:hAnsiTheme="minorHAnsi" w:cstheme="minorHAnsi"/>
          <w:b/>
          <w:sz w:val="24"/>
          <w:szCs w:val="24"/>
        </w:rPr>
        <w:t xml:space="preserve"> </w:t>
      </w:r>
    </w:p>
    <w:p w14:paraId="026F10EF" w14:textId="1C1BCF5D" w:rsidR="00C9327B" w:rsidRPr="00C9327B" w:rsidRDefault="00C9327B" w:rsidP="00C9327B">
      <w:pPr>
        <w:spacing w:before="120" w:after="120"/>
        <w:jc w:val="center"/>
        <w:rPr>
          <w:rFonts w:asciiTheme="minorHAnsi" w:hAnsiTheme="minorHAnsi" w:cstheme="minorHAnsi"/>
          <w:b/>
          <w:sz w:val="24"/>
          <w:szCs w:val="24"/>
        </w:rPr>
      </w:pPr>
      <w:r w:rsidRPr="00C9327B">
        <w:rPr>
          <w:rFonts w:asciiTheme="minorHAnsi" w:hAnsiTheme="minorHAnsi" w:cstheme="minorHAnsi"/>
          <w:b/>
          <w:sz w:val="24"/>
          <w:szCs w:val="24"/>
        </w:rPr>
        <w:t>Financial Stability Standards for Securities Settlement Facilities Determination 2024</w:t>
      </w:r>
    </w:p>
    <w:p w14:paraId="3922A86B" w14:textId="77777777" w:rsidR="00107124" w:rsidRPr="00C9327B" w:rsidRDefault="00107124" w:rsidP="00165A9E">
      <w:pPr>
        <w:spacing w:before="120" w:after="120"/>
        <w:jc w:val="center"/>
        <w:rPr>
          <w:rFonts w:asciiTheme="minorHAnsi" w:hAnsiTheme="minorHAnsi" w:cstheme="minorHAnsi"/>
          <w:sz w:val="24"/>
          <w:szCs w:val="24"/>
        </w:rPr>
      </w:pPr>
    </w:p>
    <w:p w14:paraId="01A3ED69" w14:textId="2EF981B8" w:rsidR="00107124" w:rsidRPr="00C9327B" w:rsidRDefault="0054507A" w:rsidP="00C9327B">
      <w:pPr>
        <w:spacing w:before="120" w:after="120"/>
        <w:rPr>
          <w:rFonts w:asciiTheme="minorHAnsi" w:hAnsiTheme="minorHAnsi" w:cstheme="minorHAnsi"/>
          <w:sz w:val="22"/>
          <w:szCs w:val="22"/>
        </w:rPr>
      </w:pPr>
      <w:r>
        <w:rPr>
          <w:rFonts w:asciiTheme="minorHAnsi" w:hAnsiTheme="minorHAnsi" w:cstheme="minorHAnsi"/>
          <w:sz w:val="22"/>
          <w:szCs w:val="22"/>
        </w:rPr>
        <w:t>Each of these</w:t>
      </w:r>
      <w:r w:rsidRPr="00C9327B">
        <w:rPr>
          <w:rFonts w:asciiTheme="minorHAnsi" w:hAnsiTheme="minorHAnsi" w:cstheme="minorHAnsi"/>
          <w:sz w:val="22"/>
          <w:szCs w:val="22"/>
        </w:rPr>
        <w:t xml:space="preserve"> </w:t>
      </w:r>
      <w:r w:rsidR="00107124" w:rsidRPr="00C9327B">
        <w:rPr>
          <w:rFonts w:asciiTheme="minorHAnsi" w:hAnsiTheme="minorHAnsi" w:cstheme="minorHAnsi"/>
          <w:sz w:val="22"/>
          <w:szCs w:val="22"/>
        </w:rPr>
        <w:t>Disallowable Legislative Instrument</w:t>
      </w:r>
      <w:r>
        <w:rPr>
          <w:rFonts w:asciiTheme="minorHAnsi" w:hAnsiTheme="minorHAnsi" w:cstheme="minorHAnsi"/>
          <w:sz w:val="22"/>
          <w:szCs w:val="22"/>
        </w:rPr>
        <w:t>s</w:t>
      </w:r>
      <w:r w:rsidR="00107124" w:rsidRPr="00C9327B">
        <w:rPr>
          <w:rFonts w:asciiTheme="minorHAnsi" w:hAnsiTheme="minorHAnsi" w:cstheme="minorHAnsi"/>
          <w:sz w:val="22"/>
          <w:szCs w:val="22"/>
        </w:rPr>
        <w:t xml:space="preserve"> is compatible with the human rights and freedoms recognised or declared in the international instruments listed in section 3 of the </w:t>
      </w:r>
      <w:r w:rsidR="00107124" w:rsidRPr="00C9327B">
        <w:rPr>
          <w:rFonts w:asciiTheme="minorHAnsi" w:hAnsiTheme="minorHAnsi" w:cstheme="minorHAnsi"/>
          <w:i/>
          <w:sz w:val="22"/>
          <w:szCs w:val="22"/>
        </w:rPr>
        <w:t>Human Rights (Parliamentary Scrutiny) Act 2011</w:t>
      </w:r>
      <w:r w:rsidR="00107124" w:rsidRPr="00C9327B">
        <w:rPr>
          <w:rFonts w:asciiTheme="minorHAnsi" w:hAnsiTheme="minorHAnsi" w:cstheme="minorHAnsi"/>
          <w:sz w:val="22"/>
          <w:szCs w:val="22"/>
        </w:rPr>
        <w:t>.</w:t>
      </w:r>
    </w:p>
    <w:p w14:paraId="518117D6" w14:textId="1FA223FB" w:rsidR="00107124" w:rsidRPr="00C9327B" w:rsidRDefault="00107124" w:rsidP="00C9327B">
      <w:pPr>
        <w:pStyle w:val="BodyText"/>
        <w:spacing w:before="240"/>
        <w:rPr>
          <w:rFonts w:eastAsiaTheme="majorEastAsia"/>
          <w:b/>
          <w:bCs/>
          <w:sz w:val="24"/>
          <w:szCs w:val="24"/>
        </w:rPr>
      </w:pPr>
      <w:r w:rsidRPr="00C9327B">
        <w:rPr>
          <w:rFonts w:eastAsiaTheme="majorEastAsia"/>
          <w:b/>
          <w:bCs/>
          <w:sz w:val="24"/>
          <w:szCs w:val="24"/>
        </w:rPr>
        <w:t>Overview of the Disallowable Legislative Instrument</w:t>
      </w:r>
      <w:r w:rsidR="0054507A">
        <w:rPr>
          <w:rFonts w:eastAsiaTheme="majorEastAsia"/>
          <w:b/>
          <w:bCs/>
          <w:sz w:val="24"/>
          <w:szCs w:val="24"/>
        </w:rPr>
        <w:t>s</w:t>
      </w:r>
    </w:p>
    <w:p w14:paraId="539467AD" w14:textId="0353CF4B" w:rsidR="00C9327B" w:rsidRPr="00C9327B" w:rsidRDefault="00C9327B" w:rsidP="00D40E12">
      <w:pPr>
        <w:spacing w:before="120" w:after="120"/>
        <w:rPr>
          <w:rFonts w:asciiTheme="minorHAnsi" w:hAnsiTheme="minorHAnsi" w:cstheme="minorHAnsi"/>
          <w:sz w:val="22"/>
          <w:szCs w:val="22"/>
        </w:rPr>
      </w:pPr>
      <w:r w:rsidRPr="00C9327B">
        <w:rPr>
          <w:rFonts w:asciiTheme="minorHAnsi" w:hAnsiTheme="minorHAnsi" w:cstheme="minorHAnsi"/>
          <w:sz w:val="22"/>
          <w:szCs w:val="22"/>
        </w:rPr>
        <w:t>On 10 December 2012, the Reserve Bank determined the Financial Stability Standards</w:t>
      </w:r>
      <w:r w:rsidR="00F13283">
        <w:rPr>
          <w:rFonts w:asciiTheme="minorHAnsi" w:hAnsiTheme="minorHAnsi" w:cstheme="minorHAnsi"/>
          <w:sz w:val="22"/>
          <w:szCs w:val="22"/>
        </w:rPr>
        <w:t xml:space="preserve"> (FSS)</w:t>
      </w:r>
      <w:r w:rsidRPr="00C9327B">
        <w:rPr>
          <w:rFonts w:asciiTheme="minorHAnsi" w:hAnsiTheme="minorHAnsi" w:cstheme="minorHAnsi"/>
          <w:sz w:val="22"/>
          <w:szCs w:val="22"/>
        </w:rPr>
        <w:t xml:space="preserve"> for Securities Settlement Facilities (SSF Standards) for the purpose of ensuring that clearing and settlement (CS) facility licensees that operate a securities settlement facility (SSF) conduct their affairs in a way that causes or promotes overall stability in the Australian financial system. The SSF Standards comprise a set of detailed standards and sub-standards that aim to ensure that CS facility licensees identify and properly control risks associated with the operation of the SSF. The SSF Standards also aim to ensure that Australian regulators have appropriate influence over cross-border CS facilities.</w:t>
      </w:r>
    </w:p>
    <w:p w14:paraId="12110531" w14:textId="3A614BA1" w:rsidR="00CF30AF" w:rsidRPr="00F13283" w:rsidRDefault="00F13283" w:rsidP="00D40E12">
      <w:pPr>
        <w:spacing w:before="120" w:after="120"/>
        <w:rPr>
          <w:rFonts w:asciiTheme="minorHAnsi" w:hAnsiTheme="minorHAnsi" w:cstheme="minorHAnsi"/>
          <w:sz w:val="22"/>
          <w:szCs w:val="22"/>
        </w:rPr>
      </w:pPr>
      <w:r>
        <w:rPr>
          <w:rFonts w:asciiTheme="minorHAnsi" w:hAnsiTheme="minorHAnsi" w:cstheme="minorHAnsi"/>
          <w:sz w:val="22"/>
          <w:szCs w:val="22"/>
        </w:rPr>
        <w:t>Under t</w:t>
      </w:r>
      <w:r w:rsidR="00CF30AF">
        <w:rPr>
          <w:rFonts w:asciiTheme="minorHAnsi" w:hAnsiTheme="minorHAnsi" w:cstheme="minorHAnsi"/>
          <w:sz w:val="22"/>
          <w:szCs w:val="22"/>
        </w:rPr>
        <w:t xml:space="preserve">he </w:t>
      </w:r>
      <w:r w:rsidR="00CF30AF" w:rsidRPr="007A5B1E">
        <w:rPr>
          <w:rFonts w:asciiTheme="minorHAnsi" w:hAnsiTheme="minorHAnsi" w:cstheme="minorHAnsi"/>
          <w:i/>
          <w:iCs/>
          <w:sz w:val="22"/>
          <w:szCs w:val="22"/>
        </w:rPr>
        <w:t>Financial Stability Standards</w:t>
      </w:r>
      <w:r>
        <w:rPr>
          <w:rFonts w:asciiTheme="minorHAnsi" w:hAnsiTheme="minorHAnsi" w:cstheme="minorHAnsi"/>
          <w:i/>
          <w:iCs/>
          <w:sz w:val="22"/>
          <w:szCs w:val="22"/>
        </w:rPr>
        <w:t xml:space="preserve"> for Securities Settlement Facilities Revocation 2024 </w:t>
      </w:r>
      <w:r>
        <w:rPr>
          <w:rFonts w:asciiTheme="minorHAnsi" w:hAnsiTheme="minorHAnsi" w:cstheme="minorHAnsi"/>
          <w:sz w:val="22"/>
          <w:szCs w:val="22"/>
        </w:rPr>
        <w:t xml:space="preserve">(the Revocation), the Reserve Bank revokes the SSF Standards with effect on 24 June 2024. Under the </w:t>
      </w:r>
      <w:r w:rsidRPr="002227BC">
        <w:rPr>
          <w:rFonts w:asciiTheme="minorHAnsi" w:hAnsiTheme="minorHAnsi" w:cstheme="minorHAnsi"/>
          <w:i/>
          <w:iCs/>
          <w:sz w:val="22"/>
          <w:szCs w:val="22"/>
        </w:rPr>
        <w:t>Financial Stability Standards</w:t>
      </w:r>
      <w:r>
        <w:rPr>
          <w:rFonts w:asciiTheme="minorHAnsi" w:hAnsiTheme="minorHAnsi" w:cstheme="minorHAnsi"/>
          <w:i/>
          <w:iCs/>
          <w:sz w:val="22"/>
          <w:szCs w:val="22"/>
        </w:rPr>
        <w:t xml:space="preserve"> for Securities Settlement Facilities Determination 2024 </w:t>
      </w:r>
      <w:r>
        <w:rPr>
          <w:rFonts w:asciiTheme="minorHAnsi" w:hAnsiTheme="minorHAnsi" w:cstheme="minorHAnsi"/>
          <w:sz w:val="22"/>
          <w:szCs w:val="22"/>
        </w:rPr>
        <w:t>(the Determination), the Reserve Bank determines new FSS for SSFs that will come into force on 24 June 2024 (the New SSF Standards).</w:t>
      </w:r>
    </w:p>
    <w:p w14:paraId="7F8FEA6F" w14:textId="38DCBEB6" w:rsidR="00C9327B" w:rsidRPr="00C9327B" w:rsidRDefault="00C9327B" w:rsidP="00D40E12">
      <w:pPr>
        <w:spacing w:before="120" w:after="120"/>
        <w:rPr>
          <w:rFonts w:asciiTheme="minorHAnsi" w:hAnsiTheme="minorHAnsi" w:cstheme="minorHAnsi"/>
          <w:sz w:val="22"/>
          <w:szCs w:val="22"/>
        </w:rPr>
      </w:pPr>
      <w:r w:rsidRPr="00C9327B">
        <w:rPr>
          <w:rFonts w:asciiTheme="minorHAnsi" w:hAnsiTheme="minorHAnsi" w:cstheme="minorHAnsi"/>
          <w:sz w:val="22"/>
          <w:szCs w:val="22"/>
        </w:rPr>
        <w:t xml:space="preserve">The purpose of the </w:t>
      </w:r>
      <w:r w:rsidR="00F13283">
        <w:rPr>
          <w:rFonts w:asciiTheme="minorHAnsi" w:hAnsiTheme="minorHAnsi" w:cstheme="minorHAnsi"/>
          <w:sz w:val="22"/>
          <w:szCs w:val="22"/>
        </w:rPr>
        <w:t>R</w:t>
      </w:r>
      <w:r w:rsidRPr="00C9327B">
        <w:rPr>
          <w:rFonts w:asciiTheme="minorHAnsi" w:hAnsiTheme="minorHAnsi" w:cstheme="minorHAnsi"/>
          <w:sz w:val="22"/>
          <w:szCs w:val="22"/>
        </w:rPr>
        <w:t xml:space="preserve">evocation </w:t>
      </w:r>
      <w:r>
        <w:rPr>
          <w:rFonts w:asciiTheme="minorHAnsi" w:hAnsiTheme="minorHAnsi" w:cstheme="minorHAnsi"/>
          <w:sz w:val="22"/>
          <w:szCs w:val="22"/>
        </w:rPr>
        <w:t xml:space="preserve">and </w:t>
      </w:r>
      <w:r w:rsidRPr="00C9327B">
        <w:rPr>
          <w:rFonts w:asciiTheme="minorHAnsi" w:hAnsiTheme="minorHAnsi" w:cstheme="minorHAnsi"/>
          <w:sz w:val="22"/>
          <w:szCs w:val="22"/>
        </w:rPr>
        <w:t xml:space="preserve">the </w:t>
      </w:r>
      <w:r w:rsidR="00F13283">
        <w:rPr>
          <w:rFonts w:asciiTheme="minorHAnsi" w:hAnsiTheme="minorHAnsi" w:cstheme="minorHAnsi"/>
          <w:sz w:val="22"/>
          <w:szCs w:val="22"/>
        </w:rPr>
        <w:t>D</w:t>
      </w:r>
      <w:r w:rsidRPr="00C9327B">
        <w:rPr>
          <w:rFonts w:asciiTheme="minorHAnsi" w:hAnsiTheme="minorHAnsi" w:cstheme="minorHAnsi"/>
          <w:sz w:val="22"/>
          <w:szCs w:val="22"/>
        </w:rPr>
        <w:t xml:space="preserve">etermination is to implement the Reserve Bank’s decision to increase the annual settlement activity threshold under the SSF Standards </w:t>
      </w:r>
      <w:r w:rsidR="00F13283">
        <w:rPr>
          <w:rFonts w:asciiTheme="minorHAnsi" w:hAnsiTheme="minorHAnsi" w:cstheme="minorHAnsi"/>
          <w:sz w:val="22"/>
          <w:szCs w:val="22"/>
        </w:rPr>
        <w:t xml:space="preserve">from a value of $200 million </w:t>
      </w:r>
      <w:r w:rsidRPr="00C9327B">
        <w:rPr>
          <w:rFonts w:asciiTheme="minorHAnsi" w:hAnsiTheme="minorHAnsi" w:cstheme="minorHAnsi"/>
          <w:sz w:val="22"/>
          <w:szCs w:val="22"/>
        </w:rPr>
        <w:t xml:space="preserve">to a value of $40 billion, in a manner that is consistent with the technical requirements of section 827D of the </w:t>
      </w:r>
      <w:r w:rsidRPr="00922CEB">
        <w:rPr>
          <w:rFonts w:asciiTheme="minorHAnsi" w:hAnsiTheme="minorHAnsi" w:cstheme="minorHAnsi"/>
          <w:i/>
          <w:iCs/>
          <w:sz w:val="22"/>
          <w:szCs w:val="22"/>
        </w:rPr>
        <w:t>Corporations Act 2001</w:t>
      </w:r>
      <w:r w:rsidRPr="00C9327B">
        <w:rPr>
          <w:rFonts w:asciiTheme="minorHAnsi" w:hAnsiTheme="minorHAnsi" w:cstheme="minorHAnsi"/>
          <w:sz w:val="22"/>
          <w:szCs w:val="22"/>
        </w:rPr>
        <w:t>.</w:t>
      </w:r>
    </w:p>
    <w:p w14:paraId="4DC65E69" w14:textId="21AC43B4" w:rsidR="00107124" w:rsidRPr="00C9327B" w:rsidRDefault="00107124" w:rsidP="00926F65">
      <w:pPr>
        <w:spacing w:before="120" w:after="120"/>
        <w:rPr>
          <w:rFonts w:asciiTheme="minorHAnsi" w:hAnsiTheme="minorHAnsi" w:cstheme="minorHAnsi"/>
          <w:sz w:val="22"/>
          <w:szCs w:val="22"/>
        </w:rPr>
      </w:pPr>
      <w:r w:rsidRPr="00C9327B">
        <w:rPr>
          <w:rFonts w:asciiTheme="minorHAnsi" w:hAnsiTheme="minorHAnsi" w:cstheme="minorHAnsi"/>
          <w:sz w:val="22"/>
          <w:szCs w:val="22"/>
        </w:rPr>
        <w:t>The settlement activity threshold, in effect, exempts CS facility licensees that operate an SSF from the SSF Standards if the value of financial obligations settled through the SSF in a financial year do not exceed the specified threshold value. This change was considered to strike a more appropriate balance between the public interest in the management of risks to financial stability and the public interest in avoiding excessive regulatory burden, particularly on small enterprises.</w:t>
      </w:r>
    </w:p>
    <w:p w14:paraId="4E20BBC2" w14:textId="77777777" w:rsidR="00107124" w:rsidRPr="00C9327B" w:rsidRDefault="00107124" w:rsidP="00926F65">
      <w:pPr>
        <w:spacing w:before="120" w:after="120"/>
        <w:rPr>
          <w:rFonts w:asciiTheme="minorHAnsi" w:hAnsiTheme="minorHAnsi" w:cstheme="minorHAnsi"/>
          <w:sz w:val="22"/>
          <w:szCs w:val="22"/>
        </w:rPr>
      </w:pPr>
      <w:r w:rsidRPr="00C9327B">
        <w:rPr>
          <w:rFonts w:asciiTheme="minorHAnsi" w:hAnsiTheme="minorHAnsi" w:cstheme="minorHAnsi"/>
          <w:sz w:val="22"/>
          <w:szCs w:val="22"/>
        </w:rPr>
        <w:t xml:space="preserve">The New SSF Standards are in the same terms as the SSF Standards, other than the necessary changes to the settlement activity threshold in paragraph (a) of the ‘Introduction’ section. </w:t>
      </w:r>
    </w:p>
    <w:p w14:paraId="58CFE49B" w14:textId="77777777" w:rsidR="00107124" w:rsidRPr="00C9327B" w:rsidRDefault="00107124" w:rsidP="00C9327B">
      <w:pPr>
        <w:pStyle w:val="BodyText"/>
        <w:spacing w:before="240"/>
        <w:rPr>
          <w:rFonts w:eastAsiaTheme="majorEastAsia"/>
          <w:b/>
          <w:bCs/>
          <w:sz w:val="24"/>
          <w:szCs w:val="24"/>
        </w:rPr>
      </w:pPr>
      <w:r w:rsidRPr="00C9327B">
        <w:rPr>
          <w:rFonts w:eastAsiaTheme="majorEastAsia"/>
          <w:b/>
          <w:bCs/>
          <w:sz w:val="24"/>
          <w:szCs w:val="24"/>
        </w:rPr>
        <w:t>Human rights implications</w:t>
      </w:r>
    </w:p>
    <w:p w14:paraId="3A81F410" w14:textId="456A7B10" w:rsidR="00107124" w:rsidRPr="00C9327B" w:rsidRDefault="007443A1" w:rsidP="00165A9E">
      <w:pPr>
        <w:spacing w:before="120" w:after="120"/>
        <w:rPr>
          <w:rFonts w:asciiTheme="minorHAnsi" w:hAnsiTheme="minorHAnsi" w:cstheme="minorHAnsi"/>
          <w:sz w:val="22"/>
          <w:szCs w:val="22"/>
        </w:rPr>
      </w:pPr>
      <w:r>
        <w:rPr>
          <w:rFonts w:asciiTheme="minorHAnsi" w:hAnsiTheme="minorHAnsi" w:cstheme="minorHAnsi"/>
          <w:sz w:val="22"/>
          <w:szCs w:val="22"/>
        </w:rPr>
        <w:t>The Revocation and the Determination</w:t>
      </w:r>
      <w:r w:rsidR="00107124" w:rsidRPr="00C9327B">
        <w:rPr>
          <w:rFonts w:asciiTheme="minorHAnsi" w:hAnsiTheme="minorHAnsi" w:cstheme="minorHAnsi"/>
          <w:sz w:val="22"/>
          <w:szCs w:val="22"/>
        </w:rPr>
        <w:t xml:space="preserve"> do not engage any of the applicable rights or freedoms.</w:t>
      </w:r>
    </w:p>
    <w:p w14:paraId="1E4DA554" w14:textId="77777777" w:rsidR="00107124" w:rsidRPr="00C9327B" w:rsidRDefault="00107124" w:rsidP="00C9327B">
      <w:pPr>
        <w:pStyle w:val="BodyText"/>
        <w:spacing w:before="240"/>
        <w:rPr>
          <w:rFonts w:eastAsiaTheme="majorEastAsia"/>
          <w:b/>
          <w:bCs/>
          <w:sz w:val="24"/>
          <w:szCs w:val="24"/>
        </w:rPr>
      </w:pPr>
      <w:r w:rsidRPr="00C9327B">
        <w:rPr>
          <w:rFonts w:eastAsiaTheme="majorEastAsia"/>
          <w:b/>
          <w:bCs/>
          <w:sz w:val="24"/>
          <w:szCs w:val="24"/>
        </w:rPr>
        <w:t>Conclusion</w:t>
      </w:r>
    </w:p>
    <w:p w14:paraId="0E8D68EF" w14:textId="785B4DEA" w:rsidR="00107124" w:rsidRPr="00C9327B" w:rsidRDefault="007443A1" w:rsidP="00C9327B">
      <w:pPr>
        <w:spacing w:before="120" w:after="120"/>
        <w:rPr>
          <w:rFonts w:asciiTheme="minorHAnsi" w:hAnsiTheme="minorHAnsi" w:cstheme="minorHAnsi"/>
          <w:sz w:val="22"/>
          <w:szCs w:val="22"/>
        </w:rPr>
      </w:pPr>
      <w:r>
        <w:rPr>
          <w:rFonts w:asciiTheme="minorHAnsi" w:hAnsiTheme="minorHAnsi" w:cstheme="minorHAnsi"/>
          <w:sz w:val="22"/>
          <w:szCs w:val="22"/>
        </w:rPr>
        <w:t>Each of the Revocation and the Determination</w:t>
      </w:r>
      <w:r w:rsidR="00107124" w:rsidRPr="00C9327B">
        <w:rPr>
          <w:rFonts w:asciiTheme="minorHAnsi" w:hAnsiTheme="minorHAnsi" w:cstheme="minorHAnsi"/>
          <w:sz w:val="22"/>
          <w:szCs w:val="22"/>
        </w:rPr>
        <w:t xml:space="preserve"> is compatible with human rights as it does not raise any human rights issues.</w:t>
      </w:r>
    </w:p>
    <w:sectPr w:rsidR="00107124" w:rsidRPr="00C9327B">
      <w:headerReference w:type="even" r:id="rId16"/>
      <w:headerReference w:type="default" r:id="rId17"/>
      <w:footerReference w:type="even" r:id="rId18"/>
      <w:footerReference w:type="default" r:id="rId19"/>
      <w:headerReference w:type="first" r:id="rId20"/>
      <w:footerReference w:type="first" r:id="rId21"/>
      <w:pgSz w:w="11907" w:h="16840" w:code="9"/>
      <w:pgMar w:top="1134" w:right="1418" w:bottom="709" w:left="141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4C86" w14:textId="77777777" w:rsidR="00D506F7" w:rsidRDefault="00D506F7">
      <w:pPr>
        <w:spacing w:after="0"/>
      </w:pPr>
      <w:r>
        <w:separator/>
      </w:r>
    </w:p>
  </w:endnote>
  <w:endnote w:type="continuationSeparator" w:id="0">
    <w:p w14:paraId="0DEC69C0" w14:textId="77777777" w:rsidR="00D506F7" w:rsidRDefault="00D50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D998" w14:textId="77777777" w:rsidR="00794EDF" w:rsidRDefault="0079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4FB" w14:textId="77777777" w:rsidR="00794EDF" w:rsidRDefault="0079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19B4" w14:textId="77777777" w:rsidR="00794EDF" w:rsidRDefault="0079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A464" w14:textId="77777777" w:rsidR="00D506F7" w:rsidRDefault="00D506F7">
      <w:pPr>
        <w:spacing w:after="0"/>
      </w:pPr>
      <w:r>
        <w:separator/>
      </w:r>
    </w:p>
  </w:footnote>
  <w:footnote w:type="continuationSeparator" w:id="0">
    <w:p w14:paraId="4757016A" w14:textId="77777777" w:rsidR="00D506F7" w:rsidRDefault="00D506F7">
      <w:pPr>
        <w:spacing w:after="0"/>
      </w:pPr>
      <w:r>
        <w:continuationSeparator/>
      </w:r>
    </w:p>
  </w:footnote>
  <w:footnote w:id="1">
    <w:p w14:paraId="71D86023" w14:textId="7D1C0F73" w:rsidR="00924EC5" w:rsidRPr="00C455C7" w:rsidRDefault="00924EC5" w:rsidP="00C455C7">
      <w:pPr>
        <w:pStyle w:val="FootnoteText"/>
        <w:keepLines/>
        <w:tabs>
          <w:tab w:val="left" w:pos="284"/>
        </w:tabs>
        <w:ind w:left="284" w:hanging="284"/>
        <w:jc w:val="both"/>
        <w:rPr>
          <w:rFonts w:asciiTheme="minorHAnsi" w:eastAsiaTheme="minorEastAsia" w:hAnsiTheme="minorHAnsi" w:cstheme="minorBidi"/>
          <w:sz w:val="18"/>
          <w:lang w:val="en-GB" w:eastAsia="en-GB"/>
        </w:rPr>
      </w:pPr>
      <w:r w:rsidRPr="00C455C7">
        <w:rPr>
          <w:rFonts w:asciiTheme="minorHAnsi" w:eastAsiaTheme="minorEastAsia" w:hAnsiTheme="minorHAnsi" w:cstheme="minorBidi"/>
          <w:sz w:val="18"/>
          <w:lang w:val="en-GB" w:eastAsia="en-GB"/>
        </w:rPr>
        <w:footnoteRef/>
      </w:r>
      <w:r w:rsidR="00C455C7">
        <w:rPr>
          <w:rFonts w:asciiTheme="minorHAnsi" w:eastAsiaTheme="minorEastAsia" w:hAnsiTheme="minorHAnsi" w:cstheme="minorBidi"/>
          <w:sz w:val="18"/>
          <w:lang w:val="en-GB" w:eastAsia="en-GB"/>
        </w:rPr>
        <w:tab/>
      </w:r>
      <w:r w:rsidRPr="00C455C7">
        <w:rPr>
          <w:rFonts w:asciiTheme="minorHAnsi" w:eastAsiaTheme="minorEastAsia" w:hAnsiTheme="minorHAnsi" w:cstheme="minorBidi"/>
          <w:sz w:val="18"/>
          <w:lang w:val="en-GB" w:eastAsia="en-GB"/>
        </w:rPr>
        <w:t>To assist CS facility licensees in the interpretation and application of the SSF Standards, and the Reserve Bank’s approach to assessing compliance with the SSF Standards, the Reserve Bank has issued associated guidance. This guidance is available on the Reserve Bank’s website at</w:t>
      </w:r>
      <w:r w:rsidR="005624F8">
        <w:rPr>
          <w:rFonts w:asciiTheme="minorHAnsi" w:eastAsiaTheme="minorEastAsia" w:hAnsiTheme="minorHAnsi" w:cstheme="minorBidi"/>
          <w:sz w:val="18"/>
          <w:lang w:val="en-GB" w:eastAsia="en-GB"/>
        </w:rPr>
        <w:t xml:space="preserve"> </w:t>
      </w:r>
      <w:hyperlink r:id="rId1" w:history="1">
        <w:r w:rsidR="005624F8" w:rsidRPr="00426A8C">
          <w:rPr>
            <w:rStyle w:val="Hyperlink"/>
            <w:rFonts w:asciiTheme="minorHAnsi" w:eastAsiaTheme="minorEastAsia" w:hAnsiTheme="minorHAnsi" w:cstheme="minorBidi"/>
            <w:sz w:val="18"/>
            <w:lang w:val="en-GB" w:eastAsia="en-GB"/>
          </w:rPr>
          <w:t>https://www.rba.gov.au/payments-and-infrastructure/financial-market-infrastructure/clearing-and-settlement-facilities/standards</w:t>
        </w:r>
      </w:hyperlink>
      <w:r w:rsidR="005624F8">
        <w:rPr>
          <w:rFonts w:asciiTheme="minorHAnsi" w:eastAsiaTheme="minorEastAsia" w:hAnsiTheme="minorHAnsi" w:cstheme="minorBidi"/>
          <w:sz w:val="18"/>
          <w:lang w:val="en-GB" w:eastAsia="en-GB"/>
        </w:rPr>
        <w:t>.</w:t>
      </w:r>
    </w:p>
  </w:footnote>
  <w:footnote w:id="2">
    <w:p w14:paraId="34A4CED3" w14:textId="17823254" w:rsidR="005A154F" w:rsidRPr="00C455C7" w:rsidRDefault="005A154F" w:rsidP="00C455C7">
      <w:pPr>
        <w:pStyle w:val="FootnoteText"/>
        <w:keepLines/>
        <w:tabs>
          <w:tab w:val="left" w:pos="284"/>
        </w:tabs>
        <w:ind w:left="284" w:hanging="284"/>
        <w:jc w:val="both"/>
        <w:rPr>
          <w:rFonts w:asciiTheme="minorHAnsi" w:eastAsiaTheme="minorEastAsia" w:hAnsiTheme="minorHAnsi" w:cstheme="minorBidi"/>
          <w:sz w:val="18"/>
          <w:lang w:val="en-GB" w:eastAsia="en-GB"/>
        </w:rPr>
      </w:pPr>
      <w:r w:rsidRPr="00C455C7">
        <w:rPr>
          <w:rFonts w:asciiTheme="minorHAnsi" w:eastAsiaTheme="minorEastAsia" w:hAnsiTheme="minorHAnsi" w:cstheme="minorBidi"/>
          <w:sz w:val="18"/>
          <w:lang w:val="en-GB" w:eastAsia="en-GB"/>
        </w:rPr>
        <w:footnoteRef/>
      </w:r>
      <w:r w:rsidR="00C455C7">
        <w:rPr>
          <w:rFonts w:asciiTheme="minorHAnsi" w:eastAsiaTheme="minorEastAsia" w:hAnsiTheme="minorHAnsi" w:cstheme="minorBidi"/>
          <w:sz w:val="18"/>
          <w:lang w:val="en-GB" w:eastAsia="en-GB"/>
        </w:rPr>
        <w:tab/>
      </w:r>
      <w:r w:rsidRPr="00C455C7">
        <w:rPr>
          <w:rFonts w:asciiTheme="minorHAnsi" w:eastAsiaTheme="minorEastAsia" w:hAnsiTheme="minorHAnsi" w:cstheme="minorBidi"/>
          <w:sz w:val="18"/>
          <w:lang w:val="en-GB" w:eastAsia="en-GB"/>
        </w:rPr>
        <w:t>Changing the activity threshold under the SSF Standards requires a change to t</w:t>
      </w:r>
      <w:r w:rsidR="00C33B7B" w:rsidRPr="00C455C7">
        <w:rPr>
          <w:rFonts w:asciiTheme="minorHAnsi" w:eastAsiaTheme="minorEastAsia" w:hAnsiTheme="minorHAnsi" w:cstheme="minorBidi"/>
          <w:sz w:val="18"/>
          <w:lang w:val="en-GB" w:eastAsia="en-GB"/>
        </w:rPr>
        <w:t>he</w:t>
      </w:r>
      <w:r w:rsidRPr="00C455C7">
        <w:rPr>
          <w:rFonts w:asciiTheme="minorHAnsi" w:eastAsiaTheme="minorEastAsia" w:hAnsiTheme="minorHAnsi" w:cstheme="minorBidi"/>
          <w:sz w:val="18"/>
          <w:lang w:val="en-GB" w:eastAsia="en-GB"/>
        </w:rPr>
        <w:t xml:space="preserve"> </w:t>
      </w:r>
      <w:r w:rsidR="00C33B7B" w:rsidRPr="00C455C7">
        <w:rPr>
          <w:rFonts w:asciiTheme="minorHAnsi" w:eastAsiaTheme="minorEastAsia" w:hAnsiTheme="minorHAnsi" w:cstheme="minorBidi"/>
          <w:sz w:val="18"/>
          <w:lang w:val="en-GB" w:eastAsia="en-GB"/>
        </w:rPr>
        <w:t xml:space="preserve">specified </w:t>
      </w:r>
      <w:r w:rsidRPr="00C455C7">
        <w:rPr>
          <w:rFonts w:asciiTheme="minorHAnsi" w:eastAsiaTheme="minorEastAsia" w:hAnsiTheme="minorHAnsi" w:cstheme="minorBidi"/>
          <w:sz w:val="18"/>
          <w:lang w:val="en-GB" w:eastAsia="en-GB"/>
        </w:rPr>
        <w:t>class of CS facility licensees to which the SSF Standards</w:t>
      </w:r>
      <w:r w:rsidR="00C33B7B" w:rsidRPr="00C455C7">
        <w:rPr>
          <w:rFonts w:asciiTheme="minorHAnsi" w:eastAsiaTheme="minorEastAsia" w:hAnsiTheme="minorHAnsi" w:cstheme="minorBidi"/>
          <w:sz w:val="18"/>
          <w:lang w:val="en-GB" w:eastAsia="en-GB"/>
        </w:rPr>
        <w:t xml:space="preserve"> </w:t>
      </w:r>
      <w:r w:rsidRPr="00C455C7">
        <w:rPr>
          <w:rFonts w:asciiTheme="minorHAnsi" w:eastAsiaTheme="minorEastAsia" w:hAnsiTheme="minorHAnsi" w:cstheme="minorBidi"/>
          <w:sz w:val="18"/>
          <w:lang w:val="en-GB" w:eastAsia="en-GB"/>
        </w:rPr>
        <w:t>apply.</w:t>
      </w:r>
    </w:p>
  </w:footnote>
  <w:footnote w:id="3">
    <w:p w14:paraId="76223788" w14:textId="24AB63BD" w:rsidR="005A154F" w:rsidRPr="00C455C7" w:rsidRDefault="005A154F" w:rsidP="00C455C7">
      <w:pPr>
        <w:pStyle w:val="FootnoteText"/>
        <w:keepLines/>
        <w:tabs>
          <w:tab w:val="left" w:pos="284"/>
        </w:tabs>
        <w:ind w:left="284" w:hanging="284"/>
        <w:jc w:val="both"/>
        <w:rPr>
          <w:rFonts w:asciiTheme="minorHAnsi" w:eastAsiaTheme="minorEastAsia" w:hAnsiTheme="minorHAnsi" w:cstheme="minorBidi"/>
          <w:sz w:val="18"/>
          <w:lang w:val="en-GB" w:eastAsia="en-GB"/>
        </w:rPr>
      </w:pPr>
      <w:r w:rsidRPr="00C455C7">
        <w:rPr>
          <w:rFonts w:asciiTheme="minorHAnsi" w:eastAsiaTheme="minorEastAsia" w:hAnsiTheme="minorHAnsi" w:cstheme="minorBidi"/>
          <w:sz w:val="18"/>
          <w:lang w:val="en-GB" w:eastAsia="en-GB"/>
        </w:rPr>
        <w:footnoteRef/>
      </w:r>
      <w:r w:rsidR="00C455C7">
        <w:rPr>
          <w:rFonts w:asciiTheme="minorHAnsi" w:eastAsiaTheme="minorEastAsia" w:hAnsiTheme="minorHAnsi" w:cstheme="minorBidi"/>
          <w:sz w:val="18"/>
          <w:lang w:val="en-GB" w:eastAsia="en-GB"/>
        </w:rPr>
        <w:tab/>
      </w:r>
      <w:r w:rsidRPr="00C455C7">
        <w:rPr>
          <w:rFonts w:asciiTheme="minorHAnsi" w:eastAsiaTheme="minorEastAsia" w:hAnsiTheme="minorHAnsi" w:cstheme="minorBidi"/>
          <w:sz w:val="18"/>
          <w:lang w:val="en-GB" w:eastAsia="en-GB"/>
        </w:rPr>
        <w:t xml:space="preserve">The relevant changes are specified in section 2.4 of the </w:t>
      </w:r>
      <w:hyperlink r:id="rId2" w:history="1">
        <w:r w:rsidR="00CD28A2" w:rsidRPr="002E7C86">
          <w:rPr>
            <w:rFonts w:asciiTheme="minorHAnsi" w:eastAsiaTheme="minorEastAsia" w:hAnsiTheme="minorHAnsi" w:cstheme="minorBidi"/>
            <w:color w:val="0000FF"/>
            <w:sz w:val="18"/>
            <w:u w:val="single"/>
            <w:lang w:val="en-GB" w:eastAsia="en-GB"/>
          </w:rPr>
          <w:t>Increasing the Threshold for the Application of the Financial Stability Standards for Securities Settlement Facilities: Conclusions Paper</w:t>
        </w:r>
      </w:hyperlink>
      <w:r w:rsidR="00CD28A2" w:rsidRPr="00C455C7">
        <w:rPr>
          <w:rFonts w:asciiTheme="minorHAnsi" w:eastAsiaTheme="minorEastAsia" w:hAnsiTheme="minorHAnsi" w:cstheme="minorBidi"/>
          <w:sz w:val="18"/>
          <w:lang w:val="en-GB"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37F4" w14:textId="1629B18F" w:rsidR="00C979E2" w:rsidRDefault="003238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B1E">
      <w:rPr>
        <w:rStyle w:val="PageNumber"/>
        <w:noProof/>
      </w:rPr>
      <w:t>1</w:t>
    </w:r>
    <w:r>
      <w:rPr>
        <w:rStyle w:val="PageNumber"/>
      </w:rPr>
      <w:fldChar w:fldCharType="end"/>
    </w:r>
  </w:p>
  <w:p w14:paraId="6052615B" w14:textId="77777777" w:rsidR="00C979E2" w:rsidRDefault="00C97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4976" w14:textId="72433F99" w:rsidR="00C979E2" w:rsidRDefault="00323823">
    <w:pPr>
      <w:pStyle w:val="Header"/>
      <w:jc w:val="center"/>
    </w:pPr>
    <w:r>
      <w:rPr>
        <w:rStyle w:val="PageNumber"/>
      </w:rPr>
      <w:fldChar w:fldCharType="begin"/>
    </w:r>
    <w:r>
      <w:rPr>
        <w:rStyle w:val="PageNumber"/>
      </w:rPr>
      <w:instrText xml:space="preserve"> PAGE </w:instrText>
    </w:r>
    <w:r>
      <w:rPr>
        <w:rStyle w:val="PageNumber"/>
      </w:rPr>
      <w:fldChar w:fldCharType="separate"/>
    </w:r>
    <w:r w:rsidR="00FE72F6">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4FA0" w14:textId="1B3F0AA3" w:rsidR="00794EDF" w:rsidRDefault="0079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06F1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A4DDE"/>
    <w:multiLevelType w:val="hybridMultilevel"/>
    <w:tmpl w:val="11788E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3AB4A5B"/>
    <w:multiLevelType w:val="hybridMultilevel"/>
    <w:tmpl w:val="A630E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B1513"/>
    <w:multiLevelType w:val="hybridMultilevel"/>
    <w:tmpl w:val="695A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6395846">
    <w:abstractNumId w:val="3"/>
  </w:num>
  <w:num w:numId="2" w16cid:durableId="332992329">
    <w:abstractNumId w:val="2"/>
  </w:num>
  <w:num w:numId="3" w16cid:durableId="1755668756">
    <w:abstractNumId w:val="1"/>
  </w:num>
  <w:num w:numId="4" w16cid:durableId="121585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Code" w:val="02"/>
    <w:docVar w:name="CountryCode" w:val="61"/>
    <w:docVar w:name="DepartmentID" w:val="26"/>
    <w:docVar w:name="FirstPage" w:val="Blank"/>
    <w:docVar w:name="OtherPages" w:val="Blank"/>
  </w:docVars>
  <w:rsids>
    <w:rsidRoot w:val="00D25F07"/>
    <w:rsid w:val="00002421"/>
    <w:rsid w:val="00024BA6"/>
    <w:rsid w:val="000356FD"/>
    <w:rsid w:val="00037A4F"/>
    <w:rsid w:val="00041570"/>
    <w:rsid w:val="000527B1"/>
    <w:rsid w:val="00056B3E"/>
    <w:rsid w:val="00067E15"/>
    <w:rsid w:val="00087C91"/>
    <w:rsid w:val="00092C86"/>
    <w:rsid w:val="000932A2"/>
    <w:rsid w:val="000A69F5"/>
    <w:rsid w:val="000B73EA"/>
    <w:rsid w:val="000D1C9B"/>
    <w:rsid w:val="000D44FD"/>
    <w:rsid w:val="00107124"/>
    <w:rsid w:val="00126951"/>
    <w:rsid w:val="00133014"/>
    <w:rsid w:val="00145C2C"/>
    <w:rsid w:val="00145EE4"/>
    <w:rsid w:val="00185D08"/>
    <w:rsid w:val="00191296"/>
    <w:rsid w:val="00193C32"/>
    <w:rsid w:val="001B0BF3"/>
    <w:rsid w:val="001B463B"/>
    <w:rsid w:val="001C1CD3"/>
    <w:rsid w:val="001C40F4"/>
    <w:rsid w:val="001C5344"/>
    <w:rsid w:val="001E0916"/>
    <w:rsid w:val="001E4178"/>
    <w:rsid w:val="001E7826"/>
    <w:rsid w:val="001F0FE1"/>
    <w:rsid w:val="00214B14"/>
    <w:rsid w:val="00224D5C"/>
    <w:rsid w:val="00227B53"/>
    <w:rsid w:val="00234E3A"/>
    <w:rsid w:val="00236144"/>
    <w:rsid w:val="002455FE"/>
    <w:rsid w:val="002813E8"/>
    <w:rsid w:val="002A698F"/>
    <w:rsid w:val="002B30CB"/>
    <w:rsid w:val="002C5114"/>
    <w:rsid w:val="002E7C86"/>
    <w:rsid w:val="002F727F"/>
    <w:rsid w:val="00300E0F"/>
    <w:rsid w:val="00305865"/>
    <w:rsid w:val="00311ED7"/>
    <w:rsid w:val="003172E2"/>
    <w:rsid w:val="00323823"/>
    <w:rsid w:val="003342A1"/>
    <w:rsid w:val="0033774A"/>
    <w:rsid w:val="00355A79"/>
    <w:rsid w:val="00357656"/>
    <w:rsid w:val="003810E4"/>
    <w:rsid w:val="003B07DE"/>
    <w:rsid w:val="003B2590"/>
    <w:rsid w:val="003C062B"/>
    <w:rsid w:val="003D3E7B"/>
    <w:rsid w:val="003F470F"/>
    <w:rsid w:val="00401EBC"/>
    <w:rsid w:val="00420751"/>
    <w:rsid w:val="00422F0D"/>
    <w:rsid w:val="004358C8"/>
    <w:rsid w:val="004719B0"/>
    <w:rsid w:val="0047280E"/>
    <w:rsid w:val="004847E3"/>
    <w:rsid w:val="00497975"/>
    <w:rsid w:val="004C4A2E"/>
    <w:rsid w:val="004C6A64"/>
    <w:rsid w:val="004D29F1"/>
    <w:rsid w:val="004F0758"/>
    <w:rsid w:val="00521DEE"/>
    <w:rsid w:val="0052573B"/>
    <w:rsid w:val="0054507A"/>
    <w:rsid w:val="00555A5D"/>
    <w:rsid w:val="005573FE"/>
    <w:rsid w:val="005624F8"/>
    <w:rsid w:val="0057051A"/>
    <w:rsid w:val="00594584"/>
    <w:rsid w:val="005A154F"/>
    <w:rsid w:val="005D223C"/>
    <w:rsid w:val="005D239C"/>
    <w:rsid w:val="005E28C9"/>
    <w:rsid w:val="006278A8"/>
    <w:rsid w:val="006431C4"/>
    <w:rsid w:val="006659A0"/>
    <w:rsid w:val="00674B8B"/>
    <w:rsid w:val="00682EAE"/>
    <w:rsid w:val="00694193"/>
    <w:rsid w:val="006B6F31"/>
    <w:rsid w:val="006C31D9"/>
    <w:rsid w:val="006E2BB6"/>
    <w:rsid w:val="0070184B"/>
    <w:rsid w:val="007241C0"/>
    <w:rsid w:val="00726769"/>
    <w:rsid w:val="00730C09"/>
    <w:rsid w:val="0073698C"/>
    <w:rsid w:val="007443A1"/>
    <w:rsid w:val="0074488D"/>
    <w:rsid w:val="00751E57"/>
    <w:rsid w:val="007628BF"/>
    <w:rsid w:val="00767BF0"/>
    <w:rsid w:val="00770277"/>
    <w:rsid w:val="00794EDF"/>
    <w:rsid w:val="007A2C0C"/>
    <w:rsid w:val="007A5B1E"/>
    <w:rsid w:val="007D2452"/>
    <w:rsid w:val="007D4433"/>
    <w:rsid w:val="007E5F88"/>
    <w:rsid w:val="008462B2"/>
    <w:rsid w:val="00864499"/>
    <w:rsid w:val="008724A8"/>
    <w:rsid w:val="008747EB"/>
    <w:rsid w:val="008810C3"/>
    <w:rsid w:val="008C1FD9"/>
    <w:rsid w:val="008C2CE5"/>
    <w:rsid w:val="008D104D"/>
    <w:rsid w:val="008F3AB9"/>
    <w:rsid w:val="008F5D45"/>
    <w:rsid w:val="00922CEB"/>
    <w:rsid w:val="00924EC5"/>
    <w:rsid w:val="00933682"/>
    <w:rsid w:val="0093534C"/>
    <w:rsid w:val="00952577"/>
    <w:rsid w:val="009623C6"/>
    <w:rsid w:val="00962821"/>
    <w:rsid w:val="00994E49"/>
    <w:rsid w:val="009956DD"/>
    <w:rsid w:val="009A25CC"/>
    <w:rsid w:val="009C022A"/>
    <w:rsid w:val="009E4369"/>
    <w:rsid w:val="009F22C7"/>
    <w:rsid w:val="00A004E5"/>
    <w:rsid w:val="00A359E7"/>
    <w:rsid w:val="00A51078"/>
    <w:rsid w:val="00A62616"/>
    <w:rsid w:val="00A65481"/>
    <w:rsid w:val="00A75E86"/>
    <w:rsid w:val="00A94702"/>
    <w:rsid w:val="00AC67F6"/>
    <w:rsid w:val="00AC7E4B"/>
    <w:rsid w:val="00AE0680"/>
    <w:rsid w:val="00AE2B58"/>
    <w:rsid w:val="00B17681"/>
    <w:rsid w:val="00B17776"/>
    <w:rsid w:val="00B3664D"/>
    <w:rsid w:val="00B51C6A"/>
    <w:rsid w:val="00B60DA7"/>
    <w:rsid w:val="00B65E43"/>
    <w:rsid w:val="00B87BEF"/>
    <w:rsid w:val="00BB5841"/>
    <w:rsid w:val="00BC67D8"/>
    <w:rsid w:val="00BD1BA3"/>
    <w:rsid w:val="00C01C1F"/>
    <w:rsid w:val="00C131D4"/>
    <w:rsid w:val="00C2090A"/>
    <w:rsid w:val="00C33B47"/>
    <w:rsid w:val="00C33B7B"/>
    <w:rsid w:val="00C34AE6"/>
    <w:rsid w:val="00C35424"/>
    <w:rsid w:val="00C455C7"/>
    <w:rsid w:val="00C50A37"/>
    <w:rsid w:val="00C6578D"/>
    <w:rsid w:val="00C66D7A"/>
    <w:rsid w:val="00C75950"/>
    <w:rsid w:val="00C9327B"/>
    <w:rsid w:val="00C979E2"/>
    <w:rsid w:val="00CB01D1"/>
    <w:rsid w:val="00CD28A2"/>
    <w:rsid w:val="00CE0062"/>
    <w:rsid w:val="00CF30AF"/>
    <w:rsid w:val="00D018B0"/>
    <w:rsid w:val="00D25F07"/>
    <w:rsid w:val="00D506F7"/>
    <w:rsid w:val="00D65E55"/>
    <w:rsid w:val="00D757F1"/>
    <w:rsid w:val="00D83DC5"/>
    <w:rsid w:val="00D90BED"/>
    <w:rsid w:val="00DA6E15"/>
    <w:rsid w:val="00DB39ED"/>
    <w:rsid w:val="00DD0717"/>
    <w:rsid w:val="00DD1293"/>
    <w:rsid w:val="00DE7754"/>
    <w:rsid w:val="00E00386"/>
    <w:rsid w:val="00E37743"/>
    <w:rsid w:val="00E3781C"/>
    <w:rsid w:val="00E86F13"/>
    <w:rsid w:val="00EA61EA"/>
    <w:rsid w:val="00ED0736"/>
    <w:rsid w:val="00ED4F74"/>
    <w:rsid w:val="00F028F6"/>
    <w:rsid w:val="00F058B3"/>
    <w:rsid w:val="00F070F0"/>
    <w:rsid w:val="00F13283"/>
    <w:rsid w:val="00F634A8"/>
    <w:rsid w:val="00F65EBB"/>
    <w:rsid w:val="00FE7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498D6"/>
  <w15:docId w15:val="{7F84A613-AE36-4E93-B384-87162A87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6"/>
      <w:lang w:eastAsia="en-US"/>
    </w:rPr>
  </w:style>
  <w:style w:type="paragraph" w:styleId="Heading1">
    <w:name w:val="heading 1"/>
    <w:basedOn w:val="BaseHeading"/>
    <w:next w:val="Indent0"/>
    <w:link w:val="Heading1Char"/>
    <w:uiPriority w:val="9"/>
    <w:qFormat/>
    <w:pPr>
      <w:outlineLvl w:val="0"/>
    </w:pPr>
    <w:rPr>
      <w:caps/>
    </w:rPr>
  </w:style>
  <w:style w:type="paragraph" w:styleId="Heading2">
    <w:name w:val="heading 2"/>
    <w:basedOn w:val="BaseHeading"/>
    <w:next w:val="Indent0"/>
    <w:link w:val="Heading2Char"/>
    <w:uiPriority w:val="9"/>
    <w:qFormat/>
    <w:pPr>
      <w:outlineLvl w:val="1"/>
    </w:pPr>
  </w:style>
  <w:style w:type="paragraph" w:styleId="Heading3">
    <w:name w:val="heading 3"/>
    <w:basedOn w:val="BaseHeading"/>
    <w:next w:val="Indent0"/>
    <w:link w:val="Heading3Char"/>
    <w:uiPriority w:val="9"/>
    <w:qFormat/>
    <w:pPr>
      <w:outlineLvl w:val="2"/>
    </w:pPr>
  </w:style>
  <w:style w:type="paragraph" w:styleId="Heading4">
    <w:name w:val="heading 4"/>
    <w:basedOn w:val="BaseHeading"/>
    <w:next w:val="Indent0"/>
    <w:qFormat/>
    <w:pPr>
      <w:outlineLvl w:val="3"/>
    </w:pPr>
  </w:style>
  <w:style w:type="paragraph" w:styleId="Heading5">
    <w:name w:val="heading 5"/>
    <w:basedOn w:val="BaseHeading"/>
    <w:next w:val="Indent0"/>
    <w:qFormat/>
    <w:pPr>
      <w:outlineLvl w:val="4"/>
    </w:pPr>
  </w:style>
  <w:style w:type="paragraph" w:styleId="Heading6">
    <w:name w:val="heading 6"/>
    <w:basedOn w:val="BaseHeading"/>
    <w:next w:val="Indent0"/>
    <w:qFormat/>
    <w:pPr>
      <w:outlineLvl w:val="5"/>
    </w:pPr>
  </w:style>
  <w:style w:type="paragraph" w:styleId="Heading7">
    <w:name w:val="heading 7"/>
    <w:basedOn w:val="BaseHeading"/>
    <w:next w:val="Indent0"/>
    <w:qFormat/>
    <w:pPr>
      <w:outlineLvl w:val="6"/>
    </w:pPr>
  </w:style>
  <w:style w:type="paragraph" w:styleId="Heading8">
    <w:name w:val="heading 8"/>
    <w:basedOn w:val="BaseHeading"/>
    <w:next w:val="Indent0"/>
    <w:qFormat/>
    <w:pPr>
      <w:outlineLvl w:val="7"/>
    </w:pPr>
  </w:style>
  <w:style w:type="paragraph" w:styleId="Heading9">
    <w:name w:val="heading 9"/>
    <w:basedOn w:val="BaseHeading"/>
    <w:next w:val="Indent0"/>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HangIndent">
    <w:name w:val="BaseHangIndent"/>
    <w:basedOn w:val="Normal"/>
  </w:style>
  <w:style w:type="paragraph" w:customStyle="1" w:styleId="BaseHeading">
    <w:name w:val="BaseHeading"/>
    <w:basedOn w:val="Normal"/>
    <w:pPr>
      <w:keepNext/>
    </w:pPr>
    <w:rPr>
      <w:b/>
    </w:rPr>
  </w:style>
  <w:style w:type="paragraph" w:customStyle="1" w:styleId="BaseIndent">
    <w:name w:val="BaseIndent"/>
    <w:basedOn w:val="Normal"/>
  </w:style>
  <w:style w:type="paragraph" w:customStyle="1" w:styleId="BaseTable">
    <w:name w:val="BaseTable"/>
    <w:basedOn w:val="Normal"/>
  </w:style>
  <w:style w:type="paragraph" w:customStyle="1" w:styleId="Draft">
    <w:name w:val="Draft"/>
    <w:basedOn w:val="Normal"/>
    <w:rPr>
      <w:b/>
    </w:rPr>
  </w:style>
  <w:style w:type="paragraph" w:customStyle="1" w:styleId="FileName">
    <w:name w:val="FileName"/>
    <w:basedOn w:val="Normal"/>
    <w:pPr>
      <w:framePr w:hSpace="181" w:wrap="around" w:hAnchor="text" w:yAlign="bottom"/>
    </w:pPr>
    <w:rPr>
      <w:sz w:val="18"/>
    </w:rPr>
  </w:style>
  <w:style w:type="paragraph" w:styleId="Footer">
    <w:name w:val="footer"/>
    <w:basedOn w:val="Normal"/>
    <w:semiHidden/>
    <w:pPr>
      <w:tabs>
        <w:tab w:val="right" w:pos="9072"/>
      </w:tabs>
      <w:spacing w:before="240"/>
    </w:pPr>
  </w:style>
  <w:style w:type="paragraph" w:customStyle="1" w:styleId="HangIndent0">
    <w:name w:val="HangIndent_0"/>
    <w:basedOn w:val="BaseHangIndent"/>
    <w:pPr>
      <w:ind w:left="567" w:hanging="567"/>
    </w:pPr>
  </w:style>
  <w:style w:type="paragraph" w:customStyle="1" w:styleId="HangIndent1">
    <w:name w:val="HangIndent_1"/>
    <w:basedOn w:val="BaseHangIndent"/>
    <w:pPr>
      <w:ind w:left="1134" w:hanging="567"/>
    </w:pPr>
  </w:style>
  <w:style w:type="paragraph" w:customStyle="1" w:styleId="HangIndent2">
    <w:name w:val="HangIndent_2"/>
    <w:basedOn w:val="BaseHangIndent"/>
    <w:pPr>
      <w:ind w:left="1701" w:hanging="567"/>
    </w:pPr>
  </w:style>
  <w:style w:type="paragraph" w:customStyle="1" w:styleId="HangIndent3">
    <w:name w:val="HangIndent_3"/>
    <w:basedOn w:val="BaseHangIndent"/>
    <w:pPr>
      <w:ind w:left="2268" w:hanging="567"/>
    </w:pPr>
  </w:style>
  <w:style w:type="paragraph" w:customStyle="1" w:styleId="HangIndent325">
    <w:name w:val="HangIndent_3.25"/>
    <w:basedOn w:val="BaseHangIndent"/>
    <w:pPr>
      <w:ind w:left="2410" w:hanging="567"/>
    </w:pPr>
  </w:style>
  <w:style w:type="paragraph" w:styleId="Header">
    <w:name w:val="header"/>
    <w:basedOn w:val="Normal"/>
    <w:semiHidden/>
    <w:pPr>
      <w:tabs>
        <w:tab w:val="right" w:pos="9072"/>
      </w:tabs>
    </w:pPr>
  </w:style>
  <w:style w:type="paragraph" w:customStyle="1" w:styleId="Heading">
    <w:name w:val="Heading"/>
    <w:basedOn w:val="BaseHeading"/>
    <w:next w:val="Indent0"/>
  </w:style>
  <w:style w:type="paragraph" w:customStyle="1" w:styleId="Indent0">
    <w:name w:val="Indent_0"/>
    <w:basedOn w:val="BaseIndent"/>
  </w:style>
  <w:style w:type="paragraph" w:customStyle="1" w:styleId="Indent1">
    <w:name w:val="Indent_1"/>
    <w:basedOn w:val="BaseIndent"/>
    <w:pPr>
      <w:ind w:left="567"/>
    </w:pPr>
  </w:style>
  <w:style w:type="paragraph" w:customStyle="1" w:styleId="Indent2">
    <w:name w:val="Indent_2"/>
    <w:basedOn w:val="BaseIndent"/>
    <w:pPr>
      <w:ind w:left="1134"/>
    </w:pPr>
  </w:style>
  <w:style w:type="paragraph" w:customStyle="1" w:styleId="Indent3">
    <w:name w:val="Indent_3"/>
    <w:basedOn w:val="BaseIndent"/>
    <w:pPr>
      <w:ind w:left="1701"/>
    </w:pPr>
  </w:style>
  <w:style w:type="paragraph" w:customStyle="1" w:styleId="Indent325">
    <w:name w:val="Indent_3.25"/>
    <w:basedOn w:val="BaseIndent"/>
    <w:pPr>
      <w:ind w:left="1843"/>
    </w:pPr>
  </w:style>
  <w:style w:type="paragraph" w:styleId="MacroText">
    <w:name w:val="macro"/>
    <w:semiHidden/>
    <w:pPr>
      <w:tabs>
        <w:tab w:val="left" w:pos="567"/>
        <w:tab w:val="left" w:pos="1134"/>
        <w:tab w:val="left" w:pos="1701"/>
        <w:tab w:val="left" w:pos="2268"/>
        <w:tab w:val="left" w:pos="2835"/>
        <w:tab w:val="left" w:pos="3402"/>
        <w:tab w:val="left" w:pos="3969"/>
        <w:tab w:val="left" w:pos="4536"/>
      </w:tabs>
    </w:pPr>
    <w:rPr>
      <w:sz w:val="22"/>
      <w:lang w:eastAsia="en-US"/>
    </w:rPr>
  </w:style>
  <w:style w:type="paragraph" w:customStyle="1" w:styleId="Messages">
    <w:name w:val="Messages"/>
    <w:basedOn w:val="Normal"/>
    <w:rPr>
      <w:vanish/>
      <w:color w:val="FF0000"/>
      <w:sz w:val="48"/>
    </w:rPr>
  </w:style>
  <w:style w:type="paragraph" w:customStyle="1" w:styleId="Signatory">
    <w:name w:val="Signatory"/>
    <w:basedOn w:val="Normal"/>
    <w:next w:val="Indent0"/>
    <w:pPr>
      <w:spacing w:before="1200"/>
    </w:pPr>
  </w:style>
  <w:style w:type="paragraph" w:customStyle="1" w:styleId="Table">
    <w:name w:val="Table"/>
    <w:basedOn w:val="BaseTable"/>
    <w:pPr>
      <w:spacing w:before="60" w:after="60"/>
    </w:pPr>
  </w:style>
  <w:style w:type="paragraph" w:styleId="TOC1">
    <w:name w:val="toc 1"/>
    <w:basedOn w:val="Normal"/>
    <w:next w:val="Normal"/>
    <w:semiHidden/>
    <w:pPr>
      <w:tabs>
        <w:tab w:val="right" w:leader="dot" w:pos="9071"/>
      </w:tabs>
      <w:spacing w:before="240" w:after="0"/>
      <w:ind w:left="851" w:hanging="851"/>
    </w:pPr>
    <w:rPr>
      <w:b/>
    </w:rPr>
  </w:style>
  <w:style w:type="paragraph" w:styleId="TOC2">
    <w:name w:val="toc 2"/>
    <w:basedOn w:val="Normal"/>
    <w:next w:val="Normal"/>
    <w:semiHidden/>
    <w:pPr>
      <w:tabs>
        <w:tab w:val="right" w:leader="dot" w:pos="9071"/>
      </w:tabs>
      <w:spacing w:after="0"/>
      <w:ind w:left="851" w:hanging="851"/>
    </w:pPr>
  </w:style>
  <w:style w:type="paragraph" w:styleId="TOC3">
    <w:name w:val="toc 3"/>
    <w:basedOn w:val="Normal"/>
    <w:next w:val="Normal"/>
    <w:semiHidden/>
    <w:pPr>
      <w:tabs>
        <w:tab w:val="right" w:leader="dot" w:pos="9071"/>
      </w:tabs>
      <w:spacing w:after="0"/>
      <w:ind w:left="851" w:hanging="851"/>
    </w:pPr>
    <w:rPr>
      <w:sz w:val="20"/>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757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F1"/>
    <w:rPr>
      <w:rFonts w:ascii="Tahoma" w:hAnsi="Tahoma" w:cs="Tahoma"/>
      <w:sz w:val="16"/>
      <w:szCs w:val="16"/>
      <w:lang w:eastAsia="en-US"/>
    </w:rPr>
  </w:style>
  <w:style w:type="paragraph" w:styleId="Revision">
    <w:name w:val="Revision"/>
    <w:hidden/>
    <w:uiPriority w:val="99"/>
    <w:semiHidden/>
    <w:rsid w:val="0070184B"/>
    <w:rPr>
      <w:sz w:val="26"/>
      <w:lang w:eastAsia="en-US"/>
    </w:rPr>
  </w:style>
  <w:style w:type="character" w:styleId="CommentReference">
    <w:name w:val="annotation reference"/>
    <w:basedOn w:val="DefaultParagraphFont"/>
    <w:uiPriority w:val="99"/>
    <w:semiHidden/>
    <w:unhideWhenUsed/>
    <w:rsid w:val="0070184B"/>
    <w:rPr>
      <w:sz w:val="16"/>
      <w:szCs w:val="16"/>
    </w:rPr>
  </w:style>
  <w:style w:type="paragraph" w:styleId="CommentText">
    <w:name w:val="annotation text"/>
    <w:basedOn w:val="Normal"/>
    <w:link w:val="CommentTextChar"/>
    <w:uiPriority w:val="99"/>
    <w:unhideWhenUsed/>
    <w:rsid w:val="0070184B"/>
    <w:rPr>
      <w:sz w:val="20"/>
    </w:rPr>
  </w:style>
  <w:style w:type="character" w:customStyle="1" w:styleId="CommentTextChar">
    <w:name w:val="Comment Text Char"/>
    <w:basedOn w:val="DefaultParagraphFont"/>
    <w:link w:val="CommentText"/>
    <w:uiPriority w:val="99"/>
    <w:rsid w:val="0070184B"/>
    <w:rPr>
      <w:lang w:eastAsia="en-US"/>
    </w:rPr>
  </w:style>
  <w:style w:type="paragraph" w:styleId="CommentSubject">
    <w:name w:val="annotation subject"/>
    <w:basedOn w:val="CommentText"/>
    <w:next w:val="CommentText"/>
    <w:link w:val="CommentSubjectChar"/>
    <w:uiPriority w:val="99"/>
    <w:semiHidden/>
    <w:unhideWhenUsed/>
    <w:rsid w:val="0070184B"/>
    <w:rPr>
      <w:b/>
      <w:bCs/>
    </w:rPr>
  </w:style>
  <w:style w:type="character" w:customStyle="1" w:styleId="CommentSubjectChar">
    <w:name w:val="Comment Subject Char"/>
    <w:basedOn w:val="CommentTextChar"/>
    <w:link w:val="CommentSubject"/>
    <w:uiPriority w:val="99"/>
    <w:semiHidden/>
    <w:rsid w:val="0070184B"/>
    <w:rPr>
      <w:b/>
      <w:bCs/>
      <w:lang w:eastAsia="en-US"/>
    </w:rPr>
  </w:style>
  <w:style w:type="character" w:styleId="Hyperlink">
    <w:name w:val="Hyperlink"/>
    <w:basedOn w:val="DefaultParagraphFont"/>
    <w:uiPriority w:val="99"/>
    <w:unhideWhenUsed/>
    <w:rsid w:val="000A69F5"/>
    <w:rPr>
      <w:color w:val="0000FF" w:themeColor="hyperlink"/>
      <w:u w:val="single"/>
    </w:rPr>
  </w:style>
  <w:style w:type="character" w:styleId="FollowedHyperlink">
    <w:name w:val="FollowedHyperlink"/>
    <w:basedOn w:val="DefaultParagraphFont"/>
    <w:uiPriority w:val="99"/>
    <w:semiHidden/>
    <w:unhideWhenUsed/>
    <w:rsid w:val="007241C0"/>
    <w:rPr>
      <w:color w:val="800080" w:themeColor="followedHyperlink"/>
      <w:u w:val="single"/>
    </w:rPr>
  </w:style>
  <w:style w:type="character" w:styleId="UnresolvedMention">
    <w:name w:val="Unresolved Mention"/>
    <w:basedOn w:val="DefaultParagraphFont"/>
    <w:uiPriority w:val="99"/>
    <w:semiHidden/>
    <w:unhideWhenUsed/>
    <w:rsid w:val="007241C0"/>
    <w:rPr>
      <w:color w:val="605E5C"/>
      <w:shd w:val="clear" w:color="auto" w:fill="E1DFDD"/>
    </w:rPr>
  </w:style>
  <w:style w:type="paragraph" w:styleId="FootnoteText">
    <w:name w:val="footnote text"/>
    <w:basedOn w:val="Normal"/>
    <w:link w:val="FootnoteTextChar"/>
    <w:uiPriority w:val="99"/>
    <w:unhideWhenUsed/>
    <w:rsid w:val="005A154F"/>
    <w:pPr>
      <w:spacing w:after="0"/>
    </w:pPr>
    <w:rPr>
      <w:sz w:val="20"/>
    </w:rPr>
  </w:style>
  <w:style w:type="character" w:customStyle="1" w:styleId="FootnoteTextChar">
    <w:name w:val="Footnote Text Char"/>
    <w:basedOn w:val="DefaultParagraphFont"/>
    <w:link w:val="FootnoteText"/>
    <w:uiPriority w:val="99"/>
    <w:rsid w:val="005A154F"/>
    <w:rPr>
      <w:lang w:eastAsia="en-US"/>
    </w:rPr>
  </w:style>
  <w:style w:type="character" w:styleId="FootnoteReference">
    <w:name w:val="footnote reference"/>
    <w:basedOn w:val="DefaultParagraphFont"/>
    <w:uiPriority w:val="99"/>
    <w:semiHidden/>
    <w:unhideWhenUsed/>
    <w:rsid w:val="005A154F"/>
    <w:rPr>
      <w:vertAlign w:val="superscript"/>
    </w:rPr>
  </w:style>
  <w:style w:type="paragraph" w:styleId="BodyText">
    <w:name w:val="Body Text"/>
    <w:link w:val="BodyTextChar"/>
    <w:qFormat/>
    <w:rsid w:val="00864499"/>
    <w:pPr>
      <w:spacing w:before="120" w:after="120"/>
      <w:jc w:val="both"/>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864499"/>
    <w:rPr>
      <w:rFonts w:asciiTheme="minorHAnsi" w:eastAsiaTheme="minorEastAsia" w:hAnsiTheme="minorHAnsi" w:cstheme="minorBidi"/>
      <w:sz w:val="22"/>
      <w:szCs w:val="22"/>
    </w:rPr>
  </w:style>
  <w:style w:type="paragraph" w:styleId="Title">
    <w:name w:val="Title"/>
    <w:next w:val="BodyText"/>
    <w:link w:val="TitleChar"/>
    <w:uiPriority w:val="10"/>
    <w:qFormat/>
    <w:rsid w:val="00694193"/>
    <w:pPr>
      <w:spacing w:after="480"/>
      <w:contextualSpacing/>
      <w:jc w:val="center"/>
    </w:pPr>
    <w:rPr>
      <w:rFonts w:asciiTheme="minorHAnsi" w:eastAsiaTheme="majorEastAsia" w:hAnsiTheme="minorHAnsi" w:cstheme="majorBidi"/>
      <w:b/>
      <w:caps/>
      <w:color w:val="1F497D" w:themeColor="text2"/>
      <w:spacing w:val="5"/>
      <w:kern w:val="28"/>
      <w:sz w:val="28"/>
      <w:szCs w:val="52"/>
    </w:rPr>
  </w:style>
  <w:style w:type="character" w:customStyle="1" w:styleId="TitleChar">
    <w:name w:val="Title Char"/>
    <w:basedOn w:val="DefaultParagraphFont"/>
    <w:link w:val="Title"/>
    <w:uiPriority w:val="10"/>
    <w:rsid w:val="00694193"/>
    <w:rPr>
      <w:rFonts w:asciiTheme="minorHAnsi" w:eastAsiaTheme="majorEastAsia" w:hAnsiTheme="minorHAnsi" w:cstheme="majorBidi"/>
      <w:b/>
      <w:caps/>
      <w:color w:val="1F497D" w:themeColor="text2"/>
      <w:spacing w:val="5"/>
      <w:kern w:val="28"/>
      <w:sz w:val="28"/>
      <w:szCs w:val="52"/>
    </w:rPr>
  </w:style>
  <w:style w:type="paragraph" w:styleId="ListBullet">
    <w:name w:val="List Bullet"/>
    <w:aliases w:val="Bullet"/>
    <w:basedOn w:val="BodyText"/>
    <w:uiPriority w:val="44"/>
    <w:qFormat/>
    <w:rsid w:val="00694193"/>
    <w:pPr>
      <w:ind w:left="425" w:hanging="425"/>
    </w:pPr>
  </w:style>
  <w:style w:type="character" w:customStyle="1" w:styleId="Heading1Char">
    <w:name w:val="Heading 1 Char"/>
    <w:basedOn w:val="DefaultParagraphFont"/>
    <w:link w:val="Heading1"/>
    <w:uiPriority w:val="9"/>
    <w:rsid w:val="00694193"/>
    <w:rPr>
      <w:b/>
      <w:caps/>
      <w:sz w:val="26"/>
      <w:lang w:eastAsia="en-US"/>
    </w:rPr>
  </w:style>
  <w:style w:type="character" w:customStyle="1" w:styleId="Heading2Char">
    <w:name w:val="Heading 2 Char"/>
    <w:basedOn w:val="DefaultParagraphFont"/>
    <w:link w:val="Heading2"/>
    <w:uiPriority w:val="9"/>
    <w:rsid w:val="00107124"/>
    <w:rPr>
      <w:b/>
      <w:sz w:val="26"/>
      <w:lang w:eastAsia="en-US"/>
    </w:rPr>
  </w:style>
  <w:style w:type="character" w:customStyle="1" w:styleId="Heading3Char">
    <w:name w:val="Heading 3 Char"/>
    <w:basedOn w:val="DefaultParagraphFont"/>
    <w:link w:val="Heading3"/>
    <w:uiPriority w:val="9"/>
    <w:rsid w:val="00107124"/>
    <w:rPr>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ba.gov.au/publications/consultations/2023-11-increasing-the-fss-threshold-for-sffs/pdf/2023-11-increasing-the-fss-threshold-for-sff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ba.gov.au/payments-and-infrastructure/financial-market-infrastructure/clearing-and-settlement-facilities/standards/201212-new-fss-ris/attachment-1.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ba.gov.au/publications/consultations/2023-11-increasing-the-fss-threshold-for-sffs/pdf/2023-11-increasing-the-fss-threshold-for-sffs-conclusions-paper.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ba.gov.au/publications/consultations/2023-11-increasing-the-fss-threshold-for-sffs/pdf/2023-11-increasing-the-fss-threshold-for-sffs-conclusions-paper.pdf" TargetMode="External"/><Relationship Id="rId1" Type="http://schemas.openxmlformats.org/officeDocument/2006/relationships/hyperlink" Target="https://www.rba.gov.au/payments-and-infrastructure/financial-market-infrastructure/clearing-and-settlement-facilities/stand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c51d20b-f05f-409a-a641-1e24409d4dfd">RA63QZWJNQ22-385947152-683</_dlc_DocId>
    <_dlc_DocIdUrl xmlns="dc51d20b-f05f-409a-a641-1e24409d4dfd">
      <Url>https://portal.rba.gov.au/sites/py/FMI/_layouts/15/DocIdRedir.aspx?ID=RA63QZWJNQ22-385947152-683</Url>
      <Description>RA63QZWJNQ22-385947152-683</Description>
    </_dlc_DocIdUrl>
  </documentManagement>
</p:properties>
</file>

<file path=customXml/item2.xml><?xml version="1.0" encoding="utf-8"?>
<b:Sources xmlns:b="http://schemas.openxmlformats.org/officeDocument/2006/bibliography" xmlns="http://schemas.openxmlformats.org/officeDocument/2006/bibliography" SelectedStyle="\RBA.XSL" StyleName="RBA" Version="1"/>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51BE6B79DB4A04FAB3E0B3A3FE1D49D" ma:contentTypeVersion="2" ma:contentTypeDescription="Create a new document." ma:contentTypeScope="" ma:versionID="fbe254db12c04e475fe333e5aa6bd7cf">
  <xsd:schema xmlns:xsd="http://www.w3.org/2001/XMLSchema" xmlns:xs="http://www.w3.org/2001/XMLSchema" xmlns:p="http://schemas.microsoft.com/office/2006/metadata/properties" xmlns:ns2="dc51d20b-f05f-409a-a641-1e24409d4dfd" xmlns:ns3="http://schemas.microsoft.com/sharepoint/v4" targetNamespace="http://schemas.microsoft.com/office/2006/metadata/properties" ma:root="true" ma:fieldsID="a35c7393ad219ad40c9c42fb38118db7" ns2:_="" ns3:_="">
    <xsd:import namespace="dc51d20b-f05f-409a-a641-1e24409d4dfd"/>
    <xsd:import namespace="http://schemas.microsoft.com/sharepoint/v4"/>
    <xsd:element name="properties">
      <xsd:complexType>
        <xsd:sequence>
          <xsd:element name="documentManagement">
            <xsd:complexType>
              <xsd:all>
                <xsd:element ref="ns2:SharedWithUsers" minOccurs="0"/>
                <xsd:element ref="ns3:IconOverla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1d20b-f05f-409a-a641-1e24409d4d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80192-2A6C-4E43-8C41-1F8FFE4634B8}">
  <ds:schemaRefs>
    <ds:schemaRef ds:uri="http://schemas.microsoft.com/office/2006/metadata/properties"/>
    <ds:schemaRef ds:uri="http://schemas.microsoft.com/office/infopath/2007/PartnerControls"/>
    <ds:schemaRef ds:uri="http://schemas.microsoft.com/sharepoint/v4"/>
    <ds:schemaRef ds:uri="dc51d20b-f05f-409a-a641-1e24409d4dfd"/>
  </ds:schemaRefs>
</ds:datastoreItem>
</file>

<file path=customXml/itemProps2.xml><?xml version="1.0" encoding="utf-8"?>
<ds:datastoreItem xmlns:ds="http://schemas.openxmlformats.org/officeDocument/2006/customXml" ds:itemID="{F99D43DF-79C7-481F-809F-A79DBF5B0E5D}">
  <ds:schemaRefs>
    <ds:schemaRef ds:uri="http://schemas.openxmlformats.org/officeDocument/2006/bibliography"/>
  </ds:schemaRefs>
</ds:datastoreItem>
</file>

<file path=customXml/itemProps3.xml><?xml version="1.0" encoding="utf-8"?>
<ds:datastoreItem xmlns:ds="http://schemas.openxmlformats.org/officeDocument/2006/customXml" ds:itemID="{E34F67C2-F26E-4971-BC25-05D3BD339C87}">
  <ds:schemaRefs>
    <ds:schemaRef ds:uri="http://schemas.microsoft.com/sharepoint/v3/contenttype/forms"/>
  </ds:schemaRefs>
</ds:datastoreItem>
</file>

<file path=customXml/itemProps4.xml><?xml version="1.0" encoding="utf-8"?>
<ds:datastoreItem xmlns:ds="http://schemas.openxmlformats.org/officeDocument/2006/customXml" ds:itemID="{5AB8A3B3-4799-45FB-82BD-D922481D3DB1}">
  <ds:schemaRefs>
    <ds:schemaRef ds:uri="http://schemas.microsoft.com/sharepoint/events"/>
  </ds:schemaRefs>
</ds:datastoreItem>
</file>

<file path=customXml/itemProps5.xml><?xml version="1.0" encoding="utf-8"?>
<ds:datastoreItem xmlns:ds="http://schemas.openxmlformats.org/officeDocument/2006/customXml" ds:itemID="{F303DEEE-AA4C-43BA-9C21-E46A6B2D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1d20b-f05f-409a-a641-1e24409d4df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MEMO.dotm</Template>
  <TotalTime>188</TotalTime>
  <Pages>4</Pages>
  <Words>1598</Words>
  <Characters>9430</Characters>
  <Application>Microsoft Office Word</Application>
  <DocSecurity>0</DocSecurity>
  <Lines>314</Lines>
  <Paragraphs>180</Paragraphs>
  <ScaleCrop>false</ScaleCrop>
  <HeadingPairs>
    <vt:vector size="2" baseType="variant">
      <vt:variant>
        <vt:lpstr>Title</vt:lpstr>
      </vt:variant>
      <vt:variant>
        <vt:i4>1</vt:i4>
      </vt:variant>
    </vt:vector>
  </HeadingPairs>
  <TitlesOfParts>
    <vt:vector size="1" baseType="lpstr">
      <vt:lpstr/>
    </vt:vector>
  </TitlesOfParts>
  <Company>Reserve Bank of Australia</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Indefinite</dc:subject>
  <dc:creator>Jing Leong</dc:creator>
  <cp:keywords/>
  <dc:description/>
  <cp:lastModifiedBy>DARK, Cameron</cp:lastModifiedBy>
  <cp:revision>26</cp:revision>
  <cp:lastPrinted>2024-06-13T20:48:00Z</cp:lastPrinted>
  <dcterms:created xsi:type="dcterms:W3CDTF">2024-05-22T00:41:00Z</dcterms:created>
  <dcterms:modified xsi:type="dcterms:W3CDTF">2024-06-18T05:48:00Z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0x010100E51BE6B79DB4A04FAB3E0B3A3FE1D49D</vt:lpwstr>
  </property>
  <property fmtid="{D5CDD505-2E9C-101B-9397-08002B2CF9AE}" pid="3" name="_dlc_DocIdItemGuid">
    <vt:lpwstr>4b708421-5a1b-4067-a65f-dbd73b855d8c</vt:lpwstr>
  </property>
</Properties>
</file>