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59" w:rsidRPr="00E00583" w:rsidRDefault="00213D59" w:rsidP="00213D59">
      <w:pPr>
        <w:pStyle w:val="NormalBold"/>
        <w:jc w:val="center"/>
        <w:rPr>
          <w:rFonts w:ascii="Times New Roman" w:hAnsi="Times New Roman" w:cs="Times New Roman"/>
          <w:sz w:val="28"/>
          <w:szCs w:val="28"/>
        </w:rPr>
      </w:pPr>
      <w:bookmarkStart w:id="0" w:name="_GoBack"/>
      <w:bookmarkEnd w:id="0"/>
      <w:r w:rsidRPr="00E00583">
        <w:rPr>
          <w:rFonts w:ascii="Times New Roman" w:hAnsi="Times New Roman" w:cs="Times New Roman"/>
          <w:sz w:val="28"/>
          <w:szCs w:val="28"/>
        </w:rPr>
        <w:t>Explanatory Statement</w:t>
      </w:r>
    </w:p>
    <w:p w:rsidR="00213D59" w:rsidRPr="00E00583" w:rsidRDefault="00213D59" w:rsidP="00213D59">
      <w:pPr>
        <w:jc w:val="center"/>
        <w:rPr>
          <w:rFonts w:ascii="Times New Roman" w:hAnsi="Times New Roman"/>
        </w:rPr>
      </w:pPr>
      <w:r w:rsidRPr="00E00583">
        <w:rPr>
          <w:rFonts w:ascii="Times New Roman" w:hAnsi="Times New Roman"/>
        </w:rPr>
        <w:t>Issued by the Authority of the Minister for Communications</w:t>
      </w:r>
    </w:p>
    <w:p w:rsidR="00213D59" w:rsidRPr="00E00583" w:rsidRDefault="00213D59" w:rsidP="00213D59">
      <w:pPr>
        <w:jc w:val="center"/>
        <w:rPr>
          <w:rFonts w:ascii="Times New Roman" w:hAnsi="Times New Roman"/>
          <w:i/>
        </w:rPr>
      </w:pPr>
      <w:r w:rsidRPr="00E00583">
        <w:rPr>
          <w:rFonts w:ascii="Times New Roman" w:hAnsi="Times New Roman"/>
          <w:i/>
        </w:rPr>
        <w:t>Telecommunications Act 1997</w:t>
      </w:r>
    </w:p>
    <w:p w:rsidR="00213D59" w:rsidRPr="00E00583" w:rsidRDefault="00213D59" w:rsidP="00213D59">
      <w:pPr>
        <w:jc w:val="center"/>
        <w:rPr>
          <w:rFonts w:ascii="Times New Roman" w:hAnsi="Times New Roman"/>
          <w:b/>
          <w:sz w:val="28"/>
          <w:szCs w:val="28"/>
        </w:rPr>
      </w:pPr>
      <w:r w:rsidRPr="00E00583">
        <w:rPr>
          <w:rFonts w:ascii="Times New Roman" w:hAnsi="Times New Roman"/>
          <w:b/>
          <w:sz w:val="28"/>
          <w:szCs w:val="28"/>
        </w:rPr>
        <w:t xml:space="preserve">Telecommunications (Statutory Infrastructure Providers – Exempt Real Estate Development Projects and Building Redevelopment Projects) </w:t>
      </w:r>
      <w:r w:rsidR="008E017F" w:rsidRPr="00E00583">
        <w:rPr>
          <w:rFonts w:ascii="Times New Roman" w:hAnsi="Times New Roman"/>
          <w:b/>
          <w:sz w:val="28"/>
          <w:szCs w:val="28"/>
        </w:rPr>
        <w:t>Amendment Determination</w:t>
      </w:r>
      <w:r w:rsidRPr="00E00583">
        <w:rPr>
          <w:rFonts w:ascii="Times New Roman" w:hAnsi="Times New Roman"/>
          <w:b/>
          <w:sz w:val="28"/>
          <w:szCs w:val="28"/>
        </w:rPr>
        <w:t xml:space="preserve"> (No. 1) 2024</w:t>
      </w:r>
    </w:p>
    <w:p w:rsidR="00213D59" w:rsidRPr="00E00583" w:rsidRDefault="00213D59" w:rsidP="00213D59">
      <w:pPr>
        <w:spacing w:before="100" w:beforeAutospacing="1" w:after="100" w:afterAutospacing="1" w:line="300" w:lineRule="atLeast"/>
        <w:rPr>
          <w:rFonts w:ascii="Times New Roman" w:hAnsi="Times New Roman"/>
          <w:b/>
        </w:rPr>
      </w:pPr>
      <w:r w:rsidRPr="00E00583">
        <w:rPr>
          <w:rFonts w:ascii="Times New Roman" w:hAnsi="Times New Roman"/>
          <w:b/>
        </w:rPr>
        <w:t>Authority</w:t>
      </w:r>
    </w:p>
    <w:p w:rsidR="00213D59" w:rsidRPr="00E00583" w:rsidRDefault="008E017F" w:rsidP="00213D59">
      <w:pPr>
        <w:spacing w:before="100" w:beforeAutospacing="1" w:after="100" w:afterAutospacing="1" w:line="300" w:lineRule="atLeast"/>
        <w:rPr>
          <w:rFonts w:ascii="Times New Roman" w:hAnsi="Times New Roman"/>
        </w:rPr>
      </w:pPr>
      <w:r w:rsidRPr="00E00583">
        <w:rPr>
          <w:rFonts w:ascii="Times New Roman" w:hAnsi="Times New Roman"/>
        </w:rPr>
        <w:t>The instrument is made under s</w:t>
      </w:r>
      <w:r w:rsidR="00213D59" w:rsidRPr="00E00583">
        <w:rPr>
          <w:rFonts w:ascii="Times New Roman" w:hAnsi="Times New Roman"/>
        </w:rPr>
        <w:t xml:space="preserve">ubsections 360H(3A) and 360H(5A) of the </w:t>
      </w:r>
      <w:r w:rsidR="00213D59" w:rsidRPr="00E00583">
        <w:rPr>
          <w:rFonts w:ascii="Times New Roman" w:hAnsi="Times New Roman"/>
          <w:i/>
        </w:rPr>
        <w:t xml:space="preserve">Telecommunications Act 1997 </w:t>
      </w:r>
      <w:r w:rsidR="00213D59" w:rsidRPr="00E00583">
        <w:rPr>
          <w:rFonts w:ascii="Times New Roman" w:hAnsi="Times New Roman"/>
        </w:rPr>
        <w:t xml:space="preserve">(the Act) </w:t>
      </w:r>
      <w:r w:rsidRPr="00E00583">
        <w:rPr>
          <w:rFonts w:ascii="Times New Roman" w:hAnsi="Times New Roman"/>
        </w:rPr>
        <w:t xml:space="preserve">and </w:t>
      </w:r>
      <w:r w:rsidR="001D539B" w:rsidRPr="00E00583">
        <w:rPr>
          <w:rFonts w:ascii="Times New Roman" w:hAnsi="Times New Roman"/>
        </w:rPr>
        <w:t xml:space="preserve">subsection 33(3) of the </w:t>
      </w:r>
      <w:r w:rsidR="001D539B" w:rsidRPr="00E00583">
        <w:rPr>
          <w:rFonts w:ascii="Times New Roman" w:hAnsi="Times New Roman"/>
          <w:i/>
        </w:rPr>
        <w:t>Acts Interpretation Act 1901</w:t>
      </w:r>
      <w:r w:rsidR="00213D59" w:rsidRPr="00E00583">
        <w:rPr>
          <w:rFonts w:ascii="Times New Roman" w:hAnsi="Times New Roman"/>
        </w:rPr>
        <w:t>.</w:t>
      </w:r>
    </w:p>
    <w:p w:rsidR="00213D59" w:rsidRPr="00E00583" w:rsidRDefault="00213D59" w:rsidP="00213D59">
      <w:pPr>
        <w:shd w:val="clear" w:color="auto" w:fill="FFFFFF"/>
        <w:spacing w:before="100" w:beforeAutospacing="1" w:after="100" w:afterAutospacing="1"/>
        <w:rPr>
          <w:rFonts w:ascii="Times New Roman" w:hAnsi="Times New Roman"/>
          <w:b/>
        </w:rPr>
      </w:pPr>
      <w:r w:rsidRPr="00E00583">
        <w:rPr>
          <w:rFonts w:ascii="Times New Roman" w:hAnsi="Times New Roman"/>
          <w:b/>
        </w:rPr>
        <w:t>Purpose</w:t>
      </w:r>
    </w:p>
    <w:p w:rsidR="001D539B" w:rsidRPr="00E00583" w:rsidRDefault="00213D5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The purpose of the </w:t>
      </w:r>
      <w:r w:rsidRPr="00E00583">
        <w:rPr>
          <w:rFonts w:ascii="Times New Roman" w:hAnsi="Times New Roman"/>
          <w:i/>
        </w:rPr>
        <w:t xml:space="preserve">Telecommunications (Statutory Infrastructure Providers – Exempt Real Estate Development Projects and Building Redevelopment Projects) </w:t>
      </w:r>
      <w:r w:rsidR="001D539B" w:rsidRPr="00E00583">
        <w:rPr>
          <w:rFonts w:ascii="Times New Roman" w:hAnsi="Times New Roman"/>
          <w:i/>
        </w:rPr>
        <w:t xml:space="preserve">Amendment Determination </w:t>
      </w:r>
      <w:r w:rsidRPr="00E00583">
        <w:rPr>
          <w:rFonts w:ascii="Times New Roman" w:hAnsi="Times New Roman"/>
          <w:i/>
        </w:rPr>
        <w:t xml:space="preserve">(No. 1) 2024 </w:t>
      </w:r>
      <w:r w:rsidRPr="00E00583">
        <w:rPr>
          <w:rFonts w:ascii="Times New Roman" w:hAnsi="Times New Roman"/>
        </w:rPr>
        <w:t>(the </w:t>
      </w:r>
      <w:r w:rsidR="001D539B" w:rsidRPr="00E00583">
        <w:rPr>
          <w:rFonts w:ascii="Times New Roman" w:hAnsi="Times New Roman"/>
        </w:rPr>
        <w:t>Determination</w:t>
      </w:r>
      <w:r w:rsidRPr="00E00583">
        <w:rPr>
          <w:rFonts w:ascii="Times New Roman" w:hAnsi="Times New Roman"/>
        </w:rPr>
        <w:t xml:space="preserve">) is to </w:t>
      </w:r>
      <w:r w:rsidR="001D539B" w:rsidRPr="00E00583">
        <w:rPr>
          <w:rFonts w:ascii="Times New Roman" w:hAnsi="Times New Roman"/>
        </w:rPr>
        <w:t xml:space="preserve">amend the </w:t>
      </w:r>
      <w:r w:rsidR="001D539B" w:rsidRPr="00E00583">
        <w:rPr>
          <w:rFonts w:ascii="Times New Roman" w:hAnsi="Times New Roman"/>
          <w:i/>
        </w:rPr>
        <w:t xml:space="preserve">Telecommunications (Statutory Infrastructure Providers – Exempt Real Estate Development Projects and Building Redevelopment Projects) Determination (No. 1) 2020 </w:t>
      </w:r>
      <w:r w:rsidR="001D539B" w:rsidRPr="00E00583">
        <w:rPr>
          <w:rFonts w:ascii="Times New Roman" w:hAnsi="Times New Roman"/>
        </w:rPr>
        <w:t xml:space="preserve">(the current Determination) to remove three </w:t>
      </w:r>
      <w:r w:rsidR="00090796" w:rsidRPr="00E00583">
        <w:rPr>
          <w:rFonts w:ascii="Times New Roman" w:hAnsi="Times New Roman"/>
        </w:rPr>
        <w:t xml:space="preserve">classes of </w:t>
      </w:r>
      <w:r w:rsidR="001D539B" w:rsidRPr="00E00583">
        <w:rPr>
          <w:rFonts w:ascii="Times New Roman" w:hAnsi="Times New Roman"/>
        </w:rPr>
        <w:t>exemptions from the requirements under section 360H of the Act for carriers to declare provisional nominated service areas</w:t>
      </w:r>
      <w:r w:rsidR="00E74DCA" w:rsidRPr="00E00583">
        <w:rPr>
          <w:rFonts w:ascii="Times New Roman" w:hAnsi="Times New Roman"/>
        </w:rPr>
        <w:t>.</w:t>
      </w:r>
    </w:p>
    <w:p w:rsidR="001D539B" w:rsidRPr="00E00583" w:rsidRDefault="001D539B" w:rsidP="001D539B">
      <w:pPr>
        <w:shd w:val="clear" w:color="auto" w:fill="FFFFFF"/>
        <w:rPr>
          <w:rFonts w:ascii="Times New Roman" w:hAnsi="Times New Roman"/>
          <w:b/>
        </w:rPr>
      </w:pPr>
      <w:r w:rsidRPr="00E00583">
        <w:rPr>
          <w:rFonts w:ascii="Times New Roman" w:hAnsi="Times New Roman"/>
          <w:b/>
        </w:rPr>
        <w:t>Background</w:t>
      </w:r>
    </w:p>
    <w:p w:rsidR="001D539B" w:rsidRPr="00E00583" w:rsidRDefault="001D539B" w:rsidP="001D539B">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The </w:t>
      </w:r>
      <w:r w:rsidR="00E74DCA" w:rsidRPr="00E00583">
        <w:rPr>
          <w:rFonts w:ascii="Times New Roman" w:hAnsi="Times New Roman"/>
        </w:rPr>
        <w:t xml:space="preserve">statutory infrastructure provider (SIP) </w:t>
      </w:r>
      <w:r w:rsidRPr="00E00583">
        <w:rPr>
          <w:rFonts w:ascii="Times New Roman" w:hAnsi="Times New Roman"/>
        </w:rPr>
        <w:t xml:space="preserve">regime is set out in Part 19 of the Act and commenced on 1 July 2020. It aims to ensure that all people in Australia can access high speed broadband services. Under the Act, NBN Co is the default SIP for Australia, reflecting its role in the market. However, the SIP regime provides for alternative carriers </w:t>
      </w:r>
      <w:r w:rsidR="00E74DCA" w:rsidRPr="00E00583">
        <w:rPr>
          <w:rFonts w:ascii="Times New Roman" w:hAnsi="Times New Roman"/>
        </w:rPr>
        <w:t xml:space="preserve">or carriage service providers </w:t>
      </w:r>
      <w:r w:rsidRPr="00E00583">
        <w:rPr>
          <w:rFonts w:ascii="Times New Roman" w:hAnsi="Times New Roman"/>
        </w:rPr>
        <w:t>to be the SIPs for the geographic areas where they deploy telecommunications networks. This recognises that there is a competitive market in Australia for the provision of telecommunications networks.</w:t>
      </w:r>
    </w:p>
    <w:p w:rsidR="00E74DCA" w:rsidRPr="00E00583" w:rsidRDefault="00E74DCA" w:rsidP="00E74DCA">
      <w:pPr>
        <w:shd w:val="clear" w:color="auto" w:fill="FFFFFF"/>
        <w:rPr>
          <w:rFonts w:ascii="Times New Roman" w:hAnsi="Times New Roman"/>
        </w:rPr>
      </w:pPr>
      <w:r w:rsidRPr="00E00583">
        <w:rPr>
          <w:rFonts w:ascii="Times New Roman" w:hAnsi="Times New Roman"/>
        </w:rPr>
        <w:t>The key obligations of SIPs are to connect premises in their service areas to their telecommunications networks, and supply wholesale services, on reasonable request from a carriage service provider (CSP) acting on behalf of an end-user within the service area. The wholesale services must allow the CSP to supply ‘qualifying carriage services’, which are broadband services with peak download and upload speeds of at least 25/5 Mbps. On fixed-line or fixed wireless networks, the wholesale services SIPs supply must also enable CSPs to supply voice services. SIPs must also publish the terms and conditions on which they offer to connect premises and supply wholesale services to CSPs.</w:t>
      </w:r>
    </w:p>
    <w:p w:rsidR="001D539B" w:rsidRPr="00E00583" w:rsidRDefault="001D539B" w:rsidP="001D539B">
      <w:pPr>
        <w:shd w:val="clear" w:color="auto" w:fill="FFFFFF"/>
        <w:rPr>
          <w:rFonts w:ascii="Times New Roman" w:hAnsi="Times New Roman"/>
        </w:rPr>
      </w:pPr>
      <w:r w:rsidRPr="00E00583">
        <w:rPr>
          <w:rFonts w:ascii="Times New Roman" w:hAnsi="Times New Roman"/>
        </w:rPr>
        <w:t xml:space="preserve">Where a carrier </w:t>
      </w:r>
      <w:r w:rsidR="00E74DCA" w:rsidRPr="00E00583">
        <w:rPr>
          <w:rFonts w:ascii="Times New Roman" w:hAnsi="Times New Roman"/>
        </w:rPr>
        <w:t xml:space="preserve">or a CSP </w:t>
      </w:r>
      <w:r w:rsidRPr="00E00583">
        <w:rPr>
          <w:rFonts w:ascii="Times New Roman" w:hAnsi="Times New Roman"/>
        </w:rPr>
        <w:t>(other than NBN Co) has</w:t>
      </w:r>
      <w:r w:rsidR="00E74DCA" w:rsidRPr="00E00583">
        <w:rPr>
          <w:rFonts w:ascii="Times New Roman" w:hAnsi="Times New Roman"/>
        </w:rPr>
        <w:t>, under a contract with a developer,</w:t>
      </w:r>
      <w:r w:rsidRPr="00E00583">
        <w:rPr>
          <w:rFonts w:ascii="Times New Roman" w:hAnsi="Times New Roman"/>
        </w:rPr>
        <w:t xml:space="preserve"> install</w:t>
      </w:r>
      <w:r w:rsidR="00E74DCA" w:rsidRPr="00E00583">
        <w:rPr>
          <w:rFonts w:ascii="Times New Roman" w:hAnsi="Times New Roman"/>
        </w:rPr>
        <w:t>ed</w:t>
      </w:r>
      <w:r w:rsidRPr="00E00583">
        <w:rPr>
          <w:rFonts w:ascii="Times New Roman" w:hAnsi="Times New Roman"/>
        </w:rPr>
        <w:t xml:space="preserve"> telecommunications infrastructure in a real estate development project or a building redevelopment project, then under the Act that </w:t>
      </w:r>
      <w:r w:rsidR="00E74DCA" w:rsidRPr="00E00583">
        <w:rPr>
          <w:rFonts w:ascii="Times New Roman" w:hAnsi="Times New Roman"/>
        </w:rPr>
        <w:t>person</w:t>
      </w:r>
      <w:r w:rsidRPr="00E00583">
        <w:rPr>
          <w:rFonts w:ascii="Times New Roman" w:hAnsi="Times New Roman"/>
        </w:rPr>
        <w:t xml:space="preserve"> must declare that the project is a ‘provisional nominated service area’. </w:t>
      </w:r>
      <w:r w:rsidR="00E74DCA" w:rsidRPr="00E00583">
        <w:rPr>
          <w:rFonts w:ascii="Times New Roman" w:hAnsi="Times New Roman"/>
        </w:rPr>
        <w:t>The person</w:t>
      </w:r>
      <w:r w:rsidRPr="00E00583">
        <w:rPr>
          <w:rFonts w:ascii="Times New Roman" w:hAnsi="Times New Roman"/>
        </w:rPr>
        <w:t xml:space="preserve"> must provide the geographic coordinates of </w:t>
      </w:r>
      <w:r w:rsidR="00E74DCA" w:rsidRPr="00E00583">
        <w:rPr>
          <w:rFonts w:ascii="Times New Roman" w:hAnsi="Times New Roman"/>
        </w:rPr>
        <w:lastRenderedPageBreak/>
        <w:t>the</w:t>
      </w:r>
      <w:r w:rsidRPr="00E00583">
        <w:rPr>
          <w:rFonts w:ascii="Times New Roman" w:hAnsi="Times New Roman"/>
        </w:rPr>
        <w:t xml:space="preserve"> nominated service area to the Australian Communications and Media Authority (ACMA), which places the nominated service area on a SIP register.</w:t>
      </w:r>
    </w:p>
    <w:p w:rsidR="001D539B" w:rsidRPr="00E00583" w:rsidRDefault="00E74DCA" w:rsidP="001D539B">
      <w:pPr>
        <w:shd w:val="clear" w:color="auto" w:fill="FFFFFF"/>
        <w:spacing w:after="0"/>
        <w:rPr>
          <w:rFonts w:ascii="Times New Roman" w:hAnsi="Times New Roman"/>
        </w:rPr>
      </w:pPr>
      <w:r w:rsidRPr="00E00583">
        <w:rPr>
          <w:rFonts w:ascii="Times New Roman" w:hAnsi="Times New Roman"/>
        </w:rPr>
        <w:t>There are powers for the Minister to exempt carriers and CSPs from the nomination requirements (subsections 360H(3A), 360H(5A), 360</w:t>
      </w:r>
      <w:proofErr w:type="gramStart"/>
      <w:r w:rsidRPr="00E00583">
        <w:rPr>
          <w:rFonts w:ascii="Times New Roman" w:hAnsi="Times New Roman"/>
        </w:rPr>
        <w:t>HB(</w:t>
      </w:r>
      <w:proofErr w:type="gramEnd"/>
      <w:r w:rsidRPr="00E00583">
        <w:rPr>
          <w:rFonts w:ascii="Times New Roman" w:hAnsi="Times New Roman"/>
        </w:rPr>
        <w:t>4) and 360HB(8)).  If a person is exempted from the nomination requirement, it is then in turn exempted from complying with SIP connection and supply obligations (sections 360P and 360Q), and with Ministerial standards and rules (sections 360U and 360V), in relation to the specific exemption.</w:t>
      </w:r>
    </w:p>
    <w:p w:rsidR="00E74DCA" w:rsidRPr="00E00583" w:rsidRDefault="00E74DCA" w:rsidP="00E74DCA">
      <w:pPr>
        <w:shd w:val="clear" w:color="auto" w:fill="FFFFFF"/>
        <w:spacing w:before="100" w:beforeAutospacing="1" w:after="100" w:afterAutospacing="1"/>
        <w:rPr>
          <w:rFonts w:ascii="Times New Roman" w:hAnsi="Times New Roman"/>
        </w:rPr>
      </w:pPr>
      <w:r w:rsidRPr="00E00583">
        <w:rPr>
          <w:rFonts w:ascii="Times New Roman" w:hAnsi="Times New Roman"/>
        </w:rPr>
        <w:t>The current Determination</w:t>
      </w:r>
      <w:r w:rsidR="001D539B" w:rsidRPr="00E00583">
        <w:rPr>
          <w:rFonts w:ascii="Times New Roman" w:hAnsi="Times New Roman"/>
        </w:rPr>
        <w:t xml:space="preserve"> </w:t>
      </w:r>
      <w:r w:rsidRPr="00E00583">
        <w:rPr>
          <w:rFonts w:ascii="Times New Roman" w:hAnsi="Times New Roman"/>
        </w:rPr>
        <w:t>sets out four exemptions for real estate development projects and four exemptions for building redevelopment projects (together, ‘projects’), each relating to the following classes of networks:</w:t>
      </w:r>
    </w:p>
    <w:p w:rsidR="00E74DCA" w:rsidRPr="00E00583" w:rsidRDefault="00E74DCA" w:rsidP="00E74DCA">
      <w:pPr>
        <w:pStyle w:val="ListParagraph"/>
        <w:numPr>
          <w:ilvl w:val="0"/>
          <w:numId w:val="2"/>
        </w:numPr>
        <w:spacing w:before="0" w:beforeAutospacing="0" w:after="0" w:afterAutospacing="0"/>
        <w:contextualSpacing/>
      </w:pPr>
      <w:r w:rsidRPr="00E00583">
        <w:t xml:space="preserve">networks that Telstra </w:t>
      </w:r>
      <w:r w:rsidR="00BF5061" w:rsidRPr="00E00583">
        <w:t xml:space="preserve">Limited (Telstra) </w:t>
      </w:r>
      <w:r w:rsidRPr="00E00583">
        <w:t>installs using copper to supply Universal Service Obligation (USO) voice services to projects;</w:t>
      </w:r>
    </w:p>
    <w:p w:rsidR="00E74DCA" w:rsidRPr="00E00583" w:rsidRDefault="00E74DCA" w:rsidP="00E74DCA">
      <w:pPr>
        <w:pStyle w:val="ListParagraph"/>
        <w:numPr>
          <w:ilvl w:val="0"/>
          <w:numId w:val="2"/>
        </w:numPr>
        <w:spacing w:before="0" w:beforeAutospacing="0" w:after="0" w:afterAutospacing="0"/>
        <w:contextualSpacing/>
      </w:pPr>
      <w:r w:rsidRPr="00E00583">
        <w:t>extensions of hybrid-fibre coaxial (HFC) networks Telstra installs to service projects but then may transfer to NBN Co under the Definitive Agreements;</w:t>
      </w:r>
    </w:p>
    <w:p w:rsidR="00E74DCA" w:rsidRPr="00E00583" w:rsidRDefault="00E74DCA" w:rsidP="00E74DCA">
      <w:pPr>
        <w:pStyle w:val="ListParagraph"/>
        <w:numPr>
          <w:ilvl w:val="0"/>
          <w:numId w:val="2"/>
        </w:numPr>
        <w:spacing w:before="0" w:beforeAutospacing="0" w:after="0" w:afterAutospacing="0"/>
        <w:contextualSpacing/>
      </w:pPr>
      <w:r w:rsidRPr="00E00583">
        <w:t>mobile network extensions that carriers install, under contract with a developer, to provide mobile coverage to a project; and</w:t>
      </w:r>
    </w:p>
    <w:p w:rsidR="00E74DCA" w:rsidRPr="00E00583" w:rsidRDefault="00E74DCA" w:rsidP="00E74DCA">
      <w:pPr>
        <w:pStyle w:val="ListParagraph"/>
        <w:numPr>
          <w:ilvl w:val="0"/>
          <w:numId w:val="2"/>
        </w:numPr>
        <w:shd w:val="clear" w:color="auto" w:fill="FFFFFF"/>
      </w:pPr>
      <w:r w:rsidRPr="00E00583">
        <w:t>radiocommunications networks that carriers may install under a contract with a developer to supply fixed voice services (but not high-speed broadband) to a project.</w:t>
      </w:r>
    </w:p>
    <w:p w:rsidR="00E74DCA" w:rsidRPr="00E00583" w:rsidRDefault="00A34DEF" w:rsidP="001D539B">
      <w:pPr>
        <w:shd w:val="clear" w:color="auto" w:fill="FFFFFF"/>
        <w:rPr>
          <w:rFonts w:ascii="Times New Roman" w:hAnsi="Times New Roman"/>
        </w:rPr>
      </w:pPr>
      <w:r w:rsidRPr="00E00583">
        <w:rPr>
          <w:rFonts w:ascii="Times New Roman" w:hAnsi="Times New Roman"/>
        </w:rPr>
        <w:t xml:space="preserve">The </w:t>
      </w:r>
      <w:r w:rsidRPr="00E00583">
        <w:rPr>
          <w:rFonts w:ascii="Times New Roman" w:hAnsi="Times New Roman"/>
          <w:i/>
        </w:rPr>
        <w:t>Telecommunications Legislation Amendment (Enhancing Consumer Safeguards and Other Measures) Act 2024</w:t>
      </w:r>
      <w:r w:rsidRPr="00E00583">
        <w:rPr>
          <w:rFonts w:ascii="Times New Roman" w:hAnsi="Times New Roman"/>
        </w:rPr>
        <w:t xml:space="preserve"> brought across exemption classes (c) and (d) above to the statute. As a result, the Determination remove</w:t>
      </w:r>
      <w:r w:rsidR="00726429" w:rsidRPr="00E00583">
        <w:rPr>
          <w:rFonts w:ascii="Times New Roman" w:hAnsi="Times New Roman"/>
        </w:rPr>
        <w:t>s</w:t>
      </w:r>
      <w:r w:rsidRPr="00E00583">
        <w:rPr>
          <w:rFonts w:ascii="Times New Roman" w:hAnsi="Times New Roman"/>
        </w:rPr>
        <w:t xml:space="preserve"> the exemptions.</w:t>
      </w:r>
    </w:p>
    <w:p w:rsidR="00A34DEF" w:rsidRPr="00E00583" w:rsidRDefault="00A34DEF" w:rsidP="001D539B">
      <w:pPr>
        <w:shd w:val="clear" w:color="auto" w:fill="FFFFFF"/>
        <w:rPr>
          <w:rFonts w:ascii="Times New Roman" w:hAnsi="Times New Roman"/>
        </w:rPr>
      </w:pPr>
      <w:r w:rsidRPr="00E00583">
        <w:rPr>
          <w:rFonts w:ascii="Times New Roman" w:hAnsi="Times New Roman"/>
        </w:rPr>
        <w:t>During consultation, Telstra confirmed to the Department of Infrastructure, Transport, Regional Development, Communications and the Arts that it no longer requires exemption class (b), as it no longer controls any HFC networks. However, it also confirmed that</w:t>
      </w:r>
      <w:r w:rsidR="00A4600E" w:rsidRPr="00E00583">
        <w:rPr>
          <w:rFonts w:ascii="Times New Roman" w:hAnsi="Times New Roman"/>
        </w:rPr>
        <w:t>, as</w:t>
      </w:r>
      <w:r w:rsidRPr="00E00583">
        <w:rPr>
          <w:rFonts w:ascii="Times New Roman" w:hAnsi="Times New Roman"/>
        </w:rPr>
        <w:t xml:space="preserve"> it continues to use copper </w:t>
      </w:r>
      <w:r w:rsidR="00A4600E" w:rsidRPr="00E00583">
        <w:rPr>
          <w:rFonts w:ascii="Times New Roman" w:hAnsi="Times New Roman"/>
        </w:rPr>
        <w:t xml:space="preserve">in limited circumstances, </w:t>
      </w:r>
      <w:r w:rsidRPr="00E00583">
        <w:rPr>
          <w:rFonts w:ascii="Times New Roman" w:hAnsi="Times New Roman"/>
        </w:rPr>
        <w:t>it requires exemption class (a).</w:t>
      </w:r>
    </w:p>
    <w:p w:rsidR="00A34DEF" w:rsidRPr="00E00583" w:rsidRDefault="00A34DEF" w:rsidP="001D539B">
      <w:pPr>
        <w:shd w:val="clear" w:color="auto" w:fill="FFFFFF"/>
        <w:rPr>
          <w:rFonts w:ascii="Times New Roman" w:hAnsi="Times New Roman"/>
        </w:rPr>
      </w:pPr>
      <w:r w:rsidRPr="00E00583">
        <w:rPr>
          <w:rFonts w:ascii="Times New Roman" w:hAnsi="Times New Roman"/>
        </w:rPr>
        <w:t>The Determination will therefore amend the current Determination to remove exemption classes (b), (c) and (d).</w:t>
      </w:r>
    </w:p>
    <w:p w:rsidR="00B92B52" w:rsidRPr="00E00583" w:rsidRDefault="00B92B52" w:rsidP="001D539B">
      <w:pPr>
        <w:shd w:val="clear" w:color="auto" w:fill="FFFFFF"/>
        <w:spacing w:before="100" w:beforeAutospacing="1" w:after="100" w:afterAutospacing="1"/>
        <w:rPr>
          <w:rFonts w:ascii="Times New Roman" w:hAnsi="Times New Roman"/>
          <w:b/>
        </w:rPr>
      </w:pPr>
      <w:r w:rsidRPr="00E00583">
        <w:rPr>
          <w:rFonts w:ascii="Times New Roman" w:hAnsi="Times New Roman"/>
          <w:b/>
        </w:rPr>
        <w:t>The copper exemptions</w:t>
      </w:r>
    </w:p>
    <w:p w:rsidR="001D539B" w:rsidRPr="00E00583" w:rsidRDefault="00A34DEF" w:rsidP="001D539B">
      <w:pPr>
        <w:shd w:val="clear" w:color="auto" w:fill="FFFFFF"/>
        <w:spacing w:before="100" w:beforeAutospacing="1" w:after="100" w:afterAutospacing="1"/>
        <w:rPr>
          <w:rFonts w:ascii="Times New Roman" w:hAnsi="Times New Roman"/>
        </w:rPr>
      </w:pPr>
      <w:r w:rsidRPr="00E00583">
        <w:rPr>
          <w:rFonts w:ascii="Times New Roman" w:hAnsi="Times New Roman"/>
        </w:rPr>
        <w:t>Exemption class (a) is set out in s</w:t>
      </w:r>
      <w:r w:rsidR="001D539B" w:rsidRPr="00E00583">
        <w:rPr>
          <w:rFonts w:ascii="Times New Roman" w:hAnsi="Times New Roman"/>
        </w:rPr>
        <w:t xml:space="preserve">ections 5 and 9 of the </w:t>
      </w:r>
      <w:r w:rsidRPr="00E00583">
        <w:rPr>
          <w:rFonts w:ascii="Times New Roman" w:hAnsi="Times New Roman"/>
        </w:rPr>
        <w:t>current Determination, which will remain in the instrument after it is amended by this Determination. The sections exempt c</w:t>
      </w:r>
      <w:r w:rsidR="001D539B" w:rsidRPr="00E00583">
        <w:rPr>
          <w:rFonts w:ascii="Times New Roman" w:hAnsi="Times New Roman"/>
        </w:rPr>
        <w:t xml:space="preserve">opper networks installed by Telstra in order to supply voice services under the USO. In many areas of Australia Telstra uses the </w:t>
      </w:r>
      <w:r w:rsidR="00B92B52" w:rsidRPr="00E00583">
        <w:rPr>
          <w:rFonts w:ascii="Times New Roman" w:hAnsi="Times New Roman"/>
        </w:rPr>
        <w:t>National Broadband Network (</w:t>
      </w:r>
      <w:r w:rsidR="001D539B" w:rsidRPr="00E00583">
        <w:rPr>
          <w:rFonts w:ascii="Times New Roman" w:hAnsi="Times New Roman"/>
        </w:rPr>
        <w:t>NBN</w:t>
      </w:r>
      <w:r w:rsidR="00B92B52" w:rsidRPr="00E00583">
        <w:rPr>
          <w:rFonts w:ascii="Times New Roman" w:hAnsi="Times New Roman"/>
        </w:rPr>
        <w:t>)</w:t>
      </w:r>
      <w:r w:rsidR="001D539B" w:rsidRPr="00E00583">
        <w:rPr>
          <w:rFonts w:ascii="Times New Roman" w:hAnsi="Times New Roman"/>
        </w:rPr>
        <w:t xml:space="preserve"> to supply USO voice services. However, where it is not able to use the NBN, it needs to provide the required infrastructure. This is typically outside NBN Co’s fixed-line footprint. </w:t>
      </w:r>
      <w:r w:rsidR="00B92B52" w:rsidRPr="00E00583">
        <w:rPr>
          <w:rFonts w:ascii="Times New Roman" w:hAnsi="Times New Roman"/>
        </w:rPr>
        <w:t>Until 2021, Telstra would enter into contracts with developers to provide copper networks to new developments outside that footprint</w:t>
      </w:r>
      <w:r w:rsidR="001D539B" w:rsidRPr="00E00583">
        <w:rPr>
          <w:rFonts w:ascii="Times New Roman" w:hAnsi="Times New Roman"/>
        </w:rPr>
        <w:t>.</w:t>
      </w:r>
      <w:r w:rsidR="00B92B52" w:rsidRPr="00E00583">
        <w:rPr>
          <w:rFonts w:ascii="Times New Roman" w:hAnsi="Times New Roman"/>
        </w:rPr>
        <w:t xml:space="preserve"> Telstra would supply both broadband and voice over the networks, but typically the broadband operate</w:t>
      </w:r>
      <w:r w:rsidR="00A4600E" w:rsidRPr="00E00583">
        <w:rPr>
          <w:rFonts w:ascii="Times New Roman" w:hAnsi="Times New Roman"/>
        </w:rPr>
        <w:t>s</w:t>
      </w:r>
      <w:r w:rsidR="00B92B52" w:rsidRPr="00E00583">
        <w:rPr>
          <w:rFonts w:ascii="Times New Roman" w:hAnsi="Times New Roman"/>
        </w:rPr>
        <w:t xml:space="preserve"> at a lower speed than the peak speed of at least 25/5 Mbps envisaged by the SIP regime. Accordingly, Telstra can use the networks to supply voice services, but cannot use them to meet SIP requirements.</w:t>
      </w:r>
    </w:p>
    <w:p w:rsidR="00B92B52" w:rsidRPr="00E00583" w:rsidRDefault="00B92B52" w:rsidP="001D539B">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Telstra </w:t>
      </w:r>
      <w:r w:rsidR="00726429" w:rsidRPr="00E00583">
        <w:rPr>
          <w:rFonts w:ascii="Times New Roman" w:hAnsi="Times New Roman"/>
        </w:rPr>
        <w:t xml:space="preserve">has </w:t>
      </w:r>
      <w:r w:rsidRPr="00E00583">
        <w:rPr>
          <w:rFonts w:ascii="Times New Roman" w:hAnsi="Times New Roman"/>
        </w:rPr>
        <w:t xml:space="preserve">confirmed that, while it no longer enters into contracts with developers to provide </w:t>
      </w:r>
      <w:r w:rsidR="00726429" w:rsidRPr="00E00583">
        <w:rPr>
          <w:rFonts w:ascii="Times New Roman" w:hAnsi="Times New Roman"/>
        </w:rPr>
        <w:t xml:space="preserve">new </w:t>
      </w:r>
      <w:r w:rsidRPr="00E00583">
        <w:rPr>
          <w:rFonts w:ascii="Times New Roman" w:hAnsi="Times New Roman"/>
        </w:rPr>
        <w:t xml:space="preserve">copper networks in project areas, it may still extend existing copper networks to connect new buildings in its current project areas </w:t>
      </w:r>
      <w:r w:rsidR="008D65D4" w:rsidRPr="00E00583">
        <w:rPr>
          <w:rFonts w:ascii="Times New Roman" w:hAnsi="Times New Roman"/>
        </w:rPr>
        <w:t>i</w:t>
      </w:r>
      <w:r w:rsidR="00726429" w:rsidRPr="00E00583">
        <w:rPr>
          <w:rFonts w:ascii="Times New Roman" w:hAnsi="Times New Roman"/>
        </w:rPr>
        <w:t>n some limited circumstances.</w:t>
      </w:r>
    </w:p>
    <w:p w:rsidR="001D539B" w:rsidRPr="00E00583" w:rsidRDefault="00726429" w:rsidP="00213D59">
      <w:pPr>
        <w:shd w:val="clear" w:color="auto" w:fill="FFFFFF"/>
        <w:spacing w:before="100" w:beforeAutospacing="1" w:after="100" w:afterAutospacing="1"/>
        <w:rPr>
          <w:rFonts w:ascii="Times New Roman" w:hAnsi="Times New Roman"/>
        </w:rPr>
      </w:pPr>
      <w:r w:rsidRPr="00E00583">
        <w:rPr>
          <w:rFonts w:ascii="Times New Roman" w:hAnsi="Times New Roman"/>
        </w:rPr>
        <w:lastRenderedPageBreak/>
        <w:t>Retaining the current exemption for these services will allow</w:t>
      </w:r>
      <w:r w:rsidR="008D65D4" w:rsidRPr="00E00583">
        <w:rPr>
          <w:rFonts w:ascii="Times New Roman" w:hAnsi="Times New Roman"/>
        </w:rPr>
        <w:t xml:space="preserve"> </w:t>
      </w:r>
      <w:proofErr w:type="gramStart"/>
      <w:r w:rsidR="00B92B52" w:rsidRPr="00E00583">
        <w:rPr>
          <w:rFonts w:ascii="Times New Roman" w:hAnsi="Times New Roman"/>
        </w:rPr>
        <w:t>Telstra  to</w:t>
      </w:r>
      <w:proofErr w:type="gramEnd"/>
      <w:r w:rsidR="00B92B52" w:rsidRPr="00E00583">
        <w:rPr>
          <w:rFonts w:ascii="Times New Roman" w:hAnsi="Times New Roman"/>
        </w:rPr>
        <w:t xml:space="preserve"> continue to use its copper networks to provide incidental connections within existing copper networks, to support its USO activities, without becoming subject to SIP obligations.</w:t>
      </w:r>
    </w:p>
    <w:p w:rsidR="00213D59" w:rsidRPr="00E00583" w:rsidRDefault="00213D5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People living or working in exempt </w:t>
      </w:r>
      <w:r w:rsidR="00B92B52" w:rsidRPr="00E00583">
        <w:rPr>
          <w:rFonts w:ascii="Times New Roman" w:hAnsi="Times New Roman"/>
        </w:rPr>
        <w:t>project areas</w:t>
      </w:r>
      <w:r w:rsidRPr="00E00583">
        <w:rPr>
          <w:rFonts w:ascii="Times New Roman" w:hAnsi="Times New Roman"/>
        </w:rPr>
        <w:t xml:space="preserve"> </w:t>
      </w:r>
      <w:r w:rsidR="00726429" w:rsidRPr="00E00583">
        <w:rPr>
          <w:rFonts w:ascii="Times New Roman" w:hAnsi="Times New Roman"/>
        </w:rPr>
        <w:t>will still be</w:t>
      </w:r>
      <w:r w:rsidRPr="00E00583">
        <w:rPr>
          <w:rFonts w:ascii="Times New Roman" w:hAnsi="Times New Roman"/>
        </w:rPr>
        <w:t xml:space="preserve"> able to access high-speed broadband as NBN Co, as the default SIP, </w:t>
      </w:r>
      <w:r w:rsidR="00A34DEF" w:rsidRPr="00E00583">
        <w:rPr>
          <w:rFonts w:ascii="Times New Roman" w:hAnsi="Times New Roman"/>
        </w:rPr>
        <w:t>is</w:t>
      </w:r>
      <w:r w:rsidRPr="00E00583">
        <w:rPr>
          <w:rFonts w:ascii="Times New Roman" w:hAnsi="Times New Roman"/>
        </w:rPr>
        <w:t xml:space="preserve"> required to supply this. The </w:t>
      </w:r>
      <w:r w:rsidR="00A34DEF" w:rsidRPr="00E00583">
        <w:rPr>
          <w:rFonts w:ascii="Times New Roman" w:hAnsi="Times New Roman"/>
        </w:rPr>
        <w:t xml:space="preserve">copper </w:t>
      </w:r>
      <w:r w:rsidRPr="00E00583">
        <w:rPr>
          <w:rFonts w:ascii="Times New Roman" w:hAnsi="Times New Roman"/>
        </w:rPr>
        <w:t>exemption provide</w:t>
      </w:r>
      <w:r w:rsidR="00A34DEF" w:rsidRPr="00E00583">
        <w:rPr>
          <w:rFonts w:ascii="Times New Roman" w:hAnsi="Times New Roman"/>
        </w:rPr>
        <w:t>s</w:t>
      </w:r>
      <w:r w:rsidRPr="00E00583">
        <w:rPr>
          <w:rFonts w:ascii="Times New Roman" w:hAnsi="Times New Roman"/>
        </w:rPr>
        <w:t xml:space="preserve"> </w:t>
      </w:r>
      <w:r w:rsidR="00A4600E" w:rsidRPr="00E00583">
        <w:rPr>
          <w:rFonts w:ascii="Times New Roman" w:hAnsi="Times New Roman"/>
        </w:rPr>
        <w:t>end-users in exempt project areas</w:t>
      </w:r>
      <w:r w:rsidRPr="00E00583">
        <w:rPr>
          <w:rFonts w:ascii="Times New Roman" w:hAnsi="Times New Roman"/>
        </w:rPr>
        <w:t xml:space="preserve"> with certainty </w:t>
      </w:r>
      <w:r w:rsidR="00A4600E" w:rsidRPr="00E00583">
        <w:rPr>
          <w:rFonts w:ascii="Times New Roman" w:hAnsi="Times New Roman"/>
        </w:rPr>
        <w:t>that they can receive</w:t>
      </w:r>
      <w:r w:rsidRPr="00E00583">
        <w:rPr>
          <w:rFonts w:ascii="Times New Roman" w:hAnsi="Times New Roman"/>
        </w:rPr>
        <w:t xml:space="preserve"> voice services </w:t>
      </w:r>
      <w:r w:rsidR="00A4600E" w:rsidRPr="00E00583">
        <w:rPr>
          <w:rFonts w:ascii="Times New Roman" w:hAnsi="Times New Roman"/>
        </w:rPr>
        <w:t>over copper where this is required</w:t>
      </w:r>
      <w:r w:rsidRPr="00E00583">
        <w:rPr>
          <w:rFonts w:ascii="Times New Roman" w:hAnsi="Times New Roman"/>
        </w:rPr>
        <w:t>.</w:t>
      </w:r>
    </w:p>
    <w:p w:rsidR="00A34DEF" w:rsidRPr="00E00583" w:rsidRDefault="00A34DEF" w:rsidP="00213D59">
      <w:pPr>
        <w:shd w:val="clear" w:color="auto" w:fill="FFFFFF"/>
        <w:spacing w:before="100" w:beforeAutospacing="1" w:after="100" w:afterAutospacing="1"/>
        <w:ind w:right="91"/>
        <w:rPr>
          <w:rFonts w:ascii="Times New Roman" w:hAnsi="Times New Roman"/>
          <w:b/>
        </w:rPr>
      </w:pPr>
      <w:r w:rsidRPr="00E00583">
        <w:rPr>
          <w:rFonts w:ascii="Times New Roman" w:hAnsi="Times New Roman"/>
          <w:b/>
        </w:rPr>
        <w:t>The Determination</w:t>
      </w:r>
    </w:p>
    <w:p w:rsidR="00213D59" w:rsidRPr="00E00583" w:rsidRDefault="00213D59" w:rsidP="00213D59">
      <w:pPr>
        <w:shd w:val="clear" w:color="auto" w:fill="FFFFFF"/>
        <w:spacing w:before="100" w:beforeAutospacing="1" w:after="100" w:afterAutospacing="1"/>
        <w:ind w:right="91"/>
        <w:rPr>
          <w:rFonts w:ascii="Times New Roman" w:hAnsi="Times New Roman"/>
        </w:rPr>
      </w:pPr>
      <w:r w:rsidRPr="00E00583">
        <w:rPr>
          <w:rFonts w:ascii="Times New Roman" w:hAnsi="Times New Roman"/>
        </w:rPr>
        <w:t xml:space="preserve">The </w:t>
      </w:r>
      <w:r w:rsidR="00A34DEF" w:rsidRPr="00E00583">
        <w:rPr>
          <w:rFonts w:ascii="Times New Roman" w:hAnsi="Times New Roman"/>
        </w:rPr>
        <w:t>Determination</w:t>
      </w:r>
      <w:r w:rsidRPr="00E00583">
        <w:rPr>
          <w:rFonts w:ascii="Times New Roman" w:hAnsi="Times New Roman"/>
        </w:rPr>
        <w:t xml:space="preserve"> is a legislative instrument for the purposes of the </w:t>
      </w:r>
      <w:r w:rsidRPr="00E00583">
        <w:rPr>
          <w:rFonts w:ascii="Times New Roman" w:hAnsi="Times New Roman"/>
          <w:i/>
          <w:iCs/>
        </w:rPr>
        <w:t>Legislation Act 2003.</w:t>
      </w:r>
      <w:r w:rsidRPr="00E00583">
        <w:rPr>
          <w:rFonts w:ascii="Times New Roman" w:hAnsi="Times New Roman"/>
        </w:rPr>
        <w:t xml:space="preserve"> The </w:t>
      </w:r>
      <w:r w:rsidR="00B92B52" w:rsidRPr="00E00583">
        <w:rPr>
          <w:rFonts w:ascii="Times New Roman" w:hAnsi="Times New Roman"/>
        </w:rPr>
        <w:t xml:space="preserve">Determination </w:t>
      </w:r>
      <w:r w:rsidRPr="00E00583">
        <w:rPr>
          <w:rFonts w:ascii="Times New Roman" w:hAnsi="Times New Roman"/>
        </w:rPr>
        <w:t>commences the day after it is registered.</w:t>
      </w:r>
    </w:p>
    <w:p w:rsidR="00213D59" w:rsidRPr="00E00583" w:rsidRDefault="00213D59" w:rsidP="00213D59">
      <w:pPr>
        <w:shd w:val="clear" w:color="auto" w:fill="FFFFFF"/>
        <w:spacing w:before="100" w:beforeAutospacing="1" w:after="100" w:afterAutospacing="1"/>
        <w:ind w:right="91"/>
        <w:rPr>
          <w:rFonts w:ascii="Times New Roman" w:hAnsi="Times New Roman"/>
          <w:u w:val="single"/>
        </w:rPr>
      </w:pPr>
      <w:r w:rsidRPr="00E00583">
        <w:rPr>
          <w:rFonts w:ascii="Times New Roman" w:hAnsi="Times New Roman"/>
        </w:rPr>
        <w:t xml:space="preserve">Details of the </w:t>
      </w:r>
      <w:r w:rsidR="00B92B52" w:rsidRPr="00E00583">
        <w:rPr>
          <w:rFonts w:ascii="Times New Roman" w:hAnsi="Times New Roman"/>
        </w:rPr>
        <w:t>Determination</w:t>
      </w:r>
      <w:r w:rsidRPr="00E00583">
        <w:rPr>
          <w:rFonts w:ascii="Times New Roman" w:hAnsi="Times New Roman"/>
        </w:rPr>
        <w:t xml:space="preserve"> are set out in </w:t>
      </w:r>
      <w:r w:rsidRPr="00E00583">
        <w:rPr>
          <w:rFonts w:ascii="Times New Roman" w:hAnsi="Times New Roman"/>
          <w:u w:val="single"/>
        </w:rPr>
        <w:t>Attachment A.</w:t>
      </w:r>
    </w:p>
    <w:p w:rsidR="00213D59" w:rsidRPr="00E00583" w:rsidRDefault="00213D59" w:rsidP="00213D59">
      <w:pPr>
        <w:rPr>
          <w:rFonts w:ascii="Times New Roman" w:hAnsi="Times New Roman"/>
          <w:u w:val="single"/>
        </w:rPr>
      </w:pPr>
      <w:r w:rsidRPr="00E00583">
        <w:rPr>
          <w:rFonts w:ascii="Times New Roman" w:hAnsi="Times New Roman"/>
          <w:u w:val="single"/>
        </w:rPr>
        <w:t>Consultation</w:t>
      </w:r>
    </w:p>
    <w:p w:rsidR="00213D59" w:rsidRPr="00E00583" w:rsidRDefault="00213D59" w:rsidP="00213D59">
      <w:pPr>
        <w:rPr>
          <w:rFonts w:ascii="Times New Roman" w:hAnsi="Times New Roman"/>
        </w:rPr>
      </w:pPr>
      <w:r w:rsidRPr="00E00583">
        <w:rPr>
          <w:rFonts w:ascii="Times New Roman" w:hAnsi="Times New Roman"/>
        </w:rPr>
        <w:t xml:space="preserve">The Department of Infrastructure, Transport, Regional Development and Communications, and the Arts (the Department) consulted </w:t>
      </w:r>
      <w:r w:rsidR="00B92B52" w:rsidRPr="00E00583">
        <w:rPr>
          <w:rFonts w:ascii="Times New Roman" w:hAnsi="Times New Roman"/>
        </w:rPr>
        <w:t>interested stakeholders</w:t>
      </w:r>
      <w:r w:rsidR="00A4600E" w:rsidRPr="00E00583">
        <w:rPr>
          <w:rFonts w:ascii="Times New Roman" w:hAnsi="Times New Roman"/>
        </w:rPr>
        <w:t>, including consumer and industry representatives,</w:t>
      </w:r>
      <w:r w:rsidR="00B92B52" w:rsidRPr="00E00583">
        <w:rPr>
          <w:rFonts w:ascii="Times New Roman" w:hAnsi="Times New Roman"/>
        </w:rPr>
        <w:t xml:space="preserve"> on the approach and on a draft of the instrument</w:t>
      </w:r>
      <w:r w:rsidRPr="00E00583">
        <w:rPr>
          <w:rFonts w:ascii="Times New Roman" w:hAnsi="Times New Roman"/>
        </w:rPr>
        <w:t xml:space="preserve">. </w:t>
      </w:r>
      <w:r w:rsidR="00A4600E" w:rsidRPr="00E00583">
        <w:rPr>
          <w:rFonts w:ascii="Times New Roman" w:hAnsi="Times New Roman"/>
        </w:rPr>
        <w:t>They did not have any comments or concerns.</w:t>
      </w:r>
    </w:p>
    <w:p w:rsidR="00E00033" w:rsidRPr="00E00583" w:rsidRDefault="00E00033" w:rsidP="00213D59">
      <w:pPr>
        <w:spacing w:before="100" w:beforeAutospacing="1" w:after="100" w:afterAutospacing="1"/>
        <w:rPr>
          <w:rFonts w:ascii="Times New Roman" w:hAnsi="Times New Roman"/>
          <w:shd w:val="clear" w:color="auto" w:fill="FFFFFF"/>
        </w:rPr>
      </w:pPr>
      <w:r w:rsidRPr="00E00583">
        <w:rPr>
          <w:rFonts w:ascii="Times New Roman" w:hAnsi="Times New Roman"/>
        </w:rPr>
        <w:t>The Office of Impact Analysis (OIA) has determined that a regulatory impact statement is not required (reference number OIA24-07534)</w:t>
      </w:r>
      <w:r w:rsidRPr="00E00583">
        <w:rPr>
          <w:rFonts w:ascii="Times New Roman" w:hAnsi="Times New Roman"/>
          <w:shd w:val="clear" w:color="auto" w:fill="FFFFFF"/>
        </w:rPr>
        <w:t>.</w:t>
      </w:r>
    </w:p>
    <w:p w:rsidR="00213D59" w:rsidRPr="00E00583" w:rsidRDefault="00213D59" w:rsidP="00213D59">
      <w:pPr>
        <w:spacing w:before="100" w:beforeAutospacing="1" w:after="100" w:afterAutospacing="1"/>
        <w:rPr>
          <w:rFonts w:ascii="Times New Roman" w:hAnsi="Times New Roman"/>
          <w:bCs/>
          <w:u w:val="single"/>
        </w:rPr>
      </w:pPr>
      <w:r w:rsidRPr="00E00583">
        <w:rPr>
          <w:rFonts w:ascii="Times New Roman" w:hAnsi="Times New Roman"/>
          <w:bCs/>
          <w:u w:val="single"/>
        </w:rPr>
        <w:t>Statement of compatibility with human rights</w:t>
      </w:r>
    </w:p>
    <w:p w:rsidR="00213D59" w:rsidRPr="00E00583" w:rsidRDefault="00213D59" w:rsidP="00213D59">
      <w:pPr>
        <w:spacing w:before="100" w:beforeAutospacing="1" w:after="100" w:afterAutospacing="1"/>
        <w:rPr>
          <w:rFonts w:ascii="Times New Roman" w:hAnsi="Times New Roman"/>
          <w:color w:val="000000"/>
        </w:rPr>
      </w:pPr>
      <w:r w:rsidRPr="00E00583">
        <w:rPr>
          <w:rFonts w:ascii="Times New Roman" w:hAnsi="Times New Roman"/>
          <w:color w:val="000000"/>
        </w:rPr>
        <w:t xml:space="preserve">A statement of compatibility with human rights for the purposes of Part 3 of the </w:t>
      </w:r>
      <w:r w:rsidRPr="00E00583">
        <w:rPr>
          <w:rFonts w:ascii="Times New Roman" w:hAnsi="Times New Roman"/>
          <w:i/>
          <w:color w:val="000000"/>
        </w:rPr>
        <w:t xml:space="preserve">Human Rights (Parliamentary Scrutiny) Act 2011 </w:t>
      </w:r>
      <w:r w:rsidRPr="00E00583">
        <w:rPr>
          <w:rFonts w:ascii="Times New Roman" w:hAnsi="Times New Roman"/>
          <w:color w:val="000000"/>
        </w:rPr>
        <w:t xml:space="preserve">is set out at </w:t>
      </w:r>
      <w:r w:rsidRPr="00E00583">
        <w:rPr>
          <w:rFonts w:ascii="Times New Roman" w:hAnsi="Times New Roman"/>
          <w:color w:val="000000"/>
          <w:u w:val="single"/>
        </w:rPr>
        <w:t>Attachment B</w:t>
      </w:r>
      <w:r w:rsidRPr="00E00583">
        <w:rPr>
          <w:rFonts w:ascii="Times New Roman" w:hAnsi="Times New Roman"/>
          <w:color w:val="000000"/>
        </w:rPr>
        <w:t>.</w:t>
      </w:r>
    </w:p>
    <w:p w:rsidR="00213D59" w:rsidRPr="00E00583" w:rsidRDefault="00213D59" w:rsidP="00213D59">
      <w:pPr>
        <w:spacing w:after="160" w:line="259" w:lineRule="auto"/>
        <w:rPr>
          <w:rFonts w:ascii="Times New Roman" w:hAnsi="Times New Roman"/>
          <w:b/>
          <w:sz w:val="28"/>
          <w:szCs w:val="28"/>
        </w:rPr>
      </w:pPr>
      <w:r w:rsidRPr="00E00583">
        <w:rPr>
          <w:rFonts w:ascii="Times New Roman" w:hAnsi="Times New Roman"/>
          <w:b/>
          <w:sz w:val="28"/>
          <w:szCs w:val="28"/>
        </w:rPr>
        <w:br w:type="page"/>
      </w:r>
    </w:p>
    <w:p w:rsidR="00213D59" w:rsidRPr="00E00583" w:rsidRDefault="00213D59" w:rsidP="00213D59">
      <w:pPr>
        <w:ind w:right="91"/>
        <w:jc w:val="right"/>
        <w:rPr>
          <w:rFonts w:ascii="Times New Roman" w:hAnsi="Times New Roman"/>
          <w:b/>
          <w:sz w:val="28"/>
          <w:szCs w:val="28"/>
        </w:rPr>
      </w:pPr>
      <w:r w:rsidRPr="00E00583">
        <w:rPr>
          <w:rFonts w:ascii="Times New Roman" w:hAnsi="Times New Roman"/>
          <w:b/>
          <w:sz w:val="28"/>
          <w:szCs w:val="28"/>
        </w:rPr>
        <w:lastRenderedPageBreak/>
        <w:t>Attachment A</w:t>
      </w:r>
    </w:p>
    <w:p w:rsidR="00213D59" w:rsidRPr="00E00583" w:rsidRDefault="00213D59" w:rsidP="00213D59">
      <w:pPr>
        <w:ind w:right="91"/>
        <w:rPr>
          <w:rFonts w:ascii="Times New Roman" w:hAnsi="Times New Roman"/>
          <w:b/>
          <w:sz w:val="28"/>
          <w:szCs w:val="28"/>
        </w:rPr>
      </w:pPr>
      <w:r w:rsidRPr="00E00583">
        <w:rPr>
          <w:rFonts w:ascii="Times New Roman" w:hAnsi="Times New Roman"/>
          <w:b/>
          <w:sz w:val="28"/>
          <w:szCs w:val="28"/>
        </w:rPr>
        <w:t xml:space="preserve">Details of the </w:t>
      </w:r>
      <w:r w:rsidRPr="00E00583">
        <w:rPr>
          <w:rFonts w:ascii="Times New Roman" w:hAnsi="Times New Roman"/>
          <w:b/>
          <w:i/>
          <w:sz w:val="28"/>
          <w:szCs w:val="28"/>
        </w:rPr>
        <w:t xml:space="preserve">Telecommunications (Statutory Infrastructure Providers – Exempt Real Estate Development Projects and Building Redevelopment Projects) </w:t>
      </w:r>
      <w:r w:rsidR="0016665B" w:rsidRPr="00E00583">
        <w:rPr>
          <w:rFonts w:ascii="Times New Roman" w:hAnsi="Times New Roman"/>
          <w:b/>
          <w:i/>
          <w:sz w:val="28"/>
          <w:szCs w:val="28"/>
        </w:rPr>
        <w:t>Amendment Determination</w:t>
      </w:r>
      <w:r w:rsidRPr="00E00583">
        <w:rPr>
          <w:rFonts w:ascii="Times New Roman" w:hAnsi="Times New Roman"/>
          <w:b/>
          <w:i/>
          <w:sz w:val="28"/>
          <w:szCs w:val="28"/>
        </w:rPr>
        <w:t xml:space="preserve"> (No. 1) 202</w:t>
      </w:r>
      <w:r w:rsidR="001C27F5" w:rsidRPr="00E00583">
        <w:rPr>
          <w:rFonts w:ascii="Times New Roman" w:hAnsi="Times New Roman"/>
          <w:b/>
          <w:i/>
          <w:sz w:val="28"/>
          <w:szCs w:val="28"/>
        </w:rPr>
        <w:t>4</w:t>
      </w:r>
    </w:p>
    <w:p w:rsidR="00213D59" w:rsidRPr="00E00583" w:rsidRDefault="00213D59" w:rsidP="00213D59">
      <w:pPr>
        <w:widowControl w:val="0"/>
        <w:rPr>
          <w:rStyle w:val="CharPartText"/>
          <w:rFonts w:ascii="Times New Roman" w:eastAsiaTheme="minorHAnsi" w:hAnsi="Times New Roman"/>
          <w:b/>
          <w:kern w:val="24"/>
          <w:lang w:eastAsia="en-US"/>
        </w:rPr>
      </w:pPr>
      <w:bookmarkStart w:id="1" w:name="_Toc489271478"/>
      <w:r w:rsidRPr="00E00583">
        <w:rPr>
          <w:rStyle w:val="CharPartText"/>
          <w:rFonts w:ascii="Times New Roman" w:eastAsiaTheme="minorHAnsi" w:hAnsi="Times New Roman"/>
          <w:b/>
          <w:kern w:val="24"/>
          <w:lang w:eastAsia="en-US"/>
        </w:rPr>
        <w:t>Part 1—Introductory</w:t>
      </w:r>
      <w:bookmarkEnd w:id="1"/>
    </w:p>
    <w:p w:rsidR="00213D59" w:rsidRPr="00E00583" w:rsidRDefault="00213D59" w:rsidP="00213D59">
      <w:pPr>
        <w:widowControl w:val="0"/>
        <w:ind w:right="91"/>
        <w:rPr>
          <w:rFonts w:ascii="Times New Roman" w:eastAsiaTheme="minorHAnsi" w:hAnsi="Times New Roman"/>
          <w:kern w:val="24"/>
          <w:u w:val="single"/>
          <w:lang w:eastAsia="en-US"/>
        </w:rPr>
      </w:pPr>
      <w:r w:rsidRPr="00E00583">
        <w:rPr>
          <w:rFonts w:ascii="Times New Roman" w:eastAsiaTheme="minorHAnsi" w:hAnsi="Times New Roman"/>
          <w:kern w:val="24"/>
          <w:u w:val="single"/>
          <w:lang w:eastAsia="en-US"/>
        </w:rPr>
        <w:t>Section 1 – Name</w:t>
      </w:r>
    </w:p>
    <w:p w:rsidR="00213D59" w:rsidRPr="00E00583" w:rsidRDefault="00213D59"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This section provides that the name of the </w:t>
      </w:r>
      <w:r w:rsidR="00BF5061" w:rsidRPr="00E00583">
        <w:rPr>
          <w:rFonts w:ascii="Times New Roman" w:eastAsiaTheme="minorHAnsi" w:hAnsi="Times New Roman"/>
          <w:kern w:val="24"/>
          <w:lang w:eastAsia="en-US"/>
        </w:rPr>
        <w:t>Determination</w:t>
      </w:r>
      <w:r w:rsidRPr="00E00583">
        <w:rPr>
          <w:rFonts w:ascii="Times New Roman" w:eastAsiaTheme="minorHAnsi" w:hAnsi="Times New Roman"/>
          <w:kern w:val="24"/>
          <w:lang w:eastAsia="en-US"/>
        </w:rPr>
        <w:t xml:space="preserve"> is the </w:t>
      </w:r>
      <w:r w:rsidRPr="00E00583">
        <w:rPr>
          <w:rFonts w:ascii="Times New Roman" w:eastAsiaTheme="minorHAnsi" w:hAnsi="Times New Roman"/>
          <w:i/>
          <w:kern w:val="24"/>
          <w:lang w:eastAsia="en-US"/>
        </w:rPr>
        <w:t xml:space="preserve">Telecommunications (Statutory Infrastructure Providers—Exempt Real Estate Development Projects and Building Redevelopment Projects) </w:t>
      </w:r>
      <w:r w:rsidR="00BF5061" w:rsidRPr="00E00583">
        <w:rPr>
          <w:rFonts w:ascii="Times New Roman" w:eastAsiaTheme="minorHAnsi" w:hAnsi="Times New Roman"/>
          <w:i/>
          <w:kern w:val="24"/>
          <w:lang w:eastAsia="en-US"/>
        </w:rPr>
        <w:t xml:space="preserve">Amendment </w:t>
      </w:r>
      <w:r w:rsidRPr="00E00583">
        <w:rPr>
          <w:rFonts w:ascii="Times New Roman" w:eastAsiaTheme="minorHAnsi" w:hAnsi="Times New Roman"/>
          <w:i/>
          <w:kern w:val="24"/>
          <w:lang w:eastAsia="en-US"/>
        </w:rPr>
        <w:t>Determination (No.1) 202</w:t>
      </w:r>
      <w:r w:rsidR="001C27F5" w:rsidRPr="00E00583">
        <w:rPr>
          <w:rFonts w:ascii="Times New Roman" w:eastAsiaTheme="minorHAnsi" w:hAnsi="Times New Roman"/>
          <w:i/>
          <w:kern w:val="24"/>
          <w:lang w:eastAsia="en-US"/>
        </w:rPr>
        <w:t>4</w:t>
      </w:r>
      <w:r w:rsidRPr="00E00583">
        <w:rPr>
          <w:rFonts w:ascii="Times New Roman" w:eastAsiaTheme="minorHAnsi" w:hAnsi="Times New Roman"/>
          <w:kern w:val="24"/>
          <w:lang w:eastAsia="en-US"/>
        </w:rPr>
        <w:t>.</w:t>
      </w:r>
    </w:p>
    <w:p w:rsidR="00213D59" w:rsidRPr="00E00583" w:rsidRDefault="00213D59" w:rsidP="00213D59">
      <w:pPr>
        <w:widowControl w:val="0"/>
        <w:ind w:right="91"/>
        <w:rPr>
          <w:rFonts w:ascii="Times New Roman" w:eastAsiaTheme="minorHAnsi" w:hAnsi="Times New Roman"/>
          <w:kern w:val="24"/>
          <w:u w:val="single"/>
          <w:lang w:eastAsia="en-US"/>
        </w:rPr>
      </w:pPr>
      <w:r w:rsidRPr="00E00583">
        <w:rPr>
          <w:rFonts w:ascii="Times New Roman" w:eastAsiaTheme="minorHAnsi" w:hAnsi="Times New Roman"/>
          <w:kern w:val="24"/>
          <w:u w:val="single"/>
          <w:lang w:eastAsia="en-US"/>
        </w:rPr>
        <w:t>Section 2 – Commencement</w:t>
      </w:r>
    </w:p>
    <w:p w:rsidR="00213D59" w:rsidRPr="00E00583" w:rsidRDefault="00213D59"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This section provides for the Instrument to commence on the day after it is registered on the Federal Register of Legislation.</w:t>
      </w:r>
    </w:p>
    <w:p w:rsidR="00213D59" w:rsidRPr="00E00583" w:rsidRDefault="00213D59" w:rsidP="00213D59">
      <w:pPr>
        <w:widowControl w:val="0"/>
        <w:ind w:right="91"/>
        <w:rPr>
          <w:rFonts w:ascii="Times New Roman" w:eastAsiaTheme="minorHAnsi" w:hAnsi="Times New Roman"/>
          <w:kern w:val="24"/>
          <w:u w:val="single"/>
          <w:lang w:eastAsia="en-US"/>
        </w:rPr>
      </w:pPr>
      <w:r w:rsidRPr="00E00583">
        <w:rPr>
          <w:rFonts w:ascii="Times New Roman" w:eastAsiaTheme="minorHAnsi" w:hAnsi="Times New Roman"/>
          <w:kern w:val="24"/>
          <w:u w:val="single"/>
          <w:lang w:eastAsia="en-US"/>
        </w:rPr>
        <w:t>Section 3 – Authority</w:t>
      </w:r>
    </w:p>
    <w:p w:rsidR="00213D59" w:rsidRPr="00E00583" w:rsidRDefault="00213D59"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This section provides that the Instrument is made under subsections 360H(3A) and 360H(5A) of the </w:t>
      </w:r>
      <w:r w:rsidRPr="00E00583">
        <w:rPr>
          <w:rFonts w:ascii="Times New Roman" w:eastAsiaTheme="minorHAnsi" w:hAnsi="Times New Roman"/>
          <w:i/>
          <w:kern w:val="24"/>
          <w:lang w:eastAsia="en-US"/>
        </w:rPr>
        <w:t xml:space="preserve">Telecommunications Act 1997 </w:t>
      </w:r>
      <w:r w:rsidRPr="00E00583">
        <w:rPr>
          <w:rFonts w:ascii="Times New Roman" w:eastAsiaTheme="minorHAnsi" w:hAnsi="Times New Roman"/>
          <w:kern w:val="24"/>
          <w:lang w:eastAsia="en-US"/>
        </w:rPr>
        <w:t>(the Act)</w:t>
      </w:r>
      <w:r w:rsidRPr="00E00583">
        <w:rPr>
          <w:rFonts w:ascii="Times New Roman" w:eastAsiaTheme="minorHAnsi" w:hAnsi="Times New Roman"/>
          <w:i/>
          <w:kern w:val="24"/>
          <w:lang w:eastAsia="en-US"/>
        </w:rPr>
        <w:t xml:space="preserve">, </w:t>
      </w:r>
      <w:r w:rsidRPr="00E00583">
        <w:rPr>
          <w:rFonts w:ascii="Times New Roman" w:eastAsiaTheme="minorHAnsi" w:hAnsi="Times New Roman"/>
          <w:kern w:val="24"/>
          <w:lang w:eastAsia="en-US"/>
        </w:rPr>
        <w:t>and</w:t>
      </w:r>
      <w:r w:rsidRPr="00E00583">
        <w:rPr>
          <w:rFonts w:ascii="Times New Roman" w:eastAsiaTheme="minorHAnsi" w:hAnsi="Times New Roman"/>
          <w:i/>
          <w:kern w:val="24"/>
          <w:lang w:eastAsia="en-US"/>
        </w:rPr>
        <w:t xml:space="preserve"> </w:t>
      </w:r>
      <w:r w:rsidRPr="00E00583">
        <w:rPr>
          <w:rFonts w:ascii="Times New Roman" w:eastAsiaTheme="minorHAnsi" w:hAnsi="Times New Roman"/>
          <w:kern w:val="24"/>
          <w:lang w:eastAsia="en-US"/>
        </w:rPr>
        <w:t xml:space="preserve">subsection 33(3A) of the </w:t>
      </w:r>
      <w:r w:rsidRPr="00E00583">
        <w:rPr>
          <w:rFonts w:ascii="Times New Roman" w:eastAsiaTheme="minorHAnsi" w:hAnsi="Times New Roman"/>
          <w:i/>
          <w:kern w:val="24"/>
          <w:lang w:eastAsia="en-US"/>
        </w:rPr>
        <w:t>Acts Interpretation Act 1901</w:t>
      </w:r>
      <w:r w:rsidRPr="00E00583">
        <w:rPr>
          <w:rFonts w:ascii="Times New Roman" w:eastAsiaTheme="minorHAnsi" w:hAnsi="Times New Roman"/>
          <w:kern w:val="24"/>
          <w:lang w:eastAsia="en-US"/>
        </w:rPr>
        <w:t>.</w:t>
      </w:r>
    </w:p>
    <w:p w:rsidR="00ED6339" w:rsidRPr="00E00583" w:rsidRDefault="00ED6339" w:rsidP="00213D59">
      <w:pPr>
        <w:widowControl w:val="0"/>
        <w:ind w:right="91"/>
        <w:rPr>
          <w:rFonts w:ascii="Times New Roman" w:eastAsiaTheme="minorHAnsi" w:hAnsi="Times New Roman"/>
          <w:kern w:val="24"/>
          <w:u w:val="single"/>
          <w:lang w:eastAsia="en-US"/>
        </w:rPr>
      </w:pPr>
      <w:r w:rsidRPr="00E00583">
        <w:rPr>
          <w:rFonts w:ascii="Times New Roman" w:eastAsiaTheme="minorHAnsi" w:hAnsi="Times New Roman"/>
          <w:kern w:val="24"/>
          <w:u w:val="single"/>
          <w:lang w:eastAsia="en-US"/>
        </w:rPr>
        <w:t xml:space="preserve">Section 4 – </w:t>
      </w:r>
      <w:r w:rsidR="00BF5061" w:rsidRPr="00E00583">
        <w:rPr>
          <w:rFonts w:ascii="Times New Roman" w:eastAsiaTheme="minorHAnsi" w:hAnsi="Times New Roman"/>
          <w:kern w:val="24"/>
          <w:u w:val="single"/>
          <w:lang w:eastAsia="en-US"/>
        </w:rPr>
        <w:t>Schedule</w:t>
      </w:r>
      <w:r w:rsidRPr="00E00583">
        <w:rPr>
          <w:rFonts w:ascii="Times New Roman" w:eastAsiaTheme="minorHAnsi" w:hAnsi="Times New Roman"/>
          <w:kern w:val="24"/>
          <w:u w:val="single"/>
          <w:lang w:eastAsia="en-US"/>
        </w:rPr>
        <w:t>s</w:t>
      </w:r>
    </w:p>
    <w:p w:rsidR="00BF5061" w:rsidRPr="00E00583" w:rsidRDefault="00BF5061"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This section provides that each instrument specified in a Schedule to the Determination is amended or repealed as set out in the applicable items in the Schedule concerned, and any other item in a Schedule to the Determination has effect according to its terms.</w:t>
      </w:r>
    </w:p>
    <w:p w:rsidR="00BF5061" w:rsidRPr="00E00583" w:rsidRDefault="00BF5061"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b/>
          <w:kern w:val="24"/>
          <w:lang w:eastAsia="en-US"/>
        </w:rPr>
        <w:t>Schedule 1 – Amendments</w:t>
      </w:r>
    </w:p>
    <w:p w:rsidR="00BF5061" w:rsidRPr="00E00583" w:rsidRDefault="00BF5061"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Schedule 1 makes 9 amendments to the </w:t>
      </w:r>
      <w:r w:rsidRPr="00E00583">
        <w:rPr>
          <w:rFonts w:ascii="Times New Roman" w:eastAsiaTheme="minorHAnsi" w:hAnsi="Times New Roman"/>
          <w:i/>
          <w:kern w:val="24"/>
          <w:lang w:eastAsia="en-US"/>
        </w:rPr>
        <w:t xml:space="preserve">Telecommunications (Statutory Infrastructure Providers – Exempt Real Estate Development Projects and Building Redevelopment Projects) Determination (No. 1) 2020 </w:t>
      </w:r>
      <w:r w:rsidRPr="00E00583">
        <w:rPr>
          <w:rFonts w:ascii="Times New Roman" w:eastAsiaTheme="minorHAnsi" w:hAnsi="Times New Roman"/>
          <w:kern w:val="24"/>
          <w:lang w:eastAsia="en-US"/>
        </w:rPr>
        <w:t>(the current Determination). The effect of the amendments is to remove three of the four classes of exemption from the current Determination.</w:t>
      </w:r>
    </w:p>
    <w:p w:rsidR="00ED6339" w:rsidRPr="00E00583" w:rsidRDefault="00BF5061"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Item 1 removes the definition of </w:t>
      </w:r>
      <w:r w:rsidRPr="00E00583">
        <w:rPr>
          <w:rFonts w:ascii="Times New Roman" w:eastAsiaTheme="minorHAnsi" w:hAnsi="Times New Roman"/>
          <w:b/>
          <w:i/>
          <w:kern w:val="24"/>
          <w:lang w:eastAsia="en-US"/>
        </w:rPr>
        <w:t>mobile network</w:t>
      </w:r>
      <w:r w:rsidRPr="00E00583">
        <w:rPr>
          <w:rFonts w:ascii="Times New Roman" w:eastAsiaTheme="minorHAnsi" w:hAnsi="Times New Roman"/>
          <w:kern w:val="24"/>
          <w:lang w:eastAsia="en-US"/>
        </w:rPr>
        <w:t xml:space="preserve"> from the current Determination. This was used for exemptions in sections 7 and 11 of the current Determination, which are being repealed by items 5 and 8 of Schedule 1. The definition is therefore no longer required.</w:t>
      </w:r>
    </w:p>
    <w:p w:rsidR="00BF5061" w:rsidRPr="00E00583" w:rsidRDefault="00BF5061"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Item 2 removes the definition of </w:t>
      </w:r>
      <w:r w:rsidRPr="00E00583">
        <w:rPr>
          <w:rFonts w:ascii="Times New Roman" w:eastAsiaTheme="minorHAnsi" w:hAnsi="Times New Roman"/>
          <w:b/>
          <w:i/>
          <w:kern w:val="24"/>
          <w:lang w:eastAsia="en-US"/>
        </w:rPr>
        <w:t xml:space="preserve">radiocommunications fixed voice call </w:t>
      </w:r>
      <w:r w:rsidRPr="00E00583">
        <w:rPr>
          <w:rFonts w:ascii="Times New Roman" w:eastAsiaTheme="minorHAnsi" w:hAnsi="Times New Roman"/>
          <w:kern w:val="24"/>
          <w:lang w:eastAsia="en-US"/>
        </w:rPr>
        <w:t>from the current Determination. This was used for exemptions in sections 8 and 12 of the current Determination, which are being repealed by items 6 and 9 of Schedule 1. The definition is therefore no longer required.</w:t>
      </w:r>
    </w:p>
    <w:p w:rsidR="00BF5061" w:rsidRPr="00E00583" w:rsidRDefault="008633B9"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t xml:space="preserve">Item 3 repeals subsection 4(2) of the current Determination. Subsection 4(2) served to define the meaning of </w:t>
      </w:r>
      <w:r w:rsidRPr="00E00583">
        <w:rPr>
          <w:rFonts w:ascii="Times New Roman" w:eastAsiaTheme="minorHAnsi" w:hAnsi="Times New Roman"/>
          <w:b/>
          <w:i/>
          <w:kern w:val="24"/>
          <w:lang w:eastAsia="en-US"/>
        </w:rPr>
        <w:t>proximity</w:t>
      </w:r>
      <w:r w:rsidRPr="00E00583">
        <w:rPr>
          <w:rFonts w:ascii="Times New Roman" w:eastAsiaTheme="minorHAnsi" w:hAnsi="Times New Roman"/>
          <w:kern w:val="24"/>
          <w:lang w:eastAsia="en-US"/>
        </w:rPr>
        <w:t xml:space="preserve"> as used in sections 7, 8, 11 and 12. As those sections are being repealed by items 5, 6, 8 and 9 of Schedule 1, subsection 4(2) is no longer required.</w:t>
      </w:r>
    </w:p>
    <w:p w:rsidR="008633B9" w:rsidRPr="00E00583" w:rsidRDefault="008633B9" w:rsidP="00213D59">
      <w:pPr>
        <w:widowControl w:val="0"/>
        <w:ind w:right="91"/>
        <w:rPr>
          <w:rFonts w:ascii="Times New Roman" w:eastAsiaTheme="minorHAnsi" w:hAnsi="Times New Roman"/>
          <w:kern w:val="24"/>
          <w:lang w:eastAsia="en-US"/>
        </w:rPr>
      </w:pPr>
      <w:r w:rsidRPr="00E00583">
        <w:rPr>
          <w:rFonts w:ascii="Times New Roman" w:eastAsiaTheme="minorHAnsi" w:hAnsi="Times New Roman"/>
          <w:kern w:val="24"/>
          <w:lang w:eastAsia="en-US"/>
        </w:rPr>
        <w:lastRenderedPageBreak/>
        <w:t xml:space="preserve">Items 4-9 repeal sections 6, 7, 8, 10, 11 and 12 from the current Determination. Together these constitute exemptions for Telstra when </w:t>
      </w:r>
      <w:proofErr w:type="gramStart"/>
      <w:r w:rsidRPr="00E00583">
        <w:rPr>
          <w:rFonts w:ascii="Times New Roman" w:eastAsiaTheme="minorHAnsi" w:hAnsi="Times New Roman"/>
          <w:kern w:val="24"/>
          <w:lang w:eastAsia="en-US"/>
        </w:rPr>
        <w:t>it</w:t>
      </w:r>
      <w:proofErr w:type="gramEnd"/>
      <w:r w:rsidRPr="00E00583">
        <w:rPr>
          <w:rFonts w:ascii="Times New Roman" w:eastAsiaTheme="minorHAnsi" w:hAnsi="Times New Roman"/>
          <w:kern w:val="24"/>
          <w:lang w:eastAsia="en-US"/>
        </w:rPr>
        <w:t xml:space="preserve"> services project areas using hybrid-fibre coaxial (HFC) networks that are to be transferred to an NBN corporation, exemptions for carriers supplying project areas with public mobile telecommunications services under a contract with a developer, and exemptions for carriers supplying project areas with radiocommunications fixed voice services under a contract with a developer. The exemption for project areas serviced by HFC networks is no longer required as Telstra no longer controls any HFC networks. The exemptions for areas being serviced by contracts for public mobile telecommunications services and radiocommunications fixed voice calls are no longer required because these exemptions have now been transferred to the statute.</w:t>
      </w:r>
    </w:p>
    <w:p w:rsidR="008633B9" w:rsidRPr="00E00583" w:rsidRDefault="008633B9">
      <w:pPr>
        <w:spacing w:after="160" w:line="259" w:lineRule="auto"/>
        <w:rPr>
          <w:rFonts w:ascii="Times New Roman" w:eastAsiaTheme="minorHAnsi" w:hAnsi="Times New Roman"/>
          <w:kern w:val="24"/>
          <w:lang w:eastAsia="en-US"/>
        </w:rPr>
      </w:pPr>
      <w:r w:rsidRPr="00E00583">
        <w:rPr>
          <w:rFonts w:ascii="Times New Roman" w:eastAsiaTheme="minorHAnsi" w:hAnsi="Times New Roman"/>
          <w:kern w:val="24"/>
          <w:lang w:eastAsia="en-US"/>
        </w:rPr>
        <w:br w:type="page"/>
      </w:r>
    </w:p>
    <w:p w:rsidR="00213D59" w:rsidRPr="00E00583" w:rsidRDefault="00213D59" w:rsidP="00213D59">
      <w:pPr>
        <w:spacing w:after="160" w:line="259" w:lineRule="auto"/>
        <w:ind w:left="6480" w:firstLine="720"/>
        <w:rPr>
          <w:rFonts w:ascii="Times New Roman" w:hAnsi="Times New Roman"/>
          <w:b/>
          <w:sz w:val="28"/>
          <w:szCs w:val="28"/>
        </w:rPr>
      </w:pPr>
      <w:r w:rsidRPr="00E00583">
        <w:rPr>
          <w:rFonts w:ascii="Times New Roman" w:hAnsi="Times New Roman"/>
          <w:b/>
          <w:sz w:val="28"/>
          <w:szCs w:val="28"/>
        </w:rPr>
        <w:lastRenderedPageBreak/>
        <w:t>Attachment B</w:t>
      </w:r>
    </w:p>
    <w:p w:rsidR="00213D59" w:rsidRPr="00E00583" w:rsidRDefault="00213D59" w:rsidP="00213D59">
      <w:pPr>
        <w:pStyle w:val="Heading2"/>
        <w:rPr>
          <w:rFonts w:eastAsiaTheme="minorHAnsi"/>
        </w:rPr>
      </w:pPr>
      <w:r w:rsidRPr="00E00583">
        <w:rPr>
          <w:rFonts w:eastAsiaTheme="minorHAnsi"/>
        </w:rPr>
        <w:t>Statement of Compatibility with Human Rights</w:t>
      </w:r>
    </w:p>
    <w:p w:rsidR="00213D59" w:rsidRPr="00E00583" w:rsidRDefault="00213D59" w:rsidP="00213D59">
      <w:pPr>
        <w:spacing w:before="120" w:after="120"/>
        <w:jc w:val="center"/>
        <w:rPr>
          <w:rFonts w:ascii="Times New Roman" w:hAnsi="Times New Roman"/>
        </w:rPr>
      </w:pPr>
      <w:r w:rsidRPr="00E00583">
        <w:rPr>
          <w:rFonts w:ascii="Times New Roman" w:hAnsi="Times New Roman"/>
          <w:i/>
        </w:rPr>
        <w:t>Prepared in accordance with Part 3 of the Human Rights (Parliamentary Scrutiny) Act 2011</w:t>
      </w:r>
    </w:p>
    <w:p w:rsidR="00213D59" w:rsidRPr="00E00583" w:rsidRDefault="00213D59" w:rsidP="00213D59">
      <w:pPr>
        <w:spacing w:before="120" w:after="120"/>
        <w:jc w:val="center"/>
        <w:rPr>
          <w:rFonts w:ascii="Times New Roman" w:hAnsi="Times New Roman"/>
        </w:rPr>
      </w:pPr>
    </w:p>
    <w:p w:rsidR="00213D59" w:rsidRPr="00E00583" w:rsidRDefault="00213D59" w:rsidP="00213D59">
      <w:pPr>
        <w:jc w:val="center"/>
        <w:rPr>
          <w:rFonts w:ascii="Times New Roman" w:hAnsi="Times New Roman"/>
          <w:b/>
          <w:sz w:val="28"/>
          <w:szCs w:val="28"/>
        </w:rPr>
      </w:pPr>
      <w:r w:rsidRPr="00E00583">
        <w:rPr>
          <w:rFonts w:ascii="Times New Roman" w:hAnsi="Times New Roman"/>
          <w:b/>
          <w:sz w:val="28"/>
          <w:szCs w:val="28"/>
        </w:rPr>
        <w:t xml:space="preserve">Telecommunications (Statutory Infrastructure Providers – Exempt Real Estate Development Projects and Building Redevelopment Projects) </w:t>
      </w:r>
      <w:r w:rsidR="008633B9" w:rsidRPr="00E00583">
        <w:rPr>
          <w:rFonts w:ascii="Times New Roman" w:hAnsi="Times New Roman"/>
          <w:b/>
          <w:sz w:val="28"/>
          <w:szCs w:val="28"/>
        </w:rPr>
        <w:t>Amendment Determination</w:t>
      </w:r>
      <w:r w:rsidRPr="00E00583">
        <w:rPr>
          <w:rFonts w:ascii="Times New Roman" w:hAnsi="Times New Roman"/>
          <w:b/>
          <w:sz w:val="28"/>
          <w:szCs w:val="28"/>
        </w:rPr>
        <w:t xml:space="preserve"> (No. 1) 202</w:t>
      </w:r>
      <w:r w:rsidR="00C26760" w:rsidRPr="00E00583">
        <w:rPr>
          <w:rFonts w:ascii="Times New Roman" w:hAnsi="Times New Roman"/>
          <w:b/>
          <w:sz w:val="28"/>
          <w:szCs w:val="28"/>
        </w:rPr>
        <w:t>4</w:t>
      </w:r>
    </w:p>
    <w:p w:rsidR="00213D59" w:rsidRPr="00E00583" w:rsidRDefault="00213D59" w:rsidP="00213D59">
      <w:pPr>
        <w:shd w:val="clear" w:color="auto" w:fill="FFFFFF"/>
        <w:spacing w:before="100" w:beforeAutospacing="1" w:after="160"/>
        <w:rPr>
          <w:rFonts w:ascii="Times New Roman" w:hAnsi="Times New Roman"/>
          <w:b/>
          <w:i/>
        </w:rPr>
      </w:pPr>
      <w:r w:rsidRPr="00E00583">
        <w:rPr>
          <w:rFonts w:ascii="Times New Roman" w:hAnsi="Times New Roman"/>
          <w:b/>
          <w:i/>
        </w:rPr>
        <w:t>Overview</w:t>
      </w:r>
    </w:p>
    <w:p w:rsidR="008633B9" w:rsidRPr="00E00583" w:rsidRDefault="00213D5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The purpose of the </w:t>
      </w:r>
      <w:r w:rsidRPr="00E00583">
        <w:rPr>
          <w:rFonts w:ascii="Times New Roman" w:hAnsi="Times New Roman"/>
          <w:i/>
        </w:rPr>
        <w:t xml:space="preserve">Telecommunications (Statutory Infrastructure Providers – Exempt Real Estate Development Projects and Building Redevelopment Projects) </w:t>
      </w:r>
      <w:r w:rsidR="008633B9" w:rsidRPr="00E00583">
        <w:rPr>
          <w:rFonts w:ascii="Times New Roman" w:hAnsi="Times New Roman"/>
          <w:i/>
        </w:rPr>
        <w:t xml:space="preserve">Amendment Determination </w:t>
      </w:r>
      <w:r w:rsidRPr="00E00583">
        <w:rPr>
          <w:rFonts w:ascii="Times New Roman" w:hAnsi="Times New Roman"/>
          <w:i/>
        </w:rPr>
        <w:t>(No. 1) 202</w:t>
      </w:r>
      <w:r w:rsidR="00C26760" w:rsidRPr="00E00583">
        <w:rPr>
          <w:rFonts w:ascii="Times New Roman" w:hAnsi="Times New Roman"/>
          <w:i/>
        </w:rPr>
        <w:t xml:space="preserve">4 </w:t>
      </w:r>
      <w:r w:rsidRPr="00E00583">
        <w:rPr>
          <w:rFonts w:ascii="Times New Roman" w:hAnsi="Times New Roman"/>
        </w:rPr>
        <w:t>(the </w:t>
      </w:r>
      <w:r w:rsidR="008633B9" w:rsidRPr="00E00583">
        <w:rPr>
          <w:rFonts w:ascii="Times New Roman" w:hAnsi="Times New Roman"/>
        </w:rPr>
        <w:t>Determination</w:t>
      </w:r>
      <w:r w:rsidRPr="00E00583">
        <w:rPr>
          <w:rFonts w:ascii="Times New Roman" w:hAnsi="Times New Roman"/>
        </w:rPr>
        <w:t xml:space="preserve">) is to </w:t>
      </w:r>
      <w:r w:rsidR="008633B9" w:rsidRPr="00E00583">
        <w:rPr>
          <w:rFonts w:ascii="Times New Roman" w:hAnsi="Times New Roman"/>
        </w:rPr>
        <w:t xml:space="preserve">amend an existing instrument, the </w:t>
      </w:r>
      <w:r w:rsidR="008633B9" w:rsidRPr="00E00583">
        <w:rPr>
          <w:rFonts w:ascii="Times New Roman" w:hAnsi="Times New Roman"/>
          <w:i/>
        </w:rPr>
        <w:t>Telecommunications (Statutory Infrastructure Providers – Exempt Real Estate Development Projects and Building Redevelopment Projects) Determination (No. 1) 2020</w:t>
      </w:r>
      <w:r w:rsidR="008F0A42" w:rsidRPr="00E00583">
        <w:rPr>
          <w:rFonts w:ascii="Times New Roman" w:hAnsi="Times New Roman"/>
          <w:i/>
        </w:rPr>
        <w:t xml:space="preserve"> </w:t>
      </w:r>
      <w:r w:rsidR="008F0A42" w:rsidRPr="00E00583">
        <w:rPr>
          <w:rFonts w:ascii="Times New Roman" w:hAnsi="Times New Roman"/>
        </w:rPr>
        <w:t>(the current Determination)</w:t>
      </w:r>
      <w:r w:rsidR="008633B9" w:rsidRPr="00E00583">
        <w:rPr>
          <w:rFonts w:ascii="Times New Roman" w:hAnsi="Times New Roman"/>
        </w:rPr>
        <w:t>. The amendments remove three of four classes of exemptions from requirements under the statutory infrastructure provider (SIP) regime for carriers to declare provisional nominated service areas when they have installed telecommunications network infrastructure in a project area of a new development.</w:t>
      </w:r>
    </w:p>
    <w:p w:rsidR="008633B9" w:rsidRPr="00E00583" w:rsidRDefault="008633B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One of the classes of exemptions, which allows Telstra Limited to service project areas using hybrid-fibre coaxial networks that are to be transferred to an NBN corporation, is no longer required as Telstra no longer controls any such networks. Two other exemptions, which allow carriers to supply new developments with mobile coverage or </w:t>
      </w:r>
      <w:r w:rsidR="008F0A42" w:rsidRPr="00E00583">
        <w:rPr>
          <w:rFonts w:ascii="Times New Roman" w:hAnsi="Times New Roman"/>
        </w:rPr>
        <w:t>with radiocommunications fixed voice calls, have now been transferred into the statute, and therefore are no longer required in the current Determination.</w:t>
      </w:r>
    </w:p>
    <w:p w:rsidR="008F0A42" w:rsidRPr="00E00583" w:rsidRDefault="008F0A42" w:rsidP="00213D59">
      <w:pPr>
        <w:shd w:val="clear" w:color="auto" w:fill="FFFFFF"/>
        <w:spacing w:before="100" w:beforeAutospacing="1" w:after="100" w:afterAutospacing="1"/>
        <w:rPr>
          <w:rFonts w:ascii="Times New Roman" w:hAnsi="Times New Roman"/>
        </w:rPr>
      </w:pPr>
      <w:r w:rsidRPr="00E00583">
        <w:rPr>
          <w:rFonts w:ascii="Times New Roman" w:hAnsi="Times New Roman"/>
        </w:rPr>
        <w:t>Following amendment, one class of exemption will remain in the current Determination. This allows Telstra to service new developments with copper networks installed in order to meet its universal service obligation requirements (i.e., to supply standard telephone services on request). While Telstra no longer installs such networks in new developments, it may make minor extensions to existing copper networks to service new premise</w:t>
      </w:r>
      <w:r w:rsidR="00726429" w:rsidRPr="00E00583">
        <w:rPr>
          <w:rFonts w:ascii="Times New Roman" w:hAnsi="Times New Roman"/>
        </w:rPr>
        <w:t>s.</w:t>
      </w:r>
    </w:p>
    <w:p w:rsidR="00C26760" w:rsidRPr="00E00583" w:rsidRDefault="00C26760" w:rsidP="00C26760">
      <w:pPr>
        <w:shd w:val="clear" w:color="auto" w:fill="FFFFFF"/>
        <w:spacing w:before="100" w:beforeAutospacing="1" w:after="100" w:afterAutospacing="1"/>
        <w:rPr>
          <w:rFonts w:ascii="Times New Roman" w:hAnsi="Times New Roman"/>
        </w:rPr>
      </w:pPr>
      <w:r w:rsidRPr="00E00583">
        <w:rPr>
          <w:rFonts w:ascii="Times New Roman" w:hAnsi="Times New Roman"/>
        </w:rPr>
        <w:t>The SIP regime is set out in Part 19 of the Act and commenced on 1 July 2020. It aims to ensure that all people in Australia can access high speed broadband services. Under the Act, NBN Co is the default SIP for Australia, reflecting its role in the market. However, the SIP regime provides for alternative carriers to be the SIPs for the geographic areas where they deploy telecommunications networks. This recognises that there is a competitive market in Australia for the provision of telecommunications networks.</w:t>
      </w:r>
    </w:p>
    <w:p w:rsidR="00C26760" w:rsidRPr="00E00583" w:rsidRDefault="00C26760" w:rsidP="00C26760">
      <w:pPr>
        <w:shd w:val="clear" w:color="auto" w:fill="FFFFFF"/>
        <w:rPr>
          <w:rFonts w:ascii="Times New Roman" w:hAnsi="Times New Roman"/>
        </w:rPr>
      </w:pPr>
      <w:r w:rsidRPr="00E00583">
        <w:rPr>
          <w:rFonts w:ascii="Times New Roman" w:hAnsi="Times New Roman"/>
        </w:rPr>
        <w:t xml:space="preserve">The key obligations of SIPs are to connect premises in their service areas to their telecommunications networks, and supply wholesale services, on reasonable request from a carriage service provider </w:t>
      </w:r>
      <w:r w:rsidR="008F0A42" w:rsidRPr="00E00583">
        <w:rPr>
          <w:rFonts w:ascii="Times New Roman" w:hAnsi="Times New Roman"/>
        </w:rPr>
        <w:t xml:space="preserve">(CSP) </w:t>
      </w:r>
      <w:r w:rsidRPr="00E00583">
        <w:rPr>
          <w:rFonts w:ascii="Times New Roman" w:hAnsi="Times New Roman"/>
        </w:rPr>
        <w:t xml:space="preserve">acting on behalf of an end-user within the </w:t>
      </w:r>
      <w:r w:rsidR="008F0A42" w:rsidRPr="00E00583">
        <w:rPr>
          <w:rFonts w:ascii="Times New Roman" w:hAnsi="Times New Roman"/>
        </w:rPr>
        <w:t>service</w:t>
      </w:r>
      <w:r w:rsidRPr="00E00583">
        <w:rPr>
          <w:rFonts w:ascii="Times New Roman" w:hAnsi="Times New Roman"/>
        </w:rPr>
        <w:t xml:space="preserve"> area. The wholesale services must allow the </w:t>
      </w:r>
      <w:r w:rsidR="008F0A42" w:rsidRPr="00E00583">
        <w:rPr>
          <w:rFonts w:ascii="Times New Roman" w:hAnsi="Times New Roman"/>
        </w:rPr>
        <w:t>CSP</w:t>
      </w:r>
      <w:r w:rsidRPr="00E00583">
        <w:rPr>
          <w:rFonts w:ascii="Times New Roman" w:hAnsi="Times New Roman"/>
        </w:rPr>
        <w:t xml:space="preserve"> to supply ‘qualifying carriage services’, which are broadband services with peak download and upload speeds of at least 25/5 Mbps. On fixed-line or fixed wireless networks, the wholesale services SIPs supply must also enable </w:t>
      </w:r>
      <w:r w:rsidR="008F0A42" w:rsidRPr="00E00583">
        <w:rPr>
          <w:rFonts w:ascii="Times New Roman" w:hAnsi="Times New Roman"/>
        </w:rPr>
        <w:t>CSPs</w:t>
      </w:r>
      <w:r w:rsidRPr="00E00583">
        <w:rPr>
          <w:rFonts w:ascii="Times New Roman" w:hAnsi="Times New Roman"/>
        </w:rPr>
        <w:t xml:space="preserve"> to </w:t>
      </w:r>
      <w:r w:rsidRPr="00E00583">
        <w:rPr>
          <w:rFonts w:ascii="Times New Roman" w:hAnsi="Times New Roman"/>
        </w:rPr>
        <w:lastRenderedPageBreak/>
        <w:t xml:space="preserve">supply voice services. SIPs must also publish the terms and conditions on which they offer to connect premises and supply eligible services to </w:t>
      </w:r>
      <w:r w:rsidR="008F0A42" w:rsidRPr="00E00583">
        <w:rPr>
          <w:rFonts w:ascii="Times New Roman" w:hAnsi="Times New Roman"/>
        </w:rPr>
        <w:t>CSPs</w:t>
      </w:r>
      <w:r w:rsidRPr="00E00583">
        <w:rPr>
          <w:rFonts w:ascii="Times New Roman" w:hAnsi="Times New Roman"/>
        </w:rPr>
        <w:t>.</w:t>
      </w:r>
    </w:p>
    <w:p w:rsidR="00213D59" w:rsidRPr="00E00583" w:rsidRDefault="00213D5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 xml:space="preserve">People living or working in </w:t>
      </w:r>
      <w:r w:rsidR="00A4600E" w:rsidRPr="00E00583">
        <w:rPr>
          <w:rFonts w:ascii="Times New Roman" w:hAnsi="Times New Roman"/>
        </w:rPr>
        <w:t>exempt project area</w:t>
      </w:r>
      <w:r w:rsidR="008F0A42" w:rsidRPr="00E00583">
        <w:rPr>
          <w:rFonts w:ascii="Times New Roman" w:hAnsi="Times New Roman"/>
        </w:rPr>
        <w:t xml:space="preserve"> that Telstra continues to supply using copper networks </w:t>
      </w:r>
      <w:r w:rsidRPr="00E00583">
        <w:rPr>
          <w:rFonts w:ascii="Times New Roman" w:hAnsi="Times New Roman"/>
        </w:rPr>
        <w:t>would still be able to access high-speed broadband as NBN Co, as the default SIP, would be required to supply this. The exemption provide</w:t>
      </w:r>
      <w:r w:rsidR="008F0A42" w:rsidRPr="00E00583">
        <w:rPr>
          <w:rFonts w:ascii="Times New Roman" w:hAnsi="Times New Roman"/>
        </w:rPr>
        <w:t>s</w:t>
      </w:r>
      <w:r w:rsidRPr="00E00583">
        <w:rPr>
          <w:rFonts w:ascii="Times New Roman" w:hAnsi="Times New Roman"/>
        </w:rPr>
        <w:t xml:space="preserve"> </w:t>
      </w:r>
      <w:r w:rsidR="00A4600E" w:rsidRPr="00E00583">
        <w:rPr>
          <w:rFonts w:ascii="Times New Roman" w:hAnsi="Times New Roman"/>
        </w:rPr>
        <w:t xml:space="preserve">the people in the exempt areas that they can receive voice services supplied over </w:t>
      </w:r>
      <w:r w:rsidR="008F0A42" w:rsidRPr="00E00583">
        <w:rPr>
          <w:rFonts w:ascii="Times New Roman" w:hAnsi="Times New Roman"/>
        </w:rPr>
        <w:t>copper</w:t>
      </w:r>
      <w:r w:rsidRPr="00E00583">
        <w:rPr>
          <w:rFonts w:ascii="Times New Roman" w:hAnsi="Times New Roman"/>
        </w:rPr>
        <w:t xml:space="preserve"> networks </w:t>
      </w:r>
      <w:r w:rsidR="00A4600E" w:rsidRPr="00E00583">
        <w:rPr>
          <w:rFonts w:ascii="Times New Roman" w:hAnsi="Times New Roman"/>
        </w:rPr>
        <w:t>where this is required</w:t>
      </w:r>
      <w:r w:rsidRPr="00E00583">
        <w:rPr>
          <w:rFonts w:ascii="Times New Roman" w:hAnsi="Times New Roman"/>
        </w:rPr>
        <w:t>.</w:t>
      </w:r>
    </w:p>
    <w:p w:rsidR="00213D59" w:rsidRPr="00E00583" w:rsidRDefault="00213D59" w:rsidP="00213D59">
      <w:pPr>
        <w:rPr>
          <w:rFonts w:ascii="Times New Roman" w:hAnsi="Times New Roman"/>
          <w:b/>
          <w:i/>
        </w:rPr>
      </w:pPr>
      <w:r w:rsidRPr="00E00583">
        <w:rPr>
          <w:rFonts w:ascii="Times New Roman" w:hAnsi="Times New Roman"/>
          <w:b/>
          <w:i/>
        </w:rPr>
        <w:t xml:space="preserve">Human rights implications </w:t>
      </w:r>
    </w:p>
    <w:p w:rsidR="00213D59" w:rsidRPr="00E00583" w:rsidRDefault="00213D59" w:rsidP="00213D59">
      <w:pPr>
        <w:shd w:val="clear" w:color="auto" w:fill="FFFFFF"/>
        <w:spacing w:before="100" w:beforeAutospacing="1" w:after="160"/>
        <w:rPr>
          <w:rFonts w:ascii="Times New Roman" w:hAnsi="Times New Roman"/>
        </w:rPr>
      </w:pPr>
      <w:r w:rsidRPr="00E00583">
        <w:rPr>
          <w:rFonts w:ascii="Times New Roman" w:hAnsi="Times New Roman"/>
        </w:rPr>
        <w:t xml:space="preserve">The Instrument is compatible with the rights and freedoms recognised or declared by the international instruments listed in subsection 3(1) of the </w:t>
      </w:r>
      <w:r w:rsidRPr="00E00583">
        <w:rPr>
          <w:rFonts w:ascii="Times New Roman" w:hAnsi="Times New Roman"/>
          <w:i/>
          <w:iCs/>
        </w:rPr>
        <w:t>Human Rights (Parliamentary Scrutiny) Act 2011</w:t>
      </w:r>
      <w:r w:rsidRPr="00E00583">
        <w:rPr>
          <w:rFonts w:ascii="Times New Roman" w:hAnsi="Times New Roman"/>
        </w:rPr>
        <w:t xml:space="preserve"> as they apply to Australia.</w:t>
      </w:r>
    </w:p>
    <w:p w:rsidR="00213D59" w:rsidRPr="00E00583" w:rsidRDefault="00213D59" w:rsidP="00213D59">
      <w:pPr>
        <w:shd w:val="clear" w:color="auto" w:fill="FFFFFF"/>
        <w:spacing w:before="100" w:beforeAutospacing="1" w:after="100" w:afterAutospacing="1"/>
        <w:rPr>
          <w:rFonts w:ascii="Times New Roman" w:hAnsi="Times New Roman"/>
        </w:rPr>
      </w:pPr>
      <w:r w:rsidRPr="00E00583">
        <w:rPr>
          <w:rFonts w:ascii="Times New Roman" w:hAnsi="Times New Roman"/>
        </w:rPr>
        <w:t>The Instrument does not engage any of the applicable rights or freedoms.</w:t>
      </w:r>
    </w:p>
    <w:p w:rsidR="00213D59" w:rsidRPr="00E00583" w:rsidRDefault="00213D59" w:rsidP="00213D59">
      <w:pPr>
        <w:shd w:val="clear" w:color="auto" w:fill="FFFFFF"/>
        <w:spacing w:before="100" w:beforeAutospacing="1" w:after="100" w:afterAutospacing="1"/>
        <w:rPr>
          <w:rFonts w:ascii="Times New Roman" w:hAnsi="Times New Roman"/>
          <w:b/>
          <w:i/>
          <w:lang w:val="en-US"/>
        </w:rPr>
      </w:pPr>
      <w:r w:rsidRPr="00E00583">
        <w:rPr>
          <w:rFonts w:ascii="Times New Roman" w:hAnsi="Times New Roman"/>
          <w:b/>
          <w:bCs/>
          <w:i/>
          <w:iCs/>
        </w:rPr>
        <w:t>Conclusion</w:t>
      </w:r>
    </w:p>
    <w:p w:rsidR="00213D59" w:rsidRPr="00F61AC1" w:rsidRDefault="00213D59" w:rsidP="00213D59">
      <w:pPr>
        <w:shd w:val="clear" w:color="auto" w:fill="FFFFFF"/>
        <w:spacing w:before="100" w:beforeAutospacing="1" w:after="100" w:afterAutospacing="1"/>
        <w:rPr>
          <w:rFonts w:ascii="Times New Roman" w:hAnsi="Times New Roman"/>
          <w:lang w:val="en-US"/>
        </w:rPr>
      </w:pPr>
      <w:r w:rsidRPr="00E00583">
        <w:rPr>
          <w:rFonts w:ascii="Times New Roman" w:hAnsi="Times New Roman"/>
        </w:rPr>
        <w:t>The Instrument is compatible with human rights as it does not raise any human rights issues.</w:t>
      </w:r>
    </w:p>
    <w:p w:rsidR="00213D59" w:rsidRPr="00177765" w:rsidRDefault="00213D59" w:rsidP="00213D59">
      <w:pPr>
        <w:autoSpaceDE w:val="0"/>
        <w:autoSpaceDN w:val="0"/>
        <w:adjustRightInd w:val="0"/>
        <w:spacing w:after="0"/>
        <w:rPr>
          <w:rFonts w:ascii="Times New Roman" w:eastAsiaTheme="minorHAnsi" w:hAnsi="Times New Roman"/>
          <w:lang w:eastAsia="en-US"/>
        </w:rPr>
      </w:pPr>
    </w:p>
    <w:p w:rsidR="00F9141C" w:rsidRDefault="00E00583"/>
    <w:sectPr w:rsidR="00F9141C" w:rsidSect="004D457A">
      <w:headerReference w:type="default" r:id="rId10"/>
      <w:foot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72" w:rsidRDefault="00185972">
      <w:pPr>
        <w:spacing w:after="0"/>
      </w:pPr>
      <w:r>
        <w:separator/>
      </w:r>
    </w:p>
  </w:endnote>
  <w:endnote w:type="continuationSeparator" w:id="0">
    <w:p w:rsidR="00185972" w:rsidRDefault="0018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3" w:rsidRDefault="00E00583" w:rsidP="006F4681">
    <w:pPr>
      <w:pStyle w:val="Header"/>
      <w:jc w:val="center"/>
    </w:pPr>
  </w:p>
  <w:p w:rsidR="003E0C33" w:rsidRDefault="00E00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3" w:rsidRDefault="00E00583">
    <w:pPr>
      <w:pStyle w:val="Footer"/>
    </w:pPr>
  </w:p>
  <w:p w:rsidR="003E0C33" w:rsidRDefault="00E0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72" w:rsidRDefault="00185972">
      <w:pPr>
        <w:spacing w:after="0"/>
      </w:pPr>
      <w:r>
        <w:separator/>
      </w:r>
    </w:p>
  </w:footnote>
  <w:footnote w:type="continuationSeparator" w:id="0">
    <w:p w:rsidR="00185972" w:rsidRDefault="0018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3" w:rsidRDefault="00213D59">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Pr>
        <w:rStyle w:val="PageNumber"/>
        <w:rFonts w:ascii="Times New Roman" w:hAnsi="Times New Roman"/>
        <w:noProof/>
      </w:rPr>
      <w:t>13</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9"/>
    <w:rsid w:val="00090796"/>
    <w:rsid w:val="0016665B"/>
    <w:rsid w:val="00185972"/>
    <w:rsid w:val="001A07AC"/>
    <w:rsid w:val="001A41BD"/>
    <w:rsid w:val="001C27F5"/>
    <w:rsid w:val="001D539B"/>
    <w:rsid w:val="001F1923"/>
    <w:rsid w:val="00213D59"/>
    <w:rsid w:val="0024158E"/>
    <w:rsid w:val="00271303"/>
    <w:rsid w:val="00283045"/>
    <w:rsid w:val="0031642F"/>
    <w:rsid w:val="00332A38"/>
    <w:rsid w:val="00495165"/>
    <w:rsid w:val="004E5A3C"/>
    <w:rsid w:val="00541633"/>
    <w:rsid w:val="005651A5"/>
    <w:rsid w:val="00584904"/>
    <w:rsid w:val="00726429"/>
    <w:rsid w:val="007372CD"/>
    <w:rsid w:val="00842F87"/>
    <w:rsid w:val="0085537C"/>
    <w:rsid w:val="008633B9"/>
    <w:rsid w:val="00871F00"/>
    <w:rsid w:val="008971E9"/>
    <w:rsid w:val="008D65D4"/>
    <w:rsid w:val="008E017F"/>
    <w:rsid w:val="008F0A42"/>
    <w:rsid w:val="008F1117"/>
    <w:rsid w:val="0090719F"/>
    <w:rsid w:val="009800DA"/>
    <w:rsid w:val="00A13109"/>
    <w:rsid w:val="00A22C5E"/>
    <w:rsid w:val="00A34DEF"/>
    <w:rsid w:val="00A4600E"/>
    <w:rsid w:val="00B27ABD"/>
    <w:rsid w:val="00B92B52"/>
    <w:rsid w:val="00BF5061"/>
    <w:rsid w:val="00BF647E"/>
    <w:rsid w:val="00C26760"/>
    <w:rsid w:val="00D11404"/>
    <w:rsid w:val="00D45A2F"/>
    <w:rsid w:val="00D70071"/>
    <w:rsid w:val="00E00033"/>
    <w:rsid w:val="00E00583"/>
    <w:rsid w:val="00E53239"/>
    <w:rsid w:val="00E74DCA"/>
    <w:rsid w:val="00ED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545C"/>
  <w15:chartTrackingRefBased/>
  <w15:docId w15:val="{EF335CD4-CC1E-4C42-AA1A-2ECD5B38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D59"/>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213D59"/>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D59"/>
    <w:rPr>
      <w:rFonts w:ascii="Times New Roman" w:eastAsia="Times New Roman" w:hAnsi="Times New Roman"/>
      <w:b/>
      <w:sz w:val="28"/>
      <w:szCs w:val="28"/>
    </w:rPr>
  </w:style>
  <w:style w:type="paragraph" w:styleId="Header">
    <w:name w:val="header"/>
    <w:basedOn w:val="Normal"/>
    <w:link w:val="HeaderChar"/>
    <w:uiPriority w:val="99"/>
    <w:unhideWhenUsed/>
    <w:rsid w:val="00213D59"/>
    <w:pPr>
      <w:tabs>
        <w:tab w:val="center" w:pos="4513"/>
        <w:tab w:val="right" w:pos="9026"/>
      </w:tabs>
      <w:spacing w:after="0"/>
    </w:pPr>
    <w:rPr>
      <w:szCs w:val="28"/>
    </w:rPr>
  </w:style>
  <w:style w:type="character" w:customStyle="1" w:styleId="HeaderChar">
    <w:name w:val="Header Char"/>
    <w:basedOn w:val="DefaultParagraphFont"/>
    <w:link w:val="Header"/>
    <w:uiPriority w:val="99"/>
    <w:rsid w:val="00213D59"/>
    <w:rPr>
      <w:rFonts w:eastAsia="Times New Roman" w:cs="Times New Roman"/>
      <w:sz w:val="24"/>
      <w:szCs w:val="28"/>
      <w:lang w:eastAsia="en-AU"/>
    </w:rPr>
  </w:style>
  <w:style w:type="character" w:styleId="PageNumber">
    <w:name w:val="page number"/>
    <w:basedOn w:val="DefaultParagraphFont"/>
    <w:rsid w:val="00213D59"/>
  </w:style>
  <w:style w:type="paragraph" w:styleId="Footer">
    <w:name w:val="footer"/>
    <w:basedOn w:val="Normal"/>
    <w:link w:val="FooterChar"/>
    <w:uiPriority w:val="99"/>
    <w:rsid w:val="00213D59"/>
    <w:pPr>
      <w:spacing w:after="0"/>
      <w:jc w:val="center"/>
    </w:pPr>
    <w:rPr>
      <w:sz w:val="20"/>
    </w:rPr>
  </w:style>
  <w:style w:type="character" w:customStyle="1" w:styleId="FooterChar">
    <w:name w:val="Footer Char"/>
    <w:basedOn w:val="DefaultParagraphFont"/>
    <w:link w:val="Footer"/>
    <w:uiPriority w:val="99"/>
    <w:rsid w:val="00213D59"/>
    <w:rPr>
      <w:rFonts w:eastAsia="Times New Roman" w:cs="Times New Roman"/>
      <w:sz w:val="20"/>
      <w:szCs w:val="24"/>
      <w:lang w:eastAsia="en-AU"/>
    </w:rPr>
  </w:style>
  <w:style w:type="paragraph" w:customStyle="1" w:styleId="NormalBold">
    <w:name w:val="Normal Bold"/>
    <w:basedOn w:val="Normal"/>
    <w:link w:val="NormalBoldChar"/>
    <w:qFormat/>
    <w:rsid w:val="00213D59"/>
    <w:rPr>
      <w:rFonts w:cs="Arial"/>
      <w:b/>
      <w:szCs w:val="22"/>
    </w:rPr>
  </w:style>
  <w:style w:type="character" w:customStyle="1" w:styleId="NormalBoldChar">
    <w:name w:val="Normal Bold Char"/>
    <w:basedOn w:val="DefaultParagraphFont"/>
    <w:link w:val="NormalBold"/>
    <w:rsid w:val="00213D59"/>
    <w:rPr>
      <w:rFonts w:eastAsia="Times New Roman" w:cs="Arial"/>
      <w:b/>
      <w:sz w:val="24"/>
      <w:lang w:eastAsia="en-AU"/>
    </w:rPr>
  </w:style>
  <w:style w:type="paragraph" w:styleId="ListParagraph">
    <w:name w:val="List Paragraph"/>
    <w:basedOn w:val="Normal"/>
    <w:link w:val="ListParagraphChar"/>
    <w:uiPriority w:val="34"/>
    <w:qFormat/>
    <w:rsid w:val="00213D59"/>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213D59"/>
  </w:style>
  <w:style w:type="paragraph" w:styleId="NoSpacing">
    <w:name w:val="No Spacing"/>
    <w:uiPriority w:val="1"/>
    <w:qFormat/>
    <w:rsid w:val="00213D59"/>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213D5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22C5E"/>
    <w:rPr>
      <w:sz w:val="16"/>
      <w:szCs w:val="16"/>
    </w:rPr>
  </w:style>
  <w:style w:type="paragraph" w:styleId="CommentText">
    <w:name w:val="annotation text"/>
    <w:basedOn w:val="Normal"/>
    <w:link w:val="CommentTextChar"/>
    <w:uiPriority w:val="99"/>
    <w:semiHidden/>
    <w:unhideWhenUsed/>
    <w:rsid w:val="00A22C5E"/>
    <w:rPr>
      <w:sz w:val="20"/>
      <w:szCs w:val="20"/>
    </w:rPr>
  </w:style>
  <w:style w:type="character" w:customStyle="1" w:styleId="CommentTextChar">
    <w:name w:val="Comment Text Char"/>
    <w:basedOn w:val="DefaultParagraphFont"/>
    <w:link w:val="CommentText"/>
    <w:uiPriority w:val="99"/>
    <w:semiHidden/>
    <w:rsid w:val="00A22C5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22C5E"/>
    <w:rPr>
      <w:b/>
      <w:bCs/>
    </w:rPr>
  </w:style>
  <w:style w:type="character" w:customStyle="1" w:styleId="CommentSubjectChar">
    <w:name w:val="Comment Subject Char"/>
    <w:basedOn w:val="CommentTextChar"/>
    <w:link w:val="CommentSubject"/>
    <w:uiPriority w:val="99"/>
    <w:semiHidden/>
    <w:rsid w:val="00A22C5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A22C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5E"/>
    <w:rPr>
      <w:rFonts w:ascii="Segoe UI" w:eastAsia="Times New Roman" w:hAnsi="Segoe UI" w:cs="Segoe UI"/>
      <w:sz w:val="18"/>
      <w:szCs w:val="18"/>
      <w:lang w:eastAsia="en-AU"/>
    </w:rPr>
  </w:style>
  <w:style w:type="paragraph" w:customStyle="1" w:styleId="ActHead6">
    <w:name w:val="ActHead 6"/>
    <w:aliases w:val="as"/>
    <w:basedOn w:val="Normal"/>
    <w:next w:val="Normal"/>
    <w:qFormat/>
    <w:rsid w:val="00ED6339"/>
    <w:pPr>
      <w:keepNext/>
      <w:keepLines/>
      <w:spacing w:after="0"/>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ED6339"/>
    <w:pPr>
      <w:keepNext/>
      <w:keepLines/>
      <w:spacing w:before="280" w:after="0"/>
      <w:ind w:left="1134" w:hanging="1134"/>
      <w:outlineLvl w:val="8"/>
    </w:pPr>
    <w:rPr>
      <w:rFonts w:ascii="Times New Roman" w:hAnsi="Times New Roman"/>
      <w:b/>
      <w:i/>
      <w:kern w:val="28"/>
      <w:sz w:val="28"/>
      <w:szCs w:val="20"/>
    </w:rPr>
  </w:style>
  <w:style w:type="character" w:customStyle="1" w:styleId="CharAmSchText">
    <w:name w:val="CharAmSchText"/>
    <w:basedOn w:val="DefaultParagraphFont"/>
    <w:uiPriority w:val="1"/>
    <w:qFormat/>
    <w:rsid w:val="00ED6339"/>
  </w:style>
  <w:style w:type="paragraph" w:customStyle="1" w:styleId="Item">
    <w:name w:val="Item"/>
    <w:aliases w:val="i"/>
    <w:basedOn w:val="Normal"/>
    <w:next w:val="ItemHead"/>
    <w:rsid w:val="00ED6339"/>
    <w:pPr>
      <w:keepLines/>
      <w:spacing w:before="80" w:after="0"/>
      <w:ind w:left="709"/>
    </w:pPr>
    <w:rPr>
      <w:rFonts w:ascii="Times New Roman" w:hAnsi="Times New Roman"/>
      <w:sz w:val="22"/>
      <w:szCs w:val="20"/>
    </w:rPr>
  </w:style>
  <w:style w:type="paragraph" w:customStyle="1" w:styleId="ItemHead">
    <w:name w:val="ItemHead"/>
    <w:aliases w:val="ih"/>
    <w:basedOn w:val="Normal"/>
    <w:next w:val="Item"/>
    <w:rsid w:val="00ED6339"/>
    <w:pPr>
      <w:keepNext/>
      <w:keepLines/>
      <w:spacing w:before="220" w:after="0"/>
      <w:ind w:left="709" w:hanging="709"/>
    </w:pPr>
    <w:rPr>
      <w:rFonts w:ascii="Arial" w:hAnsi="Arial"/>
      <w:b/>
      <w:kern w:val="28"/>
      <w:szCs w:val="20"/>
    </w:rPr>
  </w:style>
  <w:style w:type="paragraph" w:customStyle="1" w:styleId="definition">
    <w:name w:val="definition"/>
    <w:basedOn w:val="Normal"/>
    <w:rsid w:val="00ED633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5bf0c3ceccd54590f5bec81d0594f86e">
  <xsd:schema xmlns:xsd="http://www.w3.org/2001/XMLSchema" xmlns:xs="http://www.w3.org/2001/XMLSchema" xmlns:p="http://schemas.microsoft.com/office/2006/metadata/properties" xmlns:ns2="1F5396B2-81FE-4B84-981A-9889E53F5466" targetNamespace="http://schemas.microsoft.com/office/2006/metadata/properties" ma:root="true" ma:fieldsID="a8158fdfcbcc7ad7c23008ba33c1f307"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017CB-0A67-498D-B28B-0CCD072CE21C}">
  <ds:schemaRefs>
    <ds:schemaRef ds:uri="http://schemas.microsoft.com/office/2006/metadata/properties"/>
    <ds:schemaRef ds:uri="http://schemas.microsoft.com/office/infopath/2007/PartnerControls"/>
    <ds:schemaRef ds:uri="1F5396B2-81FE-4B84-981A-9889E53F5466"/>
  </ds:schemaRefs>
</ds:datastoreItem>
</file>

<file path=customXml/itemProps2.xml><?xml version="1.0" encoding="utf-8"?>
<ds:datastoreItem xmlns:ds="http://schemas.openxmlformats.org/officeDocument/2006/customXml" ds:itemID="{BEAD89AE-B26C-486B-BAD3-A13B96A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4F47F-A637-4596-8C44-25F69E687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Lara</dc:creator>
  <cp:keywords/>
  <dc:description/>
  <cp:lastModifiedBy>CHURCHILL Simon</cp:lastModifiedBy>
  <cp:revision>9</cp:revision>
  <dcterms:created xsi:type="dcterms:W3CDTF">2024-05-28T23:32:00Z</dcterms:created>
  <dcterms:modified xsi:type="dcterms:W3CDTF">2024-06-12T06:43:00Z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0x010100266966F133664895A6EE3632470D45F50073B560FF0ACA7B49A63B78249248A755</vt:lpwstr>
  </property>
</Properties>
</file>